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F18EE" w14:textId="0523F07A" w:rsidR="00451799" w:rsidRDefault="00451799" w:rsidP="007C400D">
      <w:pPr>
        <w:jc w:val="center"/>
        <w:rPr>
          <w:rFonts w:asciiTheme="minorHAnsi" w:hAnsiTheme="minorHAnsi" w:cstheme="minorHAnsi"/>
          <w:b/>
          <w:color w:val="FF0000"/>
          <w:sz w:val="24"/>
        </w:rPr>
      </w:pPr>
      <w:r>
        <w:rPr>
          <w:rFonts w:asciiTheme="minorHAnsi" w:hAnsiTheme="minorHAnsi" w:cstheme="minorHAnsi"/>
          <w:b/>
          <w:color w:val="FF0000"/>
          <w:sz w:val="24"/>
        </w:rPr>
        <w:t>Draft Conference Paper</w:t>
      </w:r>
    </w:p>
    <w:p w14:paraId="5A9FCC28" w14:textId="77777777" w:rsidR="00451799" w:rsidRDefault="00451799" w:rsidP="007C400D">
      <w:pPr>
        <w:jc w:val="center"/>
        <w:rPr>
          <w:rFonts w:asciiTheme="minorHAnsi" w:hAnsiTheme="minorHAnsi" w:cstheme="minorHAnsi"/>
          <w:b/>
          <w:color w:val="FF0000"/>
          <w:sz w:val="24"/>
        </w:rPr>
      </w:pPr>
      <w:r w:rsidRPr="00451799">
        <w:rPr>
          <w:rFonts w:asciiTheme="minorHAnsi" w:hAnsiTheme="minorHAnsi" w:cstheme="minorHAnsi"/>
          <w:b/>
          <w:color w:val="FF0000"/>
          <w:sz w:val="24"/>
        </w:rPr>
        <w:t xml:space="preserve">Surpass IRN Conference: Fair and Non-discriminatory Access to Financial Services, </w:t>
      </w:r>
    </w:p>
    <w:p w14:paraId="12644EB2" w14:textId="7C50BFB8" w:rsidR="00451799" w:rsidRDefault="00451799" w:rsidP="00451799">
      <w:pPr>
        <w:jc w:val="center"/>
        <w:rPr>
          <w:rFonts w:asciiTheme="minorHAnsi" w:hAnsiTheme="minorHAnsi" w:cstheme="minorHAnsi"/>
          <w:b/>
          <w:color w:val="FF0000"/>
          <w:sz w:val="24"/>
        </w:rPr>
      </w:pPr>
      <w:r w:rsidRPr="00451799">
        <w:rPr>
          <w:rFonts w:asciiTheme="minorHAnsi" w:hAnsiTheme="minorHAnsi" w:cstheme="minorHAnsi"/>
          <w:b/>
          <w:color w:val="FF0000"/>
          <w:sz w:val="24"/>
        </w:rPr>
        <w:t>Copenhagen, Denmark, 26-27 Sept. 2019</w:t>
      </w:r>
      <w:bookmarkStart w:id="0" w:name="_GoBack"/>
      <w:bookmarkEnd w:id="0"/>
    </w:p>
    <w:p w14:paraId="1A273ED2" w14:textId="77777777" w:rsidR="00451799" w:rsidRPr="00451799" w:rsidRDefault="00451799" w:rsidP="007C400D">
      <w:pPr>
        <w:jc w:val="center"/>
        <w:rPr>
          <w:rFonts w:asciiTheme="minorHAnsi" w:hAnsiTheme="minorHAnsi" w:cstheme="minorHAnsi"/>
          <w:b/>
          <w:color w:val="FF0000"/>
          <w:sz w:val="24"/>
        </w:rPr>
      </w:pPr>
    </w:p>
    <w:p w14:paraId="0D37F754" w14:textId="736F0491" w:rsidR="007C400D" w:rsidRPr="004A2D1F" w:rsidRDefault="007C400D" w:rsidP="007C400D">
      <w:pPr>
        <w:jc w:val="center"/>
        <w:rPr>
          <w:rFonts w:asciiTheme="minorHAnsi" w:hAnsiTheme="minorHAnsi" w:cstheme="minorHAnsi"/>
          <w:b/>
          <w:sz w:val="24"/>
        </w:rPr>
      </w:pPr>
      <w:r w:rsidRPr="004A2D1F">
        <w:rPr>
          <w:rFonts w:asciiTheme="minorHAnsi" w:hAnsiTheme="minorHAnsi" w:cstheme="minorHAnsi"/>
          <w:b/>
          <w:sz w:val="24"/>
        </w:rPr>
        <w:t xml:space="preserve">Beyond Negative Interpretations of Freedom of Contract: </w:t>
      </w:r>
    </w:p>
    <w:p w14:paraId="3717F961" w14:textId="77777777" w:rsidR="007C400D" w:rsidRPr="004A2D1F" w:rsidRDefault="007C400D" w:rsidP="007C400D">
      <w:pPr>
        <w:jc w:val="center"/>
        <w:rPr>
          <w:rFonts w:asciiTheme="minorHAnsi" w:hAnsiTheme="minorHAnsi" w:cstheme="minorHAnsi"/>
          <w:b/>
          <w:sz w:val="24"/>
        </w:rPr>
      </w:pPr>
      <w:r w:rsidRPr="004A2D1F">
        <w:rPr>
          <w:rFonts w:asciiTheme="minorHAnsi" w:hAnsiTheme="minorHAnsi" w:cstheme="minorHAnsi"/>
          <w:b/>
          <w:sz w:val="24"/>
        </w:rPr>
        <w:t xml:space="preserve">The Interplay between Private Law and Human Rights </w:t>
      </w:r>
    </w:p>
    <w:p w14:paraId="2DC6C9FE" w14:textId="77777777" w:rsidR="007C400D" w:rsidRPr="004A2D1F" w:rsidRDefault="007C400D" w:rsidP="007C400D">
      <w:pPr>
        <w:jc w:val="center"/>
        <w:rPr>
          <w:rFonts w:asciiTheme="minorHAnsi" w:hAnsiTheme="minorHAnsi" w:cstheme="minorHAnsi"/>
          <w:b/>
          <w:sz w:val="24"/>
        </w:rPr>
      </w:pPr>
      <w:r w:rsidRPr="004A2D1F">
        <w:rPr>
          <w:rFonts w:asciiTheme="minorHAnsi" w:hAnsiTheme="minorHAnsi" w:cstheme="minorHAnsi"/>
          <w:b/>
          <w:sz w:val="24"/>
        </w:rPr>
        <w:t xml:space="preserve">in Light of the UN </w:t>
      </w:r>
      <w:r w:rsidRPr="004A2D1F">
        <w:rPr>
          <w:rFonts w:asciiTheme="minorHAnsi" w:hAnsiTheme="minorHAnsi" w:cstheme="minorHAnsi"/>
          <w:b/>
          <w:i/>
          <w:iCs/>
          <w:sz w:val="24"/>
        </w:rPr>
        <w:t>Convention on the Rights of Persons with Disabilities</w:t>
      </w:r>
    </w:p>
    <w:p w14:paraId="3E3FE140" w14:textId="77777777" w:rsidR="007C400D" w:rsidRDefault="007C400D" w:rsidP="007C400D">
      <w:pPr>
        <w:jc w:val="center"/>
        <w:rPr>
          <w:rFonts w:asciiTheme="minorHAnsi" w:hAnsiTheme="minorHAnsi" w:cstheme="minorHAnsi"/>
          <w:b/>
          <w:szCs w:val="22"/>
        </w:rPr>
      </w:pPr>
    </w:p>
    <w:p w14:paraId="33B13522" w14:textId="77777777" w:rsidR="007C400D" w:rsidRPr="009A49FB" w:rsidRDefault="007C400D" w:rsidP="007C400D">
      <w:pPr>
        <w:jc w:val="center"/>
        <w:rPr>
          <w:rFonts w:asciiTheme="minorHAnsi" w:hAnsiTheme="minorHAnsi" w:cstheme="minorHAnsi"/>
          <w:szCs w:val="22"/>
        </w:rPr>
      </w:pPr>
      <w:r>
        <w:rPr>
          <w:rFonts w:asciiTheme="minorHAnsi" w:hAnsiTheme="minorHAnsi" w:cstheme="minorHAnsi"/>
          <w:szCs w:val="22"/>
        </w:rPr>
        <w:t>Eliza Varney</w:t>
      </w:r>
      <w:r w:rsidRPr="00955EB7">
        <w:rPr>
          <w:rStyle w:val="FootnoteReference"/>
          <w:rFonts w:asciiTheme="minorHAnsi" w:eastAsia="Calibri" w:hAnsiTheme="minorHAnsi" w:cstheme="minorHAnsi"/>
          <w:szCs w:val="22"/>
        </w:rPr>
        <w:footnoteReference w:customMarkFollows="1" w:id="1"/>
        <w:t>*</w:t>
      </w:r>
    </w:p>
    <w:p w14:paraId="30502DDF" w14:textId="77777777" w:rsidR="007C400D" w:rsidRDefault="007C400D" w:rsidP="007C400D">
      <w:pPr>
        <w:jc w:val="center"/>
        <w:rPr>
          <w:rFonts w:asciiTheme="minorHAnsi" w:hAnsiTheme="minorHAnsi" w:cstheme="minorHAnsi"/>
          <w:b/>
          <w:szCs w:val="22"/>
        </w:rPr>
      </w:pPr>
    </w:p>
    <w:p w14:paraId="02F5452A" w14:textId="5FC3110E" w:rsidR="007C400D" w:rsidRPr="00240248" w:rsidRDefault="00A83820" w:rsidP="007C400D">
      <w:pPr>
        <w:rPr>
          <w:rFonts w:asciiTheme="minorHAnsi" w:hAnsiTheme="minorHAnsi" w:cstheme="minorHAnsi"/>
          <w:i/>
          <w:iCs/>
          <w:szCs w:val="22"/>
        </w:rPr>
      </w:pPr>
      <w:r w:rsidRPr="00240248">
        <w:rPr>
          <w:rFonts w:asciiTheme="minorHAnsi" w:hAnsiTheme="minorHAnsi" w:cstheme="minorHAnsi"/>
          <w:i/>
          <w:iCs/>
          <w:szCs w:val="22"/>
        </w:rPr>
        <w:t xml:space="preserve">How should </w:t>
      </w:r>
      <w:r w:rsidR="007C400D" w:rsidRPr="00240248">
        <w:rPr>
          <w:rFonts w:asciiTheme="minorHAnsi" w:hAnsiTheme="minorHAnsi" w:cstheme="minorHAnsi"/>
          <w:i/>
          <w:iCs/>
          <w:szCs w:val="22"/>
        </w:rPr>
        <w:t>the concept of ‘freedom of contract’ be understood</w:t>
      </w:r>
      <w:r w:rsidRPr="00240248">
        <w:rPr>
          <w:rFonts w:asciiTheme="minorHAnsi" w:hAnsiTheme="minorHAnsi" w:cstheme="minorHAnsi"/>
          <w:i/>
          <w:iCs/>
          <w:szCs w:val="22"/>
        </w:rPr>
        <w:t xml:space="preserve"> in a </w:t>
      </w:r>
      <w:r w:rsidR="00240248" w:rsidRPr="00240248">
        <w:rPr>
          <w:rFonts w:asciiTheme="minorHAnsi" w:hAnsiTheme="minorHAnsi" w:cstheme="minorHAnsi"/>
          <w:i/>
          <w:iCs/>
          <w:szCs w:val="22"/>
        </w:rPr>
        <w:t>way</w:t>
      </w:r>
      <w:r w:rsidRPr="00240248">
        <w:rPr>
          <w:rFonts w:asciiTheme="minorHAnsi" w:hAnsiTheme="minorHAnsi" w:cstheme="minorHAnsi"/>
          <w:i/>
          <w:iCs/>
          <w:szCs w:val="22"/>
        </w:rPr>
        <w:t xml:space="preserve"> that is compatible with the UN Convention on the Rights of Persons with Disabilities (CRPD)?</w:t>
      </w:r>
      <w:r w:rsidR="007C400D" w:rsidRPr="00240248">
        <w:rPr>
          <w:rFonts w:asciiTheme="minorHAnsi" w:hAnsiTheme="minorHAnsi" w:cstheme="minorHAnsi"/>
          <w:i/>
          <w:iCs/>
          <w:szCs w:val="22"/>
        </w:rPr>
        <w:t xml:space="preserve"> With a focus on English contract law, </w:t>
      </w:r>
      <w:r w:rsidR="00240248" w:rsidRPr="00240248">
        <w:rPr>
          <w:rFonts w:asciiTheme="minorHAnsi" w:hAnsiTheme="minorHAnsi" w:cstheme="minorHAnsi"/>
          <w:i/>
          <w:iCs/>
          <w:szCs w:val="22"/>
        </w:rPr>
        <w:t>this</w:t>
      </w:r>
      <w:r w:rsidR="007C400D" w:rsidRPr="00240248">
        <w:rPr>
          <w:rFonts w:asciiTheme="minorHAnsi" w:hAnsiTheme="minorHAnsi" w:cstheme="minorHAnsi"/>
          <w:i/>
          <w:iCs/>
          <w:szCs w:val="22"/>
        </w:rPr>
        <w:t xml:space="preserve"> discussion challenges negative interpretations of </w:t>
      </w:r>
      <w:r w:rsidR="00240248">
        <w:rPr>
          <w:rFonts w:asciiTheme="minorHAnsi" w:hAnsiTheme="minorHAnsi" w:cstheme="minorHAnsi"/>
          <w:i/>
          <w:iCs/>
          <w:szCs w:val="22"/>
        </w:rPr>
        <w:t>freedom of contract</w:t>
      </w:r>
      <w:r w:rsidR="007C400D" w:rsidRPr="00240248">
        <w:rPr>
          <w:rFonts w:asciiTheme="minorHAnsi" w:hAnsiTheme="minorHAnsi" w:cstheme="minorHAnsi"/>
          <w:i/>
          <w:iCs/>
          <w:szCs w:val="22"/>
        </w:rPr>
        <w:t xml:space="preserve"> confined to non-intervention by the state and limited to a narrow perception of the public as economic actors in pursuit of self-interest, in favour of positive interpretations which embrace wider social values such as equality and dignity.</w:t>
      </w:r>
    </w:p>
    <w:p w14:paraId="166B1582" w14:textId="77777777" w:rsidR="007C400D" w:rsidRDefault="007C400D" w:rsidP="007C400D">
      <w:pPr>
        <w:rPr>
          <w:rFonts w:asciiTheme="minorHAnsi" w:hAnsiTheme="minorHAnsi" w:cstheme="minorHAnsi"/>
          <w:szCs w:val="22"/>
        </w:rPr>
      </w:pPr>
    </w:p>
    <w:p w14:paraId="4BEE2CFF" w14:textId="77777777" w:rsidR="00B362EA" w:rsidRDefault="00B362EA" w:rsidP="00B362EA">
      <w:pPr>
        <w:jc w:val="center"/>
        <w:rPr>
          <w:b/>
          <w:bCs/>
        </w:rPr>
      </w:pPr>
      <w:r>
        <w:rPr>
          <w:b/>
          <w:bCs/>
        </w:rPr>
        <w:t>Introduction</w:t>
      </w:r>
    </w:p>
    <w:p w14:paraId="0B41037D" w14:textId="77777777" w:rsidR="00B362EA" w:rsidRDefault="00B362EA" w:rsidP="00B362EA">
      <w:pPr>
        <w:jc w:val="center"/>
        <w:rPr>
          <w:b/>
          <w:bCs/>
        </w:rPr>
      </w:pPr>
    </w:p>
    <w:p w14:paraId="582F8583" w14:textId="31E306BF" w:rsidR="00B362EA" w:rsidRDefault="00B362EA" w:rsidP="00B362EA">
      <w:r w:rsidRPr="00240248">
        <w:t xml:space="preserve">When, almost a decade ago, the UN Committee on the Rights of Persons with Disabilities (CRPD Committee) reached their decision in </w:t>
      </w:r>
      <w:r w:rsidRPr="00240248">
        <w:rPr>
          <w:i/>
          <w:iCs/>
        </w:rPr>
        <w:t xml:space="preserve">Nyusti v Hungary </w:t>
      </w:r>
      <w:r w:rsidRPr="00240248">
        <w:t>(</w:t>
      </w:r>
      <w:r w:rsidRPr="00240248">
        <w:rPr>
          <w:i/>
          <w:iCs/>
        </w:rPr>
        <w:t>Nyusti</w:t>
      </w:r>
      <w:r w:rsidRPr="00240248">
        <w:t>),</w:t>
      </w:r>
      <w:r w:rsidRPr="00240248">
        <w:rPr>
          <w:rStyle w:val="FootnoteReference"/>
        </w:rPr>
        <w:footnoteReference w:id="2"/>
      </w:r>
      <w:r w:rsidRPr="00240248">
        <w:t xml:space="preserve"> they confirmed that the human rights of persons with disabilities to enjoy equal access to services (such as financial services) prevail over the claims of private parties (in this case, a bank), endorsed by the state (Hungary) to resist ‘interference with freedom of contract’.</w:t>
      </w:r>
      <w:r w:rsidRPr="00240248">
        <w:rPr>
          <w:rStyle w:val="FootnoteReference"/>
        </w:rPr>
        <w:footnoteReference w:id="3"/>
      </w:r>
      <w:r w:rsidRPr="00240248">
        <w:t xml:space="preserve"> The latter had relied on the problematic view that any requirement to make their automatic teller machines (ATMs) accessible to persons with visual disabilities constituted an infringement </w:t>
      </w:r>
      <w:r w:rsidR="00AC13A9">
        <w:t>of</w:t>
      </w:r>
      <w:r w:rsidRPr="00240248">
        <w:t xml:space="preserve"> their freedom of contract, and that their customers with visual disabilities, who could not access these services, knew what they agreed to when they entered into the contract with the bank.</w:t>
      </w:r>
      <w:r w:rsidRPr="00240248">
        <w:rPr>
          <w:rStyle w:val="FootnoteReference"/>
        </w:rPr>
        <w:footnoteReference w:id="4"/>
      </w:r>
      <w:r w:rsidRPr="00240248">
        <w:t xml:space="preserve"> Despite the merits of the decision in </w:t>
      </w:r>
      <w:r w:rsidRPr="00240248">
        <w:rPr>
          <w:i/>
          <w:iCs/>
        </w:rPr>
        <w:t>Nyusti</w:t>
      </w:r>
      <w:r w:rsidRPr="00240248">
        <w:t xml:space="preserve">, which found Hungary to be in breach of their obligations under the UN </w:t>
      </w:r>
      <w:r w:rsidRPr="00240248">
        <w:rPr>
          <w:i/>
          <w:iCs/>
        </w:rPr>
        <w:t>Convention on the Rights of Persons with Disabilities</w:t>
      </w:r>
      <w:r w:rsidRPr="00240248">
        <w:t xml:space="preserve"> (CRPD)</w:t>
      </w:r>
      <w:r w:rsidRPr="00240248">
        <w:rPr>
          <w:rStyle w:val="FootnoteReference"/>
        </w:rPr>
        <w:footnoteReference w:id="5"/>
      </w:r>
      <w:r w:rsidRPr="00240248">
        <w:t xml:space="preserve"> to ensure, </w:t>
      </w:r>
      <w:r w:rsidRPr="00240248">
        <w:rPr>
          <w:i/>
          <w:iCs/>
        </w:rPr>
        <w:t>inter alia</w:t>
      </w:r>
      <w:r w:rsidRPr="00240248">
        <w:t>, that private parties providing services to the public ‘take into account all aspects of accessibility for persons with disabilities’,</w:t>
      </w:r>
      <w:r w:rsidRPr="00240248">
        <w:rPr>
          <w:rStyle w:val="FootnoteReference"/>
        </w:rPr>
        <w:footnoteReference w:id="6"/>
      </w:r>
      <w:r w:rsidRPr="00240248">
        <w:t xml:space="preserve"> the CRPD Committee failed to engage with the wider question of the interplay between human rights and private law, or to challenge such negative interpretations of freedom of contract.</w:t>
      </w:r>
      <w:r w:rsidRPr="005D0903">
        <w:t xml:space="preserve"> </w:t>
      </w:r>
    </w:p>
    <w:p w14:paraId="3221C7C9" w14:textId="77777777" w:rsidR="00B362EA" w:rsidRDefault="00B362EA" w:rsidP="00B362EA"/>
    <w:p w14:paraId="5221E5E4" w14:textId="5DB8061A" w:rsidR="00B713A8" w:rsidRDefault="00B362EA" w:rsidP="00B362EA">
      <w:r w:rsidRPr="0050406B">
        <w:t xml:space="preserve">This paper aims to pick up what the CRPD Committee left unaddressed in </w:t>
      </w:r>
      <w:r w:rsidRPr="0050406B">
        <w:rPr>
          <w:i/>
          <w:iCs/>
        </w:rPr>
        <w:t>Nyusti</w:t>
      </w:r>
      <w:r w:rsidRPr="0050406B">
        <w:t xml:space="preserve"> and subsequent decisions,</w:t>
      </w:r>
      <w:r w:rsidRPr="0050406B">
        <w:rPr>
          <w:rStyle w:val="FootnoteReference"/>
        </w:rPr>
        <w:footnoteReference w:id="7"/>
      </w:r>
      <w:r w:rsidRPr="0050406B">
        <w:t xml:space="preserve"> as barriers encountered by persons with disabilities in accessing financial services remain prevalent</w:t>
      </w:r>
      <w:r w:rsidRPr="0050406B">
        <w:rPr>
          <w:rStyle w:val="FootnoteReference"/>
        </w:rPr>
        <w:footnoteReference w:id="8"/>
      </w:r>
      <w:r w:rsidRPr="0050406B">
        <w:t xml:space="preserve"> and are likely to increase, given the rise in the number of people with disabilities (including people developing mental health conditions such as dementia).</w:t>
      </w:r>
      <w:r w:rsidRPr="0050406B">
        <w:rPr>
          <w:rStyle w:val="FootnoteReference"/>
        </w:rPr>
        <w:footnoteReference w:id="9"/>
      </w:r>
      <w:r w:rsidRPr="0050406B">
        <w:t xml:space="preserve"> The discussion challenges negative interpretations of freedom of contract confined to non-intervention by the state and limited to a narrow perception of the public as economic actors in pursuit of self-interest, in favour of positive interpretations of this foundational concept which embrace wider social values such as equality and dignity. </w:t>
      </w:r>
      <w:r w:rsidR="005939E1" w:rsidRPr="0050406B">
        <w:t xml:space="preserve">Part one explores </w:t>
      </w:r>
      <w:r w:rsidR="005939E1" w:rsidRPr="005939E1">
        <w:t xml:space="preserve">implicit key messages within the framework of the CRPD about the rights of </w:t>
      </w:r>
      <w:r w:rsidR="005939E1">
        <w:t xml:space="preserve">persons with disabilities </w:t>
      </w:r>
      <w:r w:rsidR="005939E1" w:rsidRPr="005939E1">
        <w:t xml:space="preserve">to </w:t>
      </w:r>
      <w:r w:rsidR="005939E1">
        <w:t xml:space="preserve">equality in the contractual sphere. </w:t>
      </w:r>
      <w:r w:rsidR="0044077A">
        <w:t>Aspects of this i</w:t>
      </w:r>
      <w:r w:rsidRPr="0050406B">
        <w:t>nclud</w:t>
      </w:r>
      <w:r w:rsidR="0044077A">
        <w:t>e:</w:t>
      </w:r>
      <w:r w:rsidRPr="0050406B">
        <w:t xml:space="preserve"> the need to perceive individuals entering the contractual realm as citizens, rather than just consumers, and</w:t>
      </w:r>
      <w:r w:rsidR="0044077A">
        <w:t xml:space="preserve"> recognising</w:t>
      </w:r>
      <w:r w:rsidRPr="0050406B">
        <w:t xml:space="preserve"> the primacy of their social values over the economic concerns </w:t>
      </w:r>
      <w:r w:rsidRPr="0050406B">
        <w:lastRenderedPageBreak/>
        <w:t xml:space="preserve">of market players. Part two assesses whether English contract law meets these implicit benchmarks, </w:t>
      </w:r>
      <w:r w:rsidR="005939E1">
        <w:t>assessing</w:t>
      </w:r>
      <w:r w:rsidRPr="0050406B">
        <w:t xml:space="preserve"> the extent to which substantive fairness considerations justify interference with freedom of contract on the basis of vitiating factors such as incapacity, undue influence and unconscionability.</w:t>
      </w:r>
    </w:p>
    <w:p w14:paraId="352DB9F7" w14:textId="42D78941" w:rsidR="00CF025F" w:rsidRDefault="00CF025F" w:rsidP="00B362EA"/>
    <w:p w14:paraId="630E8075" w14:textId="77777777" w:rsidR="00CF025F" w:rsidRPr="0010051C" w:rsidRDefault="00CF025F" w:rsidP="00CF025F">
      <w:pPr>
        <w:jc w:val="center"/>
        <w:rPr>
          <w:rFonts w:asciiTheme="minorHAnsi" w:hAnsiTheme="minorHAnsi" w:cstheme="minorHAnsi"/>
          <w:b/>
          <w:bCs/>
          <w:szCs w:val="22"/>
        </w:rPr>
      </w:pPr>
      <w:r>
        <w:rPr>
          <w:b/>
          <w:bCs/>
        </w:rPr>
        <w:t xml:space="preserve">I. </w:t>
      </w:r>
      <w:r>
        <w:rPr>
          <w:rFonts w:asciiTheme="minorHAnsi" w:hAnsiTheme="minorHAnsi" w:cstheme="minorHAnsi"/>
          <w:b/>
          <w:bCs/>
          <w:szCs w:val="22"/>
        </w:rPr>
        <w:t>T</w:t>
      </w:r>
      <w:r w:rsidRPr="0010051C">
        <w:rPr>
          <w:rFonts w:asciiTheme="minorHAnsi" w:hAnsiTheme="minorHAnsi" w:cstheme="minorHAnsi"/>
          <w:b/>
          <w:bCs/>
          <w:szCs w:val="22"/>
        </w:rPr>
        <w:t xml:space="preserve">he </w:t>
      </w:r>
      <w:r>
        <w:rPr>
          <w:rFonts w:asciiTheme="minorHAnsi" w:hAnsiTheme="minorHAnsi" w:cstheme="minorHAnsi"/>
          <w:b/>
          <w:bCs/>
          <w:szCs w:val="22"/>
        </w:rPr>
        <w:t>CRPD: A Benchmark for a Positive Interpretation of Freedom of Contract?</w:t>
      </w:r>
    </w:p>
    <w:p w14:paraId="3E62E2F1" w14:textId="77777777" w:rsidR="00CF025F" w:rsidRDefault="00CF025F" w:rsidP="00CF025F">
      <w:pPr>
        <w:rPr>
          <w:rFonts w:asciiTheme="minorHAnsi" w:hAnsiTheme="minorHAnsi" w:cstheme="minorHAnsi"/>
          <w:szCs w:val="22"/>
          <w:highlight w:val="yellow"/>
        </w:rPr>
      </w:pPr>
    </w:p>
    <w:p w14:paraId="72A91A9A" w14:textId="0A3FB687" w:rsidR="00CF025F" w:rsidRDefault="00CF025F" w:rsidP="00CF025F">
      <w:pPr>
        <w:rPr>
          <w:rFonts w:asciiTheme="minorHAnsi" w:eastAsia="SimSun" w:hAnsiTheme="minorHAnsi" w:cstheme="minorHAnsi"/>
          <w:szCs w:val="22"/>
          <w:lang w:eastAsia="zh-CN"/>
        </w:rPr>
      </w:pPr>
      <w:r w:rsidRPr="00943B80">
        <w:t>People with disabilities encounter a wide range of barriers in the contractual sphere, including inaccessible environments, facilities and information, as well as negative attitudes from service providers</w:t>
      </w:r>
      <w:r w:rsidR="00C32847">
        <w:t>,</w:t>
      </w:r>
      <w:r w:rsidRPr="00943B80">
        <w:rPr>
          <w:rStyle w:val="FootnoteReference"/>
        </w:rPr>
        <w:footnoteReference w:id="10"/>
      </w:r>
      <w:r w:rsidRPr="00943B80">
        <w:t xml:space="preserve"> </w:t>
      </w:r>
      <w:r w:rsidR="00C32847">
        <w:t>as illustrated by t</w:t>
      </w:r>
      <w:r w:rsidRPr="00943B80">
        <w:t xml:space="preserve">he problematic attitude of the private Hungarian bank in </w:t>
      </w:r>
      <w:r w:rsidRPr="00943B80">
        <w:rPr>
          <w:i/>
          <w:iCs/>
        </w:rPr>
        <w:t>Nyusti</w:t>
      </w:r>
      <w:r w:rsidR="005939E1">
        <w:rPr>
          <w:i/>
          <w:iCs/>
        </w:rPr>
        <w:t>.</w:t>
      </w:r>
      <w:r w:rsidRPr="00943B80">
        <w:rPr>
          <w:rStyle w:val="FootnoteReference"/>
        </w:rPr>
        <w:footnoteReference w:id="11"/>
      </w:r>
      <w:r w:rsidRPr="00943B80">
        <w:t xml:space="preserve"> In seeking to justify its refusal to provide accessible ATMs</w:t>
      </w:r>
      <w:r w:rsidR="00F90735">
        <w:t xml:space="preserve"> and</w:t>
      </w:r>
      <w:r w:rsidRPr="00943B80">
        <w:t xml:space="preserve"> enable its customers with visual disabilities to use these facilities independently, </w:t>
      </w:r>
      <w:r w:rsidR="00F90735">
        <w:t xml:space="preserve">the bank stressed </w:t>
      </w:r>
      <w:r w:rsidR="00F90735" w:rsidRPr="00943B80">
        <w:t xml:space="preserve">that independent use of ATMs would increase banking security risks for these customers, </w:t>
      </w:r>
      <w:r w:rsidR="00F90735" w:rsidRPr="00943B80">
        <w:rPr>
          <w:rFonts w:asciiTheme="minorHAnsi" w:eastAsia="SimSun" w:hAnsiTheme="minorHAnsi" w:cstheme="minorHAnsi"/>
          <w:szCs w:val="22"/>
          <w:lang w:eastAsia="zh-CN"/>
        </w:rPr>
        <w:t>‘due to their special situation’</w:t>
      </w:r>
      <w:r w:rsidR="00F90735">
        <w:rPr>
          <w:rFonts w:asciiTheme="minorHAnsi" w:eastAsia="SimSun" w:hAnsiTheme="minorHAnsi" w:cstheme="minorHAnsi"/>
          <w:szCs w:val="22"/>
          <w:lang w:eastAsia="zh-CN"/>
        </w:rPr>
        <w:t>,</w:t>
      </w:r>
      <w:r w:rsidR="00F90735" w:rsidRPr="00943B80">
        <w:rPr>
          <w:rStyle w:val="FootnoteReference"/>
          <w:rFonts w:asciiTheme="minorHAnsi" w:eastAsia="SimSun" w:hAnsiTheme="minorHAnsi" w:cstheme="minorHAnsi"/>
          <w:szCs w:val="22"/>
          <w:lang w:eastAsia="zh-CN"/>
        </w:rPr>
        <w:footnoteReference w:id="12"/>
      </w:r>
      <w:r w:rsidR="00F90735">
        <w:rPr>
          <w:rFonts w:asciiTheme="minorHAnsi" w:eastAsia="SimSun" w:hAnsiTheme="minorHAnsi" w:cstheme="minorHAnsi"/>
          <w:szCs w:val="22"/>
          <w:lang w:eastAsia="zh-CN"/>
        </w:rPr>
        <w:t xml:space="preserve"> reflecting </w:t>
      </w:r>
      <w:r w:rsidRPr="00943B80">
        <w:t>a paternalistic perception of people with disabilities as objects of care</w:t>
      </w:r>
      <w:r w:rsidR="00F90735">
        <w:t xml:space="preserve">, </w:t>
      </w:r>
      <w:r w:rsidRPr="00943B80">
        <w:t>rather than as subjects of rights</w:t>
      </w:r>
      <w:r w:rsidR="00F90735">
        <w:t>.</w:t>
      </w:r>
      <w:r w:rsidRPr="00943B80">
        <w:rPr>
          <w:rStyle w:val="FootnoteReference"/>
        </w:rPr>
        <w:footnoteReference w:id="13"/>
      </w:r>
      <w:r w:rsidRPr="00943B80">
        <w:t xml:space="preserve"> </w:t>
      </w:r>
      <w:r w:rsidRPr="00943B80">
        <w:rPr>
          <w:rFonts w:asciiTheme="minorHAnsi" w:eastAsia="SimSun" w:hAnsiTheme="minorHAnsi" w:cstheme="minorHAnsi"/>
          <w:szCs w:val="22"/>
          <w:lang w:eastAsia="zh-CN"/>
        </w:rPr>
        <w:t>Overlooking the security risks faced by anyone who has to rely on others to access their bank account</w:t>
      </w:r>
      <w:r w:rsidRPr="00943B80">
        <w:rPr>
          <w:rStyle w:val="FootnoteReference"/>
          <w:rFonts w:asciiTheme="minorHAnsi" w:eastAsia="SimSun" w:hAnsiTheme="minorHAnsi" w:cstheme="minorHAnsi"/>
          <w:szCs w:val="22"/>
          <w:lang w:eastAsia="zh-CN"/>
        </w:rPr>
        <w:footnoteReference w:id="14"/>
      </w:r>
      <w:r w:rsidRPr="00943B80">
        <w:rPr>
          <w:rFonts w:asciiTheme="minorHAnsi" w:eastAsia="SimSun" w:hAnsiTheme="minorHAnsi" w:cstheme="minorHAnsi"/>
          <w:szCs w:val="22"/>
          <w:lang w:eastAsia="zh-CN"/>
        </w:rPr>
        <w:t xml:space="preserve"> and the infringement on human dignity associated with inaccessible services,</w:t>
      </w:r>
      <w:r w:rsidRPr="00943B80">
        <w:rPr>
          <w:rStyle w:val="FootnoteReference"/>
          <w:rFonts w:asciiTheme="minorHAnsi" w:hAnsiTheme="minorHAnsi" w:cstheme="minorHAnsi"/>
          <w:szCs w:val="22"/>
        </w:rPr>
        <w:footnoteReference w:id="15"/>
      </w:r>
      <w:r w:rsidRPr="00943B80">
        <w:rPr>
          <w:rFonts w:asciiTheme="minorHAnsi" w:eastAsia="SimSun" w:hAnsiTheme="minorHAnsi" w:cstheme="minorHAnsi"/>
          <w:szCs w:val="22"/>
          <w:lang w:eastAsia="zh-CN"/>
        </w:rPr>
        <w:t xml:space="preserve"> the bank insisted that the availability of accessible ATMs would motivate people with visual disabilities to use these facilities ‘without help’, endangering their ‘personal safety’.</w:t>
      </w:r>
      <w:r w:rsidRPr="00943B80">
        <w:rPr>
          <w:rStyle w:val="FootnoteReference"/>
          <w:rFonts w:asciiTheme="minorHAnsi" w:eastAsia="SimSun" w:hAnsiTheme="minorHAnsi" w:cstheme="minorHAnsi"/>
          <w:szCs w:val="22"/>
          <w:lang w:eastAsia="zh-CN"/>
        </w:rPr>
        <w:footnoteReference w:id="16"/>
      </w:r>
      <w:r w:rsidRPr="00943B80">
        <w:rPr>
          <w:rFonts w:asciiTheme="minorHAnsi" w:eastAsia="SimSun" w:hAnsiTheme="minorHAnsi" w:cstheme="minorHAnsi"/>
          <w:szCs w:val="22"/>
          <w:lang w:eastAsia="zh-CN"/>
        </w:rPr>
        <w:t xml:space="preserve"> The bank also approached the issue of equal access to financial services from a solely economic perspective focused on the cost of inclusion (rather than the wider social costs of exclusion),</w:t>
      </w:r>
      <w:r w:rsidRPr="00943B80">
        <w:rPr>
          <w:rStyle w:val="FootnoteReference"/>
          <w:rFonts w:asciiTheme="minorHAnsi" w:eastAsia="SimSun" w:hAnsiTheme="minorHAnsi" w:cstheme="minorHAnsi"/>
          <w:szCs w:val="22"/>
          <w:lang w:eastAsia="zh-CN"/>
        </w:rPr>
        <w:footnoteReference w:id="17"/>
      </w:r>
      <w:r w:rsidRPr="00943B80">
        <w:rPr>
          <w:rFonts w:asciiTheme="minorHAnsi" w:eastAsia="SimSun" w:hAnsiTheme="minorHAnsi" w:cstheme="minorHAnsi"/>
          <w:szCs w:val="22"/>
          <w:lang w:eastAsia="zh-CN"/>
        </w:rPr>
        <w:t xml:space="preserve"> insisting that the provision of accessible ATMs would impose on it ‘an unexpected financial burden’.</w:t>
      </w:r>
      <w:r w:rsidRPr="00943B80">
        <w:rPr>
          <w:rStyle w:val="FootnoteReference"/>
          <w:rFonts w:asciiTheme="minorHAnsi" w:eastAsia="SimSun" w:hAnsiTheme="minorHAnsi" w:cstheme="minorHAnsi"/>
          <w:szCs w:val="22"/>
          <w:lang w:eastAsia="zh-CN"/>
        </w:rPr>
        <w:footnoteReference w:id="18"/>
      </w:r>
      <w:r w:rsidRPr="00943B80">
        <w:rPr>
          <w:rFonts w:asciiTheme="minorHAnsi" w:eastAsia="SimSun" w:hAnsiTheme="minorHAnsi" w:cstheme="minorHAnsi"/>
          <w:szCs w:val="22"/>
          <w:lang w:eastAsia="zh-CN"/>
        </w:rPr>
        <w:t xml:space="preserve"> The bank’s approach was also problematic in their interpretation of freedom of contract based on a negative, non-interventionist approach (rather than a positive approach that justifies intervention to protect social values such as equality and dignity),</w:t>
      </w:r>
      <w:r w:rsidRPr="00943B80">
        <w:rPr>
          <w:rStyle w:val="FootnoteReference"/>
          <w:rFonts w:asciiTheme="minorHAnsi" w:eastAsia="SimSun" w:hAnsiTheme="minorHAnsi" w:cstheme="minorHAnsi"/>
          <w:szCs w:val="22"/>
          <w:lang w:eastAsia="zh-CN"/>
        </w:rPr>
        <w:footnoteReference w:id="19"/>
      </w:r>
      <w:r w:rsidRPr="00943B80">
        <w:rPr>
          <w:rFonts w:asciiTheme="minorHAnsi" w:eastAsia="SimSun" w:hAnsiTheme="minorHAnsi" w:cstheme="minorHAnsi"/>
          <w:szCs w:val="22"/>
          <w:lang w:eastAsia="zh-CN"/>
        </w:rPr>
        <w:t xml:space="preserve"> as it stressed that an obligation to provide accessible services would amount to interference into the parties’ contractual relations and infringe their freedom of contract.</w:t>
      </w:r>
      <w:r w:rsidRPr="00943B80">
        <w:rPr>
          <w:rStyle w:val="FootnoteReference"/>
          <w:rFonts w:asciiTheme="minorHAnsi" w:eastAsia="SimSun" w:hAnsiTheme="minorHAnsi" w:cstheme="minorHAnsi"/>
          <w:szCs w:val="22"/>
          <w:lang w:eastAsia="zh-CN"/>
        </w:rPr>
        <w:footnoteReference w:id="20"/>
      </w:r>
      <w:r w:rsidRPr="00943B80">
        <w:rPr>
          <w:rFonts w:asciiTheme="minorHAnsi" w:eastAsia="SimSun" w:hAnsiTheme="minorHAnsi" w:cstheme="minorHAnsi"/>
          <w:szCs w:val="22"/>
          <w:lang w:eastAsia="zh-CN"/>
        </w:rPr>
        <w:t xml:space="preserve"> Perhaps even more concerning is the positive reception of these arguments in Hungary’s highest courts, as both the Court of Appeal and the Supreme Court agreed with the cost-based vision of accessibility and negative interpretation of freedom of contract put forward by the bank.</w:t>
      </w:r>
      <w:r w:rsidRPr="00943B80">
        <w:rPr>
          <w:rStyle w:val="FootnoteReference"/>
          <w:rFonts w:asciiTheme="minorHAnsi" w:eastAsia="SimSun" w:hAnsiTheme="minorHAnsi" w:cstheme="minorHAnsi"/>
          <w:szCs w:val="22"/>
          <w:lang w:eastAsia="zh-CN"/>
        </w:rPr>
        <w:footnoteReference w:id="21"/>
      </w:r>
      <w:r w:rsidRPr="00943B80">
        <w:rPr>
          <w:rFonts w:asciiTheme="minorHAnsi" w:eastAsia="SimSun" w:hAnsiTheme="minorHAnsi" w:cstheme="minorHAnsi"/>
          <w:szCs w:val="22"/>
          <w:lang w:eastAsia="zh-CN"/>
        </w:rPr>
        <w:t xml:space="preserve"> This position was ultimately challenged before CRPD Committee, which</w:t>
      </w:r>
      <w:r>
        <w:rPr>
          <w:rFonts w:asciiTheme="minorHAnsi" w:eastAsia="SimSun" w:hAnsiTheme="minorHAnsi" w:cstheme="minorHAnsi"/>
          <w:szCs w:val="22"/>
          <w:lang w:eastAsia="zh-CN"/>
        </w:rPr>
        <w:t>, in a judgement that engaged more with accessibility arguments than with the issue of freedom of contract, found Hungary to be in breach of its obligations to ensure that private entities offering facilities and services open to the public consider all accessibility aspects for persons with disabilities.</w:t>
      </w:r>
      <w:r>
        <w:rPr>
          <w:rStyle w:val="FootnoteReference"/>
          <w:rFonts w:asciiTheme="minorHAnsi" w:eastAsia="SimSun" w:hAnsiTheme="minorHAnsi" w:cstheme="minorHAnsi"/>
          <w:szCs w:val="22"/>
          <w:lang w:eastAsia="zh-CN"/>
        </w:rPr>
        <w:footnoteReference w:id="22"/>
      </w:r>
    </w:p>
    <w:p w14:paraId="5C6E8B17" w14:textId="77777777" w:rsidR="00CF025F" w:rsidRDefault="00CF025F" w:rsidP="00CF025F">
      <w:pPr>
        <w:rPr>
          <w:rFonts w:asciiTheme="minorHAnsi" w:eastAsia="SimSun" w:hAnsiTheme="minorHAnsi" w:cstheme="minorHAnsi"/>
          <w:szCs w:val="22"/>
          <w:lang w:eastAsia="zh-CN"/>
        </w:rPr>
      </w:pPr>
    </w:p>
    <w:p w14:paraId="61B96A63" w14:textId="3750C4DC" w:rsidR="00CF025F" w:rsidRDefault="00C32847" w:rsidP="00B362EA">
      <w:pPr>
        <w:rPr>
          <w:rFonts w:asciiTheme="minorHAnsi" w:eastAsia="SimSun" w:hAnsiTheme="minorHAnsi" w:cstheme="minorHAnsi"/>
          <w:szCs w:val="22"/>
          <w:lang w:eastAsia="zh-CN"/>
        </w:rPr>
      </w:pPr>
      <w:r w:rsidRPr="00F90735">
        <w:rPr>
          <w:i/>
          <w:iCs/>
        </w:rPr>
        <w:t xml:space="preserve">Nyusti </w:t>
      </w:r>
      <w:r w:rsidR="00CF025F" w:rsidRPr="00FC71B0">
        <w:t>is not</w:t>
      </w:r>
      <w:r>
        <w:t xml:space="preserve"> </w:t>
      </w:r>
      <w:r w:rsidR="0052758D">
        <w:t xml:space="preserve">an </w:t>
      </w:r>
      <w:r w:rsidR="0052758D" w:rsidRPr="00FC71B0">
        <w:t>isolated</w:t>
      </w:r>
      <w:r>
        <w:t xml:space="preserve"> incident</w:t>
      </w:r>
      <w:r w:rsidR="0052758D">
        <w:t>.</w:t>
      </w:r>
      <w:r w:rsidR="00CF025F" w:rsidRPr="00FC71B0">
        <w:t xml:space="preserve"> </w:t>
      </w:r>
      <w:r w:rsidR="0052758D">
        <w:t>P</w:t>
      </w:r>
      <w:r w:rsidR="00CF025F" w:rsidRPr="00FC71B0">
        <w:t>eople in several jurisdictions continue to experience barriers in the contractual sphere, due to the failure of service providers to accommodate sensory, mobility and cognitive disabilities, and the ineffectiveness of legal frameworks to address these</w:t>
      </w:r>
      <w:r w:rsidR="0052758D">
        <w:t xml:space="preserve"> failures.</w:t>
      </w:r>
      <w:r w:rsidR="0052758D" w:rsidRPr="00FC71B0">
        <w:t xml:space="preserve"> </w:t>
      </w:r>
      <w:r w:rsidR="00CF025F" w:rsidRPr="00FC71B0">
        <w:t>These barriers have a negative impact on the extent to which people with disabilities can exercise their right to full and equal enjoyment of all human rights and fundamental freedom,</w:t>
      </w:r>
      <w:r w:rsidR="00CF025F" w:rsidRPr="00FC71B0">
        <w:rPr>
          <w:rStyle w:val="FootnoteReference"/>
        </w:rPr>
        <w:footnoteReference w:id="23"/>
      </w:r>
      <w:r w:rsidR="00CF025F" w:rsidRPr="00FC71B0">
        <w:t xml:space="preserve"> including the right to independent living,</w:t>
      </w:r>
      <w:r w:rsidR="00CF025F" w:rsidRPr="00FC71B0">
        <w:rPr>
          <w:rStyle w:val="FootnoteReference"/>
        </w:rPr>
        <w:footnoteReference w:id="24"/>
      </w:r>
      <w:r w:rsidR="00CF025F" w:rsidRPr="00FC71B0">
        <w:t xml:space="preserve"> and </w:t>
      </w:r>
      <w:r w:rsidR="00CF025F" w:rsidRPr="00FC71B0">
        <w:lastRenderedPageBreak/>
        <w:t>to the protection of their human dignity.</w:t>
      </w:r>
      <w:r w:rsidR="00CF025F" w:rsidRPr="00FC71B0">
        <w:rPr>
          <w:rStyle w:val="FootnoteReference"/>
        </w:rPr>
        <w:footnoteReference w:id="25"/>
      </w:r>
      <w:r w:rsidR="00CF025F" w:rsidRPr="00FC71B0">
        <w:t xml:space="preserve"> S</w:t>
      </w:r>
      <w:r w:rsidR="00CF025F" w:rsidRPr="00FC71B0">
        <w:rPr>
          <w:rFonts w:asciiTheme="minorHAnsi" w:eastAsia="SimSun" w:hAnsiTheme="minorHAnsi" w:cstheme="minorHAnsi"/>
          <w:szCs w:val="22"/>
          <w:lang w:eastAsia="zh-CN"/>
        </w:rPr>
        <w:t xml:space="preserve">ervice providers continue to use arguments similar to those put forward by the Hungarian bank in </w:t>
      </w:r>
      <w:r w:rsidR="00CF025F" w:rsidRPr="00FC71B0">
        <w:rPr>
          <w:rFonts w:asciiTheme="minorHAnsi" w:eastAsia="SimSun" w:hAnsiTheme="minorHAnsi" w:cstheme="minorHAnsi"/>
          <w:i/>
          <w:iCs/>
          <w:szCs w:val="22"/>
          <w:lang w:eastAsia="zh-CN"/>
        </w:rPr>
        <w:t>Nyusti</w:t>
      </w:r>
      <w:r w:rsidR="00CF025F" w:rsidRPr="00FC71B0">
        <w:rPr>
          <w:rFonts w:asciiTheme="minorHAnsi" w:eastAsia="SimSun" w:hAnsiTheme="minorHAnsi" w:cstheme="minorHAnsi"/>
          <w:szCs w:val="22"/>
          <w:lang w:eastAsia="zh-CN"/>
        </w:rPr>
        <w:t xml:space="preserve">, attempting to resist calls for equality on the basis of paternalistic perceptions of disability, cost-related considerations and </w:t>
      </w:r>
      <w:r w:rsidR="00CF025F">
        <w:rPr>
          <w:rFonts w:asciiTheme="minorHAnsi" w:eastAsia="SimSun" w:hAnsiTheme="minorHAnsi" w:cstheme="minorHAnsi"/>
          <w:szCs w:val="22"/>
          <w:lang w:eastAsia="zh-CN"/>
        </w:rPr>
        <w:t>negative</w:t>
      </w:r>
      <w:r w:rsidR="00CF025F" w:rsidRPr="00FC71B0">
        <w:rPr>
          <w:rFonts w:asciiTheme="minorHAnsi" w:eastAsia="SimSun" w:hAnsiTheme="minorHAnsi" w:cstheme="minorHAnsi"/>
          <w:szCs w:val="22"/>
          <w:lang w:eastAsia="zh-CN"/>
        </w:rPr>
        <w:t xml:space="preserve"> interpretations of freedom of contract,</w:t>
      </w:r>
      <w:r w:rsidR="00CF025F" w:rsidRPr="00FC71B0">
        <w:rPr>
          <w:rStyle w:val="FootnoteReference"/>
          <w:rFonts w:asciiTheme="minorHAnsi" w:eastAsia="SimSun" w:hAnsiTheme="minorHAnsi" w:cstheme="minorHAnsi"/>
          <w:szCs w:val="22"/>
          <w:lang w:eastAsia="zh-CN"/>
        </w:rPr>
        <w:footnoteReference w:id="26"/>
      </w:r>
      <w:r w:rsidR="00CF025F" w:rsidRPr="00FC71B0">
        <w:rPr>
          <w:rFonts w:asciiTheme="minorHAnsi" w:eastAsia="SimSun" w:hAnsiTheme="minorHAnsi" w:cstheme="minorHAnsi"/>
          <w:szCs w:val="22"/>
          <w:lang w:eastAsia="zh-CN"/>
        </w:rPr>
        <w:t xml:space="preserve"> while state actors appear to be more inclined to listen to industry voices than the views put forward by people with disabilities.</w:t>
      </w:r>
      <w:r w:rsidR="00CF025F" w:rsidRPr="00FC71B0">
        <w:rPr>
          <w:rStyle w:val="FootnoteReference"/>
          <w:rFonts w:asciiTheme="minorHAnsi" w:eastAsia="SimSun" w:hAnsiTheme="minorHAnsi" w:cstheme="minorHAnsi"/>
          <w:szCs w:val="22"/>
          <w:lang w:eastAsia="zh-CN"/>
        </w:rPr>
        <w:footnoteReference w:id="27"/>
      </w:r>
      <w:r w:rsidR="00CF025F" w:rsidRPr="00FC71B0">
        <w:rPr>
          <w:rFonts w:asciiTheme="minorHAnsi" w:eastAsia="SimSun" w:hAnsiTheme="minorHAnsi" w:cstheme="minorHAnsi"/>
          <w:szCs w:val="22"/>
          <w:lang w:eastAsia="zh-CN"/>
        </w:rPr>
        <w:t xml:space="preserve"> This </w:t>
      </w:r>
      <w:r w:rsidR="00CF025F">
        <w:rPr>
          <w:rFonts w:asciiTheme="minorHAnsi" w:eastAsia="SimSun" w:hAnsiTheme="minorHAnsi" w:cstheme="minorHAnsi"/>
          <w:szCs w:val="22"/>
          <w:lang w:eastAsia="zh-CN"/>
        </w:rPr>
        <w:t>discussion</w:t>
      </w:r>
      <w:r w:rsidR="00CF025F" w:rsidRPr="00FC71B0">
        <w:rPr>
          <w:rFonts w:asciiTheme="minorHAnsi" w:eastAsia="SimSun" w:hAnsiTheme="minorHAnsi" w:cstheme="minorHAnsi"/>
          <w:szCs w:val="22"/>
          <w:lang w:eastAsia="zh-CN"/>
        </w:rPr>
        <w:t xml:space="preserve"> focuses on challenging negative interpretations of </w:t>
      </w:r>
      <w:r w:rsidR="00CF025F">
        <w:rPr>
          <w:rFonts w:asciiTheme="minorHAnsi" w:eastAsia="SimSun" w:hAnsiTheme="minorHAnsi" w:cstheme="minorHAnsi"/>
          <w:szCs w:val="22"/>
          <w:lang w:eastAsia="zh-CN"/>
        </w:rPr>
        <w:t>freedom of contract</w:t>
      </w:r>
      <w:r w:rsidR="00CF025F" w:rsidRPr="00FC71B0">
        <w:rPr>
          <w:rFonts w:asciiTheme="minorHAnsi" w:eastAsia="SimSun" w:hAnsiTheme="minorHAnsi" w:cstheme="minorHAnsi"/>
          <w:szCs w:val="22"/>
          <w:lang w:eastAsia="zh-CN"/>
        </w:rPr>
        <w:t xml:space="preserve"> and promoting a positive understanding of this concept based on the values promoted by the CRPD.</w:t>
      </w:r>
    </w:p>
    <w:p w14:paraId="1C1D340E" w14:textId="6B1EDA7E" w:rsidR="00C31C3D" w:rsidRDefault="00C31C3D" w:rsidP="00B362EA">
      <w:pPr>
        <w:rPr>
          <w:rFonts w:asciiTheme="minorHAnsi" w:eastAsia="SimSun" w:hAnsiTheme="minorHAnsi" w:cstheme="minorHAnsi"/>
          <w:szCs w:val="22"/>
          <w:lang w:eastAsia="zh-CN"/>
        </w:rPr>
      </w:pPr>
    </w:p>
    <w:p w14:paraId="36A36ECF" w14:textId="0F74E3BC" w:rsidR="00C31C3D" w:rsidRDefault="00C31C3D" w:rsidP="00C31C3D">
      <w:pPr>
        <w:rPr>
          <w:rFonts w:asciiTheme="minorHAnsi" w:hAnsiTheme="minorHAnsi" w:cstheme="minorHAnsi"/>
          <w:szCs w:val="22"/>
        </w:rPr>
      </w:pPr>
      <w:r w:rsidRPr="001F35ED">
        <w:rPr>
          <w:rFonts w:asciiTheme="minorHAnsi" w:eastAsia="SimSun" w:hAnsiTheme="minorHAnsi" w:cstheme="minorHAnsi"/>
          <w:szCs w:val="22"/>
          <w:lang w:eastAsia="zh-CN"/>
        </w:rPr>
        <w:t xml:space="preserve">When examining the CRPD with the contractual sphere in mind, the Convention appears, at first instance, to be relatively silent. </w:t>
      </w:r>
      <w:r w:rsidR="0052758D">
        <w:rPr>
          <w:rFonts w:asciiTheme="minorHAnsi" w:eastAsia="SimSun" w:hAnsiTheme="minorHAnsi" w:cstheme="minorHAnsi"/>
          <w:szCs w:val="22"/>
          <w:lang w:eastAsia="zh-CN"/>
        </w:rPr>
        <w:t xml:space="preserve">There </w:t>
      </w:r>
      <w:r w:rsidRPr="001F35ED">
        <w:rPr>
          <w:rFonts w:asciiTheme="minorHAnsi" w:eastAsia="SimSun" w:hAnsiTheme="minorHAnsi" w:cstheme="minorHAnsi"/>
          <w:szCs w:val="22"/>
          <w:lang w:eastAsia="zh-CN"/>
        </w:rPr>
        <w:t xml:space="preserve">is no equivalent provision to Article 15(2) of </w:t>
      </w:r>
      <w:r w:rsidRPr="001F35ED">
        <w:rPr>
          <w:rFonts w:asciiTheme="minorHAnsi" w:hAnsiTheme="minorHAnsi" w:cstheme="minorHAnsi"/>
          <w:szCs w:val="22"/>
        </w:rPr>
        <w:t>the UN Convention on the Elimination of all Forms of Discrimination against Women (CEDAW),</w:t>
      </w:r>
      <w:r w:rsidRPr="001F35ED">
        <w:rPr>
          <w:rStyle w:val="FootnoteReference"/>
          <w:rFonts w:asciiTheme="minorHAnsi" w:hAnsiTheme="minorHAnsi" w:cstheme="minorHAnsi"/>
          <w:szCs w:val="22"/>
        </w:rPr>
        <w:footnoteReference w:id="28"/>
      </w:r>
      <w:r w:rsidRPr="001F35ED">
        <w:rPr>
          <w:rFonts w:asciiTheme="minorHAnsi" w:hAnsiTheme="minorHAnsi" w:cstheme="minorHAnsi"/>
          <w:szCs w:val="22"/>
        </w:rPr>
        <w:t xml:space="preserve"> which makes explicit reference to the equal right to conclude contracts and the equal right and equal opportunities to exercise legal capacity.</w:t>
      </w:r>
      <w:r w:rsidRPr="001F35ED">
        <w:rPr>
          <w:rStyle w:val="FootnoteReference"/>
          <w:rFonts w:asciiTheme="minorHAnsi" w:hAnsiTheme="minorHAnsi" w:cstheme="minorHAnsi"/>
          <w:szCs w:val="22"/>
        </w:rPr>
        <w:footnoteReference w:id="29"/>
      </w:r>
      <w:r w:rsidRPr="001F35ED">
        <w:rPr>
          <w:rFonts w:asciiTheme="minorHAnsi" w:hAnsiTheme="minorHAnsi" w:cstheme="minorHAnsi"/>
          <w:szCs w:val="22"/>
        </w:rPr>
        <w:t xml:space="preserve"> While Article 12 CRPD reaffirms the equal right of persons with disabilities to recognition as persons before the law</w:t>
      </w:r>
      <w:r w:rsidRPr="001F35ED">
        <w:rPr>
          <w:rStyle w:val="FootnoteReference"/>
          <w:rFonts w:asciiTheme="minorHAnsi" w:hAnsiTheme="minorHAnsi" w:cstheme="minorHAnsi"/>
          <w:szCs w:val="22"/>
        </w:rPr>
        <w:footnoteReference w:id="30"/>
      </w:r>
      <w:r w:rsidRPr="001F35ED">
        <w:rPr>
          <w:rFonts w:asciiTheme="minorHAnsi" w:hAnsiTheme="minorHAnsi" w:cstheme="minorHAnsi"/>
          <w:szCs w:val="22"/>
        </w:rPr>
        <w:t xml:space="preserve"> and to enjoy legal capacity ‘in all aspects of life’,</w:t>
      </w:r>
      <w:r w:rsidRPr="001F35ED">
        <w:rPr>
          <w:rStyle w:val="FootnoteReference"/>
          <w:rFonts w:asciiTheme="minorHAnsi" w:hAnsiTheme="minorHAnsi" w:cstheme="minorHAnsi"/>
          <w:szCs w:val="22"/>
        </w:rPr>
        <w:footnoteReference w:id="31"/>
      </w:r>
      <w:r w:rsidRPr="001F35ED">
        <w:rPr>
          <w:rFonts w:asciiTheme="minorHAnsi" w:hAnsiTheme="minorHAnsi" w:cstheme="minorHAnsi"/>
          <w:szCs w:val="22"/>
        </w:rPr>
        <w:t xml:space="preserve"> there is no explicit call on States Parties to provide persons with disabilities with equal opportunities to exercise legal capacity. There is also no explicit reference to equality in the contractual sphere, although this is implicit in Article 12 CRPD,</w:t>
      </w:r>
      <w:r w:rsidRPr="001F35ED">
        <w:rPr>
          <w:rStyle w:val="FootnoteReference"/>
          <w:rFonts w:asciiTheme="minorHAnsi" w:hAnsiTheme="minorHAnsi" w:cstheme="minorHAnsi"/>
          <w:szCs w:val="22"/>
        </w:rPr>
        <w:footnoteReference w:id="32"/>
      </w:r>
      <w:r w:rsidRPr="001F35ED">
        <w:rPr>
          <w:rFonts w:asciiTheme="minorHAnsi" w:hAnsiTheme="minorHAnsi" w:cstheme="minorHAnsi"/>
          <w:szCs w:val="22"/>
        </w:rPr>
        <w:t xml:space="preserve"> including in the call on States Parties to take all appropriate measures to ensure the equal right of persons with disabilities to ‘control their own financial affairs’ and ‘have equal access to bank loans, mortgages and other forms of financial credit’.</w:t>
      </w:r>
      <w:r w:rsidRPr="001F35ED">
        <w:rPr>
          <w:rStyle w:val="FootnoteReference"/>
          <w:rFonts w:asciiTheme="minorHAnsi" w:hAnsiTheme="minorHAnsi" w:cstheme="minorHAnsi"/>
          <w:szCs w:val="22"/>
        </w:rPr>
        <w:footnoteReference w:id="33"/>
      </w:r>
      <w:r w:rsidRPr="001F35ED">
        <w:rPr>
          <w:rFonts w:asciiTheme="minorHAnsi" w:hAnsiTheme="minorHAnsi" w:cstheme="minorHAnsi"/>
          <w:szCs w:val="22"/>
        </w:rPr>
        <w:t xml:space="preserve"> The CRPD acknowledges that some persons with disabilities may require support in exercising legal capacity</w:t>
      </w:r>
      <w:r w:rsidRPr="001F35ED">
        <w:rPr>
          <w:rStyle w:val="FootnoteReference"/>
          <w:rFonts w:asciiTheme="minorHAnsi" w:hAnsiTheme="minorHAnsi" w:cstheme="minorHAnsi"/>
          <w:szCs w:val="22"/>
        </w:rPr>
        <w:footnoteReference w:id="34"/>
      </w:r>
      <w:r w:rsidRPr="001F35ED">
        <w:rPr>
          <w:rFonts w:asciiTheme="minorHAnsi" w:hAnsiTheme="minorHAnsi" w:cstheme="minorHAnsi"/>
          <w:szCs w:val="22"/>
        </w:rPr>
        <w:t xml:space="preserve"> and that safeguards must be put in place to ensure that ‘measures relating to the exercise of legal capacity’ are</w:t>
      </w:r>
      <w:r>
        <w:rPr>
          <w:rFonts w:asciiTheme="minorHAnsi" w:hAnsiTheme="minorHAnsi" w:cstheme="minorHAnsi"/>
          <w:szCs w:val="22"/>
        </w:rPr>
        <w:t xml:space="preserve">, </w:t>
      </w:r>
      <w:r w:rsidRPr="001F35ED">
        <w:rPr>
          <w:rFonts w:asciiTheme="minorHAnsi" w:hAnsiTheme="minorHAnsi" w:cstheme="minorHAnsi"/>
          <w:i/>
          <w:iCs/>
          <w:szCs w:val="22"/>
        </w:rPr>
        <w:t>inter alia</w:t>
      </w:r>
      <w:r>
        <w:rPr>
          <w:rFonts w:asciiTheme="minorHAnsi" w:hAnsiTheme="minorHAnsi" w:cstheme="minorHAnsi"/>
          <w:szCs w:val="22"/>
        </w:rPr>
        <w:t>,</w:t>
      </w:r>
      <w:r w:rsidRPr="001F35ED">
        <w:rPr>
          <w:rFonts w:asciiTheme="minorHAnsi" w:hAnsiTheme="minorHAnsi" w:cstheme="minorHAnsi"/>
          <w:szCs w:val="22"/>
        </w:rPr>
        <w:t xml:space="preserve"> free of undue influence,</w:t>
      </w:r>
      <w:r w:rsidRPr="001F35ED">
        <w:rPr>
          <w:rStyle w:val="FootnoteReference"/>
          <w:rFonts w:asciiTheme="minorHAnsi" w:hAnsiTheme="minorHAnsi" w:cstheme="minorHAnsi"/>
          <w:szCs w:val="22"/>
        </w:rPr>
        <w:footnoteReference w:id="35"/>
      </w:r>
      <w:r w:rsidRPr="001F35ED">
        <w:rPr>
          <w:rFonts w:asciiTheme="minorHAnsi" w:hAnsiTheme="minorHAnsi" w:cstheme="minorHAnsi"/>
          <w:szCs w:val="22"/>
        </w:rPr>
        <w:t xml:space="preserve"> although the Convention is unclear on the extent to which the right to exercise legal capacity can be restricted (if at all) and </w:t>
      </w:r>
      <w:r>
        <w:rPr>
          <w:rFonts w:asciiTheme="minorHAnsi" w:hAnsiTheme="minorHAnsi" w:cstheme="minorHAnsi"/>
          <w:szCs w:val="22"/>
        </w:rPr>
        <w:t xml:space="preserve">on </w:t>
      </w:r>
      <w:r w:rsidRPr="001F35ED">
        <w:rPr>
          <w:rFonts w:asciiTheme="minorHAnsi" w:hAnsiTheme="minorHAnsi" w:cstheme="minorHAnsi"/>
          <w:szCs w:val="22"/>
        </w:rPr>
        <w:t xml:space="preserve">the </w:t>
      </w:r>
      <w:r>
        <w:rPr>
          <w:rFonts w:asciiTheme="minorHAnsi" w:hAnsiTheme="minorHAnsi" w:cstheme="minorHAnsi"/>
          <w:szCs w:val="22"/>
        </w:rPr>
        <w:t xml:space="preserve">link </w:t>
      </w:r>
      <w:r w:rsidRPr="001F35ED">
        <w:rPr>
          <w:rFonts w:asciiTheme="minorHAnsi" w:hAnsiTheme="minorHAnsi" w:cstheme="minorHAnsi"/>
          <w:szCs w:val="22"/>
        </w:rPr>
        <w:t>between the concepts of legal, mental and contractual capacity.</w:t>
      </w:r>
      <w:r w:rsidRPr="00E8496A">
        <w:rPr>
          <w:rStyle w:val="FootnoteReference"/>
          <w:rFonts w:asciiTheme="minorHAnsi" w:hAnsiTheme="minorHAnsi" w:cstheme="minorHAnsi"/>
          <w:szCs w:val="22"/>
        </w:rPr>
        <w:footnoteReference w:id="36"/>
      </w:r>
      <w:r w:rsidRPr="001F35ED">
        <w:rPr>
          <w:rFonts w:asciiTheme="minorHAnsi" w:hAnsiTheme="minorHAnsi" w:cstheme="minorHAnsi"/>
          <w:szCs w:val="22"/>
        </w:rPr>
        <w:t xml:space="preserve"> </w:t>
      </w:r>
    </w:p>
    <w:p w14:paraId="36DEDE41" w14:textId="77777777" w:rsidR="00C31C3D" w:rsidRDefault="00C31C3D" w:rsidP="00C31C3D">
      <w:pPr>
        <w:rPr>
          <w:rFonts w:asciiTheme="minorHAnsi" w:hAnsiTheme="minorHAnsi" w:cstheme="minorHAnsi"/>
          <w:szCs w:val="22"/>
        </w:rPr>
      </w:pPr>
    </w:p>
    <w:p w14:paraId="1F014266" w14:textId="77777777" w:rsidR="00C31C3D" w:rsidRDefault="00C31C3D" w:rsidP="00C31C3D">
      <w:pPr>
        <w:rPr>
          <w:rFonts w:asciiTheme="minorHAnsi" w:hAnsiTheme="minorHAnsi" w:cstheme="minorHAnsi"/>
          <w:szCs w:val="22"/>
        </w:rPr>
      </w:pPr>
      <w:r w:rsidRPr="007708C6">
        <w:rPr>
          <w:rFonts w:asciiTheme="minorHAnsi" w:hAnsiTheme="minorHAnsi" w:cstheme="minorHAnsi"/>
          <w:szCs w:val="22"/>
        </w:rPr>
        <w:t>The guidance offered by the CRPD Committee on how to interpret the Convention in the contractual sphere is also limited. In its General Comment 1 on Article 12,</w:t>
      </w:r>
      <w:r w:rsidRPr="007708C6">
        <w:rPr>
          <w:rStyle w:val="FootnoteReference"/>
          <w:rFonts w:asciiTheme="minorHAnsi" w:hAnsiTheme="minorHAnsi" w:cstheme="minorHAnsi"/>
          <w:szCs w:val="22"/>
        </w:rPr>
        <w:footnoteReference w:id="37"/>
      </w:r>
      <w:r w:rsidRPr="007708C6">
        <w:rPr>
          <w:rFonts w:asciiTheme="minorHAnsi" w:hAnsiTheme="minorHAnsi" w:cstheme="minorHAnsi"/>
          <w:szCs w:val="22"/>
        </w:rPr>
        <w:t xml:space="preserve"> other than two references to Article 15 CEDAW,</w:t>
      </w:r>
      <w:r w:rsidRPr="007708C6">
        <w:rPr>
          <w:rStyle w:val="FootnoteReference"/>
          <w:rFonts w:asciiTheme="minorHAnsi" w:hAnsiTheme="minorHAnsi" w:cstheme="minorHAnsi"/>
          <w:szCs w:val="22"/>
        </w:rPr>
        <w:footnoteReference w:id="38"/>
      </w:r>
      <w:r w:rsidRPr="007708C6">
        <w:rPr>
          <w:rFonts w:asciiTheme="minorHAnsi" w:hAnsiTheme="minorHAnsi" w:cstheme="minorHAnsi"/>
          <w:szCs w:val="22"/>
        </w:rPr>
        <w:t xml:space="preserve"> the CRPD Committee refers only once to the equal right to exercise legal capacity by entering into contracts. This reference is part of its discussion of Article 12(3) CRPD on the provision support to exercise legal capacity.</w:t>
      </w:r>
      <w:r w:rsidRPr="007708C6">
        <w:rPr>
          <w:rStyle w:val="FootnoteReference"/>
          <w:rFonts w:asciiTheme="minorHAnsi" w:hAnsiTheme="minorHAnsi" w:cstheme="minorHAnsi"/>
          <w:szCs w:val="22"/>
        </w:rPr>
        <w:footnoteReference w:id="39"/>
      </w:r>
      <w:r w:rsidRPr="007708C6">
        <w:rPr>
          <w:rFonts w:asciiTheme="minorHAnsi" w:hAnsiTheme="minorHAnsi" w:cstheme="minorHAnsi"/>
          <w:szCs w:val="22"/>
        </w:rPr>
        <w:t xml:space="preserve"> The Committee calls on public and private actors, including banks and other financial institutions, </w:t>
      </w:r>
      <w:r w:rsidRPr="007708C6">
        <w:rPr>
          <w:rFonts w:asciiTheme="minorHAnsi" w:hAnsiTheme="minorHAnsi" w:cstheme="minorHAnsi"/>
          <w:szCs w:val="22"/>
        </w:rPr>
        <w:lastRenderedPageBreak/>
        <w:t>to provide information in accessible formats in order to enable persons with disabilities to perform legal acts required to conclude contracts,</w:t>
      </w:r>
      <w:r w:rsidRPr="007708C6">
        <w:rPr>
          <w:rStyle w:val="FootnoteReference"/>
          <w:rFonts w:asciiTheme="minorHAnsi" w:hAnsiTheme="minorHAnsi" w:cstheme="minorHAnsi"/>
          <w:szCs w:val="22"/>
        </w:rPr>
        <w:footnoteReference w:id="40"/>
      </w:r>
      <w:r w:rsidRPr="007708C6">
        <w:rPr>
          <w:rFonts w:asciiTheme="minorHAnsi" w:hAnsiTheme="minorHAnsi" w:cstheme="minorHAnsi"/>
          <w:szCs w:val="22"/>
        </w:rPr>
        <w:t xml:space="preserve"> but provides no further guidance on how this should operate in practice. With regards to the concepts of legal and mental capacity, the Committee rightly distinguishes the concept of universal legal capacity (the ability to hold and exercise rights, duties)</w:t>
      </w:r>
      <w:r w:rsidRPr="007708C6">
        <w:rPr>
          <w:rStyle w:val="FootnoteReference"/>
          <w:rFonts w:asciiTheme="minorHAnsi" w:hAnsiTheme="minorHAnsi" w:cstheme="minorHAnsi"/>
          <w:szCs w:val="22"/>
        </w:rPr>
        <w:footnoteReference w:id="41"/>
      </w:r>
      <w:r w:rsidRPr="007708C6">
        <w:rPr>
          <w:rFonts w:asciiTheme="minorHAnsi" w:hAnsiTheme="minorHAnsi" w:cstheme="minorHAnsi"/>
          <w:szCs w:val="22"/>
        </w:rPr>
        <w:t xml:space="preserve"> from mental capacity (the decision-making skills which may be influenced by external factors and vary from person to person).</w:t>
      </w:r>
      <w:r w:rsidRPr="007708C6">
        <w:rPr>
          <w:rStyle w:val="FootnoteReference"/>
          <w:rFonts w:asciiTheme="minorHAnsi" w:hAnsiTheme="minorHAnsi" w:cstheme="minorHAnsi"/>
          <w:szCs w:val="22"/>
        </w:rPr>
        <w:footnoteReference w:id="42"/>
      </w:r>
      <w:r w:rsidRPr="007708C6">
        <w:rPr>
          <w:rFonts w:asciiTheme="minorHAnsi" w:hAnsiTheme="minorHAnsi" w:cstheme="minorHAnsi"/>
          <w:szCs w:val="22"/>
        </w:rPr>
        <w:t xml:space="preserve"> Yet, it insists that legal standing (to hold rights) and legal agency (to exercise rights) cannot be separated</w:t>
      </w:r>
      <w:r w:rsidRPr="007708C6">
        <w:rPr>
          <w:rStyle w:val="FootnoteReference"/>
          <w:rFonts w:asciiTheme="minorHAnsi" w:hAnsiTheme="minorHAnsi" w:cstheme="minorHAnsi"/>
          <w:szCs w:val="22"/>
        </w:rPr>
        <w:footnoteReference w:id="43"/>
      </w:r>
      <w:r w:rsidRPr="007708C6">
        <w:rPr>
          <w:rFonts w:asciiTheme="minorHAnsi" w:hAnsiTheme="minorHAnsi" w:cstheme="minorHAnsi"/>
          <w:szCs w:val="22"/>
        </w:rPr>
        <w:t xml:space="preserve"> and adopts an absolute stance on mental capacity assessments based on functional tests focused on an individual’s ability to, </w:t>
      </w:r>
      <w:r w:rsidRPr="007708C6">
        <w:rPr>
          <w:rFonts w:asciiTheme="minorHAnsi" w:hAnsiTheme="minorHAnsi" w:cstheme="minorHAnsi"/>
          <w:i/>
          <w:iCs/>
          <w:szCs w:val="22"/>
        </w:rPr>
        <w:t>inter alia</w:t>
      </w:r>
      <w:r w:rsidRPr="007708C6">
        <w:rPr>
          <w:rFonts w:asciiTheme="minorHAnsi" w:hAnsiTheme="minorHAnsi" w:cstheme="minorHAnsi"/>
          <w:szCs w:val="22"/>
        </w:rPr>
        <w:t>, process information, finding these to be incompatible with Article 12 CRPD.</w:t>
      </w:r>
      <w:r w:rsidRPr="007708C6">
        <w:rPr>
          <w:rStyle w:val="FootnoteReference"/>
          <w:rFonts w:asciiTheme="minorHAnsi" w:hAnsiTheme="minorHAnsi" w:cstheme="minorHAnsi"/>
          <w:szCs w:val="22"/>
        </w:rPr>
        <w:footnoteReference w:id="44"/>
      </w:r>
      <w:r w:rsidRPr="007708C6">
        <w:rPr>
          <w:rFonts w:asciiTheme="minorHAnsi" w:hAnsiTheme="minorHAnsi" w:cstheme="minorHAnsi"/>
          <w:szCs w:val="22"/>
        </w:rPr>
        <w:t xml:space="preserve"> The Committee also fails to consider the issue of contractual capacity involving a party who may act outside a framework of support to enter into a grossly imbalanced transaction to their detriment, whilst lacking the mental capacity to understand the consequences of the transaction. While the starting point should always be a presumption of contractual capacity and a focus on support to exercise capacity</w:t>
      </w:r>
      <w:r w:rsidRPr="007708C6">
        <w:rPr>
          <w:rStyle w:val="FootnoteReference"/>
          <w:rFonts w:asciiTheme="minorHAnsi" w:hAnsiTheme="minorHAnsi" w:cstheme="minorHAnsi"/>
          <w:szCs w:val="22"/>
        </w:rPr>
        <w:footnoteReference w:id="45"/>
      </w:r>
      <w:r w:rsidRPr="007708C6">
        <w:rPr>
          <w:rFonts w:asciiTheme="minorHAnsi" w:hAnsiTheme="minorHAnsi" w:cstheme="minorHAnsi"/>
          <w:szCs w:val="22"/>
        </w:rPr>
        <w:t xml:space="preserve"> (e.g. accessible information, informal or formal support arrangements),</w:t>
      </w:r>
      <w:r w:rsidRPr="007708C6">
        <w:rPr>
          <w:rStyle w:val="FootnoteReference"/>
          <w:rFonts w:asciiTheme="minorHAnsi" w:hAnsiTheme="minorHAnsi" w:cstheme="minorHAnsi"/>
          <w:szCs w:val="22"/>
        </w:rPr>
        <w:footnoteReference w:id="46"/>
      </w:r>
      <w:r w:rsidRPr="007708C6">
        <w:rPr>
          <w:rFonts w:asciiTheme="minorHAnsi" w:hAnsiTheme="minorHAnsi" w:cstheme="minorHAnsi"/>
          <w:szCs w:val="22"/>
        </w:rPr>
        <w:t xml:space="preserve"> the exercise of universal legal capacity could be facilitated by a legal framework where parties can rely, when appropriate, on defences such as contractual incapacity,</w:t>
      </w:r>
      <w:r w:rsidRPr="007708C6">
        <w:rPr>
          <w:rStyle w:val="FootnoteReference"/>
          <w:rFonts w:asciiTheme="minorHAnsi" w:hAnsiTheme="minorHAnsi" w:cstheme="minorHAnsi"/>
          <w:szCs w:val="22"/>
        </w:rPr>
        <w:footnoteReference w:id="47"/>
      </w:r>
      <w:r w:rsidRPr="007708C6">
        <w:rPr>
          <w:rFonts w:asciiTheme="minorHAnsi" w:hAnsiTheme="minorHAnsi" w:cstheme="minorHAnsi"/>
          <w:szCs w:val="22"/>
        </w:rPr>
        <w:t xml:space="preserve"> but where</w:t>
      </w:r>
      <w:r w:rsidRPr="009201B0">
        <w:rPr>
          <w:rFonts w:asciiTheme="minorHAnsi" w:hAnsiTheme="minorHAnsi" w:cstheme="minorHAnsi"/>
          <w:szCs w:val="22"/>
        </w:rPr>
        <w:t xml:space="preserve"> </w:t>
      </w:r>
      <w:r w:rsidRPr="007708C6">
        <w:rPr>
          <w:rFonts w:asciiTheme="minorHAnsi" w:hAnsiTheme="minorHAnsi" w:cstheme="minorHAnsi"/>
          <w:szCs w:val="22"/>
        </w:rPr>
        <w:t>disability and incapacity are never conceptually equated.</w:t>
      </w:r>
      <w:r w:rsidRPr="007708C6">
        <w:rPr>
          <w:rStyle w:val="FootnoteReference"/>
          <w:rFonts w:asciiTheme="minorHAnsi" w:hAnsiTheme="minorHAnsi" w:cstheme="minorHAnsi"/>
          <w:szCs w:val="22"/>
        </w:rPr>
        <w:footnoteReference w:id="48"/>
      </w:r>
      <w:r w:rsidRPr="007708C6">
        <w:rPr>
          <w:rFonts w:asciiTheme="minorHAnsi" w:hAnsiTheme="minorHAnsi" w:cstheme="minorHAnsi"/>
          <w:szCs w:val="22"/>
        </w:rPr>
        <w:t xml:space="preserve"> If an intervention may amount to indirect discrimination on the basis of disability, this should be objectively justified only if it pursues a legitimate aim,</w:t>
      </w:r>
      <w:r w:rsidRPr="007708C6">
        <w:rPr>
          <w:rStyle w:val="FootnoteReference"/>
          <w:rFonts w:asciiTheme="minorHAnsi" w:hAnsiTheme="minorHAnsi" w:cstheme="minorHAnsi"/>
          <w:szCs w:val="22"/>
        </w:rPr>
        <w:footnoteReference w:id="49"/>
      </w:r>
      <w:r w:rsidRPr="007708C6">
        <w:rPr>
          <w:rFonts w:asciiTheme="minorHAnsi" w:hAnsiTheme="minorHAnsi" w:cstheme="minorHAnsi"/>
          <w:szCs w:val="22"/>
        </w:rPr>
        <w:t xml:space="preserve"> such as to protect the dignity</w:t>
      </w:r>
      <w:r w:rsidRPr="007708C6">
        <w:rPr>
          <w:rStyle w:val="FootnoteReference"/>
          <w:rFonts w:asciiTheme="minorHAnsi" w:hAnsiTheme="minorHAnsi" w:cstheme="minorHAnsi"/>
          <w:szCs w:val="22"/>
        </w:rPr>
        <w:footnoteReference w:id="50"/>
      </w:r>
      <w:r w:rsidRPr="007708C6">
        <w:rPr>
          <w:rFonts w:asciiTheme="minorHAnsi" w:hAnsiTheme="minorHAnsi" w:cstheme="minorHAnsi"/>
          <w:szCs w:val="22"/>
        </w:rPr>
        <w:t xml:space="preserve"> of a party (A) in a situation of financial risk,</w:t>
      </w:r>
      <w:r w:rsidRPr="007708C6">
        <w:rPr>
          <w:rStyle w:val="FootnoteReference"/>
          <w:rFonts w:asciiTheme="minorHAnsi" w:hAnsiTheme="minorHAnsi" w:cstheme="minorHAnsi"/>
          <w:szCs w:val="22"/>
        </w:rPr>
        <w:footnoteReference w:id="51"/>
      </w:r>
      <w:r w:rsidRPr="007708C6">
        <w:rPr>
          <w:rFonts w:asciiTheme="minorHAnsi" w:hAnsiTheme="minorHAnsi" w:cstheme="minorHAnsi"/>
          <w:szCs w:val="22"/>
        </w:rPr>
        <w:t xml:space="preserve"> as a result of entering into a grossly asymmetrical contract while being in a vulnerable position (e.g. if their consent was affected by vitiating factors such as incapacity, unconscionability or undue influence), where the other party (B) decided to proceed with the transaction without ensuring that A received appropriate independent legal advice regarding the transaction, despite having (actual or constructive) knowledge of A’s condition.</w:t>
      </w:r>
      <w:r w:rsidRPr="007708C6">
        <w:rPr>
          <w:rStyle w:val="FootnoteReference"/>
          <w:rFonts w:asciiTheme="minorHAnsi" w:hAnsiTheme="minorHAnsi" w:cstheme="minorHAnsi"/>
          <w:szCs w:val="22"/>
        </w:rPr>
        <w:footnoteReference w:id="52"/>
      </w:r>
      <w:r w:rsidRPr="007708C6">
        <w:rPr>
          <w:rFonts w:asciiTheme="minorHAnsi" w:hAnsiTheme="minorHAnsi" w:cstheme="minorHAnsi"/>
          <w:szCs w:val="22"/>
        </w:rPr>
        <w:t xml:space="preserve"> Intervention should also be permitted only on an objective basis that moves beyond A’s medical condition to include environmental factors </w:t>
      </w:r>
      <w:r>
        <w:rPr>
          <w:rFonts w:asciiTheme="minorHAnsi" w:hAnsiTheme="minorHAnsi" w:cstheme="minorHAnsi"/>
          <w:szCs w:val="22"/>
        </w:rPr>
        <w:t>such as the circumstances of the transaction (e.g. whether A</w:t>
      </w:r>
      <w:r w:rsidRPr="007708C6">
        <w:rPr>
          <w:rFonts w:asciiTheme="minorHAnsi" w:hAnsiTheme="minorHAnsi" w:cstheme="minorHAnsi"/>
          <w:szCs w:val="22"/>
        </w:rPr>
        <w:t xml:space="preserve"> </w:t>
      </w:r>
      <w:r>
        <w:rPr>
          <w:rFonts w:asciiTheme="minorHAnsi" w:hAnsiTheme="minorHAnsi" w:cstheme="minorHAnsi"/>
          <w:szCs w:val="22"/>
        </w:rPr>
        <w:t xml:space="preserve">entered into a </w:t>
      </w:r>
      <w:r w:rsidRPr="007708C6">
        <w:rPr>
          <w:rFonts w:asciiTheme="minorHAnsi" w:hAnsiTheme="minorHAnsi" w:cstheme="minorHAnsi"/>
          <w:szCs w:val="22"/>
        </w:rPr>
        <w:t>grossly imbalanced contract in the absence of accessible independent advice) and only if it constitutes a reasonable means to achieve a legitimate aim.</w:t>
      </w:r>
      <w:r w:rsidRPr="007708C6">
        <w:rPr>
          <w:rStyle w:val="FootnoteReference"/>
          <w:rFonts w:asciiTheme="minorHAnsi" w:hAnsiTheme="minorHAnsi" w:cstheme="minorHAnsi"/>
          <w:szCs w:val="22"/>
        </w:rPr>
        <w:footnoteReference w:id="53"/>
      </w:r>
      <w:r w:rsidRPr="007708C6">
        <w:rPr>
          <w:rFonts w:asciiTheme="minorHAnsi" w:hAnsiTheme="minorHAnsi" w:cstheme="minorHAnsi"/>
          <w:szCs w:val="22"/>
        </w:rPr>
        <w:t xml:space="preserve"> Regrettably, the CRPD Committee provided no guidance on how</w:t>
      </w:r>
      <w:r>
        <w:rPr>
          <w:rFonts w:asciiTheme="minorHAnsi" w:hAnsiTheme="minorHAnsi" w:cstheme="minorHAnsi"/>
          <w:szCs w:val="22"/>
        </w:rPr>
        <w:t xml:space="preserve"> vitiating </w:t>
      </w:r>
      <w:r>
        <w:rPr>
          <w:rFonts w:asciiTheme="minorHAnsi" w:hAnsiTheme="minorHAnsi" w:cstheme="minorHAnsi"/>
          <w:szCs w:val="22"/>
        </w:rPr>
        <w:lastRenderedPageBreak/>
        <w:t>factors in contract law, such as incapacity, unconscionability and undue influence, c</w:t>
      </w:r>
      <w:r w:rsidRPr="007708C6">
        <w:rPr>
          <w:rFonts w:asciiTheme="minorHAnsi" w:hAnsiTheme="minorHAnsi" w:cstheme="minorHAnsi"/>
          <w:szCs w:val="22"/>
        </w:rPr>
        <w:t xml:space="preserve">ould act as a safety net in such circumstances. </w:t>
      </w:r>
    </w:p>
    <w:p w14:paraId="0E5D1448" w14:textId="77777777" w:rsidR="00C31C3D" w:rsidRDefault="00C31C3D" w:rsidP="00C31C3D">
      <w:pPr>
        <w:rPr>
          <w:rFonts w:asciiTheme="minorHAnsi" w:hAnsiTheme="minorHAnsi" w:cstheme="minorHAnsi"/>
          <w:szCs w:val="22"/>
        </w:rPr>
      </w:pPr>
    </w:p>
    <w:p w14:paraId="19B101EC" w14:textId="09E2EE03" w:rsidR="00C31C3D" w:rsidRDefault="00C31C3D" w:rsidP="00C31C3D">
      <w:pPr>
        <w:shd w:val="clear" w:color="auto" w:fill="FFFFFF" w:themeFill="background1"/>
        <w:rPr>
          <w:rFonts w:asciiTheme="minorHAnsi" w:hAnsiTheme="minorHAnsi" w:cstheme="minorHAnsi"/>
          <w:szCs w:val="22"/>
          <w:shd w:val="clear" w:color="auto" w:fill="FFFFFF" w:themeFill="background1"/>
        </w:rPr>
      </w:pPr>
      <w:r w:rsidRPr="005A0E5F">
        <w:rPr>
          <w:rFonts w:asciiTheme="minorHAnsi" w:hAnsiTheme="minorHAnsi" w:cstheme="minorHAnsi"/>
          <w:szCs w:val="22"/>
        </w:rPr>
        <w:t xml:space="preserve">The jurisprudence of the CRPD Committee illustrates further missed opportunities to provide guidance on how concepts such as contractual capacity and freedom of contract should be interpreted in light of the Convention. Despite the merits of decision in </w:t>
      </w:r>
      <w:r w:rsidRPr="005A0E5F">
        <w:rPr>
          <w:rFonts w:asciiTheme="minorHAnsi" w:hAnsiTheme="minorHAnsi" w:cstheme="minorHAnsi"/>
          <w:i/>
          <w:iCs/>
          <w:szCs w:val="22"/>
        </w:rPr>
        <w:t>Nyusti</w:t>
      </w:r>
      <w:r w:rsidRPr="005A0E5F">
        <w:rPr>
          <w:rFonts w:asciiTheme="minorHAnsi" w:hAnsiTheme="minorHAnsi" w:cstheme="minorHAnsi"/>
          <w:szCs w:val="22"/>
        </w:rPr>
        <w:t>,</w:t>
      </w:r>
      <w:r w:rsidRPr="005A0E5F">
        <w:rPr>
          <w:rStyle w:val="FootnoteReference"/>
          <w:rFonts w:asciiTheme="minorHAnsi" w:hAnsiTheme="minorHAnsi" w:cstheme="minorHAnsi"/>
          <w:szCs w:val="22"/>
        </w:rPr>
        <w:footnoteReference w:id="54"/>
      </w:r>
      <w:r w:rsidRPr="005A0E5F">
        <w:rPr>
          <w:rFonts w:asciiTheme="minorHAnsi" w:hAnsiTheme="minorHAnsi" w:cstheme="minorHAnsi"/>
          <w:szCs w:val="22"/>
        </w:rPr>
        <w:t xml:space="preserve"> which highlighted States Parties’ obligations to take ‘all appropriate measures’ to eliminate discrimination on the basis of disability by private parties such as banks</w:t>
      </w:r>
      <w:r w:rsidRPr="005A0E5F">
        <w:rPr>
          <w:rStyle w:val="FootnoteReference"/>
          <w:rFonts w:asciiTheme="minorHAnsi" w:hAnsiTheme="minorHAnsi" w:cstheme="minorHAnsi"/>
          <w:szCs w:val="22"/>
        </w:rPr>
        <w:footnoteReference w:id="55"/>
      </w:r>
      <w:r w:rsidRPr="005A0E5F">
        <w:rPr>
          <w:rFonts w:asciiTheme="minorHAnsi" w:hAnsiTheme="minorHAnsi" w:cstheme="minorHAnsi"/>
          <w:szCs w:val="22"/>
        </w:rPr>
        <w:t xml:space="preserve"> and ensure that such private parties offering services to the public ‘take into account all aspects of accessibility’,</w:t>
      </w:r>
      <w:r w:rsidRPr="005A0E5F">
        <w:rPr>
          <w:rStyle w:val="FootnoteReference"/>
          <w:rFonts w:asciiTheme="minorHAnsi" w:hAnsiTheme="minorHAnsi" w:cstheme="minorHAnsi"/>
          <w:szCs w:val="22"/>
        </w:rPr>
        <w:footnoteReference w:id="56"/>
      </w:r>
      <w:r w:rsidRPr="005A0E5F">
        <w:rPr>
          <w:rFonts w:asciiTheme="minorHAnsi" w:hAnsiTheme="minorHAnsi" w:cstheme="minorHAnsi"/>
          <w:szCs w:val="22"/>
        </w:rPr>
        <w:t xml:space="preserve"> the CRPD Committee failed </w:t>
      </w:r>
      <w:r w:rsidRPr="00E65811">
        <w:rPr>
          <w:rFonts w:asciiTheme="minorHAnsi" w:hAnsiTheme="minorHAnsi" w:cstheme="minorHAnsi"/>
          <w:szCs w:val="22"/>
          <w:shd w:val="clear" w:color="auto" w:fill="FFFFFF" w:themeFill="background1"/>
        </w:rPr>
        <w:t>to engage explicitly with the issue of freedom of contract or to challenge the negative interpretation of this concept put forward by the private bank and endorsed by the State to resist intervention in the pursuit of equality objectives. While the applicants in</w:t>
      </w:r>
      <w:r w:rsidRPr="001F109F">
        <w:rPr>
          <w:rFonts w:asciiTheme="minorHAnsi" w:hAnsiTheme="minorHAnsi" w:cstheme="minorHAnsi"/>
          <w:szCs w:val="22"/>
        </w:rPr>
        <w:t xml:space="preserve"> </w:t>
      </w:r>
      <w:r w:rsidRPr="005A0E5F">
        <w:rPr>
          <w:rFonts w:asciiTheme="minorHAnsi" w:hAnsiTheme="minorHAnsi" w:cstheme="minorHAnsi"/>
          <w:i/>
          <w:iCs/>
          <w:szCs w:val="22"/>
        </w:rPr>
        <w:t>Nyusti</w:t>
      </w:r>
      <w:r w:rsidRPr="005A0E5F">
        <w:rPr>
          <w:rFonts w:asciiTheme="minorHAnsi" w:hAnsiTheme="minorHAnsi" w:cstheme="minorHAnsi"/>
          <w:szCs w:val="22"/>
        </w:rPr>
        <w:t xml:space="preserve"> did not provide sufficient justifications to enable the CRPD Committee to consider their claim under Article 12(5) CRPD (concerning the equal right of persons with disabilities to control their financial affairs),</w:t>
      </w:r>
      <w:r w:rsidRPr="005A0E5F">
        <w:rPr>
          <w:rStyle w:val="FootnoteReference"/>
          <w:rFonts w:asciiTheme="minorHAnsi" w:eastAsia="SimSun" w:hAnsiTheme="minorHAnsi" w:cstheme="minorHAnsi"/>
          <w:szCs w:val="22"/>
          <w:lang w:eastAsia="zh-CN"/>
        </w:rPr>
        <w:footnoteReference w:id="57"/>
      </w:r>
      <w:r w:rsidRPr="005A0E5F">
        <w:rPr>
          <w:rFonts w:asciiTheme="minorHAnsi" w:hAnsiTheme="minorHAnsi" w:cstheme="minorHAnsi"/>
          <w:szCs w:val="22"/>
        </w:rPr>
        <w:t xml:space="preserve"> their ultimately successful claim under Article 9(2)(b) CRPD (concerning States Parties’ obligation to ensure that private bodies offering services to the public, consider all aspects of accessibility)</w:t>
      </w:r>
      <w:r w:rsidRPr="005A0E5F">
        <w:rPr>
          <w:rStyle w:val="FootnoteReference"/>
          <w:rFonts w:asciiTheme="minorHAnsi" w:hAnsiTheme="minorHAnsi" w:cstheme="minorHAnsi"/>
          <w:szCs w:val="22"/>
        </w:rPr>
        <w:footnoteReference w:id="58"/>
      </w:r>
      <w:r w:rsidRPr="005A0E5F">
        <w:rPr>
          <w:rFonts w:asciiTheme="minorHAnsi" w:hAnsiTheme="minorHAnsi" w:cstheme="minorHAnsi"/>
          <w:szCs w:val="22"/>
        </w:rPr>
        <w:t xml:space="preserve"> should have provide the Committee with more scope to engage with the wider issue of asymmetrical power in contracts involving individuals and private entities such as banks. The Committee should have challenged a narrow, market individualist</w:t>
      </w:r>
      <w:r w:rsidRPr="005A0E5F">
        <w:rPr>
          <w:rStyle w:val="FootnoteReference"/>
          <w:rFonts w:asciiTheme="minorHAnsi" w:hAnsiTheme="minorHAnsi" w:cstheme="minorHAnsi"/>
          <w:szCs w:val="22"/>
        </w:rPr>
        <w:footnoteReference w:id="59"/>
      </w:r>
      <w:r w:rsidRPr="005A0E5F">
        <w:rPr>
          <w:rFonts w:asciiTheme="minorHAnsi" w:hAnsiTheme="minorHAnsi" w:cstheme="minorHAnsi"/>
          <w:szCs w:val="22"/>
        </w:rPr>
        <w:t xml:space="preserve"> </w:t>
      </w:r>
      <w:r w:rsidRPr="00E65811">
        <w:rPr>
          <w:rFonts w:asciiTheme="minorHAnsi" w:hAnsiTheme="minorHAnsi" w:cstheme="minorHAnsi"/>
          <w:szCs w:val="22"/>
          <w:shd w:val="clear" w:color="auto" w:fill="FFFFFF" w:themeFill="background1"/>
        </w:rPr>
        <w:t>understanding of freedom of contract that assumes that parties are free to pursue their own interest in the contractual sphere</w:t>
      </w:r>
      <w:r w:rsidR="009201B0">
        <w:rPr>
          <w:rFonts w:asciiTheme="minorHAnsi" w:hAnsiTheme="minorHAnsi" w:cstheme="minorHAnsi"/>
          <w:szCs w:val="22"/>
          <w:shd w:val="clear" w:color="auto" w:fill="FFFFFF" w:themeFill="background1"/>
        </w:rPr>
        <w:t xml:space="preserve">, </w:t>
      </w:r>
      <w:r w:rsidRPr="00E65811">
        <w:rPr>
          <w:rFonts w:asciiTheme="minorHAnsi" w:hAnsiTheme="minorHAnsi" w:cstheme="minorHAnsi"/>
          <w:szCs w:val="22"/>
          <w:shd w:val="clear" w:color="auto" w:fill="FFFFFF" w:themeFill="background1"/>
        </w:rPr>
        <w:t>plac</w:t>
      </w:r>
      <w:r w:rsidR="009201B0">
        <w:rPr>
          <w:rFonts w:asciiTheme="minorHAnsi" w:hAnsiTheme="minorHAnsi" w:cstheme="minorHAnsi"/>
          <w:szCs w:val="22"/>
          <w:shd w:val="clear" w:color="auto" w:fill="FFFFFF" w:themeFill="background1"/>
        </w:rPr>
        <w:t xml:space="preserve">ing </w:t>
      </w:r>
      <w:r w:rsidRPr="00E65811">
        <w:rPr>
          <w:rFonts w:asciiTheme="minorHAnsi" w:hAnsiTheme="minorHAnsi" w:cstheme="minorHAnsi"/>
          <w:szCs w:val="22"/>
          <w:shd w:val="clear" w:color="auto" w:fill="FFFFFF" w:themeFill="background1"/>
        </w:rPr>
        <w:t xml:space="preserve">insufficient weight on the inequality of bargaining power illustrated in the asymmetrical relation between individuals and banks, </w:t>
      </w:r>
      <w:r w:rsidR="009201B0">
        <w:rPr>
          <w:rFonts w:asciiTheme="minorHAnsi" w:hAnsiTheme="minorHAnsi" w:cstheme="minorHAnsi"/>
          <w:szCs w:val="22"/>
          <w:shd w:val="clear" w:color="auto" w:fill="FFFFFF" w:themeFill="background1"/>
        </w:rPr>
        <w:t>and on</w:t>
      </w:r>
      <w:r w:rsidRPr="00E65811">
        <w:rPr>
          <w:rFonts w:asciiTheme="minorHAnsi" w:hAnsiTheme="minorHAnsi" w:cstheme="minorHAnsi"/>
          <w:szCs w:val="22"/>
          <w:shd w:val="clear" w:color="auto" w:fill="FFFFFF" w:themeFill="background1"/>
        </w:rPr>
        <w:t xml:space="preserve"> the proliferation of standard form contracts based on a ‘take it or leave it basis’.</w:t>
      </w:r>
      <w:r w:rsidRPr="00E65811">
        <w:rPr>
          <w:rStyle w:val="FootnoteReference"/>
          <w:rFonts w:asciiTheme="minorHAnsi" w:hAnsiTheme="minorHAnsi" w:cstheme="minorHAnsi"/>
          <w:szCs w:val="22"/>
          <w:shd w:val="clear" w:color="auto" w:fill="FFFFFF" w:themeFill="background1"/>
        </w:rPr>
        <w:footnoteReference w:id="60"/>
      </w:r>
      <w:r w:rsidRPr="00E65811">
        <w:rPr>
          <w:rFonts w:asciiTheme="minorHAnsi" w:hAnsiTheme="minorHAnsi" w:cstheme="minorHAnsi"/>
          <w:szCs w:val="22"/>
          <w:shd w:val="clear" w:color="auto" w:fill="FFFFFF" w:themeFill="background1"/>
        </w:rPr>
        <w:t xml:space="preserve"> The CRPD Committee should have also contested negative visions of freedom of contract based on non-intervention by the state, in favour of a positive understanding of this concept where intervention is permitted if required to pursue wider soc</w:t>
      </w:r>
      <w:r>
        <w:rPr>
          <w:rFonts w:asciiTheme="minorHAnsi" w:hAnsiTheme="minorHAnsi" w:cstheme="minorHAnsi"/>
          <w:szCs w:val="22"/>
          <w:shd w:val="clear" w:color="auto" w:fill="FFFFFF" w:themeFill="background1"/>
        </w:rPr>
        <w:t>ial</w:t>
      </w:r>
      <w:r w:rsidRPr="00E65811">
        <w:rPr>
          <w:rFonts w:asciiTheme="minorHAnsi" w:hAnsiTheme="minorHAnsi" w:cstheme="minorHAnsi"/>
          <w:szCs w:val="22"/>
          <w:shd w:val="clear" w:color="auto" w:fill="FFFFFF" w:themeFill="background1"/>
        </w:rPr>
        <w:t xml:space="preserve"> values</w:t>
      </w:r>
      <w:r w:rsidRPr="005A0E5F">
        <w:rPr>
          <w:rFonts w:asciiTheme="minorHAnsi" w:hAnsiTheme="minorHAnsi" w:cstheme="minorHAnsi"/>
          <w:szCs w:val="22"/>
        </w:rPr>
        <w:t xml:space="preserve"> </w:t>
      </w:r>
      <w:r>
        <w:rPr>
          <w:rFonts w:asciiTheme="minorHAnsi" w:hAnsiTheme="minorHAnsi" w:cstheme="minorHAnsi"/>
          <w:szCs w:val="22"/>
        </w:rPr>
        <w:t xml:space="preserve">such as the protection of equality and </w:t>
      </w:r>
      <w:r w:rsidRPr="00E65811">
        <w:rPr>
          <w:rFonts w:asciiTheme="minorHAnsi" w:hAnsiTheme="minorHAnsi" w:cstheme="minorHAnsi"/>
          <w:szCs w:val="22"/>
          <w:shd w:val="clear" w:color="auto" w:fill="FFFFFF" w:themeFill="background1"/>
        </w:rPr>
        <w:t>dignity.</w:t>
      </w:r>
    </w:p>
    <w:p w14:paraId="66E4C1A7" w14:textId="7A7260FC" w:rsidR="000F4536" w:rsidRDefault="000F4536" w:rsidP="00C31C3D">
      <w:pPr>
        <w:shd w:val="clear" w:color="auto" w:fill="FFFFFF" w:themeFill="background1"/>
        <w:rPr>
          <w:rFonts w:asciiTheme="minorHAnsi" w:hAnsiTheme="minorHAnsi" w:cstheme="minorHAnsi"/>
          <w:szCs w:val="22"/>
          <w:shd w:val="clear" w:color="auto" w:fill="FFFFFF" w:themeFill="background1"/>
        </w:rPr>
      </w:pPr>
    </w:p>
    <w:p w14:paraId="36C19689" w14:textId="77777777" w:rsidR="000F4536" w:rsidRDefault="000F4536" w:rsidP="000F4536">
      <w:pPr>
        <w:rPr>
          <w:rFonts w:asciiTheme="minorHAnsi" w:hAnsiTheme="minorHAnsi" w:cstheme="minorHAnsi"/>
          <w:iCs/>
          <w:szCs w:val="22"/>
        </w:rPr>
      </w:pPr>
      <w:r>
        <w:rPr>
          <w:rFonts w:asciiTheme="minorHAnsi" w:hAnsiTheme="minorHAnsi" w:cstheme="minorHAnsi"/>
          <w:szCs w:val="22"/>
        </w:rPr>
        <w:t>In</w:t>
      </w:r>
      <w:r w:rsidRPr="002A349F">
        <w:rPr>
          <w:rFonts w:asciiTheme="minorHAnsi" w:hAnsiTheme="minorHAnsi" w:cstheme="minorHAnsi"/>
          <w:szCs w:val="22"/>
        </w:rPr>
        <w:t xml:space="preserve"> the contractual sphere, the CRPD Committee’s decision in </w:t>
      </w:r>
      <w:r w:rsidRPr="002A349F">
        <w:rPr>
          <w:rFonts w:asciiTheme="minorHAnsi" w:hAnsiTheme="minorHAnsi" w:cstheme="minorHAnsi"/>
          <w:i/>
          <w:szCs w:val="22"/>
        </w:rPr>
        <w:t>Nyusti</w:t>
      </w:r>
      <w:r w:rsidRPr="002A349F">
        <w:rPr>
          <w:rStyle w:val="FootnoteReference"/>
          <w:rFonts w:asciiTheme="minorHAnsi" w:hAnsiTheme="minorHAnsi" w:cstheme="minorHAnsi"/>
          <w:iCs/>
          <w:szCs w:val="22"/>
        </w:rPr>
        <w:footnoteReference w:id="61"/>
      </w:r>
      <w:r w:rsidRPr="002A349F">
        <w:rPr>
          <w:rFonts w:asciiTheme="minorHAnsi" w:hAnsiTheme="minorHAnsi" w:cstheme="minorHAnsi"/>
          <w:i/>
          <w:szCs w:val="22"/>
        </w:rPr>
        <w:t xml:space="preserve"> </w:t>
      </w:r>
      <w:r w:rsidRPr="002A349F">
        <w:rPr>
          <w:rFonts w:asciiTheme="minorHAnsi" w:hAnsiTheme="minorHAnsi" w:cstheme="minorHAnsi"/>
          <w:iCs/>
          <w:szCs w:val="22"/>
        </w:rPr>
        <w:t xml:space="preserve">is </w:t>
      </w:r>
      <w:r>
        <w:rPr>
          <w:rFonts w:asciiTheme="minorHAnsi" w:hAnsiTheme="minorHAnsi" w:cstheme="minorHAnsi"/>
          <w:iCs/>
          <w:szCs w:val="22"/>
        </w:rPr>
        <w:t xml:space="preserve">more </w:t>
      </w:r>
      <w:r w:rsidRPr="002A349F">
        <w:rPr>
          <w:rFonts w:asciiTheme="minorHAnsi" w:hAnsiTheme="minorHAnsi" w:cstheme="minorHAnsi"/>
          <w:iCs/>
          <w:szCs w:val="22"/>
        </w:rPr>
        <w:t>significant for what can be read between the lines</w:t>
      </w:r>
      <w:r>
        <w:rPr>
          <w:rFonts w:asciiTheme="minorHAnsi" w:hAnsiTheme="minorHAnsi" w:cstheme="minorHAnsi"/>
          <w:iCs/>
          <w:szCs w:val="22"/>
        </w:rPr>
        <w:t xml:space="preserve">, rather than for </w:t>
      </w:r>
      <w:r w:rsidRPr="002A349F">
        <w:rPr>
          <w:rFonts w:asciiTheme="minorHAnsi" w:hAnsiTheme="minorHAnsi" w:cstheme="minorHAnsi"/>
          <w:iCs/>
          <w:szCs w:val="22"/>
        </w:rPr>
        <w:t>what was stated explicitly</w:t>
      </w:r>
      <w:r>
        <w:rPr>
          <w:rFonts w:asciiTheme="minorHAnsi" w:hAnsiTheme="minorHAnsi" w:cstheme="minorHAnsi"/>
          <w:iCs/>
          <w:szCs w:val="22"/>
        </w:rPr>
        <w:t>.</w:t>
      </w:r>
      <w:r w:rsidRPr="002A349F">
        <w:t xml:space="preserve"> Implicit in this decision is the recognition that Convention rights </w:t>
      </w:r>
      <w:r w:rsidRPr="002A349F">
        <w:rPr>
          <w:rFonts w:asciiTheme="minorHAnsi" w:hAnsiTheme="minorHAnsi" w:cstheme="minorHAnsi"/>
          <w:szCs w:val="22"/>
        </w:rPr>
        <w:t xml:space="preserve">permeate not just the public domain, but also the private sphere, affecting </w:t>
      </w:r>
      <w:r>
        <w:rPr>
          <w:rFonts w:asciiTheme="minorHAnsi" w:hAnsiTheme="minorHAnsi" w:cstheme="minorHAnsi"/>
          <w:szCs w:val="22"/>
        </w:rPr>
        <w:t xml:space="preserve">the </w:t>
      </w:r>
      <w:r w:rsidRPr="002A349F">
        <w:rPr>
          <w:rFonts w:asciiTheme="minorHAnsi" w:hAnsiTheme="minorHAnsi" w:cstheme="minorHAnsi"/>
          <w:szCs w:val="22"/>
        </w:rPr>
        <w:t>contractual relationships between parties. T</w:t>
      </w:r>
      <w:r w:rsidRPr="002A349F">
        <w:rPr>
          <w:rFonts w:asciiTheme="minorHAnsi" w:hAnsiTheme="minorHAnsi" w:cstheme="minorHAnsi"/>
          <w:iCs/>
          <w:szCs w:val="22"/>
        </w:rPr>
        <w:t xml:space="preserve">he Committee endorsed, albeit implicitly, the perception that the applicants’ contractual relation with the bank </w:t>
      </w:r>
      <w:r>
        <w:rPr>
          <w:rFonts w:asciiTheme="minorHAnsi" w:hAnsiTheme="minorHAnsi" w:cstheme="minorHAnsi"/>
          <w:iCs/>
          <w:szCs w:val="22"/>
        </w:rPr>
        <w:t>was</w:t>
      </w:r>
      <w:r w:rsidRPr="002A349F">
        <w:rPr>
          <w:rFonts w:asciiTheme="minorHAnsi" w:hAnsiTheme="minorHAnsi" w:cstheme="minorHAnsi"/>
          <w:iCs/>
          <w:szCs w:val="22"/>
        </w:rPr>
        <w:t xml:space="preserve"> not confined to the economic sphere (and, therefore, should not be rooted on a non-interventionist stance), but </w:t>
      </w:r>
      <w:r>
        <w:rPr>
          <w:rFonts w:asciiTheme="minorHAnsi" w:hAnsiTheme="minorHAnsi" w:cstheme="minorHAnsi"/>
          <w:iCs/>
          <w:szCs w:val="22"/>
        </w:rPr>
        <w:t>was</w:t>
      </w:r>
      <w:r w:rsidRPr="002A349F">
        <w:rPr>
          <w:rFonts w:asciiTheme="minorHAnsi" w:hAnsiTheme="minorHAnsi" w:cstheme="minorHAnsi"/>
          <w:iCs/>
          <w:szCs w:val="22"/>
        </w:rPr>
        <w:t xml:space="preserve"> located within a wider, social sphere, where intervention may be justified in the pursuit of equality objectives. </w:t>
      </w:r>
      <w:r w:rsidRPr="002A349F">
        <w:rPr>
          <w:rFonts w:asciiTheme="minorHAnsi" w:hAnsiTheme="minorHAnsi" w:cstheme="minorHAnsi"/>
          <w:szCs w:val="22"/>
        </w:rPr>
        <w:t xml:space="preserve">A further significant aspect of the CRPD Committee’s decision in </w:t>
      </w:r>
      <w:r w:rsidRPr="002A349F">
        <w:rPr>
          <w:rFonts w:asciiTheme="minorHAnsi" w:hAnsiTheme="minorHAnsi" w:cstheme="minorHAnsi"/>
          <w:i/>
          <w:szCs w:val="22"/>
        </w:rPr>
        <w:t>Nyusti</w:t>
      </w:r>
      <w:r w:rsidRPr="002A349F">
        <w:rPr>
          <w:rStyle w:val="FootnoteReference"/>
          <w:rFonts w:asciiTheme="minorHAnsi" w:hAnsiTheme="minorHAnsi" w:cstheme="minorHAnsi"/>
          <w:iCs/>
          <w:szCs w:val="22"/>
        </w:rPr>
        <w:footnoteReference w:id="62"/>
      </w:r>
      <w:r w:rsidRPr="002A349F">
        <w:rPr>
          <w:rFonts w:asciiTheme="minorHAnsi" w:hAnsiTheme="minorHAnsi" w:cstheme="minorHAnsi"/>
          <w:i/>
          <w:szCs w:val="22"/>
        </w:rPr>
        <w:t xml:space="preserve"> </w:t>
      </w:r>
      <w:r w:rsidRPr="002A349F">
        <w:rPr>
          <w:rFonts w:asciiTheme="minorHAnsi" w:hAnsiTheme="minorHAnsi" w:cstheme="minorHAnsi"/>
          <w:iCs/>
          <w:szCs w:val="22"/>
        </w:rPr>
        <w:t>is the implicit recognition that in a process of balancing dignity and freedom of contract, the protection of human dignity is ranked as a higher value that justifies interference with freedom of contract. The decision also reflects the fact that concepts such as ‘freedom of contract’ do not operate in a vacuum but should, instead, be interpreted within a framework of social values that includes equality and dignity.</w:t>
      </w:r>
    </w:p>
    <w:p w14:paraId="3BB8CE27" w14:textId="77777777" w:rsidR="000F4536" w:rsidRDefault="000F4536" w:rsidP="000F4536">
      <w:pPr>
        <w:rPr>
          <w:rFonts w:asciiTheme="minorHAnsi" w:hAnsiTheme="minorHAnsi" w:cstheme="minorHAnsi"/>
          <w:iCs/>
          <w:szCs w:val="22"/>
        </w:rPr>
      </w:pPr>
    </w:p>
    <w:p w14:paraId="3BC9737A" w14:textId="549CE628" w:rsidR="000F4536" w:rsidRDefault="000F4536" w:rsidP="000F4536">
      <w:pPr>
        <w:rPr>
          <w:rFonts w:asciiTheme="minorHAnsi" w:hAnsiTheme="minorHAnsi" w:cstheme="minorHAnsi"/>
          <w:szCs w:val="22"/>
        </w:rPr>
      </w:pPr>
      <w:r w:rsidRPr="00C0376C">
        <w:rPr>
          <w:rFonts w:asciiTheme="minorHAnsi" w:hAnsiTheme="minorHAnsi" w:cstheme="minorHAnsi"/>
          <w:iCs/>
          <w:szCs w:val="22"/>
        </w:rPr>
        <w:t xml:space="preserve">The framework of values advanced by the CRPD rests on a rights-based understanding of disability, </w:t>
      </w:r>
      <w:r w:rsidRPr="00C0376C">
        <w:rPr>
          <w:rFonts w:asciiTheme="minorHAnsi" w:hAnsiTheme="minorHAnsi" w:cstheme="minorHAnsi"/>
          <w:szCs w:val="22"/>
        </w:rPr>
        <w:t>moving away from a focus on the medical condition of individuals</w:t>
      </w:r>
      <w:r w:rsidRPr="00C0376C">
        <w:rPr>
          <w:rStyle w:val="FootnoteReference"/>
          <w:rFonts w:asciiTheme="minorHAnsi" w:hAnsiTheme="minorHAnsi" w:cstheme="minorHAnsi"/>
          <w:szCs w:val="22"/>
        </w:rPr>
        <w:footnoteReference w:id="63"/>
      </w:r>
      <w:r w:rsidRPr="00C0376C">
        <w:rPr>
          <w:rFonts w:asciiTheme="minorHAnsi" w:hAnsiTheme="minorHAnsi" w:cstheme="minorHAnsi"/>
          <w:szCs w:val="22"/>
        </w:rPr>
        <w:t xml:space="preserve"> and </w:t>
      </w:r>
      <w:r w:rsidRPr="00C0376C">
        <w:rPr>
          <w:rFonts w:asciiTheme="minorHAnsi" w:hAnsiTheme="minorHAnsi" w:cstheme="minorHAnsi"/>
          <w:iCs/>
          <w:szCs w:val="22"/>
        </w:rPr>
        <w:t xml:space="preserve">building on the social model </w:t>
      </w:r>
      <w:r w:rsidRPr="00C0376C">
        <w:rPr>
          <w:rFonts w:asciiTheme="minorHAnsi" w:hAnsiTheme="minorHAnsi" w:cstheme="minorHAnsi"/>
          <w:szCs w:val="22"/>
        </w:rPr>
        <w:t xml:space="preserve">of disability, concerned with addressing the social barriers faced by persons with disabilities when accessing a particular </w:t>
      </w:r>
      <w:r w:rsidRPr="00C0376C">
        <w:rPr>
          <w:rFonts w:asciiTheme="minorHAnsi" w:hAnsiTheme="minorHAnsi" w:cstheme="minorHAnsi"/>
          <w:szCs w:val="22"/>
        </w:rPr>
        <w:lastRenderedPageBreak/>
        <w:t>context.</w:t>
      </w:r>
      <w:r w:rsidRPr="00C0376C">
        <w:rPr>
          <w:rStyle w:val="FootnoteReference"/>
          <w:rFonts w:asciiTheme="minorHAnsi" w:hAnsiTheme="minorHAnsi" w:cstheme="minorHAnsi"/>
          <w:szCs w:val="22"/>
        </w:rPr>
        <w:footnoteReference w:id="64"/>
      </w:r>
      <w:r w:rsidRPr="00C0376C">
        <w:rPr>
          <w:rFonts w:asciiTheme="minorHAnsi" w:hAnsiTheme="minorHAnsi" w:cstheme="minorHAnsi"/>
          <w:szCs w:val="22"/>
        </w:rPr>
        <w:t xml:space="preserve"> In the contractual realm, barriers such as the unavailability of accessible information may lead to asymmetry in the parties’ bargaining positions,</w:t>
      </w:r>
      <w:r w:rsidRPr="00C0376C">
        <w:rPr>
          <w:rStyle w:val="FootnoteReference"/>
          <w:rFonts w:asciiTheme="minorHAnsi" w:hAnsiTheme="minorHAnsi" w:cstheme="minorHAnsi"/>
          <w:szCs w:val="22"/>
        </w:rPr>
        <w:footnoteReference w:id="65"/>
      </w:r>
      <w:r w:rsidRPr="00C0376C">
        <w:rPr>
          <w:rFonts w:asciiTheme="minorHAnsi" w:hAnsiTheme="minorHAnsi" w:cstheme="minorHAnsi"/>
          <w:szCs w:val="22"/>
        </w:rPr>
        <w:t xml:space="preserve"> while barriers such as inaccessible services and facilities may produce isolation, dependence on others</w:t>
      </w:r>
      <w:r w:rsidRPr="00C0376C">
        <w:rPr>
          <w:rFonts w:asciiTheme="minorHAnsi" w:eastAsia="SimSun" w:hAnsiTheme="minorHAnsi" w:cstheme="minorHAnsi"/>
          <w:szCs w:val="22"/>
          <w:lang w:eastAsia="zh-CN"/>
        </w:rPr>
        <w:t>,</w:t>
      </w:r>
      <w:r w:rsidRPr="00C0376C">
        <w:rPr>
          <w:rStyle w:val="FootnoteReference"/>
          <w:rFonts w:asciiTheme="minorHAnsi" w:eastAsia="SimSun" w:hAnsiTheme="minorHAnsi" w:cstheme="minorHAnsi"/>
          <w:szCs w:val="22"/>
          <w:lang w:eastAsia="zh-CN"/>
        </w:rPr>
        <w:footnoteReference w:id="66"/>
      </w:r>
      <w:r w:rsidRPr="00C0376C">
        <w:rPr>
          <w:rFonts w:asciiTheme="minorHAnsi" w:hAnsiTheme="minorHAnsi" w:cstheme="minorHAnsi"/>
          <w:szCs w:val="22"/>
        </w:rPr>
        <w:t xml:space="preserve"> or lack of confidence to approach service providers or to decline unwanted offers of services.</w:t>
      </w:r>
      <w:r w:rsidRPr="00C0376C">
        <w:rPr>
          <w:rStyle w:val="FootnoteReference"/>
          <w:rFonts w:asciiTheme="minorHAnsi" w:eastAsia="SimSun" w:hAnsiTheme="minorHAnsi" w:cstheme="minorHAnsi"/>
          <w:szCs w:val="22"/>
          <w:lang w:eastAsia="zh-CN"/>
        </w:rPr>
        <w:footnoteReference w:id="67"/>
      </w:r>
      <w:r w:rsidRPr="00C0376C">
        <w:rPr>
          <w:rFonts w:asciiTheme="minorHAnsi" w:hAnsiTheme="minorHAnsi" w:cstheme="minorHAnsi"/>
          <w:szCs w:val="22"/>
        </w:rPr>
        <w:t xml:space="preserve"> The CRPD recognises the need to adapt society to accommodate the full spectrum of abilities,</w:t>
      </w:r>
      <w:r w:rsidRPr="00C0376C">
        <w:rPr>
          <w:rStyle w:val="FootnoteReference"/>
          <w:rFonts w:asciiTheme="minorHAnsi" w:hAnsiTheme="minorHAnsi" w:cstheme="minorHAnsi"/>
          <w:szCs w:val="22"/>
        </w:rPr>
        <w:footnoteReference w:id="68"/>
      </w:r>
      <w:r w:rsidRPr="00C0376C">
        <w:rPr>
          <w:rFonts w:asciiTheme="minorHAnsi" w:hAnsiTheme="minorHAnsi" w:cstheme="minorHAnsi"/>
          <w:szCs w:val="22"/>
        </w:rPr>
        <w:t xml:space="preserve"> including in its general </w:t>
      </w:r>
      <w:r w:rsidR="005B27A2">
        <w:rPr>
          <w:rFonts w:asciiTheme="minorHAnsi" w:hAnsiTheme="minorHAnsi" w:cstheme="minorHAnsi"/>
          <w:szCs w:val="22"/>
        </w:rPr>
        <w:t>principles</w:t>
      </w:r>
      <w:r w:rsidRPr="00C0376C">
        <w:rPr>
          <w:rFonts w:asciiTheme="minorHAnsi" w:hAnsiTheme="minorHAnsi" w:cstheme="minorHAnsi"/>
          <w:szCs w:val="22"/>
        </w:rPr>
        <w:t xml:space="preserve"> a call for accessibility,</w:t>
      </w:r>
      <w:r w:rsidRPr="00C0376C">
        <w:rPr>
          <w:rStyle w:val="FootnoteReference"/>
          <w:rFonts w:asciiTheme="minorHAnsi" w:hAnsiTheme="minorHAnsi" w:cstheme="minorHAnsi"/>
          <w:szCs w:val="22"/>
        </w:rPr>
        <w:footnoteReference w:id="69"/>
      </w:r>
      <w:r w:rsidRPr="00C0376C">
        <w:rPr>
          <w:rFonts w:asciiTheme="minorHAnsi" w:hAnsiTheme="minorHAnsi" w:cstheme="minorHAnsi"/>
          <w:szCs w:val="22"/>
        </w:rPr>
        <w:t xml:space="preserve"> ‘full and effective participation and inclusion in society’</w:t>
      </w:r>
      <w:r w:rsidRPr="00C0376C">
        <w:rPr>
          <w:rStyle w:val="FootnoteReference"/>
          <w:rFonts w:asciiTheme="minorHAnsi" w:hAnsiTheme="minorHAnsi" w:cstheme="minorHAnsi"/>
          <w:szCs w:val="22"/>
        </w:rPr>
        <w:footnoteReference w:id="70"/>
      </w:r>
      <w:r w:rsidRPr="00C0376C">
        <w:rPr>
          <w:rFonts w:asciiTheme="minorHAnsi" w:hAnsiTheme="minorHAnsi" w:cstheme="minorHAnsi"/>
          <w:szCs w:val="22"/>
        </w:rPr>
        <w:t xml:space="preserve"> and ‘respect for difference and acceptance of persons with disabilities as part of human diversity and humanity’.</w:t>
      </w:r>
      <w:r w:rsidRPr="00C0376C">
        <w:rPr>
          <w:rStyle w:val="FootnoteReference"/>
          <w:rFonts w:asciiTheme="minorHAnsi" w:hAnsiTheme="minorHAnsi" w:cstheme="minorHAnsi"/>
          <w:szCs w:val="22"/>
        </w:rPr>
        <w:footnoteReference w:id="71"/>
      </w:r>
      <w:r w:rsidRPr="00C0376C">
        <w:rPr>
          <w:rFonts w:asciiTheme="minorHAnsi" w:hAnsiTheme="minorHAnsi" w:cstheme="minorHAnsi"/>
          <w:szCs w:val="22"/>
        </w:rPr>
        <w:t xml:space="preserve"> In addition, the States Parties’ general obligations under the Convention include a call to ‘take </w:t>
      </w:r>
      <w:r w:rsidRPr="00C0376C">
        <w:t>all appropriate measures to eliminate discrimination on the basis of disability’ by private enterprises,</w:t>
      </w:r>
      <w:r w:rsidRPr="00C0376C">
        <w:rPr>
          <w:rStyle w:val="FootnoteReference"/>
        </w:rPr>
        <w:footnoteReference w:id="72"/>
      </w:r>
      <w:r w:rsidRPr="00C0376C">
        <w:t xml:space="preserve"> while the CRPD provisions on accessibility call on States Parties to ensure, </w:t>
      </w:r>
      <w:r w:rsidRPr="00C0376C">
        <w:rPr>
          <w:i/>
          <w:iCs/>
        </w:rPr>
        <w:t>inter alia</w:t>
      </w:r>
      <w:r w:rsidRPr="00C0376C">
        <w:t xml:space="preserve">, that such </w:t>
      </w:r>
      <w:r w:rsidRPr="00C0376C">
        <w:rPr>
          <w:rFonts w:asciiTheme="minorHAnsi" w:hAnsiTheme="minorHAnsi" w:cstheme="minorHAnsi"/>
          <w:szCs w:val="22"/>
        </w:rPr>
        <w:t>requirements are considered by private entities offering services to the public.</w:t>
      </w:r>
      <w:r w:rsidRPr="00C0376C">
        <w:rPr>
          <w:rStyle w:val="FootnoteReference"/>
          <w:rFonts w:asciiTheme="minorHAnsi" w:hAnsiTheme="minorHAnsi" w:cstheme="minorHAnsi"/>
          <w:szCs w:val="22"/>
        </w:rPr>
        <w:footnoteReference w:id="73"/>
      </w:r>
      <w:r w:rsidRPr="00C0376C">
        <w:rPr>
          <w:rFonts w:asciiTheme="minorHAnsi" w:hAnsiTheme="minorHAnsi" w:cstheme="minorHAnsi"/>
          <w:szCs w:val="22"/>
        </w:rPr>
        <w:t xml:space="preserve"> These obligations contribute towards meeting the Convention’s overall purpose to promote ‘the full and equal enjoyment of all human rights and fundamental freedoms by all persons with disabilities’ and ‘respect for their inherent dignity’,</w:t>
      </w:r>
      <w:r w:rsidRPr="00C0376C">
        <w:rPr>
          <w:rStyle w:val="FootnoteReference"/>
          <w:rFonts w:asciiTheme="minorHAnsi" w:hAnsiTheme="minorHAnsi" w:cstheme="minorHAnsi"/>
          <w:szCs w:val="22"/>
        </w:rPr>
        <w:footnoteReference w:id="74"/>
      </w:r>
      <w:r w:rsidRPr="00C0376C">
        <w:rPr>
          <w:rFonts w:asciiTheme="minorHAnsi" w:hAnsiTheme="minorHAnsi" w:cstheme="minorHAnsi"/>
          <w:szCs w:val="22"/>
        </w:rPr>
        <w:t xml:space="preserve"> reflecting a perception of persons with disabilities as citizens with full entitlements in society.</w:t>
      </w:r>
      <w:r w:rsidRPr="00C0376C">
        <w:rPr>
          <w:rStyle w:val="FootnoteReference"/>
          <w:rFonts w:asciiTheme="minorHAnsi" w:hAnsiTheme="minorHAnsi" w:cstheme="minorHAnsi"/>
          <w:szCs w:val="22"/>
        </w:rPr>
        <w:footnoteReference w:id="75"/>
      </w:r>
      <w:r w:rsidRPr="00C0376C">
        <w:rPr>
          <w:rFonts w:asciiTheme="minorHAnsi" w:hAnsiTheme="minorHAnsi" w:cstheme="minorHAnsi"/>
          <w:szCs w:val="22"/>
        </w:rPr>
        <w:t xml:space="preserve"> </w:t>
      </w:r>
    </w:p>
    <w:p w14:paraId="3A5FE9D6" w14:textId="77777777" w:rsidR="000F4536" w:rsidRDefault="000F4536" w:rsidP="000F4536">
      <w:pPr>
        <w:rPr>
          <w:rFonts w:asciiTheme="minorHAnsi" w:hAnsiTheme="minorHAnsi" w:cstheme="minorHAnsi"/>
          <w:szCs w:val="22"/>
        </w:rPr>
      </w:pPr>
    </w:p>
    <w:p w14:paraId="10FF8C99" w14:textId="5609E614" w:rsidR="000F4536" w:rsidRDefault="000F4536" w:rsidP="000F4536">
      <w:pPr>
        <w:rPr>
          <w:rFonts w:asciiTheme="minorHAnsi" w:hAnsiTheme="minorHAnsi" w:cstheme="minorHAnsi"/>
          <w:szCs w:val="22"/>
        </w:rPr>
      </w:pPr>
      <w:r w:rsidRPr="00B6226B">
        <w:rPr>
          <w:rFonts w:asciiTheme="minorHAnsi" w:hAnsiTheme="minorHAnsi" w:cstheme="minorHAnsi"/>
          <w:szCs w:val="22"/>
        </w:rPr>
        <w:t>In meeting these objectives, an important role can be played by a vision of contract law that perceives people not only as economic actors in pursuit of self-interest, but also as participants in the wider social sphere,</w:t>
      </w:r>
      <w:r w:rsidRPr="00B6226B">
        <w:rPr>
          <w:rStyle w:val="FootnoteReference"/>
          <w:rFonts w:asciiTheme="minorHAnsi" w:hAnsiTheme="minorHAnsi" w:cstheme="minorHAnsi"/>
          <w:szCs w:val="22"/>
        </w:rPr>
        <w:footnoteReference w:id="76"/>
      </w:r>
      <w:r w:rsidRPr="00B6226B">
        <w:rPr>
          <w:rFonts w:asciiTheme="minorHAnsi" w:hAnsiTheme="minorHAnsi" w:cstheme="minorHAnsi"/>
          <w:szCs w:val="22"/>
        </w:rPr>
        <w:t xml:space="preserve"> and which aims to protect citizenship values such as equality, dignity, autonomy</w:t>
      </w:r>
      <w:r>
        <w:rPr>
          <w:rFonts w:asciiTheme="minorHAnsi" w:hAnsiTheme="minorHAnsi" w:cstheme="minorHAnsi"/>
          <w:szCs w:val="22"/>
        </w:rPr>
        <w:t xml:space="preserve"> </w:t>
      </w:r>
      <w:r w:rsidRPr="00B6226B">
        <w:rPr>
          <w:rFonts w:asciiTheme="minorHAnsi" w:hAnsiTheme="minorHAnsi" w:cstheme="minorHAnsi"/>
          <w:szCs w:val="22"/>
        </w:rPr>
        <w:t>and inclusion.</w:t>
      </w:r>
      <w:r w:rsidRPr="00B6226B">
        <w:rPr>
          <w:rStyle w:val="FootnoteReference"/>
          <w:rFonts w:asciiTheme="minorHAnsi" w:hAnsiTheme="minorHAnsi" w:cstheme="minorHAnsi"/>
          <w:szCs w:val="22"/>
        </w:rPr>
        <w:footnoteReference w:id="77"/>
      </w:r>
      <w:r w:rsidRPr="00B6226B">
        <w:rPr>
          <w:rFonts w:asciiTheme="minorHAnsi" w:hAnsiTheme="minorHAnsi" w:cstheme="minorHAnsi"/>
          <w:szCs w:val="22"/>
        </w:rPr>
        <w:t xml:space="preserve"> </w:t>
      </w:r>
      <w:r>
        <w:rPr>
          <w:rFonts w:asciiTheme="minorHAnsi" w:hAnsiTheme="minorHAnsi" w:cstheme="minorHAnsi"/>
          <w:szCs w:val="22"/>
        </w:rPr>
        <w:t>Furthermore, the concept of autonomy should be interpreted broadly to include relational autonomy, recognising our inter-dependence.</w:t>
      </w:r>
      <w:r>
        <w:rPr>
          <w:rStyle w:val="FootnoteReference"/>
          <w:rFonts w:asciiTheme="minorHAnsi" w:hAnsiTheme="minorHAnsi" w:cstheme="minorHAnsi"/>
          <w:szCs w:val="22"/>
        </w:rPr>
        <w:footnoteReference w:id="78"/>
      </w:r>
      <w:r>
        <w:rPr>
          <w:rFonts w:asciiTheme="minorHAnsi" w:hAnsiTheme="minorHAnsi" w:cstheme="minorHAnsi"/>
          <w:szCs w:val="22"/>
        </w:rPr>
        <w:t xml:space="preserve"> </w:t>
      </w:r>
      <w:r w:rsidRPr="00B6226B">
        <w:rPr>
          <w:rFonts w:asciiTheme="minorHAnsi" w:hAnsiTheme="minorHAnsi" w:cstheme="minorHAnsi"/>
          <w:szCs w:val="22"/>
        </w:rPr>
        <w:t xml:space="preserve">Based on this perspective, contract law is not confined to a unidimensional role to </w:t>
      </w:r>
      <w:r w:rsidR="00596382">
        <w:rPr>
          <w:rFonts w:asciiTheme="minorHAnsi" w:hAnsiTheme="minorHAnsi" w:cstheme="minorHAnsi"/>
          <w:szCs w:val="22"/>
        </w:rPr>
        <w:t>enable</w:t>
      </w:r>
      <w:r w:rsidR="00596382" w:rsidRPr="00B6226B">
        <w:rPr>
          <w:rFonts w:asciiTheme="minorHAnsi" w:hAnsiTheme="minorHAnsi" w:cstheme="minorHAnsi"/>
          <w:szCs w:val="22"/>
        </w:rPr>
        <w:t xml:space="preserve"> </w:t>
      </w:r>
      <w:r w:rsidRPr="00B6226B">
        <w:rPr>
          <w:rFonts w:asciiTheme="minorHAnsi" w:hAnsiTheme="minorHAnsi" w:cstheme="minorHAnsi"/>
          <w:szCs w:val="22"/>
        </w:rPr>
        <w:t>transactions in the economic realm but reflects a multidimensional role that permeates the economic and social spheres, as it facilitates transactions and connects people into mutual relations.</w:t>
      </w:r>
      <w:r w:rsidRPr="00B6226B">
        <w:rPr>
          <w:rStyle w:val="FootnoteReference"/>
          <w:rFonts w:asciiTheme="minorHAnsi" w:hAnsiTheme="minorHAnsi" w:cstheme="minorHAnsi"/>
          <w:szCs w:val="22"/>
        </w:rPr>
        <w:footnoteReference w:id="79"/>
      </w:r>
      <w:r w:rsidRPr="00B6226B">
        <w:rPr>
          <w:rFonts w:asciiTheme="minorHAnsi" w:hAnsiTheme="minorHAnsi" w:cstheme="minorHAnsi"/>
          <w:szCs w:val="22"/>
        </w:rPr>
        <w:t xml:space="preserve"> </w:t>
      </w:r>
      <w:r>
        <w:rPr>
          <w:rFonts w:asciiTheme="minorHAnsi" w:hAnsiTheme="minorHAnsi" w:cstheme="minorHAnsi"/>
          <w:szCs w:val="22"/>
        </w:rPr>
        <w:t xml:space="preserve">In this vision, concepts such as freedom of contract should not be restricted to a narrow, negative </w:t>
      </w:r>
      <w:r>
        <w:rPr>
          <w:rFonts w:asciiTheme="minorHAnsi" w:hAnsiTheme="minorHAnsi" w:cstheme="minorHAnsi"/>
          <w:szCs w:val="22"/>
        </w:rPr>
        <w:lastRenderedPageBreak/>
        <w:t>interpretation concerned with resisting state intervention, and should, instead, be interpreted broadly to consider social values alongside economic concerns.</w:t>
      </w:r>
    </w:p>
    <w:p w14:paraId="54CC77E3" w14:textId="20E8945F" w:rsidR="00192270" w:rsidRDefault="00192270" w:rsidP="000F4536">
      <w:pPr>
        <w:rPr>
          <w:rFonts w:asciiTheme="minorHAnsi" w:hAnsiTheme="minorHAnsi" w:cstheme="minorHAnsi"/>
          <w:szCs w:val="22"/>
        </w:rPr>
      </w:pPr>
    </w:p>
    <w:p w14:paraId="70354A74" w14:textId="77777777" w:rsidR="00192270" w:rsidRDefault="00192270" w:rsidP="00192270">
      <w:pPr>
        <w:jc w:val="center"/>
        <w:rPr>
          <w:b/>
          <w:bCs/>
        </w:rPr>
      </w:pPr>
      <w:r>
        <w:rPr>
          <w:b/>
          <w:bCs/>
        </w:rPr>
        <w:t>II. English Contract Law: A Framework rooted on a Negative Interpretation of Freedom of Contract?</w:t>
      </w:r>
    </w:p>
    <w:p w14:paraId="47762C11" w14:textId="77777777" w:rsidR="00192270" w:rsidRDefault="00192270" w:rsidP="00192270">
      <w:pPr>
        <w:jc w:val="center"/>
        <w:rPr>
          <w:b/>
          <w:bCs/>
        </w:rPr>
      </w:pPr>
    </w:p>
    <w:p w14:paraId="1B855F9F" w14:textId="4ED6AE6D" w:rsidR="00192270" w:rsidRDefault="00192270" w:rsidP="00192270">
      <w:pPr>
        <w:rPr>
          <w:rFonts w:asciiTheme="minorHAnsi" w:hAnsiTheme="minorHAnsi" w:cstheme="minorHAnsi"/>
          <w:szCs w:val="22"/>
        </w:rPr>
      </w:pPr>
      <w:r w:rsidRPr="00A668AE">
        <w:t xml:space="preserve">The </w:t>
      </w:r>
      <w:r w:rsidRPr="00A668AE">
        <w:rPr>
          <w:rFonts w:asciiTheme="minorHAnsi" w:hAnsiTheme="minorHAnsi" w:cstheme="minorHAnsi"/>
          <w:szCs w:val="22"/>
        </w:rPr>
        <w:t xml:space="preserve">CRPD sparked </w:t>
      </w:r>
      <w:r w:rsidR="008D23DF">
        <w:rPr>
          <w:rFonts w:asciiTheme="minorHAnsi" w:hAnsiTheme="minorHAnsi" w:cstheme="minorHAnsi"/>
          <w:szCs w:val="22"/>
        </w:rPr>
        <w:t xml:space="preserve">the </w:t>
      </w:r>
      <w:r w:rsidRPr="00A668AE">
        <w:rPr>
          <w:rFonts w:asciiTheme="minorHAnsi" w:hAnsiTheme="minorHAnsi" w:cstheme="minorHAnsi"/>
          <w:szCs w:val="22"/>
        </w:rPr>
        <w:t>need to re-examine legal concepts, including freedom of contract, in light of the values pursued by the Convention.</w:t>
      </w:r>
      <w:r w:rsidRPr="00A668AE">
        <w:rPr>
          <w:rStyle w:val="FootnoteReference"/>
          <w:rFonts w:asciiTheme="minorHAnsi" w:hAnsiTheme="minorHAnsi" w:cstheme="minorHAnsi"/>
          <w:szCs w:val="22"/>
        </w:rPr>
        <w:footnoteReference w:id="80"/>
      </w:r>
      <w:r w:rsidRPr="00A668AE">
        <w:rPr>
          <w:rFonts w:asciiTheme="minorHAnsi" w:hAnsiTheme="minorHAnsi" w:cstheme="minorHAnsi"/>
          <w:szCs w:val="22"/>
        </w:rPr>
        <w:t xml:space="preserve"> The United Kingdom ratified the CRPD in 2009</w:t>
      </w:r>
      <w:r>
        <w:rPr>
          <w:rFonts w:asciiTheme="minorHAnsi" w:hAnsiTheme="minorHAnsi" w:cstheme="minorHAnsi"/>
          <w:szCs w:val="22"/>
        </w:rPr>
        <w:t xml:space="preserve"> </w:t>
      </w:r>
      <w:r w:rsidRPr="00A668AE">
        <w:rPr>
          <w:rFonts w:asciiTheme="minorHAnsi" w:hAnsiTheme="minorHAnsi" w:cstheme="minorHAnsi"/>
          <w:szCs w:val="22"/>
        </w:rPr>
        <w:t xml:space="preserve">and, whilst </w:t>
      </w:r>
      <w:r>
        <w:rPr>
          <w:rFonts w:asciiTheme="minorHAnsi" w:hAnsiTheme="minorHAnsi" w:cstheme="minorHAnsi"/>
          <w:szCs w:val="22"/>
        </w:rPr>
        <w:t>this instrument</w:t>
      </w:r>
      <w:r w:rsidRPr="00A668AE">
        <w:rPr>
          <w:rFonts w:asciiTheme="minorHAnsi" w:hAnsiTheme="minorHAnsi" w:cstheme="minorHAnsi"/>
          <w:szCs w:val="22"/>
        </w:rPr>
        <w:t xml:space="preserve"> has not been incorporated into </w:t>
      </w:r>
      <w:r>
        <w:rPr>
          <w:rFonts w:asciiTheme="minorHAnsi" w:hAnsiTheme="minorHAnsi" w:cstheme="minorHAnsi"/>
          <w:szCs w:val="22"/>
        </w:rPr>
        <w:t>national</w:t>
      </w:r>
      <w:r w:rsidRPr="00A668AE">
        <w:rPr>
          <w:rFonts w:asciiTheme="minorHAnsi" w:hAnsiTheme="minorHAnsi" w:cstheme="minorHAnsi"/>
          <w:szCs w:val="22"/>
        </w:rPr>
        <w:t xml:space="preserve"> law</w:t>
      </w:r>
      <w:r>
        <w:rPr>
          <w:rFonts w:asciiTheme="minorHAnsi" w:hAnsiTheme="minorHAnsi" w:cstheme="minorHAnsi"/>
          <w:szCs w:val="22"/>
        </w:rPr>
        <w:t xml:space="preserve"> and is of </w:t>
      </w:r>
      <w:r w:rsidRPr="00A668AE">
        <w:rPr>
          <w:rFonts w:asciiTheme="minorHAnsi" w:hAnsiTheme="minorHAnsi" w:cstheme="minorHAnsi"/>
          <w:szCs w:val="22"/>
        </w:rPr>
        <w:t>limited direct assistance in domestic courts</w:t>
      </w:r>
      <w:r>
        <w:rPr>
          <w:rFonts w:asciiTheme="minorHAnsi" w:hAnsiTheme="minorHAnsi" w:cstheme="minorHAnsi"/>
          <w:szCs w:val="22"/>
        </w:rPr>
        <w:t>,</w:t>
      </w:r>
      <w:r w:rsidRPr="00A668AE">
        <w:rPr>
          <w:rStyle w:val="FootnoteReference"/>
          <w:rFonts w:asciiTheme="minorHAnsi" w:hAnsiTheme="minorHAnsi" w:cstheme="minorHAnsi"/>
          <w:szCs w:val="22"/>
        </w:rPr>
        <w:footnoteReference w:id="81"/>
      </w:r>
      <w:r w:rsidRPr="00A668AE">
        <w:rPr>
          <w:rFonts w:asciiTheme="minorHAnsi" w:hAnsiTheme="minorHAnsi" w:cstheme="minorHAnsi"/>
          <w:szCs w:val="22"/>
        </w:rPr>
        <w:t xml:space="preserve"> its relevance cannot be ignored</w:t>
      </w:r>
      <w:r>
        <w:rPr>
          <w:rFonts w:asciiTheme="minorHAnsi" w:hAnsiTheme="minorHAnsi" w:cstheme="minorHAnsi"/>
          <w:szCs w:val="22"/>
        </w:rPr>
        <w:t>. Through its ratification, the United Kingdom undertook that ‘</w:t>
      </w:r>
      <w:r w:rsidRPr="00A668AE">
        <w:rPr>
          <w:rFonts w:asciiTheme="minorHAnsi" w:hAnsiTheme="minorHAnsi" w:cstheme="minorHAnsi"/>
          <w:szCs w:val="22"/>
        </w:rPr>
        <w:t>wherever possible</w:t>
      </w:r>
      <w:r>
        <w:rPr>
          <w:rFonts w:asciiTheme="minorHAnsi" w:hAnsiTheme="minorHAnsi" w:cstheme="minorHAnsi"/>
          <w:szCs w:val="22"/>
        </w:rPr>
        <w:t>,</w:t>
      </w:r>
      <w:r w:rsidRPr="00A668AE">
        <w:rPr>
          <w:rFonts w:asciiTheme="minorHAnsi" w:hAnsiTheme="minorHAnsi" w:cstheme="minorHAnsi"/>
          <w:szCs w:val="22"/>
        </w:rPr>
        <w:t xml:space="preserve"> its laws will conform to the norms and values</w:t>
      </w:r>
      <w:r>
        <w:rPr>
          <w:rFonts w:asciiTheme="minorHAnsi" w:hAnsiTheme="minorHAnsi" w:cstheme="minorHAnsi"/>
          <w:szCs w:val="22"/>
        </w:rPr>
        <w:t>’ enshrined in the Convention</w:t>
      </w:r>
      <w:r w:rsidRPr="00A668AE">
        <w:rPr>
          <w:rFonts w:asciiTheme="minorHAnsi" w:hAnsiTheme="minorHAnsi" w:cstheme="minorHAnsi"/>
          <w:szCs w:val="22"/>
        </w:rPr>
        <w:t>.</w:t>
      </w:r>
      <w:r w:rsidRPr="00A668AE">
        <w:rPr>
          <w:rStyle w:val="FootnoteReference"/>
          <w:rFonts w:asciiTheme="minorHAnsi" w:hAnsiTheme="minorHAnsi" w:cstheme="minorHAnsi"/>
          <w:szCs w:val="22"/>
        </w:rPr>
        <w:footnoteReference w:id="82"/>
      </w:r>
      <w:r w:rsidRPr="00A668AE">
        <w:rPr>
          <w:rFonts w:asciiTheme="minorHAnsi" w:hAnsiTheme="minorHAnsi" w:cstheme="minorHAnsi"/>
          <w:szCs w:val="22"/>
        </w:rPr>
        <w:t xml:space="preserve"> </w:t>
      </w:r>
      <w:r>
        <w:rPr>
          <w:rFonts w:asciiTheme="minorHAnsi" w:hAnsiTheme="minorHAnsi" w:cstheme="minorHAnsi"/>
          <w:szCs w:val="22"/>
        </w:rPr>
        <w:t xml:space="preserve">This section </w:t>
      </w:r>
      <w:r w:rsidR="00C17A35">
        <w:rPr>
          <w:rFonts w:asciiTheme="minorHAnsi" w:hAnsiTheme="minorHAnsi" w:cstheme="minorHAnsi"/>
          <w:szCs w:val="22"/>
        </w:rPr>
        <w:t>emphasises that</w:t>
      </w:r>
      <w:r>
        <w:rPr>
          <w:rFonts w:asciiTheme="minorHAnsi" w:hAnsiTheme="minorHAnsi" w:cstheme="minorHAnsi"/>
          <w:szCs w:val="22"/>
        </w:rPr>
        <w:t xml:space="preserve"> CRPD values could (and should) inform a positive interpretation of the concept of freedom of contract in English contract law.</w:t>
      </w:r>
    </w:p>
    <w:p w14:paraId="66B20943" w14:textId="77777777" w:rsidR="00192270" w:rsidRDefault="00192270" w:rsidP="00192270">
      <w:pPr>
        <w:rPr>
          <w:rFonts w:asciiTheme="minorHAnsi" w:hAnsiTheme="minorHAnsi" w:cstheme="minorHAnsi"/>
          <w:szCs w:val="22"/>
        </w:rPr>
      </w:pPr>
    </w:p>
    <w:p w14:paraId="571A3983" w14:textId="50F0FECA" w:rsidR="00192270" w:rsidRDefault="00192270" w:rsidP="00192270">
      <w:pPr>
        <w:rPr>
          <w:rFonts w:asciiTheme="minorHAnsi" w:hAnsiTheme="minorHAnsi" w:cstheme="minorHAnsi"/>
          <w:szCs w:val="22"/>
        </w:rPr>
      </w:pPr>
      <w:r w:rsidRPr="006F0A2E">
        <w:rPr>
          <w:rFonts w:asciiTheme="minorHAnsi" w:hAnsiTheme="minorHAnsi" w:cstheme="minorHAnsi"/>
          <w:szCs w:val="22"/>
        </w:rPr>
        <w:t>Freedom of contract is a foundational concept of English contract law, emphasising that parties are free to choose whether to enter into a contract, who to contract with, and under which terms.</w:t>
      </w:r>
      <w:r w:rsidRPr="006F0A2E">
        <w:rPr>
          <w:rStyle w:val="FootnoteReference"/>
          <w:rFonts w:asciiTheme="minorHAnsi" w:hAnsiTheme="minorHAnsi" w:cstheme="minorHAnsi"/>
          <w:szCs w:val="22"/>
        </w:rPr>
        <w:footnoteReference w:id="83"/>
      </w:r>
      <w:r w:rsidRPr="006F0A2E">
        <w:rPr>
          <w:rFonts w:asciiTheme="minorHAnsi" w:hAnsiTheme="minorHAnsi" w:cstheme="minorHAnsi"/>
          <w:szCs w:val="22"/>
        </w:rPr>
        <w:t xml:space="preserve"> However, this freedom is not absolute, and courts may decline to enforce contracts affected, </w:t>
      </w:r>
      <w:r w:rsidRPr="006F0A2E">
        <w:rPr>
          <w:rFonts w:asciiTheme="minorHAnsi" w:hAnsiTheme="minorHAnsi" w:cstheme="minorHAnsi"/>
          <w:i/>
          <w:iCs/>
          <w:szCs w:val="22"/>
        </w:rPr>
        <w:t>inter alia</w:t>
      </w:r>
      <w:r w:rsidRPr="006F0A2E">
        <w:rPr>
          <w:rFonts w:asciiTheme="minorHAnsi" w:hAnsiTheme="minorHAnsi" w:cstheme="minorHAnsi"/>
          <w:szCs w:val="22"/>
        </w:rPr>
        <w:t>, by vitiating factors such as incapacity, unconscionability or undue influence.</w:t>
      </w:r>
      <w:r w:rsidRPr="006F0A2E">
        <w:rPr>
          <w:rStyle w:val="FootnoteReference"/>
          <w:rFonts w:asciiTheme="minorHAnsi" w:hAnsiTheme="minorHAnsi" w:cstheme="minorHAnsi"/>
          <w:szCs w:val="22"/>
        </w:rPr>
        <w:footnoteReference w:id="84"/>
      </w:r>
      <w:r w:rsidRPr="006F0A2E">
        <w:rPr>
          <w:rFonts w:asciiTheme="minorHAnsi" w:hAnsiTheme="minorHAnsi" w:cstheme="minorHAnsi"/>
          <w:szCs w:val="22"/>
        </w:rPr>
        <w:t xml:space="preserve"> This may be perceived as ‘interference’ with freedom of contract, leading to questions about the extent to which the state should be allowed to intervene. An interpretation of freedom of contract focused on negative liberty (defined as freedom from state control)</w:t>
      </w:r>
      <w:r w:rsidRPr="006F0A2E">
        <w:rPr>
          <w:rStyle w:val="FootnoteReference"/>
          <w:rFonts w:asciiTheme="minorHAnsi" w:hAnsiTheme="minorHAnsi" w:cstheme="minorHAnsi"/>
          <w:szCs w:val="22"/>
        </w:rPr>
        <w:footnoteReference w:id="85"/>
      </w:r>
      <w:r w:rsidRPr="006F0A2E">
        <w:rPr>
          <w:rFonts w:asciiTheme="minorHAnsi" w:hAnsiTheme="minorHAnsi" w:cstheme="minorHAnsi"/>
          <w:szCs w:val="22"/>
        </w:rPr>
        <w:t xml:space="preserve"> would seek to resist such interference, limiting it to procedural factors (e.g. vitiation of consent) and unconcerned with substantive considerations (e.g. whether the parties entered into a grossly asymmetrical contract). This vision is not concerned with who the parties are (e.g. whether there is a gross imbalance in their bargaining power),</w:t>
      </w:r>
      <w:r w:rsidRPr="006F0A2E">
        <w:rPr>
          <w:rStyle w:val="FootnoteReference"/>
          <w:rFonts w:asciiTheme="minorHAnsi" w:hAnsiTheme="minorHAnsi" w:cstheme="minorHAnsi"/>
          <w:szCs w:val="22"/>
        </w:rPr>
        <w:footnoteReference w:id="86"/>
      </w:r>
      <w:r w:rsidRPr="006F0A2E">
        <w:rPr>
          <w:rFonts w:asciiTheme="minorHAnsi" w:hAnsiTheme="minorHAnsi" w:cstheme="minorHAnsi"/>
          <w:szCs w:val="22"/>
        </w:rPr>
        <w:t xml:space="preserve"> and reflects a narrow conception of autonomy, perceiving the parties as economic actors in pursuit of their individual interests.</w:t>
      </w:r>
      <w:r w:rsidRPr="006F0A2E">
        <w:rPr>
          <w:rStyle w:val="FootnoteReference"/>
          <w:rFonts w:asciiTheme="minorHAnsi" w:hAnsiTheme="minorHAnsi" w:cstheme="minorHAnsi"/>
          <w:szCs w:val="22"/>
        </w:rPr>
        <w:footnoteReference w:id="87"/>
      </w:r>
      <w:r w:rsidRPr="006F0A2E">
        <w:rPr>
          <w:rFonts w:asciiTheme="minorHAnsi" w:hAnsiTheme="minorHAnsi" w:cstheme="minorHAnsi"/>
          <w:szCs w:val="22"/>
        </w:rPr>
        <w:t xml:space="preserve"> An alternative vision of freedom of contract is to focus on positive values such </w:t>
      </w:r>
      <w:r w:rsidR="0057627E">
        <w:rPr>
          <w:rFonts w:asciiTheme="minorHAnsi" w:hAnsiTheme="minorHAnsi" w:cstheme="minorHAnsi"/>
          <w:szCs w:val="22"/>
        </w:rPr>
        <w:t xml:space="preserve">as </w:t>
      </w:r>
      <w:r w:rsidRPr="006F0A2E">
        <w:rPr>
          <w:rFonts w:asciiTheme="minorHAnsi" w:hAnsiTheme="minorHAnsi" w:cstheme="minorHAnsi"/>
          <w:szCs w:val="22"/>
        </w:rPr>
        <w:t xml:space="preserve">promoting respect for human dignity, where the state would refuse to enforce transactions that harm </w:t>
      </w:r>
      <w:r>
        <w:rPr>
          <w:rFonts w:asciiTheme="minorHAnsi" w:hAnsiTheme="minorHAnsi" w:cstheme="minorHAnsi"/>
          <w:szCs w:val="22"/>
        </w:rPr>
        <w:t>such values</w:t>
      </w:r>
      <w:r w:rsidRPr="006F0A2E">
        <w:rPr>
          <w:rFonts w:asciiTheme="minorHAnsi" w:hAnsiTheme="minorHAnsi" w:cstheme="minorHAnsi"/>
          <w:szCs w:val="22"/>
        </w:rPr>
        <w:t>.</w:t>
      </w:r>
      <w:r w:rsidRPr="006F0A2E">
        <w:rPr>
          <w:rStyle w:val="FootnoteReference"/>
          <w:rFonts w:asciiTheme="minorHAnsi" w:hAnsiTheme="minorHAnsi" w:cstheme="minorHAnsi"/>
          <w:szCs w:val="22"/>
        </w:rPr>
        <w:footnoteReference w:id="88"/>
      </w:r>
      <w:r w:rsidRPr="006F0A2E">
        <w:rPr>
          <w:rFonts w:asciiTheme="minorHAnsi" w:hAnsiTheme="minorHAnsi" w:cstheme="minorHAnsi"/>
          <w:szCs w:val="22"/>
        </w:rPr>
        <w:t xml:space="preserve"> This would reflect a broad, relational conception of autonomy, focused on the inter-dependence between human beings,</w:t>
      </w:r>
      <w:r w:rsidRPr="006F0A2E">
        <w:rPr>
          <w:rStyle w:val="FootnoteReference"/>
          <w:rFonts w:asciiTheme="minorHAnsi" w:hAnsiTheme="minorHAnsi" w:cstheme="minorHAnsi"/>
          <w:szCs w:val="22"/>
        </w:rPr>
        <w:footnoteReference w:id="89"/>
      </w:r>
      <w:r w:rsidRPr="006F0A2E">
        <w:rPr>
          <w:rFonts w:asciiTheme="minorHAnsi" w:hAnsiTheme="minorHAnsi" w:cstheme="minorHAnsi"/>
          <w:szCs w:val="22"/>
        </w:rPr>
        <w:t xml:space="preserve"> where contract law facilitates transactions that connect people into mutual relations within a wider social sphere.</w:t>
      </w:r>
      <w:r w:rsidRPr="006F0A2E">
        <w:rPr>
          <w:rStyle w:val="FootnoteReference"/>
          <w:rFonts w:asciiTheme="minorHAnsi" w:hAnsiTheme="minorHAnsi" w:cstheme="minorHAnsi"/>
          <w:szCs w:val="22"/>
        </w:rPr>
        <w:footnoteReference w:id="90"/>
      </w:r>
    </w:p>
    <w:p w14:paraId="241D3F31" w14:textId="77777777" w:rsidR="00192270" w:rsidRDefault="00192270" w:rsidP="00192270">
      <w:pPr>
        <w:rPr>
          <w:rFonts w:asciiTheme="minorHAnsi" w:hAnsiTheme="minorHAnsi" w:cstheme="minorHAnsi"/>
          <w:szCs w:val="22"/>
        </w:rPr>
      </w:pPr>
    </w:p>
    <w:p w14:paraId="1590D482" w14:textId="7FA537A4" w:rsidR="00192270" w:rsidRDefault="00192270" w:rsidP="000F4536">
      <w:pPr>
        <w:rPr>
          <w:rFonts w:asciiTheme="minorHAnsi" w:hAnsiTheme="minorHAnsi" w:cstheme="minorHAnsi"/>
          <w:szCs w:val="22"/>
        </w:rPr>
      </w:pPr>
      <w:r>
        <w:rPr>
          <w:rFonts w:asciiTheme="minorHAnsi" w:hAnsiTheme="minorHAnsi" w:cstheme="minorHAnsi"/>
          <w:szCs w:val="22"/>
        </w:rPr>
        <w:t xml:space="preserve">In English contract law, the prevalent vision appears to be </w:t>
      </w:r>
      <w:r w:rsidR="00C17A35">
        <w:rPr>
          <w:rFonts w:asciiTheme="minorHAnsi" w:hAnsiTheme="minorHAnsi" w:cstheme="minorHAnsi"/>
          <w:szCs w:val="22"/>
        </w:rPr>
        <w:t>a</w:t>
      </w:r>
      <w:r>
        <w:rPr>
          <w:rFonts w:asciiTheme="minorHAnsi" w:hAnsiTheme="minorHAnsi" w:cstheme="minorHAnsi"/>
          <w:szCs w:val="22"/>
        </w:rPr>
        <w:t xml:space="preserve"> narrow understanding of freedom of contract, focused on limited intervention confined to procedural grounds and generally unconcerned with imbalance in the contracting parties’ bargaining power. This point will be illustrated with reference to the current legal framework on contractual incapacity (focused on the common law approach), undue influence and unconscionability. Whilst the discussion in the previous section focused on a case involving contracting parties affected by inaccessible services</w:t>
      </w:r>
      <w:r>
        <w:rPr>
          <w:rStyle w:val="FootnoteReference"/>
          <w:rFonts w:asciiTheme="minorHAnsi" w:hAnsiTheme="minorHAnsi" w:cstheme="minorHAnsi"/>
          <w:szCs w:val="22"/>
        </w:rPr>
        <w:footnoteReference w:id="91"/>
      </w:r>
      <w:r>
        <w:rPr>
          <w:rFonts w:asciiTheme="minorHAnsi" w:hAnsiTheme="minorHAnsi" w:cstheme="minorHAnsi"/>
          <w:szCs w:val="22"/>
        </w:rPr>
        <w:t xml:space="preserve"> and the present section will look at cases where parties seek to avoid a contract affected by vitiating factors, the common thread of the discussion is the wider question whether the concept of ‘freedom of contract’ can be used to resist interventions in pursuit of </w:t>
      </w:r>
      <w:r w:rsidR="00B571CD">
        <w:rPr>
          <w:rFonts w:asciiTheme="minorHAnsi" w:hAnsiTheme="minorHAnsi" w:cstheme="minorHAnsi"/>
          <w:szCs w:val="22"/>
        </w:rPr>
        <w:t xml:space="preserve">substantive fairness and </w:t>
      </w:r>
      <w:r>
        <w:rPr>
          <w:rFonts w:asciiTheme="minorHAnsi" w:hAnsiTheme="minorHAnsi" w:cstheme="minorHAnsi"/>
          <w:szCs w:val="22"/>
        </w:rPr>
        <w:t>social objectives such as the protection of human dignity.</w:t>
      </w:r>
    </w:p>
    <w:p w14:paraId="0EF4FBCA" w14:textId="0F544BA0" w:rsidR="00E70B76" w:rsidRDefault="00E70B76" w:rsidP="000F4536">
      <w:pPr>
        <w:rPr>
          <w:rFonts w:asciiTheme="minorHAnsi" w:hAnsiTheme="minorHAnsi" w:cstheme="minorHAnsi"/>
          <w:szCs w:val="22"/>
        </w:rPr>
      </w:pPr>
    </w:p>
    <w:p w14:paraId="2FE60375" w14:textId="11B619D3" w:rsidR="00E70B76" w:rsidRDefault="00E70B76" w:rsidP="000F4536">
      <w:pPr>
        <w:rPr>
          <w:rFonts w:asciiTheme="minorHAnsi" w:hAnsiTheme="minorHAnsi" w:cstheme="minorHAnsi"/>
          <w:szCs w:val="22"/>
        </w:rPr>
      </w:pPr>
      <w:r>
        <w:rPr>
          <w:rFonts w:asciiTheme="minorHAnsi" w:hAnsiTheme="minorHAnsi" w:cstheme="minorHAnsi"/>
          <w:szCs w:val="22"/>
        </w:rPr>
        <w:lastRenderedPageBreak/>
        <w:t>The doctrines of incapacity, undue influence and unconscionability have the potential to assist vulnerable contracting parties, including parties</w:t>
      </w:r>
      <w:r w:rsidRPr="0078628A">
        <w:rPr>
          <w:rFonts w:asciiTheme="minorHAnsi" w:hAnsiTheme="minorHAnsi" w:cstheme="minorHAnsi"/>
          <w:szCs w:val="22"/>
        </w:rPr>
        <w:t xml:space="preserve"> whose capacity to understand the implications of a transaction has been affected by mental health conditions such as dementia. </w:t>
      </w:r>
      <w:r>
        <w:rPr>
          <w:rFonts w:asciiTheme="minorHAnsi" w:hAnsiTheme="minorHAnsi" w:cstheme="minorHAnsi"/>
          <w:szCs w:val="22"/>
        </w:rPr>
        <w:t xml:space="preserve">Whilst English contract law starts from a </w:t>
      </w:r>
      <w:r>
        <w:rPr>
          <w:rFonts w:asciiTheme="minorHAnsi" w:hAnsiTheme="minorHAnsi" w:cstheme="minorHAnsi"/>
          <w:i/>
          <w:iCs/>
          <w:szCs w:val="22"/>
        </w:rPr>
        <w:t xml:space="preserve">prima facie </w:t>
      </w:r>
      <w:r>
        <w:rPr>
          <w:rFonts w:asciiTheme="minorHAnsi" w:hAnsiTheme="minorHAnsi" w:cstheme="minorHAnsi"/>
          <w:szCs w:val="22"/>
        </w:rPr>
        <w:t xml:space="preserve">presumption of contractual capacity for all adults, a party (A) may seek to set aside a contract on grounds of incapacity, </w:t>
      </w:r>
      <w:r w:rsidRPr="0078628A">
        <w:rPr>
          <w:rFonts w:asciiTheme="minorHAnsi" w:hAnsiTheme="minorHAnsi" w:cstheme="minorHAnsi"/>
          <w:szCs w:val="22"/>
        </w:rPr>
        <w:t>with reference to the test under the Mental Capacity Act</w:t>
      </w:r>
      <w:r w:rsidRPr="0078628A">
        <w:rPr>
          <w:rFonts w:asciiTheme="minorHAnsi" w:hAnsiTheme="minorHAnsi" w:cstheme="minorHAnsi"/>
          <w:i/>
          <w:iCs/>
          <w:szCs w:val="22"/>
        </w:rPr>
        <w:t xml:space="preserve"> </w:t>
      </w:r>
      <w:r w:rsidRPr="0078628A">
        <w:rPr>
          <w:rFonts w:asciiTheme="minorHAnsi" w:hAnsiTheme="minorHAnsi" w:cstheme="minorHAnsi"/>
          <w:szCs w:val="22"/>
        </w:rPr>
        <w:t>(MCA) 2005</w:t>
      </w:r>
      <w:r w:rsidRPr="0078628A">
        <w:rPr>
          <w:rStyle w:val="FootnoteReference"/>
          <w:rFonts w:asciiTheme="minorHAnsi" w:hAnsiTheme="minorHAnsi" w:cstheme="minorHAnsi"/>
          <w:szCs w:val="22"/>
        </w:rPr>
        <w:footnoteReference w:id="92"/>
      </w:r>
      <w:r w:rsidRPr="0078628A">
        <w:rPr>
          <w:rFonts w:asciiTheme="minorHAnsi" w:hAnsiTheme="minorHAnsi" w:cstheme="minorHAnsi"/>
          <w:szCs w:val="22"/>
        </w:rPr>
        <w:t xml:space="preserve"> </w:t>
      </w:r>
      <w:r>
        <w:rPr>
          <w:rFonts w:asciiTheme="minorHAnsi" w:hAnsiTheme="minorHAnsi" w:cstheme="minorHAnsi"/>
          <w:szCs w:val="22"/>
        </w:rPr>
        <w:t>(</w:t>
      </w:r>
      <w:r w:rsidRPr="0078628A">
        <w:rPr>
          <w:rFonts w:asciiTheme="minorHAnsi" w:hAnsiTheme="minorHAnsi" w:cstheme="minorHAnsi"/>
          <w:szCs w:val="22"/>
        </w:rPr>
        <w:t>for contracts for necessary goods and services</w:t>
      </w:r>
      <w:r>
        <w:rPr>
          <w:rFonts w:asciiTheme="minorHAnsi" w:hAnsiTheme="minorHAnsi" w:cstheme="minorHAnsi"/>
          <w:szCs w:val="22"/>
        </w:rPr>
        <w:t>)</w:t>
      </w:r>
      <w:r w:rsidRPr="0078628A">
        <w:rPr>
          <w:rFonts w:asciiTheme="minorHAnsi" w:hAnsiTheme="minorHAnsi" w:cstheme="minorHAnsi"/>
          <w:szCs w:val="22"/>
        </w:rPr>
        <w:t>,</w:t>
      </w:r>
      <w:r w:rsidRPr="0078628A">
        <w:rPr>
          <w:rStyle w:val="FootnoteReference"/>
          <w:rFonts w:asciiTheme="minorHAnsi" w:hAnsiTheme="minorHAnsi" w:cstheme="minorHAnsi"/>
          <w:szCs w:val="22"/>
        </w:rPr>
        <w:footnoteReference w:id="93"/>
      </w:r>
      <w:r w:rsidRPr="0078628A">
        <w:rPr>
          <w:rFonts w:asciiTheme="minorHAnsi" w:hAnsiTheme="minorHAnsi" w:cstheme="minorHAnsi"/>
          <w:szCs w:val="22"/>
        </w:rPr>
        <w:t xml:space="preserve"> or the common law test </w:t>
      </w:r>
      <w:r>
        <w:rPr>
          <w:rFonts w:asciiTheme="minorHAnsi" w:hAnsiTheme="minorHAnsi" w:cstheme="minorHAnsi"/>
          <w:szCs w:val="22"/>
        </w:rPr>
        <w:t>(</w:t>
      </w:r>
      <w:r w:rsidRPr="0078628A">
        <w:rPr>
          <w:rFonts w:asciiTheme="minorHAnsi" w:hAnsiTheme="minorHAnsi" w:cstheme="minorHAnsi"/>
          <w:szCs w:val="22"/>
        </w:rPr>
        <w:t>for all other contracts</w:t>
      </w:r>
      <w:r>
        <w:rPr>
          <w:rFonts w:asciiTheme="minorHAnsi" w:hAnsiTheme="minorHAnsi" w:cstheme="minorHAnsi"/>
          <w:szCs w:val="22"/>
        </w:rPr>
        <w:t>)</w:t>
      </w:r>
      <w:r w:rsidRPr="0078628A">
        <w:rPr>
          <w:rFonts w:asciiTheme="minorHAnsi" w:hAnsiTheme="minorHAnsi" w:cstheme="minorHAnsi"/>
          <w:szCs w:val="22"/>
        </w:rPr>
        <w:t>.</w:t>
      </w:r>
      <w:r w:rsidRPr="0078628A">
        <w:rPr>
          <w:rStyle w:val="FootnoteReference"/>
          <w:rFonts w:asciiTheme="minorHAnsi" w:hAnsiTheme="minorHAnsi" w:cstheme="minorHAnsi"/>
          <w:szCs w:val="22"/>
        </w:rPr>
        <w:footnoteReference w:id="94"/>
      </w:r>
      <w:r w:rsidRPr="0078628A">
        <w:rPr>
          <w:rFonts w:asciiTheme="minorHAnsi" w:hAnsiTheme="minorHAnsi" w:cstheme="minorHAnsi"/>
          <w:szCs w:val="22"/>
        </w:rPr>
        <w:t xml:space="preserve"> </w:t>
      </w:r>
      <w:r>
        <w:rPr>
          <w:rFonts w:asciiTheme="minorHAnsi" w:hAnsiTheme="minorHAnsi" w:cstheme="minorHAnsi"/>
          <w:szCs w:val="22"/>
        </w:rPr>
        <w:t xml:space="preserve">Based on a </w:t>
      </w:r>
      <w:r w:rsidRPr="0078628A">
        <w:rPr>
          <w:rFonts w:asciiTheme="minorHAnsi" w:hAnsiTheme="minorHAnsi" w:cstheme="minorHAnsi"/>
          <w:szCs w:val="22"/>
        </w:rPr>
        <w:t>time and issue</w:t>
      </w:r>
      <w:r>
        <w:rPr>
          <w:rFonts w:asciiTheme="minorHAnsi" w:hAnsiTheme="minorHAnsi" w:cstheme="minorHAnsi"/>
          <w:szCs w:val="22"/>
        </w:rPr>
        <w:t xml:space="preserve"> </w:t>
      </w:r>
      <w:r w:rsidRPr="0078628A">
        <w:rPr>
          <w:rFonts w:asciiTheme="minorHAnsi" w:hAnsiTheme="minorHAnsi" w:cstheme="minorHAnsi"/>
          <w:szCs w:val="22"/>
        </w:rPr>
        <w:t>specific approach</w:t>
      </w:r>
      <w:r>
        <w:rPr>
          <w:rFonts w:asciiTheme="minorHAnsi" w:hAnsiTheme="minorHAnsi" w:cstheme="minorHAnsi"/>
          <w:szCs w:val="22"/>
        </w:rPr>
        <w:t xml:space="preserve">, these tests consider that </w:t>
      </w:r>
      <w:r w:rsidRPr="0078628A">
        <w:rPr>
          <w:rFonts w:asciiTheme="minorHAnsi" w:hAnsiTheme="minorHAnsi" w:cstheme="minorHAnsi"/>
          <w:szCs w:val="22"/>
        </w:rPr>
        <w:t xml:space="preserve">A </w:t>
      </w:r>
      <w:r>
        <w:rPr>
          <w:rFonts w:asciiTheme="minorHAnsi" w:hAnsiTheme="minorHAnsi" w:cstheme="minorHAnsi"/>
          <w:szCs w:val="22"/>
        </w:rPr>
        <w:t>lacked</w:t>
      </w:r>
      <w:r w:rsidRPr="0078628A">
        <w:rPr>
          <w:rFonts w:asciiTheme="minorHAnsi" w:hAnsiTheme="minorHAnsi" w:cstheme="minorHAnsi"/>
          <w:szCs w:val="22"/>
        </w:rPr>
        <w:t xml:space="preserve"> the mental capacity to enter into </w:t>
      </w:r>
      <w:r>
        <w:rPr>
          <w:rFonts w:asciiTheme="minorHAnsi" w:hAnsiTheme="minorHAnsi" w:cstheme="minorHAnsi"/>
          <w:szCs w:val="22"/>
        </w:rPr>
        <w:t>a</w:t>
      </w:r>
      <w:r w:rsidRPr="0078628A">
        <w:rPr>
          <w:rFonts w:asciiTheme="minorHAnsi" w:hAnsiTheme="minorHAnsi" w:cstheme="minorHAnsi"/>
          <w:szCs w:val="22"/>
        </w:rPr>
        <w:t xml:space="preserve"> contract</w:t>
      </w:r>
      <w:r>
        <w:rPr>
          <w:rFonts w:asciiTheme="minorHAnsi" w:hAnsiTheme="minorHAnsi" w:cstheme="minorHAnsi"/>
          <w:szCs w:val="22"/>
        </w:rPr>
        <w:t xml:space="preserve"> if, at the time of the transaction, </w:t>
      </w:r>
      <w:r w:rsidRPr="0078628A">
        <w:rPr>
          <w:rFonts w:asciiTheme="minorHAnsi" w:hAnsiTheme="minorHAnsi" w:cstheme="minorHAnsi"/>
          <w:szCs w:val="22"/>
        </w:rPr>
        <w:t xml:space="preserve">he was unable to make a decision for himself </w:t>
      </w:r>
      <w:r>
        <w:rPr>
          <w:rFonts w:asciiTheme="minorHAnsi" w:hAnsiTheme="minorHAnsi" w:cstheme="minorHAnsi"/>
          <w:szCs w:val="22"/>
        </w:rPr>
        <w:t xml:space="preserve">regarding the transaction, due to </w:t>
      </w:r>
      <w:r w:rsidRPr="0078628A">
        <w:rPr>
          <w:rFonts w:asciiTheme="minorHAnsi" w:hAnsiTheme="minorHAnsi" w:cstheme="minorHAnsi"/>
          <w:szCs w:val="22"/>
        </w:rPr>
        <w:t>‘an impairment of, or a disturbance in the functioning of the mind or brain’ (under the MCA 2005 test),</w:t>
      </w:r>
      <w:r w:rsidRPr="0078628A">
        <w:rPr>
          <w:rStyle w:val="FootnoteReference"/>
          <w:rFonts w:asciiTheme="minorHAnsi" w:hAnsiTheme="minorHAnsi" w:cstheme="minorHAnsi"/>
          <w:szCs w:val="22"/>
        </w:rPr>
        <w:footnoteReference w:id="95"/>
      </w:r>
      <w:r w:rsidRPr="0078628A">
        <w:rPr>
          <w:rFonts w:asciiTheme="minorHAnsi" w:hAnsiTheme="minorHAnsi" w:cstheme="minorHAnsi"/>
          <w:szCs w:val="22"/>
        </w:rPr>
        <w:t xml:space="preserve"> or because he was ‘so insane’ that he ‘did not know what he was doing’ (under the common law test).</w:t>
      </w:r>
      <w:r w:rsidRPr="0078628A">
        <w:rPr>
          <w:rStyle w:val="FootnoteReference"/>
          <w:rFonts w:asciiTheme="minorHAnsi" w:hAnsiTheme="minorHAnsi" w:cstheme="minorHAnsi"/>
          <w:szCs w:val="22"/>
        </w:rPr>
        <w:footnoteReference w:id="96"/>
      </w:r>
      <w:r w:rsidRPr="0078628A">
        <w:rPr>
          <w:rFonts w:asciiTheme="minorHAnsi" w:hAnsiTheme="minorHAnsi" w:cstheme="minorHAnsi"/>
          <w:szCs w:val="22"/>
        </w:rPr>
        <w:t xml:space="preserve"> </w:t>
      </w:r>
      <w:r>
        <w:rPr>
          <w:rFonts w:asciiTheme="minorHAnsi" w:hAnsiTheme="minorHAnsi" w:cstheme="minorHAnsi"/>
          <w:szCs w:val="22"/>
        </w:rPr>
        <w:t xml:space="preserve">If A is unable to rebut the </w:t>
      </w:r>
      <w:r w:rsidRPr="0078628A">
        <w:rPr>
          <w:rFonts w:asciiTheme="minorHAnsi" w:hAnsiTheme="minorHAnsi" w:cstheme="minorHAnsi"/>
          <w:i/>
          <w:iCs/>
          <w:szCs w:val="22"/>
        </w:rPr>
        <w:t>prima facie</w:t>
      </w:r>
      <w:r w:rsidRPr="0078628A">
        <w:rPr>
          <w:rFonts w:asciiTheme="minorHAnsi" w:hAnsiTheme="minorHAnsi" w:cstheme="minorHAnsi"/>
          <w:szCs w:val="22"/>
        </w:rPr>
        <w:t xml:space="preserve"> presumption of contractual capacity</w:t>
      </w:r>
      <w:r>
        <w:rPr>
          <w:rFonts w:asciiTheme="minorHAnsi" w:hAnsiTheme="minorHAnsi" w:cstheme="minorHAnsi"/>
          <w:szCs w:val="22"/>
        </w:rPr>
        <w:t xml:space="preserve"> under these tests, he may seek to render the transaction voidable by relying on </w:t>
      </w:r>
      <w:r w:rsidRPr="0078628A">
        <w:rPr>
          <w:rFonts w:asciiTheme="minorHAnsi" w:hAnsiTheme="minorHAnsi" w:cstheme="minorHAnsi"/>
          <w:szCs w:val="22"/>
        </w:rPr>
        <w:t>the equitable doctrines of undue influence and unconscionability.</w:t>
      </w:r>
      <w:r>
        <w:rPr>
          <w:rFonts w:asciiTheme="minorHAnsi" w:hAnsiTheme="minorHAnsi" w:cstheme="minorHAnsi"/>
          <w:szCs w:val="22"/>
        </w:rPr>
        <w:t xml:space="preserve"> This may be the case if his </w:t>
      </w:r>
      <w:r w:rsidRPr="0078628A">
        <w:rPr>
          <w:rFonts w:asciiTheme="minorHAnsi" w:hAnsiTheme="minorHAnsi" w:cstheme="minorHAnsi"/>
          <w:szCs w:val="22"/>
        </w:rPr>
        <w:t xml:space="preserve">weakness has been exploited by </w:t>
      </w:r>
      <w:r>
        <w:rPr>
          <w:rFonts w:asciiTheme="minorHAnsi" w:hAnsiTheme="minorHAnsi" w:cstheme="minorHAnsi"/>
          <w:szCs w:val="22"/>
        </w:rPr>
        <w:t>the other contracting party (</w:t>
      </w:r>
      <w:r w:rsidRPr="0078628A">
        <w:rPr>
          <w:rFonts w:asciiTheme="minorHAnsi" w:hAnsiTheme="minorHAnsi" w:cstheme="minorHAnsi"/>
          <w:szCs w:val="22"/>
        </w:rPr>
        <w:t>B</w:t>
      </w:r>
      <w:r>
        <w:rPr>
          <w:rFonts w:asciiTheme="minorHAnsi" w:hAnsiTheme="minorHAnsi" w:cstheme="minorHAnsi"/>
          <w:szCs w:val="22"/>
        </w:rPr>
        <w:t>) (</w:t>
      </w:r>
      <w:r w:rsidRPr="0078628A">
        <w:rPr>
          <w:rFonts w:asciiTheme="minorHAnsi" w:hAnsiTheme="minorHAnsi" w:cstheme="minorHAnsi"/>
          <w:szCs w:val="22"/>
        </w:rPr>
        <w:t>in the case of unconscionability</w:t>
      </w:r>
      <w:r>
        <w:rPr>
          <w:rFonts w:asciiTheme="minorHAnsi" w:hAnsiTheme="minorHAnsi" w:cstheme="minorHAnsi"/>
          <w:szCs w:val="22"/>
        </w:rPr>
        <w:t>),</w:t>
      </w:r>
      <w:r w:rsidRPr="0078628A">
        <w:rPr>
          <w:rStyle w:val="FootnoteReference"/>
          <w:rFonts w:asciiTheme="minorHAnsi" w:hAnsiTheme="minorHAnsi" w:cstheme="minorHAnsi"/>
          <w:szCs w:val="22"/>
        </w:rPr>
        <w:footnoteReference w:id="97"/>
      </w:r>
      <w:r>
        <w:rPr>
          <w:rFonts w:asciiTheme="minorHAnsi" w:hAnsiTheme="minorHAnsi" w:cstheme="minorHAnsi"/>
          <w:szCs w:val="22"/>
        </w:rPr>
        <w:t xml:space="preserve"> or if </w:t>
      </w:r>
      <w:r w:rsidRPr="0078628A">
        <w:rPr>
          <w:rFonts w:asciiTheme="minorHAnsi" w:hAnsiTheme="minorHAnsi" w:cstheme="minorHAnsi"/>
          <w:szCs w:val="22"/>
        </w:rPr>
        <w:t xml:space="preserve"> A and B </w:t>
      </w:r>
      <w:r>
        <w:rPr>
          <w:rFonts w:asciiTheme="minorHAnsi" w:hAnsiTheme="minorHAnsi" w:cstheme="minorHAnsi"/>
          <w:szCs w:val="22"/>
        </w:rPr>
        <w:t>were</w:t>
      </w:r>
      <w:r w:rsidRPr="0078628A">
        <w:rPr>
          <w:rFonts w:asciiTheme="minorHAnsi" w:hAnsiTheme="minorHAnsi" w:cstheme="minorHAnsi"/>
          <w:szCs w:val="22"/>
        </w:rPr>
        <w:t xml:space="preserve"> in a relationship of trust and confidence and B took unfair advantage of his influence over A (in the case of undue influence)</w:t>
      </w:r>
      <w:r>
        <w:rPr>
          <w:rFonts w:asciiTheme="minorHAnsi" w:hAnsiTheme="minorHAnsi" w:cstheme="minorHAnsi"/>
          <w:szCs w:val="22"/>
        </w:rPr>
        <w:t>.</w:t>
      </w:r>
      <w:r w:rsidRPr="0078628A">
        <w:rPr>
          <w:rStyle w:val="FootnoteReference"/>
          <w:rFonts w:asciiTheme="minorHAnsi" w:hAnsiTheme="minorHAnsi" w:cstheme="minorHAnsi"/>
          <w:szCs w:val="22"/>
        </w:rPr>
        <w:footnoteReference w:id="98"/>
      </w:r>
      <w:r>
        <w:rPr>
          <w:rFonts w:asciiTheme="minorHAnsi" w:hAnsiTheme="minorHAnsi" w:cstheme="minorHAnsi"/>
          <w:szCs w:val="22"/>
        </w:rPr>
        <w:t xml:space="preserve"> The latter doctrine may also have relevance in </w:t>
      </w:r>
      <w:r w:rsidRPr="008B1AC1">
        <w:rPr>
          <w:rFonts w:asciiTheme="minorHAnsi" w:hAnsiTheme="minorHAnsi" w:cstheme="minorHAnsi"/>
          <w:szCs w:val="22"/>
        </w:rPr>
        <w:t xml:space="preserve">tripartite situations </w:t>
      </w:r>
      <w:r>
        <w:rPr>
          <w:rFonts w:asciiTheme="minorHAnsi" w:hAnsiTheme="minorHAnsi" w:cstheme="minorHAnsi"/>
          <w:szCs w:val="22"/>
        </w:rPr>
        <w:t xml:space="preserve">where A acts as surety for </w:t>
      </w:r>
      <w:r w:rsidR="00C17A35">
        <w:rPr>
          <w:rFonts w:asciiTheme="minorHAnsi" w:hAnsiTheme="minorHAnsi" w:cstheme="minorHAnsi"/>
          <w:szCs w:val="22"/>
        </w:rPr>
        <w:t xml:space="preserve">a </w:t>
      </w:r>
      <w:r w:rsidR="00C17A35" w:rsidRPr="008B1AC1">
        <w:rPr>
          <w:rFonts w:asciiTheme="minorHAnsi" w:hAnsiTheme="minorHAnsi" w:cstheme="minorHAnsi"/>
          <w:szCs w:val="22"/>
        </w:rPr>
        <w:t>debtor</w:t>
      </w:r>
      <w:r>
        <w:rPr>
          <w:rFonts w:asciiTheme="minorHAnsi" w:hAnsiTheme="minorHAnsi" w:cstheme="minorHAnsi"/>
          <w:szCs w:val="22"/>
        </w:rPr>
        <w:t xml:space="preserve"> in support of </w:t>
      </w:r>
      <w:r w:rsidR="00C17A35">
        <w:rPr>
          <w:rFonts w:asciiTheme="minorHAnsi" w:hAnsiTheme="minorHAnsi" w:cstheme="minorHAnsi"/>
          <w:szCs w:val="22"/>
        </w:rPr>
        <w:t>the latter’s</w:t>
      </w:r>
      <w:r>
        <w:rPr>
          <w:rFonts w:asciiTheme="minorHAnsi" w:hAnsiTheme="minorHAnsi" w:cstheme="minorHAnsi"/>
          <w:szCs w:val="22"/>
        </w:rPr>
        <w:t xml:space="preserve"> loan from a bank, and the bank had </w:t>
      </w:r>
      <w:r w:rsidRPr="008B1AC1">
        <w:rPr>
          <w:rFonts w:asciiTheme="minorHAnsi" w:hAnsiTheme="minorHAnsi" w:cstheme="minorHAnsi"/>
          <w:szCs w:val="22"/>
        </w:rPr>
        <w:t>constructive notice of undue influence</w:t>
      </w:r>
      <w:r>
        <w:rPr>
          <w:rFonts w:asciiTheme="minorHAnsi" w:hAnsiTheme="minorHAnsi" w:cstheme="minorHAnsi"/>
          <w:szCs w:val="22"/>
        </w:rPr>
        <w:t xml:space="preserve">, as </w:t>
      </w:r>
      <w:r w:rsidRPr="008B1AC1">
        <w:rPr>
          <w:rFonts w:asciiTheme="minorHAnsi" w:hAnsiTheme="minorHAnsi" w:cstheme="minorHAnsi"/>
          <w:szCs w:val="22"/>
        </w:rPr>
        <w:t xml:space="preserve">the surety and the debtor </w:t>
      </w:r>
      <w:r>
        <w:rPr>
          <w:rFonts w:asciiTheme="minorHAnsi" w:hAnsiTheme="minorHAnsi" w:cstheme="minorHAnsi"/>
          <w:szCs w:val="22"/>
        </w:rPr>
        <w:t>were</w:t>
      </w:r>
      <w:r w:rsidRPr="008B1AC1">
        <w:rPr>
          <w:rFonts w:asciiTheme="minorHAnsi" w:hAnsiTheme="minorHAnsi" w:cstheme="minorHAnsi"/>
          <w:szCs w:val="22"/>
        </w:rPr>
        <w:t xml:space="preserve"> in a non-commercial relation</w:t>
      </w:r>
      <w:r>
        <w:rPr>
          <w:rFonts w:asciiTheme="minorHAnsi" w:hAnsiTheme="minorHAnsi" w:cstheme="minorHAnsi"/>
          <w:szCs w:val="22"/>
        </w:rPr>
        <w:t>.</w:t>
      </w:r>
      <w:r w:rsidRPr="008B1AC1">
        <w:rPr>
          <w:rStyle w:val="FootnoteReference"/>
          <w:rFonts w:asciiTheme="minorHAnsi" w:hAnsiTheme="minorHAnsi" w:cstheme="minorHAnsi"/>
          <w:szCs w:val="22"/>
        </w:rPr>
        <w:footnoteReference w:id="99"/>
      </w:r>
      <w:r>
        <w:rPr>
          <w:rFonts w:asciiTheme="minorHAnsi" w:hAnsiTheme="minorHAnsi" w:cstheme="minorHAnsi"/>
          <w:szCs w:val="22"/>
        </w:rPr>
        <w:t xml:space="preserve"> The doctrines of unconscionability and undue influence have a role to play even where A’s </w:t>
      </w:r>
      <w:r w:rsidRPr="0078628A">
        <w:rPr>
          <w:rFonts w:asciiTheme="minorHAnsi" w:hAnsiTheme="minorHAnsi" w:cstheme="minorHAnsi"/>
          <w:i/>
          <w:iCs/>
          <w:szCs w:val="22"/>
        </w:rPr>
        <w:t>prima facie</w:t>
      </w:r>
      <w:r w:rsidRPr="0078628A">
        <w:rPr>
          <w:rFonts w:asciiTheme="minorHAnsi" w:hAnsiTheme="minorHAnsi" w:cstheme="minorHAnsi"/>
          <w:szCs w:val="22"/>
        </w:rPr>
        <w:t xml:space="preserve"> presumption of contractual capacity can be rebutted </w:t>
      </w:r>
      <w:r>
        <w:rPr>
          <w:rFonts w:asciiTheme="minorHAnsi" w:hAnsiTheme="minorHAnsi" w:cstheme="minorHAnsi"/>
          <w:szCs w:val="22"/>
        </w:rPr>
        <w:t xml:space="preserve">under the </w:t>
      </w:r>
      <w:r w:rsidRPr="0078628A">
        <w:rPr>
          <w:rFonts w:asciiTheme="minorHAnsi" w:hAnsiTheme="minorHAnsi" w:cstheme="minorHAnsi"/>
          <w:szCs w:val="22"/>
        </w:rPr>
        <w:t>MCA 2005 or the common law test</w:t>
      </w:r>
      <w:r>
        <w:rPr>
          <w:rFonts w:asciiTheme="minorHAnsi" w:hAnsiTheme="minorHAnsi" w:cstheme="minorHAnsi"/>
          <w:szCs w:val="22"/>
        </w:rPr>
        <w:t xml:space="preserve">, as </w:t>
      </w:r>
      <w:r w:rsidRPr="0078628A">
        <w:rPr>
          <w:rFonts w:asciiTheme="minorHAnsi" w:hAnsiTheme="minorHAnsi" w:cstheme="minorHAnsi"/>
          <w:szCs w:val="22"/>
        </w:rPr>
        <w:t>contract</w:t>
      </w:r>
      <w:r>
        <w:rPr>
          <w:rFonts w:asciiTheme="minorHAnsi" w:hAnsiTheme="minorHAnsi" w:cstheme="minorHAnsi"/>
          <w:szCs w:val="22"/>
        </w:rPr>
        <w:t>s</w:t>
      </w:r>
      <w:r w:rsidRPr="0078628A">
        <w:rPr>
          <w:rFonts w:asciiTheme="minorHAnsi" w:hAnsiTheme="minorHAnsi" w:cstheme="minorHAnsi"/>
          <w:szCs w:val="22"/>
        </w:rPr>
        <w:t xml:space="preserve"> where A’s property is </w:t>
      </w:r>
      <w:r w:rsidR="007378AD">
        <w:rPr>
          <w:rFonts w:asciiTheme="minorHAnsi" w:hAnsiTheme="minorHAnsi" w:cstheme="minorHAnsi"/>
          <w:szCs w:val="22"/>
        </w:rPr>
        <w:t xml:space="preserve">not </w:t>
      </w:r>
      <w:r w:rsidRPr="0078628A">
        <w:rPr>
          <w:rFonts w:asciiTheme="minorHAnsi" w:hAnsiTheme="minorHAnsi" w:cstheme="minorHAnsi"/>
          <w:szCs w:val="22"/>
        </w:rPr>
        <w:t>under the court’s control,</w:t>
      </w:r>
      <w:r w:rsidRPr="0078628A">
        <w:rPr>
          <w:rStyle w:val="FootnoteReference"/>
          <w:rFonts w:asciiTheme="minorHAnsi" w:hAnsiTheme="minorHAnsi" w:cstheme="minorHAnsi"/>
          <w:szCs w:val="22"/>
        </w:rPr>
        <w:footnoteReference w:id="100"/>
      </w:r>
      <w:r w:rsidRPr="0078628A">
        <w:rPr>
          <w:rFonts w:asciiTheme="minorHAnsi" w:hAnsiTheme="minorHAnsi" w:cstheme="minorHAnsi"/>
          <w:szCs w:val="22"/>
        </w:rPr>
        <w:t xml:space="preserve"> or where B had no knowledge of A’s mental incapacity,</w:t>
      </w:r>
      <w:r w:rsidRPr="0078628A">
        <w:rPr>
          <w:rStyle w:val="FootnoteReference"/>
          <w:rFonts w:asciiTheme="minorHAnsi" w:hAnsiTheme="minorHAnsi" w:cstheme="minorHAnsi"/>
          <w:szCs w:val="22"/>
        </w:rPr>
        <w:footnoteReference w:id="101"/>
      </w:r>
      <w:r w:rsidRPr="0078628A">
        <w:rPr>
          <w:rFonts w:asciiTheme="minorHAnsi" w:hAnsiTheme="minorHAnsi" w:cstheme="minorHAnsi"/>
          <w:szCs w:val="22"/>
        </w:rPr>
        <w:t xml:space="preserve"> remain valid, unless </w:t>
      </w:r>
      <w:r w:rsidR="00C17A35">
        <w:rPr>
          <w:rFonts w:asciiTheme="minorHAnsi" w:hAnsiTheme="minorHAnsi" w:cstheme="minorHAnsi"/>
          <w:szCs w:val="22"/>
        </w:rPr>
        <w:t>they</w:t>
      </w:r>
      <w:r w:rsidRPr="0078628A">
        <w:rPr>
          <w:rFonts w:asciiTheme="minorHAnsi" w:hAnsiTheme="minorHAnsi" w:cstheme="minorHAnsi"/>
          <w:szCs w:val="22"/>
        </w:rPr>
        <w:t xml:space="preserve"> </w:t>
      </w:r>
      <w:r>
        <w:rPr>
          <w:rFonts w:asciiTheme="minorHAnsi" w:hAnsiTheme="minorHAnsi" w:cstheme="minorHAnsi"/>
          <w:szCs w:val="22"/>
        </w:rPr>
        <w:t>can</w:t>
      </w:r>
      <w:r w:rsidRPr="0078628A">
        <w:rPr>
          <w:rFonts w:asciiTheme="minorHAnsi" w:hAnsiTheme="minorHAnsi" w:cstheme="minorHAnsi"/>
          <w:szCs w:val="22"/>
        </w:rPr>
        <w:t xml:space="preserve"> be rendered voidable </w:t>
      </w:r>
      <w:r>
        <w:rPr>
          <w:rFonts w:asciiTheme="minorHAnsi" w:hAnsiTheme="minorHAnsi" w:cstheme="minorHAnsi"/>
          <w:szCs w:val="22"/>
        </w:rPr>
        <w:t>on the basis of vitiating factors such as</w:t>
      </w:r>
      <w:r w:rsidRPr="0078628A">
        <w:rPr>
          <w:rFonts w:asciiTheme="minorHAnsi" w:hAnsiTheme="minorHAnsi" w:cstheme="minorHAnsi"/>
          <w:szCs w:val="22"/>
        </w:rPr>
        <w:t xml:space="preserve"> undue influence or unconscionability.</w:t>
      </w:r>
    </w:p>
    <w:p w14:paraId="214BEB63" w14:textId="19D072EF" w:rsidR="00DB65D2" w:rsidRDefault="00DB65D2" w:rsidP="000F4536">
      <w:pPr>
        <w:rPr>
          <w:rFonts w:asciiTheme="minorHAnsi" w:hAnsiTheme="minorHAnsi" w:cstheme="minorHAnsi"/>
          <w:szCs w:val="22"/>
        </w:rPr>
      </w:pPr>
    </w:p>
    <w:p w14:paraId="6A3462D4" w14:textId="77777777" w:rsidR="00DB65D2" w:rsidRDefault="00DB65D2" w:rsidP="00DB65D2">
      <w:pPr>
        <w:rPr>
          <w:rFonts w:asciiTheme="minorHAnsi" w:hAnsiTheme="minorHAnsi" w:cstheme="minorHAnsi"/>
          <w:szCs w:val="22"/>
        </w:rPr>
      </w:pPr>
      <w:bookmarkStart w:id="45" w:name="_Hlk17484419"/>
      <w:r w:rsidRPr="00110869">
        <w:rPr>
          <w:rFonts w:asciiTheme="minorHAnsi" w:hAnsiTheme="minorHAnsi" w:cstheme="minorHAnsi"/>
          <w:szCs w:val="22"/>
        </w:rPr>
        <w:t xml:space="preserve">The extent to which these doctrines can assist vulnerable contracting parties </w:t>
      </w:r>
      <w:r>
        <w:rPr>
          <w:rFonts w:asciiTheme="minorHAnsi" w:hAnsiTheme="minorHAnsi" w:cstheme="minorHAnsi"/>
          <w:szCs w:val="22"/>
        </w:rPr>
        <w:t xml:space="preserve">can, however, be affected negatively by a range of factors. Firstly, the scope of these doctrines can be confined by a narrow interpretation of their relevant triggers. </w:t>
      </w:r>
      <w:r w:rsidRPr="00110869">
        <w:rPr>
          <w:rFonts w:asciiTheme="minorHAnsi" w:hAnsiTheme="minorHAnsi" w:cstheme="minorHAnsi"/>
          <w:szCs w:val="22"/>
        </w:rPr>
        <w:t>If A seeks to rely on the incapacity defence for contracts governed by the common law (which are outside the c</w:t>
      </w:r>
      <w:r w:rsidRPr="00110869">
        <w:rPr>
          <w:rFonts w:asciiTheme="minorHAnsi" w:hAnsiTheme="minorHAnsi"/>
          <w:szCs w:val="22"/>
        </w:rPr>
        <w:t>ontrol of the court</w:t>
      </w:r>
      <w:r w:rsidRPr="00110869">
        <w:rPr>
          <w:rStyle w:val="FootnoteReference"/>
          <w:rFonts w:asciiTheme="minorHAnsi" w:hAnsiTheme="minorHAnsi"/>
          <w:szCs w:val="22"/>
        </w:rPr>
        <w:footnoteReference w:id="102"/>
      </w:r>
      <w:r w:rsidRPr="00110869">
        <w:rPr>
          <w:rFonts w:asciiTheme="minorHAnsi" w:hAnsiTheme="minorHAnsi"/>
          <w:szCs w:val="22"/>
        </w:rPr>
        <w:t xml:space="preserve"> and do not involve the purchase of necessary goods and services),</w:t>
      </w:r>
      <w:r w:rsidRPr="00110869">
        <w:rPr>
          <w:rStyle w:val="FootnoteReference"/>
          <w:rFonts w:asciiTheme="minorHAnsi" w:hAnsiTheme="minorHAnsi"/>
          <w:szCs w:val="22"/>
        </w:rPr>
        <w:footnoteReference w:id="103"/>
      </w:r>
      <w:r w:rsidRPr="00110869">
        <w:rPr>
          <w:rFonts w:asciiTheme="minorHAnsi" w:hAnsiTheme="minorHAnsi"/>
          <w:szCs w:val="22"/>
        </w:rPr>
        <w:t xml:space="preserve"> A needs to show both his mental </w:t>
      </w:r>
      <w:r w:rsidRPr="00110869">
        <w:rPr>
          <w:rFonts w:asciiTheme="minorHAnsi" w:hAnsiTheme="minorHAnsi" w:cstheme="minorHAnsi"/>
          <w:szCs w:val="22"/>
        </w:rPr>
        <w:t>incapacity and B’s knowledge of his condition.</w:t>
      </w:r>
      <w:r w:rsidRPr="00110869">
        <w:rPr>
          <w:rStyle w:val="FootnoteReference"/>
          <w:rFonts w:asciiTheme="minorHAnsi" w:hAnsiTheme="minorHAnsi" w:cstheme="minorHAnsi"/>
          <w:szCs w:val="22"/>
        </w:rPr>
        <w:footnoteReference w:id="104"/>
      </w:r>
      <w:r w:rsidRPr="00110869">
        <w:rPr>
          <w:rFonts w:asciiTheme="minorHAnsi" w:hAnsiTheme="minorHAnsi" w:cstheme="minorHAnsi"/>
          <w:szCs w:val="22"/>
        </w:rPr>
        <w:t xml:space="preserve"> This </w:t>
      </w:r>
      <w:r>
        <w:rPr>
          <w:rFonts w:asciiTheme="minorHAnsi" w:hAnsiTheme="minorHAnsi" w:cstheme="minorHAnsi"/>
          <w:szCs w:val="22"/>
        </w:rPr>
        <w:t>can be a very high threshold i</w:t>
      </w:r>
      <w:r w:rsidRPr="00110869">
        <w:rPr>
          <w:rFonts w:asciiTheme="minorHAnsi" w:hAnsiTheme="minorHAnsi" w:cstheme="minorHAnsi"/>
          <w:szCs w:val="22"/>
        </w:rPr>
        <w:t>f courts interpret the knowledge requirement to be confined to actual knowledge, or if any acceptance of constructive knowledge in this definition</w:t>
      </w:r>
      <w:r w:rsidRPr="00110869">
        <w:rPr>
          <w:rStyle w:val="FootnoteReference"/>
          <w:rFonts w:asciiTheme="minorHAnsi" w:hAnsiTheme="minorHAnsi" w:cstheme="minorHAnsi"/>
          <w:szCs w:val="22"/>
        </w:rPr>
        <w:footnoteReference w:id="105"/>
      </w:r>
      <w:r w:rsidRPr="00110869">
        <w:rPr>
          <w:rFonts w:asciiTheme="minorHAnsi" w:hAnsiTheme="minorHAnsi" w:cstheme="minorHAnsi"/>
          <w:szCs w:val="22"/>
        </w:rPr>
        <w:t xml:space="preserve"> is limited to situations where A’s incapacity is apparent</w:t>
      </w:r>
      <w:r>
        <w:rPr>
          <w:rFonts w:asciiTheme="minorHAnsi" w:hAnsiTheme="minorHAnsi" w:cstheme="minorHAnsi"/>
          <w:szCs w:val="22"/>
        </w:rPr>
        <w:t>,</w:t>
      </w:r>
      <w:r w:rsidRPr="00110869">
        <w:rPr>
          <w:rStyle w:val="FootnoteReference"/>
          <w:rFonts w:asciiTheme="minorHAnsi" w:hAnsiTheme="minorHAnsi" w:cstheme="minorHAnsi"/>
          <w:szCs w:val="22"/>
        </w:rPr>
        <w:footnoteReference w:id="106"/>
      </w:r>
      <w:r w:rsidRPr="00110869">
        <w:rPr>
          <w:rFonts w:asciiTheme="minorHAnsi" w:hAnsiTheme="minorHAnsi" w:cstheme="minorHAnsi"/>
          <w:szCs w:val="22"/>
        </w:rPr>
        <w:t xml:space="preserve"> </w:t>
      </w:r>
      <w:r>
        <w:rPr>
          <w:rFonts w:asciiTheme="minorHAnsi" w:hAnsiTheme="minorHAnsi" w:cstheme="minorHAnsi"/>
          <w:szCs w:val="22"/>
        </w:rPr>
        <w:t>rather than where</w:t>
      </w:r>
      <w:r w:rsidRPr="00110869">
        <w:rPr>
          <w:rFonts w:asciiTheme="minorHAnsi" w:hAnsiTheme="minorHAnsi" w:cstheme="minorHAnsi"/>
          <w:szCs w:val="22"/>
        </w:rPr>
        <w:t xml:space="preserve"> B ought to have known about A’s incapacity due to the circumstances of the transaction.</w:t>
      </w:r>
      <w:r w:rsidRPr="00110869">
        <w:rPr>
          <w:rStyle w:val="FootnoteReference"/>
          <w:rFonts w:asciiTheme="minorHAnsi" w:hAnsiTheme="minorHAnsi" w:cstheme="minorHAnsi"/>
          <w:szCs w:val="22"/>
        </w:rPr>
        <w:footnoteReference w:id="107"/>
      </w:r>
      <w:r w:rsidRPr="00110869">
        <w:rPr>
          <w:rFonts w:asciiTheme="minorHAnsi" w:hAnsiTheme="minorHAnsi" w:cstheme="minorHAnsi"/>
          <w:szCs w:val="22"/>
        </w:rPr>
        <w:t xml:space="preserve"> Concerns regarding narrow triggers for intervention can be raised also with regards to the doctrines of undue influence and unconscionability. To rely on these doctrines, A needs to show both his </w:t>
      </w:r>
      <w:bookmarkEnd w:id="45"/>
      <w:r w:rsidRPr="00110869">
        <w:rPr>
          <w:rFonts w:asciiTheme="minorHAnsi" w:hAnsiTheme="minorHAnsi" w:cstheme="minorHAnsi"/>
          <w:szCs w:val="22"/>
        </w:rPr>
        <w:t xml:space="preserve">vulnerability (e.g. mental impairment resulting from a medical condition, in the </w:t>
      </w:r>
      <w:r w:rsidRPr="00110869">
        <w:rPr>
          <w:rFonts w:asciiTheme="minorHAnsi" w:hAnsiTheme="minorHAnsi" w:cstheme="minorHAnsi"/>
          <w:szCs w:val="22"/>
        </w:rPr>
        <w:lastRenderedPageBreak/>
        <w:t>case of unconscionability,</w:t>
      </w:r>
      <w:r w:rsidRPr="00110869">
        <w:rPr>
          <w:rStyle w:val="FootnoteReference"/>
          <w:rFonts w:asciiTheme="minorHAnsi" w:hAnsiTheme="minorHAnsi" w:cstheme="minorHAnsi"/>
          <w:szCs w:val="22"/>
        </w:rPr>
        <w:footnoteReference w:id="108"/>
      </w:r>
      <w:r w:rsidRPr="00110869">
        <w:rPr>
          <w:rFonts w:asciiTheme="minorHAnsi" w:hAnsiTheme="minorHAnsi" w:cstheme="minorHAnsi"/>
          <w:szCs w:val="22"/>
        </w:rPr>
        <w:t xml:space="preserve"> or impaired consent resulting from B’s pressure, in the case of undue influence)</w:t>
      </w:r>
      <w:r w:rsidRPr="00110869">
        <w:rPr>
          <w:rStyle w:val="FootnoteReference"/>
          <w:rFonts w:asciiTheme="minorHAnsi" w:hAnsiTheme="minorHAnsi" w:cstheme="minorHAnsi"/>
          <w:szCs w:val="22"/>
        </w:rPr>
        <w:footnoteReference w:id="109"/>
      </w:r>
      <w:r w:rsidRPr="00110869">
        <w:rPr>
          <w:rFonts w:asciiTheme="minorHAnsi" w:hAnsiTheme="minorHAnsi" w:cstheme="minorHAnsi"/>
          <w:szCs w:val="22"/>
        </w:rPr>
        <w:t xml:space="preserve"> and B’s unacceptable conduct (e.g. overt persuasion or failure to protect from a relationship of influence and a transaction that calls for an explanation for undue influence,</w:t>
      </w:r>
      <w:r w:rsidRPr="00110869">
        <w:rPr>
          <w:rStyle w:val="FootnoteReference"/>
          <w:rFonts w:asciiTheme="minorHAnsi" w:hAnsiTheme="minorHAnsi" w:cstheme="minorHAnsi"/>
          <w:szCs w:val="22"/>
        </w:rPr>
        <w:footnoteReference w:id="110"/>
      </w:r>
      <w:r w:rsidRPr="00110869">
        <w:rPr>
          <w:rFonts w:asciiTheme="minorHAnsi" w:hAnsiTheme="minorHAnsi" w:cstheme="minorHAnsi"/>
          <w:szCs w:val="22"/>
        </w:rPr>
        <w:t xml:space="preserve"> or exploitation of weakness, knowingly taking advantage of A to enter into a contract disadvantageous for A, in the case of unconscionability).</w:t>
      </w:r>
      <w:r w:rsidRPr="00110869">
        <w:rPr>
          <w:rStyle w:val="FootnoteReference"/>
          <w:rFonts w:asciiTheme="minorHAnsi" w:hAnsiTheme="minorHAnsi" w:cstheme="minorHAnsi"/>
          <w:szCs w:val="22"/>
        </w:rPr>
        <w:footnoteReference w:id="111"/>
      </w:r>
      <w:r>
        <w:rPr>
          <w:rFonts w:asciiTheme="minorHAnsi" w:hAnsiTheme="minorHAnsi" w:cstheme="minorHAnsi"/>
          <w:szCs w:val="22"/>
        </w:rPr>
        <w:t xml:space="preserve"> I</w:t>
      </w:r>
      <w:r w:rsidRPr="00110869">
        <w:rPr>
          <w:rFonts w:asciiTheme="minorHAnsi" w:hAnsiTheme="minorHAnsi" w:cstheme="minorHAnsi"/>
          <w:szCs w:val="22"/>
        </w:rPr>
        <w:t xml:space="preserve">n cases of unconscionability, a </w:t>
      </w:r>
      <w:r>
        <w:rPr>
          <w:rFonts w:asciiTheme="minorHAnsi" w:hAnsiTheme="minorHAnsi" w:cstheme="minorHAnsi"/>
          <w:szCs w:val="22"/>
        </w:rPr>
        <w:t xml:space="preserve">narrow </w:t>
      </w:r>
      <w:r w:rsidRPr="00110869">
        <w:rPr>
          <w:rFonts w:asciiTheme="minorHAnsi" w:hAnsiTheme="minorHAnsi" w:cstheme="minorHAnsi"/>
          <w:szCs w:val="22"/>
        </w:rPr>
        <w:t>focus on B’s</w:t>
      </w:r>
      <w:r>
        <w:rPr>
          <w:rFonts w:asciiTheme="minorHAnsi" w:hAnsiTheme="minorHAnsi" w:cstheme="minorHAnsi"/>
          <w:szCs w:val="22"/>
        </w:rPr>
        <w:t xml:space="preserve"> </w:t>
      </w:r>
      <w:r w:rsidRPr="00110869">
        <w:rPr>
          <w:rFonts w:asciiTheme="minorHAnsi" w:hAnsiTheme="minorHAnsi" w:cstheme="minorHAnsi"/>
          <w:szCs w:val="22"/>
        </w:rPr>
        <w:t>unacceptable conduct</w:t>
      </w:r>
      <w:r>
        <w:rPr>
          <w:rFonts w:asciiTheme="minorHAnsi" w:hAnsiTheme="minorHAnsi" w:cstheme="minorHAnsi"/>
          <w:szCs w:val="22"/>
        </w:rPr>
        <w:t xml:space="preserve"> confined to </w:t>
      </w:r>
      <w:r w:rsidRPr="00110869">
        <w:rPr>
          <w:rFonts w:asciiTheme="minorHAnsi" w:hAnsiTheme="minorHAnsi" w:cstheme="minorHAnsi"/>
          <w:szCs w:val="22"/>
        </w:rPr>
        <w:t>‘deliberate’ exploitations of A’s weakness</w:t>
      </w:r>
      <w:r>
        <w:rPr>
          <w:rFonts w:asciiTheme="minorHAnsi" w:hAnsiTheme="minorHAnsi" w:cstheme="minorHAnsi"/>
          <w:szCs w:val="22"/>
        </w:rPr>
        <w:t xml:space="preserve"> (</w:t>
      </w:r>
      <w:r w:rsidRPr="00110869">
        <w:rPr>
          <w:rFonts w:asciiTheme="minorHAnsi" w:hAnsiTheme="minorHAnsi" w:cstheme="minorHAnsi"/>
          <w:szCs w:val="22"/>
        </w:rPr>
        <w:t xml:space="preserve">rather than on </w:t>
      </w:r>
      <w:r>
        <w:rPr>
          <w:rFonts w:asciiTheme="minorHAnsi" w:hAnsiTheme="minorHAnsi" w:cstheme="minorHAnsi"/>
          <w:szCs w:val="22"/>
        </w:rPr>
        <w:t>B’s passive unacceptable conduct to proceed with the contract despite the circumstances of the transactions</w:t>
      </w:r>
      <w:r w:rsidRPr="00110869">
        <w:rPr>
          <w:rFonts w:asciiTheme="minorHAnsi" w:hAnsiTheme="minorHAnsi" w:cstheme="minorHAnsi"/>
          <w:szCs w:val="22"/>
        </w:rPr>
        <w:t xml:space="preserve">) </w:t>
      </w:r>
      <w:r>
        <w:rPr>
          <w:rFonts w:asciiTheme="minorHAnsi" w:hAnsiTheme="minorHAnsi" w:cstheme="minorHAnsi"/>
          <w:szCs w:val="22"/>
        </w:rPr>
        <w:t xml:space="preserve">would </w:t>
      </w:r>
      <w:r w:rsidRPr="00110869">
        <w:rPr>
          <w:rFonts w:asciiTheme="minorHAnsi" w:hAnsiTheme="minorHAnsi" w:cstheme="minorHAnsi"/>
          <w:szCs w:val="22"/>
        </w:rPr>
        <w:t>appear to allow B to ‘take advantage of [A]’s vulnerable state, short of actively manipulating’ A.</w:t>
      </w:r>
      <w:r w:rsidRPr="00110869">
        <w:rPr>
          <w:rStyle w:val="FootnoteReference"/>
          <w:rFonts w:asciiTheme="minorHAnsi" w:hAnsiTheme="minorHAnsi" w:cstheme="minorHAnsi"/>
          <w:szCs w:val="22"/>
        </w:rPr>
        <w:footnoteReference w:id="112"/>
      </w:r>
      <w:r>
        <w:rPr>
          <w:rFonts w:asciiTheme="minorHAnsi" w:hAnsiTheme="minorHAnsi" w:cstheme="minorHAnsi"/>
          <w:szCs w:val="22"/>
        </w:rPr>
        <w:t xml:space="preserve"> Similar concerns could be raised in cases of undue influence, </w:t>
      </w:r>
      <w:r w:rsidRPr="00110869">
        <w:rPr>
          <w:rFonts w:asciiTheme="minorHAnsi" w:hAnsiTheme="minorHAnsi" w:cstheme="minorHAnsi"/>
          <w:szCs w:val="22"/>
        </w:rPr>
        <w:t>given question</w:t>
      </w:r>
      <w:r>
        <w:rPr>
          <w:rFonts w:asciiTheme="minorHAnsi" w:hAnsiTheme="minorHAnsi" w:cstheme="minorHAnsi"/>
          <w:szCs w:val="22"/>
        </w:rPr>
        <w:t>s</w:t>
      </w:r>
      <w:r w:rsidRPr="00110869">
        <w:rPr>
          <w:rFonts w:asciiTheme="minorHAnsi" w:hAnsiTheme="minorHAnsi" w:cstheme="minorHAnsi"/>
          <w:szCs w:val="22"/>
        </w:rPr>
        <w:t xml:space="preserve"> whether the scope of this doctrine includes B’s passive unacceptable conduct to proceed with the transaction despite having knowledge of A’s vulnerability, </w:t>
      </w:r>
      <w:r>
        <w:rPr>
          <w:rFonts w:asciiTheme="minorHAnsi" w:hAnsiTheme="minorHAnsi" w:cstheme="minorHAnsi"/>
          <w:szCs w:val="22"/>
        </w:rPr>
        <w:t xml:space="preserve">and </w:t>
      </w:r>
      <w:r w:rsidRPr="00110869">
        <w:rPr>
          <w:rFonts w:asciiTheme="minorHAnsi" w:hAnsiTheme="minorHAnsi" w:cstheme="minorHAnsi"/>
          <w:szCs w:val="22"/>
        </w:rPr>
        <w:t>whether such knowledge is confined to actual knowledge.</w:t>
      </w:r>
      <w:r w:rsidRPr="00110869">
        <w:rPr>
          <w:rStyle w:val="FootnoteReference"/>
          <w:rFonts w:asciiTheme="minorHAnsi" w:hAnsiTheme="minorHAnsi" w:cstheme="minorHAnsi"/>
          <w:szCs w:val="22"/>
        </w:rPr>
        <w:footnoteReference w:id="113"/>
      </w:r>
      <w:r>
        <w:rPr>
          <w:rFonts w:asciiTheme="minorHAnsi" w:hAnsiTheme="minorHAnsi" w:cstheme="minorHAnsi"/>
          <w:szCs w:val="22"/>
        </w:rPr>
        <w:t xml:space="preserve"> </w:t>
      </w:r>
    </w:p>
    <w:p w14:paraId="76C03CBF" w14:textId="77777777" w:rsidR="00DB65D2" w:rsidRDefault="00DB65D2" w:rsidP="00DB65D2">
      <w:pPr>
        <w:rPr>
          <w:rFonts w:asciiTheme="minorHAnsi" w:hAnsiTheme="minorHAnsi" w:cstheme="minorHAnsi"/>
          <w:szCs w:val="22"/>
        </w:rPr>
      </w:pPr>
    </w:p>
    <w:p w14:paraId="47E77481" w14:textId="0D2FD1F1" w:rsidR="00DB65D2" w:rsidRDefault="00DB65D2" w:rsidP="00DB65D2">
      <w:pPr>
        <w:rPr>
          <w:szCs w:val="22"/>
        </w:rPr>
      </w:pPr>
      <w:r>
        <w:rPr>
          <w:rFonts w:asciiTheme="minorHAnsi" w:hAnsiTheme="minorHAnsi" w:cstheme="minorHAnsi"/>
          <w:szCs w:val="22"/>
        </w:rPr>
        <w:t>Secondly, the</w:t>
      </w:r>
      <w:r w:rsidRPr="00110869">
        <w:rPr>
          <w:rFonts w:asciiTheme="minorHAnsi" w:hAnsiTheme="minorHAnsi" w:cstheme="minorHAnsi"/>
          <w:szCs w:val="22"/>
        </w:rPr>
        <w:t xml:space="preserve"> current framework appears focused on limited intervention with the parties’ freedom of contract, confined to procedural grounds.</w:t>
      </w:r>
      <w:r>
        <w:rPr>
          <w:rFonts w:asciiTheme="minorHAnsi" w:hAnsiTheme="minorHAnsi" w:cstheme="minorHAnsi"/>
          <w:szCs w:val="22"/>
        </w:rPr>
        <w:t xml:space="preserve"> For example, </w:t>
      </w:r>
      <w:r w:rsidRPr="00DE16D3">
        <w:rPr>
          <w:rFonts w:asciiTheme="minorHAnsi" w:hAnsiTheme="minorHAnsi" w:cstheme="minorHAnsi"/>
          <w:szCs w:val="22"/>
        </w:rPr>
        <w:t xml:space="preserve">B could </w:t>
      </w:r>
      <w:r w:rsidR="00C17A35">
        <w:rPr>
          <w:rFonts w:asciiTheme="minorHAnsi" w:hAnsiTheme="minorHAnsi" w:cstheme="minorHAnsi"/>
          <w:szCs w:val="22"/>
        </w:rPr>
        <w:t xml:space="preserve">seek to </w:t>
      </w:r>
      <w:r w:rsidRPr="00DE16D3">
        <w:rPr>
          <w:rFonts w:asciiTheme="minorHAnsi" w:hAnsiTheme="minorHAnsi" w:cstheme="minorHAnsi"/>
          <w:szCs w:val="22"/>
        </w:rPr>
        <w:t>resist challenges based on undue influence or unconscionability</w:t>
      </w:r>
      <w:r>
        <w:rPr>
          <w:rFonts w:asciiTheme="minorHAnsi" w:hAnsiTheme="minorHAnsi" w:cstheme="minorHAnsi"/>
          <w:szCs w:val="22"/>
        </w:rPr>
        <w:t xml:space="preserve"> by stressing that</w:t>
      </w:r>
      <w:r w:rsidRPr="00DE16D3">
        <w:rPr>
          <w:rFonts w:asciiTheme="minorHAnsi" w:hAnsiTheme="minorHAnsi" w:cstheme="minorHAnsi"/>
          <w:szCs w:val="22"/>
        </w:rPr>
        <w:t xml:space="preserve"> A exercised </w:t>
      </w:r>
      <w:r>
        <w:rPr>
          <w:rFonts w:asciiTheme="minorHAnsi" w:hAnsiTheme="minorHAnsi" w:cstheme="minorHAnsi"/>
          <w:szCs w:val="22"/>
        </w:rPr>
        <w:t xml:space="preserve">his </w:t>
      </w:r>
      <w:r w:rsidRPr="00DE16D3">
        <w:rPr>
          <w:rFonts w:asciiTheme="minorHAnsi" w:hAnsiTheme="minorHAnsi" w:cstheme="minorHAnsi"/>
          <w:szCs w:val="22"/>
        </w:rPr>
        <w:t>free will when entering into the contract</w:t>
      </w:r>
      <w:r w:rsidRPr="00DE16D3">
        <w:rPr>
          <w:rStyle w:val="FootnoteReference"/>
          <w:rFonts w:asciiTheme="minorHAnsi" w:hAnsiTheme="minorHAnsi" w:cstheme="minorHAnsi"/>
          <w:szCs w:val="22"/>
        </w:rPr>
        <w:footnoteReference w:id="114"/>
      </w:r>
      <w:r w:rsidRPr="00DE16D3">
        <w:rPr>
          <w:rFonts w:asciiTheme="minorHAnsi" w:hAnsiTheme="minorHAnsi" w:cstheme="minorHAnsi"/>
          <w:szCs w:val="22"/>
        </w:rPr>
        <w:t xml:space="preserve"> </w:t>
      </w:r>
      <w:r>
        <w:rPr>
          <w:rFonts w:asciiTheme="minorHAnsi" w:hAnsiTheme="minorHAnsi" w:cstheme="minorHAnsi"/>
          <w:szCs w:val="22"/>
        </w:rPr>
        <w:t>(even where this is grossly imbalanced), after having received</w:t>
      </w:r>
      <w:r w:rsidRPr="00DE16D3">
        <w:rPr>
          <w:rFonts w:asciiTheme="minorHAnsi" w:hAnsiTheme="minorHAnsi" w:cstheme="minorHAnsi"/>
          <w:szCs w:val="22"/>
        </w:rPr>
        <w:t xml:space="preserve"> independent legal advice.</w:t>
      </w:r>
      <w:r w:rsidRPr="00DE16D3">
        <w:rPr>
          <w:rStyle w:val="FootnoteReference"/>
          <w:rFonts w:asciiTheme="minorHAnsi" w:hAnsiTheme="minorHAnsi" w:cstheme="minorHAnsi"/>
          <w:szCs w:val="22"/>
        </w:rPr>
        <w:footnoteReference w:id="115"/>
      </w:r>
      <w:r w:rsidRPr="00DE16D3">
        <w:rPr>
          <w:rFonts w:asciiTheme="minorHAnsi" w:hAnsiTheme="minorHAnsi" w:cstheme="minorHAnsi"/>
          <w:szCs w:val="22"/>
        </w:rPr>
        <w:t xml:space="preserve"> This narrow approach is driven by concerns to uphold the security of transactions</w:t>
      </w:r>
      <w:r w:rsidRPr="00DE16D3">
        <w:rPr>
          <w:rStyle w:val="FootnoteReference"/>
          <w:rFonts w:asciiTheme="minorHAnsi" w:hAnsiTheme="minorHAnsi" w:cstheme="minorHAnsi"/>
          <w:szCs w:val="22"/>
        </w:rPr>
        <w:footnoteReference w:id="116"/>
      </w:r>
      <w:r w:rsidRPr="00DE16D3">
        <w:rPr>
          <w:rFonts w:asciiTheme="minorHAnsi" w:hAnsiTheme="minorHAnsi" w:cstheme="minorHAnsi"/>
          <w:szCs w:val="22"/>
        </w:rPr>
        <w:t xml:space="preserve"> (making it harder for A to be released from their contractual obligations on the basis of vitiating factors), facilitate commercial convenience</w:t>
      </w:r>
      <w:r w:rsidRPr="00DE16D3">
        <w:rPr>
          <w:rStyle w:val="FootnoteReference"/>
          <w:rFonts w:asciiTheme="minorHAnsi" w:hAnsiTheme="minorHAnsi" w:cstheme="minorHAnsi"/>
          <w:szCs w:val="22"/>
        </w:rPr>
        <w:footnoteReference w:id="117"/>
      </w:r>
      <w:r w:rsidRPr="00DE16D3">
        <w:rPr>
          <w:rFonts w:asciiTheme="minorHAnsi" w:hAnsiTheme="minorHAnsi" w:cstheme="minorHAnsi"/>
          <w:szCs w:val="22"/>
        </w:rPr>
        <w:t xml:space="preserve"> (enabling B to point to the independent legal advice received by A) and ensure certainty</w:t>
      </w:r>
      <w:r w:rsidRPr="00DE16D3">
        <w:rPr>
          <w:rStyle w:val="FootnoteReference"/>
          <w:rFonts w:asciiTheme="minorHAnsi" w:hAnsiTheme="minorHAnsi" w:cstheme="minorHAnsi"/>
          <w:szCs w:val="22"/>
        </w:rPr>
        <w:footnoteReference w:id="118"/>
      </w:r>
      <w:r w:rsidRPr="00DE16D3">
        <w:rPr>
          <w:rFonts w:asciiTheme="minorHAnsi" w:hAnsiTheme="minorHAnsi" w:cstheme="minorHAnsi"/>
          <w:szCs w:val="22"/>
        </w:rPr>
        <w:t xml:space="preserve"> (as procedural factors appear to be easier to assess than substantive considerations). Nevertheless, this approach risks leaving vulnerable parties with insufficient protection of their economic interests (e.g. as a result of entering into a grossly imbalanced transaction, to their detriment) and social interests (e.g. due to the harm to their human dignity and the wider social implications of allowing such grossly imbalanced contracts with vulnerable parties to be enforceable). Furthermore, insufficient weight is placed on </w:t>
      </w:r>
      <w:r>
        <w:rPr>
          <w:rFonts w:asciiTheme="minorHAnsi" w:hAnsiTheme="minorHAnsi" w:cstheme="minorHAnsi"/>
          <w:szCs w:val="22"/>
        </w:rPr>
        <w:t>whether</w:t>
      </w:r>
      <w:r w:rsidRPr="00DE16D3">
        <w:rPr>
          <w:rFonts w:asciiTheme="minorHAnsi" w:hAnsiTheme="minorHAnsi" w:cstheme="minorHAnsi"/>
          <w:szCs w:val="22"/>
        </w:rPr>
        <w:t xml:space="preserve"> the independent legal advice was </w:t>
      </w:r>
      <w:r w:rsidRPr="00DE16D3">
        <w:rPr>
          <w:szCs w:val="22"/>
        </w:rPr>
        <w:t>appropriate and accessible to A,</w:t>
      </w:r>
      <w:r>
        <w:rPr>
          <w:rStyle w:val="FootnoteReference"/>
          <w:szCs w:val="22"/>
        </w:rPr>
        <w:footnoteReference w:id="119"/>
      </w:r>
      <w:r w:rsidRPr="00DE16D3">
        <w:rPr>
          <w:szCs w:val="22"/>
        </w:rPr>
        <w:t xml:space="preserve"> and whether it addressed both economic and social considerations. </w:t>
      </w:r>
    </w:p>
    <w:p w14:paraId="156D624A" w14:textId="77777777" w:rsidR="00DB65D2" w:rsidRDefault="00DB65D2" w:rsidP="00DB65D2">
      <w:pPr>
        <w:rPr>
          <w:szCs w:val="22"/>
        </w:rPr>
      </w:pPr>
    </w:p>
    <w:p w14:paraId="20607A2A" w14:textId="77777777" w:rsidR="00DB65D2" w:rsidRDefault="00DB65D2" w:rsidP="00DB65D2">
      <w:pPr>
        <w:rPr>
          <w:rFonts w:asciiTheme="minorHAnsi" w:hAnsiTheme="minorHAnsi" w:cstheme="minorHAnsi"/>
          <w:szCs w:val="22"/>
        </w:rPr>
      </w:pPr>
      <w:r>
        <w:rPr>
          <w:rFonts w:asciiTheme="minorHAnsi" w:hAnsiTheme="minorHAnsi" w:cstheme="minorHAnsi"/>
          <w:szCs w:val="22"/>
        </w:rPr>
        <w:t>Thirdly, t</w:t>
      </w:r>
      <w:r w:rsidRPr="00887A6B">
        <w:rPr>
          <w:rFonts w:asciiTheme="minorHAnsi" w:hAnsiTheme="minorHAnsi" w:cstheme="minorHAnsi"/>
          <w:szCs w:val="22"/>
        </w:rPr>
        <w:t>he current framework appears to be unconcerned with who the contracting parties are</w:t>
      </w:r>
      <w:r>
        <w:rPr>
          <w:rFonts w:asciiTheme="minorHAnsi" w:hAnsiTheme="minorHAnsi" w:cstheme="minorHAnsi"/>
          <w:szCs w:val="22"/>
        </w:rPr>
        <w:t>.</w:t>
      </w:r>
      <w:r w:rsidRPr="00887A6B">
        <w:rPr>
          <w:rStyle w:val="FootnoteReference"/>
          <w:rFonts w:asciiTheme="minorHAnsi" w:hAnsiTheme="minorHAnsi" w:cstheme="minorHAnsi"/>
          <w:szCs w:val="22"/>
        </w:rPr>
        <w:footnoteReference w:id="120"/>
      </w:r>
      <w:r w:rsidRPr="00887A6B">
        <w:rPr>
          <w:rFonts w:asciiTheme="minorHAnsi" w:hAnsiTheme="minorHAnsi" w:cstheme="minorHAnsi"/>
          <w:szCs w:val="22"/>
        </w:rPr>
        <w:t xml:space="preserve"> </w:t>
      </w:r>
      <w:r>
        <w:rPr>
          <w:rFonts w:asciiTheme="minorHAnsi" w:hAnsiTheme="minorHAnsi" w:cstheme="minorHAnsi"/>
          <w:szCs w:val="22"/>
        </w:rPr>
        <w:t xml:space="preserve">It seeks </w:t>
      </w:r>
      <w:r w:rsidRPr="00887A6B">
        <w:rPr>
          <w:rFonts w:asciiTheme="minorHAnsi" w:hAnsiTheme="minorHAnsi" w:cstheme="minorHAnsi"/>
          <w:szCs w:val="22"/>
        </w:rPr>
        <w:t xml:space="preserve">to </w:t>
      </w:r>
      <w:r w:rsidRPr="00887A6B">
        <w:rPr>
          <w:rFonts w:asciiTheme="minorHAnsi" w:hAnsiTheme="minorHAnsi"/>
          <w:szCs w:val="22"/>
        </w:rPr>
        <w:t>provide a ‘middle course’ that protect</w:t>
      </w:r>
      <w:r>
        <w:rPr>
          <w:rFonts w:asciiTheme="minorHAnsi" w:hAnsiTheme="minorHAnsi"/>
          <w:szCs w:val="22"/>
        </w:rPr>
        <w:t>s</w:t>
      </w:r>
      <w:r w:rsidRPr="00887A6B">
        <w:rPr>
          <w:rFonts w:asciiTheme="minorHAnsi" w:hAnsiTheme="minorHAnsi"/>
          <w:szCs w:val="22"/>
        </w:rPr>
        <w:t xml:space="preserve"> the interests of both parties</w:t>
      </w:r>
      <w:r>
        <w:rPr>
          <w:rFonts w:asciiTheme="minorHAnsi" w:hAnsiTheme="minorHAnsi"/>
          <w:szCs w:val="22"/>
        </w:rPr>
        <w:t>,</w:t>
      </w:r>
      <w:r w:rsidRPr="00887A6B">
        <w:rPr>
          <w:rStyle w:val="FootnoteReference"/>
          <w:rFonts w:asciiTheme="minorHAnsi" w:hAnsiTheme="minorHAnsi"/>
          <w:szCs w:val="22"/>
        </w:rPr>
        <w:footnoteReference w:id="121"/>
      </w:r>
      <w:r w:rsidRPr="00887A6B">
        <w:rPr>
          <w:rFonts w:asciiTheme="minorHAnsi" w:hAnsiTheme="minorHAnsi"/>
          <w:szCs w:val="22"/>
        </w:rPr>
        <w:t xml:space="preserve"> </w:t>
      </w:r>
      <w:r w:rsidRPr="00887A6B">
        <w:rPr>
          <w:rFonts w:asciiTheme="minorHAnsi" w:hAnsiTheme="minorHAnsi" w:cstheme="minorHAnsi"/>
          <w:szCs w:val="22"/>
        </w:rPr>
        <w:t>assuming that they approached the transaction from balanced bargaining position</w:t>
      </w:r>
      <w:r>
        <w:rPr>
          <w:rFonts w:asciiTheme="minorHAnsi" w:hAnsiTheme="minorHAnsi" w:cstheme="minorHAnsi"/>
          <w:szCs w:val="22"/>
        </w:rPr>
        <w:t>s.</w:t>
      </w:r>
      <w:r w:rsidRPr="00887A6B">
        <w:rPr>
          <w:rStyle w:val="FootnoteReference"/>
          <w:rFonts w:asciiTheme="minorHAnsi" w:hAnsiTheme="minorHAnsi" w:cstheme="minorHAnsi"/>
          <w:szCs w:val="22"/>
        </w:rPr>
        <w:footnoteReference w:id="122"/>
      </w:r>
      <w:r w:rsidRPr="00887A6B">
        <w:rPr>
          <w:rFonts w:asciiTheme="minorHAnsi" w:hAnsiTheme="minorHAnsi" w:cstheme="minorHAnsi"/>
          <w:szCs w:val="22"/>
        </w:rPr>
        <w:t xml:space="preserve"> </w:t>
      </w:r>
      <w:r w:rsidRPr="00887A6B">
        <w:rPr>
          <w:rFonts w:asciiTheme="minorHAnsi" w:hAnsiTheme="minorHAnsi"/>
          <w:szCs w:val="22"/>
        </w:rPr>
        <w:t xml:space="preserve">Once again, this provides insufficient protection to vulnerable contracting parties. </w:t>
      </w:r>
      <w:r>
        <w:rPr>
          <w:rFonts w:asciiTheme="minorHAnsi" w:hAnsiTheme="minorHAnsi"/>
          <w:szCs w:val="22"/>
        </w:rPr>
        <w:t xml:space="preserve">In cases where A seeks to rely on the incapacity defence, the requirement to show B’s knowledge of incapacity </w:t>
      </w:r>
      <w:r w:rsidRPr="00887A6B">
        <w:rPr>
          <w:rFonts w:asciiTheme="minorHAnsi" w:hAnsiTheme="minorHAnsi"/>
          <w:szCs w:val="22"/>
        </w:rPr>
        <w:t xml:space="preserve">as a condition for rendering the contract voidable </w:t>
      </w:r>
      <w:r>
        <w:rPr>
          <w:rFonts w:asciiTheme="minorHAnsi" w:hAnsiTheme="minorHAnsi"/>
          <w:szCs w:val="22"/>
        </w:rPr>
        <w:t xml:space="preserve">may protect B’s interests </w:t>
      </w:r>
      <w:r>
        <w:rPr>
          <w:rFonts w:asciiTheme="minorHAnsi" w:hAnsiTheme="minorHAnsi"/>
          <w:szCs w:val="22"/>
        </w:rPr>
        <w:lastRenderedPageBreak/>
        <w:t xml:space="preserve">but places insufficient </w:t>
      </w:r>
      <w:r w:rsidRPr="0092734E">
        <w:rPr>
          <w:rFonts w:asciiTheme="minorHAnsi" w:hAnsiTheme="minorHAnsi"/>
          <w:szCs w:val="22"/>
        </w:rPr>
        <w:t>weight on A’s lack of consent</w:t>
      </w:r>
      <w:r>
        <w:rPr>
          <w:rFonts w:asciiTheme="minorHAnsi" w:hAnsiTheme="minorHAnsi"/>
          <w:szCs w:val="22"/>
        </w:rPr>
        <w:t>,</w:t>
      </w:r>
      <w:r w:rsidRPr="0092734E">
        <w:rPr>
          <w:rStyle w:val="FootnoteReference"/>
          <w:rFonts w:asciiTheme="minorHAnsi" w:hAnsiTheme="minorHAnsi"/>
          <w:szCs w:val="22"/>
        </w:rPr>
        <w:footnoteReference w:id="123"/>
      </w:r>
      <w:r>
        <w:rPr>
          <w:rFonts w:asciiTheme="minorHAnsi" w:hAnsiTheme="minorHAnsi"/>
          <w:szCs w:val="22"/>
        </w:rPr>
        <w:t xml:space="preserve"> resulting in an imbalanced approach.</w:t>
      </w:r>
      <w:r>
        <w:rPr>
          <w:rStyle w:val="FootnoteReference"/>
          <w:rFonts w:asciiTheme="minorHAnsi" w:hAnsiTheme="minorHAnsi"/>
          <w:szCs w:val="22"/>
        </w:rPr>
        <w:footnoteReference w:id="124"/>
      </w:r>
      <w:r>
        <w:rPr>
          <w:rFonts w:asciiTheme="minorHAnsi" w:hAnsiTheme="minorHAnsi"/>
          <w:szCs w:val="22"/>
        </w:rPr>
        <w:t xml:space="preserve"> Similarly, in cases where A seeks to render a contract voidable on grounds of undue influence, any assumption of a balanced bargaining position </w:t>
      </w:r>
      <w:r w:rsidRPr="005505CD">
        <w:rPr>
          <w:rFonts w:asciiTheme="minorHAnsi" w:hAnsiTheme="minorHAnsi" w:cstheme="minorHAnsi"/>
          <w:szCs w:val="22"/>
        </w:rPr>
        <w:t xml:space="preserve">distorts subsequent assessments of whether access to independent </w:t>
      </w:r>
      <w:r>
        <w:rPr>
          <w:rFonts w:asciiTheme="minorHAnsi" w:hAnsiTheme="minorHAnsi" w:cstheme="minorHAnsi"/>
          <w:szCs w:val="22"/>
        </w:rPr>
        <w:t xml:space="preserve">legal </w:t>
      </w:r>
      <w:r w:rsidRPr="005505CD">
        <w:rPr>
          <w:rFonts w:asciiTheme="minorHAnsi" w:hAnsiTheme="minorHAnsi" w:cstheme="minorHAnsi"/>
          <w:szCs w:val="22"/>
        </w:rPr>
        <w:t xml:space="preserve">advice redressed </w:t>
      </w:r>
      <w:r>
        <w:rPr>
          <w:rFonts w:asciiTheme="minorHAnsi" w:hAnsiTheme="minorHAnsi" w:cstheme="minorHAnsi"/>
          <w:szCs w:val="22"/>
        </w:rPr>
        <w:t>this alleged</w:t>
      </w:r>
      <w:r w:rsidRPr="005505CD">
        <w:rPr>
          <w:rFonts w:asciiTheme="minorHAnsi" w:hAnsiTheme="minorHAnsi" w:cstheme="minorHAnsi"/>
          <w:szCs w:val="22"/>
        </w:rPr>
        <w:t xml:space="preserve"> balance</w:t>
      </w:r>
      <w:r>
        <w:rPr>
          <w:rFonts w:asciiTheme="minorHAnsi" w:hAnsiTheme="minorHAnsi" w:cstheme="minorHAnsi"/>
          <w:szCs w:val="22"/>
        </w:rPr>
        <w:t xml:space="preserve">. Furthermore, attempts to ‘balance’ the interests of parties such as individuals and banks overlook the gross </w:t>
      </w:r>
      <w:r w:rsidRPr="005505CD">
        <w:rPr>
          <w:rFonts w:asciiTheme="minorHAnsi" w:hAnsiTheme="minorHAnsi" w:cstheme="minorHAnsi"/>
          <w:szCs w:val="22"/>
        </w:rPr>
        <w:t xml:space="preserve">asymmetry </w:t>
      </w:r>
      <w:r>
        <w:rPr>
          <w:rFonts w:asciiTheme="minorHAnsi" w:hAnsiTheme="minorHAnsi" w:cstheme="minorHAnsi"/>
          <w:szCs w:val="22"/>
        </w:rPr>
        <w:t>in</w:t>
      </w:r>
      <w:r w:rsidRPr="005505CD">
        <w:rPr>
          <w:rFonts w:asciiTheme="minorHAnsi" w:hAnsiTheme="minorHAnsi" w:cstheme="minorHAnsi"/>
          <w:szCs w:val="22"/>
        </w:rPr>
        <w:t xml:space="preserve"> </w:t>
      </w:r>
      <w:r>
        <w:rPr>
          <w:rFonts w:asciiTheme="minorHAnsi" w:hAnsiTheme="minorHAnsi" w:cstheme="minorHAnsi"/>
          <w:szCs w:val="22"/>
        </w:rPr>
        <w:t>these parties’</w:t>
      </w:r>
      <w:r w:rsidRPr="005505CD">
        <w:rPr>
          <w:rFonts w:asciiTheme="minorHAnsi" w:hAnsiTheme="minorHAnsi" w:cstheme="minorHAnsi"/>
          <w:szCs w:val="22"/>
        </w:rPr>
        <w:t xml:space="preserve"> bargaining positions</w:t>
      </w:r>
      <w:r>
        <w:rPr>
          <w:rFonts w:asciiTheme="minorHAnsi" w:hAnsiTheme="minorHAnsi" w:cstheme="minorHAnsi"/>
          <w:szCs w:val="22"/>
        </w:rPr>
        <w:t xml:space="preserve"> and</w:t>
      </w:r>
      <w:r w:rsidRPr="005505CD">
        <w:rPr>
          <w:rFonts w:asciiTheme="minorHAnsi" w:hAnsiTheme="minorHAnsi" w:cstheme="minorHAnsi"/>
          <w:szCs w:val="22"/>
        </w:rPr>
        <w:t xml:space="preserve"> access to resources.</w:t>
      </w:r>
      <w:r w:rsidRPr="005505CD">
        <w:rPr>
          <w:rStyle w:val="FootnoteReference"/>
          <w:rFonts w:asciiTheme="minorHAnsi" w:hAnsiTheme="minorHAnsi" w:cstheme="minorHAnsi"/>
          <w:szCs w:val="22"/>
        </w:rPr>
        <w:footnoteReference w:id="125"/>
      </w:r>
      <w:r w:rsidRPr="005505CD">
        <w:rPr>
          <w:rFonts w:asciiTheme="minorHAnsi" w:hAnsiTheme="minorHAnsi" w:cstheme="minorHAnsi"/>
          <w:szCs w:val="22"/>
        </w:rPr>
        <w:t xml:space="preserve"> </w:t>
      </w:r>
      <w:r>
        <w:rPr>
          <w:rFonts w:asciiTheme="minorHAnsi" w:hAnsiTheme="minorHAnsi" w:cstheme="minorHAnsi"/>
          <w:szCs w:val="22"/>
        </w:rPr>
        <w:t xml:space="preserve">Moreover, such approaches neglect the </w:t>
      </w:r>
      <w:r w:rsidRPr="005505CD">
        <w:rPr>
          <w:rFonts w:asciiTheme="minorHAnsi" w:hAnsiTheme="minorHAnsi" w:cstheme="minorHAnsi"/>
          <w:szCs w:val="22"/>
        </w:rPr>
        <w:t xml:space="preserve">structural inequalities that may affect </w:t>
      </w:r>
      <w:r>
        <w:rPr>
          <w:rFonts w:asciiTheme="minorHAnsi" w:hAnsiTheme="minorHAnsi" w:cstheme="minorHAnsi"/>
          <w:szCs w:val="22"/>
        </w:rPr>
        <w:t>the contracting</w:t>
      </w:r>
      <w:r w:rsidRPr="005505CD">
        <w:rPr>
          <w:rFonts w:asciiTheme="minorHAnsi" w:hAnsiTheme="minorHAnsi" w:cstheme="minorHAnsi"/>
          <w:szCs w:val="22"/>
        </w:rPr>
        <w:t xml:space="preserve"> parties</w:t>
      </w:r>
      <w:r w:rsidRPr="005505CD">
        <w:rPr>
          <w:rStyle w:val="FootnoteReference"/>
          <w:rFonts w:asciiTheme="minorHAnsi" w:hAnsiTheme="minorHAnsi" w:cstheme="minorHAnsi"/>
          <w:szCs w:val="22"/>
        </w:rPr>
        <w:footnoteReference w:id="126"/>
      </w:r>
      <w:r>
        <w:rPr>
          <w:rFonts w:asciiTheme="minorHAnsi" w:hAnsiTheme="minorHAnsi" w:cstheme="minorHAnsi"/>
          <w:szCs w:val="22"/>
        </w:rPr>
        <w:t xml:space="preserve"> and the </w:t>
      </w:r>
      <w:r w:rsidRPr="005505CD">
        <w:rPr>
          <w:rFonts w:asciiTheme="minorHAnsi" w:hAnsiTheme="minorHAnsi" w:cstheme="minorHAnsi"/>
          <w:szCs w:val="22"/>
        </w:rPr>
        <w:t xml:space="preserve">social context within which </w:t>
      </w:r>
      <w:r>
        <w:rPr>
          <w:rFonts w:asciiTheme="minorHAnsi" w:hAnsiTheme="minorHAnsi" w:cstheme="minorHAnsi"/>
          <w:szCs w:val="22"/>
        </w:rPr>
        <w:t>the transactions take place.</w:t>
      </w:r>
      <w:r w:rsidRPr="005505CD">
        <w:rPr>
          <w:rStyle w:val="FootnoteReference"/>
          <w:rFonts w:asciiTheme="minorHAnsi" w:hAnsiTheme="minorHAnsi" w:cstheme="minorHAnsi"/>
          <w:szCs w:val="22"/>
        </w:rPr>
        <w:footnoteReference w:id="127"/>
      </w:r>
    </w:p>
    <w:p w14:paraId="303B6976" w14:textId="77777777" w:rsidR="00DB65D2" w:rsidRDefault="00DB65D2" w:rsidP="00DB65D2">
      <w:pPr>
        <w:rPr>
          <w:rFonts w:asciiTheme="minorHAnsi" w:hAnsiTheme="minorHAnsi" w:cstheme="minorHAnsi"/>
          <w:szCs w:val="22"/>
        </w:rPr>
      </w:pPr>
    </w:p>
    <w:p w14:paraId="6CD6096C" w14:textId="24079A8F" w:rsidR="00DB65D2" w:rsidRDefault="00DB65D2" w:rsidP="000F4536">
      <w:pPr>
        <w:rPr>
          <w:rFonts w:asciiTheme="minorHAnsi" w:hAnsiTheme="minorHAnsi" w:cstheme="minorHAnsi"/>
          <w:szCs w:val="22"/>
        </w:rPr>
      </w:pPr>
      <w:r>
        <w:rPr>
          <w:rFonts w:asciiTheme="minorHAnsi" w:hAnsiTheme="minorHAnsi" w:cstheme="minorHAnsi"/>
          <w:szCs w:val="22"/>
        </w:rPr>
        <w:t>Fourthly, t</w:t>
      </w:r>
      <w:r w:rsidRPr="00190CC2">
        <w:rPr>
          <w:rFonts w:asciiTheme="minorHAnsi" w:hAnsiTheme="minorHAnsi" w:cstheme="minorHAnsi"/>
          <w:szCs w:val="22"/>
        </w:rPr>
        <w:t>his framework illustrates a narrow conception of autonomy</w:t>
      </w:r>
      <w:r>
        <w:rPr>
          <w:rFonts w:asciiTheme="minorHAnsi" w:hAnsiTheme="minorHAnsi" w:cstheme="minorHAnsi"/>
          <w:szCs w:val="22"/>
        </w:rPr>
        <w:t xml:space="preserve">, perceiving contracting parties solely as individuals in pursuit of their self-interests within the economic sphere. It appears to be </w:t>
      </w:r>
      <w:r w:rsidRPr="00190CC2">
        <w:rPr>
          <w:rFonts w:asciiTheme="minorHAnsi" w:hAnsiTheme="minorHAnsi" w:cstheme="minorHAnsi"/>
          <w:szCs w:val="22"/>
        </w:rPr>
        <w:t xml:space="preserve">unconcerned </w:t>
      </w:r>
      <w:r>
        <w:rPr>
          <w:rFonts w:asciiTheme="minorHAnsi" w:hAnsiTheme="minorHAnsi" w:cstheme="minorHAnsi"/>
          <w:szCs w:val="22"/>
        </w:rPr>
        <w:t xml:space="preserve">with </w:t>
      </w:r>
      <w:r w:rsidRPr="00190CC2">
        <w:rPr>
          <w:rFonts w:asciiTheme="minorHAnsi" w:hAnsiTheme="minorHAnsi" w:cstheme="minorHAnsi"/>
          <w:szCs w:val="22"/>
        </w:rPr>
        <w:t>issues of relational autonomy</w:t>
      </w:r>
      <w:r>
        <w:rPr>
          <w:rFonts w:asciiTheme="minorHAnsi" w:hAnsiTheme="minorHAnsi" w:cstheme="minorHAnsi"/>
          <w:szCs w:val="22"/>
        </w:rPr>
        <w:t xml:space="preserve">, which focus on </w:t>
      </w:r>
      <w:r w:rsidRPr="00190CC2">
        <w:rPr>
          <w:rFonts w:asciiTheme="minorHAnsi" w:hAnsiTheme="minorHAnsi" w:cstheme="minorHAnsi"/>
          <w:szCs w:val="22"/>
        </w:rPr>
        <w:t xml:space="preserve">the </w:t>
      </w:r>
      <w:r>
        <w:rPr>
          <w:rFonts w:asciiTheme="minorHAnsi" w:hAnsiTheme="minorHAnsi" w:cstheme="minorHAnsi"/>
          <w:szCs w:val="22"/>
        </w:rPr>
        <w:t>connection</w:t>
      </w:r>
      <w:r w:rsidRPr="00190CC2">
        <w:rPr>
          <w:rFonts w:asciiTheme="minorHAnsi" w:hAnsiTheme="minorHAnsi" w:cstheme="minorHAnsi"/>
          <w:szCs w:val="22"/>
        </w:rPr>
        <w:t xml:space="preserve"> between the parties within a wider social context</w:t>
      </w:r>
      <w:r>
        <w:rPr>
          <w:rStyle w:val="FootnoteReference"/>
          <w:rFonts w:asciiTheme="minorHAnsi" w:hAnsiTheme="minorHAnsi" w:cstheme="minorHAnsi"/>
          <w:szCs w:val="22"/>
        </w:rPr>
        <w:footnoteReference w:id="128"/>
      </w:r>
      <w:r>
        <w:rPr>
          <w:rFonts w:asciiTheme="minorHAnsi" w:hAnsiTheme="minorHAnsi" w:cstheme="minorHAnsi"/>
          <w:szCs w:val="22"/>
        </w:rPr>
        <w:t xml:space="preserve"> and on the</w:t>
      </w:r>
      <w:r w:rsidRPr="007D2067">
        <w:rPr>
          <w:rFonts w:asciiTheme="minorHAnsi" w:hAnsiTheme="minorHAnsi" w:cstheme="minorHAnsi"/>
          <w:szCs w:val="22"/>
        </w:rPr>
        <w:t xml:space="preserve"> values that </w:t>
      </w:r>
      <w:r>
        <w:rPr>
          <w:rFonts w:asciiTheme="minorHAnsi" w:hAnsiTheme="minorHAnsi" w:cstheme="minorHAnsi"/>
          <w:szCs w:val="22"/>
        </w:rPr>
        <w:t xml:space="preserve">should </w:t>
      </w:r>
      <w:r w:rsidRPr="007D2067">
        <w:rPr>
          <w:rFonts w:asciiTheme="minorHAnsi" w:hAnsiTheme="minorHAnsi" w:cstheme="minorHAnsi"/>
          <w:szCs w:val="22"/>
        </w:rPr>
        <w:t xml:space="preserve">govern </w:t>
      </w:r>
      <w:r>
        <w:rPr>
          <w:rFonts w:asciiTheme="minorHAnsi" w:hAnsiTheme="minorHAnsi" w:cstheme="minorHAnsi"/>
          <w:szCs w:val="22"/>
        </w:rPr>
        <w:t>these</w:t>
      </w:r>
      <w:r w:rsidRPr="007D2067">
        <w:rPr>
          <w:rFonts w:asciiTheme="minorHAnsi" w:hAnsiTheme="minorHAnsi" w:cstheme="minorHAnsi"/>
          <w:szCs w:val="22"/>
        </w:rPr>
        <w:t xml:space="preserve"> parties’ relationship</w:t>
      </w:r>
      <w:r>
        <w:rPr>
          <w:rFonts w:asciiTheme="minorHAnsi" w:hAnsiTheme="minorHAnsi" w:cstheme="minorHAnsi"/>
          <w:szCs w:val="22"/>
        </w:rPr>
        <w:t xml:space="preserve">s, including social values based on </w:t>
      </w:r>
      <w:r w:rsidRPr="007D2067">
        <w:rPr>
          <w:rFonts w:asciiTheme="minorHAnsi" w:hAnsiTheme="minorHAnsi" w:cstheme="minorHAnsi"/>
          <w:szCs w:val="22"/>
        </w:rPr>
        <w:t>interdependence and mutuality</w:t>
      </w:r>
      <w:r>
        <w:rPr>
          <w:rFonts w:asciiTheme="minorHAnsi" w:hAnsiTheme="minorHAnsi" w:cstheme="minorHAnsi"/>
          <w:szCs w:val="22"/>
        </w:rPr>
        <w:t>.</w:t>
      </w:r>
      <w:r w:rsidRPr="007D2067">
        <w:rPr>
          <w:rStyle w:val="FootnoteReference"/>
          <w:rFonts w:asciiTheme="minorHAnsi" w:hAnsiTheme="minorHAnsi" w:cstheme="minorHAnsi"/>
          <w:szCs w:val="22"/>
        </w:rPr>
        <w:footnoteReference w:id="129"/>
      </w:r>
      <w:r w:rsidRPr="007D2067">
        <w:rPr>
          <w:rFonts w:asciiTheme="minorHAnsi" w:hAnsiTheme="minorHAnsi" w:cstheme="minorHAnsi"/>
          <w:szCs w:val="22"/>
        </w:rPr>
        <w:t xml:space="preserve"> </w:t>
      </w:r>
      <w:r w:rsidRPr="00BE506E">
        <w:rPr>
          <w:rFonts w:asciiTheme="minorHAnsi" w:hAnsiTheme="minorHAnsi" w:cstheme="minorHAnsi"/>
          <w:szCs w:val="22"/>
        </w:rPr>
        <w:t>At the root of all these concerns is a narrow interpretation of freedom of contract, where the state can intervene only in narrowly defined circumstances shaped by procedural factors and where contract law has a unidimensional role limited to enforcing agreements.</w:t>
      </w:r>
      <w:r w:rsidRPr="00BE506E">
        <w:rPr>
          <w:rStyle w:val="FootnoteReference"/>
          <w:rFonts w:asciiTheme="minorHAnsi" w:hAnsiTheme="minorHAnsi" w:cstheme="minorHAnsi"/>
          <w:szCs w:val="22"/>
        </w:rPr>
        <w:footnoteReference w:id="130"/>
      </w:r>
      <w:r w:rsidRPr="00BE506E">
        <w:rPr>
          <w:rFonts w:asciiTheme="minorHAnsi" w:hAnsiTheme="minorHAnsi" w:cstheme="minorHAnsi"/>
          <w:szCs w:val="22"/>
        </w:rPr>
        <w:t xml:space="preserve"> Intervention, when permitted as part of procedural mechanisms, is confined to the economic realm and is not understood to be transcending economic and social spheres. Such a framework overlooks the role of the state as a central pivot in</w:t>
      </w:r>
      <w:r>
        <w:rPr>
          <w:rFonts w:asciiTheme="minorHAnsi" w:hAnsiTheme="minorHAnsi" w:cstheme="minorHAnsi"/>
          <w:szCs w:val="22"/>
        </w:rPr>
        <w:t xml:space="preserve"> </w:t>
      </w:r>
      <w:r w:rsidRPr="00BE506E">
        <w:rPr>
          <w:rFonts w:asciiTheme="minorHAnsi" w:hAnsiTheme="minorHAnsi" w:cstheme="minorHAnsi"/>
          <w:szCs w:val="22"/>
        </w:rPr>
        <w:t xml:space="preserve">enforcing </w:t>
      </w:r>
      <w:r>
        <w:rPr>
          <w:rFonts w:asciiTheme="minorHAnsi" w:hAnsiTheme="minorHAnsi" w:cstheme="minorHAnsi"/>
          <w:szCs w:val="22"/>
        </w:rPr>
        <w:t>(or refusing to enforce</w:t>
      </w:r>
      <w:r w:rsidR="0014018C">
        <w:rPr>
          <w:rFonts w:asciiTheme="minorHAnsi" w:hAnsiTheme="minorHAnsi" w:cstheme="minorHAnsi"/>
          <w:szCs w:val="22"/>
        </w:rPr>
        <w:t>, where appropriate</w:t>
      </w:r>
      <w:r>
        <w:rPr>
          <w:rFonts w:asciiTheme="minorHAnsi" w:hAnsiTheme="minorHAnsi" w:cstheme="minorHAnsi"/>
          <w:szCs w:val="22"/>
        </w:rPr>
        <w:t>) the contractual relations between the parties</w:t>
      </w:r>
      <w:r w:rsidRPr="00BE506E">
        <w:rPr>
          <w:rFonts w:asciiTheme="minorHAnsi" w:hAnsiTheme="minorHAnsi" w:cstheme="minorHAnsi"/>
          <w:szCs w:val="22"/>
        </w:rPr>
        <w:t>.</w:t>
      </w:r>
      <w:r w:rsidRPr="00BE506E">
        <w:rPr>
          <w:rStyle w:val="FootnoteReference"/>
          <w:rFonts w:asciiTheme="minorHAnsi" w:hAnsiTheme="minorHAnsi" w:cstheme="minorHAnsi"/>
          <w:szCs w:val="22"/>
        </w:rPr>
        <w:footnoteReference w:id="131"/>
      </w:r>
      <w:r w:rsidRPr="00BE506E">
        <w:rPr>
          <w:rFonts w:asciiTheme="minorHAnsi" w:hAnsiTheme="minorHAnsi" w:cstheme="minorHAnsi"/>
          <w:szCs w:val="22"/>
        </w:rPr>
        <w:t xml:space="preserve"> </w:t>
      </w:r>
    </w:p>
    <w:p w14:paraId="52C119F1" w14:textId="5FE1D213" w:rsidR="008F6A8A" w:rsidRDefault="008F6A8A" w:rsidP="000F4536">
      <w:pPr>
        <w:rPr>
          <w:rFonts w:asciiTheme="minorHAnsi" w:hAnsiTheme="minorHAnsi" w:cstheme="minorHAnsi"/>
          <w:szCs w:val="22"/>
        </w:rPr>
      </w:pPr>
    </w:p>
    <w:p w14:paraId="72F1832D" w14:textId="71242F5C" w:rsidR="00A917CC" w:rsidRDefault="008F6A8A" w:rsidP="00A917CC">
      <w:pPr>
        <w:rPr>
          <w:rFonts w:asciiTheme="minorHAnsi" w:hAnsiTheme="minorHAnsi" w:cstheme="minorHAnsi"/>
          <w:szCs w:val="22"/>
        </w:rPr>
      </w:pPr>
      <w:r w:rsidRPr="00034C90">
        <w:rPr>
          <w:rFonts w:asciiTheme="minorHAnsi" w:hAnsiTheme="minorHAnsi" w:cstheme="minorHAnsi"/>
          <w:szCs w:val="22"/>
        </w:rPr>
        <w:t>There is, however, an alternative vision of freedom of contract and of the state’s role in the contractual sphere. This vision understands the role of contract law as multidimensional, transcending economic and social spheres,</w:t>
      </w:r>
      <w:r w:rsidRPr="00034C90">
        <w:rPr>
          <w:rStyle w:val="FootnoteReference"/>
          <w:rFonts w:asciiTheme="minorHAnsi" w:hAnsiTheme="minorHAnsi" w:cstheme="minorHAnsi"/>
          <w:szCs w:val="22"/>
        </w:rPr>
        <w:footnoteReference w:id="132"/>
      </w:r>
      <w:r w:rsidRPr="00034C90">
        <w:rPr>
          <w:rFonts w:asciiTheme="minorHAnsi" w:hAnsiTheme="minorHAnsi" w:cstheme="minorHAnsi"/>
          <w:szCs w:val="22"/>
        </w:rPr>
        <w:t xml:space="preserve"> and resting on positive values such as the protection of human dignity.</w:t>
      </w:r>
      <w:r w:rsidRPr="00034C90">
        <w:rPr>
          <w:rStyle w:val="FootnoteReference"/>
          <w:rFonts w:asciiTheme="minorHAnsi" w:hAnsiTheme="minorHAnsi" w:cstheme="minorHAnsi"/>
          <w:szCs w:val="22"/>
        </w:rPr>
        <w:footnoteReference w:id="133"/>
      </w:r>
      <w:r w:rsidRPr="00034C90">
        <w:rPr>
          <w:rFonts w:asciiTheme="minorHAnsi" w:hAnsiTheme="minorHAnsi" w:cstheme="minorHAnsi"/>
          <w:szCs w:val="22"/>
        </w:rPr>
        <w:t xml:space="preserve"> Rather than perceiving the protection of vulnerable contracting parties on grounds of incapacity, undue influence or unconscionability, as an ‘interference’ with freedom of  contract due to procedural concerns, this could be understood as a circumstance where the state refuses to enforce grossly imbalanced contacts</w:t>
      </w:r>
      <w:r w:rsidRPr="00034C90">
        <w:rPr>
          <w:rStyle w:val="FootnoteReference"/>
          <w:rFonts w:asciiTheme="minorHAnsi" w:hAnsiTheme="minorHAnsi" w:cstheme="minorHAnsi"/>
          <w:szCs w:val="22"/>
        </w:rPr>
        <w:footnoteReference w:id="134"/>
      </w:r>
      <w:r w:rsidRPr="00034C90">
        <w:rPr>
          <w:rFonts w:asciiTheme="minorHAnsi" w:hAnsiTheme="minorHAnsi" w:cstheme="minorHAnsi"/>
          <w:szCs w:val="22"/>
        </w:rPr>
        <w:t xml:space="preserve"> which have stepped out of an inner, non-interventionist sphere of contract law (concerned with economic values), into a wider sphere (shaped by social concerns). We need to start from the premise that we enter into the contractual realm as citizens (a concept to be understood broadly, based on values rather than nationality), with all the economic, political and social values that this concept entails.</w:t>
      </w:r>
      <w:r w:rsidRPr="00034C90">
        <w:rPr>
          <w:rStyle w:val="FootnoteReference"/>
          <w:rFonts w:asciiTheme="minorHAnsi" w:hAnsiTheme="minorHAnsi" w:cstheme="minorHAnsi"/>
          <w:szCs w:val="22"/>
        </w:rPr>
        <w:footnoteReference w:id="135"/>
      </w:r>
      <w:r w:rsidRPr="00034C90">
        <w:rPr>
          <w:rFonts w:asciiTheme="minorHAnsi" w:hAnsiTheme="minorHAnsi" w:cstheme="minorHAnsi"/>
          <w:szCs w:val="22"/>
        </w:rPr>
        <w:t xml:space="preserve"> Consequently, the contractual realm cannot be seen solely as an economic realm. Given the reference in this discussion to the interplay between economic and social concerns in contractual relations, we need to focus on the economic and social dimensions of our contracting world.</w:t>
      </w:r>
      <w:r w:rsidRPr="00034C90">
        <w:rPr>
          <w:rStyle w:val="FootnoteReference"/>
          <w:rFonts w:asciiTheme="minorHAnsi" w:hAnsiTheme="minorHAnsi" w:cstheme="minorHAnsi"/>
          <w:szCs w:val="22"/>
        </w:rPr>
        <w:footnoteReference w:id="136"/>
      </w:r>
      <w:r w:rsidRPr="00034C90">
        <w:rPr>
          <w:rFonts w:asciiTheme="minorHAnsi" w:hAnsiTheme="minorHAnsi" w:cstheme="minorHAnsi"/>
          <w:szCs w:val="22"/>
        </w:rPr>
        <w:t xml:space="preserve"> This contractual realm could be perceived as being based on two concentric spheres: an inner sphere rooted on economic values and an outer sphere shaped by social considerations. The inner economic sphere relies on a non-interventionist approach where parties are free to choose whether to contract, who to contract with and under which terms.</w:t>
      </w:r>
      <w:r w:rsidRPr="00034C90">
        <w:rPr>
          <w:rStyle w:val="FootnoteReference"/>
          <w:rFonts w:asciiTheme="minorHAnsi" w:hAnsiTheme="minorHAnsi" w:cstheme="minorHAnsi"/>
          <w:szCs w:val="22"/>
        </w:rPr>
        <w:footnoteReference w:id="137"/>
      </w:r>
      <w:r w:rsidRPr="00034C90">
        <w:rPr>
          <w:rFonts w:asciiTheme="minorHAnsi" w:hAnsiTheme="minorHAnsi" w:cstheme="minorHAnsi"/>
          <w:szCs w:val="22"/>
        </w:rPr>
        <w:t xml:space="preserve"> Parties may enter into </w:t>
      </w:r>
      <w:r w:rsidRPr="00034C90">
        <w:rPr>
          <w:rFonts w:asciiTheme="minorHAnsi" w:hAnsiTheme="minorHAnsi" w:cstheme="minorHAnsi"/>
          <w:szCs w:val="22"/>
        </w:rPr>
        <w:lastRenderedPageBreak/>
        <w:t>imbalanced transactions and be held to their bargains, provided that these constitute an exercise of their free will, unconstrained by vitiating factors such as incapacity, undue influence or unconscionability.</w:t>
      </w:r>
      <w:r w:rsidRPr="00034C90">
        <w:rPr>
          <w:rStyle w:val="FootnoteReference"/>
          <w:rFonts w:asciiTheme="minorHAnsi" w:hAnsiTheme="minorHAnsi" w:cstheme="minorHAnsi"/>
          <w:szCs w:val="22"/>
        </w:rPr>
        <w:footnoteReference w:id="138"/>
      </w:r>
      <w:r w:rsidRPr="00034C90">
        <w:rPr>
          <w:rFonts w:asciiTheme="minorHAnsi" w:hAnsiTheme="minorHAnsi" w:cstheme="minorHAnsi"/>
          <w:szCs w:val="22"/>
        </w:rPr>
        <w:t xml:space="preserve"> There are, however, circumstances where the transaction steps out of this inner economic sphere into the outer social sphere of contract law. These could include grossly imbalanced contracts where A lacked the mental capacity to understand the transaction and B had knowledge of the incapacity</w:t>
      </w:r>
      <w:r w:rsidRPr="00034C90">
        <w:rPr>
          <w:rStyle w:val="FootnoteReference"/>
          <w:rFonts w:asciiTheme="minorHAnsi" w:hAnsiTheme="minorHAnsi" w:cstheme="minorHAnsi"/>
          <w:szCs w:val="22"/>
        </w:rPr>
        <w:footnoteReference w:id="139"/>
      </w:r>
      <w:r w:rsidRPr="00034C90">
        <w:rPr>
          <w:rFonts w:asciiTheme="minorHAnsi" w:hAnsiTheme="minorHAnsi" w:cstheme="minorHAnsi"/>
          <w:szCs w:val="22"/>
        </w:rPr>
        <w:t xml:space="preserve"> (interpreted broadly to include constructive knowledge based circumstances),</w:t>
      </w:r>
      <w:r w:rsidRPr="00034C90">
        <w:rPr>
          <w:rStyle w:val="FootnoteReference"/>
          <w:rFonts w:asciiTheme="minorHAnsi" w:hAnsiTheme="minorHAnsi" w:cstheme="minorHAnsi"/>
          <w:szCs w:val="22"/>
        </w:rPr>
        <w:footnoteReference w:id="140"/>
      </w:r>
      <w:r w:rsidRPr="00034C90">
        <w:rPr>
          <w:rFonts w:asciiTheme="minorHAnsi" w:hAnsiTheme="minorHAnsi" w:cstheme="minorHAnsi"/>
          <w:szCs w:val="22"/>
        </w:rPr>
        <w:t xml:space="preserve"> or where A entered into the transaction as a result of B’s undue influence</w:t>
      </w:r>
      <w:r w:rsidRPr="00034C90">
        <w:rPr>
          <w:rStyle w:val="FootnoteReference"/>
          <w:rFonts w:asciiTheme="minorHAnsi" w:hAnsiTheme="minorHAnsi" w:cstheme="minorHAnsi"/>
          <w:szCs w:val="22"/>
        </w:rPr>
        <w:footnoteReference w:id="141"/>
      </w:r>
      <w:r w:rsidRPr="00034C90">
        <w:rPr>
          <w:rFonts w:asciiTheme="minorHAnsi" w:hAnsiTheme="minorHAnsi" w:cstheme="minorHAnsi"/>
          <w:szCs w:val="22"/>
        </w:rPr>
        <w:t xml:space="preserve"> or B’s exploitation of A’s weakness</w:t>
      </w:r>
      <w:r w:rsidRPr="00034C90">
        <w:rPr>
          <w:rStyle w:val="FootnoteReference"/>
          <w:rFonts w:asciiTheme="minorHAnsi" w:hAnsiTheme="minorHAnsi" w:cstheme="minorHAnsi"/>
          <w:szCs w:val="22"/>
        </w:rPr>
        <w:footnoteReference w:id="142"/>
      </w:r>
      <w:r w:rsidRPr="00034C90">
        <w:rPr>
          <w:rFonts w:asciiTheme="minorHAnsi" w:hAnsiTheme="minorHAnsi" w:cstheme="minorHAnsi"/>
          <w:szCs w:val="22"/>
        </w:rPr>
        <w:t xml:space="preserve"> (interpreted broadly to include passive unacceptable conduct where B went ahead with the grossly asymmetrical contract despite having actual or constructive knowledge of A’s vulnerability).</w:t>
      </w:r>
      <w:r w:rsidRPr="00034C90">
        <w:rPr>
          <w:rStyle w:val="FootnoteReference"/>
          <w:rFonts w:asciiTheme="minorHAnsi" w:hAnsiTheme="minorHAnsi" w:cstheme="minorHAnsi"/>
          <w:szCs w:val="22"/>
        </w:rPr>
        <w:footnoteReference w:id="143"/>
      </w:r>
      <w:r w:rsidRPr="00034C90">
        <w:rPr>
          <w:rFonts w:asciiTheme="minorHAnsi" w:hAnsiTheme="minorHAnsi" w:cstheme="minorHAnsi"/>
          <w:szCs w:val="22"/>
        </w:rPr>
        <w:t xml:space="preserve"> Such transactions would not be enforced not because the state ‘interfered’ with freedom of contract, but because these have stepped out from the inner economic sphere into the outer social sphere of contract, where the state does not give its agreement to enforce such contracts, due to their harm to values such as human dignity.</w:t>
      </w:r>
      <w:r w:rsidRPr="00034C90">
        <w:rPr>
          <w:rStyle w:val="FootnoteReference"/>
          <w:rFonts w:asciiTheme="minorHAnsi" w:hAnsiTheme="minorHAnsi" w:cstheme="minorHAnsi"/>
          <w:szCs w:val="22"/>
        </w:rPr>
        <w:footnoteReference w:id="144"/>
      </w:r>
      <w:r w:rsidRPr="00034C90">
        <w:rPr>
          <w:rFonts w:asciiTheme="minorHAnsi" w:hAnsiTheme="minorHAnsi" w:cstheme="minorHAnsi"/>
          <w:szCs w:val="22"/>
        </w:rPr>
        <w:t xml:space="preserve"> </w:t>
      </w:r>
      <w:r w:rsidR="00A917CC" w:rsidRPr="005B18F6">
        <w:rPr>
          <w:rFonts w:asciiTheme="minorHAnsi" w:eastAsia="SimSun" w:hAnsiTheme="minorHAnsi" w:cstheme="minorHAnsi"/>
          <w:szCs w:val="22"/>
          <w:lang w:eastAsia="zh-CN"/>
        </w:rPr>
        <w:t xml:space="preserve">Under this approach, the contractual relation between A and B </w:t>
      </w:r>
      <w:r w:rsidR="00C17A35">
        <w:rPr>
          <w:rFonts w:asciiTheme="minorHAnsi" w:eastAsia="SimSun" w:hAnsiTheme="minorHAnsi" w:cstheme="minorHAnsi"/>
          <w:szCs w:val="22"/>
          <w:lang w:eastAsia="zh-CN"/>
        </w:rPr>
        <w:t>could be</w:t>
      </w:r>
      <w:r w:rsidR="00A917CC" w:rsidRPr="005B18F6">
        <w:rPr>
          <w:rFonts w:asciiTheme="minorHAnsi" w:eastAsia="SimSun" w:hAnsiTheme="minorHAnsi" w:cstheme="minorHAnsi"/>
          <w:szCs w:val="22"/>
          <w:lang w:eastAsia="zh-CN"/>
        </w:rPr>
        <w:t xml:space="preserve"> visualised as a lever on a </w:t>
      </w:r>
      <w:r w:rsidR="00A917CC" w:rsidRPr="005B18F6">
        <w:rPr>
          <w:rFonts w:asciiTheme="minorHAnsi" w:hAnsiTheme="minorHAnsi" w:cstheme="minorHAnsi"/>
          <w:szCs w:val="22"/>
        </w:rPr>
        <w:t>balance scale</w:t>
      </w:r>
      <w:r w:rsidR="00A917CC">
        <w:rPr>
          <w:rFonts w:asciiTheme="minorHAnsi" w:hAnsiTheme="minorHAnsi" w:cstheme="minorHAnsi"/>
          <w:szCs w:val="22"/>
        </w:rPr>
        <w:t xml:space="preserve">, </w:t>
      </w:r>
      <w:r w:rsidR="00A917CC" w:rsidRPr="005B18F6">
        <w:rPr>
          <w:rFonts w:asciiTheme="minorHAnsi" w:hAnsiTheme="minorHAnsi" w:cstheme="minorHAnsi"/>
          <w:szCs w:val="22"/>
        </w:rPr>
        <w:t>with the parties at each end of the scale</w:t>
      </w:r>
      <w:r w:rsidR="00C17A35">
        <w:rPr>
          <w:rFonts w:asciiTheme="minorHAnsi" w:hAnsiTheme="minorHAnsi" w:cstheme="minorHAnsi"/>
          <w:szCs w:val="22"/>
        </w:rPr>
        <w:t xml:space="preserve"> and </w:t>
      </w:r>
      <w:r w:rsidR="00A917CC" w:rsidRPr="005B18F6">
        <w:rPr>
          <w:rFonts w:asciiTheme="minorHAnsi" w:hAnsiTheme="minorHAnsi" w:cstheme="minorHAnsi"/>
          <w:szCs w:val="22"/>
        </w:rPr>
        <w:t xml:space="preserve">the state can be envisaged in the middle, as the fulcrum. Factors such as incapacity, unconscionability or undue influence could </w:t>
      </w:r>
      <w:r w:rsidR="00C17A35">
        <w:rPr>
          <w:rFonts w:asciiTheme="minorHAnsi" w:hAnsiTheme="minorHAnsi" w:cstheme="minorHAnsi"/>
          <w:szCs w:val="22"/>
        </w:rPr>
        <w:t>be seen to act</w:t>
      </w:r>
      <w:r w:rsidR="00A917CC" w:rsidRPr="005B18F6">
        <w:rPr>
          <w:rFonts w:asciiTheme="minorHAnsi" w:hAnsiTheme="minorHAnsi" w:cstheme="minorHAnsi"/>
          <w:szCs w:val="22"/>
        </w:rPr>
        <w:t xml:space="preserve"> as a weight pressing A down into a danger zone of gross imbalance</w:t>
      </w:r>
      <w:r w:rsidR="00A917CC">
        <w:rPr>
          <w:rFonts w:asciiTheme="minorHAnsi" w:hAnsiTheme="minorHAnsi" w:cstheme="minorHAnsi"/>
          <w:szCs w:val="22"/>
        </w:rPr>
        <w:t xml:space="preserve"> (bringing the transaction within the outer social sphere), and the state could refuse to enforce such a transaction</w:t>
      </w:r>
      <w:r w:rsidR="00A917CC">
        <w:rPr>
          <w:rStyle w:val="FootnoteReference"/>
          <w:rFonts w:asciiTheme="minorHAnsi" w:hAnsiTheme="minorHAnsi" w:cstheme="minorHAnsi"/>
          <w:szCs w:val="22"/>
        </w:rPr>
        <w:footnoteReference w:id="145"/>
      </w:r>
      <w:r w:rsidR="00A917CC">
        <w:rPr>
          <w:rFonts w:asciiTheme="minorHAnsi" w:hAnsiTheme="minorHAnsi" w:cstheme="minorHAnsi"/>
          <w:szCs w:val="22"/>
        </w:rPr>
        <w:t xml:space="preserve"> unless B can point towards a counter-weight (such as the presence of appropriate and accessible independent legal advice that addresses both economic and social </w:t>
      </w:r>
      <w:r w:rsidR="00A917CC" w:rsidRPr="00842081">
        <w:rPr>
          <w:rFonts w:asciiTheme="minorHAnsi" w:hAnsiTheme="minorHAnsi" w:cstheme="minorHAnsi"/>
          <w:szCs w:val="22"/>
        </w:rPr>
        <w:t>concerns)</w:t>
      </w:r>
      <w:r w:rsidR="00A917CC" w:rsidRPr="00842081">
        <w:rPr>
          <w:rStyle w:val="FootnoteReference"/>
          <w:rFonts w:asciiTheme="minorHAnsi" w:hAnsiTheme="minorHAnsi" w:cstheme="minorHAnsi"/>
          <w:szCs w:val="22"/>
        </w:rPr>
        <w:t xml:space="preserve"> </w:t>
      </w:r>
      <w:r w:rsidR="00A917CC" w:rsidRPr="00842081">
        <w:rPr>
          <w:rStyle w:val="FootnoteReference"/>
          <w:rFonts w:asciiTheme="minorHAnsi" w:hAnsiTheme="minorHAnsi" w:cstheme="minorHAnsi"/>
          <w:szCs w:val="22"/>
        </w:rPr>
        <w:footnoteReference w:id="146"/>
      </w:r>
      <w:r w:rsidR="00A917CC" w:rsidRPr="00842081">
        <w:rPr>
          <w:rFonts w:asciiTheme="minorHAnsi" w:hAnsiTheme="minorHAnsi" w:cstheme="minorHAnsi"/>
          <w:szCs w:val="22"/>
        </w:rPr>
        <w:t xml:space="preserve"> to redress</w:t>
      </w:r>
      <w:r w:rsidR="00A917CC">
        <w:rPr>
          <w:rFonts w:asciiTheme="minorHAnsi" w:hAnsiTheme="minorHAnsi" w:cstheme="minorHAnsi"/>
          <w:szCs w:val="22"/>
        </w:rPr>
        <w:t xml:space="preserve"> any gross imbalance and lift A back into the non-interventionist economic sphere.</w:t>
      </w:r>
    </w:p>
    <w:p w14:paraId="764742EB" w14:textId="26DF39F8" w:rsidR="00A83C88" w:rsidRDefault="00A83C88" w:rsidP="00A917CC">
      <w:pPr>
        <w:rPr>
          <w:rFonts w:asciiTheme="minorHAnsi" w:hAnsiTheme="minorHAnsi" w:cstheme="minorHAnsi"/>
          <w:szCs w:val="22"/>
        </w:rPr>
      </w:pPr>
    </w:p>
    <w:p w14:paraId="4B09BA9A" w14:textId="2409565A" w:rsidR="00D24561" w:rsidRDefault="00A83C88" w:rsidP="00A917CC">
      <w:pPr>
        <w:rPr>
          <w:rFonts w:asciiTheme="minorHAnsi" w:hAnsiTheme="minorHAnsi" w:cstheme="minorHAnsi"/>
          <w:szCs w:val="22"/>
        </w:rPr>
      </w:pPr>
      <w:r w:rsidRPr="001D6C41">
        <w:rPr>
          <w:rFonts w:asciiTheme="minorHAnsi" w:hAnsiTheme="minorHAnsi" w:cstheme="minorHAnsi"/>
          <w:szCs w:val="22"/>
        </w:rPr>
        <w:t>This vision would address the challenges highlighted previously with reference to a narrow interpretation of freedom of contract. Firstly, it would rely on a broad interpretation of the relevant triggers for incapacity, unconscionability, undue influence, to include B’s constructive knowledge of A’s incapacity or vulnerability based on the circumstances of the transaction and to also include B’s passive unacceptable conduct by going ahead with a grossly imbalanced transaction despite having such constructive knowledge. Secondly, as a factor for assessing whether B ought to have known about A’s mental incapacity or vulnerability, this framework could consider either procedural factors alone or a combination of substantive and procedural factors (e.g. a grossly imbalanced contract where A received no independent legal advice).</w:t>
      </w:r>
      <w:r w:rsidRPr="001D6C41">
        <w:rPr>
          <w:rStyle w:val="FootnoteReference"/>
          <w:rFonts w:asciiTheme="minorHAnsi" w:hAnsiTheme="minorHAnsi" w:cstheme="minorHAnsi"/>
          <w:szCs w:val="22"/>
        </w:rPr>
        <w:footnoteReference w:id="147"/>
      </w:r>
      <w:r w:rsidRPr="001D6C41">
        <w:rPr>
          <w:rFonts w:asciiTheme="minorHAnsi" w:hAnsiTheme="minorHAnsi" w:cstheme="minorHAnsi"/>
          <w:szCs w:val="22"/>
        </w:rPr>
        <w:t xml:space="preserve"> Yet, this framework should not go as far as advocating intervention on the basis of substantive factors alone,</w:t>
      </w:r>
      <w:r w:rsidRPr="001D6C41">
        <w:rPr>
          <w:rStyle w:val="FootnoteReference"/>
          <w:rFonts w:asciiTheme="minorHAnsi" w:hAnsiTheme="minorHAnsi" w:cstheme="minorHAnsi"/>
          <w:szCs w:val="22"/>
        </w:rPr>
        <w:footnoteReference w:id="148"/>
      </w:r>
      <w:r w:rsidRPr="001D6C41">
        <w:rPr>
          <w:rFonts w:asciiTheme="minorHAnsi" w:hAnsiTheme="minorHAnsi" w:cstheme="minorHAnsi"/>
          <w:szCs w:val="22"/>
        </w:rPr>
        <w:t xml:space="preserve"> as the scope of such an assessment would be too uncertain. Instead, concerns for the substantive fairness of the transaction could be seen as a trigger for raising procedural protections. Thirdly, this vision would show concern for who the contracting parties are (e.g. assessing whether any independent legal advice received was appropriate and accessible) and would not assume that parties started from a balanced position, as such assumptions tend to favour the stronger party.</w:t>
      </w:r>
      <w:r w:rsidRPr="001D6C41">
        <w:rPr>
          <w:rStyle w:val="FootnoteReference"/>
          <w:rFonts w:asciiTheme="minorHAnsi" w:hAnsiTheme="minorHAnsi" w:cstheme="minorHAnsi"/>
          <w:szCs w:val="22"/>
        </w:rPr>
        <w:footnoteReference w:id="149"/>
      </w:r>
      <w:r w:rsidRPr="001D6C41">
        <w:rPr>
          <w:rFonts w:asciiTheme="minorHAnsi" w:hAnsiTheme="minorHAnsi" w:cstheme="minorHAnsi"/>
          <w:szCs w:val="22"/>
        </w:rPr>
        <w:t xml:space="preserve"> Fourthly, by focusing on the relation between the parties and the rules that should govern these relations within a wider social context,</w:t>
      </w:r>
      <w:r w:rsidRPr="001D6C41">
        <w:rPr>
          <w:rStyle w:val="FootnoteReference"/>
          <w:rFonts w:asciiTheme="minorHAnsi" w:hAnsiTheme="minorHAnsi" w:cstheme="minorHAnsi"/>
          <w:szCs w:val="22"/>
        </w:rPr>
        <w:footnoteReference w:id="150"/>
      </w:r>
      <w:r w:rsidRPr="001D6C41">
        <w:rPr>
          <w:rFonts w:asciiTheme="minorHAnsi" w:hAnsiTheme="minorHAnsi" w:cstheme="minorHAnsi"/>
          <w:szCs w:val="22"/>
        </w:rPr>
        <w:t xml:space="preserve"> this framework </w:t>
      </w:r>
      <w:r w:rsidR="00E056BD">
        <w:rPr>
          <w:rFonts w:asciiTheme="minorHAnsi" w:hAnsiTheme="minorHAnsi" w:cstheme="minorHAnsi"/>
          <w:szCs w:val="22"/>
        </w:rPr>
        <w:t xml:space="preserve">would </w:t>
      </w:r>
      <w:r w:rsidRPr="001D6C41">
        <w:rPr>
          <w:rFonts w:asciiTheme="minorHAnsi" w:hAnsiTheme="minorHAnsi" w:cstheme="minorHAnsi"/>
          <w:szCs w:val="22"/>
        </w:rPr>
        <w:t>demonstrate concern with issues of relational autonomy, including values such as interdependence and mutuality.</w:t>
      </w:r>
      <w:r w:rsidRPr="001D6C41">
        <w:rPr>
          <w:rStyle w:val="FootnoteReference"/>
          <w:rFonts w:asciiTheme="minorHAnsi" w:hAnsiTheme="minorHAnsi" w:cstheme="minorHAnsi"/>
          <w:szCs w:val="22"/>
        </w:rPr>
        <w:footnoteReference w:id="151"/>
      </w:r>
      <w:r w:rsidRPr="001D6C41">
        <w:rPr>
          <w:rFonts w:asciiTheme="minorHAnsi" w:hAnsiTheme="minorHAnsi" w:cstheme="minorHAnsi"/>
          <w:szCs w:val="22"/>
        </w:rPr>
        <w:t xml:space="preserve"> Finally, by adopting a broad, positive interpretation of freedom of contract that includes social values, this vision </w:t>
      </w:r>
      <w:r w:rsidR="00E056BD">
        <w:rPr>
          <w:rFonts w:asciiTheme="minorHAnsi" w:hAnsiTheme="minorHAnsi" w:cstheme="minorHAnsi"/>
          <w:szCs w:val="22"/>
        </w:rPr>
        <w:t>would recognise</w:t>
      </w:r>
      <w:r w:rsidRPr="001D6C41">
        <w:rPr>
          <w:rFonts w:asciiTheme="minorHAnsi" w:hAnsiTheme="minorHAnsi" w:cstheme="minorHAnsi"/>
          <w:szCs w:val="22"/>
        </w:rPr>
        <w:t xml:space="preserve"> the inter-connected economic and social spheres of contract law</w:t>
      </w:r>
      <w:r w:rsidRPr="001D6C41">
        <w:rPr>
          <w:rStyle w:val="FootnoteReference"/>
          <w:rFonts w:asciiTheme="minorHAnsi" w:hAnsiTheme="minorHAnsi" w:cstheme="minorHAnsi"/>
          <w:szCs w:val="22"/>
        </w:rPr>
        <w:footnoteReference w:id="152"/>
      </w:r>
      <w:r w:rsidRPr="001D6C41">
        <w:rPr>
          <w:rFonts w:asciiTheme="minorHAnsi" w:hAnsiTheme="minorHAnsi" w:cstheme="minorHAnsi"/>
          <w:szCs w:val="22"/>
        </w:rPr>
        <w:t xml:space="preserve"> and </w:t>
      </w:r>
      <w:r w:rsidRPr="001D6C41">
        <w:rPr>
          <w:rFonts w:asciiTheme="minorHAnsi" w:hAnsiTheme="minorHAnsi" w:cstheme="minorHAnsi"/>
          <w:szCs w:val="22"/>
        </w:rPr>
        <w:lastRenderedPageBreak/>
        <w:t xml:space="preserve">the contribution that private law can play in securing social objectives such as the protection of </w:t>
      </w:r>
      <w:r w:rsidR="00D24561">
        <w:rPr>
          <w:rFonts w:asciiTheme="minorHAnsi" w:hAnsiTheme="minorHAnsi" w:cstheme="minorHAnsi"/>
          <w:szCs w:val="22"/>
        </w:rPr>
        <w:t xml:space="preserve">equality and human </w:t>
      </w:r>
      <w:r w:rsidRPr="001D6C41">
        <w:rPr>
          <w:rFonts w:asciiTheme="minorHAnsi" w:hAnsiTheme="minorHAnsi" w:cstheme="minorHAnsi"/>
          <w:szCs w:val="22"/>
        </w:rPr>
        <w:t>dignity.</w:t>
      </w:r>
      <w:r w:rsidRPr="001D6C41">
        <w:rPr>
          <w:rStyle w:val="FootnoteReference"/>
          <w:rFonts w:asciiTheme="minorHAnsi" w:hAnsiTheme="minorHAnsi" w:cstheme="minorHAnsi"/>
          <w:szCs w:val="22"/>
        </w:rPr>
        <w:footnoteReference w:id="153"/>
      </w:r>
    </w:p>
    <w:p w14:paraId="5F10FE7C" w14:textId="2FDC213D" w:rsidR="00546DF3" w:rsidRDefault="00546DF3" w:rsidP="00A917CC">
      <w:pPr>
        <w:rPr>
          <w:rFonts w:asciiTheme="minorHAnsi" w:hAnsiTheme="minorHAnsi" w:cstheme="minorHAnsi"/>
          <w:szCs w:val="22"/>
        </w:rPr>
      </w:pPr>
    </w:p>
    <w:p w14:paraId="69EBC375" w14:textId="77777777" w:rsidR="00546DF3" w:rsidRPr="00700C24" w:rsidRDefault="00546DF3" w:rsidP="00546DF3">
      <w:pPr>
        <w:jc w:val="center"/>
        <w:rPr>
          <w:rFonts w:asciiTheme="minorHAnsi" w:hAnsiTheme="minorHAnsi" w:cstheme="minorHAnsi"/>
          <w:b/>
          <w:bCs/>
          <w:szCs w:val="22"/>
        </w:rPr>
      </w:pPr>
      <w:r w:rsidRPr="00700C24">
        <w:rPr>
          <w:rFonts w:asciiTheme="minorHAnsi" w:hAnsiTheme="minorHAnsi" w:cstheme="minorHAnsi"/>
          <w:b/>
          <w:bCs/>
          <w:szCs w:val="22"/>
        </w:rPr>
        <w:t>Conclusion</w:t>
      </w:r>
    </w:p>
    <w:p w14:paraId="14B65B4A" w14:textId="77777777" w:rsidR="00546DF3" w:rsidRPr="00700C24" w:rsidRDefault="00546DF3" w:rsidP="00546DF3">
      <w:pPr>
        <w:rPr>
          <w:rFonts w:asciiTheme="minorHAnsi" w:hAnsiTheme="minorHAnsi" w:cstheme="minorHAnsi"/>
          <w:szCs w:val="22"/>
        </w:rPr>
      </w:pPr>
    </w:p>
    <w:p w14:paraId="2AF3E6D8" w14:textId="1BE9ED51" w:rsidR="00546DF3" w:rsidRDefault="00546DF3" w:rsidP="00A917CC">
      <w:pPr>
        <w:rPr>
          <w:rFonts w:asciiTheme="minorHAnsi" w:hAnsiTheme="minorHAnsi" w:cstheme="minorHAnsi"/>
          <w:szCs w:val="22"/>
        </w:rPr>
      </w:pPr>
      <w:r w:rsidRPr="00700C24">
        <w:rPr>
          <w:rFonts w:asciiTheme="minorHAnsi" w:hAnsiTheme="minorHAnsi" w:cstheme="minorHAnsi"/>
          <w:szCs w:val="22"/>
        </w:rPr>
        <w:t xml:space="preserve">Measures to protect a party’s dignity in the contractual framework (whether through equality </w:t>
      </w:r>
      <w:r>
        <w:rPr>
          <w:rFonts w:asciiTheme="minorHAnsi" w:hAnsiTheme="minorHAnsi" w:cstheme="minorHAnsi"/>
          <w:szCs w:val="22"/>
        </w:rPr>
        <w:t>provisions</w:t>
      </w:r>
      <w:r w:rsidRPr="00700C24">
        <w:rPr>
          <w:rFonts w:asciiTheme="minorHAnsi" w:hAnsiTheme="minorHAnsi" w:cstheme="minorHAnsi"/>
          <w:szCs w:val="22"/>
        </w:rPr>
        <w:t xml:space="preserve"> or through refusal to enforce transactions affected by vitiating factors such as incapacity, unconscionability and undue influence) should not be seen as ‘interference’ with freedom of contract. Instead, they should be seen as instances where the </w:t>
      </w:r>
      <w:r>
        <w:rPr>
          <w:rFonts w:asciiTheme="minorHAnsi" w:hAnsiTheme="minorHAnsi" w:cstheme="minorHAnsi"/>
          <w:szCs w:val="22"/>
        </w:rPr>
        <w:t xml:space="preserve">transaction </w:t>
      </w:r>
      <w:r w:rsidRPr="00700C24">
        <w:rPr>
          <w:rFonts w:asciiTheme="minorHAnsi" w:hAnsiTheme="minorHAnsi" w:cstheme="minorHAnsi"/>
          <w:szCs w:val="22"/>
        </w:rPr>
        <w:t xml:space="preserve">between the parties stepped out of </w:t>
      </w:r>
      <w:r>
        <w:rPr>
          <w:rFonts w:asciiTheme="minorHAnsi" w:hAnsiTheme="minorHAnsi" w:cstheme="minorHAnsi"/>
          <w:szCs w:val="22"/>
        </w:rPr>
        <w:t>an</w:t>
      </w:r>
      <w:r w:rsidRPr="00700C24">
        <w:rPr>
          <w:rFonts w:asciiTheme="minorHAnsi" w:hAnsiTheme="minorHAnsi" w:cstheme="minorHAnsi"/>
          <w:szCs w:val="22"/>
        </w:rPr>
        <w:t xml:space="preserve"> inner, non-interventionist sphere, into a wider sphere </w:t>
      </w:r>
      <w:r>
        <w:rPr>
          <w:rFonts w:asciiTheme="minorHAnsi" w:hAnsiTheme="minorHAnsi" w:cstheme="minorHAnsi"/>
          <w:szCs w:val="22"/>
        </w:rPr>
        <w:t xml:space="preserve"> of contract law informed</w:t>
      </w:r>
      <w:r w:rsidRPr="00700C24">
        <w:rPr>
          <w:rFonts w:asciiTheme="minorHAnsi" w:hAnsiTheme="minorHAnsi" w:cstheme="minorHAnsi"/>
          <w:szCs w:val="22"/>
        </w:rPr>
        <w:t xml:space="preserve"> by social </w:t>
      </w:r>
      <w:r>
        <w:rPr>
          <w:rFonts w:asciiTheme="minorHAnsi" w:hAnsiTheme="minorHAnsi" w:cstheme="minorHAnsi"/>
          <w:szCs w:val="22"/>
        </w:rPr>
        <w:t>considerations</w:t>
      </w:r>
      <w:r w:rsidRPr="00700C24">
        <w:rPr>
          <w:rFonts w:asciiTheme="minorHAnsi" w:hAnsiTheme="minorHAnsi" w:cstheme="minorHAnsi"/>
          <w:szCs w:val="22"/>
        </w:rPr>
        <w:t xml:space="preserve">. </w:t>
      </w:r>
      <w:r>
        <w:rPr>
          <w:rFonts w:asciiTheme="minorHAnsi" w:hAnsiTheme="minorHAnsi" w:cstheme="minorHAnsi"/>
          <w:szCs w:val="22"/>
        </w:rPr>
        <w:t xml:space="preserve">As freedom of contract is not absolute, it is important that the boundaries of this concept are shaped by </w:t>
      </w:r>
      <w:r w:rsidRPr="006F0A2E">
        <w:rPr>
          <w:rFonts w:asciiTheme="minorHAnsi" w:hAnsiTheme="minorHAnsi" w:cstheme="minorHAnsi"/>
          <w:szCs w:val="22"/>
        </w:rPr>
        <w:t xml:space="preserve">positive values </w:t>
      </w:r>
      <w:r>
        <w:rPr>
          <w:rFonts w:asciiTheme="minorHAnsi" w:hAnsiTheme="minorHAnsi" w:cstheme="minorHAnsi"/>
          <w:szCs w:val="22"/>
        </w:rPr>
        <w:t>such as the protection of equality and human dignity, reflecting a broad, relational conception of autonomy which recognises</w:t>
      </w:r>
      <w:r w:rsidRPr="006F0A2E">
        <w:rPr>
          <w:rFonts w:asciiTheme="minorHAnsi" w:hAnsiTheme="minorHAnsi" w:cstheme="minorHAnsi"/>
          <w:szCs w:val="22"/>
        </w:rPr>
        <w:t xml:space="preserve"> the inter-dependence between </w:t>
      </w:r>
      <w:r>
        <w:rPr>
          <w:rFonts w:asciiTheme="minorHAnsi" w:hAnsiTheme="minorHAnsi" w:cstheme="minorHAnsi"/>
          <w:szCs w:val="22"/>
        </w:rPr>
        <w:t>people and</w:t>
      </w:r>
      <w:r w:rsidRPr="006F0A2E">
        <w:rPr>
          <w:rFonts w:asciiTheme="minorHAnsi" w:hAnsiTheme="minorHAnsi" w:cstheme="minorHAnsi"/>
          <w:szCs w:val="22"/>
        </w:rPr>
        <w:t xml:space="preserve"> where contract law </w:t>
      </w:r>
      <w:r>
        <w:rPr>
          <w:rFonts w:asciiTheme="minorHAnsi" w:hAnsiTheme="minorHAnsi" w:cstheme="minorHAnsi"/>
          <w:szCs w:val="22"/>
        </w:rPr>
        <w:t>has a multi-dimensional role that permeates social and economic spheres. Under this approach, contract law is brought closer to the vision of equality advanced by the CRPD</w:t>
      </w:r>
      <w:r w:rsidR="00D446B4">
        <w:rPr>
          <w:rFonts w:asciiTheme="minorHAnsi" w:hAnsiTheme="minorHAnsi" w:cstheme="minorHAnsi"/>
          <w:szCs w:val="22"/>
        </w:rPr>
        <w:t>, informing our understanding of the correlation between abstract concepts and real people</w:t>
      </w:r>
      <w:r>
        <w:rPr>
          <w:rFonts w:asciiTheme="minorHAnsi" w:hAnsiTheme="minorHAnsi" w:cstheme="minorHAnsi"/>
          <w:szCs w:val="22"/>
        </w:rPr>
        <w:t>.</w:t>
      </w:r>
    </w:p>
    <w:sectPr w:rsidR="00546DF3" w:rsidSect="004A2D1F">
      <w:footerReference w:type="default" r:id="rId7"/>
      <w:pgSz w:w="11906" w:h="16838"/>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98A67" w14:textId="77777777" w:rsidR="00021C8A" w:rsidRDefault="00021C8A" w:rsidP="00685782">
      <w:r>
        <w:separator/>
      </w:r>
    </w:p>
  </w:endnote>
  <w:endnote w:type="continuationSeparator" w:id="0">
    <w:p w14:paraId="27A1151C" w14:textId="77777777" w:rsidR="00021C8A" w:rsidRDefault="00021C8A" w:rsidP="0068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60031126"/>
      <w:docPartObj>
        <w:docPartGallery w:val="Page Numbers (Bottom of Page)"/>
        <w:docPartUnique/>
      </w:docPartObj>
    </w:sdtPr>
    <w:sdtEndPr>
      <w:rPr>
        <w:noProof/>
      </w:rPr>
    </w:sdtEndPr>
    <w:sdtContent>
      <w:p w14:paraId="1C294ED9" w14:textId="13216B8D" w:rsidR="004E4BA4" w:rsidRPr="00F93106" w:rsidRDefault="004E4BA4" w:rsidP="00205F5F">
        <w:pPr>
          <w:pStyle w:val="Footer"/>
          <w:jc w:val="center"/>
          <w:rPr>
            <w:sz w:val="16"/>
            <w:szCs w:val="16"/>
          </w:rPr>
        </w:pPr>
        <w:r w:rsidRPr="00F93106">
          <w:rPr>
            <w:sz w:val="16"/>
            <w:szCs w:val="16"/>
          </w:rPr>
          <w:fldChar w:fldCharType="begin"/>
        </w:r>
        <w:r w:rsidRPr="00F93106">
          <w:rPr>
            <w:sz w:val="16"/>
            <w:szCs w:val="16"/>
          </w:rPr>
          <w:instrText xml:space="preserve"> PAGE   \* MERGEFORMAT </w:instrText>
        </w:r>
        <w:r w:rsidRPr="00F93106">
          <w:rPr>
            <w:sz w:val="16"/>
            <w:szCs w:val="16"/>
          </w:rPr>
          <w:fldChar w:fldCharType="separate"/>
        </w:r>
        <w:r w:rsidRPr="00F93106">
          <w:rPr>
            <w:noProof/>
            <w:sz w:val="16"/>
            <w:szCs w:val="16"/>
          </w:rPr>
          <w:t>2</w:t>
        </w:r>
        <w:r w:rsidRPr="00F93106">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B121E" w14:textId="77777777" w:rsidR="00021C8A" w:rsidRDefault="00021C8A" w:rsidP="00685782">
      <w:r>
        <w:separator/>
      </w:r>
    </w:p>
  </w:footnote>
  <w:footnote w:type="continuationSeparator" w:id="0">
    <w:p w14:paraId="3D053C78" w14:textId="77777777" w:rsidR="00021C8A" w:rsidRDefault="00021C8A" w:rsidP="00685782">
      <w:r>
        <w:continuationSeparator/>
      </w:r>
    </w:p>
  </w:footnote>
  <w:footnote w:id="1">
    <w:p w14:paraId="20A24DBB" w14:textId="47F7F8DA" w:rsidR="004E4BA4" w:rsidRPr="005939E1" w:rsidRDefault="004E4BA4" w:rsidP="007C400D">
      <w:pPr>
        <w:pStyle w:val="FootnoteText"/>
        <w:rPr>
          <w:rFonts w:asciiTheme="minorHAnsi" w:hAnsiTheme="minorHAnsi" w:cstheme="minorHAnsi"/>
        </w:rPr>
      </w:pPr>
      <w:r w:rsidRPr="005939E1">
        <w:rPr>
          <w:rStyle w:val="FootnoteReference"/>
          <w:rFonts w:asciiTheme="minorHAnsi" w:hAnsiTheme="minorHAnsi" w:cstheme="minorHAnsi"/>
        </w:rPr>
        <w:t>*</w:t>
      </w:r>
      <w:r w:rsidRPr="005939E1">
        <w:rPr>
          <w:rFonts w:asciiTheme="minorHAnsi" w:hAnsiTheme="minorHAnsi" w:cstheme="minorHAnsi"/>
        </w:rPr>
        <w:t xml:space="preserve"> Senior Lecturer in Law, Keele University, </w:t>
      </w:r>
      <w:hyperlink r:id="rId1" w:history="1">
        <w:r w:rsidRPr="005939E1">
          <w:rPr>
            <w:rStyle w:val="Hyperlink"/>
            <w:rFonts w:asciiTheme="minorHAnsi" w:hAnsiTheme="minorHAnsi" w:cstheme="minorHAnsi"/>
            <w:color w:val="auto"/>
          </w:rPr>
          <w:t>e.varney@keele.ac.uk</w:t>
        </w:r>
      </w:hyperlink>
      <w:r w:rsidR="00C30B91" w:rsidRPr="005939E1">
        <w:rPr>
          <w:rFonts w:asciiTheme="minorHAnsi" w:hAnsiTheme="minorHAnsi" w:cstheme="minorHAnsi"/>
        </w:rPr>
        <w:t>, ORCID: 0000-0002-0906-9210.</w:t>
      </w:r>
      <w:r w:rsidRPr="005939E1">
        <w:rPr>
          <w:rFonts w:asciiTheme="minorHAnsi" w:hAnsiTheme="minorHAnsi" w:cstheme="minorHAnsi"/>
        </w:rPr>
        <w:t xml:space="preserve"> I would like to thank Mike Varney, Abi Pearson and the anonymous reviewers for constructive comments. Any errors are my own. </w:t>
      </w:r>
    </w:p>
  </w:footnote>
  <w:footnote w:id="2">
    <w:p w14:paraId="1D4FA006" w14:textId="1D61F63B" w:rsidR="00B362EA" w:rsidRDefault="00B362EA" w:rsidP="00B362EA">
      <w:pPr>
        <w:pStyle w:val="FootnoteText"/>
      </w:pPr>
      <w:r>
        <w:rPr>
          <w:rStyle w:val="FootnoteReference"/>
        </w:rPr>
        <w:footnoteRef/>
      </w:r>
      <w:r>
        <w:t xml:space="preserve"> </w:t>
      </w:r>
      <w:r w:rsidRPr="005D0903">
        <w:rPr>
          <w:i/>
          <w:iCs/>
        </w:rPr>
        <w:t>Nyusti and Takács v Hungary</w:t>
      </w:r>
      <w:r w:rsidRPr="005D0903">
        <w:t>, CRPD/C/9/D/1/2010, 11 March 2010</w:t>
      </w:r>
      <w:r>
        <w:t>.</w:t>
      </w:r>
    </w:p>
  </w:footnote>
  <w:footnote w:id="3">
    <w:p w14:paraId="12BABD2E" w14:textId="77777777" w:rsidR="00B362EA" w:rsidRPr="005D0903" w:rsidRDefault="00B362EA" w:rsidP="00B362EA">
      <w:pPr>
        <w:pStyle w:val="FootnoteText"/>
      </w:pPr>
      <w:r>
        <w:rPr>
          <w:rStyle w:val="FootnoteReference"/>
        </w:rPr>
        <w:footnoteRef/>
      </w:r>
      <w:r>
        <w:t xml:space="preserve"> </w:t>
      </w:r>
      <w:r>
        <w:rPr>
          <w:i/>
          <w:iCs/>
        </w:rPr>
        <w:t>Ibid</w:t>
      </w:r>
      <w:r>
        <w:t xml:space="preserve">, </w:t>
      </w:r>
      <w:r w:rsidRPr="005221F9">
        <w:rPr>
          <w:rFonts w:asciiTheme="minorHAnsi" w:hAnsiTheme="minorHAnsi" w:cstheme="minorHAnsi"/>
        </w:rPr>
        <w:t>paragraphs 2.13 and 2.16</w:t>
      </w:r>
      <w:r>
        <w:t>.</w:t>
      </w:r>
    </w:p>
  </w:footnote>
  <w:footnote w:id="4">
    <w:p w14:paraId="20F84DA1" w14:textId="77777777" w:rsidR="00B362EA" w:rsidRDefault="00B362EA" w:rsidP="00B362EA">
      <w:pPr>
        <w:pStyle w:val="FootnoteText"/>
      </w:pPr>
      <w:r>
        <w:rPr>
          <w:rStyle w:val="FootnoteReference"/>
        </w:rPr>
        <w:footnoteRef/>
      </w:r>
      <w:r>
        <w:t xml:space="preserve"> </w:t>
      </w:r>
      <w:r>
        <w:rPr>
          <w:i/>
          <w:iCs/>
        </w:rPr>
        <w:t>Ibid</w:t>
      </w:r>
      <w:r>
        <w:t xml:space="preserve">, </w:t>
      </w:r>
      <w:r w:rsidRPr="005221F9">
        <w:rPr>
          <w:rFonts w:asciiTheme="minorHAnsi" w:hAnsiTheme="minorHAnsi" w:cstheme="minorHAnsi"/>
        </w:rPr>
        <w:t>paragraph 2.12</w:t>
      </w:r>
      <w:r>
        <w:t>.</w:t>
      </w:r>
    </w:p>
  </w:footnote>
  <w:footnote w:id="5">
    <w:p w14:paraId="70C6CAA3" w14:textId="0B939BCA" w:rsidR="00B362EA" w:rsidRDefault="00B362EA" w:rsidP="00B362EA">
      <w:pPr>
        <w:pStyle w:val="FootnoteText"/>
      </w:pPr>
      <w:r>
        <w:rPr>
          <w:rStyle w:val="FootnoteReference"/>
        </w:rPr>
        <w:footnoteRef/>
      </w:r>
      <w:r>
        <w:t xml:space="preserve"> </w:t>
      </w:r>
      <w:r w:rsidRPr="00455ED4">
        <w:rPr>
          <w:rFonts w:asciiTheme="minorHAnsi" w:hAnsiTheme="minorHAnsi" w:cstheme="minorHAnsi"/>
        </w:rPr>
        <w:t>G.A. Res. 61/611, 13 December 2006, A/61/611, 15 IHRR 255</w:t>
      </w:r>
      <w:r>
        <w:t>.</w:t>
      </w:r>
    </w:p>
  </w:footnote>
  <w:footnote w:id="6">
    <w:p w14:paraId="1558D56A" w14:textId="77777777" w:rsidR="00B362EA" w:rsidRPr="006A71A4" w:rsidRDefault="00B362EA" w:rsidP="00B362EA">
      <w:pPr>
        <w:pStyle w:val="FootnoteText"/>
      </w:pPr>
      <w:r>
        <w:rPr>
          <w:rStyle w:val="FootnoteReference"/>
        </w:rPr>
        <w:footnoteRef/>
      </w:r>
      <w:r>
        <w:t xml:space="preserve"> </w:t>
      </w:r>
      <w:r w:rsidRPr="005D0903">
        <w:t>Article 9(2)(b) CRPD</w:t>
      </w:r>
      <w:r>
        <w:t xml:space="preserve">; </w:t>
      </w:r>
      <w:r w:rsidRPr="00572841">
        <w:rPr>
          <w:i/>
          <w:iCs/>
        </w:rPr>
        <w:t>Nyusti</w:t>
      </w:r>
      <w:r w:rsidRPr="00572841">
        <w:t>, above n 1</w:t>
      </w:r>
      <w:r>
        <w:t>, paragraph 9.4.</w:t>
      </w:r>
    </w:p>
  </w:footnote>
  <w:footnote w:id="7">
    <w:p w14:paraId="0C000346" w14:textId="3F8A3946" w:rsidR="00B362EA" w:rsidRDefault="00B362EA" w:rsidP="00B362EA">
      <w:pPr>
        <w:pStyle w:val="FootnoteText"/>
      </w:pPr>
      <w:r>
        <w:rPr>
          <w:rStyle w:val="FootnoteReference"/>
        </w:rPr>
        <w:footnoteRef/>
      </w:r>
      <w:r>
        <w:t xml:space="preserve"> See, for example,</w:t>
      </w:r>
      <w:r w:rsidR="0050406B">
        <w:t xml:space="preserve"> </w:t>
      </w:r>
      <w:r w:rsidR="002A03FB" w:rsidRPr="002A03FB">
        <w:rPr>
          <w:i/>
          <w:iCs/>
        </w:rPr>
        <w:t>Bacher v Austria</w:t>
      </w:r>
      <w:r w:rsidR="002A03FB">
        <w:t xml:space="preserve">, </w:t>
      </w:r>
      <w:r w:rsidR="002A03FB" w:rsidRPr="002A03FB">
        <w:t>CRPD/C/19/D/26/2014</w:t>
      </w:r>
      <w:r w:rsidR="002A03FB">
        <w:t xml:space="preserve">, </w:t>
      </w:r>
      <w:r w:rsidR="002A03FB" w:rsidRPr="002A03FB">
        <w:t>6 April 2018</w:t>
      </w:r>
      <w:r>
        <w:t>.</w:t>
      </w:r>
    </w:p>
  </w:footnote>
  <w:footnote w:id="8">
    <w:p w14:paraId="778A5E02" w14:textId="77777777" w:rsidR="00B362EA" w:rsidRDefault="00B362EA" w:rsidP="00B362EA">
      <w:pPr>
        <w:pStyle w:val="FootnoteText"/>
      </w:pPr>
      <w:r>
        <w:rPr>
          <w:rStyle w:val="FootnoteReference"/>
        </w:rPr>
        <w:footnoteRef/>
      </w:r>
      <w:r>
        <w:t xml:space="preserve"> </w:t>
      </w:r>
      <w:r w:rsidRPr="00247745">
        <w:t>Eimear</w:t>
      </w:r>
      <w:r w:rsidRPr="00E631AC">
        <w:rPr>
          <w:rFonts w:asciiTheme="minorHAnsi" w:hAnsiTheme="minorHAnsi" w:cstheme="minorHAnsi"/>
        </w:rPr>
        <w:t xml:space="preserve"> O'Brien, ‘Are you treating your vulnerable customers fairly?’</w:t>
      </w:r>
      <w:r>
        <w:rPr>
          <w:rFonts w:asciiTheme="minorHAnsi" w:hAnsiTheme="minorHAnsi" w:cstheme="minorHAnsi"/>
        </w:rPr>
        <w:t xml:space="preserve"> (2017) 6 </w:t>
      </w:r>
      <w:r w:rsidRPr="00E631AC">
        <w:rPr>
          <w:rFonts w:asciiTheme="minorHAnsi" w:hAnsiTheme="minorHAnsi" w:cstheme="minorHAnsi"/>
          <w:i/>
          <w:iCs/>
        </w:rPr>
        <w:t>Compliance &amp; Risk</w:t>
      </w:r>
      <w:r>
        <w:rPr>
          <w:rFonts w:asciiTheme="minorHAnsi" w:hAnsiTheme="minorHAnsi" w:cstheme="minorHAnsi"/>
        </w:rPr>
        <w:t xml:space="preserve"> 10</w:t>
      </w:r>
      <w:r>
        <w:t>.</w:t>
      </w:r>
    </w:p>
  </w:footnote>
  <w:footnote w:id="9">
    <w:p w14:paraId="12455ACE" w14:textId="7ECA503E" w:rsidR="00B362EA" w:rsidRDefault="00B362EA" w:rsidP="00B362EA">
      <w:pPr>
        <w:pStyle w:val="FootnoteText"/>
      </w:pPr>
      <w:r>
        <w:rPr>
          <w:rStyle w:val="FootnoteReference"/>
        </w:rPr>
        <w:footnoteRef/>
      </w:r>
      <w:r>
        <w:t xml:space="preserve"> </w:t>
      </w:r>
      <w:bookmarkStart w:id="1" w:name="_Hlk15593343"/>
      <w:r w:rsidRPr="00023BCC">
        <w:t>Alzheimer's Society</w:t>
      </w:r>
      <w:bookmarkEnd w:id="1"/>
      <w:r w:rsidRPr="00023BCC">
        <w:t xml:space="preserve">, </w:t>
      </w:r>
      <w:r w:rsidRPr="00023BCC">
        <w:rPr>
          <w:i/>
          <w:iCs/>
        </w:rPr>
        <w:t>Dementia UK: Update</w:t>
      </w:r>
      <w:r w:rsidRPr="00023BCC">
        <w:t>, 2014</w:t>
      </w:r>
      <w:r>
        <w:t xml:space="preserve">; </w:t>
      </w:r>
      <w:r w:rsidRPr="00152A6B">
        <w:rPr>
          <w:rFonts w:asciiTheme="minorHAnsi" w:eastAsia="SimSun" w:hAnsiTheme="minorHAnsi" w:cstheme="minorHAnsi"/>
          <w:szCs w:val="22"/>
          <w:lang w:eastAsia="zh-CN"/>
        </w:rPr>
        <w:t xml:space="preserve">World Health Organisation and the World Bank, </w:t>
      </w:r>
      <w:r w:rsidRPr="00152A6B">
        <w:rPr>
          <w:rFonts w:asciiTheme="minorHAnsi" w:eastAsia="SimSun" w:hAnsiTheme="minorHAnsi" w:cstheme="minorHAnsi"/>
          <w:i/>
          <w:iCs/>
          <w:szCs w:val="22"/>
          <w:lang w:eastAsia="zh-CN"/>
        </w:rPr>
        <w:t>Summary World Report on Disability</w:t>
      </w:r>
      <w:r w:rsidRPr="00152A6B">
        <w:rPr>
          <w:rFonts w:asciiTheme="minorHAnsi" w:eastAsia="SimSun" w:hAnsiTheme="minorHAnsi" w:cstheme="minorHAnsi"/>
          <w:szCs w:val="22"/>
          <w:lang w:eastAsia="zh-CN"/>
        </w:rPr>
        <w:t xml:space="preserve">, </w:t>
      </w:r>
      <w:r w:rsidRPr="001F3B1E">
        <w:rPr>
          <w:rFonts w:asciiTheme="minorHAnsi" w:eastAsia="SimSun" w:hAnsiTheme="minorHAnsi" w:cstheme="minorHAnsi"/>
          <w:szCs w:val="22"/>
          <w:lang w:eastAsia="zh-CN"/>
        </w:rPr>
        <w:t>WHO/NMH/VIP/11.01</w:t>
      </w:r>
      <w:r>
        <w:rPr>
          <w:rFonts w:asciiTheme="minorHAnsi" w:eastAsia="SimSun" w:hAnsiTheme="minorHAnsi" w:cstheme="minorHAnsi"/>
          <w:szCs w:val="22"/>
          <w:lang w:eastAsia="zh-CN"/>
        </w:rPr>
        <w:t>, 2011, 8.</w:t>
      </w:r>
    </w:p>
  </w:footnote>
  <w:footnote w:id="10">
    <w:p w14:paraId="442A1B5D" w14:textId="77777777" w:rsidR="00CF025F" w:rsidRPr="00553E5D" w:rsidRDefault="00CF025F" w:rsidP="00CF025F">
      <w:pPr>
        <w:pStyle w:val="FootnoteText"/>
        <w:rPr>
          <w:rFonts w:asciiTheme="minorHAnsi" w:hAnsiTheme="minorHAnsi" w:cstheme="minorHAnsi"/>
        </w:rPr>
      </w:pPr>
      <w:r w:rsidRPr="0073281B">
        <w:rPr>
          <w:rStyle w:val="FootnoteReference"/>
        </w:rPr>
        <w:footnoteRef/>
      </w:r>
      <w:r w:rsidRPr="0073281B">
        <w:t xml:space="preserve"> </w:t>
      </w:r>
      <w:r w:rsidRPr="00553E5D">
        <w:rPr>
          <w:rFonts w:asciiTheme="minorHAnsi" w:hAnsiTheme="minorHAnsi" w:cstheme="minorHAnsi"/>
        </w:rPr>
        <w:t xml:space="preserve">Michael Oliver, </w:t>
      </w:r>
      <w:r w:rsidRPr="00553E5D">
        <w:rPr>
          <w:rFonts w:asciiTheme="minorHAnsi" w:hAnsiTheme="minorHAnsi" w:cstheme="minorHAnsi"/>
          <w:i/>
          <w:iCs/>
        </w:rPr>
        <w:t>The Politics of Disablement</w:t>
      </w:r>
      <w:r w:rsidRPr="00553E5D">
        <w:rPr>
          <w:rFonts w:asciiTheme="minorHAnsi" w:hAnsiTheme="minorHAnsi" w:cstheme="minorHAnsi"/>
        </w:rPr>
        <w:t xml:space="preserve"> (Basingstoke: Palgrave Macmillan, 1990); Colin </w:t>
      </w:r>
      <w:bookmarkStart w:id="2" w:name="_Hlk18013056"/>
      <w:r w:rsidRPr="00553E5D">
        <w:rPr>
          <w:rFonts w:asciiTheme="minorHAnsi" w:hAnsiTheme="minorHAnsi" w:cstheme="minorHAnsi"/>
        </w:rPr>
        <w:t>Barnes</w:t>
      </w:r>
      <w:bookmarkEnd w:id="2"/>
      <w:r w:rsidRPr="00553E5D">
        <w:rPr>
          <w:rFonts w:asciiTheme="minorHAnsi" w:hAnsiTheme="minorHAnsi" w:cstheme="minorHAnsi"/>
        </w:rPr>
        <w:t xml:space="preserve">, ‘Theories of Disability and the Origins of the Oppression of Disabled People in Western Society’ in Len Barton (ed.) </w:t>
      </w:r>
      <w:r w:rsidRPr="00553E5D">
        <w:rPr>
          <w:rFonts w:asciiTheme="minorHAnsi" w:hAnsiTheme="minorHAnsi" w:cstheme="minorHAnsi"/>
          <w:i/>
          <w:iCs/>
        </w:rPr>
        <w:t xml:space="preserve">Disability and Society: Emerging Issues and Insights </w:t>
      </w:r>
      <w:r w:rsidRPr="00553E5D">
        <w:rPr>
          <w:rFonts w:asciiTheme="minorHAnsi" w:hAnsiTheme="minorHAnsi" w:cstheme="minorHAnsi"/>
        </w:rPr>
        <w:t>(Essex: Longman, 1996).</w:t>
      </w:r>
    </w:p>
  </w:footnote>
  <w:footnote w:id="11">
    <w:p w14:paraId="1E68A19E" w14:textId="77777777" w:rsidR="00CF025F" w:rsidRPr="00553E5D" w:rsidRDefault="00CF025F" w:rsidP="00CF025F">
      <w:pPr>
        <w:pStyle w:val="FootnoteText"/>
      </w:pPr>
      <w:r w:rsidRPr="00553E5D">
        <w:rPr>
          <w:rStyle w:val="FootnoteReference"/>
        </w:rPr>
        <w:footnoteRef/>
      </w:r>
      <w:r w:rsidRPr="00553E5D">
        <w:t xml:space="preserve"> </w:t>
      </w:r>
      <w:r w:rsidRPr="00553E5D">
        <w:rPr>
          <w:i/>
          <w:iCs/>
        </w:rPr>
        <w:t>Nyusti</w:t>
      </w:r>
      <w:r w:rsidRPr="00553E5D">
        <w:t>, above n 1.</w:t>
      </w:r>
    </w:p>
  </w:footnote>
  <w:footnote w:id="12">
    <w:p w14:paraId="3E3D61EF" w14:textId="7F8B33F4" w:rsidR="00F90735" w:rsidRPr="00553E5D" w:rsidRDefault="00F90735" w:rsidP="00F90735">
      <w:pPr>
        <w:pStyle w:val="FootnoteText"/>
      </w:pPr>
      <w:r w:rsidRPr="00553E5D">
        <w:rPr>
          <w:rStyle w:val="FootnoteReference"/>
        </w:rPr>
        <w:footnoteRef/>
      </w:r>
      <w:r w:rsidRPr="00553E5D">
        <w:t xml:space="preserve"> </w:t>
      </w:r>
      <w:r>
        <w:rPr>
          <w:i/>
          <w:iCs/>
        </w:rPr>
        <w:t>Ibid</w:t>
      </w:r>
      <w:r w:rsidRPr="00553E5D">
        <w:t>, paragraph 2.5.</w:t>
      </w:r>
    </w:p>
  </w:footnote>
  <w:footnote w:id="13">
    <w:p w14:paraId="2F0CF447" w14:textId="77777777" w:rsidR="00CF025F" w:rsidRPr="00553E5D" w:rsidRDefault="00CF025F" w:rsidP="00CF025F">
      <w:pPr>
        <w:pStyle w:val="FootnoteText"/>
      </w:pPr>
      <w:r w:rsidRPr="00553E5D">
        <w:rPr>
          <w:rStyle w:val="FootnoteReference"/>
        </w:rPr>
        <w:footnoteRef/>
      </w:r>
      <w:r w:rsidRPr="00553E5D">
        <w:t xml:space="preserve"> Heiner </w:t>
      </w:r>
      <w:bookmarkStart w:id="3" w:name="_Hlk18040735"/>
      <w:r w:rsidRPr="00553E5D">
        <w:t>Bielefeldt</w:t>
      </w:r>
      <w:bookmarkEnd w:id="3"/>
      <w:r w:rsidRPr="00553E5D">
        <w:t xml:space="preserve">, ‘New Inspiration for the Human Rights Debate: The Convention on the Rights of Persons with Disabilities’ (2007) 52 </w:t>
      </w:r>
      <w:r w:rsidRPr="00553E5D">
        <w:rPr>
          <w:i/>
          <w:iCs/>
        </w:rPr>
        <w:t>Netherlands Quarterly of Human Rights</w:t>
      </w:r>
      <w:r w:rsidRPr="00553E5D">
        <w:t xml:space="preserve"> 397.</w:t>
      </w:r>
    </w:p>
  </w:footnote>
  <w:footnote w:id="14">
    <w:p w14:paraId="7D1ACF0E" w14:textId="64770962" w:rsidR="00CF025F" w:rsidRPr="00553E5D" w:rsidRDefault="00CF025F" w:rsidP="00CF025F">
      <w:pPr>
        <w:pStyle w:val="FootnoteText"/>
      </w:pPr>
      <w:r w:rsidRPr="00553E5D">
        <w:rPr>
          <w:rStyle w:val="FootnoteReference"/>
        </w:rPr>
        <w:footnoteRef/>
      </w:r>
      <w:r w:rsidRPr="00553E5D">
        <w:t xml:space="preserve"> </w:t>
      </w:r>
      <w:r w:rsidR="00784922" w:rsidRPr="00553E5D">
        <w:rPr>
          <w:rFonts w:asciiTheme="minorHAnsi" w:hAnsiTheme="minorHAnsi" w:cstheme="minorHAnsi"/>
        </w:rPr>
        <w:t xml:space="preserve">Anna Lawson, ‘Accessibility Obligations in the UN </w:t>
      </w:r>
      <w:r w:rsidR="00784922" w:rsidRPr="00553E5D">
        <w:rPr>
          <w:rFonts w:asciiTheme="minorHAnsi" w:hAnsiTheme="minorHAnsi" w:cstheme="minorHAnsi"/>
          <w:i/>
        </w:rPr>
        <w:t>Convention on the Rights of Persons with Disabilities</w:t>
      </w:r>
      <w:r w:rsidR="00784922" w:rsidRPr="00553E5D">
        <w:rPr>
          <w:rFonts w:asciiTheme="minorHAnsi" w:hAnsiTheme="minorHAnsi" w:cstheme="minorHAnsi"/>
        </w:rPr>
        <w:t xml:space="preserve">: </w:t>
      </w:r>
      <w:r w:rsidR="00784922" w:rsidRPr="00553E5D">
        <w:rPr>
          <w:rFonts w:asciiTheme="minorHAnsi" w:hAnsiTheme="minorHAnsi" w:cstheme="minorHAnsi"/>
          <w:i/>
        </w:rPr>
        <w:t>Nyusti and Takacs v Hungary</w:t>
      </w:r>
      <w:r w:rsidR="00784922" w:rsidRPr="00553E5D">
        <w:rPr>
          <w:rFonts w:asciiTheme="minorHAnsi" w:hAnsiTheme="minorHAnsi" w:cstheme="minorHAnsi"/>
        </w:rPr>
        <w:t xml:space="preserve">’, (2014) 30 </w:t>
      </w:r>
      <w:r w:rsidR="00784922" w:rsidRPr="00553E5D">
        <w:rPr>
          <w:rFonts w:asciiTheme="minorHAnsi" w:hAnsiTheme="minorHAnsi" w:cstheme="minorHAnsi"/>
          <w:i/>
        </w:rPr>
        <w:t>South African Journal on Human Rights</w:t>
      </w:r>
      <w:r w:rsidR="00784922" w:rsidRPr="00553E5D">
        <w:rPr>
          <w:rFonts w:asciiTheme="minorHAnsi" w:hAnsiTheme="minorHAnsi" w:cstheme="minorHAnsi"/>
        </w:rPr>
        <w:t xml:space="preserve"> 380</w:t>
      </w:r>
      <w:r w:rsidR="00784922" w:rsidRPr="00553E5D">
        <w:t>.</w:t>
      </w:r>
    </w:p>
  </w:footnote>
  <w:footnote w:id="15">
    <w:p w14:paraId="08863D9B" w14:textId="77777777" w:rsidR="00CF025F" w:rsidRPr="00553E5D" w:rsidRDefault="00CF025F" w:rsidP="00CF025F">
      <w:pPr>
        <w:pStyle w:val="FootnoteText"/>
      </w:pPr>
      <w:r w:rsidRPr="00553E5D">
        <w:rPr>
          <w:rStyle w:val="FootnoteReference"/>
        </w:rPr>
        <w:footnoteRef/>
      </w:r>
      <w:r w:rsidRPr="00553E5D">
        <w:t xml:space="preserve"> </w:t>
      </w:r>
      <w:r w:rsidRPr="00553E5D">
        <w:rPr>
          <w:i/>
          <w:iCs/>
        </w:rPr>
        <w:t>Nyusti</w:t>
      </w:r>
      <w:r w:rsidRPr="00553E5D">
        <w:t>, above n 1, paragraph 2.12.</w:t>
      </w:r>
    </w:p>
  </w:footnote>
  <w:footnote w:id="16">
    <w:p w14:paraId="20F61DFB" w14:textId="3E87A942" w:rsidR="00CF025F" w:rsidRPr="00553E5D" w:rsidRDefault="00CF025F" w:rsidP="00CF025F">
      <w:pPr>
        <w:pStyle w:val="FootnoteText"/>
      </w:pPr>
      <w:r w:rsidRPr="00553E5D">
        <w:rPr>
          <w:rStyle w:val="FootnoteReference"/>
        </w:rPr>
        <w:footnoteRef/>
      </w:r>
      <w:r w:rsidRPr="00553E5D">
        <w:t xml:space="preserve"> </w:t>
      </w:r>
      <w:r w:rsidR="00C31C3D" w:rsidRPr="00553E5D">
        <w:rPr>
          <w:i/>
          <w:iCs/>
        </w:rPr>
        <w:t>Ibid</w:t>
      </w:r>
      <w:r w:rsidRPr="00553E5D">
        <w:t>, paragraph 2.12.</w:t>
      </w:r>
    </w:p>
  </w:footnote>
  <w:footnote w:id="17">
    <w:p w14:paraId="1CE8E247" w14:textId="77777777" w:rsidR="00CF025F" w:rsidRPr="00553E5D" w:rsidRDefault="00CF025F" w:rsidP="00CF025F">
      <w:pPr>
        <w:pStyle w:val="FootnoteText"/>
      </w:pPr>
      <w:r w:rsidRPr="00553E5D">
        <w:rPr>
          <w:rStyle w:val="FootnoteReference"/>
        </w:rPr>
        <w:footnoteRef/>
      </w:r>
      <w:r w:rsidRPr="00553E5D">
        <w:t xml:space="preserve"> Interview with Guido Gybels, RNID (now Action on Hearing Loss), 17 August 2009.</w:t>
      </w:r>
    </w:p>
  </w:footnote>
  <w:footnote w:id="18">
    <w:p w14:paraId="2D3D8B32" w14:textId="77777777" w:rsidR="00CF025F" w:rsidRPr="00553E5D" w:rsidRDefault="00CF025F" w:rsidP="00CF025F">
      <w:pPr>
        <w:pStyle w:val="FootnoteText"/>
      </w:pPr>
      <w:r w:rsidRPr="00553E5D">
        <w:rPr>
          <w:rStyle w:val="FootnoteReference"/>
        </w:rPr>
        <w:footnoteRef/>
      </w:r>
      <w:r w:rsidRPr="00553E5D">
        <w:t xml:space="preserve"> </w:t>
      </w:r>
      <w:r w:rsidRPr="00553E5D">
        <w:rPr>
          <w:i/>
          <w:iCs/>
        </w:rPr>
        <w:t>Nyusti</w:t>
      </w:r>
      <w:r w:rsidRPr="00553E5D">
        <w:t>, above n 1, paragraph 2.5.</w:t>
      </w:r>
    </w:p>
  </w:footnote>
  <w:footnote w:id="19">
    <w:p w14:paraId="2D11C8FE" w14:textId="77777777" w:rsidR="00CF025F" w:rsidRPr="00553E5D" w:rsidRDefault="00CF025F" w:rsidP="00CF025F">
      <w:pPr>
        <w:pStyle w:val="FootnoteText"/>
      </w:pPr>
      <w:r w:rsidRPr="00553E5D">
        <w:rPr>
          <w:rStyle w:val="FootnoteReference"/>
        </w:rPr>
        <w:footnoteRef/>
      </w:r>
      <w:r w:rsidRPr="00553E5D">
        <w:t xml:space="preserve"> Hugh </w:t>
      </w:r>
      <w:bookmarkStart w:id="4" w:name="_Hlk18048659"/>
      <w:r w:rsidRPr="00553E5D">
        <w:t>Collins</w:t>
      </w:r>
      <w:bookmarkEnd w:id="4"/>
      <w:r w:rsidRPr="00553E5D">
        <w:t>, ‘The Impact of Human Rights Law on Contract Law in Europe’ Cambridge Legal Studies Research Paper 13/2011, 5.</w:t>
      </w:r>
    </w:p>
  </w:footnote>
  <w:footnote w:id="20">
    <w:p w14:paraId="1E588B39" w14:textId="77777777" w:rsidR="00CF025F" w:rsidRPr="00553E5D" w:rsidRDefault="00CF025F" w:rsidP="00CF025F">
      <w:pPr>
        <w:pStyle w:val="FootnoteText"/>
      </w:pPr>
      <w:r w:rsidRPr="00553E5D">
        <w:rPr>
          <w:rStyle w:val="FootnoteReference"/>
        </w:rPr>
        <w:footnoteRef/>
      </w:r>
      <w:r w:rsidRPr="00553E5D">
        <w:t xml:space="preserve"> </w:t>
      </w:r>
      <w:r w:rsidRPr="00553E5D">
        <w:rPr>
          <w:i/>
          <w:iCs/>
        </w:rPr>
        <w:t>Nyusti</w:t>
      </w:r>
      <w:r w:rsidRPr="00553E5D">
        <w:t>, above n 1, paragraph 2.5 and 2.12.</w:t>
      </w:r>
    </w:p>
  </w:footnote>
  <w:footnote w:id="21">
    <w:p w14:paraId="45E1C01B" w14:textId="28F3A70A" w:rsidR="00CF025F" w:rsidRPr="00553E5D" w:rsidRDefault="00CF025F" w:rsidP="00CF025F">
      <w:pPr>
        <w:pStyle w:val="FootnoteText"/>
      </w:pPr>
      <w:r w:rsidRPr="00553E5D">
        <w:rPr>
          <w:rStyle w:val="FootnoteReference"/>
        </w:rPr>
        <w:footnoteRef/>
      </w:r>
      <w:r w:rsidRPr="00553E5D">
        <w:t xml:space="preserve"> </w:t>
      </w:r>
      <w:r w:rsidR="00C31C3D" w:rsidRPr="00553E5D">
        <w:rPr>
          <w:i/>
          <w:iCs/>
        </w:rPr>
        <w:t>Ibid</w:t>
      </w:r>
      <w:r w:rsidRPr="00553E5D">
        <w:t>, paragraphs 2.13-2.16.</w:t>
      </w:r>
    </w:p>
  </w:footnote>
  <w:footnote w:id="22">
    <w:p w14:paraId="0093A0B5" w14:textId="77777777" w:rsidR="00CF025F" w:rsidRDefault="00CF025F" w:rsidP="00CF025F">
      <w:pPr>
        <w:pStyle w:val="FootnoteText"/>
      </w:pPr>
      <w:r w:rsidRPr="00553E5D">
        <w:rPr>
          <w:rStyle w:val="FootnoteReference"/>
        </w:rPr>
        <w:footnoteRef/>
      </w:r>
      <w:r w:rsidRPr="00553E5D">
        <w:t xml:space="preserve"> UN Convention on the Rights of Persons with Disabilities, Article 9(2)(b); </w:t>
      </w:r>
      <w:r w:rsidRPr="00553E5D">
        <w:rPr>
          <w:i/>
          <w:iCs/>
        </w:rPr>
        <w:t>Nyusti</w:t>
      </w:r>
      <w:r w:rsidRPr="00553E5D">
        <w:t>, above n 1, paragraph</w:t>
      </w:r>
      <w:r>
        <w:t xml:space="preserve"> 10.</w:t>
      </w:r>
    </w:p>
  </w:footnote>
  <w:footnote w:id="23">
    <w:p w14:paraId="3A88EB83" w14:textId="77777777" w:rsidR="00CF025F" w:rsidRDefault="00CF025F" w:rsidP="00CF025F">
      <w:pPr>
        <w:pStyle w:val="FootnoteText"/>
      </w:pPr>
      <w:r>
        <w:rPr>
          <w:rStyle w:val="FootnoteReference"/>
        </w:rPr>
        <w:footnoteRef/>
      </w:r>
      <w:r>
        <w:t xml:space="preserve"> </w:t>
      </w:r>
      <w:r w:rsidRPr="00DC7688">
        <w:t xml:space="preserve">UN Convention on the Rights of Persons with Disabilities, Article </w:t>
      </w:r>
      <w:r>
        <w:t>1.</w:t>
      </w:r>
    </w:p>
  </w:footnote>
  <w:footnote w:id="24">
    <w:p w14:paraId="31BFDD6E" w14:textId="322D32C1" w:rsidR="00CF025F" w:rsidRDefault="00CF025F" w:rsidP="00CF025F">
      <w:pPr>
        <w:pStyle w:val="FootnoteText"/>
      </w:pPr>
      <w:r>
        <w:rPr>
          <w:rStyle w:val="FootnoteReference"/>
        </w:rPr>
        <w:footnoteRef/>
      </w:r>
      <w:r>
        <w:t xml:space="preserve"> </w:t>
      </w:r>
      <w:r w:rsidR="00C31C3D">
        <w:rPr>
          <w:i/>
          <w:iCs/>
        </w:rPr>
        <w:t>Ibid</w:t>
      </w:r>
      <w:r w:rsidRPr="00DC7688">
        <w:t xml:space="preserve">, Article </w:t>
      </w:r>
      <w:r>
        <w:t>19.</w:t>
      </w:r>
    </w:p>
  </w:footnote>
  <w:footnote w:id="25">
    <w:p w14:paraId="289E85ED" w14:textId="398FE887" w:rsidR="00CF025F" w:rsidRDefault="00CF025F" w:rsidP="00CF025F">
      <w:pPr>
        <w:pStyle w:val="FootnoteText"/>
      </w:pPr>
      <w:r>
        <w:rPr>
          <w:rStyle w:val="FootnoteReference"/>
        </w:rPr>
        <w:footnoteRef/>
      </w:r>
      <w:r>
        <w:t xml:space="preserve"> </w:t>
      </w:r>
      <w:r w:rsidR="00C31C3D">
        <w:rPr>
          <w:i/>
          <w:iCs/>
        </w:rPr>
        <w:t>Ibid</w:t>
      </w:r>
      <w:r w:rsidRPr="00DC7688">
        <w:t xml:space="preserve">, Article </w:t>
      </w:r>
      <w:r>
        <w:t>1.</w:t>
      </w:r>
    </w:p>
  </w:footnote>
  <w:footnote w:id="26">
    <w:p w14:paraId="64849B14" w14:textId="77777777" w:rsidR="00CF025F" w:rsidRDefault="00CF025F" w:rsidP="00CF025F">
      <w:pPr>
        <w:pStyle w:val="FootnoteText"/>
      </w:pPr>
      <w:r w:rsidRPr="00553E5D">
        <w:rPr>
          <w:rStyle w:val="FootnoteReference"/>
        </w:rPr>
        <w:footnoteRef/>
      </w:r>
      <w:r w:rsidRPr="00553E5D">
        <w:t xml:space="preserve"> </w:t>
      </w:r>
      <w:r w:rsidRPr="00553E5D">
        <w:rPr>
          <w:i/>
          <w:iCs/>
        </w:rPr>
        <w:t>Nyusti</w:t>
      </w:r>
      <w:r w:rsidRPr="00553E5D">
        <w:t>, above n 1, paragraph 2.13, 2.14 and 2.16.</w:t>
      </w:r>
    </w:p>
  </w:footnote>
  <w:footnote w:id="27">
    <w:p w14:paraId="4E3E4121" w14:textId="77777777" w:rsidR="00CF025F" w:rsidRDefault="00CF025F" w:rsidP="00CF025F">
      <w:pPr>
        <w:pStyle w:val="FootnoteText"/>
      </w:pPr>
      <w:r w:rsidRPr="00FC71B0">
        <w:rPr>
          <w:rStyle w:val="FootnoteReference"/>
        </w:rPr>
        <w:footnoteRef/>
      </w:r>
      <w:r w:rsidRPr="00FC71B0">
        <w:t xml:space="preserve"> </w:t>
      </w:r>
      <w:r w:rsidRPr="00FC71B0">
        <w:rPr>
          <w:rFonts w:asciiTheme="minorHAnsi" w:hAnsiTheme="minorHAnsi" w:cstheme="minorHAnsi"/>
        </w:rPr>
        <w:t xml:space="preserve">Paul </w:t>
      </w:r>
      <w:bookmarkStart w:id="5" w:name="_Hlk18087215"/>
      <w:r w:rsidRPr="00FC71B0">
        <w:rPr>
          <w:rFonts w:asciiTheme="minorHAnsi" w:hAnsiTheme="minorHAnsi" w:cstheme="minorHAnsi"/>
        </w:rPr>
        <w:t>Hirst</w:t>
      </w:r>
      <w:bookmarkEnd w:id="5"/>
      <w:r w:rsidRPr="00FC71B0">
        <w:rPr>
          <w:rFonts w:asciiTheme="minorHAnsi" w:hAnsiTheme="minorHAnsi" w:cstheme="minorHAnsi"/>
        </w:rPr>
        <w:t xml:space="preserve">, ‘Ownership and Democracy’ (1998) 69 </w:t>
      </w:r>
      <w:r w:rsidRPr="00FC71B0">
        <w:rPr>
          <w:rFonts w:asciiTheme="minorHAnsi" w:hAnsiTheme="minorHAnsi" w:cstheme="minorHAnsi"/>
          <w:i/>
          <w:iCs/>
        </w:rPr>
        <w:t>Political Quarterly</w:t>
      </w:r>
      <w:r w:rsidRPr="00FC71B0">
        <w:rPr>
          <w:rFonts w:asciiTheme="minorHAnsi" w:hAnsiTheme="minorHAnsi" w:cstheme="minorHAnsi"/>
        </w:rPr>
        <w:t xml:space="preserve"> 354; Anthony </w:t>
      </w:r>
      <w:bookmarkStart w:id="6" w:name="_Hlk18087253"/>
      <w:r w:rsidRPr="00FC71B0">
        <w:rPr>
          <w:rFonts w:asciiTheme="minorHAnsi" w:hAnsiTheme="minorHAnsi" w:cstheme="minorHAnsi"/>
        </w:rPr>
        <w:t>Ogus</w:t>
      </w:r>
      <w:bookmarkEnd w:id="6"/>
      <w:r w:rsidRPr="00FC71B0">
        <w:rPr>
          <w:rFonts w:asciiTheme="minorHAnsi" w:hAnsiTheme="minorHAnsi" w:cstheme="minorHAnsi"/>
        </w:rPr>
        <w:t xml:space="preserve">, </w:t>
      </w:r>
      <w:r w:rsidRPr="00FC71B0">
        <w:rPr>
          <w:rFonts w:asciiTheme="minorHAnsi" w:hAnsiTheme="minorHAnsi" w:cstheme="minorHAnsi"/>
          <w:i/>
          <w:iCs/>
        </w:rPr>
        <w:t>Regulation, Legal Form and Economic Theory</w:t>
      </w:r>
      <w:r w:rsidRPr="00FC71B0">
        <w:rPr>
          <w:rFonts w:asciiTheme="minorHAnsi" w:hAnsiTheme="minorHAnsi" w:cstheme="minorHAnsi"/>
        </w:rPr>
        <w:t xml:space="preserve"> (Oxford: Hart Publishing, 2004), 22.</w:t>
      </w:r>
    </w:p>
  </w:footnote>
  <w:footnote w:id="28">
    <w:p w14:paraId="597EBC3F" w14:textId="77777777" w:rsidR="00C31C3D" w:rsidRPr="0024774E" w:rsidRDefault="00C31C3D" w:rsidP="00C31C3D">
      <w:pPr>
        <w:pStyle w:val="FootnoteText"/>
        <w:rPr>
          <w:rFonts w:asciiTheme="minorHAnsi" w:hAnsiTheme="minorHAnsi" w:cstheme="minorHAnsi"/>
        </w:rPr>
      </w:pPr>
      <w:r w:rsidRPr="0024774E">
        <w:rPr>
          <w:rStyle w:val="FootnoteReference"/>
          <w:rFonts w:asciiTheme="minorHAnsi" w:hAnsiTheme="minorHAnsi" w:cstheme="minorHAnsi"/>
        </w:rPr>
        <w:footnoteRef/>
      </w:r>
      <w:r w:rsidRPr="0024774E">
        <w:rPr>
          <w:rFonts w:asciiTheme="minorHAnsi" w:hAnsiTheme="minorHAnsi" w:cstheme="minorHAnsi"/>
        </w:rPr>
        <w:t xml:space="preserve"> GA Res 34/180, 18 December 1979, A/34/46, 1249 UNTS 13.</w:t>
      </w:r>
    </w:p>
  </w:footnote>
  <w:footnote w:id="29">
    <w:p w14:paraId="6E08ACC1" w14:textId="77777777" w:rsidR="00C31C3D" w:rsidRPr="0024774E" w:rsidRDefault="00C31C3D" w:rsidP="00C31C3D">
      <w:pPr>
        <w:pStyle w:val="FootnoteText"/>
        <w:rPr>
          <w:rFonts w:asciiTheme="minorHAnsi" w:hAnsiTheme="minorHAnsi" w:cstheme="minorHAnsi"/>
        </w:rPr>
      </w:pPr>
      <w:r w:rsidRPr="0024774E">
        <w:rPr>
          <w:rStyle w:val="FootnoteReference"/>
          <w:rFonts w:asciiTheme="minorHAnsi" w:hAnsiTheme="minorHAnsi" w:cstheme="minorHAnsi"/>
        </w:rPr>
        <w:footnoteRef/>
      </w:r>
      <w:r w:rsidRPr="0024774E">
        <w:rPr>
          <w:rFonts w:asciiTheme="minorHAnsi" w:hAnsiTheme="minorHAnsi" w:cstheme="minorHAnsi"/>
        </w:rPr>
        <w:t xml:space="preserve"> UN Convention on the Elimination of all Forms of Discrimination against Women</w:t>
      </w:r>
      <w:r w:rsidRPr="0024774E">
        <w:rPr>
          <w:rFonts w:asciiTheme="minorHAnsi" w:hAnsiTheme="minorHAnsi" w:cstheme="minorHAnsi"/>
          <w:i/>
          <w:iCs/>
        </w:rPr>
        <w:t xml:space="preserve">, </w:t>
      </w:r>
      <w:r w:rsidRPr="0024774E">
        <w:rPr>
          <w:rFonts w:asciiTheme="minorHAnsi" w:hAnsiTheme="minorHAnsi" w:cstheme="minorHAnsi"/>
        </w:rPr>
        <w:t>Article 15(2).</w:t>
      </w:r>
      <w:r>
        <w:rPr>
          <w:rFonts w:asciiTheme="minorHAnsi" w:hAnsiTheme="minorHAnsi" w:cstheme="minorHAnsi"/>
        </w:rPr>
        <w:t xml:space="preserve"> See </w:t>
      </w:r>
      <w:r w:rsidRPr="00AE3F96">
        <w:rPr>
          <w:rFonts w:asciiTheme="minorHAnsi" w:hAnsiTheme="minorHAnsi" w:cstheme="minorHAnsi"/>
        </w:rPr>
        <w:t xml:space="preserve">Jo Lynn Southard, ‘Protection of Women's Human Rights under the Convention on the Elimination of All Forms of Discrimination against Women’ </w:t>
      </w:r>
      <w:r>
        <w:rPr>
          <w:rFonts w:asciiTheme="minorHAnsi" w:hAnsiTheme="minorHAnsi" w:cstheme="minorHAnsi"/>
        </w:rPr>
        <w:t xml:space="preserve">(1996) 8 </w:t>
      </w:r>
      <w:r w:rsidRPr="00AE3F96">
        <w:rPr>
          <w:rFonts w:asciiTheme="minorHAnsi" w:hAnsiTheme="minorHAnsi" w:cstheme="minorHAnsi"/>
          <w:i/>
          <w:iCs/>
        </w:rPr>
        <w:t>Pace International Law Review</w:t>
      </w:r>
      <w:r w:rsidRPr="00AE3F96">
        <w:rPr>
          <w:rFonts w:asciiTheme="minorHAnsi" w:hAnsiTheme="minorHAnsi" w:cstheme="minorHAnsi"/>
        </w:rPr>
        <w:t xml:space="preserve"> 1</w:t>
      </w:r>
      <w:r>
        <w:rPr>
          <w:rFonts w:asciiTheme="minorHAnsi" w:hAnsiTheme="minorHAnsi" w:cstheme="minorHAnsi"/>
        </w:rPr>
        <w:t xml:space="preserve">, </w:t>
      </w:r>
      <w:r w:rsidRPr="00AE3F96">
        <w:rPr>
          <w:rFonts w:asciiTheme="minorHAnsi" w:hAnsiTheme="minorHAnsi" w:cstheme="minorHAnsi"/>
        </w:rPr>
        <w:t>37</w:t>
      </w:r>
      <w:r>
        <w:rPr>
          <w:rFonts w:asciiTheme="minorHAnsi" w:hAnsiTheme="minorHAnsi" w:cstheme="minorHAnsi"/>
        </w:rPr>
        <w:t>.</w:t>
      </w:r>
    </w:p>
  </w:footnote>
  <w:footnote w:id="30">
    <w:p w14:paraId="5DD84938" w14:textId="77777777" w:rsidR="00C31C3D" w:rsidRDefault="00C31C3D" w:rsidP="00C31C3D">
      <w:pPr>
        <w:pStyle w:val="FootnoteText"/>
      </w:pPr>
      <w:r w:rsidRPr="00556589">
        <w:rPr>
          <w:rStyle w:val="FootnoteReference"/>
        </w:rPr>
        <w:footnoteRef/>
      </w:r>
      <w:r w:rsidRPr="00556589">
        <w:t xml:space="preserve"> UN Convention on the Rights of Persons with Disabilities, Article 12(1).</w:t>
      </w:r>
      <w:r w:rsidRPr="00556589">
        <w:rPr>
          <w:rFonts w:asciiTheme="minorHAnsi" w:hAnsiTheme="minorHAnsi" w:cstheme="minorHAnsi"/>
          <w:szCs w:val="22"/>
        </w:rPr>
        <w:t xml:space="preserve"> </w:t>
      </w:r>
      <w:r>
        <w:rPr>
          <w:rFonts w:asciiTheme="minorHAnsi" w:hAnsiTheme="minorHAnsi" w:cstheme="minorHAnsi"/>
          <w:szCs w:val="22"/>
        </w:rPr>
        <w:t xml:space="preserve">See </w:t>
      </w:r>
      <w:r w:rsidRPr="00556589">
        <w:rPr>
          <w:rFonts w:asciiTheme="minorHAnsi" w:hAnsiTheme="minorHAnsi" w:cstheme="minorHAnsi"/>
          <w:szCs w:val="22"/>
        </w:rPr>
        <w:t>Michael</w:t>
      </w:r>
      <w:r>
        <w:rPr>
          <w:rFonts w:asciiTheme="minorHAnsi" w:hAnsiTheme="minorHAnsi" w:cstheme="minorHAnsi"/>
          <w:szCs w:val="22"/>
        </w:rPr>
        <w:t xml:space="preserve"> </w:t>
      </w:r>
      <w:r w:rsidRPr="00556589">
        <w:rPr>
          <w:rFonts w:asciiTheme="minorHAnsi" w:hAnsiTheme="minorHAnsi" w:cstheme="minorHAnsi"/>
          <w:szCs w:val="22"/>
        </w:rPr>
        <w:t>Bach, ‘The Right to Legal Capacity under the UN Convention on the Rights of Persons with Disabilities: Key Concepts and Directions for Law Reform’, Toronto, Institute for Research and Development on Inclusion and Society (IRIS 2009), 2</w:t>
      </w:r>
    </w:p>
  </w:footnote>
  <w:footnote w:id="31">
    <w:p w14:paraId="4D7DD2C4" w14:textId="78A12045" w:rsidR="00C31C3D" w:rsidRPr="004E2F11" w:rsidRDefault="00C31C3D" w:rsidP="00C31C3D">
      <w:pPr>
        <w:pStyle w:val="FootnoteText"/>
        <w:rPr>
          <w:rFonts w:asciiTheme="minorHAnsi" w:hAnsiTheme="minorHAnsi" w:cstheme="minorHAnsi"/>
          <w:szCs w:val="22"/>
        </w:rPr>
      </w:pPr>
      <w:r w:rsidRPr="004E2F11">
        <w:rPr>
          <w:rStyle w:val="FootnoteReference"/>
        </w:rPr>
        <w:footnoteRef/>
      </w:r>
      <w:r w:rsidRPr="004E2F11">
        <w:t xml:space="preserve"> UN Convention on the Rights of Persons with Disabilities, Article 12(2).</w:t>
      </w:r>
    </w:p>
  </w:footnote>
  <w:footnote w:id="32">
    <w:p w14:paraId="6F0B98D8" w14:textId="2DCAB9F8" w:rsidR="00C31C3D" w:rsidRPr="009A4DD0" w:rsidRDefault="00C31C3D" w:rsidP="00C31C3D">
      <w:pPr>
        <w:pStyle w:val="FootnoteText"/>
        <w:rPr>
          <w:rFonts w:asciiTheme="minorHAnsi" w:hAnsiTheme="minorHAnsi" w:cstheme="minorHAnsi"/>
        </w:rPr>
      </w:pPr>
      <w:r w:rsidRPr="009A4DD0">
        <w:rPr>
          <w:rStyle w:val="FootnoteReference"/>
          <w:rFonts w:asciiTheme="minorHAnsi" w:hAnsiTheme="minorHAnsi" w:cstheme="minorHAnsi"/>
        </w:rPr>
        <w:footnoteRef/>
      </w:r>
      <w:r w:rsidRPr="009A4DD0">
        <w:rPr>
          <w:rFonts w:asciiTheme="minorHAnsi" w:hAnsiTheme="minorHAnsi" w:cstheme="minorHAnsi"/>
        </w:rPr>
        <w:t xml:space="preserve"> </w:t>
      </w:r>
      <w:r w:rsidR="00902F9C">
        <w:rPr>
          <w:i/>
          <w:iCs/>
        </w:rPr>
        <w:t>Ibid</w:t>
      </w:r>
      <w:r w:rsidRPr="009A4DD0">
        <w:t>, Article 12(1) and (2)</w:t>
      </w:r>
      <w:r w:rsidRPr="009A4DD0">
        <w:rPr>
          <w:rFonts w:asciiTheme="minorHAnsi" w:hAnsiTheme="minorHAnsi" w:cstheme="minorHAnsi"/>
        </w:rPr>
        <w:t>.</w:t>
      </w:r>
      <w:r>
        <w:rPr>
          <w:rFonts w:asciiTheme="minorHAnsi" w:hAnsiTheme="minorHAnsi" w:cstheme="minorHAnsi"/>
        </w:rPr>
        <w:t xml:space="preserve"> </w:t>
      </w:r>
    </w:p>
  </w:footnote>
  <w:footnote w:id="33">
    <w:p w14:paraId="2AF38909" w14:textId="77777777" w:rsidR="00C31C3D" w:rsidRDefault="00C31C3D" w:rsidP="00C31C3D">
      <w:pPr>
        <w:pStyle w:val="FootnoteText"/>
      </w:pPr>
      <w:r>
        <w:rPr>
          <w:rStyle w:val="FootnoteReference"/>
        </w:rPr>
        <w:footnoteRef/>
      </w:r>
      <w:r>
        <w:t xml:space="preserve"> </w:t>
      </w:r>
      <w:r w:rsidRPr="009A4DD0">
        <w:rPr>
          <w:i/>
          <w:iCs/>
        </w:rPr>
        <w:t>Ibid</w:t>
      </w:r>
      <w:r w:rsidRPr="009A4DD0">
        <w:t>, Article 12(</w:t>
      </w:r>
      <w:r>
        <w:t>5).</w:t>
      </w:r>
    </w:p>
  </w:footnote>
  <w:footnote w:id="34">
    <w:p w14:paraId="5BDCEDC4" w14:textId="77777777" w:rsidR="00C31C3D" w:rsidRDefault="00C31C3D" w:rsidP="00C31C3D">
      <w:pPr>
        <w:pStyle w:val="FootnoteText"/>
      </w:pPr>
      <w:r>
        <w:rPr>
          <w:rStyle w:val="FootnoteReference"/>
        </w:rPr>
        <w:footnoteRef/>
      </w:r>
      <w:r>
        <w:t xml:space="preserve"> </w:t>
      </w:r>
      <w:r>
        <w:rPr>
          <w:i/>
          <w:iCs/>
        </w:rPr>
        <w:t>Ibid</w:t>
      </w:r>
      <w:r>
        <w:t>, Article 12(3).</w:t>
      </w:r>
    </w:p>
  </w:footnote>
  <w:footnote w:id="35">
    <w:p w14:paraId="459A6DB1" w14:textId="77777777" w:rsidR="00C31C3D" w:rsidRDefault="00C31C3D" w:rsidP="00C31C3D">
      <w:pPr>
        <w:pStyle w:val="FootnoteText"/>
      </w:pPr>
      <w:r>
        <w:rPr>
          <w:rStyle w:val="FootnoteReference"/>
        </w:rPr>
        <w:footnoteRef/>
      </w:r>
      <w:r>
        <w:t xml:space="preserve"> </w:t>
      </w:r>
      <w:r>
        <w:rPr>
          <w:i/>
          <w:iCs/>
        </w:rPr>
        <w:t>Ibid</w:t>
      </w:r>
      <w:r>
        <w:t>, Article 12(4).</w:t>
      </w:r>
    </w:p>
  </w:footnote>
  <w:footnote w:id="36">
    <w:p w14:paraId="506EF1F2" w14:textId="77777777" w:rsidR="00C31C3D" w:rsidRPr="001F35ED" w:rsidRDefault="00C31C3D" w:rsidP="00C31C3D">
      <w:pPr>
        <w:pStyle w:val="FootnoteText"/>
        <w:rPr>
          <w:rFonts w:asciiTheme="minorHAnsi" w:hAnsiTheme="minorHAnsi" w:cstheme="minorHAnsi"/>
        </w:rPr>
      </w:pPr>
      <w:r w:rsidRPr="00E8496A">
        <w:rPr>
          <w:rStyle w:val="FootnoteReference"/>
          <w:rFonts w:asciiTheme="minorHAnsi" w:hAnsiTheme="minorHAnsi" w:cstheme="minorHAnsi"/>
        </w:rPr>
        <w:footnoteRef/>
      </w:r>
      <w:r w:rsidRPr="00E8496A">
        <w:rPr>
          <w:rFonts w:asciiTheme="minorHAnsi" w:hAnsiTheme="minorHAnsi" w:cstheme="minorHAnsi"/>
        </w:rPr>
        <w:t xml:space="preserve"> Peter </w:t>
      </w:r>
      <w:bookmarkStart w:id="7" w:name="_Hlk18276340"/>
      <w:r w:rsidRPr="00E8496A">
        <w:rPr>
          <w:rFonts w:asciiTheme="minorHAnsi" w:hAnsiTheme="minorHAnsi" w:cstheme="minorHAnsi"/>
        </w:rPr>
        <w:t>Bartlett</w:t>
      </w:r>
      <w:bookmarkEnd w:id="7"/>
      <w:r w:rsidRPr="00E8496A">
        <w:rPr>
          <w:rFonts w:asciiTheme="minorHAnsi" w:hAnsiTheme="minorHAnsi" w:cstheme="minorHAnsi"/>
        </w:rPr>
        <w:t xml:space="preserve">, ‘The United Nations Convention on the Rights of Persons with Disabilities and Mental Health Law’ (2012) 75 </w:t>
      </w:r>
      <w:r w:rsidRPr="00E8496A">
        <w:rPr>
          <w:rFonts w:asciiTheme="minorHAnsi" w:hAnsiTheme="minorHAnsi" w:cstheme="minorHAnsi"/>
          <w:i/>
          <w:iCs/>
        </w:rPr>
        <w:t>Modern Law Review</w:t>
      </w:r>
      <w:r w:rsidRPr="00E8496A">
        <w:rPr>
          <w:rFonts w:asciiTheme="minorHAnsi" w:hAnsiTheme="minorHAnsi" w:cstheme="minorHAnsi"/>
        </w:rPr>
        <w:t xml:space="preserve"> 752, </w:t>
      </w:r>
      <w:r w:rsidRPr="00E8496A">
        <w:rPr>
          <w:rFonts w:asciiTheme="minorHAnsi" w:hAnsiTheme="minorHAnsi" w:cstheme="minorHAnsi"/>
          <w:szCs w:val="22"/>
        </w:rPr>
        <w:t>768</w:t>
      </w:r>
      <w:r w:rsidRPr="00E8496A">
        <w:rPr>
          <w:rFonts w:asciiTheme="minorHAnsi" w:hAnsiTheme="minorHAnsi" w:cstheme="minorHAnsi"/>
        </w:rPr>
        <w:t xml:space="preserve"> ; John </w:t>
      </w:r>
      <w:bookmarkStart w:id="8" w:name="_Hlk18276371"/>
      <w:r w:rsidRPr="00E8496A">
        <w:rPr>
          <w:rFonts w:asciiTheme="minorHAnsi" w:hAnsiTheme="minorHAnsi" w:cstheme="minorHAnsi"/>
        </w:rPr>
        <w:t>Dawson</w:t>
      </w:r>
      <w:bookmarkEnd w:id="8"/>
      <w:r w:rsidRPr="00E8496A">
        <w:rPr>
          <w:rFonts w:asciiTheme="minorHAnsi" w:hAnsiTheme="minorHAnsi" w:cstheme="minorHAnsi"/>
        </w:rPr>
        <w:t xml:space="preserve">, ‘A Realistic Approach to assessing Mental Health Laws' compliance with the UNCRPD’ (2015) 40 </w:t>
      </w:r>
      <w:r w:rsidRPr="00E8496A">
        <w:rPr>
          <w:rFonts w:asciiTheme="minorHAnsi" w:hAnsiTheme="minorHAnsi" w:cstheme="minorHAnsi"/>
          <w:i/>
          <w:iCs/>
        </w:rPr>
        <w:t xml:space="preserve">International Journal of Law and Psychiatry </w:t>
      </w:r>
      <w:r w:rsidRPr="00E8496A">
        <w:rPr>
          <w:rFonts w:asciiTheme="minorHAnsi" w:hAnsiTheme="minorHAnsi" w:cstheme="minorHAnsi"/>
        </w:rPr>
        <w:t xml:space="preserve">70; </w:t>
      </w:r>
      <w:r w:rsidRPr="00E8496A">
        <w:rPr>
          <w:rFonts w:asciiTheme="minorHAnsi" w:hAnsiTheme="minorHAnsi" w:cstheme="minorHAnsi"/>
          <w:szCs w:val="22"/>
        </w:rPr>
        <w:t xml:space="preserve">Robert </w:t>
      </w:r>
      <w:bookmarkStart w:id="9" w:name="_Hlk18360406"/>
      <w:r w:rsidRPr="00E8496A">
        <w:rPr>
          <w:rFonts w:asciiTheme="minorHAnsi" w:hAnsiTheme="minorHAnsi" w:cstheme="minorHAnsi"/>
          <w:szCs w:val="22"/>
        </w:rPr>
        <w:t>Dinerstein</w:t>
      </w:r>
      <w:bookmarkEnd w:id="9"/>
      <w:r w:rsidRPr="00E8496A">
        <w:rPr>
          <w:rFonts w:asciiTheme="minorHAnsi" w:hAnsiTheme="minorHAnsi" w:cstheme="minorHAnsi"/>
          <w:szCs w:val="22"/>
        </w:rPr>
        <w:t xml:space="preserve">, ‘Implementing Legal Capacity under Article 12 of the UN Convention on the Rights of Persons with Disabilities: The Difficult Road from Guardianship to Supported Decision-Making’ (2012) 19 Human Rights Brief 8; </w:t>
      </w:r>
      <w:r w:rsidRPr="004E2F11">
        <w:rPr>
          <w:rFonts w:asciiTheme="minorHAnsi" w:hAnsiTheme="minorHAnsi" w:cstheme="minorHAnsi"/>
          <w:szCs w:val="22"/>
        </w:rPr>
        <w:t>Amita</w:t>
      </w:r>
      <w:r w:rsidRPr="00E8496A">
        <w:rPr>
          <w:rFonts w:asciiTheme="minorHAnsi" w:hAnsiTheme="minorHAnsi" w:cstheme="minorHAnsi"/>
        </w:rPr>
        <w:t xml:space="preserve"> Dhanda, ‘Legal Capacity in the Disability Rights Convention: Stranglehold of the Past or Lodestar for the Future?’ (2007) 34 </w:t>
      </w:r>
      <w:r w:rsidRPr="00E8496A">
        <w:rPr>
          <w:rFonts w:asciiTheme="minorHAnsi" w:hAnsiTheme="minorHAnsi" w:cstheme="minorHAnsi"/>
          <w:i/>
          <w:iCs/>
        </w:rPr>
        <w:t>Syracuse Journal of International Law and Commerce</w:t>
      </w:r>
      <w:r w:rsidRPr="00E8496A">
        <w:rPr>
          <w:rFonts w:asciiTheme="minorHAnsi" w:hAnsiTheme="minorHAnsi" w:cstheme="minorHAnsi"/>
        </w:rPr>
        <w:t xml:space="preserve"> 429.</w:t>
      </w:r>
    </w:p>
  </w:footnote>
  <w:footnote w:id="37">
    <w:p w14:paraId="4B44B82A" w14:textId="77777777" w:rsidR="00C31C3D" w:rsidRPr="00490834" w:rsidRDefault="00C31C3D" w:rsidP="00C31C3D">
      <w:pPr>
        <w:pStyle w:val="FootnoteText"/>
        <w:rPr>
          <w:rFonts w:asciiTheme="minorHAnsi" w:hAnsiTheme="minorHAnsi" w:cstheme="minorHAnsi"/>
        </w:rPr>
      </w:pPr>
      <w:r w:rsidRPr="00490834">
        <w:rPr>
          <w:rStyle w:val="FootnoteReference"/>
          <w:rFonts w:asciiTheme="minorHAnsi" w:hAnsiTheme="minorHAnsi" w:cstheme="minorHAnsi"/>
        </w:rPr>
        <w:footnoteRef/>
      </w:r>
      <w:r w:rsidRPr="00490834">
        <w:rPr>
          <w:rFonts w:asciiTheme="minorHAnsi" w:hAnsiTheme="minorHAnsi" w:cstheme="minorHAnsi"/>
        </w:rPr>
        <w:t xml:space="preserve"> CRPD Committee, General Comment No. 1: Article 12 (Equal Recognition before the Law), 19 May 2014, UN Doc. CRPD/C/GC/1.</w:t>
      </w:r>
    </w:p>
  </w:footnote>
  <w:footnote w:id="38">
    <w:p w14:paraId="265A08A3" w14:textId="77777777" w:rsidR="00C31C3D" w:rsidRPr="00490834" w:rsidRDefault="00C31C3D" w:rsidP="00C31C3D">
      <w:pPr>
        <w:pStyle w:val="FootnoteText"/>
        <w:rPr>
          <w:rFonts w:asciiTheme="minorHAnsi" w:hAnsiTheme="minorHAnsi" w:cstheme="minorHAnsi"/>
        </w:rPr>
      </w:pPr>
      <w:r w:rsidRPr="00490834">
        <w:rPr>
          <w:rStyle w:val="FootnoteReference"/>
          <w:rFonts w:asciiTheme="minorHAnsi" w:hAnsiTheme="minorHAnsi" w:cstheme="minorHAnsi"/>
        </w:rPr>
        <w:footnoteRef/>
      </w:r>
      <w:r w:rsidRPr="00490834">
        <w:rPr>
          <w:rFonts w:asciiTheme="minorHAnsi" w:hAnsiTheme="minorHAnsi" w:cstheme="minorHAnsi"/>
        </w:rPr>
        <w:t xml:space="preserve"> </w:t>
      </w:r>
      <w:r>
        <w:rPr>
          <w:i/>
          <w:iCs/>
        </w:rPr>
        <w:t>Ibid</w:t>
      </w:r>
      <w:r w:rsidRPr="00490834">
        <w:rPr>
          <w:rFonts w:asciiTheme="minorHAnsi" w:hAnsiTheme="minorHAnsi" w:cstheme="minorHAnsi"/>
          <w:i/>
          <w:iCs/>
        </w:rPr>
        <w:t xml:space="preserve">, </w:t>
      </w:r>
      <w:r w:rsidRPr="00490834">
        <w:rPr>
          <w:rFonts w:asciiTheme="minorHAnsi" w:hAnsiTheme="minorHAnsi" w:cstheme="minorHAnsi"/>
        </w:rPr>
        <w:t>paragraphs 6 and 35.</w:t>
      </w:r>
    </w:p>
  </w:footnote>
  <w:footnote w:id="39">
    <w:p w14:paraId="670A25D6" w14:textId="77777777" w:rsidR="00C31C3D" w:rsidRPr="00490834" w:rsidRDefault="00C31C3D" w:rsidP="00C31C3D">
      <w:pPr>
        <w:pStyle w:val="FootnoteText"/>
        <w:rPr>
          <w:rFonts w:asciiTheme="minorHAnsi" w:hAnsiTheme="minorHAnsi" w:cstheme="minorHAnsi"/>
        </w:rPr>
      </w:pPr>
      <w:r w:rsidRPr="00490834">
        <w:rPr>
          <w:rStyle w:val="FootnoteReference"/>
          <w:rFonts w:asciiTheme="minorHAnsi" w:hAnsiTheme="minorHAnsi" w:cstheme="minorHAnsi"/>
        </w:rPr>
        <w:footnoteRef/>
      </w:r>
      <w:r w:rsidRPr="00490834">
        <w:rPr>
          <w:rFonts w:asciiTheme="minorHAnsi" w:hAnsiTheme="minorHAnsi" w:cstheme="minorHAnsi"/>
        </w:rPr>
        <w:t xml:space="preserve"> </w:t>
      </w:r>
      <w:r>
        <w:rPr>
          <w:i/>
          <w:iCs/>
        </w:rPr>
        <w:t>Ibid</w:t>
      </w:r>
      <w:r w:rsidRPr="00490834">
        <w:rPr>
          <w:rFonts w:asciiTheme="minorHAnsi" w:hAnsiTheme="minorHAnsi" w:cstheme="minorHAnsi"/>
          <w:i/>
          <w:iCs/>
        </w:rPr>
        <w:t xml:space="preserve">, </w:t>
      </w:r>
      <w:r w:rsidRPr="00490834">
        <w:rPr>
          <w:rFonts w:asciiTheme="minorHAnsi" w:hAnsiTheme="minorHAnsi" w:cstheme="minorHAnsi"/>
        </w:rPr>
        <w:t>paragraph 17.</w:t>
      </w:r>
    </w:p>
  </w:footnote>
  <w:footnote w:id="40">
    <w:p w14:paraId="0B5A6DAB" w14:textId="77777777" w:rsidR="00C31C3D" w:rsidRPr="00490834" w:rsidRDefault="00C31C3D" w:rsidP="00C31C3D">
      <w:pPr>
        <w:pStyle w:val="FootnoteText"/>
        <w:rPr>
          <w:rFonts w:asciiTheme="minorHAnsi" w:hAnsiTheme="minorHAnsi" w:cstheme="minorHAnsi"/>
        </w:rPr>
      </w:pPr>
      <w:r w:rsidRPr="00490834">
        <w:rPr>
          <w:rStyle w:val="FootnoteReference"/>
          <w:rFonts w:asciiTheme="minorHAnsi" w:hAnsiTheme="minorHAnsi" w:cstheme="minorHAnsi"/>
        </w:rPr>
        <w:footnoteRef/>
      </w:r>
      <w:r w:rsidRPr="00490834">
        <w:rPr>
          <w:rFonts w:asciiTheme="minorHAnsi" w:hAnsiTheme="minorHAnsi" w:cstheme="minorHAnsi"/>
        </w:rPr>
        <w:t xml:space="preserve"> </w:t>
      </w:r>
      <w:r>
        <w:rPr>
          <w:i/>
          <w:iCs/>
        </w:rPr>
        <w:t>Ibid</w:t>
      </w:r>
      <w:r w:rsidRPr="00490834">
        <w:rPr>
          <w:rFonts w:asciiTheme="minorHAnsi" w:hAnsiTheme="minorHAnsi" w:cstheme="minorHAnsi"/>
          <w:i/>
          <w:iCs/>
        </w:rPr>
        <w:t>.</w:t>
      </w:r>
    </w:p>
  </w:footnote>
  <w:footnote w:id="41">
    <w:p w14:paraId="272DF451" w14:textId="77777777" w:rsidR="00C31C3D" w:rsidRPr="00490834" w:rsidRDefault="00C31C3D" w:rsidP="00C31C3D">
      <w:pPr>
        <w:pStyle w:val="FootnoteText"/>
      </w:pPr>
      <w:r w:rsidRPr="00490834">
        <w:rPr>
          <w:rStyle w:val="FootnoteReference"/>
        </w:rPr>
        <w:footnoteRef/>
      </w:r>
      <w:r w:rsidRPr="00490834">
        <w:t xml:space="preserve"> </w:t>
      </w:r>
      <w:r>
        <w:rPr>
          <w:i/>
          <w:iCs/>
        </w:rPr>
        <w:t>Ibid</w:t>
      </w:r>
      <w:r w:rsidRPr="00490834">
        <w:rPr>
          <w:rFonts w:asciiTheme="minorHAnsi" w:hAnsiTheme="minorHAnsi" w:cstheme="minorHAnsi"/>
          <w:i/>
          <w:iCs/>
        </w:rPr>
        <w:t xml:space="preserve">, </w:t>
      </w:r>
      <w:r w:rsidRPr="00490834">
        <w:rPr>
          <w:rFonts w:asciiTheme="minorHAnsi" w:hAnsiTheme="minorHAnsi" w:cstheme="minorHAnsi"/>
        </w:rPr>
        <w:t>paragraph 13.</w:t>
      </w:r>
    </w:p>
  </w:footnote>
  <w:footnote w:id="42">
    <w:p w14:paraId="29028DEF" w14:textId="77777777" w:rsidR="00C31C3D" w:rsidRDefault="00C31C3D" w:rsidP="00C31C3D">
      <w:pPr>
        <w:pStyle w:val="FootnoteText"/>
      </w:pPr>
      <w:r w:rsidRPr="00490834">
        <w:rPr>
          <w:rStyle w:val="FootnoteReference"/>
        </w:rPr>
        <w:footnoteRef/>
      </w:r>
      <w:r w:rsidRPr="00490834">
        <w:t xml:space="preserve"> </w:t>
      </w:r>
      <w:r>
        <w:rPr>
          <w:i/>
          <w:iCs/>
        </w:rPr>
        <w:t>Ibid</w:t>
      </w:r>
      <w:r w:rsidRPr="00490834">
        <w:t xml:space="preserve">. See </w:t>
      </w:r>
      <w:r w:rsidRPr="007708C6">
        <w:t xml:space="preserve">Anna </w:t>
      </w:r>
      <w:bookmarkStart w:id="10" w:name="_Hlk18368502"/>
      <w:r w:rsidRPr="007708C6">
        <w:t>Arstein-Kerslake and Eilionóir Flynn</w:t>
      </w:r>
      <w:bookmarkEnd w:id="10"/>
      <w:r w:rsidRPr="007708C6">
        <w:t xml:space="preserve">, ‘The General Comment on Article 12 of the Convention on the Rights of Persons with Disabilities: A Roadmap for Equality Before the Law’ (2016) 20 </w:t>
      </w:r>
      <w:r w:rsidRPr="007708C6">
        <w:rPr>
          <w:i/>
          <w:iCs/>
        </w:rPr>
        <w:t>International Journal of Human Rights</w:t>
      </w:r>
      <w:r w:rsidRPr="007708C6">
        <w:t xml:space="preserve"> 471</w:t>
      </w:r>
      <w:r w:rsidRPr="00490834">
        <w:t xml:space="preserve">, </w:t>
      </w:r>
      <w:r>
        <w:t xml:space="preserve">at </w:t>
      </w:r>
      <w:r w:rsidRPr="00490834">
        <w:t>474.</w:t>
      </w:r>
    </w:p>
  </w:footnote>
  <w:footnote w:id="43">
    <w:p w14:paraId="620BE0BD" w14:textId="77777777" w:rsidR="00C31C3D" w:rsidRPr="00490834" w:rsidRDefault="00C31C3D" w:rsidP="00C31C3D">
      <w:pPr>
        <w:pStyle w:val="FootnoteText"/>
      </w:pPr>
      <w:r>
        <w:rPr>
          <w:rStyle w:val="FootnoteReference"/>
        </w:rPr>
        <w:footnoteRef/>
      </w:r>
      <w:r>
        <w:t xml:space="preserve"> </w:t>
      </w:r>
      <w:bookmarkStart w:id="11" w:name="_Hlk18362181"/>
      <w:r w:rsidRPr="00490834">
        <w:rPr>
          <w:rFonts w:asciiTheme="minorHAnsi" w:hAnsiTheme="minorHAnsi" w:cstheme="minorHAnsi"/>
        </w:rPr>
        <w:t xml:space="preserve">CRPD Committee, </w:t>
      </w:r>
      <w:bookmarkStart w:id="12" w:name="_Hlk18362888"/>
      <w:r>
        <w:rPr>
          <w:rFonts w:asciiTheme="minorHAnsi" w:hAnsiTheme="minorHAnsi" w:cstheme="minorHAnsi"/>
        </w:rPr>
        <w:t>General Comment No.</w:t>
      </w:r>
      <w:r w:rsidRPr="00490834">
        <w:rPr>
          <w:rFonts w:asciiTheme="minorHAnsi" w:hAnsiTheme="minorHAnsi" w:cstheme="minorHAnsi"/>
        </w:rPr>
        <w:t xml:space="preserve"> 1</w:t>
      </w:r>
      <w:bookmarkEnd w:id="11"/>
      <w:bookmarkEnd w:id="12"/>
      <w:r w:rsidRPr="00490834">
        <w:rPr>
          <w:rFonts w:asciiTheme="minorHAnsi" w:hAnsiTheme="minorHAnsi" w:cstheme="minorHAnsi"/>
          <w:i/>
          <w:iCs/>
        </w:rPr>
        <w:t xml:space="preserve">, </w:t>
      </w:r>
      <w:r w:rsidRPr="00490834">
        <w:rPr>
          <w:rFonts w:asciiTheme="minorHAnsi" w:hAnsiTheme="minorHAnsi" w:cstheme="minorHAnsi"/>
        </w:rPr>
        <w:t>paragraph 14.</w:t>
      </w:r>
    </w:p>
  </w:footnote>
  <w:footnote w:id="44">
    <w:p w14:paraId="7CB9A778" w14:textId="77777777" w:rsidR="00C31C3D" w:rsidRDefault="00C31C3D" w:rsidP="00C31C3D">
      <w:pPr>
        <w:pStyle w:val="FootnoteText"/>
      </w:pPr>
      <w:r w:rsidRPr="00490834">
        <w:rPr>
          <w:rStyle w:val="FootnoteReference"/>
        </w:rPr>
        <w:footnoteRef/>
      </w:r>
      <w:r w:rsidRPr="00490834">
        <w:t xml:space="preserve"> </w:t>
      </w:r>
      <w:r>
        <w:rPr>
          <w:i/>
          <w:iCs/>
        </w:rPr>
        <w:t>Ibid</w:t>
      </w:r>
      <w:r w:rsidRPr="00490834">
        <w:rPr>
          <w:rFonts w:asciiTheme="minorHAnsi" w:hAnsiTheme="minorHAnsi" w:cstheme="minorHAnsi"/>
          <w:i/>
          <w:iCs/>
        </w:rPr>
        <w:t xml:space="preserve">, </w:t>
      </w:r>
      <w:r w:rsidRPr="00490834">
        <w:rPr>
          <w:rFonts w:asciiTheme="minorHAnsi" w:hAnsiTheme="minorHAnsi" w:cstheme="minorHAnsi"/>
        </w:rPr>
        <w:t>paragraph 15. See</w:t>
      </w:r>
      <w:r>
        <w:rPr>
          <w:rFonts w:asciiTheme="minorHAnsi" w:hAnsiTheme="minorHAnsi" w:cstheme="minorHAnsi"/>
        </w:rPr>
        <w:t xml:space="preserve"> </w:t>
      </w:r>
      <w:r w:rsidRPr="007708C6">
        <w:rPr>
          <w:rFonts w:asciiTheme="minorHAnsi" w:hAnsiTheme="minorHAnsi" w:cstheme="minorHAnsi"/>
        </w:rPr>
        <w:t xml:space="preserve">Sascha </w:t>
      </w:r>
      <w:bookmarkStart w:id="13" w:name="_Hlk18367330"/>
      <w:r w:rsidRPr="007708C6">
        <w:rPr>
          <w:rFonts w:asciiTheme="minorHAnsi" w:hAnsiTheme="minorHAnsi" w:cstheme="minorHAnsi"/>
          <w:szCs w:val="22"/>
        </w:rPr>
        <w:t xml:space="preserve">Callaghan and </w:t>
      </w:r>
      <w:r w:rsidRPr="005636A3">
        <w:rPr>
          <w:rFonts w:asciiTheme="minorHAnsi" w:hAnsiTheme="minorHAnsi" w:cstheme="minorHAnsi"/>
          <w:szCs w:val="22"/>
        </w:rPr>
        <w:t xml:space="preserve">Christopher </w:t>
      </w:r>
      <w:r w:rsidRPr="007708C6">
        <w:rPr>
          <w:rFonts w:asciiTheme="minorHAnsi" w:hAnsiTheme="minorHAnsi" w:cstheme="minorHAnsi"/>
          <w:szCs w:val="22"/>
        </w:rPr>
        <w:t>Ryan</w:t>
      </w:r>
      <w:bookmarkEnd w:id="13"/>
      <w:r w:rsidRPr="007708C6">
        <w:rPr>
          <w:rFonts w:asciiTheme="minorHAnsi" w:hAnsiTheme="minorHAnsi" w:cstheme="minorHAnsi"/>
          <w:szCs w:val="22"/>
        </w:rPr>
        <w:t xml:space="preserve">, ‘An Evolving Revolution: Evaluating Australia's Compliance with the Convention on the Rights of Persons with Disabilities in Mental Health Law’ (2016) 39 </w:t>
      </w:r>
      <w:r w:rsidRPr="005636A3">
        <w:rPr>
          <w:rFonts w:asciiTheme="minorHAnsi" w:hAnsiTheme="minorHAnsi" w:cstheme="minorHAnsi"/>
          <w:i/>
          <w:iCs/>
          <w:szCs w:val="22"/>
        </w:rPr>
        <w:t>University of New South Wales Law Journal</w:t>
      </w:r>
      <w:r w:rsidRPr="007708C6">
        <w:rPr>
          <w:rFonts w:asciiTheme="minorHAnsi" w:hAnsiTheme="minorHAnsi" w:cstheme="minorHAnsi"/>
          <w:szCs w:val="22"/>
        </w:rPr>
        <w:t xml:space="preserve"> 596,</w:t>
      </w:r>
      <w:r>
        <w:rPr>
          <w:rFonts w:asciiTheme="minorHAnsi" w:hAnsiTheme="minorHAnsi" w:cstheme="minorHAnsi"/>
          <w:szCs w:val="22"/>
        </w:rPr>
        <w:t xml:space="preserve"> at</w:t>
      </w:r>
      <w:r w:rsidRPr="00A16484">
        <w:rPr>
          <w:rFonts w:asciiTheme="minorHAnsi" w:hAnsiTheme="minorHAnsi" w:cstheme="minorHAnsi"/>
          <w:szCs w:val="22"/>
        </w:rPr>
        <w:t xml:space="preserve"> 604</w:t>
      </w:r>
      <w:r>
        <w:rPr>
          <w:rFonts w:asciiTheme="minorHAnsi" w:hAnsiTheme="minorHAnsi" w:cstheme="minorHAnsi"/>
          <w:szCs w:val="22"/>
        </w:rPr>
        <w:t>.</w:t>
      </w:r>
    </w:p>
  </w:footnote>
  <w:footnote w:id="45">
    <w:p w14:paraId="795AAD9D" w14:textId="77777777" w:rsidR="00C31C3D" w:rsidRDefault="00C31C3D" w:rsidP="00C31C3D">
      <w:pPr>
        <w:pStyle w:val="FootnoteText"/>
      </w:pPr>
      <w:r>
        <w:rPr>
          <w:rStyle w:val="FootnoteReference"/>
        </w:rPr>
        <w:footnoteRef/>
      </w:r>
      <w:r>
        <w:t xml:space="preserve"> </w:t>
      </w:r>
      <w:r w:rsidRPr="002C050D">
        <w:t>UN Convention on the Rights of Persons with Disabilities</w:t>
      </w:r>
      <w:r w:rsidRPr="009A4DD0">
        <w:t xml:space="preserve">, </w:t>
      </w:r>
      <w:r w:rsidRPr="00C0494D">
        <w:t>Art</w:t>
      </w:r>
      <w:r>
        <w:t>icle</w:t>
      </w:r>
      <w:r w:rsidRPr="00C0494D">
        <w:t xml:space="preserve"> 12(3)</w:t>
      </w:r>
      <w:r>
        <w:t xml:space="preserve">. See </w:t>
      </w:r>
      <w:r w:rsidRPr="007708C6">
        <w:t xml:space="preserve">Eilionóir </w:t>
      </w:r>
      <w:bookmarkStart w:id="14" w:name="_Hlk18367686"/>
      <w:r w:rsidRPr="007708C6">
        <w:t>Flynn</w:t>
      </w:r>
      <w:r>
        <w:t xml:space="preserve"> and </w:t>
      </w:r>
      <w:r w:rsidRPr="007708C6">
        <w:t>Anna Arstein-Kerslake</w:t>
      </w:r>
      <w:bookmarkEnd w:id="14"/>
      <w:r w:rsidRPr="005636A3">
        <w:t xml:space="preserve">, ‘Legislating Personhood: Realising the Right to Support in exercising Legal Capacity’ (2014) 10 </w:t>
      </w:r>
      <w:r w:rsidRPr="005636A3">
        <w:rPr>
          <w:i/>
          <w:iCs/>
        </w:rPr>
        <w:t>International Journal of Law in Context</w:t>
      </w:r>
      <w:r w:rsidRPr="005636A3">
        <w:t xml:space="preserve"> 81</w:t>
      </w:r>
      <w:r w:rsidRPr="00C0494D">
        <w:t xml:space="preserve">, </w:t>
      </w:r>
      <w:r>
        <w:t xml:space="preserve">at </w:t>
      </w:r>
      <w:r w:rsidRPr="00C0494D">
        <w:t>131</w:t>
      </w:r>
      <w:r>
        <w:t>.</w:t>
      </w:r>
    </w:p>
  </w:footnote>
  <w:footnote w:id="46">
    <w:p w14:paraId="26C3462A" w14:textId="254808EF" w:rsidR="00C31C3D" w:rsidRDefault="00C31C3D" w:rsidP="00C31C3D">
      <w:pPr>
        <w:pStyle w:val="FootnoteText"/>
      </w:pPr>
      <w:r>
        <w:rPr>
          <w:rStyle w:val="FootnoteReference"/>
        </w:rPr>
        <w:footnoteRef/>
      </w:r>
      <w:r>
        <w:t xml:space="preserve"> </w:t>
      </w:r>
      <w:r w:rsidRPr="00C0494D">
        <w:t>CRPD Committee, General Comment No. 1</w:t>
      </w:r>
      <w:r>
        <w:t>, paragraph 1</w:t>
      </w:r>
      <w:r w:rsidRPr="00C0494D">
        <w:t>7</w:t>
      </w:r>
      <w:r>
        <w:t xml:space="preserve">. See </w:t>
      </w:r>
      <w:r w:rsidRPr="005636A3">
        <w:t xml:space="preserve">Lucy </w:t>
      </w:r>
      <w:bookmarkStart w:id="15" w:name="_Hlk18367784"/>
      <w:r w:rsidRPr="005636A3">
        <w:t>Series</w:t>
      </w:r>
      <w:bookmarkEnd w:id="15"/>
      <w:r w:rsidRPr="005636A3">
        <w:t xml:space="preserve">, ‘Relationships, Autonomy and Legal Capacity: Mental Capacity and Support Paradigms’ (2015) 40 </w:t>
      </w:r>
      <w:r w:rsidRPr="008F4677">
        <w:rPr>
          <w:i/>
          <w:iCs/>
        </w:rPr>
        <w:t>International Journal of Law and Psychiatry</w:t>
      </w:r>
      <w:r w:rsidRPr="005636A3">
        <w:t xml:space="preserve"> 80, </w:t>
      </w:r>
      <w:r>
        <w:t>at</w:t>
      </w:r>
      <w:r w:rsidRPr="00C0494D">
        <w:t xml:space="preserve"> 85</w:t>
      </w:r>
      <w:r>
        <w:t>;</w:t>
      </w:r>
      <w:r w:rsidRPr="00C0494D">
        <w:t xml:space="preserve"> </w:t>
      </w:r>
      <w:r>
        <w:t xml:space="preserve">Piers </w:t>
      </w:r>
      <w:bookmarkStart w:id="16" w:name="_Hlk18368132"/>
      <w:r>
        <w:t xml:space="preserve">Gooding, Anna Arstein-Kerslake and </w:t>
      </w:r>
      <w:r w:rsidRPr="007708C6">
        <w:t xml:space="preserve">Eilionóir </w:t>
      </w:r>
      <w:r>
        <w:t>Flynn</w:t>
      </w:r>
      <w:bookmarkEnd w:id="16"/>
      <w:r>
        <w:t xml:space="preserve">, </w:t>
      </w:r>
      <w:r w:rsidRPr="008F4677">
        <w:t xml:space="preserve">‘Assistive Technology as Support for the exercise of Legal Capacity’ (2015) 29 </w:t>
      </w:r>
      <w:r w:rsidRPr="008F4677">
        <w:rPr>
          <w:i/>
          <w:iCs/>
        </w:rPr>
        <w:t xml:space="preserve">International Review of Law, Computers </w:t>
      </w:r>
      <w:r>
        <w:rPr>
          <w:i/>
          <w:iCs/>
        </w:rPr>
        <w:t>and</w:t>
      </w:r>
      <w:r w:rsidRPr="008F4677">
        <w:rPr>
          <w:i/>
          <w:iCs/>
        </w:rPr>
        <w:t xml:space="preserve"> Technology</w:t>
      </w:r>
      <w:r w:rsidRPr="008F4677">
        <w:t xml:space="preserve"> 245, </w:t>
      </w:r>
      <w:r>
        <w:t>at</w:t>
      </w:r>
      <w:r w:rsidRPr="008F4677">
        <w:t xml:space="preserve"> 251; T</w:t>
      </w:r>
      <w:r>
        <w:t>ina</w:t>
      </w:r>
      <w:r w:rsidRPr="008F4677">
        <w:t xml:space="preserve"> Minkowitz, ‘Abolishing Mental Health Laws to Comply with the Convention on the Rights of Persons with Disabilities’ </w:t>
      </w:r>
      <w:r>
        <w:t xml:space="preserve">in </w:t>
      </w:r>
      <w:r w:rsidRPr="00C6416D">
        <w:t>Bernadette McSherry</w:t>
      </w:r>
      <w:r>
        <w:t xml:space="preserve"> and </w:t>
      </w:r>
      <w:r w:rsidRPr="00C6416D">
        <w:t>Penelope Weller</w:t>
      </w:r>
      <w:r>
        <w:t xml:space="preserve"> (eds)</w:t>
      </w:r>
      <w:r w:rsidRPr="008F4677">
        <w:t xml:space="preserve">, </w:t>
      </w:r>
      <w:r w:rsidRPr="00376A61">
        <w:rPr>
          <w:i/>
          <w:iCs/>
        </w:rPr>
        <w:t>Rethinking Rights-Based Mental Health Laws</w:t>
      </w:r>
      <w:r w:rsidRPr="008F4677">
        <w:t xml:space="preserve"> (Oxford: Hart 2010), 160</w:t>
      </w:r>
      <w:r w:rsidRPr="00C0494D">
        <w:t>;</w:t>
      </w:r>
      <w:r>
        <w:t xml:space="preserve"> </w:t>
      </w:r>
      <w:r w:rsidRPr="007708C6">
        <w:t>Eilionóir</w:t>
      </w:r>
      <w:r w:rsidRPr="00C6416D">
        <w:t xml:space="preserve"> </w:t>
      </w:r>
      <w:bookmarkStart w:id="17" w:name="_Hlk18368710"/>
      <w:r w:rsidRPr="00C6416D">
        <w:t>Flynn</w:t>
      </w:r>
      <w:bookmarkEnd w:id="17"/>
      <w:r w:rsidRPr="00C6416D">
        <w:t xml:space="preserve">, ‘Mental (in)Capacity or Legal Capacity: A Human Rights Analysis of the Proposed Fusion of Mental Health and Mental Capacity Law in Northern Ireland’ (2013) 64 </w:t>
      </w:r>
      <w:r>
        <w:rPr>
          <w:i/>
          <w:iCs/>
        </w:rPr>
        <w:t>Northern Ireland Legal Quarterly</w:t>
      </w:r>
      <w:r w:rsidRPr="00C6416D">
        <w:t xml:space="preserve"> 485</w:t>
      </w:r>
      <w:r>
        <w:t>,</w:t>
      </w:r>
      <w:r w:rsidRPr="00C0494D">
        <w:t xml:space="preserve"> 498</w:t>
      </w:r>
      <w:r>
        <w:t>.</w:t>
      </w:r>
    </w:p>
  </w:footnote>
  <w:footnote w:id="47">
    <w:p w14:paraId="2C6782EA" w14:textId="77777777" w:rsidR="00C31C3D" w:rsidRDefault="00C31C3D" w:rsidP="00C31C3D">
      <w:pPr>
        <w:pStyle w:val="FootnoteText"/>
      </w:pPr>
      <w:r>
        <w:rPr>
          <w:rStyle w:val="FootnoteReference"/>
        </w:rPr>
        <w:footnoteRef/>
      </w:r>
      <w:r>
        <w:t xml:space="preserve"> </w:t>
      </w:r>
      <w:r w:rsidRPr="00C6416D">
        <w:t xml:space="preserve">Eliza Varney, ‘Redefining Contractual Capacity? The UN Convention on the Rights of Persons with Disabilities and the Incapacity Defence in English Contract Law’ (2017) 37 </w:t>
      </w:r>
      <w:r w:rsidRPr="00C6416D">
        <w:rPr>
          <w:i/>
          <w:iCs/>
        </w:rPr>
        <w:t>Legal Studies</w:t>
      </w:r>
      <w:r w:rsidRPr="00C6416D">
        <w:t xml:space="preserve"> 493</w:t>
      </w:r>
      <w:r>
        <w:t>.</w:t>
      </w:r>
    </w:p>
  </w:footnote>
  <w:footnote w:id="48">
    <w:p w14:paraId="1A1613B1" w14:textId="1FC7F87F" w:rsidR="00C31C3D" w:rsidRPr="00A075D9" w:rsidRDefault="00C31C3D" w:rsidP="00C31C3D">
      <w:pPr>
        <w:pStyle w:val="FootnoteText"/>
        <w:rPr>
          <w:rFonts w:asciiTheme="minorHAnsi" w:hAnsiTheme="minorHAnsi" w:cstheme="minorHAnsi"/>
        </w:rPr>
      </w:pPr>
      <w:r w:rsidRPr="002F302A">
        <w:rPr>
          <w:rStyle w:val="FootnoteReference"/>
          <w:rFonts w:asciiTheme="minorHAnsi" w:hAnsiTheme="minorHAnsi" w:cstheme="minorHAnsi"/>
        </w:rPr>
        <w:footnoteRef/>
      </w:r>
      <w:r w:rsidRPr="002F302A">
        <w:rPr>
          <w:rFonts w:asciiTheme="minorHAnsi" w:hAnsiTheme="minorHAnsi" w:cstheme="minorHAnsi"/>
        </w:rPr>
        <w:t xml:space="preserve"> </w:t>
      </w:r>
      <w:r w:rsidR="006779F6" w:rsidRPr="002F302A">
        <w:rPr>
          <w:rFonts w:cstheme="minorHAnsi"/>
        </w:rPr>
        <w:t>Bach, above n 29</w:t>
      </w:r>
      <w:r w:rsidRPr="002F302A">
        <w:rPr>
          <w:rFonts w:asciiTheme="minorHAnsi" w:hAnsiTheme="minorHAnsi" w:cstheme="minorHAnsi"/>
        </w:rPr>
        <w:t>, 21.</w:t>
      </w:r>
    </w:p>
  </w:footnote>
  <w:footnote w:id="49">
    <w:p w14:paraId="5BFE281E" w14:textId="77777777" w:rsidR="00C31C3D" w:rsidRPr="00C6416D" w:rsidRDefault="00C31C3D" w:rsidP="00C31C3D">
      <w:pPr>
        <w:pStyle w:val="FootnoteText"/>
        <w:rPr>
          <w:rFonts w:asciiTheme="minorHAnsi" w:hAnsiTheme="minorHAnsi" w:cstheme="minorHAnsi"/>
        </w:rPr>
      </w:pPr>
      <w:r w:rsidRPr="00C6416D">
        <w:rPr>
          <w:rStyle w:val="FootnoteReference"/>
          <w:rFonts w:asciiTheme="minorHAnsi" w:hAnsiTheme="minorHAnsi" w:cstheme="minorHAnsi"/>
        </w:rPr>
        <w:footnoteRef/>
      </w:r>
      <w:r w:rsidRPr="00C6416D">
        <w:rPr>
          <w:rFonts w:asciiTheme="minorHAnsi" w:hAnsiTheme="minorHAnsi" w:cstheme="minorHAnsi"/>
        </w:rPr>
        <w:t xml:space="preserve"> Wayne </w:t>
      </w:r>
      <w:bookmarkStart w:id="18" w:name="_Hlk14503352"/>
      <w:bookmarkStart w:id="19" w:name="_Hlk18368898"/>
      <w:r w:rsidRPr="00C6416D">
        <w:rPr>
          <w:rFonts w:asciiTheme="minorHAnsi" w:hAnsiTheme="minorHAnsi" w:cstheme="minorHAnsi"/>
        </w:rPr>
        <w:t xml:space="preserve">Martin </w:t>
      </w:r>
      <w:bookmarkEnd w:id="18"/>
      <w:r w:rsidRPr="00C6416D">
        <w:rPr>
          <w:rFonts w:asciiTheme="minorHAnsi" w:hAnsiTheme="minorHAnsi" w:cstheme="minorHAnsi"/>
        </w:rPr>
        <w:t>and others</w:t>
      </w:r>
      <w:bookmarkEnd w:id="19"/>
      <w:r w:rsidRPr="00C6416D">
        <w:rPr>
          <w:rFonts w:asciiTheme="minorHAnsi" w:hAnsiTheme="minorHAnsi" w:cstheme="minorHAnsi"/>
        </w:rPr>
        <w:t>, ‘Achieving CRPD Compliance. Is the Mental Capacity Act of England and Wales Compatible with the UN Convention on the Rights of Persons with Disabilities? If Not, What Next? An Essex Autonomy Project Position Paper’, Report submitted to the UK Ministry of Justice, 22 September 2014, 30.</w:t>
      </w:r>
    </w:p>
  </w:footnote>
  <w:footnote w:id="50">
    <w:p w14:paraId="4055F74B" w14:textId="77777777" w:rsidR="00C31C3D" w:rsidRDefault="00C31C3D" w:rsidP="00C31C3D">
      <w:pPr>
        <w:pStyle w:val="FootnoteText"/>
      </w:pPr>
      <w:r>
        <w:rPr>
          <w:rStyle w:val="FootnoteReference"/>
        </w:rPr>
        <w:footnoteRef/>
      </w:r>
      <w:r>
        <w:t xml:space="preserve"> </w:t>
      </w:r>
      <w:r w:rsidRPr="00A075D9">
        <w:rPr>
          <w:rFonts w:asciiTheme="minorHAnsi" w:hAnsiTheme="minorHAnsi" w:cstheme="minorHAnsi"/>
        </w:rPr>
        <w:t xml:space="preserve">UN Convention on the Rights of Persons with Disabilities, Article </w:t>
      </w:r>
      <w:r>
        <w:rPr>
          <w:rFonts w:asciiTheme="minorHAnsi" w:hAnsiTheme="minorHAnsi" w:cstheme="minorHAnsi"/>
        </w:rPr>
        <w:t>3(a).</w:t>
      </w:r>
    </w:p>
  </w:footnote>
  <w:footnote w:id="51">
    <w:p w14:paraId="3CFCBD68" w14:textId="77777777" w:rsidR="00C31C3D" w:rsidRDefault="00C31C3D" w:rsidP="00C31C3D">
      <w:pPr>
        <w:pStyle w:val="FootnoteText"/>
      </w:pPr>
      <w:r w:rsidRPr="00A075D9">
        <w:rPr>
          <w:rStyle w:val="FootnoteReference"/>
        </w:rPr>
        <w:footnoteRef/>
      </w:r>
      <w:r w:rsidRPr="00A075D9">
        <w:t xml:space="preserve"> </w:t>
      </w:r>
      <w:r>
        <w:rPr>
          <w:rFonts w:asciiTheme="minorHAnsi" w:hAnsiTheme="minorHAnsi" w:cstheme="minorHAnsi"/>
          <w:i/>
          <w:iCs/>
        </w:rPr>
        <w:t>Ibid</w:t>
      </w:r>
      <w:r w:rsidRPr="00A075D9">
        <w:rPr>
          <w:rFonts w:asciiTheme="minorHAnsi" w:hAnsiTheme="minorHAnsi" w:cstheme="minorHAnsi"/>
        </w:rPr>
        <w:t>, Article 11.</w:t>
      </w:r>
    </w:p>
  </w:footnote>
  <w:footnote w:id="52">
    <w:p w14:paraId="46FB0B5C" w14:textId="0F4E3C8C" w:rsidR="00C31C3D" w:rsidRDefault="00C31C3D" w:rsidP="00C31C3D">
      <w:pPr>
        <w:pStyle w:val="FootnoteText"/>
      </w:pPr>
      <w:r w:rsidRPr="00553E5D">
        <w:rPr>
          <w:rStyle w:val="FootnoteReference"/>
        </w:rPr>
        <w:footnoteRef/>
      </w:r>
      <w:r w:rsidRPr="00553E5D">
        <w:t xml:space="preserve"> </w:t>
      </w:r>
      <w:r w:rsidRPr="00553E5D">
        <w:rPr>
          <w:rFonts w:asciiTheme="minorHAnsi" w:hAnsiTheme="minorHAnsi" w:cstheme="minorHAnsi"/>
        </w:rPr>
        <w:t>Martin and others</w:t>
      </w:r>
      <w:r w:rsidRPr="00553E5D">
        <w:t xml:space="preserve">, above n </w:t>
      </w:r>
      <w:r w:rsidR="00553E5D" w:rsidRPr="00553E5D">
        <w:t>48</w:t>
      </w:r>
      <w:r w:rsidRPr="00553E5D">
        <w:rPr>
          <w:rFonts w:asciiTheme="minorHAnsi" w:hAnsiTheme="minorHAnsi" w:cstheme="minorHAnsi"/>
        </w:rPr>
        <w:t>, 30.</w:t>
      </w:r>
    </w:p>
  </w:footnote>
  <w:footnote w:id="53">
    <w:p w14:paraId="27EF9453" w14:textId="77777777" w:rsidR="00C31C3D" w:rsidRPr="00C6416D" w:rsidRDefault="00C31C3D" w:rsidP="00C31C3D">
      <w:pPr>
        <w:pStyle w:val="FootnoteText"/>
        <w:rPr>
          <w:rFonts w:asciiTheme="minorHAnsi" w:hAnsiTheme="minorHAnsi" w:cstheme="minorHAnsi"/>
        </w:rPr>
      </w:pPr>
      <w:r w:rsidRPr="00C6416D">
        <w:rPr>
          <w:rStyle w:val="FootnoteReference"/>
          <w:rFonts w:asciiTheme="minorHAnsi" w:hAnsiTheme="minorHAnsi" w:cstheme="minorHAnsi"/>
        </w:rPr>
        <w:footnoteRef/>
      </w:r>
      <w:r w:rsidRPr="00C6416D">
        <w:rPr>
          <w:rFonts w:asciiTheme="minorHAnsi" w:hAnsiTheme="minorHAnsi" w:cstheme="minorHAnsi"/>
        </w:rPr>
        <w:t xml:space="preserve"> </w:t>
      </w:r>
      <w:r w:rsidRPr="00C6416D">
        <w:rPr>
          <w:rFonts w:asciiTheme="minorHAnsi" w:hAnsiTheme="minorHAnsi" w:cstheme="minorHAnsi"/>
          <w:i/>
          <w:iCs/>
        </w:rPr>
        <w:t>ibid</w:t>
      </w:r>
      <w:r w:rsidRPr="00C6416D">
        <w:rPr>
          <w:rFonts w:asciiTheme="minorHAnsi" w:hAnsiTheme="minorHAnsi" w:cstheme="minorHAnsi"/>
        </w:rPr>
        <w:t>.</w:t>
      </w:r>
    </w:p>
  </w:footnote>
  <w:footnote w:id="54">
    <w:p w14:paraId="2D1A0E11" w14:textId="77777777" w:rsidR="00C31C3D" w:rsidRPr="00553E5D" w:rsidRDefault="00C31C3D" w:rsidP="00C31C3D">
      <w:pPr>
        <w:pStyle w:val="FootnoteText"/>
        <w:rPr>
          <w:rFonts w:asciiTheme="minorHAnsi" w:hAnsiTheme="minorHAnsi" w:cstheme="minorHAnsi"/>
        </w:rPr>
      </w:pPr>
      <w:r w:rsidRPr="00D57F92">
        <w:rPr>
          <w:rStyle w:val="FootnoteReference"/>
          <w:rFonts w:asciiTheme="minorHAnsi" w:hAnsiTheme="minorHAnsi" w:cstheme="minorHAnsi"/>
        </w:rPr>
        <w:footnoteRef/>
      </w:r>
      <w:r w:rsidRPr="00D57F92">
        <w:rPr>
          <w:rFonts w:asciiTheme="minorHAnsi" w:hAnsiTheme="minorHAnsi" w:cstheme="minorHAnsi"/>
        </w:rPr>
        <w:t xml:space="preserve"> </w:t>
      </w:r>
      <w:r w:rsidRPr="00553E5D">
        <w:rPr>
          <w:i/>
          <w:iCs/>
        </w:rPr>
        <w:t>Nyusti</w:t>
      </w:r>
      <w:r w:rsidRPr="00553E5D">
        <w:t>, above n 1</w:t>
      </w:r>
      <w:r w:rsidRPr="00553E5D">
        <w:rPr>
          <w:rFonts w:asciiTheme="minorHAnsi" w:hAnsiTheme="minorHAnsi" w:cstheme="minorHAnsi"/>
        </w:rPr>
        <w:t>.</w:t>
      </w:r>
    </w:p>
  </w:footnote>
  <w:footnote w:id="55">
    <w:p w14:paraId="5B9A7AD1" w14:textId="77777777" w:rsidR="00C31C3D" w:rsidRPr="00553E5D" w:rsidRDefault="00C31C3D" w:rsidP="00C31C3D">
      <w:pPr>
        <w:pStyle w:val="FootnoteText"/>
        <w:rPr>
          <w:rFonts w:asciiTheme="minorHAnsi" w:hAnsiTheme="minorHAnsi" w:cstheme="minorHAnsi"/>
        </w:rPr>
      </w:pPr>
      <w:r w:rsidRPr="00553E5D">
        <w:rPr>
          <w:rStyle w:val="FootnoteReference"/>
          <w:rFonts w:asciiTheme="minorHAnsi" w:hAnsiTheme="minorHAnsi" w:cstheme="minorHAnsi"/>
        </w:rPr>
        <w:footnoteRef/>
      </w:r>
      <w:r w:rsidRPr="00553E5D">
        <w:rPr>
          <w:rFonts w:asciiTheme="minorHAnsi" w:hAnsiTheme="minorHAnsi" w:cstheme="minorHAnsi"/>
        </w:rPr>
        <w:t xml:space="preserve"> </w:t>
      </w:r>
      <w:r w:rsidRPr="00553E5D">
        <w:rPr>
          <w:rFonts w:asciiTheme="minorHAnsi" w:hAnsiTheme="minorHAnsi" w:cstheme="minorHAnsi"/>
          <w:i/>
          <w:iCs/>
        </w:rPr>
        <w:t xml:space="preserve">ibid, </w:t>
      </w:r>
      <w:r w:rsidRPr="00553E5D">
        <w:rPr>
          <w:rFonts w:asciiTheme="minorHAnsi" w:hAnsiTheme="minorHAnsi" w:cstheme="minorHAnsi"/>
        </w:rPr>
        <w:t>paragraph 9.4; UN Convention on the Rights of Persons with Disabilities, Article 4(1)(e).</w:t>
      </w:r>
    </w:p>
  </w:footnote>
  <w:footnote w:id="56">
    <w:p w14:paraId="50667932" w14:textId="77777777" w:rsidR="00C31C3D" w:rsidRPr="00553E5D" w:rsidRDefault="00C31C3D" w:rsidP="00C31C3D">
      <w:pPr>
        <w:pStyle w:val="FootnoteText"/>
        <w:rPr>
          <w:rFonts w:asciiTheme="minorHAnsi" w:hAnsiTheme="minorHAnsi" w:cstheme="minorHAnsi"/>
        </w:rPr>
      </w:pPr>
      <w:r w:rsidRPr="00553E5D">
        <w:rPr>
          <w:rStyle w:val="FootnoteReference"/>
          <w:rFonts w:asciiTheme="minorHAnsi" w:hAnsiTheme="minorHAnsi" w:cstheme="minorHAnsi"/>
        </w:rPr>
        <w:footnoteRef/>
      </w:r>
      <w:r w:rsidRPr="00553E5D">
        <w:rPr>
          <w:rFonts w:asciiTheme="minorHAnsi" w:hAnsiTheme="minorHAnsi" w:cstheme="minorHAnsi"/>
        </w:rPr>
        <w:t xml:space="preserve"> </w:t>
      </w:r>
      <w:r w:rsidRPr="00553E5D">
        <w:rPr>
          <w:i/>
          <w:iCs/>
        </w:rPr>
        <w:t>Nyusti</w:t>
      </w:r>
      <w:r w:rsidRPr="00553E5D">
        <w:t>, above n 1,</w:t>
      </w:r>
      <w:r w:rsidRPr="00553E5D">
        <w:rPr>
          <w:rFonts w:asciiTheme="minorHAnsi" w:hAnsiTheme="minorHAnsi" w:cstheme="minorHAnsi"/>
        </w:rPr>
        <w:t xml:space="preserve"> paragraph 9.4; UN Convention on the Rights of Persons with Disabilities</w:t>
      </w:r>
      <w:r w:rsidRPr="00553E5D">
        <w:rPr>
          <w:rFonts w:asciiTheme="minorHAnsi" w:hAnsiTheme="minorHAnsi" w:cstheme="minorHAnsi"/>
          <w:i/>
          <w:iCs/>
        </w:rPr>
        <w:t xml:space="preserve">, </w:t>
      </w:r>
      <w:r w:rsidRPr="00553E5D">
        <w:rPr>
          <w:rFonts w:asciiTheme="minorHAnsi" w:hAnsiTheme="minorHAnsi" w:cstheme="minorHAnsi"/>
        </w:rPr>
        <w:t>Article 9(2)(b).</w:t>
      </w:r>
    </w:p>
  </w:footnote>
  <w:footnote w:id="57">
    <w:p w14:paraId="064441C5" w14:textId="77777777" w:rsidR="00C31C3D" w:rsidRPr="00553E5D" w:rsidRDefault="00C31C3D" w:rsidP="00C31C3D">
      <w:pPr>
        <w:pStyle w:val="FootnoteText"/>
      </w:pPr>
      <w:r w:rsidRPr="00553E5D">
        <w:rPr>
          <w:rStyle w:val="FootnoteReference"/>
        </w:rPr>
        <w:footnoteRef/>
      </w:r>
      <w:r w:rsidRPr="00553E5D">
        <w:t xml:space="preserve"> </w:t>
      </w:r>
      <w:r w:rsidRPr="00553E5D">
        <w:rPr>
          <w:rFonts w:asciiTheme="minorHAnsi" w:hAnsiTheme="minorHAnsi" w:cstheme="minorHAnsi"/>
        </w:rPr>
        <w:t>UN Convention on the Rights of Persons with Disabilities</w:t>
      </w:r>
      <w:r w:rsidRPr="00553E5D">
        <w:rPr>
          <w:rFonts w:asciiTheme="minorHAnsi" w:hAnsiTheme="minorHAnsi" w:cstheme="minorHAnsi"/>
          <w:i/>
          <w:iCs/>
        </w:rPr>
        <w:t xml:space="preserve">, </w:t>
      </w:r>
      <w:r w:rsidRPr="00553E5D">
        <w:rPr>
          <w:rFonts w:asciiTheme="minorHAnsi" w:hAnsiTheme="minorHAnsi" w:cstheme="minorHAnsi"/>
        </w:rPr>
        <w:t xml:space="preserve">Article 12(5); </w:t>
      </w:r>
      <w:r w:rsidRPr="00553E5D">
        <w:rPr>
          <w:i/>
          <w:iCs/>
        </w:rPr>
        <w:t>Nyusti</w:t>
      </w:r>
      <w:r w:rsidRPr="00553E5D">
        <w:t>, above n 1, paragraph 8.3.</w:t>
      </w:r>
    </w:p>
  </w:footnote>
  <w:footnote w:id="58">
    <w:p w14:paraId="039BC470" w14:textId="77777777" w:rsidR="00C31C3D" w:rsidRPr="00553E5D" w:rsidRDefault="00C31C3D" w:rsidP="00C31C3D">
      <w:pPr>
        <w:pStyle w:val="FootnoteText"/>
      </w:pPr>
      <w:r w:rsidRPr="00553E5D">
        <w:rPr>
          <w:rStyle w:val="FootnoteReference"/>
        </w:rPr>
        <w:footnoteRef/>
      </w:r>
      <w:r w:rsidRPr="00553E5D">
        <w:rPr>
          <w:rFonts w:asciiTheme="minorHAnsi" w:hAnsiTheme="minorHAnsi" w:cstheme="minorHAnsi"/>
        </w:rPr>
        <w:t xml:space="preserve"> UN Convention on the Rights of Persons with Disabilities</w:t>
      </w:r>
      <w:r w:rsidRPr="00553E5D">
        <w:rPr>
          <w:rFonts w:asciiTheme="minorHAnsi" w:hAnsiTheme="minorHAnsi" w:cstheme="minorHAnsi"/>
          <w:i/>
          <w:iCs/>
        </w:rPr>
        <w:t xml:space="preserve">, </w:t>
      </w:r>
      <w:r w:rsidRPr="00553E5D">
        <w:rPr>
          <w:rFonts w:asciiTheme="minorHAnsi" w:hAnsiTheme="minorHAnsi" w:cstheme="minorHAnsi"/>
        </w:rPr>
        <w:t xml:space="preserve">Article 9(2)(b); </w:t>
      </w:r>
      <w:r w:rsidRPr="00553E5D">
        <w:rPr>
          <w:i/>
          <w:iCs/>
        </w:rPr>
        <w:t>Nyusti</w:t>
      </w:r>
      <w:r w:rsidRPr="00553E5D">
        <w:t>, above n 1,</w:t>
      </w:r>
      <w:r w:rsidRPr="00553E5D">
        <w:rPr>
          <w:rFonts w:asciiTheme="minorHAnsi" w:hAnsiTheme="minorHAnsi" w:cstheme="minorHAnsi"/>
        </w:rPr>
        <w:t xml:space="preserve"> paragraph 9.4.</w:t>
      </w:r>
    </w:p>
  </w:footnote>
  <w:footnote w:id="59">
    <w:p w14:paraId="09CBB410" w14:textId="77777777" w:rsidR="00C31C3D" w:rsidRPr="00553E5D" w:rsidRDefault="00C31C3D" w:rsidP="00C31C3D">
      <w:pPr>
        <w:pStyle w:val="FootnoteText"/>
      </w:pPr>
      <w:r w:rsidRPr="00553E5D">
        <w:rPr>
          <w:rStyle w:val="FootnoteReference"/>
        </w:rPr>
        <w:footnoteRef/>
      </w:r>
      <w:r w:rsidRPr="00553E5D">
        <w:t xml:space="preserve"> John </w:t>
      </w:r>
      <w:bookmarkStart w:id="20" w:name="_Hlk18394025"/>
      <w:r w:rsidRPr="00553E5D">
        <w:t>Adams and Roger Brownsword</w:t>
      </w:r>
      <w:bookmarkEnd w:id="20"/>
      <w:r w:rsidRPr="00553E5D">
        <w:t>, Understanding Contract Law (London: Sweet &amp; Maxwell, 5th ed, 2007), 194.</w:t>
      </w:r>
    </w:p>
  </w:footnote>
  <w:footnote w:id="60">
    <w:p w14:paraId="66C78634" w14:textId="77777777" w:rsidR="00C31C3D" w:rsidRPr="00553E5D" w:rsidRDefault="00C31C3D" w:rsidP="00C31C3D">
      <w:pPr>
        <w:pStyle w:val="FootnoteText"/>
      </w:pPr>
      <w:r w:rsidRPr="00553E5D">
        <w:rPr>
          <w:rStyle w:val="FootnoteReference"/>
        </w:rPr>
        <w:footnoteRef/>
      </w:r>
      <w:r w:rsidRPr="00553E5D">
        <w:t xml:space="preserve"> Friedrich Kessler, ‘Contracts of Adhesion: Some Thoughts about Freedom of Contract’ (1943) 43 </w:t>
      </w:r>
      <w:r w:rsidRPr="00553E5D">
        <w:rPr>
          <w:i/>
          <w:iCs/>
        </w:rPr>
        <w:t>Columbia Law Review</w:t>
      </w:r>
      <w:r w:rsidRPr="00553E5D">
        <w:t xml:space="preserve"> 629.</w:t>
      </w:r>
    </w:p>
  </w:footnote>
  <w:footnote w:id="61">
    <w:p w14:paraId="1D569C15" w14:textId="77777777" w:rsidR="000F4536" w:rsidRPr="00553E5D" w:rsidRDefault="000F4536" w:rsidP="000F4536">
      <w:pPr>
        <w:pStyle w:val="FootnoteText"/>
      </w:pPr>
      <w:r w:rsidRPr="00553E5D">
        <w:rPr>
          <w:rStyle w:val="FootnoteReference"/>
        </w:rPr>
        <w:footnoteRef/>
      </w:r>
      <w:r w:rsidRPr="00553E5D">
        <w:t xml:space="preserve"> </w:t>
      </w:r>
      <w:r w:rsidRPr="00553E5D">
        <w:rPr>
          <w:i/>
          <w:iCs/>
        </w:rPr>
        <w:t>Nyusti</w:t>
      </w:r>
      <w:r w:rsidRPr="00553E5D">
        <w:t>, above n 1.</w:t>
      </w:r>
    </w:p>
  </w:footnote>
  <w:footnote w:id="62">
    <w:p w14:paraId="1EAEA33A" w14:textId="77777777" w:rsidR="000F4536" w:rsidRPr="00553E5D" w:rsidRDefault="000F4536" w:rsidP="000F4536">
      <w:pPr>
        <w:pStyle w:val="FootnoteText"/>
      </w:pPr>
      <w:r w:rsidRPr="00553E5D">
        <w:rPr>
          <w:rStyle w:val="FootnoteReference"/>
        </w:rPr>
        <w:footnoteRef/>
      </w:r>
      <w:r w:rsidRPr="00553E5D">
        <w:t xml:space="preserve"> </w:t>
      </w:r>
      <w:r w:rsidRPr="00553E5D">
        <w:rPr>
          <w:i/>
          <w:iCs/>
        </w:rPr>
        <w:t>Nyusti</w:t>
      </w:r>
      <w:r w:rsidRPr="00553E5D">
        <w:t>, above n 1.</w:t>
      </w:r>
    </w:p>
  </w:footnote>
  <w:footnote w:id="63">
    <w:p w14:paraId="2CB8BA7E" w14:textId="4BFEA2DE" w:rsidR="000F4536" w:rsidRPr="00B26D9E" w:rsidRDefault="000F4536" w:rsidP="000F4536">
      <w:pPr>
        <w:pStyle w:val="FootnoteText"/>
        <w:rPr>
          <w:rFonts w:asciiTheme="minorHAnsi" w:hAnsiTheme="minorHAnsi" w:cstheme="minorHAnsi"/>
        </w:rPr>
      </w:pPr>
      <w:r w:rsidRPr="00553E5D">
        <w:rPr>
          <w:rStyle w:val="FootnoteReference"/>
          <w:rFonts w:asciiTheme="minorHAnsi" w:hAnsiTheme="minorHAnsi" w:cstheme="minorHAnsi"/>
        </w:rPr>
        <w:footnoteRef/>
      </w:r>
      <w:r w:rsidRPr="00553E5D">
        <w:rPr>
          <w:rFonts w:asciiTheme="minorHAnsi" w:hAnsiTheme="minorHAnsi" w:cstheme="minorHAnsi"/>
        </w:rPr>
        <w:t xml:space="preserve"> UN Convention on the Rights of Persons with Disabilities, Preamble, paragraph (e) and Article 1. See Colin </w:t>
      </w:r>
      <w:bookmarkStart w:id="21" w:name="_Hlk18448819"/>
      <w:r w:rsidRPr="00553E5D">
        <w:rPr>
          <w:rFonts w:asciiTheme="minorHAnsi" w:hAnsiTheme="minorHAnsi" w:cstheme="minorHAnsi"/>
        </w:rPr>
        <w:t>Barnes and Michael Oliver</w:t>
      </w:r>
      <w:bookmarkEnd w:id="21"/>
      <w:r w:rsidRPr="00553E5D">
        <w:rPr>
          <w:rFonts w:asciiTheme="minorHAnsi" w:hAnsiTheme="minorHAnsi" w:cstheme="minorHAnsi"/>
        </w:rPr>
        <w:t>, ‘Disability</w:t>
      </w:r>
      <w:r w:rsidRPr="00B26D9E">
        <w:rPr>
          <w:rFonts w:asciiTheme="minorHAnsi" w:hAnsiTheme="minorHAnsi" w:cstheme="minorHAnsi"/>
        </w:rPr>
        <w:t xml:space="preserve"> Rights: Rhetoric and Reality in the United Kingdom’ (1995) 10 </w:t>
      </w:r>
      <w:r w:rsidRPr="00B26D9E">
        <w:rPr>
          <w:rFonts w:asciiTheme="minorHAnsi" w:hAnsiTheme="minorHAnsi" w:cstheme="minorHAnsi"/>
          <w:i/>
        </w:rPr>
        <w:t>Disability and Society</w:t>
      </w:r>
      <w:r w:rsidRPr="00B26D9E">
        <w:rPr>
          <w:rFonts w:asciiTheme="minorHAnsi" w:hAnsiTheme="minorHAnsi" w:cstheme="minorHAnsi"/>
        </w:rPr>
        <w:t xml:space="preserve"> 111.</w:t>
      </w:r>
    </w:p>
  </w:footnote>
  <w:footnote w:id="64">
    <w:p w14:paraId="45D7461F" w14:textId="77777777" w:rsidR="000F4536" w:rsidRPr="00786566" w:rsidRDefault="000F4536" w:rsidP="000F4536">
      <w:pPr>
        <w:pStyle w:val="FootnoteText"/>
        <w:rPr>
          <w:rFonts w:asciiTheme="minorHAnsi" w:hAnsiTheme="minorHAnsi" w:cstheme="minorHAnsi"/>
        </w:rPr>
      </w:pPr>
      <w:r w:rsidRPr="009B2308">
        <w:rPr>
          <w:rStyle w:val="FootnoteReference"/>
          <w:rFonts w:asciiTheme="minorHAnsi" w:hAnsiTheme="minorHAnsi" w:cstheme="minorHAnsi"/>
        </w:rPr>
        <w:footnoteRef/>
      </w:r>
      <w:r w:rsidRPr="009B2308">
        <w:rPr>
          <w:rFonts w:asciiTheme="minorHAnsi" w:hAnsiTheme="minorHAnsi" w:cstheme="minorHAnsi"/>
        </w:rPr>
        <w:t xml:space="preserve"> Rannveig </w:t>
      </w:r>
      <w:bookmarkStart w:id="22" w:name="_Hlk18448907"/>
      <w:r w:rsidRPr="009B2308">
        <w:rPr>
          <w:rFonts w:asciiTheme="minorHAnsi" w:hAnsiTheme="minorHAnsi" w:cstheme="minorHAnsi"/>
        </w:rPr>
        <w:t>Traustadóttir</w:t>
      </w:r>
      <w:bookmarkEnd w:id="22"/>
      <w:r w:rsidRPr="009B2308">
        <w:rPr>
          <w:rFonts w:asciiTheme="minorHAnsi" w:hAnsiTheme="minorHAnsi" w:cstheme="minorHAnsi"/>
        </w:rPr>
        <w:t xml:space="preserve">, ‘Disability Studies, the Social Model and Legal Developments’ in Oddný Arnardóttir and Gerard Quinn (eds.) </w:t>
      </w:r>
      <w:r w:rsidRPr="009B2308">
        <w:rPr>
          <w:rFonts w:asciiTheme="minorHAnsi" w:hAnsiTheme="minorHAnsi" w:cstheme="minorHAnsi"/>
          <w:i/>
          <w:iCs/>
        </w:rPr>
        <w:t>The UN Convention on the Rights of Persons with Disabilities – European and Scandinavian Perspectives, International Studies in Human Rights, Vol. 100</w:t>
      </w:r>
      <w:r w:rsidRPr="009B2308">
        <w:rPr>
          <w:rFonts w:asciiTheme="minorHAnsi" w:hAnsiTheme="minorHAnsi" w:cstheme="minorHAnsi"/>
        </w:rPr>
        <w:t xml:space="preserve"> (Leiden: Martinus Nijhoff, Brill, 2009), 1;</w:t>
      </w:r>
      <w:r>
        <w:rPr>
          <w:rFonts w:asciiTheme="minorHAnsi" w:hAnsiTheme="minorHAnsi" w:cstheme="minorHAnsi"/>
        </w:rPr>
        <w:t xml:space="preserve"> </w:t>
      </w:r>
      <w:r w:rsidRPr="009B2308">
        <w:rPr>
          <w:rFonts w:asciiTheme="minorHAnsi" w:hAnsiTheme="minorHAnsi" w:cstheme="minorHAnsi"/>
        </w:rPr>
        <w:t xml:space="preserve">Sarah </w:t>
      </w:r>
      <w:bookmarkStart w:id="23" w:name="_Hlk18448945"/>
      <w:r w:rsidRPr="009B2308">
        <w:rPr>
          <w:rFonts w:asciiTheme="minorHAnsi" w:hAnsiTheme="minorHAnsi" w:cstheme="minorHAnsi"/>
        </w:rPr>
        <w:t>Fraser Butlin</w:t>
      </w:r>
      <w:bookmarkEnd w:id="23"/>
      <w:r w:rsidRPr="009B2308">
        <w:rPr>
          <w:rFonts w:asciiTheme="minorHAnsi" w:hAnsiTheme="minorHAnsi" w:cstheme="minorHAnsi"/>
        </w:rPr>
        <w:t xml:space="preserve">, ‘The UN Convention on the Rights of Persons with Disabilities: Does the Equality Act 2010 Measure up to UK International Commitments?’ (2011) 40 </w:t>
      </w:r>
      <w:r w:rsidRPr="009B2308">
        <w:rPr>
          <w:rFonts w:asciiTheme="minorHAnsi" w:hAnsiTheme="minorHAnsi" w:cstheme="minorHAnsi"/>
          <w:i/>
          <w:iCs/>
        </w:rPr>
        <w:t>Industrial Law Journal</w:t>
      </w:r>
      <w:r w:rsidRPr="009B2308">
        <w:rPr>
          <w:rFonts w:asciiTheme="minorHAnsi" w:hAnsiTheme="minorHAnsi" w:cstheme="minorHAnsi"/>
          <w:i/>
        </w:rPr>
        <w:t xml:space="preserve"> </w:t>
      </w:r>
      <w:r w:rsidRPr="009B2308">
        <w:rPr>
          <w:rFonts w:asciiTheme="minorHAnsi" w:hAnsiTheme="minorHAnsi" w:cstheme="minorHAnsi"/>
        </w:rPr>
        <w:t>428</w:t>
      </w:r>
      <w:r w:rsidRPr="009B2308">
        <w:t>.</w:t>
      </w:r>
    </w:p>
  </w:footnote>
  <w:footnote w:id="65">
    <w:p w14:paraId="6EA9DEA3" w14:textId="77777777" w:rsidR="000F4536" w:rsidRDefault="000F4536" w:rsidP="000F4536">
      <w:pPr>
        <w:pStyle w:val="FootnoteText"/>
      </w:pPr>
      <w:r>
        <w:rPr>
          <w:rStyle w:val="FootnoteReference"/>
        </w:rPr>
        <w:footnoteRef/>
      </w:r>
      <w:r>
        <w:t xml:space="preserve"> </w:t>
      </w:r>
      <w:r w:rsidRPr="000F7677">
        <w:t xml:space="preserve">Michael </w:t>
      </w:r>
      <w:bookmarkStart w:id="24" w:name="_Hlk18449860"/>
      <w:r w:rsidRPr="000F7677">
        <w:t>Trebilcock and Steven Elliott</w:t>
      </w:r>
      <w:bookmarkEnd w:id="24"/>
      <w:r w:rsidRPr="000F7677">
        <w:t xml:space="preserve">, ‘The Scope and Limits of Legal Paternalism: Altruism and Coercion in Family Financial Arrangements’ in Peter Benson (ed), </w:t>
      </w:r>
      <w:r w:rsidRPr="000F7677">
        <w:rPr>
          <w:i/>
          <w:iCs/>
        </w:rPr>
        <w:t>The Theory of Contract Law: New Essays</w:t>
      </w:r>
      <w:r w:rsidRPr="000F7677">
        <w:t xml:space="preserve"> (Cambridge: Cambridge University Press, 2001), 62</w:t>
      </w:r>
      <w:r>
        <w:t>.</w:t>
      </w:r>
    </w:p>
  </w:footnote>
  <w:footnote w:id="66">
    <w:p w14:paraId="05CF0915" w14:textId="71F103BC" w:rsidR="000F4536" w:rsidRDefault="000F4536" w:rsidP="000F4536">
      <w:pPr>
        <w:pStyle w:val="FootnoteText"/>
      </w:pPr>
      <w:r w:rsidRPr="00553E5D">
        <w:rPr>
          <w:rStyle w:val="FootnoteReference"/>
        </w:rPr>
        <w:footnoteRef/>
      </w:r>
      <w:r w:rsidRPr="00553E5D">
        <w:t xml:space="preserve"> WHO and the World Bank, above n </w:t>
      </w:r>
      <w:r w:rsidR="00553E5D" w:rsidRPr="00553E5D">
        <w:t>8</w:t>
      </w:r>
      <w:r w:rsidRPr="00553E5D">
        <w:t>, 11.</w:t>
      </w:r>
    </w:p>
  </w:footnote>
  <w:footnote w:id="67">
    <w:p w14:paraId="729C1376" w14:textId="7E03A34C" w:rsidR="000F4536" w:rsidRDefault="000F4536" w:rsidP="000F4536">
      <w:pPr>
        <w:pStyle w:val="FootnoteText"/>
      </w:pPr>
      <w:r w:rsidRPr="00D40E67">
        <w:rPr>
          <w:rStyle w:val="FootnoteReference"/>
        </w:rPr>
        <w:footnoteRef/>
      </w:r>
      <w:r w:rsidRPr="00D40E67">
        <w:t xml:space="preserve"> </w:t>
      </w:r>
      <w:r w:rsidRPr="00D40E67">
        <w:rPr>
          <w:szCs w:val="22"/>
        </w:rPr>
        <w:t xml:space="preserve">Yvette </w:t>
      </w:r>
      <w:bookmarkStart w:id="25" w:name="_Hlk17618985"/>
      <w:r w:rsidRPr="00D40E67">
        <w:rPr>
          <w:szCs w:val="22"/>
        </w:rPr>
        <w:t xml:space="preserve">Maker </w:t>
      </w:r>
      <w:bookmarkEnd w:id="25"/>
      <w:r w:rsidRPr="00D40E67">
        <w:rPr>
          <w:szCs w:val="22"/>
        </w:rPr>
        <w:t xml:space="preserve">and others, ‘Ensuring Equality for Persons with Cognitive Disabilities in Consumer Contracting: An International Human Rights Law Perspective’ (2018) 19 </w:t>
      </w:r>
      <w:r w:rsidRPr="00D40E67">
        <w:rPr>
          <w:i/>
          <w:iCs/>
          <w:szCs w:val="22"/>
        </w:rPr>
        <w:t xml:space="preserve">Melbourne Journal of International Law </w:t>
      </w:r>
      <w:r w:rsidRPr="00D40E67">
        <w:rPr>
          <w:szCs w:val="22"/>
        </w:rPr>
        <w:t>178</w:t>
      </w:r>
      <w:r w:rsidRPr="00D40E67">
        <w:t>, at 192.</w:t>
      </w:r>
    </w:p>
  </w:footnote>
  <w:footnote w:id="68">
    <w:p w14:paraId="68A395D8" w14:textId="77777777" w:rsidR="000F4536" w:rsidRPr="00AA59B9" w:rsidRDefault="000F4536" w:rsidP="000F4536">
      <w:pPr>
        <w:pStyle w:val="FootnoteText"/>
        <w:rPr>
          <w:rFonts w:asciiTheme="minorHAnsi" w:hAnsiTheme="minorHAnsi" w:cstheme="minorHAnsi"/>
        </w:rPr>
      </w:pPr>
      <w:r w:rsidRPr="00AA59B9">
        <w:rPr>
          <w:rStyle w:val="FootnoteReference"/>
          <w:rFonts w:asciiTheme="minorHAnsi" w:hAnsiTheme="minorHAnsi" w:cstheme="minorHAnsi"/>
        </w:rPr>
        <w:footnoteRef/>
      </w:r>
      <w:r w:rsidRPr="00AA59B9">
        <w:rPr>
          <w:rFonts w:asciiTheme="minorHAnsi" w:hAnsiTheme="minorHAnsi" w:cstheme="minorHAnsi"/>
        </w:rPr>
        <w:t xml:space="preserve"> Anna </w:t>
      </w:r>
      <w:bookmarkStart w:id="26" w:name="_Hlk18449020"/>
      <w:r w:rsidRPr="00AA59B9">
        <w:rPr>
          <w:rFonts w:asciiTheme="minorHAnsi" w:hAnsiTheme="minorHAnsi" w:cstheme="minorHAnsi"/>
        </w:rPr>
        <w:t>Lawson</w:t>
      </w:r>
      <w:bookmarkEnd w:id="26"/>
      <w:r w:rsidRPr="00AA59B9">
        <w:rPr>
          <w:rFonts w:asciiTheme="minorHAnsi" w:hAnsiTheme="minorHAnsi" w:cstheme="minorHAnsi"/>
        </w:rPr>
        <w:t xml:space="preserve">, ‘The United Nations Convention on the Rights of Persons with Disabilities: New Era or False Dawn?’ (2007) 34 </w:t>
      </w:r>
      <w:r w:rsidRPr="00AA59B9">
        <w:rPr>
          <w:rFonts w:asciiTheme="minorHAnsi" w:hAnsiTheme="minorHAnsi" w:cstheme="minorHAnsi"/>
          <w:i/>
          <w:iCs/>
        </w:rPr>
        <w:t>Syracuse Journal of International Law and Commerce</w:t>
      </w:r>
      <w:r w:rsidRPr="00AA59B9">
        <w:rPr>
          <w:rFonts w:asciiTheme="minorHAnsi" w:hAnsiTheme="minorHAnsi" w:cstheme="minorHAnsi"/>
        </w:rPr>
        <w:t xml:space="preserve"> 563, 573.</w:t>
      </w:r>
    </w:p>
  </w:footnote>
  <w:footnote w:id="69">
    <w:p w14:paraId="66B86299" w14:textId="77777777" w:rsidR="000F4536" w:rsidRPr="00B74E11" w:rsidRDefault="000F4536" w:rsidP="000F4536">
      <w:pPr>
        <w:pStyle w:val="FootnoteText"/>
        <w:rPr>
          <w:rFonts w:asciiTheme="minorHAnsi" w:hAnsiTheme="minorHAnsi" w:cstheme="minorHAnsi"/>
        </w:rPr>
      </w:pPr>
      <w:r w:rsidRPr="00B74E11">
        <w:rPr>
          <w:rStyle w:val="FootnoteReference"/>
          <w:rFonts w:asciiTheme="minorHAnsi" w:hAnsiTheme="minorHAnsi" w:cstheme="minorHAnsi"/>
        </w:rPr>
        <w:footnoteRef/>
      </w:r>
      <w:r w:rsidRPr="00B74E11">
        <w:rPr>
          <w:rFonts w:asciiTheme="minorHAnsi" w:hAnsiTheme="minorHAnsi" w:cstheme="minorHAnsi"/>
        </w:rPr>
        <w:t xml:space="preserve"> UN Convention on the Rights of Persons with Disabilities, Article 3(f).</w:t>
      </w:r>
    </w:p>
  </w:footnote>
  <w:footnote w:id="70">
    <w:p w14:paraId="4AAB6D56" w14:textId="77777777" w:rsidR="000F4536" w:rsidRPr="00B74E11" w:rsidRDefault="000F4536" w:rsidP="000F4536">
      <w:pPr>
        <w:pStyle w:val="FootnoteText"/>
        <w:rPr>
          <w:rFonts w:asciiTheme="minorHAnsi" w:hAnsiTheme="minorHAnsi" w:cstheme="minorHAnsi"/>
        </w:rPr>
      </w:pPr>
      <w:r w:rsidRPr="00B74E11">
        <w:rPr>
          <w:rStyle w:val="FootnoteReference"/>
          <w:rFonts w:asciiTheme="minorHAnsi" w:hAnsiTheme="minorHAnsi" w:cstheme="minorHAnsi"/>
        </w:rPr>
        <w:footnoteRef/>
      </w:r>
      <w:r w:rsidRPr="00B74E11">
        <w:rPr>
          <w:rFonts w:asciiTheme="minorHAnsi" w:hAnsiTheme="minorHAnsi" w:cstheme="minorHAnsi"/>
        </w:rPr>
        <w:t xml:space="preserve"> </w:t>
      </w:r>
      <w:r w:rsidRPr="00B74E11">
        <w:rPr>
          <w:rFonts w:asciiTheme="minorHAnsi" w:hAnsiTheme="minorHAnsi" w:cstheme="minorHAnsi"/>
          <w:i/>
          <w:iCs/>
        </w:rPr>
        <w:t>Ibid</w:t>
      </w:r>
      <w:r w:rsidRPr="00B74E11">
        <w:rPr>
          <w:rFonts w:asciiTheme="minorHAnsi" w:hAnsiTheme="minorHAnsi" w:cstheme="minorHAnsi"/>
        </w:rPr>
        <w:t>, Article 3(c).</w:t>
      </w:r>
    </w:p>
  </w:footnote>
  <w:footnote w:id="71">
    <w:p w14:paraId="2D8E4958" w14:textId="77777777" w:rsidR="000F4536" w:rsidRPr="00B74E11" w:rsidRDefault="000F4536" w:rsidP="000F4536">
      <w:pPr>
        <w:pStyle w:val="FootnoteText"/>
        <w:rPr>
          <w:rFonts w:asciiTheme="minorHAnsi" w:hAnsiTheme="minorHAnsi" w:cstheme="minorHAnsi"/>
        </w:rPr>
      </w:pPr>
      <w:r w:rsidRPr="00B74E11">
        <w:rPr>
          <w:rStyle w:val="FootnoteReference"/>
          <w:rFonts w:asciiTheme="minorHAnsi" w:hAnsiTheme="minorHAnsi" w:cstheme="minorHAnsi"/>
        </w:rPr>
        <w:footnoteRef/>
      </w:r>
      <w:r w:rsidRPr="00B74E11">
        <w:rPr>
          <w:rFonts w:asciiTheme="minorHAnsi" w:hAnsiTheme="minorHAnsi" w:cstheme="minorHAnsi"/>
        </w:rPr>
        <w:t xml:space="preserve"> </w:t>
      </w:r>
      <w:r w:rsidRPr="00B74E11">
        <w:rPr>
          <w:rFonts w:asciiTheme="minorHAnsi" w:hAnsiTheme="minorHAnsi" w:cstheme="minorHAnsi"/>
          <w:i/>
          <w:iCs/>
        </w:rPr>
        <w:t>Ibid</w:t>
      </w:r>
      <w:r w:rsidRPr="00B74E11">
        <w:rPr>
          <w:rFonts w:asciiTheme="minorHAnsi" w:hAnsiTheme="minorHAnsi" w:cstheme="minorHAnsi"/>
        </w:rPr>
        <w:t>, Article 3(d).</w:t>
      </w:r>
    </w:p>
  </w:footnote>
  <w:footnote w:id="72">
    <w:p w14:paraId="46A08B49" w14:textId="77777777" w:rsidR="000F4536" w:rsidRDefault="000F4536" w:rsidP="000F4536">
      <w:pPr>
        <w:pStyle w:val="FootnoteText"/>
      </w:pPr>
      <w:r>
        <w:rPr>
          <w:rStyle w:val="FootnoteReference"/>
        </w:rPr>
        <w:footnoteRef/>
      </w:r>
      <w:r>
        <w:t xml:space="preserve"> </w:t>
      </w:r>
      <w:r w:rsidRPr="00B74E11">
        <w:rPr>
          <w:rFonts w:asciiTheme="minorHAnsi" w:hAnsiTheme="minorHAnsi" w:cstheme="minorHAnsi"/>
          <w:i/>
          <w:iCs/>
        </w:rPr>
        <w:t>Ibid</w:t>
      </w:r>
      <w:r w:rsidRPr="008E38E4">
        <w:t xml:space="preserve">, Article </w:t>
      </w:r>
      <w:r>
        <w:t>4(1)(e). See also Article 5.</w:t>
      </w:r>
    </w:p>
  </w:footnote>
  <w:footnote w:id="73">
    <w:p w14:paraId="180C52F4" w14:textId="77777777" w:rsidR="000F4536" w:rsidRPr="00B57436" w:rsidRDefault="000F4536" w:rsidP="000F4536">
      <w:pPr>
        <w:pStyle w:val="FootnoteText"/>
        <w:rPr>
          <w:rFonts w:asciiTheme="minorHAnsi" w:hAnsiTheme="minorHAnsi" w:cstheme="minorHAnsi"/>
        </w:rPr>
      </w:pPr>
      <w:r w:rsidRPr="00B57436">
        <w:rPr>
          <w:rStyle w:val="FootnoteReference"/>
          <w:rFonts w:asciiTheme="minorHAnsi" w:hAnsiTheme="minorHAnsi" w:cstheme="minorHAnsi"/>
        </w:rPr>
        <w:footnoteRef/>
      </w:r>
      <w:r w:rsidRPr="00B57436">
        <w:rPr>
          <w:rFonts w:asciiTheme="minorHAnsi" w:hAnsiTheme="minorHAnsi" w:cstheme="minorHAnsi"/>
        </w:rPr>
        <w:t xml:space="preserve"> </w:t>
      </w:r>
      <w:r w:rsidRPr="00B57436">
        <w:rPr>
          <w:rFonts w:asciiTheme="minorHAnsi" w:hAnsiTheme="minorHAnsi" w:cstheme="minorHAnsi"/>
          <w:i/>
          <w:iCs/>
        </w:rPr>
        <w:t xml:space="preserve">ibid, </w:t>
      </w:r>
      <w:r w:rsidRPr="00B57436">
        <w:rPr>
          <w:rFonts w:asciiTheme="minorHAnsi" w:hAnsiTheme="minorHAnsi" w:cstheme="minorHAnsi"/>
        </w:rPr>
        <w:t>Article 9(2)(b).</w:t>
      </w:r>
      <w:r>
        <w:rPr>
          <w:rFonts w:asciiTheme="minorHAnsi" w:hAnsiTheme="minorHAnsi" w:cstheme="minorHAnsi"/>
        </w:rPr>
        <w:t xml:space="preserve"> See </w:t>
      </w:r>
      <w:r w:rsidRPr="006D375E">
        <w:t>CRPD Committee, ‘General Comment No. 2: Article 9 (Accessibility)’, 22 May 2014, UN Doc. CRPD/C/GC/2</w:t>
      </w:r>
      <w:r>
        <w:t xml:space="preserve">. See also </w:t>
      </w:r>
      <w:r w:rsidRPr="00B74E11">
        <w:rPr>
          <w:rFonts w:asciiTheme="minorHAnsi" w:hAnsiTheme="minorHAnsi" w:cstheme="minorHAnsi"/>
        </w:rPr>
        <w:t>UN Convention on the Rights of Persons with Disabilities, Article</w:t>
      </w:r>
      <w:r>
        <w:rPr>
          <w:rFonts w:asciiTheme="minorHAnsi" w:hAnsiTheme="minorHAnsi" w:cstheme="minorHAnsi"/>
        </w:rPr>
        <w:t xml:space="preserve"> 21(c).</w:t>
      </w:r>
    </w:p>
  </w:footnote>
  <w:footnote w:id="74">
    <w:p w14:paraId="2BD70F8B" w14:textId="77777777" w:rsidR="000F4536" w:rsidRDefault="000F4536" w:rsidP="000F4536">
      <w:pPr>
        <w:pStyle w:val="FootnoteText"/>
      </w:pPr>
      <w:r w:rsidRPr="00514C7A">
        <w:rPr>
          <w:rStyle w:val="FootnoteReference"/>
        </w:rPr>
        <w:footnoteRef/>
      </w:r>
      <w:r w:rsidRPr="00514C7A">
        <w:t xml:space="preserve"> UN Convention on the Rights of Persons with Disabilities, Article 1. See Denise </w:t>
      </w:r>
      <w:bookmarkStart w:id="27" w:name="_Hlk18456084"/>
      <w:r w:rsidRPr="00514C7A">
        <w:t>Réaume</w:t>
      </w:r>
      <w:bookmarkEnd w:id="27"/>
      <w:r w:rsidRPr="00514C7A">
        <w:t>, ‘Discrimination and Dignity’ (2003)</w:t>
      </w:r>
      <w:r>
        <w:t xml:space="preserve"> 63 </w:t>
      </w:r>
      <w:r w:rsidRPr="00514C7A">
        <w:rPr>
          <w:i/>
          <w:iCs/>
        </w:rPr>
        <w:t>Louisiana Law Review</w:t>
      </w:r>
      <w:r>
        <w:rPr>
          <w:i/>
          <w:iCs/>
        </w:rPr>
        <w:t xml:space="preserve"> </w:t>
      </w:r>
      <w:r w:rsidRPr="00514C7A">
        <w:t>1</w:t>
      </w:r>
      <w:r>
        <w:t xml:space="preserve">, at 51; </w:t>
      </w:r>
      <w:r w:rsidRPr="00514C7A">
        <w:rPr>
          <w:rFonts w:asciiTheme="minorHAnsi" w:hAnsiTheme="minorHAnsi" w:cstheme="minorHAnsi"/>
        </w:rPr>
        <w:t xml:space="preserve">Sandra </w:t>
      </w:r>
      <w:bookmarkStart w:id="28" w:name="_Hlk18456131"/>
      <w:r w:rsidRPr="00514C7A">
        <w:rPr>
          <w:rFonts w:asciiTheme="minorHAnsi" w:hAnsiTheme="minorHAnsi" w:cstheme="minorHAnsi"/>
        </w:rPr>
        <w:t>Fredman</w:t>
      </w:r>
      <w:bookmarkEnd w:id="28"/>
      <w:r w:rsidRPr="00514C7A">
        <w:rPr>
          <w:rFonts w:asciiTheme="minorHAnsi" w:hAnsiTheme="minorHAnsi" w:cstheme="minorHAnsi"/>
        </w:rPr>
        <w:t xml:space="preserve">, ‘Equality: A New Generation?’ (2001) 30 </w:t>
      </w:r>
      <w:r w:rsidRPr="00514C7A">
        <w:rPr>
          <w:rFonts w:asciiTheme="minorHAnsi" w:hAnsiTheme="minorHAnsi" w:cstheme="minorHAnsi"/>
          <w:i/>
          <w:iCs/>
        </w:rPr>
        <w:t>Industrial Law Journal</w:t>
      </w:r>
      <w:r w:rsidRPr="00514C7A">
        <w:rPr>
          <w:rFonts w:asciiTheme="minorHAnsi" w:hAnsiTheme="minorHAnsi" w:cstheme="minorHAnsi"/>
        </w:rPr>
        <w:t xml:space="preserve"> 145, </w:t>
      </w:r>
      <w:r>
        <w:rPr>
          <w:rFonts w:asciiTheme="minorHAnsi" w:hAnsiTheme="minorHAnsi" w:cstheme="minorHAnsi"/>
        </w:rPr>
        <w:t xml:space="preserve">at </w:t>
      </w:r>
      <w:r w:rsidRPr="00514C7A">
        <w:rPr>
          <w:rFonts w:asciiTheme="minorHAnsi" w:hAnsiTheme="minorHAnsi" w:cstheme="minorHAnsi"/>
        </w:rPr>
        <w:t>155</w:t>
      </w:r>
      <w:r>
        <w:rPr>
          <w:rFonts w:asciiTheme="minorHAnsi" w:hAnsiTheme="minorHAnsi" w:cstheme="minorHAnsi"/>
        </w:rPr>
        <w:t>.</w:t>
      </w:r>
    </w:p>
  </w:footnote>
  <w:footnote w:id="75">
    <w:p w14:paraId="747C041C" w14:textId="77777777" w:rsidR="000F4536" w:rsidRPr="00316882" w:rsidRDefault="000F4536" w:rsidP="000F4536">
      <w:pPr>
        <w:pStyle w:val="FootnoteText"/>
        <w:rPr>
          <w:rFonts w:asciiTheme="minorHAnsi" w:hAnsiTheme="minorHAnsi" w:cstheme="minorHAnsi"/>
        </w:rPr>
      </w:pPr>
      <w:r w:rsidRPr="00316882">
        <w:rPr>
          <w:rStyle w:val="FootnoteReference"/>
          <w:rFonts w:asciiTheme="minorHAnsi" w:hAnsiTheme="minorHAnsi" w:cstheme="minorHAnsi"/>
        </w:rPr>
        <w:footnoteRef/>
      </w:r>
      <w:r w:rsidRPr="00316882">
        <w:rPr>
          <w:rFonts w:asciiTheme="minorHAnsi" w:hAnsiTheme="minorHAnsi" w:cstheme="minorHAnsi"/>
        </w:rPr>
        <w:t xml:space="preserve"> Deirdre Smith, ‘Who Says You’re Disabled? The Role of Medical Evidence in the ADA Definition of Disability’ (2007) 82 </w:t>
      </w:r>
      <w:r w:rsidRPr="00316882">
        <w:rPr>
          <w:rFonts w:asciiTheme="minorHAnsi" w:hAnsiTheme="minorHAnsi" w:cstheme="minorHAnsi"/>
          <w:i/>
          <w:iCs/>
        </w:rPr>
        <w:t>Tulane Law Review</w:t>
      </w:r>
      <w:r w:rsidRPr="00316882">
        <w:rPr>
          <w:rFonts w:asciiTheme="minorHAnsi" w:hAnsiTheme="minorHAnsi" w:cstheme="minorHAnsi"/>
        </w:rPr>
        <w:t xml:space="preserve"> 1, 71; Halvor Hanisch, ‘Recognising Disability’, in Jerome Bickenbach, Franziska Felder</w:t>
      </w:r>
      <w:r>
        <w:rPr>
          <w:rFonts w:asciiTheme="minorHAnsi" w:hAnsiTheme="minorHAnsi" w:cstheme="minorHAnsi"/>
        </w:rPr>
        <w:t xml:space="preserve"> and </w:t>
      </w:r>
      <w:r w:rsidRPr="00316882">
        <w:rPr>
          <w:rFonts w:asciiTheme="minorHAnsi" w:hAnsiTheme="minorHAnsi" w:cstheme="minorHAnsi"/>
        </w:rPr>
        <w:t>Barbara Schmitz</w:t>
      </w:r>
      <w:r>
        <w:rPr>
          <w:rFonts w:asciiTheme="minorHAnsi" w:hAnsiTheme="minorHAnsi" w:cstheme="minorHAnsi"/>
        </w:rPr>
        <w:t xml:space="preserve"> </w:t>
      </w:r>
      <w:r w:rsidRPr="00316882">
        <w:rPr>
          <w:rFonts w:asciiTheme="minorHAnsi" w:hAnsiTheme="minorHAnsi" w:cstheme="minorHAnsi"/>
        </w:rPr>
        <w:t xml:space="preserve">(eds.) </w:t>
      </w:r>
      <w:r w:rsidRPr="00316882">
        <w:rPr>
          <w:rFonts w:asciiTheme="minorHAnsi" w:hAnsiTheme="minorHAnsi" w:cstheme="minorHAnsi"/>
          <w:i/>
          <w:iCs/>
        </w:rPr>
        <w:t>Disability and the Good Human Life</w:t>
      </w:r>
      <w:r w:rsidRPr="00316882">
        <w:rPr>
          <w:rFonts w:asciiTheme="minorHAnsi" w:hAnsiTheme="minorHAnsi" w:cstheme="minorHAnsi"/>
        </w:rPr>
        <w:t xml:space="preserve"> (Cambridge</w:t>
      </w:r>
      <w:r>
        <w:rPr>
          <w:rFonts w:asciiTheme="minorHAnsi" w:hAnsiTheme="minorHAnsi" w:cstheme="minorHAnsi"/>
        </w:rPr>
        <w:t xml:space="preserve">: </w:t>
      </w:r>
      <w:r w:rsidRPr="00316882">
        <w:rPr>
          <w:rFonts w:asciiTheme="minorHAnsi" w:hAnsiTheme="minorHAnsi" w:cstheme="minorHAnsi"/>
        </w:rPr>
        <w:t>Cambridge University Press, 2014), 124.</w:t>
      </w:r>
    </w:p>
  </w:footnote>
  <w:footnote w:id="76">
    <w:p w14:paraId="54B6A45A" w14:textId="77777777" w:rsidR="000F4536" w:rsidRDefault="000F4536" w:rsidP="000F4536">
      <w:pPr>
        <w:pStyle w:val="FootnoteText"/>
      </w:pPr>
      <w:r w:rsidRPr="00C0376C">
        <w:rPr>
          <w:rStyle w:val="FootnoteReference"/>
        </w:rPr>
        <w:footnoteRef/>
      </w:r>
      <w:r w:rsidRPr="00C0376C">
        <w:t xml:space="preserve"> </w:t>
      </w:r>
      <w:r w:rsidRPr="00C0376C">
        <w:rPr>
          <w:rFonts w:asciiTheme="minorHAnsi" w:hAnsiTheme="minorHAnsi" w:cstheme="minorHAnsi"/>
        </w:rPr>
        <w:t xml:space="preserve">Giovanna Procacci, ‘Poor Citizens: Social Citizenship versus Individualisation of Welfare’ in Colin Crouch, Klau Eder and Damian Tambini (eds.) </w:t>
      </w:r>
      <w:r w:rsidRPr="00C0376C">
        <w:rPr>
          <w:rFonts w:asciiTheme="minorHAnsi" w:hAnsiTheme="minorHAnsi" w:cstheme="minorHAnsi"/>
          <w:i/>
          <w:iCs/>
        </w:rPr>
        <w:t>Citizenship, Markets and the State</w:t>
      </w:r>
      <w:r w:rsidRPr="00C0376C">
        <w:rPr>
          <w:rFonts w:asciiTheme="minorHAnsi" w:hAnsiTheme="minorHAnsi" w:cstheme="minorHAnsi"/>
        </w:rPr>
        <w:t xml:space="preserve"> (Oxford: Oxford University Press, 2001), 63; Cass </w:t>
      </w:r>
      <w:bookmarkStart w:id="29" w:name="_Hlk18455535"/>
      <w:r w:rsidRPr="00C0376C">
        <w:rPr>
          <w:rFonts w:asciiTheme="minorHAnsi" w:hAnsiTheme="minorHAnsi" w:cstheme="minorHAnsi"/>
        </w:rPr>
        <w:t>Sunstein</w:t>
      </w:r>
      <w:bookmarkEnd w:id="29"/>
      <w:r w:rsidRPr="00C0376C">
        <w:rPr>
          <w:rFonts w:asciiTheme="minorHAnsi" w:hAnsiTheme="minorHAnsi" w:cstheme="minorHAnsi"/>
        </w:rPr>
        <w:t xml:space="preserve">, </w:t>
      </w:r>
      <w:r w:rsidRPr="00C0376C">
        <w:rPr>
          <w:rFonts w:asciiTheme="minorHAnsi" w:hAnsiTheme="minorHAnsi" w:cstheme="minorHAnsi"/>
          <w:i/>
          <w:iCs/>
        </w:rPr>
        <w:t>After the Rights Revolution: Reconceiving the Regulatory State</w:t>
      </w:r>
      <w:r w:rsidRPr="00C0376C">
        <w:rPr>
          <w:rFonts w:asciiTheme="minorHAnsi" w:hAnsiTheme="minorHAnsi" w:cstheme="minorHAnsi"/>
        </w:rPr>
        <w:t xml:space="preserve"> (Harvard: Harvard University Press, 1990), 58.</w:t>
      </w:r>
    </w:p>
  </w:footnote>
  <w:footnote w:id="77">
    <w:p w14:paraId="7DCBE609" w14:textId="77777777" w:rsidR="000F4536" w:rsidRDefault="000F4536" w:rsidP="000F4536">
      <w:pPr>
        <w:pStyle w:val="FootnoteText"/>
      </w:pPr>
      <w:r w:rsidRPr="00C0376C">
        <w:rPr>
          <w:rStyle w:val="FootnoteReference"/>
        </w:rPr>
        <w:footnoteRef/>
      </w:r>
      <w:r w:rsidRPr="00C0376C">
        <w:t xml:space="preserve"> </w:t>
      </w:r>
      <w:r w:rsidRPr="00C0376C">
        <w:rPr>
          <w:rFonts w:asciiTheme="minorHAnsi" w:hAnsiTheme="minorHAnsi" w:cstheme="minorHAnsi"/>
        </w:rPr>
        <w:t>UN Convention on the Rights of Persons with Disabilities, Article 3.</w:t>
      </w:r>
    </w:p>
  </w:footnote>
  <w:footnote w:id="78">
    <w:p w14:paraId="1244E334" w14:textId="77777777" w:rsidR="000F4536" w:rsidRDefault="000F4536" w:rsidP="000F4536">
      <w:pPr>
        <w:pStyle w:val="FootnoteText"/>
      </w:pPr>
      <w:r>
        <w:rPr>
          <w:rStyle w:val="FootnoteReference"/>
        </w:rPr>
        <w:footnoteRef/>
      </w:r>
      <w:r>
        <w:t xml:space="preserve"> </w:t>
      </w:r>
      <w:r w:rsidRPr="004E2F11">
        <w:rPr>
          <w:rFonts w:asciiTheme="minorHAnsi" w:hAnsiTheme="minorHAnsi" w:cstheme="minorHAnsi"/>
          <w:szCs w:val="22"/>
        </w:rPr>
        <w:t xml:space="preserve">Amita Dhanda, ‘Constructing a New Human Rights Lexicon: Convention on the Rights of Persons with Disabilities’ (2008) 5 </w:t>
      </w:r>
      <w:r w:rsidRPr="00E8496A">
        <w:rPr>
          <w:rFonts w:asciiTheme="minorHAnsi" w:hAnsiTheme="minorHAnsi" w:cstheme="minorHAnsi"/>
          <w:i/>
          <w:iCs/>
          <w:szCs w:val="22"/>
        </w:rPr>
        <w:t>Sur: International Journal of Human Rights</w:t>
      </w:r>
      <w:r w:rsidRPr="004E2F11">
        <w:rPr>
          <w:rFonts w:asciiTheme="minorHAnsi" w:hAnsiTheme="minorHAnsi" w:cstheme="minorHAnsi"/>
          <w:szCs w:val="22"/>
        </w:rPr>
        <w:t xml:space="preserve"> 43, </w:t>
      </w:r>
      <w:r>
        <w:rPr>
          <w:rFonts w:asciiTheme="minorHAnsi" w:hAnsiTheme="minorHAnsi" w:cstheme="minorHAnsi"/>
          <w:szCs w:val="22"/>
        </w:rPr>
        <w:t>49.</w:t>
      </w:r>
    </w:p>
  </w:footnote>
  <w:footnote w:id="79">
    <w:p w14:paraId="77CD0626" w14:textId="77777777" w:rsidR="000F4536" w:rsidRDefault="000F4536" w:rsidP="000F4536">
      <w:pPr>
        <w:pStyle w:val="FootnoteText"/>
      </w:pPr>
      <w:r>
        <w:rPr>
          <w:rStyle w:val="FootnoteReference"/>
        </w:rPr>
        <w:footnoteRef/>
      </w:r>
      <w:r>
        <w:t xml:space="preserve"> </w:t>
      </w:r>
      <w:r w:rsidRPr="00D664A8">
        <w:t xml:space="preserve">Gunther </w:t>
      </w:r>
      <w:bookmarkStart w:id="30" w:name="_Hlk18456418"/>
      <w:r w:rsidRPr="00D664A8">
        <w:t>Teubner</w:t>
      </w:r>
      <w:bookmarkEnd w:id="30"/>
      <w:r w:rsidRPr="00D664A8">
        <w:t xml:space="preserve">, ‘Contracting Worlds: The Many Autonomies of Private Law’ (2000) 9 </w:t>
      </w:r>
      <w:r w:rsidRPr="00D664A8">
        <w:rPr>
          <w:i/>
          <w:iCs/>
        </w:rPr>
        <w:t>Social and Legal Studies</w:t>
      </w:r>
      <w:r w:rsidRPr="00D664A8">
        <w:t xml:space="preserve"> 399, </w:t>
      </w:r>
      <w:r>
        <w:t xml:space="preserve">at </w:t>
      </w:r>
      <w:r w:rsidRPr="009B345D">
        <w:t>400</w:t>
      </w:r>
      <w:r>
        <w:t>.</w:t>
      </w:r>
    </w:p>
  </w:footnote>
  <w:footnote w:id="80">
    <w:p w14:paraId="61C245B3" w14:textId="77777777" w:rsidR="00192270" w:rsidRPr="00ED595C" w:rsidRDefault="00192270" w:rsidP="00192270">
      <w:pPr>
        <w:pStyle w:val="FootnoteText"/>
      </w:pPr>
      <w:r w:rsidRPr="00ED595C">
        <w:rPr>
          <w:rStyle w:val="FootnoteReference"/>
        </w:rPr>
        <w:footnoteRef/>
      </w:r>
      <w:r w:rsidRPr="00ED595C">
        <w:t xml:space="preserve"> </w:t>
      </w:r>
      <w:bookmarkStart w:id="31" w:name="_Hlk18482139"/>
      <w:r w:rsidRPr="00ED595C">
        <w:t>UN Convention on the Rights of Persons with Disabilities, Article 4</w:t>
      </w:r>
      <w:bookmarkEnd w:id="31"/>
      <w:r w:rsidRPr="00ED595C">
        <w:t>.</w:t>
      </w:r>
    </w:p>
  </w:footnote>
  <w:footnote w:id="81">
    <w:p w14:paraId="74F8D5B1" w14:textId="77777777" w:rsidR="00192270" w:rsidRPr="00ED595C" w:rsidRDefault="00192270" w:rsidP="00192270">
      <w:pPr>
        <w:pStyle w:val="FootnoteText"/>
      </w:pPr>
      <w:r w:rsidRPr="00ED595C">
        <w:rPr>
          <w:rStyle w:val="FootnoteReference"/>
        </w:rPr>
        <w:footnoteRef/>
      </w:r>
      <w:r w:rsidRPr="00ED595C">
        <w:t xml:space="preserve"> </w:t>
      </w:r>
      <w:r w:rsidRPr="00ED595C">
        <w:rPr>
          <w:i/>
          <w:szCs w:val="22"/>
        </w:rPr>
        <w:t xml:space="preserve">R (on the application of NM) v Islington LBC </w:t>
      </w:r>
      <w:r w:rsidRPr="00ED595C">
        <w:rPr>
          <w:szCs w:val="22"/>
        </w:rPr>
        <w:t xml:space="preserve">[2012] EWHC 414, [98]; </w:t>
      </w:r>
      <w:r w:rsidRPr="00ED595C">
        <w:rPr>
          <w:i/>
          <w:szCs w:val="22"/>
        </w:rPr>
        <w:t>R (on the application of MA) v Secretary of State for Work and Pensions</w:t>
      </w:r>
      <w:r w:rsidRPr="00ED595C">
        <w:rPr>
          <w:szCs w:val="22"/>
        </w:rPr>
        <w:t xml:space="preserve"> [2013] EWHC 2213, [80]; </w:t>
      </w:r>
      <w:r w:rsidRPr="00ED595C">
        <w:rPr>
          <w:i/>
          <w:szCs w:val="22"/>
        </w:rPr>
        <w:t xml:space="preserve">Hainsworth v Ministry of Defence </w:t>
      </w:r>
      <w:r w:rsidRPr="00ED595C">
        <w:rPr>
          <w:szCs w:val="22"/>
        </w:rPr>
        <w:t>[2014] EWCA Civ 763, [30].</w:t>
      </w:r>
    </w:p>
  </w:footnote>
  <w:footnote w:id="82">
    <w:p w14:paraId="092AD633" w14:textId="77777777" w:rsidR="00192270" w:rsidRPr="00ED595C" w:rsidRDefault="00192270" w:rsidP="00192270">
      <w:pPr>
        <w:pStyle w:val="FootnoteText"/>
      </w:pPr>
      <w:r w:rsidRPr="00ED595C">
        <w:rPr>
          <w:rStyle w:val="FootnoteReference"/>
        </w:rPr>
        <w:footnoteRef/>
      </w:r>
      <w:r w:rsidRPr="00ED595C">
        <w:t xml:space="preserve"> </w:t>
      </w:r>
      <w:r w:rsidRPr="00ED595C">
        <w:rPr>
          <w:i/>
          <w:iCs/>
        </w:rPr>
        <w:t>AH v West London Mental Health Trust</w:t>
      </w:r>
      <w:r w:rsidRPr="00ED595C">
        <w:t xml:space="preserve"> [2011] UKUT 74, [16], per Carnwath LJ.</w:t>
      </w:r>
    </w:p>
  </w:footnote>
  <w:footnote w:id="83">
    <w:p w14:paraId="4B680F69" w14:textId="2A4866E1" w:rsidR="00192270" w:rsidRPr="00ED595C" w:rsidRDefault="00192270" w:rsidP="00192270">
      <w:pPr>
        <w:pStyle w:val="FootnoteText"/>
      </w:pPr>
      <w:r w:rsidRPr="006779F6">
        <w:rPr>
          <w:rStyle w:val="FootnoteReference"/>
        </w:rPr>
        <w:footnoteRef/>
      </w:r>
      <w:r w:rsidRPr="006779F6">
        <w:t xml:space="preserve"> </w:t>
      </w:r>
      <w:r w:rsidR="00AA7F75" w:rsidRPr="006779F6">
        <w:t>Adams and Brownsword, above n 58</w:t>
      </w:r>
      <w:r w:rsidRPr="006779F6">
        <w:t>, 194.</w:t>
      </w:r>
    </w:p>
  </w:footnote>
  <w:footnote w:id="84">
    <w:p w14:paraId="7224016A" w14:textId="77777777" w:rsidR="00192270" w:rsidRDefault="00192270" w:rsidP="00192270">
      <w:pPr>
        <w:pStyle w:val="FootnoteText"/>
      </w:pPr>
      <w:r w:rsidRPr="000E31E4">
        <w:rPr>
          <w:rStyle w:val="FootnoteReference"/>
        </w:rPr>
        <w:footnoteRef/>
      </w:r>
      <w:r w:rsidRPr="000E31E4">
        <w:t xml:space="preserve"> </w:t>
      </w:r>
      <w:r w:rsidRPr="000E31E4">
        <w:rPr>
          <w:rFonts w:asciiTheme="minorHAnsi" w:hAnsiTheme="minorHAnsi" w:cstheme="minorHAnsi"/>
        </w:rPr>
        <w:t xml:space="preserve">Gareth </w:t>
      </w:r>
      <w:bookmarkStart w:id="32" w:name="_Hlk14351231"/>
      <w:r w:rsidRPr="000E31E4">
        <w:rPr>
          <w:rFonts w:asciiTheme="minorHAnsi" w:hAnsiTheme="minorHAnsi" w:cstheme="minorHAnsi"/>
        </w:rPr>
        <w:t>Spark</w:t>
      </w:r>
      <w:bookmarkEnd w:id="32"/>
      <w:r w:rsidRPr="000E31E4">
        <w:rPr>
          <w:rFonts w:asciiTheme="minorHAnsi" w:hAnsiTheme="minorHAnsi" w:cstheme="minorHAnsi"/>
        </w:rPr>
        <w:t xml:space="preserve">, </w:t>
      </w:r>
      <w:r w:rsidRPr="000E31E4">
        <w:rPr>
          <w:rFonts w:asciiTheme="minorHAnsi" w:hAnsiTheme="minorHAnsi" w:cstheme="minorHAnsi"/>
          <w:i/>
          <w:iCs/>
        </w:rPr>
        <w:t xml:space="preserve">Vitiation of Contracts: International Contractual Principles and English Law </w:t>
      </w:r>
      <w:r w:rsidRPr="000E31E4">
        <w:rPr>
          <w:rFonts w:asciiTheme="minorHAnsi" w:hAnsiTheme="minorHAnsi" w:cstheme="minorHAnsi"/>
        </w:rPr>
        <w:t>(Cambridge: Cambridge University Press, 2013).</w:t>
      </w:r>
    </w:p>
  </w:footnote>
  <w:footnote w:id="85">
    <w:p w14:paraId="6A572A47" w14:textId="77777777" w:rsidR="00192270" w:rsidRDefault="00192270" w:rsidP="00192270">
      <w:pPr>
        <w:pStyle w:val="FootnoteText"/>
      </w:pPr>
      <w:r w:rsidRPr="00553E5D">
        <w:rPr>
          <w:rStyle w:val="FootnoteReference"/>
        </w:rPr>
        <w:footnoteRef/>
      </w:r>
      <w:r w:rsidRPr="00553E5D">
        <w:t xml:space="preserve"> </w:t>
      </w:r>
      <w:r w:rsidRPr="00553E5D">
        <w:rPr>
          <w:rFonts w:cstheme="minorHAnsi"/>
        </w:rPr>
        <w:t>Collins, above n 18</w:t>
      </w:r>
      <w:r w:rsidRPr="00553E5D">
        <w:t>, 5.</w:t>
      </w:r>
    </w:p>
  </w:footnote>
  <w:footnote w:id="86">
    <w:p w14:paraId="2CFDDFDA" w14:textId="22837BEB" w:rsidR="00192270" w:rsidRDefault="00192270" w:rsidP="00192270">
      <w:pPr>
        <w:pStyle w:val="FootnoteText"/>
      </w:pPr>
      <w:r w:rsidRPr="006779F6">
        <w:rPr>
          <w:rStyle w:val="FootnoteReference"/>
        </w:rPr>
        <w:footnoteRef/>
      </w:r>
      <w:r w:rsidRPr="006779F6">
        <w:t xml:space="preserve"> </w:t>
      </w:r>
      <w:r w:rsidR="00AA7F75" w:rsidRPr="006779F6">
        <w:t>Adams and Brownsword, above n 58</w:t>
      </w:r>
      <w:r w:rsidRPr="006779F6">
        <w:t>, 194.</w:t>
      </w:r>
    </w:p>
  </w:footnote>
  <w:footnote w:id="87">
    <w:p w14:paraId="228183EA" w14:textId="77777777" w:rsidR="00192270" w:rsidRDefault="00192270" w:rsidP="00192270">
      <w:pPr>
        <w:pStyle w:val="FootnoteText"/>
      </w:pPr>
      <w:r w:rsidRPr="00553E5D">
        <w:rPr>
          <w:rStyle w:val="FootnoteReference"/>
        </w:rPr>
        <w:footnoteRef/>
      </w:r>
      <w:r w:rsidRPr="00553E5D">
        <w:t xml:space="preserve"> </w:t>
      </w:r>
      <w:r w:rsidRPr="00553E5D">
        <w:rPr>
          <w:rFonts w:cstheme="minorHAnsi"/>
        </w:rPr>
        <w:t>Collins, above n 18</w:t>
      </w:r>
      <w:r w:rsidRPr="00553E5D">
        <w:t>, 5.</w:t>
      </w:r>
    </w:p>
  </w:footnote>
  <w:footnote w:id="88">
    <w:p w14:paraId="5DAE7A0E" w14:textId="477D89CB" w:rsidR="00192270" w:rsidRPr="008009CA" w:rsidRDefault="00192270" w:rsidP="00192270">
      <w:pPr>
        <w:pStyle w:val="FootnoteText"/>
      </w:pPr>
      <w:r w:rsidRPr="008009CA">
        <w:rPr>
          <w:rStyle w:val="FootnoteReference"/>
        </w:rPr>
        <w:footnoteRef/>
      </w:r>
      <w:r w:rsidRPr="008009CA">
        <w:t xml:space="preserve"> </w:t>
      </w:r>
      <w:r w:rsidRPr="008009CA">
        <w:rPr>
          <w:i/>
          <w:iCs/>
        </w:rPr>
        <w:t>Ibid</w:t>
      </w:r>
      <w:r w:rsidRPr="008009CA">
        <w:rPr>
          <w:rFonts w:asciiTheme="minorHAnsi" w:hAnsiTheme="minorHAnsi" w:cstheme="minorHAnsi"/>
        </w:rPr>
        <w:t>.</w:t>
      </w:r>
    </w:p>
  </w:footnote>
  <w:footnote w:id="89">
    <w:p w14:paraId="098D40F5" w14:textId="30FDD4BB" w:rsidR="00192270" w:rsidRDefault="00192270" w:rsidP="00192270">
      <w:pPr>
        <w:pStyle w:val="FootnoteText"/>
      </w:pPr>
      <w:r w:rsidRPr="00553E5D">
        <w:rPr>
          <w:rStyle w:val="FootnoteReference"/>
        </w:rPr>
        <w:footnoteRef/>
      </w:r>
      <w:r w:rsidRPr="00553E5D">
        <w:t xml:space="preserve"> </w:t>
      </w:r>
      <w:r w:rsidR="004A2D1F">
        <w:rPr>
          <w:rFonts w:cstheme="minorHAnsi"/>
          <w:i/>
          <w:iCs/>
        </w:rPr>
        <w:t>Ibid</w:t>
      </w:r>
      <w:r w:rsidRPr="00553E5D">
        <w:t>, 6.</w:t>
      </w:r>
    </w:p>
  </w:footnote>
  <w:footnote w:id="90">
    <w:p w14:paraId="0B01B0A1" w14:textId="77C4025B" w:rsidR="00192270" w:rsidRDefault="00192270" w:rsidP="00192270">
      <w:pPr>
        <w:pStyle w:val="FootnoteText"/>
      </w:pPr>
      <w:r w:rsidRPr="00553E5D">
        <w:rPr>
          <w:rStyle w:val="FootnoteReference"/>
        </w:rPr>
        <w:footnoteRef/>
      </w:r>
      <w:r w:rsidRPr="00553E5D">
        <w:t xml:space="preserve"> Teubner, above n </w:t>
      </w:r>
      <w:r w:rsidR="00553E5D" w:rsidRPr="00553E5D">
        <w:t>7</w:t>
      </w:r>
      <w:r w:rsidRPr="00553E5D">
        <w:t>8, 400.</w:t>
      </w:r>
    </w:p>
  </w:footnote>
  <w:footnote w:id="91">
    <w:p w14:paraId="5AE1B7C0" w14:textId="77777777" w:rsidR="00192270" w:rsidRDefault="00192270" w:rsidP="00192270">
      <w:pPr>
        <w:pStyle w:val="FootnoteText"/>
      </w:pPr>
      <w:r w:rsidRPr="00553E5D">
        <w:rPr>
          <w:rStyle w:val="FootnoteReference"/>
        </w:rPr>
        <w:footnoteRef/>
      </w:r>
      <w:r w:rsidRPr="00553E5D">
        <w:t xml:space="preserve"> </w:t>
      </w:r>
      <w:r w:rsidRPr="00553E5D">
        <w:rPr>
          <w:i/>
          <w:iCs/>
        </w:rPr>
        <w:t>Nyusti</w:t>
      </w:r>
      <w:r w:rsidRPr="00553E5D">
        <w:t>, above n 1.</w:t>
      </w:r>
    </w:p>
  </w:footnote>
  <w:footnote w:id="92">
    <w:p w14:paraId="1BD32C71" w14:textId="77777777" w:rsidR="00E70B76" w:rsidRPr="00411661" w:rsidRDefault="00E70B76" w:rsidP="00E70B76">
      <w:pPr>
        <w:pStyle w:val="FootnoteText"/>
        <w:rPr>
          <w:rFonts w:asciiTheme="minorHAnsi" w:hAnsiTheme="minorHAnsi" w:cstheme="minorHAnsi"/>
        </w:rPr>
      </w:pPr>
      <w:r w:rsidRPr="00411661">
        <w:rPr>
          <w:rStyle w:val="FootnoteReference"/>
          <w:rFonts w:asciiTheme="minorHAnsi" w:hAnsiTheme="minorHAnsi" w:cstheme="minorHAnsi"/>
        </w:rPr>
        <w:footnoteRef/>
      </w:r>
      <w:r w:rsidRPr="00411661">
        <w:rPr>
          <w:rFonts w:asciiTheme="minorHAnsi" w:hAnsiTheme="minorHAnsi" w:cstheme="minorHAnsi"/>
        </w:rPr>
        <w:t xml:space="preserve"> Mental Capacity Act</w:t>
      </w:r>
      <w:r w:rsidRPr="00411661">
        <w:rPr>
          <w:rFonts w:asciiTheme="minorHAnsi" w:hAnsiTheme="minorHAnsi" w:cstheme="minorHAnsi"/>
          <w:i/>
          <w:iCs/>
        </w:rPr>
        <w:t xml:space="preserve"> </w:t>
      </w:r>
      <w:r w:rsidRPr="00411661">
        <w:rPr>
          <w:rFonts w:asciiTheme="minorHAnsi" w:hAnsiTheme="minorHAnsi" w:cstheme="minorHAnsi"/>
        </w:rPr>
        <w:t>2005, ss 2(1) and 3(1). See Simon</w:t>
      </w:r>
      <w:r>
        <w:rPr>
          <w:rFonts w:asciiTheme="minorHAnsi" w:hAnsiTheme="minorHAnsi" w:cstheme="minorHAnsi"/>
        </w:rPr>
        <w:t xml:space="preserve"> </w:t>
      </w:r>
      <w:bookmarkStart w:id="33" w:name="_Hlk18581301"/>
      <w:r w:rsidRPr="00411661">
        <w:rPr>
          <w:rFonts w:asciiTheme="minorHAnsi" w:hAnsiTheme="minorHAnsi" w:cstheme="minorHAnsi"/>
        </w:rPr>
        <w:t>Whittaker</w:t>
      </w:r>
      <w:bookmarkEnd w:id="33"/>
      <w:r w:rsidRPr="00411661">
        <w:rPr>
          <w:rFonts w:asciiTheme="minorHAnsi" w:hAnsiTheme="minorHAnsi" w:cstheme="minorHAnsi"/>
        </w:rPr>
        <w:t xml:space="preserve">, ‘Personal Incapacity’ in Hugh Beale and others (eds), </w:t>
      </w:r>
      <w:r w:rsidRPr="00411661">
        <w:rPr>
          <w:rFonts w:asciiTheme="minorHAnsi" w:hAnsiTheme="minorHAnsi" w:cstheme="minorHAnsi"/>
          <w:i/>
          <w:iCs/>
        </w:rPr>
        <w:t>Chitty on Contracts</w:t>
      </w:r>
      <w:r w:rsidRPr="00411661">
        <w:rPr>
          <w:rFonts w:asciiTheme="minorHAnsi" w:hAnsiTheme="minorHAnsi" w:cstheme="minorHAnsi"/>
        </w:rPr>
        <w:t xml:space="preserve"> (London: Sweet and Maxwell, 33rd ed, 2018), 9-092.</w:t>
      </w:r>
    </w:p>
  </w:footnote>
  <w:footnote w:id="93">
    <w:p w14:paraId="0F5CB874" w14:textId="70D2C956" w:rsidR="00E70B76" w:rsidRPr="00411661" w:rsidRDefault="00E70B76" w:rsidP="00E70B76">
      <w:pPr>
        <w:pStyle w:val="FootnoteText"/>
        <w:rPr>
          <w:rFonts w:asciiTheme="minorHAnsi" w:hAnsiTheme="minorHAnsi" w:cstheme="minorHAnsi"/>
        </w:rPr>
      </w:pPr>
      <w:r w:rsidRPr="00553E5D">
        <w:rPr>
          <w:rStyle w:val="FootnoteReference"/>
          <w:rFonts w:asciiTheme="minorHAnsi" w:hAnsiTheme="minorHAnsi" w:cstheme="minorHAnsi"/>
        </w:rPr>
        <w:footnoteRef/>
      </w:r>
      <w:r w:rsidRPr="00553E5D">
        <w:rPr>
          <w:rFonts w:asciiTheme="minorHAnsi" w:hAnsiTheme="minorHAnsi" w:cstheme="minorHAnsi"/>
        </w:rPr>
        <w:t xml:space="preserve"> Mental Capacity Act</w:t>
      </w:r>
      <w:r w:rsidRPr="00553E5D">
        <w:rPr>
          <w:rFonts w:asciiTheme="minorHAnsi" w:hAnsiTheme="minorHAnsi" w:cstheme="minorHAnsi"/>
          <w:i/>
          <w:iCs/>
        </w:rPr>
        <w:t xml:space="preserve"> </w:t>
      </w:r>
      <w:r w:rsidRPr="00553E5D">
        <w:rPr>
          <w:rFonts w:asciiTheme="minorHAnsi" w:hAnsiTheme="minorHAnsi" w:cstheme="minorHAnsi"/>
        </w:rPr>
        <w:t xml:space="preserve">2005, s 7. See Whittaker, above n </w:t>
      </w:r>
      <w:r w:rsidR="00553E5D" w:rsidRPr="00553E5D">
        <w:rPr>
          <w:rFonts w:asciiTheme="minorHAnsi" w:hAnsiTheme="minorHAnsi" w:cstheme="minorHAnsi"/>
        </w:rPr>
        <w:t>9</w:t>
      </w:r>
      <w:r w:rsidRPr="00553E5D">
        <w:rPr>
          <w:rFonts w:asciiTheme="minorHAnsi" w:hAnsiTheme="minorHAnsi" w:cstheme="minorHAnsi"/>
        </w:rPr>
        <w:t>1, 9-097.</w:t>
      </w:r>
    </w:p>
  </w:footnote>
  <w:footnote w:id="94">
    <w:p w14:paraId="731D05F7" w14:textId="110E9606" w:rsidR="00E70B76" w:rsidRPr="004E29AF" w:rsidRDefault="00E70B76" w:rsidP="00E70B76">
      <w:pPr>
        <w:pStyle w:val="FootnoteText"/>
        <w:rPr>
          <w:rFonts w:asciiTheme="minorHAnsi" w:hAnsiTheme="minorHAnsi" w:cstheme="minorHAnsi"/>
        </w:rPr>
      </w:pPr>
      <w:r w:rsidRPr="00553E5D">
        <w:rPr>
          <w:rStyle w:val="FootnoteReference"/>
          <w:rFonts w:asciiTheme="minorHAnsi" w:hAnsiTheme="minorHAnsi" w:cstheme="minorHAnsi"/>
        </w:rPr>
        <w:footnoteRef/>
      </w:r>
      <w:r w:rsidRPr="00553E5D">
        <w:rPr>
          <w:rFonts w:asciiTheme="minorHAnsi" w:hAnsiTheme="minorHAnsi" w:cstheme="minorHAnsi"/>
        </w:rPr>
        <w:t xml:space="preserve"> </w:t>
      </w:r>
      <w:bookmarkStart w:id="34" w:name="_Hlk18581761"/>
      <w:r w:rsidRPr="00553E5D">
        <w:rPr>
          <w:rFonts w:asciiTheme="minorHAnsi" w:hAnsiTheme="minorHAnsi" w:cstheme="minorHAnsi"/>
          <w:i/>
          <w:iCs/>
        </w:rPr>
        <w:t xml:space="preserve">Imperial Loan </w:t>
      </w:r>
      <w:bookmarkEnd w:id="34"/>
      <w:r w:rsidRPr="00553E5D">
        <w:rPr>
          <w:rFonts w:asciiTheme="minorHAnsi" w:hAnsiTheme="minorHAnsi" w:cstheme="minorHAnsi"/>
          <w:i/>
          <w:iCs/>
        </w:rPr>
        <w:t xml:space="preserve">v Stone </w:t>
      </w:r>
      <w:r w:rsidRPr="00553E5D">
        <w:rPr>
          <w:rFonts w:asciiTheme="minorHAnsi" w:hAnsiTheme="minorHAnsi" w:cstheme="minorHAnsi"/>
        </w:rPr>
        <w:t>[1892] 1 QB 599</w:t>
      </w:r>
      <w:r w:rsidRPr="00553E5D">
        <w:rPr>
          <w:rFonts w:asciiTheme="minorHAnsi" w:hAnsiTheme="minorHAnsi" w:cstheme="minorHAnsi"/>
          <w:iCs/>
        </w:rPr>
        <w:t xml:space="preserve">; </w:t>
      </w:r>
      <w:bookmarkStart w:id="35" w:name="_Hlk14264587"/>
      <w:r w:rsidRPr="00553E5D">
        <w:rPr>
          <w:rFonts w:asciiTheme="minorHAnsi" w:hAnsiTheme="minorHAnsi" w:cstheme="minorHAnsi"/>
          <w:i/>
        </w:rPr>
        <w:t xml:space="preserve">Re Beany </w:t>
      </w:r>
      <w:bookmarkEnd w:id="35"/>
      <w:r w:rsidRPr="00553E5D">
        <w:rPr>
          <w:rFonts w:asciiTheme="minorHAnsi" w:hAnsiTheme="minorHAnsi" w:cstheme="minorHAnsi"/>
        </w:rPr>
        <w:t>[1978] 1 WLR 770</w:t>
      </w:r>
      <w:r w:rsidRPr="00553E5D">
        <w:rPr>
          <w:rFonts w:asciiTheme="minorHAnsi" w:hAnsiTheme="minorHAnsi" w:cstheme="minorHAnsi"/>
          <w:i/>
          <w:iCs/>
        </w:rPr>
        <w:t xml:space="preserve">. </w:t>
      </w:r>
      <w:r w:rsidRPr="00553E5D">
        <w:rPr>
          <w:rFonts w:asciiTheme="minorHAnsi" w:hAnsiTheme="minorHAnsi" w:cstheme="minorHAnsi"/>
        </w:rPr>
        <w:t xml:space="preserve">See Whittaker, above n </w:t>
      </w:r>
      <w:r w:rsidR="00553E5D" w:rsidRPr="00553E5D">
        <w:rPr>
          <w:rFonts w:asciiTheme="minorHAnsi" w:hAnsiTheme="minorHAnsi" w:cstheme="minorHAnsi"/>
        </w:rPr>
        <w:t>9</w:t>
      </w:r>
      <w:r w:rsidRPr="00553E5D">
        <w:rPr>
          <w:rFonts w:asciiTheme="minorHAnsi" w:hAnsiTheme="minorHAnsi" w:cstheme="minorHAnsi"/>
        </w:rPr>
        <w:t>1, 9-089.</w:t>
      </w:r>
    </w:p>
  </w:footnote>
  <w:footnote w:id="95">
    <w:p w14:paraId="3B7ACE0A" w14:textId="77777777" w:rsidR="00E70B76" w:rsidRPr="004E29AF" w:rsidRDefault="00E70B76" w:rsidP="00E70B76">
      <w:pPr>
        <w:pStyle w:val="FootnoteText"/>
        <w:rPr>
          <w:rFonts w:asciiTheme="minorHAnsi" w:hAnsiTheme="minorHAnsi" w:cstheme="minorHAnsi"/>
        </w:rPr>
      </w:pPr>
      <w:r w:rsidRPr="004E29AF">
        <w:rPr>
          <w:rStyle w:val="FootnoteReference"/>
          <w:rFonts w:asciiTheme="minorHAnsi" w:hAnsiTheme="minorHAnsi" w:cstheme="minorHAnsi"/>
        </w:rPr>
        <w:footnoteRef/>
      </w:r>
      <w:r w:rsidRPr="004E29AF">
        <w:rPr>
          <w:rFonts w:asciiTheme="minorHAnsi" w:hAnsiTheme="minorHAnsi" w:cstheme="minorHAnsi"/>
        </w:rPr>
        <w:t xml:space="preserve"> Mental Capacity Act</w:t>
      </w:r>
      <w:r w:rsidRPr="004E29AF">
        <w:rPr>
          <w:rFonts w:asciiTheme="minorHAnsi" w:hAnsiTheme="minorHAnsi" w:cstheme="minorHAnsi"/>
          <w:i/>
          <w:iCs/>
        </w:rPr>
        <w:t xml:space="preserve"> </w:t>
      </w:r>
      <w:r w:rsidRPr="004E29AF">
        <w:rPr>
          <w:rFonts w:asciiTheme="minorHAnsi" w:hAnsiTheme="minorHAnsi" w:cstheme="minorHAnsi"/>
        </w:rPr>
        <w:t>2005, ss 2(1) and 3(1).</w:t>
      </w:r>
    </w:p>
  </w:footnote>
  <w:footnote w:id="96">
    <w:p w14:paraId="713F3277" w14:textId="0DC5CC9B" w:rsidR="00E70B76" w:rsidRPr="004E29AF" w:rsidRDefault="00E70B76" w:rsidP="00E70B76">
      <w:pPr>
        <w:pStyle w:val="FootnoteText"/>
        <w:rPr>
          <w:rFonts w:asciiTheme="minorHAnsi" w:hAnsiTheme="minorHAnsi" w:cstheme="minorHAnsi"/>
        </w:rPr>
      </w:pPr>
      <w:r w:rsidRPr="00553E5D">
        <w:rPr>
          <w:rStyle w:val="FootnoteReference"/>
          <w:rFonts w:asciiTheme="minorHAnsi" w:hAnsiTheme="minorHAnsi" w:cstheme="minorHAnsi"/>
        </w:rPr>
        <w:footnoteRef/>
      </w:r>
      <w:r w:rsidRPr="00553E5D">
        <w:rPr>
          <w:rFonts w:asciiTheme="minorHAnsi" w:hAnsiTheme="minorHAnsi" w:cstheme="minorHAnsi"/>
        </w:rPr>
        <w:t xml:space="preserve"> </w:t>
      </w:r>
      <w:r w:rsidRPr="00553E5D">
        <w:rPr>
          <w:i/>
          <w:iCs/>
        </w:rPr>
        <w:t>Imperial Loan</w:t>
      </w:r>
      <w:r w:rsidRPr="00553E5D">
        <w:t xml:space="preserve">, above n </w:t>
      </w:r>
      <w:r w:rsidR="00553E5D" w:rsidRPr="00553E5D">
        <w:t>9</w:t>
      </w:r>
      <w:r w:rsidRPr="00553E5D">
        <w:t>3</w:t>
      </w:r>
      <w:r w:rsidRPr="00553E5D">
        <w:rPr>
          <w:rFonts w:asciiTheme="minorHAnsi" w:hAnsiTheme="minorHAnsi" w:cstheme="minorHAnsi"/>
        </w:rPr>
        <w:t>, at [601], per Lord Esher.</w:t>
      </w:r>
    </w:p>
  </w:footnote>
  <w:footnote w:id="97">
    <w:p w14:paraId="20800175" w14:textId="77777777" w:rsidR="00E70B76" w:rsidRPr="004E29AF" w:rsidRDefault="00E70B76" w:rsidP="00E70B76">
      <w:pPr>
        <w:pStyle w:val="FootnoteText"/>
        <w:rPr>
          <w:rFonts w:asciiTheme="minorHAnsi" w:hAnsiTheme="minorHAnsi" w:cstheme="minorHAnsi"/>
        </w:rPr>
      </w:pPr>
      <w:r w:rsidRPr="004E29AF">
        <w:rPr>
          <w:rStyle w:val="FootnoteReference"/>
          <w:rFonts w:asciiTheme="minorHAnsi" w:hAnsiTheme="minorHAnsi" w:cstheme="minorHAnsi"/>
        </w:rPr>
        <w:footnoteRef/>
      </w:r>
      <w:r w:rsidRPr="004E29AF">
        <w:rPr>
          <w:rFonts w:asciiTheme="minorHAnsi" w:hAnsiTheme="minorHAnsi" w:cstheme="minorHAnsi"/>
        </w:rPr>
        <w:t xml:space="preserve"> </w:t>
      </w:r>
      <w:bookmarkStart w:id="36" w:name="_Hlk18581922"/>
      <w:r w:rsidRPr="004E29AF">
        <w:rPr>
          <w:rFonts w:asciiTheme="minorHAnsi" w:hAnsiTheme="minorHAnsi" w:cstheme="minorHAnsi"/>
          <w:i/>
          <w:iCs/>
        </w:rPr>
        <w:t xml:space="preserve">Fry </w:t>
      </w:r>
      <w:bookmarkEnd w:id="36"/>
      <w:r w:rsidRPr="004E29AF">
        <w:rPr>
          <w:rFonts w:asciiTheme="minorHAnsi" w:hAnsiTheme="minorHAnsi" w:cstheme="minorHAnsi"/>
          <w:i/>
          <w:iCs/>
        </w:rPr>
        <w:t>v Lane</w:t>
      </w:r>
      <w:r w:rsidRPr="004E29AF">
        <w:rPr>
          <w:rFonts w:asciiTheme="minorHAnsi" w:hAnsiTheme="minorHAnsi" w:cstheme="minorHAnsi"/>
        </w:rPr>
        <w:t xml:space="preserve"> (1888) 40 ChD 312; </w:t>
      </w:r>
      <w:bookmarkStart w:id="37" w:name="_Hlk14265834"/>
      <w:r w:rsidRPr="004E29AF">
        <w:rPr>
          <w:rFonts w:asciiTheme="minorHAnsi" w:hAnsiTheme="minorHAnsi" w:cstheme="minorHAnsi"/>
          <w:i/>
        </w:rPr>
        <w:t xml:space="preserve">Cresswell </w:t>
      </w:r>
      <w:bookmarkEnd w:id="37"/>
      <w:r w:rsidRPr="004E29AF">
        <w:rPr>
          <w:rFonts w:asciiTheme="minorHAnsi" w:hAnsiTheme="minorHAnsi" w:cstheme="minorHAnsi"/>
          <w:i/>
        </w:rPr>
        <w:t>v Potter</w:t>
      </w:r>
      <w:r w:rsidRPr="004E29AF">
        <w:rPr>
          <w:rFonts w:asciiTheme="minorHAnsi" w:hAnsiTheme="minorHAnsi" w:cstheme="minorHAnsi"/>
        </w:rPr>
        <w:t xml:space="preserve"> [1978] 1 WLR 255; </w:t>
      </w:r>
      <w:bookmarkStart w:id="38" w:name="_Hlk14265680"/>
      <w:r w:rsidRPr="004E29AF">
        <w:rPr>
          <w:rFonts w:asciiTheme="minorHAnsi" w:hAnsiTheme="minorHAnsi" w:cstheme="minorHAnsi"/>
          <w:i/>
          <w:iCs/>
        </w:rPr>
        <w:t xml:space="preserve">Alec Lobb </w:t>
      </w:r>
      <w:bookmarkEnd w:id="38"/>
      <w:r w:rsidRPr="004E29AF">
        <w:rPr>
          <w:rFonts w:asciiTheme="minorHAnsi" w:hAnsiTheme="minorHAnsi" w:cstheme="minorHAnsi"/>
        </w:rPr>
        <w:t>v</w:t>
      </w:r>
      <w:r w:rsidRPr="004E29AF">
        <w:rPr>
          <w:rFonts w:asciiTheme="minorHAnsi" w:hAnsiTheme="minorHAnsi" w:cstheme="minorHAnsi"/>
          <w:i/>
          <w:iCs/>
        </w:rPr>
        <w:t xml:space="preserve"> Total Oil </w:t>
      </w:r>
      <w:r w:rsidRPr="004E29AF">
        <w:rPr>
          <w:rFonts w:asciiTheme="minorHAnsi" w:hAnsiTheme="minorHAnsi" w:cstheme="minorHAnsi"/>
        </w:rPr>
        <w:t>[1985] 1 WLR 173.</w:t>
      </w:r>
    </w:p>
  </w:footnote>
  <w:footnote w:id="98">
    <w:p w14:paraId="69C4B3A7" w14:textId="77777777" w:rsidR="00E70B76" w:rsidRPr="004E29AF" w:rsidRDefault="00E70B76" w:rsidP="00E70B76">
      <w:pPr>
        <w:pStyle w:val="FootnoteText"/>
        <w:rPr>
          <w:rFonts w:asciiTheme="minorHAnsi" w:hAnsiTheme="minorHAnsi" w:cstheme="minorHAnsi"/>
          <w:i/>
          <w:iCs/>
        </w:rPr>
      </w:pPr>
      <w:r w:rsidRPr="004E29AF">
        <w:rPr>
          <w:rStyle w:val="FootnoteReference"/>
          <w:rFonts w:asciiTheme="minorHAnsi" w:hAnsiTheme="minorHAnsi" w:cstheme="minorHAnsi"/>
        </w:rPr>
        <w:footnoteRef/>
      </w:r>
      <w:r w:rsidRPr="004E29AF">
        <w:rPr>
          <w:rFonts w:asciiTheme="minorHAnsi" w:hAnsiTheme="minorHAnsi" w:cstheme="minorHAnsi"/>
        </w:rPr>
        <w:t xml:space="preserve"> </w:t>
      </w:r>
      <w:bookmarkStart w:id="39" w:name="_Hlk14265466"/>
      <w:r w:rsidRPr="004E29AF">
        <w:rPr>
          <w:rFonts w:asciiTheme="minorHAnsi" w:hAnsiTheme="minorHAnsi" w:cstheme="minorHAnsi"/>
          <w:i/>
          <w:iCs/>
        </w:rPr>
        <w:t xml:space="preserve">Allcard </w:t>
      </w:r>
      <w:bookmarkEnd w:id="39"/>
      <w:r w:rsidRPr="004E29AF">
        <w:rPr>
          <w:rFonts w:asciiTheme="minorHAnsi" w:hAnsiTheme="minorHAnsi" w:cstheme="minorHAnsi"/>
          <w:i/>
          <w:iCs/>
        </w:rPr>
        <w:t xml:space="preserve">v Skinner </w:t>
      </w:r>
      <w:r w:rsidRPr="004E29AF">
        <w:rPr>
          <w:rFonts w:asciiTheme="minorHAnsi" w:hAnsiTheme="minorHAnsi" w:cstheme="minorHAnsi"/>
        </w:rPr>
        <w:t>(1887) 36 ChD 145</w:t>
      </w:r>
      <w:r w:rsidRPr="004E29AF">
        <w:rPr>
          <w:rFonts w:asciiTheme="minorHAnsi" w:hAnsiTheme="minorHAnsi" w:cstheme="minorHAnsi"/>
          <w:i/>
          <w:iCs/>
        </w:rPr>
        <w:t xml:space="preserve">; Barclays Bank </w:t>
      </w:r>
      <w:bookmarkStart w:id="40" w:name="_Hlk14265496"/>
      <w:r w:rsidRPr="004E29AF">
        <w:rPr>
          <w:rFonts w:asciiTheme="minorHAnsi" w:hAnsiTheme="minorHAnsi" w:cstheme="minorHAnsi"/>
          <w:i/>
          <w:iCs/>
        </w:rPr>
        <w:t xml:space="preserve">v </w:t>
      </w:r>
      <w:bookmarkStart w:id="41" w:name="_Hlk18582098"/>
      <w:r w:rsidRPr="004E29AF">
        <w:rPr>
          <w:rFonts w:asciiTheme="minorHAnsi" w:hAnsiTheme="minorHAnsi" w:cstheme="minorHAnsi"/>
          <w:i/>
          <w:iCs/>
        </w:rPr>
        <w:t>O'Brien</w:t>
      </w:r>
      <w:bookmarkEnd w:id="41"/>
      <w:r w:rsidRPr="004E29AF">
        <w:rPr>
          <w:rFonts w:asciiTheme="minorHAnsi" w:hAnsiTheme="minorHAnsi" w:cstheme="minorHAnsi"/>
          <w:i/>
          <w:iCs/>
        </w:rPr>
        <w:t xml:space="preserve"> </w:t>
      </w:r>
      <w:bookmarkEnd w:id="40"/>
      <w:r w:rsidRPr="004E29AF">
        <w:rPr>
          <w:rFonts w:asciiTheme="minorHAnsi" w:hAnsiTheme="minorHAnsi" w:cstheme="minorHAnsi"/>
        </w:rPr>
        <w:t xml:space="preserve">[1994] 1 AC 180; </w:t>
      </w:r>
      <w:r w:rsidRPr="00404F0B">
        <w:rPr>
          <w:rFonts w:asciiTheme="minorHAnsi" w:hAnsiTheme="minorHAnsi" w:cstheme="minorHAnsi"/>
          <w:i/>
          <w:iCs/>
        </w:rPr>
        <w:t xml:space="preserve">Royal Bank of Scotland Plc v </w:t>
      </w:r>
      <w:bookmarkStart w:id="42" w:name="_Hlk18582203"/>
      <w:r w:rsidRPr="00404F0B">
        <w:rPr>
          <w:rFonts w:asciiTheme="minorHAnsi" w:hAnsiTheme="minorHAnsi" w:cstheme="minorHAnsi"/>
          <w:i/>
          <w:iCs/>
        </w:rPr>
        <w:t xml:space="preserve">Etridge </w:t>
      </w:r>
      <w:bookmarkEnd w:id="42"/>
      <w:r w:rsidRPr="00404F0B">
        <w:rPr>
          <w:rFonts w:asciiTheme="minorHAnsi" w:hAnsiTheme="minorHAnsi" w:cstheme="minorHAnsi"/>
          <w:i/>
          <w:iCs/>
        </w:rPr>
        <w:t>(No.2)</w:t>
      </w:r>
      <w:r w:rsidRPr="00404F0B">
        <w:rPr>
          <w:rFonts w:asciiTheme="minorHAnsi" w:hAnsiTheme="minorHAnsi" w:cstheme="minorHAnsi"/>
        </w:rPr>
        <w:t xml:space="preserve"> [2001] UKHL 44</w:t>
      </w:r>
      <w:r w:rsidRPr="004E29AF">
        <w:rPr>
          <w:rFonts w:asciiTheme="minorHAnsi" w:hAnsiTheme="minorHAnsi" w:cstheme="minorHAnsi"/>
          <w:i/>
          <w:iCs/>
        </w:rPr>
        <w:t>.</w:t>
      </w:r>
    </w:p>
  </w:footnote>
  <w:footnote w:id="99">
    <w:p w14:paraId="3A2CF8D1" w14:textId="5B79D138" w:rsidR="00E70B76" w:rsidRPr="004E29AF" w:rsidRDefault="00E70B76" w:rsidP="00E70B76">
      <w:pPr>
        <w:pStyle w:val="FootnoteText"/>
        <w:rPr>
          <w:rFonts w:asciiTheme="minorHAnsi" w:hAnsiTheme="minorHAnsi" w:cstheme="minorHAnsi"/>
        </w:rPr>
      </w:pPr>
      <w:r w:rsidRPr="00553E5D">
        <w:rPr>
          <w:rStyle w:val="FootnoteReference"/>
          <w:rFonts w:asciiTheme="minorHAnsi" w:hAnsiTheme="minorHAnsi" w:cstheme="minorHAnsi"/>
        </w:rPr>
        <w:footnoteRef/>
      </w:r>
      <w:r w:rsidRPr="00553E5D">
        <w:rPr>
          <w:rFonts w:asciiTheme="minorHAnsi" w:hAnsiTheme="minorHAnsi" w:cstheme="minorHAnsi"/>
        </w:rPr>
        <w:t xml:space="preserve"> </w:t>
      </w:r>
      <w:r w:rsidRPr="00553E5D">
        <w:rPr>
          <w:i/>
          <w:iCs/>
        </w:rPr>
        <w:t>O'Brien</w:t>
      </w:r>
      <w:r w:rsidRPr="00553E5D">
        <w:t xml:space="preserve">, above n </w:t>
      </w:r>
      <w:r w:rsidR="00553E5D" w:rsidRPr="00553E5D">
        <w:t>9</w:t>
      </w:r>
      <w:r w:rsidRPr="00553E5D">
        <w:t>7</w:t>
      </w:r>
      <w:r w:rsidRPr="00553E5D">
        <w:rPr>
          <w:rFonts w:asciiTheme="minorHAnsi" w:hAnsiTheme="minorHAnsi" w:cstheme="minorHAnsi"/>
        </w:rPr>
        <w:t>, 196</w:t>
      </w:r>
      <w:r w:rsidRPr="00553E5D">
        <w:rPr>
          <w:rFonts w:asciiTheme="minorHAnsi" w:hAnsiTheme="minorHAnsi" w:cstheme="minorHAnsi"/>
          <w:i/>
          <w:iCs/>
        </w:rPr>
        <w:t xml:space="preserve">; </w:t>
      </w:r>
      <w:r w:rsidRPr="00553E5D">
        <w:rPr>
          <w:i/>
          <w:iCs/>
        </w:rPr>
        <w:t>Etridge</w:t>
      </w:r>
      <w:r w:rsidRPr="00553E5D">
        <w:t xml:space="preserve">, above n </w:t>
      </w:r>
      <w:r w:rsidR="00553E5D" w:rsidRPr="00553E5D">
        <w:t>9</w:t>
      </w:r>
      <w:r w:rsidRPr="00553E5D">
        <w:t>7</w:t>
      </w:r>
      <w:r w:rsidRPr="00553E5D">
        <w:rPr>
          <w:rFonts w:asciiTheme="minorHAnsi" w:hAnsiTheme="minorHAnsi" w:cstheme="minorHAnsi"/>
        </w:rPr>
        <w:t xml:space="preserve">, [87]. See Hugh </w:t>
      </w:r>
      <w:bookmarkStart w:id="43" w:name="_Hlk18582405"/>
      <w:r w:rsidRPr="00553E5D">
        <w:rPr>
          <w:rFonts w:asciiTheme="minorHAnsi" w:hAnsiTheme="minorHAnsi" w:cstheme="minorHAnsi"/>
        </w:rPr>
        <w:t>Beale</w:t>
      </w:r>
      <w:bookmarkEnd w:id="43"/>
      <w:r w:rsidRPr="00553E5D">
        <w:rPr>
          <w:rFonts w:asciiTheme="minorHAnsi" w:hAnsiTheme="minorHAnsi" w:cstheme="minorHAnsi"/>
        </w:rPr>
        <w:t xml:space="preserve">, ‘Duress and Undue Influence’ in Hugh Beale and others (eds), </w:t>
      </w:r>
      <w:r w:rsidRPr="00553E5D">
        <w:rPr>
          <w:rFonts w:asciiTheme="minorHAnsi" w:hAnsiTheme="minorHAnsi" w:cstheme="minorHAnsi"/>
          <w:i/>
          <w:iCs/>
        </w:rPr>
        <w:t>Chitty on Contracts</w:t>
      </w:r>
      <w:r w:rsidRPr="00553E5D">
        <w:rPr>
          <w:rFonts w:asciiTheme="minorHAnsi" w:hAnsiTheme="minorHAnsi" w:cstheme="minorHAnsi"/>
        </w:rPr>
        <w:t xml:space="preserve"> (London: Sweet and Maxwell, 33rd ed, 2018), 8-117.</w:t>
      </w:r>
    </w:p>
  </w:footnote>
  <w:footnote w:id="100">
    <w:p w14:paraId="6A523A06" w14:textId="779E1687" w:rsidR="00E70B76" w:rsidRPr="004E29AF" w:rsidRDefault="00E70B76" w:rsidP="00E70B76">
      <w:pPr>
        <w:pStyle w:val="FootnoteText"/>
        <w:rPr>
          <w:rFonts w:asciiTheme="minorHAnsi" w:hAnsiTheme="minorHAnsi" w:cstheme="minorHAnsi"/>
        </w:rPr>
      </w:pPr>
      <w:r w:rsidRPr="00553E5D">
        <w:rPr>
          <w:rStyle w:val="FootnoteReference"/>
          <w:rFonts w:asciiTheme="minorHAnsi" w:hAnsiTheme="minorHAnsi" w:cstheme="minorHAnsi"/>
        </w:rPr>
        <w:footnoteRef/>
      </w:r>
      <w:r w:rsidRPr="00553E5D">
        <w:rPr>
          <w:rFonts w:asciiTheme="minorHAnsi" w:hAnsiTheme="minorHAnsi" w:cstheme="minorHAnsi"/>
        </w:rPr>
        <w:t xml:space="preserve"> Mental Capacity Act</w:t>
      </w:r>
      <w:r w:rsidRPr="00553E5D">
        <w:rPr>
          <w:rFonts w:asciiTheme="minorHAnsi" w:hAnsiTheme="minorHAnsi" w:cstheme="minorHAnsi"/>
          <w:i/>
          <w:iCs/>
        </w:rPr>
        <w:t xml:space="preserve"> </w:t>
      </w:r>
      <w:r w:rsidRPr="00553E5D">
        <w:rPr>
          <w:rFonts w:asciiTheme="minorHAnsi" w:hAnsiTheme="minorHAnsi" w:cstheme="minorHAnsi"/>
        </w:rPr>
        <w:t xml:space="preserve">2005, ss 2, 3, 15-19 and Part 2. See Whittaker, above n </w:t>
      </w:r>
      <w:r w:rsidR="00553E5D" w:rsidRPr="00553E5D">
        <w:rPr>
          <w:rFonts w:asciiTheme="minorHAnsi" w:hAnsiTheme="minorHAnsi" w:cstheme="minorHAnsi"/>
        </w:rPr>
        <w:t>9</w:t>
      </w:r>
      <w:r w:rsidRPr="00553E5D">
        <w:rPr>
          <w:rFonts w:asciiTheme="minorHAnsi" w:hAnsiTheme="minorHAnsi" w:cstheme="minorHAnsi"/>
        </w:rPr>
        <w:t>1, 9-092.</w:t>
      </w:r>
    </w:p>
  </w:footnote>
  <w:footnote w:id="101">
    <w:p w14:paraId="6F88D8AF" w14:textId="78471EE9" w:rsidR="00E70B76" w:rsidRPr="004E29AF" w:rsidRDefault="00E70B76" w:rsidP="00E70B76">
      <w:pPr>
        <w:pStyle w:val="FootnoteText"/>
        <w:rPr>
          <w:rFonts w:asciiTheme="minorHAnsi" w:hAnsiTheme="minorHAnsi" w:cstheme="minorHAnsi"/>
        </w:rPr>
      </w:pPr>
      <w:r w:rsidRPr="00553E5D">
        <w:rPr>
          <w:rStyle w:val="FootnoteReference"/>
          <w:rFonts w:asciiTheme="minorHAnsi" w:hAnsiTheme="minorHAnsi" w:cstheme="minorHAnsi"/>
        </w:rPr>
        <w:footnoteRef/>
      </w:r>
      <w:r w:rsidRPr="00553E5D">
        <w:rPr>
          <w:rFonts w:asciiTheme="minorHAnsi" w:hAnsiTheme="minorHAnsi" w:cstheme="minorHAnsi"/>
        </w:rPr>
        <w:t xml:space="preserve"> </w:t>
      </w:r>
      <w:r w:rsidRPr="00553E5D">
        <w:rPr>
          <w:i/>
          <w:iCs/>
        </w:rPr>
        <w:t>Imperial Loan</w:t>
      </w:r>
      <w:r w:rsidRPr="00553E5D">
        <w:t xml:space="preserve">, above n </w:t>
      </w:r>
      <w:r w:rsidR="00553E5D" w:rsidRPr="00553E5D">
        <w:t>9</w:t>
      </w:r>
      <w:r w:rsidRPr="00553E5D">
        <w:t>3</w:t>
      </w:r>
      <w:r w:rsidRPr="00553E5D">
        <w:rPr>
          <w:rFonts w:asciiTheme="minorHAnsi" w:hAnsiTheme="minorHAnsi" w:cstheme="minorHAnsi"/>
          <w:iCs/>
        </w:rPr>
        <w:t xml:space="preserve">; </w:t>
      </w:r>
      <w:r w:rsidRPr="00553E5D">
        <w:rPr>
          <w:rFonts w:asciiTheme="minorHAnsi" w:hAnsiTheme="minorHAnsi" w:cstheme="minorHAnsi"/>
          <w:i/>
        </w:rPr>
        <w:t>Hart v O'Connor</w:t>
      </w:r>
      <w:r w:rsidRPr="00553E5D">
        <w:rPr>
          <w:rFonts w:asciiTheme="minorHAnsi" w:hAnsiTheme="minorHAnsi" w:cstheme="minorHAnsi"/>
          <w:iCs/>
        </w:rPr>
        <w:t xml:space="preserve"> [1985] AC 1000</w:t>
      </w:r>
      <w:r w:rsidRPr="00553E5D">
        <w:rPr>
          <w:rFonts w:asciiTheme="minorHAnsi" w:hAnsiTheme="minorHAnsi" w:cstheme="minorHAnsi"/>
          <w:i/>
          <w:iCs/>
        </w:rPr>
        <w:t xml:space="preserve">. </w:t>
      </w:r>
      <w:r w:rsidRPr="00553E5D">
        <w:rPr>
          <w:rFonts w:asciiTheme="minorHAnsi" w:hAnsiTheme="minorHAnsi" w:cstheme="minorHAnsi"/>
        </w:rPr>
        <w:t xml:space="preserve">See Edwin </w:t>
      </w:r>
      <w:bookmarkStart w:id="44" w:name="_Hlk531762749"/>
      <w:r w:rsidRPr="00553E5D">
        <w:rPr>
          <w:rFonts w:asciiTheme="minorHAnsi" w:hAnsiTheme="minorHAnsi" w:cstheme="minorHAnsi"/>
        </w:rPr>
        <w:t>Peel</w:t>
      </w:r>
      <w:bookmarkEnd w:id="44"/>
      <w:r w:rsidRPr="00553E5D">
        <w:rPr>
          <w:rFonts w:asciiTheme="minorHAnsi" w:hAnsiTheme="minorHAnsi" w:cstheme="minorHAnsi"/>
        </w:rPr>
        <w:t xml:space="preserve">, </w:t>
      </w:r>
      <w:r w:rsidRPr="00553E5D">
        <w:rPr>
          <w:rFonts w:asciiTheme="minorHAnsi" w:hAnsiTheme="minorHAnsi" w:cstheme="minorHAnsi"/>
          <w:i/>
        </w:rPr>
        <w:t>Treitel on the Law of Contract</w:t>
      </w:r>
      <w:r w:rsidRPr="00553E5D">
        <w:rPr>
          <w:rFonts w:asciiTheme="minorHAnsi" w:hAnsiTheme="minorHAnsi" w:cstheme="minorHAnsi"/>
        </w:rPr>
        <w:t xml:space="preserve"> (London: Sweet and Maxwell, 14</w:t>
      </w:r>
      <w:r w:rsidRPr="00553E5D">
        <w:rPr>
          <w:rFonts w:asciiTheme="minorHAnsi" w:hAnsiTheme="minorHAnsi" w:cstheme="minorHAnsi"/>
          <w:vertAlign w:val="superscript"/>
        </w:rPr>
        <w:t>th</w:t>
      </w:r>
      <w:r w:rsidRPr="00553E5D">
        <w:rPr>
          <w:rFonts w:asciiTheme="minorHAnsi" w:hAnsiTheme="minorHAnsi" w:cstheme="minorHAnsi"/>
        </w:rPr>
        <w:t xml:space="preserve"> ed, 2015), 12-054.</w:t>
      </w:r>
    </w:p>
  </w:footnote>
  <w:footnote w:id="102">
    <w:p w14:paraId="0E0A3C68" w14:textId="77777777" w:rsidR="00DB65D2" w:rsidRPr="00007AF3" w:rsidRDefault="00DB65D2" w:rsidP="00DB65D2">
      <w:pPr>
        <w:pStyle w:val="FootnoteText"/>
        <w:rPr>
          <w:rFonts w:asciiTheme="minorHAnsi" w:hAnsiTheme="minorHAnsi" w:cstheme="minorHAnsi"/>
        </w:rPr>
      </w:pPr>
      <w:r w:rsidRPr="00007AF3">
        <w:rPr>
          <w:rStyle w:val="FootnoteReference"/>
          <w:rFonts w:asciiTheme="minorHAnsi" w:hAnsiTheme="minorHAnsi" w:cstheme="minorHAnsi"/>
        </w:rPr>
        <w:footnoteRef/>
      </w:r>
      <w:r w:rsidRPr="00007AF3">
        <w:rPr>
          <w:rFonts w:asciiTheme="minorHAnsi" w:hAnsiTheme="minorHAnsi" w:cstheme="minorHAnsi"/>
        </w:rPr>
        <w:t xml:space="preserve"> Mental Capacity Act</w:t>
      </w:r>
      <w:r w:rsidRPr="00007AF3">
        <w:rPr>
          <w:rFonts w:asciiTheme="minorHAnsi" w:hAnsiTheme="minorHAnsi" w:cstheme="minorHAnsi"/>
          <w:i/>
          <w:iCs/>
        </w:rPr>
        <w:t xml:space="preserve"> </w:t>
      </w:r>
      <w:r w:rsidRPr="00007AF3">
        <w:rPr>
          <w:rFonts w:asciiTheme="minorHAnsi" w:hAnsiTheme="minorHAnsi" w:cstheme="minorHAnsi"/>
        </w:rPr>
        <w:t>2005, s 15.</w:t>
      </w:r>
    </w:p>
  </w:footnote>
  <w:footnote w:id="103">
    <w:p w14:paraId="39BC1243" w14:textId="77777777" w:rsidR="00DB65D2" w:rsidRPr="00007AF3" w:rsidRDefault="00DB65D2" w:rsidP="00DB65D2">
      <w:pPr>
        <w:pStyle w:val="FootnoteText"/>
        <w:rPr>
          <w:rFonts w:asciiTheme="minorHAnsi" w:hAnsiTheme="minorHAnsi" w:cstheme="minorHAnsi"/>
        </w:rPr>
      </w:pPr>
      <w:r w:rsidRPr="00007AF3">
        <w:rPr>
          <w:rStyle w:val="FootnoteReference"/>
          <w:rFonts w:asciiTheme="minorHAnsi" w:hAnsiTheme="minorHAnsi" w:cstheme="minorHAnsi"/>
        </w:rPr>
        <w:footnoteRef/>
      </w:r>
      <w:r w:rsidRPr="00007AF3">
        <w:rPr>
          <w:rFonts w:asciiTheme="minorHAnsi" w:hAnsiTheme="minorHAnsi" w:cstheme="minorHAnsi"/>
        </w:rPr>
        <w:t xml:space="preserve"> Ibid, s 7.</w:t>
      </w:r>
    </w:p>
  </w:footnote>
  <w:footnote w:id="104">
    <w:p w14:paraId="7F155BD1" w14:textId="77777777" w:rsidR="00DB65D2" w:rsidRPr="00787BC6" w:rsidRDefault="00DB65D2" w:rsidP="00DB65D2">
      <w:pPr>
        <w:pStyle w:val="FootnoteText"/>
      </w:pPr>
      <w:r w:rsidRPr="00787BC6">
        <w:rPr>
          <w:rStyle w:val="FootnoteReference"/>
        </w:rPr>
        <w:footnoteRef/>
      </w:r>
      <w:r w:rsidRPr="00787BC6">
        <w:t xml:space="preserve"> </w:t>
      </w:r>
      <w:bookmarkStart w:id="46" w:name="_Hlk18581809"/>
      <w:r w:rsidRPr="00787BC6">
        <w:rPr>
          <w:i/>
          <w:iCs/>
        </w:rPr>
        <w:t>Imperial Loan</w:t>
      </w:r>
      <w:r w:rsidRPr="00787BC6">
        <w:t>, above n 93</w:t>
      </w:r>
      <w:bookmarkEnd w:id="46"/>
      <w:r w:rsidRPr="00787BC6">
        <w:t>, 601.</w:t>
      </w:r>
    </w:p>
  </w:footnote>
  <w:footnote w:id="105">
    <w:p w14:paraId="71706C11" w14:textId="77777777" w:rsidR="00DB65D2" w:rsidRPr="007A57A2" w:rsidRDefault="00DB65D2" w:rsidP="00DB65D2">
      <w:pPr>
        <w:pStyle w:val="FootnoteText"/>
      </w:pPr>
      <w:r w:rsidRPr="007A57A2">
        <w:rPr>
          <w:rStyle w:val="FootnoteReference"/>
        </w:rPr>
        <w:footnoteRef/>
      </w:r>
      <w:r w:rsidRPr="007A57A2">
        <w:t xml:space="preserve"> </w:t>
      </w:r>
      <w:r w:rsidRPr="007A57A2">
        <w:rPr>
          <w:i/>
          <w:iCs/>
        </w:rPr>
        <w:t xml:space="preserve">Dunhill v Burgin </w:t>
      </w:r>
      <w:r w:rsidRPr="007A57A2">
        <w:t>[2014] UKSC 18, at [25].</w:t>
      </w:r>
    </w:p>
  </w:footnote>
  <w:footnote w:id="106">
    <w:p w14:paraId="00EEADDC" w14:textId="5F3C8F7F" w:rsidR="00DB65D2" w:rsidRPr="009D68AC" w:rsidRDefault="00DB65D2" w:rsidP="00DB65D2">
      <w:pPr>
        <w:pStyle w:val="FootnoteText"/>
      </w:pPr>
      <w:r w:rsidRPr="009D68AC">
        <w:rPr>
          <w:rStyle w:val="FootnoteReference"/>
        </w:rPr>
        <w:footnoteRef/>
      </w:r>
      <w:r w:rsidRPr="009D68AC">
        <w:t xml:space="preserve"> </w:t>
      </w:r>
      <w:r w:rsidR="009D68AC" w:rsidRPr="009D68AC">
        <w:t>Whittaker, above n 91</w:t>
      </w:r>
      <w:r w:rsidRPr="009D68AC">
        <w:t>, para 9-081.</w:t>
      </w:r>
    </w:p>
  </w:footnote>
  <w:footnote w:id="107">
    <w:p w14:paraId="5F9070C4" w14:textId="77777777" w:rsidR="00DB65D2" w:rsidRPr="0069701A" w:rsidRDefault="00DB65D2" w:rsidP="00DB65D2">
      <w:pPr>
        <w:pStyle w:val="FootnoteText"/>
      </w:pPr>
      <w:r w:rsidRPr="0069701A">
        <w:rPr>
          <w:rStyle w:val="FootnoteReference"/>
        </w:rPr>
        <w:footnoteRef/>
      </w:r>
      <w:r w:rsidRPr="0069701A">
        <w:t xml:space="preserve"> Varney, above n 20.</w:t>
      </w:r>
    </w:p>
  </w:footnote>
  <w:footnote w:id="108">
    <w:p w14:paraId="4342F09C" w14:textId="5AF76641" w:rsidR="00DB65D2" w:rsidRPr="0069701A" w:rsidRDefault="00DB65D2" w:rsidP="00DB65D2">
      <w:pPr>
        <w:pStyle w:val="FootnoteText"/>
        <w:rPr>
          <w:rFonts w:asciiTheme="minorHAnsi" w:hAnsiTheme="minorHAnsi" w:cstheme="minorHAnsi"/>
        </w:rPr>
      </w:pPr>
      <w:r w:rsidRPr="0069701A">
        <w:rPr>
          <w:rStyle w:val="FootnoteReference"/>
          <w:rFonts w:asciiTheme="minorHAnsi" w:hAnsiTheme="minorHAnsi" w:cstheme="minorHAnsi"/>
        </w:rPr>
        <w:footnoteRef/>
      </w:r>
      <w:r w:rsidRPr="0069701A">
        <w:rPr>
          <w:rFonts w:asciiTheme="minorHAnsi" w:hAnsiTheme="minorHAnsi" w:cstheme="minorHAnsi"/>
        </w:rPr>
        <w:t xml:space="preserve"> </w:t>
      </w:r>
      <w:bookmarkStart w:id="47" w:name="_Hlk14461881"/>
      <w:r w:rsidRPr="0069701A">
        <w:rPr>
          <w:rFonts w:asciiTheme="minorHAnsi" w:hAnsiTheme="minorHAnsi" w:cstheme="minorHAnsi"/>
          <w:i/>
          <w:iCs/>
        </w:rPr>
        <w:t xml:space="preserve">Boustany </w:t>
      </w:r>
      <w:bookmarkEnd w:id="47"/>
      <w:r w:rsidRPr="0069701A">
        <w:rPr>
          <w:rFonts w:asciiTheme="minorHAnsi" w:hAnsiTheme="minorHAnsi" w:cstheme="minorHAnsi"/>
          <w:i/>
          <w:iCs/>
        </w:rPr>
        <w:t>v Pigott</w:t>
      </w:r>
      <w:r w:rsidRPr="0069701A">
        <w:rPr>
          <w:rFonts w:asciiTheme="minorHAnsi" w:hAnsiTheme="minorHAnsi" w:cstheme="minorHAnsi"/>
        </w:rPr>
        <w:t xml:space="preserve"> (1995) 69 P &amp; CR 298. See </w:t>
      </w:r>
      <w:r w:rsidR="0069701A" w:rsidRPr="0069701A">
        <w:t>Beale, above n 98</w:t>
      </w:r>
      <w:r w:rsidRPr="0069701A">
        <w:rPr>
          <w:rFonts w:asciiTheme="minorHAnsi" w:hAnsiTheme="minorHAnsi" w:cstheme="minorHAnsi"/>
        </w:rPr>
        <w:t xml:space="preserve">, 8-134. </w:t>
      </w:r>
    </w:p>
  </w:footnote>
  <w:footnote w:id="109">
    <w:p w14:paraId="7A157B11" w14:textId="17E0C20B" w:rsidR="00DB65D2" w:rsidRPr="007D2067" w:rsidRDefault="00DB65D2" w:rsidP="00DB65D2">
      <w:pPr>
        <w:pStyle w:val="FootnoteText"/>
        <w:rPr>
          <w:rFonts w:asciiTheme="minorHAnsi" w:hAnsiTheme="minorHAnsi" w:cstheme="minorHAnsi"/>
          <w:highlight w:val="green"/>
        </w:rPr>
      </w:pPr>
      <w:r w:rsidRPr="0069701A">
        <w:rPr>
          <w:rStyle w:val="FootnoteReference"/>
          <w:rFonts w:asciiTheme="minorHAnsi" w:hAnsiTheme="minorHAnsi" w:cstheme="minorHAnsi"/>
        </w:rPr>
        <w:footnoteRef/>
      </w:r>
      <w:r w:rsidRPr="0069701A">
        <w:rPr>
          <w:rFonts w:asciiTheme="minorHAnsi" w:hAnsiTheme="minorHAnsi" w:cstheme="minorHAnsi"/>
        </w:rPr>
        <w:t xml:space="preserve"> </w:t>
      </w:r>
      <w:r w:rsidR="0069701A" w:rsidRPr="0069701A">
        <w:rPr>
          <w:i/>
          <w:iCs/>
        </w:rPr>
        <w:t>Etridge</w:t>
      </w:r>
      <w:r w:rsidR="0069701A" w:rsidRPr="0069701A">
        <w:t>, above n 97</w:t>
      </w:r>
      <w:r w:rsidR="0069701A" w:rsidRPr="0069701A">
        <w:rPr>
          <w:rFonts w:asciiTheme="minorHAnsi" w:hAnsiTheme="minorHAnsi" w:cstheme="minorHAnsi"/>
        </w:rPr>
        <w:t xml:space="preserve">, </w:t>
      </w:r>
      <w:r w:rsidRPr="0069701A">
        <w:rPr>
          <w:rFonts w:asciiTheme="minorHAnsi" w:hAnsiTheme="minorHAnsi" w:cstheme="minorHAnsi"/>
        </w:rPr>
        <w:t xml:space="preserve">[9]. See also </w:t>
      </w:r>
      <w:bookmarkStart w:id="48" w:name="_Hlk18659944"/>
      <w:r w:rsidRPr="0069701A">
        <w:rPr>
          <w:rFonts w:asciiTheme="minorHAnsi" w:hAnsiTheme="minorHAnsi" w:cstheme="minorHAnsi"/>
          <w:i/>
          <w:iCs/>
        </w:rPr>
        <w:t xml:space="preserve">Wright </w:t>
      </w:r>
      <w:bookmarkEnd w:id="48"/>
      <w:r w:rsidRPr="0069701A">
        <w:rPr>
          <w:rFonts w:asciiTheme="minorHAnsi" w:hAnsiTheme="minorHAnsi" w:cstheme="minorHAnsi"/>
          <w:i/>
          <w:iCs/>
        </w:rPr>
        <w:t>v Carter</w:t>
      </w:r>
      <w:r w:rsidRPr="0069701A">
        <w:rPr>
          <w:rFonts w:asciiTheme="minorHAnsi" w:hAnsiTheme="minorHAnsi" w:cstheme="minorHAnsi"/>
        </w:rPr>
        <w:t xml:space="preserve"> [1903] 1 Ch 27; </w:t>
      </w:r>
      <w:r w:rsidRPr="0069701A">
        <w:rPr>
          <w:rFonts w:asciiTheme="minorHAnsi" w:hAnsiTheme="minorHAnsi" w:cstheme="minorHAnsi"/>
          <w:i/>
          <w:iCs/>
        </w:rPr>
        <w:t xml:space="preserve">CIBC Mortgages v </w:t>
      </w:r>
      <w:bookmarkStart w:id="49" w:name="_Hlk18660149"/>
      <w:r w:rsidRPr="0069701A">
        <w:rPr>
          <w:rFonts w:asciiTheme="minorHAnsi" w:hAnsiTheme="minorHAnsi" w:cstheme="minorHAnsi"/>
          <w:i/>
          <w:iCs/>
        </w:rPr>
        <w:t>Pitt</w:t>
      </w:r>
      <w:r w:rsidRPr="0069701A">
        <w:rPr>
          <w:rFonts w:asciiTheme="minorHAnsi" w:hAnsiTheme="minorHAnsi" w:cstheme="minorHAnsi"/>
        </w:rPr>
        <w:t xml:space="preserve"> </w:t>
      </w:r>
      <w:bookmarkEnd w:id="49"/>
      <w:r w:rsidRPr="0069701A">
        <w:rPr>
          <w:rFonts w:asciiTheme="minorHAnsi" w:hAnsiTheme="minorHAnsi" w:cstheme="minorHAnsi"/>
        </w:rPr>
        <w:t xml:space="preserve">[1994] 1 AC 200; </w:t>
      </w:r>
      <w:r w:rsidRPr="00A507F2">
        <w:rPr>
          <w:rFonts w:asciiTheme="minorHAnsi" w:hAnsiTheme="minorHAnsi" w:cstheme="minorHAnsi"/>
        </w:rPr>
        <w:t xml:space="preserve">See </w:t>
      </w:r>
      <w:r w:rsidR="00A507F2" w:rsidRPr="00A507F2">
        <w:rPr>
          <w:szCs w:val="22"/>
        </w:rPr>
        <w:t xml:space="preserve">Jonathan </w:t>
      </w:r>
      <w:bookmarkStart w:id="50" w:name="_Hlk14252416"/>
      <w:r w:rsidR="00A507F2" w:rsidRPr="00A507F2">
        <w:rPr>
          <w:szCs w:val="22"/>
        </w:rPr>
        <w:t>Herring</w:t>
      </w:r>
      <w:bookmarkEnd w:id="50"/>
      <w:r w:rsidR="00A507F2" w:rsidRPr="00A507F2">
        <w:rPr>
          <w:szCs w:val="22"/>
        </w:rPr>
        <w:t xml:space="preserve">, </w:t>
      </w:r>
      <w:r w:rsidR="00A507F2" w:rsidRPr="00A507F2">
        <w:rPr>
          <w:i/>
          <w:iCs/>
          <w:szCs w:val="22"/>
        </w:rPr>
        <w:t>Vulnerable Adults and the Law</w:t>
      </w:r>
      <w:r w:rsidR="00A507F2" w:rsidRPr="00A507F2">
        <w:rPr>
          <w:szCs w:val="22"/>
        </w:rPr>
        <w:t xml:space="preserve"> (Oxford: Oxford University Press, 2016)</w:t>
      </w:r>
      <w:r w:rsidRPr="00A507F2">
        <w:rPr>
          <w:rFonts w:asciiTheme="minorHAnsi" w:hAnsiTheme="minorHAnsi" w:cstheme="minorHAnsi"/>
        </w:rPr>
        <w:t>, 243</w:t>
      </w:r>
      <w:r w:rsidR="00A507F2">
        <w:rPr>
          <w:rFonts w:asciiTheme="minorHAnsi" w:hAnsiTheme="minorHAnsi" w:cstheme="minorHAnsi"/>
        </w:rPr>
        <w:t>.</w:t>
      </w:r>
    </w:p>
  </w:footnote>
  <w:footnote w:id="110">
    <w:p w14:paraId="251F38AF" w14:textId="139C45F5" w:rsidR="00DB65D2" w:rsidRPr="009247B6" w:rsidRDefault="00DB65D2" w:rsidP="00DB65D2">
      <w:pPr>
        <w:pStyle w:val="FootnoteText"/>
        <w:rPr>
          <w:rFonts w:asciiTheme="minorHAnsi" w:hAnsiTheme="minorHAnsi" w:cstheme="minorHAnsi"/>
        </w:rPr>
      </w:pPr>
      <w:r w:rsidRPr="009247B6">
        <w:rPr>
          <w:rStyle w:val="FootnoteReference"/>
          <w:rFonts w:asciiTheme="minorHAnsi" w:hAnsiTheme="minorHAnsi" w:cstheme="minorHAnsi"/>
        </w:rPr>
        <w:footnoteRef/>
      </w:r>
      <w:r w:rsidRPr="009247B6">
        <w:rPr>
          <w:rFonts w:asciiTheme="minorHAnsi" w:hAnsiTheme="minorHAnsi" w:cstheme="minorHAnsi"/>
        </w:rPr>
        <w:t xml:space="preserve"> </w:t>
      </w:r>
      <w:r w:rsidR="0069701A" w:rsidRPr="009247B6">
        <w:rPr>
          <w:i/>
          <w:iCs/>
        </w:rPr>
        <w:t>Etridge</w:t>
      </w:r>
      <w:r w:rsidR="0069701A" w:rsidRPr="009247B6">
        <w:t>, above n 97</w:t>
      </w:r>
      <w:r w:rsidRPr="009247B6">
        <w:rPr>
          <w:rFonts w:asciiTheme="minorHAnsi" w:hAnsiTheme="minorHAnsi" w:cstheme="minorHAnsi"/>
        </w:rPr>
        <w:t xml:space="preserve">, [6-8]; </w:t>
      </w:r>
      <w:bookmarkStart w:id="51" w:name="_Hlk18660550"/>
      <w:r w:rsidRPr="009247B6">
        <w:rPr>
          <w:rFonts w:asciiTheme="minorHAnsi" w:hAnsiTheme="minorHAnsi" w:cstheme="minorHAnsi"/>
          <w:i/>
          <w:iCs/>
        </w:rPr>
        <w:t xml:space="preserve">Hammond </w:t>
      </w:r>
      <w:bookmarkEnd w:id="51"/>
      <w:r w:rsidRPr="009247B6">
        <w:rPr>
          <w:rFonts w:asciiTheme="minorHAnsi" w:hAnsiTheme="minorHAnsi" w:cstheme="minorHAnsi"/>
          <w:i/>
          <w:iCs/>
        </w:rPr>
        <w:t xml:space="preserve">v Osborn </w:t>
      </w:r>
      <w:r w:rsidRPr="009247B6">
        <w:rPr>
          <w:rFonts w:asciiTheme="minorHAnsi" w:hAnsiTheme="minorHAnsi" w:cstheme="minorHAnsi"/>
        </w:rPr>
        <w:t>[2002] EWCA Civ 885</w:t>
      </w:r>
      <w:r w:rsidRPr="009247B6">
        <w:rPr>
          <w:rFonts w:asciiTheme="minorHAnsi" w:hAnsiTheme="minorHAnsi" w:cstheme="minorHAnsi"/>
          <w:i/>
          <w:iCs/>
        </w:rPr>
        <w:t xml:space="preserve">. </w:t>
      </w:r>
      <w:r w:rsidRPr="009247B6">
        <w:rPr>
          <w:rFonts w:asciiTheme="minorHAnsi" w:hAnsiTheme="minorHAnsi" w:cstheme="minorHAnsi"/>
        </w:rPr>
        <w:t xml:space="preserve">See </w:t>
      </w:r>
      <w:r w:rsidR="00A507F2" w:rsidRPr="009247B6">
        <w:rPr>
          <w:rFonts w:cstheme="minorHAnsi"/>
        </w:rPr>
        <w:t xml:space="preserve">Herring, above n 108, </w:t>
      </w:r>
      <w:r w:rsidRPr="009247B6">
        <w:rPr>
          <w:rFonts w:asciiTheme="minorHAnsi" w:hAnsiTheme="minorHAnsi" w:cstheme="minorHAnsi"/>
        </w:rPr>
        <w:t>244-245</w:t>
      </w:r>
      <w:r w:rsidR="009247B6">
        <w:rPr>
          <w:rFonts w:asciiTheme="minorHAnsi" w:hAnsiTheme="minorHAnsi" w:cstheme="minorHAnsi"/>
        </w:rPr>
        <w:t>.</w:t>
      </w:r>
    </w:p>
  </w:footnote>
  <w:footnote w:id="111">
    <w:p w14:paraId="39CE4EA4" w14:textId="53D6AF79" w:rsidR="00DB65D2" w:rsidRPr="003F0D34" w:rsidRDefault="00DB65D2" w:rsidP="00DB65D2">
      <w:pPr>
        <w:pStyle w:val="FootnoteText"/>
        <w:rPr>
          <w:rFonts w:asciiTheme="minorHAnsi" w:hAnsiTheme="minorHAnsi" w:cstheme="minorHAnsi"/>
        </w:rPr>
      </w:pPr>
      <w:r w:rsidRPr="003F0D34">
        <w:rPr>
          <w:rStyle w:val="FootnoteReference"/>
          <w:rFonts w:asciiTheme="minorHAnsi" w:hAnsiTheme="minorHAnsi" w:cstheme="minorHAnsi"/>
        </w:rPr>
        <w:footnoteRef/>
      </w:r>
      <w:r w:rsidRPr="003F0D34">
        <w:rPr>
          <w:rFonts w:asciiTheme="minorHAnsi" w:hAnsiTheme="minorHAnsi" w:cstheme="minorHAnsi"/>
        </w:rPr>
        <w:t xml:space="preserve"> </w:t>
      </w:r>
      <w:r w:rsidR="0069701A" w:rsidRPr="003F0D34">
        <w:rPr>
          <w:rFonts w:cstheme="minorHAnsi"/>
          <w:i/>
          <w:iCs/>
        </w:rPr>
        <w:t>Boustany</w:t>
      </w:r>
      <w:r w:rsidR="0069701A" w:rsidRPr="003F0D34">
        <w:rPr>
          <w:rFonts w:cstheme="minorHAnsi"/>
        </w:rPr>
        <w:t>, above n 107</w:t>
      </w:r>
      <w:r w:rsidRPr="003F0D34">
        <w:rPr>
          <w:rFonts w:asciiTheme="minorHAnsi" w:hAnsiTheme="minorHAnsi" w:cstheme="minorHAnsi"/>
        </w:rPr>
        <w:t xml:space="preserve">; </w:t>
      </w:r>
      <w:bookmarkStart w:id="52" w:name="_Hlk18662307"/>
      <w:r w:rsidRPr="003F0D34">
        <w:rPr>
          <w:rFonts w:asciiTheme="minorHAnsi" w:hAnsiTheme="minorHAnsi" w:cstheme="minorHAnsi"/>
          <w:i/>
          <w:iCs/>
        </w:rPr>
        <w:t xml:space="preserve">Fineland </w:t>
      </w:r>
      <w:bookmarkEnd w:id="52"/>
      <w:r w:rsidRPr="003F0D34">
        <w:rPr>
          <w:rFonts w:asciiTheme="minorHAnsi" w:hAnsiTheme="minorHAnsi" w:cstheme="minorHAnsi"/>
          <w:i/>
          <w:iCs/>
        </w:rPr>
        <w:t xml:space="preserve">Investments v Pritchard </w:t>
      </w:r>
      <w:r w:rsidRPr="003F0D34">
        <w:rPr>
          <w:rFonts w:asciiTheme="minorHAnsi" w:hAnsiTheme="minorHAnsi" w:cstheme="minorHAnsi"/>
        </w:rPr>
        <w:t xml:space="preserve">[2011] EWHC 113. See </w:t>
      </w:r>
      <w:r w:rsidR="00A507F2" w:rsidRPr="003F0D34">
        <w:rPr>
          <w:rFonts w:cstheme="minorHAnsi"/>
        </w:rPr>
        <w:t>Spark, above n 83</w:t>
      </w:r>
      <w:r w:rsidRPr="003F0D34">
        <w:rPr>
          <w:rFonts w:asciiTheme="minorHAnsi" w:hAnsiTheme="minorHAnsi" w:cstheme="minorHAnsi"/>
        </w:rPr>
        <w:t xml:space="preserve">, 286; Andrew </w:t>
      </w:r>
      <w:bookmarkStart w:id="53" w:name="_Hlk14412653"/>
      <w:r w:rsidRPr="003F0D34">
        <w:rPr>
          <w:rFonts w:asciiTheme="minorHAnsi" w:hAnsiTheme="minorHAnsi" w:cstheme="minorHAnsi"/>
        </w:rPr>
        <w:t>Burrows</w:t>
      </w:r>
      <w:bookmarkEnd w:id="53"/>
      <w:r w:rsidRPr="003F0D34">
        <w:rPr>
          <w:rFonts w:asciiTheme="minorHAnsi" w:hAnsiTheme="minorHAnsi" w:cstheme="minorHAnsi"/>
        </w:rPr>
        <w:t xml:space="preserve">, </w:t>
      </w:r>
      <w:r w:rsidRPr="003F0D34">
        <w:rPr>
          <w:rFonts w:asciiTheme="minorHAnsi" w:hAnsiTheme="minorHAnsi" w:cstheme="minorHAnsi"/>
          <w:i/>
          <w:iCs/>
        </w:rPr>
        <w:t>A Restatement of the English Law of Contract</w:t>
      </w:r>
      <w:r w:rsidRPr="003F0D34">
        <w:rPr>
          <w:rFonts w:asciiTheme="minorHAnsi" w:hAnsiTheme="minorHAnsi" w:cstheme="minorHAnsi"/>
        </w:rPr>
        <w:t xml:space="preserve"> (Oxford: Oxford University Press, 2</w:t>
      </w:r>
      <w:r w:rsidRPr="003F0D34">
        <w:rPr>
          <w:rFonts w:asciiTheme="minorHAnsi" w:hAnsiTheme="minorHAnsi" w:cstheme="minorHAnsi"/>
          <w:vertAlign w:val="superscript"/>
        </w:rPr>
        <w:t>nd</w:t>
      </w:r>
      <w:r w:rsidRPr="003F0D34">
        <w:rPr>
          <w:rFonts w:asciiTheme="minorHAnsi" w:hAnsiTheme="minorHAnsi" w:cstheme="minorHAnsi"/>
        </w:rPr>
        <w:t xml:space="preserve"> ed, 2016), 41.</w:t>
      </w:r>
    </w:p>
  </w:footnote>
  <w:footnote w:id="112">
    <w:p w14:paraId="3AABC4D7" w14:textId="499F9CF8" w:rsidR="00DB65D2" w:rsidRPr="00A507F2" w:rsidRDefault="00DB65D2" w:rsidP="00DB65D2">
      <w:pPr>
        <w:pStyle w:val="FootnoteText"/>
        <w:rPr>
          <w:rFonts w:asciiTheme="minorHAnsi" w:hAnsiTheme="minorHAnsi" w:cstheme="minorHAnsi"/>
        </w:rPr>
      </w:pPr>
      <w:r w:rsidRPr="00A507F2">
        <w:rPr>
          <w:rStyle w:val="FootnoteReference"/>
          <w:rFonts w:asciiTheme="minorHAnsi" w:hAnsiTheme="minorHAnsi" w:cstheme="minorHAnsi"/>
        </w:rPr>
        <w:footnoteRef/>
      </w:r>
      <w:r w:rsidRPr="00A507F2">
        <w:rPr>
          <w:rFonts w:asciiTheme="minorHAnsi" w:hAnsiTheme="minorHAnsi" w:cstheme="minorHAnsi"/>
        </w:rPr>
        <w:t xml:space="preserve"> </w:t>
      </w:r>
      <w:r w:rsidR="00A507F2" w:rsidRPr="00A507F2">
        <w:rPr>
          <w:rFonts w:cstheme="minorHAnsi"/>
        </w:rPr>
        <w:t>Herring, above n 108</w:t>
      </w:r>
      <w:r w:rsidRPr="00A507F2">
        <w:rPr>
          <w:rFonts w:asciiTheme="minorHAnsi" w:hAnsiTheme="minorHAnsi" w:cstheme="minorHAnsi"/>
        </w:rPr>
        <w:t>, 251.</w:t>
      </w:r>
    </w:p>
  </w:footnote>
  <w:footnote w:id="113">
    <w:p w14:paraId="6AAB4F15" w14:textId="1161DE01" w:rsidR="00DB65D2" w:rsidRPr="003F0D34" w:rsidRDefault="00DB65D2" w:rsidP="00DB65D2">
      <w:pPr>
        <w:pStyle w:val="FootnoteText"/>
        <w:rPr>
          <w:rFonts w:asciiTheme="minorHAnsi" w:hAnsiTheme="minorHAnsi" w:cstheme="minorHAnsi"/>
        </w:rPr>
      </w:pPr>
      <w:r w:rsidRPr="003F0D34">
        <w:rPr>
          <w:rStyle w:val="FootnoteReference"/>
          <w:rFonts w:asciiTheme="minorHAnsi" w:hAnsiTheme="minorHAnsi" w:cstheme="minorHAnsi"/>
        </w:rPr>
        <w:footnoteRef/>
      </w:r>
      <w:r w:rsidRPr="003F0D34">
        <w:rPr>
          <w:rFonts w:asciiTheme="minorHAnsi" w:hAnsiTheme="minorHAnsi" w:cstheme="minorHAnsi"/>
        </w:rPr>
        <w:t xml:space="preserve"> </w:t>
      </w:r>
      <w:bookmarkStart w:id="54" w:name="_Hlk18659780"/>
      <w:r w:rsidR="003F0D34" w:rsidRPr="003F0D34">
        <w:t>Beale, above n 98</w:t>
      </w:r>
      <w:bookmarkEnd w:id="54"/>
      <w:r w:rsidRPr="003F0D34">
        <w:rPr>
          <w:rFonts w:asciiTheme="minorHAnsi" w:hAnsiTheme="minorHAnsi" w:cstheme="minorHAnsi"/>
        </w:rPr>
        <w:t>, 8-059.</w:t>
      </w:r>
    </w:p>
  </w:footnote>
  <w:footnote w:id="114">
    <w:p w14:paraId="4905D6CF" w14:textId="62848495" w:rsidR="00DB65D2" w:rsidRPr="00D069FB" w:rsidRDefault="00DB65D2" w:rsidP="00DB65D2">
      <w:pPr>
        <w:pStyle w:val="FootnoteText"/>
        <w:rPr>
          <w:rFonts w:asciiTheme="minorHAnsi" w:hAnsiTheme="minorHAnsi" w:cstheme="minorHAnsi"/>
        </w:rPr>
      </w:pPr>
      <w:r w:rsidRPr="00D069FB">
        <w:rPr>
          <w:rStyle w:val="FootnoteReference"/>
          <w:rFonts w:asciiTheme="minorHAnsi" w:hAnsiTheme="minorHAnsi" w:cstheme="minorHAnsi"/>
        </w:rPr>
        <w:footnoteRef/>
      </w:r>
      <w:r w:rsidRPr="00D069FB">
        <w:rPr>
          <w:rFonts w:asciiTheme="minorHAnsi" w:hAnsiTheme="minorHAnsi" w:cstheme="minorHAnsi"/>
        </w:rPr>
        <w:t xml:space="preserve"> </w:t>
      </w:r>
      <w:bookmarkStart w:id="55" w:name="_Hlk18662468"/>
      <w:r w:rsidRPr="00D069FB">
        <w:rPr>
          <w:rFonts w:asciiTheme="minorHAnsi" w:hAnsiTheme="minorHAnsi" w:cstheme="minorHAnsi"/>
          <w:i/>
          <w:iCs/>
        </w:rPr>
        <w:t xml:space="preserve">Inche Noriah </w:t>
      </w:r>
      <w:bookmarkEnd w:id="55"/>
      <w:r w:rsidRPr="00D069FB">
        <w:rPr>
          <w:rFonts w:asciiTheme="minorHAnsi" w:hAnsiTheme="minorHAnsi" w:cstheme="minorHAnsi"/>
          <w:i/>
          <w:iCs/>
        </w:rPr>
        <w:t xml:space="preserve">v Shaik Allie bin Omar </w:t>
      </w:r>
      <w:r w:rsidRPr="00D069FB">
        <w:rPr>
          <w:rFonts w:asciiTheme="minorHAnsi" w:hAnsiTheme="minorHAnsi" w:cstheme="minorHAnsi"/>
        </w:rPr>
        <w:t xml:space="preserve">[1929] AC 127, 135; See </w:t>
      </w:r>
      <w:r w:rsidR="00D069FB" w:rsidRPr="00D069FB">
        <w:t>Beale, above n 98</w:t>
      </w:r>
      <w:r w:rsidRPr="00D069FB">
        <w:rPr>
          <w:rFonts w:asciiTheme="minorHAnsi" w:hAnsiTheme="minorHAnsi" w:cstheme="minorHAnsi"/>
        </w:rPr>
        <w:t xml:space="preserve">, 8-099; Marcus </w:t>
      </w:r>
      <w:bookmarkStart w:id="56" w:name="_Hlk14461688"/>
      <w:r w:rsidRPr="00D069FB">
        <w:rPr>
          <w:rFonts w:asciiTheme="minorHAnsi" w:hAnsiTheme="minorHAnsi" w:cstheme="minorHAnsi"/>
        </w:rPr>
        <w:t>Moore</w:t>
      </w:r>
      <w:bookmarkEnd w:id="56"/>
      <w:r w:rsidRPr="00D069FB">
        <w:rPr>
          <w:rFonts w:asciiTheme="minorHAnsi" w:hAnsiTheme="minorHAnsi" w:cstheme="minorHAnsi"/>
        </w:rPr>
        <w:t xml:space="preserve">, ‘Why does Lord Denning's Lead Balloon intrigue us still? The Prospects of finding a Unifying Principle for Duress, Undue Influence and Unconscionability’, (2018) 134(Apr) </w:t>
      </w:r>
      <w:r w:rsidRPr="00D069FB">
        <w:rPr>
          <w:rFonts w:asciiTheme="minorHAnsi" w:hAnsiTheme="minorHAnsi" w:cstheme="minorHAnsi"/>
          <w:i/>
          <w:iCs/>
        </w:rPr>
        <w:t xml:space="preserve">Law Quarterly Review </w:t>
      </w:r>
      <w:r w:rsidRPr="00D069FB">
        <w:rPr>
          <w:rFonts w:asciiTheme="minorHAnsi" w:hAnsiTheme="minorHAnsi" w:cstheme="minorHAnsi"/>
        </w:rPr>
        <w:t>257, 273.</w:t>
      </w:r>
    </w:p>
  </w:footnote>
  <w:footnote w:id="115">
    <w:p w14:paraId="000E988C" w14:textId="26AC2DBA" w:rsidR="00DB65D2" w:rsidRPr="005F4C08" w:rsidRDefault="00DB65D2" w:rsidP="00DB65D2">
      <w:pPr>
        <w:pStyle w:val="FootnoteText"/>
        <w:rPr>
          <w:rFonts w:asciiTheme="minorHAnsi" w:hAnsiTheme="minorHAnsi" w:cstheme="minorHAnsi"/>
        </w:rPr>
      </w:pPr>
      <w:r w:rsidRPr="005F4C08">
        <w:rPr>
          <w:rStyle w:val="FootnoteReference"/>
          <w:rFonts w:asciiTheme="minorHAnsi" w:hAnsiTheme="minorHAnsi" w:cstheme="minorHAnsi"/>
        </w:rPr>
        <w:footnoteRef/>
      </w:r>
      <w:r w:rsidRPr="005F4C08">
        <w:rPr>
          <w:rFonts w:asciiTheme="minorHAnsi" w:hAnsiTheme="minorHAnsi" w:cstheme="minorHAnsi"/>
        </w:rPr>
        <w:t xml:space="preserve"> </w:t>
      </w:r>
      <w:r w:rsidR="0069701A" w:rsidRPr="005F4C08">
        <w:rPr>
          <w:i/>
          <w:iCs/>
        </w:rPr>
        <w:t>Etridge</w:t>
      </w:r>
      <w:r w:rsidR="0069701A" w:rsidRPr="005F4C08">
        <w:t>, above n 97</w:t>
      </w:r>
      <w:r w:rsidRPr="005F4C08">
        <w:rPr>
          <w:rFonts w:asciiTheme="minorHAnsi" w:hAnsiTheme="minorHAnsi" w:cstheme="minorHAnsi"/>
          <w:i/>
          <w:iCs/>
        </w:rPr>
        <w:t xml:space="preserve">, </w:t>
      </w:r>
      <w:r w:rsidRPr="005F4C08">
        <w:rPr>
          <w:rFonts w:asciiTheme="minorHAnsi" w:hAnsiTheme="minorHAnsi" w:cstheme="minorHAnsi"/>
        </w:rPr>
        <w:t xml:space="preserve">[20]; </w:t>
      </w:r>
      <w:bookmarkStart w:id="57" w:name="_Hlk18662640"/>
      <w:r w:rsidRPr="005F4C08">
        <w:rPr>
          <w:rFonts w:asciiTheme="minorHAnsi" w:hAnsiTheme="minorHAnsi" w:cstheme="minorHAnsi"/>
          <w:i/>
          <w:iCs/>
        </w:rPr>
        <w:t xml:space="preserve">Morley </w:t>
      </w:r>
      <w:bookmarkEnd w:id="57"/>
      <w:r w:rsidRPr="005F4C08">
        <w:rPr>
          <w:rFonts w:asciiTheme="minorHAnsi" w:hAnsiTheme="minorHAnsi" w:cstheme="minorHAnsi"/>
          <w:i/>
          <w:iCs/>
        </w:rPr>
        <w:t>v Loughnan</w:t>
      </w:r>
      <w:r w:rsidRPr="005F4C08">
        <w:rPr>
          <w:rFonts w:asciiTheme="minorHAnsi" w:hAnsiTheme="minorHAnsi" w:cstheme="minorHAnsi"/>
        </w:rPr>
        <w:t xml:space="preserve"> [1893] 1 Ch. 736, 752; See </w:t>
      </w:r>
      <w:r w:rsidR="00D069FB" w:rsidRPr="005F4C08">
        <w:t>Beale, above n 98</w:t>
      </w:r>
      <w:r w:rsidRPr="005F4C08">
        <w:rPr>
          <w:rFonts w:asciiTheme="minorHAnsi" w:hAnsiTheme="minorHAnsi" w:cstheme="minorHAnsi"/>
        </w:rPr>
        <w:t xml:space="preserve">, 8-099; </w:t>
      </w:r>
      <w:r w:rsidR="005F4C08" w:rsidRPr="005F4C08">
        <w:rPr>
          <w:rFonts w:asciiTheme="minorHAnsi" w:hAnsiTheme="minorHAnsi" w:cstheme="minorHAnsi"/>
        </w:rPr>
        <w:t xml:space="preserve">Mindy Chen-Wishart, ‘Undue Influence: Beyond Impaired Consent and Wrongdoing towards a Relational Analysis’ in A Burrows and Lord Rodger of Earlsferry (ed) </w:t>
      </w:r>
      <w:r w:rsidR="005F4C08" w:rsidRPr="005F4C08">
        <w:rPr>
          <w:rFonts w:asciiTheme="minorHAnsi" w:hAnsiTheme="minorHAnsi" w:cstheme="minorHAnsi"/>
          <w:i/>
          <w:iCs/>
        </w:rPr>
        <w:t>Mapping the Law: Essays in Memory of Peter Birks</w:t>
      </w:r>
      <w:r w:rsidR="005F4C08" w:rsidRPr="005F4C08">
        <w:rPr>
          <w:rFonts w:asciiTheme="minorHAnsi" w:hAnsiTheme="minorHAnsi" w:cstheme="minorHAnsi"/>
        </w:rPr>
        <w:t xml:space="preserve"> (Oxford: Oxford University Press, 2006)</w:t>
      </w:r>
      <w:r w:rsidRPr="005F4C08">
        <w:rPr>
          <w:rFonts w:asciiTheme="minorHAnsi" w:hAnsiTheme="minorHAnsi" w:cstheme="minorHAnsi"/>
        </w:rPr>
        <w:t xml:space="preserve">, 221; Peter Millett, ‘Equity's Place in the Law of Commerce’, (1998) 114 </w:t>
      </w:r>
      <w:r w:rsidRPr="005F4C08">
        <w:rPr>
          <w:rFonts w:asciiTheme="minorHAnsi" w:hAnsiTheme="minorHAnsi" w:cstheme="minorHAnsi"/>
          <w:i/>
          <w:iCs/>
        </w:rPr>
        <w:t>Law Quarterly Review</w:t>
      </w:r>
      <w:r w:rsidRPr="005F4C08">
        <w:rPr>
          <w:rFonts w:asciiTheme="minorHAnsi" w:hAnsiTheme="minorHAnsi" w:cstheme="minorHAnsi"/>
        </w:rPr>
        <w:t xml:space="preserve"> 214, 220.</w:t>
      </w:r>
    </w:p>
  </w:footnote>
  <w:footnote w:id="116">
    <w:p w14:paraId="4AFEE210" w14:textId="77777777" w:rsidR="00DB65D2" w:rsidRPr="005F4C08" w:rsidRDefault="00DB65D2" w:rsidP="00DB65D2">
      <w:pPr>
        <w:pStyle w:val="FootnoteText"/>
      </w:pPr>
      <w:r w:rsidRPr="005F4C08">
        <w:rPr>
          <w:rStyle w:val="FootnoteReference"/>
        </w:rPr>
        <w:footnoteRef/>
      </w:r>
      <w:r w:rsidRPr="005F4C08">
        <w:t xml:space="preserve"> Adams and Brownsword, above n 58, 192.</w:t>
      </w:r>
    </w:p>
  </w:footnote>
  <w:footnote w:id="117">
    <w:p w14:paraId="2F336A4A" w14:textId="5CBF6706" w:rsidR="00DB65D2" w:rsidRPr="005F4C08" w:rsidRDefault="00DB65D2" w:rsidP="00DB65D2">
      <w:pPr>
        <w:pStyle w:val="FootnoteText"/>
        <w:rPr>
          <w:rFonts w:asciiTheme="minorHAnsi" w:hAnsiTheme="minorHAnsi" w:cstheme="minorHAnsi"/>
        </w:rPr>
      </w:pPr>
      <w:r w:rsidRPr="005F4C08">
        <w:rPr>
          <w:rStyle w:val="FootnoteReference"/>
          <w:rFonts w:asciiTheme="minorHAnsi" w:hAnsiTheme="minorHAnsi" w:cstheme="minorHAnsi"/>
        </w:rPr>
        <w:footnoteRef/>
      </w:r>
      <w:r w:rsidRPr="005F4C08">
        <w:rPr>
          <w:rFonts w:asciiTheme="minorHAnsi" w:hAnsiTheme="minorHAnsi" w:cstheme="minorHAnsi"/>
        </w:rPr>
        <w:t xml:space="preserve"> </w:t>
      </w:r>
      <w:r w:rsidR="00A507F2" w:rsidRPr="005F4C08">
        <w:rPr>
          <w:rFonts w:cstheme="minorHAnsi"/>
        </w:rPr>
        <w:t>Herring, above n 108</w:t>
      </w:r>
      <w:r w:rsidRPr="005F4C08">
        <w:rPr>
          <w:rFonts w:asciiTheme="minorHAnsi" w:hAnsiTheme="minorHAnsi" w:cstheme="minorHAnsi"/>
        </w:rPr>
        <w:t>, 249.</w:t>
      </w:r>
    </w:p>
  </w:footnote>
  <w:footnote w:id="118">
    <w:p w14:paraId="62815E44" w14:textId="4464EEF3" w:rsidR="00DB65D2" w:rsidRPr="005F4C08" w:rsidRDefault="00DB65D2" w:rsidP="00DB65D2">
      <w:pPr>
        <w:pStyle w:val="FootnoteText"/>
        <w:rPr>
          <w:rFonts w:asciiTheme="minorHAnsi" w:hAnsiTheme="minorHAnsi" w:cstheme="minorHAnsi"/>
        </w:rPr>
      </w:pPr>
      <w:r w:rsidRPr="005F4C08">
        <w:rPr>
          <w:rStyle w:val="FootnoteReference"/>
          <w:rFonts w:asciiTheme="minorHAnsi" w:hAnsiTheme="minorHAnsi" w:cstheme="minorHAnsi"/>
        </w:rPr>
        <w:footnoteRef/>
      </w:r>
      <w:r w:rsidRPr="005F4C08">
        <w:rPr>
          <w:rFonts w:asciiTheme="minorHAnsi" w:hAnsiTheme="minorHAnsi" w:cstheme="minorHAnsi"/>
        </w:rPr>
        <w:t xml:space="preserve"> </w:t>
      </w:r>
      <w:r w:rsidR="005F4C08" w:rsidRPr="005F4C08">
        <w:t>Adams and Brownsword, above n 58</w:t>
      </w:r>
      <w:r w:rsidRPr="005F4C08">
        <w:rPr>
          <w:rFonts w:asciiTheme="minorHAnsi" w:hAnsiTheme="minorHAnsi" w:cstheme="minorHAnsi"/>
        </w:rPr>
        <w:t>, 189.</w:t>
      </w:r>
    </w:p>
  </w:footnote>
  <w:footnote w:id="119">
    <w:p w14:paraId="5B1A48FA" w14:textId="5531F4DB" w:rsidR="00DB65D2" w:rsidRPr="005F4C08" w:rsidRDefault="00DB65D2" w:rsidP="00DB65D2">
      <w:pPr>
        <w:pStyle w:val="FootnoteText"/>
      </w:pPr>
      <w:r w:rsidRPr="005F4C08">
        <w:rPr>
          <w:rStyle w:val="FootnoteReference"/>
        </w:rPr>
        <w:footnoteRef/>
      </w:r>
      <w:r w:rsidRPr="005F4C08">
        <w:t xml:space="preserve"> </w:t>
      </w:r>
      <w:r w:rsidR="005F4C08" w:rsidRPr="005F4C08">
        <w:t>Trebilcock and Elliott, above n 64</w:t>
      </w:r>
      <w:r w:rsidRPr="005F4C08">
        <w:rPr>
          <w:szCs w:val="22"/>
        </w:rPr>
        <w:t>, 79.</w:t>
      </w:r>
    </w:p>
  </w:footnote>
  <w:footnote w:id="120">
    <w:p w14:paraId="1A6E79DC" w14:textId="15FB1773" w:rsidR="00DB65D2" w:rsidRPr="005F4C08" w:rsidRDefault="00DB65D2" w:rsidP="00DB65D2">
      <w:pPr>
        <w:pStyle w:val="FootnoteText"/>
        <w:rPr>
          <w:rFonts w:asciiTheme="minorHAnsi" w:hAnsiTheme="minorHAnsi" w:cstheme="minorHAnsi"/>
        </w:rPr>
      </w:pPr>
      <w:r w:rsidRPr="005F4C08">
        <w:rPr>
          <w:rStyle w:val="FootnoteReference"/>
          <w:rFonts w:asciiTheme="minorHAnsi" w:hAnsiTheme="minorHAnsi" w:cstheme="minorHAnsi"/>
        </w:rPr>
        <w:footnoteRef/>
      </w:r>
      <w:r w:rsidRPr="005F4C08">
        <w:rPr>
          <w:rFonts w:asciiTheme="minorHAnsi" w:hAnsiTheme="minorHAnsi" w:cstheme="minorHAnsi"/>
        </w:rPr>
        <w:t xml:space="preserve"> </w:t>
      </w:r>
      <w:r w:rsidR="005F4C08" w:rsidRPr="005F4C08">
        <w:t>Adams and Brownsword, above n 58</w:t>
      </w:r>
      <w:r w:rsidRPr="005F4C08">
        <w:rPr>
          <w:rFonts w:asciiTheme="minorHAnsi" w:hAnsiTheme="minorHAnsi" w:cstheme="minorHAnsi"/>
        </w:rPr>
        <w:t>, 194.</w:t>
      </w:r>
    </w:p>
  </w:footnote>
  <w:footnote w:id="121">
    <w:p w14:paraId="1B45BB00" w14:textId="6FF8B048" w:rsidR="00DB65D2" w:rsidRPr="005F4C08" w:rsidRDefault="00DB65D2" w:rsidP="00DB65D2">
      <w:pPr>
        <w:pStyle w:val="FootnoteText"/>
        <w:rPr>
          <w:rFonts w:asciiTheme="minorHAnsi" w:hAnsiTheme="minorHAnsi" w:cstheme="minorHAnsi"/>
        </w:rPr>
      </w:pPr>
      <w:r w:rsidRPr="005F4C08">
        <w:rPr>
          <w:rStyle w:val="FootnoteReference"/>
          <w:rFonts w:asciiTheme="minorHAnsi" w:hAnsiTheme="minorHAnsi" w:cstheme="minorHAnsi"/>
        </w:rPr>
        <w:footnoteRef/>
      </w:r>
      <w:r w:rsidRPr="005F4C08">
        <w:rPr>
          <w:rFonts w:asciiTheme="minorHAnsi" w:hAnsiTheme="minorHAnsi" w:cstheme="minorHAnsi"/>
        </w:rPr>
        <w:t xml:space="preserve"> </w:t>
      </w:r>
      <w:r w:rsidR="005F4C08" w:rsidRPr="005F4C08">
        <w:rPr>
          <w:rFonts w:asciiTheme="minorHAnsi" w:hAnsiTheme="minorHAnsi" w:cstheme="minorHAnsi"/>
        </w:rPr>
        <w:t xml:space="preserve">Peter </w:t>
      </w:r>
      <w:bookmarkStart w:id="58" w:name="_Hlk18662983"/>
      <w:r w:rsidR="005F4C08" w:rsidRPr="005F4C08">
        <w:rPr>
          <w:rFonts w:asciiTheme="minorHAnsi" w:hAnsiTheme="minorHAnsi" w:cstheme="minorHAnsi"/>
        </w:rPr>
        <w:t>Watts</w:t>
      </w:r>
      <w:bookmarkEnd w:id="58"/>
      <w:r w:rsidR="005F4C08" w:rsidRPr="005F4C08">
        <w:rPr>
          <w:rFonts w:asciiTheme="minorHAnsi" w:hAnsiTheme="minorHAnsi" w:cstheme="minorHAnsi"/>
        </w:rPr>
        <w:t xml:space="preserve">, ‘Contracts made by Agents on Behalf of Principals with Latent Mental Incapacity: The Common Law Position’ (2015) 74 </w:t>
      </w:r>
      <w:r w:rsidR="005F4C08">
        <w:rPr>
          <w:rFonts w:asciiTheme="minorHAnsi" w:hAnsiTheme="minorHAnsi" w:cstheme="minorHAnsi"/>
          <w:i/>
          <w:iCs/>
        </w:rPr>
        <w:t>Cambridge Law Journal</w:t>
      </w:r>
      <w:r w:rsidR="005F4C08" w:rsidRPr="005F4C08">
        <w:rPr>
          <w:rFonts w:asciiTheme="minorHAnsi" w:hAnsiTheme="minorHAnsi" w:cstheme="minorHAnsi"/>
        </w:rPr>
        <w:t xml:space="preserve"> 140</w:t>
      </w:r>
      <w:r w:rsidRPr="005F4C08">
        <w:rPr>
          <w:rFonts w:asciiTheme="minorHAnsi" w:hAnsiTheme="minorHAnsi" w:cstheme="minorHAnsi"/>
        </w:rPr>
        <w:t>, 145.</w:t>
      </w:r>
    </w:p>
  </w:footnote>
  <w:footnote w:id="122">
    <w:p w14:paraId="5D23ACD0" w14:textId="7B857F63" w:rsidR="00DB65D2" w:rsidRPr="00A507F2" w:rsidRDefault="00DB65D2" w:rsidP="00DB65D2">
      <w:pPr>
        <w:pStyle w:val="FootnoteText"/>
        <w:rPr>
          <w:rFonts w:asciiTheme="minorHAnsi" w:hAnsiTheme="minorHAnsi" w:cstheme="minorHAnsi"/>
        </w:rPr>
      </w:pPr>
      <w:r w:rsidRPr="00A507F2">
        <w:rPr>
          <w:rStyle w:val="FootnoteReference"/>
          <w:rFonts w:asciiTheme="minorHAnsi" w:hAnsiTheme="minorHAnsi" w:cstheme="minorHAnsi"/>
        </w:rPr>
        <w:footnoteRef/>
      </w:r>
      <w:r w:rsidRPr="00A507F2">
        <w:rPr>
          <w:rFonts w:asciiTheme="minorHAnsi" w:hAnsiTheme="minorHAnsi" w:cstheme="minorHAnsi"/>
        </w:rPr>
        <w:t xml:space="preserve"> </w:t>
      </w:r>
      <w:r w:rsidR="00A507F2" w:rsidRPr="00A507F2">
        <w:rPr>
          <w:rFonts w:cstheme="minorHAnsi"/>
        </w:rPr>
        <w:t xml:space="preserve">Herring, above n 108, </w:t>
      </w:r>
      <w:r w:rsidRPr="00A507F2">
        <w:rPr>
          <w:rFonts w:asciiTheme="minorHAnsi" w:hAnsiTheme="minorHAnsi" w:cstheme="minorHAnsi"/>
        </w:rPr>
        <w:t>228 and 257.</w:t>
      </w:r>
    </w:p>
  </w:footnote>
  <w:footnote w:id="123">
    <w:p w14:paraId="3CA9A225" w14:textId="00E82EAD" w:rsidR="00DB65D2" w:rsidRPr="005F4C08" w:rsidRDefault="00DB65D2" w:rsidP="00DB65D2">
      <w:pPr>
        <w:pStyle w:val="FootnoteText"/>
        <w:rPr>
          <w:rFonts w:asciiTheme="minorHAnsi" w:hAnsiTheme="minorHAnsi" w:cstheme="minorHAnsi"/>
        </w:rPr>
      </w:pPr>
      <w:r w:rsidRPr="005F4C08">
        <w:rPr>
          <w:rStyle w:val="FootnoteReference"/>
          <w:rFonts w:asciiTheme="minorHAnsi" w:hAnsiTheme="minorHAnsi" w:cstheme="minorHAnsi"/>
        </w:rPr>
        <w:footnoteRef/>
      </w:r>
      <w:r w:rsidRPr="005F4C08">
        <w:rPr>
          <w:rFonts w:asciiTheme="minorHAnsi" w:hAnsiTheme="minorHAnsi" w:cstheme="minorHAnsi"/>
        </w:rPr>
        <w:t xml:space="preserve"> </w:t>
      </w:r>
      <w:r w:rsidR="005F4C08" w:rsidRPr="005F4C08">
        <w:t>Henry</w:t>
      </w:r>
      <w:r w:rsidR="005F4C08" w:rsidRPr="005F4C08">
        <w:rPr>
          <w:rFonts w:asciiTheme="minorHAnsi" w:hAnsiTheme="minorHAnsi" w:cstheme="minorHAnsi"/>
        </w:rPr>
        <w:t xml:space="preserve"> Goudy, ‘Contracts by Lunatics’ (1901) 17 </w:t>
      </w:r>
      <w:r w:rsidR="005F4C08">
        <w:rPr>
          <w:rFonts w:asciiTheme="minorHAnsi" w:hAnsiTheme="minorHAnsi" w:cstheme="minorHAnsi"/>
          <w:i/>
          <w:iCs/>
        </w:rPr>
        <w:t>Law Quarterly Review</w:t>
      </w:r>
      <w:r w:rsidR="005F4C08" w:rsidRPr="005F4C08">
        <w:rPr>
          <w:rFonts w:asciiTheme="minorHAnsi" w:hAnsiTheme="minorHAnsi" w:cstheme="minorHAnsi"/>
        </w:rPr>
        <w:t xml:space="preserve"> 147, at </w:t>
      </w:r>
      <w:r w:rsidRPr="005F4C08">
        <w:rPr>
          <w:rFonts w:asciiTheme="minorHAnsi" w:hAnsiTheme="minorHAnsi" w:cstheme="minorHAnsi"/>
        </w:rPr>
        <w:t>150.</w:t>
      </w:r>
    </w:p>
  </w:footnote>
  <w:footnote w:id="124">
    <w:p w14:paraId="52BE4593" w14:textId="11E981E2" w:rsidR="00DB65D2" w:rsidRDefault="00DB65D2" w:rsidP="00DB65D2">
      <w:pPr>
        <w:pStyle w:val="FootnoteText"/>
      </w:pPr>
      <w:r w:rsidRPr="004A2D1F">
        <w:rPr>
          <w:rStyle w:val="FootnoteReference"/>
        </w:rPr>
        <w:footnoteRef/>
      </w:r>
      <w:r w:rsidRPr="004A2D1F">
        <w:t xml:space="preserve"> </w:t>
      </w:r>
      <w:r w:rsidR="005F4C08" w:rsidRPr="004A2D1F">
        <w:rPr>
          <w:rFonts w:asciiTheme="minorHAnsi" w:hAnsiTheme="minorHAnsi" w:cstheme="minorHAnsi"/>
        </w:rPr>
        <w:t xml:space="preserve">A </w:t>
      </w:r>
      <w:bookmarkStart w:id="59" w:name="_Hlk531717103"/>
      <w:r w:rsidR="005F4C08" w:rsidRPr="004A2D1F">
        <w:rPr>
          <w:rFonts w:asciiTheme="minorHAnsi" w:hAnsiTheme="minorHAnsi" w:cstheme="minorHAnsi"/>
        </w:rPr>
        <w:t>Hudson</w:t>
      </w:r>
      <w:bookmarkEnd w:id="59"/>
      <w:r w:rsidR="005F4C08" w:rsidRPr="004A2D1F">
        <w:rPr>
          <w:rFonts w:asciiTheme="minorHAnsi" w:hAnsiTheme="minorHAnsi" w:cstheme="minorHAnsi"/>
        </w:rPr>
        <w:t xml:space="preserve">, ‘Mental Incapacity Revisited’ (1986) </w:t>
      </w:r>
      <w:r w:rsidR="005F4C08" w:rsidRPr="004A2D1F">
        <w:rPr>
          <w:rFonts w:asciiTheme="minorHAnsi" w:hAnsiTheme="minorHAnsi" w:cstheme="minorHAnsi"/>
          <w:i/>
        </w:rPr>
        <w:t>The Conveyancer and Property Lawyer</w:t>
      </w:r>
      <w:r w:rsidR="005F4C08" w:rsidRPr="004A2D1F">
        <w:rPr>
          <w:rFonts w:asciiTheme="minorHAnsi" w:hAnsiTheme="minorHAnsi" w:cstheme="minorHAnsi"/>
        </w:rPr>
        <w:t xml:space="preserve"> 178, </w:t>
      </w:r>
      <w:r w:rsidR="004A2D1F" w:rsidRPr="004A2D1F">
        <w:rPr>
          <w:rFonts w:asciiTheme="minorHAnsi" w:hAnsiTheme="minorHAnsi" w:cstheme="minorHAnsi"/>
        </w:rPr>
        <w:t xml:space="preserve">at </w:t>
      </w:r>
      <w:r w:rsidR="005F4C08" w:rsidRPr="004A2D1F">
        <w:t>181</w:t>
      </w:r>
      <w:r w:rsidRPr="004A2D1F">
        <w:t>.</w:t>
      </w:r>
    </w:p>
  </w:footnote>
  <w:footnote w:id="125">
    <w:p w14:paraId="687FF3F6" w14:textId="739B9586" w:rsidR="00DB65D2" w:rsidRPr="004A2D1F" w:rsidRDefault="00DB65D2" w:rsidP="00DB65D2">
      <w:pPr>
        <w:pStyle w:val="FootnoteText"/>
        <w:rPr>
          <w:rFonts w:asciiTheme="minorHAnsi" w:hAnsiTheme="minorHAnsi" w:cstheme="minorHAnsi"/>
        </w:rPr>
      </w:pPr>
      <w:r w:rsidRPr="004A2D1F">
        <w:rPr>
          <w:rStyle w:val="FootnoteReference"/>
          <w:rFonts w:asciiTheme="minorHAnsi" w:hAnsiTheme="minorHAnsi" w:cstheme="minorHAnsi"/>
        </w:rPr>
        <w:footnoteRef/>
      </w:r>
      <w:r w:rsidRPr="004A2D1F">
        <w:rPr>
          <w:rFonts w:asciiTheme="minorHAnsi" w:hAnsiTheme="minorHAnsi" w:cstheme="minorHAnsi"/>
        </w:rPr>
        <w:t xml:space="preserve"> Rosemary </w:t>
      </w:r>
      <w:bookmarkStart w:id="60" w:name="_Hlk14413573"/>
      <w:r w:rsidRPr="004A2D1F">
        <w:rPr>
          <w:rFonts w:asciiTheme="minorHAnsi" w:hAnsiTheme="minorHAnsi" w:cstheme="minorHAnsi"/>
        </w:rPr>
        <w:t>Auchmuty</w:t>
      </w:r>
      <w:bookmarkEnd w:id="60"/>
      <w:r w:rsidRPr="004A2D1F">
        <w:rPr>
          <w:rFonts w:asciiTheme="minorHAnsi" w:hAnsiTheme="minorHAnsi" w:cstheme="minorHAnsi"/>
        </w:rPr>
        <w:t xml:space="preserve">, ‘Men Behaving Badly: An Analysis of English Undue Influence Cases’ (2002) 11 </w:t>
      </w:r>
      <w:r w:rsidRPr="004A2D1F">
        <w:rPr>
          <w:rFonts w:asciiTheme="minorHAnsi" w:hAnsiTheme="minorHAnsi" w:cstheme="minorHAnsi"/>
          <w:i/>
          <w:iCs/>
        </w:rPr>
        <w:t>Social and Legal Studies</w:t>
      </w:r>
      <w:r w:rsidRPr="004A2D1F">
        <w:rPr>
          <w:rFonts w:asciiTheme="minorHAnsi" w:hAnsiTheme="minorHAnsi" w:cstheme="minorHAnsi"/>
        </w:rPr>
        <w:t xml:space="preserve"> 257, </w:t>
      </w:r>
      <w:r w:rsidR="004A2D1F" w:rsidRPr="004A2D1F">
        <w:rPr>
          <w:rFonts w:asciiTheme="minorHAnsi" w:hAnsiTheme="minorHAnsi" w:cstheme="minorHAnsi"/>
        </w:rPr>
        <w:t xml:space="preserve">at </w:t>
      </w:r>
      <w:r w:rsidRPr="004A2D1F">
        <w:rPr>
          <w:rFonts w:asciiTheme="minorHAnsi" w:hAnsiTheme="minorHAnsi" w:cstheme="minorHAnsi"/>
        </w:rPr>
        <w:t>271.</w:t>
      </w:r>
    </w:p>
  </w:footnote>
  <w:footnote w:id="126">
    <w:p w14:paraId="0FBF2339" w14:textId="50BFB86A" w:rsidR="00DB65D2" w:rsidRPr="004A2D1F" w:rsidRDefault="00DB65D2" w:rsidP="00DB65D2">
      <w:pPr>
        <w:pStyle w:val="FootnoteText"/>
        <w:rPr>
          <w:rFonts w:asciiTheme="minorHAnsi" w:hAnsiTheme="minorHAnsi" w:cstheme="minorHAnsi"/>
        </w:rPr>
      </w:pPr>
      <w:r w:rsidRPr="004A2D1F">
        <w:rPr>
          <w:rStyle w:val="FootnoteReference"/>
          <w:rFonts w:asciiTheme="minorHAnsi" w:hAnsiTheme="minorHAnsi" w:cstheme="minorHAnsi"/>
        </w:rPr>
        <w:footnoteRef/>
      </w:r>
      <w:r w:rsidRPr="004A2D1F">
        <w:rPr>
          <w:rFonts w:asciiTheme="minorHAnsi" w:hAnsiTheme="minorHAnsi" w:cstheme="minorHAnsi"/>
        </w:rPr>
        <w:t xml:space="preserve"> </w:t>
      </w:r>
      <w:r w:rsidR="004A2D1F" w:rsidRPr="004A2D1F">
        <w:rPr>
          <w:rFonts w:asciiTheme="minorHAnsi" w:hAnsiTheme="minorHAnsi" w:cstheme="minorHAnsi"/>
          <w:i/>
          <w:iCs/>
        </w:rPr>
        <w:t>Ibid</w:t>
      </w:r>
      <w:r w:rsidRPr="004A2D1F">
        <w:rPr>
          <w:rFonts w:asciiTheme="minorHAnsi" w:hAnsiTheme="minorHAnsi" w:cstheme="minorHAnsi"/>
        </w:rPr>
        <w:t xml:space="preserve">, 266. </w:t>
      </w:r>
    </w:p>
  </w:footnote>
  <w:footnote w:id="127">
    <w:p w14:paraId="32B7090A" w14:textId="77777777" w:rsidR="00DB65D2" w:rsidRPr="004A2D1F" w:rsidRDefault="00DB65D2" w:rsidP="00DB65D2">
      <w:pPr>
        <w:pStyle w:val="FootnoteText"/>
        <w:rPr>
          <w:rFonts w:asciiTheme="minorHAnsi" w:hAnsiTheme="minorHAnsi" w:cstheme="minorHAnsi"/>
        </w:rPr>
      </w:pPr>
      <w:r w:rsidRPr="004A2D1F">
        <w:rPr>
          <w:rStyle w:val="FootnoteReference"/>
          <w:rFonts w:asciiTheme="minorHAnsi" w:hAnsiTheme="minorHAnsi" w:cstheme="minorHAnsi"/>
        </w:rPr>
        <w:footnoteRef/>
      </w:r>
      <w:r w:rsidRPr="004A2D1F">
        <w:rPr>
          <w:rFonts w:asciiTheme="minorHAnsi" w:hAnsiTheme="minorHAnsi" w:cstheme="minorHAnsi"/>
        </w:rPr>
        <w:t xml:space="preserve"> Alison </w:t>
      </w:r>
      <w:bookmarkStart w:id="61" w:name="_Hlk14416040"/>
      <w:r w:rsidRPr="004A2D1F">
        <w:rPr>
          <w:rFonts w:asciiTheme="minorHAnsi" w:hAnsiTheme="minorHAnsi" w:cstheme="minorHAnsi"/>
        </w:rPr>
        <w:t>Diduck</w:t>
      </w:r>
      <w:bookmarkEnd w:id="61"/>
      <w:r w:rsidRPr="004A2D1F">
        <w:rPr>
          <w:rFonts w:asciiTheme="minorHAnsi" w:hAnsiTheme="minorHAnsi" w:cstheme="minorHAnsi"/>
        </w:rPr>
        <w:t>, ‘</w:t>
      </w:r>
      <w:r w:rsidRPr="004A2D1F">
        <w:rPr>
          <w:rFonts w:asciiTheme="minorHAnsi" w:hAnsiTheme="minorHAnsi" w:cstheme="minorHAnsi"/>
          <w:i/>
          <w:iCs/>
        </w:rPr>
        <w:t xml:space="preserve">Royal Bank of Scotland Plc v Etridge </w:t>
      </w:r>
      <w:r w:rsidRPr="004A2D1F">
        <w:rPr>
          <w:rFonts w:asciiTheme="minorHAnsi" w:hAnsiTheme="minorHAnsi" w:cstheme="minorHAnsi"/>
        </w:rPr>
        <w:t xml:space="preserve">(No 2): Commentary’ in Rosemary Hunter, Clare McGlynn, Erika Rackley (ed) </w:t>
      </w:r>
      <w:r w:rsidRPr="004A2D1F">
        <w:rPr>
          <w:rFonts w:asciiTheme="minorHAnsi" w:hAnsiTheme="minorHAnsi" w:cstheme="minorHAnsi"/>
          <w:i/>
          <w:iCs/>
        </w:rPr>
        <w:t xml:space="preserve">Feminist Judgments, from Theory to Practice </w:t>
      </w:r>
      <w:r w:rsidRPr="004A2D1F">
        <w:rPr>
          <w:rFonts w:asciiTheme="minorHAnsi" w:hAnsiTheme="minorHAnsi" w:cstheme="minorHAnsi"/>
        </w:rPr>
        <w:t>(Oxford: Hart, 2010), 152.</w:t>
      </w:r>
    </w:p>
  </w:footnote>
  <w:footnote w:id="128">
    <w:p w14:paraId="32E29B7A" w14:textId="77777777" w:rsidR="00DB65D2" w:rsidRPr="004A2D1F" w:rsidRDefault="00DB65D2" w:rsidP="00DB65D2">
      <w:pPr>
        <w:pStyle w:val="FootnoteText"/>
      </w:pPr>
      <w:r w:rsidRPr="004A2D1F">
        <w:rPr>
          <w:rStyle w:val="FootnoteReference"/>
        </w:rPr>
        <w:footnoteRef/>
      </w:r>
      <w:r w:rsidRPr="004A2D1F">
        <w:t xml:space="preserve"> </w:t>
      </w:r>
      <w:r w:rsidRPr="004A2D1F">
        <w:rPr>
          <w:rFonts w:cstheme="minorHAnsi"/>
        </w:rPr>
        <w:t>Dhanda, above n 77, 49.</w:t>
      </w:r>
    </w:p>
  </w:footnote>
  <w:footnote w:id="129">
    <w:p w14:paraId="3A735ECD" w14:textId="5E0CA075" w:rsidR="00DB65D2" w:rsidRPr="00A507F2" w:rsidRDefault="00DB65D2" w:rsidP="00DB65D2">
      <w:pPr>
        <w:pStyle w:val="FootnoteText"/>
        <w:rPr>
          <w:rFonts w:asciiTheme="minorHAnsi" w:hAnsiTheme="minorHAnsi" w:cstheme="minorHAnsi"/>
        </w:rPr>
      </w:pPr>
      <w:r w:rsidRPr="00A507F2">
        <w:rPr>
          <w:rStyle w:val="FootnoteReference"/>
          <w:rFonts w:asciiTheme="minorHAnsi" w:hAnsiTheme="minorHAnsi" w:cstheme="minorHAnsi"/>
        </w:rPr>
        <w:footnoteRef/>
      </w:r>
      <w:r w:rsidRPr="00A507F2">
        <w:rPr>
          <w:rFonts w:asciiTheme="minorHAnsi" w:hAnsiTheme="minorHAnsi" w:cstheme="minorHAnsi"/>
        </w:rPr>
        <w:t xml:space="preserve"> </w:t>
      </w:r>
      <w:r w:rsidR="00A507F2" w:rsidRPr="00A507F2">
        <w:rPr>
          <w:rFonts w:cstheme="minorHAnsi"/>
        </w:rPr>
        <w:t>Herring, above n 108</w:t>
      </w:r>
      <w:r w:rsidRPr="00A507F2">
        <w:rPr>
          <w:rFonts w:asciiTheme="minorHAnsi" w:hAnsiTheme="minorHAnsi" w:cstheme="minorHAnsi"/>
        </w:rPr>
        <w:t>, 228.</w:t>
      </w:r>
    </w:p>
  </w:footnote>
  <w:footnote w:id="130">
    <w:p w14:paraId="7708C340" w14:textId="3257530C" w:rsidR="00DB65D2" w:rsidRPr="00A507F2" w:rsidRDefault="00DB65D2" w:rsidP="00DB65D2">
      <w:pPr>
        <w:pStyle w:val="FootnoteText"/>
        <w:rPr>
          <w:rFonts w:asciiTheme="minorHAnsi" w:hAnsiTheme="minorHAnsi" w:cstheme="minorHAnsi"/>
        </w:rPr>
      </w:pPr>
      <w:r w:rsidRPr="00A507F2">
        <w:rPr>
          <w:rStyle w:val="FootnoteReference"/>
          <w:rFonts w:asciiTheme="minorHAnsi" w:hAnsiTheme="minorHAnsi" w:cstheme="minorHAnsi"/>
        </w:rPr>
        <w:footnoteRef/>
      </w:r>
      <w:r w:rsidRPr="00A507F2">
        <w:rPr>
          <w:rFonts w:asciiTheme="minorHAnsi" w:hAnsiTheme="minorHAnsi" w:cstheme="minorHAnsi"/>
        </w:rPr>
        <w:t xml:space="preserve"> </w:t>
      </w:r>
      <w:r w:rsidR="00A507F2" w:rsidRPr="00A507F2">
        <w:rPr>
          <w:rFonts w:asciiTheme="minorHAnsi" w:hAnsiTheme="minorHAnsi" w:cstheme="minorHAnsi"/>
          <w:i/>
          <w:iCs/>
        </w:rPr>
        <w:t>Ibid</w:t>
      </w:r>
      <w:r w:rsidRPr="00A507F2">
        <w:rPr>
          <w:rFonts w:asciiTheme="minorHAnsi" w:hAnsiTheme="minorHAnsi" w:cstheme="minorHAnsi"/>
        </w:rPr>
        <w:t>, 225.</w:t>
      </w:r>
    </w:p>
  </w:footnote>
  <w:footnote w:id="131">
    <w:p w14:paraId="263753DB" w14:textId="126A9C16" w:rsidR="00DB65D2" w:rsidRPr="004A2D1F" w:rsidRDefault="00DB65D2" w:rsidP="00DB65D2">
      <w:pPr>
        <w:pStyle w:val="FootnoteText"/>
        <w:rPr>
          <w:rFonts w:asciiTheme="minorHAnsi" w:hAnsiTheme="minorHAnsi" w:cstheme="minorHAnsi"/>
        </w:rPr>
      </w:pPr>
      <w:r w:rsidRPr="004A2D1F">
        <w:rPr>
          <w:rStyle w:val="FootnoteReference"/>
          <w:rFonts w:asciiTheme="minorHAnsi" w:hAnsiTheme="minorHAnsi" w:cstheme="minorHAnsi"/>
        </w:rPr>
        <w:footnoteRef/>
      </w:r>
      <w:r w:rsidRPr="004A2D1F">
        <w:rPr>
          <w:rFonts w:asciiTheme="minorHAnsi" w:hAnsiTheme="minorHAnsi" w:cstheme="minorHAnsi"/>
        </w:rPr>
        <w:t xml:space="preserve"> </w:t>
      </w:r>
      <w:r w:rsidR="004A2D1F" w:rsidRPr="004A2D1F">
        <w:rPr>
          <w:rFonts w:asciiTheme="minorHAnsi" w:hAnsiTheme="minorHAnsi" w:cstheme="minorHAnsi"/>
        </w:rPr>
        <w:t xml:space="preserve">Seana </w:t>
      </w:r>
      <w:bookmarkStart w:id="62" w:name="_Hlk18533719"/>
      <w:r w:rsidR="004A2D1F" w:rsidRPr="004A2D1F">
        <w:rPr>
          <w:rFonts w:asciiTheme="minorHAnsi" w:hAnsiTheme="minorHAnsi" w:cstheme="minorHAnsi"/>
        </w:rPr>
        <w:t>Shiffrin</w:t>
      </w:r>
      <w:bookmarkEnd w:id="62"/>
      <w:r w:rsidR="004A2D1F" w:rsidRPr="004A2D1F">
        <w:rPr>
          <w:rFonts w:asciiTheme="minorHAnsi" w:hAnsiTheme="minorHAnsi" w:cstheme="minorHAnsi"/>
        </w:rPr>
        <w:t xml:space="preserve">, ‘Paternalism, Unconscionability Doctrine and Accommodation’ (2000) 29 </w:t>
      </w:r>
      <w:r w:rsidR="004A2D1F" w:rsidRPr="004A2D1F">
        <w:rPr>
          <w:rFonts w:asciiTheme="minorHAnsi" w:hAnsiTheme="minorHAnsi" w:cstheme="minorHAnsi"/>
          <w:i/>
        </w:rPr>
        <w:t>Philosophy and Public Affairs</w:t>
      </w:r>
      <w:r w:rsidR="004A2D1F" w:rsidRPr="004A2D1F">
        <w:rPr>
          <w:rFonts w:asciiTheme="minorHAnsi" w:hAnsiTheme="minorHAnsi" w:cstheme="minorHAnsi"/>
        </w:rPr>
        <w:t xml:space="preserve"> 205, at 227</w:t>
      </w:r>
      <w:r w:rsidRPr="004A2D1F">
        <w:rPr>
          <w:rFonts w:asciiTheme="minorHAnsi" w:hAnsiTheme="minorHAnsi" w:cstheme="minorHAnsi"/>
        </w:rPr>
        <w:t>.</w:t>
      </w:r>
    </w:p>
  </w:footnote>
  <w:footnote w:id="132">
    <w:p w14:paraId="3E7238F9" w14:textId="301D4AB3" w:rsidR="008F6A8A" w:rsidRPr="008F6A8A" w:rsidRDefault="008F6A8A" w:rsidP="008F6A8A">
      <w:pPr>
        <w:pStyle w:val="FootnoteText"/>
      </w:pPr>
      <w:r w:rsidRPr="008F6A8A">
        <w:rPr>
          <w:rStyle w:val="FootnoteReference"/>
        </w:rPr>
        <w:footnoteRef/>
      </w:r>
      <w:r w:rsidRPr="008F6A8A">
        <w:t xml:space="preserve"> </w:t>
      </w:r>
      <w:bookmarkStart w:id="63" w:name="_Hlk18534275"/>
      <w:r w:rsidRPr="008F6A8A">
        <w:t>Teubner, above n 78</w:t>
      </w:r>
      <w:bookmarkEnd w:id="63"/>
      <w:r w:rsidRPr="008F6A8A">
        <w:t>, 400.</w:t>
      </w:r>
    </w:p>
  </w:footnote>
  <w:footnote w:id="133">
    <w:p w14:paraId="3F0085E5" w14:textId="3753FDEF" w:rsidR="008F6A8A" w:rsidRPr="008F6A8A" w:rsidRDefault="008F6A8A" w:rsidP="008F6A8A">
      <w:pPr>
        <w:pStyle w:val="FootnoteText"/>
      </w:pPr>
      <w:r w:rsidRPr="008F6A8A">
        <w:rPr>
          <w:rStyle w:val="FootnoteReference"/>
        </w:rPr>
        <w:footnoteRef/>
      </w:r>
      <w:r w:rsidRPr="008F6A8A">
        <w:t xml:space="preserve"> </w:t>
      </w:r>
      <w:r w:rsidRPr="008F6A8A">
        <w:rPr>
          <w:rFonts w:cstheme="minorHAnsi"/>
        </w:rPr>
        <w:t>Collins, above n 18</w:t>
      </w:r>
      <w:r w:rsidRPr="008F6A8A">
        <w:t>, 5.</w:t>
      </w:r>
    </w:p>
  </w:footnote>
  <w:footnote w:id="134">
    <w:p w14:paraId="121D6914" w14:textId="154BE300" w:rsidR="008F6A8A" w:rsidRPr="008F6A8A" w:rsidRDefault="008F6A8A" w:rsidP="008F6A8A">
      <w:pPr>
        <w:pStyle w:val="FootnoteText"/>
        <w:rPr>
          <w:rFonts w:asciiTheme="minorHAnsi" w:hAnsiTheme="minorHAnsi" w:cstheme="minorHAnsi"/>
        </w:rPr>
      </w:pPr>
      <w:r w:rsidRPr="008F6A8A">
        <w:rPr>
          <w:rStyle w:val="FootnoteReference"/>
          <w:rFonts w:asciiTheme="minorHAnsi" w:hAnsiTheme="minorHAnsi" w:cstheme="minorHAnsi"/>
        </w:rPr>
        <w:footnoteRef/>
      </w:r>
      <w:r w:rsidRPr="008F6A8A">
        <w:rPr>
          <w:rFonts w:asciiTheme="minorHAnsi" w:hAnsiTheme="minorHAnsi" w:cstheme="minorHAnsi"/>
        </w:rPr>
        <w:t xml:space="preserve"> Mindy </w:t>
      </w:r>
      <w:bookmarkStart w:id="64" w:name="_Hlk18662201"/>
      <w:r w:rsidRPr="008F6A8A">
        <w:rPr>
          <w:rFonts w:asciiTheme="minorHAnsi" w:hAnsiTheme="minorHAnsi" w:cstheme="minorHAnsi"/>
        </w:rPr>
        <w:t>Chen-Wishart</w:t>
      </w:r>
      <w:bookmarkEnd w:id="64"/>
      <w:r w:rsidRPr="008F6A8A">
        <w:rPr>
          <w:rFonts w:asciiTheme="minorHAnsi" w:hAnsiTheme="minorHAnsi" w:cstheme="minorHAnsi"/>
        </w:rPr>
        <w:t xml:space="preserve">, ‘Undue Influence: Vindicating Relationships of Influence’ (2006) 59 </w:t>
      </w:r>
      <w:r w:rsidRPr="008F6A8A">
        <w:rPr>
          <w:rFonts w:asciiTheme="minorHAnsi" w:hAnsiTheme="minorHAnsi" w:cstheme="minorHAnsi"/>
          <w:i/>
          <w:iCs/>
        </w:rPr>
        <w:t>Current Legal Problems</w:t>
      </w:r>
      <w:r w:rsidRPr="008F6A8A">
        <w:rPr>
          <w:rFonts w:asciiTheme="minorHAnsi" w:hAnsiTheme="minorHAnsi" w:cstheme="minorHAnsi"/>
        </w:rPr>
        <w:t xml:space="preserve"> 321.</w:t>
      </w:r>
    </w:p>
  </w:footnote>
  <w:footnote w:id="135">
    <w:p w14:paraId="0D54D14D" w14:textId="77777777" w:rsidR="008F6A8A" w:rsidRPr="008F6A8A" w:rsidRDefault="008F6A8A" w:rsidP="008F6A8A">
      <w:pPr>
        <w:pStyle w:val="FootnoteText"/>
        <w:rPr>
          <w:rFonts w:asciiTheme="minorHAnsi" w:hAnsiTheme="minorHAnsi" w:cstheme="minorHAnsi"/>
        </w:rPr>
      </w:pPr>
      <w:r w:rsidRPr="008F6A8A">
        <w:rPr>
          <w:rStyle w:val="FootnoteReference"/>
          <w:rFonts w:asciiTheme="minorHAnsi" w:hAnsiTheme="minorHAnsi" w:cstheme="minorHAnsi"/>
        </w:rPr>
        <w:footnoteRef/>
      </w:r>
      <w:r w:rsidRPr="008F6A8A">
        <w:rPr>
          <w:rFonts w:asciiTheme="minorHAnsi" w:hAnsiTheme="minorHAnsi" w:cstheme="minorHAnsi"/>
        </w:rPr>
        <w:t xml:space="preserve"> </w:t>
      </w:r>
      <w:bookmarkStart w:id="65" w:name="_Hlk14251324"/>
      <w:r w:rsidRPr="008F6A8A">
        <w:rPr>
          <w:rFonts w:asciiTheme="minorHAnsi" w:hAnsiTheme="minorHAnsi" w:cstheme="minorHAnsi"/>
        </w:rPr>
        <w:t xml:space="preserve">Thomas Humphrey </w:t>
      </w:r>
      <w:bookmarkStart w:id="66" w:name="_Hlk18672230"/>
      <w:r w:rsidRPr="008F6A8A">
        <w:rPr>
          <w:rFonts w:asciiTheme="minorHAnsi" w:hAnsiTheme="minorHAnsi" w:cstheme="minorHAnsi"/>
        </w:rPr>
        <w:t>Marshall</w:t>
      </w:r>
      <w:bookmarkEnd w:id="65"/>
      <w:bookmarkEnd w:id="66"/>
      <w:r w:rsidRPr="008F6A8A">
        <w:rPr>
          <w:rFonts w:asciiTheme="minorHAnsi" w:hAnsiTheme="minorHAnsi" w:cstheme="minorHAnsi"/>
        </w:rPr>
        <w:t xml:space="preserve">, </w:t>
      </w:r>
      <w:r w:rsidRPr="008F6A8A">
        <w:rPr>
          <w:rFonts w:asciiTheme="minorHAnsi" w:hAnsiTheme="minorHAnsi" w:cstheme="minorHAnsi"/>
          <w:i/>
          <w:iCs/>
        </w:rPr>
        <w:t>Citizenship and Social Class, and Other Essays</w:t>
      </w:r>
      <w:r w:rsidRPr="008F6A8A">
        <w:rPr>
          <w:rFonts w:asciiTheme="minorHAnsi" w:hAnsiTheme="minorHAnsi" w:cstheme="minorHAnsi"/>
        </w:rPr>
        <w:t xml:space="preserve"> (Cambridge: Cambridge University Press, 1950), 10-11; Martin Bulmer and Anthony Rees (eds.), </w:t>
      </w:r>
      <w:r w:rsidRPr="008F6A8A">
        <w:rPr>
          <w:rFonts w:asciiTheme="minorHAnsi" w:hAnsiTheme="minorHAnsi" w:cstheme="minorHAnsi"/>
          <w:i/>
          <w:iCs/>
        </w:rPr>
        <w:t>Citizenship Today: The Contemporary Relevance of T.H. Marshall</w:t>
      </w:r>
      <w:r w:rsidRPr="008F6A8A">
        <w:rPr>
          <w:rFonts w:asciiTheme="minorHAnsi" w:hAnsiTheme="minorHAnsi" w:cstheme="minorHAnsi"/>
        </w:rPr>
        <w:t xml:space="preserve"> (London: UCL Press, 1996).</w:t>
      </w:r>
    </w:p>
  </w:footnote>
  <w:footnote w:id="136">
    <w:p w14:paraId="09EE30D2" w14:textId="76732D0D" w:rsidR="008F6A8A" w:rsidRPr="008F6A8A" w:rsidRDefault="008F6A8A" w:rsidP="008F6A8A">
      <w:pPr>
        <w:pStyle w:val="FootnoteText"/>
      </w:pPr>
      <w:r w:rsidRPr="008F6A8A">
        <w:rPr>
          <w:rStyle w:val="FootnoteReference"/>
        </w:rPr>
        <w:footnoteRef/>
      </w:r>
      <w:r w:rsidRPr="008F6A8A">
        <w:t xml:space="preserve"> Teubner, above n 78, 400.</w:t>
      </w:r>
    </w:p>
  </w:footnote>
  <w:footnote w:id="137">
    <w:p w14:paraId="11D3A476" w14:textId="44667D75" w:rsidR="008F6A8A" w:rsidRDefault="008F6A8A" w:rsidP="008F6A8A">
      <w:pPr>
        <w:pStyle w:val="FootnoteText"/>
      </w:pPr>
      <w:r w:rsidRPr="008F6A8A">
        <w:rPr>
          <w:rStyle w:val="FootnoteReference"/>
        </w:rPr>
        <w:footnoteRef/>
      </w:r>
      <w:r w:rsidRPr="008F6A8A">
        <w:t xml:space="preserve"> </w:t>
      </w:r>
      <w:bookmarkStart w:id="67" w:name="_Hlk18618788"/>
      <w:r w:rsidRPr="008F6A8A">
        <w:t>Adams and Brownsword, above n 58</w:t>
      </w:r>
      <w:bookmarkEnd w:id="67"/>
      <w:r w:rsidRPr="008F6A8A">
        <w:rPr>
          <w:rFonts w:asciiTheme="minorHAnsi" w:hAnsiTheme="minorHAnsi" w:cstheme="minorHAnsi"/>
        </w:rPr>
        <w:t>, 192.</w:t>
      </w:r>
    </w:p>
  </w:footnote>
  <w:footnote w:id="138">
    <w:p w14:paraId="7F58F0DF" w14:textId="05A530C7" w:rsidR="008F6A8A" w:rsidRPr="008F6A8A" w:rsidRDefault="008F6A8A" w:rsidP="008F6A8A">
      <w:pPr>
        <w:pStyle w:val="FootnoteText"/>
        <w:rPr>
          <w:rFonts w:asciiTheme="minorHAnsi" w:hAnsiTheme="minorHAnsi" w:cstheme="minorHAnsi"/>
        </w:rPr>
      </w:pPr>
      <w:r w:rsidRPr="008F6A8A">
        <w:rPr>
          <w:rStyle w:val="FootnoteReference"/>
          <w:rFonts w:asciiTheme="minorHAnsi" w:hAnsiTheme="minorHAnsi" w:cstheme="minorHAnsi"/>
        </w:rPr>
        <w:footnoteRef/>
      </w:r>
      <w:r w:rsidRPr="008F6A8A">
        <w:rPr>
          <w:rFonts w:asciiTheme="minorHAnsi" w:hAnsiTheme="minorHAnsi" w:cstheme="minorHAnsi"/>
        </w:rPr>
        <w:t xml:space="preserve"> </w:t>
      </w:r>
      <w:bookmarkStart w:id="68" w:name="_Hlk18660221"/>
      <w:r w:rsidRPr="008F6A8A">
        <w:rPr>
          <w:rFonts w:cstheme="minorHAnsi"/>
        </w:rPr>
        <w:t>Herring, above n 108</w:t>
      </w:r>
      <w:bookmarkEnd w:id="68"/>
      <w:r w:rsidRPr="008F6A8A">
        <w:rPr>
          <w:rFonts w:asciiTheme="minorHAnsi" w:hAnsiTheme="minorHAnsi" w:cstheme="minorHAnsi"/>
        </w:rPr>
        <w:t>, 226.</w:t>
      </w:r>
    </w:p>
  </w:footnote>
  <w:footnote w:id="139">
    <w:p w14:paraId="121D8916" w14:textId="3514A23C" w:rsidR="008F6A8A" w:rsidRPr="008F6A8A" w:rsidRDefault="008F6A8A" w:rsidP="008F6A8A">
      <w:pPr>
        <w:pStyle w:val="FootnoteText"/>
        <w:rPr>
          <w:rFonts w:asciiTheme="minorHAnsi" w:hAnsiTheme="minorHAnsi" w:cstheme="minorHAnsi"/>
        </w:rPr>
      </w:pPr>
      <w:r w:rsidRPr="008F6A8A">
        <w:rPr>
          <w:rStyle w:val="FootnoteReference"/>
          <w:rFonts w:asciiTheme="minorHAnsi" w:hAnsiTheme="minorHAnsi" w:cstheme="minorHAnsi"/>
        </w:rPr>
        <w:footnoteRef/>
      </w:r>
      <w:r w:rsidRPr="008F6A8A">
        <w:rPr>
          <w:rFonts w:asciiTheme="minorHAnsi" w:hAnsiTheme="minorHAnsi" w:cstheme="minorHAnsi"/>
        </w:rPr>
        <w:t xml:space="preserve"> </w:t>
      </w:r>
      <w:bookmarkStart w:id="69" w:name="_Hlk14262222"/>
      <w:r w:rsidRPr="008F6A8A">
        <w:rPr>
          <w:i/>
          <w:iCs/>
        </w:rPr>
        <w:t>Imperial Loan</w:t>
      </w:r>
      <w:r w:rsidRPr="008F6A8A">
        <w:t>, above n 93</w:t>
      </w:r>
      <w:r w:rsidRPr="008F6A8A">
        <w:rPr>
          <w:rFonts w:asciiTheme="minorHAnsi" w:hAnsiTheme="minorHAnsi" w:cstheme="minorHAnsi"/>
          <w:i/>
          <w:iCs/>
        </w:rPr>
        <w:t xml:space="preserve">; </w:t>
      </w:r>
      <w:r w:rsidRPr="008F6A8A">
        <w:rPr>
          <w:rFonts w:cstheme="minorHAnsi"/>
          <w:i/>
          <w:iCs/>
        </w:rPr>
        <w:t>Hart</w:t>
      </w:r>
      <w:r w:rsidRPr="008F6A8A">
        <w:rPr>
          <w:rFonts w:cstheme="minorHAnsi"/>
        </w:rPr>
        <w:t>, above n 100</w:t>
      </w:r>
      <w:r w:rsidRPr="008F6A8A">
        <w:rPr>
          <w:rFonts w:asciiTheme="minorHAnsi" w:hAnsiTheme="minorHAnsi" w:cstheme="minorHAnsi"/>
          <w:i/>
          <w:iCs/>
        </w:rPr>
        <w:t xml:space="preserve">; </w:t>
      </w:r>
      <w:bookmarkEnd w:id="69"/>
      <w:r w:rsidRPr="008F6A8A">
        <w:rPr>
          <w:i/>
          <w:iCs/>
        </w:rPr>
        <w:t>Dunhill</w:t>
      </w:r>
      <w:r w:rsidRPr="008F6A8A">
        <w:t>, above n 104</w:t>
      </w:r>
      <w:r w:rsidRPr="008F6A8A">
        <w:rPr>
          <w:rFonts w:asciiTheme="minorHAnsi" w:hAnsiTheme="minorHAnsi" w:cstheme="minorHAnsi"/>
        </w:rPr>
        <w:t>.</w:t>
      </w:r>
    </w:p>
  </w:footnote>
  <w:footnote w:id="140">
    <w:p w14:paraId="1220BE07" w14:textId="7BED3217" w:rsidR="008F6A8A" w:rsidRDefault="008F6A8A" w:rsidP="008F6A8A">
      <w:pPr>
        <w:pStyle w:val="FootnoteText"/>
      </w:pPr>
      <w:r w:rsidRPr="008F6A8A">
        <w:rPr>
          <w:rStyle w:val="FootnoteReference"/>
        </w:rPr>
        <w:footnoteRef/>
      </w:r>
      <w:r w:rsidRPr="008F6A8A">
        <w:t xml:space="preserve"> </w:t>
      </w:r>
      <w:bookmarkStart w:id="70" w:name="_Hlk18617091"/>
      <w:r w:rsidRPr="008F6A8A">
        <w:t>Varney, above n 20</w:t>
      </w:r>
      <w:bookmarkEnd w:id="70"/>
      <w:r w:rsidRPr="008F6A8A">
        <w:t>.</w:t>
      </w:r>
    </w:p>
  </w:footnote>
  <w:footnote w:id="141">
    <w:p w14:paraId="0D26CC64" w14:textId="242DAC67" w:rsidR="008F6A8A" w:rsidRPr="00244266" w:rsidRDefault="008F6A8A" w:rsidP="008F6A8A">
      <w:pPr>
        <w:pStyle w:val="FootnoteText"/>
        <w:rPr>
          <w:rFonts w:asciiTheme="minorHAnsi" w:hAnsiTheme="minorHAnsi" w:cstheme="minorHAnsi"/>
        </w:rPr>
      </w:pPr>
      <w:r w:rsidRPr="00244266">
        <w:rPr>
          <w:rStyle w:val="FootnoteReference"/>
          <w:rFonts w:asciiTheme="minorHAnsi" w:hAnsiTheme="minorHAnsi" w:cstheme="minorHAnsi"/>
        </w:rPr>
        <w:footnoteRef/>
      </w:r>
      <w:r w:rsidRPr="00244266">
        <w:rPr>
          <w:rFonts w:asciiTheme="minorHAnsi" w:hAnsiTheme="minorHAnsi" w:cstheme="minorHAnsi"/>
        </w:rPr>
        <w:t xml:space="preserve"> </w:t>
      </w:r>
      <w:bookmarkStart w:id="71" w:name="_Hlk18659806"/>
      <w:r w:rsidR="00244266" w:rsidRPr="00244266">
        <w:rPr>
          <w:i/>
          <w:iCs/>
        </w:rPr>
        <w:t>Etridge</w:t>
      </w:r>
      <w:r w:rsidR="00244266" w:rsidRPr="00244266">
        <w:t>, above n 97</w:t>
      </w:r>
      <w:bookmarkEnd w:id="71"/>
      <w:r w:rsidRPr="00244266">
        <w:rPr>
          <w:rFonts w:asciiTheme="minorHAnsi" w:hAnsiTheme="minorHAnsi" w:cstheme="minorHAnsi"/>
        </w:rPr>
        <w:t>.</w:t>
      </w:r>
    </w:p>
  </w:footnote>
  <w:footnote w:id="142">
    <w:p w14:paraId="247BD47F" w14:textId="2B3F0934" w:rsidR="008F6A8A" w:rsidRPr="00244266" w:rsidRDefault="008F6A8A" w:rsidP="008F6A8A">
      <w:pPr>
        <w:pStyle w:val="FootnoteText"/>
        <w:rPr>
          <w:rFonts w:asciiTheme="minorHAnsi" w:hAnsiTheme="minorHAnsi" w:cstheme="minorHAnsi"/>
        </w:rPr>
      </w:pPr>
      <w:r w:rsidRPr="00244266">
        <w:rPr>
          <w:rStyle w:val="FootnoteReference"/>
          <w:rFonts w:asciiTheme="minorHAnsi" w:hAnsiTheme="minorHAnsi" w:cstheme="minorHAnsi"/>
        </w:rPr>
        <w:footnoteRef/>
      </w:r>
      <w:r w:rsidRPr="00244266">
        <w:rPr>
          <w:rFonts w:asciiTheme="minorHAnsi" w:hAnsiTheme="minorHAnsi" w:cstheme="minorHAnsi"/>
        </w:rPr>
        <w:t xml:space="preserve"> </w:t>
      </w:r>
      <w:r w:rsidR="00244266" w:rsidRPr="00244266">
        <w:rPr>
          <w:rFonts w:cstheme="minorHAnsi"/>
          <w:i/>
          <w:iCs/>
        </w:rPr>
        <w:t>Fry</w:t>
      </w:r>
      <w:r w:rsidR="00244266" w:rsidRPr="00244266">
        <w:rPr>
          <w:rFonts w:cstheme="minorHAnsi"/>
        </w:rPr>
        <w:t>, above n 96</w:t>
      </w:r>
      <w:r w:rsidRPr="00244266">
        <w:rPr>
          <w:rFonts w:asciiTheme="minorHAnsi" w:hAnsiTheme="minorHAnsi" w:cstheme="minorHAnsi"/>
        </w:rPr>
        <w:t>.</w:t>
      </w:r>
    </w:p>
  </w:footnote>
  <w:footnote w:id="143">
    <w:p w14:paraId="3D93E082" w14:textId="77777777" w:rsidR="008F6A8A" w:rsidRDefault="008F6A8A" w:rsidP="008F6A8A">
      <w:pPr>
        <w:pStyle w:val="FootnoteText"/>
      </w:pPr>
      <w:r>
        <w:rPr>
          <w:rStyle w:val="FootnoteReference"/>
        </w:rPr>
        <w:footnoteRef/>
      </w:r>
      <w:r>
        <w:t xml:space="preserve"> See discussion in </w:t>
      </w:r>
      <w:r w:rsidRPr="003F0D34">
        <w:t>Beale, above n 98</w:t>
      </w:r>
      <w:r w:rsidRPr="003F0D34">
        <w:rPr>
          <w:rFonts w:asciiTheme="minorHAnsi" w:hAnsiTheme="minorHAnsi" w:cstheme="minorHAnsi"/>
        </w:rPr>
        <w:t>, 8-059</w:t>
      </w:r>
      <w:r>
        <w:rPr>
          <w:rFonts w:asciiTheme="minorHAnsi" w:hAnsiTheme="minorHAnsi" w:cstheme="minorHAnsi"/>
        </w:rPr>
        <w:t>.</w:t>
      </w:r>
    </w:p>
  </w:footnote>
  <w:footnote w:id="144">
    <w:p w14:paraId="6D18A2EE" w14:textId="733492E0" w:rsidR="008F6A8A" w:rsidRPr="008F6A8A" w:rsidRDefault="008F6A8A" w:rsidP="008F6A8A">
      <w:pPr>
        <w:pStyle w:val="FootnoteText"/>
        <w:rPr>
          <w:rFonts w:asciiTheme="minorHAnsi" w:hAnsiTheme="minorHAnsi" w:cstheme="minorHAnsi"/>
        </w:rPr>
      </w:pPr>
      <w:r w:rsidRPr="00244266">
        <w:rPr>
          <w:rStyle w:val="FootnoteReference"/>
          <w:rFonts w:asciiTheme="minorHAnsi" w:hAnsiTheme="minorHAnsi" w:cstheme="minorHAnsi"/>
        </w:rPr>
        <w:footnoteRef/>
      </w:r>
      <w:r w:rsidRPr="00244266">
        <w:rPr>
          <w:rFonts w:asciiTheme="minorHAnsi" w:hAnsiTheme="minorHAnsi" w:cstheme="minorHAnsi"/>
        </w:rPr>
        <w:t xml:space="preserve"> </w:t>
      </w:r>
      <w:r w:rsidR="00244266" w:rsidRPr="00244266">
        <w:rPr>
          <w:rFonts w:cstheme="minorHAnsi"/>
        </w:rPr>
        <w:t>Shiffrin, above n 130</w:t>
      </w:r>
      <w:r w:rsidRPr="00244266">
        <w:rPr>
          <w:rFonts w:asciiTheme="minorHAnsi" w:hAnsiTheme="minorHAnsi" w:cstheme="minorHAnsi"/>
        </w:rPr>
        <w:t>, 227-228.</w:t>
      </w:r>
    </w:p>
  </w:footnote>
  <w:footnote w:id="145">
    <w:p w14:paraId="27ED4A03" w14:textId="0697AAD1" w:rsidR="00A917CC" w:rsidRDefault="00A917CC" w:rsidP="00A917CC">
      <w:pPr>
        <w:pStyle w:val="FootnoteText"/>
      </w:pPr>
      <w:r w:rsidRPr="00312605">
        <w:rPr>
          <w:rStyle w:val="FootnoteReference"/>
        </w:rPr>
        <w:footnoteRef/>
      </w:r>
      <w:r w:rsidRPr="00312605">
        <w:t xml:space="preserve"> </w:t>
      </w:r>
      <w:r w:rsidR="00312605" w:rsidRPr="00312605">
        <w:rPr>
          <w:rFonts w:asciiTheme="minorHAnsi" w:hAnsiTheme="minorHAnsi" w:cstheme="minorHAnsi"/>
          <w:i/>
          <w:iCs/>
          <w:szCs w:val="22"/>
        </w:rPr>
        <w:t>Ibid</w:t>
      </w:r>
      <w:r w:rsidRPr="00312605">
        <w:rPr>
          <w:rFonts w:asciiTheme="minorHAnsi" w:hAnsiTheme="minorHAnsi" w:cstheme="minorHAnsi"/>
          <w:szCs w:val="22"/>
        </w:rPr>
        <w:t>, 239.</w:t>
      </w:r>
    </w:p>
  </w:footnote>
  <w:footnote w:id="146">
    <w:p w14:paraId="553D1647" w14:textId="58E286BD" w:rsidR="00A917CC" w:rsidRPr="00312605" w:rsidRDefault="00A917CC" w:rsidP="00A917CC">
      <w:pPr>
        <w:pStyle w:val="FootnoteText"/>
        <w:rPr>
          <w:rFonts w:asciiTheme="minorHAnsi" w:hAnsiTheme="minorHAnsi" w:cstheme="minorHAnsi"/>
        </w:rPr>
      </w:pPr>
      <w:r w:rsidRPr="00312605">
        <w:rPr>
          <w:rStyle w:val="FootnoteReference"/>
          <w:rFonts w:asciiTheme="minorHAnsi" w:hAnsiTheme="minorHAnsi" w:cstheme="minorHAnsi"/>
        </w:rPr>
        <w:footnoteRef/>
      </w:r>
      <w:r w:rsidRPr="00312605">
        <w:rPr>
          <w:rFonts w:asciiTheme="minorHAnsi" w:hAnsiTheme="minorHAnsi" w:cstheme="minorHAnsi"/>
        </w:rPr>
        <w:t xml:space="preserve"> </w:t>
      </w:r>
      <w:bookmarkStart w:id="72" w:name="_Hlk18662873"/>
      <w:r w:rsidR="00312605" w:rsidRPr="00312605">
        <w:t>Trebilcock and Elliott, above n 64</w:t>
      </w:r>
      <w:bookmarkEnd w:id="72"/>
      <w:r w:rsidRPr="00312605">
        <w:rPr>
          <w:rFonts w:asciiTheme="minorHAnsi" w:hAnsiTheme="minorHAnsi" w:cstheme="minorHAnsi"/>
        </w:rPr>
        <w:t>, 79.</w:t>
      </w:r>
    </w:p>
  </w:footnote>
  <w:footnote w:id="147">
    <w:p w14:paraId="17168C13" w14:textId="77777777" w:rsidR="00A83C88" w:rsidRPr="0097663A" w:rsidRDefault="00A83C88" w:rsidP="00A83C88">
      <w:pPr>
        <w:pStyle w:val="FootnoteText"/>
        <w:rPr>
          <w:rFonts w:asciiTheme="minorHAnsi" w:hAnsiTheme="minorHAnsi" w:cstheme="minorHAnsi"/>
        </w:rPr>
      </w:pPr>
      <w:r w:rsidRPr="0097663A">
        <w:rPr>
          <w:rStyle w:val="FootnoteReference"/>
          <w:rFonts w:asciiTheme="minorHAnsi" w:hAnsiTheme="minorHAnsi" w:cstheme="minorHAnsi"/>
        </w:rPr>
        <w:footnoteRef/>
      </w:r>
      <w:r w:rsidRPr="0097663A">
        <w:rPr>
          <w:rFonts w:asciiTheme="minorHAnsi" w:hAnsiTheme="minorHAnsi" w:cstheme="minorHAnsi"/>
        </w:rPr>
        <w:t xml:space="preserve"> </w:t>
      </w:r>
      <w:bookmarkStart w:id="73" w:name="_Hlk531772130"/>
      <w:r w:rsidRPr="0097663A">
        <w:rPr>
          <w:rFonts w:asciiTheme="minorHAnsi" w:hAnsiTheme="minorHAnsi" w:cstheme="minorHAnsi"/>
          <w:i/>
        </w:rPr>
        <w:t xml:space="preserve">York Glass </w:t>
      </w:r>
      <w:bookmarkEnd w:id="73"/>
      <w:r w:rsidRPr="0097663A">
        <w:rPr>
          <w:rFonts w:asciiTheme="minorHAnsi" w:hAnsiTheme="minorHAnsi" w:cstheme="minorHAnsi"/>
        </w:rPr>
        <w:t>v</w:t>
      </w:r>
      <w:r w:rsidRPr="0097663A">
        <w:rPr>
          <w:rFonts w:asciiTheme="minorHAnsi" w:hAnsiTheme="minorHAnsi" w:cstheme="minorHAnsi"/>
          <w:i/>
        </w:rPr>
        <w:t xml:space="preserve"> Jubb</w:t>
      </w:r>
      <w:r w:rsidRPr="0097663A">
        <w:rPr>
          <w:rFonts w:asciiTheme="minorHAnsi" w:hAnsiTheme="minorHAnsi" w:cstheme="minorHAnsi"/>
        </w:rPr>
        <w:t xml:space="preserve"> (1925) 134 LT 36, [1925] All ER 285 at [292]; </w:t>
      </w:r>
      <w:bookmarkStart w:id="74" w:name="_Hlk18672344"/>
      <w:r w:rsidRPr="0097663A">
        <w:rPr>
          <w:i/>
          <w:iCs/>
        </w:rPr>
        <w:t>Dunhill</w:t>
      </w:r>
      <w:r w:rsidRPr="0097663A">
        <w:t>, above n 104</w:t>
      </w:r>
      <w:bookmarkEnd w:id="74"/>
      <w:r w:rsidRPr="0097663A">
        <w:t>,</w:t>
      </w:r>
      <w:r w:rsidRPr="0097663A">
        <w:rPr>
          <w:rFonts w:cstheme="minorHAnsi"/>
        </w:rPr>
        <w:t xml:space="preserve"> at [25]</w:t>
      </w:r>
      <w:r w:rsidRPr="0097663A">
        <w:rPr>
          <w:rFonts w:asciiTheme="minorHAnsi" w:hAnsiTheme="minorHAnsi" w:cstheme="minorHAnsi"/>
        </w:rPr>
        <w:t xml:space="preserve">. See </w:t>
      </w:r>
      <w:r w:rsidRPr="0097663A">
        <w:t xml:space="preserve">Whittaker, above n 91, </w:t>
      </w:r>
      <w:r w:rsidRPr="0097663A">
        <w:rPr>
          <w:rFonts w:asciiTheme="minorHAnsi" w:hAnsiTheme="minorHAnsi" w:cstheme="minorHAnsi"/>
        </w:rPr>
        <w:t>para 9-082.</w:t>
      </w:r>
    </w:p>
  </w:footnote>
  <w:footnote w:id="148">
    <w:p w14:paraId="5708763D" w14:textId="77777777" w:rsidR="00A83C88" w:rsidRDefault="00A83C88" w:rsidP="00A83C88">
      <w:pPr>
        <w:pStyle w:val="FootnoteText"/>
      </w:pPr>
      <w:r w:rsidRPr="0097663A">
        <w:rPr>
          <w:rStyle w:val="FootnoteReference"/>
        </w:rPr>
        <w:footnoteRef/>
      </w:r>
      <w:r w:rsidRPr="0097663A">
        <w:t xml:space="preserve"> </w:t>
      </w:r>
      <w:bookmarkStart w:id="75" w:name="_Hlk531770177"/>
      <w:r w:rsidRPr="0097663A">
        <w:rPr>
          <w:rFonts w:asciiTheme="minorHAnsi" w:hAnsiTheme="minorHAnsi" w:cstheme="minorHAnsi"/>
          <w:i/>
        </w:rPr>
        <w:t xml:space="preserve">Archer </w:t>
      </w:r>
      <w:bookmarkEnd w:id="75"/>
      <w:r w:rsidRPr="0097663A">
        <w:rPr>
          <w:rFonts w:asciiTheme="minorHAnsi" w:hAnsiTheme="minorHAnsi" w:cstheme="minorHAnsi"/>
        </w:rPr>
        <w:t>v</w:t>
      </w:r>
      <w:r w:rsidRPr="0097663A">
        <w:rPr>
          <w:rFonts w:asciiTheme="minorHAnsi" w:hAnsiTheme="minorHAnsi" w:cstheme="minorHAnsi"/>
          <w:i/>
        </w:rPr>
        <w:t xml:space="preserve"> Cutler</w:t>
      </w:r>
      <w:r w:rsidRPr="0097663A">
        <w:rPr>
          <w:rFonts w:asciiTheme="minorHAnsi" w:hAnsiTheme="minorHAnsi" w:cstheme="minorHAnsi"/>
        </w:rPr>
        <w:t xml:space="preserve"> [1980] 1 NZLR 386</w:t>
      </w:r>
      <w:r w:rsidRPr="0097663A">
        <w:t>.</w:t>
      </w:r>
    </w:p>
  </w:footnote>
  <w:footnote w:id="149">
    <w:p w14:paraId="7AACEAFB" w14:textId="77777777" w:rsidR="00A83C88" w:rsidRPr="00312605" w:rsidRDefault="00A83C88" w:rsidP="00A83C88">
      <w:pPr>
        <w:pStyle w:val="FootnoteText"/>
        <w:rPr>
          <w:rFonts w:asciiTheme="minorHAnsi" w:hAnsiTheme="minorHAnsi" w:cstheme="minorHAnsi"/>
        </w:rPr>
      </w:pPr>
      <w:r w:rsidRPr="00312605">
        <w:rPr>
          <w:rStyle w:val="FootnoteReference"/>
          <w:rFonts w:asciiTheme="minorHAnsi" w:hAnsiTheme="minorHAnsi" w:cstheme="minorHAnsi"/>
        </w:rPr>
        <w:footnoteRef/>
      </w:r>
      <w:r w:rsidRPr="00312605">
        <w:rPr>
          <w:rFonts w:asciiTheme="minorHAnsi" w:hAnsiTheme="minorHAnsi" w:cstheme="minorHAnsi"/>
        </w:rPr>
        <w:t xml:space="preserve"> </w:t>
      </w:r>
      <w:r w:rsidRPr="00312605">
        <w:rPr>
          <w:rFonts w:cstheme="minorHAnsi"/>
        </w:rPr>
        <w:t xml:space="preserve">Herring, above n 108, </w:t>
      </w:r>
      <w:r w:rsidRPr="00312605">
        <w:rPr>
          <w:rFonts w:asciiTheme="minorHAnsi" w:hAnsiTheme="minorHAnsi" w:cstheme="minorHAnsi"/>
        </w:rPr>
        <w:t>228-229.</w:t>
      </w:r>
    </w:p>
  </w:footnote>
  <w:footnote w:id="150">
    <w:p w14:paraId="56BFA3CE" w14:textId="77777777" w:rsidR="00A83C88" w:rsidRPr="0097663A" w:rsidRDefault="00A83C88" w:rsidP="00A83C88">
      <w:pPr>
        <w:pStyle w:val="FootnoteText"/>
        <w:rPr>
          <w:rFonts w:asciiTheme="minorHAnsi" w:hAnsiTheme="minorHAnsi" w:cstheme="minorHAnsi"/>
        </w:rPr>
      </w:pPr>
      <w:r w:rsidRPr="0097663A">
        <w:rPr>
          <w:rStyle w:val="FootnoteReference"/>
          <w:rFonts w:asciiTheme="minorHAnsi" w:hAnsiTheme="minorHAnsi" w:cstheme="minorHAnsi"/>
        </w:rPr>
        <w:footnoteRef/>
      </w:r>
      <w:r w:rsidRPr="0097663A">
        <w:rPr>
          <w:rFonts w:asciiTheme="minorHAnsi" w:hAnsiTheme="minorHAnsi" w:cstheme="minorHAnsi"/>
        </w:rPr>
        <w:t xml:space="preserve"> </w:t>
      </w:r>
      <w:r w:rsidRPr="0097663A">
        <w:rPr>
          <w:rFonts w:cstheme="minorHAnsi"/>
        </w:rPr>
        <w:t>Chen-Wishart, above n 133</w:t>
      </w:r>
      <w:r w:rsidRPr="0097663A">
        <w:rPr>
          <w:rFonts w:asciiTheme="minorHAnsi" w:hAnsiTheme="minorHAnsi" w:cstheme="minorHAnsi"/>
        </w:rPr>
        <w:t>.</w:t>
      </w:r>
    </w:p>
  </w:footnote>
  <w:footnote w:id="151">
    <w:p w14:paraId="10FC0329" w14:textId="77777777" w:rsidR="00A83C88" w:rsidRPr="00A507F2" w:rsidRDefault="00A83C88" w:rsidP="00A83C88">
      <w:pPr>
        <w:pStyle w:val="FootnoteText"/>
        <w:rPr>
          <w:rFonts w:asciiTheme="minorHAnsi" w:hAnsiTheme="minorHAnsi" w:cstheme="minorHAnsi"/>
        </w:rPr>
      </w:pPr>
      <w:r w:rsidRPr="00A507F2">
        <w:rPr>
          <w:rStyle w:val="FootnoteReference"/>
          <w:rFonts w:asciiTheme="minorHAnsi" w:hAnsiTheme="minorHAnsi" w:cstheme="minorHAnsi"/>
        </w:rPr>
        <w:footnoteRef/>
      </w:r>
      <w:r w:rsidRPr="00A507F2">
        <w:rPr>
          <w:rFonts w:asciiTheme="minorHAnsi" w:hAnsiTheme="minorHAnsi" w:cstheme="minorHAnsi"/>
        </w:rPr>
        <w:t xml:space="preserve"> </w:t>
      </w:r>
      <w:r w:rsidRPr="00A507F2">
        <w:rPr>
          <w:rFonts w:cstheme="minorHAnsi"/>
        </w:rPr>
        <w:t>Herring, above n 108</w:t>
      </w:r>
      <w:r w:rsidRPr="00A507F2">
        <w:rPr>
          <w:rFonts w:asciiTheme="minorHAnsi" w:hAnsiTheme="minorHAnsi" w:cstheme="minorHAnsi"/>
        </w:rPr>
        <w:t>, 228.</w:t>
      </w:r>
    </w:p>
  </w:footnote>
  <w:footnote w:id="152">
    <w:p w14:paraId="2F11EFE5" w14:textId="2C48E2DD" w:rsidR="00A83C88" w:rsidRDefault="00A83C88" w:rsidP="00A83C88">
      <w:pPr>
        <w:pStyle w:val="FootnoteText"/>
      </w:pPr>
      <w:r w:rsidRPr="0097663A">
        <w:rPr>
          <w:rStyle w:val="FootnoteReference"/>
        </w:rPr>
        <w:footnoteRef/>
      </w:r>
      <w:r w:rsidRPr="0097663A">
        <w:t xml:space="preserve"> Teubner, above n 78</w:t>
      </w:r>
      <w:r w:rsidR="00546DF3">
        <w:t>, 400</w:t>
      </w:r>
      <w:r w:rsidRPr="0097663A">
        <w:t>.</w:t>
      </w:r>
    </w:p>
  </w:footnote>
  <w:footnote w:id="153">
    <w:p w14:paraId="5E2D0047" w14:textId="77777777" w:rsidR="00A83C88" w:rsidRPr="001D6C41" w:rsidRDefault="00A83C88" w:rsidP="00A83C88">
      <w:pPr>
        <w:pStyle w:val="FootnoteText"/>
      </w:pPr>
      <w:r w:rsidRPr="001D6C41">
        <w:rPr>
          <w:rStyle w:val="FootnoteReference"/>
        </w:rPr>
        <w:footnoteRef/>
      </w:r>
      <w:r w:rsidRPr="001D6C41">
        <w:t xml:space="preserve"> </w:t>
      </w:r>
      <w:r w:rsidRPr="00276BA6">
        <w:rPr>
          <w:rFonts w:cstheme="minorHAnsi"/>
        </w:rPr>
        <w:t>Collins, above n 18</w:t>
      </w:r>
      <w:r w:rsidRPr="001D6C41">
        <w:rPr>
          <w:rFonts w:asciiTheme="minorHAnsi" w:hAnsiTheme="minorHAnsi" w:cstheme="minorHAnsi"/>
          <w:szCs w:val="22"/>
        </w:rPr>
        <w:t>,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82"/>
    <w:rsid w:val="000117A8"/>
    <w:rsid w:val="00020318"/>
    <w:rsid w:val="00021C8A"/>
    <w:rsid w:val="00023BCC"/>
    <w:rsid w:val="000243BB"/>
    <w:rsid w:val="00025AF6"/>
    <w:rsid w:val="00026718"/>
    <w:rsid w:val="00026A9E"/>
    <w:rsid w:val="00035F96"/>
    <w:rsid w:val="0004249E"/>
    <w:rsid w:val="00045890"/>
    <w:rsid w:val="000464E9"/>
    <w:rsid w:val="00050995"/>
    <w:rsid w:val="00051B1B"/>
    <w:rsid w:val="0005332E"/>
    <w:rsid w:val="0005494C"/>
    <w:rsid w:val="00055F2F"/>
    <w:rsid w:val="0005716F"/>
    <w:rsid w:val="00061E4D"/>
    <w:rsid w:val="00062A8C"/>
    <w:rsid w:val="000650A7"/>
    <w:rsid w:val="0007210D"/>
    <w:rsid w:val="00074C72"/>
    <w:rsid w:val="00075921"/>
    <w:rsid w:val="000769A4"/>
    <w:rsid w:val="0008017D"/>
    <w:rsid w:val="000803B2"/>
    <w:rsid w:val="000858EE"/>
    <w:rsid w:val="000877DF"/>
    <w:rsid w:val="00093C96"/>
    <w:rsid w:val="000968A2"/>
    <w:rsid w:val="00097AD0"/>
    <w:rsid w:val="00097DE5"/>
    <w:rsid w:val="000A1416"/>
    <w:rsid w:val="000A3875"/>
    <w:rsid w:val="000A7508"/>
    <w:rsid w:val="000B091D"/>
    <w:rsid w:val="000B0970"/>
    <w:rsid w:val="000B35C3"/>
    <w:rsid w:val="000C30FE"/>
    <w:rsid w:val="000C4423"/>
    <w:rsid w:val="000C6033"/>
    <w:rsid w:val="000C682C"/>
    <w:rsid w:val="000C6A4C"/>
    <w:rsid w:val="000C7DB4"/>
    <w:rsid w:val="000D3E0B"/>
    <w:rsid w:val="000D6FE3"/>
    <w:rsid w:val="000D7DE2"/>
    <w:rsid w:val="000E4141"/>
    <w:rsid w:val="000E75BA"/>
    <w:rsid w:val="000F0311"/>
    <w:rsid w:val="000F1E41"/>
    <w:rsid w:val="000F4536"/>
    <w:rsid w:val="000F47EC"/>
    <w:rsid w:val="000F7B16"/>
    <w:rsid w:val="0010051C"/>
    <w:rsid w:val="0010516A"/>
    <w:rsid w:val="00105596"/>
    <w:rsid w:val="001115F0"/>
    <w:rsid w:val="0011679E"/>
    <w:rsid w:val="00122A0B"/>
    <w:rsid w:val="00132248"/>
    <w:rsid w:val="00136D1E"/>
    <w:rsid w:val="0014018C"/>
    <w:rsid w:val="001418FB"/>
    <w:rsid w:val="00143F9A"/>
    <w:rsid w:val="00152A6B"/>
    <w:rsid w:val="00153F89"/>
    <w:rsid w:val="001561A9"/>
    <w:rsid w:val="00162C3B"/>
    <w:rsid w:val="001675CD"/>
    <w:rsid w:val="0017061A"/>
    <w:rsid w:val="0017299F"/>
    <w:rsid w:val="00177C19"/>
    <w:rsid w:val="001854DD"/>
    <w:rsid w:val="00191E12"/>
    <w:rsid w:val="00192270"/>
    <w:rsid w:val="0019286F"/>
    <w:rsid w:val="0019752D"/>
    <w:rsid w:val="001A0801"/>
    <w:rsid w:val="001A2E9D"/>
    <w:rsid w:val="001A5860"/>
    <w:rsid w:val="001A679B"/>
    <w:rsid w:val="001A778C"/>
    <w:rsid w:val="001B2B04"/>
    <w:rsid w:val="001B7470"/>
    <w:rsid w:val="001D6E92"/>
    <w:rsid w:val="001E3D9C"/>
    <w:rsid w:val="001E4D11"/>
    <w:rsid w:val="001F109F"/>
    <w:rsid w:val="001F3B1E"/>
    <w:rsid w:val="001F5D81"/>
    <w:rsid w:val="001F65A1"/>
    <w:rsid w:val="001F7DA1"/>
    <w:rsid w:val="00205F5F"/>
    <w:rsid w:val="00206149"/>
    <w:rsid w:val="00214DE0"/>
    <w:rsid w:val="002238BB"/>
    <w:rsid w:val="00224255"/>
    <w:rsid w:val="00224673"/>
    <w:rsid w:val="002275CF"/>
    <w:rsid w:val="002339B2"/>
    <w:rsid w:val="00235F97"/>
    <w:rsid w:val="00240248"/>
    <w:rsid w:val="0024273E"/>
    <w:rsid w:val="00242B78"/>
    <w:rsid w:val="00244266"/>
    <w:rsid w:val="002511E3"/>
    <w:rsid w:val="00253377"/>
    <w:rsid w:val="00256AF2"/>
    <w:rsid w:val="00262262"/>
    <w:rsid w:val="00262A53"/>
    <w:rsid w:val="00264EDC"/>
    <w:rsid w:val="002659D2"/>
    <w:rsid w:val="002661C5"/>
    <w:rsid w:val="00274C9D"/>
    <w:rsid w:val="00276B93"/>
    <w:rsid w:val="002777A2"/>
    <w:rsid w:val="0028217A"/>
    <w:rsid w:val="002837B2"/>
    <w:rsid w:val="00285F80"/>
    <w:rsid w:val="00286C5D"/>
    <w:rsid w:val="00291960"/>
    <w:rsid w:val="00293D05"/>
    <w:rsid w:val="0029553C"/>
    <w:rsid w:val="002A0234"/>
    <w:rsid w:val="002A03FB"/>
    <w:rsid w:val="002A4907"/>
    <w:rsid w:val="002A518D"/>
    <w:rsid w:val="002A6217"/>
    <w:rsid w:val="002B51C8"/>
    <w:rsid w:val="002C035F"/>
    <w:rsid w:val="002C289E"/>
    <w:rsid w:val="002C3002"/>
    <w:rsid w:val="002C42D7"/>
    <w:rsid w:val="002C4A3B"/>
    <w:rsid w:val="002C63F7"/>
    <w:rsid w:val="002C742B"/>
    <w:rsid w:val="002D1C7A"/>
    <w:rsid w:val="002E13EF"/>
    <w:rsid w:val="002E6B7B"/>
    <w:rsid w:val="002E7571"/>
    <w:rsid w:val="002F302A"/>
    <w:rsid w:val="002F3D7D"/>
    <w:rsid w:val="002F6BE1"/>
    <w:rsid w:val="002F710D"/>
    <w:rsid w:val="002F76C5"/>
    <w:rsid w:val="00301D5D"/>
    <w:rsid w:val="00312605"/>
    <w:rsid w:val="00314D90"/>
    <w:rsid w:val="00317506"/>
    <w:rsid w:val="00317B73"/>
    <w:rsid w:val="0032057E"/>
    <w:rsid w:val="00321F91"/>
    <w:rsid w:val="0032233D"/>
    <w:rsid w:val="00331FF1"/>
    <w:rsid w:val="00332435"/>
    <w:rsid w:val="0033347D"/>
    <w:rsid w:val="003420FB"/>
    <w:rsid w:val="00354F5B"/>
    <w:rsid w:val="00356352"/>
    <w:rsid w:val="0035790D"/>
    <w:rsid w:val="0036220A"/>
    <w:rsid w:val="00364381"/>
    <w:rsid w:val="0036616B"/>
    <w:rsid w:val="00367FC1"/>
    <w:rsid w:val="00370F1A"/>
    <w:rsid w:val="00371A93"/>
    <w:rsid w:val="00374B97"/>
    <w:rsid w:val="00375877"/>
    <w:rsid w:val="00384A8C"/>
    <w:rsid w:val="00385240"/>
    <w:rsid w:val="00386CFF"/>
    <w:rsid w:val="00387046"/>
    <w:rsid w:val="0039552B"/>
    <w:rsid w:val="00396D22"/>
    <w:rsid w:val="003A1D6B"/>
    <w:rsid w:val="003A39C3"/>
    <w:rsid w:val="003A471C"/>
    <w:rsid w:val="003A5BDD"/>
    <w:rsid w:val="003B0C78"/>
    <w:rsid w:val="003C0761"/>
    <w:rsid w:val="003C0D28"/>
    <w:rsid w:val="003C55FC"/>
    <w:rsid w:val="003C6CC5"/>
    <w:rsid w:val="003C6D76"/>
    <w:rsid w:val="003D1F0D"/>
    <w:rsid w:val="003D34EB"/>
    <w:rsid w:val="003D44D5"/>
    <w:rsid w:val="003D6340"/>
    <w:rsid w:val="003D66A7"/>
    <w:rsid w:val="003E2A3A"/>
    <w:rsid w:val="003E39B2"/>
    <w:rsid w:val="003E4261"/>
    <w:rsid w:val="003E5507"/>
    <w:rsid w:val="003F0D34"/>
    <w:rsid w:val="003F162B"/>
    <w:rsid w:val="003F4A53"/>
    <w:rsid w:val="003F6255"/>
    <w:rsid w:val="003F6711"/>
    <w:rsid w:val="00404EBA"/>
    <w:rsid w:val="00407B1D"/>
    <w:rsid w:val="00424E49"/>
    <w:rsid w:val="00426364"/>
    <w:rsid w:val="00426D1C"/>
    <w:rsid w:val="00431E56"/>
    <w:rsid w:val="0044077A"/>
    <w:rsid w:val="004412CC"/>
    <w:rsid w:val="00445298"/>
    <w:rsid w:val="00446E62"/>
    <w:rsid w:val="00451799"/>
    <w:rsid w:val="004668EF"/>
    <w:rsid w:val="00466D49"/>
    <w:rsid w:val="00472786"/>
    <w:rsid w:val="00476450"/>
    <w:rsid w:val="00480651"/>
    <w:rsid w:val="0048579E"/>
    <w:rsid w:val="00492D12"/>
    <w:rsid w:val="004A2D1F"/>
    <w:rsid w:val="004A3077"/>
    <w:rsid w:val="004A7AD8"/>
    <w:rsid w:val="004B1747"/>
    <w:rsid w:val="004B1D23"/>
    <w:rsid w:val="004B2367"/>
    <w:rsid w:val="004B28A3"/>
    <w:rsid w:val="004B5112"/>
    <w:rsid w:val="004B54B0"/>
    <w:rsid w:val="004B7564"/>
    <w:rsid w:val="004C7E90"/>
    <w:rsid w:val="004D1D9D"/>
    <w:rsid w:val="004D72A8"/>
    <w:rsid w:val="004E4BA4"/>
    <w:rsid w:val="004E4EF3"/>
    <w:rsid w:val="004E5A58"/>
    <w:rsid w:val="004E5E4F"/>
    <w:rsid w:val="004F02EC"/>
    <w:rsid w:val="00501D02"/>
    <w:rsid w:val="0050406B"/>
    <w:rsid w:val="00506CB0"/>
    <w:rsid w:val="005146BB"/>
    <w:rsid w:val="005166E7"/>
    <w:rsid w:val="005221F9"/>
    <w:rsid w:val="0052758D"/>
    <w:rsid w:val="005312D4"/>
    <w:rsid w:val="00532709"/>
    <w:rsid w:val="00533421"/>
    <w:rsid w:val="00542472"/>
    <w:rsid w:val="00543388"/>
    <w:rsid w:val="00543684"/>
    <w:rsid w:val="00545A9F"/>
    <w:rsid w:val="00546DF3"/>
    <w:rsid w:val="00551A37"/>
    <w:rsid w:val="00553E5D"/>
    <w:rsid w:val="00554733"/>
    <w:rsid w:val="00557071"/>
    <w:rsid w:val="0056148E"/>
    <w:rsid w:val="005633C6"/>
    <w:rsid w:val="00564578"/>
    <w:rsid w:val="00565149"/>
    <w:rsid w:val="0056555A"/>
    <w:rsid w:val="0057340F"/>
    <w:rsid w:val="00574D09"/>
    <w:rsid w:val="0057572F"/>
    <w:rsid w:val="0057627E"/>
    <w:rsid w:val="00584720"/>
    <w:rsid w:val="0059128F"/>
    <w:rsid w:val="00591535"/>
    <w:rsid w:val="0059362A"/>
    <w:rsid w:val="005939E1"/>
    <w:rsid w:val="00596382"/>
    <w:rsid w:val="0059706E"/>
    <w:rsid w:val="005A392A"/>
    <w:rsid w:val="005B27A2"/>
    <w:rsid w:val="005B290D"/>
    <w:rsid w:val="005B5E3C"/>
    <w:rsid w:val="005C0768"/>
    <w:rsid w:val="005C143F"/>
    <w:rsid w:val="005C2536"/>
    <w:rsid w:val="005D0903"/>
    <w:rsid w:val="005D43CA"/>
    <w:rsid w:val="005D51E5"/>
    <w:rsid w:val="005D5D22"/>
    <w:rsid w:val="005E77FA"/>
    <w:rsid w:val="005F2CE2"/>
    <w:rsid w:val="005F4C08"/>
    <w:rsid w:val="005F6C42"/>
    <w:rsid w:val="00600932"/>
    <w:rsid w:val="00600982"/>
    <w:rsid w:val="00607BDF"/>
    <w:rsid w:val="00607BE3"/>
    <w:rsid w:val="00610DE3"/>
    <w:rsid w:val="00613A8C"/>
    <w:rsid w:val="00613F54"/>
    <w:rsid w:val="006163C3"/>
    <w:rsid w:val="0061726C"/>
    <w:rsid w:val="0062228C"/>
    <w:rsid w:val="00624EA6"/>
    <w:rsid w:val="00630CE7"/>
    <w:rsid w:val="006401B3"/>
    <w:rsid w:val="00647BDB"/>
    <w:rsid w:val="0065308D"/>
    <w:rsid w:val="0065373A"/>
    <w:rsid w:val="00663F8B"/>
    <w:rsid w:val="0066458D"/>
    <w:rsid w:val="00670579"/>
    <w:rsid w:val="0067071A"/>
    <w:rsid w:val="00670A31"/>
    <w:rsid w:val="00672292"/>
    <w:rsid w:val="006779F6"/>
    <w:rsid w:val="006801E7"/>
    <w:rsid w:val="006827BB"/>
    <w:rsid w:val="0068395C"/>
    <w:rsid w:val="00685782"/>
    <w:rsid w:val="0069088F"/>
    <w:rsid w:val="006926C5"/>
    <w:rsid w:val="00692951"/>
    <w:rsid w:val="00692F0D"/>
    <w:rsid w:val="0069701A"/>
    <w:rsid w:val="006A1BA7"/>
    <w:rsid w:val="006A4DCB"/>
    <w:rsid w:val="006A6511"/>
    <w:rsid w:val="006A7107"/>
    <w:rsid w:val="006A71A4"/>
    <w:rsid w:val="006B2088"/>
    <w:rsid w:val="006B6F2B"/>
    <w:rsid w:val="006C0A99"/>
    <w:rsid w:val="006C2313"/>
    <w:rsid w:val="006C5355"/>
    <w:rsid w:val="006C6BAF"/>
    <w:rsid w:val="006D776C"/>
    <w:rsid w:val="006E1E13"/>
    <w:rsid w:val="006E58C0"/>
    <w:rsid w:val="006F2CC5"/>
    <w:rsid w:val="006F3DF5"/>
    <w:rsid w:val="00701CDD"/>
    <w:rsid w:val="00703066"/>
    <w:rsid w:val="00703A0B"/>
    <w:rsid w:val="007064A9"/>
    <w:rsid w:val="00707EC9"/>
    <w:rsid w:val="00714B00"/>
    <w:rsid w:val="00716785"/>
    <w:rsid w:val="00721508"/>
    <w:rsid w:val="007259DD"/>
    <w:rsid w:val="007269DB"/>
    <w:rsid w:val="0073028F"/>
    <w:rsid w:val="00731D44"/>
    <w:rsid w:val="00734444"/>
    <w:rsid w:val="007350EE"/>
    <w:rsid w:val="00735664"/>
    <w:rsid w:val="00736FA1"/>
    <w:rsid w:val="007378AD"/>
    <w:rsid w:val="00740AEA"/>
    <w:rsid w:val="00740DD8"/>
    <w:rsid w:val="007437E9"/>
    <w:rsid w:val="0075563C"/>
    <w:rsid w:val="00755CC5"/>
    <w:rsid w:val="007562D3"/>
    <w:rsid w:val="00764C3C"/>
    <w:rsid w:val="007650CE"/>
    <w:rsid w:val="0077114A"/>
    <w:rsid w:val="00780210"/>
    <w:rsid w:val="007809C0"/>
    <w:rsid w:val="00780C17"/>
    <w:rsid w:val="00784922"/>
    <w:rsid w:val="00786D5F"/>
    <w:rsid w:val="00787731"/>
    <w:rsid w:val="00790A07"/>
    <w:rsid w:val="00793581"/>
    <w:rsid w:val="007A07AE"/>
    <w:rsid w:val="007A6A20"/>
    <w:rsid w:val="007B147E"/>
    <w:rsid w:val="007B15BD"/>
    <w:rsid w:val="007B2523"/>
    <w:rsid w:val="007B5F06"/>
    <w:rsid w:val="007B77DE"/>
    <w:rsid w:val="007C0FF5"/>
    <w:rsid w:val="007C3E40"/>
    <w:rsid w:val="007C400D"/>
    <w:rsid w:val="007D2407"/>
    <w:rsid w:val="007D3E51"/>
    <w:rsid w:val="007D4FA6"/>
    <w:rsid w:val="007E03B4"/>
    <w:rsid w:val="007E3968"/>
    <w:rsid w:val="007E5D3B"/>
    <w:rsid w:val="007E7ABD"/>
    <w:rsid w:val="007F2E42"/>
    <w:rsid w:val="007F36DE"/>
    <w:rsid w:val="007F42E4"/>
    <w:rsid w:val="007F450D"/>
    <w:rsid w:val="00802841"/>
    <w:rsid w:val="0081011E"/>
    <w:rsid w:val="00810816"/>
    <w:rsid w:val="00824D1F"/>
    <w:rsid w:val="008306F9"/>
    <w:rsid w:val="008335CF"/>
    <w:rsid w:val="0083772D"/>
    <w:rsid w:val="00843134"/>
    <w:rsid w:val="00844EAB"/>
    <w:rsid w:val="008452C1"/>
    <w:rsid w:val="008521BF"/>
    <w:rsid w:val="00852B1D"/>
    <w:rsid w:val="0086083E"/>
    <w:rsid w:val="0086283F"/>
    <w:rsid w:val="00863C5A"/>
    <w:rsid w:val="00866A98"/>
    <w:rsid w:val="008741EB"/>
    <w:rsid w:val="008770CB"/>
    <w:rsid w:val="00877F5D"/>
    <w:rsid w:val="00884D50"/>
    <w:rsid w:val="00885051"/>
    <w:rsid w:val="008862B2"/>
    <w:rsid w:val="0089504D"/>
    <w:rsid w:val="00895EC3"/>
    <w:rsid w:val="00897AA9"/>
    <w:rsid w:val="008A45D0"/>
    <w:rsid w:val="008A78D4"/>
    <w:rsid w:val="008B32AB"/>
    <w:rsid w:val="008B5144"/>
    <w:rsid w:val="008B662D"/>
    <w:rsid w:val="008B67F9"/>
    <w:rsid w:val="008B7CCF"/>
    <w:rsid w:val="008C0B6D"/>
    <w:rsid w:val="008C48FF"/>
    <w:rsid w:val="008C6E9F"/>
    <w:rsid w:val="008C7C05"/>
    <w:rsid w:val="008D1229"/>
    <w:rsid w:val="008D2176"/>
    <w:rsid w:val="008D23DF"/>
    <w:rsid w:val="008D3E72"/>
    <w:rsid w:val="008D4E35"/>
    <w:rsid w:val="008E38E4"/>
    <w:rsid w:val="008F3230"/>
    <w:rsid w:val="008F34CC"/>
    <w:rsid w:val="008F4CA1"/>
    <w:rsid w:val="008F54AF"/>
    <w:rsid w:val="008F58CC"/>
    <w:rsid w:val="008F6A8A"/>
    <w:rsid w:val="009001CB"/>
    <w:rsid w:val="009009F1"/>
    <w:rsid w:val="00901127"/>
    <w:rsid w:val="009013C3"/>
    <w:rsid w:val="00902188"/>
    <w:rsid w:val="00902F9C"/>
    <w:rsid w:val="00903283"/>
    <w:rsid w:val="00907AA4"/>
    <w:rsid w:val="00910B9E"/>
    <w:rsid w:val="00912395"/>
    <w:rsid w:val="009147F9"/>
    <w:rsid w:val="009149FC"/>
    <w:rsid w:val="00915247"/>
    <w:rsid w:val="009201B0"/>
    <w:rsid w:val="0092166D"/>
    <w:rsid w:val="009247B6"/>
    <w:rsid w:val="00925581"/>
    <w:rsid w:val="0092649B"/>
    <w:rsid w:val="00933090"/>
    <w:rsid w:val="009332A4"/>
    <w:rsid w:val="00936A0D"/>
    <w:rsid w:val="009376B5"/>
    <w:rsid w:val="00942F53"/>
    <w:rsid w:val="00943F63"/>
    <w:rsid w:val="009455AA"/>
    <w:rsid w:val="00951CC7"/>
    <w:rsid w:val="009523D6"/>
    <w:rsid w:val="00954A6C"/>
    <w:rsid w:val="00956439"/>
    <w:rsid w:val="00957995"/>
    <w:rsid w:val="00961445"/>
    <w:rsid w:val="009701A4"/>
    <w:rsid w:val="0097298A"/>
    <w:rsid w:val="009735F9"/>
    <w:rsid w:val="0097663A"/>
    <w:rsid w:val="0098079B"/>
    <w:rsid w:val="00980A82"/>
    <w:rsid w:val="009A20C3"/>
    <w:rsid w:val="009A49FB"/>
    <w:rsid w:val="009A73DD"/>
    <w:rsid w:val="009A7B85"/>
    <w:rsid w:val="009B4E55"/>
    <w:rsid w:val="009B684F"/>
    <w:rsid w:val="009B7A8D"/>
    <w:rsid w:val="009C411D"/>
    <w:rsid w:val="009C5D70"/>
    <w:rsid w:val="009D3165"/>
    <w:rsid w:val="009D68AC"/>
    <w:rsid w:val="009E5C1D"/>
    <w:rsid w:val="009E6C0C"/>
    <w:rsid w:val="009F21FD"/>
    <w:rsid w:val="009F24A0"/>
    <w:rsid w:val="009F6645"/>
    <w:rsid w:val="00A14E3F"/>
    <w:rsid w:val="00A21632"/>
    <w:rsid w:val="00A2588D"/>
    <w:rsid w:val="00A32676"/>
    <w:rsid w:val="00A3795B"/>
    <w:rsid w:val="00A431E8"/>
    <w:rsid w:val="00A46253"/>
    <w:rsid w:val="00A46EB4"/>
    <w:rsid w:val="00A507F2"/>
    <w:rsid w:val="00A52739"/>
    <w:rsid w:val="00A53106"/>
    <w:rsid w:val="00A567F9"/>
    <w:rsid w:val="00A634F4"/>
    <w:rsid w:val="00A649F2"/>
    <w:rsid w:val="00A66DA6"/>
    <w:rsid w:val="00A66FCF"/>
    <w:rsid w:val="00A71B64"/>
    <w:rsid w:val="00A75C92"/>
    <w:rsid w:val="00A77186"/>
    <w:rsid w:val="00A80000"/>
    <w:rsid w:val="00A80D7F"/>
    <w:rsid w:val="00A81B69"/>
    <w:rsid w:val="00A83820"/>
    <w:rsid w:val="00A83C88"/>
    <w:rsid w:val="00A90345"/>
    <w:rsid w:val="00A917CC"/>
    <w:rsid w:val="00A9338B"/>
    <w:rsid w:val="00A935BB"/>
    <w:rsid w:val="00AA0167"/>
    <w:rsid w:val="00AA05F6"/>
    <w:rsid w:val="00AA7F75"/>
    <w:rsid w:val="00AC13A9"/>
    <w:rsid w:val="00AC175D"/>
    <w:rsid w:val="00AC2496"/>
    <w:rsid w:val="00AD6886"/>
    <w:rsid w:val="00AD7F5A"/>
    <w:rsid w:val="00AE2FB1"/>
    <w:rsid w:val="00AE30F3"/>
    <w:rsid w:val="00AF17DC"/>
    <w:rsid w:val="00B03DD0"/>
    <w:rsid w:val="00B04B0D"/>
    <w:rsid w:val="00B1737E"/>
    <w:rsid w:val="00B214E9"/>
    <w:rsid w:val="00B2301A"/>
    <w:rsid w:val="00B3151F"/>
    <w:rsid w:val="00B32775"/>
    <w:rsid w:val="00B344ED"/>
    <w:rsid w:val="00B362EA"/>
    <w:rsid w:val="00B402B9"/>
    <w:rsid w:val="00B4187A"/>
    <w:rsid w:val="00B53330"/>
    <w:rsid w:val="00B55945"/>
    <w:rsid w:val="00B5605A"/>
    <w:rsid w:val="00B56A81"/>
    <w:rsid w:val="00B571CD"/>
    <w:rsid w:val="00B64BCC"/>
    <w:rsid w:val="00B65292"/>
    <w:rsid w:val="00B701B0"/>
    <w:rsid w:val="00B70AC2"/>
    <w:rsid w:val="00B713A8"/>
    <w:rsid w:val="00B7473E"/>
    <w:rsid w:val="00B7588D"/>
    <w:rsid w:val="00B803A6"/>
    <w:rsid w:val="00B833BC"/>
    <w:rsid w:val="00B94A5C"/>
    <w:rsid w:val="00BA04A8"/>
    <w:rsid w:val="00BB0047"/>
    <w:rsid w:val="00BB0C9E"/>
    <w:rsid w:val="00BB119F"/>
    <w:rsid w:val="00BB1F87"/>
    <w:rsid w:val="00BC04D6"/>
    <w:rsid w:val="00BC0CC7"/>
    <w:rsid w:val="00BC0F2F"/>
    <w:rsid w:val="00BC46C6"/>
    <w:rsid w:val="00BC6423"/>
    <w:rsid w:val="00BC7872"/>
    <w:rsid w:val="00BD36CC"/>
    <w:rsid w:val="00BD7E37"/>
    <w:rsid w:val="00BE371A"/>
    <w:rsid w:val="00BE4300"/>
    <w:rsid w:val="00BF296E"/>
    <w:rsid w:val="00BF71A3"/>
    <w:rsid w:val="00C00BA6"/>
    <w:rsid w:val="00C01B5D"/>
    <w:rsid w:val="00C04BA3"/>
    <w:rsid w:val="00C0530C"/>
    <w:rsid w:val="00C110B7"/>
    <w:rsid w:val="00C15AD7"/>
    <w:rsid w:val="00C17A35"/>
    <w:rsid w:val="00C25AFB"/>
    <w:rsid w:val="00C30B91"/>
    <w:rsid w:val="00C31C3D"/>
    <w:rsid w:val="00C32847"/>
    <w:rsid w:val="00C36385"/>
    <w:rsid w:val="00C3765E"/>
    <w:rsid w:val="00C465CD"/>
    <w:rsid w:val="00C67147"/>
    <w:rsid w:val="00C7084D"/>
    <w:rsid w:val="00C80E41"/>
    <w:rsid w:val="00C831CE"/>
    <w:rsid w:val="00C85240"/>
    <w:rsid w:val="00C866E6"/>
    <w:rsid w:val="00C87D11"/>
    <w:rsid w:val="00C9107C"/>
    <w:rsid w:val="00C9126B"/>
    <w:rsid w:val="00C915EC"/>
    <w:rsid w:val="00CA1F3F"/>
    <w:rsid w:val="00CA283D"/>
    <w:rsid w:val="00CA4ADF"/>
    <w:rsid w:val="00CA4C63"/>
    <w:rsid w:val="00CA5692"/>
    <w:rsid w:val="00CB0CD9"/>
    <w:rsid w:val="00CB15F1"/>
    <w:rsid w:val="00CB1603"/>
    <w:rsid w:val="00CB22DB"/>
    <w:rsid w:val="00CB4B57"/>
    <w:rsid w:val="00CC0D8E"/>
    <w:rsid w:val="00CC2B51"/>
    <w:rsid w:val="00CC5FCD"/>
    <w:rsid w:val="00CD1358"/>
    <w:rsid w:val="00CD16C4"/>
    <w:rsid w:val="00CD2C9C"/>
    <w:rsid w:val="00CD2D24"/>
    <w:rsid w:val="00CD5DD2"/>
    <w:rsid w:val="00CF025F"/>
    <w:rsid w:val="00CF7893"/>
    <w:rsid w:val="00D04817"/>
    <w:rsid w:val="00D069FB"/>
    <w:rsid w:val="00D11372"/>
    <w:rsid w:val="00D11E82"/>
    <w:rsid w:val="00D14322"/>
    <w:rsid w:val="00D221ED"/>
    <w:rsid w:val="00D22529"/>
    <w:rsid w:val="00D24561"/>
    <w:rsid w:val="00D2631B"/>
    <w:rsid w:val="00D27689"/>
    <w:rsid w:val="00D2768F"/>
    <w:rsid w:val="00D31E35"/>
    <w:rsid w:val="00D408FA"/>
    <w:rsid w:val="00D446B4"/>
    <w:rsid w:val="00D44E82"/>
    <w:rsid w:val="00D51845"/>
    <w:rsid w:val="00D55F4D"/>
    <w:rsid w:val="00D56F1C"/>
    <w:rsid w:val="00D5722A"/>
    <w:rsid w:val="00D57639"/>
    <w:rsid w:val="00D6265D"/>
    <w:rsid w:val="00D64A92"/>
    <w:rsid w:val="00D64BCD"/>
    <w:rsid w:val="00D722FA"/>
    <w:rsid w:val="00D76ECC"/>
    <w:rsid w:val="00D84AD7"/>
    <w:rsid w:val="00D90FF4"/>
    <w:rsid w:val="00D94C0E"/>
    <w:rsid w:val="00DA45F1"/>
    <w:rsid w:val="00DA630E"/>
    <w:rsid w:val="00DA6DA8"/>
    <w:rsid w:val="00DA7815"/>
    <w:rsid w:val="00DB65D2"/>
    <w:rsid w:val="00DC231B"/>
    <w:rsid w:val="00DC5D6E"/>
    <w:rsid w:val="00DC75C6"/>
    <w:rsid w:val="00DD1ECF"/>
    <w:rsid w:val="00DD3DFD"/>
    <w:rsid w:val="00DD4D39"/>
    <w:rsid w:val="00DD6D8E"/>
    <w:rsid w:val="00DD7636"/>
    <w:rsid w:val="00DE0F2F"/>
    <w:rsid w:val="00DE1A3C"/>
    <w:rsid w:val="00DE6A68"/>
    <w:rsid w:val="00DF0011"/>
    <w:rsid w:val="00DF3951"/>
    <w:rsid w:val="00DF48CD"/>
    <w:rsid w:val="00DF5274"/>
    <w:rsid w:val="00DF6C78"/>
    <w:rsid w:val="00DF7409"/>
    <w:rsid w:val="00E00190"/>
    <w:rsid w:val="00E02CD6"/>
    <w:rsid w:val="00E056BD"/>
    <w:rsid w:val="00E10368"/>
    <w:rsid w:val="00E12A8F"/>
    <w:rsid w:val="00E14110"/>
    <w:rsid w:val="00E1713D"/>
    <w:rsid w:val="00E2159B"/>
    <w:rsid w:val="00E301D9"/>
    <w:rsid w:val="00E3374A"/>
    <w:rsid w:val="00E422D8"/>
    <w:rsid w:val="00E434B6"/>
    <w:rsid w:val="00E45B9B"/>
    <w:rsid w:val="00E46D1F"/>
    <w:rsid w:val="00E51212"/>
    <w:rsid w:val="00E53358"/>
    <w:rsid w:val="00E618BB"/>
    <w:rsid w:val="00E631AC"/>
    <w:rsid w:val="00E666BE"/>
    <w:rsid w:val="00E70B4D"/>
    <w:rsid w:val="00E70B76"/>
    <w:rsid w:val="00E71301"/>
    <w:rsid w:val="00E72342"/>
    <w:rsid w:val="00E77C18"/>
    <w:rsid w:val="00E85008"/>
    <w:rsid w:val="00E86F4A"/>
    <w:rsid w:val="00E86FC7"/>
    <w:rsid w:val="00E878FF"/>
    <w:rsid w:val="00E90861"/>
    <w:rsid w:val="00E94091"/>
    <w:rsid w:val="00EA0506"/>
    <w:rsid w:val="00EA65DE"/>
    <w:rsid w:val="00EC2558"/>
    <w:rsid w:val="00ED3E4A"/>
    <w:rsid w:val="00ED5208"/>
    <w:rsid w:val="00ED73CA"/>
    <w:rsid w:val="00EE7775"/>
    <w:rsid w:val="00EF380D"/>
    <w:rsid w:val="00EF5B68"/>
    <w:rsid w:val="00F05136"/>
    <w:rsid w:val="00F05844"/>
    <w:rsid w:val="00F063D3"/>
    <w:rsid w:val="00F132C9"/>
    <w:rsid w:val="00F15140"/>
    <w:rsid w:val="00F161FF"/>
    <w:rsid w:val="00F23727"/>
    <w:rsid w:val="00F35D58"/>
    <w:rsid w:val="00F41B4B"/>
    <w:rsid w:val="00F54EDC"/>
    <w:rsid w:val="00F57115"/>
    <w:rsid w:val="00F742D9"/>
    <w:rsid w:val="00F77C2B"/>
    <w:rsid w:val="00F81453"/>
    <w:rsid w:val="00F84F1C"/>
    <w:rsid w:val="00F90735"/>
    <w:rsid w:val="00F93106"/>
    <w:rsid w:val="00F96006"/>
    <w:rsid w:val="00FA0E6A"/>
    <w:rsid w:val="00FA1A80"/>
    <w:rsid w:val="00FA53A7"/>
    <w:rsid w:val="00FB191A"/>
    <w:rsid w:val="00FC1AAD"/>
    <w:rsid w:val="00FC47C3"/>
    <w:rsid w:val="00FC49D0"/>
    <w:rsid w:val="00FC4BFD"/>
    <w:rsid w:val="00FD4938"/>
    <w:rsid w:val="00FE0A48"/>
    <w:rsid w:val="00FE4FCC"/>
    <w:rsid w:val="00FE7D75"/>
    <w:rsid w:val="00FF26F7"/>
    <w:rsid w:val="00FF5504"/>
    <w:rsid w:val="00FF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81A6F"/>
  <w15:chartTrackingRefBased/>
  <w15:docId w15:val="{71C234AB-B893-4495-A849-06554C40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5782"/>
    <w:pPr>
      <w:jc w:val="both"/>
    </w:pPr>
    <w:rPr>
      <w:rFonts w:ascii="Calibri" w:eastAsia="Times New Roman" w:hAnsi="Calibri" w:cs="Times New Roman"/>
      <w:szCs w:val="24"/>
    </w:rPr>
  </w:style>
  <w:style w:type="paragraph" w:styleId="Heading1">
    <w:name w:val="heading 1"/>
    <w:next w:val="Normal"/>
    <w:link w:val="Heading1Char"/>
    <w:autoRedefine/>
    <w:qFormat/>
    <w:rsid w:val="00177C19"/>
    <w:pPr>
      <w:keepNext/>
      <w:spacing w:before="80"/>
      <w:jc w:val="both"/>
      <w:outlineLvl w:val="0"/>
    </w:pPr>
    <w:rPr>
      <w:rFonts w:eastAsia="Times New Roman" w:cs="Arial"/>
      <w:b/>
      <w:bCs/>
      <w:color w:val="44546A" w:themeColor="text2"/>
      <w:sz w:val="24"/>
      <w:szCs w:val="24"/>
    </w:rPr>
  </w:style>
  <w:style w:type="paragraph" w:styleId="Heading3">
    <w:name w:val="heading 3"/>
    <w:basedOn w:val="Normal"/>
    <w:next w:val="Normal"/>
    <w:link w:val="Heading3Char"/>
    <w:autoRedefine/>
    <w:qFormat/>
    <w:rsid w:val="00177C19"/>
    <w:pPr>
      <w:keepNext/>
      <w:spacing w:before="80"/>
      <w:outlineLvl w:val="2"/>
    </w:pPr>
    <w:rPr>
      <w:rFonts w:cs="Arial"/>
      <w:b/>
      <w:bCs/>
      <w:i/>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7C19"/>
    <w:rPr>
      <w:rFonts w:ascii="Calibri" w:eastAsia="Times New Roman" w:hAnsi="Calibri" w:cs="Arial"/>
      <w:b/>
      <w:bCs/>
      <w:i/>
      <w:spacing w:val="-6"/>
      <w:szCs w:val="24"/>
    </w:rPr>
  </w:style>
  <w:style w:type="character" w:customStyle="1" w:styleId="Heading1Char">
    <w:name w:val="Heading 1 Char"/>
    <w:basedOn w:val="DefaultParagraphFont"/>
    <w:link w:val="Heading1"/>
    <w:rsid w:val="00177C19"/>
    <w:rPr>
      <w:rFonts w:eastAsia="Times New Roman" w:cs="Arial"/>
      <w:b/>
      <w:bCs/>
      <w:color w:val="44546A" w:themeColor="text2"/>
      <w:sz w:val="24"/>
      <w:szCs w:val="24"/>
    </w:rPr>
  </w:style>
  <w:style w:type="paragraph" w:styleId="FootnoteText">
    <w:name w:val="footnote text"/>
    <w:aliases w:val="5_G,Footnote reference,FA Fu,Footnote Text Char Char Char Char Char,Footnote Text Char Char Char Char,Footnote Text Char Char Char,single space,Footnote Text Cha,FA Fußnotentext,Texto nota pie Car,Footnote Text Char Char"/>
    <w:basedOn w:val="Normal"/>
    <w:link w:val="FootnoteTextChar"/>
    <w:uiPriority w:val="99"/>
    <w:unhideWhenUsed/>
    <w:rsid w:val="00685782"/>
    <w:rPr>
      <w:rFonts w:eastAsia="Calibri"/>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single space Char,Footnote Text Cha Char,FA Fußnotentext Char"/>
    <w:basedOn w:val="DefaultParagraphFont"/>
    <w:link w:val="FootnoteText"/>
    <w:uiPriority w:val="99"/>
    <w:rsid w:val="00685782"/>
    <w:rPr>
      <w:rFonts w:ascii="Calibri" w:eastAsia="Calibri" w:hAnsi="Calibri" w:cs="Times New Roman"/>
      <w:sz w:val="20"/>
      <w:szCs w:val="20"/>
    </w:rPr>
  </w:style>
  <w:style w:type="character" w:styleId="FootnoteReference">
    <w:name w:val="footnote reference"/>
    <w:uiPriority w:val="99"/>
    <w:unhideWhenUsed/>
    <w:rsid w:val="00685782"/>
    <w:rPr>
      <w:vertAlign w:val="superscript"/>
    </w:rPr>
  </w:style>
  <w:style w:type="paragraph" w:styleId="BalloonText">
    <w:name w:val="Balloon Text"/>
    <w:basedOn w:val="Normal"/>
    <w:link w:val="BalloonTextChar"/>
    <w:uiPriority w:val="99"/>
    <w:semiHidden/>
    <w:unhideWhenUsed/>
    <w:rsid w:val="00CA2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83D"/>
    <w:rPr>
      <w:rFonts w:ascii="Segoe UI" w:eastAsia="Times New Roman" w:hAnsi="Segoe UI" w:cs="Segoe UI"/>
      <w:sz w:val="18"/>
      <w:szCs w:val="18"/>
    </w:rPr>
  </w:style>
  <w:style w:type="character" w:styleId="Hyperlink">
    <w:name w:val="Hyperlink"/>
    <w:basedOn w:val="DefaultParagraphFont"/>
    <w:uiPriority w:val="99"/>
    <w:unhideWhenUsed/>
    <w:rsid w:val="008452C1"/>
    <w:rPr>
      <w:color w:val="0563C1" w:themeColor="hyperlink"/>
      <w:u w:val="single"/>
    </w:rPr>
  </w:style>
  <w:style w:type="paragraph" w:styleId="Header">
    <w:name w:val="header"/>
    <w:basedOn w:val="Normal"/>
    <w:link w:val="HeaderChar"/>
    <w:uiPriority w:val="99"/>
    <w:unhideWhenUsed/>
    <w:rsid w:val="00F93106"/>
    <w:pPr>
      <w:tabs>
        <w:tab w:val="center" w:pos="4513"/>
        <w:tab w:val="right" w:pos="9026"/>
      </w:tabs>
    </w:pPr>
  </w:style>
  <w:style w:type="character" w:customStyle="1" w:styleId="HeaderChar">
    <w:name w:val="Header Char"/>
    <w:basedOn w:val="DefaultParagraphFont"/>
    <w:link w:val="Header"/>
    <w:uiPriority w:val="99"/>
    <w:rsid w:val="00F93106"/>
    <w:rPr>
      <w:rFonts w:ascii="Calibri" w:eastAsia="Times New Roman" w:hAnsi="Calibri" w:cs="Times New Roman"/>
      <w:szCs w:val="24"/>
    </w:rPr>
  </w:style>
  <w:style w:type="paragraph" w:styleId="Footer">
    <w:name w:val="footer"/>
    <w:basedOn w:val="Normal"/>
    <w:link w:val="FooterChar"/>
    <w:uiPriority w:val="99"/>
    <w:unhideWhenUsed/>
    <w:rsid w:val="00F93106"/>
    <w:pPr>
      <w:tabs>
        <w:tab w:val="center" w:pos="4513"/>
        <w:tab w:val="right" w:pos="9026"/>
      </w:tabs>
    </w:pPr>
  </w:style>
  <w:style w:type="character" w:customStyle="1" w:styleId="FooterChar">
    <w:name w:val="Footer Char"/>
    <w:basedOn w:val="DefaultParagraphFont"/>
    <w:link w:val="Footer"/>
    <w:uiPriority w:val="99"/>
    <w:rsid w:val="00F93106"/>
    <w:rPr>
      <w:rFonts w:ascii="Calibri" w:eastAsia="Times New Roman" w:hAnsi="Calibri" w:cs="Times New Roman"/>
      <w:szCs w:val="24"/>
    </w:rPr>
  </w:style>
  <w:style w:type="paragraph" w:styleId="ListParagraph">
    <w:name w:val="List Paragraph"/>
    <w:basedOn w:val="Normal"/>
    <w:uiPriority w:val="34"/>
    <w:qFormat/>
    <w:rsid w:val="004B7564"/>
    <w:pPr>
      <w:ind w:left="720"/>
      <w:contextualSpacing/>
    </w:pPr>
  </w:style>
  <w:style w:type="character" w:styleId="CommentReference">
    <w:name w:val="annotation reference"/>
    <w:basedOn w:val="DefaultParagraphFont"/>
    <w:uiPriority w:val="99"/>
    <w:semiHidden/>
    <w:unhideWhenUsed/>
    <w:rsid w:val="00CB22DB"/>
    <w:rPr>
      <w:sz w:val="16"/>
      <w:szCs w:val="16"/>
    </w:rPr>
  </w:style>
  <w:style w:type="paragraph" w:styleId="CommentText">
    <w:name w:val="annotation text"/>
    <w:basedOn w:val="Normal"/>
    <w:link w:val="CommentTextChar"/>
    <w:uiPriority w:val="99"/>
    <w:semiHidden/>
    <w:unhideWhenUsed/>
    <w:rsid w:val="00CB22DB"/>
    <w:rPr>
      <w:sz w:val="20"/>
      <w:szCs w:val="20"/>
    </w:rPr>
  </w:style>
  <w:style w:type="character" w:customStyle="1" w:styleId="CommentTextChar">
    <w:name w:val="Comment Text Char"/>
    <w:basedOn w:val="DefaultParagraphFont"/>
    <w:link w:val="CommentText"/>
    <w:uiPriority w:val="99"/>
    <w:semiHidden/>
    <w:rsid w:val="00CB22D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22DB"/>
    <w:rPr>
      <w:b/>
      <w:bCs/>
    </w:rPr>
  </w:style>
  <w:style w:type="character" w:customStyle="1" w:styleId="CommentSubjectChar">
    <w:name w:val="Comment Subject Char"/>
    <w:basedOn w:val="CommentTextChar"/>
    <w:link w:val="CommentSubject"/>
    <w:uiPriority w:val="99"/>
    <w:semiHidden/>
    <w:rsid w:val="00CB22DB"/>
    <w:rPr>
      <w:rFonts w:ascii="Calibri" w:eastAsia="Times New Roman" w:hAnsi="Calibri" w:cs="Times New Roman"/>
      <w:b/>
      <w:bCs/>
      <w:sz w:val="20"/>
      <w:szCs w:val="20"/>
    </w:rPr>
  </w:style>
  <w:style w:type="table" w:styleId="TableGrid">
    <w:name w:val="Table Grid"/>
    <w:basedOn w:val="TableNormal"/>
    <w:uiPriority w:val="39"/>
    <w:rsid w:val="0006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0E4141"/>
    <w:pPr>
      <w:suppressAutoHyphens/>
      <w:spacing w:after="120" w:line="240" w:lineRule="atLeast"/>
      <w:ind w:left="1134" w:right="1134"/>
    </w:pPr>
    <w:rPr>
      <w:rFonts w:ascii="Times New Roman" w:hAnsi="Times New Roman"/>
      <w:sz w:val="20"/>
      <w:szCs w:val="20"/>
      <w:lang w:val="x-none"/>
    </w:rPr>
  </w:style>
  <w:style w:type="character" w:customStyle="1" w:styleId="SingleTxtGChar">
    <w:name w:val="_ Single Txt_G Char"/>
    <w:link w:val="SingleTxtG"/>
    <w:rsid w:val="000E4141"/>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e.varney@kee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4B362-FC9D-46E4-9AE7-A1C922DE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5466</Words>
  <Characters>31160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Varney</dc:creator>
  <cp:keywords/>
  <dc:description/>
  <cp:lastModifiedBy>Eliza Varney</cp:lastModifiedBy>
  <cp:revision>10</cp:revision>
  <cp:lastPrinted>2018-03-25T14:44:00Z</cp:lastPrinted>
  <dcterms:created xsi:type="dcterms:W3CDTF">2019-09-11T17:57:00Z</dcterms:created>
  <dcterms:modified xsi:type="dcterms:W3CDTF">2019-09-16T11:25:00Z</dcterms:modified>
</cp:coreProperties>
</file>