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7F61E" w14:textId="66724024" w:rsidR="007F37AF" w:rsidRPr="00FF5C71" w:rsidRDefault="00290D3E" w:rsidP="00FF5C71">
      <w:pPr>
        <w:pStyle w:val="Heading1"/>
      </w:pPr>
      <w:r w:rsidRPr="00FF5C71">
        <w:t>‘Counter-spurt’ but not ‘de-civili</w:t>
      </w:r>
      <w:r w:rsidR="008B7CD3">
        <w:t>z</w:t>
      </w:r>
      <w:r w:rsidRPr="00FF5C71">
        <w:t>ation’: f</w:t>
      </w:r>
      <w:r w:rsidR="007F37AF" w:rsidRPr="00FF5C71">
        <w:t>ascism</w:t>
      </w:r>
      <w:r w:rsidRPr="00FF5C71">
        <w:t xml:space="preserve">, </w:t>
      </w:r>
      <w:r w:rsidR="008C0CB9" w:rsidRPr="00FF5C71">
        <w:t>(</w:t>
      </w:r>
      <w:r w:rsidRPr="00FF5C71">
        <w:t>un</w:t>
      </w:r>
      <w:r w:rsidR="008C0CB9" w:rsidRPr="00FF5C71">
        <w:t>)</w:t>
      </w:r>
      <w:r w:rsidRPr="00FF5C71">
        <w:t xml:space="preserve">civility, </w:t>
      </w:r>
      <w:r w:rsidR="008C0CB9" w:rsidRPr="00FF5C71">
        <w:t>taboo, and the ‘civili</w:t>
      </w:r>
      <w:r w:rsidR="008B7CD3">
        <w:t>z</w:t>
      </w:r>
      <w:r w:rsidR="008C0CB9" w:rsidRPr="00FF5C71">
        <w:t>ing process’</w:t>
      </w:r>
      <w:r w:rsidR="007F37AF" w:rsidRPr="00FF5C71">
        <w:t xml:space="preserve"> </w:t>
      </w:r>
    </w:p>
    <w:p w14:paraId="4297E755" w14:textId="77777777" w:rsidR="008B7CD3" w:rsidRDefault="008B7CD3" w:rsidP="008B7CD3">
      <w:pPr>
        <w:pStyle w:val="MainText"/>
      </w:pPr>
    </w:p>
    <w:p w14:paraId="65DFE317" w14:textId="49027212" w:rsidR="008B7CD3" w:rsidRPr="007311D0" w:rsidRDefault="008B7CD3" w:rsidP="008B7CD3">
      <w:pPr>
        <w:pStyle w:val="MainText"/>
      </w:pPr>
      <w:r w:rsidRPr="007311D0">
        <w:t>Aristotle Kallis, History / School of Humanities, Keele University, Keele ST5 5BG</w:t>
      </w:r>
      <w:r>
        <w:t>, UK</w:t>
      </w:r>
    </w:p>
    <w:p w14:paraId="53C1A346" w14:textId="77777777" w:rsidR="00290D3E" w:rsidRPr="007311D0" w:rsidRDefault="00290D3E" w:rsidP="007F37AF">
      <w:pPr>
        <w:pStyle w:val="Header"/>
        <w:rPr>
          <w:rFonts w:ascii="Franklin Gothic Book" w:hAnsi="Franklin Gothic Book" w:cs="Beirut"/>
          <w:lang w:eastAsia="it-IT"/>
        </w:rPr>
      </w:pPr>
    </w:p>
    <w:p w14:paraId="46A194B6" w14:textId="77777777" w:rsidR="007F37AF" w:rsidRPr="007311D0" w:rsidRDefault="007F37AF" w:rsidP="007311D0">
      <w:pPr>
        <w:pStyle w:val="MainText"/>
      </w:pPr>
    </w:p>
    <w:p w14:paraId="3FD2F39E" w14:textId="77777777" w:rsidR="00147917" w:rsidRPr="007311D0" w:rsidRDefault="00147917" w:rsidP="00C131EE">
      <w:pPr>
        <w:pStyle w:val="Heading2"/>
      </w:pPr>
      <w:r w:rsidRPr="007311D0">
        <w:t>ABSTRACT</w:t>
      </w:r>
    </w:p>
    <w:p w14:paraId="1AD8C4A6" w14:textId="4E18F4BE" w:rsidR="00147917" w:rsidRPr="00FF5C71" w:rsidRDefault="00147917" w:rsidP="007311D0">
      <w:pPr>
        <w:pStyle w:val="MainText"/>
      </w:pPr>
      <w:r w:rsidRPr="007311D0">
        <w:t xml:space="preserve">Norbert Elias described the rise of fascism and the violent spasm of the Holocaust as examples of </w:t>
      </w:r>
      <w:r w:rsidR="009C442F" w:rsidRPr="007311D0">
        <w:t>extreme</w:t>
      </w:r>
      <w:r w:rsidR="00897250" w:rsidRPr="007311D0">
        <w:t xml:space="preserve"> </w:t>
      </w:r>
      <w:r w:rsidR="009C442F" w:rsidRPr="007311D0">
        <w:rPr>
          <w:rFonts w:cs="Times New Roman"/>
        </w:rPr>
        <w:t>‘</w:t>
      </w:r>
      <w:r w:rsidRPr="007311D0">
        <w:t>counter-spurts</w:t>
      </w:r>
      <w:r w:rsidR="00897250" w:rsidRPr="007311D0">
        <w:rPr>
          <w:rFonts w:cs="Times New Roman"/>
        </w:rPr>
        <w:t>’</w:t>
      </w:r>
      <w:r w:rsidR="00FF5C71">
        <w:rPr>
          <w:rFonts w:cs="Times New Roman"/>
        </w:rPr>
        <w:t xml:space="preserve"> towards ‘re-barbarisation’</w:t>
      </w:r>
      <w:r w:rsidRPr="007311D0">
        <w:t xml:space="preserve"> in his overall schema of recent human history as a </w:t>
      </w:r>
      <w:r w:rsidRPr="007311D0">
        <w:rPr>
          <w:rFonts w:cs="Times New Roman"/>
        </w:rPr>
        <w:t>‘</w:t>
      </w:r>
      <w:r w:rsidRPr="007311D0">
        <w:t>civili</w:t>
      </w:r>
      <w:r w:rsidR="008B7CD3">
        <w:t>z</w:t>
      </w:r>
      <w:r w:rsidRPr="007311D0">
        <w:t>ing process</w:t>
      </w:r>
      <w:r w:rsidRPr="007311D0">
        <w:rPr>
          <w:rFonts w:cs="Times New Roman"/>
        </w:rPr>
        <w:t>’</w:t>
      </w:r>
      <w:r w:rsidRPr="007311D0">
        <w:t>. But the shift towards the normali</w:t>
      </w:r>
      <w:r w:rsidR="007B4FF7">
        <w:t>z</w:t>
      </w:r>
      <w:r w:rsidRPr="007311D0">
        <w:t xml:space="preserve">ation of uncivility and </w:t>
      </w:r>
      <w:r w:rsidR="00FF5C71">
        <w:t xml:space="preserve">extreme </w:t>
      </w:r>
      <w:r w:rsidRPr="007311D0">
        <w:t xml:space="preserve">violence </w:t>
      </w:r>
      <w:r w:rsidR="00E31096" w:rsidRPr="007311D0">
        <w:t xml:space="preserve">that </w:t>
      </w:r>
      <w:r w:rsidRPr="007311D0">
        <w:t>became trademark</w:t>
      </w:r>
      <w:r w:rsidR="00847536">
        <w:t>s</w:t>
      </w:r>
      <w:r w:rsidRPr="007311D0">
        <w:t xml:space="preserve"> of fascism in the interwar years </w:t>
      </w:r>
      <w:r w:rsidR="008778E3">
        <w:t xml:space="preserve">was in fact far less </w:t>
      </w:r>
      <w:r w:rsidRPr="007311D0">
        <w:t xml:space="preserve">at odds with assumed mainstream values than it actually </w:t>
      </w:r>
      <w:r w:rsidR="0011115B">
        <w:t>appeared or assumed to be</w:t>
      </w:r>
      <w:r w:rsidRPr="007311D0">
        <w:t xml:space="preserve">. In this article, I argue that fascist uncivil ideology, discourse, and praxis need to be placed along a continuum of mainstream acceptability that rendered them </w:t>
      </w:r>
      <w:r w:rsidR="00623B9E">
        <w:t xml:space="preserve">broadly </w:t>
      </w:r>
      <w:r w:rsidR="00BE728D">
        <w:t>desirable or tolerable</w:t>
      </w:r>
      <w:r w:rsidRPr="007311D0">
        <w:t xml:space="preserve"> to mainstream society at the time in spite of their radical deviation from an assumed liberal canon. I focus on two examples of fascist uncivility - attack on the liberal framework of minority protection promoted by the liberal powers post-WW1; and violent anti-semitism. Each of these </w:t>
      </w:r>
      <w:r w:rsidR="00C922C2">
        <w:t xml:space="preserve">instances involved </w:t>
      </w:r>
      <w:r w:rsidRPr="007311D0">
        <w:t xml:space="preserve">targets </w:t>
      </w:r>
      <w:r w:rsidR="00C922C2">
        <w:t xml:space="preserve">that </w:t>
      </w:r>
      <w:r w:rsidRPr="007311D0">
        <w:t xml:space="preserve">were in principle associated with taboos that fascism helped deconstruct and </w:t>
      </w:r>
      <w:r w:rsidR="00FF5C71">
        <w:t xml:space="preserve">conditionally </w:t>
      </w:r>
      <w:r w:rsidRPr="007311D0">
        <w:t>transgress in practice</w:t>
      </w:r>
      <w:r w:rsidR="00FF5C71">
        <w:t>, in the name of defending a narrowly re-defined ‘we-identity’</w:t>
      </w:r>
      <w:r w:rsidRPr="007311D0">
        <w:t>.</w:t>
      </w:r>
      <w:r w:rsidR="00FF5C71">
        <w:t xml:space="preserve"> I argue that, while fascist </w:t>
      </w:r>
      <w:r w:rsidR="00FF5C71">
        <w:lastRenderedPageBreak/>
        <w:t>uncivility represented a violent</w:t>
      </w:r>
      <w:r w:rsidR="00E712DD">
        <w:t>, extreme</w:t>
      </w:r>
      <w:r w:rsidR="00FF5C71">
        <w:t xml:space="preserve"> ‘counter-spurt’ in its cumulative dynamics and effects, it was underwritten by a number of facilitating impulses and behaviours that were deeply embedded in interwar mainstream societies and </w:t>
      </w:r>
      <w:r w:rsidR="00E712DD">
        <w:t xml:space="preserve">thus </w:t>
      </w:r>
      <w:r w:rsidR="00FF5C71">
        <w:t xml:space="preserve">did not constitute </w:t>
      </w:r>
      <w:r w:rsidR="00E712DD">
        <w:t xml:space="preserve">qualitative </w:t>
      </w:r>
      <w:r w:rsidR="00FF5C71">
        <w:t>regressions from the ‘civili</w:t>
      </w:r>
      <w:r w:rsidR="008B7CD3">
        <w:t>z</w:t>
      </w:r>
      <w:r w:rsidR="00FF5C71">
        <w:t>ing process’</w:t>
      </w:r>
      <w:r w:rsidR="00C147F9">
        <w:t xml:space="preserve">, as Elias </w:t>
      </w:r>
      <w:r w:rsidR="004D015A">
        <w:t>claimed afterwards</w:t>
      </w:r>
      <w:r w:rsidR="00FF5C71">
        <w:t>.</w:t>
      </w:r>
    </w:p>
    <w:p w14:paraId="08FCDC64" w14:textId="77777777" w:rsidR="005D7FC6" w:rsidRPr="007311D0" w:rsidRDefault="005D7FC6" w:rsidP="00C131EE">
      <w:pPr>
        <w:pStyle w:val="Heading2"/>
      </w:pPr>
    </w:p>
    <w:p w14:paraId="3F4DDF25" w14:textId="77777777" w:rsidR="00147917" w:rsidRPr="00FF5C71" w:rsidRDefault="00FF5C71" w:rsidP="007311D0">
      <w:pPr>
        <w:pStyle w:val="MainText"/>
        <w:jc w:val="center"/>
        <w:rPr>
          <w:b/>
          <w:sz w:val="52"/>
          <w:szCs w:val="52"/>
        </w:rPr>
      </w:pPr>
      <w:r w:rsidRPr="00FF5C71">
        <w:rPr>
          <w:b/>
          <w:sz w:val="52"/>
          <w:szCs w:val="52"/>
        </w:rPr>
        <w:t>***</w:t>
      </w:r>
    </w:p>
    <w:p w14:paraId="29765ADF" w14:textId="00885D14" w:rsidR="007F37AF" w:rsidRPr="007311D0" w:rsidRDefault="007F37AF" w:rsidP="007311D0">
      <w:pPr>
        <w:pStyle w:val="MainText"/>
      </w:pPr>
      <w:r w:rsidRPr="007311D0">
        <w:t xml:space="preserve">From the moment of its founding meeting in central Milan in March 1919, </w:t>
      </w:r>
      <w:r w:rsidR="00735B5F" w:rsidRPr="007311D0">
        <w:t>Fascism</w:t>
      </w:r>
      <w:r w:rsidRPr="007311D0">
        <w:t xml:space="preserve"> </w:t>
      </w:r>
      <w:r w:rsidR="00CC5242" w:rsidRPr="007311D0">
        <w:t>stood out</w:t>
      </w:r>
      <w:r w:rsidRPr="007311D0">
        <w:t xml:space="preserve"> as </w:t>
      </w:r>
      <w:r w:rsidR="00D3348D" w:rsidRPr="007311D0">
        <w:t xml:space="preserve">a zealous </w:t>
      </w:r>
      <w:r w:rsidRPr="007311D0">
        <w:t xml:space="preserve">taboo-breaker. Fascists embraced </w:t>
      </w:r>
      <w:r w:rsidR="001C5825">
        <w:t xml:space="preserve">violent </w:t>
      </w:r>
      <w:r w:rsidRPr="007311D0">
        <w:t xml:space="preserve">transgressive language and action directed at their perceived political </w:t>
      </w:r>
      <w:r w:rsidR="00062E66" w:rsidRPr="007311D0">
        <w:t>enemies</w:t>
      </w:r>
      <w:r w:rsidRPr="007311D0">
        <w:t>. Fascist squads</w:t>
      </w:r>
      <w:r w:rsidR="00024379" w:rsidRPr="007311D0">
        <w:t xml:space="preserve"> too</w:t>
      </w:r>
      <w:r w:rsidRPr="007311D0">
        <w:t xml:space="preserve"> set the tone of Fascist radical </w:t>
      </w:r>
      <w:r w:rsidR="00024379" w:rsidRPr="007311D0">
        <w:rPr>
          <w:rFonts w:cs="Times New Roman"/>
        </w:rPr>
        <w:t>‘</w:t>
      </w:r>
      <w:r w:rsidR="00024379" w:rsidRPr="007311D0">
        <w:t xml:space="preserve">new </w:t>
      </w:r>
      <w:r w:rsidRPr="007311D0">
        <w:t>politics</w:t>
      </w:r>
      <w:r w:rsidR="00024379" w:rsidRPr="007311D0">
        <w:rPr>
          <w:rFonts w:cs="Times New Roman"/>
        </w:rPr>
        <w:t>’</w:t>
      </w:r>
      <w:r w:rsidR="00024379" w:rsidRPr="007311D0">
        <w:rPr>
          <w:rStyle w:val="EndnoteReference"/>
        </w:rPr>
        <w:endnoteReference w:id="1"/>
      </w:r>
      <w:r w:rsidRPr="007311D0">
        <w:t xml:space="preserve"> on the streets, again harassing their opponents</w:t>
      </w:r>
      <w:r w:rsidR="00062E66" w:rsidRPr="007311D0">
        <w:t xml:space="preserve"> and </w:t>
      </w:r>
      <w:r w:rsidR="00CC5242" w:rsidRPr="007311D0">
        <w:t xml:space="preserve">regularly </w:t>
      </w:r>
      <w:r w:rsidR="00062E66" w:rsidRPr="007311D0">
        <w:t>engaging in</w:t>
      </w:r>
      <w:r w:rsidRPr="007311D0">
        <w:t xml:space="preserve"> violent action against them.</w:t>
      </w:r>
      <w:r w:rsidRPr="007311D0">
        <w:rPr>
          <w:rStyle w:val="EndnoteReference"/>
        </w:rPr>
        <w:endnoteReference w:id="2"/>
      </w:r>
      <w:r w:rsidR="003F1F6D" w:rsidRPr="007311D0">
        <w:t xml:space="preserve"> </w:t>
      </w:r>
      <w:r w:rsidRPr="007311D0">
        <w:t xml:space="preserve">The subsequent </w:t>
      </w:r>
      <w:r w:rsidR="00406028">
        <w:t>success</w:t>
      </w:r>
      <w:r w:rsidRPr="007311D0">
        <w:t xml:space="preserve"> and political </w:t>
      </w:r>
      <w:r w:rsidR="00A42E50" w:rsidRPr="007311D0">
        <w:t>diffusion</w:t>
      </w:r>
      <w:r w:rsidRPr="007311D0">
        <w:t xml:space="preserve"> of fascism</w:t>
      </w:r>
      <w:r w:rsidR="00B11EF1" w:rsidRPr="007311D0">
        <w:t xml:space="preserve"> across Europe</w:t>
      </w:r>
      <w:r w:rsidRPr="007311D0">
        <w:t xml:space="preserve"> was as dizzying as the escalation of Fascist uncivility in the early 1920s. But that this shift occurred right after the end of </w:t>
      </w:r>
      <w:r w:rsidR="001C5825">
        <w:t>WW1</w:t>
      </w:r>
      <w:r w:rsidRPr="007311D0">
        <w:t xml:space="preserve">, at the dawn of what was meant to be, and was initially heralded as, </w:t>
      </w:r>
      <w:r w:rsidR="007C7FA1" w:rsidRPr="007311D0">
        <w:t xml:space="preserve">a </w:t>
      </w:r>
      <w:r w:rsidR="00CC5242" w:rsidRPr="007311D0">
        <w:rPr>
          <w:rFonts w:cs="Times New Roman"/>
        </w:rPr>
        <w:t>‘</w:t>
      </w:r>
      <w:r w:rsidR="00B11EF1" w:rsidRPr="007311D0">
        <w:t>liberal moment</w:t>
      </w:r>
      <w:r w:rsidR="00CC5242" w:rsidRPr="007311D0">
        <w:rPr>
          <w:rFonts w:cs="Times New Roman"/>
        </w:rPr>
        <w:t>’</w:t>
      </w:r>
      <w:r w:rsidR="00B11EF1" w:rsidRPr="007311D0">
        <w:t xml:space="preserve"> </w:t>
      </w:r>
      <w:r w:rsidR="00B11EF1" w:rsidRPr="007311D0">
        <w:rPr>
          <w:rFonts w:cs="Times New Roman"/>
        </w:rPr>
        <w:t>–</w:t>
      </w:r>
      <w:r w:rsidRPr="007311D0">
        <w:t xml:space="preserve"> </w:t>
      </w:r>
      <w:r w:rsidR="00B11EF1" w:rsidRPr="007311D0">
        <w:t xml:space="preserve">that is, the </w:t>
      </w:r>
      <w:r w:rsidR="00062E66" w:rsidRPr="007311D0">
        <w:t xml:space="preserve">anticipated </w:t>
      </w:r>
      <w:r w:rsidRPr="007311D0">
        <w:t xml:space="preserve">decisive climax of a </w:t>
      </w:r>
      <w:r w:rsidR="00B11EF1" w:rsidRPr="007311D0">
        <w:t xml:space="preserve">trans-European </w:t>
      </w:r>
      <w:r w:rsidRPr="007311D0">
        <w:t>liberal experiment in building a lasting civil society based on rights, freedoms, and a greater drive towards equality</w:t>
      </w:r>
      <w:r w:rsidR="001C5825">
        <w:t xml:space="preserve"> -</w:t>
      </w:r>
      <w:r w:rsidRPr="007311D0">
        <w:t xml:space="preserve"> is even more staggering.</w:t>
      </w:r>
      <w:r w:rsidR="007311D0" w:rsidRPr="007311D0">
        <w:rPr>
          <w:rStyle w:val="EndnoteReference"/>
        </w:rPr>
        <w:endnoteReference w:id="3"/>
      </w:r>
      <w:r w:rsidRPr="007311D0">
        <w:t xml:space="preserve"> The </w:t>
      </w:r>
      <w:r w:rsidR="007C7FA1" w:rsidRPr="007311D0">
        <w:t xml:space="preserve">trans-national </w:t>
      </w:r>
      <w:r w:rsidR="00062E66" w:rsidRPr="007311D0">
        <w:t>appeal</w:t>
      </w:r>
      <w:r w:rsidRPr="007311D0">
        <w:t xml:space="preserve"> of fascism articulated a </w:t>
      </w:r>
      <w:r w:rsidR="001C5825">
        <w:t>seething</w:t>
      </w:r>
      <w:r w:rsidRPr="007311D0">
        <w:t xml:space="preserve"> hyper-nationalist / exclusionary backlash</w:t>
      </w:r>
      <w:r w:rsidRPr="007311D0">
        <w:rPr>
          <w:rStyle w:val="EndnoteReference"/>
        </w:rPr>
        <w:endnoteReference w:id="4"/>
      </w:r>
      <w:r w:rsidR="00B11EF1" w:rsidRPr="007311D0">
        <w:t xml:space="preserve"> but also seized the opportunity to </w:t>
      </w:r>
      <w:r w:rsidRPr="007311D0">
        <w:t xml:space="preserve">posit a radical counter-utopia to a (seemingly) mainstream liberal teleology of pluralism, growing empathy for an expanding circle of others, </w:t>
      </w:r>
      <w:r w:rsidR="00B11EF1" w:rsidRPr="007311D0">
        <w:t xml:space="preserve">internationalism, </w:t>
      </w:r>
      <w:r w:rsidRPr="007311D0">
        <w:t xml:space="preserve">and </w:t>
      </w:r>
      <w:r w:rsidR="00CA5AF0">
        <w:t>pacifism</w:t>
      </w:r>
      <w:r w:rsidRPr="007311D0">
        <w:t>.</w:t>
      </w:r>
      <w:bookmarkStart w:id="0" w:name="_Ref2773994"/>
      <w:r w:rsidRPr="007311D0">
        <w:rPr>
          <w:rStyle w:val="EndnoteReference"/>
        </w:rPr>
        <w:endnoteReference w:id="5"/>
      </w:r>
      <w:bookmarkEnd w:id="0"/>
      <w:r w:rsidRPr="007311D0">
        <w:t xml:space="preserve"> </w:t>
      </w:r>
    </w:p>
    <w:p w14:paraId="3C88DAFA" w14:textId="27822260" w:rsidR="001471B3" w:rsidRPr="007311D0" w:rsidRDefault="007F37AF" w:rsidP="007311D0">
      <w:pPr>
        <w:pStyle w:val="MainText"/>
      </w:pPr>
      <w:r w:rsidRPr="007311D0">
        <w:lastRenderedPageBreak/>
        <w:t>Still, the creeping normali</w:t>
      </w:r>
      <w:r w:rsidR="007B4FF7">
        <w:t>z</w:t>
      </w:r>
      <w:r w:rsidRPr="007311D0">
        <w:t xml:space="preserve">ation of fascist uncivil ideas, discourses, and eventually </w:t>
      </w:r>
      <w:r w:rsidR="008F552E" w:rsidRPr="007311D0">
        <w:t xml:space="preserve">extreme </w:t>
      </w:r>
      <w:r w:rsidRPr="007311D0">
        <w:t xml:space="preserve">violent practices cannot be understood as aberrant regressions from an assumed mainstream </w:t>
      </w:r>
      <w:r w:rsidR="004050A3" w:rsidRPr="007311D0">
        <w:rPr>
          <w:rFonts w:cs="Times New Roman"/>
        </w:rPr>
        <w:t>‘</w:t>
      </w:r>
      <w:r w:rsidR="004050A3" w:rsidRPr="007311D0">
        <w:t>civili</w:t>
      </w:r>
      <w:r w:rsidR="007B4FF7">
        <w:t>z</w:t>
      </w:r>
      <w:r w:rsidR="004050A3" w:rsidRPr="007311D0">
        <w:t>ing</w:t>
      </w:r>
      <w:r w:rsidR="004050A3" w:rsidRPr="007311D0">
        <w:rPr>
          <w:rFonts w:cs="Times New Roman"/>
        </w:rPr>
        <w:t>’</w:t>
      </w:r>
      <w:r w:rsidR="004050A3" w:rsidRPr="007311D0">
        <w:t xml:space="preserve"> </w:t>
      </w:r>
      <w:r w:rsidRPr="007311D0">
        <w:t>orthodox</w:t>
      </w:r>
      <w:r w:rsidR="004050A3" w:rsidRPr="007311D0">
        <w:t xml:space="preserve"> path</w:t>
      </w:r>
      <w:r w:rsidRPr="007311D0">
        <w:t xml:space="preserve">, even as they constituted marked reversals of </w:t>
      </w:r>
      <w:r w:rsidR="008F552E" w:rsidRPr="007311D0">
        <w:t>elemental</w:t>
      </w:r>
      <w:r w:rsidRPr="007311D0">
        <w:t xml:space="preserve"> </w:t>
      </w:r>
      <w:r w:rsidRPr="007311D0">
        <w:rPr>
          <w:i/>
        </w:rPr>
        <w:t>liberal</w:t>
      </w:r>
      <w:r w:rsidRPr="007311D0">
        <w:t xml:space="preserve"> civic norms</w:t>
      </w:r>
      <w:r w:rsidR="007C7FA1" w:rsidRPr="007311D0">
        <w:t xml:space="preserve"> and assumed taboos</w:t>
      </w:r>
      <w:r w:rsidRPr="007311D0">
        <w:t xml:space="preserve">. Breaking taboos may be usually associated with attitudes and practices </w:t>
      </w:r>
      <w:r w:rsidR="00F9719E">
        <w:t xml:space="preserve">conventionally </w:t>
      </w:r>
      <w:r w:rsidRPr="007311D0">
        <w:t xml:space="preserve">labelled as </w:t>
      </w:r>
      <w:r w:rsidRPr="007311D0">
        <w:rPr>
          <w:rFonts w:cs="Times New Roman"/>
        </w:rPr>
        <w:t>‘</w:t>
      </w:r>
      <w:r w:rsidRPr="007311D0">
        <w:t>extremist</w:t>
      </w:r>
      <w:r w:rsidRPr="007311D0">
        <w:rPr>
          <w:rFonts w:cs="Times New Roman"/>
        </w:rPr>
        <w:t>’</w:t>
      </w:r>
      <w:r w:rsidRPr="007311D0">
        <w:t xml:space="preserve"> (and thus qualitatively excised from </w:t>
      </w:r>
      <w:r w:rsidR="007C7FA1" w:rsidRPr="007311D0">
        <w:t xml:space="preserve">what is assumed to be </w:t>
      </w:r>
      <w:r w:rsidR="007C7FA1" w:rsidRPr="007311D0">
        <w:rPr>
          <w:rFonts w:cs="Times New Roman"/>
        </w:rPr>
        <w:t>‘</w:t>
      </w:r>
      <w:r w:rsidR="007C7FA1" w:rsidRPr="007311D0">
        <w:t xml:space="preserve">the </w:t>
      </w:r>
      <w:r w:rsidRPr="007311D0">
        <w:t>mainstream</w:t>
      </w:r>
      <w:r w:rsidR="007C7FA1" w:rsidRPr="007311D0">
        <w:rPr>
          <w:rFonts w:cs="Times New Roman"/>
        </w:rPr>
        <w:t>’</w:t>
      </w:r>
      <w:r w:rsidRPr="007311D0">
        <w:t>); but normali</w:t>
      </w:r>
      <w:r w:rsidR="007B4FF7">
        <w:t>z</w:t>
      </w:r>
      <w:r w:rsidRPr="007311D0">
        <w:t xml:space="preserve">ing the transgression to the extent that it becomes </w:t>
      </w:r>
      <w:r w:rsidR="007B4FF7">
        <w:t xml:space="preserve">a </w:t>
      </w:r>
      <w:r w:rsidRPr="007311D0">
        <w:t>widespread</w:t>
      </w:r>
      <w:r w:rsidR="007C7FA1" w:rsidRPr="007311D0">
        <w:t xml:space="preserve"> internali</w:t>
      </w:r>
      <w:r w:rsidR="007B4FF7">
        <w:t>z</w:t>
      </w:r>
      <w:r w:rsidR="007C7FA1" w:rsidRPr="007311D0">
        <w:t>ed</w:t>
      </w:r>
      <w:r w:rsidRPr="007311D0">
        <w:t xml:space="preserve"> norm shared by growing social </w:t>
      </w:r>
      <w:r w:rsidR="00DE1103" w:rsidRPr="007311D0">
        <w:t>constituencies</w:t>
      </w:r>
      <w:r w:rsidRPr="007311D0">
        <w:t xml:space="preserve"> points to a far higher degree of its pre-existing embeddedness in th</w:t>
      </w:r>
      <w:r w:rsidR="007C7FA1" w:rsidRPr="007311D0">
        <w:t>is very</w:t>
      </w:r>
      <w:r w:rsidRPr="007311D0">
        <w:t xml:space="preserve"> mainstream. </w:t>
      </w:r>
      <w:r w:rsidR="00EC1E3B" w:rsidRPr="007311D0">
        <w:t>Fascism did not</w:t>
      </w:r>
      <w:r w:rsidR="001471B3" w:rsidRPr="007311D0">
        <w:t xml:space="preserve"> generate </w:t>
      </w:r>
      <w:r w:rsidR="00DB7D1C">
        <w:t>such extreme</w:t>
      </w:r>
      <w:r w:rsidR="001471B3" w:rsidRPr="007311D0">
        <w:t xml:space="preserve"> </w:t>
      </w:r>
      <w:r w:rsidRPr="007311D0">
        <w:t>beliefs, resentments, fears, and anxieties</w:t>
      </w:r>
      <w:r w:rsidR="001471B3" w:rsidRPr="007311D0">
        <w:t xml:space="preserve"> </w:t>
      </w:r>
      <w:r w:rsidR="00EC1E3B" w:rsidRPr="007311D0">
        <w:t>in the first place</w:t>
      </w:r>
      <w:r w:rsidR="001471B3" w:rsidRPr="007311D0">
        <w:t xml:space="preserve">; these </w:t>
      </w:r>
      <w:r w:rsidR="00487C8C" w:rsidRPr="007311D0">
        <w:t xml:space="preserve">had </w:t>
      </w:r>
      <w:r w:rsidR="00FD34A2">
        <w:t xml:space="preserve">already </w:t>
      </w:r>
      <w:r w:rsidR="00487C8C" w:rsidRPr="007311D0">
        <w:t xml:space="preserve">been part </w:t>
      </w:r>
      <w:r w:rsidR="001471B3" w:rsidRPr="007311D0">
        <w:t xml:space="preserve">of </w:t>
      </w:r>
      <w:r w:rsidR="00062E66" w:rsidRPr="007311D0">
        <w:t xml:space="preserve">the </w:t>
      </w:r>
      <w:r w:rsidR="00EC1E3B" w:rsidRPr="007311D0">
        <w:t>tapestry</w:t>
      </w:r>
      <w:r w:rsidR="00062E66" w:rsidRPr="007311D0">
        <w:t xml:space="preserve"> of </w:t>
      </w:r>
      <w:r w:rsidR="001471B3" w:rsidRPr="007311D0">
        <w:t>mainstream</w:t>
      </w:r>
      <w:r w:rsidR="00062E66" w:rsidRPr="007311D0">
        <w:t xml:space="preserve"> views in interwar Europe</w:t>
      </w:r>
      <w:r w:rsidR="00EC1E3B" w:rsidRPr="007311D0">
        <w:t xml:space="preserve"> </w:t>
      </w:r>
      <w:r w:rsidR="00FD34A2">
        <w:t>for a long time</w:t>
      </w:r>
      <w:r w:rsidR="00062E66" w:rsidRPr="007311D0">
        <w:t>,</w:t>
      </w:r>
      <w:r w:rsidR="001471B3" w:rsidRPr="007311D0">
        <w:t xml:space="preserve"> even as </w:t>
      </w:r>
      <w:r w:rsidR="00FD34A2">
        <w:t xml:space="preserve">optimism </w:t>
      </w:r>
      <w:r w:rsidR="00EC1E3B" w:rsidRPr="007311D0">
        <w:t xml:space="preserve">was gaining hold that they would </w:t>
      </w:r>
      <w:r w:rsidR="00487C8C" w:rsidRPr="007311D0">
        <w:t>be</w:t>
      </w:r>
      <w:r w:rsidR="001471B3" w:rsidRPr="007311D0">
        <w:t xml:space="preserve"> tamed</w:t>
      </w:r>
      <w:r w:rsidR="00487C8C" w:rsidRPr="007311D0">
        <w:t xml:space="preserve"> and eventually overcome</w:t>
      </w:r>
      <w:r w:rsidR="001471B3" w:rsidRPr="007311D0">
        <w:t xml:space="preserve"> </w:t>
      </w:r>
      <w:r w:rsidR="00487C8C" w:rsidRPr="007311D0">
        <w:t>in</w:t>
      </w:r>
      <w:r w:rsidR="001471B3" w:rsidRPr="007311D0">
        <w:t xml:space="preserve"> the post-WW1 </w:t>
      </w:r>
      <w:r w:rsidR="00487C8C" w:rsidRPr="007311D0">
        <w:t xml:space="preserve">new global </w:t>
      </w:r>
      <w:r w:rsidR="00EC1E3B" w:rsidRPr="007311D0">
        <w:t>era</w:t>
      </w:r>
      <w:r w:rsidR="001471B3" w:rsidRPr="007311D0">
        <w:t>. Instead fascism</w:t>
      </w:r>
      <w:r w:rsidR="00B1590A">
        <w:rPr>
          <w:rFonts w:cs="Times New Roman"/>
        </w:rPr>
        <w:t xml:space="preserve">’s remarkable </w:t>
      </w:r>
      <w:r w:rsidR="00B1590A">
        <w:t>appeal</w:t>
      </w:r>
      <w:r w:rsidR="001471B3" w:rsidRPr="007311D0">
        <w:t xml:space="preserve"> in the </w:t>
      </w:r>
      <w:r w:rsidR="001C5825">
        <w:t>interwar years</w:t>
      </w:r>
      <w:r w:rsidRPr="007311D0">
        <w:t xml:space="preserve"> </w:t>
      </w:r>
      <w:r w:rsidR="00B1590A">
        <w:t>was based on</w:t>
      </w:r>
      <w:r w:rsidR="001471B3" w:rsidRPr="007311D0">
        <w:t xml:space="preserve"> its capacity for</w:t>
      </w:r>
      <w:r w:rsidR="00B1590A">
        <w:t xml:space="preserve"> resourcefully</w:t>
      </w:r>
      <w:r w:rsidR="001471B3" w:rsidRPr="007311D0">
        <w:t xml:space="preserve"> mobili</w:t>
      </w:r>
      <w:r w:rsidR="00EE2C2D">
        <w:t>z</w:t>
      </w:r>
      <w:r w:rsidR="001471B3" w:rsidRPr="007311D0">
        <w:t xml:space="preserve">ing, sanctioning, and then </w:t>
      </w:r>
      <w:r w:rsidR="00EC1E3B" w:rsidRPr="007311D0">
        <w:t>shaping</w:t>
      </w:r>
      <w:r w:rsidR="001471B3" w:rsidRPr="007311D0">
        <w:t xml:space="preserve"> the</w:t>
      </w:r>
      <w:r w:rsidR="00FA51F7" w:rsidRPr="007311D0">
        <w:t>se alternative suppressed aspirations and forms of behaviour</w:t>
      </w:r>
      <w:r w:rsidR="001471B3" w:rsidRPr="007311D0">
        <w:t xml:space="preserve"> into </w:t>
      </w:r>
      <w:r w:rsidR="00FA51F7" w:rsidRPr="007311D0">
        <w:t xml:space="preserve">dominant </w:t>
      </w:r>
      <w:r w:rsidR="00EC1E3B" w:rsidRPr="007311D0">
        <w:t>alternative paradigms</w:t>
      </w:r>
      <w:r w:rsidR="001471B3" w:rsidRPr="007311D0">
        <w:t xml:space="preserve"> of thought and action that </w:t>
      </w:r>
      <w:r w:rsidR="00EC1E3B" w:rsidRPr="007311D0">
        <w:t xml:space="preserve">sought </w:t>
      </w:r>
      <w:r w:rsidR="00FA51F7" w:rsidRPr="007311D0">
        <w:t xml:space="preserve">either </w:t>
      </w:r>
      <w:r w:rsidR="00EE2C2D">
        <w:t xml:space="preserve">to </w:t>
      </w:r>
      <w:r w:rsidR="00FA51F7" w:rsidRPr="007311D0">
        <w:t xml:space="preserve">drastically modify </w:t>
      </w:r>
      <w:r w:rsidR="00EC1E3B" w:rsidRPr="007311D0">
        <w:t>or</w:t>
      </w:r>
      <w:r w:rsidR="002A7511">
        <w:t xml:space="preserve"> to</w:t>
      </w:r>
      <w:r w:rsidR="00EC1E3B" w:rsidRPr="007311D0">
        <w:t xml:space="preserve"> supplant altogether </w:t>
      </w:r>
      <w:r w:rsidR="00FA51F7" w:rsidRPr="007311D0">
        <w:t>existing mainstream norms</w:t>
      </w:r>
      <w:r w:rsidRPr="007311D0">
        <w:t xml:space="preserve">. </w:t>
      </w:r>
      <w:r w:rsidR="00A27EB7" w:rsidRPr="007311D0">
        <w:t xml:space="preserve">The cumulative effects of fascist uncivility may have been unquestionably and </w:t>
      </w:r>
      <w:r w:rsidR="004B0E99">
        <w:t>drastically</w:t>
      </w:r>
      <w:r w:rsidR="00A27EB7" w:rsidRPr="007311D0">
        <w:t xml:space="preserve"> regressive</w:t>
      </w:r>
      <w:r w:rsidR="00135E93">
        <w:t>;</w:t>
      </w:r>
      <w:r w:rsidR="00A27EB7" w:rsidRPr="007311D0">
        <w:t xml:space="preserve"> but </w:t>
      </w:r>
      <w:r w:rsidR="007311D0" w:rsidRPr="007311D0">
        <w:t>the</w:t>
      </w:r>
      <w:r w:rsidR="00EC1E3B" w:rsidRPr="007311D0">
        <w:t xml:space="preserve"> individual components and </w:t>
      </w:r>
      <w:r w:rsidR="007311D0" w:rsidRPr="007311D0">
        <w:t xml:space="preserve">affective drivers of the fascist </w:t>
      </w:r>
      <w:r w:rsidR="002916F5">
        <w:t>ideological and political</w:t>
      </w:r>
      <w:r w:rsidR="00135E93">
        <w:t xml:space="preserve"> radical</w:t>
      </w:r>
      <w:r w:rsidR="002916F5">
        <w:t xml:space="preserve"> </w:t>
      </w:r>
      <w:r w:rsidR="007311D0" w:rsidRPr="007311D0">
        <w:rPr>
          <w:rFonts w:cs="Times New Roman"/>
        </w:rPr>
        <w:t>‘</w:t>
      </w:r>
      <w:r w:rsidR="007311D0" w:rsidRPr="007311D0">
        <w:t>synthesis</w:t>
      </w:r>
      <w:r w:rsidR="007311D0" w:rsidRPr="007311D0">
        <w:rPr>
          <w:rFonts w:cs="Times New Roman"/>
        </w:rPr>
        <w:t>’</w:t>
      </w:r>
      <w:r w:rsidR="00FD34A2">
        <w:t xml:space="preserve"> were far from </w:t>
      </w:r>
      <w:r w:rsidR="00B1590A">
        <w:t xml:space="preserve">aberrant or </w:t>
      </w:r>
      <w:r w:rsidR="00FD34A2">
        <w:t>seismic</w:t>
      </w:r>
      <w:r w:rsidR="00A27EB7" w:rsidRPr="007311D0">
        <w:t>.</w:t>
      </w:r>
      <w:r w:rsidR="002916F5">
        <w:rPr>
          <w:rStyle w:val="EndnoteReference"/>
        </w:rPr>
        <w:endnoteReference w:id="6"/>
      </w:r>
      <w:r w:rsidR="00A27EB7" w:rsidRPr="007311D0">
        <w:t xml:space="preserve"> </w:t>
      </w:r>
    </w:p>
    <w:p w14:paraId="69458AF9" w14:textId="19EFEA53" w:rsidR="005A2A9C" w:rsidRDefault="007F37AF" w:rsidP="007311D0">
      <w:pPr>
        <w:pStyle w:val="MainText"/>
      </w:pPr>
      <w:r w:rsidRPr="007311D0">
        <w:t xml:space="preserve">In </w:t>
      </w:r>
      <w:r w:rsidR="001F5203" w:rsidRPr="007311D0">
        <w:t>this article</w:t>
      </w:r>
      <w:r w:rsidRPr="007311D0">
        <w:t xml:space="preserve">, I </w:t>
      </w:r>
      <w:r w:rsidR="00FC6583" w:rsidRPr="007311D0">
        <w:t xml:space="preserve">examine </w:t>
      </w:r>
      <w:r w:rsidR="00F9719E">
        <w:t>fascist uncivility</w:t>
      </w:r>
      <w:r w:rsidR="002916F5">
        <w:t xml:space="preserve"> </w:t>
      </w:r>
      <w:r w:rsidR="00DA53EF" w:rsidRPr="007311D0">
        <w:t>through the lens of Norbert Elias</w:t>
      </w:r>
      <w:r w:rsidR="002916F5">
        <w:t>’s</w:t>
      </w:r>
      <w:r w:rsidR="00DA53EF" w:rsidRPr="007311D0">
        <w:t xml:space="preserve"> pioneering but ever-controversial sociological study of </w:t>
      </w:r>
      <w:r w:rsidR="002916F5">
        <w:t>what he described as the</w:t>
      </w:r>
      <w:r w:rsidR="00DA53EF" w:rsidRPr="007311D0">
        <w:t xml:space="preserve"> </w:t>
      </w:r>
      <w:r w:rsidR="00DA53EF" w:rsidRPr="007311D0">
        <w:rPr>
          <w:rFonts w:cs="Times New Roman"/>
        </w:rPr>
        <w:t>‘</w:t>
      </w:r>
      <w:r w:rsidR="00DA53EF" w:rsidRPr="007311D0">
        <w:t>civili</w:t>
      </w:r>
      <w:r w:rsidR="003E1177">
        <w:t>z</w:t>
      </w:r>
      <w:r w:rsidR="00DA53EF" w:rsidRPr="007311D0">
        <w:t>ing process</w:t>
      </w:r>
      <w:r w:rsidR="00DA53EF" w:rsidRPr="007311D0">
        <w:rPr>
          <w:rFonts w:cs="Times New Roman"/>
        </w:rPr>
        <w:t>’</w:t>
      </w:r>
      <w:r w:rsidR="00A4285F" w:rsidRPr="007311D0">
        <w:t xml:space="preserve">. </w:t>
      </w:r>
      <w:r w:rsidR="009F02A6" w:rsidRPr="007311D0">
        <w:t xml:space="preserve">Elias </w:t>
      </w:r>
      <w:r w:rsidR="00C96CD2">
        <w:t>p</w:t>
      </w:r>
      <w:r w:rsidR="00C96CD2" w:rsidRPr="007311D0">
        <w:t>resented</w:t>
      </w:r>
      <w:r w:rsidR="00C96CD2">
        <w:t xml:space="preserve"> civility as the macro-historical effect of </w:t>
      </w:r>
      <w:r w:rsidR="00C96CD2" w:rsidRPr="007311D0">
        <w:t xml:space="preserve">the </w:t>
      </w:r>
      <w:r w:rsidR="00C96CD2">
        <w:t xml:space="preserve">gradual </w:t>
      </w:r>
      <w:r w:rsidR="00C96CD2" w:rsidRPr="007311D0">
        <w:t xml:space="preserve">social propagation and embedding of </w:t>
      </w:r>
      <w:r w:rsidR="00C96CD2" w:rsidRPr="004363E6">
        <w:rPr>
          <w:i/>
        </w:rPr>
        <w:t>civilit</w:t>
      </w:r>
      <w:r w:rsidR="00C96CD2" w:rsidRPr="004363E6">
        <w:rPr>
          <w:rFonts w:cs="Cambria"/>
          <w:i/>
        </w:rPr>
        <w:t>é</w:t>
      </w:r>
      <w:r w:rsidR="00C96CD2" w:rsidRPr="007311D0">
        <w:rPr>
          <w:i/>
        </w:rPr>
        <w:t xml:space="preserve"> </w:t>
      </w:r>
      <w:r w:rsidR="00C96CD2">
        <w:t xml:space="preserve">from the sixteenth </w:t>
      </w:r>
      <w:r w:rsidR="00C96CD2">
        <w:lastRenderedPageBreak/>
        <w:t>century onwards,</w:t>
      </w:r>
      <w:r w:rsidR="00C96CD2" w:rsidRPr="007311D0">
        <w:t xml:space="preserve"> as the all-crucial interim phase between the two poles of barbarism and civili</w:t>
      </w:r>
      <w:r w:rsidR="003E1177">
        <w:t>z</w:t>
      </w:r>
      <w:r w:rsidR="00C96CD2" w:rsidRPr="007311D0">
        <w:t>ation</w:t>
      </w:r>
      <w:r w:rsidR="00C96CD2">
        <w:t>. He located the origins of this change</w:t>
      </w:r>
      <w:r w:rsidR="009F02A6" w:rsidRPr="007311D0">
        <w:t xml:space="preserve"> at the intersection of the structural rise of the modern state (with its growing monopoly over sanctioned violence) and the psychological shift from external </w:t>
      </w:r>
      <w:r w:rsidR="00C96CD2">
        <w:t>con</w:t>
      </w:r>
      <w:r w:rsidR="009F02A6" w:rsidRPr="007311D0">
        <w:t>straint</w:t>
      </w:r>
      <w:r w:rsidR="00C96CD2">
        <w:t>s</w:t>
      </w:r>
      <w:r w:rsidR="009F02A6" w:rsidRPr="007311D0">
        <w:t xml:space="preserve"> to </w:t>
      </w:r>
      <w:r w:rsidR="00C96CD2">
        <w:t xml:space="preserve">individual </w:t>
      </w:r>
      <w:r w:rsidR="009F02A6" w:rsidRPr="007311D0">
        <w:t xml:space="preserve">self-restraint </w:t>
      </w:r>
      <w:r w:rsidR="009F02A6" w:rsidRPr="007311D0">
        <w:rPr>
          <w:rFonts w:cs="Times New Roman"/>
        </w:rPr>
        <w:t>–</w:t>
      </w:r>
      <w:r w:rsidR="009F02A6" w:rsidRPr="007311D0">
        <w:t xml:space="preserve"> both considered the hallmarks of </w:t>
      </w:r>
      <w:r w:rsidR="00190F95" w:rsidRPr="007311D0">
        <w:t xml:space="preserve">the </w:t>
      </w:r>
      <w:r w:rsidR="00190F95" w:rsidRPr="007311D0">
        <w:rPr>
          <w:rFonts w:cs="Times New Roman"/>
        </w:rPr>
        <w:t>‘</w:t>
      </w:r>
      <w:r w:rsidR="00190F95" w:rsidRPr="007311D0">
        <w:t>civili</w:t>
      </w:r>
      <w:r w:rsidR="003E1177">
        <w:t>z</w:t>
      </w:r>
      <w:r w:rsidR="00190F95" w:rsidRPr="007311D0">
        <w:t>ing process</w:t>
      </w:r>
      <w:r w:rsidR="00190F95" w:rsidRPr="007311D0">
        <w:rPr>
          <w:rFonts w:cs="Times New Roman"/>
        </w:rPr>
        <w:t>’</w:t>
      </w:r>
      <w:r w:rsidR="009F02A6" w:rsidRPr="007311D0">
        <w:t>.</w:t>
      </w:r>
      <w:bookmarkStart w:id="1" w:name="_Ref2773466"/>
      <w:r w:rsidR="009F02A6" w:rsidRPr="007311D0">
        <w:rPr>
          <w:rStyle w:val="EndnoteReference"/>
        </w:rPr>
        <w:endnoteReference w:id="7"/>
      </w:r>
      <w:bookmarkEnd w:id="1"/>
      <w:r w:rsidR="00190F95" w:rsidRPr="007311D0">
        <w:t xml:space="preserve"> I argue that the </w:t>
      </w:r>
      <w:r w:rsidR="005A2A9C">
        <w:t>significance</w:t>
      </w:r>
      <w:r w:rsidR="00190F95" w:rsidRPr="007311D0">
        <w:t xml:space="preserve"> of the Eliasian scheme for fascism studies - particularly in terms of how </w:t>
      </w:r>
      <w:r w:rsidR="00190F95" w:rsidRPr="004363E6">
        <w:rPr>
          <w:i/>
        </w:rPr>
        <w:t>un</w:t>
      </w:r>
      <w:r w:rsidR="00190F95" w:rsidRPr="007311D0">
        <w:t>civil ideas and language facilitated a generali</w:t>
      </w:r>
      <w:r w:rsidR="003E1177">
        <w:t>z</w:t>
      </w:r>
      <w:r w:rsidR="00190F95" w:rsidRPr="007311D0">
        <w:t>ed transition to transgressive violent praxis</w:t>
      </w:r>
      <w:r w:rsidR="005E0EB1" w:rsidRPr="007311D0">
        <w:t xml:space="preserve"> in interwar Europe</w:t>
      </w:r>
      <w:r w:rsidR="00190F95" w:rsidRPr="007311D0">
        <w:t xml:space="preserve"> - has not been fully appreciated. </w:t>
      </w:r>
      <w:r w:rsidR="00D1545E" w:rsidRPr="007311D0">
        <w:t>George L Mosse, who had initially criticised Elias for his reading of European and German history,</w:t>
      </w:r>
      <w:r w:rsidR="005E0EB1" w:rsidRPr="007311D0">
        <w:rPr>
          <w:rStyle w:val="EndnoteReference"/>
        </w:rPr>
        <w:endnoteReference w:id="8"/>
      </w:r>
      <w:r w:rsidR="00D1545E" w:rsidRPr="007311D0">
        <w:t xml:space="preserve"> subsequently subsumed many of his insights into his analysis of fascism as a </w:t>
      </w:r>
      <w:r w:rsidR="00D1545E" w:rsidRPr="007311D0">
        <w:rPr>
          <w:rFonts w:cs="Times New Roman"/>
        </w:rPr>
        <w:t>‘</w:t>
      </w:r>
      <w:r w:rsidR="00D1545E" w:rsidRPr="007311D0">
        <w:t>split-personality</w:t>
      </w:r>
      <w:r w:rsidR="00D1545E" w:rsidRPr="007311D0">
        <w:rPr>
          <w:rFonts w:cs="Times New Roman"/>
        </w:rPr>
        <w:t>’</w:t>
      </w:r>
      <w:r w:rsidR="00D1545E" w:rsidRPr="007311D0">
        <w:t xml:space="preserve"> historical phenomenon </w:t>
      </w:r>
      <w:r w:rsidR="00C0637C">
        <w:t>(</w:t>
      </w:r>
      <w:r w:rsidR="00D1545E" w:rsidRPr="007311D0">
        <w:t xml:space="preserve">at once an affirmation/recasting of </w:t>
      </w:r>
      <w:r w:rsidR="00D1545E" w:rsidRPr="007311D0">
        <w:rPr>
          <w:rFonts w:cs="Times New Roman"/>
        </w:rPr>
        <w:t>‘</w:t>
      </w:r>
      <w:r w:rsidR="00D1545E" w:rsidRPr="007311D0">
        <w:t>bourgeois</w:t>
      </w:r>
      <w:r w:rsidR="00D1545E" w:rsidRPr="007311D0">
        <w:rPr>
          <w:rFonts w:cs="Times New Roman"/>
        </w:rPr>
        <w:t>’</w:t>
      </w:r>
      <w:r w:rsidR="005E0EB1" w:rsidRPr="007311D0">
        <w:t>/</w:t>
      </w:r>
      <w:r w:rsidR="005E0EB1" w:rsidRPr="007311D0">
        <w:rPr>
          <w:rFonts w:cs="Times New Roman"/>
        </w:rPr>
        <w:t>‘</w:t>
      </w:r>
      <w:r w:rsidR="005E0EB1" w:rsidRPr="007311D0">
        <w:t>civil</w:t>
      </w:r>
      <w:r w:rsidR="005E0EB1" w:rsidRPr="007311D0">
        <w:rPr>
          <w:rFonts w:cs="Times New Roman"/>
        </w:rPr>
        <w:t>’</w:t>
      </w:r>
      <w:r w:rsidR="00D1545E" w:rsidRPr="007311D0">
        <w:t xml:space="preserve"> values and manners of the nineteenth century and an aggressive </w:t>
      </w:r>
      <w:r w:rsidR="00D1545E" w:rsidRPr="007311D0">
        <w:rPr>
          <w:rFonts w:cs="Times New Roman"/>
        </w:rPr>
        <w:t>‘</w:t>
      </w:r>
      <w:r w:rsidR="00D1545E" w:rsidRPr="007311D0">
        <w:t>anti-bourgeois</w:t>
      </w:r>
      <w:r w:rsidR="00D1545E" w:rsidRPr="007311D0">
        <w:rPr>
          <w:rFonts w:cs="Times New Roman"/>
        </w:rPr>
        <w:t>’</w:t>
      </w:r>
      <w:r w:rsidR="00D1545E" w:rsidRPr="007311D0">
        <w:t xml:space="preserve"> revolt</w:t>
      </w:r>
      <w:r w:rsidR="00C0637C">
        <w:t>)</w:t>
      </w:r>
      <w:r w:rsidR="00D1545E" w:rsidRPr="007311D0">
        <w:t>.</w:t>
      </w:r>
      <w:bookmarkStart w:id="2" w:name="_Ref2773751"/>
      <w:r w:rsidR="00D1545E" w:rsidRPr="007311D0">
        <w:rPr>
          <w:rStyle w:val="EndnoteReference"/>
        </w:rPr>
        <w:endnoteReference w:id="9"/>
      </w:r>
      <w:bookmarkEnd w:id="2"/>
      <w:r w:rsidR="00D1545E" w:rsidRPr="007311D0">
        <w:t xml:space="preserve"> </w:t>
      </w:r>
      <w:r w:rsidR="005A2A9C">
        <w:t>His</w:t>
      </w:r>
      <w:r w:rsidR="00D1545E" w:rsidRPr="007311D0">
        <w:t xml:space="preserve"> notion of</w:t>
      </w:r>
      <w:r w:rsidR="00A27EB7" w:rsidRPr="007311D0">
        <w:t xml:space="preserve"> fascist </w:t>
      </w:r>
      <w:r w:rsidR="00A27EB7" w:rsidRPr="007311D0">
        <w:rPr>
          <w:rFonts w:cs="Times New Roman"/>
        </w:rPr>
        <w:t>‘</w:t>
      </w:r>
      <w:r w:rsidR="00A27EB7" w:rsidRPr="007311D0">
        <w:t xml:space="preserve">bourgeois </w:t>
      </w:r>
      <w:r w:rsidR="00D1545E" w:rsidRPr="007311D0">
        <w:t>respectability</w:t>
      </w:r>
      <w:r w:rsidR="00D1545E" w:rsidRPr="007311D0">
        <w:rPr>
          <w:rFonts w:cs="Times New Roman"/>
        </w:rPr>
        <w:t>’</w:t>
      </w:r>
      <w:r w:rsidR="00D1545E" w:rsidRPr="007311D0">
        <w:t xml:space="preserve"> was clearly indebted to Elias</w:t>
      </w:r>
      <w:r w:rsidR="00D1545E" w:rsidRPr="007311D0">
        <w:rPr>
          <w:rFonts w:cs="Times New Roman"/>
        </w:rPr>
        <w:t>’</w:t>
      </w:r>
      <w:r w:rsidR="00D1545E" w:rsidRPr="007311D0">
        <w:t xml:space="preserve">s macro-historical analysis of changing manners as the core of the </w:t>
      </w:r>
      <w:r w:rsidR="00D1545E" w:rsidRPr="007311D0">
        <w:rPr>
          <w:rFonts w:cs="Times New Roman"/>
        </w:rPr>
        <w:t>‘</w:t>
      </w:r>
      <w:r w:rsidR="00D1545E" w:rsidRPr="007311D0">
        <w:t>civili</w:t>
      </w:r>
      <w:r w:rsidR="003E1177">
        <w:t>z</w:t>
      </w:r>
      <w:r w:rsidR="00D1545E" w:rsidRPr="007311D0">
        <w:t>ing process</w:t>
      </w:r>
      <w:r w:rsidR="00D1545E" w:rsidRPr="007311D0">
        <w:rPr>
          <w:rFonts w:cs="Times New Roman"/>
        </w:rPr>
        <w:t>’</w:t>
      </w:r>
      <w:r w:rsidR="00B1590A">
        <w:t xml:space="preserve">. It also </w:t>
      </w:r>
      <w:r w:rsidR="00D1545E" w:rsidRPr="007311D0">
        <w:t xml:space="preserve">prefigured subsequent discussions </w:t>
      </w:r>
      <w:r w:rsidR="00B1590A">
        <w:t>about</w:t>
      </w:r>
      <w:r w:rsidR="00D1545E" w:rsidRPr="007311D0">
        <w:t xml:space="preserve"> social and political </w:t>
      </w:r>
      <w:r w:rsidR="00D1545E" w:rsidRPr="007311D0">
        <w:rPr>
          <w:rFonts w:cs="Times New Roman"/>
        </w:rPr>
        <w:t>‘</w:t>
      </w:r>
      <w:r w:rsidR="00D1545E" w:rsidRPr="007311D0">
        <w:t>(un)civility</w:t>
      </w:r>
      <w:r w:rsidR="00D1545E" w:rsidRPr="007311D0">
        <w:rPr>
          <w:rFonts w:cs="Times New Roman"/>
        </w:rPr>
        <w:t>’</w:t>
      </w:r>
      <w:r w:rsidR="00B1590A">
        <w:rPr>
          <w:rFonts w:cs="Times New Roman"/>
        </w:rPr>
        <w:t xml:space="preserve"> in interwar years</w:t>
      </w:r>
      <w:r w:rsidR="00D1545E" w:rsidRPr="007311D0">
        <w:t xml:space="preserve">, especially in the context of </w:t>
      </w:r>
      <w:r w:rsidR="00C96CD2">
        <w:t xml:space="preserve">responding to </w:t>
      </w:r>
      <w:r w:rsidR="00D1545E" w:rsidRPr="007311D0">
        <w:t xml:space="preserve">perceived </w:t>
      </w:r>
      <w:r w:rsidR="002A08FE">
        <w:t>‘</w:t>
      </w:r>
      <w:r w:rsidR="00D1545E" w:rsidRPr="007311D0">
        <w:t>other</w:t>
      </w:r>
      <w:r w:rsidR="002A08FE">
        <w:t>s</w:t>
      </w:r>
      <w:r w:rsidR="00F12AF3">
        <w:t>’</w:t>
      </w:r>
      <w:r w:rsidR="00D1545E" w:rsidRPr="007311D0">
        <w:t xml:space="preserve"> </w:t>
      </w:r>
      <w:r w:rsidR="00F12AF3">
        <w:t>who</w:t>
      </w:r>
      <w:r w:rsidR="00C96CD2">
        <w:t xml:space="preserve"> </w:t>
      </w:r>
      <w:r w:rsidR="00F12AF3">
        <w:t>were</w:t>
      </w:r>
      <w:r w:rsidR="00C96CD2">
        <w:t xml:space="preserve"> deemed</w:t>
      </w:r>
      <w:r w:rsidR="00D1545E" w:rsidRPr="007311D0">
        <w:t xml:space="preserve"> threatening both to the individual and to the collective body of the community.</w:t>
      </w:r>
      <w:r w:rsidR="004E32CF" w:rsidRPr="007311D0">
        <w:t xml:space="preserve"> </w:t>
      </w:r>
    </w:p>
    <w:p w14:paraId="2BF170B6" w14:textId="58B98A1F" w:rsidR="001F5203" w:rsidRPr="007311D0" w:rsidRDefault="005A2A9C" w:rsidP="007311D0">
      <w:pPr>
        <w:pStyle w:val="MainText"/>
      </w:pPr>
      <w:r>
        <w:t>Mosse’s</w:t>
      </w:r>
      <w:r w:rsidR="005E0EB1" w:rsidRPr="007311D0">
        <w:t xml:space="preserve"> provocative reading of </w:t>
      </w:r>
      <w:r w:rsidR="00D779B3" w:rsidRPr="007311D0">
        <w:t xml:space="preserve">generic </w:t>
      </w:r>
      <w:r w:rsidR="005E0EB1" w:rsidRPr="007311D0">
        <w:t>fascism</w:t>
      </w:r>
      <w:r w:rsidR="00D779B3" w:rsidRPr="007311D0">
        <w:t xml:space="preserve"> (National Socialism included)</w:t>
      </w:r>
      <w:r w:rsidR="005E0EB1" w:rsidRPr="007311D0">
        <w:t xml:space="preserve"> as partly rooted in the</w:t>
      </w:r>
      <w:r w:rsidR="00D779B3" w:rsidRPr="007311D0">
        <w:t xml:space="preserve"> very dynamics of the</w:t>
      </w:r>
      <w:r w:rsidR="004E32CF" w:rsidRPr="007311D0">
        <w:t xml:space="preserve"> </w:t>
      </w:r>
      <w:r w:rsidR="005E0EB1" w:rsidRPr="007311D0">
        <w:rPr>
          <w:rFonts w:cs="Times New Roman"/>
        </w:rPr>
        <w:t>‘</w:t>
      </w:r>
      <w:r w:rsidR="005E0EB1" w:rsidRPr="007311D0">
        <w:t>civili</w:t>
      </w:r>
      <w:r w:rsidR="0070194D">
        <w:t>z</w:t>
      </w:r>
      <w:r w:rsidR="005E0EB1" w:rsidRPr="007311D0">
        <w:t>ing process</w:t>
      </w:r>
      <w:r w:rsidR="005E0EB1" w:rsidRPr="007311D0">
        <w:rPr>
          <w:rFonts w:cs="Times New Roman"/>
        </w:rPr>
        <w:t>’</w:t>
      </w:r>
      <w:r w:rsidR="005E0EB1" w:rsidRPr="007311D0">
        <w:t xml:space="preserve"> unsettled the conventional understanding of fascism in terms of rigid binaries of civili</w:t>
      </w:r>
      <w:r w:rsidR="0070194D">
        <w:t>z</w:t>
      </w:r>
      <w:r w:rsidR="005E0EB1" w:rsidRPr="007311D0">
        <w:t xml:space="preserve">ation-versus-barbarism and Enlightenment rationality-versus-atavism </w:t>
      </w:r>
      <w:r w:rsidR="00D779B3" w:rsidRPr="007311D0">
        <w:t xml:space="preserve">that </w:t>
      </w:r>
      <w:r w:rsidR="005E0EB1" w:rsidRPr="007311D0">
        <w:t>sought to expunge fascism from a normative path of European culture and politics.</w:t>
      </w:r>
      <w:r w:rsidR="005E0EB1" w:rsidRPr="007311D0">
        <w:rPr>
          <w:rStyle w:val="EndnoteReference"/>
        </w:rPr>
        <w:endnoteReference w:id="10"/>
      </w:r>
      <w:r w:rsidR="004E32CF" w:rsidRPr="007311D0">
        <w:rPr>
          <w:rStyle w:val="Heading4Char"/>
          <w:rFonts w:ascii="Franklin Gothic Book" w:hAnsi="Franklin Gothic Book" w:cs="Beirut"/>
        </w:rPr>
        <w:t xml:space="preserve"> </w:t>
      </w:r>
      <w:r w:rsidR="00C96CD2">
        <w:t>R</w:t>
      </w:r>
      <w:r w:rsidR="005E0EB1" w:rsidRPr="007311D0">
        <w:t xml:space="preserve">ather than presenting the success of interwar fascism as a </w:t>
      </w:r>
      <w:r w:rsidR="005E0EB1" w:rsidRPr="007311D0">
        <w:rPr>
          <w:rFonts w:cs="Times New Roman"/>
        </w:rPr>
        <w:t>‘</w:t>
      </w:r>
      <w:r w:rsidR="005E0EB1" w:rsidRPr="007311D0">
        <w:t>regression</w:t>
      </w:r>
      <w:r w:rsidR="005E0EB1" w:rsidRPr="007311D0">
        <w:rPr>
          <w:rFonts w:cs="Times New Roman"/>
        </w:rPr>
        <w:t>’</w:t>
      </w:r>
      <w:r w:rsidR="005E0EB1" w:rsidRPr="007311D0">
        <w:t xml:space="preserve"> into a putative earlier state of </w:t>
      </w:r>
      <w:r w:rsidR="005E0EB1" w:rsidRPr="007311D0">
        <w:rPr>
          <w:rFonts w:cs="Times New Roman"/>
        </w:rPr>
        <w:t>‘</w:t>
      </w:r>
      <w:r w:rsidR="005E0EB1" w:rsidRPr="007311D0">
        <w:t>barbarism</w:t>
      </w:r>
      <w:r w:rsidR="005E0EB1" w:rsidRPr="007311D0">
        <w:rPr>
          <w:rFonts w:cs="Times New Roman"/>
        </w:rPr>
        <w:t>’</w:t>
      </w:r>
      <w:r w:rsidR="005E0EB1" w:rsidRPr="007311D0">
        <w:t xml:space="preserve"> (a </w:t>
      </w:r>
      <w:r w:rsidR="00BB428F" w:rsidRPr="00C96CD2">
        <w:rPr>
          <w:i/>
        </w:rPr>
        <w:t>de</w:t>
      </w:r>
      <w:r w:rsidR="00BB428F" w:rsidRPr="007311D0">
        <w:t>civili</w:t>
      </w:r>
      <w:r w:rsidR="0070194D">
        <w:t>z</w:t>
      </w:r>
      <w:r w:rsidR="00BB428F" w:rsidRPr="007311D0">
        <w:t xml:space="preserve">ing </w:t>
      </w:r>
      <w:r w:rsidR="005E0EB1" w:rsidRPr="007311D0">
        <w:rPr>
          <w:rFonts w:cs="Times New Roman"/>
        </w:rPr>
        <w:t>‘</w:t>
      </w:r>
      <w:r w:rsidR="005E0EB1" w:rsidRPr="007311D0">
        <w:t>counter-spurt</w:t>
      </w:r>
      <w:r w:rsidR="005E0EB1" w:rsidRPr="007311D0">
        <w:rPr>
          <w:rFonts w:cs="Times New Roman"/>
        </w:rPr>
        <w:t>’</w:t>
      </w:r>
      <w:r w:rsidR="005E0EB1" w:rsidRPr="007311D0">
        <w:t>, as Elias</w:t>
      </w:r>
      <w:r w:rsidR="00BB428F" w:rsidRPr="007311D0">
        <w:t xml:space="preserve"> </w:t>
      </w:r>
      <w:r w:rsidR="00BB428F" w:rsidRPr="007311D0">
        <w:lastRenderedPageBreak/>
        <w:t xml:space="preserve">himself </w:t>
      </w:r>
      <w:r w:rsidR="005E0EB1" w:rsidRPr="007311D0">
        <w:t>called it</w:t>
      </w:r>
      <w:bookmarkStart w:id="3" w:name="_Ref2773685"/>
      <w:r w:rsidR="00BB428F" w:rsidRPr="007311D0">
        <w:rPr>
          <w:rStyle w:val="EndnoteReference"/>
        </w:rPr>
        <w:endnoteReference w:id="11"/>
      </w:r>
      <w:bookmarkEnd w:id="3"/>
      <w:r w:rsidR="005E0EB1" w:rsidRPr="007311D0">
        <w:t>)</w:t>
      </w:r>
      <w:r w:rsidR="005731E9" w:rsidRPr="007311D0">
        <w:t xml:space="preserve">, </w:t>
      </w:r>
      <w:r w:rsidR="00BB428F" w:rsidRPr="007311D0">
        <w:t xml:space="preserve">Mosse posited an alternative nuanced understanding of </w:t>
      </w:r>
      <w:r w:rsidR="00753024">
        <w:t>the affective appeal of</w:t>
      </w:r>
      <w:r w:rsidR="00BB428F" w:rsidRPr="007311D0">
        <w:t xml:space="preserve"> fascism as an affirmation of </w:t>
      </w:r>
      <w:r w:rsidR="005731E9" w:rsidRPr="007311D0">
        <w:t xml:space="preserve">the central role of </w:t>
      </w:r>
      <w:r w:rsidR="00753024">
        <w:t xml:space="preserve">violent impulses and </w:t>
      </w:r>
      <w:r w:rsidR="00666F1F">
        <w:t>trends</w:t>
      </w:r>
      <w:r w:rsidR="00BB428F" w:rsidRPr="007311D0">
        <w:t xml:space="preserve"> </w:t>
      </w:r>
      <w:r w:rsidR="00666F1F">
        <w:t>within</w:t>
      </w:r>
      <w:r w:rsidR="00BB428F" w:rsidRPr="007311D0">
        <w:t xml:space="preserve"> the </w:t>
      </w:r>
      <w:r w:rsidR="00C96CD2">
        <w:t>‘</w:t>
      </w:r>
      <w:r w:rsidR="00BB428F" w:rsidRPr="007311D0">
        <w:t>civili</w:t>
      </w:r>
      <w:r w:rsidR="0070194D">
        <w:t>z</w:t>
      </w:r>
      <w:r w:rsidR="00BB428F" w:rsidRPr="007311D0">
        <w:t>ing process</w:t>
      </w:r>
      <w:r w:rsidR="00C96CD2">
        <w:t>’</w:t>
      </w:r>
      <w:r w:rsidR="003F06EF">
        <w:t xml:space="preserve"> itself</w:t>
      </w:r>
      <w:r w:rsidR="00BB428F" w:rsidRPr="007311D0">
        <w:t>. In short</w:t>
      </w:r>
      <w:r w:rsidR="00BB428F" w:rsidRPr="00FF3700">
        <w:t xml:space="preserve">, </w:t>
      </w:r>
      <w:r w:rsidR="00597F70" w:rsidRPr="00FF3700">
        <w:t xml:space="preserve">far from being exclusively the binary opposite of </w:t>
      </w:r>
      <w:r w:rsidR="00BB428F" w:rsidRPr="00FF3700">
        <w:rPr>
          <w:i/>
        </w:rPr>
        <w:t>civilit</w:t>
      </w:r>
      <w:r w:rsidR="00BB428F" w:rsidRPr="00FF3700">
        <w:rPr>
          <w:rFonts w:cs="Cambria"/>
          <w:i/>
        </w:rPr>
        <w:t>é</w:t>
      </w:r>
      <w:r w:rsidR="00597F70" w:rsidRPr="00FF3700">
        <w:t>, violence could also be a ‘normal’</w:t>
      </w:r>
      <w:r w:rsidR="00BB428F" w:rsidRPr="00FF3700">
        <w:t xml:space="preserve"> expression of </w:t>
      </w:r>
      <w:r w:rsidR="00FF3700" w:rsidRPr="00FF3700">
        <w:t xml:space="preserve">aspects and processes of </w:t>
      </w:r>
      <w:r w:rsidR="00BB428F" w:rsidRPr="00FF3700">
        <w:t xml:space="preserve">modern </w:t>
      </w:r>
      <w:r w:rsidR="00FF3700" w:rsidRPr="00FF3700">
        <w:t>‘</w:t>
      </w:r>
      <w:r w:rsidR="00BB428F" w:rsidRPr="00FF3700">
        <w:t>civili</w:t>
      </w:r>
      <w:r w:rsidR="0070194D">
        <w:t>z</w:t>
      </w:r>
      <w:r w:rsidR="00BB428F" w:rsidRPr="00FF3700">
        <w:t>ation</w:t>
      </w:r>
      <w:r w:rsidR="00FF3700" w:rsidRPr="00FF3700">
        <w:t>’</w:t>
      </w:r>
      <w:r w:rsidR="00BB428F" w:rsidRPr="007311D0">
        <w:t>.</w:t>
      </w:r>
      <w:bookmarkStart w:id="4" w:name="_Ref2774140"/>
      <w:r w:rsidR="00BB428F" w:rsidRPr="007311D0">
        <w:rPr>
          <w:rStyle w:val="EndnoteReference"/>
        </w:rPr>
        <w:endnoteReference w:id="12"/>
      </w:r>
      <w:bookmarkEnd w:id="4"/>
      <w:r w:rsidR="00BB428F" w:rsidRPr="007311D0">
        <w:t xml:space="preserve"> </w:t>
      </w:r>
      <w:r w:rsidR="005731E9" w:rsidRPr="007311D0">
        <w:t>In the last three decades</w:t>
      </w:r>
      <w:r w:rsidR="00BB428F" w:rsidRPr="007311D0">
        <w:t>, t</w:t>
      </w:r>
      <w:r w:rsidR="00916DE5" w:rsidRPr="007311D0">
        <w:t xml:space="preserve">he scholarship of the Holocaust has </w:t>
      </w:r>
      <w:r w:rsidR="004E32CF" w:rsidRPr="007311D0">
        <w:t xml:space="preserve">also </w:t>
      </w:r>
      <w:r w:rsidR="00916DE5" w:rsidRPr="007311D0">
        <w:t xml:space="preserve">grappled with </w:t>
      </w:r>
      <w:r w:rsidR="00855B36" w:rsidRPr="007311D0">
        <w:t>this idea</w:t>
      </w:r>
      <w:r w:rsidR="00916DE5" w:rsidRPr="007311D0">
        <w:t xml:space="preserve"> extensively in the context of the facilitation</w:t>
      </w:r>
      <w:r w:rsidR="00855B36" w:rsidRPr="007311D0">
        <w:t xml:space="preserve"> and sanctioning</w:t>
      </w:r>
      <w:r w:rsidR="00916DE5" w:rsidRPr="007311D0">
        <w:t xml:space="preserve"> of industrialised mass murder by Nazi Germany. Zygmunt Bauman and Michael Mann, for example, have criticised Elias</w:t>
      </w:r>
      <w:r w:rsidR="00916DE5" w:rsidRPr="007311D0">
        <w:rPr>
          <w:rFonts w:cs="Times New Roman"/>
        </w:rPr>
        <w:t>’</w:t>
      </w:r>
      <w:r w:rsidR="00916DE5" w:rsidRPr="007311D0">
        <w:t xml:space="preserve">s standard analysis of the rise of National Socialism and of the Holocaust as </w:t>
      </w:r>
      <w:r w:rsidR="00916DE5" w:rsidRPr="007311D0">
        <w:rPr>
          <w:rFonts w:cs="Times New Roman"/>
        </w:rPr>
        <w:t>‘</w:t>
      </w:r>
      <w:r w:rsidR="00916DE5" w:rsidRPr="007311D0">
        <w:t>decivili</w:t>
      </w:r>
      <w:r w:rsidR="0070194D">
        <w:t>z</w:t>
      </w:r>
      <w:r w:rsidR="00916DE5" w:rsidRPr="007311D0">
        <w:t>ing</w:t>
      </w:r>
      <w:r w:rsidR="00916DE5" w:rsidRPr="007311D0">
        <w:rPr>
          <w:rFonts w:cs="Times New Roman"/>
        </w:rPr>
        <w:t>’</w:t>
      </w:r>
      <w:r w:rsidR="00916DE5" w:rsidRPr="007311D0">
        <w:t xml:space="preserve"> regressions, positing instead their structural affinities with the project of western modernity.</w:t>
      </w:r>
      <w:r w:rsidR="00916DE5" w:rsidRPr="007311D0">
        <w:rPr>
          <w:rStyle w:val="EndnoteReference"/>
        </w:rPr>
        <w:endnoteReference w:id="13"/>
      </w:r>
      <w:r w:rsidR="00916DE5" w:rsidRPr="007311D0">
        <w:t xml:space="preserve"> </w:t>
      </w:r>
      <w:r w:rsidR="00753024">
        <w:t>In</w:t>
      </w:r>
      <w:r w:rsidR="00916DE5" w:rsidRPr="007311D0">
        <w:t xml:space="preserve"> a similar v</w:t>
      </w:r>
      <w:r w:rsidR="0070194D">
        <w:t>e</w:t>
      </w:r>
      <w:r w:rsidR="00916DE5" w:rsidRPr="007311D0">
        <w:t xml:space="preserve">in, Enzo Traverso argued for a lineage of eliminationist Nazi violence that, through its bureaucratic sophistication and precision as well as embrace of technology, placed it firmly within the </w:t>
      </w:r>
      <w:r w:rsidR="00916DE5" w:rsidRPr="007311D0">
        <w:rPr>
          <w:rFonts w:cs="Times New Roman"/>
        </w:rPr>
        <w:t>‘</w:t>
      </w:r>
      <w:r w:rsidR="00916DE5" w:rsidRPr="007311D0">
        <w:t>civili</w:t>
      </w:r>
      <w:r w:rsidR="0070194D">
        <w:t>z</w:t>
      </w:r>
      <w:r w:rsidR="00916DE5" w:rsidRPr="007311D0">
        <w:t>ing process</w:t>
      </w:r>
      <w:r w:rsidR="00916DE5" w:rsidRPr="007311D0">
        <w:rPr>
          <w:rFonts w:cs="Times New Roman"/>
        </w:rPr>
        <w:t>’</w:t>
      </w:r>
      <w:r w:rsidR="007E1104">
        <w:t xml:space="preserve"> </w:t>
      </w:r>
      <w:r w:rsidR="00916DE5" w:rsidRPr="007311D0">
        <w:t xml:space="preserve">as its </w:t>
      </w:r>
      <w:r w:rsidR="00916DE5" w:rsidRPr="007311D0">
        <w:rPr>
          <w:rFonts w:cs="Times New Roman"/>
        </w:rPr>
        <w:t>‘</w:t>
      </w:r>
      <w:r w:rsidR="00916DE5" w:rsidRPr="007311D0">
        <w:t>authentic product</w:t>
      </w:r>
      <w:r w:rsidR="00916DE5" w:rsidRPr="007311D0">
        <w:rPr>
          <w:rFonts w:cs="Times New Roman"/>
        </w:rPr>
        <w:t>’</w:t>
      </w:r>
      <w:r w:rsidR="00916DE5" w:rsidRPr="007311D0">
        <w:t>.</w:t>
      </w:r>
      <w:r w:rsidR="00916DE5" w:rsidRPr="007311D0">
        <w:rPr>
          <w:rStyle w:val="EndnoteReference"/>
        </w:rPr>
        <w:endnoteReference w:id="14"/>
      </w:r>
      <w:r w:rsidR="00916DE5" w:rsidRPr="007311D0">
        <w:t xml:space="preserve"> By contrast, Dominick LaCapra has urged scholars to shift </w:t>
      </w:r>
      <w:r w:rsidR="000C1657">
        <w:t>their</w:t>
      </w:r>
      <w:r w:rsidR="00916DE5" w:rsidRPr="007311D0">
        <w:t xml:space="preserve"> focus away from the </w:t>
      </w:r>
      <w:r w:rsidR="00916DE5" w:rsidRPr="007311D0">
        <w:rPr>
          <w:rFonts w:cs="Times New Roman"/>
        </w:rPr>
        <w:t>‘</w:t>
      </w:r>
      <w:r w:rsidR="00916DE5" w:rsidRPr="007311D0">
        <w:t>modern</w:t>
      </w:r>
      <w:r w:rsidR="00916DE5" w:rsidRPr="007311D0">
        <w:rPr>
          <w:rFonts w:cs="Times New Roman"/>
        </w:rPr>
        <w:t>’</w:t>
      </w:r>
      <w:r w:rsidR="00916DE5" w:rsidRPr="007311D0">
        <w:t xml:space="preserve"> aspects of the Holocaust and towards its ritualistic functions </w:t>
      </w:r>
      <w:r w:rsidR="000C1657">
        <w:t xml:space="preserve">as </w:t>
      </w:r>
      <w:r w:rsidR="00916DE5" w:rsidRPr="007311D0">
        <w:t>promoting the sacrificial purification of the community. In a direct critique of Elias</w:t>
      </w:r>
      <w:r w:rsidR="00916DE5" w:rsidRPr="007311D0">
        <w:rPr>
          <w:rFonts w:cs="Times New Roman"/>
        </w:rPr>
        <w:t>’</w:t>
      </w:r>
      <w:r w:rsidR="00916DE5" w:rsidRPr="007311D0">
        <w:t xml:space="preserve">s </w:t>
      </w:r>
      <w:r w:rsidR="00BD632B">
        <w:t>position</w:t>
      </w:r>
      <w:r w:rsidR="00916DE5" w:rsidRPr="007311D0">
        <w:t xml:space="preserve">, LaCapra drew attention to the </w:t>
      </w:r>
      <w:r w:rsidR="00916DE5" w:rsidRPr="007311D0">
        <w:rPr>
          <w:rFonts w:cs="Times New Roman"/>
        </w:rPr>
        <w:t>‘</w:t>
      </w:r>
      <w:r w:rsidR="00916DE5" w:rsidRPr="007311D0">
        <w:t>unexpected, indeed uncanny combination of the new and the (seemingly) old [that] is oversimplified or even mistakenly understood in terms of regression to barbarism or even brutalization</w:t>
      </w:r>
      <w:r w:rsidR="00916DE5" w:rsidRPr="007311D0">
        <w:rPr>
          <w:rFonts w:cs="Times New Roman"/>
        </w:rPr>
        <w:t>’</w:t>
      </w:r>
      <w:r w:rsidR="00916DE5" w:rsidRPr="007311D0">
        <w:t>.</w:t>
      </w:r>
      <w:r w:rsidR="00916DE5" w:rsidRPr="007311D0">
        <w:rPr>
          <w:rStyle w:val="EndnoteReference"/>
        </w:rPr>
        <w:endnoteReference w:id="15"/>
      </w:r>
      <w:r w:rsidR="00916DE5" w:rsidRPr="007311D0">
        <w:t xml:space="preserve"> </w:t>
      </w:r>
    </w:p>
    <w:p w14:paraId="687DD26D" w14:textId="5B3E7AA0" w:rsidR="007F37AF" w:rsidRPr="007311D0" w:rsidRDefault="00D779B3" w:rsidP="007311D0">
      <w:pPr>
        <w:pStyle w:val="MainText"/>
      </w:pPr>
      <w:r w:rsidRPr="007311D0">
        <w:t>Exceptionali</w:t>
      </w:r>
      <w:r w:rsidR="0070194D">
        <w:t>z</w:t>
      </w:r>
      <w:r w:rsidRPr="007311D0">
        <w:t xml:space="preserve">ing fascism in general </w:t>
      </w:r>
      <w:r w:rsidR="00753024">
        <w:t>and</w:t>
      </w:r>
      <w:r w:rsidRPr="007311D0">
        <w:t xml:space="preserve"> National Socialism in particular</w:t>
      </w:r>
      <w:r w:rsidR="001F5203" w:rsidRPr="007311D0">
        <w:t xml:space="preserve"> </w:t>
      </w:r>
      <w:r w:rsidRPr="007311D0">
        <w:t xml:space="preserve">as </w:t>
      </w:r>
      <w:r w:rsidR="004E32CF" w:rsidRPr="007311D0">
        <w:t xml:space="preserve">a </w:t>
      </w:r>
      <w:r w:rsidRPr="007311D0">
        <w:rPr>
          <w:rFonts w:cs="Times New Roman"/>
        </w:rPr>
        <w:t>‘</w:t>
      </w:r>
      <w:r w:rsidRPr="007311D0">
        <w:rPr>
          <w:i/>
        </w:rPr>
        <w:t>de</w:t>
      </w:r>
      <w:r w:rsidRPr="007311D0">
        <w:t>civili</w:t>
      </w:r>
      <w:r w:rsidR="0070194D">
        <w:t>z</w:t>
      </w:r>
      <w:r w:rsidRPr="007311D0">
        <w:t>ing spurt</w:t>
      </w:r>
      <w:r w:rsidRPr="007311D0">
        <w:rPr>
          <w:rFonts w:cs="Times New Roman"/>
        </w:rPr>
        <w:t>’</w:t>
      </w:r>
      <w:r w:rsidRPr="007311D0">
        <w:t xml:space="preserve"> </w:t>
      </w:r>
      <w:r w:rsidR="001F5203" w:rsidRPr="007311D0">
        <w:t xml:space="preserve">is, in my opinion, </w:t>
      </w:r>
      <w:r w:rsidRPr="007311D0">
        <w:t xml:space="preserve">a </w:t>
      </w:r>
      <w:r w:rsidR="001F5203" w:rsidRPr="007311D0">
        <w:t xml:space="preserve">problematic and unhelpful </w:t>
      </w:r>
      <w:r w:rsidRPr="007311D0">
        <w:t>line of interpretation</w:t>
      </w:r>
      <w:r w:rsidR="001F5203" w:rsidRPr="007311D0">
        <w:t xml:space="preserve">. </w:t>
      </w:r>
      <w:r w:rsidR="005A2A9C">
        <w:t>In fact, I argue that</w:t>
      </w:r>
      <w:r w:rsidRPr="007311D0">
        <w:t xml:space="preserve"> Elias may have over-estimated the overall </w:t>
      </w:r>
      <w:r w:rsidR="004E32CF" w:rsidRPr="007311D0">
        <w:t xml:space="preserve">qualitative </w:t>
      </w:r>
      <w:r w:rsidRPr="007311D0">
        <w:t xml:space="preserve">dynamics of civility in his </w:t>
      </w:r>
      <w:r w:rsidRPr="007311D0">
        <w:rPr>
          <w:rFonts w:cs="Times New Roman"/>
        </w:rPr>
        <w:t>‘</w:t>
      </w:r>
      <w:r w:rsidRPr="007311D0">
        <w:t>civili</w:t>
      </w:r>
      <w:r w:rsidR="0070194D">
        <w:t>z</w:t>
      </w:r>
      <w:r w:rsidRPr="007311D0">
        <w:t>ing process</w:t>
      </w:r>
      <w:r w:rsidRPr="007311D0">
        <w:rPr>
          <w:rFonts w:cs="Times New Roman"/>
        </w:rPr>
        <w:t>’</w:t>
      </w:r>
      <w:r w:rsidRPr="007311D0">
        <w:t xml:space="preserve">. </w:t>
      </w:r>
      <w:r w:rsidR="001E1382" w:rsidRPr="007311D0">
        <w:t xml:space="preserve">His notion of </w:t>
      </w:r>
      <w:r w:rsidR="001E1382" w:rsidRPr="007311D0">
        <w:rPr>
          <w:rFonts w:cs="Times New Roman"/>
        </w:rPr>
        <w:t>‘</w:t>
      </w:r>
      <w:r w:rsidR="001E1382" w:rsidRPr="007311D0">
        <w:t>civili</w:t>
      </w:r>
      <w:r w:rsidR="0070194D">
        <w:t>z</w:t>
      </w:r>
      <w:r w:rsidR="001E1382" w:rsidRPr="007311D0">
        <w:t>ation</w:t>
      </w:r>
      <w:r w:rsidR="001E1382" w:rsidRPr="007311D0">
        <w:rPr>
          <w:rFonts w:cs="Times New Roman"/>
        </w:rPr>
        <w:t>’</w:t>
      </w:r>
      <w:r w:rsidR="001E1382" w:rsidRPr="007311D0">
        <w:t xml:space="preserve"> as an ongoing historical project with no </w:t>
      </w:r>
      <w:r w:rsidR="001E1382" w:rsidRPr="007311D0">
        <w:rPr>
          <w:rFonts w:cs="Times New Roman"/>
        </w:rPr>
        <w:t>‘</w:t>
      </w:r>
      <w:r w:rsidR="001E1382" w:rsidRPr="007311D0">
        <w:t xml:space="preserve">zero </w:t>
      </w:r>
      <w:r w:rsidR="00861A6C">
        <w:t xml:space="preserve">(starting) </w:t>
      </w:r>
      <w:r w:rsidR="001E1382" w:rsidRPr="007311D0">
        <w:t>point</w:t>
      </w:r>
      <w:r w:rsidR="001E1382" w:rsidRPr="007311D0">
        <w:rPr>
          <w:rFonts w:cs="Times New Roman"/>
        </w:rPr>
        <w:t>’</w:t>
      </w:r>
      <w:r w:rsidR="004E32CF" w:rsidRPr="007311D0">
        <w:t xml:space="preserve">, </w:t>
      </w:r>
      <w:r w:rsidR="004E32CF" w:rsidRPr="007311D0">
        <w:lastRenderedPageBreak/>
        <w:t>linear direction</w:t>
      </w:r>
      <w:r w:rsidR="001E1382" w:rsidRPr="007311D0">
        <w:t xml:space="preserve"> or end stage rested on </w:t>
      </w:r>
      <w:r w:rsidR="005A2A9C">
        <w:t xml:space="preserve">the expectation of </w:t>
      </w:r>
      <w:r w:rsidR="001E1382" w:rsidRPr="007311D0">
        <w:t xml:space="preserve">a </w:t>
      </w:r>
      <w:r w:rsidR="004E32CF" w:rsidRPr="007311D0">
        <w:t xml:space="preserve">more or less symmetrical </w:t>
      </w:r>
      <w:r w:rsidR="001E1382" w:rsidRPr="007311D0">
        <w:t xml:space="preserve">translation of sociogenetic (structural) developments into </w:t>
      </w:r>
      <w:r w:rsidR="004A063E">
        <w:t>a set of</w:t>
      </w:r>
      <w:r w:rsidR="001E1382" w:rsidRPr="007311D0">
        <w:t xml:space="preserve"> psychogenetic (behavioural) changes. Paramount among the latter w</w:t>
      </w:r>
      <w:r w:rsidR="00BD406B" w:rsidRPr="007311D0">
        <w:t>ere two shift</w:t>
      </w:r>
      <w:r w:rsidR="003F68F3" w:rsidRPr="007311D0">
        <w:t xml:space="preserve"> processes</w:t>
      </w:r>
      <w:r w:rsidR="004A063E">
        <w:t>:</w:t>
      </w:r>
      <w:r w:rsidR="001E1382" w:rsidRPr="007311D0">
        <w:t xml:space="preserve"> from external constraints over individual and collective behaviour to increasing self-restraint; and from</w:t>
      </w:r>
      <w:r w:rsidR="00BD406B" w:rsidRPr="007311D0">
        <w:t xml:space="preserve"> strictly</w:t>
      </w:r>
      <w:r w:rsidR="001E1382" w:rsidRPr="007311D0">
        <w:t xml:space="preserve"> </w:t>
      </w:r>
      <w:r w:rsidR="00BD406B" w:rsidRPr="004363E6">
        <w:rPr>
          <w:i/>
        </w:rPr>
        <w:t>bounded</w:t>
      </w:r>
      <w:r w:rsidR="00BD406B" w:rsidRPr="007311D0">
        <w:t xml:space="preserve"> collective identities to increasingly broader and detached forms of social consciousness made possible through unbounded interdependence. The </w:t>
      </w:r>
      <w:r w:rsidR="00753024">
        <w:t xml:space="preserve">social appeal and political </w:t>
      </w:r>
      <w:r w:rsidR="00BD406B" w:rsidRPr="007311D0">
        <w:t>success of interwar fascism expressed and exposed the variable</w:t>
      </w:r>
      <w:r w:rsidR="004A063E">
        <w:t xml:space="preserve">, </w:t>
      </w:r>
      <w:r w:rsidR="00BD406B" w:rsidRPr="007311D0">
        <w:t xml:space="preserve">reversible </w:t>
      </w:r>
      <w:r w:rsidR="003F68F3" w:rsidRPr="007311D0">
        <w:t xml:space="preserve">dynamics of these processes as </w:t>
      </w:r>
      <w:r w:rsidR="003F68F3" w:rsidRPr="004363E6">
        <w:rPr>
          <w:i/>
        </w:rPr>
        <w:t>ordinal</w:t>
      </w:r>
      <w:r w:rsidR="003F68F3" w:rsidRPr="007311D0">
        <w:t xml:space="preserve"> </w:t>
      </w:r>
      <w:r w:rsidR="004E32CF" w:rsidRPr="007311D0">
        <w:t>counter-movements</w:t>
      </w:r>
      <w:r w:rsidR="003F68F3" w:rsidRPr="007311D0">
        <w:t xml:space="preserve"> </w:t>
      </w:r>
      <w:r w:rsidR="00753024">
        <w:t xml:space="preserve">otherwise inscribed </w:t>
      </w:r>
      <w:r w:rsidR="003F68F3" w:rsidRPr="004363E6">
        <w:rPr>
          <w:i/>
        </w:rPr>
        <w:t>within</w:t>
      </w:r>
      <w:r w:rsidR="003F68F3" w:rsidRPr="007311D0">
        <w:t xml:space="preserve"> the</w:t>
      </w:r>
      <w:r w:rsidR="004E32CF" w:rsidRPr="007311D0">
        <w:t xml:space="preserve"> overall matrix of the</w:t>
      </w:r>
      <w:r w:rsidR="003F68F3" w:rsidRPr="007311D0">
        <w:t xml:space="preserve"> </w:t>
      </w:r>
      <w:r w:rsidR="003F68F3" w:rsidRPr="007311D0">
        <w:rPr>
          <w:rFonts w:cs="Times New Roman"/>
        </w:rPr>
        <w:t>‘</w:t>
      </w:r>
      <w:r w:rsidR="003F68F3" w:rsidRPr="007311D0">
        <w:t>civili</w:t>
      </w:r>
      <w:r w:rsidR="006B622D">
        <w:t>z</w:t>
      </w:r>
      <w:r w:rsidR="003F68F3" w:rsidRPr="007311D0">
        <w:t>ing process</w:t>
      </w:r>
      <w:r w:rsidR="003F68F3" w:rsidRPr="007311D0">
        <w:rPr>
          <w:rFonts w:cs="Times New Roman"/>
        </w:rPr>
        <w:t>’</w:t>
      </w:r>
      <w:r w:rsidR="003F68F3" w:rsidRPr="007311D0">
        <w:t xml:space="preserve"> and not as qualitative </w:t>
      </w:r>
      <w:r w:rsidR="00753024">
        <w:t>ruptures thereof</w:t>
      </w:r>
      <w:r w:rsidR="003F68F3" w:rsidRPr="007311D0">
        <w:t xml:space="preserve">. I </w:t>
      </w:r>
      <w:r w:rsidR="005A2A9C">
        <w:t xml:space="preserve">therefore </w:t>
      </w:r>
      <w:r w:rsidR="003F68F3" w:rsidRPr="007311D0">
        <w:t xml:space="preserve">propose an </w:t>
      </w:r>
      <w:r w:rsidR="004A063E">
        <w:t>analysis</w:t>
      </w:r>
      <w:r w:rsidR="00C4556A" w:rsidRPr="007311D0">
        <w:t xml:space="preserve"> of </w:t>
      </w:r>
      <w:r w:rsidR="003F68F3" w:rsidRPr="007311D0">
        <w:t xml:space="preserve">fascist radical </w:t>
      </w:r>
      <w:r w:rsidR="003F68F3" w:rsidRPr="004363E6">
        <w:rPr>
          <w:i/>
        </w:rPr>
        <w:t>un</w:t>
      </w:r>
      <w:r w:rsidR="003F68F3" w:rsidRPr="007311D0">
        <w:t xml:space="preserve">civility as rooted in a </w:t>
      </w:r>
      <w:r w:rsidR="003F68F3" w:rsidRPr="004363E6">
        <w:rPr>
          <w:i/>
        </w:rPr>
        <w:t>continuum of mainstream acceptability</w:t>
      </w:r>
      <w:r w:rsidR="00C4556A" w:rsidRPr="007311D0">
        <w:t xml:space="preserve">, </w:t>
      </w:r>
      <w:r w:rsidR="004E32CF" w:rsidRPr="007311D0">
        <w:t>embedded</w:t>
      </w:r>
      <w:r w:rsidR="00C4556A" w:rsidRPr="007311D0">
        <w:t xml:space="preserve"> in key trends of the </w:t>
      </w:r>
      <w:r w:rsidR="00C4556A" w:rsidRPr="007311D0">
        <w:rPr>
          <w:rFonts w:cs="Times New Roman"/>
        </w:rPr>
        <w:t>‘</w:t>
      </w:r>
      <w:r w:rsidR="00C4556A" w:rsidRPr="007311D0">
        <w:t>civili</w:t>
      </w:r>
      <w:r w:rsidR="006B622D">
        <w:t>z</w:t>
      </w:r>
      <w:r w:rsidR="00C4556A" w:rsidRPr="007311D0">
        <w:t>ing process</w:t>
      </w:r>
      <w:r w:rsidR="00C4556A" w:rsidRPr="007311D0">
        <w:rPr>
          <w:rFonts w:cs="Times New Roman"/>
        </w:rPr>
        <w:t>’</w:t>
      </w:r>
      <w:r w:rsidR="00C4556A" w:rsidRPr="007311D0">
        <w:t xml:space="preserve"> but </w:t>
      </w:r>
      <w:r w:rsidR="00753024">
        <w:t>resting on</w:t>
      </w:r>
      <w:r w:rsidR="00C4556A" w:rsidRPr="007311D0">
        <w:t xml:space="preserve"> revised </w:t>
      </w:r>
      <w:r w:rsidR="005426D9" w:rsidRPr="007311D0">
        <w:t xml:space="preserve">underlying </w:t>
      </w:r>
      <w:r w:rsidR="00C4556A" w:rsidRPr="007311D0">
        <w:t>norms about community identification and treatment of otherness.</w:t>
      </w:r>
      <w:r w:rsidR="003F68F3" w:rsidRPr="007311D0">
        <w:t xml:space="preserve"> </w:t>
      </w:r>
      <w:r w:rsidR="00D1545E" w:rsidRPr="007311D0">
        <w:t>I</w:t>
      </w:r>
      <w:r w:rsidR="007F37AF" w:rsidRPr="007311D0">
        <w:t xml:space="preserve"> </w:t>
      </w:r>
      <w:r w:rsidR="00C4556A" w:rsidRPr="007311D0">
        <w:t xml:space="preserve">analyse </w:t>
      </w:r>
      <w:r w:rsidR="007F37AF" w:rsidRPr="007311D0">
        <w:t xml:space="preserve">two </w:t>
      </w:r>
      <w:r w:rsidR="00774DD2" w:rsidRPr="007311D0">
        <w:t xml:space="preserve">very </w:t>
      </w:r>
      <w:r w:rsidR="007F37AF" w:rsidRPr="007311D0">
        <w:t>different examples of uncivil</w:t>
      </w:r>
      <w:r w:rsidR="00774DD2" w:rsidRPr="007311D0">
        <w:t xml:space="preserve"> backlash</w:t>
      </w:r>
      <w:r w:rsidR="007F37AF" w:rsidRPr="007311D0">
        <w:t xml:space="preserve"> that became associated with, and </w:t>
      </w:r>
      <w:r w:rsidR="00774DD2" w:rsidRPr="007311D0">
        <w:t>sanctioned</w:t>
      </w:r>
      <w:r w:rsidR="007F37AF" w:rsidRPr="007311D0">
        <w:t xml:space="preserve"> by, interwar fascism</w:t>
      </w:r>
      <w:r w:rsidR="00640241">
        <w:t xml:space="preserve">: first, </w:t>
      </w:r>
      <w:r w:rsidR="00774DD2" w:rsidRPr="007311D0">
        <w:t xml:space="preserve">the implacable </w:t>
      </w:r>
      <w:r w:rsidR="007F37AF" w:rsidRPr="007311D0">
        <w:t>attack on the liberal framework of ideas and principles promoted by the liberal powers as the basis of the post-WW1 order; and</w:t>
      </w:r>
      <w:r w:rsidR="00640241">
        <w:t xml:space="preserve"> second,</w:t>
      </w:r>
      <w:r w:rsidR="007F37AF" w:rsidRPr="007311D0">
        <w:t xml:space="preserve"> </w:t>
      </w:r>
      <w:r w:rsidR="00774DD2" w:rsidRPr="007311D0">
        <w:t>the normali</w:t>
      </w:r>
      <w:r w:rsidR="006B622D">
        <w:t>z</w:t>
      </w:r>
      <w:r w:rsidR="00774DD2" w:rsidRPr="007311D0">
        <w:t xml:space="preserve">ation of </w:t>
      </w:r>
      <w:r w:rsidR="007F37AF" w:rsidRPr="007311D0">
        <w:t>violent anti-semitism. By examining the facilitating drivers of</w:t>
      </w:r>
      <w:r w:rsidR="00B60982">
        <w:t xml:space="preserve"> </w:t>
      </w:r>
      <w:r w:rsidR="007F37AF" w:rsidRPr="007311D0">
        <w:t xml:space="preserve">each </w:t>
      </w:r>
      <w:r w:rsidR="00B60982">
        <w:t>of these spasms of uncivility</w:t>
      </w:r>
      <w:r w:rsidR="007F37AF" w:rsidRPr="007311D0">
        <w:t xml:space="preserve">, </w:t>
      </w:r>
      <w:r w:rsidR="007F37AF" w:rsidRPr="00920441">
        <w:t xml:space="preserve">I approach fascist agency in terms of </w:t>
      </w:r>
      <w:r w:rsidR="00920441" w:rsidRPr="00920441">
        <w:rPr>
          <w:iCs/>
        </w:rPr>
        <w:t>authori</w:t>
      </w:r>
      <w:r w:rsidR="006B622D">
        <w:rPr>
          <w:iCs/>
        </w:rPr>
        <w:t>z</w:t>
      </w:r>
      <w:r w:rsidR="00920441" w:rsidRPr="00920441">
        <w:rPr>
          <w:iCs/>
        </w:rPr>
        <w:t xml:space="preserve">ing and </w:t>
      </w:r>
      <w:r w:rsidR="00920441">
        <w:rPr>
          <w:iCs/>
        </w:rPr>
        <w:t xml:space="preserve">then </w:t>
      </w:r>
      <w:r w:rsidR="0073167C">
        <w:rPr>
          <w:iCs/>
        </w:rPr>
        <w:t>spearheading</w:t>
      </w:r>
      <w:r w:rsidR="007F37AF" w:rsidRPr="00920441">
        <w:rPr>
          <w:i/>
          <w:iCs/>
        </w:rPr>
        <w:t xml:space="preserve"> a limited</w:t>
      </w:r>
      <w:r w:rsidR="00920441">
        <w:rPr>
          <w:i/>
          <w:iCs/>
        </w:rPr>
        <w:t xml:space="preserve">, </w:t>
      </w:r>
      <w:r w:rsidR="00DC388F" w:rsidRPr="00920441">
        <w:rPr>
          <w:i/>
          <w:iCs/>
        </w:rPr>
        <w:t>conditional</w:t>
      </w:r>
      <w:r w:rsidR="007F37AF" w:rsidRPr="00920441">
        <w:rPr>
          <w:i/>
          <w:iCs/>
        </w:rPr>
        <w:t xml:space="preserve"> transgression</w:t>
      </w:r>
      <w:r w:rsidR="007F37AF" w:rsidRPr="00920441">
        <w:t xml:space="preserve"> of</w:t>
      </w:r>
      <w:r w:rsidR="00407509" w:rsidRPr="00920441">
        <w:t xml:space="preserve"> associated</w:t>
      </w:r>
      <w:r w:rsidR="007F37AF" w:rsidRPr="00920441">
        <w:rPr>
          <w:i/>
        </w:rPr>
        <w:t xml:space="preserve"> taboos</w:t>
      </w:r>
      <w:r w:rsidR="00514F75" w:rsidRPr="00920441">
        <w:t xml:space="preserve"> without destroying the taboos themselves</w:t>
      </w:r>
      <w:r w:rsidR="00C4556A" w:rsidRPr="00920441">
        <w:t xml:space="preserve"> or the </w:t>
      </w:r>
      <w:r w:rsidR="00870FB4" w:rsidRPr="00920441">
        <w:t xml:space="preserve">mainstream </w:t>
      </w:r>
      <w:r w:rsidR="00C4556A" w:rsidRPr="00920441">
        <w:t>values of</w:t>
      </w:r>
      <w:r w:rsidR="00870FB4" w:rsidRPr="00920441">
        <w:t xml:space="preserve"> civility </w:t>
      </w:r>
      <w:r w:rsidR="00C4556A" w:rsidRPr="00920441">
        <w:t xml:space="preserve">that they </w:t>
      </w:r>
      <w:r w:rsidR="00920441">
        <w:t xml:space="preserve">otherwise </w:t>
      </w:r>
      <w:r w:rsidR="00C4556A" w:rsidRPr="00920441">
        <w:t>promoted</w:t>
      </w:r>
      <w:r w:rsidR="00A43268" w:rsidRPr="00920441">
        <w:t xml:space="preserve">. </w:t>
      </w:r>
      <w:r w:rsidR="0073167C">
        <w:t xml:space="preserve">In so doing, I also highlight how fascist </w:t>
      </w:r>
      <w:r w:rsidR="00F9719E">
        <w:t>uncivility</w:t>
      </w:r>
      <w:r w:rsidR="0073167C">
        <w:t xml:space="preserve"> responded to, expressed, and effectively mobili</w:t>
      </w:r>
      <w:r w:rsidR="006B622D">
        <w:t>z</w:t>
      </w:r>
      <w:r w:rsidR="0073167C">
        <w:t xml:space="preserve">ed widespread mainstream </w:t>
      </w:r>
      <w:r w:rsidR="00F9719E">
        <w:t xml:space="preserve">social and political </w:t>
      </w:r>
      <w:r w:rsidR="0073167C">
        <w:t xml:space="preserve">support </w:t>
      </w:r>
      <w:r w:rsidR="00F9719E">
        <w:t xml:space="preserve">for a radical redefinition of the notions of community and citizenship in uncompromising opposition to more recent liberal precepts. </w:t>
      </w:r>
    </w:p>
    <w:p w14:paraId="3DFE9769" w14:textId="77777777" w:rsidR="007F37AF" w:rsidRPr="007311D0" w:rsidRDefault="007F37AF" w:rsidP="007311D0">
      <w:pPr>
        <w:pStyle w:val="MainText"/>
      </w:pPr>
    </w:p>
    <w:p w14:paraId="6B035BA0" w14:textId="6F7C49DB" w:rsidR="007F37AF" w:rsidRPr="007311D0" w:rsidRDefault="007F37AF" w:rsidP="00C131EE">
      <w:pPr>
        <w:pStyle w:val="Heading2"/>
      </w:pPr>
      <w:r w:rsidRPr="007311D0">
        <w:t xml:space="preserve">The </w:t>
      </w:r>
      <w:r w:rsidRPr="007311D0">
        <w:rPr>
          <w:rFonts w:cs="Times New Roman"/>
        </w:rPr>
        <w:t>‘</w:t>
      </w:r>
      <w:r w:rsidRPr="007311D0">
        <w:t>civili</w:t>
      </w:r>
      <w:r w:rsidR="00FB727B">
        <w:t>z</w:t>
      </w:r>
      <w:r w:rsidRPr="007311D0">
        <w:t>ing process</w:t>
      </w:r>
      <w:r w:rsidRPr="007311D0">
        <w:rPr>
          <w:rFonts w:cs="Times New Roman"/>
        </w:rPr>
        <w:t>’</w:t>
      </w:r>
      <w:r w:rsidR="00DE1103" w:rsidRPr="007311D0">
        <w:t xml:space="preserve">, </w:t>
      </w:r>
      <w:r w:rsidR="00DE1103" w:rsidRPr="007311D0">
        <w:rPr>
          <w:rFonts w:cs="Times New Roman"/>
        </w:rPr>
        <w:t>‘</w:t>
      </w:r>
      <w:r w:rsidR="00DE1103" w:rsidRPr="007311D0">
        <w:t>decivilizing spurts</w:t>
      </w:r>
      <w:r w:rsidR="00DE1103" w:rsidRPr="007311D0">
        <w:rPr>
          <w:rFonts w:cs="Times New Roman"/>
        </w:rPr>
        <w:t>’</w:t>
      </w:r>
      <w:r w:rsidR="00897250" w:rsidRPr="007311D0">
        <w:t>,</w:t>
      </w:r>
      <w:r w:rsidRPr="007311D0">
        <w:t xml:space="preserve"> and </w:t>
      </w:r>
      <w:r w:rsidR="00484EC1" w:rsidRPr="007311D0">
        <w:rPr>
          <w:rFonts w:cs="Times New Roman"/>
        </w:rPr>
        <w:t>‘</w:t>
      </w:r>
      <w:r w:rsidRPr="007311D0">
        <w:t>the mainstream</w:t>
      </w:r>
      <w:r w:rsidR="00484EC1" w:rsidRPr="007311D0">
        <w:rPr>
          <w:rFonts w:cs="Times New Roman"/>
        </w:rPr>
        <w:t>’</w:t>
      </w:r>
    </w:p>
    <w:p w14:paraId="7ADF0A13" w14:textId="0C84E16B" w:rsidR="007F37AF" w:rsidRPr="007311D0" w:rsidRDefault="007F37AF" w:rsidP="007311D0">
      <w:pPr>
        <w:pStyle w:val="MainText"/>
      </w:pPr>
      <w:r w:rsidRPr="007311D0">
        <w:t xml:space="preserve">Elias saw civility in behaviour as an integral </w:t>
      </w:r>
      <w:r w:rsidR="0019317E">
        <w:t>driver</w:t>
      </w:r>
      <w:r w:rsidRPr="007311D0">
        <w:t xml:space="preserve"> of </w:t>
      </w:r>
      <w:r w:rsidR="00850C96" w:rsidRPr="007311D0">
        <w:t xml:space="preserve">the </w:t>
      </w:r>
      <w:r w:rsidR="00850C96" w:rsidRPr="007311D0">
        <w:rPr>
          <w:rFonts w:cs="Times New Roman"/>
        </w:rPr>
        <w:t>‘</w:t>
      </w:r>
      <w:r w:rsidR="00850C96" w:rsidRPr="007311D0">
        <w:t>civili</w:t>
      </w:r>
      <w:r w:rsidR="00FB727B">
        <w:t>z</w:t>
      </w:r>
      <w:r w:rsidR="00850C96" w:rsidRPr="007311D0">
        <w:t>ing process</w:t>
      </w:r>
      <w:r w:rsidR="00850C96" w:rsidRPr="007311D0">
        <w:rPr>
          <w:rFonts w:cs="Times New Roman"/>
        </w:rPr>
        <w:t>’</w:t>
      </w:r>
      <w:r w:rsidR="00850C96" w:rsidRPr="007311D0">
        <w:t xml:space="preserve"> in Europe </w:t>
      </w:r>
      <w:r w:rsidR="00870FB4">
        <w:t>in the last four centuries</w:t>
      </w:r>
      <w:r w:rsidRPr="007311D0">
        <w:t xml:space="preserve">. He identified two key </w:t>
      </w:r>
      <w:r w:rsidR="00930901">
        <w:t>processes</w:t>
      </w:r>
      <w:r w:rsidRPr="007311D0">
        <w:t xml:space="preserve"> of change - centrali</w:t>
      </w:r>
      <w:r w:rsidR="00FB727B">
        <w:t>z</w:t>
      </w:r>
      <w:r w:rsidRPr="007311D0">
        <w:t>ation of power by the modern state</w:t>
      </w:r>
      <w:r w:rsidR="00CB0A8E">
        <w:t>;</w:t>
      </w:r>
      <w:r w:rsidRPr="007311D0">
        <w:t xml:space="preserve"> and increasing social inter-dependence among members of social groups - as resulting in an overall reconstruction of mentalities towards </w:t>
      </w:r>
      <w:r w:rsidR="00FB727B">
        <w:t xml:space="preserve">the </w:t>
      </w:r>
      <w:r w:rsidRPr="007311D0">
        <w:t>rationali</w:t>
      </w:r>
      <w:r w:rsidR="00FB727B">
        <w:t>z</w:t>
      </w:r>
      <w:r w:rsidRPr="007311D0">
        <w:t>ation of social interaction.</w:t>
      </w:r>
      <w:r w:rsidRPr="007311D0">
        <w:rPr>
          <w:rStyle w:val="EndnoteReference"/>
        </w:rPr>
        <w:endnoteReference w:id="16"/>
      </w:r>
      <w:r w:rsidRPr="007311D0">
        <w:t xml:space="preserve"> Over time, the standards regulating violence, sexual behaviour, </w:t>
      </w:r>
      <w:r w:rsidR="005A2A9C">
        <w:t xml:space="preserve">social </w:t>
      </w:r>
      <w:r w:rsidRPr="007311D0">
        <w:t xml:space="preserve">manners, and </w:t>
      </w:r>
      <w:r w:rsidR="005A2A9C">
        <w:t xml:space="preserve">public </w:t>
      </w:r>
      <w:r w:rsidRPr="007311D0">
        <w:t xml:space="preserve">forms of speech became more sophisticated, </w:t>
      </w:r>
      <w:r w:rsidR="00897250" w:rsidRPr="007311D0">
        <w:rPr>
          <w:rFonts w:cs="Times New Roman"/>
        </w:rPr>
        <w:t>‘</w:t>
      </w:r>
      <w:r w:rsidRPr="007311D0">
        <w:t>with an increasing threshold of shame, embarrassment and repugnance</w:t>
      </w:r>
      <w:r w:rsidR="00897250" w:rsidRPr="007311D0">
        <w:rPr>
          <w:rFonts w:cs="Times New Roman"/>
        </w:rPr>
        <w:t>’</w:t>
      </w:r>
      <w:r w:rsidRPr="007311D0">
        <w:t>.</w:t>
      </w:r>
      <w:r w:rsidRPr="007311D0">
        <w:rPr>
          <w:rStyle w:val="EndnoteReference"/>
        </w:rPr>
        <w:endnoteReference w:id="17"/>
      </w:r>
      <w:r w:rsidRPr="007311D0">
        <w:t xml:space="preserve"> Civility then was the cumulative </w:t>
      </w:r>
      <w:r w:rsidR="00870FB4">
        <w:t>behavioural</w:t>
      </w:r>
      <w:r w:rsidRPr="007311D0">
        <w:t xml:space="preserve"> outcome</w:t>
      </w:r>
      <w:r w:rsidR="00A43268" w:rsidRPr="007311D0">
        <w:t xml:space="preserve"> </w:t>
      </w:r>
      <w:r w:rsidR="00751A19" w:rsidRPr="007311D0">
        <w:t xml:space="preserve">of fundamental modifications in the </w:t>
      </w:r>
      <w:r w:rsidR="00A43268" w:rsidRPr="007311D0">
        <w:t>structure</w:t>
      </w:r>
      <w:r w:rsidR="00751A19" w:rsidRPr="007311D0">
        <w:t xml:space="preserve"> of society</w:t>
      </w:r>
      <w:r w:rsidR="0030529A">
        <w:t xml:space="preserve"> (sociogenesis)</w:t>
      </w:r>
      <w:r w:rsidR="00575471">
        <w:t>,</w:t>
      </w:r>
      <w:r w:rsidR="00751A19" w:rsidRPr="007311D0">
        <w:t xml:space="preserve"> translating over time into</w:t>
      </w:r>
      <w:r w:rsidR="00A43268" w:rsidRPr="007311D0">
        <w:t xml:space="preserve"> </w:t>
      </w:r>
      <w:r w:rsidR="00751A19" w:rsidRPr="007311D0">
        <w:t>changes</w:t>
      </w:r>
      <w:r w:rsidR="00CB0827" w:rsidRPr="007311D0">
        <w:t xml:space="preserve"> in the individual and collective psychical habitus</w:t>
      </w:r>
      <w:r w:rsidR="0030529A">
        <w:t xml:space="preserve"> (psychogenesis)</w:t>
      </w:r>
      <w:r w:rsidR="00751A19" w:rsidRPr="007311D0">
        <w:t>.</w:t>
      </w:r>
      <w:r w:rsidR="00751A19" w:rsidRPr="007311D0">
        <w:rPr>
          <w:rStyle w:val="EndnoteReference"/>
        </w:rPr>
        <w:endnoteReference w:id="18"/>
      </w:r>
      <w:r w:rsidR="00751A19" w:rsidRPr="007311D0">
        <w:t xml:space="preserve"> </w:t>
      </w:r>
      <w:r w:rsidR="009E4024" w:rsidRPr="007311D0">
        <w:t xml:space="preserve">Elias </w:t>
      </w:r>
      <w:r w:rsidR="00F47A39" w:rsidRPr="007311D0">
        <w:t xml:space="preserve">identified </w:t>
      </w:r>
      <w:r w:rsidR="009B6478" w:rsidRPr="007311D0">
        <w:t>the monopoli</w:t>
      </w:r>
      <w:r w:rsidR="006C6FC4">
        <w:t>z</w:t>
      </w:r>
      <w:r w:rsidR="009B6478" w:rsidRPr="007311D0">
        <w:t>ation of power</w:t>
      </w:r>
      <w:r w:rsidR="00870FB4">
        <w:t xml:space="preserve"> and the strict regulation of violence</w:t>
      </w:r>
      <w:r w:rsidR="009B6478" w:rsidRPr="007311D0">
        <w:t xml:space="preserve"> by the institutions of the modern state as the critical structural requirement for the ensuing shift from externally imposed control of behaviour to individual self-restraint. T</w:t>
      </w:r>
      <w:r w:rsidR="00F47A39" w:rsidRPr="007311D0">
        <w:t>his historical transfer</w:t>
      </w:r>
      <w:r w:rsidR="009463A6" w:rsidRPr="007311D0">
        <w:t>ence</w:t>
      </w:r>
      <w:r w:rsidR="00F47A39" w:rsidRPr="007311D0">
        <w:t xml:space="preserve"> from sociogenesis to psychogenesis </w:t>
      </w:r>
      <w:r w:rsidR="009463A6" w:rsidRPr="007311D0">
        <w:t>thus made possible a</w:t>
      </w:r>
      <w:r w:rsidR="00F47A39" w:rsidRPr="007311D0">
        <w:t xml:space="preserve"> shift towards</w:t>
      </w:r>
      <w:r w:rsidRPr="007311D0">
        <w:t xml:space="preserve"> increasing </w:t>
      </w:r>
      <w:r w:rsidR="00A43268" w:rsidRPr="007311D0">
        <w:t xml:space="preserve">individual </w:t>
      </w:r>
      <w:r w:rsidRPr="007311D0">
        <w:t>self-restraint and empathy for expanding circles of individuals and groups beyond traditional forms of collective membership</w:t>
      </w:r>
      <w:r w:rsidR="009463A6" w:rsidRPr="007311D0">
        <w:t>:</w:t>
      </w:r>
      <w:r w:rsidRPr="007311D0">
        <w:t xml:space="preserve"> </w:t>
      </w:r>
    </w:p>
    <w:p w14:paraId="59926BF8" w14:textId="15BF5A9B" w:rsidR="009B6478" w:rsidRPr="007311D0" w:rsidRDefault="00BF4D31" w:rsidP="007311D0">
      <w:pPr>
        <w:pStyle w:val="Quotations"/>
      </w:pPr>
      <w:r>
        <w:t>[t]he</w:t>
      </w:r>
      <w:r w:rsidR="009B6478" w:rsidRPr="007311D0">
        <w:t xml:space="preserve"> peculiar stability of the apparatus of psychological self-restraint which emerges as a decisive trait built into the habitus of every </w:t>
      </w:r>
      <w:r w:rsidR="00484EC1" w:rsidRPr="007311D0">
        <w:rPr>
          <w:rFonts w:cs="Times New Roman"/>
        </w:rPr>
        <w:t>‘</w:t>
      </w:r>
      <w:r w:rsidR="009B6478" w:rsidRPr="007311D0">
        <w:t>civilized</w:t>
      </w:r>
      <w:r w:rsidR="00484EC1" w:rsidRPr="007311D0">
        <w:rPr>
          <w:rFonts w:cs="Times New Roman"/>
        </w:rPr>
        <w:t>’</w:t>
      </w:r>
      <w:r w:rsidR="009B6478" w:rsidRPr="007311D0">
        <w:t xml:space="preserve"> human being, stands in the closest relationship to the monopolization of physical force and the growing stability o</w:t>
      </w:r>
      <w:r w:rsidR="009C442F" w:rsidRPr="007311D0">
        <w:t>f</w:t>
      </w:r>
      <w:r w:rsidR="009B6478" w:rsidRPr="007311D0">
        <w:t xml:space="preserve"> the central organs of society. Only with the formation of this kind of relatively </w:t>
      </w:r>
      <w:r w:rsidR="009B6478" w:rsidRPr="007311D0">
        <w:rPr>
          <w:rStyle w:val="PlaceholderText"/>
          <w:color w:val="000000" w:themeColor="text1"/>
        </w:rPr>
        <w:t xml:space="preserve">stable monopoly institutions do societies acquire those characteristics as a result of which the individuals forming them get attuned, from infancy, to a highly regulated and differentiated pattern of self-restraint; only in </w:t>
      </w:r>
      <w:r w:rsidR="009B6478" w:rsidRPr="007311D0">
        <w:rPr>
          <w:rStyle w:val="PlaceholderText"/>
          <w:color w:val="000000" w:themeColor="text1"/>
        </w:rPr>
        <w:lastRenderedPageBreak/>
        <w:t xml:space="preserve">conjunction with these monopolies does this kind of self-restraint require a higher degree or automaticity, does it become, as it were, </w:t>
      </w:r>
      <w:r w:rsidR="001F3716" w:rsidRPr="007311D0">
        <w:rPr>
          <w:rStyle w:val="PlaceholderText"/>
          <w:rFonts w:cs="Times New Roman"/>
          <w:color w:val="000000" w:themeColor="text1"/>
        </w:rPr>
        <w:t>‘</w:t>
      </w:r>
      <w:r w:rsidR="009B6478" w:rsidRPr="007311D0">
        <w:rPr>
          <w:rStyle w:val="PlaceholderText"/>
          <w:color w:val="000000" w:themeColor="text1"/>
        </w:rPr>
        <w:t>second nature</w:t>
      </w:r>
      <w:r w:rsidR="001F3716" w:rsidRPr="007311D0">
        <w:rPr>
          <w:rStyle w:val="PlaceholderText"/>
          <w:rFonts w:cs="Times New Roman"/>
          <w:color w:val="000000" w:themeColor="text1"/>
        </w:rPr>
        <w:t>’</w:t>
      </w:r>
      <w:r w:rsidR="009B6478" w:rsidRPr="007311D0">
        <w:rPr>
          <w:rStyle w:val="PlaceholderText"/>
          <w:color w:val="000000" w:themeColor="text1"/>
        </w:rPr>
        <w:t>.</w:t>
      </w:r>
      <w:r w:rsidR="009B6478" w:rsidRPr="007311D0">
        <w:rPr>
          <w:rStyle w:val="EndnoteReference"/>
        </w:rPr>
        <w:endnoteReference w:id="19"/>
      </w:r>
    </w:p>
    <w:p w14:paraId="6144E6AD" w14:textId="3B08ED70" w:rsidR="007F37AF" w:rsidRPr="007311D0" w:rsidRDefault="001D135A" w:rsidP="0057261D">
      <w:pPr>
        <w:pStyle w:val="MainText"/>
      </w:pPr>
      <w:r>
        <w:t>However inspired</w:t>
      </w:r>
      <w:r w:rsidR="005D03A3">
        <w:t>, sweeping,</w:t>
      </w:r>
      <w:r>
        <w:t xml:space="preserve"> and </w:t>
      </w:r>
      <w:r w:rsidR="009E2E72">
        <w:t xml:space="preserve">sophisticated it is considered to be nowadays, </w:t>
      </w:r>
      <w:r w:rsidR="009463A6" w:rsidRPr="007311D0">
        <w:t>Elias</w:t>
      </w:r>
      <w:r w:rsidR="009463A6" w:rsidRPr="007311D0">
        <w:rPr>
          <w:rFonts w:cs="Times New Roman"/>
        </w:rPr>
        <w:t>’</w:t>
      </w:r>
      <w:r w:rsidR="009463A6" w:rsidRPr="007311D0">
        <w:t xml:space="preserve">s </w:t>
      </w:r>
      <w:r w:rsidR="009463A6" w:rsidRPr="007311D0">
        <w:rPr>
          <w:i/>
        </w:rPr>
        <w:t>Civilizing Process</w:t>
      </w:r>
      <w:r w:rsidR="009463A6" w:rsidRPr="007311D0">
        <w:t xml:space="preserve">, originally published in 1939, remained </w:t>
      </w:r>
      <w:r w:rsidR="00484EC1" w:rsidRPr="007311D0">
        <w:t>marginal</w:t>
      </w:r>
      <w:r w:rsidR="009463A6" w:rsidRPr="007311D0">
        <w:t xml:space="preserve"> to sociological and historiographical accounts until it was re-issued and </w:t>
      </w:r>
      <w:r w:rsidR="00870FB4">
        <w:t xml:space="preserve">then </w:t>
      </w:r>
      <w:r w:rsidR="009463A6" w:rsidRPr="007311D0">
        <w:t>translated in English thirty years later. Along</w:t>
      </w:r>
      <w:r w:rsidR="00484EC1" w:rsidRPr="007311D0">
        <w:t xml:space="preserve"> with</w:t>
      </w:r>
      <w:r w:rsidR="009463A6" w:rsidRPr="007311D0">
        <w:t xml:space="preserve"> a wave of belated critical </w:t>
      </w:r>
      <w:r w:rsidR="00484EC1" w:rsidRPr="007311D0">
        <w:t>recognition, however,</w:t>
      </w:r>
      <w:r w:rsidR="009463A6" w:rsidRPr="007311D0">
        <w:t xml:space="preserve"> came a string of high-profile critical </w:t>
      </w:r>
      <w:r w:rsidR="00484EC1" w:rsidRPr="007311D0">
        <w:t>appraisals</w:t>
      </w:r>
      <w:r w:rsidR="00F2342C" w:rsidRPr="007311D0">
        <w:t xml:space="preserve"> of the work.</w:t>
      </w:r>
      <w:r w:rsidR="001F3716" w:rsidRPr="007311D0">
        <w:rPr>
          <w:rStyle w:val="EndnoteReference"/>
        </w:rPr>
        <w:endnoteReference w:id="20"/>
      </w:r>
      <w:r w:rsidR="00F2342C" w:rsidRPr="007311D0">
        <w:t xml:space="preserve"> Of primary relevance to this </w:t>
      </w:r>
      <w:r w:rsidR="001C49DD" w:rsidRPr="007311D0">
        <w:t>discussion</w:t>
      </w:r>
      <w:r w:rsidR="00F2342C" w:rsidRPr="007311D0">
        <w:t xml:space="preserve"> were two</w:t>
      </w:r>
      <w:r w:rsidR="001F3716" w:rsidRPr="007311D0">
        <w:t xml:space="preserve"> criticisms</w:t>
      </w:r>
      <w:r w:rsidR="00F2342C" w:rsidRPr="007311D0">
        <w:t xml:space="preserve"> in particular: its alleged </w:t>
      </w:r>
      <w:r w:rsidR="004918BA" w:rsidRPr="007311D0">
        <w:t>totali</w:t>
      </w:r>
      <w:r w:rsidR="006C6FC4">
        <w:t>z</w:t>
      </w:r>
      <w:r w:rsidR="004918BA" w:rsidRPr="007311D0">
        <w:t xml:space="preserve">ing </w:t>
      </w:r>
      <w:r w:rsidR="00F2342C" w:rsidRPr="007311D0">
        <w:t xml:space="preserve">historical </w:t>
      </w:r>
      <w:r w:rsidR="004918BA" w:rsidRPr="007311D0">
        <w:t>teleology, aligned with modern notions of civili</w:t>
      </w:r>
      <w:r w:rsidR="006C6FC4">
        <w:t>z</w:t>
      </w:r>
      <w:r w:rsidR="004918BA" w:rsidRPr="007311D0">
        <w:t>ing progress</w:t>
      </w:r>
      <w:r w:rsidR="00F138FF" w:rsidRPr="007311D0">
        <w:t xml:space="preserve"> in </w:t>
      </w:r>
      <w:r w:rsidR="00F138FF" w:rsidRPr="007311D0">
        <w:rPr>
          <w:rFonts w:cs="Times New Roman"/>
        </w:rPr>
        <w:t>‘</w:t>
      </w:r>
      <w:r w:rsidR="00F138FF" w:rsidRPr="007311D0">
        <w:t>the west</w:t>
      </w:r>
      <w:r w:rsidR="00F138FF" w:rsidRPr="007311D0">
        <w:rPr>
          <w:rFonts w:cs="Times New Roman"/>
        </w:rPr>
        <w:t>’</w:t>
      </w:r>
      <w:r w:rsidR="00F2342C" w:rsidRPr="007311D0">
        <w:t xml:space="preserve">; and its inability to account for the devastating catastrophes of the twentieth century, with fascism, WW2, and the Nazi </w:t>
      </w:r>
      <w:r w:rsidR="00F2342C" w:rsidRPr="007311D0">
        <w:rPr>
          <w:rFonts w:cs="Times New Roman"/>
        </w:rPr>
        <w:t>‘</w:t>
      </w:r>
      <w:r w:rsidR="00F2342C" w:rsidRPr="007311D0">
        <w:t>Final Solution</w:t>
      </w:r>
      <w:r w:rsidR="00F2342C" w:rsidRPr="007311D0">
        <w:rPr>
          <w:rFonts w:cs="Times New Roman"/>
        </w:rPr>
        <w:t>’</w:t>
      </w:r>
      <w:r w:rsidR="00F2342C" w:rsidRPr="007311D0">
        <w:t xml:space="preserve"> paramount among them.</w:t>
      </w:r>
      <w:r w:rsidR="000E5F01" w:rsidRPr="007311D0">
        <w:rPr>
          <w:rStyle w:val="EndnoteReference"/>
        </w:rPr>
        <w:endnoteReference w:id="21"/>
      </w:r>
      <w:r w:rsidR="00F2342C" w:rsidRPr="007311D0">
        <w:t xml:space="preserve"> </w:t>
      </w:r>
      <w:r w:rsidR="00F138FF" w:rsidRPr="007311D0">
        <w:t xml:space="preserve">Critics such as Charles Tilly have noted a potential slippage between notions of broad directional change and the suggestion of ineluctable long-term </w:t>
      </w:r>
      <w:r w:rsidR="00F138FF" w:rsidRPr="007311D0">
        <w:rPr>
          <w:rFonts w:cs="Times New Roman"/>
        </w:rPr>
        <w:t>‘</w:t>
      </w:r>
      <w:r w:rsidR="00F138FF" w:rsidRPr="007311D0">
        <w:t>progress</w:t>
      </w:r>
      <w:r w:rsidR="00F138FF" w:rsidRPr="007311D0">
        <w:rPr>
          <w:rFonts w:cs="Times New Roman"/>
        </w:rPr>
        <w:t>’</w:t>
      </w:r>
      <w:r w:rsidR="00F138FF" w:rsidRPr="007311D0">
        <w:t xml:space="preserve"> in Elias</w:t>
      </w:r>
      <w:r w:rsidR="00F138FF" w:rsidRPr="007311D0">
        <w:rPr>
          <w:rFonts w:cs="Times New Roman"/>
        </w:rPr>
        <w:t>’</w:t>
      </w:r>
      <w:r w:rsidR="00F138FF" w:rsidRPr="007311D0">
        <w:t xml:space="preserve">s </w:t>
      </w:r>
      <w:r w:rsidR="00A1435C" w:rsidRPr="007311D0">
        <w:t>interpretation</w:t>
      </w:r>
      <w:r w:rsidR="00F138FF" w:rsidRPr="007311D0">
        <w:t>.</w:t>
      </w:r>
      <w:r w:rsidR="00484EC1" w:rsidRPr="007311D0">
        <w:rPr>
          <w:rStyle w:val="EndnoteReference"/>
        </w:rPr>
        <w:endnoteReference w:id="22"/>
      </w:r>
      <w:r w:rsidR="00F138FF" w:rsidRPr="007311D0">
        <w:t xml:space="preserve"> </w:t>
      </w:r>
      <w:r w:rsidR="00A1435C" w:rsidRPr="007311D0">
        <w:t xml:space="preserve">The accusation that Elias posited a quasi-linear historical development scheme towards </w:t>
      </w:r>
      <w:r w:rsidR="00A1435C" w:rsidRPr="007311D0">
        <w:rPr>
          <w:rFonts w:cs="Times New Roman"/>
        </w:rPr>
        <w:t>‘</w:t>
      </w:r>
      <w:r w:rsidR="00A1435C" w:rsidRPr="007311D0">
        <w:t>civili</w:t>
      </w:r>
      <w:r w:rsidR="006C6FC4">
        <w:t>z</w:t>
      </w:r>
      <w:r w:rsidR="00A1435C" w:rsidRPr="007311D0">
        <w:t>ation</w:t>
      </w:r>
      <w:r w:rsidR="00A1435C" w:rsidRPr="007311D0">
        <w:rPr>
          <w:rFonts w:cs="Times New Roman"/>
        </w:rPr>
        <w:t>’</w:t>
      </w:r>
      <w:r w:rsidR="00A1435C" w:rsidRPr="007311D0">
        <w:t>-qua-pacification/interdependence, as well as its refutation</w:t>
      </w:r>
      <w:r w:rsidR="00DA5973">
        <w:t xml:space="preserve"> by defenders of his approach</w:t>
      </w:r>
      <w:r w:rsidR="00A1435C" w:rsidRPr="007311D0">
        <w:t xml:space="preserve">, have been extensively paraded in reviews of the </w:t>
      </w:r>
      <w:r w:rsidR="00A1435C" w:rsidRPr="007311D0">
        <w:rPr>
          <w:rFonts w:cs="Times New Roman"/>
        </w:rPr>
        <w:t>‘</w:t>
      </w:r>
      <w:r w:rsidR="00A1435C" w:rsidRPr="007311D0">
        <w:t>civili</w:t>
      </w:r>
      <w:r w:rsidR="006C6FC4">
        <w:t>z</w:t>
      </w:r>
      <w:r w:rsidR="00A1435C" w:rsidRPr="007311D0">
        <w:t>ing process</w:t>
      </w:r>
      <w:r w:rsidR="00A1435C" w:rsidRPr="007311D0">
        <w:rPr>
          <w:rFonts w:cs="Times New Roman"/>
        </w:rPr>
        <w:t>’</w:t>
      </w:r>
      <w:r w:rsidR="00A1435C" w:rsidRPr="007311D0">
        <w:t xml:space="preserve"> since its re-publication in 1969. Even supporters of Elias</w:t>
      </w:r>
      <w:r w:rsidR="00A1435C" w:rsidRPr="007311D0">
        <w:rPr>
          <w:rFonts w:cs="Times New Roman"/>
        </w:rPr>
        <w:t>’</w:t>
      </w:r>
      <w:r w:rsidR="00A1435C" w:rsidRPr="007311D0">
        <w:t xml:space="preserve">s analysis have conceded that he </w:t>
      </w:r>
      <w:r w:rsidR="00DE7BD0">
        <w:t xml:space="preserve">often </w:t>
      </w:r>
      <w:r w:rsidR="00A1435C" w:rsidRPr="007311D0">
        <w:t>used such complex</w:t>
      </w:r>
      <w:r w:rsidR="00DE7BD0">
        <w:t xml:space="preserve"> and loaded</w:t>
      </w:r>
      <w:r w:rsidR="00A1435C" w:rsidRPr="007311D0">
        <w:t xml:space="preserve"> terms in rather unsystematic and fluid </w:t>
      </w:r>
      <w:r w:rsidR="00870FB4">
        <w:t>ways</w:t>
      </w:r>
      <w:r w:rsidR="00A1435C" w:rsidRPr="007311D0">
        <w:t xml:space="preserve"> throughout his long account, obfuscating distinctions between changes in quality versus shifts in quantity</w:t>
      </w:r>
      <w:r w:rsidR="00B27501" w:rsidRPr="007311D0">
        <w:t xml:space="preserve">, </w:t>
      </w:r>
      <w:r w:rsidR="00A1435C" w:rsidRPr="007311D0">
        <w:t xml:space="preserve">between emic and etic approaches to </w:t>
      </w:r>
      <w:r w:rsidR="00B27501" w:rsidRPr="007311D0">
        <w:rPr>
          <w:rFonts w:cs="Times New Roman"/>
        </w:rPr>
        <w:t>‘</w:t>
      </w:r>
      <w:r w:rsidR="00B27501" w:rsidRPr="007311D0">
        <w:t>civili</w:t>
      </w:r>
      <w:r w:rsidR="006C6FC4">
        <w:t>z</w:t>
      </w:r>
      <w:r w:rsidR="00B27501" w:rsidRPr="007311D0">
        <w:t>ation</w:t>
      </w:r>
      <w:r w:rsidR="00B27501" w:rsidRPr="007311D0">
        <w:rPr>
          <w:rFonts w:cs="Times New Roman"/>
        </w:rPr>
        <w:t>’</w:t>
      </w:r>
      <w:r w:rsidR="00B27501" w:rsidRPr="007311D0">
        <w:t xml:space="preserve"> or between processual and normative</w:t>
      </w:r>
      <w:r w:rsidR="00870FB4">
        <w:t>/ethical</w:t>
      </w:r>
      <w:r w:rsidR="00B27501" w:rsidRPr="007311D0">
        <w:t xml:space="preserve"> understandings.</w:t>
      </w:r>
      <w:r w:rsidR="00B27501" w:rsidRPr="007311D0">
        <w:rPr>
          <w:rStyle w:val="EndnoteReference"/>
        </w:rPr>
        <w:endnoteReference w:id="23"/>
      </w:r>
      <w:r w:rsidR="00B27501" w:rsidRPr="007311D0">
        <w:t xml:space="preserve"> It is worth reiterating</w:t>
      </w:r>
      <w:r w:rsidR="0041063B">
        <w:t xml:space="preserve"> </w:t>
      </w:r>
      <w:r w:rsidR="0041063B" w:rsidRPr="007311D0">
        <w:t>nevertheless</w:t>
      </w:r>
      <w:r w:rsidR="00B27501" w:rsidRPr="007311D0">
        <w:t xml:space="preserve"> the main defence of Elias</w:t>
      </w:r>
      <w:r w:rsidR="00B27501" w:rsidRPr="007311D0">
        <w:rPr>
          <w:rFonts w:cs="Times New Roman"/>
        </w:rPr>
        <w:t>’</w:t>
      </w:r>
      <w:r w:rsidR="00B27501" w:rsidRPr="007311D0">
        <w:t xml:space="preserve">s </w:t>
      </w:r>
      <w:r w:rsidR="00B27501" w:rsidRPr="007311D0">
        <w:rPr>
          <w:rFonts w:cs="Times New Roman"/>
        </w:rPr>
        <w:t>‘</w:t>
      </w:r>
      <w:r w:rsidR="00B27501" w:rsidRPr="007311D0">
        <w:t>civili</w:t>
      </w:r>
      <w:r w:rsidR="006C6FC4">
        <w:t>z</w:t>
      </w:r>
      <w:r w:rsidR="00B27501" w:rsidRPr="007311D0">
        <w:t>ing process</w:t>
      </w:r>
      <w:r w:rsidR="00B27501" w:rsidRPr="007311D0">
        <w:rPr>
          <w:rFonts w:cs="Times New Roman"/>
        </w:rPr>
        <w:t>’</w:t>
      </w:r>
      <w:r w:rsidR="00B27501" w:rsidRPr="007311D0">
        <w:t xml:space="preserve"> thesis so often invoked by his apologists: that he conceived of</w:t>
      </w:r>
      <w:r w:rsidR="007F37AF" w:rsidRPr="007311D0">
        <w:t xml:space="preserve"> </w:t>
      </w:r>
      <w:r w:rsidR="00B27501" w:rsidRPr="007311D0">
        <w:t>t</w:t>
      </w:r>
      <w:r w:rsidR="007F37AF" w:rsidRPr="007311D0">
        <w:t>he 'civili</w:t>
      </w:r>
      <w:r w:rsidR="006C6FC4">
        <w:t>z</w:t>
      </w:r>
      <w:r w:rsidR="007F37AF" w:rsidRPr="007311D0">
        <w:t xml:space="preserve">ing process' as a dominant </w:t>
      </w:r>
      <w:r w:rsidR="007F37AF" w:rsidRPr="007311D0">
        <w:rPr>
          <w:i/>
          <w:iCs/>
        </w:rPr>
        <w:t>cumulative</w:t>
      </w:r>
      <w:r w:rsidR="00DF4754" w:rsidRPr="007311D0">
        <w:rPr>
          <w:i/>
          <w:iCs/>
        </w:rPr>
        <w:t xml:space="preserve"> </w:t>
      </w:r>
      <w:r w:rsidR="00DF4754" w:rsidRPr="007311D0">
        <w:rPr>
          <w:rFonts w:cs="Times New Roman"/>
          <w:iCs/>
        </w:rPr>
        <w:t>–</w:t>
      </w:r>
      <w:r w:rsidR="00DF4754" w:rsidRPr="007311D0">
        <w:rPr>
          <w:iCs/>
        </w:rPr>
        <w:t xml:space="preserve"> and not </w:t>
      </w:r>
      <w:r w:rsidR="00870FB4">
        <w:rPr>
          <w:iCs/>
        </w:rPr>
        <w:t xml:space="preserve">linear or </w:t>
      </w:r>
      <w:r w:rsidR="00DF4754" w:rsidRPr="007311D0">
        <w:rPr>
          <w:iCs/>
        </w:rPr>
        <w:t>automatic -</w:t>
      </w:r>
      <w:r w:rsidR="007F37AF" w:rsidRPr="007311D0">
        <w:t xml:space="preserve"> trajectory of historical travel</w:t>
      </w:r>
      <w:r w:rsidR="006D5A93" w:rsidRPr="007311D0">
        <w:t>;</w:t>
      </w:r>
      <w:r w:rsidR="007F37AF" w:rsidRPr="007311D0">
        <w:rPr>
          <w:rStyle w:val="EndnoteReference"/>
        </w:rPr>
        <w:endnoteReference w:id="24"/>
      </w:r>
      <w:r w:rsidR="007F37AF" w:rsidRPr="007311D0">
        <w:t xml:space="preserve"> </w:t>
      </w:r>
      <w:r w:rsidR="00B27501" w:rsidRPr="007311D0">
        <w:t xml:space="preserve">that </w:t>
      </w:r>
      <w:r w:rsidR="007F37AF" w:rsidRPr="007311D0">
        <w:t>he underlined its fragility</w:t>
      </w:r>
      <w:r w:rsidR="00B27501" w:rsidRPr="007311D0">
        <w:t>,</w:t>
      </w:r>
      <w:r w:rsidR="007F37AF" w:rsidRPr="007311D0">
        <w:t xml:space="preserve"> </w:t>
      </w:r>
      <w:r w:rsidR="006D5A93" w:rsidRPr="007311D0">
        <w:t xml:space="preserve">its inherent blindness; </w:t>
      </w:r>
      <w:r w:rsidR="007F37AF" w:rsidRPr="007311D0">
        <w:t xml:space="preserve">and </w:t>
      </w:r>
      <w:r w:rsidR="00B27501" w:rsidRPr="007311D0">
        <w:t xml:space="preserve">that he </w:t>
      </w:r>
      <w:r w:rsidR="007F37AF" w:rsidRPr="007311D0">
        <w:t xml:space="preserve">did </w:t>
      </w:r>
      <w:r w:rsidR="007F37AF" w:rsidRPr="007311D0">
        <w:lastRenderedPageBreak/>
        <w:t xml:space="preserve">not rule out the potentiality of movement in the opposite direction </w:t>
      </w:r>
      <w:r w:rsidR="006C6FC4">
        <w:t>–</w:t>
      </w:r>
      <w:r w:rsidR="007F37AF" w:rsidRPr="007311D0">
        <w:t xml:space="preserve"> </w:t>
      </w:r>
      <w:r w:rsidR="006C6FC4">
        <w:rPr>
          <w:rFonts w:cs="Times New Roman"/>
        </w:rPr>
        <w:t>‘</w:t>
      </w:r>
      <w:r w:rsidR="0057261D" w:rsidRPr="0057261D">
        <w:rPr>
          <w:rFonts w:cs="Times New Roman"/>
        </w:rPr>
        <w:t>criss-cross movements, shifts and spurts in this or that direction</w:t>
      </w:r>
      <w:r w:rsidR="0057261D">
        <w:rPr>
          <w:rFonts w:cs="Times New Roman"/>
        </w:rPr>
        <w:t xml:space="preserve"> on a smaller scale</w:t>
      </w:r>
      <w:r w:rsidR="006C6FC4">
        <w:rPr>
          <w:rFonts w:cs="Times New Roman"/>
        </w:rPr>
        <w:t>’</w:t>
      </w:r>
      <w:r w:rsidR="007F37AF" w:rsidRPr="007311D0">
        <w:t>.</w:t>
      </w:r>
      <w:r w:rsidR="007F37AF" w:rsidRPr="007311D0">
        <w:rPr>
          <w:rStyle w:val="EndnoteReference"/>
        </w:rPr>
        <w:endnoteReference w:id="25"/>
      </w:r>
    </w:p>
    <w:p w14:paraId="2B527608" w14:textId="0089A891" w:rsidR="007F37AF" w:rsidRPr="007311D0" w:rsidRDefault="007F37AF" w:rsidP="007311D0">
      <w:pPr>
        <w:pStyle w:val="MainText"/>
      </w:pPr>
      <w:r w:rsidRPr="007311D0">
        <w:t xml:space="preserve">Such </w:t>
      </w:r>
      <w:r w:rsidRPr="007311D0">
        <w:rPr>
          <w:rFonts w:cs="Times New Roman"/>
        </w:rPr>
        <w:t>‘</w:t>
      </w:r>
      <w:r w:rsidRPr="007311D0">
        <w:t>decivili</w:t>
      </w:r>
      <w:r w:rsidR="00A17D25">
        <w:t>z</w:t>
      </w:r>
      <w:r w:rsidRPr="007311D0">
        <w:t>ing spurts</w:t>
      </w:r>
      <w:r w:rsidRPr="007311D0">
        <w:rPr>
          <w:rFonts w:cs="Times New Roman"/>
        </w:rPr>
        <w:t>’</w:t>
      </w:r>
      <w:r w:rsidR="00C64E7D">
        <w:rPr>
          <w:rFonts w:cs="Times New Roman"/>
        </w:rPr>
        <w:t>, Elias conceded,</w:t>
      </w:r>
      <w:r w:rsidRPr="007311D0">
        <w:t xml:space="preserve"> may occur at any point</w:t>
      </w:r>
      <w:r w:rsidRPr="007311D0">
        <w:rPr>
          <w:rStyle w:val="EndnoteReference"/>
        </w:rPr>
        <w:endnoteReference w:id="26"/>
      </w:r>
      <w:r w:rsidRPr="007311D0">
        <w:t xml:space="preserve"> </w:t>
      </w:r>
      <w:r w:rsidR="009A7F61" w:rsidRPr="007311D0">
        <w:t>when</w:t>
      </w:r>
      <w:r w:rsidRPr="007311D0">
        <w:t xml:space="preserve"> enhanced insecurity and fear among members of a society</w:t>
      </w:r>
      <w:r w:rsidR="006D5A93" w:rsidRPr="007311D0">
        <w:t xml:space="preserve"> </w:t>
      </w:r>
      <w:r w:rsidR="009A7F61" w:rsidRPr="007311D0">
        <w:t>caused</w:t>
      </w:r>
      <w:r w:rsidR="006D5A93" w:rsidRPr="007311D0">
        <w:t xml:space="preserve"> rationali</w:t>
      </w:r>
      <w:r w:rsidR="00A17D25">
        <w:t>z</w:t>
      </w:r>
      <w:r w:rsidR="006D5A93" w:rsidRPr="007311D0">
        <w:t>ation</w:t>
      </w:r>
      <w:r w:rsidR="009A7F61" w:rsidRPr="007311D0">
        <w:t xml:space="preserve"> </w:t>
      </w:r>
      <w:r w:rsidR="009A7F61" w:rsidRPr="007311D0">
        <w:rPr>
          <w:rFonts w:cs="Times New Roman"/>
        </w:rPr>
        <w:t>–</w:t>
      </w:r>
      <w:r w:rsidR="009A7F61" w:rsidRPr="007311D0">
        <w:t xml:space="preserve"> </w:t>
      </w:r>
      <w:r w:rsidR="0081394F" w:rsidRPr="007311D0">
        <w:t>the</w:t>
      </w:r>
      <w:r w:rsidR="009A7F61" w:rsidRPr="007311D0">
        <w:t xml:space="preserve"> </w:t>
      </w:r>
      <w:r w:rsidR="009A7F61" w:rsidRPr="007311D0">
        <w:rPr>
          <w:rFonts w:cs="Times New Roman"/>
        </w:rPr>
        <w:t>‘</w:t>
      </w:r>
      <w:r w:rsidR="009A7F61" w:rsidRPr="007311D0">
        <w:t>armo</w:t>
      </w:r>
      <w:r w:rsidR="0081394F" w:rsidRPr="007311D0">
        <w:t>u</w:t>
      </w:r>
      <w:r w:rsidR="009A7F61" w:rsidRPr="007311D0">
        <w:t>r of civilized society</w:t>
      </w:r>
      <w:r w:rsidR="00D747EE">
        <w:rPr>
          <w:rFonts w:cs="Times New Roman"/>
        </w:rPr>
        <w:t>’, as he described it</w:t>
      </w:r>
      <w:r w:rsidR="0081394F" w:rsidRPr="007311D0">
        <w:t xml:space="preserve"> </w:t>
      </w:r>
      <w:r w:rsidR="009A7F61" w:rsidRPr="007311D0">
        <w:rPr>
          <w:rFonts w:cs="Times New Roman"/>
        </w:rPr>
        <w:t>–</w:t>
      </w:r>
      <w:r w:rsidR="006D5A93" w:rsidRPr="007311D0">
        <w:t xml:space="preserve"> </w:t>
      </w:r>
      <w:r w:rsidR="009A7F61" w:rsidRPr="007311D0">
        <w:t>to crumble</w:t>
      </w:r>
      <w:r w:rsidR="006D5A93" w:rsidRPr="007311D0">
        <w:t xml:space="preserve"> or collaps</w:t>
      </w:r>
      <w:r w:rsidR="009A7F61" w:rsidRPr="007311D0">
        <w:t>e</w:t>
      </w:r>
      <w:r w:rsidR="006D5A93" w:rsidRPr="007311D0">
        <w:t xml:space="preserve"> altogether.</w:t>
      </w:r>
      <w:r w:rsidR="006D5A93" w:rsidRPr="007311D0">
        <w:rPr>
          <w:rStyle w:val="EndnoteReference"/>
        </w:rPr>
        <w:endnoteReference w:id="27"/>
      </w:r>
      <w:r w:rsidR="006D5A93" w:rsidRPr="007311D0">
        <w:t xml:space="preserve"> </w:t>
      </w:r>
      <w:r w:rsidR="00DE5F41" w:rsidRPr="007311D0">
        <w:t>So how would he account for the devastating clustering of extreme violent episodes in the twentieth century? Here</w:t>
      </w:r>
      <w:r w:rsidR="00B27501" w:rsidRPr="007311D0">
        <w:t xml:space="preserve"> we arrive at the second criticism</w:t>
      </w:r>
      <w:r w:rsidR="00DE5F41" w:rsidRPr="007311D0">
        <w:t xml:space="preserve"> against the Eliasian scheme, raised in relation to events </w:t>
      </w:r>
      <w:r w:rsidR="003209D8" w:rsidRPr="007311D0">
        <w:t xml:space="preserve">such as the </w:t>
      </w:r>
      <w:r w:rsidR="00534539">
        <w:t>devastating</w:t>
      </w:r>
      <w:r w:rsidR="003209D8" w:rsidRPr="007311D0">
        <w:t xml:space="preserve"> </w:t>
      </w:r>
      <w:r w:rsidR="009117A6">
        <w:t>appeal</w:t>
      </w:r>
      <w:r w:rsidR="00534539">
        <w:t xml:space="preserve"> </w:t>
      </w:r>
      <w:r w:rsidR="003209D8" w:rsidRPr="007311D0">
        <w:t>of fascism</w:t>
      </w:r>
      <w:r w:rsidR="00534539">
        <w:t xml:space="preserve"> in interwar years</w:t>
      </w:r>
      <w:r w:rsidR="003209D8" w:rsidRPr="007311D0">
        <w:t xml:space="preserve"> or the</w:t>
      </w:r>
      <w:r w:rsidR="009117A6">
        <w:t xml:space="preserve"> violent spasm of the</w:t>
      </w:r>
      <w:r w:rsidR="003209D8" w:rsidRPr="007311D0">
        <w:t xml:space="preserve"> Holocaust. </w:t>
      </w:r>
      <w:r w:rsidR="00DE5F41" w:rsidRPr="007311D0">
        <w:t xml:space="preserve">In </w:t>
      </w:r>
      <w:r w:rsidR="009117A6">
        <w:t>the</w:t>
      </w:r>
      <w:r w:rsidR="00DE5F41" w:rsidRPr="007311D0">
        <w:t xml:space="preserve"> original text of the </w:t>
      </w:r>
      <w:r w:rsidR="00DE5F41" w:rsidRPr="007311D0">
        <w:rPr>
          <w:i/>
        </w:rPr>
        <w:t>Civilizing Process</w:t>
      </w:r>
      <w:r w:rsidR="00DE5F41" w:rsidRPr="007311D0">
        <w:t xml:space="preserve">, Elias had already alluded that the period he was living in already qualified as a </w:t>
      </w:r>
      <w:r w:rsidRPr="007311D0">
        <w:rPr>
          <w:rFonts w:cs="Times New Roman"/>
        </w:rPr>
        <w:t>‘</w:t>
      </w:r>
      <w:r w:rsidRPr="007311D0">
        <w:t>decivili</w:t>
      </w:r>
      <w:r w:rsidR="00465F87">
        <w:t>z</w:t>
      </w:r>
      <w:r w:rsidRPr="007311D0">
        <w:t>ing</w:t>
      </w:r>
      <w:r w:rsidRPr="007311D0">
        <w:rPr>
          <w:rFonts w:cs="Times New Roman"/>
        </w:rPr>
        <w:t>’</w:t>
      </w:r>
      <w:r w:rsidRPr="007311D0">
        <w:t xml:space="preserve"> spurt</w:t>
      </w:r>
      <w:r w:rsidR="00DE5F41" w:rsidRPr="007311D0">
        <w:t>, unfolding in the wake of WW1 and gathering pace</w:t>
      </w:r>
      <w:r w:rsidR="009117A6">
        <w:t xml:space="preserve"> in the 1920s-1930s</w:t>
      </w:r>
      <w:r w:rsidRPr="007311D0">
        <w:t>:</w:t>
      </w:r>
    </w:p>
    <w:p w14:paraId="1586DC10" w14:textId="77777777" w:rsidR="007F37AF" w:rsidRPr="007311D0" w:rsidRDefault="009117A6" w:rsidP="007311D0">
      <w:pPr>
        <w:pStyle w:val="Quotations"/>
      </w:pPr>
      <w:r>
        <w:t>[o]</w:t>
      </w:r>
      <w:r w:rsidR="007F37AF" w:rsidRPr="007311D0">
        <w:t xml:space="preserve">ne such fluctuation is present today in the memories of all: in the period following World War I, as compared to the pre-war period, a </w:t>
      </w:r>
      <w:r w:rsidR="00897250" w:rsidRPr="007311D0">
        <w:rPr>
          <w:rFonts w:cs="Times New Roman"/>
        </w:rPr>
        <w:t>‘</w:t>
      </w:r>
      <w:r w:rsidR="007F37AF" w:rsidRPr="007311D0">
        <w:t>relaxation of morals</w:t>
      </w:r>
      <w:r w:rsidR="00897250" w:rsidRPr="007311D0">
        <w:rPr>
          <w:rFonts w:cs="Times New Roman"/>
        </w:rPr>
        <w:t>’</w:t>
      </w:r>
      <w:r w:rsidR="007F37AF" w:rsidRPr="007311D0">
        <w:t xml:space="preserve"> appears to have occurred. A number of constraints imposed on behaviour before the war have weakened or disappeared entirely. </w:t>
      </w:r>
      <w:r w:rsidR="007F37AF" w:rsidRPr="007311D0">
        <w:rPr>
          <w:i/>
        </w:rPr>
        <w:t xml:space="preserve">Many things forbidden earlier are now permitted. </w:t>
      </w:r>
      <w:r w:rsidR="007F37AF" w:rsidRPr="007311D0">
        <w:t>And seen at close quarters, the movement seems to be proceeding in the direction opposite to shown here.</w:t>
      </w:r>
      <w:r w:rsidR="007F37AF" w:rsidRPr="007311D0">
        <w:rPr>
          <w:rStyle w:val="EndnoteReference"/>
        </w:rPr>
        <w:endnoteReference w:id="28"/>
      </w:r>
    </w:p>
    <w:p w14:paraId="71B50C67" w14:textId="1E9391D6" w:rsidR="007F37AF" w:rsidRPr="007311D0" w:rsidRDefault="00347DF3" w:rsidP="007311D0">
      <w:pPr>
        <w:pStyle w:val="MainText"/>
      </w:pPr>
      <w:r w:rsidRPr="007311D0">
        <w:t>But it was h</w:t>
      </w:r>
      <w:r w:rsidR="006C3453" w:rsidRPr="007311D0">
        <w:t>alf a century later, i</w:t>
      </w:r>
      <w:r w:rsidR="00832BCA" w:rsidRPr="007311D0">
        <w:t>n</w:t>
      </w:r>
      <w:r w:rsidR="006C3453" w:rsidRPr="007311D0">
        <w:t xml:space="preserve"> his seminal later work</w:t>
      </w:r>
      <w:r w:rsidR="00832BCA" w:rsidRPr="007311D0">
        <w:t xml:space="preserve"> </w:t>
      </w:r>
      <w:r w:rsidR="00832BCA" w:rsidRPr="007311D0">
        <w:rPr>
          <w:i/>
        </w:rPr>
        <w:t>The Germans</w:t>
      </w:r>
      <w:r w:rsidR="00832BCA" w:rsidRPr="007311D0">
        <w:t xml:space="preserve"> </w:t>
      </w:r>
      <w:r w:rsidR="0082089C" w:rsidRPr="007311D0">
        <w:t>(1989/1996)</w:t>
      </w:r>
      <w:r w:rsidR="006C3453" w:rsidRPr="007311D0">
        <w:t>,</w:t>
      </w:r>
      <w:r w:rsidR="0082089C" w:rsidRPr="007311D0">
        <w:t xml:space="preserve"> </w:t>
      </w:r>
      <w:r w:rsidR="00850C96" w:rsidRPr="007311D0">
        <w:t xml:space="preserve">that </w:t>
      </w:r>
      <w:r w:rsidR="006C3453" w:rsidRPr="007311D0">
        <w:t xml:space="preserve">Elias finally dealt with the momentous </w:t>
      </w:r>
      <w:r w:rsidR="006C3453" w:rsidRPr="007311D0">
        <w:rPr>
          <w:i/>
          <w:iCs/>
        </w:rPr>
        <w:t>micro</w:t>
      </w:r>
      <w:r w:rsidR="006C3453" w:rsidRPr="007311D0">
        <w:t xml:space="preserve">-historical context of twentieth-century totalitarianism and eliminationist anti-semitism that were unfolding at the time of the publication of the </w:t>
      </w:r>
      <w:r w:rsidR="006C3453" w:rsidRPr="004363E6">
        <w:rPr>
          <w:i/>
        </w:rPr>
        <w:t>Civilizing Process</w:t>
      </w:r>
      <w:r w:rsidR="006C3453" w:rsidRPr="007311D0">
        <w:t xml:space="preserve">. </w:t>
      </w:r>
      <w:r w:rsidR="0053744C">
        <w:t xml:space="preserve">Echoing aspects of the </w:t>
      </w:r>
      <w:r w:rsidR="0053744C" w:rsidRPr="0053744C">
        <w:rPr>
          <w:i/>
        </w:rPr>
        <w:t>Sonderweg</w:t>
      </w:r>
      <w:r w:rsidR="0053744C">
        <w:t xml:space="preserve"> thesis, h</w:t>
      </w:r>
      <w:r w:rsidR="006C3453" w:rsidRPr="007311D0">
        <w:t xml:space="preserve">e </w:t>
      </w:r>
      <w:r w:rsidR="00832BCA" w:rsidRPr="007311D0">
        <w:t>argued that t</w:t>
      </w:r>
      <w:r w:rsidR="007F37AF" w:rsidRPr="007311D0">
        <w:t xml:space="preserve">here were </w:t>
      </w:r>
      <w:r w:rsidR="009117A6">
        <w:t>exceptional</w:t>
      </w:r>
      <w:r w:rsidR="007F37AF" w:rsidRPr="007311D0">
        <w:t xml:space="preserve"> long-term tendencies</w:t>
      </w:r>
      <w:r w:rsidR="004155F2">
        <w:t xml:space="preserve"> </w:t>
      </w:r>
      <w:r w:rsidR="004155F2" w:rsidRPr="007311D0">
        <w:t>present in Germany</w:t>
      </w:r>
      <w:r w:rsidR="004155F2" w:rsidRPr="007311D0">
        <w:rPr>
          <w:rFonts w:cs="Times New Roman"/>
        </w:rPr>
        <w:t>’</w:t>
      </w:r>
      <w:r w:rsidR="004155F2" w:rsidRPr="007311D0">
        <w:t>s historical path</w:t>
      </w:r>
      <w:r w:rsidR="007F37AF" w:rsidRPr="007311D0">
        <w:t xml:space="preserve"> (going all the way back to the formation and dissolution of the Holy Roman Empire) </w:t>
      </w:r>
      <w:r w:rsidR="007F37AF" w:rsidRPr="007311D0">
        <w:lastRenderedPageBreak/>
        <w:t>that undermined the process of centrali</w:t>
      </w:r>
      <w:r w:rsidR="00465F87">
        <w:t>z</w:t>
      </w:r>
      <w:r w:rsidR="007F37AF" w:rsidRPr="007311D0">
        <w:t>ation of state power and the formation of a strong middle class as driver of functional democrati</w:t>
      </w:r>
      <w:r w:rsidR="00465F87">
        <w:t>z</w:t>
      </w:r>
      <w:r w:rsidR="007F37AF" w:rsidRPr="007311D0">
        <w:t>ation.</w:t>
      </w:r>
      <w:bookmarkStart w:id="5" w:name="_Ref2773600"/>
      <w:r w:rsidR="00832BCA" w:rsidRPr="007311D0">
        <w:rPr>
          <w:rStyle w:val="EndnoteReference"/>
        </w:rPr>
        <w:endnoteReference w:id="29"/>
      </w:r>
      <w:bookmarkEnd w:id="5"/>
      <w:r w:rsidR="007F37AF" w:rsidRPr="007311D0">
        <w:t xml:space="preserve"> In addition, </w:t>
      </w:r>
      <w:r w:rsidR="009F1C04">
        <w:t xml:space="preserve">he claimed that </w:t>
      </w:r>
      <w:r w:rsidR="007F37AF" w:rsidRPr="007311D0">
        <w:t xml:space="preserve">a set of </w:t>
      </w:r>
      <w:r w:rsidR="009117A6">
        <w:t>unique</w:t>
      </w:r>
      <w:r w:rsidR="007F37AF" w:rsidRPr="007311D0">
        <w:t xml:space="preserve"> circumstances in the Weimar Republic accentuated and prolonged the </w:t>
      </w:r>
      <w:r w:rsidR="007F37AF" w:rsidRPr="007311D0">
        <w:rPr>
          <w:rFonts w:cs="Times New Roman"/>
        </w:rPr>
        <w:t>‘</w:t>
      </w:r>
      <w:r w:rsidR="007F37AF" w:rsidRPr="007311D0">
        <w:t>decivili</w:t>
      </w:r>
      <w:r w:rsidR="00465F87">
        <w:t>z</w:t>
      </w:r>
      <w:r w:rsidR="007F37AF" w:rsidRPr="007311D0">
        <w:t>ing</w:t>
      </w:r>
      <w:r w:rsidR="007F37AF" w:rsidRPr="007311D0">
        <w:rPr>
          <w:rFonts w:cs="Times New Roman"/>
        </w:rPr>
        <w:t>’</w:t>
      </w:r>
      <w:r w:rsidR="007F37AF" w:rsidRPr="007311D0">
        <w:t xml:space="preserve"> effects of the preceding war and facilitated the acceptance of a militaristic mentality by large sectors of German society.</w:t>
      </w:r>
      <w:r w:rsidR="007F37AF" w:rsidRPr="007311D0">
        <w:rPr>
          <w:rStyle w:val="EndnoteReference"/>
        </w:rPr>
        <w:endnoteReference w:id="30"/>
      </w:r>
      <w:r w:rsidR="007F37AF" w:rsidRPr="007311D0">
        <w:t xml:space="preserve"> As a result, </w:t>
      </w:r>
      <w:r w:rsidR="00931731">
        <w:t xml:space="preserve">escalating </w:t>
      </w:r>
      <w:r w:rsidR="007F37AF" w:rsidRPr="007311D0">
        <w:t>uncivility and levels of violence directed at an enlarged circle of perceived enemies made a spectacular return and culminated in the Nazi campaign to exterminate Europe</w:t>
      </w:r>
      <w:r w:rsidR="007F37AF" w:rsidRPr="007311D0">
        <w:rPr>
          <w:rFonts w:cs="Times New Roman"/>
        </w:rPr>
        <w:t>’</w:t>
      </w:r>
      <w:r w:rsidR="007F37AF" w:rsidRPr="007311D0">
        <w:t>s Jews</w:t>
      </w:r>
      <w:r w:rsidR="00850C96" w:rsidRPr="007311D0">
        <w:t>, with its kaleidoscope of willing transnational appendages</w:t>
      </w:r>
      <w:r w:rsidR="007F37AF" w:rsidRPr="007311D0">
        <w:t xml:space="preserve">. </w:t>
      </w:r>
      <w:r w:rsidR="00C926FF" w:rsidRPr="007311D0">
        <w:t>Elias memorably explained the rise of National Socialism to power and its</w:t>
      </w:r>
      <w:r w:rsidR="00B37A7E">
        <w:t xml:space="preserve"> </w:t>
      </w:r>
      <w:r w:rsidR="00B37A7E">
        <w:t>murderous</w:t>
      </w:r>
      <w:r w:rsidR="00C926FF" w:rsidRPr="007311D0">
        <w:t xml:space="preserve"> </w:t>
      </w:r>
      <w:r w:rsidR="00C926FF" w:rsidRPr="007311D0">
        <w:rPr>
          <w:rFonts w:cs="Times New Roman"/>
        </w:rPr>
        <w:t>‘</w:t>
      </w:r>
      <w:r w:rsidR="00C926FF" w:rsidRPr="007311D0">
        <w:t>Final Solution</w:t>
      </w:r>
      <w:r w:rsidR="00C926FF" w:rsidRPr="007311D0">
        <w:rPr>
          <w:rFonts w:cs="Times New Roman"/>
        </w:rPr>
        <w:t>’</w:t>
      </w:r>
      <w:r w:rsidR="00C926FF" w:rsidRPr="007311D0">
        <w:t xml:space="preserve"> </w:t>
      </w:r>
      <w:r w:rsidR="00931731">
        <w:t xml:space="preserve">project </w:t>
      </w:r>
      <w:r w:rsidR="00C926FF" w:rsidRPr="007311D0">
        <w:t xml:space="preserve">as </w:t>
      </w:r>
      <w:r w:rsidR="00931731">
        <w:t>the ‘deepest regression [from the civili</w:t>
      </w:r>
      <w:r w:rsidR="00465F87">
        <w:t>z</w:t>
      </w:r>
      <w:r w:rsidR="00931731">
        <w:t xml:space="preserve">ing process] </w:t>
      </w:r>
      <w:r w:rsidR="00931731">
        <w:rPr>
          <w:rFonts w:cs="Times New Roman"/>
        </w:rPr>
        <w:t>…</w:t>
      </w:r>
      <w:r w:rsidR="00C926FF" w:rsidRPr="007311D0">
        <w:t xml:space="preserve"> to the barbarism and savagery of earlier times</w:t>
      </w:r>
      <w:r w:rsidR="00C926FF" w:rsidRPr="007311D0">
        <w:rPr>
          <w:rFonts w:cs="Times New Roman"/>
        </w:rPr>
        <w:t>’</w:t>
      </w:r>
      <w:r w:rsidR="00C926FF" w:rsidRPr="007311D0">
        <w:t>.</w:t>
      </w:r>
      <w:r w:rsidR="00C926FF" w:rsidRPr="007311D0">
        <w:rPr>
          <w:rStyle w:val="EndnoteReference"/>
        </w:rPr>
        <w:endnoteReference w:id="31"/>
      </w:r>
      <w:r w:rsidR="00C926FF" w:rsidRPr="007311D0">
        <w:t xml:space="preserve"> </w:t>
      </w:r>
      <w:r w:rsidR="00661DEA">
        <w:t>His chosen</w:t>
      </w:r>
      <w:r w:rsidR="00C9086F" w:rsidRPr="007311D0">
        <w:t xml:space="preserve"> language of </w:t>
      </w:r>
      <w:r w:rsidR="00C9086F" w:rsidRPr="007311D0">
        <w:rPr>
          <w:rFonts w:cs="Times New Roman"/>
        </w:rPr>
        <w:t>‘</w:t>
      </w:r>
      <w:r w:rsidR="00C9086F" w:rsidRPr="007311D0">
        <w:t>barbarism</w:t>
      </w:r>
      <w:r w:rsidR="00C9086F" w:rsidRPr="007311D0">
        <w:rPr>
          <w:rFonts w:cs="Times New Roman"/>
        </w:rPr>
        <w:t>’</w:t>
      </w:r>
      <w:r w:rsidR="00C9086F" w:rsidRPr="007311D0">
        <w:t xml:space="preserve"> is indeed awkward and problematic, positing </w:t>
      </w:r>
      <w:r w:rsidR="00681286" w:rsidRPr="004363E6">
        <w:rPr>
          <w:i/>
        </w:rPr>
        <w:t>civilit</w:t>
      </w:r>
      <w:r w:rsidR="00681286" w:rsidRPr="004363E6">
        <w:rPr>
          <w:rFonts w:cs="Cambria"/>
          <w:i/>
        </w:rPr>
        <w:t>é</w:t>
      </w:r>
      <w:r w:rsidR="00681286" w:rsidRPr="007311D0">
        <w:t xml:space="preserve"> </w:t>
      </w:r>
      <w:r w:rsidR="00661DEA">
        <w:t xml:space="preserve">as </w:t>
      </w:r>
      <w:r w:rsidR="00C9086F" w:rsidRPr="007311D0">
        <w:t>a</w:t>
      </w:r>
      <w:r w:rsidR="007D5BE0">
        <w:t xml:space="preserve">n </w:t>
      </w:r>
      <w:r w:rsidR="00C9086F" w:rsidRPr="007311D0">
        <w:t xml:space="preserve">interim stage of historical development between primitivism and a normative category of </w:t>
      </w:r>
      <w:r w:rsidR="00C9086F" w:rsidRPr="007311D0">
        <w:rPr>
          <w:rFonts w:cs="Times New Roman"/>
        </w:rPr>
        <w:t>‘</w:t>
      </w:r>
      <w:r w:rsidR="00C9086F" w:rsidRPr="007311D0">
        <w:t>civili</w:t>
      </w:r>
      <w:r w:rsidR="00465F87">
        <w:t>z</w:t>
      </w:r>
      <w:r w:rsidR="00C9086F" w:rsidRPr="007311D0">
        <w:t>ation</w:t>
      </w:r>
      <w:r w:rsidR="00C9086F" w:rsidRPr="007311D0">
        <w:rPr>
          <w:rFonts w:cs="Times New Roman"/>
        </w:rPr>
        <w:t>’</w:t>
      </w:r>
      <w:r w:rsidR="00C9086F" w:rsidRPr="007311D0">
        <w:t>.</w:t>
      </w:r>
      <w:r w:rsidR="00C9086F" w:rsidRPr="007311D0">
        <w:rPr>
          <w:rStyle w:val="EndnoteReference"/>
        </w:rPr>
        <w:endnoteReference w:id="32"/>
      </w:r>
      <w:r w:rsidR="00C9086F" w:rsidRPr="007311D0">
        <w:t xml:space="preserve"> </w:t>
      </w:r>
      <w:r w:rsidR="005056B6" w:rsidRPr="007311D0">
        <w:t xml:space="preserve">Nevertheless, he also sought </w:t>
      </w:r>
      <w:r w:rsidR="00C9086F" w:rsidRPr="007311D0">
        <w:t xml:space="preserve">to re-integrate </w:t>
      </w:r>
      <w:r w:rsidR="007F37AF" w:rsidRPr="007311D0">
        <w:t xml:space="preserve">the </w:t>
      </w:r>
      <w:r w:rsidR="007F37AF" w:rsidRPr="007311D0">
        <w:rPr>
          <w:rFonts w:cs="Times New Roman"/>
        </w:rPr>
        <w:t>‘</w:t>
      </w:r>
      <w:r w:rsidR="007F37AF" w:rsidRPr="007311D0">
        <w:t>decivili</w:t>
      </w:r>
      <w:r w:rsidR="00465F87">
        <w:t>z</w:t>
      </w:r>
      <w:r w:rsidR="007F37AF" w:rsidRPr="007311D0">
        <w:t xml:space="preserve">ing spurt' of Nazism and the Holocaust </w:t>
      </w:r>
      <w:r w:rsidR="00C9086F" w:rsidRPr="007311D0">
        <w:t xml:space="preserve">into the open horizon of potentialities </w:t>
      </w:r>
      <w:r w:rsidR="00661DEA">
        <w:t>intrinsic to</w:t>
      </w:r>
      <w:r w:rsidR="00C9086F" w:rsidRPr="007311D0">
        <w:t xml:space="preserve"> his </w:t>
      </w:r>
      <w:r w:rsidR="00C9086F" w:rsidRPr="007311D0">
        <w:rPr>
          <w:rFonts w:cs="Times New Roman"/>
        </w:rPr>
        <w:t>‘</w:t>
      </w:r>
      <w:r w:rsidR="00C9086F" w:rsidRPr="007311D0">
        <w:t>civili</w:t>
      </w:r>
      <w:r w:rsidR="00465F87">
        <w:t>z</w:t>
      </w:r>
      <w:r w:rsidR="00C9086F" w:rsidRPr="007311D0">
        <w:t>ing process</w:t>
      </w:r>
      <w:r w:rsidR="00C9086F" w:rsidRPr="007311D0">
        <w:rPr>
          <w:rFonts w:cs="Times New Roman"/>
        </w:rPr>
        <w:t>’</w:t>
      </w:r>
      <w:r w:rsidR="00C9086F" w:rsidRPr="007311D0">
        <w:t xml:space="preserve"> even as it involved </w:t>
      </w:r>
      <w:r w:rsidR="00E5507C">
        <w:t>profound</w:t>
      </w:r>
      <w:r w:rsidR="00C9086F" w:rsidRPr="007311D0">
        <w:t xml:space="preserve"> reversals in terms of violence, self-restraint, and human inter-dependence</w:t>
      </w:r>
      <w:r w:rsidR="007F37AF" w:rsidRPr="007311D0">
        <w:t>.</w:t>
      </w:r>
      <w:r w:rsidR="00C9086F" w:rsidRPr="007311D0">
        <w:rPr>
          <w:rStyle w:val="EndnoteReference"/>
        </w:rPr>
        <w:endnoteReference w:id="33"/>
      </w:r>
      <w:r w:rsidR="007F37AF" w:rsidRPr="007311D0">
        <w:t xml:space="preserve"> </w:t>
      </w:r>
      <w:r w:rsidR="00C9086F" w:rsidRPr="007311D0">
        <w:rPr>
          <w:i/>
        </w:rPr>
        <w:t>Micro</w:t>
      </w:r>
      <w:r w:rsidR="00C9086F" w:rsidRPr="007311D0">
        <w:t xml:space="preserve">-historical psychogenetic </w:t>
      </w:r>
      <w:r w:rsidR="00681286" w:rsidRPr="007311D0">
        <w:t xml:space="preserve">(behavioural) </w:t>
      </w:r>
      <w:r w:rsidR="00C9086F" w:rsidRPr="007311D0">
        <w:t>swings</w:t>
      </w:r>
      <w:r w:rsidR="009164B9">
        <w:t xml:space="preserve"> in one place or another</w:t>
      </w:r>
      <w:r w:rsidR="00C9086F" w:rsidRPr="007311D0">
        <w:t>, i</w:t>
      </w:r>
      <w:r w:rsidR="007F37AF" w:rsidRPr="007311D0">
        <w:t xml:space="preserve">n other words, </w:t>
      </w:r>
      <w:r w:rsidR="00C9086F" w:rsidRPr="007311D0">
        <w:t xml:space="preserve">did not invalidate the analysis of </w:t>
      </w:r>
      <w:r w:rsidR="00C9086F" w:rsidRPr="007311D0">
        <w:rPr>
          <w:i/>
        </w:rPr>
        <w:t>macro</w:t>
      </w:r>
      <w:r w:rsidR="00C9086F" w:rsidRPr="007311D0">
        <w:t>-historical sociogenetic processes</w:t>
      </w:r>
      <w:r w:rsidR="009164B9">
        <w:t xml:space="preserve"> as a cumulative direction of historical travel</w:t>
      </w:r>
      <w:r w:rsidR="007F37AF" w:rsidRPr="007311D0">
        <w:t xml:space="preserve">. </w:t>
      </w:r>
    </w:p>
    <w:p w14:paraId="49A9CD45" w14:textId="3241A9E0" w:rsidR="007F37AF" w:rsidRPr="007311D0" w:rsidRDefault="007F37AF" w:rsidP="007311D0">
      <w:pPr>
        <w:pStyle w:val="MainText"/>
      </w:pPr>
      <w:r w:rsidRPr="007311D0">
        <w:t xml:space="preserve">The implications of </w:t>
      </w:r>
      <w:r w:rsidR="00C9086F" w:rsidRPr="007311D0">
        <w:t>Elias</w:t>
      </w:r>
      <w:r w:rsidR="00C9086F" w:rsidRPr="007311D0">
        <w:rPr>
          <w:rFonts w:cs="Times New Roman"/>
        </w:rPr>
        <w:t>’</w:t>
      </w:r>
      <w:r w:rsidR="00C9086F" w:rsidRPr="007311D0">
        <w:t xml:space="preserve">s attempt to accommodate the rise of National Socialism into his overall scheme </w:t>
      </w:r>
      <w:r w:rsidRPr="007311D0">
        <w:t xml:space="preserve">extend beyond the particular context of </w:t>
      </w:r>
      <w:r w:rsidR="00C9086F" w:rsidRPr="007311D0">
        <w:t>interwar</w:t>
      </w:r>
      <w:r w:rsidRPr="007311D0">
        <w:t xml:space="preserve"> Germany. The rise and spread of fascism across many countries of Europe in the interwar period was </w:t>
      </w:r>
      <w:r w:rsidR="001070D7">
        <w:t>driven</w:t>
      </w:r>
      <w:r w:rsidRPr="007311D0">
        <w:t xml:space="preserve"> by a </w:t>
      </w:r>
      <w:r w:rsidR="009164B9">
        <w:t>generali</w:t>
      </w:r>
      <w:r w:rsidR="00465F87">
        <w:t>z</w:t>
      </w:r>
      <w:r w:rsidR="009164B9">
        <w:t xml:space="preserve">ed </w:t>
      </w:r>
      <w:r w:rsidRPr="007311D0">
        <w:t xml:space="preserve">atmosphere of </w:t>
      </w:r>
      <w:r w:rsidR="009164B9">
        <w:t xml:space="preserve">heightened </w:t>
      </w:r>
      <w:r w:rsidRPr="007311D0">
        <w:t xml:space="preserve">anxiety, fear </w:t>
      </w:r>
      <w:r w:rsidR="004F5D44">
        <w:t xml:space="preserve">caused by the seemingly </w:t>
      </w:r>
      <w:r w:rsidRPr="007311D0">
        <w:t xml:space="preserve">dizzying </w:t>
      </w:r>
      <w:r w:rsidR="004F5D44">
        <w:t xml:space="preserve">pace of </w:t>
      </w:r>
      <w:r w:rsidRPr="007311D0">
        <w:t xml:space="preserve">change, </w:t>
      </w:r>
      <w:r w:rsidRPr="007311D0">
        <w:lastRenderedPageBreak/>
        <w:t xml:space="preserve">instability and perception of profound crisis that lingered on long after the end of WW1. </w:t>
      </w:r>
      <w:r w:rsidR="009164B9">
        <w:t>L</w:t>
      </w:r>
      <w:r w:rsidRPr="007311D0">
        <w:t xml:space="preserve">iberal ideas of individualism, </w:t>
      </w:r>
      <w:r w:rsidR="00C015D6">
        <w:t xml:space="preserve">respect for </w:t>
      </w:r>
      <w:r w:rsidR="006171B6">
        <w:t xml:space="preserve">diversity, </w:t>
      </w:r>
      <w:r w:rsidRPr="007311D0">
        <w:t xml:space="preserve">parliamentarism, minority protection, and international co-operation crumbled under the </w:t>
      </w:r>
      <w:r w:rsidR="001070D7">
        <w:t>weight</w:t>
      </w:r>
      <w:r w:rsidRPr="007311D0">
        <w:t xml:space="preserve"> of </w:t>
      </w:r>
      <w:r w:rsidR="00484EC1" w:rsidRPr="007311D0">
        <w:t xml:space="preserve">collective </w:t>
      </w:r>
      <w:r w:rsidRPr="007311D0">
        <w:t>perceptions of insecurity and existential danger from outsiders that appeared to justify exceptional responses in the name of community self-defence. Th</w:t>
      </w:r>
      <w:r w:rsidR="00373AA6">
        <w:t>is resulted in</w:t>
      </w:r>
      <w:r w:rsidRPr="007311D0">
        <w:t xml:space="preserve"> </w:t>
      </w:r>
      <w:r w:rsidR="00373AA6">
        <w:t xml:space="preserve">a </w:t>
      </w:r>
      <w:r w:rsidR="00B51634">
        <w:t xml:space="preserve">deepening </w:t>
      </w:r>
      <w:r w:rsidR="001362E9">
        <w:t xml:space="preserve">of </w:t>
      </w:r>
      <w:r w:rsidR="00712D70">
        <w:t xml:space="preserve">community </w:t>
      </w:r>
      <w:r w:rsidR="00185814">
        <w:t>self-</w:t>
      </w:r>
      <w:r w:rsidR="004C49EE">
        <w:t>identification</w:t>
      </w:r>
      <w:r w:rsidR="00F70C20">
        <w:t xml:space="preserve"> </w:t>
      </w:r>
      <w:r w:rsidR="00F70C20" w:rsidRPr="007311D0">
        <w:t>based on strict national and/or racial membership</w:t>
      </w:r>
      <w:r w:rsidR="00013591">
        <w:t xml:space="preserve">, </w:t>
      </w:r>
      <w:r w:rsidR="00845E02">
        <w:t>while</w:t>
      </w:r>
      <w:r w:rsidR="00AA1592">
        <w:t xml:space="preserve"> promoting a severe</w:t>
      </w:r>
      <w:r w:rsidR="00845E02">
        <w:t xml:space="preserve"> narrowing </w:t>
      </w:r>
      <w:r w:rsidR="005C6CA9">
        <w:t>its membership</w:t>
      </w:r>
      <w:r w:rsidR="005E42EE">
        <w:t xml:space="preserve"> and</w:t>
      </w:r>
      <w:r w:rsidR="005C6CA9">
        <w:t xml:space="preserve"> </w:t>
      </w:r>
      <w:r w:rsidR="005E42EE">
        <w:t xml:space="preserve">the aggressive exclusion of those deemed alien or dangerous to its welfare. </w:t>
      </w:r>
      <w:r w:rsidR="00593D01">
        <w:t>Such a</w:t>
      </w:r>
      <w:r w:rsidR="004C49EE">
        <w:t xml:space="preserve"> </w:t>
      </w:r>
      <w:r w:rsidRPr="007311D0">
        <w:t>violent constriction of the circle of empathy felt by many individuals and groups</w:t>
      </w:r>
      <w:r w:rsidR="006C4EF5">
        <w:t xml:space="preserve"> </w:t>
      </w:r>
      <w:r w:rsidRPr="007311D0">
        <w:t xml:space="preserve">was fed by otherwise mainstream ideas of exclusive </w:t>
      </w:r>
      <w:r w:rsidR="009164B9">
        <w:t xml:space="preserve">identitarian </w:t>
      </w:r>
      <w:r w:rsidRPr="007311D0">
        <w:t>nationalism</w:t>
      </w:r>
      <w:r w:rsidR="00343B9F">
        <w:t xml:space="preserve"> and </w:t>
      </w:r>
      <w:r w:rsidRPr="007311D0">
        <w:t>state sovereign powe</w:t>
      </w:r>
      <w:r w:rsidR="00343B9F">
        <w:t xml:space="preserve">r </w:t>
      </w:r>
      <w:r w:rsidR="007769B1" w:rsidRPr="007311D0">
        <w:t xml:space="preserve">that </w:t>
      </w:r>
      <w:r w:rsidR="00FE0C81">
        <w:t xml:space="preserve">seemingly justified </w:t>
      </w:r>
      <w:r w:rsidR="00112C7D">
        <w:t xml:space="preserve">a violent drive towards </w:t>
      </w:r>
      <w:r w:rsidR="007769B1" w:rsidRPr="007311D0">
        <w:t>purification</w:t>
      </w:r>
      <w:r w:rsidR="00801A65">
        <w:t xml:space="preserve"> in the name of </w:t>
      </w:r>
      <w:r w:rsidR="00801A65" w:rsidRPr="007311D0">
        <w:t>self-preservation</w:t>
      </w:r>
      <w:r w:rsidRPr="007311D0">
        <w:t>.</w:t>
      </w:r>
      <w:bookmarkStart w:id="6" w:name="_Ref2773714"/>
      <w:r w:rsidRPr="007311D0">
        <w:rPr>
          <w:rStyle w:val="EndnoteReference"/>
        </w:rPr>
        <w:endnoteReference w:id="34"/>
      </w:r>
      <w:bookmarkEnd w:id="6"/>
      <w:r w:rsidRPr="007311D0">
        <w:t xml:space="preserve"> </w:t>
      </w:r>
      <w:r w:rsidR="00661DEA">
        <w:t xml:space="preserve">In addition, </w:t>
      </w:r>
      <w:r w:rsidR="00205C9D">
        <w:t>p</w:t>
      </w:r>
      <w:r w:rsidRPr="007311D0">
        <w:t xml:space="preserve">olitical and social norms broken by the two paradigmatic fascist regimes in Italy and Germany found </w:t>
      </w:r>
      <w:r w:rsidR="00C74288">
        <w:t>numerous willing</w:t>
      </w:r>
      <w:r w:rsidRPr="007311D0">
        <w:t xml:space="preserve"> </w:t>
      </w:r>
      <w:r w:rsidR="00C74288">
        <w:t xml:space="preserve">– and sometimes unlikely - </w:t>
      </w:r>
      <w:r w:rsidRPr="007311D0">
        <w:t>adherents beyond their respective national borders</w:t>
      </w:r>
      <w:r w:rsidR="0040673C">
        <w:t>,</w:t>
      </w:r>
      <w:r w:rsidRPr="007311D0">
        <w:t xml:space="preserve"> and indeed political constituencies</w:t>
      </w:r>
      <w:r w:rsidR="0040673C">
        <w:t>,</w:t>
      </w:r>
      <w:r w:rsidR="0041115E" w:rsidRPr="007311D0">
        <w:t xml:space="preserve"> precisely because </w:t>
      </w:r>
      <w:r w:rsidR="009164B9">
        <w:t>such radicalism spoke to</w:t>
      </w:r>
      <w:r w:rsidR="0041115E" w:rsidRPr="007311D0">
        <w:t xml:space="preserve"> </w:t>
      </w:r>
      <w:r w:rsidR="009164B9">
        <w:t>profound</w:t>
      </w:r>
      <w:r w:rsidR="0041115E" w:rsidRPr="007311D0">
        <w:t xml:space="preserve"> </w:t>
      </w:r>
      <w:r w:rsidR="009164B9">
        <w:t>fissures</w:t>
      </w:r>
      <w:r w:rsidR="0041115E" w:rsidRPr="007311D0">
        <w:t xml:space="preserve"> </w:t>
      </w:r>
      <w:r w:rsidR="009164B9">
        <w:t>in the political and social mainstream of interwar Europe</w:t>
      </w:r>
      <w:r w:rsidRPr="007311D0">
        <w:t>.</w:t>
      </w:r>
      <w:r w:rsidR="00497781" w:rsidRPr="007311D0">
        <w:rPr>
          <w:rStyle w:val="EndnoteReference"/>
        </w:rPr>
        <w:endnoteReference w:id="35"/>
      </w:r>
      <w:r w:rsidRPr="007311D0">
        <w:t xml:space="preserve"> The crumbling of many </w:t>
      </w:r>
      <w:r w:rsidR="00C9086F" w:rsidRPr="007311D0">
        <w:t>ostensibly</w:t>
      </w:r>
      <w:r w:rsidRPr="007311D0">
        <w:t xml:space="preserve"> liberal</w:t>
      </w:r>
      <w:r w:rsidR="00497781">
        <w:t>-parliamentary</w:t>
      </w:r>
      <w:r w:rsidRPr="007311D0">
        <w:t xml:space="preserve"> regimes in central, southern, and eastern Europe</w:t>
      </w:r>
      <w:r w:rsidR="00497781">
        <w:t xml:space="preserve"> in the 1930s</w:t>
      </w:r>
      <w:r w:rsidRPr="007311D0">
        <w:t xml:space="preserve"> resulted in dictatorships that were supported by broad sectors of the political mainstream (conservatives, military and/or religious institutions) and adopted</w:t>
      </w:r>
      <w:r w:rsidR="00497781">
        <w:t>, however</w:t>
      </w:r>
      <w:r w:rsidRPr="007311D0">
        <w:t xml:space="preserve"> </w:t>
      </w:r>
      <w:r w:rsidR="00497781">
        <w:t xml:space="preserve">selectively or </w:t>
      </w:r>
      <w:r w:rsidRPr="007311D0">
        <w:t>critically</w:t>
      </w:r>
      <w:r w:rsidR="00497781">
        <w:t>,</w:t>
      </w:r>
      <w:r w:rsidRPr="007311D0">
        <w:t xml:space="preserve"> a number of </w:t>
      </w:r>
      <w:r w:rsidRPr="007311D0">
        <w:rPr>
          <w:rFonts w:cs="Times New Roman"/>
        </w:rPr>
        <w:t>‘</w:t>
      </w:r>
      <w:r w:rsidRPr="007311D0">
        <w:t>fascist</w:t>
      </w:r>
      <w:r w:rsidRPr="007311D0">
        <w:rPr>
          <w:rFonts w:cs="Times New Roman"/>
        </w:rPr>
        <w:t>’</w:t>
      </w:r>
      <w:r w:rsidRPr="007311D0">
        <w:t xml:space="preserve"> practices demonstrated elsewhere. </w:t>
      </w:r>
      <w:r w:rsidR="00497781">
        <w:t xml:space="preserve">Thus what we call ‘fascism’ was successfully diffused beyond Italy and Germany even when </w:t>
      </w:r>
      <w:r w:rsidR="00A550EB">
        <w:t>fascis</w:t>
      </w:r>
      <w:r w:rsidR="008958A6">
        <w:t>m’s</w:t>
      </w:r>
      <w:r w:rsidR="00497781">
        <w:t xml:space="preserve"> </w:t>
      </w:r>
      <w:r w:rsidR="00F36833">
        <w:t xml:space="preserve">membership </w:t>
      </w:r>
      <w:r w:rsidR="00A409F1">
        <w:t>and</w:t>
      </w:r>
      <w:r w:rsidR="00F36833">
        <w:t xml:space="preserve"> </w:t>
      </w:r>
      <w:r w:rsidR="008958A6">
        <w:t xml:space="preserve">its </w:t>
      </w:r>
      <w:r w:rsidR="00F36833">
        <w:t>electoral</w:t>
      </w:r>
      <w:r w:rsidR="00497781">
        <w:t xml:space="preserve"> basis remained limited</w:t>
      </w:r>
      <w:r w:rsidR="00A409F1">
        <w:t>; or</w:t>
      </w:r>
      <w:r w:rsidR="008958A6">
        <w:t xml:space="preserve"> when</w:t>
      </w:r>
      <w:r w:rsidR="00497781">
        <w:t xml:space="preserve"> its radical political entrepreneurs failed in their bid to power.</w:t>
      </w:r>
      <w:bookmarkStart w:id="7" w:name="_Ref2773894"/>
      <w:r w:rsidR="00497781" w:rsidRPr="007311D0">
        <w:rPr>
          <w:rStyle w:val="EndnoteReference"/>
        </w:rPr>
        <w:endnoteReference w:id="36"/>
      </w:r>
      <w:bookmarkEnd w:id="7"/>
      <w:r w:rsidR="00497781">
        <w:t xml:space="preserve"> </w:t>
      </w:r>
      <w:r w:rsidRPr="007311D0">
        <w:t xml:space="preserve">When it came to the implementation of the </w:t>
      </w:r>
      <w:r w:rsidRPr="007311D0">
        <w:rPr>
          <w:rFonts w:cs="Times New Roman"/>
        </w:rPr>
        <w:t>‘</w:t>
      </w:r>
      <w:r w:rsidRPr="007311D0">
        <w:t>Final Solution</w:t>
      </w:r>
      <w:r w:rsidRPr="007311D0">
        <w:rPr>
          <w:rFonts w:cs="Times New Roman"/>
        </w:rPr>
        <w:t>’</w:t>
      </w:r>
      <w:r w:rsidRPr="007311D0">
        <w:t xml:space="preserve"> during WW2, the support and very often active participation of segments of the local population in the undertaking was </w:t>
      </w:r>
      <w:r w:rsidRPr="007311D0">
        <w:lastRenderedPageBreak/>
        <w:t>as striking as the willing (sometimes even anticipatory) collaboration of most of the authoritarian regimes that had appeared in the previous decade.</w:t>
      </w:r>
      <w:r w:rsidR="00205C9D" w:rsidRPr="007311D0">
        <w:rPr>
          <w:rStyle w:val="EndnoteReference"/>
        </w:rPr>
        <w:endnoteReference w:id="37"/>
      </w:r>
      <w:r w:rsidRPr="007311D0">
        <w:t xml:space="preserve"> </w:t>
      </w:r>
    </w:p>
    <w:p w14:paraId="1234A1AB" w14:textId="4BF6FF44" w:rsidR="007F37AF" w:rsidRDefault="006F4EF1" w:rsidP="007311D0">
      <w:pPr>
        <w:pStyle w:val="MainText"/>
      </w:pPr>
      <w:r>
        <w:t xml:space="preserve">All these changes undoubtedly </w:t>
      </w:r>
      <w:r w:rsidR="00205C9D">
        <w:t>qualified as</w:t>
      </w:r>
      <w:r>
        <w:t xml:space="preserve"> a ‘counter-spurt’ when judged against either the macro-historical trends of the civili</w:t>
      </w:r>
      <w:r w:rsidR="004B7587">
        <w:t>z</w:t>
      </w:r>
      <w:r>
        <w:t xml:space="preserve">ing process or the expectations of a ‘liberal moment’ post-WW1. </w:t>
      </w:r>
      <w:r w:rsidR="00F566CD">
        <w:t xml:space="preserve">But </w:t>
      </w:r>
      <w:r w:rsidR="0066735C">
        <w:t>did</w:t>
      </w:r>
      <w:r w:rsidR="00F566CD">
        <w:t xml:space="preserve"> they</w:t>
      </w:r>
      <w:r w:rsidR="0066735C">
        <w:t xml:space="preserve"> also constitute qualitative</w:t>
      </w:r>
      <w:r w:rsidR="00F566CD">
        <w:t xml:space="preserve"> </w:t>
      </w:r>
      <w:r w:rsidR="0066735C">
        <w:t>‘</w:t>
      </w:r>
      <w:r w:rsidR="0066735C" w:rsidRPr="0066735C">
        <w:rPr>
          <w:i/>
        </w:rPr>
        <w:t>de</w:t>
      </w:r>
      <w:r w:rsidR="0066735C">
        <w:t>civili</w:t>
      </w:r>
      <w:r w:rsidR="00045288">
        <w:t>z</w:t>
      </w:r>
      <w:r w:rsidR="0066735C">
        <w:t xml:space="preserve">ing’ </w:t>
      </w:r>
      <w:r w:rsidR="00F566CD">
        <w:t>regressions</w:t>
      </w:r>
      <w:r w:rsidR="0066735C">
        <w:t xml:space="preserve"> </w:t>
      </w:r>
      <w:r w:rsidR="00205C9D">
        <w:t>in terms of their underlying assumptions -</w:t>
      </w:r>
      <w:r w:rsidR="0066735C">
        <w:t xml:space="preserve"> the escalating uncivility and violence, the </w:t>
      </w:r>
      <w:r w:rsidR="00205C9D">
        <w:t>rejection of parliamentary democracy in favour</w:t>
      </w:r>
      <w:r w:rsidR="0066735C">
        <w:t xml:space="preserve"> of authoritarianism</w:t>
      </w:r>
      <w:r w:rsidR="0066735C">
        <w:rPr>
          <w:rStyle w:val="EndnoteReference"/>
        </w:rPr>
        <w:endnoteReference w:id="38"/>
      </w:r>
      <w:r w:rsidR="0066735C">
        <w:t xml:space="preserve"> or </w:t>
      </w:r>
      <w:r w:rsidR="00205C9D">
        <w:t xml:space="preserve">the </w:t>
      </w:r>
      <w:r w:rsidR="0066735C">
        <w:t>narrowing of empathy towards others in the interwar period</w:t>
      </w:r>
      <w:r w:rsidR="00F566CD">
        <w:t>?</w:t>
      </w:r>
      <w:r w:rsidR="0066735C">
        <w:t xml:space="preserve"> </w:t>
      </w:r>
      <w:r w:rsidR="00F114E0">
        <w:t>At this point the methodological dichotomy between an emic</w:t>
      </w:r>
      <w:r w:rsidR="00DC16C6">
        <w:t>/internal</w:t>
      </w:r>
      <w:r w:rsidR="00F114E0">
        <w:t xml:space="preserve"> approach to ‘civili</w:t>
      </w:r>
      <w:r w:rsidR="00045288">
        <w:t>z</w:t>
      </w:r>
      <w:r w:rsidR="00F114E0">
        <w:t>ation’ and an etic</w:t>
      </w:r>
      <w:r w:rsidR="00DC16C6">
        <w:t>/external</w:t>
      </w:r>
      <w:r w:rsidR="00F114E0">
        <w:t xml:space="preserve"> counter-perspective result</w:t>
      </w:r>
      <w:r w:rsidR="00205C9D">
        <w:t>s</w:t>
      </w:r>
      <w:r w:rsidR="00F114E0">
        <w:t xml:space="preserve"> in notably different verdicts – and </w:t>
      </w:r>
      <w:r w:rsidR="00205C9D">
        <w:t>such a</w:t>
      </w:r>
      <w:r w:rsidR="00F114E0">
        <w:t xml:space="preserve"> distinction is not consistent</w:t>
      </w:r>
      <w:r w:rsidR="00205C9D">
        <w:t>ly applied</w:t>
      </w:r>
      <w:r w:rsidR="00F114E0">
        <w:t xml:space="preserve"> in Elias’s analysis. From an emic</w:t>
      </w:r>
      <w:r w:rsidR="00832C55">
        <w:t xml:space="preserve"> (</w:t>
      </w:r>
      <w:r w:rsidR="00DC16C6">
        <w:t>that is, specific to the place</w:t>
      </w:r>
      <w:r w:rsidR="00810D68">
        <w:t xml:space="preserve">, </w:t>
      </w:r>
      <w:r w:rsidR="00DC16C6">
        <w:t>time</w:t>
      </w:r>
      <w:r w:rsidR="00810D68">
        <w:t>, and societies</w:t>
      </w:r>
      <w:r w:rsidR="00DC16C6">
        <w:t xml:space="preserve"> under review</w:t>
      </w:r>
      <w:r w:rsidR="00832C55">
        <w:t>)</w:t>
      </w:r>
      <w:r w:rsidR="00F114E0">
        <w:t xml:space="preserve"> point of view, neither </w:t>
      </w:r>
      <w:r w:rsidR="009A2AF0">
        <w:t>an</w:t>
      </w:r>
      <w:r w:rsidR="00F114E0">
        <w:t xml:space="preserve"> extension of empathy to perceived others</w:t>
      </w:r>
      <w:r w:rsidR="009A675D">
        <w:t xml:space="preserve"> </w:t>
      </w:r>
      <w:r w:rsidR="0060038F">
        <w:t>(</w:t>
      </w:r>
      <w:r w:rsidR="009A675D">
        <w:t>as dictated by liberal norms</w:t>
      </w:r>
      <w:r w:rsidR="0060038F">
        <w:t>)</w:t>
      </w:r>
      <w:r w:rsidR="00045288">
        <w:t>,</w:t>
      </w:r>
      <w:r w:rsidR="00F114E0">
        <w:t xml:space="preserve"> nor </w:t>
      </w:r>
      <w:r w:rsidR="009A2AF0">
        <w:t xml:space="preserve">an </w:t>
      </w:r>
      <w:r w:rsidR="00B923E7">
        <w:t xml:space="preserve">adherence to </w:t>
      </w:r>
      <w:r w:rsidR="00F114E0">
        <w:t>parliamentary democracy</w:t>
      </w:r>
      <w:r w:rsidR="008044B2">
        <w:t>, pluralism,</w:t>
      </w:r>
      <w:r w:rsidR="00A41A8B">
        <w:t xml:space="preserve"> and pacifism</w:t>
      </w:r>
      <w:r w:rsidR="00F114E0">
        <w:t xml:space="preserve"> amounted to entrenched ‘mainstream’ canons</w:t>
      </w:r>
      <w:r w:rsidR="00B923E7">
        <w:t xml:space="preserve">, even if they could meaningfully </w:t>
      </w:r>
      <w:r w:rsidR="00A70EDA">
        <w:t xml:space="preserve">be </w:t>
      </w:r>
      <w:r w:rsidR="00B923E7">
        <w:t>regarded as such from a particular etic perspective.</w:t>
      </w:r>
      <w:r w:rsidR="00B923E7">
        <w:rPr>
          <w:rStyle w:val="EndnoteReference"/>
        </w:rPr>
        <w:endnoteReference w:id="39"/>
      </w:r>
      <w:r w:rsidR="00B923E7">
        <w:t xml:space="preserve"> </w:t>
      </w:r>
      <w:r w:rsidR="00DC16C6">
        <w:t xml:space="preserve">Early </w:t>
      </w:r>
      <w:r w:rsidR="007F37AF" w:rsidRPr="007311D0">
        <w:t>interpretations</w:t>
      </w:r>
      <w:r w:rsidR="00DC16C6">
        <w:t xml:space="preserve"> of fascism</w:t>
      </w:r>
      <w:r w:rsidR="008F1E5D">
        <w:t xml:space="preserve"> as a stark deviation from mainstream European/national history and culture</w:t>
      </w:r>
      <w:r w:rsidR="007F37AF" w:rsidRPr="007311D0">
        <w:t xml:space="preserve">, such as </w:t>
      </w:r>
      <w:r w:rsidR="008F1E5D">
        <w:t xml:space="preserve">those offered by </w:t>
      </w:r>
      <w:r w:rsidR="007F37AF" w:rsidRPr="007311D0">
        <w:t>Benedetto Croce</w:t>
      </w:r>
      <w:r w:rsidR="008F1E5D">
        <w:rPr>
          <w:rFonts w:cs="Times New Roman"/>
        </w:rPr>
        <w:t>, Gerhard Ritter or Friedrich Meinecke</w:t>
      </w:r>
      <w:r w:rsidR="0041115E" w:rsidRPr="007311D0">
        <w:t>,</w:t>
      </w:r>
      <w:r w:rsidR="007F37AF" w:rsidRPr="007311D0">
        <w:rPr>
          <w:rStyle w:val="EndnoteReference"/>
        </w:rPr>
        <w:endnoteReference w:id="40"/>
      </w:r>
      <w:r w:rsidR="007F37AF" w:rsidRPr="007311D0">
        <w:t xml:space="preserve"> derived from a </w:t>
      </w:r>
      <w:r w:rsidR="00DC16C6">
        <w:t>narrow, predominantly external</w:t>
      </w:r>
      <w:r w:rsidR="00592446">
        <w:t>/etic</w:t>
      </w:r>
      <w:r w:rsidR="007F37AF" w:rsidRPr="007311D0">
        <w:t xml:space="preserve"> reading of mainstream society's pulse</w:t>
      </w:r>
      <w:r w:rsidR="00DC16C6">
        <w:t xml:space="preserve"> </w:t>
      </w:r>
      <w:r w:rsidR="0041115E" w:rsidRPr="007311D0">
        <w:rPr>
          <w:rFonts w:cs="Times New Roman"/>
        </w:rPr>
        <w:t>–</w:t>
      </w:r>
      <w:r w:rsidR="0041115E" w:rsidRPr="007311D0">
        <w:t xml:space="preserve"> in essence, a wishful projection of normative liberal expectations onto the far more granular realities of mainstream consciousness in interwar European societies</w:t>
      </w:r>
      <w:r w:rsidR="007F37AF" w:rsidRPr="007311D0">
        <w:t xml:space="preserve">. This misapprehension is symptomatic of a general </w:t>
      </w:r>
      <w:r w:rsidR="0041115E" w:rsidRPr="007311D0">
        <w:t xml:space="preserve">heuristic </w:t>
      </w:r>
      <w:r w:rsidR="007F37AF" w:rsidRPr="007311D0">
        <w:t xml:space="preserve">confusion surrounding the concept of </w:t>
      </w:r>
      <w:r w:rsidR="007F37AF" w:rsidRPr="007311D0">
        <w:rPr>
          <w:rFonts w:cs="Times New Roman"/>
        </w:rPr>
        <w:t>‘</w:t>
      </w:r>
      <w:r w:rsidR="007F37AF" w:rsidRPr="007311D0">
        <w:t>the mainstream</w:t>
      </w:r>
      <w:r w:rsidR="007F37AF" w:rsidRPr="007311D0">
        <w:rPr>
          <w:rFonts w:cs="Times New Roman"/>
        </w:rPr>
        <w:t>’</w:t>
      </w:r>
      <w:r w:rsidR="007F37AF" w:rsidRPr="007311D0">
        <w:t xml:space="preserve"> per se. In fact, in deploying the term without precise conceptual foundations, </w:t>
      </w:r>
      <w:r w:rsidR="008F1E5D">
        <w:t>one encounters another important dichotomy that refers to</w:t>
      </w:r>
      <w:r w:rsidR="007F37AF" w:rsidRPr="007311D0">
        <w:t xml:space="preserve"> two otherwise partly </w:t>
      </w:r>
      <w:r w:rsidR="007F37AF" w:rsidRPr="007311D0">
        <w:lastRenderedPageBreak/>
        <w:t>divergent formations</w:t>
      </w:r>
      <w:r w:rsidR="008F1E5D">
        <w:t xml:space="preserve"> under the same appellation</w:t>
      </w:r>
      <w:r w:rsidR="007F37AF" w:rsidRPr="007311D0">
        <w:t xml:space="preserve">. On the one hand, there is a </w:t>
      </w:r>
      <w:r w:rsidR="007F37AF" w:rsidRPr="007311D0">
        <w:rPr>
          <w:i/>
          <w:iCs/>
        </w:rPr>
        <w:t>normative</w:t>
      </w:r>
      <w:r w:rsidR="007F37AF" w:rsidRPr="007311D0">
        <w:t xml:space="preserve"> mainstream, expressed in the language of </w:t>
      </w:r>
      <w:r w:rsidR="007F37AF" w:rsidRPr="007311D0">
        <w:rPr>
          <w:rFonts w:cs="Times New Roman"/>
        </w:rPr>
        <w:t>‘</w:t>
      </w:r>
      <w:r w:rsidR="007F37AF" w:rsidRPr="007311D0">
        <w:t>ought to</w:t>
      </w:r>
      <w:r w:rsidR="007F37AF" w:rsidRPr="007311D0">
        <w:rPr>
          <w:rFonts w:cs="Times New Roman"/>
        </w:rPr>
        <w:t>’</w:t>
      </w:r>
      <w:r w:rsidR="007F37AF" w:rsidRPr="007311D0">
        <w:t xml:space="preserve"> through hegemonic channels mediated by politicians, public intellectuals, educational institutions, and established media outlets</w:t>
      </w:r>
      <w:r w:rsidR="00681286" w:rsidRPr="007311D0">
        <w:t xml:space="preserve">. On the other hand, there is </w:t>
      </w:r>
      <w:r w:rsidR="007F37AF" w:rsidRPr="007311D0">
        <w:t xml:space="preserve">an </w:t>
      </w:r>
      <w:r w:rsidR="007F37AF" w:rsidRPr="007311D0">
        <w:rPr>
          <w:i/>
          <w:iCs/>
        </w:rPr>
        <w:t>aggregative</w:t>
      </w:r>
      <w:r w:rsidR="007F37AF" w:rsidRPr="007311D0">
        <w:t xml:space="preserve"> </w:t>
      </w:r>
      <w:r w:rsidR="00807B89">
        <w:t>mainstream</w:t>
      </w:r>
      <w:r w:rsidR="007F37AF" w:rsidRPr="007311D0">
        <w:t xml:space="preserve">, denoting a volatile </w:t>
      </w:r>
      <w:r w:rsidR="00AF3EA8" w:rsidRPr="007311D0">
        <w:t>patchwork</w:t>
      </w:r>
      <w:r w:rsidR="007F37AF" w:rsidRPr="007311D0">
        <w:t xml:space="preserve"> of ideas and attitudes that occupy a broad spectrum of acceptability all the way to the boundaries of what is broadly considered taboo extremist</w:t>
      </w:r>
      <w:r w:rsidR="00327E16">
        <w:t xml:space="preserve"> ideas,</w:t>
      </w:r>
      <w:r w:rsidR="007F37AF" w:rsidRPr="007311D0">
        <w:t xml:space="preserve"> speech</w:t>
      </w:r>
      <w:r w:rsidR="00327E16">
        <w:t>,</w:t>
      </w:r>
      <w:r w:rsidR="007F37AF" w:rsidRPr="007311D0">
        <w:t xml:space="preserve"> and behaviour.</w:t>
      </w:r>
      <w:r w:rsidR="008F1E5D">
        <w:t xml:space="preserve"> To equate ‘the mainstream’ with a particular normative projection is to bestow upon it wishful meaning and undue stability </w:t>
      </w:r>
      <w:r w:rsidR="007F37AF" w:rsidRPr="007311D0">
        <w:t>that prevent a full appreciation</w:t>
      </w:r>
      <w:r w:rsidR="0045347C">
        <w:t xml:space="preserve"> of</w:t>
      </w:r>
      <w:r w:rsidR="007F37AF" w:rsidRPr="007311D0">
        <w:t xml:space="preserve"> its </w:t>
      </w:r>
      <w:r w:rsidR="005E086F">
        <w:t xml:space="preserve">heterogeneous and </w:t>
      </w:r>
      <w:r w:rsidR="007F37AF" w:rsidRPr="007311D0">
        <w:t xml:space="preserve">protean nature. </w:t>
      </w:r>
    </w:p>
    <w:p w14:paraId="681BB9D0" w14:textId="7A7E4EA0" w:rsidR="00460FD3" w:rsidRDefault="007F37AF" w:rsidP="00B60982">
      <w:pPr>
        <w:pStyle w:val="MainText"/>
      </w:pPr>
      <w:r w:rsidRPr="007311D0">
        <w:t xml:space="preserve">Fascist uncivil </w:t>
      </w:r>
      <w:r w:rsidR="0045347C">
        <w:t>ideas and discourses</w:t>
      </w:r>
      <w:r w:rsidRPr="007311D0">
        <w:t xml:space="preserve"> thrived on the indeterminate borderline</w:t>
      </w:r>
      <w:r w:rsidR="00B60982">
        <w:t xml:space="preserve"> </w:t>
      </w:r>
      <w:r w:rsidRPr="007311D0">
        <w:t>space</w:t>
      </w:r>
      <w:r w:rsidR="0045347C">
        <w:t>s</w:t>
      </w:r>
      <w:r w:rsidRPr="007311D0">
        <w:t xml:space="preserve"> between the normative</w:t>
      </w:r>
      <w:r w:rsidR="00946E48" w:rsidRPr="007311D0">
        <w:t xml:space="preserve"> </w:t>
      </w:r>
      <w:r w:rsidR="000F4A9D" w:rsidRPr="007311D0">
        <w:rPr>
          <w:rFonts w:cs="Times New Roman"/>
        </w:rPr>
        <w:t>‘</w:t>
      </w:r>
      <w:r w:rsidR="000F4A9D" w:rsidRPr="007311D0">
        <w:t>civili</w:t>
      </w:r>
      <w:r w:rsidR="00AF190E">
        <w:t>z</w:t>
      </w:r>
      <w:r w:rsidR="000F4A9D" w:rsidRPr="007311D0">
        <w:t>ing</w:t>
      </w:r>
      <w:r w:rsidR="000F4A9D" w:rsidRPr="007311D0">
        <w:rPr>
          <w:rFonts w:cs="Times New Roman"/>
        </w:rPr>
        <w:t>’</w:t>
      </w:r>
      <w:r w:rsidRPr="007311D0">
        <w:t xml:space="preserve"> mainstream fiction and an often </w:t>
      </w:r>
      <w:r w:rsidR="000F4A9D" w:rsidRPr="007311D0">
        <w:t>obfuscated</w:t>
      </w:r>
      <w:r w:rsidRPr="007311D0">
        <w:t xml:space="preserve"> cluster of uncivil impulses still </w:t>
      </w:r>
      <w:r w:rsidRPr="0045347C">
        <w:rPr>
          <w:iCs/>
        </w:rPr>
        <w:t>rooted</w:t>
      </w:r>
      <w:r w:rsidRPr="007311D0">
        <w:t xml:space="preserve"> in mainstream society, sustained by</w:t>
      </w:r>
      <w:r w:rsidR="008F1E5D">
        <w:t xml:space="preserve"> enduring </w:t>
      </w:r>
      <w:r w:rsidRPr="007311D0">
        <w:t>traditional beliefs, old stereotypes, and new anxieties.</w:t>
      </w:r>
      <w:r w:rsidR="00147917" w:rsidRPr="007311D0">
        <w:t xml:space="preserve"> </w:t>
      </w:r>
      <w:r w:rsidR="00323AA8">
        <w:t>These</w:t>
      </w:r>
      <w:r w:rsidR="00736394" w:rsidRPr="007311D0">
        <w:t xml:space="preserve"> grew</w:t>
      </w:r>
      <w:r w:rsidR="00323AA8">
        <w:t xml:space="preserve"> </w:t>
      </w:r>
      <w:r w:rsidR="00736394" w:rsidRPr="007311D0">
        <w:t xml:space="preserve">around </w:t>
      </w:r>
      <w:r w:rsidR="0045347C">
        <w:t>a</w:t>
      </w:r>
      <w:r w:rsidR="00736394" w:rsidRPr="007311D0">
        <w:t xml:space="preserve"> </w:t>
      </w:r>
      <w:r w:rsidR="0045347C">
        <w:t xml:space="preserve">profound </w:t>
      </w:r>
      <w:r w:rsidR="00736394" w:rsidRPr="007311D0">
        <w:t xml:space="preserve">lacuna of the </w:t>
      </w:r>
      <w:r w:rsidR="00736394" w:rsidRPr="007311D0">
        <w:rPr>
          <w:rFonts w:cs="Times New Roman"/>
        </w:rPr>
        <w:t>‘</w:t>
      </w:r>
      <w:r w:rsidR="00736394" w:rsidRPr="007311D0">
        <w:t>civili</w:t>
      </w:r>
      <w:r w:rsidR="00AF190E">
        <w:t>z</w:t>
      </w:r>
      <w:r w:rsidR="00736394" w:rsidRPr="007311D0">
        <w:t>ing process</w:t>
      </w:r>
      <w:r w:rsidR="00736394" w:rsidRPr="007311D0">
        <w:rPr>
          <w:rFonts w:cs="Times New Roman"/>
        </w:rPr>
        <w:t>’</w:t>
      </w:r>
      <w:r w:rsidR="0045347C">
        <w:t xml:space="preserve"> </w:t>
      </w:r>
      <w:r w:rsidR="00736394" w:rsidRPr="007311D0">
        <w:t xml:space="preserve">linked to the self-constitution of </w:t>
      </w:r>
      <w:r w:rsidR="002C0304">
        <w:t>‘</w:t>
      </w:r>
      <w:r w:rsidR="00736394" w:rsidRPr="007311D0">
        <w:t xml:space="preserve">the community as both an inclusive and an exclusive </w:t>
      </w:r>
      <w:r w:rsidR="0030353C">
        <w:t>imagined formation</w:t>
      </w:r>
      <w:r w:rsidR="00736394" w:rsidRPr="007311D0">
        <w:t xml:space="preserve">. As Mosse argued, it was with regard to </w:t>
      </w:r>
      <w:r w:rsidR="00A31932" w:rsidRPr="007311D0">
        <w:t xml:space="preserve">perceived </w:t>
      </w:r>
      <w:r w:rsidR="00736394" w:rsidRPr="007311D0">
        <w:t xml:space="preserve">otherness </w:t>
      </w:r>
      <w:r w:rsidR="00A31932" w:rsidRPr="007311D0">
        <w:t xml:space="preserve">that the thresholds of respectability were tested and then lowered at the same time that they were </w:t>
      </w:r>
      <w:r w:rsidR="00323AA8">
        <w:t xml:space="preserve">otherwise </w:t>
      </w:r>
      <w:r w:rsidR="00A31932" w:rsidRPr="007311D0">
        <w:t>re-affirmed vis-</w:t>
      </w:r>
      <w:r w:rsidR="00A31932" w:rsidRPr="007311D0">
        <w:rPr>
          <w:rFonts w:cs="Cambria"/>
        </w:rPr>
        <w:t>à</w:t>
      </w:r>
      <w:r w:rsidR="00A31932" w:rsidRPr="007311D0">
        <w:t>-vis the accepted</w:t>
      </w:r>
      <w:r w:rsidR="00F96DDB">
        <w:t xml:space="preserve"> </w:t>
      </w:r>
      <w:r w:rsidR="004C5470">
        <w:t>–</w:t>
      </w:r>
      <w:r w:rsidR="00F96DDB">
        <w:t xml:space="preserve"> </w:t>
      </w:r>
      <w:r w:rsidR="004C5470">
        <w:t>narrower -</w:t>
      </w:r>
      <w:r w:rsidR="00A31932" w:rsidRPr="007311D0">
        <w:t xml:space="preserve"> members</w:t>
      </w:r>
      <w:r w:rsidR="004C5470">
        <w:t>hip</w:t>
      </w:r>
      <w:r w:rsidR="00A31932" w:rsidRPr="007311D0">
        <w:t xml:space="preserve"> of the community.</w:t>
      </w:r>
      <w:r w:rsidR="00A31932" w:rsidRPr="007311D0">
        <w:rPr>
          <w:rStyle w:val="EndnoteReference"/>
        </w:rPr>
        <w:endnoteReference w:id="41"/>
      </w:r>
      <w:r w:rsidR="00A31932" w:rsidRPr="007311D0">
        <w:t xml:space="preserve"> </w:t>
      </w:r>
      <w:r w:rsidR="00643B9D">
        <w:t xml:space="preserve">Elias himself came to review this tension in his later work, talking of shifts in the ‘we-identity’ balance and the persistent appeal of </w:t>
      </w:r>
      <w:r w:rsidR="0030353C">
        <w:t>‘</w:t>
      </w:r>
      <w:r w:rsidR="00643B9D">
        <w:t>group self-love’</w:t>
      </w:r>
      <w:r w:rsidR="0030353C">
        <w:t xml:space="preserve"> manifesting itself as amplified exclusion and denigration of perceived </w:t>
      </w:r>
      <w:r w:rsidR="00C715E9">
        <w:t>others/</w:t>
      </w:r>
      <w:r w:rsidR="0030353C">
        <w:t>otherness.</w:t>
      </w:r>
      <w:r w:rsidR="0030353C">
        <w:rPr>
          <w:rStyle w:val="EndnoteReference"/>
        </w:rPr>
        <w:endnoteReference w:id="42"/>
      </w:r>
      <w:r w:rsidR="0030353C">
        <w:t xml:space="preserve"> </w:t>
      </w:r>
      <w:r w:rsidR="00C721E5">
        <w:t>Ex</w:t>
      </w:r>
      <w:r w:rsidR="00667AA2">
        <w:t>cessive hostility to a designated out-group was both resulting from</w:t>
      </w:r>
      <w:r w:rsidR="005712BD">
        <w:t>, and conducive to,</w:t>
      </w:r>
      <w:r w:rsidR="00667AA2">
        <w:t xml:space="preserve"> excessive</w:t>
      </w:r>
      <w:r w:rsidR="00EA41E2">
        <w:t xml:space="preserve"> </w:t>
      </w:r>
      <w:r w:rsidR="00EA41E2">
        <w:lastRenderedPageBreak/>
        <w:t>community</w:t>
      </w:r>
      <w:r w:rsidR="00667AA2">
        <w:t xml:space="preserve"> </w:t>
      </w:r>
      <w:r w:rsidR="00EA41E2">
        <w:t xml:space="preserve">self-love, </w:t>
      </w:r>
      <w:r w:rsidR="001557EC">
        <w:t xml:space="preserve">justified by the erection of a ‘rigid boundary between </w:t>
      </w:r>
      <w:r w:rsidR="00722801">
        <w:t>an inflated version of the self and the denigrated and abjected other’</w:t>
      </w:r>
      <w:r w:rsidR="00F84908">
        <w:t>.</w:t>
      </w:r>
      <w:r w:rsidR="000F005F">
        <w:rPr>
          <w:rStyle w:val="EndnoteReference"/>
        </w:rPr>
        <w:endnoteReference w:id="43"/>
      </w:r>
    </w:p>
    <w:p w14:paraId="082AC92F" w14:textId="1BBEC3ED" w:rsidR="00920441" w:rsidRPr="00323AA8" w:rsidRDefault="007F37AF" w:rsidP="00B60982">
      <w:pPr>
        <w:pStyle w:val="MainText"/>
      </w:pPr>
      <w:r w:rsidRPr="00D949D1">
        <w:t xml:space="preserve">The </w:t>
      </w:r>
      <w:r w:rsidR="00D949D1">
        <w:t>remarkable</w:t>
      </w:r>
      <w:r w:rsidR="00FF3700">
        <w:t xml:space="preserve"> surge</w:t>
      </w:r>
      <w:r w:rsidR="00D949D1">
        <w:t xml:space="preserve"> of </w:t>
      </w:r>
      <w:r w:rsidR="00B60982">
        <w:t xml:space="preserve">extreme </w:t>
      </w:r>
      <w:r w:rsidRPr="00D949D1">
        <w:t>collective disinhibition</w:t>
      </w:r>
      <w:r w:rsidR="007B29AA">
        <w:t xml:space="preserve"> </w:t>
      </w:r>
      <w:r w:rsidR="00153F15" w:rsidRPr="00D949D1">
        <w:t>towards particular groups of others</w:t>
      </w:r>
      <w:r w:rsidRPr="00D949D1">
        <w:t xml:space="preserve"> across </w:t>
      </w:r>
      <w:r w:rsidR="0030353C" w:rsidRPr="00D949D1">
        <w:t xml:space="preserve">interwar </w:t>
      </w:r>
      <w:r w:rsidRPr="00D949D1">
        <w:t xml:space="preserve">Europe </w:t>
      </w:r>
      <w:r w:rsidR="00B60982">
        <w:t>highlights</w:t>
      </w:r>
      <w:r w:rsidRPr="00D949D1">
        <w:t xml:space="preserve"> the need </w:t>
      </w:r>
      <w:r w:rsidR="00920441">
        <w:t xml:space="preserve">for a more nuanced understanding of </w:t>
      </w:r>
      <w:r w:rsidR="00323AA8">
        <w:t xml:space="preserve">the place of </w:t>
      </w:r>
      <w:r w:rsidR="00920441">
        <w:t>fascist uncivility in the overall Eliasian scheme of the ‘civili</w:t>
      </w:r>
      <w:r w:rsidR="00AF190E">
        <w:t>z</w:t>
      </w:r>
      <w:r w:rsidR="00920441">
        <w:t xml:space="preserve">ing process’. In the following sections, I review two </w:t>
      </w:r>
      <w:r w:rsidR="00B60982">
        <w:t xml:space="preserve">key episodes of uncivil backlash in the interwar years – </w:t>
      </w:r>
      <w:r w:rsidR="00BA19E7">
        <w:t xml:space="preserve">first, </w:t>
      </w:r>
      <w:r w:rsidR="00B60982">
        <w:t>the agitation against liberal minority protection stipulations in the 1920s; and</w:t>
      </w:r>
      <w:r w:rsidR="00BA19E7">
        <w:t xml:space="preserve"> second,</w:t>
      </w:r>
      <w:r w:rsidR="00B60982">
        <w:t xml:space="preserve"> the violent persecution of the Jews in the 1930s and </w:t>
      </w:r>
      <w:r w:rsidR="00FF081C">
        <w:t>WW2</w:t>
      </w:r>
      <w:r w:rsidR="00B60982">
        <w:t xml:space="preserve"> years. </w:t>
      </w:r>
      <w:r w:rsidR="00FF081C">
        <w:t xml:space="preserve">Although very different, these two episodes expressed the same </w:t>
      </w:r>
      <w:r w:rsidR="00323AA8">
        <w:t>rejection</w:t>
      </w:r>
      <w:r w:rsidR="00FF081C">
        <w:t xml:space="preserve"> </w:t>
      </w:r>
      <w:r w:rsidR="00323AA8">
        <w:t>of</w:t>
      </w:r>
      <w:r w:rsidR="00FF081C">
        <w:t xml:space="preserve"> </w:t>
      </w:r>
      <w:r w:rsidR="00BA19E7">
        <w:t xml:space="preserve">the </w:t>
      </w:r>
      <w:r w:rsidR="00FF081C">
        <w:t>universali</w:t>
      </w:r>
      <w:r w:rsidR="00AF190E">
        <w:t>z</w:t>
      </w:r>
      <w:r w:rsidR="00FF081C">
        <w:t>ing canons</w:t>
      </w:r>
      <w:r w:rsidR="00BA19E7">
        <w:t xml:space="preserve"> of the ‘liberal moment’</w:t>
      </w:r>
      <w:r w:rsidR="00B06CEA">
        <w:t xml:space="preserve"> and an emphatic affirmation of the </w:t>
      </w:r>
      <w:r w:rsidR="008D5D5C">
        <w:t xml:space="preserve">yawning </w:t>
      </w:r>
      <w:r w:rsidR="00F821BC">
        <w:t xml:space="preserve">gap between </w:t>
      </w:r>
      <w:r w:rsidR="00B06CEA">
        <w:t xml:space="preserve">aggregative </w:t>
      </w:r>
      <w:r w:rsidR="00F821BC">
        <w:t xml:space="preserve">and normative </w:t>
      </w:r>
      <w:r w:rsidR="00B06CEA">
        <w:t>mainstrea</w:t>
      </w:r>
      <w:r w:rsidR="008D5D5C">
        <w:t>m</w:t>
      </w:r>
      <w:r w:rsidR="00FF081C">
        <w:t xml:space="preserve">. They also </w:t>
      </w:r>
      <w:r w:rsidR="00EA4CF6">
        <w:t xml:space="preserve">echoed </w:t>
      </w:r>
      <w:r w:rsidR="004A063E">
        <w:t>a similar</w:t>
      </w:r>
      <w:r w:rsidR="00544DB7">
        <w:t xml:space="preserve"> </w:t>
      </w:r>
      <w:r w:rsidR="0025253A">
        <w:t>(</w:t>
      </w:r>
      <w:r w:rsidR="00544DB7">
        <w:t>deep and</w:t>
      </w:r>
      <w:r w:rsidR="00FF081C">
        <w:t xml:space="preserve"> widespread</w:t>
      </w:r>
      <w:r w:rsidR="0025253A">
        <w:t>)</w:t>
      </w:r>
      <w:r w:rsidR="00544DB7">
        <w:t xml:space="preserve"> </w:t>
      </w:r>
      <w:r w:rsidR="00FF081C">
        <w:t>desire for a radical re-conceptuali</w:t>
      </w:r>
      <w:r w:rsidR="00AF190E">
        <w:t>z</w:t>
      </w:r>
      <w:r w:rsidR="00FF081C">
        <w:t>ation of the ‘we-identity’</w:t>
      </w:r>
      <w:r w:rsidR="0025253A">
        <w:t xml:space="preserve"> - </w:t>
      </w:r>
      <w:r w:rsidR="00FF081C">
        <w:t>the first by resisting/reversing its (liberal) extension to outsiders; and the second by promoting a project of aggressive redemption of the community against perceived threatening others.</w:t>
      </w:r>
      <w:r w:rsidR="00BA19E7">
        <w:t xml:space="preserve"> </w:t>
      </w:r>
      <w:r w:rsidR="00323AA8" w:rsidRPr="00323AA8">
        <w:t>Individually and in sequence</w:t>
      </w:r>
      <w:r w:rsidR="00BA19E7" w:rsidRPr="00323AA8">
        <w:t>, th</w:t>
      </w:r>
      <w:r w:rsidR="00323AA8" w:rsidRPr="00323AA8">
        <w:t>ese two episodes</w:t>
      </w:r>
      <w:r w:rsidR="00BA19E7" w:rsidRPr="00323AA8">
        <w:t xml:space="preserve"> became principal arenas of contestation and transgression in which fascist input and agency </w:t>
      </w:r>
      <w:r w:rsidR="004A063E">
        <w:t>proved</w:t>
      </w:r>
      <w:r w:rsidR="00BA19E7" w:rsidRPr="00323AA8">
        <w:t xml:space="preserve"> </w:t>
      </w:r>
      <w:r w:rsidR="00323AA8">
        <w:t>decisive</w:t>
      </w:r>
      <w:r w:rsidR="00BA19E7" w:rsidRPr="00323AA8">
        <w:t xml:space="preserve">. </w:t>
      </w:r>
    </w:p>
    <w:p w14:paraId="6C74BC0E" w14:textId="77777777" w:rsidR="00BA19E7" w:rsidRDefault="00BA19E7" w:rsidP="007311D0">
      <w:pPr>
        <w:pStyle w:val="MainText"/>
      </w:pPr>
    </w:p>
    <w:p w14:paraId="555F56D3" w14:textId="77777777" w:rsidR="00BA19E7" w:rsidRPr="007311D0" w:rsidRDefault="00BA19E7" w:rsidP="007311D0">
      <w:pPr>
        <w:pStyle w:val="MainText"/>
      </w:pPr>
    </w:p>
    <w:p w14:paraId="4592D2AA" w14:textId="77777777" w:rsidR="007F37AF" w:rsidRPr="00153F15" w:rsidRDefault="007F37AF" w:rsidP="00C131EE">
      <w:pPr>
        <w:pStyle w:val="Heading2"/>
      </w:pPr>
      <w:r w:rsidRPr="00153F15">
        <w:lastRenderedPageBreak/>
        <w:t>Minority protection</w:t>
      </w:r>
      <w:r w:rsidR="00C131EE">
        <w:t xml:space="preserve"> in post-WW1 Europe</w:t>
      </w:r>
      <w:r w:rsidR="00897250" w:rsidRPr="00153F15">
        <w:t xml:space="preserve">: an </w:t>
      </w:r>
      <w:r w:rsidRPr="00153F15">
        <w:t xml:space="preserve">imposed </w:t>
      </w:r>
      <w:r w:rsidR="00897250" w:rsidRPr="00153F15">
        <w:t xml:space="preserve">liberal </w:t>
      </w:r>
      <w:r w:rsidRPr="00153F15">
        <w:t>taboo and its discontents</w:t>
      </w:r>
    </w:p>
    <w:p w14:paraId="2CA8A0D2" w14:textId="5FBEF041" w:rsidR="00BE4304" w:rsidRPr="007311D0" w:rsidRDefault="007F37AF" w:rsidP="007311D0">
      <w:pPr>
        <w:pStyle w:val="MainText"/>
      </w:pPr>
      <w:r w:rsidRPr="007311D0">
        <w:t>The interwar period was marked by a striking paradox. On the one hand, in the wake of WW1 liberalism extended its reach across Europe, with a number of new states that succeeded the collapsed empires moving along the path</w:t>
      </w:r>
      <w:r w:rsidR="00D1264D">
        <w:t xml:space="preserve"> </w:t>
      </w:r>
      <w:bookmarkStart w:id="8" w:name="_GoBack"/>
      <w:bookmarkEnd w:id="8"/>
      <w:r w:rsidRPr="007311D0">
        <w:t>of democracy and enshrining an extended set of liberal rights in new</w:t>
      </w:r>
      <w:r w:rsidR="007C1B31">
        <w:t xml:space="preserve"> national</w:t>
      </w:r>
      <w:r w:rsidRPr="007311D0">
        <w:t xml:space="preserve"> constitutions. On the other hand, </w:t>
      </w:r>
      <w:r w:rsidR="00DD04E3">
        <w:t xml:space="preserve">from the first moment </w:t>
      </w:r>
      <w:r w:rsidRPr="007311D0">
        <w:t xml:space="preserve">the fundamental assumptions of the liberal </w:t>
      </w:r>
      <w:r w:rsidR="0096588A" w:rsidRPr="007311D0">
        <w:t>political canon</w:t>
      </w:r>
      <w:r w:rsidRPr="007311D0">
        <w:t xml:space="preserve"> came under </w:t>
      </w:r>
      <w:r w:rsidR="00EF5B66">
        <w:t xml:space="preserve">ferocious and </w:t>
      </w:r>
      <w:r w:rsidRPr="007311D0">
        <w:t xml:space="preserve">sustained </w:t>
      </w:r>
      <w:r w:rsidR="00EF5B66">
        <w:t>attack</w:t>
      </w:r>
      <w:r w:rsidRPr="007311D0">
        <w:t xml:space="preserve"> </w:t>
      </w:r>
      <w:r w:rsidR="00EF5B66">
        <w:t xml:space="preserve">by </w:t>
      </w:r>
      <w:r w:rsidRPr="007311D0">
        <w:t xml:space="preserve">both the revolutionary left and the hyper-nationalist </w:t>
      </w:r>
      <w:r w:rsidRPr="007311D0">
        <w:rPr>
          <w:rFonts w:cs="Times New Roman"/>
        </w:rPr>
        <w:t>‘</w:t>
      </w:r>
      <w:r w:rsidRPr="007311D0">
        <w:t>old</w:t>
      </w:r>
      <w:r w:rsidRPr="007311D0">
        <w:rPr>
          <w:rFonts w:cs="Times New Roman"/>
        </w:rPr>
        <w:t>’</w:t>
      </w:r>
      <w:r w:rsidRPr="007311D0">
        <w:t xml:space="preserve"> and especially </w:t>
      </w:r>
      <w:r w:rsidRPr="007311D0">
        <w:rPr>
          <w:rFonts w:cs="Times New Roman"/>
        </w:rPr>
        <w:t>‘</w:t>
      </w:r>
      <w:r w:rsidRPr="007311D0">
        <w:t>new</w:t>
      </w:r>
      <w:r w:rsidRPr="007311D0">
        <w:rPr>
          <w:rFonts w:cs="Times New Roman"/>
        </w:rPr>
        <w:t>’</w:t>
      </w:r>
      <w:r w:rsidRPr="007311D0">
        <w:t xml:space="preserve"> right.</w:t>
      </w:r>
      <w:r w:rsidRPr="007311D0">
        <w:rPr>
          <w:rStyle w:val="EndnoteReference"/>
        </w:rPr>
        <w:endnoteReference w:id="44"/>
      </w:r>
      <w:r w:rsidRPr="007311D0">
        <w:t xml:space="preserve"> Right-wing</w:t>
      </w:r>
      <w:r w:rsidR="00E3594B" w:rsidRPr="007311D0">
        <w:t xml:space="preserve"> nationalist</w:t>
      </w:r>
      <w:r w:rsidRPr="007311D0">
        <w:t xml:space="preserve"> resentment at the post-1918 liberal </w:t>
      </w:r>
      <w:r w:rsidR="00153F15">
        <w:t>order</w:t>
      </w:r>
      <w:r w:rsidRPr="007311D0">
        <w:t xml:space="preserve"> targeted a series of political and social innovations, such as the institutions of global cooperation, the extension of parliamentary rule, the </w:t>
      </w:r>
      <w:r w:rsidR="00184212">
        <w:t>codification</w:t>
      </w:r>
      <w:r w:rsidRPr="007311D0">
        <w:t xml:space="preserve"> of a wider set of liberal rights into the constitutional order of an increasing circle of countries, and the legal protection offered to ethnic and religious minorities.</w:t>
      </w:r>
      <w:r w:rsidR="00153F15">
        <w:t xml:space="preserve"> At the heart, however, of all these expressions of backlash was a </w:t>
      </w:r>
      <w:r w:rsidR="002B5537">
        <w:t>fundamental</w:t>
      </w:r>
      <w:r w:rsidR="00153F15">
        <w:t xml:space="preserve"> unease with the attempted </w:t>
      </w:r>
      <w:r w:rsidR="002B5537">
        <w:t xml:space="preserve">inclusive </w:t>
      </w:r>
      <w:r w:rsidR="00153F15">
        <w:t>reconstitution of the ‘we-identity’</w:t>
      </w:r>
      <w:r w:rsidRPr="007311D0">
        <w:t xml:space="preserve"> </w:t>
      </w:r>
      <w:r w:rsidR="00153F15">
        <w:t xml:space="preserve">and a desire to </w:t>
      </w:r>
      <w:r w:rsidR="002B5537">
        <w:t>reverse, even violently,</w:t>
      </w:r>
      <w:r w:rsidR="00153F15">
        <w:t xml:space="preserve"> </w:t>
      </w:r>
      <w:r w:rsidR="002B5537">
        <w:t xml:space="preserve">these and </w:t>
      </w:r>
      <w:r w:rsidR="00F87612">
        <w:t xml:space="preserve">other </w:t>
      </w:r>
      <w:r w:rsidR="002B5537">
        <w:t xml:space="preserve">earlier changes to that effect. </w:t>
      </w:r>
    </w:p>
    <w:p w14:paraId="5C2E62B1" w14:textId="332E07B7" w:rsidR="007F37AF" w:rsidRPr="007311D0" w:rsidRDefault="002B5537" w:rsidP="007311D0">
      <w:pPr>
        <w:pStyle w:val="MainText"/>
      </w:pPr>
      <w:r>
        <w:t xml:space="preserve">These tensions were particularly felt in those new or relatively recently formed states where liberal canons held weak normative status and </w:t>
      </w:r>
      <w:r w:rsidR="00385453">
        <w:t xml:space="preserve">newly </w:t>
      </w:r>
      <w:r>
        <w:t>inflated nationalist aspirations clashed more violently with perceived external liberal impositions in the wake of WW1. In Romania, t</w:t>
      </w:r>
      <w:r w:rsidR="007F37AF" w:rsidRPr="007311D0">
        <w:t>he perceived imposition of a</w:t>
      </w:r>
      <w:r w:rsidR="00AE593C">
        <w:t xml:space="preserve"> </w:t>
      </w:r>
      <w:r w:rsidR="007F37AF" w:rsidRPr="007311D0">
        <w:t xml:space="preserve">model of </w:t>
      </w:r>
      <w:r w:rsidR="00AE593C">
        <w:t xml:space="preserve">full </w:t>
      </w:r>
      <w:r w:rsidR="007F37AF" w:rsidRPr="007311D0">
        <w:t>parliamentary governance as an integral part of the postwar order in central Europe touched on a much deeper cultural and political faultline between supporters of western moderni</w:t>
      </w:r>
      <w:r w:rsidR="00606542">
        <w:t>z</w:t>
      </w:r>
      <w:r w:rsidR="007F37AF" w:rsidRPr="007311D0">
        <w:t>ation and those advocating a revival of distinct Romanian traditions as an alternative model for the country.</w:t>
      </w:r>
      <w:r w:rsidR="007F37AF" w:rsidRPr="007311D0">
        <w:rPr>
          <w:rStyle w:val="EndnoteReference"/>
        </w:rPr>
        <w:endnoteReference w:id="45"/>
      </w:r>
      <w:r w:rsidR="007F37AF" w:rsidRPr="007311D0">
        <w:t xml:space="preserve"> With the Liberals emerging as the biggest political party in the post-1918 period, the same debate re-emerged, this time focusing symbolically on the issue of a new constitution for the Greater Romania created by the </w:t>
      </w:r>
      <w:r w:rsidR="00BE4304" w:rsidRPr="007311D0">
        <w:t xml:space="preserve">post-WW1 </w:t>
      </w:r>
      <w:r w:rsidR="007F37AF" w:rsidRPr="007311D0">
        <w:t xml:space="preserve">peace treaties. Invited to contribute to the public debate about the form of the future constitution in 1922, the historian and nationalist politician Nicolae Iorga argued against </w:t>
      </w:r>
      <w:r w:rsidR="00843D12">
        <w:t>what he described as an</w:t>
      </w:r>
      <w:r w:rsidR="007F37AF" w:rsidRPr="007311D0">
        <w:t xml:space="preserve"> uncritical import of </w:t>
      </w:r>
      <w:r w:rsidR="007F37AF" w:rsidRPr="007311D0">
        <w:rPr>
          <w:rFonts w:cs="Times New Roman"/>
        </w:rPr>
        <w:t>‘</w:t>
      </w:r>
      <w:r w:rsidR="007F37AF" w:rsidRPr="007311D0">
        <w:t>ready-made</w:t>
      </w:r>
      <w:r w:rsidR="007F37AF" w:rsidRPr="007311D0">
        <w:rPr>
          <w:rFonts w:cs="Times New Roman"/>
        </w:rPr>
        <w:t>’</w:t>
      </w:r>
      <w:r w:rsidR="007F37AF" w:rsidRPr="007311D0">
        <w:t xml:space="preserve"> foreign legal and political models, </w:t>
      </w:r>
      <w:r w:rsidR="00606542">
        <w:t>making the case</w:t>
      </w:r>
      <w:r w:rsidR="007F37AF" w:rsidRPr="007311D0">
        <w:t xml:space="preserve"> instead for the primacy of Romanian traditions and unwritten laws in determining the constitutional order of Greater Romania.</w:t>
      </w:r>
      <w:r w:rsidR="007F37AF" w:rsidRPr="007311D0">
        <w:rPr>
          <w:rStyle w:val="EndnoteReference"/>
        </w:rPr>
        <w:endnoteReference w:id="46"/>
      </w:r>
      <w:r w:rsidR="007F37AF" w:rsidRPr="007311D0">
        <w:t xml:space="preserve"> However, by far the most controversial stipulation of the new constitution concerned the introduction of the non-discrimination clause (Article 5), which stated that </w:t>
      </w:r>
      <w:r w:rsidR="00897250" w:rsidRPr="007311D0">
        <w:rPr>
          <w:rFonts w:cs="Times New Roman"/>
        </w:rPr>
        <w:t>‘</w:t>
      </w:r>
      <w:r w:rsidR="007F37AF" w:rsidRPr="007311D0">
        <w:t>Romanians, irrespective of ethnic origin, language or religion shall enjoy freedom of conscience, of education, of press, of assembly, of association; and all</w:t>
      </w:r>
      <w:r w:rsidR="007F37AF" w:rsidRPr="007311D0">
        <w:rPr>
          <w:rStyle w:val="EndnoteReference"/>
        </w:rPr>
        <w:endnoteReference w:id="47"/>
      </w:r>
      <w:r w:rsidR="007F37AF" w:rsidRPr="007311D0">
        <w:t xml:space="preserve"> freedoms and rights established by law</w:t>
      </w:r>
      <w:r w:rsidR="00897250" w:rsidRPr="007311D0">
        <w:rPr>
          <w:rFonts w:cs="Times New Roman"/>
        </w:rPr>
        <w:t>’</w:t>
      </w:r>
      <w:r w:rsidR="007F37AF" w:rsidRPr="007311D0">
        <w:t>.</w:t>
      </w:r>
      <w:r w:rsidR="007F37AF" w:rsidRPr="007311D0">
        <w:rPr>
          <w:rStyle w:val="EndnoteReference"/>
        </w:rPr>
        <w:endnoteReference w:id="48"/>
      </w:r>
      <w:r w:rsidR="007F37AF" w:rsidRPr="007311D0">
        <w:t xml:space="preserve"> Such a stipulation was particularly sensitive because the </w:t>
      </w:r>
      <w:r w:rsidR="003B6F04">
        <w:t xml:space="preserve">considerable </w:t>
      </w:r>
      <w:r w:rsidR="007F37AF" w:rsidRPr="007311D0">
        <w:t xml:space="preserve"> territorial gains awarded to Romania by the Treaty of St Germain in 1919 involved a significant number of new minority groups. </w:t>
      </w:r>
      <w:r w:rsidR="00F3154C">
        <w:t>Also covered</w:t>
      </w:r>
      <w:r w:rsidR="007F37AF" w:rsidRPr="007311D0">
        <w:t xml:space="preserve"> by the clause</w:t>
      </w:r>
      <w:r w:rsidR="007E279C">
        <w:t>,</w:t>
      </w:r>
      <w:r w:rsidR="007F37AF" w:rsidRPr="007311D0">
        <w:t xml:space="preserve"> though not explicitly mentioned in the constitution</w:t>
      </w:r>
      <w:r w:rsidR="007E279C">
        <w:t>,</w:t>
      </w:r>
      <w:r w:rsidR="007F37AF" w:rsidRPr="007311D0">
        <w:t xml:space="preserve"> was the particular status of the country</w:t>
      </w:r>
      <w:r w:rsidR="007F37AF" w:rsidRPr="007311D0">
        <w:rPr>
          <w:rFonts w:cs="Times New Roman"/>
        </w:rPr>
        <w:t>’</w:t>
      </w:r>
      <w:r w:rsidR="007F37AF" w:rsidRPr="007311D0">
        <w:t>s Jewish minority. Back in 1918, the Romanian delegation under prime minister Ion Bra</w:t>
      </w:r>
      <w:r w:rsidR="007F37AF" w:rsidRPr="007311D0">
        <w:rPr>
          <w:rFonts w:ascii="Arial" w:hAnsi="Arial" w:cs="Arial"/>
        </w:rPr>
        <w:t>̆</w:t>
      </w:r>
      <w:r w:rsidR="007F37AF" w:rsidRPr="007311D0">
        <w:t>tianu had objected strenuously to the condition of accepting the treaty</w:t>
      </w:r>
      <w:r w:rsidR="007F37AF" w:rsidRPr="007311D0">
        <w:rPr>
          <w:rFonts w:cs="Times New Roman"/>
        </w:rPr>
        <w:t>’</w:t>
      </w:r>
      <w:r w:rsidR="007F37AF" w:rsidRPr="007311D0">
        <w:t xml:space="preserve">s minority protection clause. </w:t>
      </w:r>
      <w:r>
        <w:t>Bra</w:t>
      </w:r>
      <w:r>
        <w:rPr>
          <w:rFonts w:ascii="Arial" w:hAnsi="Arial" w:cs="Arial"/>
        </w:rPr>
        <w:t>̆</w:t>
      </w:r>
      <w:r>
        <w:t xml:space="preserve">tianu </w:t>
      </w:r>
      <w:r w:rsidR="007F37AF" w:rsidRPr="007311D0">
        <w:t>reportedly stormed out of the negotiations in angry protest when he was presented with the demand for granting full citizenship to almost all Romanian Jews, including those significant numbers coming from the newly awarded territories.</w:t>
      </w:r>
      <w:r w:rsidR="007F37AF" w:rsidRPr="007311D0">
        <w:rPr>
          <w:rStyle w:val="EndnoteReference"/>
        </w:rPr>
        <w:endnoteReference w:id="49"/>
      </w:r>
      <w:r w:rsidR="007F37AF" w:rsidRPr="007311D0">
        <w:t xml:space="preserve"> The imposition of an explicit commitment to Jewish emancipation was </w:t>
      </w:r>
      <w:r>
        <w:t xml:space="preserve">also </w:t>
      </w:r>
      <w:r w:rsidR="007F37AF" w:rsidRPr="007311D0">
        <w:t>fiercely contested by a broad spectrum of politicians from the old conservative right to far more radical hyper-nationalist figures such as Alexandru C. Cuza. Speaking for hours in front of the parliamentary assembly, Cuza painted an apocalyptic picture of the future with the alleged Jewish over-representation in the country</w:t>
      </w:r>
      <w:r w:rsidR="007F37AF" w:rsidRPr="007311D0">
        <w:rPr>
          <w:rFonts w:cs="Times New Roman"/>
        </w:rPr>
        <w:t>’</w:t>
      </w:r>
      <w:r w:rsidR="007F37AF" w:rsidRPr="007311D0">
        <w:t xml:space="preserve">s economic, social, and cultural life causing the terminal decline of Romanian identity and </w:t>
      </w:r>
      <w:r>
        <w:t xml:space="preserve">of the sovereign </w:t>
      </w:r>
      <w:r w:rsidR="007F37AF" w:rsidRPr="007311D0">
        <w:t>character of the state.</w:t>
      </w:r>
      <w:r w:rsidR="00147917" w:rsidRPr="007311D0">
        <w:rPr>
          <w:rStyle w:val="EndnoteReference"/>
        </w:rPr>
        <w:endnoteReference w:id="50"/>
      </w:r>
      <w:r w:rsidR="007F37AF" w:rsidRPr="007311D0">
        <w:t xml:space="preserve"> </w:t>
      </w:r>
    </w:p>
    <w:p w14:paraId="7A8D084C" w14:textId="5DA85E21" w:rsidR="007F37AF" w:rsidRPr="007311D0" w:rsidRDefault="007F37AF" w:rsidP="007311D0">
      <w:pPr>
        <w:pStyle w:val="MainText"/>
      </w:pPr>
      <w:r w:rsidRPr="007311D0">
        <w:t>The widespread reaction to the</w:t>
      </w:r>
      <w:r w:rsidR="0000364A">
        <w:t xml:space="preserve"> minority</w:t>
      </w:r>
      <w:r w:rsidRPr="007311D0">
        <w:t xml:space="preserve"> provisions of the new constitution in Romania fell on a particularly fertile soil of exclusionary nativism and violent anti-semitism with intellectual roots going back to the nineteenth century.</w:t>
      </w:r>
      <w:r w:rsidR="0000364A">
        <w:t xml:space="preserve"> </w:t>
      </w:r>
      <w:r w:rsidRPr="007311D0">
        <w:t xml:space="preserve">Universities in particular became symbolic battlegrounds in 1920-23, where forces of a </w:t>
      </w:r>
      <w:r w:rsidRPr="007311D0">
        <w:rPr>
          <w:rFonts w:cs="Times New Roman"/>
        </w:rPr>
        <w:t>‘</w:t>
      </w:r>
      <w:r w:rsidRPr="007311D0">
        <w:t>new</w:t>
      </w:r>
      <w:r w:rsidRPr="007311D0">
        <w:rPr>
          <w:rFonts w:cs="Times New Roman"/>
        </w:rPr>
        <w:t>’</w:t>
      </w:r>
      <w:r w:rsidRPr="007311D0">
        <w:t xml:space="preserve"> hyper-nationalist right, with Cuza as the paternal intellectual figurehead and the young Corneliu Zelea Codreanu (future leader of the fascist Legion of the Archangel Michael and the Iron Guard) as the rising star of the movement, openly demand</w:t>
      </w:r>
      <w:r w:rsidR="00DE69F2">
        <w:t>ing</w:t>
      </w:r>
      <w:r w:rsidRPr="007311D0">
        <w:t xml:space="preserve"> the re-introduction of exclusionary measures against Romanian Jews as the first step towards disemancipation and eventual expulsion from the Romanian territories.</w:t>
      </w:r>
      <w:r w:rsidRPr="007311D0">
        <w:rPr>
          <w:rStyle w:val="EndnoteReference"/>
        </w:rPr>
        <w:endnoteReference w:id="51"/>
      </w:r>
      <w:r w:rsidRPr="007311D0">
        <w:t xml:space="preserve"> When the constitution was finally approved in March 1923, Cuza moved the battle against liberalism and Jewish emancipation into the official political domain with the formation of the League of National Christian Defence</w:t>
      </w:r>
      <w:r w:rsidR="00C12AB7">
        <w:t xml:space="preserve">. This set </w:t>
      </w:r>
      <w:r w:rsidRPr="007311D0">
        <w:t xml:space="preserve">off a new political dynamic for the Romanian </w:t>
      </w:r>
      <w:r w:rsidRPr="007311D0">
        <w:rPr>
          <w:rFonts w:cs="Times New Roman"/>
        </w:rPr>
        <w:t>‘</w:t>
      </w:r>
      <w:r w:rsidRPr="007311D0">
        <w:t>new</w:t>
      </w:r>
      <w:r w:rsidRPr="007311D0">
        <w:rPr>
          <w:rFonts w:cs="Times New Roman"/>
        </w:rPr>
        <w:t>’</w:t>
      </w:r>
      <w:r w:rsidRPr="007311D0">
        <w:t xml:space="preserve"> right that would lead to the radicali</w:t>
      </w:r>
      <w:r w:rsidR="00FC7FB1">
        <w:t>z</w:t>
      </w:r>
      <w:r w:rsidRPr="007311D0">
        <w:t xml:space="preserve">ation of the </w:t>
      </w:r>
      <w:r w:rsidRPr="007311D0">
        <w:rPr>
          <w:rFonts w:cs="Times New Roman"/>
        </w:rPr>
        <w:t>‘</w:t>
      </w:r>
      <w:r w:rsidRPr="007311D0">
        <w:t>generation of 1922</w:t>
      </w:r>
      <w:r w:rsidRPr="007311D0">
        <w:rPr>
          <w:rFonts w:cs="Times New Roman"/>
        </w:rPr>
        <w:t>’</w:t>
      </w:r>
      <w:r w:rsidRPr="007311D0">
        <w:t xml:space="preserve"> and the emergence of a distinctly violent, activist form of Romanian fascism in Codreanu</w:t>
      </w:r>
      <w:r w:rsidRPr="007311D0">
        <w:rPr>
          <w:rFonts w:cs="Times New Roman"/>
        </w:rPr>
        <w:t>’</w:t>
      </w:r>
      <w:r w:rsidRPr="007311D0">
        <w:t>s Iron Guard.</w:t>
      </w:r>
      <w:r w:rsidRPr="007311D0">
        <w:rPr>
          <w:rStyle w:val="EndnoteReference"/>
        </w:rPr>
        <w:endnoteReference w:id="52"/>
      </w:r>
    </w:p>
    <w:p w14:paraId="0F845050" w14:textId="4BBFFD96" w:rsidR="007F37AF" w:rsidRPr="007311D0" w:rsidRDefault="007F37AF" w:rsidP="007311D0">
      <w:pPr>
        <w:pStyle w:val="MainText"/>
      </w:pPr>
      <w:r w:rsidRPr="007311D0">
        <w:t xml:space="preserve">The issue of minority protection was fiercely contested by another country at the peace negotiations in Paris. Poland, a new state arising out of the </w:t>
      </w:r>
      <w:r w:rsidR="00E358E4">
        <w:t xml:space="preserve">territorial and political </w:t>
      </w:r>
      <w:r w:rsidRPr="007311D0">
        <w:t xml:space="preserve">vacuum caused by World War I, was singled out for a separate Minorities Treaty that included </w:t>
      </w:r>
      <w:r w:rsidR="00920108">
        <w:t>a</w:t>
      </w:r>
      <w:r w:rsidRPr="007311D0">
        <w:t xml:space="preserve"> </w:t>
      </w:r>
      <w:r w:rsidR="00920108">
        <w:t>positive</w:t>
      </w:r>
      <w:r w:rsidRPr="007311D0">
        <w:t xml:space="preserve"> commitment to non-discrimination of any group. Protection of the country</w:t>
      </w:r>
      <w:r w:rsidRPr="007311D0">
        <w:rPr>
          <w:rFonts w:cs="Times New Roman"/>
        </w:rPr>
        <w:t>’</w:t>
      </w:r>
      <w:r w:rsidRPr="007311D0">
        <w:t>s sizeable Jewish minority was explicitly mentioned in the treaty, after pressure from the Entente powers to introduce legal guarantees</w:t>
      </w:r>
      <w:r w:rsidR="003A0D91">
        <w:t xml:space="preserve"> for the Jews</w:t>
      </w:r>
      <w:r w:rsidRPr="007311D0">
        <w:t xml:space="preserve"> against a backdrop of anti-Jewish pogroms in Poland</w:t>
      </w:r>
      <w:r w:rsidRPr="007311D0">
        <w:rPr>
          <w:rFonts w:cs="Times New Roman"/>
        </w:rPr>
        <w:t>’</w:t>
      </w:r>
      <w:r w:rsidRPr="007311D0">
        <w:t>s eastern border during 1918-19.</w:t>
      </w:r>
      <w:r w:rsidRPr="007311D0">
        <w:rPr>
          <w:rStyle w:val="EndnoteReference"/>
        </w:rPr>
        <w:endnoteReference w:id="53"/>
      </w:r>
      <w:r w:rsidRPr="007311D0">
        <w:t xml:space="preserve"> The additional provision of legal guarantee and oversight of minority rights enshrined in the treaty by the League of Nations added further fuel to the Polish impression of an onerous external imposition. The Polish delegation in Paris protested that both the separate minority treaty and the enforced stipulations about Jews amounted to unfair and discriminatory treatment directed at a sovereign state.</w:t>
      </w:r>
      <w:r w:rsidRPr="007311D0">
        <w:rPr>
          <w:rStyle w:val="EndnoteReference"/>
        </w:rPr>
        <w:endnoteReference w:id="54"/>
      </w:r>
      <w:r w:rsidRPr="007311D0">
        <w:t xml:space="preserve"> In the end, they too run out of options in the face of concerted Entente support for the Wilsonian programme of minority self-determination. The Minority Treaty was eventually signed in June 1919 and its minority protection provisions found their way in the new liberal constitution of 1921. Its provisions, however, and the perceived affront of external imposition meant that its principles would continue to be fiercely resented and contested both </w:t>
      </w:r>
      <w:r w:rsidR="00AF2C35">
        <w:t xml:space="preserve">by </w:t>
      </w:r>
      <w:r w:rsidRPr="007311D0">
        <w:t xml:space="preserve">the Polish nationalist right and significant sectors of the ethnic Polish </w:t>
      </w:r>
      <w:r w:rsidR="0000364A">
        <w:t xml:space="preserve">mainstream </w:t>
      </w:r>
      <w:r w:rsidRPr="007311D0">
        <w:t>public opinion.</w:t>
      </w:r>
      <w:r w:rsidRPr="007311D0">
        <w:rPr>
          <w:rStyle w:val="EndnoteReference"/>
        </w:rPr>
        <w:endnoteReference w:id="55"/>
      </w:r>
      <w:r w:rsidRPr="007311D0">
        <w:t xml:space="preserve"> </w:t>
      </w:r>
    </w:p>
    <w:p w14:paraId="6209B48C" w14:textId="77777777" w:rsidR="007D0E48" w:rsidRDefault="007D0E48" w:rsidP="007311D0">
      <w:pPr>
        <w:pStyle w:val="MainText"/>
      </w:pPr>
      <w:r w:rsidRPr="007311D0">
        <w:t xml:space="preserve">In the case of </w:t>
      </w:r>
      <w:r w:rsidR="0000364A">
        <w:t xml:space="preserve">another new state, </w:t>
      </w:r>
      <w:r w:rsidRPr="007311D0">
        <w:t xml:space="preserve">Hungary, the campaign to undermine the minority provisions included in the </w:t>
      </w:r>
      <w:r w:rsidR="00ED65A4" w:rsidRPr="007311D0">
        <w:t>Trianon</w:t>
      </w:r>
      <w:r w:rsidRPr="007311D0">
        <w:t xml:space="preserve"> </w:t>
      </w:r>
      <w:r w:rsidR="0000364A">
        <w:t>T</w:t>
      </w:r>
      <w:r w:rsidRPr="007311D0">
        <w:t>reaty began immediately after its grudging ratification by the parliament. In 1920, the right-wing government of P</w:t>
      </w:r>
      <w:r w:rsidRPr="007311D0">
        <w:rPr>
          <w:rFonts w:cs="Cambria"/>
        </w:rPr>
        <w:t>á</w:t>
      </w:r>
      <w:r w:rsidRPr="007311D0">
        <w:t xml:space="preserve">l Teleki voted </w:t>
      </w:r>
      <w:r w:rsidRPr="007311D0">
        <w:rPr>
          <w:rFonts w:cs="Times New Roman"/>
        </w:rPr>
        <w:t>‘</w:t>
      </w:r>
      <w:r w:rsidRPr="007311D0">
        <w:t>law 25</w:t>
      </w:r>
      <w:r w:rsidRPr="007311D0">
        <w:rPr>
          <w:rFonts w:cs="Times New Roman"/>
        </w:rPr>
        <w:t>’</w:t>
      </w:r>
      <w:r w:rsidRPr="007311D0">
        <w:t xml:space="preserve"> that introduced a </w:t>
      </w:r>
      <w:r w:rsidRPr="007311D0">
        <w:rPr>
          <w:i/>
          <w:iCs/>
        </w:rPr>
        <w:t>numerus clausus</w:t>
      </w:r>
      <w:r w:rsidRPr="007311D0">
        <w:t xml:space="preserve"> mechanism for restricting minority representation to universities.</w:t>
      </w:r>
      <w:bookmarkStart w:id="9" w:name="_Ref2773915"/>
      <w:r w:rsidRPr="007311D0">
        <w:rPr>
          <w:rStyle w:val="EndnoteReference"/>
        </w:rPr>
        <w:endnoteReference w:id="56"/>
      </w:r>
      <w:bookmarkEnd w:id="9"/>
      <w:r w:rsidRPr="007311D0">
        <w:t xml:space="preserve"> Clearly going against commitments that Hungary had accepted in Paris, the law was justified as a temporary measure to allegedly rebalance the over-representation of ethnic groups in higher education, introducing quotas that matched each group</w:t>
      </w:r>
      <w:r w:rsidRPr="007311D0">
        <w:rPr>
          <w:rFonts w:cs="Times New Roman"/>
        </w:rPr>
        <w:t>’</w:t>
      </w:r>
      <w:r w:rsidRPr="007311D0">
        <w:t>s national percentage. While Jews were not initially singled out in the law, subsequent clarifications by the ministry of education explicitly fixed their quota at 6%. Gyula G</w:t>
      </w:r>
      <w:r w:rsidRPr="007311D0">
        <w:rPr>
          <w:rFonts w:cs="Cambria"/>
        </w:rPr>
        <w:t>ö</w:t>
      </w:r>
      <w:r w:rsidRPr="007311D0">
        <w:t>mb</w:t>
      </w:r>
      <w:r w:rsidRPr="007311D0">
        <w:rPr>
          <w:rFonts w:cs="Cambria"/>
        </w:rPr>
        <w:t>ö</w:t>
      </w:r>
      <w:r w:rsidRPr="007311D0">
        <w:t xml:space="preserve">s, the then leader of the radical right, pressed for </w:t>
      </w:r>
      <w:r w:rsidR="0000364A">
        <w:t>even more stringent</w:t>
      </w:r>
      <w:r w:rsidRPr="007311D0">
        <w:t xml:space="preserve"> restrictions, proposing that the quota include converted Jews as well - to no avail. The government implemented the law loosely, effecting an overall reduction in the number of Jewish students in universities that nevertheless stayed well above the stipulated quota for the group.</w:t>
      </w:r>
      <w:r w:rsidRPr="007311D0">
        <w:rPr>
          <w:rStyle w:val="EndnoteReference"/>
        </w:rPr>
        <w:endnoteReference w:id="57"/>
      </w:r>
      <w:r w:rsidRPr="007311D0">
        <w:t xml:space="preserve"> Meanwhile, the matter was repeatedly referred to the League of Nations for adjudication and foreign investment in Hungary suffered considerably as a result of the negative publicity.</w:t>
      </w:r>
      <w:r w:rsidRPr="007311D0">
        <w:rPr>
          <w:rStyle w:val="EndnoteReference"/>
        </w:rPr>
        <w:endnoteReference w:id="58"/>
      </w:r>
      <w:r w:rsidRPr="007311D0">
        <w:t xml:space="preserve"> Eventually, the Hungarian government succumbed to pressure from the League and amended the law in 1928 by removing the offending stipulations; but the amendment did not completely remove the </w:t>
      </w:r>
      <w:r w:rsidRPr="007311D0">
        <w:rPr>
          <w:i/>
          <w:iCs/>
        </w:rPr>
        <w:t>numerus clausus</w:t>
      </w:r>
      <w:r w:rsidRPr="007311D0">
        <w:t xml:space="preserve"> principle, introducing new restrictions on the basis of location that were calculated to affect adversely the overwhelmingly urban Jewish community.</w:t>
      </w:r>
      <w:r w:rsidRPr="007311D0">
        <w:rPr>
          <w:rStyle w:val="EndnoteReference"/>
        </w:rPr>
        <w:endnoteReference w:id="59"/>
      </w:r>
      <w:r w:rsidRPr="007311D0">
        <w:t xml:space="preserve"> </w:t>
      </w:r>
    </w:p>
    <w:p w14:paraId="29605480" w14:textId="77777777" w:rsidR="007D06DA" w:rsidRDefault="007D06DA" w:rsidP="007311D0">
      <w:pPr>
        <w:pStyle w:val="MainText"/>
      </w:pPr>
    </w:p>
    <w:p w14:paraId="6F966CB7" w14:textId="77777777" w:rsidR="007D06DA" w:rsidRPr="007D06DA" w:rsidRDefault="007D06DA" w:rsidP="00C131EE">
      <w:pPr>
        <w:pStyle w:val="Heading2"/>
      </w:pPr>
      <w:r w:rsidRPr="0000364A">
        <w:t>Taboo and transgression</w:t>
      </w:r>
    </w:p>
    <w:p w14:paraId="78D5ADDA" w14:textId="610DB928" w:rsidR="007F37AF" w:rsidRPr="007311D0" w:rsidRDefault="007F37AF" w:rsidP="007311D0">
      <w:pPr>
        <w:pStyle w:val="MainText"/>
      </w:pPr>
      <w:r w:rsidRPr="007311D0">
        <w:t xml:space="preserve">Overall the post-WW1 framework of liberal-democratic governance and human rights that the Entente powers </w:t>
      </w:r>
      <w:r w:rsidR="00F87612">
        <w:t>sponsored</w:t>
      </w:r>
      <w:r w:rsidRPr="007311D0">
        <w:t xml:space="preserve"> at the </w:t>
      </w:r>
      <w:r w:rsidR="00F87612">
        <w:t>postwar</w:t>
      </w:r>
      <w:r w:rsidRPr="007311D0">
        <w:t xml:space="preserve"> peace negotiations was </w:t>
      </w:r>
      <w:r w:rsidR="009629EF">
        <w:t>promoted on the basis</w:t>
      </w:r>
      <w:r w:rsidRPr="007311D0">
        <w:t xml:space="preserve"> o</w:t>
      </w:r>
      <w:r w:rsidR="009629EF">
        <w:t>f</w:t>
      </w:r>
      <w:r w:rsidRPr="007311D0">
        <w:t xml:space="preserve"> a set of new </w:t>
      </w:r>
      <w:r w:rsidR="00223E23" w:rsidRPr="007311D0">
        <w:t xml:space="preserve">canonical </w:t>
      </w:r>
      <w:r w:rsidRPr="007311D0">
        <w:t>norms</w:t>
      </w:r>
      <w:r w:rsidR="009629EF">
        <w:t xml:space="preserve"> about citizenship</w:t>
      </w:r>
      <w:r w:rsidR="00272BCE">
        <w:t xml:space="preserve"> and governance</w:t>
      </w:r>
      <w:r w:rsidRPr="007311D0">
        <w:t xml:space="preserve"> that were presented by the victors as </w:t>
      </w:r>
      <w:r w:rsidR="00D35271">
        <w:t xml:space="preserve">destined to </w:t>
      </w:r>
      <w:r w:rsidRPr="007311D0">
        <w:t xml:space="preserve">acquire </w:t>
      </w:r>
      <w:r w:rsidR="007D0E48" w:rsidRPr="007311D0">
        <w:t xml:space="preserve">universal </w:t>
      </w:r>
      <w:r w:rsidRPr="007311D0">
        <w:t xml:space="preserve">paradigmatic status. They were extended and </w:t>
      </w:r>
      <w:r w:rsidR="003A3E42">
        <w:t>institutionalized</w:t>
      </w:r>
      <w:r w:rsidRPr="007311D0">
        <w:t xml:space="preserve"> through formal treaties and negotiated constitutional provisions, as well as through political pressure from both </w:t>
      </w:r>
      <w:r w:rsidR="00E924CF" w:rsidRPr="007311D0">
        <w:t>liberal elites within each country</w:t>
      </w:r>
      <w:r w:rsidR="00E924CF" w:rsidRPr="007311D0">
        <w:t xml:space="preserve"> </w:t>
      </w:r>
      <w:r w:rsidR="00E924CF">
        <w:t xml:space="preserve">and from </w:t>
      </w:r>
      <w:r w:rsidRPr="007311D0">
        <w:t>outsid</w:t>
      </w:r>
      <w:r w:rsidR="00E924CF">
        <w:t>e</w:t>
      </w:r>
      <w:r w:rsidRPr="007311D0">
        <w:t xml:space="preserve">. The liberal Wilsonian framework of national self-determination and minority protection became an integral component of the postwar </w:t>
      </w:r>
      <w:r w:rsidRPr="007311D0">
        <w:rPr>
          <w:i/>
          <w:iCs/>
        </w:rPr>
        <w:t>normative</w:t>
      </w:r>
      <w:r w:rsidRPr="007311D0">
        <w:t xml:space="preserve"> mainstream; but, beyond the</w:t>
      </w:r>
      <w:r w:rsidR="0000364A">
        <w:t xml:space="preserve"> narrow</w:t>
      </w:r>
      <w:r w:rsidRPr="007311D0">
        <w:t xml:space="preserve"> circle of liberal sympathisers and </w:t>
      </w:r>
      <w:r w:rsidRPr="007311D0">
        <w:rPr>
          <w:rFonts w:cs="Times New Roman"/>
        </w:rPr>
        <w:t>‘</w:t>
      </w:r>
      <w:r w:rsidRPr="007311D0">
        <w:t>European</w:t>
      </w:r>
      <w:r w:rsidRPr="007311D0">
        <w:rPr>
          <w:rFonts w:cs="Times New Roman"/>
        </w:rPr>
        <w:t>’</w:t>
      </w:r>
      <w:r w:rsidRPr="007311D0">
        <w:t xml:space="preserve"> modernisers, they were only grudgingly</w:t>
      </w:r>
      <w:r w:rsidR="007D0E48" w:rsidRPr="007311D0">
        <w:t xml:space="preserve"> and tactically</w:t>
      </w:r>
      <w:r w:rsidRPr="007311D0">
        <w:t xml:space="preserve"> accepted </w:t>
      </w:r>
      <w:r w:rsidR="007D0E48" w:rsidRPr="007311D0">
        <w:t>while</w:t>
      </w:r>
      <w:r w:rsidRPr="007311D0">
        <w:t xml:space="preserve"> widely resented by wide sectors of the conservative and (hyper-)</w:t>
      </w:r>
      <w:r w:rsidR="00C31DC1">
        <w:t xml:space="preserve"> </w:t>
      </w:r>
      <w:r w:rsidRPr="007311D0">
        <w:t>nationalist political forces and their constituencies.</w:t>
      </w:r>
      <w:r w:rsidRPr="007311D0">
        <w:rPr>
          <w:rStyle w:val="EndnoteReference"/>
        </w:rPr>
        <w:endnoteReference w:id="60"/>
      </w:r>
      <w:r w:rsidRPr="007311D0">
        <w:t xml:space="preserve"> While Poland maintained a semblance of adherence to the provisions of the treaty during the 1920s, the rapidly changing international situation in the 1930s weakened the paradigmatic status of the minority protection system overseen by the League of Nations. The cumulative resentment, initially expressed only through more extreme forces of the nationalist right, escalated into blatant defiance once Adolf Hitler was appointed chancellor in January 1933 and subsequently</w:t>
      </w:r>
      <w:r w:rsidR="005D44E1">
        <w:t xml:space="preserve"> Japan (March 1933) and</w:t>
      </w:r>
      <w:r w:rsidRPr="007311D0">
        <w:t xml:space="preserve"> Germany </w:t>
      </w:r>
      <w:r w:rsidR="005D44E1">
        <w:t xml:space="preserve">(October 1933) </w:t>
      </w:r>
      <w:r w:rsidRPr="007311D0">
        <w:t>left the League. It was thus not surprising that the Polish foreign minister Josef Beck rescinded the minority treaty in January 1934 and replaced the old constitution with a new one</w:t>
      </w:r>
      <w:r w:rsidR="00871EA5">
        <w:t xml:space="preserve"> in 1935</w:t>
      </w:r>
      <w:r w:rsidRPr="007311D0">
        <w:t>, re-introducing restrictions to the status of minorities.</w:t>
      </w:r>
      <w:r w:rsidRPr="007311D0">
        <w:rPr>
          <w:rStyle w:val="EndnoteReference"/>
        </w:rPr>
        <w:endnoteReference w:id="61"/>
      </w:r>
      <w:r w:rsidRPr="007311D0">
        <w:t xml:space="preserve"> Romania and Hungary followed shortly afterwards</w:t>
      </w:r>
      <w:r w:rsidR="0000364A">
        <w:t>. A</w:t>
      </w:r>
      <w:r w:rsidRPr="007311D0">
        <w:t xml:space="preserve"> </w:t>
      </w:r>
      <w:r w:rsidR="001C75D1" w:rsidRPr="007311D0">
        <w:t>short-lived</w:t>
      </w:r>
      <w:r w:rsidRPr="007311D0">
        <w:t xml:space="preserve"> government led by Goga and Cuza revoked the citizenship of hundreds of thousands of Jews in 1938.</w:t>
      </w:r>
      <w:r w:rsidRPr="007311D0">
        <w:rPr>
          <w:rStyle w:val="EndnoteReference"/>
        </w:rPr>
        <w:endnoteReference w:id="62"/>
      </w:r>
      <w:r w:rsidRPr="007311D0">
        <w:t xml:space="preserve"> </w:t>
      </w:r>
      <w:r w:rsidR="0000364A">
        <w:t>Meanwhile i</w:t>
      </w:r>
      <w:r w:rsidRPr="007311D0">
        <w:t>n Hungary a series of anti-Jewish laws were introduced between 1938 and 1941 with increasingly restrictive and discriminatory provisions inspired by the Nazi precedent at Nuremberg.</w:t>
      </w:r>
      <w:r w:rsidRPr="007311D0">
        <w:rPr>
          <w:rStyle w:val="EndnoteReference"/>
        </w:rPr>
        <w:endnoteReference w:id="63"/>
      </w:r>
      <w:r w:rsidRPr="007311D0">
        <w:t xml:space="preserve"> </w:t>
      </w:r>
    </w:p>
    <w:p w14:paraId="387B6A53" w14:textId="3A956702" w:rsidR="007F37AF" w:rsidRPr="007311D0" w:rsidRDefault="007F37AF" w:rsidP="007311D0">
      <w:pPr>
        <w:pStyle w:val="MainText"/>
      </w:pPr>
      <w:r w:rsidRPr="007311D0">
        <w:t xml:space="preserve">The ill-fated experiment with an international system of minority protection introduced as part of the negotiations for the Versailles Treaty underlines the ultimate failure of the Entente powers to embed liberal provisions about </w:t>
      </w:r>
      <w:r w:rsidR="007D0E48" w:rsidRPr="007311D0">
        <w:t>extended equal</w:t>
      </w:r>
      <w:r w:rsidRPr="007311D0">
        <w:t xml:space="preserve"> citizenship as universal paradigmatic norms into mainstream consciousness</w:t>
      </w:r>
      <w:r w:rsidR="00EE431C">
        <w:t xml:space="preserve">. Put differently, </w:t>
      </w:r>
      <w:r w:rsidR="005C7803">
        <w:t xml:space="preserve">international and domestic efforts to </w:t>
      </w:r>
      <w:r w:rsidR="00134EA2">
        <w:t xml:space="preserve">enforce the </w:t>
      </w:r>
      <w:r w:rsidR="00535A68">
        <w:t>emergent</w:t>
      </w:r>
      <w:r w:rsidR="003B5D49">
        <w:t xml:space="preserve"> principle of minority protection</w:t>
      </w:r>
      <w:r w:rsidR="00535A68">
        <w:t xml:space="preserve"> as a new </w:t>
      </w:r>
      <w:r w:rsidRPr="007311D0">
        <w:rPr>
          <w:i/>
          <w:iCs/>
        </w:rPr>
        <w:t>universal taboo</w:t>
      </w:r>
      <w:r w:rsidR="00535A68">
        <w:rPr>
          <w:i/>
          <w:iCs/>
        </w:rPr>
        <w:t xml:space="preserve"> </w:t>
      </w:r>
      <w:r w:rsidR="0098493B" w:rsidRPr="0098493B">
        <w:t xml:space="preserve">backfired and eventually </w:t>
      </w:r>
      <w:r w:rsidR="0017358B" w:rsidRPr="0017358B">
        <w:t>failed</w:t>
      </w:r>
      <w:r w:rsidRPr="007311D0">
        <w:t xml:space="preserve">. In its standard definition, </w:t>
      </w:r>
      <w:r w:rsidR="0041115E" w:rsidRPr="007311D0">
        <w:rPr>
          <w:rFonts w:cs="Times New Roman"/>
        </w:rPr>
        <w:t>‘</w:t>
      </w:r>
      <w:r w:rsidRPr="007311D0">
        <w:t>taboo</w:t>
      </w:r>
      <w:r w:rsidR="0041115E" w:rsidRPr="007311D0">
        <w:rPr>
          <w:rFonts w:cs="Times New Roman"/>
        </w:rPr>
        <w:t>’</w:t>
      </w:r>
      <w:r w:rsidRPr="007311D0">
        <w:t xml:space="preserve"> is a strong prohibition of an utterance and/or behaviour deployed against something that is considered either too important for the solidarity of a group (e.g. sacred precepts) or too morally troubling to be adopted as acceptable social practice (e.g. incest, which Sigmund Freud considered as the most powerful universal taboo</w:t>
      </w:r>
      <w:r w:rsidR="007D0E48" w:rsidRPr="007311D0">
        <w:rPr>
          <w:rStyle w:val="EndnoteReference"/>
        </w:rPr>
        <w:endnoteReference w:id="64"/>
      </w:r>
      <w:r w:rsidRPr="007311D0">
        <w:t xml:space="preserve">). While taboos are universal anthropological phenomena, the scope and target of their associated prohibition is different from one society to another; and they are often subject to </w:t>
      </w:r>
      <w:r w:rsidR="007C42D9">
        <w:t>some degree of change</w:t>
      </w:r>
      <w:r w:rsidR="00BB3EB3">
        <w:t xml:space="preserve"> -</w:t>
      </w:r>
      <w:r w:rsidR="007C42D9">
        <w:t xml:space="preserve"> </w:t>
      </w:r>
      <w:r w:rsidRPr="007311D0">
        <w:t>relaxation, cancellation or reinforcement</w:t>
      </w:r>
      <w:r w:rsidR="00BB3EB3">
        <w:t xml:space="preserve"> -</w:t>
      </w:r>
      <w:r w:rsidRPr="007311D0">
        <w:t xml:space="preserve"> over time.</w:t>
      </w:r>
      <w:r w:rsidRPr="007311D0">
        <w:rPr>
          <w:rStyle w:val="EndnoteReference"/>
        </w:rPr>
        <w:endnoteReference w:id="65"/>
      </w:r>
      <w:r w:rsidRPr="007311D0">
        <w:t xml:space="preserve"> In other words, beyond a very restricted circle of universally operative prohibitions, taboos may come and go, lose or gain paradigmatic strength or shift the character or intensity of associated sanctions for transgression. </w:t>
      </w:r>
      <w:r w:rsidR="00BA64EC">
        <w:t>Importantly as well</w:t>
      </w:r>
      <w:r w:rsidRPr="007311D0">
        <w:t xml:space="preserve">, some taboos may be temporarily suspended in order to deal with an exceptional situation that threatens the community attached to them; and new taboos may be introduced with strict associated moral and/or legal sanctions. As a result, taboos have variable </w:t>
      </w:r>
      <w:r w:rsidR="007D0E48" w:rsidRPr="007311D0">
        <w:t xml:space="preserve">thresholds and </w:t>
      </w:r>
      <w:r w:rsidRPr="007311D0">
        <w:t>strength</w:t>
      </w:r>
      <w:r w:rsidR="00BA64EC">
        <w:t>s</w:t>
      </w:r>
      <w:r w:rsidRPr="007311D0">
        <w:t xml:space="preserve">, measured by the amount of people who </w:t>
      </w:r>
      <w:r w:rsidR="000F1CC4" w:rsidRPr="007311D0">
        <w:t xml:space="preserve">are willing to </w:t>
      </w:r>
      <w:r w:rsidRPr="007311D0">
        <w:t xml:space="preserve">question their value, contemplate transgression or actively </w:t>
      </w:r>
      <w:r w:rsidR="00D62B2B">
        <w:t>violate</w:t>
      </w:r>
      <w:r w:rsidRPr="007311D0">
        <w:t xml:space="preserve"> them.</w:t>
      </w:r>
      <w:r w:rsidRPr="007311D0">
        <w:rPr>
          <w:rStyle w:val="EndnoteReference"/>
        </w:rPr>
        <w:endnoteReference w:id="66"/>
      </w:r>
      <w:r w:rsidRPr="007311D0">
        <w:t xml:space="preserve"> The latter point is particularly true in two scenarios: first, where social and cultural norms have shifted so much as to render the original assumptions underpinning the taboo increasingly indefensible; and when a new taboo is introduced from above or from outside, whose associated benefits are not obvious to the members of the community or whose stipulations </w:t>
      </w:r>
      <w:r w:rsidR="00954341">
        <w:t xml:space="preserve">are </w:t>
      </w:r>
      <w:r w:rsidR="003C3579">
        <w:t>considered by the group itself</w:t>
      </w:r>
      <w:r w:rsidR="00954341">
        <w:t xml:space="preserve"> to </w:t>
      </w:r>
      <w:r w:rsidRPr="007311D0">
        <w:t xml:space="preserve">run counter to </w:t>
      </w:r>
      <w:r w:rsidR="003C3579">
        <w:t>its</w:t>
      </w:r>
      <w:r w:rsidR="006743C1">
        <w:t xml:space="preserve"> </w:t>
      </w:r>
      <w:r w:rsidRPr="007311D0">
        <w:t>established social practices and customs.</w:t>
      </w:r>
      <w:r w:rsidRPr="007311D0">
        <w:rPr>
          <w:rStyle w:val="EndnoteReference"/>
        </w:rPr>
        <w:endnoteReference w:id="67"/>
      </w:r>
      <w:r w:rsidRPr="007311D0">
        <w:t xml:space="preserve"> </w:t>
      </w:r>
    </w:p>
    <w:p w14:paraId="71AABBCE" w14:textId="771AB303" w:rsidR="007F37AF" w:rsidRPr="007311D0" w:rsidRDefault="007F37AF" w:rsidP="007311D0">
      <w:pPr>
        <w:pStyle w:val="MainText"/>
      </w:pPr>
      <w:r w:rsidRPr="007311D0">
        <w:t>Exercising pressure on the national delegations to accept minority protection conditions in return for favourable territorial and other rewards at the post-WW1 peace negotiations may have worked in the short term, for the power dynamics in Paris made non-acceptance of the agreed conditions</w:t>
      </w:r>
      <w:r w:rsidR="00BA64EC">
        <w:t xml:space="preserve"> by the individual states</w:t>
      </w:r>
      <w:r w:rsidRPr="007311D0">
        <w:t xml:space="preserve"> practically impossible</w:t>
      </w:r>
      <w:r w:rsidR="00BA64EC">
        <w:t xml:space="preserve"> at the time</w:t>
      </w:r>
      <w:r w:rsidRPr="007311D0">
        <w:t xml:space="preserve">. Yet it did not succeed in bestowing upon these new norms the aura of a universal </w:t>
      </w:r>
      <w:r w:rsidRPr="007311D0">
        <w:rPr>
          <w:i/>
          <w:iCs/>
        </w:rPr>
        <w:t>taboo</w:t>
      </w:r>
      <w:r w:rsidRPr="007311D0">
        <w:t xml:space="preserve"> prohibition as intended.</w:t>
      </w:r>
      <w:r w:rsidRPr="007311D0">
        <w:rPr>
          <w:rStyle w:val="EndnoteReference"/>
        </w:rPr>
        <w:endnoteReference w:id="68"/>
      </w:r>
      <w:r w:rsidRPr="007311D0">
        <w:t xml:space="preserve"> The taboo was formally established through the incorporation of the imposed minority clauses into new international legal obligations and constitutional </w:t>
      </w:r>
      <w:r w:rsidR="007D0E48" w:rsidRPr="007311D0">
        <w:t>commitments</w:t>
      </w:r>
      <w:r w:rsidR="008674D9">
        <w:t>;</w:t>
      </w:r>
      <w:r w:rsidRPr="007311D0">
        <w:t xml:space="preserve"> </w:t>
      </w:r>
      <w:r w:rsidR="008674D9">
        <w:t>yet</w:t>
      </w:r>
      <w:r w:rsidRPr="007311D0">
        <w:t xml:space="preserve"> the alleged benefits associated with it were </w:t>
      </w:r>
      <w:r w:rsidR="001D2010">
        <w:t xml:space="preserve">fiercely </w:t>
      </w:r>
      <w:r w:rsidRPr="007311D0">
        <w:t>contested by both fringe and mainstream</w:t>
      </w:r>
      <w:r w:rsidR="00147917" w:rsidRPr="007311D0">
        <w:t xml:space="preserve"> </w:t>
      </w:r>
      <w:r w:rsidR="001D2010">
        <w:t xml:space="preserve">nationalist </w:t>
      </w:r>
      <w:r w:rsidRPr="007311D0">
        <w:t>elements in all the countries where they were introduced as part of the new Versailles order.</w:t>
      </w:r>
      <w:r w:rsidRPr="007311D0">
        <w:rPr>
          <w:rStyle w:val="EndnoteReference"/>
        </w:rPr>
        <w:endnoteReference w:id="69"/>
      </w:r>
      <w:r w:rsidRPr="007311D0">
        <w:t xml:space="preserve"> Furthermore, the universally paradigmatic status of the international framework for supervising the implementation of minority protection through the League of Nations suffered from the very first moment with the decision of the USA not to join the organi</w:t>
      </w:r>
      <w:r w:rsidR="009E5F82">
        <w:t>z</w:t>
      </w:r>
      <w:r w:rsidRPr="007311D0">
        <w:t>ation and was further undermined by the decision of Japan and Germany to withdraw from the organi</w:t>
      </w:r>
      <w:r w:rsidR="009E5F82">
        <w:t>z</w:t>
      </w:r>
      <w:r w:rsidRPr="007311D0">
        <w:t>ation.</w:t>
      </w:r>
      <w:r w:rsidR="007D0E48" w:rsidRPr="007311D0">
        <w:rPr>
          <w:rStyle w:val="EndnoteReference"/>
        </w:rPr>
        <w:endnoteReference w:id="70"/>
      </w:r>
      <w:r w:rsidRPr="007311D0">
        <w:t xml:space="preserve"> </w:t>
      </w:r>
    </w:p>
    <w:p w14:paraId="3DF3BCE1" w14:textId="5F294F19" w:rsidR="007F37AF" w:rsidRPr="007311D0" w:rsidRDefault="007F37AF" w:rsidP="007311D0">
      <w:pPr>
        <w:pStyle w:val="MainText"/>
      </w:pPr>
      <w:r w:rsidRPr="007311D0">
        <w:t>Thus the attempt of the Entente powers to introduce minority protection</w:t>
      </w:r>
      <w:r w:rsidR="001565FE">
        <w:t xml:space="preserve"> and inclusive citizenship</w:t>
      </w:r>
      <w:r w:rsidRPr="007311D0">
        <w:t xml:space="preserve"> as a new taboo component of the post-WW1 order in Europe stumbled from the outset upon local traditions of exclusive nationalism, deeply embedded anti-semitic reflexes, and the stigma of an external insensitive imposition that ran counter to another taboo principle of the Wilsonian framework - that of national sovereignty. During the 1920s, initiatives to contest and revise the minority protection stipulations outlined above formed </w:t>
      </w:r>
      <w:r w:rsidR="006A570D">
        <w:t xml:space="preserve">the </w:t>
      </w:r>
      <w:r w:rsidRPr="007311D0">
        <w:t>tip of a</w:t>
      </w:r>
      <w:r w:rsidR="007B4E8A">
        <w:t>n</w:t>
      </w:r>
      <w:r w:rsidRPr="007311D0">
        <w:t xml:space="preserve"> iceberg whose foundations lay</w:t>
      </w:r>
      <w:r w:rsidR="001565FE">
        <w:t xml:space="preserve"> deep</w:t>
      </w:r>
      <w:r w:rsidRPr="007311D0">
        <w:t xml:space="preserve"> in hostile public opinions, ruling elites with grudging commitment to the Versailles settlement, and a new brand of radical nationalism that from the first moment pressed for a more robust exercise of </w:t>
      </w:r>
      <w:r w:rsidR="001565FE">
        <w:t xml:space="preserve">exclusive </w:t>
      </w:r>
      <w:r w:rsidRPr="007311D0">
        <w:t>national sovereignty against the international liberal mechanisms put in place after 1919. The gap between, on the one hand, a normative mainstream of liberal respect for minorities and plural equal citizenship for all regardless of ethnic, religious or cultural identities; and, on the other hand, an aggregative mainstream that hosted widespread resentment directed at the stipulations of the Versailles postwar settlement</w:t>
      </w:r>
      <w:r w:rsidR="00BA64EC">
        <w:t>,</w:t>
      </w:r>
      <w:r w:rsidRPr="007311D0">
        <w:t xml:space="preserve"> widened considerably. </w:t>
      </w:r>
      <w:r w:rsidR="001565FE">
        <w:t>At that early stage, f</w:t>
      </w:r>
      <w:r w:rsidRPr="007311D0">
        <w:t>ascism</w:t>
      </w:r>
      <w:r w:rsidR="001565FE">
        <w:t xml:space="preserve"> </w:t>
      </w:r>
      <w:r w:rsidRPr="007311D0">
        <w:t xml:space="preserve">was only a relatively small </w:t>
      </w:r>
      <w:r w:rsidR="001565FE">
        <w:t>component</w:t>
      </w:r>
      <w:r w:rsidRPr="007311D0">
        <w:t xml:space="preserve"> of this complex </w:t>
      </w:r>
      <w:r w:rsidR="005A1E0F">
        <w:t>and much deeper dynamic</w:t>
      </w:r>
      <w:r w:rsidRPr="007311D0">
        <w:t xml:space="preserve">. </w:t>
      </w:r>
      <w:r w:rsidR="005D5A20">
        <w:t>However, in</w:t>
      </w:r>
      <w:r w:rsidRPr="007311D0">
        <w:t xml:space="preserve"> the 1930s, when this fascism became a new international political paradigm and local substrata of radical nationalism were </w:t>
      </w:r>
      <w:r w:rsidR="005D5A20">
        <w:t>emboldened</w:t>
      </w:r>
      <w:r w:rsidRPr="007311D0">
        <w:t xml:space="preserve"> by the radical </w:t>
      </w:r>
      <w:r w:rsidR="0044643E">
        <w:t xml:space="preserve">Nazi </w:t>
      </w:r>
      <w:r w:rsidRPr="007311D0">
        <w:t xml:space="preserve">exemplar of anti-semitism, racialism, and uncompromising violent activism, anti-minority/anti-Jewish agitation entered a new, infinitely more radical and open-ended phase. </w:t>
      </w:r>
    </w:p>
    <w:p w14:paraId="4AA1E512" w14:textId="77777777" w:rsidR="007F37AF" w:rsidRPr="007311D0" w:rsidRDefault="007F37AF" w:rsidP="007311D0">
      <w:pPr>
        <w:pStyle w:val="MainText"/>
      </w:pPr>
    </w:p>
    <w:p w14:paraId="3FDDBB81" w14:textId="77777777" w:rsidR="007F37AF" w:rsidRPr="007311D0" w:rsidRDefault="00F7399A" w:rsidP="00C131EE">
      <w:pPr>
        <w:pStyle w:val="Heading2"/>
      </w:pPr>
      <w:r w:rsidRPr="007311D0">
        <w:t>National Socialism and</w:t>
      </w:r>
      <w:r w:rsidR="007F37AF" w:rsidRPr="007311D0">
        <w:t xml:space="preserve"> the </w:t>
      </w:r>
      <w:r w:rsidRPr="007311D0">
        <w:t xml:space="preserve">limited </w:t>
      </w:r>
      <w:r w:rsidR="007F37AF" w:rsidRPr="007311D0">
        <w:t>transgression</w:t>
      </w:r>
      <w:r w:rsidRPr="007311D0">
        <w:t xml:space="preserve"> of the taboo of violence</w:t>
      </w:r>
    </w:p>
    <w:p w14:paraId="386F2725" w14:textId="187E0F1D" w:rsidR="007F37AF" w:rsidRPr="007311D0" w:rsidRDefault="007F37AF" w:rsidP="007311D0">
      <w:pPr>
        <w:pStyle w:val="MainText"/>
      </w:pPr>
      <w:r w:rsidRPr="007311D0">
        <w:t>At this point, it is useful to return to Elias</w:t>
      </w:r>
      <w:r w:rsidRPr="007311D0">
        <w:rPr>
          <w:rFonts w:cs="Times New Roman"/>
        </w:rPr>
        <w:t>’</w:t>
      </w:r>
      <w:r w:rsidRPr="007311D0">
        <w:t xml:space="preserve">s schema and examine how a </w:t>
      </w:r>
      <w:r w:rsidRPr="007311D0">
        <w:rPr>
          <w:rFonts w:cs="Times New Roman"/>
        </w:rPr>
        <w:t>‘</w:t>
      </w:r>
      <w:r w:rsidRPr="007311D0">
        <w:t>counter-spurt</w:t>
      </w:r>
      <w:r w:rsidRPr="007311D0">
        <w:rPr>
          <w:rFonts w:cs="Times New Roman"/>
        </w:rPr>
        <w:t>’</w:t>
      </w:r>
      <w:r w:rsidRPr="007311D0">
        <w:t xml:space="preserve"> may come about as an inversion of trends associated with the </w:t>
      </w:r>
      <w:r w:rsidRPr="007311D0">
        <w:rPr>
          <w:rFonts w:cs="Times New Roman"/>
        </w:rPr>
        <w:t>‘</w:t>
      </w:r>
      <w:r w:rsidRPr="007311D0">
        <w:t>civili</w:t>
      </w:r>
      <w:r w:rsidR="00233336">
        <w:t>z</w:t>
      </w:r>
      <w:r w:rsidRPr="007311D0">
        <w:t>ing process</w:t>
      </w:r>
      <w:r w:rsidRPr="007311D0">
        <w:rPr>
          <w:rFonts w:cs="Times New Roman"/>
        </w:rPr>
        <w:t>’</w:t>
      </w:r>
      <w:r w:rsidRPr="007311D0">
        <w:t xml:space="preserve">. </w:t>
      </w:r>
      <w:r w:rsidR="004A063E">
        <w:t xml:space="preserve">As previously noted, </w:t>
      </w:r>
      <w:r w:rsidRPr="007311D0">
        <w:t xml:space="preserve">Elias </w:t>
      </w:r>
      <w:r w:rsidR="004A063E">
        <w:t>conceded</w:t>
      </w:r>
      <w:r w:rsidRPr="007311D0">
        <w:t xml:space="preserve"> that </w:t>
      </w:r>
      <w:r w:rsidR="001565FE">
        <w:t>the</w:t>
      </w:r>
      <w:r w:rsidR="006B0503">
        <w:t xml:space="preserve"> </w:t>
      </w:r>
      <w:r w:rsidR="00293668">
        <w:t xml:space="preserve">decline in mutual self-identification and self-restraint </w:t>
      </w:r>
      <w:r w:rsidRPr="007311D0">
        <w:t>may occur all the time on the individual level</w:t>
      </w:r>
      <w:r w:rsidR="007D06DA">
        <w:t>;</w:t>
      </w:r>
      <w:r w:rsidRPr="007311D0">
        <w:t xml:space="preserve"> but </w:t>
      </w:r>
      <w:r w:rsidR="007D06DA">
        <w:t>he was also aware that</w:t>
      </w:r>
      <w:r w:rsidRPr="007311D0">
        <w:t xml:space="preserve"> the required momentum for a real 'counter-spurt' depended on these processes</w:t>
      </w:r>
      <w:r w:rsidRPr="007311D0">
        <w:rPr>
          <w:rFonts w:cs="Times New Roman"/>
        </w:rPr>
        <w:t>’</w:t>
      </w:r>
      <w:r w:rsidRPr="007311D0">
        <w:t xml:space="preserve"> escalation into permissible </w:t>
      </w:r>
      <w:r w:rsidRPr="007311D0">
        <w:rPr>
          <w:i/>
          <w:iCs/>
        </w:rPr>
        <w:t>collective</w:t>
      </w:r>
      <w:r w:rsidRPr="007311D0">
        <w:t xml:space="preserve"> expressions and behaviours. This escalation involved a transfer of the momentum from, first, a </w:t>
      </w:r>
      <w:r w:rsidR="00293668">
        <w:t>small-</w:t>
      </w:r>
      <w:r w:rsidRPr="007311D0">
        <w:t>group dimension (the transformation of individual uncivil impulses into allowable social practice by members of a particular social group) to an 'intra-state</w:t>
      </w:r>
      <w:r w:rsidRPr="007311D0">
        <w:rPr>
          <w:rFonts w:cs="Times New Roman"/>
        </w:rPr>
        <w:t>’</w:t>
      </w:r>
      <w:r w:rsidRPr="007311D0">
        <w:t xml:space="preserve"> or societal </w:t>
      </w:r>
      <w:r w:rsidR="004A063E">
        <w:t>domain</w:t>
      </w:r>
      <w:r w:rsidRPr="007311D0">
        <w:t xml:space="preserve"> (involving most members of a state-society)</w:t>
      </w:r>
      <w:r w:rsidR="004A063E">
        <w:t>,</w:t>
      </w:r>
      <w:r w:rsidRPr="007311D0">
        <w:t xml:space="preserve"> and finally to </w:t>
      </w:r>
      <w:r w:rsidR="004A063E">
        <w:t>the</w:t>
      </w:r>
      <w:r w:rsidRPr="007311D0">
        <w:t xml:space="preserve"> 'inter-state' </w:t>
      </w:r>
      <w:r w:rsidR="004A063E">
        <w:t>level</w:t>
      </w:r>
      <w:r w:rsidRPr="007311D0">
        <w:t xml:space="preserve"> (which occurs across state boundaries, with developments in one state effecting similar changes in another or even becoming universal norms).</w:t>
      </w:r>
      <w:r w:rsidRPr="007311D0">
        <w:rPr>
          <w:rStyle w:val="EndnoteReference"/>
        </w:rPr>
        <w:endnoteReference w:id="71"/>
      </w:r>
      <w:r w:rsidRPr="007311D0">
        <w:t xml:space="preserve"> </w:t>
      </w:r>
    </w:p>
    <w:p w14:paraId="1B3D83C5" w14:textId="5F37BED7" w:rsidR="007F37AF" w:rsidRPr="007311D0" w:rsidRDefault="007F37AF" w:rsidP="007311D0">
      <w:pPr>
        <w:pStyle w:val="MainText"/>
      </w:pPr>
      <w:r w:rsidRPr="007311D0">
        <w:t>The rise of fascism as an increasingly attractive mainstream political paradigm in the 1930s made a crucial input in all these three processes of escalation. What the March on Rome in 1922 had unlocked as a radical possibility the establishment of the Nazi regime in 1933</w:t>
      </w:r>
      <w:r w:rsidR="00293668">
        <w:t>-34</w:t>
      </w:r>
      <w:r w:rsidRPr="007311D0">
        <w:t xml:space="preserve"> established as an attractive </w:t>
      </w:r>
      <w:r w:rsidRPr="007311D0">
        <w:rPr>
          <w:i/>
          <w:iCs/>
        </w:rPr>
        <w:t>and viable</w:t>
      </w:r>
      <w:r w:rsidRPr="007311D0">
        <w:t xml:space="preserve"> alternative</w:t>
      </w:r>
      <w:r w:rsidR="00494206">
        <w:t xml:space="preserve"> that was far more </w:t>
      </w:r>
      <w:r w:rsidR="00204B77">
        <w:t>attractive</w:t>
      </w:r>
      <w:r w:rsidR="00494206">
        <w:t xml:space="preserve"> to</w:t>
      </w:r>
      <w:r w:rsidRPr="007311D0">
        <w:t xml:space="preserve"> large sectors of the European aggregative political and social mainstream. Fascist movements had already started to appear in many European countries in the 1920s but their ideological and political radicali</w:t>
      </w:r>
      <w:r w:rsidR="00233336">
        <w:t>z</w:t>
      </w:r>
      <w:r w:rsidRPr="007311D0">
        <w:t>ation received fresh momentum from Hitler</w:t>
      </w:r>
      <w:r w:rsidRPr="007311D0">
        <w:rPr>
          <w:rFonts w:cs="Times New Roman"/>
        </w:rPr>
        <w:t>’</w:t>
      </w:r>
      <w:r w:rsidRPr="007311D0">
        <w:t>s consolidation in power in Germany.</w:t>
      </w:r>
      <w:r w:rsidR="00293668">
        <w:rPr>
          <w:rStyle w:val="EndnoteReference"/>
        </w:rPr>
        <w:endnoteReference w:id="72"/>
      </w:r>
      <w:r w:rsidRPr="007311D0">
        <w:t xml:space="preserve"> At the same time, </w:t>
      </w:r>
      <w:r w:rsidR="009970DF">
        <w:t>a wave of</w:t>
      </w:r>
      <w:r w:rsidRPr="007311D0">
        <w:t xml:space="preserve"> </w:t>
      </w:r>
      <w:r w:rsidRPr="007311D0">
        <w:rPr>
          <w:rFonts w:cs="Times New Roman"/>
        </w:rPr>
        <w:t>‘</w:t>
      </w:r>
      <w:r w:rsidRPr="007311D0">
        <w:t>authoritarian transformation</w:t>
      </w:r>
      <w:r w:rsidRPr="007311D0">
        <w:rPr>
          <w:rFonts w:cs="Times New Roman"/>
        </w:rPr>
        <w:t>’</w:t>
      </w:r>
      <w:r w:rsidRPr="007311D0">
        <w:t xml:space="preserve"> </w:t>
      </w:r>
      <w:r w:rsidR="000F1CC4" w:rsidRPr="007311D0">
        <w:t xml:space="preserve">with an increasing </w:t>
      </w:r>
      <w:r w:rsidR="000F1CC4" w:rsidRPr="007311D0">
        <w:rPr>
          <w:rFonts w:cs="Times New Roman"/>
        </w:rPr>
        <w:t>‘</w:t>
      </w:r>
      <w:r w:rsidR="000F1CC4" w:rsidRPr="007311D0">
        <w:t>fascist</w:t>
      </w:r>
      <w:r w:rsidR="000F1CC4" w:rsidRPr="007311D0">
        <w:rPr>
          <w:rFonts w:cs="Times New Roman"/>
        </w:rPr>
        <w:t>’</w:t>
      </w:r>
      <w:r w:rsidR="000F1CC4" w:rsidRPr="007311D0">
        <w:t xml:space="preserve"> political hue</w:t>
      </w:r>
      <w:r w:rsidRPr="007311D0">
        <w:t xml:space="preserve"> from 193</w:t>
      </w:r>
      <w:r w:rsidR="000F1CC4" w:rsidRPr="007311D0">
        <w:t>3 onwards</w:t>
      </w:r>
      <w:r w:rsidR="0024714B" w:rsidRPr="007311D0">
        <w:t xml:space="preserve"> [Austria (March 1933), Estonia (March 1934), Latvia, and Bulgaria (May 1934), Greece (1936), Spain (1939), Romania (1938, 1941)]</w:t>
      </w:r>
      <w:r w:rsidRPr="007311D0">
        <w:t xml:space="preserve"> undermined the putatively normative status of political liberalism in the post-Versailles order</w:t>
      </w:r>
      <w:r w:rsidR="00771DCC">
        <w:t xml:space="preserve">. This </w:t>
      </w:r>
      <w:r w:rsidR="003C47BB">
        <w:t xml:space="preserve">facilitated </w:t>
      </w:r>
      <w:r w:rsidRPr="007311D0">
        <w:t xml:space="preserve">a growing political convergence between conservative-authoritarian and fascist paradigms - a process that can be described by the term </w:t>
      </w:r>
      <w:r w:rsidRPr="007311D0">
        <w:rPr>
          <w:rFonts w:cs="Times New Roman"/>
        </w:rPr>
        <w:t>‘</w:t>
      </w:r>
      <w:r w:rsidRPr="007311D0">
        <w:t>fascisti</w:t>
      </w:r>
      <w:r w:rsidR="00233336">
        <w:t>z</w:t>
      </w:r>
      <w:r w:rsidRPr="007311D0">
        <w:t>ation</w:t>
      </w:r>
      <w:r w:rsidRPr="007311D0">
        <w:rPr>
          <w:rFonts w:cs="Times New Roman"/>
        </w:rPr>
        <w:t>’</w:t>
      </w:r>
      <w:r w:rsidRPr="007311D0">
        <w:t xml:space="preserve"> in relation to the increasingly more radical ideological and political profile of most authoritarian-dictatorial </w:t>
      </w:r>
      <w:r w:rsidR="00174375">
        <w:t xml:space="preserve">forces and </w:t>
      </w:r>
      <w:r w:rsidRPr="007311D0">
        <w:t>regimes that appeared in south, central, and Eastern Europe.</w:t>
      </w:r>
      <w:r w:rsidRPr="007311D0">
        <w:rPr>
          <w:rStyle w:val="EndnoteReference"/>
        </w:rPr>
        <w:endnoteReference w:id="73"/>
      </w:r>
      <w:r w:rsidRPr="007311D0">
        <w:t xml:space="preserve"> In the eyes of its international admirers and ideological supporters, the Nazi regime in Germany soon emerged as both the template for, and the assumed harbinger of, a new international order with wholly rewritten rules for what constitutes acceptable behaviour. </w:t>
      </w:r>
    </w:p>
    <w:p w14:paraId="21F4E16D" w14:textId="2CC30BB6" w:rsidR="004347FC" w:rsidRPr="007311D0" w:rsidRDefault="007F37AF" w:rsidP="007311D0">
      <w:pPr>
        <w:pStyle w:val="MainText"/>
      </w:pPr>
      <w:r w:rsidRPr="007311D0">
        <w:t xml:space="preserve">Nazi </w:t>
      </w:r>
      <w:r w:rsidR="00293668">
        <w:t xml:space="preserve">extreme </w:t>
      </w:r>
      <w:r w:rsidRPr="007311D0">
        <w:t>uncivility towards its perceived opponents was already evident long before Hitler</w:t>
      </w:r>
      <w:r w:rsidRPr="007311D0">
        <w:rPr>
          <w:rFonts w:cs="Times New Roman"/>
        </w:rPr>
        <w:t>’</w:t>
      </w:r>
      <w:r w:rsidRPr="007311D0">
        <w:t>s appointment in 1933.</w:t>
      </w:r>
      <w:r w:rsidRPr="007311D0">
        <w:rPr>
          <w:rStyle w:val="EndnoteReference"/>
        </w:rPr>
        <w:endnoteReference w:id="74"/>
      </w:r>
      <w:r w:rsidRPr="007311D0">
        <w:t xml:space="preserve"> But any illusions that the radical edge of Nazism</w:t>
      </w:r>
      <w:r w:rsidR="00AE0B38" w:rsidRPr="007311D0">
        <w:t xml:space="preserve"> would be </w:t>
      </w:r>
      <w:r w:rsidR="00293668">
        <w:t xml:space="preserve">somehow </w:t>
      </w:r>
      <w:r w:rsidR="00AE0B38" w:rsidRPr="007311D0">
        <w:t>tamed through the award of power and its integration into formal state structures</w:t>
      </w:r>
      <w:r w:rsidRPr="007311D0">
        <w:t xml:space="preserve"> dissipated very quickly in 1933 after a series of violent events (Reichstag fire and declaration of a state of emergency, mass arrests of socialists and communists, opening of the Dachau concentration camp, anti-Jewish boycott</w:t>
      </w:r>
      <w:r w:rsidR="00293668">
        <w:t>,</w:t>
      </w:r>
      <w:r w:rsidRPr="007311D0">
        <w:t xml:space="preserve"> beginning of </w:t>
      </w:r>
      <w:r w:rsidR="00400B6D">
        <w:t>exclusion</w:t>
      </w:r>
      <w:r w:rsidRPr="007311D0">
        <w:t xml:space="preserve"> of Jews from public life) shattered any outstanding illusion. Still, it was the model pioneered by the Nazi regime with the 1935 Nuremberg Laws that marked a seismic turning point for Germany and Europe</w:t>
      </w:r>
      <w:r w:rsidR="00696849">
        <w:t xml:space="preserve"> alike</w:t>
      </w:r>
      <w:r w:rsidRPr="007311D0">
        <w:t xml:space="preserve">. The new restrictive </w:t>
      </w:r>
      <w:r w:rsidR="000F1CC4" w:rsidRPr="007311D0">
        <w:rPr>
          <w:rFonts w:cs="Times New Roman"/>
        </w:rPr>
        <w:t>‘</w:t>
      </w:r>
      <w:r w:rsidRPr="007311D0">
        <w:t>citizenship</w:t>
      </w:r>
      <w:r w:rsidR="000F1CC4" w:rsidRPr="007311D0">
        <w:rPr>
          <w:rFonts w:cs="Times New Roman"/>
        </w:rPr>
        <w:t>’</w:t>
      </w:r>
      <w:r w:rsidRPr="007311D0">
        <w:t xml:space="preserve"> law and the subsequent legal, economic, social, cultural, and biological ostracism of Jews from the German </w:t>
      </w:r>
      <w:r w:rsidRPr="007311D0">
        <w:rPr>
          <w:i/>
          <w:iCs/>
        </w:rPr>
        <w:t>Volksgemeinschaft</w:t>
      </w:r>
      <w:r w:rsidRPr="007311D0">
        <w:t xml:space="preserve"> that it </w:t>
      </w:r>
      <w:r w:rsidR="00936EC3">
        <w:t>legitimized</w:t>
      </w:r>
      <w:r w:rsidRPr="007311D0">
        <w:t xml:space="preserve"> was a genuine taboo-breaking </w:t>
      </w:r>
      <w:r w:rsidR="00696849">
        <w:t>episode with seismic open-ended implications that would be increasingly and devastatingly felt in the following years</w:t>
      </w:r>
      <w:r w:rsidRPr="007311D0">
        <w:t>. This was not a simple reversal of the Versailles minority protection and equal citizenship principles that Weimar Germany had shown itself to be one of their most enthusiastic international sponsors in the second half of the 1920s</w:t>
      </w:r>
      <w:r w:rsidR="004347FC" w:rsidRPr="007311D0">
        <w:t>.</w:t>
      </w:r>
      <w:r w:rsidRPr="007311D0">
        <w:rPr>
          <w:rStyle w:val="EndnoteReference"/>
        </w:rPr>
        <w:endnoteReference w:id="75"/>
      </w:r>
      <w:r w:rsidRPr="007311D0">
        <w:t xml:space="preserve"> </w:t>
      </w:r>
      <w:r w:rsidR="004347FC" w:rsidRPr="007311D0">
        <w:t>Instead it</w:t>
      </w:r>
      <w:r w:rsidRPr="007311D0">
        <w:t xml:space="preserve"> formali</w:t>
      </w:r>
      <w:r w:rsidR="00182D49">
        <w:t>z</w:t>
      </w:r>
      <w:r w:rsidRPr="007311D0">
        <w:t xml:space="preserve">ed legally and justified morally the notion of the narrow re-definition of </w:t>
      </w:r>
      <w:r w:rsidR="00696849">
        <w:t xml:space="preserve">the </w:t>
      </w:r>
      <w:r w:rsidRPr="007311D0">
        <w:t>community</w:t>
      </w:r>
      <w:r w:rsidR="00696849">
        <w:t>’s ‘we-identity’</w:t>
      </w:r>
      <w:r w:rsidRPr="007311D0">
        <w:t xml:space="preserve"> that </w:t>
      </w:r>
      <w:r w:rsidR="000F1CC4" w:rsidRPr="007311D0">
        <w:t xml:space="preserve">sought to </w:t>
      </w:r>
      <w:r w:rsidR="00195C01">
        <w:t xml:space="preserve">exclude </w:t>
      </w:r>
      <w:r w:rsidR="00E72D74">
        <w:t>an expanding web of</w:t>
      </w:r>
      <w:r w:rsidRPr="007311D0">
        <w:t xml:space="preserve"> groups deemed dangerous to it</w:t>
      </w:r>
      <w:r w:rsidR="00195C01">
        <w:t xml:space="preserve"> by expunging them</w:t>
      </w:r>
      <w:r w:rsidR="001470D0">
        <w:t xml:space="preserve"> in the most extre</w:t>
      </w:r>
      <w:r w:rsidR="005654C4">
        <w:t>me and brutal fashion</w:t>
      </w:r>
      <w:r w:rsidR="00195C01">
        <w:t xml:space="preserve">. </w:t>
      </w:r>
    </w:p>
    <w:p w14:paraId="4A78E9AA" w14:textId="6008D4B7" w:rsidR="00AE0B38" w:rsidRPr="007311D0" w:rsidRDefault="004347FC" w:rsidP="007311D0">
      <w:pPr>
        <w:pStyle w:val="MainText"/>
      </w:pPr>
      <w:r w:rsidRPr="007311D0">
        <w:t xml:space="preserve">There was a Janus-faced dimension </w:t>
      </w:r>
      <w:r w:rsidR="00AE0B38" w:rsidRPr="007311D0">
        <w:t>to</w:t>
      </w:r>
      <w:r w:rsidRPr="007311D0">
        <w:t xml:space="preserve"> this reactivation and normali</w:t>
      </w:r>
      <w:r w:rsidR="00182D49">
        <w:t>z</w:t>
      </w:r>
      <w:r w:rsidRPr="007311D0">
        <w:t>ation of taboo-breaking violent impulses</w:t>
      </w:r>
      <w:r w:rsidR="00F5488F" w:rsidRPr="007311D0">
        <w:t xml:space="preserve"> </w:t>
      </w:r>
      <w:r w:rsidRPr="007311D0">
        <w:t>by the National Socialist regime. If viewed through the</w:t>
      </w:r>
      <w:r w:rsidR="00E85A68" w:rsidRPr="007311D0">
        <w:t xml:space="preserve"> Eliasian</w:t>
      </w:r>
      <w:r w:rsidRPr="007311D0">
        <w:t xml:space="preserve"> prism of </w:t>
      </w:r>
      <w:r w:rsidR="00E85A68" w:rsidRPr="007311D0">
        <w:t xml:space="preserve">societal </w:t>
      </w:r>
      <w:r w:rsidRPr="007311D0">
        <w:t xml:space="preserve">pacification, the Nazi uncivil discourse and praxis </w:t>
      </w:r>
      <w:r w:rsidR="0095155E">
        <w:t xml:space="preserve">indeed </w:t>
      </w:r>
      <w:r w:rsidR="003F2864">
        <w:t xml:space="preserve">a </w:t>
      </w:r>
      <w:r w:rsidR="005C4A59" w:rsidRPr="007311D0">
        <w:t xml:space="preserve">constituted deep regression from the assumed trajectory of the </w:t>
      </w:r>
      <w:r w:rsidR="005C4A59" w:rsidRPr="007311D0">
        <w:rPr>
          <w:rFonts w:cs="Times New Roman"/>
        </w:rPr>
        <w:t>‘</w:t>
      </w:r>
      <w:r w:rsidR="005C4A59" w:rsidRPr="007311D0">
        <w:t>civili</w:t>
      </w:r>
      <w:r w:rsidR="00182D49">
        <w:t>z</w:t>
      </w:r>
      <w:r w:rsidR="005C4A59" w:rsidRPr="007311D0">
        <w:t>ing process</w:t>
      </w:r>
      <w:r w:rsidR="005C4A59" w:rsidRPr="007311D0">
        <w:rPr>
          <w:rFonts w:cs="Times New Roman"/>
        </w:rPr>
        <w:t>’</w:t>
      </w:r>
      <w:r w:rsidR="00696849">
        <w:rPr>
          <w:rFonts w:cs="Times New Roman"/>
        </w:rPr>
        <w:t xml:space="preserve">, as </w:t>
      </w:r>
      <w:r w:rsidR="0095155E">
        <w:rPr>
          <w:rFonts w:cs="Times New Roman"/>
        </w:rPr>
        <w:t>Elias</w:t>
      </w:r>
      <w:r w:rsidR="00696849">
        <w:rPr>
          <w:rFonts w:cs="Times New Roman"/>
        </w:rPr>
        <w:t xml:space="preserve"> </w:t>
      </w:r>
      <w:r w:rsidR="00133718">
        <w:rPr>
          <w:rFonts w:cs="Times New Roman"/>
        </w:rPr>
        <w:t xml:space="preserve">himself </w:t>
      </w:r>
      <w:r w:rsidR="00696849">
        <w:rPr>
          <w:rFonts w:cs="Times New Roman"/>
        </w:rPr>
        <w:t>later argued</w:t>
      </w:r>
      <w:r w:rsidR="005C4A59" w:rsidRPr="007311D0">
        <w:t xml:space="preserve">. If, however, the vantage point shifted to </w:t>
      </w:r>
      <w:r w:rsidR="002C10BF" w:rsidRPr="007311D0">
        <w:t xml:space="preserve">that of </w:t>
      </w:r>
      <w:r w:rsidR="005C4A59" w:rsidRPr="007311D0">
        <w:t xml:space="preserve">the </w:t>
      </w:r>
      <w:r w:rsidR="002C10BF" w:rsidRPr="007311D0">
        <w:t>narrowly con</w:t>
      </w:r>
      <w:r w:rsidR="005C4A59" w:rsidRPr="007311D0">
        <w:t xml:space="preserve">ceived </w:t>
      </w:r>
      <w:r w:rsidR="00696849">
        <w:t>‘we-identity’</w:t>
      </w:r>
      <w:r w:rsidR="005C4A59" w:rsidRPr="007311D0">
        <w:t>, then the Nazi murderous campaign against Jews and other otheri</w:t>
      </w:r>
      <w:r w:rsidR="00182D49">
        <w:t>z</w:t>
      </w:r>
      <w:r w:rsidR="005C4A59" w:rsidRPr="007311D0">
        <w:t xml:space="preserve">ed minorities mutated into an </w:t>
      </w:r>
      <w:r w:rsidR="005C4A59" w:rsidRPr="001565FE">
        <w:rPr>
          <w:i/>
        </w:rPr>
        <w:t>external</w:t>
      </w:r>
      <w:r w:rsidR="005C4A59" w:rsidRPr="007311D0">
        <w:t xml:space="preserve"> </w:t>
      </w:r>
      <w:r w:rsidR="005C4A59" w:rsidRPr="004363E6">
        <w:rPr>
          <w:i/>
        </w:rPr>
        <w:t>war</w:t>
      </w:r>
      <w:r w:rsidR="005C4A59" w:rsidRPr="007311D0">
        <w:t xml:space="preserve"> waged in the name of the protection of the community itself</w:t>
      </w:r>
      <w:r w:rsidR="007460ED" w:rsidRPr="007311D0">
        <w:t xml:space="preserve"> </w:t>
      </w:r>
      <w:r w:rsidR="007460ED" w:rsidRPr="007311D0">
        <w:rPr>
          <w:rFonts w:cs="Times New Roman"/>
        </w:rPr>
        <w:t>–</w:t>
      </w:r>
      <w:r w:rsidR="007460ED" w:rsidRPr="007311D0">
        <w:t xml:space="preserve"> </w:t>
      </w:r>
      <w:r w:rsidR="00133718">
        <w:t xml:space="preserve">a </w:t>
      </w:r>
      <w:r w:rsidR="007460ED" w:rsidRPr="007311D0">
        <w:t xml:space="preserve">war that, qua Elias, </w:t>
      </w:r>
      <w:r w:rsidR="00644A27" w:rsidRPr="007311D0">
        <w:t xml:space="preserve">was conditionally sanctioned and thus not contrary to the </w:t>
      </w:r>
      <w:r w:rsidR="00644A27" w:rsidRPr="007311D0">
        <w:rPr>
          <w:rFonts w:cs="Times New Roman"/>
        </w:rPr>
        <w:t>‘</w:t>
      </w:r>
      <w:r w:rsidR="00644A27" w:rsidRPr="007311D0">
        <w:t>civili</w:t>
      </w:r>
      <w:r w:rsidR="00182D49">
        <w:t>z</w:t>
      </w:r>
      <w:r w:rsidR="00644A27" w:rsidRPr="007311D0">
        <w:t>ing process</w:t>
      </w:r>
      <w:r w:rsidR="00644A27" w:rsidRPr="007311D0">
        <w:rPr>
          <w:rFonts w:cs="Times New Roman"/>
        </w:rPr>
        <w:t>’</w:t>
      </w:r>
      <w:r w:rsidR="005C4A59" w:rsidRPr="007311D0">
        <w:t>.</w:t>
      </w:r>
      <w:r w:rsidR="00644A27" w:rsidRPr="007311D0">
        <w:rPr>
          <w:rStyle w:val="EndnoteReference"/>
        </w:rPr>
        <w:endnoteReference w:id="76"/>
      </w:r>
      <w:r w:rsidR="005C4A59" w:rsidRPr="007311D0">
        <w:t xml:space="preserve"> This alternative understanding does not of course deny the campaign</w:t>
      </w:r>
      <w:r w:rsidR="005C4A59" w:rsidRPr="007311D0">
        <w:rPr>
          <w:rFonts w:cs="Times New Roman"/>
        </w:rPr>
        <w:t>’</w:t>
      </w:r>
      <w:r w:rsidR="005C4A59" w:rsidRPr="007311D0">
        <w:t xml:space="preserve">s </w:t>
      </w:r>
      <w:r w:rsidR="00696849">
        <w:t xml:space="preserve">distressing </w:t>
      </w:r>
      <w:r w:rsidR="005C4A59" w:rsidRPr="007311D0">
        <w:rPr>
          <w:rFonts w:cs="Times New Roman"/>
        </w:rPr>
        <w:t>‘</w:t>
      </w:r>
      <w:r w:rsidR="005C4A59" w:rsidRPr="007311D0">
        <w:t>decivili</w:t>
      </w:r>
      <w:r w:rsidR="00182D49">
        <w:t>z</w:t>
      </w:r>
      <w:r w:rsidR="005C4A59" w:rsidRPr="007311D0">
        <w:t>ing</w:t>
      </w:r>
      <w:r w:rsidR="005C4A59" w:rsidRPr="007311D0">
        <w:rPr>
          <w:rFonts w:cs="Times New Roman"/>
        </w:rPr>
        <w:t>’</w:t>
      </w:r>
      <w:r w:rsidR="005C4A59" w:rsidRPr="007311D0">
        <w:t xml:space="preserve"> </w:t>
      </w:r>
      <w:r w:rsidR="00696849">
        <w:t>effects</w:t>
      </w:r>
      <w:r w:rsidR="005C4A59" w:rsidRPr="007311D0">
        <w:t xml:space="preserve">; but it does </w:t>
      </w:r>
      <w:r w:rsidR="005C0C8B">
        <w:t>re-situate</w:t>
      </w:r>
      <w:r w:rsidR="00644A27" w:rsidRPr="007311D0">
        <w:t xml:space="preserve"> it</w:t>
      </w:r>
      <w:r w:rsidR="005C4A59" w:rsidRPr="007311D0">
        <w:t xml:space="preserve"> </w:t>
      </w:r>
      <w:r w:rsidR="00644A27" w:rsidRPr="007311D0">
        <w:t xml:space="preserve">in </w:t>
      </w:r>
      <w:r w:rsidR="005C4A59" w:rsidRPr="007311D0">
        <w:t>the inherently violent and far more permissive context of a</w:t>
      </w:r>
      <w:r w:rsidR="00696849">
        <w:t xml:space="preserve"> putatively defensive</w:t>
      </w:r>
      <w:r w:rsidR="005C4A59" w:rsidRPr="007311D0">
        <w:t xml:space="preserve"> war</w:t>
      </w:r>
      <w:r w:rsidR="00696849">
        <w:t>-like campaign</w:t>
      </w:r>
      <w:r w:rsidR="005C4A59" w:rsidRPr="007311D0">
        <w:t xml:space="preserve"> against assumed mortal enemies of the </w:t>
      </w:r>
      <w:r w:rsidR="0095155E">
        <w:t>community</w:t>
      </w:r>
      <w:r w:rsidR="005C4A59" w:rsidRPr="007311D0">
        <w:t xml:space="preserve">. As a result, it is not so much the threshold of repugnance to violence that </w:t>
      </w:r>
      <w:r w:rsidR="00D06690">
        <w:t>was</w:t>
      </w:r>
      <w:r w:rsidR="005C4A59" w:rsidRPr="007311D0">
        <w:t xml:space="preserve"> being questioned but rather the</w:t>
      </w:r>
      <w:r w:rsidR="00930289">
        <w:t xml:space="preserve"> moral</w:t>
      </w:r>
      <w:r w:rsidR="005C4A59" w:rsidRPr="007311D0">
        <w:t xml:space="preserve"> </w:t>
      </w:r>
      <w:r w:rsidR="00930289">
        <w:t xml:space="preserve">legitimacy of its </w:t>
      </w:r>
      <w:r w:rsidR="00AE0B38" w:rsidRPr="007311D0">
        <w:t>deployment</w:t>
      </w:r>
      <w:r w:rsidR="00107EBD">
        <w:t xml:space="preserve"> by the state</w:t>
      </w:r>
      <w:r w:rsidR="00AE0B38" w:rsidRPr="007311D0">
        <w:t xml:space="preserve"> against </w:t>
      </w:r>
      <w:r w:rsidR="00604FC7">
        <w:t xml:space="preserve">perceived external </w:t>
      </w:r>
      <w:r w:rsidR="00AE0B38" w:rsidRPr="007311D0">
        <w:t>others</w:t>
      </w:r>
      <w:r w:rsidR="00107EBD">
        <w:t>,</w:t>
      </w:r>
      <w:r w:rsidR="00AE0B38" w:rsidRPr="007311D0">
        <w:t xml:space="preserve"> as well as of the very humanity of its targets.</w:t>
      </w:r>
      <w:r w:rsidR="00107EBD">
        <w:rPr>
          <w:rStyle w:val="EndnoteReference"/>
        </w:rPr>
        <w:endnoteReference w:id="77"/>
      </w:r>
      <w:r w:rsidR="00AE0B38" w:rsidRPr="007311D0">
        <w:t xml:space="preserve"> As Elias </w:t>
      </w:r>
      <w:r w:rsidR="00107EBD">
        <w:t xml:space="preserve">poignantly </w:t>
      </w:r>
      <w:r w:rsidR="00AE0B38" w:rsidRPr="007311D0">
        <w:t xml:space="preserve">noted, </w:t>
      </w:r>
      <w:r w:rsidR="00AE0B38" w:rsidRPr="007311D0">
        <w:rPr>
          <w:rFonts w:cs="Times New Roman"/>
        </w:rPr>
        <w:t>‘</w:t>
      </w:r>
      <w:r w:rsidR="00AE0B38" w:rsidRPr="007311D0">
        <w:t>the torment, suffering and death of Jews did not appear [to the Nazis] to mean more than that of flies</w:t>
      </w:r>
      <w:r w:rsidR="00AE0B38" w:rsidRPr="007311D0">
        <w:rPr>
          <w:rFonts w:cs="Times New Roman"/>
        </w:rPr>
        <w:t>’</w:t>
      </w:r>
      <w:r w:rsidR="00AE0B38" w:rsidRPr="007311D0">
        <w:t>.</w:t>
      </w:r>
      <w:r w:rsidR="00AE0B38" w:rsidRPr="007311D0">
        <w:rPr>
          <w:rStyle w:val="EndnoteReference"/>
        </w:rPr>
        <w:endnoteReference w:id="78"/>
      </w:r>
      <w:r w:rsidR="00AE0B38" w:rsidRPr="007311D0">
        <w:t xml:space="preserve"> The </w:t>
      </w:r>
      <w:r w:rsidR="00AE0B38" w:rsidRPr="007311D0">
        <w:rPr>
          <w:rFonts w:cs="Times New Roman"/>
        </w:rPr>
        <w:t>‘</w:t>
      </w:r>
      <w:r w:rsidR="00AE0B38" w:rsidRPr="007311D0">
        <w:t>civili</w:t>
      </w:r>
      <w:r w:rsidR="00182D49">
        <w:t>z</w:t>
      </w:r>
      <w:r w:rsidR="00AE0B38" w:rsidRPr="007311D0">
        <w:t>ing process</w:t>
      </w:r>
      <w:r w:rsidR="00AE0B38" w:rsidRPr="007311D0">
        <w:rPr>
          <w:rFonts w:cs="Times New Roman"/>
        </w:rPr>
        <w:t>’</w:t>
      </w:r>
      <w:r w:rsidR="00AE0B38" w:rsidRPr="007311D0">
        <w:t xml:space="preserve"> simply excluded them and other targeted minorities, at the same time that </w:t>
      </w:r>
      <w:r w:rsidR="00A95AD1" w:rsidRPr="007311D0">
        <w:t xml:space="preserve">mutual identification and regulation of public violence among the members of the (narrowly re-defined) community was </w:t>
      </w:r>
      <w:r w:rsidR="00107EBD">
        <w:t xml:space="preserve">otherwise </w:t>
      </w:r>
      <w:r w:rsidR="00A95AD1" w:rsidRPr="007311D0">
        <w:t xml:space="preserve">affirmed and </w:t>
      </w:r>
      <w:r w:rsidR="00D97E61">
        <w:t>deepened</w:t>
      </w:r>
      <w:r w:rsidR="00A95AD1" w:rsidRPr="007311D0">
        <w:t xml:space="preserve">. </w:t>
      </w:r>
    </w:p>
    <w:p w14:paraId="1BA8FB26" w14:textId="39B13956" w:rsidR="007F37AF" w:rsidRPr="007311D0" w:rsidRDefault="00AE0B38" w:rsidP="007311D0">
      <w:pPr>
        <w:pStyle w:val="MainText"/>
      </w:pPr>
      <w:r w:rsidRPr="007311D0">
        <w:t xml:space="preserve">Such a </w:t>
      </w:r>
      <w:r w:rsidR="00E85A68" w:rsidRPr="007311D0">
        <w:t>displacement</w:t>
      </w:r>
      <w:r w:rsidR="007460ED" w:rsidRPr="007311D0">
        <w:t xml:space="preserve"> of </w:t>
      </w:r>
      <w:r w:rsidR="00E85A68" w:rsidRPr="007311D0">
        <w:t xml:space="preserve">sanctioned </w:t>
      </w:r>
      <w:r w:rsidR="007460ED" w:rsidRPr="007311D0">
        <w:t xml:space="preserve">violence </w:t>
      </w:r>
      <w:r w:rsidR="00182D49">
        <w:rPr>
          <w:rFonts w:cs="Times New Roman"/>
        </w:rPr>
        <w:t>—</w:t>
      </w:r>
      <w:r w:rsidR="00E85A68" w:rsidRPr="007311D0">
        <w:t xml:space="preserve"> </w:t>
      </w:r>
      <w:r w:rsidR="004A34B6" w:rsidRPr="007311D0">
        <w:t xml:space="preserve">against </w:t>
      </w:r>
      <w:r w:rsidR="0022002A" w:rsidRPr="007311D0">
        <w:t>targets</w:t>
      </w:r>
      <w:r w:rsidR="00107EBD">
        <w:t xml:space="preserve"> </w:t>
      </w:r>
      <w:r w:rsidR="00761CF2">
        <w:t xml:space="preserve">excluded from the ‘we-identity’ and </w:t>
      </w:r>
      <w:r w:rsidR="00107EBD">
        <w:t xml:space="preserve">expunged legally, socially, and biologically from </w:t>
      </w:r>
      <w:r w:rsidR="00761CF2">
        <w:t xml:space="preserve">community </w:t>
      </w:r>
      <w:r w:rsidR="00182D49">
        <w:t>—</w:t>
      </w:r>
      <w:r w:rsidR="0022002A" w:rsidRPr="007311D0">
        <w:t xml:space="preserve"> also</w:t>
      </w:r>
      <w:r w:rsidR="007460ED" w:rsidRPr="007311D0">
        <w:t xml:space="preserve"> </w:t>
      </w:r>
      <w:r w:rsidR="004A34B6" w:rsidRPr="007311D0">
        <w:t>reframe</w:t>
      </w:r>
      <w:r w:rsidR="00107EBD">
        <w:t>d</w:t>
      </w:r>
      <w:r w:rsidR="00A95AD1" w:rsidRPr="007311D0">
        <w:t xml:space="preserve"> the taboo of violence</w:t>
      </w:r>
      <w:r w:rsidR="0022002A" w:rsidRPr="007311D0">
        <w:t xml:space="preserve"> as </w:t>
      </w:r>
      <w:r w:rsidR="0022002A" w:rsidRPr="004363E6">
        <w:rPr>
          <w:i/>
        </w:rPr>
        <w:t>conditionally violable</w:t>
      </w:r>
      <w:r w:rsidR="0022002A" w:rsidRPr="007311D0">
        <w:t xml:space="preserve"> in the context of particular </w:t>
      </w:r>
      <w:r w:rsidR="0022002A" w:rsidRPr="004363E6">
        <w:rPr>
          <w:i/>
        </w:rPr>
        <w:t>inter</w:t>
      </w:r>
      <w:r w:rsidR="0022002A" w:rsidRPr="007311D0">
        <w:t>-community interactions without challenging its otherwise paradigm</w:t>
      </w:r>
      <w:r w:rsidR="004A34B6" w:rsidRPr="007311D0">
        <w:t>a</w:t>
      </w:r>
      <w:r w:rsidR="0022002A" w:rsidRPr="007311D0">
        <w:t xml:space="preserve">tic validity as an </w:t>
      </w:r>
      <w:r w:rsidR="0022002A" w:rsidRPr="004363E6">
        <w:rPr>
          <w:i/>
        </w:rPr>
        <w:t>intra</w:t>
      </w:r>
      <w:r w:rsidR="0022002A" w:rsidRPr="007311D0">
        <w:t xml:space="preserve">-community </w:t>
      </w:r>
      <w:r w:rsidR="00B80F16">
        <w:t>prohibition</w:t>
      </w:r>
      <w:r w:rsidR="0022002A" w:rsidRPr="007311D0">
        <w:t xml:space="preserve">. </w:t>
      </w:r>
      <w:r w:rsidR="007F37AF" w:rsidRPr="007311D0">
        <w:t>In his classic account of taboo and transgression, Georges Bataille mentioned the example of war as</w:t>
      </w:r>
      <w:r w:rsidR="00127DFE" w:rsidRPr="00127DFE">
        <w:t xml:space="preserve"> </w:t>
      </w:r>
      <w:r w:rsidR="00127DFE">
        <w:t>the archetype of a</w:t>
      </w:r>
      <w:r w:rsidR="007F37AF" w:rsidRPr="007311D0">
        <w:t xml:space="preserve"> </w:t>
      </w:r>
      <w:r w:rsidR="007F37AF" w:rsidRPr="007311D0">
        <w:rPr>
          <w:i/>
          <w:iCs/>
        </w:rPr>
        <w:t>limited</w:t>
      </w:r>
      <w:r w:rsidR="007F37AF" w:rsidRPr="007311D0">
        <w:t xml:space="preserve"> </w:t>
      </w:r>
      <w:r w:rsidR="00127DFE">
        <w:t xml:space="preserve">allowable </w:t>
      </w:r>
      <w:r w:rsidR="007F37AF" w:rsidRPr="00127DFE">
        <w:rPr>
          <w:iCs/>
        </w:rPr>
        <w:t>transgression</w:t>
      </w:r>
      <w:r w:rsidR="00127DFE">
        <w:rPr>
          <w:iCs/>
        </w:rPr>
        <w:t xml:space="preserve"> of the taboo of violence</w:t>
      </w:r>
      <w:r w:rsidR="00761CF2">
        <w:rPr>
          <w:iCs/>
        </w:rPr>
        <w:t xml:space="preserve"> without questioning its paradigmatic validity</w:t>
      </w:r>
      <w:r w:rsidR="007F37AF" w:rsidRPr="007311D0">
        <w:t xml:space="preserve">: </w:t>
      </w:r>
    </w:p>
    <w:p w14:paraId="3CB792DB" w14:textId="3B995D07" w:rsidR="007F37AF" w:rsidRPr="007311D0" w:rsidRDefault="007F37AF" w:rsidP="007311D0">
      <w:pPr>
        <w:pStyle w:val="Quotations"/>
      </w:pPr>
      <w:r w:rsidRPr="007311D0">
        <w:t xml:space="preserve">We can even go as far as the absurd proposition: </w:t>
      </w:r>
      <w:r w:rsidR="00897250" w:rsidRPr="007311D0">
        <w:rPr>
          <w:rFonts w:cs="Times New Roman"/>
        </w:rPr>
        <w:t>‘</w:t>
      </w:r>
      <w:r w:rsidRPr="007311D0">
        <w:t>The taboo is there in order to be violated.</w:t>
      </w:r>
      <w:r w:rsidR="00897250" w:rsidRPr="007311D0">
        <w:rPr>
          <w:rFonts w:cs="Times New Roman"/>
        </w:rPr>
        <w:t>’</w:t>
      </w:r>
      <w:r w:rsidR="00147917" w:rsidRPr="007311D0">
        <w:t xml:space="preserve"> </w:t>
      </w:r>
      <w:r w:rsidRPr="007311D0">
        <w:t>…</w:t>
      </w:r>
      <w:r w:rsidR="00147917" w:rsidRPr="007311D0">
        <w:t xml:space="preserve"> </w:t>
      </w:r>
      <w:r w:rsidRPr="007311D0">
        <w:t xml:space="preserve">The statement: </w:t>
      </w:r>
      <w:r w:rsidR="00897250" w:rsidRPr="007311D0">
        <w:rPr>
          <w:rFonts w:cs="Times New Roman"/>
        </w:rPr>
        <w:t>‘</w:t>
      </w:r>
      <w:r w:rsidRPr="007311D0">
        <w:t>The taboo is there to be violated</w:t>
      </w:r>
      <w:r w:rsidR="00897250" w:rsidRPr="007311D0">
        <w:rPr>
          <w:rFonts w:cs="Times New Roman"/>
        </w:rPr>
        <w:t>’</w:t>
      </w:r>
      <w:r w:rsidRPr="007311D0">
        <w:t xml:space="preserve"> ought to make sense of the fact that the taboo on murder, universal though it may be, nowhere opposes war.</w:t>
      </w:r>
      <w:r w:rsidRPr="007311D0">
        <w:rPr>
          <w:rStyle w:val="EndnoteReference"/>
        </w:rPr>
        <w:endnoteReference w:id="79"/>
      </w:r>
    </w:p>
    <w:p w14:paraId="6989C248" w14:textId="1DBCAC8D" w:rsidR="007F37AF" w:rsidRPr="007311D0" w:rsidRDefault="00761CF2" w:rsidP="007311D0">
      <w:pPr>
        <w:pStyle w:val="MainText"/>
      </w:pPr>
      <w:r>
        <w:t xml:space="preserve">It </w:t>
      </w:r>
      <w:r w:rsidR="0095155E">
        <w:t>was</w:t>
      </w:r>
      <w:r>
        <w:t xml:space="preserve"> thus the recasting of the </w:t>
      </w:r>
      <w:r w:rsidR="008F4946">
        <w:t xml:space="preserve">violent </w:t>
      </w:r>
      <w:r>
        <w:t xml:space="preserve">persecution and expunging of particular </w:t>
      </w:r>
      <w:r w:rsidR="008F4946">
        <w:t>community outsiders</w:t>
      </w:r>
      <w:r>
        <w:t xml:space="preserve"> as an external war that ma</w:t>
      </w:r>
      <w:r w:rsidR="0095155E">
        <w:t>de</w:t>
      </w:r>
      <w:r>
        <w:t xml:space="preserve"> the transgression ethically imaginable and permissible</w:t>
      </w:r>
      <w:r w:rsidR="008326E2">
        <w:t>, not to mention desirable</w:t>
      </w:r>
      <w:r>
        <w:t xml:space="preserve">. </w:t>
      </w:r>
      <w:r w:rsidR="007F37AF" w:rsidRPr="007311D0">
        <w:t xml:space="preserve">In other words, transgression </w:t>
      </w:r>
      <w:r w:rsidR="0095155E">
        <w:t>was still</w:t>
      </w:r>
      <w:r w:rsidR="007F37AF" w:rsidRPr="007311D0">
        <w:t xml:space="preserve"> allowable </w:t>
      </w:r>
      <w:r w:rsidR="0095155E">
        <w:t xml:space="preserve">– but </w:t>
      </w:r>
      <w:r w:rsidR="007F37AF" w:rsidRPr="007311D0">
        <w:t xml:space="preserve">only on the basis of a particular </w:t>
      </w:r>
      <w:r w:rsidR="007F37AF" w:rsidRPr="007311D0">
        <w:rPr>
          <w:i/>
          <w:iCs/>
        </w:rPr>
        <w:t>licence</w:t>
      </w:r>
      <w:r w:rsidR="007F37AF" w:rsidRPr="007311D0">
        <w:t>, granted through utterance or law, to stray from normative standards of behaviour in circumstances defined as exceptional</w:t>
      </w:r>
      <w:r w:rsidR="00F872C4">
        <w:t xml:space="preserve"> and through appeals to </w:t>
      </w:r>
      <w:r w:rsidR="0095155E">
        <w:t>alternative</w:t>
      </w:r>
      <w:r w:rsidR="00F872C4">
        <w:t xml:space="preserve"> overriding higher principles</w:t>
      </w:r>
      <w:r w:rsidR="007F37AF" w:rsidRPr="007311D0">
        <w:t xml:space="preserve">. The strength of the </w:t>
      </w:r>
      <w:r w:rsidR="00F1743A">
        <w:t xml:space="preserve">original </w:t>
      </w:r>
      <w:r w:rsidR="007F37AF" w:rsidRPr="007311D0">
        <w:t>taboo and the moral stigma associated with its transgression require</w:t>
      </w:r>
      <w:r w:rsidR="0095155E">
        <w:t>d</w:t>
      </w:r>
      <w:r w:rsidR="007F37AF" w:rsidRPr="007311D0">
        <w:t xml:space="preserve"> a robust justification that in practice </w:t>
      </w:r>
      <w:r w:rsidR="0095155E">
        <w:t>placed</w:t>
      </w:r>
      <w:r w:rsidR="007F37AF" w:rsidRPr="007311D0">
        <w:t xml:space="preserve"> the taboo in </w:t>
      </w:r>
      <w:r w:rsidR="00EE240A">
        <w:t xml:space="preserve">an either-or </w:t>
      </w:r>
      <w:r w:rsidR="007F37AF" w:rsidRPr="007311D0">
        <w:t xml:space="preserve">conflict with </w:t>
      </w:r>
      <w:r w:rsidR="00E85A68" w:rsidRPr="007311D0">
        <w:t xml:space="preserve">alternative </w:t>
      </w:r>
      <w:r w:rsidR="007F37AF" w:rsidRPr="007311D0">
        <w:t>principle</w:t>
      </w:r>
      <w:r w:rsidR="00E85A68" w:rsidRPr="007311D0">
        <w:t>s</w:t>
      </w:r>
      <w:r w:rsidR="007A48BD" w:rsidRPr="007311D0">
        <w:t xml:space="preserve"> (in this case, the self-defence of the community</w:t>
      </w:r>
      <w:r w:rsidR="00E85A68" w:rsidRPr="007311D0">
        <w:t>;</w:t>
      </w:r>
      <w:r w:rsidR="007A48BD" w:rsidRPr="007311D0">
        <w:t xml:space="preserve"> and the </w:t>
      </w:r>
      <w:r w:rsidR="00F872C4">
        <w:t>alleged sub-</w:t>
      </w:r>
      <w:r w:rsidR="007A48BD" w:rsidRPr="007311D0">
        <w:t>humanity of the Jews)</w:t>
      </w:r>
      <w:r w:rsidR="007F37AF" w:rsidRPr="007311D0">
        <w:t xml:space="preserve"> and thus open</w:t>
      </w:r>
      <w:r w:rsidR="0095155E">
        <w:t>ed</w:t>
      </w:r>
      <w:r w:rsidR="007F37AF" w:rsidRPr="007311D0">
        <w:t xml:space="preserve"> up the possibility of a morally defensible alternative </w:t>
      </w:r>
      <w:r w:rsidR="007F37AF" w:rsidRPr="007311D0">
        <w:rPr>
          <w:i/>
          <w:iCs/>
        </w:rPr>
        <w:t>violent</w:t>
      </w:r>
      <w:r w:rsidR="007F37AF" w:rsidRPr="007311D0">
        <w:t xml:space="preserve"> course of action as a temporary, focused exception. Licence </w:t>
      </w:r>
      <w:r w:rsidR="0095155E">
        <w:t>did</w:t>
      </w:r>
      <w:r w:rsidR="007F37AF" w:rsidRPr="007311D0">
        <w:t xml:space="preserve"> not enable a wholesale normali</w:t>
      </w:r>
      <w:r w:rsidR="00AE244D">
        <w:t>z</w:t>
      </w:r>
      <w:r w:rsidR="007F37AF" w:rsidRPr="007311D0">
        <w:t xml:space="preserve">ation of violence per se but only its permissible performance against a defined </w:t>
      </w:r>
      <w:r w:rsidR="0046499B">
        <w:t>threat/</w:t>
      </w:r>
      <w:r w:rsidR="007F37AF" w:rsidRPr="007311D0">
        <w:t>scapegoat for a particular set of reasons and in accordance with an array of new restrictions.</w:t>
      </w:r>
      <w:r w:rsidR="007F37AF" w:rsidRPr="007311D0">
        <w:rPr>
          <w:rStyle w:val="EndnoteReference"/>
        </w:rPr>
        <w:endnoteReference w:id="80"/>
      </w:r>
      <w:r w:rsidR="007F37AF" w:rsidRPr="007311D0">
        <w:t xml:space="preserve"> Bataille used precisely the word </w:t>
      </w:r>
      <w:r w:rsidR="007F37AF" w:rsidRPr="007311D0">
        <w:rPr>
          <w:rFonts w:cs="Times New Roman"/>
        </w:rPr>
        <w:t>‘</w:t>
      </w:r>
      <w:r w:rsidR="007F37AF" w:rsidRPr="007311D0">
        <w:t>licence</w:t>
      </w:r>
      <w:r w:rsidR="007F37AF" w:rsidRPr="007311D0">
        <w:rPr>
          <w:rFonts w:cs="Times New Roman"/>
        </w:rPr>
        <w:t>’</w:t>
      </w:r>
      <w:r w:rsidR="007F37AF" w:rsidRPr="007311D0">
        <w:t xml:space="preserve"> to describe his understanding of </w:t>
      </w:r>
      <w:r w:rsidR="007F37AF" w:rsidRPr="007311D0">
        <w:rPr>
          <w:rFonts w:cs="Times New Roman"/>
        </w:rPr>
        <w:t>‘</w:t>
      </w:r>
      <w:r w:rsidR="007F37AF" w:rsidRPr="007311D0">
        <w:t>limited transgression</w:t>
      </w:r>
      <w:r w:rsidR="007F37AF" w:rsidRPr="007311D0">
        <w:rPr>
          <w:rFonts w:cs="Times New Roman"/>
        </w:rPr>
        <w:t>’</w:t>
      </w:r>
      <w:r w:rsidR="000D5C0A">
        <w:t>. He</w:t>
      </w:r>
      <w:r w:rsidR="007F37AF" w:rsidRPr="007311D0">
        <w:t xml:space="preserve"> was only too keen to note that it did not amount to </w:t>
      </w:r>
      <w:r w:rsidR="00AE244D">
        <w:t xml:space="preserve">the </w:t>
      </w:r>
      <w:r w:rsidR="007F37AF" w:rsidRPr="007311D0">
        <w:t>positive freedom to be violent</w:t>
      </w:r>
      <w:r w:rsidR="00E6383F">
        <w:t>; but he also observed that, once transgressed, however conditionally or partially, it unlocked a myriad of new extreme potentials</w:t>
      </w:r>
      <w:r w:rsidR="00D60CBD">
        <w:t xml:space="preserve"> for further radicalization:</w:t>
      </w:r>
    </w:p>
    <w:p w14:paraId="64EF457B" w14:textId="77777777" w:rsidR="007F37AF" w:rsidRPr="007311D0" w:rsidRDefault="008F4946" w:rsidP="007311D0">
      <w:pPr>
        <w:pStyle w:val="Quotations"/>
      </w:pPr>
      <w:r>
        <w:t>[o]</w:t>
      </w:r>
      <w:r w:rsidR="007F37AF" w:rsidRPr="007311D0">
        <w:t xml:space="preserve">ften the transgression of a taboo is no less subject to rules than the taboo itself. No liberty here. </w:t>
      </w:r>
      <w:r w:rsidR="00897250" w:rsidRPr="007311D0">
        <w:rPr>
          <w:rFonts w:cs="Times New Roman"/>
        </w:rPr>
        <w:t>‘</w:t>
      </w:r>
      <w:r w:rsidR="007F37AF" w:rsidRPr="007311D0">
        <w:t>At such and such a time and up to a certain point this is permissible</w:t>
      </w:r>
      <w:r w:rsidR="00897250" w:rsidRPr="007311D0">
        <w:rPr>
          <w:rFonts w:cs="Times New Roman"/>
        </w:rPr>
        <w:t>’</w:t>
      </w:r>
      <w:r w:rsidR="007F37AF" w:rsidRPr="007311D0">
        <w:t xml:space="preserve"> - that is what the transgression concedes. </w:t>
      </w:r>
      <w:r w:rsidR="007F37AF" w:rsidRPr="00D60CBD">
        <w:rPr>
          <w:i/>
          <w:iCs w:val="0"/>
        </w:rPr>
        <w:t>But once a limited licence has been allowed, unlimited urges towards violence may break forth</w:t>
      </w:r>
      <w:r w:rsidR="007F37AF" w:rsidRPr="007311D0">
        <w:t>. The barriers are not merely raised, for it may even be necessary at the moment of transgression to assert their solidity.</w:t>
      </w:r>
      <w:bookmarkStart w:id="10" w:name="_Ref2773971"/>
      <w:r w:rsidR="007F37AF" w:rsidRPr="007311D0">
        <w:rPr>
          <w:rStyle w:val="EndnoteReference"/>
        </w:rPr>
        <w:endnoteReference w:id="81"/>
      </w:r>
      <w:bookmarkEnd w:id="10"/>
    </w:p>
    <w:p w14:paraId="4A496D27" w14:textId="0B830CA0" w:rsidR="00A30405" w:rsidRPr="007311D0" w:rsidRDefault="00C62161" w:rsidP="007311D0">
      <w:pPr>
        <w:pStyle w:val="MainText"/>
      </w:pPr>
      <w:r w:rsidRPr="007311D0">
        <w:t>I</w:t>
      </w:r>
      <w:r w:rsidR="007F37AF" w:rsidRPr="007311D0">
        <w:t>n order for the suspension</w:t>
      </w:r>
      <w:r w:rsidRPr="007311D0">
        <w:t>/transgression</w:t>
      </w:r>
      <w:r w:rsidR="007F37AF" w:rsidRPr="007311D0">
        <w:t xml:space="preserve"> to be accepted and acted upon by the broader community, the justification offered </w:t>
      </w:r>
      <w:r w:rsidR="00A30405" w:rsidRPr="007311D0">
        <w:t xml:space="preserve">would </w:t>
      </w:r>
      <w:r w:rsidR="00EE240A">
        <w:t xml:space="preserve">also </w:t>
      </w:r>
      <w:r w:rsidR="00A30405" w:rsidRPr="007311D0">
        <w:t xml:space="preserve">need to </w:t>
      </w:r>
      <w:r w:rsidR="007F37AF" w:rsidRPr="007311D0">
        <w:t xml:space="preserve">correspond to social desire for some form of uncivil action against the particular </w:t>
      </w:r>
      <w:r w:rsidR="00F7399A" w:rsidRPr="007311D0">
        <w:t xml:space="preserve">human </w:t>
      </w:r>
      <w:r w:rsidR="007F37AF" w:rsidRPr="007311D0">
        <w:t>target</w:t>
      </w:r>
      <w:r w:rsidR="00A30405" w:rsidRPr="007311D0">
        <w:t xml:space="preserve">. </w:t>
      </w:r>
      <w:r w:rsidR="007F37AF" w:rsidRPr="007311D0">
        <w:t xml:space="preserve">Bataille spoke of a strong element of suppressed desire in transgression, noting that </w:t>
      </w:r>
      <w:r w:rsidR="00897250" w:rsidRPr="007311D0">
        <w:rPr>
          <w:rFonts w:cs="Times New Roman"/>
        </w:rPr>
        <w:t>‘</w:t>
      </w:r>
      <w:r w:rsidR="007F37AF" w:rsidRPr="007311D0">
        <w:t>the very prohibition attached to</w:t>
      </w:r>
      <w:r w:rsidR="008E0A3C" w:rsidRPr="007311D0">
        <w:t xml:space="preserve"> it</w:t>
      </w:r>
      <w:r w:rsidR="007F37AF" w:rsidRPr="007311D0">
        <w:t xml:space="preserve"> is what arouses the desire</w:t>
      </w:r>
      <w:r w:rsidR="00DF2DBC">
        <w:t xml:space="preserve"> [itself]</w:t>
      </w:r>
      <w:r w:rsidR="00897250" w:rsidRPr="007311D0">
        <w:rPr>
          <w:rFonts w:cs="Times New Roman"/>
        </w:rPr>
        <w:t>’</w:t>
      </w:r>
      <w:r w:rsidR="007F37AF" w:rsidRPr="007311D0">
        <w:t>.</w:t>
      </w:r>
      <w:r w:rsidR="007F37AF" w:rsidRPr="007311D0">
        <w:rPr>
          <w:rStyle w:val="EndnoteReference"/>
        </w:rPr>
        <w:endnoteReference w:id="82"/>
      </w:r>
      <w:r w:rsidR="007F37AF" w:rsidRPr="007311D0">
        <w:t xml:space="preserve"> This places the coveted transgression in a complex relation to the aggregative mainstream, as a possibility that is normally proscribed and morally troubling but otherwise rooted in </w:t>
      </w:r>
      <w:r w:rsidR="008F4946">
        <w:t xml:space="preserve">strong </w:t>
      </w:r>
      <w:r w:rsidR="0095155E">
        <w:t xml:space="preserve">affective </w:t>
      </w:r>
      <w:r w:rsidR="007F37AF" w:rsidRPr="007311D0">
        <w:t xml:space="preserve">predispositions </w:t>
      </w:r>
      <w:r w:rsidR="0095155E">
        <w:t>shared</w:t>
      </w:r>
      <w:r w:rsidR="007F37AF" w:rsidRPr="007311D0">
        <w:t xml:space="preserve"> by a significant portion of mainstream society. Fascist ideology was a crucial facilitator of uncivility by effectively synthesi</w:t>
      </w:r>
      <w:r w:rsidR="00826B36">
        <w:t>z</w:t>
      </w:r>
      <w:r w:rsidR="007F37AF" w:rsidRPr="007311D0">
        <w:t xml:space="preserve">ing, </w:t>
      </w:r>
      <w:r w:rsidR="004E7ECB">
        <w:t xml:space="preserve">cogently </w:t>
      </w:r>
      <w:r w:rsidR="007F37AF" w:rsidRPr="007311D0">
        <w:t xml:space="preserve">communicating, and </w:t>
      </w:r>
      <w:r w:rsidR="004E7ECB">
        <w:t xml:space="preserve">eventually </w:t>
      </w:r>
      <w:r w:rsidR="00EE240A">
        <w:t>underwriting</w:t>
      </w:r>
      <w:r w:rsidR="007F37AF" w:rsidRPr="007311D0">
        <w:t xml:space="preserve"> a core set of </w:t>
      </w:r>
      <w:r w:rsidR="00EE240A">
        <w:t>binaries</w:t>
      </w:r>
      <w:r w:rsidR="007F37AF" w:rsidRPr="007311D0">
        <w:t xml:space="preserve"> that were </w:t>
      </w:r>
      <w:r w:rsidR="00F1743A">
        <w:t xml:space="preserve">firmly </w:t>
      </w:r>
      <w:r w:rsidR="007F37AF" w:rsidRPr="007311D0">
        <w:t xml:space="preserve">rooted in mainstream cognition: raising the </w:t>
      </w:r>
      <w:r w:rsidR="007F37AF" w:rsidRPr="007311D0">
        <w:rPr>
          <w:rFonts w:cs="Times New Roman"/>
        </w:rPr>
        <w:t>‘</w:t>
      </w:r>
      <w:r w:rsidR="007F37AF" w:rsidRPr="007311D0">
        <w:t>value</w:t>
      </w:r>
      <w:r w:rsidR="007F37AF" w:rsidRPr="007311D0">
        <w:rPr>
          <w:rFonts w:cs="Times New Roman"/>
        </w:rPr>
        <w:t>’</w:t>
      </w:r>
      <w:r w:rsidR="007F37AF" w:rsidRPr="007311D0">
        <w:t xml:space="preserve"> of an ethnically homogeneous national community</w:t>
      </w:r>
      <w:r w:rsidR="00EE240A">
        <w:t xml:space="preserve"> vis-à-vis specific others</w:t>
      </w:r>
      <w:r w:rsidR="007F37AF" w:rsidRPr="007311D0">
        <w:t xml:space="preserve">; exaggerating the alleged threat presented by the mere existence of </w:t>
      </w:r>
      <w:r w:rsidR="00EE240A">
        <w:t>these</w:t>
      </w:r>
      <w:r w:rsidR="007F37AF" w:rsidRPr="007311D0">
        <w:t xml:space="preserve"> others in the midst of the community; and lessening </w:t>
      </w:r>
      <w:r w:rsidR="00EE240A">
        <w:t>these others’</w:t>
      </w:r>
      <w:r w:rsidR="007F37AF" w:rsidRPr="007311D0">
        <w:t xml:space="preserve"> human </w:t>
      </w:r>
      <w:r w:rsidR="007F37AF" w:rsidRPr="007311D0">
        <w:rPr>
          <w:rFonts w:cs="Times New Roman"/>
        </w:rPr>
        <w:t>‘</w:t>
      </w:r>
      <w:r w:rsidR="007F37AF" w:rsidRPr="007311D0">
        <w:t>value</w:t>
      </w:r>
      <w:r w:rsidR="007F37AF" w:rsidRPr="007311D0">
        <w:rPr>
          <w:rFonts w:cs="Times New Roman"/>
        </w:rPr>
        <w:t>’</w:t>
      </w:r>
      <w:r w:rsidR="007F37AF" w:rsidRPr="007311D0">
        <w:t xml:space="preserve">, whether through ascribing to them demonic qualities or denying them equal human status and thus </w:t>
      </w:r>
      <w:r w:rsidR="0043314A">
        <w:t xml:space="preserve">customary </w:t>
      </w:r>
      <w:r w:rsidR="007F37AF" w:rsidRPr="007311D0">
        <w:t>protection</w:t>
      </w:r>
      <w:r w:rsidR="0043314A">
        <w:t xml:space="preserve"> under the taboo of intra-</w:t>
      </w:r>
      <w:r w:rsidR="002534A3">
        <w:t>community</w:t>
      </w:r>
      <w:r w:rsidR="0043314A">
        <w:t xml:space="preserve"> violence</w:t>
      </w:r>
      <w:r w:rsidR="007F37AF" w:rsidRPr="007311D0">
        <w:t>. Far from all fascist movements adopted anti-semitism as a central tenet of their ideology and discourse</w:t>
      </w:r>
      <w:r w:rsidR="00F7399A" w:rsidRPr="007311D0">
        <w:t>;</w:t>
      </w:r>
      <w:r w:rsidR="007F37AF" w:rsidRPr="007311D0">
        <w:rPr>
          <w:rStyle w:val="EndnoteReference"/>
        </w:rPr>
        <w:endnoteReference w:id="83"/>
      </w:r>
      <w:r w:rsidR="007F37AF" w:rsidRPr="007311D0">
        <w:t xml:space="preserve"> but where strong under-currents of anti-Jewish prejudice had </w:t>
      </w:r>
      <w:r w:rsidR="00F1743A">
        <w:t xml:space="preserve">already </w:t>
      </w:r>
      <w:r w:rsidR="007F37AF" w:rsidRPr="007311D0">
        <w:t xml:space="preserve">manifested themselves (as was the case especially in Romania, Hungary, and Germany), initially as fringe expressions in the otherwise restrictive international environment of liberal orthodoxy throughout much of the 1920s, fascism embraced them as an integral part of its hyper-nationalist </w:t>
      </w:r>
      <w:r w:rsidR="00F1743A">
        <w:t xml:space="preserve">‘we-identity’ </w:t>
      </w:r>
      <w:r w:rsidR="007F37AF" w:rsidRPr="007311D0">
        <w:t>vision</w:t>
      </w:r>
      <w:r w:rsidR="00F41351">
        <w:t xml:space="preserve"> and then aligned </w:t>
      </w:r>
      <w:r w:rsidR="007F37AF" w:rsidRPr="007311D0">
        <w:t xml:space="preserve">them with more acceptable ideas of national rebirth, national sovereignty, and protection of the community. </w:t>
      </w:r>
    </w:p>
    <w:p w14:paraId="329DAA04" w14:textId="27CBBE8F" w:rsidR="003217CB" w:rsidRDefault="00A30405" w:rsidP="007311D0">
      <w:pPr>
        <w:pStyle w:val="MainText"/>
      </w:pPr>
      <w:r w:rsidRPr="007311D0">
        <w:t xml:space="preserve">But it is </w:t>
      </w:r>
      <w:r w:rsidR="00826B36">
        <w:t>further</w:t>
      </w:r>
      <w:r w:rsidRPr="007311D0">
        <w:t xml:space="preserve"> noteworthy that interwar fascism also developed a strong trans- and inter-national momentum, particularly in the 1930s and during the early war years, when the Axis military campaign and the extermination project against Europe</w:t>
      </w:r>
      <w:r w:rsidRPr="007311D0">
        <w:rPr>
          <w:rFonts w:cs="Times New Roman"/>
        </w:rPr>
        <w:t>’</w:t>
      </w:r>
      <w:r w:rsidRPr="007311D0">
        <w:t xml:space="preserve">s Jews unfolded as </w:t>
      </w:r>
      <w:r w:rsidRPr="00327222">
        <w:rPr>
          <w:i/>
          <w:iCs/>
        </w:rPr>
        <w:t>joint</w:t>
      </w:r>
      <w:r w:rsidRPr="007311D0">
        <w:t xml:space="preserve"> undertakings driven and overseen by Nazi Germany.</w:t>
      </w:r>
      <w:r w:rsidRPr="007311D0">
        <w:rPr>
          <w:rStyle w:val="EndnoteReference"/>
        </w:rPr>
        <w:endnoteReference w:id="84"/>
      </w:r>
      <w:r w:rsidRPr="007311D0">
        <w:t xml:space="preserve"> </w:t>
      </w:r>
      <w:r w:rsidR="007F37AF" w:rsidRPr="007311D0">
        <w:t>Starting from the small group level (the early adopters who joined the fascist movements), fascism grew</w:t>
      </w:r>
      <w:r w:rsidR="00062A37">
        <w:t xml:space="preserve"> in appeal</w:t>
      </w:r>
      <w:r w:rsidR="007F37AF" w:rsidRPr="007311D0">
        <w:t xml:space="preserve"> by giving collective political expression to, and organi</w:t>
      </w:r>
      <w:r w:rsidR="007A6083">
        <w:t>z</w:t>
      </w:r>
      <w:r w:rsidR="007F37AF" w:rsidRPr="007311D0">
        <w:t>ing politically, wider resentment experienced by a significant number of individuals in mainstream society. By th</w:t>
      </w:r>
      <w:r w:rsidRPr="007311D0">
        <w:t>e late-1930s</w:t>
      </w:r>
      <w:r w:rsidR="007F37AF" w:rsidRPr="007311D0">
        <w:t xml:space="preserve">, </w:t>
      </w:r>
      <w:r w:rsidR="007F37AF" w:rsidRPr="007311D0">
        <w:rPr>
          <w:rFonts w:cs="Times New Roman"/>
        </w:rPr>
        <w:t>‘</w:t>
      </w:r>
      <w:r w:rsidR="007F37AF" w:rsidRPr="007311D0">
        <w:t>fascism</w:t>
      </w:r>
      <w:r w:rsidR="007F37AF" w:rsidRPr="007311D0">
        <w:rPr>
          <w:rFonts w:cs="Times New Roman"/>
        </w:rPr>
        <w:t>’</w:t>
      </w:r>
      <w:r w:rsidR="007F37AF" w:rsidRPr="007311D0">
        <w:t xml:space="preserve"> </w:t>
      </w:r>
      <w:r w:rsidRPr="007311D0">
        <w:t xml:space="preserve">had become </w:t>
      </w:r>
      <w:r w:rsidR="007F37AF" w:rsidRPr="007311D0">
        <w:t xml:space="preserve">a primary pole of loyalty and political inspiration, </w:t>
      </w:r>
      <w:r w:rsidR="00F0692B">
        <w:t xml:space="preserve">either through positive ideological/political identification or </w:t>
      </w:r>
      <w:r w:rsidR="00EB783D">
        <w:t>because of</w:t>
      </w:r>
      <w:r w:rsidR="007F37AF" w:rsidRPr="007311D0">
        <w:t xml:space="preserve"> </w:t>
      </w:r>
      <w:r w:rsidR="00062A37">
        <w:t>its</w:t>
      </w:r>
      <w:r w:rsidR="007F37AF" w:rsidRPr="007311D0">
        <w:t xml:space="preserve"> </w:t>
      </w:r>
      <w:r w:rsidR="00991AA6">
        <w:t>claim that the world was on the verge of</w:t>
      </w:r>
      <w:r w:rsidR="007F37AF" w:rsidRPr="007311D0">
        <w:t xml:space="preserve"> an apocalyptic battle between liberalism, socialist internationalism, and </w:t>
      </w:r>
      <w:r w:rsidR="0095155E">
        <w:t>(hyper-)</w:t>
      </w:r>
      <w:r w:rsidR="007F37AF" w:rsidRPr="007311D0">
        <w:t xml:space="preserve">nationalism that would decide once and for all the future world order. Fascism in general, and </w:t>
      </w:r>
      <w:r w:rsidR="00EE240A">
        <w:t>Nazi</w:t>
      </w:r>
      <w:r w:rsidR="007F37AF" w:rsidRPr="007311D0">
        <w:t xml:space="preserve"> Germany as its most radical political manifestation, acquired the status of a sui generis authority, dominating a truly international partnership of hyper</w:t>
      </w:r>
      <w:r w:rsidR="0001306C">
        <w:t>-n</w:t>
      </w:r>
      <w:r w:rsidR="007F37AF" w:rsidRPr="007311D0">
        <w:t xml:space="preserve">ationalist forces </w:t>
      </w:r>
      <w:r w:rsidR="00A64771">
        <w:t>across</w:t>
      </w:r>
      <w:r w:rsidR="007F37AF" w:rsidRPr="007311D0">
        <w:t xml:space="preserve"> the continent. Fascist movements across Europe epitomi</w:t>
      </w:r>
      <w:r w:rsidR="007A6083">
        <w:t>z</w:t>
      </w:r>
      <w:r w:rsidR="007F37AF" w:rsidRPr="007311D0">
        <w:t xml:space="preserve">ed this sense of transnational loyalty, perceiving themselves as </w:t>
      </w:r>
      <w:r w:rsidR="00EE240A">
        <w:t xml:space="preserve">the vanguard </w:t>
      </w:r>
      <w:r w:rsidR="007F37AF" w:rsidRPr="007311D0">
        <w:t xml:space="preserve">soldiers of the international fascist cause. But beyond the circles of committed </w:t>
      </w:r>
      <w:r w:rsidR="00EE240A">
        <w:t>followers</w:t>
      </w:r>
      <w:r w:rsidR="007F37AF" w:rsidRPr="007311D0">
        <w:t xml:space="preserve">, </w:t>
      </w:r>
      <w:r w:rsidRPr="007311D0">
        <w:t>the burgeoning block of</w:t>
      </w:r>
      <w:r w:rsidR="007F37AF" w:rsidRPr="007311D0">
        <w:t xml:space="preserve"> </w:t>
      </w:r>
      <w:r w:rsidRPr="007311D0">
        <w:t xml:space="preserve">hybrid </w:t>
      </w:r>
      <w:r w:rsidR="007F37AF" w:rsidRPr="007311D0">
        <w:t>authoritarian</w:t>
      </w:r>
      <w:r w:rsidRPr="007311D0">
        <w:t xml:space="preserve"> dictatorships</w:t>
      </w:r>
      <w:r w:rsidR="007F37AF" w:rsidRPr="007311D0">
        <w:t xml:space="preserve"> that had replaced democracies in the 1920s and 1930s continued to view fascism, and National Socialist Germany in particular, as the de facto </w:t>
      </w:r>
      <w:r w:rsidR="00EE240A">
        <w:t>forerunner</w:t>
      </w:r>
      <w:r w:rsidR="007F37AF" w:rsidRPr="007311D0">
        <w:t xml:space="preserve"> of a global </w:t>
      </w:r>
      <w:r w:rsidR="007F37AF" w:rsidRPr="007311D0">
        <w:rPr>
          <w:rFonts w:cs="Times New Roman"/>
        </w:rPr>
        <w:t>‘</w:t>
      </w:r>
      <w:r w:rsidR="007F37AF" w:rsidRPr="007311D0">
        <w:t>fascist new order</w:t>
      </w:r>
      <w:r w:rsidR="007F37AF" w:rsidRPr="007311D0">
        <w:rPr>
          <w:rFonts w:cs="Times New Roman"/>
        </w:rPr>
        <w:t>’</w:t>
      </w:r>
      <w:r w:rsidR="00CC3407">
        <w:rPr>
          <w:rFonts w:cs="Times New Roman"/>
        </w:rPr>
        <w:t xml:space="preserve">, </w:t>
      </w:r>
      <w:r w:rsidR="0095155E">
        <w:rPr>
          <w:rFonts w:cs="Times New Roman"/>
        </w:rPr>
        <w:t xml:space="preserve">at the vanguard of a </w:t>
      </w:r>
      <w:r w:rsidR="000575DA">
        <w:rPr>
          <w:rFonts w:cs="Times New Roman"/>
        </w:rPr>
        <w:t>culturally and racially re-defined ‘European’ community engaged in a decisive war against transnational others</w:t>
      </w:r>
      <w:r w:rsidR="007F37AF" w:rsidRPr="007311D0">
        <w:t>.</w:t>
      </w:r>
      <w:r w:rsidR="000575DA">
        <w:rPr>
          <w:rStyle w:val="EndnoteReference"/>
        </w:rPr>
        <w:endnoteReference w:id="85"/>
      </w:r>
      <w:r w:rsidR="007F37AF" w:rsidRPr="007311D0">
        <w:t xml:space="preserve"> </w:t>
      </w:r>
      <w:r w:rsidRPr="007311D0">
        <w:t>Until the early</w:t>
      </w:r>
      <w:r w:rsidR="007A6083">
        <w:t xml:space="preserve"> </w:t>
      </w:r>
      <w:r w:rsidRPr="007311D0">
        <w:t xml:space="preserve">1940s, the </w:t>
      </w:r>
      <w:r w:rsidR="007F37AF" w:rsidRPr="007311D0">
        <w:t xml:space="preserve">perceived aura of Nazi radical leadership and </w:t>
      </w:r>
      <w:r w:rsidR="00A43BA7" w:rsidRPr="007311D0">
        <w:t xml:space="preserve">Axis </w:t>
      </w:r>
      <w:r w:rsidR="007F37AF" w:rsidRPr="007311D0">
        <w:t>military invincibility gradually convinced</w:t>
      </w:r>
      <w:r w:rsidR="00EC0D0B">
        <w:t xml:space="preserve"> or compelled</w:t>
      </w:r>
      <w:r w:rsidR="007F37AF" w:rsidRPr="007311D0">
        <w:t xml:space="preserve"> many in the political and social mainstream of a significant number of countries to follow Germany</w:t>
      </w:r>
      <w:r w:rsidR="007F37AF" w:rsidRPr="007311D0">
        <w:rPr>
          <w:rFonts w:cs="Times New Roman"/>
        </w:rPr>
        <w:t>’</w:t>
      </w:r>
      <w:r w:rsidR="007F37AF" w:rsidRPr="007311D0">
        <w:t xml:space="preserve">s taboo-breaking example. Governments, local authorities, political movements, and increasingly </w:t>
      </w:r>
      <w:r w:rsidR="007F37AF" w:rsidRPr="007311D0">
        <w:rPr>
          <w:rFonts w:cs="Times New Roman"/>
        </w:rPr>
        <w:t>‘</w:t>
      </w:r>
      <w:r w:rsidR="007F37AF" w:rsidRPr="007311D0">
        <w:t>ordinary people</w:t>
      </w:r>
      <w:r w:rsidR="007F37AF" w:rsidRPr="007311D0">
        <w:rPr>
          <w:rFonts w:cs="Times New Roman"/>
        </w:rPr>
        <w:t>’</w:t>
      </w:r>
      <w:r w:rsidR="007F37AF" w:rsidRPr="007311D0">
        <w:t xml:space="preserve"> across the </w:t>
      </w:r>
      <w:r w:rsidR="007F37AF" w:rsidRPr="007311D0">
        <w:rPr>
          <w:rFonts w:cs="Times New Roman"/>
        </w:rPr>
        <w:t>‘</w:t>
      </w:r>
      <w:r w:rsidR="007F37AF" w:rsidRPr="007311D0">
        <w:t>fascist</w:t>
      </w:r>
      <w:r w:rsidR="007F37AF" w:rsidRPr="007311D0">
        <w:rPr>
          <w:rFonts w:cs="Times New Roman"/>
        </w:rPr>
        <w:t>’</w:t>
      </w:r>
      <w:r w:rsidR="007F37AF" w:rsidRPr="007311D0">
        <w:t xml:space="preserve"> bloc became willing agents in the execution of the Nazi violent project of </w:t>
      </w:r>
      <w:r w:rsidR="007F37AF" w:rsidRPr="007311D0">
        <w:rPr>
          <w:rFonts w:cs="Times New Roman"/>
        </w:rPr>
        <w:t>‘</w:t>
      </w:r>
      <w:r w:rsidR="007F37AF" w:rsidRPr="007311D0">
        <w:t>cleansing</w:t>
      </w:r>
      <w:r w:rsidR="007F37AF" w:rsidRPr="007311D0">
        <w:rPr>
          <w:rFonts w:cs="Times New Roman"/>
        </w:rPr>
        <w:t>’</w:t>
      </w:r>
      <w:r w:rsidR="007F37AF" w:rsidRPr="007311D0">
        <w:t xml:space="preserve"> </w:t>
      </w:r>
      <w:r w:rsidR="000575DA">
        <w:t>this re-defined ‘</w:t>
      </w:r>
      <w:r w:rsidR="007F37AF" w:rsidRPr="007311D0">
        <w:t>Europe</w:t>
      </w:r>
      <w:r w:rsidR="000575DA">
        <w:t>’</w:t>
      </w:r>
      <w:r w:rsidR="007F37AF" w:rsidRPr="007311D0">
        <w:t xml:space="preserve"> of its alleged political and racial foes.</w:t>
      </w:r>
      <w:r w:rsidR="007F37AF" w:rsidRPr="007311D0">
        <w:rPr>
          <w:rStyle w:val="EndnoteReference"/>
        </w:rPr>
        <w:endnoteReference w:id="86"/>
      </w:r>
      <w:r w:rsidR="007F37AF" w:rsidRPr="007311D0">
        <w:t xml:space="preserve"> </w:t>
      </w:r>
    </w:p>
    <w:p w14:paraId="7DED5977" w14:textId="742B5E95" w:rsidR="007F37AF" w:rsidRPr="007311D0" w:rsidRDefault="007F37AF" w:rsidP="007311D0">
      <w:pPr>
        <w:pStyle w:val="MainText"/>
      </w:pPr>
      <w:r w:rsidRPr="007311D0">
        <w:t>Thus fascism</w:t>
      </w:r>
      <w:r w:rsidRPr="007311D0">
        <w:rPr>
          <w:rFonts w:cs="Times New Roman"/>
        </w:rPr>
        <w:t>’</w:t>
      </w:r>
      <w:r w:rsidRPr="007311D0">
        <w:t xml:space="preserve">s transnational </w:t>
      </w:r>
      <w:r w:rsidR="00EE240A">
        <w:t xml:space="preserve">affective appeal and political </w:t>
      </w:r>
      <w:r w:rsidRPr="007311D0">
        <w:t xml:space="preserve">dynamics transformed </w:t>
      </w:r>
      <w:r w:rsidR="00227237">
        <w:t>previously suppressed</w:t>
      </w:r>
      <w:r w:rsidR="003217CB">
        <w:t>/de-legitimized</w:t>
      </w:r>
      <w:r w:rsidR="00D91D2F" w:rsidRPr="007311D0">
        <w:t xml:space="preserve"> </w:t>
      </w:r>
      <w:r w:rsidRPr="007311D0">
        <w:t xml:space="preserve">individual and group desires into a series of intra-state </w:t>
      </w:r>
      <w:r w:rsidRPr="007311D0">
        <w:rPr>
          <w:rFonts w:cs="Times New Roman"/>
        </w:rPr>
        <w:t>‘</w:t>
      </w:r>
      <w:r w:rsidR="00A43BA7" w:rsidRPr="007311D0">
        <w:t>counter-</w:t>
      </w:r>
      <w:r w:rsidRPr="007311D0">
        <w:t>spurts</w:t>
      </w:r>
      <w:r w:rsidRPr="007311D0">
        <w:rPr>
          <w:rFonts w:cs="Times New Roman"/>
        </w:rPr>
        <w:t>’</w:t>
      </w:r>
      <w:r w:rsidRPr="007311D0">
        <w:t xml:space="preserve"> that eventually morphed into a single inter-state/inter-national project of transgressive </w:t>
      </w:r>
      <w:r w:rsidR="00D91D2F" w:rsidRPr="007311D0">
        <w:t xml:space="preserve">mass </w:t>
      </w:r>
      <w:r w:rsidRPr="007311D0">
        <w:t>violence.</w:t>
      </w:r>
      <w:r w:rsidR="00D91D2F" w:rsidRPr="007311D0">
        <w:rPr>
          <w:rStyle w:val="EndnoteReference"/>
        </w:rPr>
        <w:endnoteReference w:id="87"/>
      </w:r>
      <w:r w:rsidRPr="007311D0">
        <w:t xml:space="preserve"> It is against this backdrop that we can understand the internationali</w:t>
      </w:r>
      <w:r w:rsidR="00DC5904">
        <w:t>z</w:t>
      </w:r>
      <w:r w:rsidRPr="007311D0">
        <w:t>ation of both</w:t>
      </w:r>
      <w:r w:rsidR="0003619E" w:rsidRPr="007311D0">
        <w:t xml:space="preserve"> these</w:t>
      </w:r>
      <w:r w:rsidRPr="007311D0">
        <w:t xml:space="preserve"> taboo-breaking projects as </w:t>
      </w:r>
      <w:r w:rsidR="000D50EC" w:rsidRPr="007311D0">
        <w:t xml:space="preserve">a </w:t>
      </w:r>
      <w:r w:rsidR="000D50EC" w:rsidRPr="007311D0">
        <w:rPr>
          <w:rFonts w:cs="Times New Roman"/>
        </w:rPr>
        <w:t>‘</w:t>
      </w:r>
      <w:r w:rsidR="000D50EC" w:rsidRPr="007311D0">
        <w:t>counter-spurt</w:t>
      </w:r>
      <w:r w:rsidR="000D50EC" w:rsidRPr="007311D0">
        <w:rPr>
          <w:rFonts w:cs="Times New Roman"/>
        </w:rPr>
        <w:t>’</w:t>
      </w:r>
      <w:r w:rsidR="000D50EC" w:rsidRPr="007311D0">
        <w:t xml:space="preserve"> vis-</w:t>
      </w:r>
      <w:r w:rsidR="000D50EC" w:rsidRPr="007311D0">
        <w:rPr>
          <w:rFonts w:cs="Cambria"/>
        </w:rPr>
        <w:t>à</w:t>
      </w:r>
      <w:r w:rsidR="000D50EC" w:rsidRPr="007311D0">
        <w:t xml:space="preserve">-vis the </w:t>
      </w:r>
      <w:r w:rsidR="000D50EC" w:rsidRPr="007311D0">
        <w:rPr>
          <w:rFonts w:cs="Times New Roman"/>
        </w:rPr>
        <w:t>‘</w:t>
      </w:r>
      <w:r w:rsidR="000D50EC" w:rsidRPr="007311D0">
        <w:t>liberal moment</w:t>
      </w:r>
      <w:r w:rsidR="000D50EC" w:rsidRPr="007311D0">
        <w:rPr>
          <w:rFonts w:cs="Times New Roman"/>
        </w:rPr>
        <w:t>’</w:t>
      </w:r>
      <w:r w:rsidR="000D50EC" w:rsidRPr="007311D0">
        <w:t xml:space="preserve"> </w:t>
      </w:r>
      <w:r w:rsidR="00262473" w:rsidRPr="007311D0">
        <w:t xml:space="preserve">and the normative liberal mainstream </w:t>
      </w:r>
      <w:r w:rsidR="000D50EC" w:rsidRPr="007311D0">
        <w:t xml:space="preserve">but not intrinsically a </w:t>
      </w:r>
      <w:r w:rsidR="000D50EC" w:rsidRPr="007311D0">
        <w:rPr>
          <w:rFonts w:cs="Times New Roman"/>
        </w:rPr>
        <w:t>‘</w:t>
      </w:r>
      <w:r w:rsidR="000D50EC" w:rsidRPr="009A4FD6">
        <w:rPr>
          <w:i/>
        </w:rPr>
        <w:t>de</w:t>
      </w:r>
      <w:r w:rsidR="000D50EC" w:rsidRPr="007311D0">
        <w:t>civili</w:t>
      </w:r>
      <w:r w:rsidR="00DC5904">
        <w:t>z</w:t>
      </w:r>
      <w:r w:rsidR="000D50EC" w:rsidRPr="007311D0">
        <w:t>ing</w:t>
      </w:r>
      <w:r w:rsidR="000D50EC" w:rsidRPr="007311D0">
        <w:rPr>
          <w:rFonts w:cs="Times New Roman"/>
        </w:rPr>
        <w:t>’</w:t>
      </w:r>
      <w:r w:rsidR="000D50EC" w:rsidRPr="007311D0">
        <w:t xml:space="preserve"> one in the overall Eliasian scheme</w:t>
      </w:r>
      <w:r w:rsidRPr="007311D0">
        <w:t>.</w:t>
      </w:r>
      <w:r w:rsidRPr="007311D0">
        <w:rPr>
          <w:rStyle w:val="EndnoteReference"/>
        </w:rPr>
        <w:endnoteReference w:id="88"/>
      </w:r>
      <w:r w:rsidR="00262473" w:rsidRPr="007311D0">
        <w:t xml:space="preserve"> However dramatic and devastating the lapse may have seem</w:t>
      </w:r>
      <w:r w:rsidR="00570CB3" w:rsidRPr="007311D0">
        <w:t>ed</w:t>
      </w:r>
      <w:r w:rsidR="00262473" w:rsidRPr="007311D0">
        <w:t xml:space="preserve"> in relation to assumed liberal taboos, the historical experience of fascist uncivility and violence constitute</w:t>
      </w:r>
      <w:r w:rsidR="009A4FD6">
        <w:t>d</w:t>
      </w:r>
      <w:r w:rsidR="00262473" w:rsidRPr="007311D0">
        <w:t xml:space="preserve"> a regression </w:t>
      </w:r>
      <w:r w:rsidR="009A4FD6">
        <w:t xml:space="preserve">not </w:t>
      </w:r>
      <w:r w:rsidR="00262473" w:rsidRPr="007311D0">
        <w:t>from norms such as centrali</w:t>
      </w:r>
      <w:r w:rsidR="00DC5904">
        <w:t>z</w:t>
      </w:r>
      <w:r w:rsidR="00262473" w:rsidRPr="007311D0">
        <w:t xml:space="preserve">ation of state power, </w:t>
      </w:r>
      <w:r w:rsidR="00570CB3" w:rsidRPr="007311D0">
        <w:t>monopoli</w:t>
      </w:r>
      <w:r w:rsidR="00DC5904">
        <w:t>z</w:t>
      </w:r>
      <w:r w:rsidR="00570CB3" w:rsidRPr="007311D0">
        <w:t xml:space="preserve">ation and regulation of violence, </w:t>
      </w:r>
      <w:r w:rsidR="00262473" w:rsidRPr="004363E6">
        <w:rPr>
          <w:i/>
        </w:rPr>
        <w:t>civilit</w:t>
      </w:r>
      <w:r w:rsidR="00262473" w:rsidRPr="004363E6">
        <w:rPr>
          <w:rFonts w:cs="Cambria"/>
          <w:i/>
        </w:rPr>
        <w:t>é</w:t>
      </w:r>
      <w:r w:rsidR="00262473" w:rsidRPr="007311D0">
        <w:t xml:space="preserve"> among members of a self-defined group or human inter-dependence per se</w:t>
      </w:r>
      <w:r w:rsidR="009A4FD6">
        <w:t xml:space="preserve"> -</w:t>
      </w:r>
      <w:r w:rsidR="00262473" w:rsidRPr="007311D0">
        <w:t xml:space="preserve"> but </w:t>
      </w:r>
      <w:r w:rsidR="009A4FD6">
        <w:t>only from growing</w:t>
      </w:r>
      <w:r w:rsidR="00570CB3" w:rsidRPr="007311D0">
        <w:t xml:space="preserve"> empathy towards otherness and </w:t>
      </w:r>
      <w:r w:rsidR="009A4FD6">
        <w:t xml:space="preserve">from </w:t>
      </w:r>
      <w:r w:rsidR="00570CB3" w:rsidRPr="007311D0">
        <w:t xml:space="preserve">a radically </w:t>
      </w:r>
      <w:r w:rsidR="009A4FD6">
        <w:t>expanded</w:t>
      </w:r>
      <w:r w:rsidR="00570CB3" w:rsidRPr="007311D0">
        <w:t xml:space="preserve"> sense of the self.</w:t>
      </w:r>
      <w:r w:rsidR="00570CB3" w:rsidRPr="007311D0">
        <w:rPr>
          <w:rStyle w:val="EndnoteReference"/>
        </w:rPr>
        <w:endnoteReference w:id="89"/>
      </w:r>
      <w:r w:rsidR="00570CB3" w:rsidRPr="007311D0">
        <w:t xml:space="preserve"> </w:t>
      </w:r>
    </w:p>
    <w:p w14:paraId="158E2471" w14:textId="77777777" w:rsidR="007F37AF" w:rsidRPr="007311D0" w:rsidRDefault="007F37AF" w:rsidP="007311D0">
      <w:pPr>
        <w:pStyle w:val="MainText"/>
      </w:pPr>
    </w:p>
    <w:p w14:paraId="0918C06C" w14:textId="77777777" w:rsidR="007F37AF" w:rsidRPr="00C131EE" w:rsidRDefault="007F37AF" w:rsidP="00C131EE">
      <w:pPr>
        <w:pStyle w:val="Heading2"/>
      </w:pPr>
      <w:r w:rsidRPr="00C131EE">
        <w:t>Conclusions</w:t>
      </w:r>
      <w:r w:rsidR="00C425FD" w:rsidRPr="00C131EE">
        <w:t xml:space="preserve">: </w:t>
      </w:r>
      <w:r w:rsidR="002B4E98" w:rsidRPr="00C131EE">
        <w:t>what kind of</w:t>
      </w:r>
      <w:r w:rsidR="00C425FD" w:rsidRPr="00C131EE">
        <w:t xml:space="preserve"> ‘counter-spurt’</w:t>
      </w:r>
      <w:r w:rsidR="002B4E98" w:rsidRPr="00C131EE">
        <w:t>?</w:t>
      </w:r>
    </w:p>
    <w:p w14:paraId="159A99A6" w14:textId="4B645962" w:rsidR="00234E34" w:rsidRPr="007311D0" w:rsidRDefault="00BF7BD2" w:rsidP="007311D0">
      <w:pPr>
        <w:pStyle w:val="MainText"/>
      </w:pPr>
      <w:r>
        <w:t>Fascism</w:t>
      </w:r>
      <w:r w:rsidRPr="007311D0">
        <w:t xml:space="preserve"> turned uncivility and </w:t>
      </w:r>
      <w:r>
        <w:t>violence</w:t>
      </w:r>
      <w:r w:rsidRPr="007311D0">
        <w:t xml:space="preserve"> into </w:t>
      </w:r>
      <w:r>
        <w:t xml:space="preserve">a </w:t>
      </w:r>
      <w:r w:rsidRPr="007311D0">
        <w:t xml:space="preserve">single </w:t>
      </w:r>
      <w:r>
        <w:t xml:space="preserve">taboo-breaking </w:t>
      </w:r>
      <w:r w:rsidRPr="007311D0">
        <w:t xml:space="preserve">project of </w:t>
      </w:r>
      <w:r>
        <w:t>pursuing</w:t>
      </w:r>
      <w:r w:rsidRPr="007311D0">
        <w:t xml:space="preserve"> an alternative redemptive utopia</w:t>
      </w:r>
      <w:r>
        <w:t xml:space="preserve"> </w:t>
      </w:r>
      <w:r w:rsidRPr="007311D0">
        <w:t>for the narrowly re-defined community.</w:t>
      </w:r>
      <w:r w:rsidR="00F47743">
        <w:t xml:space="preserve"> It denied </w:t>
      </w:r>
      <w:r w:rsidR="007F37AF" w:rsidRPr="007311D0">
        <w:t>the subjectivity</w:t>
      </w:r>
      <w:r w:rsidR="00930183" w:rsidRPr="007311D0">
        <w:t xml:space="preserve"> or even sheer humanity</w:t>
      </w:r>
      <w:r w:rsidR="007F37AF" w:rsidRPr="007311D0">
        <w:t xml:space="preserve"> of 'the other</w:t>
      </w:r>
      <w:r w:rsidR="007F37AF" w:rsidRPr="007311D0">
        <w:rPr>
          <w:rFonts w:cs="Times New Roman"/>
        </w:rPr>
        <w:t>’</w:t>
      </w:r>
      <w:r w:rsidR="00F47743">
        <w:t xml:space="preserve">. It </w:t>
      </w:r>
      <w:r w:rsidR="003D53A6">
        <w:t>brandished</w:t>
      </w:r>
      <w:r w:rsidR="007F37AF" w:rsidRPr="007311D0">
        <w:t xml:space="preserve"> hyper-nationalism as a superior alternative to global interdependence and a rights-based system</w:t>
      </w:r>
      <w:r w:rsidR="00F47743">
        <w:t>. Finally, it</w:t>
      </w:r>
      <w:r w:rsidR="007F37AF" w:rsidRPr="007311D0">
        <w:t xml:space="preserve"> </w:t>
      </w:r>
      <w:r w:rsidR="00645F58">
        <w:t>legitimized and licensed</w:t>
      </w:r>
      <w:r w:rsidR="00113307">
        <w:t xml:space="preserve"> </w:t>
      </w:r>
      <w:r w:rsidR="00EC7CD8">
        <w:t>redemptive</w:t>
      </w:r>
      <w:r w:rsidR="007F37AF" w:rsidRPr="007311D0">
        <w:t xml:space="preserve"> violent </w:t>
      </w:r>
      <w:r w:rsidR="00EC7CD8">
        <w:t>behaviours</w:t>
      </w:r>
      <w:r w:rsidR="007F37AF" w:rsidRPr="007311D0">
        <w:t xml:space="preserve"> as an integral part of its </w:t>
      </w:r>
      <w:r w:rsidR="00EC7CD8">
        <w:t xml:space="preserve">ethical </w:t>
      </w:r>
      <w:r w:rsidR="007F37AF" w:rsidRPr="007311D0">
        <w:t>political praxis</w:t>
      </w:r>
      <w:r w:rsidR="00113307">
        <w:t xml:space="preserve">. </w:t>
      </w:r>
      <w:r w:rsidR="007F37AF" w:rsidRPr="007311D0">
        <w:t xml:space="preserve">That Elias considered </w:t>
      </w:r>
      <w:r w:rsidR="00930183" w:rsidRPr="007311D0">
        <w:t xml:space="preserve">self-restraint and </w:t>
      </w:r>
      <w:r w:rsidR="007F37AF" w:rsidRPr="007311D0">
        <w:t xml:space="preserve">mutual identification among </w:t>
      </w:r>
      <w:r w:rsidR="00B51D63" w:rsidRPr="007311D0">
        <w:t>human</w:t>
      </w:r>
      <w:r w:rsidR="00930183" w:rsidRPr="007311D0">
        <w:t xml:space="preserve"> beings</w:t>
      </w:r>
      <w:r w:rsidR="007F37AF" w:rsidRPr="007311D0">
        <w:t xml:space="preserve"> as one of the defining characteristics of the </w:t>
      </w:r>
      <w:r w:rsidR="007F37AF" w:rsidRPr="007311D0">
        <w:rPr>
          <w:rFonts w:cs="Times New Roman"/>
        </w:rPr>
        <w:t>‘</w:t>
      </w:r>
      <w:r w:rsidR="007F37AF" w:rsidRPr="007311D0">
        <w:t>civili</w:t>
      </w:r>
      <w:r w:rsidR="00DC5904">
        <w:t>z</w:t>
      </w:r>
      <w:r w:rsidR="007F37AF" w:rsidRPr="007311D0">
        <w:t>ing process</w:t>
      </w:r>
      <w:r w:rsidR="007F37AF" w:rsidRPr="007311D0">
        <w:rPr>
          <w:rFonts w:cs="Times New Roman"/>
        </w:rPr>
        <w:t>’</w:t>
      </w:r>
      <w:r w:rsidR="007F37AF" w:rsidRPr="007311D0">
        <w:t xml:space="preserve"> places the fascist vision of a narrow, exclusive </w:t>
      </w:r>
      <w:r w:rsidR="00BE1333">
        <w:t>‘we-identity’</w:t>
      </w:r>
      <w:r w:rsidR="007F37AF" w:rsidRPr="007311D0">
        <w:t xml:space="preserve"> </w:t>
      </w:r>
      <w:r w:rsidR="00B51D63" w:rsidRPr="007311D0">
        <w:t xml:space="preserve">expunged from perceived threatening others </w:t>
      </w:r>
      <w:r w:rsidR="007F37AF" w:rsidRPr="007311D0">
        <w:t>at</w:t>
      </w:r>
      <w:r w:rsidR="00B51D63" w:rsidRPr="007311D0">
        <w:t xml:space="preserve"> </w:t>
      </w:r>
      <w:r w:rsidR="00930183" w:rsidRPr="007311D0">
        <w:t xml:space="preserve">fundamental </w:t>
      </w:r>
      <w:r w:rsidR="00B51D63" w:rsidRPr="007311D0">
        <w:t xml:space="preserve">odds with the normative essence of his </w:t>
      </w:r>
      <w:r w:rsidR="00B51D63" w:rsidRPr="007311D0">
        <w:rPr>
          <w:rFonts w:cs="Times New Roman"/>
        </w:rPr>
        <w:t>‘</w:t>
      </w:r>
      <w:r w:rsidR="00B51D63" w:rsidRPr="007311D0">
        <w:t>civili</w:t>
      </w:r>
      <w:r w:rsidR="00A3096C">
        <w:t>z</w:t>
      </w:r>
      <w:r w:rsidR="00B51D63" w:rsidRPr="007311D0">
        <w:t>ing process</w:t>
      </w:r>
      <w:r w:rsidR="00B51D63" w:rsidRPr="007311D0">
        <w:rPr>
          <w:rFonts w:cs="Times New Roman"/>
        </w:rPr>
        <w:t>’</w:t>
      </w:r>
      <w:r w:rsidR="007F37AF" w:rsidRPr="007311D0">
        <w:t xml:space="preserve">. </w:t>
      </w:r>
      <w:r w:rsidR="00BE1333">
        <w:t>Fascists and their ideological and political allies were in the vanguard of</w:t>
      </w:r>
      <w:r w:rsidR="00C425FD" w:rsidRPr="007311D0">
        <w:t xml:space="preserve"> the attack on the precepts </w:t>
      </w:r>
      <w:r w:rsidR="00BE1333">
        <w:t>underwriting</w:t>
      </w:r>
      <w:r w:rsidR="00C425FD" w:rsidRPr="007311D0">
        <w:t xml:space="preserve"> the </w:t>
      </w:r>
      <w:r w:rsidR="00C425FD" w:rsidRPr="007311D0">
        <w:rPr>
          <w:rFonts w:cs="Times New Roman"/>
        </w:rPr>
        <w:t>‘</w:t>
      </w:r>
      <w:r w:rsidR="00C425FD" w:rsidRPr="007311D0">
        <w:t>liberal moment</w:t>
      </w:r>
      <w:r w:rsidR="00C425FD" w:rsidRPr="007311D0">
        <w:rPr>
          <w:rFonts w:cs="Times New Roman"/>
        </w:rPr>
        <w:t>’</w:t>
      </w:r>
      <w:r w:rsidR="00930183" w:rsidRPr="007311D0">
        <w:t xml:space="preserve"> in the early-twentieth century</w:t>
      </w:r>
      <w:r w:rsidR="00C425FD" w:rsidRPr="007311D0">
        <w:t xml:space="preserve"> (</w:t>
      </w:r>
      <w:r w:rsidR="00930183" w:rsidRPr="007311D0">
        <w:t xml:space="preserve">the post-WW1 drive towards </w:t>
      </w:r>
      <w:r w:rsidR="00C425FD" w:rsidRPr="007311D0">
        <w:t xml:space="preserve">minority protection, constitutional guarantees for liberal </w:t>
      </w:r>
      <w:r w:rsidR="00BE1333">
        <w:t xml:space="preserve">citizenship </w:t>
      </w:r>
      <w:r w:rsidR="00C425FD" w:rsidRPr="007311D0">
        <w:t xml:space="preserve">rights, parliamentary democracy, multilateralism) </w:t>
      </w:r>
      <w:r w:rsidR="00BE1333">
        <w:t>and of</w:t>
      </w:r>
      <w:r w:rsidR="00930183" w:rsidRPr="007311D0">
        <w:t xml:space="preserve"> </w:t>
      </w:r>
      <w:r w:rsidR="00C425FD" w:rsidRPr="007311D0">
        <w:t xml:space="preserve">the </w:t>
      </w:r>
      <w:r w:rsidR="00930183" w:rsidRPr="007311D0">
        <w:t xml:space="preserve">flagrant </w:t>
      </w:r>
      <w:r w:rsidR="00C425FD" w:rsidRPr="007311D0">
        <w:t xml:space="preserve">transgression of the taboo of violence </w:t>
      </w:r>
      <w:r w:rsidR="00BE1333">
        <w:t>vis-à-vis</w:t>
      </w:r>
      <w:r w:rsidR="00C425FD" w:rsidRPr="007311D0">
        <w:t xml:space="preserve"> particular </w:t>
      </w:r>
      <w:r w:rsidR="00BE1333">
        <w:t>forms of other-ness</w:t>
      </w:r>
      <w:r w:rsidR="00C425FD" w:rsidRPr="007311D0">
        <w:t xml:space="preserve">. </w:t>
      </w:r>
      <w:r w:rsidR="007F37AF" w:rsidRPr="007311D0">
        <w:t>But in describing fascism/Nazism</w:t>
      </w:r>
      <w:r w:rsidR="00223E23" w:rsidRPr="007311D0">
        <w:t xml:space="preserve"> and the Holocaust</w:t>
      </w:r>
      <w:r w:rsidR="007F37AF" w:rsidRPr="007311D0">
        <w:t xml:space="preserve"> as </w:t>
      </w:r>
      <w:r w:rsidR="00897250" w:rsidRPr="007311D0">
        <w:rPr>
          <w:rFonts w:cs="Times New Roman"/>
        </w:rPr>
        <w:t>‘</w:t>
      </w:r>
      <w:r w:rsidR="007F37AF" w:rsidRPr="007311D0">
        <w:t>re-barbari</w:t>
      </w:r>
      <w:r w:rsidR="00A3096C">
        <w:t>z</w:t>
      </w:r>
      <w:r w:rsidR="007F37AF" w:rsidRPr="007311D0">
        <w:t>ation</w:t>
      </w:r>
      <w:r w:rsidR="00897250" w:rsidRPr="007311D0">
        <w:rPr>
          <w:rFonts w:cs="Times New Roman"/>
        </w:rPr>
        <w:t>’</w:t>
      </w:r>
      <w:r w:rsidR="0003619E" w:rsidRPr="007311D0">
        <w:t xml:space="preserve">, </w:t>
      </w:r>
      <w:r w:rsidR="00B51D63" w:rsidRPr="007311D0">
        <w:t xml:space="preserve">Elias </w:t>
      </w:r>
      <w:r w:rsidR="007F37AF" w:rsidRPr="007311D0">
        <w:t>exaggerated the aberrant</w:t>
      </w:r>
      <w:r w:rsidR="00B51D63" w:rsidRPr="007311D0">
        <w:t>/regressive</w:t>
      </w:r>
      <w:r w:rsidR="007F37AF" w:rsidRPr="007311D0">
        <w:t xml:space="preserve"> nature </w:t>
      </w:r>
      <w:r w:rsidR="00BE1333">
        <w:t>of the constituent aspects and drivers, if not the effects</w:t>
      </w:r>
      <w:r w:rsidR="009D376A">
        <w:t xml:space="preserve"> themselves</w:t>
      </w:r>
      <w:r w:rsidR="00BE1333">
        <w:t xml:space="preserve">, of the fascist </w:t>
      </w:r>
      <w:r w:rsidR="007F37AF" w:rsidRPr="007311D0">
        <w:rPr>
          <w:rFonts w:cs="Times New Roman"/>
        </w:rPr>
        <w:t>‘</w:t>
      </w:r>
      <w:r w:rsidR="007F37AF" w:rsidRPr="007311D0">
        <w:t>counter-spurt</w:t>
      </w:r>
      <w:r w:rsidR="007F37AF" w:rsidRPr="007311D0">
        <w:rPr>
          <w:rFonts w:cs="Times New Roman"/>
        </w:rPr>
        <w:t>’</w:t>
      </w:r>
      <w:r w:rsidR="00C425FD" w:rsidRPr="007311D0">
        <w:t xml:space="preserve"> from </w:t>
      </w:r>
      <w:r w:rsidR="000468A3" w:rsidRPr="007311D0">
        <w:t>his</w:t>
      </w:r>
      <w:r w:rsidR="00C425FD" w:rsidRPr="007311D0">
        <w:t xml:space="preserve"> overall scheme of </w:t>
      </w:r>
      <w:r w:rsidR="00C425FD" w:rsidRPr="007311D0">
        <w:rPr>
          <w:rFonts w:cs="Times New Roman"/>
        </w:rPr>
        <w:t>‘</w:t>
      </w:r>
      <w:r w:rsidR="00C425FD" w:rsidRPr="007311D0">
        <w:t>civili</w:t>
      </w:r>
      <w:r w:rsidR="00A3096C">
        <w:t>z</w:t>
      </w:r>
      <w:r w:rsidR="00C425FD" w:rsidRPr="007311D0">
        <w:t>ation</w:t>
      </w:r>
      <w:r w:rsidR="00C425FD" w:rsidRPr="007311D0">
        <w:rPr>
          <w:rFonts w:cs="Times New Roman"/>
        </w:rPr>
        <w:t>’</w:t>
      </w:r>
      <w:r w:rsidR="007F37AF" w:rsidRPr="007311D0">
        <w:t>. For</w:t>
      </w:r>
      <w:r w:rsidR="00B51D63" w:rsidRPr="007311D0">
        <w:t xml:space="preserve"> beyond electo</w:t>
      </w:r>
      <w:r w:rsidR="00E93E10" w:rsidRPr="007311D0">
        <w:t>r</w:t>
      </w:r>
      <w:r w:rsidR="00B51D63" w:rsidRPr="007311D0">
        <w:t xml:space="preserve">al performance or party membership, </w:t>
      </w:r>
      <w:r w:rsidR="007F37AF" w:rsidRPr="007311D0">
        <w:t>support for fascis</w:t>
      </w:r>
      <w:r w:rsidR="00B51D63" w:rsidRPr="007311D0">
        <w:t>m</w:t>
      </w:r>
      <w:r w:rsidR="00B51D63" w:rsidRPr="007311D0">
        <w:rPr>
          <w:rFonts w:cs="Times New Roman"/>
        </w:rPr>
        <w:t>’</w:t>
      </w:r>
      <w:r w:rsidR="00B51D63" w:rsidRPr="007311D0">
        <w:t>s ideas</w:t>
      </w:r>
      <w:r w:rsidR="007F37AF" w:rsidRPr="007311D0">
        <w:t xml:space="preserve"> and </w:t>
      </w:r>
      <w:r w:rsidR="00E93E10" w:rsidRPr="007311D0">
        <w:t xml:space="preserve">for </w:t>
      </w:r>
      <w:r w:rsidR="007F37AF" w:rsidRPr="007311D0">
        <w:t xml:space="preserve">its </w:t>
      </w:r>
      <w:r w:rsidR="00B51D63" w:rsidRPr="007311D0">
        <w:t xml:space="preserve">uncivil-turn-genocidal </w:t>
      </w:r>
      <w:r w:rsidR="007F37AF" w:rsidRPr="007311D0">
        <w:t>project was driven by beliefs</w:t>
      </w:r>
      <w:r w:rsidR="00930183" w:rsidRPr="007311D0">
        <w:t xml:space="preserve">, </w:t>
      </w:r>
      <w:r w:rsidR="007F37AF" w:rsidRPr="007311D0">
        <w:t>anxieties</w:t>
      </w:r>
      <w:r w:rsidR="00930183" w:rsidRPr="007311D0">
        <w:t>, and suppressed desires</w:t>
      </w:r>
      <w:r w:rsidR="007F37AF" w:rsidRPr="007311D0">
        <w:t xml:space="preserve"> that need to be understood as </w:t>
      </w:r>
      <w:r w:rsidR="00965203">
        <w:t>rooted</w:t>
      </w:r>
      <w:r w:rsidR="00347748">
        <w:t xml:space="preserve"> </w:t>
      </w:r>
      <w:r w:rsidR="007F37AF" w:rsidRPr="007311D0">
        <w:t>components of a</w:t>
      </w:r>
      <w:r w:rsidR="00B51D63" w:rsidRPr="007311D0">
        <w:t xml:space="preserve">n </w:t>
      </w:r>
      <w:r w:rsidR="00B51D63" w:rsidRPr="004363E6">
        <w:rPr>
          <w:i/>
        </w:rPr>
        <w:t>aggregative</w:t>
      </w:r>
      <w:r w:rsidR="007F37AF" w:rsidRPr="007311D0">
        <w:t xml:space="preserve"> </w:t>
      </w:r>
      <w:r w:rsidR="007F37AF" w:rsidRPr="007311D0">
        <w:rPr>
          <w:i/>
        </w:rPr>
        <w:t>mainstream continuum</w:t>
      </w:r>
      <w:r w:rsidR="007F37AF" w:rsidRPr="007311D0">
        <w:t xml:space="preserve"> in interwar</w:t>
      </w:r>
      <w:r w:rsidR="00930183" w:rsidRPr="007311D0">
        <w:t xml:space="preserve"> (and not only</w:t>
      </w:r>
      <w:r w:rsidR="00A3096C">
        <w:t xml:space="preserve"> interwar</w:t>
      </w:r>
      <w:r w:rsidR="00930183" w:rsidRPr="007311D0">
        <w:t>)</w:t>
      </w:r>
      <w:r w:rsidR="007F37AF" w:rsidRPr="007311D0">
        <w:t xml:space="preserve"> societies.</w:t>
      </w:r>
    </w:p>
    <w:p w14:paraId="6705216F" w14:textId="692EB076" w:rsidR="007F37AF" w:rsidRPr="007311D0" w:rsidRDefault="00234E34" w:rsidP="00F81330">
      <w:pPr>
        <w:pStyle w:val="MainText"/>
      </w:pPr>
      <w:r w:rsidRPr="007311D0">
        <w:t>Therein lies in the end the paradox of interwar fascism: the transgression of the taboo of violence</w:t>
      </w:r>
      <w:r w:rsidR="00A538B2">
        <w:t xml:space="preserve"> that it authori</w:t>
      </w:r>
      <w:r w:rsidR="003C1BC8">
        <w:t>z</w:t>
      </w:r>
      <w:r w:rsidR="00A538B2">
        <w:t>ed and spearheaded</w:t>
      </w:r>
      <w:r w:rsidRPr="007311D0">
        <w:t xml:space="preserve"> </w:t>
      </w:r>
      <w:r w:rsidR="00816A4C" w:rsidRPr="007311D0">
        <w:t xml:space="preserve">was </w:t>
      </w:r>
      <w:r w:rsidR="002C3296">
        <w:t xml:space="preserve">justified and </w:t>
      </w:r>
      <w:r w:rsidR="00816A4C" w:rsidRPr="007311D0">
        <w:rPr>
          <w:iCs/>
        </w:rPr>
        <w:t>performed</w:t>
      </w:r>
      <w:r w:rsidR="00816A4C" w:rsidRPr="007311D0">
        <w:t xml:space="preserve"> </w:t>
      </w:r>
      <w:r w:rsidR="00816A4C">
        <w:t>conditionally</w:t>
      </w:r>
      <w:r w:rsidR="002C3296">
        <w:t xml:space="preserve"> </w:t>
      </w:r>
      <w:r w:rsidR="00816A4C" w:rsidRPr="007311D0">
        <w:t>in terms that directly</w:t>
      </w:r>
      <w:r w:rsidR="005C0432">
        <w:t xml:space="preserve"> </w:t>
      </w:r>
      <w:r w:rsidR="00816A4C" w:rsidRPr="007311D0">
        <w:t xml:space="preserve">appealed to deep-rooted mainstream </w:t>
      </w:r>
      <w:r w:rsidR="00816A4C">
        <w:t xml:space="preserve">dispositions </w:t>
      </w:r>
      <w:r w:rsidR="002C3296">
        <w:t>-</w:t>
      </w:r>
      <w:r w:rsidR="00816A4C" w:rsidRPr="007311D0">
        <w:t xml:space="preserve"> of nationalism, supreme loyalty to the (narrow) community, and alleged self-defence in the face of a perceived existential threat</w:t>
      </w:r>
      <w:r w:rsidR="00816A4C">
        <w:t>. H</w:t>
      </w:r>
      <w:r w:rsidRPr="007311D0">
        <w:t xml:space="preserve">owever extreme and at odds with the liberal normative mainstream canon it may have seemed, however contrary to the claimed </w:t>
      </w:r>
      <w:r w:rsidRPr="007311D0">
        <w:rPr>
          <w:rFonts w:cs="Times New Roman"/>
        </w:rPr>
        <w:t>‘</w:t>
      </w:r>
      <w:r w:rsidRPr="007311D0">
        <w:t>civili</w:t>
      </w:r>
      <w:r w:rsidR="003C1BC8">
        <w:t>z</w:t>
      </w:r>
      <w:r w:rsidRPr="007311D0">
        <w:t>ing</w:t>
      </w:r>
      <w:r w:rsidRPr="007311D0">
        <w:rPr>
          <w:rFonts w:cs="Times New Roman"/>
        </w:rPr>
        <w:t>’</w:t>
      </w:r>
      <w:r w:rsidRPr="007311D0">
        <w:t xml:space="preserve"> shift to</w:t>
      </w:r>
      <w:r w:rsidR="00816A4C">
        <w:t>wards</w:t>
      </w:r>
      <w:r w:rsidRPr="007311D0">
        <w:t xml:space="preserve"> </w:t>
      </w:r>
      <w:r w:rsidR="00BE1333">
        <w:t xml:space="preserve">human inter-dependence and </w:t>
      </w:r>
      <w:r w:rsidRPr="007311D0">
        <w:t>self-restraint,</w:t>
      </w:r>
      <w:r w:rsidR="00816A4C">
        <w:t xml:space="preserve"> fascist uncivility</w:t>
      </w:r>
      <w:r w:rsidR="00A5339D">
        <w:t xml:space="preserve"> </w:t>
      </w:r>
      <w:r w:rsidR="00DD6EBC">
        <w:t xml:space="preserve">gained </w:t>
      </w:r>
      <w:r w:rsidR="00816A4C">
        <w:t>broad</w:t>
      </w:r>
      <w:r w:rsidR="00A538B2">
        <w:t xml:space="preserve"> appeal </w:t>
      </w:r>
      <w:r w:rsidR="00816A4C">
        <w:t>as</w:t>
      </w:r>
      <w:r w:rsidR="00A538B2">
        <w:t xml:space="preserve"> a </w:t>
      </w:r>
      <w:r w:rsidR="00816A4C">
        <w:t xml:space="preserve">unique </w:t>
      </w:r>
      <w:r w:rsidRPr="007311D0">
        <w:t xml:space="preserve">cumulative assemblage of otherwise multiple </w:t>
      </w:r>
      <w:r w:rsidRPr="007311D0">
        <w:rPr>
          <w:i/>
        </w:rPr>
        <w:t>ordinal</w:t>
      </w:r>
      <w:r w:rsidRPr="007311D0">
        <w:t xml:space="preserve"> shifts </w:t>
      </w:r>
      <w:r w:rsidR="001E36D6">
        <w:t xml:space="preserve">in, </w:t>
      </w:r>
      <w:r w:rsidRPr="007311D0">
        <w:rPr>
          <w:i/>
        </w:rPr>
        <w:t>not</w:t>
      </w:r>
      <w:r w:rsidR="00A538B2">
        <w:rPr>
          <w:i/>
        </w:rPr>
        <w:t xml:space="preserve"> of</w:t>
      </w:r>
      <w:r w:rsidRPr="007311D0">
        <w:rPr>
          <w:i/>
        </w:rPr>
        <w:t xml:space="preserve"> </w:t>
      </w:r>
      <w:r w:rsidRPr="004363E6">
        <w:rPr>
          <w:i/>
        </w:rPr>
        <w:t>qualitative</w:t>
      </w:r>
      <w:r w:rsidRPr="007311D0">
        <w:rPr>
          <w:i/>
        </w:rPr>
        <w:t xml:space="preserve"> rupture</w:t>
      </w:r>
      <w:r w:rsidR="00816A4C">
        <w:rPr>
          <w:i/>
        </w:rPr>
        <w:t xml:space="preserve">s </w:t>
      </w:r>
      <w:r w:rsidRPr="007311D0">
        <w:t>from</w:t>
      </w:r>
      <w:r w:rsidR="001E36D6">
        <w:t>,</w:t>
      </w:r>
      <w:r w:rsidRPr="007311D0">
        <w:t xml:space="preserve"> the main(stream) macro-historical wherewithal of the Eliasian </w:t>
      </w:r>
      <w:r w:rsidRPr="007311D0">
        <w:rPr>
          <w:rFonts w:cs="Times New Roman"/>
        </w:rPr>
        <w:t>‘</w:t>
      </w:r>
      <w:r w:rsidRPr="007311D0">
        <w:t>civili</w:t>
      </w:r>
      <w:r w:rsidR="003C1BC8">
        <w:t>z</w:t>
      </w:r>
      <w:r w:rsidRPr="007311D0">
        <w:t>ing process</w:t>
      </w:r>
      <w:r w:rsidRPr="007311D0">
        <w:rPr>
          <w:rFonts w:cs="Times New Roman"/>
        </w:rPr>
        <w:t>’</w:t>
      </w:r>
      <w:r w:rsidRPr="007311D0">
        <w:t>.</w:t>
      </w:r>
      <w:r w:rsidR="002B4E98" w:rsidRPr="007311D0">
        <w:t xml:space="preserve"> A ravaging </w:t>
      </w:r>
      <w:r w:rsidR="002B4E98" w:rsidRPr="007311D0">
        <w:rPr>
          <w:rFonts w:cs="Times New Roman"/>
        </w:rPr>
        <w:t>‘</w:t>
      </w:r>
      <w:r w:rsidR="002B4E98" w:rsidRPr="007311D0">
        <w:t>counter-spurt</w:t>
      </w:r>
      <w:r w:rsidR="002B4E98" w:rsidRPr="007311D0">
        <w:rPr>
          <w:rFonts w:cs="Times New Roman"/>
        </w:rPr>
        <w:t>’</w:t>
      </w:r>
      <w:r w:rsidR="002B4E98" w:rsidRPr="007311D0">
        <w:t xml:space="preserve"> then </w:t>
      </w:r>
      <w:r w:rsidR="002B4E98" w:rsidRPr="007311D0">
        <w:rPr>
          <w:rFonts w:cs="Times New Roman"/>
        </w:rPr>
        <w:t>–</w:t>
      </w:r>
      <w:r w:rsidR="002B4E98" w:rsidRPr="007311D0">
        <w:t xml:space="preserve"> but a </w:t>
      </w:r>
      <w:r w:rsidR="002B4E98" w:rsidRPr="007311D0">
        <w:rPr>
          <w:rFonts w:cs="Times New Roman"/>
        </w:rPr>
        <w:t>‘</w:t>
      </w:r>
      <w:r w:rsidR="002B4E98" w:rsidRPr="007311D0">
        <w:rPr>
          <w:i/>
        </w:rPr>
        <w:t>de</w:t>
      </w:r>
      <w:r w:rsidR="002B4E98" w:rsidRPr="007311D0">
        <w:t>civili</w:t>
      </w:r>
      <w:r w:rsidR="003C1BC8">
        <w:t>z</w:t>
      </w:r>
      <w:r w:rsidR="002B4E98" w:rsidRPr="007311D0">
        <w:t>ing</w:t>
      </w:r>
      <w:r w:rsidR="002B4E98" w:rsidRPr="007311D0">
        <w:rPr>
          <w:rFonts w:cs="Times New Roman"/>
        </w:rPr>
        <w:t>’</w:t>
      </w:r>
      <w:r w:rsidR="002B4E98" w:rsidRPr="007311D0">
        <w:t xml:space="preserve"> one? </w:t>
      </w:r>
      <w:r w:rsidR="00DC3885" w:rsidRPr="007311D0">
        <w:t xml:space="preserve">The essential fallacy of </w:t>
      </w:r>
      <w:r w:rsidR="00816A4C">
        <w:t>Elias’s</w:t>
      </w:r>
      <w:r w:rsidR="00DC3885" w:rsidRPr="007311D0">
        <w:t xml:space="preserve"> subsequent analysis of fascism/Nazism as the </w:t>
      </w:r>
      <w:r w:rsidR="00DC3885" w:rsidRPr="007311D0">
        <w:rPr>
          <w:rFonts w:cs="Times New Roman"/>
        </w:rPr>
        <w:t>‘</w:t>
      </w:r>
      <w:r w:rsidR="00DC3885" w:rsidRPr="007311D0">
        <w:t>deepest regression</w:t>
      </w:r>
      <w:r w:rsidR="00DC3885" w:rsidRPr="007311D0">
        <w:rPr>
          <w:rFonts w:cs="Times New Roman"/>
        </w:rPr>
        <w:t>’</w:t>
      </w:r>
      <w:r w:rsidR="00DC3885" w:rsidRPr="007311D0">
        <w:t xml:space="preserve"> from the </w:t>
      </w:r>
      <w:r w:rsidR="00DC3885" w:rsidRPr="007311D0">
        <w:rPr>
          <w:rFonts w:cs="Times New Roman"/>
        </w:rPr>
        <w:t>‘</w:t>
      </w:r>
      <w:r w:rsidR="00DC3885" w:rsidRPr="007311D0">
        <w:t>civili</w:t>
      </w:r>
      <w:r w:rsidR="003C1BC8">
        <w:t>z</w:t>
      </w:r>
      <w:r w:rsidR="00DC3885" w:rsidRPr="007311D0">
        <w:t>ing process</w:t>
      </w:r>
      <w:r w:rsidR="00DC3885" w:rsidRPr="007311D0">
        <w:rPr>
          <w:rFonts w:cs="Times New Roman"/>
        </w:rPr>
        <w:t>’</w:t>
      </w:r>
      <w:r w:rsidR="004B54E1" w:rsidRPr="007311D0">
        <w:t xml:space="preserve"> rests </w:t>
      </w:r>
      <w:r w:rsidR="00F81330">
        <w:t>not so much</w:t>
      </w:r>
      <w:r w:rsidR="004B54E1" w:rsidRPr="007311D0">
        <w:t xml:space="preserve"> on the unsatisfactory metaphors of </w:t>
      </w:r>
      <w:r w:rsidR="004B54E1" w:rsidRPr="007311D0">
        <w:rPr>
          <w:rFonts w:cs="Times New Roman"/>
        </w:rPr>
        <w:t>‘</w:t>
      </w:r>
      <w:r w:rsidR="004B54E1" w:rsidRPr="007311D0">
        <w:t>barbarism</w:t>
      </w:r>
      <w:r w:rsidR="004B54E1" w:rsidRPr="007311D0">
        <w:rPr>
          <w:rFonts w:cs="Times New Roman"/>
        </w:rPr>
        <w:t>’</w:t>
      </w:r>
      <w:r w:rsidR="004B54E1" w:rsidRPr="007311D0">
        <w:t xml:space="preserve"> that he invoke</w:t>
      </w:r>
      <w:r w:rsidR="00816A4C">
        <w:t>d</w:t>
      </w:r>
      <w:r w:rsidR="004B54E1" w:rsidRPr="007311D0">
        <w:t xml:space="preserve"> </w:t>
      </w:r>
      <w:r w:rsidR="00F81330">
        <w:t xml:space="preserve">but rather </w:t>
      </w:r>
      <w:r w:rsidR="004B54E1" w:rsidRPr="007311D0">
        <w:t xml:space="preserve">on the </w:t>
      </w:r>
      <w:r w:rsidR="00A83673">
        <w:t xml:space="preserve">optimistic </w:t>
      </w:r>
      <w:r w:rsidR="004B54E1" w:rsidRPr="007311D0">
        <w:t xml:space="preserve">over-inflation of the </w:t>
      </w:r>
      <w:r w:rsidR="004B54E1" w:rsidRPr="007311D0">
        <w:rPr>
          <w:rFonts w:cs="Times New Roman"/>
        </w:rPr>
        <w:t>‘</w:t>
      </w:r>
      <w:r w:rsidR="004B54E1" w:rsidRPr="007311D0">
        <w:t>civili</w:t>
      </w:r>
      <w:r w:rsidR="003C1BC8">
        <w:t>z</w:t>
      </w:r>
      <w:r w:rsidR="004B54E1" w:rsidRPr="007311D0">
        <w:t>ing process</w:t>
      </w:r>
      <w:r w:rsidR="004B54E1" w:rsidRPr="007311D0">
        <w:rPr>
          <w:rFonts w:cs="Times New Roman"/>
        </w:rPr>
        <w:t>’</w:t>
      </w:r>
      <w:r w:rsidR="004B54E1" w:rsidRPr="007311D0">
        <w:t xml:space="preserve"> itself with </w:t>
      </w:r>
      <w:r w:rsidR="00F81330">
        <w:t xml:space="preserve">a host of </w:t>
      </w:r>
      <w:r w:rsidR="004B54E1" w:rsidRPr="007311D0">
        <w:t xml:space="preserve">qualitative </w:t>
      </w:r>
      <w:r w:rsidR="00F1743A">
        <w:t>and etic</w:t>
      </w:r>
      <w:r w:rsidR="004B54E1" w:rsidRPr="007311D0">
        <w:t xml:space="preserve"> assumptions</w:t>
      </w:r>
      <w:r w:rsidR="00661957" w:rsidRPr="007311D0">
        <w:t xml:space="preserve"> about </w:t>
      </w:r>
      <w:r w:rsidR="00A83673">
        <w:t xml:space="preserve">the trajectory of </w:t>
      </w:r>
      <w:r w:rsidR="00F1743A">
        <w:t>‘</w:t>
      </w:r>
      <w:r w:rsidR="00661957" w:rsidRPr="007311D0">
        <w:t>civili</w:t>
      </w:r>
      <w:r w:rsidR="003C1BC8">
        <w:t>z</w:t>
      </w:r>
      <w:r w:rsidR="00661957" w:rsidRPr="007311D0">
        <w:t>ation</w:t>
      </w:r>
      <w:r w:rsidR="00F1743A">
        <w:t>’</w:t>
      </w:r>
      <w:r w:rsidR="004B54E1" w:rsidRPr="007311D0">
        <w:t xml:space="preserve">. </w:t>
      </w:r>
      <w:r w:rsidR="00F81330">
        <w:t>The ‘armour of civili</w:t>
      </w:r>
      <w:r w:rsidR="003C1BC8">
        <w:t>z</w:t>
      </w:r>
      <w:r w:rsidR="00F81330">
        <w:t xml:space="preserve">ed society’ may have indeed crumbled in the 1930s and 1940s; but what it revealed behind the rubble of liberal over-optimism was an extreme constellation of </w:t>
      </w:r>
      <w:r w:rsidR="00E22385">
        <w:t xml:space="preserve">deep-seated </w:t>
      </w:r>
      <w:r w:rsidR="00F2462A">
        <w:t>dark</w:t>
      </w:r>
      <w:r w:rsidR="00F81330">
        <w:t xml:space="preserve"> potentialities </w:t>
      </w:r>
      <w:r w:rsidR="00816A4C">
        <w:t>in</w:t>
      </w:r>
      <w:r w:rsidR="00F81330">
        <w:t xml:space="preserve"> the essentially directionless and volatile ‘civili</w:t>
      </w:r>
      <w:r w:rsidR="003C1BC8">
        <w:t>z</w:t>
      </w:r>
      <w:r w:rsidR="00F81330">
        <w:t>ing process’.</w:t>
      </w:r>
    </w:p>
    <w:p w14:paraId="4AE09F00" w14:textId="77777777" w:rsidR="000468A3" w:rsidRPr="007311D0" w:rsidRDefault="000468A3" w:rsidP="00C131EE">
      <w:pPr>
        <w:pStyle w:val="Heading2"/>
      </w:pPr>
    </w:p>
    <w:p w14:paraId="2640B09F" w14:textId="77777777" w:rsidR="001950E1" w:rsidRPr="007311D0" w:rsidRDefault="001950E1">
      <w:pPr>
        <w:suppressAutoHyphens w:val="0"/>
        <w:rPr>
          <w:rFonts w:ascii="Franklin Gothic Book" w:eastAsiaTheme="minorEastAsia" w:hAnsi="Franklin Gothic Book" w:cs="Beirut"/>
          <w:b/>
          <w:color w:val="323232"/>
          <w:sz w:val="32"/>
          <w:szCs w:val="32"/>
          <w:lang w:eastAsia="it-IT"/>
        </w:rPr>
      </w:pPr>
      <w:r w:rsidRPr="007311D0">
        <w:rPr>
          <w:rFonts w:ascii="Franklin Gothic Book" w:hAnsi="Franklin Gothic Book" w:cs="Beirut"/>
        </w:rPr>
        <w:br w:type="page"/>
      </w:r>
    </w:p>
    <w:p w14:paraId="1AC493A3" w14:textId="77777777" w:rsidR="00F46C60" w:rsidRPr="007311D0" w:rsidRDefault="005A5F61" w:rsidP="00C131EE">
      <w:pPr>
        <w:pStyle w:val="Heading2"/>
      </w:pPr>
      <w:r w:rsidRPr="007311D0">
        <w:t>References</w:t>
      </w:r>
    </w:p>
    <w:sectPr w:rsidR="00F46C60" w:rsidRPr="007311D0" w:rsidSect="0078346D">
      <w:headerReference w:type="default" r:id="rId8"/>
      <w:footerReference w:type="even" r:id="rId9"/>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36B8" w14:textId="77777777" w:rsidR="008D2EAC" w:rsidRDefault="008D2EAC" w:rsidP="007F37AF">
      <w:r>
        <w:separator/>
      </w:r>
    </w:p>
  </w:endnote>
  <w:endnote w:type="continuationSeparator" w:id="0">
    <w:p w14:paraId="2178015A" w14:textId="77777777" w:rsidR="008D2EAC" w:rsidRDefault="008D2EAC" w:rsidP="007F37AF">
      <w:r>
        <w:continuationSeparator/>
      </w:r>
    </w:p>
  </w:endnote>
  <w:endnote w:id="1">
    <w:p w14:paraId="02609FD2"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George L. Mosse, </w:t>
      </w:r>
      <w:r w:rsidRPr="000C708D">
        <w:rPr>
          <w:rFonts w:ascii="Franklin Gothic Book" w:hAnsi="Franklin Gothic Book"/>
          <w:i/>
          <w:color w:val="000000" w:themeColor="text1"/>
          <w:sz w:val="24"/>
          <w:szCs w:val="24"/>
        </w:rPr>
        <w:t>The Nationalization of the Masses: Political Symbolism and Mass Movements in Germany From the Napoleonic Wars Through the Third Reich</w:t>
      </w:r>
      <w:r w:rsidRPr="000C708D">
        <w:rPr>
          <w:rFonts w:ascii="Franklin Gothic Book" w:hAnsi="Franklin Gothic Book"/>
          <w:color w:val="000000" w:themeColor="text1"/>
          <w:sz w:val="24"/>
          <w:szCs w:val="24"/>
        </w:rPr>
        <w:t xml:space="preserve"> (Ithaca NY: Cornell University Press, 1991), pp. 1-2.</w:t>
      </w:r>
    </w:p>
  </w:endnote>
  <w:endnote w:id="2">
    <w:p w14:paraId="4FDFF954"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Matteo Millan, </w:t>
      </w:r>
      <w:r w:rsidRPr="000C708D">
        <w:rPr>
          <w:rFonts w:ascii="Franklin Gothic Book" w:hAnsi="Franklin Gothic Book" w:cs="Times New Roman"/>
          <w:i/>
          <w:color w:val="000000" w:themeColor="text1"/>
          <w:sz w:val="24"/>
          <w:szCs w:val="24"/>
        </w:rPr>
        <w:t>Squadrismo e squadristi nella dittatura fascista</w:t>
      </w:r>
      <w:r w:rsidRPr="000C708D">
        <w:rPr>
          <w:rFonts w:ascii="Franklin Gothic Book" w:hAnsi="Franklin Gothic Book" w:cs="Times New Roman"/>
          <w:color w:val="000000" w:themeColor="text1"/>
          <w:sz w:val="24"/>
          <w:szCs w:val="24"/>
        </w:rPr>
        <w:t xml:space="preserve"> (Rome: Viella, 2014); Mimmo Franzinelli, </w:t>
      </w:r>
      <w:r w:rsidRPr="000C708D">
        <w:rPr>
          <w:rFonts w:ascii="Franklin Gothic Book" w:hAnsi="Franklin Gothic Book" w:cs="Times New Roman"/>
          <w:i/>
          <w:color w:val="000000" w:themeColor="text1"/>
          <w:sz w:val="24"/>
          <w:szCs w:val="24"/>
        </w:rPr>
        <w:t>Squadristi: protagonisti e tecniche della violenza fascista, 1919-1922</w:t>
      </w:r>
      <w:r w:rsidRPr="000C708D">
        <w:rPr>
          <w:rFonts w:ascii="Franklin Gothic Book" w:hAnsi="Franklin Gothic Book" w:cs="Times New Roman"/>
          <w:color w:val="000000" w:themeColor="text1"/>
          <w:sz w:val="24"/>
          <w:szCs w:val="24"/>
        </w:rPr>
        <w:t xml:space="preserve"> (Milan: Mondadori, 2003), p. 3.</w:t>
      </w:r>
    </w:p>
  </w:endnote>
  <w:endnote w:id="3">
    <w:p w14:paraId="5E6CF4A4" w14:textId="77777777" w:rsidR="008F1E5D" w:rsidRPr="000C708D" w:rsidRDefault="008F1E5D" w:rsidP="002C3296">
      <w:pPr>
        <w:pStyle w:val="Endnotes"/>
        <w:spacing w:afterLines="80" w:after="192"/>
        <w:rPr>
          <w:color w:val="000000" w:themeColor="text1"/>
          <w:szCs w:val="24"/>
          <w:lang w:val="en-US"/>
        </w:rPr>
      </w:pPr>
      <w:r w:rsidRPr="000C708D">
        <w:rPr>
          <w:rStyle w:val="EndnoteReference"/>
          <w:color w:val="000000" w:themeColor="text1"/>
          <w:szCs w:val="24"/>
        </w:rPr>
        <w:endnoteRef/>
      </w:r>
      <w:r w:rsidRPr="000C708D">
        <w:rPr>
          <w:color w:val="000000" w:themeColor="text1"/>
          <w:szCs w:val="24"/>
        </w:rPr>
        <w:t xml:space="preserve"> </w:t>
      </w:r>
      <w:r w:rsidRPr="000C708D">
        <w:rPr>
          <w:color w:val="000000" w:themeColor="text1"/>
          <w:szCs w:val="24"/>
          <w:lang w:val="en-US"/>
        </w:rPr>
        <w:t>D</w:t>
      </w:r>
      <w:r>
        <w:rPr>
          <w:color w:val="000000" w:themeColor="text1"/>
          <w:szCs w:val="24"/>
          <w:lang w:val="en-US"/>
        </w:rPr>
        <w:t>aniel</w:t>
      </w:r>
      <w:r w:rsidRPr="000C708D">
        <w:rPr>
          <w:color w:val="000000" w:themeColor="text1"/>
          <w:szCs w:val="24"/>
          <w:lang w:val="en-US"/>
        </w:rPr>
        <w:t xml:space="preserve"> M. Green, ‘The Lingering Liberal Moment: An Historical Perspective on the Global Durability of Democracy After 1989’, </w:t>
      </w:r>
      <w:r w:rsidRPr="000C708D">
        <w:rPr>
          <w:i/>
          <w:iCs/>
          <w:color w:val="000000" w:themeColor="text1"/>
          <w:szCs w:val="24"/>
          <w:lang w:val="en-US"/>
        </w:rPr>
        <w:t>Democratization,</w:t>
      </w:r>
      <w:r w:rsidRPr="000C708D">
        <w:rPr>
          <w:color w:val="000000" w:themeColor="text1"/>
          <w:szCs w:val="24"/>
          <w:lang w:val="en-US"/>
        </w:rPr>
        <w:t xml:space="preserve"> 6/2 (1999), pp. 1-41.</w:t>
      </w:r>
    </w:p>
  </w:endnote>
  <w:endnote w:id="4">
    <w:p w14:paraId="14F2225B"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Jochen Hung, ‘A backlash against liberalism? What the Weimar Republic can teach us about today’s politics’, </w:t>
      </w:r>
      <w:r w:rsidRPr="000C708D">
        <w:rPr>
          <w:rFonts w:ascii="Franklin Gothic Book" w:hAnsi="Franklin Gothic Book" w:cs="Times New Roman"/>
          <w:i/>
          <w:color w:val="000000" w:themeColor="text1"/>
          <w:sz w:val="24"/>
          <w:szCs w:val="24"/>
        </w:rPr>
        <w:t xml:space="preserve">International Journal for History, Culture and Modernity, </w:t>
      </w:r>
      <w:r w:rsidRPr="000C708D">
        <w:rPr>
          <w:rFonts w:ascii="Franklin Gothic Book" w:hAnsi="Franklin Gothic Book" w:cs="Times New Roman"/>
          <w:color w:val="000000" w:themeColor="text1"/>
          <w:sz w:val="24"/>
          <w:szCs w:val="24"/>
        </w:rPr>
        <w:t>5/1 (2017)</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91-107.</w:t>
      </w:r>
    </w:p>
  </w:endnote>
  <w:endnote w:id="5">
    <w:p w14:paraId="281CAA51"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Aristotle Kallis, </w:t>
      </w:r>
      <w:r w:rsidRPr="000C708D">
        <w:rPr>
          <w:rFonts w:ascii="Franklin Gothic Book" w:hAnsi="Franklin Gothic Book" w:cs="Times New Roman"/>
          <w:i/>
          <w:color w:val="000000" w:themeColor="text1"/>
          <w:sz w:val="24"/>
          <w:szCs w:val="24"/>
        </w:rPr>
        <w:t>Genocide and Fascism: The Eliminationist Drive in Fascist Europe</w:t>
      </w:r>
      <w:r w:rsidRPr="000C708D">
        <w:rPr>
          <w:rFonts w:ascii="Franklin Gothic Book" w:hAnsi="Franklin Gothic Book" w:cs="Times New Roman"/>
          <w:color w:val="000000" w:themeColor="text1"/>
          <w:sz w:val="24"/>
          <w:szCs w:val="24"/>
        </w:rPr>
        <w:t xml:space="preserve"> (New York: Routledge, 2008), p. 312.</w:t>
      </w:r>
    </w:p>
  </w:endnote>
  <w:endnote w:id="6">
    <w:p w14:paraId="6EBEB42C" w14:textId="77777777" w:rsidR="008F1E5D" w:rsidRPr="000C708D" w:rsidRDefault="008F1E5D" w:rsidP="002C3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Lines="80" w:after="192" w:line="320" w:lineRule="exact"/>
        <w:rPr>
          <w:rFonts w:ascii="Franklin Gothic Book" w:eastAsiaTheme="minorEastAsia" w:hAnsi="Franklin Gothic Book" w:cs="Arial"/>
          <w:color w:val="000000" w:themeColor="text1"/>
          <w:lang w:val="en-US" w:eastAsia="it-IT"/>
        </w:rPr>
      </w:pPr>
      <w:r w:rsidRPr="000C708D">
        <w:rPr>
          <w:rStyle w:val="EndnoteReference"/>
          <w:rFonts w:ascii="Franklin Gothic Book" w:hAnsi="Franklin Gothic Book"/>
          <w:color w:val="000000" w:themeColor="text1"/>
        </w:rPr>
        <w:endnoteRef/>
      </w:r>
      <w:r w:rsidRPr="000C708D">
        <w:rPr>
          <w:rFonts w:ascii="Franklin Gothic Book" w:hAnsi="Franklin Gothic Book"/>
          <w:color w:val="000000" w:themeColor="text1"/>
        </w:rPr>
        <w:t xml:space="preserve"> On the notion of ‘fascist synthesis’ see George L. Mosse, </w:t>
      </w:r>
      <w:r w:rsidRPr="000C708D">
        <w:rPr>
          <w:rFonts w:ascii="Franklin Gothic Book" w:hAnsi="Franklin Gothic Book"/>
          <w:i/>
          <w:color w:val="000000" w:themeColor="text1"/>
        </w:rPr>
        <w:t>Masses and Man: Nationalist and Fascist Perceptions of Reality</w:t>
      </w:r>
      <w:r w:rsidRPr="000C708D">
        <w:rPr>
          <w:rFonts w:ascii="Franklin Gothic Book" w:hAnsi="Franklin Gothic Book"/>
          <w:color w:val="000000" w:themeColor="text1"/>
        </w:rPr>
        <w:t xml:space="preserve"> (Detroit: Wayne State University Press, 1987); </w:t>
      </w:r>
      <w:r w:rsidRPr="000C708D">
        <w:rPr>
          <w:rFonts w:ascii="Franklin Gothic Book" w:eastAsiaTheme="minorEastAsia" w:hAnsi="Franklin Gothic Book" w:cs="Helvetica Neue"/>
          <w:color w:val="000000" w:themeColor="text1"/>
          <w:lang w:val="en-US" w:eastAsia="it-IT"/>
        </w:rPr>
        <w:t xml:space="preserve">Zeev Sternhell, </w:t>
      </w:r>
      <w:r w:rsidRPr="000C708D">
        <w:rPr>
          <w:rFonts w:ascii="Franklin Gothic Book" w:eastAsiaTheme="minorEastAsia" w:hAnsi="Franklin Gothic Book" w:cs="Helvetica Neue"/>
          <w:i/>
          <w:iCs/>
          <w:color w:val="000000" w:themeColor="text1"/>
          <w:lang w:val="en-US" w:eastAsia="it-IT"/>
        </w:rPr>
        <w:t>The Birth of Fascist Ideology: From Cultural Rebellion to Political Revolution</w:t>
      </w:r>
      <w:r w:rsidRPr="000C708D">
        <w:rPr>
          <w:rFonts w:ascii="Franklin Gothic Book" w:eastAsiaTheme="minorEastAsia" w:hAnsi="Franklin Gothic Book" w:cs="Helvetica Neue"/>
          <w:color w:val="000000" w:themeColor="text1"/>
          <w:lang w:val="en-US" w:eastAsia="it-IT"/>
        </w:rPr>
        <w:t xml:space="preserve"> (Princeton NJ: Princeton University Press, 1994).</w:t>
      </w:r>
    </w:p>
  </w:endnote>
  <w:endnote w:id="7">
    <w:p w14:paraId="2512F884" w14:textId="77777777" w:rsidR="008F1E5D" w:rsidRPr="000C708D" w:rsidRDefault="008F1E5D" w:rsidP="002C3296">
      <w:pPr>
        <w:pStyle w:val="Endnotes"/>
        <w:spacing w:afterLines="80" w:after="192"/>
        <w:rPr>
          <w:color w:val="000000" w:themeColor="text1"/>
          <w:szCs w:val="24"/>
          <w:lang w:val="en-US"/>
        </w:rPr>
      </w:pPr>
      <w:r w:rsidRPr="000C708D">
        <w:rPr>
          <w:rStyle w:val="EndnoteReference"/>
          <w:color w:val="000000" w:themeColor="text1"/>
          <w:szCs w:val="24"/>
        </w:rPr>
        <w:endnoteRef/>
      </w:r>
      <w:r w:rsidRPr="000C708D">
        <w:rPr>
          <w:color w:val="000000" w:themeColor="text1"/>
          <w:szCs w:val="24"/>
        </w:rPr>
        <w:t xml:space="preserve"> Norbert Elias, </w:t>
      </w:r>
      <w:r w:rsidRPr="000C708D">
        <w:rPr>
          <w:i/>
          <w:color w:val="000000" w:themeColor="text1"/>
          <w:szCs w:val="24"/>
        </w:rPr>
        <w:t xml:space="preserve">The Civilizing Process </w:t>
      </w:r>
      <w:r w:rsidRPr="000C708D">
        <w:rPr>
          <w:color w:val="000000" w:themeColor="text1"/>
          <w:szCs w:val="24"/>
        </w:rPr>
        <w:t xml:space="preserve">(Malden MA, Oxford, and Victoria: Blackwell, 2000; rev. ed.), pp. 47-52; </w:t>
      </w:r>
      <w:r w:rsidRPr="000C708D">
        <w:rPr>
          <w:color w:val="000000" w:themeColor="text1"/>
          <w:szCs w:val="24"/>
          <w:lang w:val="en-US"/>
        </w:rPr>
        <w:t xml:space="preserve">Christopher Powell, </w:t>
      </w:r>
      <w:r w:rsidRPr="000C708D">
        <w:rPr>
          <w:i/>
          <w:iCs/>
          <w:color w:val="000000" w:themeColor="text1"/>
          <w:szCs w:val="24"/>
          <w:lang w:val="en-US"/>
        </w:rPr>
        <w:t>Barbaric Civilization: A Critical Sociology of Genocide</w:t>
      </w:r>
      <w:r w:rsidRPr="000C708D">
        <w:rPr>
          <w:color w:val="000000" w:themeColor="text1"/>
          <w:szCs w:val="24"/>
          <w:lang w:val="en-US"/>
        </w:rPr>
        <w:t xml:space="preserve"> (Montreal &amp; Kingston, London, Ithaca NY: McGill-Queen’s University Press, 2011), pp. 131-3.</w:t>
      </w:r>
    </w:p>
  </w:endnote>
  <w:endnote w:id="8">
    <w:p w14:paraId="63D4B598"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George L. </w:t>
      </w:r>
      <w:r w:rsidRPr="000C708D">
        <w:rPr>
          <w:rFonts w:ascii="Franklin Gothic Book" w:hAnsi="Franklin Gothic Book"/>
          <w:bCs/>
          <w:color w:val="000000" w:themeColor="text1"/>
          <w:sz w:val="24"/>
          <w:szCs w:val="24"/>
        </w:rPr>
        <w:t>Mosse</w:t>
      </w:r>
      <w:r w:rsidRPr="000C708D">
        <w:rPr>
          <w:rFonts w:ascii="Franklin Gothic Book" w:hAnsi="Franklin Gothic Book"/>
          <w:color w:val="000000" w:themeColor="text1"/>
          <w:sz w:val="24"/>
          <w:szCs w:val="24"/>
        </w:rPr>
        <w:t>, '</w:t>
      </w:r>
      <w:r w:rsidRPr="000C708D">
        <w:rPr>
          <w:rFonts w:ascii="Franklin Gothic Book" w:hAnsi="Franklin Gothic Book"/>
          <w:bCs/>
          <w:color w:val="000000" w:themeColor="text1"/>
          <w:sz w:val="24"/>
          <w:szCs w:val="24"/>
        </w:rPr>
        <w:t>Review</w:t>
      </w:r>
      <w:r w:rsidRPr="000C708D">
        <w:rPr>
          <w:rFonts w:ascii="Franklin Gothic Book" w:hAnsi="Franklin Gothic Book"/>
          <w:color w:val="000000" w:themeColor="text1"/>
          <w:sz w:val="24"/>
          <w:szCs w:val="24"/>
        </w:rPr>
        <w:t> of Norbert </w:t>
      </w:r>
      <w:r w:rsidRPr="000C708D">
        <w:rPr>
          <w:rFonts w:ascii="Franklin Gothic Book" w:hAnsi="Franklin Gothic Book"/>
          <w:bCs/>
          <w:color w:val="000000" w:themeColor="text1"/>
          <w:sz w:val="24"/>
          <w:szCs w:val="24"/>
        </w:rPr>
        <w:t>Elias</w:t>
      </w:r>
      <w:r w:rsidRPr="000C708D">
        <w:rPr>
          <w:rFonts w:ascii="Franklin Gothic Book" w:hAnsi="Franklin Gothic Book"/>
          <w:color w:val="000000" w:themeColor="text1"/>
          <w:sz w:val="24"/>
          <w:szCs w:val="24"/>
        </w:rPr>
        <w:t>, The </w:t>
      </w:r>
      <w:r w:rsidRPr="000C708D">
        <w:rPr>
          <w:rFonts w:ascii="Franklin Gothic Book" w:hAnsi="Franklin Gothic Book"/>
          <w:bCs/>
          <w:color w:val="000000" w:themeColor="text1"/>
          <w:sz w:val="24"/>
          <w:szCs w:val="24"/>
        </w:rPr>
        <w:t>Civilizing Process</w:t>
      </w:r>
      <w:r w:rsidRPr="000C708D">
        <w:rPr>
          <w:rFonts w:ascii="Franklin Gothic Book" w:hAnsi="Franklin Gothic Book"/>
          <w:color w:val="000000" w:themeColor="text1"/>
          <w:sz w:val="24"/>
          <w:szCs w:val="24"/>
        </w:rPr>
        <w:t xml:space="preserve">: The History of Manners', </w:t>
      </w:r>
      <w:r w:rsidRPr="000C708D">
        <w:rPr>
          <w:rFonts w:ascii="Franklin Gothic Book" w:hAnsi="Franklin Gothic Book"/>
          <w:i/>
          <w:color w:val="000000" w:themeColor="text1"/>
          <w:sz w:val="24"/>
          <w:szCs w:val="24"/>
        </w:rPr>
        <w:t>New German Critique</w:t>
      </w:r>
      <w:r w:rsidRPr="000C708D">
        <w:rPr>
          <w:rFonts w:ascii="Franklin Gothic Book" w:hAnsi="Franklin Gothic Book"/>
          <w:color w:val="000000" w:themeColor="text1"/>
          <w:sz w:val="24"/>
          <w:szCs w:val="24"/>
        </w:rPr>
        <w:t xml:space="preserve">, 15 (1978), pp. 178–83; and </w:t>
      </w:r>
      <w:r w:rsidRPr="000C708D">
        <w:rPr>
          <w:rFonts w:ascii="Franklin Gothic Book" w:hAnsi="Franklin Gothic Book"/>
          <w:i/>
          <w:iCs/>
          <w:color w:val="000000" w:themeColor="text1"/>
          <w:sz w:val="24"/>
          <w:szCs w:val="24"/>
        </w:rPr>
        <w:t xml:space="preserve">Confronting History, A Memoir </w:t>
      </w:r>
      <w:r w:rsidRPr="000C708D">
        <w:rPr>
          <w:rFonts w:ascii="Franklin Gothic Book" w:hAnsi="Franklin Gothic Book"/>
          <w:color w:val="000000" w:themeColor="text1"/>
          <w:sz w:val="24"/>
          <w:szCs w:val="24"/>
        </w:rPr>
        <w:t>(Madison WN: University of Wisconsin Press, 2000), pp. 210-11.</w:t>
      </w:r>
    </w:p>
  </w:endnote>
  <w:endnote w:id="9">
    <w:p w14:paraId="724779A8"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Karel Plessini, ‘The Nazi as the ‘Ideal Bourgeois’: Respectability and Nazism in the Work of George L. Mosse’, </w:t>
      </w:r>
      <w:r w:rsidRPr="000C708D">
        <w:rPr>
          <w:rFonts w:ascii="Franklin Gothic Book" w:hAnsi="Franklin Gothic Book"/>
          <w:i/>
          <w:color w:val="000000" w:themeColor="text1"/>
          <w:sz w:val="24"/>
          <w:szCs w:val="24"/>
        </w:rPr>
        <w:t>Totalitarian Movements and Political Religions</w:t>
      </w:r>
      <w:r w:rsidRPr="000C708D">
        <w:rPr>
          <w:rFonts w:ascii="Franklin Gothic Book" w:hAnsi="Franklin Gothic Book"/>
          <w:color w:val="000000" w:themeColor="text1"/>
          <w:sz w:val="24"/>
          <w:szCs w:val="24"/>
        </w:rPr>
        <w:t xml:space="preserve">, 5/2 (2004), p. 238; George L. Mosse, ‘Nationalism and Respectability: Normal and Abnormal Sexuality in the Nineteenth Century’, </w:t>
      </w:r>
      <w:r w:rsidRPr="000C708D">
        <w:rPr>
          <w:rFonts w:ascii="Franklin Gothic Book" w:hAnsi="Franklin Gothic Book"/>
          <w:i/>
          <w:color w:val="000000" w:themeColor="text1"/>
          <w:sz w:val="24"/>
          <w:szCs w:val="24"/>
        </w:rPr>
        <w:t>Journal of contemporary history</w:t>
      </w:r>
      <w:r w:rsidRPr="000C708D">
        <w:rPr>
          <w:rFonts w:ascii="Franklin Gothic Book" w:hAnsi="Franklin Gothic Book"/>
          <w:color w:val="000000" w:themeColor="text1"/>
          <w:sz w:val="24"/>
          <w:szCs w:val="24"/>
        </w:rPr>
        <w:t xml:space="preserve">, 17/2 (1982), pp. 221-46; </w:t>
      </w:r>
      <w:r w:rsidRPr="000C708D">
        <w:rPr>
          <w:rFonts w:ascii="Franklin Gothic Book" w:hAnsi="Franklin Gothic Book"/>
          <w:bCs/>
          <w:color w:val="000000" w:themeColor="text1"/>
          <w:sz w:val="24"/>
          <w:szCs w:val="24"/>
        </w:rPr>
        <w:t>Jeffrey</w:t>
      </w:r>
      <w:r w:rsidRPr="000C708D">
        <w:rPr>
          <w:rFonts w:ascii="Franklin Gothic Book" w:hAnsi="Franklin Gothic Book"/>
          <w:color w:val="000000" w:themeColor="text1"/>
          <w:sz w:val="24"/>
          <w:szCs w:val="24"/>
        </w:rPr>
        <w:t> Herf, ‘</w:t>
      </w:r>
      <w:r w:rsidRPr="000C708D">
        <w:rPr>
          <w:rFonts w:ascii="Franklin Gothic Book" w:hAnsi="Franklin Gothic Book"/>
          <w:bCs/>
          <w:color w:val="000000" w:themeColor="text1"/>
          <w:sz w:val="24"/>
          <w:szCs w:val="24"/>
        </w:rPr>
        <w:t>The Historian as Provocateur</w:t>
      </w:r>
      <w:r w:rsidRPr="000C708D">
        <w:rPr>
          <w:rFonts w:ascii="Franklin Gothic Book" w:hAnsi="Franklin Gothic Book"/>
          <w:color w:val="000000" w:themeColor="text1"/>
          <w:sz w:val="24"/>
          <w:szCs w:val="24"/>
        </w:rPr>
        <w:t>: </w:t>
      </w:r>
      <w:r w:rsidRPr="000C708D">
        <w:rPr>
          <w:rFonts w:ascii="Franklin Gothic Book" w:hAnsi="Franklin Gothic Book"/>
          <w:bCs/>
          <w:color w:val="000000" w:themeColor="text1"/>
          <w:sz w:val="24"/>
          <w:szCs w:val="24"/>
        </w:rPr>
        <w:t>George Mosse's Accomplishment and Legacy’</w:t>
      </w:r>
      <w:r w:rsidRPr="000C708D">
        <w:rPr>
          <w:rFonts w:ascii="Franklin Gothic Book" w:hAnsi="Franklin Gothic Book"/>
          <w:color w:val="000000" w:themeColor="text1"/>
          <w:sz w:val="24"/>
          <w:szCs w:val="24"/>
        </w:rPr>
        <w:t xml:space="preserve">, </w:t>
      </w:r>
      <w:r w:rsidRPr="000C708D">
        <w:rPr>
          <w:rFonts w:ascii="Franklin Gothic Book" w:hAnsi="Franklin Gothic Book"/>
          <w:i/>
          <w:color w:val="000000" w:themeColor="text1"/>
          <w:sz w:val="24"/>
          <w:szCs w:val="24"/>
        </w:rPr>
        <w:t>Yad Vashem Studies</w:t>
      </w:r>
      <w:r w:rsidRPr="000C708D">
        <w:rPr>
          <w:rFonts w:ascii="Franklin Gothic Book" w:hAnsi="Franklin Gothic Book"/>
          <w:color w:val="000000" w:themeColor="text1"/>
          <w:sz w:val="24"/>
          <w:szCs w:val="24"/>
        </w:rPr>
        <w:t>, XXIX (2001), pp. 7–26.</w:t>
      </w:r>
    </w:p>
  </w:endnote>
  <w:endnote w:id="10">
    <w:p w14:paraId="3B132262"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Federico Finchelstein, </w:t>
      </w:r>
      <w:r w:rsidRPr="000C708D">
        <w:rPr>
          <w:rFonts w:ascii="Franklin Gothic Book" w:hAnsi="Franklin Gothic Book"/>
          <w:i/>
          <w:color w:val="000000" w:themeColor="text1"/>
          <w:sz w:val="24"/>
          <w:szCs w:val="24"/>
        </w:rPr>
        <w:t>From Fascism to Populism in History</w:t>
      </w:r>
      <w:r w:rsidRPr="000C708D">
        <w:rPr>
          <w:rFonts w:ascii="Franklin Gothic Book" w:hAnsi="Franklin Gothic Book"/>
          <w:color w:val="000000" w:themeColor="text1"/>
          <w:sz w:val="24"/>
          <w:szCs w:val="24"/>
        </w:rPr>
        <w:t xml:space="preserve"> (Berkeley CA: University of California Press, 2017), p. 40; and </w:t>
      </w:r>
      <w:r w:rsidRPr="000C708D">
        <w:rPr>
          <w:rFonts w:ascii="Franklin Gothic Book" w:hAnsi="Franklin Gothic Book"/>
          <w:i/>
          <w:color w:val="000000" w:themeColor="text1"/>
          <w:sz w:val="24"/>
          <w:szCs w:val="24"/>
        </w:rPr>
        <w:t>El Mito del Fascismo: De Freud a Borges</w:t>
      </w:r>
      <w:r w:rsidRPr="000C708D">
        <w:rPr>
          <w:rFonts w:ascii="Franklin Gothic Book" w:hAnsi="Franklin Gothic Book"/>
          <w:color w:val="000000" w:themeColor="text1"/>
          <w:sz w:val="24"/>
          <w:szCs w:val="24"/>
        </w:rPr>
        <w:t xml:space="preserve"> (Buenos Aires: Capital intellectual, 2015).</w:t>
      </w:r>
    </w:p>
  </w:endnote>
  <w:endnote w:id="11">
    <w:p w14:paraId="681AE948"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Jonathan Fletcher, ‘Towards a theory of decivilizing processes’, </w:t>
      </w:r>
      <w:r w:rsidRPr="000C708D">
        <w:rPr>
          <w:rFonts w:ascii="Franklin Gothic Book" w:hAnsi="Franklin Gothic Book" w:cs="Times New Roman"/>
          <w:i/>
          <w:color w:val="000000" w:themeColor="text1"/>
          <w:sz w:val="24"/>
          <w:szCs w:val="24"/>
        </w:rPr>
        <w:t xml:space="preserve">Amsterdams Sociologisch Tijdschrift, </w:t>
      </w:r>
      <w:r w:rsidRPr="000C708D">
        <w:rPr>
          <w:rFonts w:ascii="Franklin Gothic Book" w:hAnsi="Franklin Gothic Book" w:cs="Times New Roman"/>
          <w:color w:val="000000" w:themeColor="text1"/>
          <w:sz w:val="24"/>
          <w:szCs w:val="24"/>
        </w:rPr>
        <w:t>22/2 (1995)</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 xml:space="preserve">pp. 283-296; Stephen Mennell, ‘Decivilising processes: Theoretical significance and some lines of research’, </w:t>
      </w:r>
      <w:r w:rsidRPr="000C708D">
        <w:rPr>
          <w:rFonts w:ascii="Franklin Gothic Book" w:hAnsi="Franklin Gothic Book" w:cs="Times New Roman"/>
          <w:i/>
          <w:color w:val="000000" w:themeColor="text1"/>
          <w:sz w:val="24"/>
          <w:szCs w:val="24"/>
        </w:rPr>
        <w:t xml:space="preserve">International Sociology, </w:t>
      </w:r>
      <w:r w:rsidRPr="000C708D">
        <w:rPr>
          <w:rFonts w:ascii="Franklin Gothic Book" w:hAnsi="Franklin Gothic Book" w:cs="Times New Roman"/>
          <w:color w:val="000000" w:themeColor="text1"/>
          <w:sz w:val="24"/>
          <w:szCs w:val="24"/>
        </w:rPr>
        <w:t>5/2 (1990)</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 xml:space="preserve">pp. 205-223; Abram De Swaan, ‘Dyscivilization, mass extermination and the state’, </w:t>
      </w:r>
      <w:r w:rsidRPr="000C708D">
        <w:rPr>
          <w:rFonts w:ascii="Franklin Gothic Book" w:hAnsi="Franklin Gothic Book" w:cs="Times New Roman"/>
          <w:i/>
          <w:color w:val="000000" w:themeColor="text1"/>
          <w:sz w:val="24"/>
          <w:szCs w:val="24"/>
        </w:rPr>
        <w:t xml:space="preserve">Theory, Culture &amp; Society, </w:t>
      </w:r>
      <w:r w:rsidRPr="000C708D">
        <w:rPr>
          <w:rFonts w:ascii="Franklin Gothic Book" w:hAnsi="Franklin Gothic Book" w:cs="Times New Roman"/>
          <w:color w:val="000000" w:themeColor="text1"/>
          <w:sz w:val="24"/>
          <w:szCs w:val="24"/>
        </w:rPr>
        <w:t xml:space="preserve">18/2-3 (2001), pp. 265-276; Stephen Mennell, ‘The Other Side of the Coin: Decivilising Processes’, in Thomas Salumets (Ed.), </w:t>
      </w:r>
      <w:r w:rsidRPr="000C708D">
        <w:rPr>
          <w:rFonts w:ascii="Franklin Gothic Book" w:hAnsi="Franklin Gothic Book" w:cs="Times New Roman"/>
          <w:i/>
          <w:color w:val="000000" w:themeColor="text1"/>
          <w:sz w:val="24"/>
          <w:szCs w:val="24"/>
        </w:rPr>
        <w:t>Norbert Elias and Human Interdependencies</w:t>
      </w:r>
      <w:r w:rsidRPr="000C708D">
        <w:rPr>
          <w:rFonts w:ascii="Franklin Gothic Book" w:hAnsi="Franklin Gothic Book" w:cs="Times New Roman"/>
          <w:color w:val="000000" w:themeColor="text1"/>
          <w:sz w:val="24"/>
          <w:szCs w:val="24"/>
        </w:rPr>
        <w:t xml:space="preserve"> (Montreal: McGill–Queen’s University Press, 2001), pp. 32–49.</w:t>
      </w:r>
    </w:p>
  </w:endnote>
  <w:endnote w:id="12">
    <w:p w14:paraId="6B746DA2" w14:textId="77777777" w:rsidR="008F1E5D" w:rsidRPr="000C708D" w:rsidRDefault="008F1E5D" w:rsidP="002C3296">
      <w:pPr>
        <w:pStyle w:val="Endnotes"/>
        <w:spacing w:afterLines="80" w:after="192"/>
        <w:rPr>
          <w:color w:val="000000" w:themeColor="text1"/>
          <w:szCs w:val="24"/>
          <w:lang w:val="en-US"/>
        </w:rPr>
      </w:pPr>
      <w:r w:rsidRPr="000C708D">
        <w:rPr>
          <w:rStyle w:val="EndnoteReference"/>
          <w:color w:val="000000" w:themeColor="text1"/>
          <w:szCs w:val="24"/>
        </w:rPr>
        <w:endnoteRef/>
      </w:r>
      <w:r w:rsidRPr="000C708D">
        <w:rPr>
          <w:color w:val="000000" w:themeColor="text1"/>
          <w:szCs w:val="24"/>
        </w:rPr>
        <w:t xml:space="preserve"> </w:t>
      </w:r>
      <w:r w:rsidRPr="000C708D">
        <w:rPr>
          <w:color w:val="000000" w:themeColor="text1"/>
          <w:szCs w:val="24"/>
          <w:lang w:val="en-US"/>
        </w:rPr>
        <w:t xml:space="preserve">Florence Delmotte, Christophe Majastre, ‘Violence and Civilité: The Ambivalences of the State in Norbert Elias’s Theory of Civilizing Processes’, </w:t>
      </w:r>
      <w:r w:rsidRPr="000C708D">
        <w:rPr>
          <w:i/>
          <w:color w:val="000000" w:themeColor="text1"/>
          <w:szCs w:val="24"/>
          <w:lang w:val="en-US"/>
        </w:rPr>
        <w:t>Proceedings of the 9th EISA Pan-European Conference</w:t>
      </w:r>
      <w:r w:rsidRPr="000C708D">
        <w:rPr>
          <w:color w:val="000000" w:themeColor="text1"/>
          <w:szCs w:val="24"/>
          <w:lang w:val="en-US"/>
        </w:rPr>
        <w:t xml:space="preserve"> (Giardini Naxos, 2015), pp. 10-11.</w:t>
      </w:r>
    </w:p>
  </w:endnote>
  <w:endnote w:id="13">
    <w:p w14:paraId="6C9ED111"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lang w:val="en-US"/>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w:t>
      </w:r>
      <w:r w:rsidRPr="000C708D">
        <w:rPr>
          <w:rFonts w:ascii="Franklin Gothic Book" w:hAnsi="Franklin Gothic Book" w:cs="Times New Roman"/>
          <w:color w:val="000000" w:themeColor="text1"/>
          <w:sz w:val="24"/>
          <w:szCs w:val="24"/>
        </w:rPr>
        <w:t xml:space="preserve">Zygmunt Bauman, </w:t>
      </w:r>
      <w:r w:rsidRPr="000C708D">
        <w:rPr>
          <w:rFonts w:ascii="Franklin Gothic Book" w:hAnsi="Franklin Gothic Book" w:cs="Times New Roman"/>
          <w:i/>
          <w:color w:val="000000" w:themeColor="text1"/>
          <w:sz w:val="24"/>
          <w:szCs w:val="24"/>
        </w:rPr>
        <w:t>Modernity and the Holocaust</w:t>
      </w:r>
      <w:r w:rsidRPr="000C708D">
        <w:rPr>
          <w:rFonts w:ascii="Franklin Gothic Book" w:hAnsi="Franklin Gothic Book" w:cs="Times New Roman"/>
          <w:color w:val="000000" w:themeColor="text1"/>
          <w:sz w:val="24"/>
          <w:szCs w:val="24"/>
        </w:rPr>
        <w:t xml:space="preserve"> (Cambridge: Polity Press, 1989)</w:t>
      </w:r>
      <w:r w:rsidRPr="000C708D">
        <w:rPr>
          <w:rFonts w:ascii="Franklin Gothic Book" w:hAnsi="Franklin Gothic Book"/>
          <w:color w:val="000000" w:themeColor="text1"/>
          <w:sz w:val="24"/>
          <w:szCs w:val="24"/>
        </w:rPr>
        <w:t xml:space="preserve">; </w:t>
      </w:r>
      <w:r w:rsidRPr="000C708D">
        <w:rPr>
          <w:rFonts w:ascii="Franklin Gothic Book" w:hAnsi="Franklin Gothic Book" w:cs="Times New Roman"/>
          <w:color w:val="000000" w:themeColor="text1"/>
          <w:sz w:val="24"/>
          <w:szCs w:val="24"/>
        </w:rPr>
        <w:t xml:space="preserve">Michael Mann, </w:t>
      </w:r>
      <w:r w:rsidRPr="000C708D">
        <w:rPr>
          <w:rFonts w:ascii="Franklin Gothic Book" w:hAnsi="Franklin Gothic Book" w:cs="Times New Roman"/>
          <w:i/>
          <w:color w:val="000000" w:themeColor="text1"/>
          <w:sz w:val="24"/>
          <w:szCs w:val="24"/>
        </w:rPr>
        <w:t xml:space="preserve">The Dark Side of Democracy. </w:t>
      </w:r>
      <w:r w:rsidRPr="000C708D">
        <w:rPr>
          <w:rFonts w:ascii="Franklin Gothic Book" w:hAnsi="Franklin Gothic Book" w:cs="Times New Roman"/>
          <w:bCs/>
          <w:i/>
          <w:color w:val="000000" w:themeColor="text1"/>
          <w:sz w:val="24"/>
          <w:szCs w:val="24"/>
        </w:rPr>
        <w:t>Explaining Ethnic Cleansing</w:t>
      </w:r>
      <w:r w:rsidRPr="000C708D">
        <w:rPr>
          <w:rFonts w:ascii="Franklin Gothic Book" w:hAnsi="Franklin Gothic Book" w:cs="Times New Roman"/>
          <w:color w:val="000000" w:themeColor="text1"/>
          <w:sz w:val="24"/>
          <w:szCs w:val="24"/>
        </w:rPr>
        <w:t xml:space="preserve"> (Cambridge: Cambridge University Press, 2005).</w:t>
      </w:r>
    </w:p>
  </w:endnote>
  <w:endnote w:id="14">
    <w:p w14:paraId="23C764B3"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Enzo Traverso, </w:t>
      </w:r>
      <w:r w:rsidRPr="000C708D">
        <w:rPr>
          <w:rFonts w:ascii="Franklin Gothic Book" w:hAnsi="Franklin Gothic Book"/>
          <w:i/>
          <w:color w:val="000000" w:themeColor="text1"/>
          <w:sz w:val="24"/>
          <w:szCs w:val="24"/>
        </w:rPr>
        <w:t>The Origins of Nazi Violence</w:t>
      </w:r>
      <w:r w:rsidRPr="000C708D">
        <w:rPr>
          <w:rFonts w:ascii="Franklin Gothic Book" w:hAnsi="Franklin Gothic Book"/>
          <w:color w:val="000000" w:themeColor="text1"/>
          <w:sz w:val="24"/>
          <w:szCs w:val="24"/>
        </w:rPr>
        <w:t xml:space="preserve"> (New York: The New Press, 2003), p. 44.</w:t>
      </w:r>
    </w:p>
  </w:endnote>
  <w:endnote w:id="15">
    <w:p w14:paraId="336EF3AE"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Dominick LaCapra, </w:t>
      </w:r>
      <w:r w:rsidRPr="000C708D">
        <w:rPr>
          <w:rFonts w:ascii="Franklin Gothic Book" w:hAnsi="Franklin Gothic Book"/>
          <w:i/>
          <w:iCs/>
          <w:color w:val="000000" w:themeColor="text1"/>
          <w:sz w:val="24"/>
          <w:szCs w:val="24"/>
        </w:rPr>
        <w:t>Writing History, Writing Trauma</w:t>
      </w:r>
      <w:r w:rsidRPr="000C708D">
        <w:rPr>
          <w:rFonts w:ascii="Franklin Gothic Book" w:hAnsi="Franklin Gothic Book"/>
          <w:color w:val="000000" w:themeColor="text1"/>
          <w:sz w:val="24"/>
          <w:szCs w:val="24"/>
        </w:rPr>
        <w:t xml:space="preserve"> (Baltimore. MD: Johns Hopkins University Press, 2001), p. 131.</w:t>
      </w:r>
    </w:p>
  </w:endnote>
  <w:endnote w:id="16">
    <w:p w14:paraId="42872D15"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John Carter Wood, ‘The process of civilization (and its discontents): violence, narrative and history’, in Dirk Wiemann, Agate Stopinska, Anke Bartels, Johannes Angermu</w:t>
      </w:r>
      <w:r w:rsidRPr="000C708D">
        <w:rPr>
          <w:rFonts w:cs="Arial"/>
          <w:color w:val="000000" w:themeColor="text1"/>
          <w:sz w:val="24"/>
          <w:szCs w:val="24"/>
        </w:rPr>
        <w:t>̈</w:t>
      </w:r>
      <w:r w:rsidRPr="000C708D">
        <w:rPr>
          <w:rFonts w:ascii="Franklin Gothic Book" w:hAnsi="Franklin Gothic Book" w:cs="Times New Roman"/>
          <w:color w:val="000000" w:themeColor="text1"/>
          <w:sz w:val="24"/>
          <w:szCs w:val="24"/>
        </w:rPr>
        <w:t xml:space="preserve">ller (Eds.), </w:t>
      </w:r>
      <w:r w:rsidRPr="000C708D">
        <w:rPr>
          <w:rFonts w:ascii="Franklin Gothic Book" w:hAnsi="Franklin Gothic Book" w:cs="Times New Roman"/>
          <w:i/>
          <w:color w:val="000000" w:themeColor="text1"/>
          <w:sz w:val="24"/>
          <w:szCs w:val="24"/>
        </w:rPr>
        <w:t>Discourses of Violence - Violence of Discourses: Critical Interventions, Transgressive Readings, and Post-National Negotiations</w:t>
      </w:r>
      <w:r w:rsidRPr="000C708D">
        <w:rPr>
          <w:rFonts w:ascii="Franklin Gothic Book" w:hAnsi="Franklin Gothic Book" w:cs="Times New Roman"/>
          <w:color w:val="000000" w:themeColor="text1"/>
          <w:sz w:val="24"/>
          <w:szCs w:val="24"/>
        </w:rPr>
        <w:t xml:space="preserve"> (Frankfurt: Peter Lang, 2005), pp. 118-19; Rob Watts, </w:t>
      </w:r>
      <w:r w:rsidRPr="000C708D">
        <w:rPr>
          <w:rFonts w:ascii="Franklin Gothic Book" w:hAnsi="Franklin Gothic Book" w:cs="Times New Roman"/>
          <w:i/>
          <w:color w:val="000000" w:themeColor="text1"/>
          <w:sz w:val="24"/>
          <w:szCs w:val="24"/>
        </w:rPr>
        <w:t>States of Violence and the Civilising Process</w:t>
      </w:r>
      <w:r w:rsidRPr="000C708D">
        <w:rPr>
          <w:rFonts w:ascii="Franklin Gothic Book" w:hAnsi="Franklin Gothic Book" w:cs="Times New Roman"/>
          <w:color w:val="000000" w:themeColor="text1"/>
          <w:sz w:val="24"/>
          <w:szCs w:val="24"/>
        </w:rPr>
        <w:t xml:space="preserve"> (Basingstoke: Palgrave, 2016), p. 14.</w:t>
      </w:r>
    </w:p>
  </w:endnote>
  <w:endnote w:id="17">
    <w:p w14:paraId="56D9546C"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Robert Van Krieken, ‘Civilizing Processes’, in George Ritzer (Ed.), </w:t>
      </w:r>
      <w:r w:rsidRPr="000C708D">
        <w:rPr>
          <w:rFonts w:ascii="Franklin Gothic Book" w:hAnsi="Franklin Gothic Book" w:cs="Times New Roman"/>
          <w:i/>
          <w:color w:val="000000" w:themeColor="text1"/>
          <w:sz w:val="24"/>
          <w:szCs w:val="24"/>
        </w:rPr>
        <w:t>The Blackwell Encyclopedia of Sociology</w:t>
      </w:r>
      <w:r w:rsidRPr="000C708D">
        <w:rPr>
          <w:rFonts w:ascii="Franklin Gothic Book" w:hAnsi="Franklin Gothic Book" w:cs="Times New Roman"/>
          <w:color w:val="000000" w:themeColor="text1"/>
          <w:sz w:val="24"/>
          <w:szCs w:val="24"/>
        </w:rPr>
        <w:t xml:space="preserve"> (Oxford: Blackwell, 2007), pp. 29-33.</w:t>
      </w:r>
    </w:p>
  </w:endnote>
  <w:endnote w:id="18">
    <w:p w14:paraId="6A888C3F"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Elias, </w:t>
      </w:r>
      <w:r w:rsidRPr="000C708D">
        <w:rPr>
          <w:i/>
          <w:color w:val="000000" w:themeColor="text1"/>
          <w:szCs w:val="24"/>
        </w:rPr>
        <w:t>op. cit.</w:t>
      </w:r>
      <w:r w:rsidRPr="000C708D">
        <w:rPr>
          <w:color w:val="000000" w:themeColor="text1"/>
          <w:szCs w:val="24"/>
        </w:rPr>
        <w:t xml:space="preserve">, Ref. </w:t>
      </w:r>
      <w:r w:rsidRPr="000C708D">
        <w:rPr>
          <w:color w:val="000000" w:themeColor="text1"/>
          <w:szCs w:val="24"/>
        </w:rPr>
        <w:fldChar w:fldCharType="begin"/>
      </w:r>
      <w:r w:rsidRPr="000C708D">
        <w:rPr>
          <w:color w:val="000000" w:themeColor="text1"/>
          <w:szCs w:val="24"/>
        </w:rPr>
        <w:instrText xml:space="preserve"> NOTEREF _Ref2773466 \h  \* MERGEFORMAT </w:instrText>
      </w:r>
      <w:r w:rsidRPr="000C708D">
        <w:rPr>
          <w:color w:val="000000" w:themeColor="text1"/>
          <w:szCs w:val="24"/>
        </w:rPr>
      </w:r>
      <w:r w:rsidRPr="000C708D">
        <w:rPr>
          <w:color w:val="000000" w:themeColor="text1"/>
          <w:szCs w:val="24"/>
        </w:rPr>
        <w:fldChar w:fldCharType="separate"/>
      </w:r>
      <w:r w:rsidRPr="000C708D">
        <w:rPr>
          <w:color w:val="000000" w:themeColor="text1"/>
          <w:szCs w:val="24"/>
        </w:rPr>
        <w:t>7</w:t>
      </w:r>
      <w:r w:rsidRPr="000C708D">
        <w:rPr>
          <w:color w:val="000000" w:themeColor="text1"/>
          <w:szCs w:val="24"/>
        </w:rPr>
        <w:fldChar w:fldCharType="end"/>
      </w:r>
      <w:r w:rsidRPr="000C708D">
        <w:rPr>
          <w:color w:val="000000" w:themeColor="text1"/>
          <w:szCs w:val="24"/>
        </w:rPr>
        <w:t>, p. 129 (emphasis added).</w:t>
      </w:r>
    </w:p>
  </w:endnote>
  <w:endnote w:id="19">
    <w:p w14:paraId="13794500" w14:textId="22763C05"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w:t>
      </w:r>
      <w:r w:rsidR="008F44CA" w:rsidRPr="008F44CA">
        <w:rPr>
          <w:i/>
          <w:iCs/>
          <w:color w:val="000000" w:themeColor="text1"/>
          <w:szCs w:val="24"/>
        </w:rPr>
        <w:t>Ibid</w:t>
      </w:r>
      <w:r w:rsidR="008F44CA">
        <w:rPr>
          <w:color w:val="000000" w:themeColor="text1"/>
          <w:szCs w:val="24"/>
        </w:rPr>
        <w:t>.</w:t>
      </w:r>
      <w:r w:rsidRPr="000C708D">
        <w:rPr>
          <w:color w:val="000000" w:themeColor="text1"/>
          <w:szCs w:val="24"/>
        </w:rPr>
        <w:t xml:space="preserve">, p. 369. On the notion of expanded ‘circle of empathy’, see Peter Singer, </w:t>
      </w:r>
      <w:r w:rsidRPr="000C708D">
        <w:rPr>
          <w:i/>
          <w:color w:val="000000" w:themeColor="text1"/>
          <w:szCs w:val="24"/>
        </w:rPr>
        <w:t>The Expanding Circle: Ethics and Sociobiology</w:t>
      </w:r>
      <w:r w:rsidRPr="000C708D">
        <w:rPr>
          <w:color w:val="000000" w:themeColor="text1"/>
          <w:szCs w:val="24"/>
        </w:rPr>
        <w:t xml:space="preserve"> (New York: Farrar, Straus &amp; Giroux, 1981).</w:t>
      </w:r>
    </w:p>
  </w:endnote>
  <w:endnote w:id="20">
    <w:p w14:paraId="2E58CAFF"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For an overview of the criticisms see Franc</w:t>
      </w:r>
      <w:r w:rsidRPr="000C708D">
        <w:rPr>
          <w:rFonts w:ascii="Arial" w:hAnsi="Arial" w:cs="Arial"/>
          <w:color w:val="000000" w:themeColor="text1"/>
          <w:szCs w:val="24"/>
        </w:rPr>
        <w:t>̧</w:t>
      </w:r>
      <w:r w:rsidRPr="000C708D">
        <w:rPr>
          <w:color w:val="000000" w:themeColor="text1"/>
          <w:szCs w:val="24"/>
        </w:rPr>
        <w:t>ois Dépelteau, Enio Passiani, and Ricardo Mariano, ‘Ariel or Caliban?</w:t>
      </w:r>
      <w:r w:rsidRPr="000C708D">
        <w:rPr>
          <w:color w:val="000000" w:themeColor="text1"/>
          <w:position w:val="12"/>
          <w:szCs w:val="24"/>
        </w:rPr>
        <w:t xml:space="preserve"> </w:t>
      </w:r>
      <w:r w:rsidRPr="000C708D">
        <w:rPr>
          <w:color w:val="000000" w:themeColor="text1"/>
          <w:szCs w:val="24"/>
        </w:rPr>
        <w:t>The Civilizing Process</w:t>
      </w:r>
      <w:r w:rsidRPr="000C708D">
        <w:rPr>
          <w:i/>
          <w:color w:val="000000" w:themeColor="text1"/>
          <w:szCs w:val="24"/>
        </w:rPr>
        <w:t xml:space="preserve"> </w:t>
      </w:r>
      <w:r w:rsidRPr="000C708D">
        <w:rPr>
          <w:color w:val="000000" w:themeColor="text1"/>
          <w:szCs w:val="24"/>
        </w:rPr>
        <w:t xml:space="preserve">and Its Critiques’, in François Dépelteau, Tatiana S Landini, (Eds.), </w:t>
      </w:r>
      <w:r w:rsidRPr="000C708D">
        <w:rPr>
          <w:i/>
          <w:color w:val="000000" w:themeColor="text1"/>
          <w:szCs w:val="24"/>
        </w:rPr>
        <w:t>Norbert Elias and Social Theory</w:t>
      </w:r>
      <w:r w:rsidRPr="000C708D">
        <w:rPr>
          <w:color w:val="000000" w:themeColor="text1"/>
          <w:szCs w:val="24"/>
        </w:rPr>
        <w:t xml:space="preserve"> (Basingstoke: Palgrave, 2013), pp. 41-59.</w:t>
      </w:r>
    </w:p>
  </w:endnote>
  <w:endnote w:id="21">
    <w:p w14:paraId="1F7062BE"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Johan Goudsblom, ‘The Theory of the Civilizing Process and Its Discontents’, Paper presented at the </w:t>
      </w:r>
      <w:r w:rsidRPr="000C708D">
        <w:rPr>
          <w:rFonts w:eastAsia="Times New Roman"/>
          <w:i/>
          <w:color w:val="000000" w:themeColor="text1"/>
          <w:szCs w:val="24"/>
          <w:shd w:val="clear" w:color="auto" w:fill="FFFFFF"/>
        </w:rPr>
        <w:t>World Congress of Sociology</w:t>
      </w:r>
      <w:r w:rsidRPr="000C708D">
        <w:rPr>
          <w:rFonts w:eastAsia="Times New Roman"/>
          <w:color w:val="000000" w:themeColor="text1"/>
          <w:szCs w:val="24"/>
          <w:shd w:val="clear" w:color="auto" w:fill="FFFFFF"/>
        </w:rPr>
        <w:t>, Bielefeld 1994,</w:t>
      </w:r>
      <w:r w:rsidRPr="000C708D">
        <w:rPr>
          <w:color w:val="000000" w:themeColor="text1"/>
          <w:szCs w:val="24"/>
        </w:rPr>
        <w:t xml:space="preserve"> pp. 7-14, available at </w:t>
      </w:r>
      <w:hyperlink r:id="rId1" w:history="1">
        <w:r w:rsidRPr="000C708D">
          <w:rPr>
            <w:rStyle w:val="Hyperlink"/>
            <w:color w:val="000000" w:themeColor="text1"/>
            <w:szCs w:val="24"/>
          </w:rPr>
          <w:t>http://www.norberteliasfoundation.nl/docs/pdf/GoudsblomDiscontents.pdf</w:t>
        </w:r>
      </w:hyperlink>
      <w:r w:rsidRPr="000C708D">
        <w:rPr>
          <w:color w:val="000000" w:themeColor="text1"/>
          <w:szCs w:val="24"/>
        </w:rPr>
        <w:t>.</w:t>
      </w:r>
    </w:p>
  </w:endnote>
  <w:endnote w:id="22">
    <w:p w14:paraId="3588DF27"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Charles Tilly, ‘War-making and state making as organized crime’, in Peter Evans, Dietrich Rueschemeyer, Theda Skocpol (Eds.), </w:t>
      </w:r>
      <w:r w:rsidRPr="000C708D">
        <w:rPr>
          <w:i/>
          <w:color w:val="000000" w:themeColor="text1"/>
          <w:szCs w:val="24"/>
        </w:rPr>
        <w:t>Bringing the State Back In</w:t>
      </w:r>
      <w:r w:rsidRPr="000C708D">
        <w:rPr>
          <w:color w:val="000000" w:themeColor="text1"/>
          <w:szCs w:val="24"/>
        </w:rPr>
        <w:t xml:space="preserve"> (Cambridge: Cambridge University Press, 1985), 169–191; Ruud Koopmans, Sophie de Schaepdrijver, 'Mechanisms of State Formation and Collective Action: An Interview with Charles Tilly', </w:t>
      </w:r>
      <w:r w:rsidRPr="000C708D">
        <w:rPr>
          <w:i/>
          <w:color w:val="000000" w:themeColor="text1"/>
          <w:szCs w:val="24"/>
        </w:rPr>
        <w:t>Amsterdams Socioloqisch Tijdschrift,</w:t>
      </w:r>
      <w:r w:rsidRPr="000C708D">
        <w:rPr>
          <w:color w:val="000000" w:themeColor="text1"/>
          <w:szCs w:val="24"/>
        </w:rPr>
        <w:t xml:space="preserve"> 20 (1993), pp. 43-73.</w:t>
      </w:r>
    </w:p>
  </w:endnote>
  <w:endnote w:id="23">
    <w:p w14:paraId="5EE5A39F" w14:textId="77777777" w:rsidR="008F1E5D" w:rsidRPr="00B923E7" w:rsidRDefault="008F1E5D" w:rsidP="002C3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Lines="80" w:after="192" w:line="320" w:lineRule="exact"/>
        <w:rPr>
          <w:rFonts w:eastAsiaTheme="minorEastAsia" w:cs="Arial"/>
          <w:lang w:val="en-US" w:eastAsia="it-IT"/>
        </w:rPr>
      </w:pPr>
      <w:r w:rsidRPr="000C708D">
        <w:rPr>
          <w:rStyle w:val="EndnoteReference"/>
          <w:rFonts w:ascii="Franklin Gothic Book" w:hAnsi="Franklin Gothic Book"/>
          <w:color w:val="000000" w:themeColor="text1"/>
        </w:rPr>
        <w:endnoteRef/>
      </w:r>
      <w:r w:rsidRPr="000C708D">
        <w:rPr>
          <w:rFonts w:ascii="Franklin Gothic Book" w:hAnsi="Franklin Gothic Book"/>
          <w:color w:val="000000" w:themeColor="text1"/>
        </w:rPr>
        <w:t xml:space="preserve"> Stephen Mennell, ‘The American Civilizing Process: a Sceptical Sketch’, in </w:t>
      </w:r>
      <w:r w:rsidRPr="000C708D">
        <w:rPr>
          <w:rFonts w:ascii="Franklin Gothic Book" w:hAnsi="Franklin Gothic Book"/>
          <w:color w:val="000000" w:themeColor="text1"/>
          <w:lang w:val="en-US" w:eastAsia="it-IT"/>
        </w:rPr>
        <w:t xml:space="preserve">Christa </w:t>
      </w:r>
      <w:r>
        <w:rPr>
          <w:rFonts w:ascii="Franklin Gothic Book" w:hAnsi="Franklin Gothic Book"/>
          <w:color w:val="000000" w:themeColor="text1"/>
          <w:lang w:val="en-US" w:eastAsia="it-IT"/>
        </w:rPr>
        <w:t>Buschen</w:t>
      </w:r>
      <w:r w:rsidRPr="000C708D">
        <w:rPr>
          <w:rFonts w:ascii="Franklin Gothic Book" w:hAnsi="Franklin Gothic Book"/>
          <w:color w:val="000000" w:themeColor="text1"/>
          <w:lang w:val="en-US" w:eastAsia="it-IT"/>
        </w:rPr>
        <w:t xml:space="preserve">dorf, Astrid Franke (Eds.), </w:t>
      </w:r>
      <w:r w:rsidRPr="000C708D">
        <w:rPr>
          <w:rFonts w:ascii="Franklin Gothic Book" w:hAnsi="Franklin Gothic Book"/>
          <w:i/>
          <w:iCs/>
          <w:color w:val="000000" w:themeColor="text1"/>
          <w:lang w:val="en-US" w:eastAsia="it-IT"/>
        </w:rPr>
        <w:t>Civilizing and Decivilizing Processes</w:t>
      </w:r>
      <w:r w:rsidRPr="000C708D">
        <w:rPr>
          <w:rFonts w:ascii="Franklin Gothic Book" w:hAnsi="Franklin Gothic Book"/>
          <w:color w:val="000000" w:themeColor="text1"/>
          <w:lang w:val="en-US" w:eastAsia="it-IT"/>
        </w:rPr>
        <w:t xml:space="preserve"> (Cambridge: Cambridge Scholars Publishing, 2011), p. 18; Nicole Pepperell, ‘The Unease With Civilization’, </w:t>
      </w:r>
      <w:r w:rsidRPr="000C708D">
        <w:rPr>
          <w:rFonts w:ascii="Franklin Gothic Book" w:hAnsi="Franklin Gothic Book"/>
          <w:i/>
          <w:iCs/>
          <w:color w:val="000000" w:themeColor="text1"/>
          <w:lang w:val="en-US" w:eastAsia="it-IT"/>
        </w:rPr>
        <w:t>Thesis Eleven,</w:t>
      </w:r>
      <w:r w:rsidRPr="000C708D">
        <w:rPr>
          <w:rFonts w:ascii="Franklin Gothic Book" w:hAnsi="Franklin Gothic Book"/>
          <w:color w:val="000000" w:themeColor="text1"/>
          <w:lang w:val="en-US" w:eastAsia="it-IT"/>
        </w:rPr>
        <w:t xml:space="preserve"> 137/1 (2016), pp. 3-21; Fletcher, op. cit, Ref. </w:t>
      </w:r>
      <w:r w:rsidRPr="000C708D">
        <w:rPr>
          <w:rFonts w:ascii="Franklin Gothic Book" w:hAnsi="Franklin Gothic Book"/>
          <w:color w:val="000000" w:themeColor="text1"/>
          <w:lang w:val="en-US" w:eastAsia="it-IT"/>
        </w:rPr>
        <w:fldChar w:fldCharType="begin"/>
      </w:r>
      <w:r w:rsidRPr="000C708D">
        <w:rPr>
          <w:rFonts w:ascii="Franklin Gothic Book" w:hAnsi="Franklin Gothic Book"/>
          <w:color w:val="000000" w:themeColor="text1"/>
          <w:lang w:val="en-US" w:eastAsia="it-IT"/>
        </w:rPr>
        <w:instrText xml:space="preserve"> NOTEREF _Ref2773685 \h </w:instrText>
      </w:r>
      <w:r w:rsidRPr="000C708D">
        <w:rPr>
          <w:color w:val="000000" w:themeColor="text1"/>
          <w:lang w:val="en-US" w:eastAsia="it-IT"/>
        </w:rPr>
        <w:instrText xml:space="preserve"> \* MERGEFORMAT </w:instrText>
      </w:r>
      <w:r w:rsidRPr="000C708D">
        <w:rPr>
          <w:rFonts w:ascii="Franklin Gothic Book" w:hAnsi="Franklin Gothic Book"/>
          <w:color w:val="000000" w:themeColor="text1"/>
          <w:lang w:val="en-US" w:eastAsia="it-IT"/>
        </w:rPr>
      </w:r>
      <w:r w:rsidRPr="000C708D">
        <w:rPr>
          <w:rFonts w:ascii="Franklin Gothic Book" w:hAnsi="Franklin Gothic Book"/>
          <w:color w:val="000000" w:themeColor="text1"/>
          <w:lang w:val="en-US" w:eastAsia="it-IT"/>
        </w:rPr>
        <w:fldChar w:fldCharType="separate"/>
      </w:r>
      <w:r w:rsidRPr="000C708D">
        <w:rPr>
          <w:rFonts w:ascii="Franklin Gothic Book" w:hAnsi="Franklin Gothic Book"/>
          <w:color w:val="000000" w:themeColor="text1"/>
          <w:lang w:val="en-US" w:eastAsia="it-IT"/>
        </w:rPr>
        <w:t>11</w:t>
      </w:r>
      <w:r w:rsidRPr="000C708D">
        <w:rPr>
          <w:rFonts w:ascii="Franklin Gothic Book" w:hAnsi="Franklin Gothic Book"/>
          <w:color w:val="000000" w:themeColor="text1"/>
          <w:lang w:val="en-US" w:eastAsia="it-IT"/>
        </w:rPr>
        <w:fldChar w:fldCharType="end"/>
      </w:r>
      <w:r w:rsidRPr="000C708D">
        <w:rPr>
          <w:rFonts w:ascii="Franklin Gothic Book" w:hAnsi="Franklin Gothic Book"/>
          <w:color w:val="000000" w:themeColor="text1"/>
          <w:lang w:val="en-US" w:eastAsia="it-IT"/>
        </w:rPr>
        <w:t>, p. 287.</w:t>
      </w:r>
    </w:p>
  </w:endnote>
  <w:endnote w:id="24">
    <w:p w14:paraId="2AC2FD67"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Norbert </w:t>
      </w:r>
      <w:r w:rsidRPr="000C708D">
        <w:rPr>
          <w:bCs/>
          <w:color w:val="000000" w:themeColor="text1"/>
          <w:szCs w:val="24"/>
        </w:rPr>
        <w:t>Elias, ‘Wir sind die spa</w:t>
      </w:r>
      <w:r w:rsidRPr="000C708D">
        <w:rPr>
          <w:rFonts w:ascii="Arial" w:hAnsi="Arial" w:cs="Arial"/>
          <w:bCs/>
          <w:color w:val="000000" w:themeColor="text1"/>
          <w:szCs w:val="24"/>
        </w:rPr>
        <w:t>̈</w:t>
      </w:r>
      <w:r w:rsidRPr="000C708D">
        <w:rPr>
          <w:bCs/>
          <w:color w:val="000000" w:themeColor="text1"/>
          <w:szCs w:val="24"/>
        </w:rPr>
        <w:t xml:space="preserve">ten Barbaren’, </w:t>
      </w:r>
      <w:r w:rsidRPr="000C708D">
        <w:rPr>
          <w:bCs/>
          <w:i/>
          <w:iCs/>
          <w:color w:val="000000" w:themeColor="text1"/>
          <w:szCs w:val="24"/>
        </w:rPr>
        <w:t xml:space="preserve">Der Spiegel, </w:t>
      </w:r>
      <w:r w:rsidRPr="000C708D">
        <w:rPr>
          <w:bCs/>
          <w:color w:val="000000" w:themeColor="text1"/>
          <w:szCs w:val="24"/>
        </w:rPr>
        <w:t xml:space="preserve">21 (23.5.1988), pp. 183-90. </w:t>
      </w:r>
    </w:p>
  </w:endnote>
  <w:endnote w:id="25">
    <w:p w14:paraId="15802ED0"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Elias, </w:t>
      </w:r>
      <w:r w:rsidRPr="000C708D">
        <w:rPr>
          <w:rFonts w:ascii="Franklin Gothic Book" w:hAnsi="Franklin Gothic Book" w:cs="Times New Roman"/>
          <w:i/>
          <w:color w:val="000000" w:themeColor="text1"/>
          <w:sz w:val="24"/>
          <w:szCs w:val="24"/>
        </w:rPr>
        <w:t xml:space="preserve">op. cit, </w:t>
      </w:r>
      <w:r w:rsidRPr="000C708D">
        <w:rPr>
          <w:rFonts w:ascii="Franklin Gothic Book" w:hAnsi="Franklin Gothic Book" w:cs="Times New Roman"/>
          <w:color w:val="000000" w:themeColor="text1"/>
          <w:sz w:val="24"/>
          <w:szCs w:val="24"/>
        </w:rPr>
        <w:t xml:space="preserve">Ref. </w:t>
      </w:r>
      <w:r w:rsidRPr="000C708D">
        <w:rPr>
          <w:rFonts w:ascii="Franklin Gothic Book" w:hAnsi="Franklin Gothic Book" w:cs="Times New Roman"/>
          <w:color w:val="000000" w:themeColor="text1"/>
          <w:sz w:val="24"/>
          <w:szCs w:val="24"/>
        </w:rPr>
        <w:fldChar w:fldCharType="begin"/>
      </w:r>
      <w:r w:rsidRPr="000C708D">
        <w:rPr>
          <w:rFonts w:ascii="Franklin Gothic Book" w:hAnsi="Franklin Gothic Book" w:cs="Times New Roman"/>
          <w:color w:val="000000" w:themeColor="text1"/>
          <w:sz w:val="24"/>
          <w:szCs w:val="24"/>
        </w:rPr>
        <w:instrText xml:space="preserve"> NOTEREF _Ref2773466 \h  \* MERGEFORMAT </w:instrText>
      </w:r>
      <w:r w:rsidRPr="000C708D">
        <w:rPr>
          <w:rFonts w:ascii="Franklin Gothic Book" w:hAnsi="Franklin Gothic Book" w:cs="Times New Roman"/>
          <w:color w:val="000000" w:themeColor="text1"/>
          <w:sz w:val="24"/>
          <w:szCs w:val="24"/>
        </w:rPr>
      </w:r>
      <w:r w:rsidRPr="000C708D">
        <w:rPr>
          <w:rFonts w:ascii="Franklin Gothic Book" w:hAnsi="Franklin Gothic Book" w:cs="Times New Roman"/>
          <w:color w:val="000000" w:themeColor="text1"/>
          <w:sz w:val="24"/>
          <w:szCs w:val="24"/>
        </w:rPr>
        <w:fldChar w:fldCharType="separate"/>
      </w:r>
      <w:r w:rsidRPr="000C708D">
        <w:rPr>
          <w:rFonts w:ascii="Franklin Gothic Book" w:hAnsi="Franklin Gothic Book" w:cs="Times New Roman"/>
          <w:color w:val="000000" w:themeColor="text1"/>
          <w:sz w:val="24"/>
          <w:szCs w:val="24"/>
        </w:rPr>
        <w:t>7</w:t>
      </w:r>
      <w:r w:rsidRPr="000C708D">
        <w:rPr>
          <w:rFonts w:ascii="Franklin Gothic Book" w:hAnsi="Franklin Gothic Book" w:cs="Times New Roman"/>
          <w:color w:val="000000" w:themeColor="text1"/>
          <w:sz w:val="24"/>
          <w:szCs w:val="24"/>
        </w:rPr>
        <w:fldChar w:fldCharType="end"/>
      </w:r>
      <w:r w:rsidRPr="000C708D">
        <w:rPr>
          <w:rFonts w:ascii="Franklin Gothic Book" w:hAnsi="Franklin Gothic Book" w:cs="Times New Roman"/>
          <w:color w:val="000000" w:themeColor="text1"/>
          <w:sz w:val="24"/>
          <w:szCs w:val="24"/>
        </w:rPr>
        <w:t>, p. 157.</w:t>
      </w:r>
    </w:p>
  </w:endnote>
  <w:endnote w:id="26">
    <w:p w14:paraId="7190A598"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Gëzim Visoka, ‘Norbert Elias and State-Building After Violent Conflict’, in Tatiana Savoia Landini, François Dépelteau (Eds.), </w:t>
      </w:r>
      <w:r w:rsidRPr="000C708D">
        <w:rPr>
          <w:rFonts w:ascii="Franklin Gothic Book" w:hAnsi="Franklin Gothic Book" w:cs="Times New Roman"/>
          <w:i/>
          <w:color w:val="000000" w:themeColor="text1"/>
          <w:sz w:val="24"/>
          <w:szCs w:val="24"/>
        </w:rPr>
        <w:t>Norbert Elias and Violence</w:t>
      </w:r>
      <w:r w:rsidRPr="000C708D">
        <w:rPr>
          <w:rFonts w:ascii="Franklin Gothic Book" w:hAnsi="Franklin Gothic Book" w:cs="Times New Roman"/>
          <w:color w:val="000000" w:themeColor="text1"/>
          <w:sz w:val="24"/>
          <w:szCs w:val="24"/>
        </w:rPr>
        <w:t xml:space="preserve"> (Basingstoke: Palgrave 2017), p. 166.</w:t>
      </w:r>
    </w:p>
  </w:endnote>
  <w:endnote w:id="27">
    <w:p w14:paraId="552DB5B9"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Elias,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Pr="000C708D">
        <w:rPr>
          <w:rFonts w:ascii="Franklin Gothic Book" w:hAnsi="Franklin Gothic Book"/>
          <w:color w:val="000000" w:themeColor="text1"/>
          <w:sz w:val="24"/>
          <w:szCs w:val="24"/>
        </w:rPr>
        <w:fldChar w:fldCharType="begin"/>
      </w:r>
      <w:r w:rsidRPr="000C708D">
        <w:rPr>
          <w:rFonts w:ascii="Franklin Gothic Book" w:hAnsi="Franklin Gothic Book"/>
          <w:color w:val="000000" w:themeColor="text1"/>
          <w:sz w:val="24"/>
          <w:szCs w:val="24"/>
        </w:rPr>
        <w:instrText xml:space="preserve"> NOTEREF _Ref2773466 \h  \* MERGEFORMAT </w:instrText>
      </w:r>
      <w:r w:rsidRPr="000C708D">
        <w:rPr>
          <w:rFonts w:ascii="Franklin Gothic Book" w:hAnsi="Franklin Gothic Book"/>
          <w:color w:val="000000" w:themeColor="text1"/>
          <w:sz w:val="24"/>
          <w:szCs w:val="24"/>
        </w:rPr>
      </w:r>
      <w:r w:rsidRPr="000C708D">
        <w:rPr>
          <w:rFonts w:ascii="Franklin Gothic Book" w:hAnsi="Franklin Gothic Book"/>
          <w:color w:val="000000" w:themeColor="text1"/>
          <w:sz w:val="24"/>
          <w:szCs w:val="24"/>
        </w:rPr>
        <w:fldChar w:fldCharType="separate"/>
      </w:r>
      <w:r w:rsidRPr="000C708D">
        <w:rPr>
          <w:rFonts w:ascii="Franklin Gothic Book" w:hAnsi="Franklin Gothic Book"/>
          <w:color w:val="000000" w:themeColor="text1"/>
          <w:sz w:val="24"/>
          <w:szCs w:val="24"/>
        </w:rPr>
        <w:t>7</w:t>
      </w:r>
      <w:r w:rsidRPr="000C708D">
        <w:rPr>
          <w:rFonts w:ascii="Franklin Gothic Book" w:hAnsi="Franklin Gothic Book"/>
          <w:color w:val="000000" w:themeColor="text1"/>
          <w:sz w:val="24"/>
          <w:szCs w:val="24"/>
        </w:rPr>
        <w:fldChar w:fldCharType="end"/>
      </w:r>
      <w:r w:rsidRPr="000C708D">
        <w:rPr>
          <w:rFonts w:ascii="Franklin Gothic Book" w:hAnsi="Franklin Gothic Book" w:cs="Times New Roman"/>
          <w:color w:val="000000" w:themeColor="text1"/>
          <w:sz w:val="24"/>
          <w:szCs w:val="24"/>
        </w:rPr>
        <w:t>, p. 441, 532.</w:t>
      </w:r>
    </w:p>
  </w:endnote>
  <w:endnote w:id="28">
    <w:p w14:paraId="55A15DA3" w14:textId="2A86FF0C"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w:t>
      </w:r>
      <w:r w:rsidR="00530010" w:rsidRPr="00530010">
        <w:rPr>
          <w:rFonts w:ascii="Franklin Gothic Book" w:hAnsi="Franklin Gothic Book" w:cs="Times New Roman"/>
          <w:i/>
          <w:iCs/>
          <w:color w:val="000000" w:themeColor="text1"/>
          <w:sz w:val="24"/>
          <w:szCs w:val="24"/>
        </w:rPr>
        <w:t>Ibid</w:t>
      </w:r>
      <w:r w:rsidR="00530010">
        <w:rPr>
          <w:rFonts w:ascii="Franklin Gothic Book" w:hAnsi="Franklin Gothic Book" w:cs="Times New Roman"/>
          <w:color w:val="000000" w:themeColor="text1"/>
          <w:sz w:val="24"/>
          <w:szCs w:val="24"/>
        </w:rPr>
        <w:t>.</w:t>
      </w:r>
      <w:r w:rsidRPr="000C708D">
        <w:rPr>
          <w:rFonts w:ascii="Franklin Gothic Book" w:hAnsi="Franklin Gothic Book" w:cs="Times New Roman"/>
          <w:color w:val="000000" w:themeColor="text1"/>
          <w:sz w:val="24"/>
          <w:szCs w:val="24"/>
        </w:rPr>
        <w:t>,</w:t>
      </w:r>
      <w:r w:rsidR="00530010">
        <w:rPr>
          <w:rFonts w:ascii="Franklin Gothic Book" w:hAnsi="Franklin Gothic Book" w:cs="Times New Roman"/>
          <w:color w:val="000000" w:themeColor="text1"/>
          <w:sz w:val="24"/>
          <w:szCs w:val="24"/>
        </w:rPr>
        <w:t xml:space="preserve"> </w:t>
      </w:r>
      <w:r w:rsidRPr="000C708D">
        <w:rPr>
          <w:rFonts w:ascii="Franklin Gothic Book" w:hAnsi="Franklin Gothic Book" w:cs="Times New Roman"/>
          <w:color w:val="000000" w:themeColor="text1"/>
          <w:sz w:val="24"/>
          <w:szCs w:val="24"/>
        </w:rPr>
        <w:t>p. 157; emphasis added.</w:t>
      </w:r>
    </w:p>
  </w:endnote>
  <w:endnote w:id="29">
    <w:p w14:paraId="2A92117B" w14:textId="77777777" w:rsidR="008F1E5D" w:rsidRPr="000C708D" w:rsidRDefault="008F1E5D" w:rsidP="002C3296">
      <w:pPr>
        <w:pStyle w:val="Endnotes"/>
        <w:spacing w:afterLines="80" w:after="192"/>
        <w:rPr>
          <w:b/>
          <w:bCs/>
          <w:color w:val="000000" w:themeColor="text1"/>
          <w:szCs w:val="24"/>
        </w:rPr>
      </w:pPr>
      <w:r w:rsidRPr="000C708D">
        <w:rPr>
          <w:rStyle w:val="EndnoteReference"/>
          <w:color w:val="000000" w:themeColor="text1"/>
          <w:szCs w:val="24"/>
        </w:rPr>
        <w:endnoteRef/>
      </w:r>
      <w:r w:rsidRPr="000C708D">
        <w:rPr>
          <w:color w:val="000000" w:themeColor="text1"/>
          <w:szCs w:val="24"/>
        </w:rPr>
        <w:t xml:space="preserve"> Norbert Elias</w:t>
      </w:r>
      <w:r w:rsidRPr="000C708D">
        <w:rPr>
          <w:i/>
          <w:color w:val="000000" w:themeColor="text1"/>
          <w:szCs w:val="24"/>
        </w:rPr>
        <w:t>, The Germans: Power Struggles and the Development of Habitus in the Nineteenth and Twentieth Centuries</w:t>
      </w:r>
      <w:r w:rsidRPr="000C708D">
        <w:rPr>
          <w:color w:val="000000" w:themeColor="text1"/>
          <w:szCs w:val="24"/>
        </w:rPr>
        <w:t xml:space="preserve"> (Cambridge: Polity Press, 1996).</w:t>
      </w:r>
    </w:p>
  </w:endnote>
  <w:endnote w:id="30">
    <w:p w14:paraId="40B5584D"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Eric Dunning, Stephen Mennell, ‘Elias on Germany, Nazism and the Holocaust: On the Balance between “Civilizing” and “Decivilizing” Trends in the Social Development of Western Europe’, </w:t>
      </w:r>
      <w:r w:rsidRPr="000C708D">
        <w:rPr>
          <w:rFonts w:ascii="Franklin Gothic Book" w:hAnsi="Franklin Gothic Book" w:cs="Times New Roman"/>
          <w:i/>
          <w:color w:val="000000" w:themeColor="text1"/>
          <w:sz w:val="24"/>
          <w:szCs w:val="24"/>
        </w:rPr>
        <w:t xml:space="preserve">The British Journal of Sociology, </w:t>
      </w:r>
      <w:r w:rsidRPr="000C708D">
        <w:rPr>
          <w:rFonts w:ascii="Franklin Gothic Book" w:hAnsi="Franklin Gothic Book" w:cs="Times New Roman"/>
          <w:color w:val="000000" w:themeColor="text1"/>
          <w:sz w:val="24"/>
          <w:szCs w:val="24"/>
        </w:rPr>
        <w:t>49/3 (1998)</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 339.</w:t>
      </w:r>
    </w:p>
  </w:endnote>
  <w:endnote w:id="31">
    <w:p w14:paraId="080959CB" w14:textId="7DBC91AA"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Elias, </w:t>
      </w:r>
      <w:r w:rsidRPr="000C708D">
        <w:rPr>
          <w:i/>
          <w:color w:val="000000" w:themeColor="text1"/>
          <w:szCs w:val="24"/>
        </w:rPr>
        <w:t xml:space="preserve">op. cit., </w:t>
      </w:r>
      <w:r w:rsidRPr="000C708D">
        <w:rPr>
          <w:color w:val="000000" w:themeColor="text1"/>
          <w:szCs w:val="24"/>
        </w:rPr>
        <w:t xml:space="preserve">Ref. </w:t>
      </w:r>
      <w:r w:rsidRPr="000C708D">
        <w:rPr>
          <w:color w:val="000000" w:themeColor="text1"/>
          <w:szCs w:val="24"/>
        </w:rPr>
        <w:fldChar w:fldCharType="begin"/>
      </w:r>
      <w:r w:rsidRPr="000C708D">
        <w:rPr>
          <w:color w:val="000000" w:themeColor="text1"/>
          <w:szCs w:val="24"/>
        </w:rPr>
        <w:instrText xml:space="preserve"> NOTEREF _Ref2773600 \h  \* MERGEFORMAT </w:instrText>
      </w:r>
      <w:r w:rsidRPr="000C708D">
        <w:rPr>
          <w:color w:val="000000" w:themeColor="text1"/>
          <w:szCs w:val="24"/>
        </w:rPr>
      </w:r>
      <w:r w:rsidRPr="000C708D">
        <w:rPr>
          <w:color w:val="000000" w:themeColor="text1"/>
          <w:szCs w:val="24"/>
        </w:rPr>
        <w:fldChar w:fldCharType="separate"/>
      </w:r>
      <w:r w:rsidRPr="000C708D">
        <w:rPr>
          <w:color w:val="000000" w:themeColor="text1"/>
          <w:szCs w:val="24"/>
        </w:rPr>
        <w:t>29</w:t>
      </w:r>
      <w:r w:rsidRPr="000C708D">
        <w:rPr>
          <w:color w:val="000000" w:themeColor="text1"/>
          <w:szCs w:val="24"/>
        </w:rPr>
        <w:fldChar w:fldCharType="end"/>
      </w:r>
      <w:r w:rsidRPr="000C708D">
        <w:rPr>
          <w:color w:val="000000" w:themeColor="text1"/>
          <w:szCs w:val="24"/>
        </w:rPr>
        <w:t xml:space="preserve">, </w:t>
      </w:r>
      <w:r w:rsidR="0079349F">
        <w:rPr>
          <w:color w:val="000000" w:themeColor="text1"/>
          <w:szCs w:val="24"/>
        </w:rPr>
        <w:t>p</w:t>
      </w:r>
      <w:r w:rsidRPr="000C708D">
        <w:rPr>
          <w:color w:val="000000" w:themeColor="text1"/>
          <w:szCs w:val="24"/>
        </w:rPr>
        <w:t xml:space="preserve">p. 302, 308. </w:t>
      </w:r>
    </w:p>
  </w:endnote>
  <w:endnote w:id="32">
    <w:p w14:paraId="69C66FB9" w14:textId="77777777" w:rsidR="008F1E5D" w:rsidRPr="000C708D" w:rsidRDefault="008F1E5D" w:rsidP="002C3296">
      <w:pPr>
        <w:pStyle w:val="Endnotes"/>
        <w:spacing w:afterLines="80" w:after="192"/>
        <w:rPr>
          <w:color w:val="000000" w:themeColor="text1"/>
          <w:szCs w:val="24"/>
          <w:lang w:val="en-US"/>
        </w:rPr>
      </w:pPr>
      <w:r w:rsidRPr="000C708D">
        <w:rPr>
          <w:rStyle w:val="EndnoteReference"/>
          <w:color w:val="000000" w:themeColor="text1"/>
          <w:szCs w:val="24"/>
        </w:rPr>
        <w:endnoteRef/>
      </w:r>
      <w:r w:rsidRPr="000C708D">
        <w:rPr>
          <w:color w:val="000000" w:themeColor="text1"/>
          <w:szCs w:val="24"/>
        </w:rPr>
        <w:t xml:space="preserve"> </w:t>
      </w:r>
      <w:r w:rsidRPr="000C708D">
        <w:rPr>
          <w:color w:val="000000" w:themeColor="text1"/>
          <w:szCs w:val="24"/>
          <w:lang w:val="en-US"/>
        </w:rPr>
        <w:t xml:space="preserve">Rob Watts, </w:t>
      </w:r>
      <w:r w:rsidRPr="000C708D">
        <w:rPr>
          <w:i/>
          <w:iCs/>
          <w:color w:val="000000" w:themeColor="text1"/>
          <w:szCs w:val="24"/>
          <w:lang w:val="en-US"/>
        </w:rPr>
        <w:t>States of Violence and the Civilising Process</w:t>
      </w:r>
      <w:r w:rsidRPr="000C708D">
        <w:rPr>
          <w:color w:val="000000" w:themeColor="text1"/>
          <w:szCs w:val="24"/>
          <w:lang w:val="en-US"/>
        </w:rPr>
        <w:t xml:space="preserve"> (Basingstoke: Palgrave, 2016), p. 74.</w:t>
      </w:r>
    </w:p>
  </w:endnote>
  <w:endnote w:id="33">
    <w:p w14:paraId="7CB90823"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De Swaan,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Pr="000C708D">
        <w:rPr>
          <w:rFonts w:ascii="Franklin Gothic Book" w:hAnsi="Franklin Gothic Book"/>
          <w:color w:val="000000" w:themeColor="text1"/>
          <w:sz w:val="24"/>
          <w:szCs w:val="24"/>
        </w:rPr>
        <w:fldChar w:fldCharType="begin"/>
      </w:r>
      <w:r w:rsidRPr="000C708D">
        <w:rPr>
          <w:rFonts w:ascii="Franklin Gothic Book" w:hAnsi="Franklin Gothic Book"/>
          <w:color w:val="000000" w:themeColor="text1"/>
          <w:sz w:val="24"/>
          <w:szCs w:val="24"/>
        </w:rPr>
        <w:instrText xml:space="preserve"> NOTEREF _Ref2773685 \h  \* MERGEFORMAT </w:instrText>
      </w:r>
      <w:r w:rsidRPr="000C708D">
        <w:rPr>
          <w:rFonts w:ascii="Franklin Gothic Book" w:hAnsi="Franklin Gothic Book"/>
          <w:color w:val="000000" w:themeColor="text1"/>
          <w:sz w:val="24"/>
          <w:szCs w:val="24"/>
        </w:rPr>
      </w:r>
      <w:r w:rsidRPr="000C708D">
        <w:rPr>
          <w:rFonts w:ascii="Franklin Gothic Book" w:hAnsi="Franklin Gothic Book"/>
          <w:color w:val="000000" w:themeColor="text1"/>
          <w:sz w:val="24"/>
          <w:szCs w:val="24"/>
        </w:rPr>
        <w:fldChar w:fldCharType="separate"/>
      </w:r>
      <w:r w:rsidRPr="000C708D">
        <w:rPr>
          <w:rFonts w:ascii="Franklin Gothic Book" w:hAnsi="Franklin Gothic Book"/>
          <w:color w:val="000000" w:themeColor="text1"/>
          <w:sz w:val="24"/>
          <w:szCs w:val="24"/>
        </w:rPr>
        <w:t>11</w:t>
      </w:r>
      <w:r w:rsidRPr="000C708D">
        <w:rPr>
          <w:rFonts w:ascii="Franklin Gothic Book" w:hAnsi="Franklin Gothic Book"/>
          <w:color w:val="000000" w:themeColor="text1"/>
          <w:sz w:val="24"/>
          <w:szCs w:val="24"/>
        </w:rPr>
        <w:fldChar w:fldCharType="end"/>
      </w:r>
      <w:r w:rsidRPr="000C708D">
        <w:rPr>
          <w:rFonts w:ascii="Franklin Gothic Book" w:hAnsi="Franklin Gothic Book" w:cs="Times New Roman"/>
          <w:color w:val="000000" w:themeColor="text1"/>
          <w:sz w:val="24"/>
          <w:szCs w:val="24"/>
        </w:rPr>
        <w:t>, pp. 266-67.</w:t>
      </w:r>
    </w:p>
  </w:endnote>
  <w:endnote w:id="34">
    <w:p w14:paraId="617A1130" w14:textId="032896FA" w:rsidR="008F1E5D" w:rsidRPr="000C708D" w:rsidRDefault="008F1E5D" w:rsidP="002C3296">
      <w:pPr>
        <w:pStyle w:val="EndnoteText"/>
        <w:spacing w:afterLines="80" w:after="192" w:line="320" w:lineRule="exact"/>
        <w:rPr>
          <w:rFonts w:ascii="Franklin Gothic Book" w:hAnsi="Franklin Gothic Book" w:cs="Times New Roman"/>
          <w:b/>
          <w:bCs/>
          <w:i/>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Mann,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0079349F">
        <w:rPr>
          <w:rFonts w:ascii="Franklin Gothic Book" w:hAnsi="Franklin Gothic Book"/>
          <w:color w:val="000000" w:themeColor="text1"/>
          <w:sz w:val="24"/>
          <w:szCs w:val="24"/>
        </w:rPr>
        <w:t>13</w:t>
      </w:r>
      <w:r w:rsidRPr="000C708D">
        <w:rPr>
          <w:rFonts w:ascii="Franklin Gothic Book" w:hAnsi="Franklin Gothic Book" w:cs="Times New Roman"/>
          <w:color w:val="000000" w:themeColor="text1"/>
          <w:sz w:val="24"/>
          <w:szCs w:val="24"/>
        </w:rPr>
        <w:t>, pp. 1-33.</w:t>
      </w:r>
    </w:p>
  </w:endnote>
  <w:endnote w:id="35">
    <w:p w14:paraId="22F23CA0"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Aristotle Kallis, ‘When Fascism became mainstream: The challenge of extremism in times of crisis’, </w:t>
      </w:r>
      <w:r w:rsidRPr="000C708D">
        <w:rPr>
          <w:rFonts w:ascii="Franklin Gothic Book" w:hAnsi="Franklin Gothic Book" w:cs="Times New Roman"/>
          <w:i/>
          <w:color w:val="000000" w:themeColor="text1"/>
          <w:sz w:val="24"/>
          <w:szCs w:val="24"/>
        </w:rPr>
        <w:t xml:space="preserve">Fascism, </w:t>
      </w:r>
      <w:r w:rsidRPr="000C708D">
        <w:rPr>
          <w:rFonts w:ascii="Franklin Gothic Book" w:hAnsi="Franklin Gothic Book" w:cs="Times New Roman"/>
          <w:color w:val="000000" w:themeColor="text1"/>
          <w:sz w:val="24"/>
          <w:szCs w:val="24"/>
        </w:rPr>
        <w:t>4 (2015)</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1-24.</w:t>
      </w:r>
    </w:p>
  </w:endnote>
  <w:endnote w:id="36">
    <w:p w14:paraId="420C85F7"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Aristotle Kallis, ‘The ‘Fascist Effect’: On the Dynamics of Political Hybridization in Inter-War Europe’, in António Costa Pinto, Aristotle Kallis (Eds.), </w:t>
      </w:r>
      <w:r w:rsidRPr="000C708D">
        <w:rPr>
          <w:i/>
          <w:color w:val="000000" w:themeColor="text1"/>
          <w:szCs w:val="24"/>
        </w:rPr>
        <w:t>Rethinking Fascism and Dictatorship in Europe</w:t>
      </w:r>
      <w:r w:rsidRPr="000C708D">
        <w:rPr>
          <w:color w:val="000000" w:themeColor="text1"/>
          <w:szCs w:val="24"/>
        </w:rPr>
        <w:t xml:space="preserve"> (Basingstoke: Palgrave Macmillan, 2014), pp. 13-41.</w:t>
      </w:r>
    </w:p>
  </w:endnote>
  <w:endnote w:id="37">
    <w:p w14:paraId="757C2547" w14:textId="77777777" w:rsidR="008F1E5D" w:rsidRPr="000C708D" w:rsidRDefault="008F1E5D" w:rsidP="002C3296">
      <w:pPr>
        <w:pStyle w:val="Endnotes"/>
        <w:spacing w:afterLines="80" w:after="192"/>
        <w:rPr>
          <w:color w:val="000000" w:themeColor="text1"/>
          <w:szCs w:val="24"/>
          <w:lang w:val="en-US"/>
        </w:rPr>
      </w:pPr>
      <w:r w:rsidRPr="000C708D">
        <w:rPr>
          <w:rStyle w:val="EndnoteReference"/>
          <w:color w:val="000000" w:themeColor="text1"/>
          <w:szCs w:val="24"/>
        </w:rPr>
        <w:endnoteRef/>
      </w:r>
      <w:r w:rsidRPr="000C708D">
        <w:rPr>
          <w:color w:val="000000" w:themeColor="text1"/>
          <w:szCs w:val="24"/>
        </w:rPr>
        <w:t xml:space="preserve"> </w:t>
      </w:r>
      <w:r w:rsidRPr="000C708D">
        <w:rPr>
          <w:color w:val="000000" w:themeColor="text1"/>
          <w:szCs w:val="24"/>
          <w:lang w:val="en-US"/>
        </w:rPr>
        <w:t xml:space="preserve">Dan Stone, ‘Beyond the ‘Auschwitz Syndrome’: Holocaust Historiography After the Cold War’, </w:t>
      </w:r>
      <w:r w:rsidRPr="000C708D">
        <w:rPr>
          <w:i/>
          <w:iCs/>
          <w:color w:val="000000" w:themeColor="text1"/>
          <w:szCs w:val="24"/>
          <w:lang w:val="en-US"/>
        </w:rPr>
        <w:t>Patterns of Prejudice,</w:t>
      </w:r>
      <w:r w:rsidRPr="000C708D">
        <w:rPr>
          <w:color w:val="000000" w:themeColor="text1"/>
          <w:szCs w:val="24"/>
          <w:lang w:val="en-US"/>
        </w:rPr>
        <w:t xml:space="preserve"> 44/5(2010), pp. 466-7.</w:t>
      </w:r>
    </w:p>
  </w:endnote>
  <w:endnote w:id="38">
    <w:p w14:paraId="36AEF8C0"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Kurt Weyland, </w:t>
      </w:r>
      <w:r w:rsidRPr="000C708D">
        <w:rPr>
          <w:i/>
          <w:iCs/>
          <w:color w:val="000000" w:themeColor="text1"/>
          <w:szCs w:val="24"/>
        </w:rPr>
        <w:t>Making Waves: Democratic Contention in Europe and Latin America since the Revolutions of 1848</w:t>
      </w:r>
      <w:r w:rsidRPr="000C708D">
        <w:rPr>
          <w:color w:val="000000" w:themeColor="text1"/>
          <w:szCs w:val="24"/>
        </w:rPr>
        <w:t xml:space="preserve"> (Cambridge 2014); and ’Patterns of Diffusion: Comparing Democratic and Autocratic Waves’, </w:t>
      </w:r>
      <w:r w:rsidRPr="000C708D">
        <w:rPr>
          <w:i/>
          <w:iCs/>
          <w:color w:val="000000" w:themeColor="text1"/>
          <w:szCs w:val="24"/>
        </w:rPr>
        <w:t>Global Policy</w:t>
      </w:r>
      <w:r w:rsidRPr="000C708D">
        <w:rPr>
          <w:color w:val="000000" w:themeColor="text1"/>
          <w:szCs w:val="24"/>
        </w:rPr>
        <w:t>, 7/4 (2016), pp. 557-62.</w:t>
      </w:r>
    </w:p>
  </w:endnote>
  <w:endnote w:id="39">
    <w:p w14:paraId="71899D36" w14:textId="77777777" w:rsidR="008F1E5D" w:rsidRPr="00B923E7" w:rsidRDefault="008F1E5D" w:rsidP="002C3296">
      <w:pPr>
        <w:pStyle w:val="Endnotes"/>
        <w:spacing w:afterLines="80" w:after="192"/>
        <w:rPr>
          <w:rFonts w:ascii="Times New Roman" w:hAnsi="Times New Roman"/>
        </w:rPr>
      </w:pPr>
      <w:r>
        <w:rPr>
          <w:rStyle w:val="EndnoteReference"/>
        </w:rPr>
        <w:endnoteRef/>
      </w:r>
      <w:r>
        <w:t xml:space="preserve"> Katie </w:t>
      </w:r>
      <w:r w:rsidRPr="00B923E7">
        <w:rPr>
          <w:shd w:val="clear" w:color="auto" w:fill="FFFFFF"/>
        </w:rPr>
        <w:t xml:space="preserve">Liston, </w:t>
      </w:r>
      <w:r>
        <w:rPr>
          <w:shd w:val="clear" w:color="auto" w:fill="FFFFFF"/>
        </w:rPr>
        <w:t>Stephen</w:t>
      </w:r>
      <w:r w:rsidRPr="00B923E7">
        <w:rPr>
          <w:shd w:val="clear" w:color="auto" w:fill="FFFFFF"/>
        </w:rPr>
        <w:t xml:space="preserve"> Mennell</w:t>
      </w:r>
      <w:r>
        <w:rPr>
          <w:shd w:val="clear" w:color="auto" w:fill="FFFFFF"/>
        </w:rPr>
        <w:t>,</w:t>
      </w:r>
      <w:r w:rsidRPr="00B923E7">
        <w:rPr>
          <w:shd w:val="clear" w:color="auto" w:fill="FFFFFF"/>
        </w:rPr>
        <w:t xml:space="preserve"> </w:t>
      </w:r>
      <w:r>
        <w:rPr>
          <w:shd w:val="clear" w:color="auto" w:fill="FFFFFF"/>
        </w:rPr>
        <w:t>‘</w:t>
      </w:r>
      <w:r w:rsidRPr="00B923E7">
        <w:rPr>
          <w:shd w:val="clear" w:color="auto" w:fill="FFFFFF"/>
        </w:rPr>
        <w:t>Ill Met in Ghana: Jack Goody and Norbert Elias on Process and Progress in Africa</w:t>
      </w:r>
      <w:r>
        <w:rPr>
          <w:shd w:val="clear" w:color="auto" w:fill="FFFFFF"/>
        </w:rPr>
        <w:t>’,</w:t>
      </w:r>
      <w:r w:rsidRPr="00B923E7">
        <w:rPr>
          <w:shd w:val="clear" w:color="auto" w:fill="FFFFFF"/>
        </w:rPr>
        <w:t> </w:t>
      </w:r>
      <w:r w:rsidRPr="00B923E7">
        <w:rPr>
          <w:i/>
          <w:iCs/>
        </w:rPr>
        <w:t>Theory, Culture &amp; Society</w:t>
      </w:r>
      <w:r w:rsidRPr="00B923E7">
        <w:rPr>
          <w:shd w:val="clear" w:color="auto" w:fill="FFFFFF"/>
        </w:rPr>
        <w:t>, </w:t>
      </w:r>
      <w:r w:rsidRPr="00B923E7">
        <w:rPr>
          <w:iCs/>
        </w:rPr>
        <w:t>26</w:t>
      </w:r>
      <w:r w:rsidRPr="00B923E7">
        <w:rPr>
          <w:shd w:val="clear" w:color="auto" w:fill="FFFFFF"/>
        </w:rPr>
        <w:t>/7–8</w:t>
      </w:r>
      <w:r>
        <w:rPr>
          <w:shd w:val="clear" w:color="auto" w:fill="FFFFFF"/>
        </w:rPr>
        <w:t xml:space="preserve"> (2009)</w:t>
      </w:r>
      <w:r w:rsidRPr="00B923E7">
        <w:rPr>
          <w:shd w:val="clear" w:color="auto" w:fill="FFFFFF"/>
        </w:rPr>
        <w:t xml:space="preserve">, </w:t>
      </w:r>
      <w:r>
        <w:rPr>
          <w:shd w:val="clear" w:color="auto" w:fill="FFFFFF"/>
        </w:rPr>
        <w:t xml:space="preserve">pp. </w:t>
      </w:r>
      <w:r w:rsidRPr="00B923E7">
        <w:rPr>
          <w:shd w:val="clear" w:color="auto" w:fill="FFFFFF"/>
        </w:rPr>
        <w:t>52–70.</w:t>
      </w:r>
    </w:p>
  </w:endnote>
  <w:endnote w:id="40">
    <w:p w14:paraId="47611B0D" w14:textId="77777777" w:rsidR="008F1E5D" w:rsidRPr="00810D68" w:rsidRDefault="008F1E5D" w:rsidP="002C3296">
      <w:pPr>
        <w:pStyle w:val="Endnotes"/>
        <w:spacing w:afterLines="80" w:after="192"/>
        <w:rPr>
          <w:rFonts w:eastAsiaTheme="minorEastAsia" w:cs="Arial"/>
          <w:lang w:val="en-US" w:eastAsia="it-IT"/>
        </w:rPr>
      </w:pPr>
      <w:r w:rsidRPr="00810D68">
        <w:rPr>
          <w:rStyle w:val="EndnoteReference"/>
          <w:color w:val="000000" w:themeColor="text1"/>
          <w:szCs w:val="24"/>
        </w:rPr>
        <w:endnoteRef/>
      </w:r>
      <w:r w:rsidRPr="00810D68">
        <w:t xml:space="preserve"> Fabio Fernando Rizi, </w:t>
      </w:r>
      <w:r w:rsidRPr="00810D68">
        <w:rPr>
          <w:i/>
        </w:rPr>
        <w:t>Benedetto Croce and Italian Fascism</w:t>
      </w:r>
      <w:r w:rsidRPr="00810D68">
        <w:t xml:space="preserve"> (Toronto, Buffalo and London: University of Toronto Press, 2003), pp, 8, 247; Paul Corner, ‘The Road to Fascism: An Italian Sonderweg’, </w:t>
      </w:r>
      <w:r w:rsidRPr="00810D68">
        <w:rPr>
          <w:i/>
        </w:rPr>
        <w:t xml:space="preserve">Contemporary European History, </w:t>
      </w:r>
      <w:r w:rsidRPr="00810D68">
        <w:t>11/2 (2002)</w:t>
      </w:r>
      <w:r w:rsidRPr="00810D68">
        <w:rPr>
          <w:i/>
        </w:rPr>
        <w:t xml:space="preserve">, </w:t>
      </w:r>
      <w:r w:rsidRPr="00810D68">
        <w:t xml:space="preserve">pp. 273-95; </w:t>
      </w:r>
      <w:r w:rsidRPr="00810D68">
        <w:rPr>
          <w:rFonts w:eastAsiaTheme="minorEastAsia" w:cs="Helvetica Neue"/>
          <w:lang w:val="en-US" w:eastAsia="it-IT"/>
        </w:rPr>
        <w:t xml:space="preserve">David D. Roberts, ‘How Not to Think About Fascism and Ideology, Intellectual Antecedents and Historical Meaning’, </w:t>
      </w:r>
      <w:r w:rsidRPr="00810D68">
        <w:rPr>
          <w:rFonts w:eastAsiaTheme="minorEastAsia" w:cs="Helvetica Neue"/>
          <w:i/>
          <w:iCs/>
          <w:lang w:val="en-US" w:eastAsia="it-IT"/>
        </w:rPr>
        <w:t>Journal of Contemporary History,</w:t>
      </w:r>
      <w:r w:rsidRPr="00810D68">
        <w:rPr>
          <w:rFonts w:eastAsiaTheme="minorEastAsia" w:cs="Helvetica Neue"/>
          <w:lang w:val="en-US" w:eastAsia="it-IT"/>
        </w:rPr>
        <w:t xml:space="preserve"> 35/2 (2000), pp. 209-10; Ernesto Laclau, </w:t>
      </w:r>
      <w:r w:rsidRPr="00810D68">
        <w:rPr>
          <w:rFonts w:eastAsiaTheme="minorEastAsia" w:cs="Helvetica Neue"/>
          <w:i/>
          <w:iCs/>
          <w:lang w:val="en-US" w:eastAsia="it-IT"/>
        </w:rPr>
        <w:t>Politics and Ideology in Marxist Theory: Capitalism, Fascism, Populism</w:t>
      </w:r>
      <w:r w:rsidRPr="00810D68">
        <w:rPr>
          <w:rFonts w:eastAsiaTheme="minorEastAsia" w:cs="Helvetica Neue"/>
          <w:lang w:val="en-US" w:eastAsia="it-IT"/>
        </w:rPr>
        <w:t xml:space="preserve"> (London: Verso, 2012), pp. 83-4</w:t>
      </w:r>
      <w:r>
        <w:rPr>
          <w:rFonts w:eastAsiaTheme="minorEastAsia" w:cs="Helvetica Neue"/>
          <w:lang w:val="en-US" w:eastAsia="it-IT"/>
        </w:rPr>
        <w:t xml:space="preserve">; </w:t>
      </w:r>
      <w:r w:rsidRPr="000C708D">
        <w:rPr>
          <w:color w:val="000000" w:themeColor="text1"/>
          <w:szCs w:val="24"/>
        </w:rPr>
        <w:t xml:space="preserve">cf. Bronislaw Malinowski’s analysis of Nazism as a perversion of German culture in Dan </w:t>
      </w:r>
      <w:r w:rsidRPr="000C708D">
        <w:rPr>
          <w:rFonts w:eastAsiaTheme="minorEastAsia" w:cs="Helvetica Neue"/>
          <w:color w:val="000000" w:themeColor="text1"/>
          <w:szCs w:val="24"/>
          <w:lang w:val="en-US" w:eastAsia="it-IT"/>
        </w:rPr>
        <w:t xml:space="preserve">Stone, ‘Nazism as Modern Magic: Bronislaw Malinowski’s Political Anthropology’, </w:t>
      </w:r>
      <w:r w:rsidRPr="000C708D">
        <w:rPr>
          <w:rFonts w:eastAsiaTheme="minorEastAsia" w:cs="Helvetica Neue"/>
          <w:i/>
          <w:iCs/>
          <w:color w:val="000000" w:themeColor="text1"/>
          <w:szCs w:val="24"/>
          <w:lang w:val="en-US" w:eastAsia="it-IT"/>
        </w:rPr>
        <w:t>History and Anthropology,</w:t>
      </w:r>
      <w:r w:rsidRPr="000C708D">
        <w:rPr>
          <w:rFonts w:eastAsiaTheme="minorEastAsia" w:cs="Helvetica Neue"/>
          <w:color w:val="000000" w:themeColor="text1"/>
          <w:szCs w:val="24"/>
          <w:lang w:val="en-US" w:eastAsia="it-IT"/>
        </w:rPr>
        <w:t xml:space="preserve"> 14/3 (2003), pp. 203-18.</w:t>
      </w:r>
    </w:p>
  </w:endnote>
  <w:endnote w:id="41">
    <w:p w14:paraId="73579411" w14:textId="77777777" w:rsidR="008F1E5D" w:rsidRPr="000C708D" w:rsidRDefault="008F1E5D" w:rsidP="002C3296">
      <w:pPr>
        <w:pStyle w:val="Endnotes"/>
        <w:spacing w:afterLines="80" w:after="192"/>
        <w:rPr>
          <w:rFonts w:cs="Arial"/>
          <w:color w:val="000000" w:themeColor="text1"/>
          <w:szCs w:val="24"/>
          <w:lang w:val="en-US" w:eastAsia="it-IT"/>
        </w:rPr>
      </w:pPr>
      <w:r w:rsidRPr="000C708D">
        <w:rPr>
          <w:rStyle w:val="EndnoteReference"/>
          <w:color w:val="000000" w:themeColor="text1"/>
          <w:szCs w:val="24"/>
        </w:rPr>
        <w:endnoteRef/>
      </w:r>
      <w:r w:rsidRPr="000C708D">
        <w:rPr>
          <w:color w:val="000000" w:themeColor="text1"/>
          <w:szCs w:val="24"/>
        </w:rPr>
        <w:t xml:space="preserve"> </w:t>
      </w:r>
      <w:r w:rsidRPr="000C708D">
        <w:rPr>
          <w:color w:val="000000" w:themeColor="text1"/>
          <w:szCs w:val="24"/>
          <w:lang w:val="en-US" w:eastAsia="it-IT"/>
        </w:rPr>
        <w:t xml:space="preserve">Plessini, </w:t>
      </w:r>
      <w:r w:rsidRPr="000C708D">
        <w:rPr>
          <w:i/>
          <w:color w:val="000000" w:themeColor="text1"/>
          <w:szCs w:val="24"/>
        </w:rPr>
        <w:t xml:space="preserve">op. cit., </w:t>
      </w:r>
      <w:r w:rsidRPr="000C708D">
        <w:rPr>
          <w:color w:val="000000" w:themeColor="text1"/>
          <w:szCs w:val="24"/>
        </w:rPr>
        <w:t xml:space="preserve">Ref. </w:t>
      </w:r>
      <w:r w:rsidRPr="000C708D">
        <w:rPr>
          <w:color w:val="000000" w:themeColor="text1"/>
          <w:szCs w:val="24"/>
        </w:rPr>
        <w:fldChar w:fldCharType="begin"/>
      </w:r>
      <w:r w:rsidRPr="000C708D">
        <w:rPr>
          <w:color w:val="000000" w:themeColor="text1"/>
          <w:szCs w:val="24"/>
        </w:rPr>
        <w:instrText xml:space="preserve"> NOTEREF _Ref2773751 \h  \* MERGEFORMAT </w:instrText>
      </w:r>
      <w:r w:rsidRPr="000C708D">
        <w:rPr>
          <w:color w:val="000000" w:themeColor="text1"/>
          <w:szCs w:val="24"/>
        </w:rPr>
      </w:r>
      <w:r w:rsidRPr="000C708D">
        <w:rPr>
          <w:color w:val="000000" w:themeColor="text1"/>
          <w:szCs w:val="24"/>
        </w:rPr>
        <w:fldChar w:fldCharType="separate"/>
      </w:r>
      <w:r w:rsidRPr="000C708D">
        <w:rPr>
          <w:color w:val="000000" w:themeColor="text1"/>
          <w:szCs w:val="24"/>
        </w:rPr>
        <w:t>9</w:t>
      </w:r>
      <w:r w:rsidRPr="000C708D">
        <w:rPr>
          <w:color w:val="000000" w:themeColor="text1"/>
          <w:szCs w:val="24"/>
        </w:rPr>
        <w:fldChar w:fldCharType="end"/>
      </w:r>
      <w:r w:rsidRPr="000C708D">
        <w:rPr>
          <w:color w:val="000000" w:themeColor="text1"/>
          <w:szCs w:val="24"/>
          <w:lang w:val="en-US" w:eastAsia="it-IT"/>
        </w:rPr>
        <w:t>, p. 234.</w:t>
      </w:r>
    </w:p>
  </w:endnote>
  <w:endnote w:id="42">
    <w:p w14:paraId="01D841EC" w14:textId="77777777" w:rsidR="008F1E5D" w:rsidRPr="000C708D" w:rsidRDefault="008F1E5D" w:rsidP="002C3296">
      <w:pPr>
        <w:pStyle w:val="Endnotes"/>
        <w:spacing w:afterLines="80" w:after="192"/>
        <w:rPr>
          <w:rFonts w:cs="Arial"/>
          <w:color w:val="000000" w:themeColor="text1"/>
          <w:szCs w:val="24"/>
          <w:lang w:val="en-US" w:eastAsia="it-IT"/>
        </w:rPr>
      </w:pPr>
      <w:r w:rsidRPr="000C708D">
        <w:rPr>
          <w:rStyle w:val="EndnoteReference"/>
          <w:color w:val="000000" w:themeColor="text1"/>
          <w:szCs w:val="24"/>
        </w:rPr>
        <w:endnoteRef/>
      </w:r>
      <w:r w:rsidRPr="000C708D">
        <w:rPr>
          <w:color w:val="000000" w:themeColor="text1"/>
          <w:szCs w:val="24"/>
        </w:rPr>
        <w:t xml:space="preserve"> Norbert Elias, </w:t>
      </w:r>
      <w:r w:rsidRPr="000C708D">
        <w:rPr>
          <w:rFonts w:eastAsia="Times New Roman"/>
          <w:i/>
          <w:iCs/>
          <w:color w:val="000000" w:themeColor="text1"/>
          <w:szCs w:val="24"/>
        </w:rPr>
        <w:t>Involvement and detachment</w:t>
      </w:r>
      <w:r w:rsidRPr="000C708D">
        <w:rPr>
          <w:rFonts w:eastAsia="Times New Roman"/>
          <w:color w:val="000000" w:themeColor="text1"/>
          <w:szCs w:val="24"/>
        </w:rPr>
        <w:t xml:space="preserve"> (Oxford, UK: Basil Blackwell, 1987); </w:t>
      </w:r>
      <w:r w:rsidRPr="000C708D">
        <w:rPr>
          <w:color w:val="000000" w:themeColor="text1"/>
          <w:szCs w:val="24"/>
          <w:lang w:val="en-US" w:eastAsia="it-IT"/>
        </w:rPr>
        <w:t xml:space="preserve">Laura Leonardi, ‘Changes in the We-I Balance and the Formation of a European Identity in the Light of Norbert Elias’s Theories’, </w:t>
      </w:r>
      <w:r w:rsidRPr="000C708D">
        <w:rPr>
          <w:i/>
          <w:iCs/>
          <w:color w:val="000000" w:themeColor="text1"/>
          <w:szCs w:val="24"/>
          <w:lang w:val="en-US" w:eastAsia="it-IT"/>
        </w:rPr>
        <w:t>Cambio. Rivista sulle Trasformazioni Sociali,</w:t>
      </w:r>
      <w:r w:rsidRPr="000C708D">
        <w:rPr>
          <w:color w:val="000000" w:themeColor="text1"/>
          <w:szCs w:val="24"/>
          <w:lang w:val="en-US" w:eastAsia="it-IT"/>
        </w:rPr>
        <w:t xml:space="preserve"> 1/3 (2011), pp. 168-75.</w:t>
      </w:r>
    </w:p>
  </w:endnote>
  <w:endnote w:id="43">
    <w:p w14:paraId="5A9B5B91" w14:textId="70866774" w:rsidR="000F005F" w:rsidRPr="0034635C" w:rsidRDefault="000F005F">
      <w:pPr>
        <w:pStyle w:val="EndnoteText"/>
        <w:rPr>
          <w:rFonts w:ascii="Franklin Gothic Book" w:hAnsi="Franklin Gothic Book"/>
          <w:sz w:val="24"/>
          <w:szCs w:val="24"/>
        </w:rPr>
      </w:pPr>
      <w:r w:rsidRPr="0034635C">
        <w:rPr>
          <w:rStyle w:val="EndnoteReference"/>
          <w:rFonts w:ascii="Franklin Gothic Book" w:hAnsi="Franklin Gothic Book"/>
          <w:sz w:val="24"/>
          <w:szCs w:val="24"/>
        </w:rPr>
        <w:endnoteRef/>
      </w:r>
      <w:r w:rsidRPr="0034635C">
        <w:rPr>
          <w:rFonts w:ascii="Franklin Gothic Book" w:hAnsi="Franklin Gothic Book"/>
          <w:sz w:val="24"/>
          <w:szCs w:val="24"/>
        </w:rPr>
        <w:t xml:space="preserve"> </w:t>
      </w:r>
      <w:r w:rsidRPr="0034635C">
        <w:rPr>
          <w:rFonts w:ascii="Franklin Gothic Book" w:hAnsi="Franklin Gothic Book"/>
          <w:sz w:val="24"/>
          <w:szCs w:val="24"/>
        </w:rPr>
        <w:t xml:space="preserve">Martin Jay, ‘“In Psychoanalysis Nothing is True but the Exaggerations”: Freud and the Frankfurt School’, in </w:t>
      </w:r>
      <w:r w:rsidR="002E0A7F" w:rsidRPr="0034635C">
        <w:rPr>
          <w:rFonts w:ascii="Franklin Gothic Book" w:hAnsi="Franklin Gothic Book"/>
          <w:sz w:val="24"/>
          <w:szCs w:val="24"/>
        </w:rPr>
        <w:t>Richard Gipps, Michael Lacewing</w:t>
      </w:r>
      <w:r w:rsidR="003262E6">
        <w:rPr>
          <w:rFonts w:ascii="Franklin Gothic Book" w:hAnsi="Franklin Gothic Book"/>
          <w:sz w:val="24"/>
          <w:szCs w:val="24"/>
        </w:rPr>
        <w:t xml:space="preserve"> (Eds.), </w:t>
      </w:r>
      <w:r w:rsidRPr="0034635C">
        <w:rPr>
          <w:rFonts w:ascii="Franklin Gothic Book" w:hAnsi="Franklin Gothic Book"/>
          <w:i/>
          <w:iCs/>
          <w:sz w:val="24"/>
          <w:szCs w:val="24"/>
        </w:rPr>
        <w:t>The Oxford Handbook of Philosophy and Psychoanalysis</w:t>
      </w:r>
      <w:r w:rsidRPr="0034635C">
        <w:rPr>
          <w:rFonts w:ascii="Franklin Gothic Book" w:hAnsi="Franklin Gothic Book"/>
          <w:sz w:val="24"/>
          <w:szCs w:val="24"/>
        </w:rPr>
        <w:t xml:space="preserve"> </w:t>
      </w:r>
      <w:r w:rsidR="0034635C">
        <w:rPr>
          <w:rFonts w:ascii="Franklin Gothic Book" w:hAnsi="Franklin Gothic Book"/>
          <w:sz w:val="24"/>
          <w:szCs w:val="24"/>
        </w:rPr>
        <w:t>(</w:t>
      </w:r>
      <w:r w:rsidRPr="0034635C">
        <w:rPr>
          <w:rFonts w:ascii="Franklin Gothic Book" w:hAnsi="Franklin Gothic Book"/>
          <w:sz w:val="24"/>
          <w:szCs w:val="24"/>
        </w:rPr>
        <w:t>Oxford: Oxford University Press, 2019</w:t>
      </w:r>
      <w:r w:rsidR="0034635C">
        <w:rPr>
          <w:rFonts w:ascii="Franklin Gothic Book" w:hAnsi="Franklin Gothic Book"/>
          <w:sz w:val="24"/>
          <w:szCs w:val="24"/>
        </w:rPr>
        <w:t>), p. 189.</w:t>
      </w:r>
    </w:p>
  </w:endnote>
  <w:endnote w:id="44">
    <w:p w14:paraId="6065A405"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Aristotle Kallis, ‘Fascism and the Right in Interwar Europe: Interaction, Entanglement, Hybridity’, in Nicholas Doumanis (Ed.), </w:t>
      </w:r>
      <w:r w:rsidRPr="000C708D">
        <w:rPr>
          <w:rFonts w:ascii="Franklin Gothic Book" w:hAnsi="Franklin Gothic Book" w:cs="Times New Roman"/>
          <w:i/>
          <w:color w:val="000000" w:themeColor="text1"/>
          <w:sz w:val="24"/>
          <w:szCs w:val="24"/>
        </w:rPr>
        <w:t>The Oxford Handbook of European History, 1914-1945</w:t>
      </w:r>
      <w:r w:rsidRPr="000C708D">
        <w:rPr>
          <w:rFonts w:ascii="Franklin Gothic Book" w:hAnsi="Franklin Gothic Book" w:cs="Times New Roman"/>
          <w:color w:val="000000" w:themeColor="text1"/>
          <w:sz w:val="24"/>
          <w:szCs w:val="24"/>
        </w:rPr>
        <w:t xml:space="preserve"> (Oxford: Oxford University Press, 2016), pp. 301-22.</w:t>
      </w:r>
    </w:p>
  </w:endnote>
  <w:endnote w:id="45">
    <w:p w14:paraId="365230E1"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Nagy Zsolt, </w:t>
      </w:r>
      <w:r w:rsidRPr="000C708D">
        <w:rPr>
          <w:rFonts w:ascii="Franklin Gothic Book" w:hAnsi="Franklin Gothic Book" w:cs="Times New Roman"/>
          <w:i/>
          <w:color w:val="000000" w:themeColor="text1"/>
          <w:sz w:val="24"/>
          <w:szCs w:val="24"/>
        </w:rPr>
        <w:t>Great Expectations and Interwar Realities: Hungarian Cultural Diplomacy, 1918-1941</w:t>
      </w:r>
      <w:r w:rsidRPr="000C708D">
        <w:rPr>
          <w:rFonts w:ascii="Franklin Gothic Book" w:hAnsi="Franklin Gothic Book" w:cs="Times New Roman"/>
          <w:color w:val="000000" w:themeColor="text1"/>
          <w:sz w:val="24"/>
          <w:szCs w:val="24"/>
        </w:rPr>
        <w:t xml:space="preserve"> (Budapest: Central European University Press, 2017), pp. 86-7; Gabriela Goodenhooft, ‘The Romanian constitutional discourse between modernization and Europeanization</w:t>
      </w:r>
      <w:r>
        <w:rPr>
          <w:rFonts w:ascii="Franklin Gothic Book" w:hAnsi="Franklin Gothic Book" w:cs="Times New Roman"/>
          <w:color w:val="000000" w:themeColor="text1"/>
          <w:sz w:val="24"/>
          <w:szCs w:val="24"/>
        </w:rPr>
        <w:t>’</w:t>
      </w:r>
      <w:r w:rsidRPr="000C708D">
        <w:rPr>
          <w:rFonts w:ascii="Franklin Gothic Book" w:hAnsi="Franklin Gothic Book" w:cs="Times New Roman"/>
          <w:color w:val="000000" w:themeColor="text1"/>
          <w:sz w:val="24"/>
          <w:szCs w:val="24"/>
        </w:rPr>
        <w:t xml:space="preserve">, </w:t>
      </w:r>
      <w:r w:rsidRPr="000C708D">
        <w:rPr>
          <w:rFonts w:ascii="Franklin Gothic Book" w:hAnsi="Franklin Gothic Book" w:cs="Times New Roman"/>
          <w:i/>
          <w:color w:val="000000" w:themeColor="text1"/>
          <w:sz w:val="24"/>
          <w:szCs w:val="24"/>
        </w:rPr>
        <w:t>Europolity</w:t>
      </w:r>
      <w:r w:rsidRPr="000C708D">
        <w:rPr>
          <w:rFonts w:ascii="Franklin Gothic Book" w:hAnsi="Franklin Gothic Book" w:cs="Times New Roman"/>
          <w:color w:val="000000" w:themeColor="text1"/>
          <w:sz w:val="24"/>
          <w:szCs w:val="24"/>
        </w:rPr>
        <w:t>, 9/1 (2015), pp. 65-87.</w:t>
      </w:r>
    </w:p>
  </w:endnote>
  <w:endnote w:id="46">
    <w:p w14:paraId="0A2A0926" w14:textId="77777777" w:rsidR="008F1E5D" w:rsidRPr="000C708D" w:rsidRDefault="008F1E5D" w:rsidP="002C3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Lines="80" w:after="192" w:line="320" w:lineRule="exact"/>
        <w:rPr>
          <w:rFonts w:ascii="Franklin Gothic Book" w:eastAsiaTheme="minorEastAsia" w:hAnsi="Franklin Gothic Book" w:cs="Times New Roman"/>
          <w:color w:val="000000" w:themeColor="text1"/>
          <w:lang w:eastAsia="it-IT"/>
        </w:rPr>
      </w:pPr>
      <w:r w:rsidRPr="000C708D">
        <w:rPr>
          <w:rStyle w:val="EndnoteReference"/>
          <w:rFonts w:ascii="Franklin Gothic Book" w:hAnsi="Franklin Gothic Book" w:cs="Times New Roman"/>
          <w:color w:val="000000" w:themeColor="text1"/>
        </w:rPr>
        <w:endnoteRef/>
      </w:r>
      <w:r w:rsidRPr="000C708D">
        <w:rPr>
          <w:rFonts w:ascii="Franklin Gothic Book" w:hAnsi="Franklin Gothic Book" w:cs="Times New Roman"/>
          <w:color w:val="000000" w:themeColor="text1"/>
        </w:rPr>
        <w:t xml:space="preserve"> </w:t>
      </w:r>
      <w:r w:rsidRPr="000C708D">
        <w:rPr>
          <w:rFonts w:ascii="Franklin Gothic Book" w:eastAsiaTheme="minorEastAsia" w:hAnsi="Franklin Gothic Book" w:cs="Times New Roman"/>
          <w:color w:val="000000" w:themeColor="text1"/>
          <w:lang w:eastAsia="it-IT"/>
        </w:rPr>
        <w:t xml:space="preserve">Loredana-Maria Ilin-Grozoiu, ‘Principles and Regulations Stipulated in the Constitution From 1923’, </w:t>
      </w:r>
      <w:r w:rsidRPr="000C708D">
        <w:rPr>
          <w:rFonts w:ascii="Franklin Gothic Book" w:eastAsiaTheme="minorEastAsia" w:hAnsi="Franklin Gothic Book" w:cs="Times New Roman"/>
          <w:i/>
          <w:iCs/>
          <w:color w:val="000000" w:themeColor="text1"/>
          <w:lang w:eastAsia="it-IT"/>
        </w:rPr>
        <w:t>Revista de Stiinte Politice</w:t>
      </w:r>
      <w:r w:rsidRPr="000C708D">
        <w:rPr>
          <w:rFonts w:ascii="Franklin Gothic Book" w:eastAsiaTheme="minorEastAsia" w:hAnsi="Franklin Gothic Book" w:cs="Times New Roman"/>
          <w:color w:val="000000" w:themeColor="text1"/>
          <w:lang w:eastAsia="it-IT"/>
        </w:rPr>
        <w:t>, 51 (2016): 84</w:t>
      </w:r>
      <w:r w:rsidRPr="000C708D">
        <w:rPr>
          <w:rFonts w:ascii="Franklin Gothic Book" w:hAnsi="Franklin Gothic Book" w:cs="Times New Roman"/>
          <w:color w:val="000000" w:themeColor="text1"/>
        </w:rPr>
        <w:t xml:space="preserve">; Radu Ioanid, ‘Nicolae Iorga and Fascism’, </w:t>
      </w:r>
      <w:r w:rsidRPr="000C708D">
        <w:rPr>
          <w:rFonts w:ascii="Franklin Gothic Book" w:hAnsi="Franklin Gothic Book" w:cs="Times New Roman"/>
          <w:i/>
          <w:color w:val="000000" w:themeColor="text1"/>
        </w:rPr>
        <w:t xml:space="preserve">Journal of Contemporary History, </w:t>
      </w:r>
      <w:r w:rsidRPr="000C708D">
        <w:rPr>
          <w:rFonts w:ascii="Franklin Gothic Book" w:hAnsi="Franklin Gothic Book" w:cs="Times New Roman"/>
          <w:color w:val="000000" w:themeColor="text1"/>
        </w:rPr>
        <w:t>27 (1992)</w:t>
      </w:r>
      <w:r w:rsidRPr="000C708D">
        <w:rPr>
          <w:rFonts w:ascii="Franklin Gothic Book" w:hAnsi="Franklin Gothic Book" w:cs="Times New Roman"/>
          <w:i/>
          <w:color w:val="000000" w:themeColor="text1"/>
        </w:rPr>
        <w:t xml:space="preserve">, </w:t>
      </w:r>
      <w:r w:rsidRPr="000C708D">
        <w:rPr>
          <w:rFonts w:ascii="Franklin Gothic Book" w:hAnsi="Franklin Gothic Book" w:cs="Times New Roman"/>
          <w:color w:val="000000" w:themeColor="text1"/>
        </w:rPr>
        <w:t>pp. 467-92.</w:t>
      </w:r>
    </w:p>
  </w:endnote>
  <w:endnote w:id="47">
    <w:p w14:paraId="09ADAF61"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John Agnew, ‘Sovereignty Regimes: Territoriality and State Authority in Contemporary World Politics’, </w:t>
      </w:r>
      <w:r w:rsidRPr="000C708D">
        <w:rPr>
          <w:rFonts w:ascii="Franklin Gothic Book" w:hAnsi="Franklin Gothic Book" w:cs="Times New Roman"/>
          <w:i/>
          <w:color w:val="000000" w:themeColor="text1"/>
          <w:sz w:val="24"/>
          <w:szCs w:val="24"/>
        </w:rPr>
        <w:t xml:space="preserve">Annals of the Association of American Geographers, </w:t>
      </w:r>
      <w:r w:rsidRPr="000C708D">
        <w:rPr>
          <w:rFonts w:ascii="Franklin Gothic Book" w:hAnsi="Franklin Gothic Book" w:cs="Times New Roman"/>
          <w:color w:val="000000" w:themeColor="text1"/>
          <w:sz w:val="24"/>
          <w:szCs w:val="24"/>
        </w:rPr>
        <w:t>95 (2005)</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437-461.</w:t>
      </w:r>
    </w:p>
  </w:endnote>
  <w:endnote w:id="48">
    <w:p w14:paraId="672DD508"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R. Chris Davis, </w:t>
      </w:r>
      <w:r w:rsidRPr="000C708D">
        <w:rPr>
          <w:rFonts w:ascii="Franklin Gothic Book" w:hAnsi="Franklin Gothic Book" w:cs="Times New Roman"/>
          <w:i/>
          <w:color w:val="000000" w:themeColor="text1"/>
          <w:sz w:val="24"/>
          <w:szCs w:val="24"/>
        </w:rPr>
        <w:t>Hungarian Religion, Romanian Blood: A Minority’s Struggle for National Belonging, 1920-1945</w:t>
      </w:r>
      <w:r w:rsidRPr="000C708D">
        <w:rPr>
          <w:rFonts w:ascii="Franklin Gothic Book" w:hAnsi="Franklin Gothic Book" w:cs="Times New Roman"/>
          <w:color w:val="000000" w:themeColor="text1"/>
          <w:sz w:val="24"/>
          <w:szCs w:val="24"/>
        </w:rPr>
        <w:t xml:space="preserve"> (Madison WI: University of Wisconsin Press, 2018), pp. 87-114.</w:t>
      </w:r>
    </w:p>
  </w:endnote>
  <w:endnote w:id="49">
    <w:p w14:paraId="645287F8"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Diana Dumitru, </w:t>
      </w:r>
      <w:r w:rsidRPr="000C708D">
        <w:rPr>
          <w:rFonts w:ascii="Franklin Gothic Book" w:hAnsi="Franklin Gothic Book" w:cs="Times New Roman"/>
          <w:i/>
          <w:color w:val="000000" w:themeColor="text1"/>
          <w:sz w:val="24"/>
          <w:szCs w:val="24"/>
        </w:rPr>
        <w:t>The State, Antisemitism, and Collaboration in the Holocaust: The Borderlands of Romania and the Soviet Union</w:t>
      </w:r>
      <w:r w:rsidRPr="000C708D">
        <w:rPr>
          <w:rFonts w:ascii="Franklin Gothic Book" w:hAnsi="Franklin Gothic Book" w:cs="Times New Roman"/>
          <w:color w:val="000000" w:themeColor="text1"/>
          <w:sz w:val="24"/>
          <w:szCs w:val="24"/>
        </w:rPr>
        <w:t xml:space="preserve"> Cambridge University Press, 2016), p. 56.</w:t>
      </w:r>
    </w:p>
  </w:endnote>
  <w:endnote w:id="50">
    <w:p w14:paraId="4D371CCB"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I. C. Butnaru, </w:t>
      </w:r>
      <w:r w:rsidRPr="000C708D">
        <w:rPr>
          <w:rFonts w:ascii="Franklin Gothic Book" w:hAnsi="Franklin Gothic Book" w:cs="Times New Roman"/>
          <w:i/>
          <w:iCs/>
          <w:color w:val="000000" w:themeColor="text1"/>
          <w:sz w:val="24"/>
          <w:szCs w:val="24"/>
        </w:rPr>
        <w:t>The Silent Holocaust: Romania and Its Jews</w:t>
      </w:r>
      <w:r w:rsidRPr="000C708D">
        <w:rPr>
          <w:rFonts w:ascii="Franklin Gothic Book" w:hAnsi="Franklin Gothic Book" w:cs="Times New Roman"/>
          <w:color w:val="000000" w:themeColor="text1"/>
          <w:sz w:val="24"/>
          <w:szCs w:val="24"/>
        </w:rPr>
        <w:t xml:space="preserve"> (New York, Westport, and London: Greenwood Press, 1992), p. 33.</w:t>
      </w:r>
    </w:p>
  </w:endnote>
  <w:endnote w:id="51">
    <w:p w14:paraId="56588092"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Irina Livezeanu, </w:t>
      </w:r>
      <w:r w:rsidRPr="000C708D">
        <w:rPr>
          <w:rFonts w:ascii="Franklin Gothic Book" w:hAnsi="Franklin Gothic Book" w:cs="Times New Roman"/>
          <w:i/>
          <w:color w:val="000000" w:themeColor="text1"/>
          <w:sz w:val="24"/>
          <w:szCs w:val="24"/>
        </w:rPr>
        <w:t>Cultural Politics in Greater Romania: Regionalism, Nation Building &amp; Ethnic Struggle, 1918-1930</w:t>
      </w:r>
      <w:r w:rsidRPr="000C708D">
        <w:rPr>
          <w:rFonts w:ascii="Franklin Gothic Book" w:hAnsi="Franklin Gothic Book" w:cs="Times New Roman"/>
          <w:color w:val="000000" w:themeColor="text1"/>
          <w:sz w:val="24"/>
          <w:szCs w:val="24"/>
        </w:rPr>
        <w:t xml:space="preserve"> (Ithaca NY: Cornell University Press, 2000), pp. 211-96; Henry Eaton, </w:t>
      </w:r>
      <w:r w:rsidRPr="000C708D">
        <w:rPr>
          <w:rFonts w:ascii="Franklin Gothic Book" w:hAnsi="Franklin Gothic Book" w:cs="Times New Roman"/>
          <w:i/>
          <w:color w:val="000000" w:themeColor="text1"/>
          <w:sz w:val="24"/>
          <w:szCs w:val="24"/>
        </w:rPr>
        <w:t>The Origins and Onset of the Romanian Holocaust</w:t>
      </w:r>
      <w:r w:rsidRPr="000C708D">
        <w:rPr>
          <w:rFonts w:ascii="Franklin Gothic Book" w:hAnsi="Franklin Gothic Book" w:cs="Times New Roman"/>
          <w:color w:val="000000" w:themeColor="text1"/>
          <w:sz w:val="24"/>
          <w:szCs w:val="24"/>
        </w:rPr>
        <w:t xml:space="preserve"> (Detroit MI: Wayne State University Press, 2013), pp. 55-8.</w:t>
      </w:r>
    </w:p>
  </w:endnote>
  <w:endnote w:id="52">
    <w:p w14:paraId="1C493F4D"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Raul C</w:t>
      </w:r>
      <w:r w:rsidRPr="000C708D">
        <w:rPr>
          <w:rFonts w:ascii="Franklin Gothic Book" w:eastAsia="Times New Roman" w:hAnsi="Franklin Gothic Book" w:cs="Times New Roman"/>
          <w:color w:val="000000" w:themeColor="text1"/>
          <w:sz w:val="24"/>
          <w:szCs w:val="24"/>
        </w:rPr>
        <w:t>â</w:t>
      </w:r>
      <w:r w:rsidRPr="000C708D">
        <w:rPr>
          <w:rFonts w:ascii="Franklin Gothic Book" w:hAnsi="Franklin Gothic Book" w:cs="Times New Roman"/>
          <w:color w:val="000000" w:themeColor="text1"/>
          <w:sz w:val="24"/>
          <w:szCs w:val="24"/>
        </w:rPr>
        <w:t xml:space="preserve">rstocea, ‘Anti-semitism in Romania: historical legacies, contemporary challenges’, ECMI Working Paper #81 (October 2014), p. 11; William Brustein, </w:t>
      </w:r>
      <w:r w:rsidRPr="000C708D">
        <w:rPr>
          <w:rFonts w:ascii="Franklin Gothic Book" w:hAnsi="Franklin Gothic Book" w:cs="Times New Roman"/>
          <w:i/>
          <w:color w:val="000000" w:themeColor="text1"/>
          <w:sz w:val="24"/>
          <w:szCs w:val="24"/>
        </w:rPr>
        <w:t>Roots of Hate: Anti-Semitism in Europe Before the Holocaust</w:t>
      </w:r>
      <w:r w:rsidRPr="000C708D">
        <w:rPr>
          <w:rFonts w:ascii="Franklin Gothic Book" w:hAnsi="Franklin Gothic Book" w:cs="Times New Roman"/>
          <w:color w:val="000000" w:themeColor="text1"/>
          <w:sz w:val="24"/>
          <w:szCs w:val="24"/>
        </w:rPr>
        <w:t xml:space="preserve"> (Cambridge: Cambridge University Press, 2003), pp. 155-60.</w:t>
      </w:r>
    </w:p>
  </w:endnote>
  <w:endnote w:id="53">
    <w:p w14:paraId="410E33C8"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Yoav Peled, ‘The viability of ethnic democracy: Jewish citizens in inter-war Poland and Palestinian citizens in Israel’, </w:t>
      </w:r>
      <w:r w:rsidRPr="000C708D">
        <w:rPr>
          <w:rFonts w:ascii="Franklin Gothic Book" w:hAnsi="Franklin Gothic Book" w:cs="Times New Roman"/>
          <w:i/>
          <w:color w:val="000000" w:themeColor="text1"/>
          <w:sz w:val="24"/>
          <w:szCs w:val="24"/>
        </w:rPr>
        <w:t xml:space="preserve">Ethnic and Racial Studies, </w:t>
      </w:r>
      <w:r w:rsidRPr="000C708D">
        <w:rPr>
          <w:rFonts w:ascii="Franklin Gothic Book" w:hAnsi="Franklin Gothic Book" w:cs="Times New Roman"/>
          <w:color w:val="000000" w:themeColor="text1"/>
          <w:sz w:val="24"/>
          <w:szCs w:val="24"/>
        </w:rPr>
        <w:t>34 (2011)</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83-102.</w:t>
      </w:r>
    </w:p>
  </w:endnote>
  <w:endnote w:id="54">
    <w:p w14:paraId="58E54C15"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Bryant Larson, </w:t>
      </w:r>
      <w:r w:rsidRPr="000C708D">
        <w:rPr>
          <w:rFonts w:ascii="Franklin Gothic Book" w:hAnsi="Franklin Gothic Book" w:cs="Times New Roman"/>
          <w:i/>
          <w:color w:val="000000" w:themeColor="text1"/>
          <w:sz w:val="24"/>
          <w:szCs w:val="24"/>
        </w:rPr>
        <w:t>The minorities of Czechoslovakia and Poland: of treaties and human nature</w:t>
      </w:r>
      <w:r w:rsidRPr="000C708D">
        <w:rPr>
          <w:rFonts w:ascii="Franklin Gothic Book" w:hAnsi="Franklin Gothic Book" w:cs="Times New Roman"/>
          <w:color w:val="000000" w:themeColor="text1"/>
          <w:sz w:val="24"/>
          <w:szCs w:val="24"/>
        </w:rPr>
        <w:t>, dissertation (Portland State University Library, 1978), pp. 64-72.</w:t>
      </w:r>
    </w:p>
  </w:endnote>
  <w:endnote w:id="55">
    <w:p w14:paraId="6FA4A5F5"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Celia Stopnicka Heller, </w:t>
      </w:r>
      <w:r w:rsidRPr="000C708D">
        <w:rPr>
          <w:rFonts w:ascii="Franklin Gothic Book" w:hAnsi="Franklin Gothic Book" w:cs="Times New Roman"/>
          <w:i/>
          <w:color w:val="000000" w:themeColor="text1"/>
          <w:sz w:val="24"/>
          <w:szCs w:val="24"/>
        </w:rPr>
        <w:t>On the Edge of Destruction: Jews of Poland Between the Two World Wars</w:t>
      </w:r>
      <w:r w:rsidRPr="000C708D">
        <w:rPr>
          <w:rFonts w:ascii="Franklin Gothic Book" w:hAnsi="Franklin Gothic Book" w:cs="Times New Roman"/>
          <w:color w:val="000000" w:themeColor="text1"/>
          <w:sz w:val="24"/>
          <w:szCs w:val="24"/>
        </w:rPr>
        <w:t xml:space="preserve"> (Detroit MI: Wayne State University Press, 1994), pp. 83-7.</w:t>
      </w:r>
    </w:p>
  </w:endnote>
  <w:endnote w:id="56">
    <w:p w14:paraId="1A7F8A2A"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 xml:space="preserve">Carole Fink, </w:t>
      </w:r>
      <w:r w:rsidRPr="000C708D">
        <w:rPr>
          <w:rFonts w:ascii="Franklin Gothic Book" w:hAnsi="Franklin Gothic Book" w:cs="Times New Roman"/>
          <w:i/>
          <w:color w:val="000000" w:themeColor="text1"/>
          <w:sz w:val="24"/>
          <w:szCs w:val="24"/>
        </w:rPr>
        <w:t>Defending the Rights of Others: The Great Powers, the Jews, and International Minority Protection, 1878-1938</w:t>
      </w:r>
      <w:r w:rsidRPr="000C708D">
        <w:rPr>
          <w:rFonts w:ascii="Franklin Gothic Book" w:hAnsi="Franklin Gothic Book" w:cs="Times New Roman"/>
          <w:color w:val="000000" w:themeColor="text1"/>
          <w:sz w:val="24"/>
          <w:szCs w:val="24"/>
        </w:rPr>
        <w:t xml:space="preserve"> (Cambridge: Cambridge University Press, 2006), pp. 291-2.</w:t>
      </w:r>
    </w:p>
  </w:endnote>
  <w:endnote w:id="57">
    <w:p w14:paraId="29E41EF0"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Zsolt Nagy, ‘The numerus clausus in interwar Hungary’, </w:t>
      </w:r>
      <w:r w:rsidRPr="000C708D">
        <w:rPr>
          <w:rFonts w:ascii="Franklin Gothic Book" w:hAnsi="Franklin Gothic Book" w:cs="Times New Roman"/>
          <w:i/>
          <w:color w:val="000000" w:themeColor="text1"/>
          <w:sz w:val="24"/>
          <w:szCs w:val="24"/>
        </w:rPr>
        <w:t xml:space="preserve">East European Jewish Affairs, </w:t>
      </w:r>
      <w:r w:rsidRPr="000C708D">
        <w:rPr>
          <w:rFonts w:ascii="Franklin Gothic Book" w:hAnsi="Franklin Gothic Book" w:cs="Times New Roman"/>
          <w:color w:val="000000" w:themeColor="text1"/>
          <w:sz w:val="24"/>
          <w:szCs w:val="24"/>
        </w:rPr>
        <w:t>35 (2005)</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13-22.</w:t>
      </w:r>
    </w:p>
  </w:endnote>
  <w:endnote w:id="58">
    <w:p w14:paraId="2F83A113"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Bernard Klein, ‘Hungarian Politics and the Jewish Question in the 1930s’, in Herbert A. Strauss ((Ed.), </w:t>
      </w:r>
      <w:r w:rsidRPr="000C708D">
        <w:rPr>
          <w:rFonts w:ascii="Franklin Gothic Book" w:hAnsi="Franklin Gothic Book" w:cs="Times New Roman"/>
          <w:i/>
          <w:color w:val="000000" w:themeColor="text1"/>
          <w:sz w:val="24"/>
          <w:szCs w:val="24"/>
        </w:rPr>
        <w:t>Hostages of Modernization: 2. Austria - Hungary - Poland - Russia</w:t>
      </w:r>
      <w:r w:rsidRPr="000C708D">
        <w:rPr>
          <w:rFonts w:ascii="Franklin Gothic Book" w:hAnsi="Franklin Gothic Book" w:cs="Times New Roman"/>
          <w:color w:val="000000" w:themeColor="text1"/>
          <w:sz w:val="24"/>
          <w:szCs w:val="24"/>
        </w:rPr>
        <w:t xml:space="preserve"> (Berlin and New York: De Gruyter, 1993), pp. 925-6.</w:t>
      </w:r>
    </w:p>
  </w:endnote>
  <w:endnote w:id="59">
    <w:p w14:paraId="67C71F1B"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Mária M. Kovács, ‘The ambiguities of external minority protection’, </w:t>
      </w:r>
      <w:r w:rsidRPr="000C708D">
        <w:rPr>
          <w:rFonts w:ascii="Franklin Gothic Book" w:hAnsi="Franklin Gothic Book" w:cs="Times New Roman"/>
          <w:i/>
          <w:color w:val="000000" w:themeColor="text1"/>
          <w:sz w:val="24"/>
          <w:szCs w:val="24"/>
        </w:rPr>
        <w:t>East European Jewish Affairs</w:t>
      </w:r>
      <w:r w:rsidRPr="000C708D">
        <w:rPr>
          <w:rFonts w:ascii="Franklin Gothic Book" w:hAnsi="Franklin Gothic Book" w:cs="Times New Roman"/>
          <w:color w:val="000000" w:themeColor="text1"/>
          <w:sz w:val="24"/>
          <w:szCs w:val="24"/>
        </w:rPr>
        <w:t>, 36/1 (2006), pp. 43-8.</w:t>
      </w:r>
    </w:p>
  </w:endnote>
  <w:endnote w:id="60">
    <w:p w14:paraId="5D013A67"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w:t>
      </w:r>
      <w:r w:rsidRPr="00D857D2">
        <w:rPr>
          <w:rFonts w:ascii="Franklin Gothic Book" w:hAnsi="Franklin Gothic Book" w:cs="Times New Roman"/>
          <w:color w:val="000000" w:themeColor="text1"/>
          <w:sz w:val="24"/>
          <w:szCs w:val="24"/>
        </w:rPr>
        <w:t>Mark Mazower, ‘</w:t>
      </w:r>
      <w:r w:rsidRPr="000C708D">
        <w:rPr>
          <w:rFonts w:ascii="Franklin Gothic Book" w:hAnsi="Franklin Gothic Book" w:cs="Times New Roman"/>
          <w:color w:val="000000" w:themeColor="text1"/>
          <w:sz w:val="24"/>
          <w:szCs w:val="24"/>
        </w:rPr>
        <w:t xml:space="preserve">Minorities and the League of Nations in Interwar Europe’, </w:t>
      </w:r>
      <w:r w:rsidRPr="000C708D">
        <w:rPr>
          <w:rFonts w:ascii="Franklin Gothic Book" w:hAnsi="Franklin Gothic Book" w:cs="Times New Roman"/>
          <w:i/>
          <w:color w:val="000000" w:themeColor="text1"/>
          <w:sz w:val="24"/>
          <w:szCs w:val="24"/>
        </w:rPr>
        <w:t xml:space="preserve">Daedalus, </w:t>
      </w:r>
      <w:r w:rsidRPr="000C708D">
        <w:rPr>
          <w:rFonts w:ascii="Franklin Gothic Book" w:hAnsi="Franklin Gothic Book" w:cs="Times New Roman"/>
          <w:color w:val="000000" w:themeColor="text1"/>
          <w:sz w:val="24"/>
          <w:szCs w:val="24"/>
        </w:rPr>
        <w:t>pp. 47-63.</w:t>
      </w:r>
    </w:p>
  </w:endnote>
  <w:endnote w:id="61">
    <w:p w14:paraId="132A7B54"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Anna M. Cienciala, ‘The foreign policy of Josef Pilsudski and Josef Beck, 1926-1939: misconceptions and interpretations’, </w:t>
      </w:r>
      <w:r w:rsidRPr="000C708D">
        <w:rPr>
          <w:rFonts w:ascii="Franklin Gothic Book" w:hAnsi="Franklin Gothic Book" w:cs="Times New Roman"/>
          <w:i/>
          <w:color w:val="000000" w:themeColor="text1"/>
          <w:sz w:val="24"/>
          <w:szCs w:val="24"/>
        </w:rPr>
        <w:t xml:space="preserve">The Polish Review, </w:t>
      </w:r>
      <w:r w:rsidRPr="000C708D">
        <w:rPr>
          <w:rFonts w:ascii="Franklin Gothic Book" w:hAnsi="Franklin Gothic Book" w:cs="Times New Roman"/>
          <w:color w:val="000000" w:themeColor="text1"/>
          <w:sz w:val="24"/>
          <w:szCs w:val="24"/>
        </w:rPr>
        <w:t>56/1-2 (2011)</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111-151.</w:t>
      </w:r>
    </w:p>
  </w:endnote>
  <w:endnote w:id="62">
    <w:p w14:paraId="5FCA0D4C"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Ezra Mendelsohn, </w:t>
      </w:r>
      <w:r w:rsidRPr="000C708D">
        <w:rPr>
          <w:rFonts w:ascii="Franklin Gothic Book" w:hAnsi="Franklin Gothic Book" w:cs="Times New Roman"/>
          <w:i/>
          <w:color w:val="000000" w:themeColor="text1"/>
          <w:sz w:val="24"/>
          <w:szCs w:val="24"/>
        </w:rPr>
        <w:t>The Jews of East Central Europe Between the World Wars</w:t>
      </w:r>
      <w:r w:rsidRPr="000C708D">
        <w:rPr>
          <w:rFonts w:ascii="Franklin Gothic Book" w:hAnsi="Franklin Gothic Book" w:cs="Times New Roman"/>
          <w:color w:val="000000" w:themeColor="text1"/>
          <w:sz w:val="24"/>
          <w:szCs w:val="24"/>
        </w:rPr>
        <w:t xml:space="preserve"> (Bloomington IN: Indiana University Press, 1987), pp. 206-07.</w:t>
      </w:r>
    </w:p>
  </w:endnote>
  <w:endnote w:id="63">
    <w:p w14:paraId="656CF6E5"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Maria Kovács, ‘The problem of continuity between the 1920 numerus clausus and post-1938 anti-Jewish legislation in Hungary’, </w:t>
      </w:r>
      <w:r w:rsidRPr="000C708D">
        <w:rPr>
          <w:rFonts w:ascii="Franklin Gothic Book" w:hAnsi="Franklin Gothic Book" w:cs="Times New Roman"/>
          <w:i/>
          <w:color w:val="000000" w:themeColor="text1"/>
          <w:sz w:val="24"/>
          <w:szCs w:val="24"/>
        </w:rPr>
        <w:t xml:space="preserve">East European Jewish Affairs, </w:t>
      </w:r>
      <w:r w:rsidRPr="000C708D">
        <w:rPr>
          <w:rFonts w:ascii="Franklin Gothic Book" w:hAnsi="Franklin Gothic Book" w:cs="Times New Roman"/>
          <w:color w:val="000000" w:themeColor="text1"/>
          <w:sz w:val="24"/>
          <w:szCs w:val="24"/>
        </w:rPr>
        <w:t>35/1 (2005)</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 xml:space="preserve">pp. 23-32; Kallis, </w:t>
      </w:r>
      <w:r w:rsidRPr="000C708D">
        <w:rPr>
          <w:rFonts w:ascii="Franklin Gothic Book" w:hAnsi="Franklin Gothic Book" w:cs="Times New Roman"/>
          <w:i/>
          <w:color w:val="000000" w:themeColor="text1"/>
          <w:sz w:val="24"/>
          <w:szCs w:val="24"/>
        </w:rPr>
        <w:t>op. cit.</w:t>
      </w:r>
      <w:r w:rsidRPr="000C708D">
        <w:rPr>
          <w:rFonts w:ascii="Franklin Gothic Book" w:hAnsi="Franklin Gothic Book" w:cs="Times New Roman"/>
          <w:color w:val="000000" w:themeColor="text1"/>
          <w:sz w:val="24"/>
          <w:szCs w:val="24"/>
        </w:rPr>
        <w:t xml:space="preserve">, Ref. </w:t>
      </w:r>
      <w:r w:rsidRPr="000C708D">
        <w:rPr>
          <w:rFonts w:ascii="Franklin Gothic Book" w:hAnsi="Franklin Gothic Book" w:cs="Times New Roman"/>
          <w:color w:val="000000" w:themeColor="text1"/>
          <w:sz w:val="24"/>
          <w:szCs w:val="24"/>
        </w:rPr>
        <w:fldChar w:fldCharType="begin"/>
      </w:r>
      <w:r w:rsidRPr="000C708D">
        <w:rPr>
          <w:rFonts w:ascii="Franklin Gothic Book" w:hAnsi="Franklin Gothic Book" w:cs="Times New Roman"/>
          <w:color w:val="000000" w:themeColor="text1"/>
          <w:sz w:val="24"/>
          <w:szCs w:val="24"/>
        </w:rPr>
        <w:instrText xml:space="preserve"> NOTEREF _Ref2773994 \h  \* MERGEFORMAT </w:instrText>
      </w:r>
      <w:r w:rsidRPr="000C708D">
        <w:rPr>
          <w:rFonts w:ascii="Franklin Gothic Book" w:hAnsi="Franklin Gothic Book" w:cs="Times New Roman"/>
          <w:color w:val="000000" w:themeColor="text1"/>
          <w:sz w:val="24"/>
          <w:szCs w:val="24"/>
        </w:rPr>
      </w:r>
      <w:r w:rsidRPr="000C708D">
        <w:rPr>
          <w:rFonts w:ascii="Franklin Gothic Book" w:hAnsi="Franklin Gothic Book" w:cs="Times New Roman"/>
          <w:color w:val="000000" w:themeColor="text1"/>
          <w:sz w:val="24"/>
          <w:szCs w:val="24"/>
        </w:rPr>
        <w:fldChar w:fldCharType="separate"/>
      </w:r>
      <w:r w:rsidRPr="000C708D">
        <w:rPr>
          <w:rFonts w:ascii="Franklin Gothic Book" w:hAnsi="Franklin Gothic Book" w:cs="Times New Roman"/>
          <w:color w:val="000000" w:themeColor="text1"/>
          <w:sz w:val="24"/>
          <w:szCs w:val="24"/>
        </w:rPr>
        <w:t>5</w:t>
      </w:r>
      <w:r w:rsidRPr="000C708D">
        <w:rPr>
          <w:rFonts w:ascii="Franklin Gothic Book" w:hAnsi="Franklin Gothic Book" w:cs="Times New Roman"/>
          <w:color w:val="000000" w:themeColor="text1"/>
          <w:sz w:val="24"/>
          <w:szCs w:val="24"/>
        </w:rPr>
        <w:fldChar w:fldCharType="end"/>
      </w:r>
      <w:r w:rsidRPr="000C708D">
        <w:rPr>
          <w:rFonts w:ascii="Franklin Gothic Book" w:hAnsi="Franklin Gothic Book" w:cs="Times New Roman"/>
          <w:color w:val="000000" w:themeColor="text1"/>
          <w:sz w:val="24"/>
          <w:szCs w:val="24"/>
        </w:rPr>
        <w:t>, pp. 217-20.</w:t>
      </w:r>
    </w:p>
  </w:endnote>
  <w:endnote w:id="64">
    <w:p w14:paraId="2048AAAD"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Sigmund Freud, </w:t>
      </w:r>
      <w:r w:rsidRPr="000C708D">
        <w:rPr>
          <w:rFonts w:ascii="Franklin Gothic Book" w:hAnsi="Franklin Gothic Book" w:cs="Times New Roman"/>
          <w:i/>
          <w:color w:val="000000" w:themeColor="text1"/>
          <w:sz w:val="24"/>
          <w:szCs w:val="24"/>
        </w:rPr>
        <w:t>Totem and Taboo</w:t>
      </w:r>
      <w:r w:rsidRPr="000C708D">
        <w:rPr>
          <w:rFonts w:ascii="Franklin Gothic Book" w:hAnsi="Franklin Gothic Book" w:cs="Times New Roman"/>
          <w:color w:val="000000" w:themeColor="text1"/>
          <w:sz w:val="24"/>
          <w:szCs w:val="24"/>
        </w:rPr>
        <w:t xml:space="preserve"> (Mineola NY: Dover Publications, 2018), pp. 1-15.</w:t>
      </w:r>
    </w:p>
  </w:endnote>
  <w:endnote w:id="65">
    <w:p w14:paraId="1EC86F83"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M. M. Chambers, ‘When is a Moral Taboo Really Formidable’, </w:t>
      </w:r>
      <w:r w:rsidRPr="000C708D">
        <w:rPr>
          <w:rFonts w:ascii="Franklin Gothic Book" w:hAnsi="Franklin Gothic Book" w:cs="Times New Roman"/>
          <w:i/>
          <w:color w:val="000000" w:themeColor="text1"/>
          <w:sz w:val="24"/>
          <w:szCs w:val="24"/>
        </w:rPr>
        <w:t xml:space="preserve">The Journal of Educational Sociology, </w:t>
      </w:r>
      <w:r w:rsidRPr="000C708D">
        <w:rPr>
          <w:rFonts w:ascii="Franklin Gothic Book" w:hAnsi="Franklin Gothic Book" w:cs="Times New Roman"/>
          <w:color w:val="000000" w:themeColor="text1"/>
          <w:sz w:val="24"/>
          <w:szCs w:val="24"/>
        </w:rPr>
        <w:t>33/8 (1960)</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 342.</w:t>
      </w:r>
    </w:p>
  </w:endnote>
  <w:endnote w:id="66">
    <w:p w14:paraId="0A6AC511"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Daniel M. T. Fessler, Carlos C. Navarrete, ‘Meat is Good to Taboo: Dietary Proscriptions as a Product of the Interaction of Psychological Mechanisms and Social Processes’, </w:t>
      </w:r>
      <w:r w:rsidRPr="000C708D">
        <w:rPr>
          <w:rFonts w:ascii="Franklin Gothic Book" w:hAnsi="Franklin Gothic Book" w:cs="Times New Roman"/>
          <w:i/>
          <w:color w:val="000000" w:themeColor="text1"/>
          <w:sz w:val="24"/>
          <w:szCs w:val="24"/>
        </w:rPr>
        <w:t>Journal of Cognition and Culture</w:t>
      </w:r>
      <w:r w:rsidRPr="000C708D">
        <w:rPr>
          <w:rFonts w:ascii="Franklin Gothic Book" w:hAnsi="Franklin Gothic Book" w:cs="Times New Roman"/>
          <w:color w:val="000000" w:themeColor="text1"/>
          <w:sz w:val="24"/>
          <w:szCs w:val="24"/>
        </w:rPr>
        <w:t>, 3/1 (2003), pp. 1-40.</w:t>
      </w:r>
    </w:p>
  </w:endnote>
  <w:endnote w:id="67">
    <w:p w14:paraId="3D16D3CD"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Chaim Fershtman, Uri Gneezy, Moshe Hoffman, ‘Taboos and identity: Considering the unthinkable’, </w:t>
      </w:r>
      <w:r w:rsidRPr="000C708D">
        <w:rPr>
          <w:rFonts w:ascii="Franklin Gothic Book" w:hAnsi="Franklin Gothic Book" w:cs="Times New Roman"/>
          <w:i/>
          <w:color w:val="000000" w:themeColor="text1"/>
          <w:sz w:val="24"/>
          <w:szCs w:val="24"/>
        </w:rPr>
        <w:t xml:space="preserve">American Economic Journal: Microeconomics, </w:t>
      </w:r>
      <w:r w:rsidRPr="000C708D">
        <w:rPr>
          <w:rFonts w:ascii="Franklin Gothic Book" w:hAnsi="Franklin Gothic Book" w:cs="Times New Roman"/>
          <w:color w:val="000000" w:themeColor="text1"/>
          <w:sz w:val="24"/>
          <w:szCs w:val="24"/>
        </w:rPr>
        <w:t>3/2 (2011)</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1-6.</w:t>
      </w:r>
    </w:p>
  </w:endnote>
  <w:endnote w:id="68">
    <w:p w14:paraId="2FC822E9"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David J. Smith, Marina Germane, Martyn Housden, ‘‘Forgotten Europeans’: transnational minority activism in the age of European integration’, </w:t>
      </w:r>
      <w:r w:rsidRPr="000C708D">
        <w:rPr>
          <w:rFonts w:ascii="Franklin Gothic Book" w:hAnsi="Franklin Gothic Book" w:cs="Times New Roman"/>
          <w:i/>
          <w:color w:val="000000" w:themeColor="text1"/>
          <w:sz w:val="24"/>
          <w:szCs w:val="24"/>
        </w:rPr>
        <w:t xml:space="preserve">Nations and Nationalism, </w:t>
      </w:r>
      <w:r w:rsidRPr="000C708D">
        <w:rPr>
          <w:rFonts w:ascii="Franklin Gothic Book" w:hAnsi="Franklin Gothic Book" w:cs="Times New Roman"/>
          <w:color w:val="000000" w:themeColor="text1"/>
          <w:sz w:val="24"/>
          <w:szCs w:val="24"/>
        </w:rPr>
        <w:t>(15 February 2018)</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 11</w:t>
      </w:r>
      <w:r w:rsidRPr="007C3EB1">
        <w:rPr>
          <w:rFonts w:ascii="Franklin Gothic Book" w:hAnsi="Franklin Gothic Book" w:cs="Times New Roman"/>
          <w:color w:val="000000" w:themeColor="text1"/>
          <w:sz w:val="24"/>
          <w:szCs w:val="24"/>
        </w:rPr>
        <w:t xml:space="preserve">, </w:t>
      </w:r>
      <w:hyperlink r:id="rId2" w:history="1">
        <w:r w:rsidRPr="007C3EB1">
          <w:rPr>
            <w:rStyle w:val="Hyperlink"/>
            <w:rFonts w:ascii="Franklin Gothic Book" w:hAnsi="Franklin Gothic Book" w:cs="Times New Roman"/>
            <w:bCs/>
            <w:color w:val="000000" w:themeColor="text1"/>
            <w:sz w:val="24"/>
            <w:szCs w:val="24"/>
          </w:rPr>
          <w:t>https://doi.org/10.1111/nana.12401</w:t>
        </w:r>
      </w:hyperlink>
      <w:r w:rsidRPr="000C708D">
        <w:rPr>
          <w:rFonts w:ascii="Franklin Gothic Book" w:hAnsi="Franklin Gothic Book" w:cs="Times New Roman"/>
          <w:color w:val="000000" w:themeColor="text1"/>
          <w:sz w:val="24"/>
          <w:szCs w:val="24"/>
        </w:rPr>
        <w:t>.</w:t>
      </w:r>
    </w:p>
  </w:endnote>
  <w:endnote w:id="69">
    <w:p w14:paraId="2BF00A68"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Mark Mazower, ‘The strange triumph of human rights, 1933-1950’, </w:t>
      </w:r>
      <w:r w:rsidRPr="000C708D">
        <w:rPr>
          <w:rFonts w:ascii="Franklin Gothic Book" w:hAnsi="Franklin Gothic Book" w:cs="Times New Roman"/>
          <w:i/>
          <w:color w:val="000000" w:themeColor="text1"/>
          <w:sz w:val="24"/>
          <w:szCs w:val="24"/>
        </w:rPr>
        <w:t xml:space="preserve">The Historical Journal, </w:t>
      </w:r>
      <w:r w:rsidRPr="000C708D">
        <w:rPr>
          <w:rFonts w:ascii="Franklin Gothic Book" w:hAnsi="Franklin Gothic Book" w:cs="Times New Roman"/>
          <w:color w:val="000000" w:themeColor="text1"/>
          <w:sz w:val="24"/>
          <w:szCs w:val="24"/>
        </w:rPr>
        <w:t>47/2 (2004)</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379-98.</w:t>
      </w:r>
    </w:p>
  </w:endnote>
  <w:endnote w:id="70">
    <w:p w14:paraId="32CBEF61"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Thomas W. Burkman, </w:t>
      </w:r>
      <w:r w:rsidRPr="000C708D">
        <w:rPr>
          <w:rFonts w:ascii="Franklin Gothic Book" w:hAnsi="Franklin Gothic Book" w:cs="Times New Roman"/>
          <w:i/>
          <w:color w:val="000000" w:themeColor="text1"/>
          <w:sz w:val="24"/>
          <w:szCs w:val="24"/>
        </w:rPr>
        <w:t>Japan and the League of Nations: Empire and World Order, 1914-1938</w:t>
      </w:r>
      <w:r w:rsidRPr="000C708D">
        <w:rPr>
          <w:rFonts w:ascii="Franklin Gothic Book" w:hAnsi="Franklin Gothic Book" w:cs="Times New Roman"/>
          <w:color w:val="000000" w:themeColor="text1"/>
          <w:sz w:val="24"/>
          <w:szCs w:val="24"/>
        </w:rPr>
        <w:t xml:space="preserve"> (Honolulu: University of Hawai</w:t>
      </w:r>
      <w:r w:rsidRPr="000C708D">
        <w:rPr>
          <w:rFonts w:cs="Arial"/>
          <w:color w:val="000000" w:themeColor="text1"/>
          <w:sz w:val="24"/>
          <w:szCs w:val="24"/>
        </w:rPr>
        <w:t>ʻ</w:t>
      </w:r>
      <w:r w:rsidRPr="000C708D">
        <w:rPr>
          <w:rFonts w:ascii="Franklin Gothic Book" w:hAnsi="Franklin Gothic Book" w:cs="Times New Roman"/>
          <w:color w:val="000000" w:themeColor="text1"/>
          <w:sz w:val="24"/>
          <w:szCs w:val="24"/>
        </w:rPr>
        <w:t xml:space="preserve">i Press, 2008); Carole Fink, ‘Defender of Minorities: Germany in the League of Nations, 1926–1933’, </w:t>
      </w:r>
      <w:r w:rsidRPr="000C708D">
        <w:rPr>
          <w:rFonts w:ascii="Franklin Gothic Book" w:hAnsi="Franklin Gothic Book" w:cs="Times New Roman"/>
          <w:i/>
          <w:color w:val="000000" w:themeColor="text1"/>
          <w:sz w:val="24"/>
          <w:szCs w:val="24"/>
        </w:rPr>
        <w:t>Central European History</w:t>
      </w:r>
      <w:r w:rsidRPr="000C708D">
        <w:rPr>
          <w:rFonts w:ascii="Franklin Gothic Book" w:hAnsi="Franklin Gothic Book" w:cs="Times New Roman"/>
          <w:color w:val="000000" w:themeColor="text1"/>
          <w:sz w:val="24"/>
          <w:szCs w:val="24"/>
        </w:rPr>
        <w:t>, 5/4 (1972), pp. 330-57.</w:t>
      </w:r>
    </w:p>
  </w:endnote>
  <w:endnote w:id="71">
    <w:p w14:paraId="54AB2D89" w14:textId="0A4F24D9"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Fletcher, ‘Towards a theory of decivilizing processes’, </w:t>
      </w:r>
      <w:r w:rsidR="00600D79" w:rsidRPr="00600D79">
        <w:rPr>
          <w:rFonts w:ascii="Franklin Gothic Book" w:hAnsi="Franklin Gothic Book" w:cs="Times New Roman"/>
          <w:i/>
          <w:iCs/>
          <w:color w:val="000000" w:themeColor="text1"/>
          <w:sz w:val="24"/>
          <w:szCs w:val="24"/>
        </w:rPr>
        <w:t>op. cit</w:t>
      </w:r>
      <w:r w:rsidR="00600D79">
        <w:rPr>
          <w:rFonts w:ascii="Franklin Gothic Book" w:hAnsi="Franklin Gothic Book" w:cs="Times New Roman"/>
          <w:color w:val="000000" w:themeColor="text1"/>
          <w:sz w:val="24"/>
          <w:szCs w:val="24"/>
        </w:rPr>
        <w:t xml:space="preserve">., Ref. 11, </w:t>
      </w:r>
      <w:r w:rsidRPr="000C708D">
        <w:rPr>
          <w:rFonts w:ascii="Franklin Gothic Book" w:hAnsi="Franklin Gothic Book" w:cs="Times New Roman"/>
          <w:color w:val="000000" w:themeColor="text1"/>
          <w:sz w:val="24"/>
          <w:szCs w:val="24"/>
        </w:rPr>
        <w:t xml:space="preserve">p. 290; Hans Haferkamp, ‘From the intra-state to the inter-state civilizing process?’, </w:t>
      </w:r>
      <w:r w:rsidRPr="000C708D">
        <w:rPr>
          <w:rFonts w:ascii="Franklin Gothic Book" w:hAnsi="Franklin Gothic Book" w:cs="Times New Roman"/>
          <w:i/>
          <w:color w:val="000000" w:themeColor="text1"/>
          <w:sz w:val="24"/>
          <w:szCs w:val="24"/>
        </w:rPr>
        <w:t>Theory, Culture &amp; Society,</w:t>
      </w:r>
      <w:r w:rsidRPr="000C708D">
        <w:rPr>
          <w:rFonts w:ascii="Franklin Gothic Book" w:hAnsi="Franklin Gothic Book" w:cs="Times New Roman"/>
          <w:color w:val="000000" w:themeColor="text1"/>
          <w:sz w:val="24"/>
          <w:szCs w:val="24"/>
        </w:rPr>
        <w:t xml:space="preserve"> 4/2-3 (1987), pp.</w:t>
      </w:r>
      <w:r w:rsidR="008E6171">
        <w:rPr>
          <w:rFonts w:ascii="Franklin Gothic Book" w:hAnsi="Franklin Gothic Book" w:cs="Times New Roman"/>
          <w:color w:val="000000" w:themeColor="text1"/>
          <w:sz w:val="24"/>
          <w:szCs w:val="24"/>
        </w:rPr>
        <w:t xml:space="preserve"> </w:t>
      </w:r>
      <w:r w:rsidRPr="000C708D">
        <w:rPr>
          <w:rFonts w:ascii="Franklin Gothic Book" w:hAnsi="Franklin Gothic Book" w:cs="Times New Roman"/>
          <w:color w:val="000000" w:themeColor="text1"/>
          <w:sz w:val="24"/>
          <w:szCs w:val="24"/>
        </w:rPr>
        <w:t>545-557.</w:t>
      </w:r>
    </w:p>
  </w:endnote>
  <w:endnote w:id="72">
    <w:p w14:paraId="45FEBDAE" w14:textId="77777777" w:rsidR="008F1E5D" w:rsidRPr="000C708D" w:rsidRDefault="008F1E5D" w:rsidP="002C3296">
      <w:pPr>
        <w:pStyle w:val="Endnotes"/>
        <w:spacing w:afterLines="80" w:after="192"/>
        <w:rPr>
          <w:rFonts w:cs="Arial"/>
          <w:color w:val="000000" w:themeColor="text1"/>
          <w:szCs w:val="24"/>
          <w:lang w:val="en-US" w:eastAsia="it-IT"/>
        </w:rPr>
      </w:pPr>
      <w:r w:rsidRPr="000C708D">
        <w:rPr>
          <w:rStyle w:val="EndnoteReference"/>
          <w:color w:val="000000" w:themeColor="text1"/>
          <w:szCs w:val="24"/>
        </w:rPr>
        <w:endnoteRef/>
      </w:r>
      <w:r w:rsidRPr="000C708D">
        <w:rPr>
          <w:color w:val="000000" w:themeColor="text1"/>
          <w:szCs w:val="24"/>
        </w:rPr>
        <w:t xml:space="preserve"> </w:t>
      </w:r>
      <w:r w:rsidRPr="000C708D">
        <w:rPr>
          <w:color w:val="000000" w:themeColor="text1"/>
          <w:szCs w:val="24"/>
          <w:lang w:val="en-US" w:eastAsia="it-IT"/>
        </w:rPr>
        <w:t xml:space="preserve">Kurt Weyland, </w:t>
      </w:r>
      <w:r>
        <w:rPr>
          <w:color w:val="000000" w:themeColor="text1"/>
          <w:szCs w:val="24"/>
          <w:lang w:val="en-US" w:eastAsia="it-IT"/>
        </w:rPr>
        <w:t>‘</w:t>
      </w:r>
      <w:r w:rsidRPr="000C708D">
        <w:rPr>
          <w:color w:val="000000" w:themeColor="text1"/>
          <w:szCs w:val="24"/>
          <w:lang w:val="en-US" w:eastAsia="it-IT"/>
        </w:rPr>
        <w:t>Fascism’s Missionary Ideology and the Autocratic Wave of the Interwar Years</w:t>
      </w:r>
      <w:r>
        <w:rPr>
          <w:color w:val="000000" w:themeColor="text1"/>
          <w:szCs w:val="24"/>
          <w:lang w:val="en-US" w:eastAsia="it-IT"/>
        </w:rPr>
        <w:t>’</w:t>
      </w:r>
      <w:r w:rsidRPr="000C708D">
        <w:rPr>
          <w:color w:val="000000" w:themeColor="text1"/>
          <w:szCs w:val="24"/>
          <w:lang w:val="en-US" w:eastAsia="it-IT"/>
        </w:rPr>
        <w:t xml:space="preserve">, </w:t>
      </w:r>
      <w:r w:rsidRPr="000C708D">
        <w:rPr>
          <w:i/>
          <w:iCs/>
          <w:color w:val="000000" w:themeColor="text1"/>
          <w:szCs w:val="24"/>
          <w:lang w:val="en-US" w:eastAsia="it-IT"/>
        </w:rPr>
        <w:t>Democratization,</w:t>
      </w:r>
      <w:r w:rsidRPr="000C708D">
        <w:rPr>
          <w:color w:val="000000" w:themeColor="text1"/>
          <w:szCs w:val="24"/>
          <w:lang w:val="en-US" w:eastAsia="it-IT"/>
        </w:rPr>
        <w:t xml:space="preserve"> 24/7 (2017), pp. 1253-70.</w:t>
      </w:r>
    </w:p>
  </w:endnote>
  <w:endnote w:id="73">
    <w:p w14:paraId="58BF9F0A" w14:textId="758182DC"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Kallis,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008E6171">
        <w:rPr>
          <w:rFonts w:ascii="Franklin Gothic Book" w:hAnsi="Franklin Gothic Book"/>
          <w:color w:val="000000" w:themeColor="text1"/>
          <w:sz w:val="24"/>
          <w:szCs w:val="24"/>
        </w:rPr>
        <w:t>36</w:t>
      </w:r>
      <w:r w:rsidRPr="000C708D">
        <w:rPr>
          <w:rFonts w:ascii="Franklin Gothic Book" w:hAnsi="Franklin Gothic Book" w:cs="Times New Roman"/>
          <w:color w:val="000000" w:themeColor="text1"/>
          <w:sz w:val="24"/>
          <w:szCs w:val="24"/>
        </w:rPr>
        <w:t>, pp. 13-41.</w:t>
      </w:r>
    </w:p>
  </w:endnote>
  <w:endnote w:id="74">
    <w:p w14:paraId="4A4532E0"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Dirk Schumann, </w:t>
      </w:r>
      <w:r w:rsidRPr="000C708D">
        <w:rPr>
          <w:rFonts w:ascii="Franklin Gothic Book" w:hAnsi="Franklin Gothic Book" w:cs="Times New Roman"/>
          <w:i/>
          <w:color w:val="000000" w:themeColor="text1"/>
          <w:sz w:val="24"/>
          <w:szCs w:val="24"/>
        </w:rPr>
        <w:t>Political Violence in the Weimar Republic, 1918-1933: Fight for the Streets and Fear of Civil War</w:t>
      </w:r>
      <w:r w:rsidRPr="000C708D">
        <w:rPr>
          <w:rFonts w:ascii="Franklin Gothic Book" w:hAnsi="Franklin Gothic Book" w:cs="Times New Roman"/>
          <w:color w:val="000000" w:themeColor="text1"/>
          <w:sz w:val="24"/>
          <w:szCs w:val="24"/>
        </w:rPr>
        <w:t xml:space="preserve"> Berghahn Books, 2012), pp. 215-304; Michael Wildt, </w:t>
      </w:r>
      <w:r w:rsidRPr="000C708D">
        <w:rPr>
          <w:rFonts w:ascii="Franklin Gothic Book" w:hAnsi="Franklin Gothic Book" w:cs="Times New Roman"/>
          <w:i/>
          <w:color w:val="000000" w:themeColor="text1"/>
          <w:sz w:val="24"/>
          <w:szCs w:val="24"/>
        </w:rPr>
        <w:t>Hitler’s Volksgemeinschaft and the Dynamics of Racial Exclusion: Violence Against Jews in Provincial Germany, 1919–1939</w:t>
      </w:r>
      <w:r w:rsidRPr="000C708D">
        <w:rPr>
          <w:rFonts w:ascii="Franklin Gothic Book" w:hAnsi="Franklin Gothic Book" w:cs="Times New Roman"/>
          <w:color w:val="000000" w:themeColor="text1"/>
          <w:sz w:val="24"/>
          <w:szCs w:val="24"/>
        </w:rPr>
        <w:t xml:space="preserve"> (New York and Oxford: Berghahn Books and Yad Vashem, 2012), pp. 51-76.</w:t>
      </w:r>
    </w:p>
  </w:endnote>
  <w:endnote w:id="75">
    <w:p w14:paraId="5BBD98F6"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Fink,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Pr="000C708D">
        <w:rPr>
          <w:rFonts w:ascii="Franklin Gothic Book" w:hAnsi="Franklin Gothic Book"/>
          <w:color w:val="000000" w:themeColor="text1"/>
          <w:sz w:val="24"/>
          <w:szCs w:val="24"/>
        </w:rPr>
        <w:fldChar w:fldCharType="begin"/>
      </w:r>
      <w:r w:rsidRPr="000C708D">
        <w:rPr>
          <w:rFonts w:ascii="Franklin Gothic Book" w:hAnsi="Franklin Gothic Book"/>
          <w:color w:val="000000" w:themeColor="text1"/>
          <w:sz w:val="24"/>
          <w:szCs w:val="24"/>
        </w:rPr>
        <w:instrText xml:space="preserve"> NOTEREF _Ref2773915 \h  \* MERGEFORMAT </w:instrText>
      </w:r>
      <w:r w:rsidRPr="000C708D">
        <w:rPr>
          <w:rFonts w:ascii="Franklin Gothic Book" w:hAnsi="Franklin Gothic Book"/>
          <w:color w:val="000000" w:themeColor="text1"/>
          <w:sz w:val="24"/>
          <w:szCs w:val="24"/>
        </w:rPr>
      </w:r>
      <w:r w:rsidRPr="000C708D">
        <w:rPr>
          <w:rFonts w:ascii="Franklin Gothic Book" w:hAnsi="Franklin Gothic Book"/>
          <w:color w:val="000000" w:themeColor="text1"/>
          <w:sz w:val="24"/>
          <w:szCs w:val="24"/>
        </w:rPr>
        <w:fldChar w:fldCharType="separate"/>
      </w:r>
      <w:r w:rsidRPr="000C708D">
        <w:rPr>
          <w:rFonts w:ascii="Franklin Gothic Book" w:hAnsi="Franklin Gothic Book"/>
          <w:color w:val="000000" w:themeColor="text1"/>
          <w:sz w:val="24"/>
          <w:szCs w:val="24"/>
        </w:rPr>
        <w:t>55</w:t>
      </w:r>
      <w:r w:rsidRPr="000C708D">
        <w:rPr>
          <w:rFonts w:ascii="Franklin Gothic Book" w:hAnsi="Franklin Gothic Book"/>
          <w:color w:val="000000" w:themeColor="text1"/>
          <w:sz w:val="24"/>
          <w:szCs w:val="24"/>
        </w:rPr>
        <w:fldChar w:fldCharType="end"/>
      </w:r>
      <w:r w:rsidRPr="000C708D">
        <w:rPr>
          <w:rFonts w:ascii="Franklin Gothic Book" w:hAnsi="Franklin Gothic Book" w:cs="Times New Roman"/>
          <w:color w:val="000000" w:themeColor="text1"/>
          <w:sz w:val="24"/>
          <w:szCs w:val="24"/>
        </w:rPr>
        <w:t>, p. 295.</w:t>
      </w:r>
    </w:p>
  </w:endnote>
  <w:endnote w:id="76">
    <w:p w14:paraId="13A1EA30" w14:textId="252F4B9D"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Carter Wood, ‘The process of civilization (and its discontents)’, </w:t>
      </w:r>
      <w:r w:rsidR="001B3D55" w:rsidRPr="001B3D55">
        <w:rPr>
          <w:i/>
          <w:iCs/>
          <w:color w:val="000000" w:themeColor="text1"/>
          <w:szCs w:val="24"/>
        </w:rPr>
        <w:t>op. cit</w:t>
      </w:r>
      <w:r w:rsidR="001B3D55">
        <w:rPr>
          <w:color w:val="000000" w:themeColor="text1"/>
          <w:szCs w:val="24"/>
        </w:rPr>
        <w:t xml:space="preserve">., Ref. 16, </w:t>
      </w:r>
      <w:r w:rsidRPr="000C708D">
        <w:rPr>
          <w:color w:val="000000" w:themeColor="text1"/>
          <w:szCs w:val="24"/>
        </w:rPr>
        <w:t xml:space="preserve">p. 126; Dunning, ‘Elias on Germany’, </w:t>
      </w:r>
      <w:r w:rsidR="001B3D55" w:rsidRPr="001B3D55">
        <w:rPr>
          <w:i/>
          <w:iCs/>
          <w:color w:val="000000" w:themeColor="text1"/>
          <w:szCs w:val="24"/>
        </w:rPr>
        <w:t>op. cit</w:t>
      </w:r>
      <w:r w:rsidR="001B3D55">
        <w:rPr>
          <w:color w:val="000000" w:themeColor="text1"/>
          <w:szCs w:val="24"/>
        </w:rPr>
        <w:t xml:space="preserve">., Ref. 30, </w:t>
      </w:r>
      <w:r w:rsidRPr="000C708D">
        <w:rPr>
          <w:color w:val="000000" w:themeColor="text1"/>
          <w:szCs w:val="24"/>
        </w:rPr>
        <w:t>p. 341.</w:t>
      </w:r>
    </w:p>
  </w:endnote>
  <w:endnote w:id="77">
    <w:p w14:paraId="45A1FE97" w14:textId="77777777" w:rsidR="008F1E5D" w:rsidRPr="000C708D" w:rsidRDefault="008F1E5D" w:rsidP="002C3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Lines="80" w:after="192" w:line="320" w:lineRule="exact"/>
        <w:rPr>
          <w:rFonts w:ascii="Franklin Gothic Book" w:eastAsiaTheme="minorEastAsia" w:hAnsi="Franklin Gothic Book" w:cs="Arial"/>
          <w:color w:val="000000" w:themeColor="text1"/>
          <w:lang w:val="en-US" w:eastAsia="it-IT"/>
        </w:rPr>
      </w:pPr>
      <w:r w:rsidRPr="000C708D">
        <w:rPr>
          <w:rStyle w:val="EndnoteReference"/>
          <w:rFonts w:ascii="Franklin Gothic Book" w:hAnsi="Franklin Gothic Book"/>
          <w:color w:val="000000" w:themeColor="text1"/>
        </w:rPr>
        <w:endnoteRef/>
      </w:r>
      <w:r w:rsidRPr="000C708D">
        <w:rPr>
          <w:rFonts w:ascii="Franklin Gothic Book" w:hAnsi="Franklin Gothic Book"/>
          <w:color w:val="000000" w:themeColor="text1"/>
        </w:rPr>
        <w:t xml:space="preserve"> </w:t>
      </w:r>
      <w:r w:rsidRPr="000C708D">
        <w:rPr>
          <w:rFonts w:ascii="Franklin Gothic Book" w:eastAsiaTheme="minorEastAsia" w:hAnsi="Franklin Gothic Book" w:cs="Helvetica Neue"/>
          <w:color w:val="000000" w:themeColor="text1"/>
          <w:lang w:val="en-US" w:eastAsia="it-IT"/>
        </w:rPr>
        <w:t xml:space="preserve">Johannes Steizinger, ‘The Significance of Dehumanization: Nazi Ideology and Its Psychological Consequences’, </w:t>
      </w:r>
      <w:r w:rsidRPr="000C708D">
        <w:rPr>
          <w:rFonts w:ascii="Franklin Gothic Book" w:eastAsiaTheme="minorEastAsia" w:hAnsi="Franklin Gothic Book" w:cs="Helvetica Neue"/>
          <w:i/>
          <w:iCs/>
          <w:color w:val="000000" w:themeColor="text1"/>
          <w:lang w:val="en-US" w:eastAsia="it-IT"/>
        </w:rPr>
        <w:t>Politics, Religion &amp; Ideology,</w:t>
      </w:r>
      <w:r w:rsidRPr="000C708D">
        <w:rPr>
          <w:rFonts w:ascii="Franklin Gothic Book" w:eastAsiaTheme="minorEastAsia" w:hAnsi="Franklin Gothic Book" w:cs="Helvetica Neue"/>
          <w:color w:val="000000" w:themeColor="text1"/>
          <w:lang w:val="en-US" w:eastAsia="it-IT"/>
        </w:rPr>
        <w:t xml:space="preserve"> 19/2 (2018), pp. 139-57.</w:t>
      </w:r>
    </w:p>
  </w:endnote>
  <w:endnote w:id="78">
    <w:p w14:paraId="72B0C7CF" w14:textId="77777777" w:rsidR="008F1E5D" w:rsidRPr="000C708D" w:rsidRDefault="008F1E5D" w:rsidP="002C3296">
      <w:pPr>
        <w:pStyle w:val="Endnotes"/>
        <w:spacing w:afterLines="80" w:after="192"/>
        <w:rPr>
          <w:color w:val="000000" w:themeColor="text1"/>
          <w:szCs w:val="24"/>
        </w:rPr>
      </w:pPr>
      <w:r w:rsidRPr="000C708D">
        <w:rPr>
          <w:rStyle w:val="EndnoteReference"/>
          <w:color w:val="000000" w:themeColor="text1"/>
          <w:szCs w:val="24"/>
        </w:rPr>
        <w:endnoteRef/>
      </w:r>
      <w:r w:rsidRPr="000C708D">
        <w:rPr>
          <w:color w:val="000000" w:themeColor="text1"/>
          <w:szCs w:val="24"/>
        </w:rPr>
        <w:t xml:space="preserve"> Elias, </w:t>
      </w:r>
      <w:r w:rsidRPr="000C708D">
        <w:rPr>
          <w:i/>
          <w:color w:val="000000" w:themeColor="text1"/>
          <w:szCs w:val="24"/>
        </w:rPr>
        <w:t xml:space="preserve">op. cit., </w:t>
      </w:r>
      <w:r w:rsidRPr="000C708D">
        <w:rPr>
          <w:color w:val="000000" w:themeColor="text1"/>
          <w:szCs w:val="24"/>
        </w:rPr>
        <w:t xml:space="preserve">Ref. </w:t>
      </w:r>
      <w:r w:rsidRPr="000C708D">
        <w:rPr>
          <w:color w:val="000000" w:themeColor="text1"/>
          <w:szCs w:val="24"/>
        </w:rPr>
        <w:fldChar w:fldCharType="begin"/>
      </w:r>
      <w:r w:rsidRPr="000C708D">
        <w:rPr>
          <w:color w:val="000000" w:themeColor="text1"/>
          <w:szCs w:val="24"/>
        </w:rPr>
        <w:instrText xml:space="preserve"> NOTEREF _Ref2773600 \h  \* MERGEFORMAT </w:instrText>
      </w:r>
      <w:r w:rsidRPr="000C708D">
        <w:rPr>
          <w:color w:val="000000" w:themeColor="text1"/>
          <w:szCs w:val="24"/>
        </w:rPr>
      </w:r>
      <w:r w:rsidRPr="000C708D">
        <w:rPr>
          <w:color w:val="000000" w:themeColor="text1"/>
          <w:szCs w:val="24"/>
        </w:rPr>
        <w:fldChar w:fldCharType="separate"/>
      </w:r>
      <w:r w:rsidRPr="000C708D">
        <w:rPr>
          <w:color w:val="000000" w:themeColor="text1"/>
          <w:szCs w:val="24"/>
        </w:rPr>
        <w:t>29</w:t>
      </w:r>
      <w:r w:rsidRPr="000C708D">
        <w:rPr>
          <w:color w:val="000000" w:themeColor="text1"/>
          <w:szCs w:val="24"/>
        </w:rPr>
        <w:fldChar w:fldCharType="end"/>
      </w:r>
      <w:r w:rsidRPr="000C708D">
        <w:rPr>
          <w:color w:val="000000" w:themeColor="text1"/>
          <w:szCs w:val="24"/>
        </w:rPr>
        <w:t xml:space="preserve">, pp. 309-10. </w:t>
      </w:r>
    </w:p>
  </w:endnote>
  <w:endnote w:id="79">
    <w:p w14:paraId="02EE520E"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Georges Bataille, </w:t>
      </w:r>
      <w:r w:rsidRPr="000C708D">
        <w:rPr>
          <w:rFonts w:ascii="Franklin Gothic Book" w:hAnsi="Franklin Gothic Book" w:cs="Times New Roman"/>
          <w:i/>
          <w:color w:val="000000" w:themeColor="text1"/>
          <w:sz w:val="24"/>
          <w:szCs w:val="24"/>
        </w:rPr>
        <w:t>Death and Sensuality. A Study of Eroticism and the Taboo</w:t>
      </w:r>
      <w:r w:rsidRPr="000C708D">
        <w:rPr>
          <w:rFonts w:ascii="Franklin Gothic Book" w:hAnsi="Franklin Gothic Book" w:cs="Times New Roman"/>
          <w:color w:val="000000" w:themeColor="text1"/>
          <w:sz w:val="24"/>
          <w:szCs w:val="24"/>
        </w:rPr>
        <w:t xml:space="preserve"> (New York: Walker and Company), pp. 63-4.</w:t>
      </w:r>
    </w:p>
  </w:endnote>
  <w:endnote w:id="80">
    <w:p w14:paraId="0BCE8E53" w14:textId="77777777" w:rsidR="008F1E5D" w:rsidRPr="000C708D" w:rsidRDefault="008F1E5D" w:rsidP="002C3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Lines="80" w:after="192" w:line="320" w:lineRule="exact"/>
        <w:rPr>
          <w:rFonts w:ascii="Franklin Gothic Book" w:eastAsiaTheme="minorEastAsia" w:hAnsi="Franklin Gothic Book" w:cs="Arial"/>
          <w:color w:val="000000" w:themeColor="text1"/>
          <w:lang w:val="en-US" w:eastAsia="it-IT"/>
        </w:rPr>
      </w:pPr>
      <w:r w:rsidRPr="000C708D">
        <w:rPr>
          <w:rStyle w:val="EndnoteReference"/>
          <w:rFonts w:ascii="Franklin Gothic Book" w:hAnsi="Franklin Gothic Book" w:cs="Times New Roman"/>
          <w:color w:val="000000" w:themeColor="text1"/>
        </w:rPr>
        <w:endnoteRef/>
      </w:r>
      <w:r w:rsidRPr="000C708D">
        <w:rPr>
          <w:rFonts w:ascii="Franklin Gothic Book" w:hAnsi="Franklin Gothic Book" w:cs="Times New Roman"/>
          <w:color w:val="000000" w:themeColor="text1"/>
        </w:rPr>
        <w:t xml:space="preserve"> On ‘scapegoating’ see </w:t>
      </w:r>
      <w:r w:rsidRPr="000C708D">
        <w:rPr>
          <w:rFonts w:ascii="Franklin Gothic Book" w:eastAsiaTheme="minorEastAsia" w:hAnsi="Franklin Gothic Book" w:cs="Helvetica Neue"/>
          <w:color w:val="000000" w:themeColor="text1"/>
          <w:lang w:val="en-US" w:eastAsia="it-IT"/>
        </w:rPr>
        <w:t xml:space="preserve">Dominick LaCapra, </w:t>
      </w:r>
      <w:r w:rsidRPr="000C708D">
        <w:rPr>
          <w:rFonts w:ascii="Franklin Gothic Book" w:eastAsiaTheme="minorEastAsia" w:hAnsi="Franklin Gothic Book" w:cs="Helvetica Neue"/>
          <w:i/>
          <w:iCs/>
          <w:color w:val="000000" w:themeColor="text1"/>
          <w:lang w:val="en-US" w:eastAsia="it-IT"/>
        </w:rPr>
        <w:t>Understanding Others: Peoples, Animals, Pasts</w:t>
      </w:r>
      <w:r w:rsidRPr="000C708D">
        <w:rPr>
          <w:rFonts w:ascii="Franklin Gothic Book" w:eastAsiaTheme="minorEastAsia" w:hAnsi="Franklin Gothic Book" w:cs="Helvetica Neue"/>
          <w:color w:val="000000" w:themeColor="text1"/>
          <w:lang w:val="en-US" w:eastAsia="it-IT"/>
        </w:rPr>
        <w:t xml:space="preserve"> (Ithaca NY &amp; London: Cornell University Press, 2018), p. 2</w:t>
      </w:r>
      <w:r w:rsidRPr="000C708D">
        <w:rPr>
          <w:rFonts w:ascii="Franklin Gothic Book" w:hAnsi="Franklin Gothic Book" w:cs="Times New Roman"/>
          <w:color w:val="000000" w:themeColor="text1"/>
        </w:rPr>
        <w:t>.</w:t>
      </w:r>
    </w:p>
  </w:endnote>
  <w:endnote w:id="81">
    <w:p w14:paraId="0E36B237"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Georges Bataille, </w:t>
      </w:r>
      <w:r w:rsidRPr="000C708D">
        <w:rPr>
          <w:rFonts w:ascii="Franklin Gothic Book" w:hAnsi="Franklin Gothic Book" w:cs="Times New Roman"/>
          <w:i/>
          <w:color w:val="000000" w:themeColor="text1"/>
          <w:sz w:val="24"/>
          <w:szCs w:val="24"/>
        </w:rPr>
        <w:t>Eroticism</w:t>
      </w:r>
      <w:r w:rsidRPr="000C708D">
        <w:rPr>
          <w:rFonts w:ascii="Franklin Gothic Book" w:hAnsi="Franklin Gothic Book" w:cs="Times New Roman"/>
          <w:color w:val="000000" w:themeColor="text1"/>
          <w:sz w:val="24"/>
          <w:szCs w:val="24"/>
        </w:rPr>
        <w:t xml:space="preserve"> (San Francisco CA: J. Calder, 1962), p. 65; emphasis added.</w:t>
      </w:r>
    </w:p>
  </w:endnote>
  <w:endnote w:id="82">
    <w:p w14:paraId="635FAAF5" w14:textId="4B03A89E"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w:t>
      </w:r>
      <w:r w:rsidR="003023B7" w:rsidRPr="003023B7">
        <w:rPr>
          <w:rFonts w:ascii="Franklin Gothic Book" w:hAnsi="Franklin Gothic Book" w:cs="Times New Roman"/>
          <w:i/>
          <w:iCs/>
          <w:color w:val="000000" w:themeColor="text1"/>
          <w:sz w:val="24"/>
          <w:szCs w:val="24"/>
        </w:rPr>
        <w:t>Ibid</w:t>
      </w:r>
      <w:r w:rsidR="003023B7">
        <w:rPr>
          <w:rFonts w:ascii="Franklin Gothic Book" w:hAnsi="Franklin Gothic Book" w:cs="Times New Roman"/>
          <w:color w:val="000000" w:themeColor="text1"/>
          <w:sz w:val="24"/>
          <w:szCs w:val="24"/>
        </w:rPr>
        <w:t>.</w:t>
      </w:r>
      <w:r w:rsidRPr="000C708D">
        <w:rPr>
          <w:rFonts w:ascii="Franklin Gothic Book" w:hAnsi="Franklin Gothic Book" w:cs="Times New Roman"/>
          <w:color w:val="000000" w:themeColor="text1"/>
          <w:sz w:val="24"/>
          <w:szCs w:val="24"/>
        </w:rPr>
        <w:t>, pp. 72.</w:t>
      </w:r>
    </w:p>
  </w:endnote>
  <w:endnote w:id="83">
    <w:p w14:paraId="682E526E"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Kallis,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Pr="000C708D">
        <w:rPr>
          <w:rFonts w:ascii="Franklin Gothic Book" w:hAnsi="Franklin Gothic Book"/>
          <w:color w:val="000000" w:themeColor="text1"/>
          <w:sz w:val="24"/>
          <w:szCs w:val="24"/>
        </w:rPr>
        <w:fldChar w:fldCharType="begin"/>
      </w:r>
      <w:r w:rsidRPr="000C708D">
        <w:rPr>
          <w:rFonts w:ascii="Franklin Gothic Book" w:hAnsi="Franklin Gothic Book"/>
          <w:color w:val="000000" w:themeColor="text1"/>
          <w:sz w:val="24"/>
          <w:szCs w:val="24"/>
        </w:rPr>
        <w:instrText xml:space="preserve"> NOTEREF _Ref2773994 \h  \* MERGEFORMAT </w:instrText>
      </w:r>
      <w:r w:rsidRPr="000C708D">
        <w:rPr>
          <w:rFonts w:ascii="Franklin Gothic Book" w:hAnsi="Franklin Gothic Book"/>
          <w:color w:val="000000" w:themeColor="text1"/>
          <w:sz w:val="24"/>
          <w:szCs w:val="24"/>
        </w:rPr>
      </w:r>
      <w:r w:rsidRPr="000C708D">
        <w:rPr>
          <w:rFonts w:ascii="Franklin Gothic Book" w:hAnsi="Franklin Gothic Book"/>
          <w:color w:val="000000" w:themeColor="text1"/>
          <w:sz w:val="24"/>
          <w:szCs w:val="24"/>
        </w:rPr>
        <w:fldChar w:fldCharType="separate"/>
      </w:r>
      <w:r w:rsidRPr="000C708D">
        <w:rPr>
          <w:rFonts w:ascii="Franklin Gothic Book" w:hAnsi="Franklin Gothic Book"/>
          <w:color w:val="000000" w:themeColor="text1"/>
          <w:sz w:val="24"/>
          <w:szCs w:val="24"/>
        </w:rPr>
        <w:t>5</w:t>
      </w:r>
      <w:r w:rsidRPr="000C708D">
        <w:rPr>
          <w:rFonts w:ascii="Franklin Gothic Book" w:hAnsi="Franklin Gothic Book"/>
          <w:color w:val="000000" w:themeColor="text1"/>
          <w:sz w:val="24"/>
          <w:szCs w:val="24"/>
        </w:rPr>
        <w:fldChar w:fldCharType="end"/>
      </w:r>
      <w:r w:rsidRPr="000C708D">
        <w:rPr>
          <w:rFonts w:ascii="Franklin Gothic Book" w:hAnsi="Franklin Gothic Book" w:cs="Times New Roman"/>
          <w:color w:val="000000" w:themeColor="text1"/>
          <w:sz w:val="24"/>
          <w:szCs w:val="24"/>
        </w:rPr>
        <w:t>, pp. 116-27.</w:t>
      </w:r>
    </w:p>
  </w:endnote>
  <w:endnote w:id="84">
    <w:p w14:paraId="541D2AD0" w14:textId="77777777" w:rsidR="008F1E5D" w:rsidRPr="000C708D" w:rsidRDefault="008F1E5D" w:rsidP="002C32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Lines="80" w:after="192" w:line="320" w:lineRule="exact"/>
        <w:rPr>
          <w:rFonts w:ascii="Franklin Gothic Book" w:eastAsiaTheme="minorEastAsia" w:hAnsi="Franklin Gothic Book" w:cs="Arial"/>
          <w:color w:val="000000" w:themeColor="text1"/>
          <w:lang w:val="en-US" w:eastAsia="it-IT"/>
        </w:rPr>
      </w:pPr>
      <w:r w:rsidRPr="000C708D">
        <w:rPr>
          <w:rStyle w:val="EndnoteReference"/>
          <w:rFonts w:ascii="Franklin Gothic Book" w:hAnsi="Franklin Gothic Book" w:cs="Times New Roman"/>
          <w:color w:val="000000" w:themeColor="text1"/>
        </w:rPr>
        <w:endnoteRef/>
      </w:r>
      <w:r w:rsidRPr="000C708D">
        <w:rPr>
          <w:rFonts w:ascii="Franklin Gothic Book" w:hAnsi="Franklin Gothic Book" w:cs="Times New Roman"/>
          <w:color w:val="000000" w:themeColor="text1"/>
        </w:rPr>
        <w:t xml:space="preserve"> On the transnational turn in fascism studies see David D. Roberts, </w:t>
      </w:r>
      <w:r w:rsidRPr="000C708D">
        <w:rPr>
          <w:rFonts w:ascii="Franklin Gothic Book" w:hAnsi="Franklin Gothic Book" w:cs="Times New Roman"/>
          <w:i/>
          <w:iCs/>
          <w:color w:val="000000" w:themeColor="text1"/>
        </w:rPr>
        <w:t>Fascist Interactions: Proposals for a New Approach to Fascism and Its Era, 1919-1945</w:t>
      </w:r>
      <w:r w:rsidRPr="000C708D">
        <w:rPr>
          <w:rFonts w:ascii="Franklin Gothic Book" w:hAnsi="Franklin Gothic Book" w:cs="Times New Roman"/>
          <w:color w:val="000000" w:themeColor="text1"/>
        </w:rPr>
        <w:t xml:space="preserve"> (New York and Oxford: Berghahn Books, 2016), pp. 44-58;</w:t>
      </w:r>
      <w:r w:rsidRPr="000C708D">
        <w:rPr>
          <w:rFonts w:ascii="Franklin Gothic Book" w:eastAsiaTheme="minorEastAsia" w:hAnsi="Franklin Gothic Book" w:cs="Times New Roman"/>
          <w:color w:val="000000" w:themeColor="text1"/>
          <w:lang w:eastAsia="it-IT"/>
        </w:rPr>
        <w:t xml:space="preserve"> </w:t>
      </w:r>
      <w:r w:rsidRPr="000C708D">
        <w:rPr>
          <w:rFonts w:ascii="Franklin Gothic Book" w:eastAsiaTheme="minorEastAsia" w:hAnsi="Franklin Gothic Book" w:cs="Helvetica Neue"/>
          <w:color w:val="000000" w:themeColor="text1"/>
          <w:lang w:val="en-US" w:eastAsia="it-IT"/>
        </w:rPr>
        <w:t>Arnd Bauerkämper, Grzegorz Rossoliński-Liebe (Eds.),</w:t>
      </w:r>
      <w:r w:rsidRPr="000C708D">
        <w:rPr>
          <w:rFonts w:ascii="Franklin Gothic Book" w:eastAsiaTheme="minorEastAsia" w:hAnsi="Franklin Gothic Book" w:cs="Helvetica Neue"/>
          <w:i/>
          <w:iCs/>
          <w:color w:val="000000" w:themeColor="text1"/>
          <w:lang w:val="en-US" w:eastAsia="it-IT"/>
        </w:rPr>
        <w:t xml:space="preserve"> Fascism Without Borders: Transnational Connections and Cooperation Between Movements and Regimes in Europe From 1918 to 1945</w:t>
      </w:r>
      <w:r w:rsidRPr="000C708D">
        <w:rPr>
          <w:rFonts w:ascii="Franklin Gothic Book" w:eastAsiaTheme="minorEastAsia" w:hAnsi="Franklin Gothic Book" w:cs="Helvetica Neue"/>
          <w:color w:val="000000" w:themeColor="text1"/>
          <w:lang w:val="en-US" w:eastAsia="it-IT"/>
        </w:rPr>
        <w:t xml:space="preserve"> (New York and London: Berghahn, 2017)</w:t>
      </w:r>
      <w:r w:rsidRPr="000C708D">
        <w:rPr>
          <w:rFonts w:ascii="Franklin Gothic Book" w:hAnsi="Franklin Gothic Book" w:cs="Times New Roman"/>
          <w:i/>
          <w:color w:val="000000" w:themeColor="text1"/>
        </w:rPr>
        <w:t xml:space="preserve">. </w:t>
      </w:r>
    </w:p>
  </w:endnote>
  <w:endnote w:id="85">
    <w:p w14:paraId="7E005A21" w14:textId="77777777" w:rsidR="000575DA" w:rsidRPr="000575DA" w:rsidRDefault="000575DA" w:rsidP="002C3296">
      <w:pPr>
        <w:pStyle w:val="EndnoteText"/>
        <w:spacing w:afterLines="80" w:after="192" w:line="320" w:lineRule="exact"/>
        <w:rPr>
          <w:rFonts w:ascii="Franklin Gothic Book" w:hAnsi="Franklin Gothic Book"/>
          <w:sz w:val="24"/>
          <w:szCs w:val="24"/>
        </w:rPr>
      </w:pPr>
      <w:r w:rsidRPr="000575DA">
        <w:rPr>
          <w:rStyle w:val="EndnoteReference"/>
          <w:rFonts w:ascii="Franklin Gothic Book" w:hAnsi="Franklin Gothic Book"/>
          <w:sz w:val="24"/>
          <w:szCs w:val="24"/>
        </w:rPr>
        <w:endnoteRef/>
      </w:r>
      <w:r w:rsidRPr="000575DA">
        <w:rPr>
          <w:rFonts w:ascii="Franklin Gothic Book" w:hAnsi="Franklin Gothic Book"/>
          <w:sz w:val="24"/>
          <w:szCs w:val="24"/>
        </w:rPr>
        <w:t xml:space="preserve"> </w:t>
      </w:r>
      <w:r w:rsidRPr="000575DA">
        <w:rPr>
          <w:rFonts w:ascii="Franklin Gothic Book" w:hAnsi="Franklin Gothic Book"/>
          <w:bCs/>
          <w:sz w:val="24"/>
          <w:szCs w:val="24"/>
        </w:rPr>
        <w:t xml:space="preserve">Raphael Schlembach, ‘The Transnationality of European Nationalist Movements’, </w:t>
      </w:r>
      <w:r w:rsidRPr="000575DA">
        <w:rPr>
          <w:rFonts w:ascii="Franklin Gothic Book" w:hAnsi="Franklin Gothic Book"/>
          <w:i/>
          <w:sz w:val="24"/>
          <w:szCs w:val="24"/>
        </w:rPr>
        <w:t>Revue Belge de Philologie et d'Histoire</w:t>
      </w:r>
      <w:r w:rsidRPr="000575DA">
        <w:rPr>
          <w:rFonts w:ascii="Franklin Gothic Book" w:hAnsi="Franklin Gothic Book"/>
          <w:sz w:val="24"/>
          <w:szCs w:val="24"/>
        </w:rPr>
        <w:t xml:space="preserve">, 89/3-4 (2011), pp. 1331-1349; Roger Griffin, ‘Europe for the Europeans’, in Roger Griffin, Matthew Feldman (Eds.), </w:t>
      </w:r>
      <w:r w:rsidRPr="000575DA">
        <w:rPr>
          <w:rFonts w:ascii="Franklin Gothic Book" w:hAnsi="Franklin Gothic Book"/>
          <w:i/>
          <w:sz w:val="24"/>
          <w:szCs w:val="24"/>
        </w:rPr>
        <w:t>A Fascist Century</w:t>
      </w:r>
      <w:r w:rsidRPr="000575DA">
        <w:rPr>
          <w:rFonts w:ascii="Franklin Gothic Book" w:hAnsi="Franklin Gothic Book"/>
          <w:sz w:val="24"/>
          <w:szCs w:val="24"/>
        </w:rPr>
        <w:t xml:space="preserve"> (London: Palgrave, 2011), pp. 132-80.</w:t>
      </w:r>
    </w:p>
  </w:endnote>
  <w:endnote w:id="86">
    <w:p w14:paraId="6E8EABC1"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Kallis,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Pr="000C708D">
        <w:rPr>
          <w:rFonts w:ascii="Franklin Gothic Book" w:hAnsi="Franklin Gothic Book"/>
          <w:color w:val="000000" w:themeColor="text1"/>
          <w:sz w:val="24"/>
          <w:szCs w:val="24"/>
        </w:rPr>
        <w:fldChar w:fldCharType="begin"/>
      </w:r>
      <w:r w:rsidRPr="000C708D">
        <w:rPr>
          <w:rFonts w:ascii="Franklin Gothic Book" w:hAnsi="Franklin Gothic Book"/>
          <w:color w:val="000000" w:themeColor="text1"/>
          <w:sz w:val="24"/>
          <w:szCs w:val="24"/>
        </w:rPr>
        <w:instrText xml:space="preserve"> NOTEREF _Ref2773994 \h  \* MERGEFORMAT </w:instrText>
      </w:r>
      <w:r w:rsidRPr="000C708D">
        <w:rPr>
          <w:rFonts w:ascii="Franklin Gothic Book" w:hAnsi="Franklin Gothic Book"/>
          <w:color w:val="000000" w:themeColor="text1"/>
          <w:sz w:val="24"/>
          <w:szCs w:val="24"/>
        </w:rPr>
      </w:r>
      <w:r w:rsidRPr="000C708D">
        <w:rPr>
          <w:rFonts w:ascii="Franklin Gothic Book" w:hAnsi="Franklin Gothic Book"/>
          <w:color w:val="000000" w:themeColor="text1"/>
          <w:sz w:val="24"/>
          <w:szCs w:val="24"/>
        </w:rPr>
        <w:fldChar w:fldCharType="separate"/>
      </w:r>
      <w:r w:rsidRPr="000C708D">
        <w:rPr>
          <w:rFonts w:ascii="Franklin Gothic Book" w:hAnsi="Franklin Gothic Book"/>
          <w:color w:val="000000" w:themeColor="text1"/>
          <w:sz w:val="24"/>
          <w:szCs w:val="24"/>
        </w:rPr>
        <w:t>5</w:t>
      </w:r>
      <w:r w:rsidRPr="000C708D">
        <w:rPr>
          <w:rFonts w:ascii="Franklin Gothic Book" w:hAnsi="Franklin Gothic Book"/>
          <w:color w:val="000000" w:themeColor="text1"/>
          <w:sz w:val="24"/>
          <w:szCs w:val="24"/>
        </w:rPr>
        <w:fldChar w:fldCharType="end"/>
      </w:r>
      <w:r w:rsidRPr="000C708D">
        <w:rPr>
          <w:rFonts w:ascii="Franklin Gothic Book" w:hAnsi="Franklin Gothic Book" w:cs="Times New Roman"/>
          <w:color w:val="000000" w:themeColor="text1"/>
          <w:sz w:val="24"/>
          <w:szCs w:val="24"/>
        </w:rPr>
        <w:t>, pp. 261-309.</w:t>
      </w:r>
    </w:p>
  </w:endnote>
  <w:endnote w:id="87">
    <w:p w14:paraId="72601068"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Dan Stone, ‘Genocide as Transgression’, </w:t>
      </w:r>
      <w:r w:rsidRPr="000C708D">
        <w:rPr>
          <w:rFonts w:ascii="Franklin Gothic Book" w:hAnsi="Franklin Gothic Book" w:cs="Times New Roman"/>
          <w:i/>
          <w:iCs/>
          <w:color w:val="000000" w:themeColor="text1"/>
          <w:sz w:val="24"/>
          <w:szCs w:val="24"/>
        </w:rPr>
        <w:t>European Journal of Social Theory,</w:t>
      </w:r>
      <w:r w:rsidRPr="000C708D">
        <w:rPr>
          <w:rFonts w:ascii="Franklin Gothic Book" w:hAnsi="Franklin Gothic Book" w:cs="Times New Roman"/>
          <w:color w:val="000000" w:themeColor="text1"/>
          <w:sz w:val="24"/>
          <w:szCs w:val="24"/>
        </w:rPr>
        <w:t xml:space="preserve"> 7/1 (2004), pp. 45–65.</w:t>
      </w:r>
    </w:p>
  </w:endnote>
  <w:endnote w:id="88">
    <w:p w14:paraId="6A626B60" w14:textId="77777777" w:rsidR="008F1E5D" w:rsidRPr="000C708D" w:rsidRDefault="008F1E5D" w:rsidP="002C3296">
      <w:pPr>
        <w:pStyle w:val="EndnoteText"/>
        <w:spacing w:afterLines="80" w:after="192" w:line="320" w:lineRule="exact"/>
        <w:rPr>
          <w:rFonts w:ascii="Franklin Gothic Book" w:hAnsi="Franklin Gothic Book" w:cs="Times New Roman"/>
          <w:color w:val="000000" w:themeColor="text1"/>
          <w:sz w:val="24"/>
          <w:szCs w:val="24"/>
        </w:rPr>
      </w:pPr>
      <w:r w:rsidRPr="000C708D">
        <w:rPr>
          <w:rStyle w:val="EndnoteReference"/>
          <w:rFonts w:ascii="Franklin Gothic Book" w:hAnsi="Franklin Gothic Book" w:cs="Times New Roman"/>
          <w:color w:val="000000" w:themeColor="text1"/>
          <w:sz w:val="24"/>
          <w:szCs w:val="24"/>
        </w:rPr>
        <w:endnoteRef/>
      </w:r>
      <w:r w:rsidRPr="000C708D">
        <w:rPr>
          <w:rFonts w:ascii="Franklin Gothic Book" w:hAnsi="Franklin Gothic Book" w:cs="Times New Roman"/>
          <w:color w:val="000000" w:themeColor="text1"/>
          <w:sz w:val="24"/>
          <w:szCs w:val="24"/>
        </w:rPr>
        <w:t xml:space="preserve"> Federico Finchelstein, ‘The Holocaust as Ideology: Borges and the Meaning of Transnational Fascism’, </w:t>
      </w:r>
      <w:r w:rsidRPr="000C708D">
        <w:rPr>
          <w:rFonts w:ascii="Franklin Gothic Book" w:hAnsi="Franklin Gothic Book" w:cs="Times New Roman"/>
          <w:i/>
          <w:color w:val="000000" w:themeColor="text1"/>
          <w:sz w:val="24"/>
          <w:szCs w:val="24"/>
        </w:rPr>
        <w:t xml:space="preserve">Dapim: Studies on the Holocaust, </w:t>
      </w:r>
      <w:r w:rsidRPr="000C708D">
        <w:rPr>
          <w:rFonts w:ascii="Franklin Gothic Book" w:hAnsi="Franklin Gothic Book" w:cs="Times New Roman"/>
          <w:color w:val="000000" w:themeColor="text1"/>
          <w:sz w:val="24"/>
          <w:szCs w:val="24"/>
        </w:rPr>
        <w:t>25/1 (2011)</w:t>
      </w:r>
      <w:r w:rsidRPr="000C708D">
        <w:rPr>
          <w:rFonts w:ascii="Franklin Gothic Book" w:hAnsi="Franklin Gothic Book" w:cs="Times New Roman"/>
          <w:i/>
          <w:color w:val="000000" w:themeColor="text1"/>
          <w:sz w:val="24"/>
          <w:szCs w:val="24"/>
        </w:rPr>
        <w:t xml:space="preserve">, </w:t>
      </w:r>
      <w:r w:rsidRPr="000C708D">
        <w:rPr>
          <w:rFonts w:ascii="Franklin Gothic Book" w:hAnsi="Franklin Gothic Book" w:cs="Times New Roman"/>
          <w:color w:val="000000" w:themeColor="text1"/>
          <w:sz w:val="24"/>
          <w:szCs w:val="24"/>
        </w:rPr>
        <w:t>pp. 294-95.</w:t>
      </w:r>
    </w:p>
  </w:endnote>
  <w:endnote w:id="89">
    <w:p w14:paraId="5CBE3CFB" w14:textId="77777777" w:rsidR="008F1E5D" w:rsidRPr="000C708D" w:rsidRDefault="008F1E5D" w:rsidP="002C3296">
      <w:pPr>
        <w:pStyle w:val="EndnoteText"/>
        <w:spacing w:afterLines="80" w:after="192" w:line="320" w:lineRule="exact"/>
        <w:rPr>
          <w:rFonts w:ascii="Franklin Gothic Book" w:hAnsi="Franklin Gothic Book"/>
          <w:color w:val="000000" w:themeColor="text1"/>
          <w:sz w:val="24"/>
          <w:szCs w:val="24"/>
        </w:rPr>
      </w:pPr>
      <w:r w:rsidRPr="000C708D">
        <w:rPr>
          <w:rStyle w:val="EndnoteReference"/>
          <w:rFonts w:ascii="Franklin Gothic Book" w:hAnsi="Franklin Gothic Book"/>
          <w:color w:val="000000" w:themeColor="text1"/>
          <w:sz w:val="24"/>
          <w:szCs w:val="24"/>
        </w:rPr>
        <w:endnoteRef/>
      </w:r>
      <w:r w:rsidRPr="000C708D">
        <w:rPr>
          <w:rFonts w:ascii="Franklin Gothic Book" w:hAnsi="Franklin Gothic Book"/>
          <w:color w:val="000000" w:themeColor="text1"/>
          <w:sz w:val="24"/>
          <w:szCs w:val="24"/>
        </w:rPr>
        <w:t xml:space="preserve"> Delmotte &amp; Majestre, </w:t>
      </w:r>
      <w:r w:rsidRPr="000C708D">
        <w:rPr>
          <w:rFonts w:ascii="Franklin Gothic Book" w:hAnsi="Franklin Gothic Book"/>
          <w:i/>
          <w:color w:val="000000" w:themeColor="text1"/>
          <w:sz w:val="24"/>
          <w:szCs w:val="24"/>
        </w:rPr>
        <w:t xml:space="preserve">op. cit., </w:t>
      </w:r>
      <w:r w:rsidRPr="000C708D">
        <w:rPr>
          <w:rFonts w:ascii="Franklin Gothic Book" w:hAnsi="Franklin Gothic Book"/>
          <w:color w:val="000000" w:themeColor="text1"/>
          <w:sz w:val="24"/>
          <w:szCs w:val="24"/>
        </w:rPr>
        <w:t xml:space="preserve">Ref. </w:t>
      </w:r>
      <w:r w:rsidRPr="000C708D">
        <w:rPr>
          <w:rFonts w:ascii="Franklin Gothic Book" w:hAnsi="Franklin Gothic Book"/>
          <w:color w:val="000000" w:themeColor="text1"/>
          <w:sz w:val="24"/>
          <w:szCs w:val="24"/>
        </w:rPr>
        <w:fldChar w:fldCharType="begin"/>
      </w:r>
      <w:r w:rsidRPr="000C708D">
        <w:rPr>
          <w:rFonts w:ascii="Franklin Gothic Book" w:hAnsi="Franklin Gothic Book"/>
          <w:color w:val="000000" w:themeColor="text1"/>
          <w:sz w:val="24"/>
          <w:szCs w:val="24"/>
        </w:rPr>
        <w:instrText xml:space="preserve"> NOTEREF _Ref2774140 \h  \* MERGEFORMAT </w:instrText>
      </w:r>
      <w:r w:rsidRPr="000C708D">
        <w:rPr>
          <w:rFonts w:ascii="Franklin Gothic Book" w:hAnsi="Franklin Gothic Book"/>
          <w:color w:val="000000" w:themeColor="text1"/>
          <w:sz w:val="24"/>
          <w:szCs w:val="24"/>
        </w:rPr>
      </w:r>
      <w:r w:rsidRPr="000C708D">
        <w:rPr>
          <w:rFonts w:ascii="Franklin Gothic Book" w:hAnsi="Franklin Gothic Book"/>
          <w:color w:val="000000" w:themeColor="text1"/>
          <w:sz w:val="24"/>
          <w:szCs w:val="24"/>
        </w:rPr>
        <w:fldChar w:fldCharType="separate"/>
      </w:r>
      <w:r w:rsidRPr="000C708D">
        <w:rPr>
          <w:rFonts w:ascii="Franklin Gothic Book" w:hAnsi="Franklin Gothic Book"/>
          <w:color w:val="000000" w:themeColor="text1"/>
          <w:sz w:val="24"/>
          <w:szCs w:val="24"/>
        </w:rPr>
        <w:t>12</w:t>
      </w:r>
      <w:r w:rsidRPr="000C708D">
        <w:rPr>
          <w:rFonts w:ascii="Franklin Gothic Book" w:hAnsi="Franklin Gothic Book"/>
          <w:color w:val="000000" w:themeColor="text1"/>
          <w:sz w:val="24"/>
          <w:szCs w:val="24"/>
        </w:rPr>
        <w:fldChar w:fldCharType="end"/>
      </w:r>
      <w:r w:rsidRPr="000C708D">
        <w:rPr>
          <w:rFonts w:ascii="Franklin Gothic Book" w:hAnsi="Franklin Gothic Book"/>
          <w:color w:val="000000" w:themeColor="text1"/>
          <w:sz w:val="24"/>
          <w:szCs w:val="24"/>
        </w:rPr>
        <w:t>, p. 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eirut">
    <w:altName w:val="Arial"/>
    <w:panose1 w:val="020B0604020202020204"/>
    <w:charset w:val="B2"/>
    <w:family w:val="auto"/>
    <w:pitch w:val="variable"/>
    <w:sig w:usb0="00002003" w:usb1="00000000" w:usb2="00000000" w:usb3="00000000" w:csb0="00000041" w:csb1="00000000"/>
  </w:font>
  <w:font w:name="Franklin Gothic Book">
    <w:panose1 w:val="020B05030201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4122647"/>
      <w:docPartObj>
        <w:docPartGallery w:val="Page Numbers (Bottom of Page)"/>
        <w:docPartUnique/>
      </w:docPartObj>
    </w:sdtPr>
    <w:sdtEndPr>
      <w:rPr>
        <w:rStyle w:val="PageNumber"/>
      </w:rPr>
    </w:sdtEndPr>
    <w:sdtContent>
      <w:p w14:paraId="4FBAD834" w14:textId="77777777" w:rsidR="008F1E5D" w:rsidRDefault="008F1E5D" w:rsidP="000163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517EF" w14:textId="77777777" w:rsidR="008F1E5D" w:rsidRDefault="008F1E5D" w:rsidP="00201B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0918871"/>
      <w:docPartObj>
        <w:docPartGallery w:val="Page Numbers (Bottom of Page)"/>
        <w:docPartUnique/>
      </w:docPartObj>
    </w:sdtPr>
    <w:sdtEndPr>
      <w:rPr>
        <w:rStyle w:val="PageNumber"/>
      </w:rPr>
    </w:sdtEndPr>
    <w:sdtContent>
      <w:p w14:paraId="62F8B1B2" w14:textId="77777777" w:rsidR="008F1E5D" w:rsidRDefault="008F1E5D" w:rsidP="000163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sdtContent>
  </w:sdt>
  <w:p w14:paraId="79C5D646" w14:textId="77777777" w:rsidR="008F1E5D" w:rsidRDefault="008F1E5D" w:rsidP="00201B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630D" w14:textId="77777777" w:rsidR="008D2EAC" w:rsidRDefault="008D2EAC" w:rsidP="007F37AF">
      <w:r>
        <w:separator/>
      </w:r>
    </w:p>
  </w:footnote>
  <w:footnote w:type="continuationSeparator" w:id="0">
    <w:p w14:paraId="5E016140" w14:textId="77777777" w:rsidR="008D2EAC" w:rsidRDefault="008D2EAC" w:rsidP="007F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53BC" w14:textId="77777777" w:rsidR="008F1E5D" w:rsidRPr="004363E6" w:rsidRDefault="008F1E5D">
    <w:pPr>
      <w:pStyle w:val="Header"/>
      <w:rPr>
        <w:rFonts w:ascii="Franklin Gothic Book" w:hAnsi="Franklin Gothic Book"/>
        <w:i/>
        <w:sz w:val="22"/>
        <w:szCs w:val="22"/>
      </w:rPr>
    </w:pPr>
    <w:r w:rsidRPr="004363E6">
      <w:rPr>
        <w:rFonts w:ascii="Franklin Gothic Book" w:hAnsi="Franklin Gothic Book"/>
        <w:i/>
        <w:sz w:val="22"/>
        <w:szCs w:val="22"/>
      </w:rPr>
      <w:t>Fascism as ‘counter-spurt’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C63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8C8D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C1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9E9E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2254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23F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26A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6C16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3A9052"/>
    <w:lvl w:ilvl="0">
      <w:start w:val="1"/>
      <w:numFmt w:val="decimal"/>
      <w:lvlText w:val="%1."/>
      <w:lvlJc w:val="left"/>
      <w:pPr>
        <w:tabs>
          <w:tab w:val="num" w:pos="360"/>
        </w:tabs>
        <w:ind w:left="360" w:hanging="360"/>
      </w:pPr>
    </w:lvl>
  </w:abstractNum>
  <w:abstractNum w:abstractNumId="9" w15:restartNumberingAfterBreak="0">
    <w:nsid w:val="69442CF3"/>
    <w:multiLevelType w:val="hybridMultilevel"/>
    <w:tmpl w:val="1F1C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hyphenationZone w:val="283"/>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55"/>
    <w:rsid w:val="0000187A"/>
    <w:rsid w:val="0000364A"/>
    <w:rsid w:val="00004997"/>
    <w:rsid w:val="00006E18"/>
    <w:rsid w:val="00012080"/>
    <w:rsid w:val="0001306C"/>
    <w:rsid w:val="00013591"/>
    <w:rsid w:val="0001634B"/>
    <w:rsid w:val="00017BBC"/>
    <w:rsid w:val="00024379"/>
    <w:rsid w:val="000253CE"/>
    <w:rsid w:val="0003619E"/>
    <w:rsid w:val="00036B45"/>
    <w:rsid w:val="00045288"/>
    <w:rsid w:val="000468A3"/>
    <w:rsid w:val="000520FA"/>
    <w:rsid w:val="000575DA"/>
    <w:rsid w:val="00062A37"/>
    <w:rsid w:val="00062E66"/>
    <w:rsid w:val="000B0D42"/>
    <w:rsid w:val="000C1657"/>
    <w:rsid w:val="000C708D"/>
    <w:rsid w:val="000D50EC"/>
    <w:rsid w:val="000D5C0A"/>
    <w:rsid w:val="000E5F01"/>
    <w:rsid w:val="000F005F"/>
    <w:rsid w:val="000F1CC4"/>
    <w:rsid w:val="000F4125"/>
    <w:rsid w:val="000F4A9D"/>
    <w:rsid w:val="001070D7"/>
    <w:rsid w:val="00107267"/>
    <w:rsid w:val="00107EBD"/>
    <w:rsid w:val="0011115B"/>
    <w:rsid w:val="00112C7D"/>
    <w:rsid w:val="00113307"/>
    <w:rsid w:val="00127DFE"/>
    <w:rsid w:val="00133718"/>
    <w:rsid w:val="00134EA2"/>
    <w:rsid w:val="00135E93"/>
    <w:rsid w:val="001362E9"/>
    <w:rsid w:val="001470D0"/>
    <w:rsid w:val="001471B3"/>
    <w:rsid w:val="00147917"/>
    <w:rsid w:val="00153F15"/>
    <w:rsid w:val="001557EC"/>
    <w:rsid w:val="001565FE"/>
    <w:rsid w:val="00164CA5"/>
    <w:rsid w:val="00167152"/>
    <w:rsid w:val="0017358B"/>
    <w:rsid w:val="00174375"/>
    <w:rsid w:val="00182D49"/>
    <w:rsid w:val="00184212"/>
    <w:rsid w:val="00185814"/>
    <w:rsid w:val="00185B30"/>
    <w:rsid w:val="00190F95"/>
    <w:rsid w:val="0019317E"/>
    <w:rsid w:val="001950E1"/>
    <w:rsid w:val="00195179"/>
    <w:rsid w:val="00195C01"/>
    <w:rsid w:val="001A3D87"/>
    <w:rsid w:val="001B1C1F"/>
    <w:rsid w:val="001B3D55"/>
    <w:rsid w:val="001B3D7C"/>
    <w:rsid w:val="001C49DD"/>
    <w:rsid w:val="001C5825"/>
    <w:rsid w:val="001C7002"/>
    <w:rsid w:val="001C75D1"/>
    <w:rsid w:val="001D135A"/>
    <w:rsid w:val="001D2010"/>
    <w:rsid w:val="001D4CBD"/>
    <w:rsid w:val="001E1382"/>
    <w:rsid w:val="001E36D6"/>
    <w:rsid w:val="001F3716"/>
    <w:rsid w:val="001F5203"/>
    <w:rsid w:val="00201B23"/>
    <w:rsid w:val="00204B77"/>
    <w:rsid w:val="00205701"/>
    <w:rsid w:val="00205C9D"/>
    <w:rsid w:val="0022002A"/>
    <w:rsid w:val="00223379"/>
    <w:rsid w:val="00223E23"/>
    <w:rsid w:val="00224AD9"/>
    <w:rsid w:val="00225903"/>
    <w:rsid w:val="00227237"/>
    <w:rsid w:val="00233336"/>
    <w:rsid w:val="00234E34"/>
    <w:rsid w:val="0024714B"/>
    <w:rsid w:val="0025253A"/>
    <w:rsid w:val="002534A3"/>
    <w:rsid w:val="00262473"/>
    <w:rsid w:val="00272BCE"/>
    <w:rsid w:val="00290D3E"/>
    <w:rsid w:val="002916F5"/>
    <w:rsid w:val="00293668"/>
    <w:rsid w:val="002976CF"/>
    <w:rsid w:val="0029790B"/>
    <w:rsid w:val="002A08FE"/>
    <w:rsid w:val="002A7511"/>
    <w:rsid w:val="002B4E98"/>
    <w:rsid w:val="002B5537"/>
    <w:rsid w:val="002B5C8D"/>
    <w:rsid w:val="002B7A55"/>
    <w:rsid w:val="002C0304"/>
    <w:rsid w:val="002C0A52"/>
    <w:rsid w:val="002C10BF"/>
    <w:rsid w:val="002C3296"/>
    <w:rsid w:val="002C4E59"/>
    <w:rsid w:val="002D272D"/>
    <w:rsid w:val="002E0A7F"/>
    <w:rsid w:val="002E4AB2"/>
    <w:rsid w:val="002F289B"/>
    <w:rsid w:val="003023B7"/>
    <w:rsid w:val="0030353C"/>
    <w:rsid w:val="0030529A"/>
    <w:rsid w:val="00306AE3"/>
    <w:rsid w:val="00306C81"/>
    <w:rsid w:val="00312018"/>
    <w:rsid w:val="003209D8"/>
    <w:rsid w:val="003217CB"/>
    <w:rsid w:val="00323AA8"/>
    <w:rsid w:val="0032417C"/>
    <w:rsid w:val="003262E6"/>
    <w:rsid w:val="00327222"/>
    <w:rsid w:val="00327D8F"/>
    <w:rsid w:val="00327E16"/>
    <w:rsid w:val="0033489E"/>
    <w:rsid w:val="003431F1"/>
    <w:rsid w:val="00343B9F"/>
    <w:rsid w:val="0034635C"/>
    <w:rsid w:val="00347748"/>
    <w:rsid w:val="00347DF3"/>
    <w:rsid w:val="00351E52"/>
    <w:rsid w:val="00352654"/>
    <w:rsid w:val="00373AA6"/>
    <w:rsid w:val="00381F0B"/>
    <w:rsid w:val="00385453"/>
    <w:rsid w:val="003A0D91"/>
    <w:rsid w:val="003A2707"/>
    <w:rsid w:val="003A3E42"/>
    <w:rsid w:val="003A634A"/>
    <w:rsid w:val="003B458B"/>
    <w:rsid w:val="003B5D49"/>
    <w:rsid w:val="003B6F04"/>
    <w:rsid w:val="003C0E72"/>
    <w:rsid w:val="003C1BC8"/>
    <w:rsid w:val="003C3579"/>
    <w:rsid w:val="003C47BB"/>
    <w:rsid w:val="003C61E9"/>
    <w:rsid w:val="003D0E11"/>
    <w:rsid w:val="003D53A6"/>
    <w:rsid w:val="003E1177"/>
    <w:rsid w:val="003E76A1"/>
    <w:rsid w:val="003F06EF"/>
    <w:rsid w:val="003F15CE"/>
    <w:rsid w:val="003F1F6D"/>
    <w:rsid w:val="003F2864"/>
    <w:rsid w:val="003F68F3"/>
    <w:rsid w:val="003F7B03"/>
    <w:rsid w:val="00400B6D"/>
    <w:rsid w:val="00403EF4"/>
    <w:rsid w:val="004050A3"/>
    <w:rsid w:val="00406028"/>
    <w:rsid w:val="0040673C"/>
    <w:rsid w:val="00407493"/>
    <w:rsid w:val="00407509"/>
    <w:rsid w:val="0041063B"/>
    <w:rsid w:val="0041115E"/>
    <w:rsid w:val="004155F2"/>
    <w:rsid w:val="0042573C"/>
    <w:rsid w:val="0043314A"/>
    <w:rsid w:val="004334EE"/>
    <w:rsid w:val="004347FC"/>
    <w:rsid w:val="004363E6"/>
    <w:rsid w:val="0043722C"/>
    <w:rsid w:val="0044643E"/>
    <w:rsid w:val="0045347C"/>
    <w:rsid w:val="00460859"/>
    <w:rsid w:val="00460FD3"/>
    <w:rsid w:val="00461C0A"/>
    <w:rsid w:val="0046499B"/>
    <w:rsid w:val="00465139"/>
    <w:rsid w:val="00465F87"/>
    <w:rsid w:val="00484EC1"/>
    <w:rsid w:val="00484F5C"/>
    <w:rsid w:val="00487C8C"/>
    <w:rsid w:val="004918BA"/>
    <w:rsid w:val="00494206"/>
    <w:rsid w:val="00497781"/>
    <w:rsid w:val="004A063E"/>
    <w:rsid w:val="004A34B6"/>
    <w:rsid w:val="004A3A54"/>
    <w:rsid w:val="004A46C3"/>
    <w:rsid w:val="004B0E99"/>
    <w:rsid w:val="004B54E1"/>
    <w:rsid w:val="004B7587"/>
    <w:rsid w:val="004C49EE"/>
    <w:rsid w:val="004C5470"/>
    <w:rsid w:val="004D015A"/>
    <w:rsid w:val="004E32CF"/>
    <w:rsid w:val="004E551C"/>
    <w:rsid w:val="004E7ECB"/>
    <w:rsid w:val="004F1883"/>
    <w:rsid w:val="004F5D44"/>
    <w:rsid w:val="005042E7"/>
    <w:rsid w:val="005056B6"/>
    <w:rsid w:val="00514F75"/>
    <w:rsid w:val="00530010"/>
    <w:rsid w:val="00534539"/>
    <w:rsid w:val="00535A68"/>
    <w:rsid w:val="0053744C"/>
    <w:rsid w:val="005426D9"/>
    <w:rsid w:val="00544DB7"/>
    <w:rsid w:val="005654C4"/>
    <w:rsid w:val="00570CB3"/>
    <w:rsid w:val="005712BD"/>
    <w:rsid w:val="0057261D"/>
    <w:rsid w:val="005731E9"/>
    <w:rsid w:val="00573674"/>
    <w:rsid w:val="00575471"/>
    <w:rsid w:val="0057740A"/>
    <w:rsid w:val="00583CB3"/>
    <w:rsid w:val="00591CBE"/>
    <w:rsid w:val="00592446"/>
    <w:rsid w:val="00593D01"/>
    <w:rsid w:val="00595F40"/>
    <w:rsid w:val="0059665A"/>
    <w:rsid w:val="00597F70"/>
    <w:rsid w:val="005A13E9"/>
    <w:rsid w:val="005A1E0F"/>
    <w:rsid w:val="005A2A9C"/>
    <w:rsid w:val="005A5F61"/>
    <w:rsid w:val="005B1601"/>
    <w:rsid w:val="005C0432"/>
    <w:rsid w:val="005C0C8B"/>
    <w:rsid w:val="005C4A59"/>
    <w:rsid w:val="005C6CA9"/>
    <w:rsid w:val="005C7803"/>
    <w:rsid w:val="005D03A3"/>
    <w:rsid w:val="005D0B20"/>
    <w:rsid w:val="005D44E1"/>
    <w:rsid w:val="005D5A20"/>
    <w:rsid w:val="005D7FC6"/>
    <w:rsid w:val="005E086F"/>
    <w:rsid w:val="005E0EB1"/>
    <w:rsid w:val="005E14B6"/>
    <w:rsid w:val="005E42EE"/>
    <w:rsid w:val="005E76E3"/>
    <w:rsid w:val="005F2A4D"/>
    <w:rsid w:val="0060038F"/>
    <w:rsid w:val="00600D79"/>
    <w:rsid w:val="00604FC7"/>
    <w:rsid w:val="00606542"/>
    <w:rsid w:val="00614A65"/>
    <w:rsid w:val="006171B6"/>
    <w:rsid w:val="00623B9E"/>
    <w:rsid w:val="006267FF"/>
    <w:rsid w:val="00627EFD"/>
    <w:rsid w:val="00640241"/>
    <w:rsid w:val="00643B9D"/>
    <w:rsid w:val="00644A27"/>
    <w:rsid w:val="00645F58"/>
    <w:rsid w:val="00655208"/>
    <w:rsid w:val="00661957"/>
    <w:rsid w:val="00661DEA"/>
    <w:rsid w:val="006669B8"/>
    <w:rsid w:val="00666F1F"/>
    <w:rsid w:val="0066735C"/>
    <w:rsid w:val="00667AA2"/>
    <w:rsid w:val="006743C1"/>
    <w:rsid w:val="00681286"/>
    <w:rsid w:val="00694E72"/>
    <w:rsid w:val="00696849"/>
    <w:rsid w:val="006A570D"/>
    <w:rsid w:val="006B0503"/>
    <w:rsid w:val="006B37E3"/>
    <w:rsid w:val="006B622D"/>
    <w:rsid w:val="006C3453"/>
    <w:rsid w:val="006C3F48"/>
    <w:rsid w:val="006C3F6A"/>
    <w:rsid w:val="006C4EF5"/>
    <w:rsid w:val="006C6FC4"/>
    <w:rsid w:val="006D1D35"/>
    <w:rsid w:val="006D366E"/>
    <w:rsid w:val="006D4C92"/>
    <w:rsid w:val="006D5A93"/>
    <w:rsid w:val="006F4EF1"/>
    <w:rsid w:val="0070194D"/>
    <w:rsid w:val="00712D70"/>
    <w:rsid w:val="007147E4"/>
    <w:rsid w:val="00721CC7"/>
    <w:rsid w:val="00722801"/>
    <w:rsid w:val="007311D0"/>
    <w:rsid w:val="0073167C"/>
    <w:rsid w:val="00735B5F"/>
    <w:rsid w:val="00736394"/>
    <w:rsid w:val="007460ED"/>
    <w:rsid w:val="00751A19"/>
    <w:rsid w:val="00753024"/>
    <w:rsid w:val="00761CF2"/>
    <w:rsid w:val="00763BB5"/>
    <w:rsid w:val="00771DCC"/>
    <w:rsid w:val="00774DD2"/>
    <w:rsid w:val="007769B1"/>
    <w:rsid w:val="0078346D"/>
    <w:rsid w:val="007925E7"/>
    <w:rsid w:val="0079349F"/>
    <w:rsid w:val="007A48BD"/>
    <w:rsid w:val="007A6083"/>
    <w:rsid w:val="007A66E7"/>
    <w:rsid w:val="007B29AA"/>
    <w:rsid w:val="007B4E8A"/>
    <w:rsid w:val="007B4FF7"/>
    <w:rsid w:val="007C1B31"/>
    <w:rsid w:val="007C3EB1"/>
    <w:rsid w:val="007C42D9"/>
    <w:rsid w:val="007C6E76"/>
    <w:rsid w:val="007C7FA1"/>
    <w:rsid w:val="007D06DA"/>
    <w:rsid w:val="007D0E48"/>
    <w:rsid w:val="007D5BE0"/>
    <w:rsid w:val="007E1104"/>
    <w:rsid w:val="007E21EE"/>
    <w:rsid w:val="007E279C"/>
    <w:rsid w:val="007E7CF0"/>
    <w:rsid w:val="007F37AF"/>
    <w:rsid w:val="00801A65"/>
    <w:rsid w:val="008044B2"/>
    <w:rsid w:val="00807B89"/>
    <w:rsid w:val="00810D68"/>
    <w:rsid w:val="00813340"/>
    <w:rsid w:val="0081394F"/>
    <w:rsid w:val="008145D5"/>
    <w:rsid w:val="008160CE"/>
    <w:rsid w:val="00816A4C"/>
    <w:rsid w:val="0082089C"/>
    <w:rsid w:val="00826B36"/>
    <w:rsid w:val="008326E2"/>
    <w:rsid w:val="00832BCA"/>
    <w:rsid w:val="00832C55"/>
    <w:rsid w:val="00837830"/>
    <w:rsid w:val="00842C8C"/>
    <w:rsid w:val="00843D12"/>
    <w:rsid w:val="00845E02"/>
    <w:rsid w:val="00847536"/>
    <w:rsid w:val="00850C96"/>
    <w:rsid w:val="00852686"/>
    <w:rsid w:val="00855B36"/>
    <w:rsid w:val="00861A6C"/>
    <w:rsid w:val="00865CC3"/>
    <w:rsid w:val="008674D9"/>
    <w:rsid w:val="00870FB4"/>
    <w:rsid w:val="00871EA5"/>
    <w:rsid w:val="00877492"/>
    <w:rsid w:val="008774D4"/>
    <w:rsid w:val="008778E3"/>
    <w:rsid w:val="008958A6"/>
    <w:rsid w:val="00897250"/>
    <w:rsid w:val="008B27D4"/>
    <w:rsid w:val="008B4790"/>
    <w:rsid w:val="008B7CD3"/>
    <w:rsid w:val="008C0CB9"/>
    <w:rsid w:val="008D2EAC"/>
    <w:rsid w:val="008D4A80"/>
    <w:rsid w:val="008D5D5C"/>
    <w:rsid w:val="008E0A3C"/>
    <w:rsid w:val="008E6171"/>
    <w:rsid w:val="008F1E5D"/>
    <w:rsid w:val="008F2A44"/>
    <w:rsid w:val="008F44CA"/>
    <w:rsid w:val="008F4946"/>
    <w:rsid w:val="008F552E"/>
    <w:rsid w:val="009117A6"/>
    <w:rsid w:val="009164B9"/>
    <w:rsid w:val="00916DE5"/>
    <w:rsid w:val="00917984"/>
    <w:rsid w:val="00920108"/>
    <w:rsid w:val="00920441"/>
    <w:rsid w:val="00930183"/>
    <w:rsid w:val="00930289"/>
    <w:rsid w:val="00930901"/>
    <w:rsid w:val="00931731"/>
    <w:rsid w:val="00933990"/>
    <w:rsid w:val="00936EC3"/>
    <w:rsid w:val="00945033"/>
    <w:rsid w:val="009463A6"/>
    <w:rsid w:val="00946E48"/>
    <w:rsid w:val="0095155E"/>
    <w:rsid w:val="00953187"/>
    <w:rsid w:val="00954341"/>
    <w:rsid w:val="009629EF"/>
    <w:rsid w:val="00965203"/>
    <w:rsid w:val="0096588A"/>
    <w:rsid w:val="009754DD"/>
    <w:rsid w:val="009833B3"/>
    <w:rsid w:val="0098493B"/>
    <w:rsid w:val="00991AA6"/>
    <w:rsid w:val="009970DF"/>
    <w:rsid w:val="009A2AF0"/>
    <w:rsid w:val="009A4FD6"/>
    <w:rsid w:val="009A675D"/>
    <w:rsid w:val="009A7F61"/>
    <w:rsid w:val="009B6478"/>
    <w:rsid w:val="009C442F"/>
    <w:rsid w:val="009D376A"/>
    <w:rsid w:val="009E2E72"/>
    <w:rsid w:val="009E4024"/>
    <w:rsid w:val="009E5F82"/>
    <w:rsid w:val="009E6973"/>
    <w:rsid w:val="009F02A6"/>
    <w:rsid w:val="009F1C04"/>
    <w:rsid w:val="00A00D49"/>
    <w:rsid w:val="00A06F7B"/>
    <w:rsid w:val="00A1435C"/>
    <w:rsid w:val="00A17D25"/>
    <w:rsid w:val="00A17EDD"/>
    <w:rsid w:val="00A2603F"/>
    <w:rsid w:val="00A27EB7"/>
    <w:rsid w:val="00A30405"/>
    <w:rsid w:val="00A3096C"/>
    <w:rsid w:val="00A31932"/>
    <w:rsid w:val="00A409F1"/>
    <w:rsid w:val="00A41A8B"/>
    <w:rsid w:val="00A4285F"/>
    <w:rsid w:val="00A42E50"/>
    <w:rsid w:val="00A43268"/>
    <w:rsid w:val="00A43BA7"/>
    <w:rsid w:val="00A44EBC"/>
    <w:rsid w:val="00A507A0"/>
    <w:rsid w:val="00A5339D"/>
    <w:rsid w:val="00A538B2"/>
    <w:rsid w:val="00A550EB"/>
    <w:rsid w:val="00A64771"/>
    <w:rsid w:val="00A70EDA"/>
    <w:rsid w:val="00A83673"/>
    <w:rsid w:val="00A95AD1"/>
    <w:rsid w:val="00AA1592"/>
    <w:rsid w:val="00AA7305"/>
    <w:rsid w:val="00AD48BB"/>
    <w:rsid w:val="00AE0B38"/>
    <w:rsid w:val="00AE244D"/>
    <w:rsid w:val="00AE593C"/>
    <w:rsid w:val="00AF190E"/>
    <w:rsid w:val="00AF1C81"/>
    <w:rsid w:val="00AF2C35"/>
    <w:rsid w:val="00AF3EA8"/>
    <w:rsid w:val="00B0293E"/>
    <w:rsid w:val="00B06CEA"/>
    <w:rsid w:val="00B1089F"/>
    <w:rsid w:val="00B11EF1"/>
    <w:rsid w:val="00B14971"/>
    <w:rsid w:val="00B15572"/>
    <w:rsid w:val="00B1590A"/>
    <w:rsid w:val="00B21274"/>
    <w:rsid w:val="00B230FC"/>
    <w:rsid w:val="00B27501"/>
    <w:rsid w:val="00B31406"/>
    <w:rsid w:val="00B37A7E"/>
    <w:rsid w:val="00B51634"/>
    <w:rsid w:val="00B51D63"/>
    <w:rsid w:val="00B533DD"/>
    <w:rsid w:val="00B60982"/>
    <w:rsid w:val="00B738FE"/>
    <w:rsid w:val="00B808CD"/>
    <w:rsid w:val="00B80F16"/>
    <w:rsid w:val="00B8780B"/>
    <w:rsid w:val="00B91AF5"/>
    <w:rsid w:val="00B923E7"/>
    <w:rsid w:val="00B93884"/>
    <w:rsid w:val="00BA19E7"/>
    <w:rsid w:val="00BA64EC"/>
    <w:rsid w:val="00BB3EB3"/>
    <w:rsid w:val="00BB428F"/>
    <w:rsid w:val="00BD406B"/>
    <w:rsid w:val="00BD632B"/>
    <w:rsid w:val="00BE1333"/>
    <w:rsid w:val="00BE4304"/>
    <w:rsid w:val="00BE728D"/>
    <w:rsid w:val="00BF3B8D"/>
    <w:rsid w:val="00BF4D31"/>
    <w:rsid w:val="00BF5279"/>
    <w:rsid w:val="00BF7BD2"/>
    <w:rsid w:val="00C015D6"/>
    <w:rsid w:val="00C0637C"/>
    <w:rsid w:val="00C12AB7"/>
    <w:rsid w:val="00C131EE"/>
    <w:rsid w:val="00C147F9"/>
    <w:rsid w:val="00C22C72"/>
    <w:rsid w:val="00C31DC1"/>
    <w:rsid w:val="00C425FD"/>
    <w:rsid w:val="00C4556A"/>
    <w:rsid w:val="00C56159"/>
    <w:rsid w:val="00C6042E"/>
    <w:rsid w:val="00C62161"/>
    <w:rsid w:val="00C64E7D"/>
    <w:rsid w:val="00C715E9"/>
    <w:rsid w:val="00C721E5"/>
    <w:rsid w:val="00C73513"/>
    <w:rsid w:val="00C74288"/>
    <w:rsid w:val="00C87B83"/>
    <w:rsid w:val="00C9086F"/>
    <w:rsid w:val="00C922C2"/>
    <w:rsid w:val="00C926FF"/>
    <w:rsid w:val="00C96CD2"/>
    <w:rsid w:val="00CA24A2"/>
    <w:rsid w:val="00CA5AF0"/>
    <w:rsid w:val="00CB0827"/>
    <w:rsid w:val="00CB0A8E"/>
    <w:rsid w:val="00CC3407"/>
    <w:rsid w:val="00CC5242"/>
    <w:rsid w:val="00CE711E"/>
    <w:rsid w:val="00CF4170"/>
    <w:rsid w:val="00D05F84"/>
    <w:rsid w:val="00D06690"/>
    <w:rsid w:val="00D1264D"/>
    <w:rsid w:val="00D1545E"/>
    <w:rsid w:val="00D17F34"/>
    <w:rsid w:val="00D21CEA"/>
    <w:rsid w:val="00D25D50"/>
    <w:rsid w:val="00D27BD3"/>
    <w:rsid w:val="00D3348D"/>
    <w:rsid w:val="00D35271"/>
    <w:rsid w:val="00D42E3E"/>
    <w:rsid w:val="00D60CBD"/>
    <w:rsid w:val="00D62B2B"/>
    <w:rsid w:val="00D747EE"/>
    <w:rsid w:val="00D779B3"/>
    <w:rsid w:val="00D8458B"/>
    <w:rsid w:val="00D857D2"/>
    <w:rsid w:val="00D91D2F"/>
    <w:rsid w:val="00D949D1"/>
    <w:rsid w:val="00D95355"/>
    <w:rsid w:val="00D97E61"/>
    <w:rsid w:val="00DA53EF"/>
    <w:rsid w:val="00DA5973"/>
    <w:rsid w:val="00DB3BB6"/>
    <w:rsid w:val="00DB7D1C"/>
    <w:rsid w:val="00DC16C6"/>
    <w:rsid w:val="00DC3885"/>
    <w:rsid w:val="00DC388F"/>
    <w:rsid w:val="00DC5904"/>
    <w:rsid w:val="00DD04E3"/>
    <w:rsid w:val="00DD6EBC"/>
    <w:rsid w:val="00DE1103"/>
    <w:rsid w:val="00DE5F41"/>
    <w:rsid w:val="00DE69F2"/>
    <w:rsid w:val="00DE7BD0"/>
    <w:rsid w:val="00DF2DBC"/>
    <w:rsid w:val="00DF4754"/>
    <w:rsid w:val="00DF5060"/>
    <w:rsid w:val="00E112A8"/>
    <w:rsid w:val="00E22385"/>
    <w:rsid w:val="00E22E35"/>
    <w:rsid w:val="00E30360"/>
    <w:rsid w:val="00E31096"/>
    <w:rsid w:val="00E358E4"/>
    <w:rsid w:val="00E3594B"/>
    <w:rsid w:val="00E53B7A"/>
    <w:rsid w:val="00E5507C"/>
    <w:rsid w:val="00E6383F"/>
    <w:rsid w:val="00E712DD"/>
    <w:rsid w:val="00E72D74"/>
    <w:rsid w:val="00E734F9"/>
    <w:rsid w:val="00E81A2D"/>
    <w:rsid w:val="00E85A68"/>
    <w:rsid w:val="00E924CF"/>
    <w:rsid w:val="00E93E10"/>
    <w:rsid w:val="00EA3B48"/>
    <w:rsid w:val="00EA41E2"/>
    <w:rsid w:val="00EA4CF6"/>
    <w:rsid w:val="00EB5411"/>
    <w:rsid w:val="00EB6BB6"/>
    <w:rsid w:val="00EB783D"/>
    <w:rsid w:val="00EC0D0B"/>
    <w:rsid w:val="00EC1E3B"/>
    <w:rsid w:val="00EC7CD8"/>
    <w:rsid w:val="00ED65A4"/>
    <w:rsid w:val="00ED78A5"/>
    <w:rsid w:val="00EE240A"/>
    <w:rsid w:val="00EE2C2D"/>
    <w:rsid w:val="00EE431C"/>
    <w:rsid w:val="00EF5B66"/>
    <w:rsid w:val="00F03FAA"/>
    <w:rsid w:val="00F0692B"/>
    <w:rsid w:val="00F114E0"/>
    <w:rsid w:val="00F129A8"/>
    <w:rsid w:val="00F12AF3"/>
    <w:rsid w:val="00F138FF"/>
    <w:rsid w:val="00F15E40"/>
    <w:rsid w:val="00F1743A"/>
    <w:rsid w:val="00F2342C"/>
    <w:rsid w:val="00F23BF3"/>
    <w:rsid w:val="00F2462A"/>
    <w:rsid w:val="00F3154C"/>
    <w:rsid w:val="00F36833"/>
    <w:rsid w:val="00F37FDD"/>
    <w:rsid w:val="00F41351"/>
    <w:rsid w:val="00F4191D"/>
    <w:rsid w:val="00F45E8C"/>
    <w:rsid w:val="00F46C60"/>
    <w:rsid w:val="00F47743"/>
    <w:rsid w:val="00F47A39"/>
    <w:rsid w:val="00F50F40"/>
    <w:rsid w:val="00F5488F"/>
    <w:rsid w:val="00F566CD"/>
    <w:rsid w:val="00F70C20"/>
    <w:rsid w:val="00F72716"/>
    <w:rsid w:val="00F7399A"/>
    <w:rsid w:val="00F81330"/>
    <w:rsid w:val="00F821BC"/>
    <w:rsid w:val="00F84908"/>
    <w:rsid w:val="00F872C4"/>
    <w:rsid w:val="00F87612"/>
    <w:rsid w:val="00F96DDB"/>
    <w:rsid w:val="00F9719E"/>
    <w:rsid w:val="00FA1E7F"/>
    <w:rsid w:val="00FA51F7"/>
    <w:rsid w:val="00FB6CE9"/>
    <w:rsid w:val="00FB727B"/>
    <w:rsid w:val="00FC6583"/>
    <w:rsid w:val="00FC7FB1"/>
    <w:rsid w:val="00FD01AE"/>
    <w:rsid w:val="00FD34A2"/>
    <w:rsid w:val="00FE0C81"/>
    <w:rsid w:val="00FF081C"/>
    <w:rsid w:val="00FF3700"/>
    <w:rsid w:val="00FF5C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C7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Normal">
    <w:name w:val="Normal"/>
    <w:qFormat/>
    <w:rsid w:val="007147E4"/>
    <w:pPr>
      <w:suppressAutoHyphens/>
    </w:pPr>
    <w:rPr>
      <w:rFonts w:ascii="Arial" w:eastAsia="Arial Unicode MS" w:hAnsi="Arial" w:cs="Cambria"/>
      <w:lang w:val="en-GB" w:eastAsia="en-US"/>
    </w:rPr>
  </w:style>
  <w:style w:type="paragraph" w:styleId="Heading1">
    <w:name w:val="heading 1"/>
    <w:basedOn w:val="Header"/>
    <w:next w:val="Header"/>
    <w:link w:val="Heading1Char"/>
    <w:qFormat/>
    <w:rsid w:val="00FF5C71"/>
    <w:pPr>
      <w:keepNext/>
      <w:keepLines/>
      <w:spacing w:before="240"/>
      <w:jc w:val="center"/>
      <w:outlineLvl w:val="0"/>
    </w:pPr>
    <w:rPr>
      <w:rFonts w:ascii="Franklin Gothic Demi" w:eastAsiaTheme="minorEastAsia" w:hAnsi="Franklin Gothic Demi" w:cs="Times New Roman"/>
      <w:b/>
      <w:color w:val="7F7F7F" w:themeColor="text1" w:themeTint="80"/>
      <w:sz w:val="56"/>
      <w:szCs w:val="56"/>
      <w:lang w:eastAsia="it-IT"/>
    </w:rPr>
  </w:style>
  <w:style w:type="paragraph" w:styleId="Heading2">
    <w:name w:val="heading 2"/>
    <w:basedOn w:val="Header"/>
    <w:link w:val="Heading2Char"/>
    <w:qFormat/>
    <w:rsid w:val="00C131EE"/>
    <w:pPr>
      <w:keepNext/>
      <w:keepLines/>
      <w:spacing w:before="40" w:after="120"/>
      <w:outlineLvl w:val="1"/>
    </w:pPr>
    <w:rPr>
      <w:rFonts w:ascii="Franklin Gothic Demi Cond" w:eastAsiaTheme="minorEastAsia" w:hAnsi="Franklin Gothic Demi Cond" w:cs="Beirut"/>
      <w:b/>
      <w:color w:val="000000" w:themeColor="text1"/>
      <w:sz w:val="40"/>
      <w:szCs w:val="40"/>
      <w:lang w:eastAsia="it-IT"/>
    </w:rPr>
  </w:style>
  <w:style w:type="paragraph" w:styleId="Heading3">
    <w:name w:val="heading 3"/>
    <w:basedOn w:val="Header"/>
    <w:link w:val="Heading3Char"/>
    <w:qFormat/>
    <w:rsid w:val="007C6E76"/>
    <w:pPr>
      <w:keepNext/>
      <w:keepLines/>
      <w:spacing w:before="40"/>
      <w:outlineLvl w:val="2"/>
    </w:pPr>
    <w:rPr>
      <w:rFonts w:eastAsiaTheme="majorEastAsia" w:cstheme="majorBidi"/>
      <w:color w:val="323232"/>
      <w:sz w:val="30"/>
    </w:rPr>
  </w:style>
  <w:style w:type="paragraph" w:styleId="Heading4">
    <w:name w:val="heading 4"/>
    <w:basedOn w:val="Header"/>
    <w:link w:val="Heading4Char"/>
    <w:rsid w:val="007C6E76"/>
    <w:pPr>
      <w:keepNext/>
      <w:keepLines/>
      <w:spacing w:before="40"/>
      <w:outlineLvl w:val="3"/>
    </w:pPr>
    <w:rPr>
      <w:rFonts w:eastAsiaTheme="majorEastAsia" w:cstheme="majorBidi"/>
      <w:iCs/>
      <w:color w:val="323232"/>
      <w:sz w:val="28"/>
    </w:rPr>
  </w:style>
  <w:style w:type="paragraph" w:styleId="Heading5">
    <w:name w:val="heading 5"/>
    <w:basedOn w:val="Header"/>
    <w:link w:val="Heading5Char"/>
    <w:rsid w:val="007C6E76"/>
    <w:pPr>
      <w:keepNext/>
      <w:keepLines/>
      <w:spacing w:before="40"/>
      <w:outlineLvl w:val="4"/>
    </w:pPr>
    <w:rPr>
      <w:rFonts w:eastAsiaTheme="majorEastAsia" w:cstheme="majorBidi"/>
      <w:color w:val="323232"/>
      <w:sz w:val="28"/>
    </w:rPr>
  </w:style>
  <w:style w:type="paragraph" w:styleId="Heading6">
    <w:name w:val="heading 6"/>
    <w:basedOn w:val="Header"/>
    <w:link w:val="Heading6Char"/>
    <w:rsid w:val="007C6E76"/>
    <w:pPr>
      <w:keepNext/>
      <w:keepLines/>
      <w:spacing w:before="40"/>
      <w:outlineLvl w:val="5"/>
    </w:pPr>
    <w:rPr>
      <w:rFonts w:eastAsiaTheme="majorEastAsia" w:cstheme="majorBidi"/>
      <w:color w:val="323232"/>
      <w:sz w:val="28"/>
    </w:rPr>
  </w:style>
  <w:style w:type="paragraph" w:styleId="Heading7">
    <w:name w:val="heading 7"/>
    <w:basedOn w:val="Normal"/>
    <w:next w:val="Normal"/>
    <w:link w:val="Heading7Char"/>
    <w:unhideWhenUsed/>
    <w:rsid w:val="007C6E76"/>
    <w:pPr>
      <w:keepNext/>
      <w:keepLines/>
      <w:spacing w:before="40"/>
      <w:outlineLvl w:val="6"/>
    </w:pPr>
    <w:rPr>
      <w:rFonts w:eastAsiaTheme="majorEastAsia" w:cstheme="majorBidi"/>
      <w:iCs/>
      <w:color w:val="323232"/>
    </w:rPr>
  </w:style>
  <w:style w:type="paragraph" w:styleId="Heading8">
    <w:name w:val="heading 8"/>
    <w:basedOn w:val="Header"/>
    <w:next w:val="Heading7"/>
    <w:link w:val="Heading8Char"/>
    <w:semiHidden/>
    <w:unhideWhenUsed/>
    <w:rsid w:val="007C6E76"/>
    <w:pPr>
      <w:keepNext/>
      <w:keepLines/>
      <w:spacing w:before="40"/>
      <w:outlineLvl w:val="7"/>
    </w:pPr>
    <w:rPr>
      <w:rFonts w:eastAsiaTheme="majorEastAsia" w:cstheme="majorBidi"/>
      <w:color w:val="32323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6E76"/>
    <w:rPr>
      <w:rFonts w:ascii="Arial" w:eastAsiaTheme="majorEastAsia" w:hAnsi="Arial" w:cstheme="majorBidi"/>
      <w:color w:val="323232"/>
      <w:sz w:val="30"/>
      <w:lang w:eastAsia="en-US"/>
    </w:rPr>
  </w:style>
  <w:style w:type="paragraph" w:customStyle="1" w:styleId="CodeBlock">
    <w:name w:val="Code Block"/>
    <w:basedOn w:val="Normal"/>
    <w:qFormat/>
    <w:rsid w:val="00813340"/>
    <w:rPr>
      <w:rFonts w:eastAsia="Arial" w:cs="Arial"/>
      <w:color w:val="424242"/>
    </w:rPr>
  </w:style>
  <w:style w:type="character" w:customStyle="1" w:styleId="Heading4Char">
    <w:name w:val="Heading 4 Char"/>
    <w:basedOn w:val="DefaultParagraphFont"/>
    <w:link w:val="Heading4"/>
    <w:rsid w:val="007C6E76"/>
    <w:rPr>
      <w:rFonts w:ascii="Arial" w:eastAsiaTheme="majorEastAsia" w:hAnsi="Arial" w:cstheme="majorBidi"/>
      <w:iCs/>
      <w:color w:val="323232"/>
      <w:sz w:val="28"/>
      <w:lang w:eastAsia="en-US"/>
    </w:rPr>
  </w:style>
  <w:style w:type="paragraph" w:customStyle="1" w:styleId="Index">
    <w:name w:val="Index"/>
    <w:basedOn w:val="Normal"/>
    <w:rsid w:val="002B7A55"/>
    <w:pPr>
      <w:suppressLineNumbers/>
    </w:pPr>
  </w:style>
  <w:style w:type="paragraph" w:styleId="Header">
    <w:name w:val="header"/>
    <w:basedOn w:val="Normal"/>
    <w:link w:val="HeaderChar"/>
    <w:unhideWhenUsed/>
    <w:rsid w:val="00017BBC"/>
    <w:pPr>
      <w:tabs>
        <w:tab w:val="center" w:pos="4819"/>
        <w:tab w:val="right" w:pos="9638"/>
      </w:tabs>
    </w:pPr>
  </w:style>
  <w:style w:type="character" w:customStyle="1" w:styleId="HeaderChar">
    <w:name w:val="Header Char"/>
    <w:basedOn w:val="DefaultParagraphFont"/>
    <w:link w:val="Header"/>
    <w:rsid w:val="00017BBC"/>
    <w:rPr>
      <w:rFonts w:ascii="Cambria" w:eastAsia="Arial Unicode MS" w:hAnsi="Cambria" w:cs="Cambria"/>
      <w:lang w:eastAsia="en-US"/>
    </w:rPr>
  </w:style>
  <w:style w:type="character" w:customStyle="1" w:styleId="Heading5Char">
    <w:name w:val="Heading 5 Char"/>
    <w:basedOn w:val="DefaultParagraphFont"/>
    <w:link w:val="Heading5"/>
    <w:rsid w:val="007C6E76"/>
    <w:rPr>
      <w:rFonts w:ascii="Arial" w:eastAsiaTheme="majorEastAsia" w:hAnsi="Arial" w:cstheme="majorBidi"/>
      <w:color w:val="323232"/>
      <w:sz w:val="28"/>
      <w:lang w:eastAsia="en-US"/>
    </w:rPr>
  </w:style>
  <w:style w:type="character" w:customStyle="1" w:styleId="Heading2Char">
    <w:name w:val="Heading 2 Char"/>
    <w:basedOn w:val="DefaultParagraphFont"/>
    <w:link w:val="Heading2"/>
    <w:rsid w:val="00C131EE"/>
    <w:rPr>
      <w:rFonts w:ascii="Franklin Gothic Demi Cond" w:hAnsi="Franklin Gothic Demi Cond" w:cs="Beirut"/>
      <w:b/>
      <w:color w:val="000000" w:themeColor="text1"/>
      <w:sz w:val="40"/>
      <w:szCs w:val="40"/>
      <w:lang w:val="en-GB"/>
    </w:rPr>
  </w:style>
  <w:style w:type="character" w:customStyle="1" w:styleId="Heading1Char">
    <w:name w:val="Heading 1 Char"/>
    <w:basedOn w:val="DefaultParagraphFont"/>
    <w:link w:val="Heading1"/>
    <w:rsid w:val="00FF5C71"/>
    <w:rPr>
      <w:rFonts w:ascii="Franklin Gothic Demi" w:hAnsi="Franklin Gothic Demi" w:cs="Times New Roman"/>
      <w:b/>
      <w:color w:val="7F7F7F" w:themeColor="text1" w:themeTint="80"/>
      <w:sz w:val="56"/>
      <w:szCs w:val="56"/>
      <w:lang w:val="en-GB"/>
    </w:rPr>
  </w:style>
  <w:style w:type="character" w:customStyle="1" w:styleId="Heading6Char">
    <w:name w:val="Heading 6 Char"/>
    <w:basedOn w:val="DefaultParagraphFont"/>
    <w:link w:val="Heading6"/>
    <w:rsid w:val="007C6E76"/>
    <w:rPr>
      <w:rFonts w:ascii="Arial" w:eastAsiaTheme="majorEastAsia" w:hAnsi="Arial" w:cstheme="majorBidi"/>
      <w:color w:val="323232"/>
      <w:sz w:val="28"/>
      <w:lang w:eastAsia="en-US"/>
    </w:rPr>
  </w:style>
  <w:style w:type="character" w:customStyle="1" w:styleId="Heading7Char">
    <w:name w:val="Heading 7 Char"/>
    <w:basedOn w:val="DefaultParagraphFont"/>
    <w:link w:val="Heading7"/>
    <w:rsid w:val="007C6E76"/>
    <w:rPr>
      <w:rFonts w:ascii="Arial" w:eastAsiaTheme="majorEastAsia" w:hAnsi="Arial" w:cstheme="majorBidi"/>
      <w:iCs/>
      <w:color w:val="323232"/>
      <w:lang w:eastAsia="en-US"/>
    </w:rPr>
  </w:style>
  <w:style w:type="character" w:customStyle="1" w:styleId="Heading8Char">
    <w:name w:val="Heading 8 Char"/>
    <w:basedOn w:val="DefaultParagraphFont"/>
    <w:link w:val="Heading8"/>
    <w:semiHidden/>
    <w:rsid w:val="007C6E76"/>
    <w:rPr>
      <w:rFonts w:ascii="Arial" w:eastAsiaTheme="majorEastAsia" w:hAnsi="Arial" w:cstheme="majorBidi"/>
      <w:color w:val="323232"/>
      <w:sz w:val="21"/>
      <w:szCs w:val="21"/>
      <w:lang w:eastAsia="en-US"/>
    </w:rPr>
  </w:style>
  <w:style w:type="character" w:styleId="Hyperlink">
    <w:name w:val="Hyperlink"/>
    <w:basedOn w:val="DefaultParagraphFont"/>
    <w:qFormat/>
    <w:rsid w:val="0057740A"/>
    <w:rPr>
      <w:color w:val="0000FF" w:themeColor="hyperlink"/>
      <w:u w:val="single"/>
    </w:rPr>
  </w:style>
  <w:style w:type="paragraph" w:styleId="ListParagraph">
    <w:name w:val="List Paragraph"/>
    <w:basedOn w:val="Normal"/>
    <w:rsid w:val="00B808CD"/>
    <w:pPr>
      <w:ind w:left="720"/>
      <w:contextualSpacing/>
    </w:pPr>
  </w:style>
  <w:style w:type="paragraph" w:styleId="Quote">
    <w:name w:val="Quote"/>
    <w:basedOn w:val="Normal"/>
    <w:next w:val="Normal"/>
    <w:link w:val="QuoteChar"/>
    <w:rsid w:val="00595F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595F40"/>
    <w:rPr>
      <w:rFonts w:ascii="Arial" w:eastAsia="Arial Unicode MS" w:hAnsi="Arial" w:cs="Cambria"/>
      <w:i/>
      <w:iCs/>
      <w:color w:val="404040" w:themeColor="text1" w:themeTint="BF"/>
      <w:lang w:eastAsia="en-US"/>
    </w:rPr>
  </w:style>
  <w:style w:type="paragraph" w:customStyle="1" w:styleId="MainText">
    <w:name w:val="Main Text"/>
    <w:basedOn w:val="CodeBlock"/>
    <w:qFormat/>
    <w:rsid w:val="007311D0"/>
    <w:pPr>
      <w:spacing w:afterLines="120" w:after="288" w:line="360" w:lineRule="auto"/>
    </w:pPr>
    <w:rPr>
      <w:rFonts w:ascii="Franklin Gothic Book" w:hAnsi="Franklin Gothic Book" w:cs="Beirut"/>
      <w:color w:val="000000" w:themeColor="text1"/>
      <w:sz w:val="28"/>
      <w:szCs w:val="28"/>
      <w:lang w:eastAsia="it-IT"/>
    </w:rPr>
  </w:style>
  <w:style w:type="paragraph" w:customStyle="1" w:styleId="Quotations">
    <w:name w:val="Quotations"/>
    <w:basedOn w:val="MainText"/>
    <w:qFormat/>
    <w:rsid w:val="009B6478"/>
    <w:pPr>
      <w:ind w:left="567"/>
    </w:pPr>
    <w:rPr>
      <w:iCs/>
      <w:sz w:val="22"/>
      <w:szCs w:val="22"/>
    </w:rPr>
  </w:style>
  <w:style w:type="paragraph" w:styleId="FootnoteText">
    <w:name w:val="footnote text"/>
    <w:basedOn w:val="Normal"/>
    <w:link w:val="FootnoteTextChar"/>
    <w:semiHidden/>
    <w:unhideWhenUsed/>
    <w:rsid w:val="007F37AF"/>
    <w:rPr>
      <w:sz w:val="20"/>
      <w:szCs w:val="20"/>
    </w:rPr>
  </w:style>
  <w:style w:type="character" w:customStyle="1" w:styleId="FootnoteTextChar">
    <w:name w:val="Footnote Text Char"/>
    <w:basedOn w:val="DefaultParagraphFont"/>
    <w:link w:val="FootnoteText"/>
    <w:semiHidden/>
    <w:rsid w:val="007F37AF"/>
    <w:rPr>
      <w:rFonts w:ascii="Arial" w:eastAsia="Arial Unicode MS" w:hAnsi="Arial" w:cs="Cambria"/>
      <w:sz w:val="20"/>
      <w:szCs w:val="20"/>
      <w:lang w:eastAsia="en-US"/>
    </w:rPr>
  </w:style>
  <w:style w:type="character" w:styleId="FootnoteReference">
    <w:name w:val="footnote reference"/>
    <w:basedOn w:val="DefaultParagraphFont"/>
    <w:semiHidden/>
    <w:unhideWhenUsed/>
    <w:rsid w:val="007F37AF"/>
    <w:rPr>
      <w:vertAlign w:val="superscript"/>
    </w:rPr>
  </w:style>
  <w:style w:type="paragraph" w:styleId="EndnoteText">
    <w:name w:val="endnote text"/>
    <w:basedOn w:val="Normal"/>
    <w:link w:val="EndnoteTextChar"/>
    <w:uiPriority w:val="99"/>
    <w:unhideWhenUsed/>
    <w:rsid w:val="007F37AF"/>
    <w:rPr>
      <w:sz w:val="20"/>
      <w:szCs w:val="20"/>
    </w:rPr>
  </w:style>
  <w:style w:type="character" w:customStyle="1" w:styleId="EndnoteTextChar">
    <w:name w:val="Endnote Text Char"/>
    <w:basedOn w:val="DefaultParagraphFont"/>
    <w:link w:val="EndnoteText"/>
    <w:uiPriority w:val="99"/>
    <w:rsid w:val="007F37AF"/>
    <w:rPr>
      <w:rFonts w:ascii="Arial" w:eastAsia="Arial Unicode MS" w:hAnsi="Arial" w:cs="Cambria"/>
      <w:sz w:val="20"/>
      <w:szCs w:val="20"/>
      <w:lang w:eastAsia="en-US"/>
    </w:rPr>
  </w:style>
  <w:style w:type="character" w:styleId="EndnoteReference">
    <w:name w:val="endnote reference"/>
    <w:basedOn w:val="DefaultParagraphFont"/>
    <w:semiHidden/>
    <w:unhideWhenUsed/>
    <w:rsid w:val="007F37AF"/>
    <w:rPr>
      <w:vertAlign w:val="superscript"/>
    </w:rPr>
  </w:style>
  <w:style w:type="paragraph" w:styleId="Footer">
    <w:name w:val="footer"/>
    <w:basedOn w:val="Normal"/>
    <w:link w:val="FooterChar"/>
    <w:unhideWhenUsed/>
    <w:rsid w:val="00201B23"/>
    <w:pPr>
      <w:tabs>
        <w:tab w:val="center" w:pos="4680"/>
        <w:tab w:val="right" w:pos="9360"/>
      </w:tabs>
    </w:pPr>
  </w:style>
  <w:style w:type="character" w:customStyle="1" w:styleId="FooterChar">
    <w:name w:val="Footer Char"/>
    <w:basedOn w:val="DefaultParagraphFont"/>
    <w:link w:val="Footer"/>
    <w:rsid w:val="00201B23"/>
    <w:rPr>
      <w:rFonts w:ascii="Arial" w:eastAsia="Arial Unicode MS" w:hAnsi="Arial" w:cs="Cambria"/>
      <w:lang w:eastAsia="en-US"/>
    </w:rPr>
  </w:style>
  <w:style w:type="character" w:styleId="PageNumber">
    <w:name w:val="page number"/>
    <w:basedOn w:val="DefaultParagraphFont"/>
    <w:semiHidden/>
    <w:unhideWhenUsed/>
    <w:rsid w:val="00201B23"/>
  </w:style>
  <w:style w:type="paragraph" w:styleId="NormalWeb">
    <w:name w:val="Normal (Web)"/>
    <w:basedOn w:val="Normal"/>
    <w:uiPriority w:val="99"/>
    <w:unhideWhenUsed/>
    <w:rsid w:val="00ED78A5"/>
    <w:rPr>
      <w:rFonts w:ascii="Times New Roman" w:hAnsi="Times New Roman" w:cs="Times New Roman"/>
    </w:rPr>
  </w:style>
  <w:style w:type="character" w:styleId="UnresolvedMention">
    <w:name w:val="Unresolved Mention"/>
    <w:basedOn w:val="DefaultParagraphFont"/>
    <w:rsid w:val="003431F1"/>
    <w:rPr>
      <w:color w:val="605E5C"/>
      <w:shd w:val="clear" w:color="auto" w:fill="E1DFDD"/>
    </w:rPr>
  </w:style>
  <w:style w:type="character" w:styleId="PlaceholderText">
    <w:name w:val="Placeholder Text"/>
    <w:basedOn w:val="DefaultParagraphFont"/>
    <w:rsid w:val="009B6478"/>
    <w:rPr>
      <w:color w:val="808080"/>
    </w:rPr>
  </w:style>
  <w:style w:type="paragraph" w:customStyle="1" w:styleId="Endnotes">
    <w:name w:val="Endnotes"/>
    <w:basedOn w:val="EndnoteText"/>
    <w:qFormat/>
    <w:rsid w:val="0045347C"/>
    <w:pPr>
      <w:spacing w:after="60" w:line="320" w:lineRule="exact"/>
    </w:pPr>
    <w:rPr>
      <w:rFonts w:ascii="Franklin Gothic Book" w:hAnsi="Franklin Gothic Book" w:cs="Times New Roman"/>
      <w:sz w:val="24"/>
      <w:szCs w:val="22"/>
    </w:rPr>
  </w:style>
  <w:style w:type="paragraph" w:styleId="BalloonText">
    <w:name w:val="Balloon Text"/>
    <w:basedOn w:val="Normal"/>
    <w:link w:val="BalloonTextChar"/>
    <w:semiHidden/>
    <w:unhideWhenUsed/>
    <w:rsid w:val="00484EC1"/>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484EC1"/>
    <w:rPr>
      <w:rFonts w:ascii="Times New Roman" w:eastAsia="Arial Unicode MS" w:hAnsi="Times New Roman" w:cs="Times New Roman"/>
      <w:sz w:val="18"/>
      <w:szCs w:val="18"/>
      <w:lang w:val="en-GB" w:eastAsia="en-US"/>
    </w:rPr>
  </w:style>
  <w:style w:type="character" w:customStyle="1" w:styleId="apple-converted-space">
    <w:name w:val="apple-converted-space"/>
    <w:basedOn w:val="DefaultParagraphFont"/>
    <w:rsid w:val="00B9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717">
      <w:bodyDiv w:val="1"/>
      <w:marLeft w:val="0"/>
      <w:marRight w:val="0"/>
      <w:marTop w:val="0"/>
      <w:marBottom w:val="0"/>
      <w:divBdr>
        <w:top w:val="none" w:sz="0" w:space="0" w:color="auto"/>
        <w:left w:val="none" w:sz="0" w:space="0" w:color="auto"/>
        <w:bottom w:val="none" w:sz="0" w:space="0" w:color="auto"/>
        <w:right w:val="none" w:sz="0" w:space="0" w:color="auto"/>
      </w:divBdr>
    </w:div>
    <w:div w:id="36511649">
      <w:bodyDiv w:val="1"/>
      <w:marLeft w:val="0"/>
      <w:marRight w:val="0"/>
      <w:marTop w:val="0"/>
      <w:marBottom w:val="0"/>
      <w:divBdr>
        <w:top w:val="none" w:sz="0" w:space="0" w:color="auto"/>
        <w:left w:val="none" w:sz="0" w:space="0" w:color="auto"/>
        <w:bottom w:val="none" w:sz="0" w:space="0" w:color="auto"/>
        <w:right w:val="none" w:sz="0" w:space="0" w:color="auto"/>
      </w:divBdr>
      <w:divsChild>
        <w:div w:id="340595974">
          <w:marLeft w:val="0"/>
          <w:marRight w:val="0"/>
          <w:marTop w:val="0"/>
          <w:marBottom w:val="0"/>
          <w:divBdr>
            <w:top w:val="none" w:sz="0" w:space="0" w:color="auto"/>
            <w:left w:val="none" w:sz="0" w:space="0" w:color="auto"/>
            <w:bottom w:val="none" w:sz="0" w:space="0" w:color="auto"/>
            <w:right w:val="none" w:sz="0" w:space="0" w:color="auto"/>
          </w:divBdr>
          <w:divsChild>
            <w:div w:id="67969527">
              <w:marLeft w:val="0"/>
              <w:marRight w:val="0"/>
              <w:marTop w:val="0"/>
              <w:marBottom w:val="0"/>
              <w:divBdr>
                <w:top w:val="none" w:sz="0" w:space="0" w:color="auto"/>
                <w:left w:val="none" w:sz="0" w:space="0" w:color="auto"/>
                <w:bottom w:val="none" w:sz="0" w:space="0" w:color="auto"/>
                <w:right w:val="none" w:sz="0" w:space="0" w:color="auto"/>
              </w:divBdr>
              <w:divsChild>
                <w:div w:id="2085881720">
                  <w:marLeft w:val="0"/>
                  <w:marRight w:val="0"/>
                  <w:marTop w:val="0"/>
                  <w:marBottom w:val="0"/>
                  <w:divBdr>
                    <w:top w:val="none" w:sz="0" w:space="0" w:color="auto"/>
                    <w:left w:val="none" w:sz="0" w:space="0" w:color="auto"/>
                    <w:bottom w:val="none" w:sz="0" w:space="0" w:color="auto"/>
                    <w:right w:val="none" w:sz="0" w:space="0" w:color="auto"/>
                  </w:divBdr>
                  <w:divsChild>
                    <w:div w:id="1113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362">
      <w:bodyDiv w:val="1"/>
      <w:marLeft w:val="0"/>
      <w:marRight w:val="0"/>
      <w:marTop w:val="0"/>
      <w:marBottom w:val="0"/>
      <w:divBdr>
        <w:top w:val="none" w:sz="0" w:space="0" w:color="auto"/>
        <w:left w:val="none" w:sz="0" w:space="0" w:color="auto"/>
        <w:bottom w:val="none" w:sz="0" w:space="0" w:color="auto"/>
        <w:right w:val="none" w:sz="0" w:space="0" w:color="auto"/>
      </w:divBdr>
      <w:divsChild>
        <w:div w:id="1663044425">
          <w:marLeft w:val="0"/>
          <w:marRight w:val="0"/>
          <w:marTop w:val="0"/>
          <w:marBottom w:val="75"/>
          <w:divBdr>
            <w:top w:val="none" w:sz="0" w:space="0" w:color="auto"/>
            <w:left w:val="none" w:sz="0" w:space="0" w:color="auto"/>
            <w:bottom w:val="none" w:sz="0" w:space="0" w:color="auto"/>
            <w:right w:val="none" w:sz="0" w:space="0" w:color="auto"/>
          </w:divBdr>
        </w:div>
        <w:div w:id="1968924966">
          <w:marLeft w:val="0"/>
          <w:marRight w:val="0"/>
          <w:marTop w:val="0"/>
          <w:marBottom w:val="120"/>
          <w:divBdr>
            <w:top w:val="none" w:sz="0" w:space="0" w:color="auto"/>
            <w:left w:val="none" w:sz="0" w:space="0" w:color="auto"/>
            <w:bottom w:val="none" w:sz="0" w:space="0" w:color="auto"/>
            <w:right w:val="none" w:sz="0" w:space="0" w:color="auto"/>
          </w:divBdr>
        </w:div>
      </w:divsChild>
    </w:div>
    <w:div w:id="75059956">
      <w:bodyDiv w:val="1"/>
      <w:marLeft w:val="0"/>
      <w:marRight w:val="0"/>
      <w:marTop w:val="0"/>
      <w:marBottom w:val="0"/>
      <w:divBdr>
        <w:top w:val="none" w:sz="0" w:space="0" w:color="auto"/>
        <w:left w:val="none" w:sz="0" w:space="0" w:color="auto"/>
        <w:bottom w:val="none" w:sz="0" w:space="0" w:color="auto"/>
        <w:right w:val="none" w:sz="0" w:space="0" w:color="auto"/>
      </w:divBdr>
    </w:div>
    <w:div w:id="108402369">
      <w:bodyDiv w:val="1"/>
      <w:marLeft w:val="0"/>
      <w:marRight w:val="0"/>
      <w:marTop w:val="0"/>
      <w:marBottom w:val="0"/>
      <w:divBdr>
        <w:top w:val="none" w:sz="0" w:space="0" w:color="auto"/>
        <w:left w:val="none" w:sz="0" w:space="0" w:color="auto"/>
        <w:bottom w:val="none" w:sz="0" w:space="0" w:color="auto"/>
        <w:right w:val="none" w:sz="0" w:space="0" w:color="auto"/>
      </w:divBdr>
      <w:divsChild>
        <w:div w:id="1029644330">
          <w:marLeft w:val="0"/>
          <w:marRight w:val="0"/>
          <w:marTop w:val="0"/>
          <w:marBottom w:val="0"/>
          <w:divBdr>
            <w:top w:val="none" w:sz="0" w:space="0" w:color="auto"/>
            <w:left w:val="none" w:sz="0" w:space="0" w:color="auto"/>
            <w:bottom w:val="none" w:sz="0" w:space="0" w:color="auto"/>
            <w:right w:val="none" w:sz="0" w:space="0" w:color="auto"/>
          </w:divBdr>
          <w:divsChild>
            <w:div w:id="523059446">
              <w:marLeft w:val="0"/>
              <w:marRight w:val="0"/>
              <w:marTop w:val="0"/>
              <w:marBottom w:val="0"/>
              <w:divBdr>
                <w:top w:val="none" w:sz="0" w:space="0" w:color="auto"/>
                <w:left w:val="none" w:sz="0" w:space="0" w:color="auto"/>
                <w:bottom w:val="none" w:sz="0" w:space="0" w:color="auto"/>
                <w:right w:val="none" w:sz="0" w:space="0" w:color="auto"/>
              </w:divBdr>
              <w:divsChild>
                <w:div w:id="1114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995">
      <w:bodyDiv w:val="1"/>
      <w:marLeft w:val="0"/>
      <w:marRight w:val="0"/>
      <w:marTop w:val="0"/>
      <w:marBottom w:val="0"/>
      <w:divBdr>
        <w:top w:val="none" w:sz="0" w:space="0" w:color="auto"/>
        <w:left w:val="none" w:sz="0" w:space="0" w:color="auto"/>
        <w:bottom w:val="none" w:sz="0" w:space="0" w:color="auto"/>
        <w:right w:val="none" w:sz="0" w:space="0" w:color="auto"/>
      </w:divBdr>
      <w:divsChild>
        <w:div w:id="1714887862">
          <w:marLeft w:val="0"/>
          <w:marRight w:val="0"/>
          <w:marTop w:val="0"/>
          <w:marBottom w:val="0"/>
          <w:divBdr>
            <w:top w:val="none" w:sz="0" w:space="0" w:color="auto"/>
            <w:left w:val="none" w:sz="0" w:space="0" w:color="auto"/>
            <w:bottom w:val="none" w:sz="0" w:space="0" w:color="auto"/>
            <w:right w:val="none" w:sz="0" w:space="0" w:color="auto"/>
          </w:divBdr>
          <w:divsChild>
            <w:div w:id="1963071505">
              <w:marLeft w:val="0"/>
              <w:marRight w:val="0"/>
              <w:marTop w:val="0"/>
              <w:marBottom w:val="0"/>
              <w:divBdr>
                <w:top w:val="none" w:sz="0" w:space="0" w:color="auto"/>
                <w:left w:val="none" w:sz="0" w:space="0" w:color="auto"/>
                <w:bottom w:val="none" w:sz="0" w:space="0" w:color="auto"/>
                <w:right w:val="none" w:sz="0" w:space="0" w:color="auto"/>
              </w:divBdr>
              <w:divsChild>
                <w:div w:id="1062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3218">
      <w:bodyDiv w:val="1"/>
      <w:marLeft w:val="0"/>
      <w:marRight w:val="0"/>
      <w:marTop w:val="0"/>
      <w:marBottom w:val="0"/>
      <w:divBdr>
        <w:top w:val="none" w:sz="0" w:space="0" w:color="auto"/>
        <w:left w:val="none" w:sz="0" w:space="0" w:color="auto"/>
        <w:bottom w:val="none" w:sz="0" w:space="0" w:color="auto"/>
        <w:right w:val="none" w:sz="0" w:space="0" w:color="auto"/>
      </w:divBdr>
      <w:divsChild>
        <w:div w:id="1010713598">
          <w:marLeft w:val="0"/>
          <w:marRight w:val="0"/>
          <w:marTop w:val="0"/>
          <w:marBottom w:val="0"/>
          <w:divBdr>
            <w:top w:val="none" w:sz="0" w:space="0" w:color="auto"/>
            <w:left w:val="none" w:sz="0" w:space="0" w:color="auto"/>
            <w:bottom w:val="none" w:sz="0" w:space="0" w:color="auto"/>
            <w:right w:val="none" w:sz="0" w:space="0" w:color="auto"/>
          </w:divBdr>
          <w:divsChild>
            <w:div w:id="358285317">
              <w:marLeft w:val="0"/>
              <w:marRight w:val="0"/>
              <w:marTop w:val="0"/>
              <w:marBottom w:val="0"/>
              <w:divBdr>
                <w:top w:val="none" w:sz="0" w:space="0" w:color="auto"/>
                <w:left w:val="none" w:sz="0" w:space="0" w:color="auto"/>
                <w:bottom w:val="none" w:sz="0" w:space="0" w:color="auto"/>
                <w:right w:val="none" w:sz="0" w:space="0" w:color="auto"/>
              </w:divBdr>
              <w:divsChild>
                <w:div w:id="5561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3970">
      <w:bodyDiv w:val="1"/>
      <w:marLeft w:val="0"/>
      <w:marRight w:val="0"/>
      <w:marTop w:val="0"/>
      <w:marBottom w:val="0"/>
      <w:divBdr>
        <w:top w:val="none" w:sz="0" w:space="0" w:color="auto"/>
        <w:left w:val="none" w:sz="0" w:space="0" w:color="auto"/>
        <w:bottom w:val="none" w:sz="0" w:space="0" w:color="auto"/>
        <w:right w:val="none" w:sz="0" w:space="0" w:color="auto"/>
      </w:divBdr>
      <w:divsChild>
        <w:div w:id="1432236189">
          <w:marLeft w:val="0"/>
          <w:marRight w:val="0"/>
          <w:marTop w:val="0"/>
          <w:marBottom w:val="0"/>
          <w:divBdr>
            <w:top w:val="none" w:sz="0" w:space="0" w:color="auto"/>
            <w:left w:val="none" w:sz="0" w:space="0" w:color="auto"/>
            <w:bottom w:val="none" w:sz="0" w:space="0" w:color="auto"/>
            <w:right w:val="none" w:sz="0" w:space="0" w:color="auto"/>
          </w:divBdr>
          <w:divsChild>
            <w:div w:id="1346443635">
              <w:marLeft w:val="0"/>
              <w:marRight w:val="0"/>
              <w:marTop w:val="0"/>
              <w:marBottom w:val="0"/>
              <w:divBdr>
                <w:top w:val="none" w:sz="0" w:space="0" w:color="auto"/>
                <w:left w:val="none" w:sz="0" w:space="0" w:color="auto"/>
                <w:bottom w:val="none" w:sz="0" w:space="0" w:color="auto"/>
                <w:right w:val="none" w:sz="0" w:space="0" w:color="auto"/>
              </w:divBdr>
              <w:divsChild>
                <w:div w:id="21031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1530">
      <w:bodyDiv w:val="1"/>
      <w:marLeft w:val="0"/>
      <w:marRight w:val="0"/>
      <w:marTop w:val="0"/>
      <w:marBottom w:val="0"/>
      <w:divBdr>
        <w:top w:val="none" w:sz="0" w:space="0" w:color="auto"/>
        <w:left w:val="none" w:sz="0" w:space="0" w:color="auto"/>
        <w:bottom w:val="none" w:sz="0" w:space="0" w:color="auto"/>
        <w:right w:val="none" w:sz="0" w:space="0" w:color="auto"/>
      </w:divBdr>
    </w:div>
    <w:div w:id="439490358">
      <w:bodyDiv w:val="1"/>
      <w:marLeft w:val="0"/>
      <w:marRight w:val="0"/>
      <w:marTop w:val="0"/>
      <w:marBottom w:val="0"/>
      <w:divBdr>
        <w:top w:val="none" w:sz="0" w:space="0" w:color="auto"/>
        <w:left w:val="none" w:sz="0" w:space="0" w:color="auto"/>
        <w:bottom w:val="none" w:sz="0" w:space="0" w:color="auto"/>
        <w:right w:val="none" w:sz="0" w:space="0" w:color="auto"/>
      </w:divBdr>
      <w:divsChild>
        <w:div w:id="385763477">
          <w:marLeft w:val="0"/>
          <w:marRight w:val="0"/>
          <w:marTop w:val="0"/>
          <w:marBottom w:val="0"/>
          <w:divBdr>
            <w:top w:val="none" w:sz="0" w:space="0" w:color="auto"/>
            <w:left w:val="none" w:sz="0" w:space="0" w:color="auto"/>
            <w:bottom w:val="none" w:sz="0" w:space="0" w:color="auto"/>
            <w:right w:val="none" w:sz="0" w:space="0" w:color="auto"/>
          </w:divBdr>
          <w:divsChild>
            <w:div w:id="708994773">
              <w:marLeft w:val="0"/>
              <w:marRight w:val="0"/>
              <w:marTop w:val="0"/>
              <w:marBottom w:val="0"/>
              <w:divBdr>
                <w:top w:val="none" w:sz="0" w:space="0" w:color="auto"/>
                <w:left w:val="none" w:sz="0" w:space="0" w:color="auto"/>
                <w:bottom w:val="none" w:sz="0" w:space="0" w:color="auto"/>
                <w:right w:val="none" w:sz="0" w:space="0" w:color="auto"/>
              </w:divBdr>
              <w:divsChild>
                <w:div w:id="1669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4020">
      <w:bodyDiv w:val="1"/>
      <w:marLeft w:val="0"/>
      <w:marRight w:val="0"/>
      <w:marTop w:val="0"/>
      <w:marBottom w:val="0"/>
      <w:divBdr>
        <w:top w:val="none" w:sz="0" w:space="0" w:color="auto"/>
        <w:left w:val="none" w:sz="0" w:space="0" w:color="auto"/>
        <w:bottom w:val="none" w:sz="0" w:space="0" w:color="auto"/>
        <w:right w:val="none" w:sz="0" w:space="0" w:color="auto"/>
      </w:divBdr>
      <w:divsChild>
        <w:div w:id="525796290">
          <w:marLeft w:val="0"/>
          <w:marRight w:val="0"/>
          <w:marTop w:val="0"/>
          <w:marBottom w:val="0"/>
          <w:divBdr>
            <w:top w:val="none" w:sz="0" w:space="0" w:color="auto"/>
            <w:left w:val="none" w:sz="0" w:space="0" w:color="auto"/>
            <w:bottom w:val="none" w:sz="0" w:space="0" w:color="auto"/>
            <w:right w:val="none" w:sz="0" w:space="0" w:color="auto"/>
          </w:divBdr>
          <w:divsChild>
            <w:div w:id="1661886882">
              <w:marLeft w:val="0"/>
              <w:marRight w:val="0"/>
              <w:marTop w:val="0"/>
              <w:marBottom w:val="0"/>
              <w:divBdr>
                <w:top w:val="none" w:sz="0" w:space="0" w:color="auto"/>
                <w:left w:val="none" w:sz="0" w:space="0" w:color="auto"/>
                <w:bottom w:val="none" w:sz="0" w:space="0" w:color="auto"/>
                <w:right w:val="none" w:sz="0" w:space="0" w:color="auto"/>
              </w:divBdr>
              <w:divsChild>
                <w:div w:id="1504465525">
                  <w:marLeft w:val="0"/>
                  <w:marRight w:val="0"/>
                  <w:marTop w:val="0"/>
                  <w:marBottom w:val="0"/>
                  <w:divBdr>
                    <w:top w:val="none" w:sz="0" w:space="0" w:color="auto"/>
                    <w:left w:val="none" w:sz="0" w:space="0" w:color="auto"/>
                    <w:bottom w:val="none" w:sz="0" w:space="0" w:color="auto"/>
                    <w:right w:val="none" w:sz="0" w:space="0" w:color="auto"/>
                  </w:divBdr>
                  <w:divsChild>
                    <w:div w:id="561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2487">
      <w:bodyDiv w:val="1"/>
      <w:marLeft w:val="0"/>
      <w:marRight w:val="0"/>
      <w:marTop w:val="0"/>
      <w:marBottom w:val="0"/>
      <w:divBdr>
        <w:top w:val="none" w:sz="0" w:space="0" w:color="auto"/>
        <w:left w:val="none" w:sz="0" w:space="0" w:color="auto"/>
        <w:bottom w:val="none" w:sz="0" w:space="0" w:color="auto"/>
        <w:right w:val="none" w:sz="0" w:space="0" w:color="auto"/>
      </w:divBdr>
      <w:divsChild>
        <w:div w:id="1444573800">
          <w:marLeft w:val="0"/>
          <w:marRight w:val="0"/>
          <w:marTop w:val="0"/>
          <w:marBottom w:val="0"/>
          <w:divBdr>
            <w:top w:val="none" w:sz="0" w:space="0" w:color="auto"/>
            <w:left w:val="none" w:sz="0" w:space="0" w:color="auto"/>
            <w:bottom w:val="none" w:sz="0" w:space="0" w:color="auto"/>
            <w:right w:val="none" w:sz="0" w:space="0" w:color="auto"/>
          </w:divBdr>
        </w:div>
      </w:divsChild>
    </w:div>
    <w:div w:id="658853185">
      <w:bodyDiv w:val="1"/>
      <w:marLeft w:val="0"/>
      <w:marRight w:val="0"/>
      <w:marTop w:val="0"/>
      <w:marBottom w:val="0"/>
      <w:divBdr>
        <w:top w:val="none" w:sz="0" w:space="0" w:color="auto"/>
        <w:left w:val="none" w:sz="0" w:space="0" w:color="auto"/>
        <w:bottom w:val="none" w:sz="0" w:space="0" w:color="auto"/>
        <w:right w:val="none" w:sz="0" w:space="0" w:color="auto"/>
      </w:divBdr>
    </w:div>
    <w:div w:id="778333539">
      <w:bodyDiv w:val="1"/>
      <w:marLeft w:val="0"/>
      <w:marRight w:val="0"/>
      <w:marTop w:val="0"/>
      <w:marBottom w:val="0"/>
      <w:divBdr>
        <w:top w:val="none" w:sz="0" w:space="0" w:color="auto"/>
        <w:left w:val="none" w:sz="0" w:space="0" w:color="auto"/>
        <w:bottom w:val="none" w:sz="0" w:space="0" w:color="auto"/>
        <w:right w:val="none" w:sz="0" w:space="0" w:color="auto"/>
      </w:divBdr>
      <w:divsChild>
        <w:div w:id="1226834745">
          <w:marLeft w:val="0"/>
          <w:marRight w:val="0"/>
          <w:marTop w:val="0"/>
          <w:marBottom w:val="0"/>
          <w:divBdr>
            <w:top w:val="none" w:sz="0" w:space="0" w:color="auto"/>
            <w:left w:val="none" w:sz="0" w:space="0" w:color="auto"/>
            <w:bottom w:val="none" w:sz="0" w:space="0" w:color="auto"/>
            <w:right w:val="none" w:sz="0" w:space="0" w:color="auto"/>
          </w:divBdr>
          <w:divsChild>
            <w:div w:id="1933783866">
              <w:marLeft w:val="0"/>
              <w:marRight w:val="0"/>
              <w:marTop w:val="0"/>
              <w:marBottom w:val="0"/>
              <w:divBdr>
                <w:top w:val="none" w:sz="0" w:space="0" w:color="auto"/>
                <w:left w:val="none" w:sz="0" w:space="0" w:color="auto"/>
                <w:bottom w:val="none" w:sz="0" w:space="0" w:color="auto"/>
                <w:right w:val="none" w:sz="0" w:space="0" w:color="auto"/>
              </w:divBdr>
              <w:divsChild>
                <w:div w:id="1128283240">
                  <w:marLeft w:val="0"/>
                  <w:marRight w:val="0"/>
                  <w:marTop w:val="0"/>
                  <w:marBottom w:val="0"/>
                  <w:divBdr>
                    <w:top w:val="none" w:sz="0" w:space="0" w:color="auto"/>
                    <w:left w:val="none" w:sz="0" w:space="0" w:color="auto"/>
                    <w:bottom w:val="none" w:sz="0" w:space="0" w:color="auto"/>
                    <w:right w:val="none" w:sz="0" w:space="0" w:color="auto"/>
                  </w:divBdr>
                  <w:divsChild>
                    <w:div w:id="11548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26676">
      <w:bodyDiv w:val="1"/>
      <w:marLeft w:val="0"/>
      <w:marRight w:val="0"/>
      <w:marTop w:val="0"/>
      <w:marBottom w:val="0"/>
      <w:divBdr>
        <w:top w:val="none" w:sz="0" w:space="0" w:color="auto"/>
        <w:left w:val="none" w:sz="0" w:space="0" w:color="auto"/>
        <w:bottom w:val="none" w:sz="0" w:space="0" w:color="auto"/>
        <w:right w:val="none" w:sz="0" w:space="0" w:color="auto"/>
      </w:divBdr>
      <w:divsChild>
        <w:div w:id="52704568">
          <w:marLeft w:val="0"/>
          <w:marRight w:val="0"/>
          <w:marTop w:val="0"/>
          <w:marBottom w:val="0"/>
          <w:divBdr>
            <w:top w:val="none" w:sz="0" w:space="0" w:color="auto"/>
            <w:left w:val="none" w:sz="0" w:space="0" w:color="auto"/>
            <w:bottom w:val="none" w:sz="0" w:space="0" w:color="auto"/>
            <w:right w:val="none" w:sz="0" w:space="0" w:color="auto"/>
          </w:divBdr>
          <w:divsChild>
            <w:div w:id="83575726">
              <w:marLeft w:val="0"/>
              <w:marRight w:val="0"/>
              <w:marTop w:val="0"/>
              <w:marBottom w:val="0"/>
              <w:divBdr>
                <w:top w:val="none" w:sz="0" w:space="0" w:color="auto"/>
                <w:left w:val="none" w:sz="0" w:space="0" w:color="auto"/>
                <w:bottom w:val="none" w:sz="0" w:space="0" w:color="auto"/>
                <w:right w:val="none" w:sz="0" w:space="0" w:color="auto"/>
              </w:divBdr>
              <w:divsChild>
                <w:div w:id="11485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2350">
      <w:bodyDiv w:val="1"/>
      <w:marLeft w:val="0"/>
      <w:marRight w:val="0"/>
      <w:marTop w:val="0"/>
      <w:marBottom w:val="0"/>
      <w:divBdr>
        <w:top w:val="none" w:sz="0" w:space="0" w:color="auto"/>
        <w:left w:val="none" w:sz="0" w:space="0" w:color="auto"/>
        <w:bottom w:val="none" w:sz="0" w:space="0" w:color="auto"/>
        <w:right w:val="none" w:sz="0" w:space="0" w:color="auto"/>
      </w:divBdr>
      <w:divsChild>
        <w:div w:id="1214074700">
          <w:marLeft w:val="0"/>
          <w:marRight w:val="0"/>
          <w:marTop w:val="0"/>
          <w:marBottom w:val="0"/>
          <w:divBdr>
            <w:top w:val="none" w:sz="0" w:space="0" w:color="auto"/>
            <w:left w:val="none" w:sz="0" w:space="0" w:color="auto"/>
            <w:bottom w:val="none" w:sz="0" w:space="0" w:color="auto"/>
            <w:right w:val="none" w:sz="0" w:space="0" w:color="auto"/>
          </w:divBdr>
          <w:divsChild>
            <w:div w:id="958027023">
              <w:marLeft w:val="0"/>
              <w:marRight w:val="0"/>
              <w:marTop w:val="0"/>
              <w:marBottom w:val="0"/>
              <w:divBdr>
                <w:top w:val="none" w:sz="0" w:space="0" w:color="auto"/>
                <w:left w:val="none" w:sz="0" w:space="0" w:color="auto"/>
                <w:bottom w:val="none" w:sz="0" w:space="0" w:color="auto"/>
                <w:right w:val="none" w:sz="0" w:space="0" w:color="auto"/>
              </w:divBdr>
              <w:divsChild>
                <w:div w:id="120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56119">
      <w:bodyDiv w:val="1"/>
      <w:marLeft w:val="0"/>
      <w:marRight w:val="0"/>
      <w:marTop w:val="0"/>
      <w:marBottom w:val="0"/>
      <w:divBdr>
        <w:top w:val="none" w:sz="0" w:space="0" w:color="auto"/>
        <w:left w:val="none" w:sz="0" w:space="0" w:color="auto"/>
        <w:bottom w:val="none" w:sz="0" w:space="0" w:color="auto"/>
        <w:right w:val="none" w:sz="0" w:space="0" w:color="auto"/>
      </w:divBdr>
      <w:divsChild>
        <w:div w:id="1300766393">
          <w:marLeft w:val="0"/>
          <w:marRight w:val="0"/>
          <w:marTop w:val="0"/>
          <w:marBottom w:val="0"/>
          <w:divBdr>
            <w:top w:val="none" w:sz="0" w:space="0" w:color="auto"/>
            <w:left w:val="none" w:sz="0" w:space="0" w:color="auto"/>
            <w:bottom w:val="none" w:sz="0" w:space="0" w:color="auto"/>
            <w:right w:val="none" w:sz="0" w:space="0" w:color="auto"/>
          </w:divBdr>
          <w:divsChild>
            <w:div w:id="369889313">
              <w:marLeft w:val="0"/>
              <w:marRight w:val="0"/>
              <w:marTop w:val="0"/>
              <w:marBottom w:val="0"/>
              <w:divBdr>
                <w:top w:val="none" w:sz="0" w:space="0" w:color="auto"/>
                <w:left w:val="none" w:sz="0" w:space="0" w:color="auto"/>
                <w:bottom w:val="none" w:sz="0" w:space="0" w:color="auto"/>
                <w:right w:val="none" w:sz="0" w:space="0" w:color="auto"/>
              </w:divBdr>
              <w:divsChild>
                <w:div w:id="254167823">
                  <w:marLeft w:val="0"/>
                  <w:marRight w:val="0"/>
                  <w:marTop w:val="0"/>
                  <w:marBottom w:val="0"/>
                  <w:divBdr>
                    <w:top w:val="none" w:sz="0" w:space="0" w:color="auto"/>
                    <w:left w:val="none" w:sz="0" w:space="0" w:color="auto"/>
                    <w:bottom w:val="none" w:sz="0" w:space="0" w:color="auto"/>
                    <w:right w:val="none" w:sz="0" w:space="0" w:color="auto"/>
                  </w:divBdr>
                  <w:divsChild>
                    <w:div w:id="4085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08517">
      <w:bodyDiv w:val="1"/>
      <w:marLeft w:val="0"/>
      <w:marRight w:val="0"/>
      <w:marTop w:val="0"/>
      <w:marBottom w:val="0"/>
      <w:divBdr>
        <w:top w:val="none" w:sz="0" w:space="0" w:color="auto"/>
        <w:left w:val="none" w:sz="0" w:space="0" w:color="auto"/>
        <w:bottom w:val="none" w:sz="0" w:space="0" w:color="auto"/>
        <w:right w:val="none" w:sz="0" w:space="0" w:color="auto"/>
      </w:divBdr>
      <w:divsChild>
        <w:div w:id="1329938271">
          <w:marLeft w:val="0"/>
          <w:marRight w:val="0"/>
          <w:marTop w:val="0"/>
          <w:marBottom w:val="0"/>
          <w:divBdr>
            <w:top w:val="none" w:sz="0" w:space="0" w:color="auto"/>
            <w:left w:val="none" w:sz="0" w:space="0" w:color="auto"/>
            <w:bottom w:val="none" w:sz="0" w:space="0" w:color="auto"/>
            <w:right w:val="none" w:sz="0" w:space="0" w:color="auto"/>
          </w:divBdr>
          <w:divsChild>
            <w:div w:id="83772576">
              <w:marLeft w:val="0"/>
              <w:marRight w:val="0"/>
              <w:marTop w:val="0"/>
              <w:marBottom w:val="0"/>
              <w:divBdr>
                <w:top w:val="none" w:sz="0" w:space="0" w:color="auto"/>
                <w:left w:val="none" w:sz="0" w:space="0" w:color="auto"/>
                <w:bottom w:val="none" w:sz="0" w:space="0" w:color="auto"/>
                <w:right w:val="none" w:sz="0" w:space="0" w:color="auto"/>
              </w:divBdr>
              <w:divsChild>
                <w:div w:id="106051798">
                  <w:marLeft w:val="0"/>
                  <w:marRight w:val="0"/>
                  <w:marTop w:val="0"/>
                  <w:marBottom w:val="0"/>
                  <w:divBdr>
                    <w:top w:val="none" w:sz="0" w:space="0" w:color="auto"/>
                    <w:left w:val="none" w:sz="0" w:space="0" w:color="auto"/>
                    <w:bottom w:val="none" w:sz="0" w:space="0" w:color="auto"/>
                    <w:right w:val="none" w:sz="0" w:space="0" w:color="auto"/>
                  </w:divBdr>
                  <w:divsChild>
                    <w:div w:id="18208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22171">
      <w:bodyDiv w:val="1"/>
      <w:marLeft w:val="0"/>
      <w:marRight w:val="0"/>
      <w:marTop w:val="0"/>
      <w:marBottom w:val="0"/>
      <w:divBdr>
        <w:top w:val="none" w:sz="0" w:space="0" w:color="auto"/>
        <w:left w:val="none" w:sz="0" w:space="0" w:color="auto"/>
        <w:bottom w:val="none" w:sz="0" w:space="0" w:color="auto"/>
        <w:right w:val="none" w:sz="0" w:space="0" w:color="auto"/>
      </w:divBdr>
      <w:divsChild>
        <w:div w:id="675771828">
          <w:marLeft w:val="0"/>
          <w:marRight w:val="0"/>
          <w:marTop w:val="0"/>
          <w:marBottom w:val="0"/>
          <w:divBdr>
            <w:top w:val="none" w:sz="0" w:space="0" w:color="auto"/>
            <w:left w:val="none" w:sz="0" w:space="0" w:color="auto"/>
            <w:bottom w:val="none" w:sz="0" w:space="0" w:color="auto"/>
            <w:right w:val="none" w:sz="0" w:space="0" w:color="auto"/>
          </w:divBdr>
          <w:divsChild>
            <w:div w:id="91437595">
              <w:marLeft w:val="0"/>
              <w:marRight w:val="0"/>
              <w:marTop w:val="0"/>
              <w:marBottom w:val="0"/>
              <w:divBdr>
                <w:top w:val="none" w:sz="0" w:space="0" w:color="auto"/>
                <w:left w:val="none" w:sz="0" w:space="0" w:color="auto"/>
                <w:bottom w:val="none" w:sz="0" w:space="0" w:color="auto"/>
                <w:right w:val="none" w:sz="0" w:space="0" w:color="auto"/>
              </w:divBdr>
              <w:divsChild>
                <w:div w:id="1542979814">
                  <w:marLeft w:val="0"/>
                  <w:marRight w:val="0"/>
                  <w:marTop w:val="0"/>
                  <w:marBottom w:val="0"/>
                  <w:divBdr>
                    <w:top w:val="none" w:sz="0" w:space="0" w:color="auto"/>
                    <w:left w:val="none" w:sz="0" w:space="0" w:color="auto"/>
                    <w:bottom w:val="none" w:sz="0" w:space="0" w:color="auto"/>
                    <w:right w:val="none" w:sz="0" w:space="0" w:color="auto"/>
                  </w:divBdr>
                  <w:divsChild>
                    <w:div w:id="6978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81286">
      <w:bodyDiv w:val="1"/>
      <w:marLeft w:val="0"/>
      <w:marRight w:val="0"/>
      <w:marTop w:val="0"/>
      <w:marBottom w:val="0"/>
      <w:divBdr>
        <w:top w:val="none" w:sz="0" w:space="0" w:color="auto"/>
        <w:left w:val="none" w:sz="0" w:space="0" w:color="auto"/>
        <w:bottom w:val="none" w:sz="0" w:space="0" w:color="auto"/>
        <w:right w:val="none" w:sz="0" w:space="0" w:color="auto"/>
      </w:divBdr>
    </w:div>
    <w:div w:id="1006059694">
      <w:bodyDiv w:val="1"/>
      <w:marLeft w:val="0"/>
      <w:marRight w:val="0"/>
      <w:marTop w:val="0"/>
      <w:marBottom w:val="0"/>
      <w:divBdr>
        <w:top w:val="none" w:sz="0" w:space="0" w:color="auto"/>
        <w:left w:val="none" w:sz="0" w:space="0" w:color="auto"/>
        <w:bottom w:val="none" w:sz="0" w:space="0" w:color="auto"/>
        <w:right w:val="none" w:sz="0" w:space="0" w:color="auto"/>
      </w:divBdr>
    </w:div>
    <w:div w:id="1069230108">
      <w:bodyDiv w:val="1"/>
      <w:marLeft w:val="0"/>
      <w:marRight w:val="0"/>
      <w:marTop w:val="0"/>
      <w:marBottom w:val="0"/>
      <w:divBdr>
        <w:top w:val="none" w:sz="0" w:space="0" w:color="auto"/>
        <w:left w:val="none" w:sz="0" w:space="0" w:color="auto"/>
        <w:bottom w:val="none" w:sz="0" w:space="0" w:color="auto"/>
        <w:right w:val="none" w:sz="0" w:space="0" w:color="auto"/>
      </w:divBdr>
    </w:div>
    <w:div w:id="1119494071">
      <w:bodyDiv w:val="1"/>
      <w:marLeft w:val="0"/>
      <w:marRight w:val="0"/>
      <w:marTop w:val="0"/>
      <w:marBottom w:val="0"/>
      <w:divBdr>
        <w:top w:val="none" w:sz="0" w:space="0" w:color="auto"/>
        <w:left w:val="none" w:sz="0" w:space="0" w:color="auto"/>
        <w:bottom w:val="none" w:sz="0" w:space="0" w:color="auto"/>
        <w:right w:val="none" w:sz="0" w:space="0" w:color="auto"/>
      </w:divBdr>
      <w:divsChild>
        <w:div w:id="208155183">
          <w:marLeft w:val="0"/>
          <w:marRight w:val="0"/>
          <w:marTop w:val="0"/>
          <w:marBottom w:val="0"/>
          <w:divBdr>
            <w:top w:val="none" w:sz="0" w:space="0" w:color="auto"/>
            <w:left w:val="none" w:sz="0" w:space="0" w:color="auto"/>
            <w:bottom w:val="none" w:sz="0" w:space="0" w:color="auto"/>
            <w:right w:val="none" w:sz="0" w:space="0" w:color="auto"/>
          </w:divBdr>
          <w:divsChild>
            <w:div w:id="1421101992">
              <w:marLeft w:val="0"/>
              <w:marRight w:val="0"/>
              <w:marTop w:val="0"/>
              <w:marBottom w:val="0"/>
              <w:divBdr>
                <w:top w:val="none" w:sz="0" w:space="0" w:color="auto"/>
                <w:left w:val="none" w:sz="0" w:space="0" w:color="auto"/>
                <w:bottom w:val="none" w:sz="0" w:space="0" w:color="auto"/>
                <w:right w:val="none" w:sz="0" w:space="0" w:color="auto"/>
              </w:divBdr>
              <w:divsChild>
                <w:div w:id="1810779697">
                  <w:marLeft w:val="0"/>
                  <w:marRight w:val="0"/>
                  <w:marTop w:val="0"/>
                  <w:marBottom w:val="0"/>
                  <w:divBdr>
                    <w:top w:val="none" w:sz="0" w:space="0" w:color="auto"/>
                    <w:left w:val="none" w:sz="0" w:space="0" w:color="auto"/>
                    <w:bottom w:val="none" w:sz="0" w:space="0" w:color="auto"/>
                    <w:right w:val="none" w:sz="0" w:space="0" w:color="auto"/>
                  </w:divBdr>
                  <w:divsChild>
                    <w:div w:id="21071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45328">
      <w:bodyDiv w:val="1"/>
      <w:marLeft w:val="0"/>
      <w:marRight w:val="0"/>
      <w:marTop w:val="0"/>
      <w:marBottom w:val="0"/>
      <w:divBdr>
        <w:top w:val="none" w:sz="0" w:space="0" w:color="auto"/>
        <w:left w:val="none" w:sz="0" w:space="0" w:color="auto"/>
        <w:bottom w:val="none" w:sz="0" w:space="0" w:color="auto"/>
        <w:right w:val="none" w:sz="0" w:space="0" w:color="auto"/>
      </w:divBdr>
    </w:div>
    <w:div w:id="1141312452">
      <w:bodyDiv w:val="1"/>
      <w:marLeft w:val="0"/>
      <w:marRight w:val="0"/>
      <w:marTop w:val="0"/>
      <w:marBottom w:val="0"/>
      <w:divBdr>
        <w:top w:val="none" w:sz="0" w:space="0" w:color="auto"/>
        <w:left w:val="none" w:sz="0" w:space="0" w:color="auto"/>
        <w:bottom w:val="none" w:sz="0" w:space="0" w:color="auto"/>
        <w:right w:val="none" w:sz="0" w:space="0" w:color="auto"/>
      </w:divBdr>
      <w:divsChild>
        <w:div w:id="2123527675">
          <w:marLeft w:val="0"/>
          <w:marRight w:val="0"/>
          <w:marTop w:val="0"/>
          <w:marBottom w:val="0"/>
          <w:divBdr>
            <w:top w:val="none" w:sz="0" w:space="0" w:color="auto"/>
            <w:left w:val="none" w:sz="0" w:space="0" w:color="auto"/>
            <w:bottom w:val="none" w:sz="0" w:space="0" w:color="auto"/>
            <w:right w:val="none" w:sz="0" w:space="0" w:color="auto"/>
          </w:divBdr>
          <w:divsChild>
            <w:div w:id="1745637198">
              <w:marLeft w:val="0"/>
              <w:marRight w:val="0"/>
              <w:marTop w:val="0"/>
              <w:marBottom w:val="0"/>
              <w:divBdr>
                <w:top w:val="none" w:sz="0" w:space="0" w:color="auto"/>
                <w:left w:val="none" w:sz="0" w:space="0" w:color="auto"/>
                <w:bottom w:val="none" w:sz="0" w:space="0" w:color="auto"/>
                <w:right w:val="none" w:sz="0" w:space="0" w:color="auto"/>
              </w:divBdr>
              <w:divsChild>
                <w:div w:id="12075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674">
      <w:bodyDiv w:val="1"/>
      <w:marLeft w:val="0"/>
      <w:marRight w:val="0"/>
      <w:marTop w:val="0"/>
      <w:marBottom w:val="0"/>
      <w:divBdr>
        <w:top w:val="none" w:sz="0" w:space="0" w:color="auto"/>
        <w:left w:val="none" w:sz="0" w:space="0" w:color="auto"/>
        <w:bottom w:val="none" w:sz="0" w:space="0" w:color="auto"/>
        <w:right w:val="none" w:sz="0" w:space="0" w:color="auto"/>
      </w:divBdr>
    </w:div>
    <w:div w:id="1182430628">
      <w:bodyDiv w:val="1"/>
      <w:marLeft w:val="0"/>
      <w:marRight w:val="0"/>
      <w:marTop w:val="0"/>
      <w:marBottom w:val="0"/>
      <w:divBdr>
        <w:top w:val="none" w:sz="0" w:space="0" w:color="auto"/>
        <w:left w:val="none" w:sz="0" w:space="0" w:color="auto"/>
        <w:bottom w:val="none" w:sz="0" w:space="0" w:color="auto"/>
        <w:right w:val="none" w:sz="0" w:space="0" w:color="auto"/>
      </w:divBdr>
    </w:div>
    <w:div w:id="1199971377">
      <w:bodyDiv w:val="1"/>
      <w:marLeft w:val="0"/>
      <w:marRight w:val="0"/>
      <w:marTop w:val="0"/>
      <w:marBottom w:val="0"/>
      <w:divBdr>
        <w:top w:val="none" w:sz="0" w:space="0" w:color="auto"/>
        <w:left w:val="none" w:sz="0" w:space="0" w:color="auto"/>
        <w:bottom w:val="none" w:sz="0" w:space="0" w:color="auto"/>
        <w:right w:val="none" w:sz="0" w:space="0" w:color="auto"/>
      </w:divBdr>
    </w:div>
    <w:div w:id="1223101329">
      <w:bodyDiv w:val="1"/>
      <w:marLeft w:val="0"/>
      <w:marRight w:val="0"/>
      <w:marTop w:val="0"/>
      <w:marBottom w:val="0"/>
      <w:divBdr>
        <w:top w:val="none" w:sz="0" w:space="0" w:color="auto"/>
        <w:left w:val="none" w:sz="0" w:space="0" w:color="auto"/>
        <w:bottom w:val="none" w:sz="0" w:space="0" w:color="auto"/>
        <w:right w:val="none" w:sz="0" w:space="0" w:color="auto"/>
      </w:divBdr>
    </w:div>
    <w:div w:id="139797334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sChild>
        <w:div w:id="1069618753">
          <w:marLeft w:val="0"/>
          <w:marRight w:val="0"/>
          <w:marTop w:val="0"/>
          <w:marBottom w:val="0"/>
          <w:divBdr>
            <w:top w:val="none" w:sz="0" w:space="0" w:color="auto"/>
            <w:left w:val="none" w:sz="0" w:space="0" w:color="auto"/>
            <w:bottom w:val="none" w:sz="0" w:space="0" w:color="auto"/>
            <w:right w:val="none" w:sz="0" w:space="0" w:color="auto"/>
          </w:divBdr>
          <w:divsChild>
            <w:div w:id="424957229">
              <w:marLeft w:val="0"/>
              <w:marRight w:val="0"/>
              <w:marTop w:val="0"/>
              <w:marBottom w:val="0"/>
              <w:divBdr>
                <w:top w:val="none" w:sz="0" w:space="0" w:color="auto"/>
                <w:left w:val="none" w:sz="0" w:space="0" w:color="auto"/>
                <w:bottom w:val="none" w:sz="0" w:space="0" w:color="auto"/>
                <w:right w:val="none" w:sz="0" w:space="0" w:color="auto"/>
              </w:divBdr>
              <w:divsChild>
                <w:div w:id="13042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33045">
      <w:bodyDiv w:val="1"/>
      <w:marLeft w:val="0"/>
      <w:marRight w:val="0"/>
      <w:marTop w:val="0"/>
      <w:marBottom w:val="0"/>
      <w:divBdr>
        <w:top w:val="none" w:sz="0" w:space="0" w:color="auto"/>
        <w:left w:val="none" w:sz="0" w:space="0" w:color="auto"/>
        <w:bottom w:val="none" w:sz="0" w:space="0" w:color="auto"/>
        <w:right w:val="none" w:sz="0" w:space="0" w:color="auto"/>
      </w:divBdr>
    </w:div>
    <w:div w:id="1503424689">
      <w:bodyDiv w:val="1"/>
      <w:marLeft w:val="0"/>
      <w:marRight w:val="0"/>
      <w:marTop w:val="0"/>
      <w:marBottom w:val="0"/>
      <w:divBdr>
        <w:top w:val="none" w:sz="0" w:space="0" w:color="auto"/>
        <w:left w:val="none" w:sz="0" w:space="0" w:color="auto"/>
        <w:bottom w:val="none" w:sz="0" w:space="0" w:color="auto"/>
        <w:right w:val="none" w:sz="0" w:space="0" w:color="auto"/>
      </w:divBdr>
      <w:divsChild>
        <w:div w:id="1857577770">
          <w:marLeft w:val="0"/>
          <w:marRight w:val="0"/>
          <w:marTop w:val="0"/>
          <w:marBottom w:val="0"/>
          <w:divBdr>
            <w:top w:val="none" w:sz="0" w:space="0" w:color="auto"/>
            <w:left w:val="none" w:sz="0" w:space="0" w:color="auto"/>
            <w:bottom w:val="none" w:sz="0" w:space="0" w:color="auto"/>
            <w:right w:val="none" w:sz="0" w:space="0" w:color="auto"/>
          </w:divBdr>
          <w:divsChild>
            <w:div w:id="525606270">
              <w:marLeft w:val="0"/>
              <w:marRight w:val="0"/>
              <w:marTop w:val="0"/>
              <w:marBottom w:val="0"/>
              <w:divBdr>
                <w:top w:val="none" w:sz="0" w:space="0" w:color="auto"/>
                <w:left w:val="none" w:sz="0" w:space="0" w:color="auto"/>
                <w:bottom w:val="none" w:sz="0" w:space="0" w:color="auto"/>
                <w:right w:val="none" w:sz="0" w:space="0" w:color="auto"/>
              </w:divBdr>
              <w:divsChild>
                <w:div w:id="3718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58894">
      <w:bodyDiv w:val="1"/>
      <w:marLeft w:val="0"/>
      <w:marRight w:val="0"/>
      <w:marTop w:val="0"/>
      <w:marBottom w:val="0"/>
      <w:divBdr>
        <w:top w:val="none" w:sz="0" w:space="0" w:color="auto"/>
        <w:left w:val="none" w:sz="0" w:space="0" w:color="auto"/>
        <w:bottom w:val="none" w:sz="0" w:space="0" w:color="auto"/>
        <w:right w:val="none" w:sz="0" w:space="0" w:color="auto"/>
      </w:divBdr>
    </w:div>
    <w:div w:id="1539204065">
      <w:bodyDiv w:val="1"/>
      <w:marLeft w:val="0"/>
      <w:marRight w:val="0"/>
      <w:marTop w:val="0"/>
      <w:marBottom w:val="0"/>
      <w:divBdr>
        <w:top w:val="none" w:sz="0" w:space="0" w:color="auto"/>
        <w:left w:val="none" w:sz="0" w:space="0" w:color="auto"/>
        <w:bottom w:val="none" w:sz="0" w:space="0" w:color="auto"/>
        <w:right w:val="none" w:sz="0" w:space="0" w:color="auto"/>
      </w:divBdr>
      <w:divsChild>
        <w:div w:id="1430202587">
          <w:marLeft w:val="0"/>
          <w:marRight w:val="0"/>
          <w:marTop w:val="0"/>
          <w:marBottom w:val="0"/>
          <w:divBdr>
            <w:top w:val="none" w:sz="0" w:space="0" w:color="auto"/>
            <w:left w:val="none" w:sz="0" w:space="0" w:color="auto"/>
            <w:bottom w:val="none" w:sz="0" w:space="0" w:color="auto"/>
            <w:right w:val="none" w:sz="0" w:space="0" w:color="auto"/>
          </w:divBdr>
          <w:divsChild>
            <w:div w:id="679549165">
              <w:marLeft w:val="0"/>
              <w:marRight w:val="0"/>
              <w:marTop w:val="0"/>
              <w:marBottom w:val="0"/>
              <w:divBdr>
                <w:top w:val="none" w:sz="0" w:space="0" w:color="auto"/>
                <w:left w:val="none" w:sz="0" w:space="0" w:color="auto"/>
                <w:bottom w:val="none" w:sz="0" w:space="0" w:color="auto"/>
                <w:right w:val="none" w:sz="0" w:space="0" w:color="auto"/>
              </w:divBdr>
              <w:divsChild>
                <w:div w:id="15033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5583">
      <w:bodyDiv w:val="1"/>
      <w:marLeft w:val="0"/>
      <w:marRight w:val="0"/>
      <w:marTop w:val="0"/>
      <w:marBottom w:val="0"/>
      <w:divBdr>
        <w:top w:val="none" w:sz="0" w:space="0" w:color="auto"/>
        <w:left w:val="none" w:sz="0" w:space="0" w:color="auto"/>
        <w:bottom w:val="none" w:sz="0" w:space="0" w:color="auto"/>
        <w:right w:val="none" w:sz="0" w:space="0" w:color="auto"/>
      </w:divBdr>
      <w:divsChild>
        <w:div w:id="58485256">
          <w:marLeft w:val="0"/>
          <w:marRight w:val="0"/>
          <w:marTop w:val="0"/>
          <w:marBottom w:val="0"/>
          <w:divBdr>
            <w:top w:val="none" w:sz="0" w:space="0" w:color="auto"/>
            <w:left w:val="none" w:sz="0" w:space="0" w:color="auto"/>
            <w:bottom w:val="none" w:sz="0" w:space="0" w:color="auto"/>
            <w:right w:val="none" w:sz="0" w:space="0" w:color="auto"/>
          </w:divBdr>
          <w:divsChild>
            <w:div w:id="767121147">
              <w:marLeft w:val="0"/>
              <w:marRight w:val="0"/>
              <w:marTop w:val="0"/>
              <w:marBottom w:val="0"/>
              <w:divBdr>
                <w:top w:val="none" w:sz="0" w:space="0" w:color="auto"/>
                <w:left w:val="none" w:sz="0" w:space="0" w:color="auto"/>
                <w:bottom w:val="none" w:sz="0" w:space="0" w:color="auto"/>
                <w:right w:val="none" w:sz="0" w:space="0" w:color="auto"/>
              </w:divBdr>
              <w:divsChild>
                <w:div w:id="3476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8035">
      <w:bodyDiv w:val="1"/>
      <w:marLeft w:val="0"/>
      <w:marRight w:val="0"/>
      <w:marTop w:val="0"/>
      <w:marBottom w:val="0"/>
      <w:divBdr>
        <w:top w:val="none" w:sz="0" w:space="0" w:color="auto"/>
        <w:left w:val="none" w:sz="0" w:space="0" w:color="auto"/>
        <w:bottom w:val="none" w:sz="0" w:space="0" w:color="auto"/>
        <w:right w:val="none" w:sz="0" w:space="0" w:color="auto"/>
      </w:divBdr>
      <w:divsChild>
        <w:div w:id="2104449013">
          <w:marLeft w:val="0"/>
          <w:marRight w:val="0"/>
          <w:marTop w:val="0"/>
          <w:marBottom w:val="0"/>
          <w:divBdr>
            <w:top w:val="none" w:sz="0" w:space="0" w:color="auto"/>
            <w:left w:val="none" w:sz="0" w:space="0" w:color="auto"/>
            <w:bottom w:val="none" w:sz="0" w:space="0" w:color="auto"/>
            <w:right w:val="none" w:sz="0" w:space="0" w:color="auto"/>
          </w:divBdr>
          <w:divsChild>
            <w:div w:id="1921987851">
              <w:marLeft w:val="0"/>
              <w:marRight w:val="0"/>
              <w:marTop w:val="0"/>
              <w:marBottom w:val="0"/>
              <w:divBdr>
                <w:top w:val="none" w:sz="0" w:space="0" w:color="auto"/>
                <w:left w:val="none" w:sz="0" w:space="0" w:color="auto"/>
                <w:bottom w:val="none" w:sz="0" w:space="0" w:color="auto"/>
                <w:right w:val="none" w:sz="0" w:space="0" w:color="auto"/>
              </w:divBdr>
              <w:divsChild>
                <w:div w:id="10993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4186">
      <w:bodyDiv w:val="1"/>
      <w:marLeft w:val="0"/>
      <w:marRight w:val="0"/>
      <w:marTop w:val="0"/>
      <w:marBottom w:val="0"/>
      <w:divBdr>
        <w:top w:val="none" w:sz="0" w:space="0" w:color="auto"/>
        <w:left w:val="none" w:sz="0" w:space="0" w:color="auto"/>
        <w:bottom w:val="none" w:sz="0" w:space="0" w:color="auto"/>
        <w:right w:val="none" w:sz="0" w:space="0" w:color="auto"/>
      </w:divBdr>
      <w:divsChild>
        <w:div w:id="1791588220">
          <w:marLeft w:val="0"/>
          <w:marRight w:val="0"/>
          <w:marTop w:val="0"/>
          <w:marBottom w:val="0"/>
          <w:divBdr>
            <w:top w:val="none" w:sz="0" w:space="0" w:color="auto"/>
            <w:left w:val="none" w:sz="0" w:space="0" w:color="auto"/>
            <w:bottom w:val="none" w:sz="0" w:space="0" w:color="auto"/>
            <w:right w:val="none" w:sz="0" w:space="0" w:color="auto"/>
          </w:divBdr>
          <w:divsChild>
            <w:div w:id="838621036">
              <w:marLeft w:val="0"/>
              <w:marRight w:val="0"/>
              <w:marTop w:val="0"/>
              <w:marBottom w:val="0"/>
              <w:divBdr>
                <w:top w:val="none" w:sz="0" w:space="0" w:color="auto"/>
                <w:left w:val="none" w:sz="0" w:space="0" w:color="auto"/>
                <w:bottom w:val="none" w:sz="0" w:space="0" w:color="auto"/>
                <w:right w:val="none" w:sz="0" w:space="0" w:color="auto"/>
              </w:divBdr>
              <w:divsChild>
                <w:div w:id="9369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0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doi.org/10.1111/nana.12401" TargetMode="External"/><Relationship Id="rId1" Type="http://schemas.openxmlformats.org/officeDocument/2006/relationships/hyperlink" Target="http://www.norberteliasfoundation.nl/docs/pdf/GoudsblomDiscontent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2E301-2928-604B-BD9C-191CD4D2CE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8811</Words>
  <Characters>50225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Aristotle Kallis</cp:lastModifiedBy>
  <cp:revision>2</cp:revision>
  <dcterms:created xsi:type="dcterms:W3CDTF">2019-09-07T14:50:00Z</dcterms:created>
  <dcterms:modified xsi:type="dcterms:W3CDTF">2019-09-07T14:50:00Z</dcterms:modified>
</cp:coreProperties>
</file>