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91" w:rsidRPr="005A0D68" w:rsidRDefault="00D02A91" w:rsidP="00D02A91">
      <w:pPr>
        <w:spacing w:line="360" w:lineRule="auto"/>
        <w:jc w:val="center"/>
        <w:rPr>
          <w:rFonts w:ascii="Times New Roman" w:eastAsia="Times New Roman" w:hAnsi="Times New Roman" w:cs="Times New Roman"/>
          <w:b/>
          <w:sz w:val="24"/>
          <w:szCs w:val="24"/>
          <w:lang w:eastAsia="en-GB"/>
        </w:rPr>
      </w:pPr>
      <w:r w:rsidRPr="005A0D68">
        <w:rPr>
          <w:rFonts w:ascii="Times New Roman" w:eastAsia="Times New Roman" w:hAnsi="Times New Roman" w:cs="Times New Roman"/>
          <w:b/>
          <w:sz w:val="24"/>
          <w:szCs w:val="24"/>
          <w:lang w:eastAsia="en-GB"/>
        </w:rPr>
        <w:t>Charitable Purposes, Demonstrable Benefit and the Role of the Charity Commission:</w:t>
      </w:r>
    </w:p>
    <w:p w:rsidR="00D02A91" w:rsidRPr="005A0D68" w:rsidRDefault="00D02A91" w:rsidP="00D02A91">
      <w:pPr>
        <w:spacing w:after="0" w:line="480" w:lineRule="auto"/>
        <w:jc w:val="center"/>
        <w:rPr>
          <w:rFonts w:ascii="Times New Roman" w:eastAsia="Times New Roman" w:hAnsi="Times New Roman" w:cs="Times New Roman"/>
          <w:b/>
          <w:sz w:val="24"/>
          <w:szCs w:val="24"/>
          <w:lang w:eastAsia="en-GB"/>
        </w:rPr>
      </w:pPr>
      <w:r w:rsidRPr="005A0D68">
        <w:rPr>
          <w:rFonts w:ascii="Times New Roman" w:eastAsia="Times New Roman" w:hAnsi="Times New Roman" w:cs="Times New Roman"/>
          <w:b/>
          <w:sz w:val="24"/>
          <w:szCs w:val="24"/>
          <w:lang w:eastAsia="en-GB"/>
        </w:rPr>
        <w:t xml:space="preserve">The Fourth </w:t>
      </w:r>
      <w:r w:rsidRPr="005A0D68">
        <w:rPr>
          <w:rFonts w:ascii="Times New Roman" w:eastAsia="Times New Roman" w:hAnsi="Times New Roman" w:cs="Times New Roman"/>
          <w:b/>
          <w:i/>
          <w:sz w:val="24"/>
          <w:szCs w:val="24"/>
          <w:lang w:eastAsia="en-GB"/>
        </w:rPr>
        <w:t>Pemsel</w:t>
      </w:r>
      <w:r w:rsidRPr="005A0D68">
        <w:rPr>
          <w:rFonts w:ascii="Times New Roman" w:eastAsia="Times New Roman" w:hAnsi="Times New Roman" w:cs="Times New Roman"/>
          <w:b/>
          <w:sz w:val="24"/>
          <w:szCs w:val="24"/>
          <w:lang w:eastAsia="en-GB"/>
        </w:rPr>
        <w:t xml:space="preserve"> Head Recast</w:t>
      </w:r>
    </w:p>
    <w:p w:rsidR="00EA1B63" w:rsidRDefault="00BC6B65" w:rsidP="00D02A91">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w:t>
      </w:r>
    </w:p>
    <w:p w:rsidR="00BC6B65" w:rsidRDefault="00BC6B65" w:rsidP="00D02A91">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Lara </w:t>
      </w:r>
      <w:proofErr w:type="spellStart"/>
      <w:r>
        <w:rPr>
          <w:rFonts w:ascii="Times New Roman" w:eastAsia="Times New Roman" w:hAnsi="Times New Roman" w:cs="Times New Roman"/>
          <w:sz w:val="24"/>
          <w:szCs w:val="24"/>
          <w:lang w:eastAsia="en-GB"/>
        </w:rPr>
        <w:t>McMurtry</w:t>
      </w:r>
      <w:proofErr w:type="spellEnd"/>
    </w:p>
    <w:p w:rsidR="00BC6B65" w:rsidRPr="005A0D68" w:rsidRDefault="00BC6B65" w:rsidP="00D02A91">
      <w:pPr>
        <w:spacing w:after="0" w:line="480" w:lineRule="auto"/>
        <w:jc w:val="center"/>
        <w:rPr>
          <w:rFonts w:ascii="Times New Roman" w:eastAsia="Times New Roman" w:hAnsi="Times New Roman" w:cs="Times New Roman"/>
          <w:sz w:val="24"/>
          <w:szCs w:val="24"/>
          <w:lang w:eastAsia="en-GB"/>
        </w:rPr>
      </w:pPr>
    </w:p>
    <w:p w:rsidR="001F5C7C" w:rsidRPr="005A0D68" w:rsidRDefault="005F4EBB">
      <w:pPr>
        <w:spacing w:after="0" w:line="480" w:lineRule="auto"/>
        <w:jc w:val="center"/>
        <w:rPr>
          <w:rFonts w:ascii="Times New Roman" w:eastAsia="Times New Roman" w:hAnsi="Times New Roman" w:cs="Times New Roman"/>
          <w:b/>
          <w:sz w:val="24"/>
          <w:szCs w:val="24"/>
          <w:lang w:eastAsia="en-GB"/>
        </w:rPr>
      </w:pPr>
      <w:r w:rsidRPr="005A0D68">
        <w:rPr>
          <w:rFonts w:ascii="Times New Roman" w:eastAsia="Times New Roman" w:hAnsi="Times New Roman" w:cs="Times New Roman"/>
          <w:b/>
          <w:sz w:val="24"/>
          <w:szCs w:val="24"/>
          <w:lang w:eastAsia="en-GB"/>
        </w:rPr>
        <w:t>Introduction</w:t>
      </w:r>
    </w:p>
    <w:p w:rsidR="001F5C7C" w:rsidRPr="005A0D68" w:rsidRDefault="00D02A91">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 xml:space="preserve">Under the fourfold classification of charity formulated by Lord Macnaghten in </w:t>
      </w:r>
      <w:r w:rsidRPr="005A0D68">
        <w:rPr>
          <w:rFonts w:ascii="Times New Roman" w:hAnsi="Times New Roman" w:cs="Times New Roman"/>
          <w:i/>
          <w:iCs/>
          <w:sz w:val="24"/>
          <w:szCs w:val="24"/>
        </w:rPr>
        <w:t>Commissioners for Special Purposes of the Income Tax v Pemsel</w:t>
      </w:r>
      <w:r w:rsidRPr="005A0D68">
        <w:rPr>
          <w:rFonts w:ascii="Times New Roman" w:hAnsi="Times New Roman" w:cs="Times New Roman"/>
          <w:iCs/>
          <w:sz w:val="24"/>
          <w:szCs w:val="24"/>
        </w:rPr>
        <w:t>,</w:t>
      </w:r>
      <w:r w:rsidRPr="005A0D68">
        <w:rPr>
          <w:rStyle w:val="FootnoteReference"/>
          <w:rFonts w:ascii="Times New Roman" w:hAnsi="Times New Roman" w:cs="Times New Roman"/>
          <w:sz w:val="24"/>
          <w:szCs w:val="24"/>
        </w:rPr>
        <w:footnoteReference w:id="1"/>
      </w:r>
      <w:r w:rsidRPr="005A0D68">
        <w:rPr>
          <w:rFonts w:ascii="Times New Roman" w:hAnsi="Times New Roman" w:cs="Times New Roman"/>
          <w:sz w:val="24"/>
          <w:szCs w:val="24"/>
        </w:rPr>
        <w:t xml:space="preserve"> the final head focused upon ‘other purposes beneficial to the community’. Until its </w:t>
      </w:r>
      <w:r w:rsidR="00C26A07" w:rsidRPr="005A0D68">
        <w:rPr>
          <w:rFonts w:ascii="Times New Roman" w:hAnsi="Times New Roman" w:cs="Times New Roman"/>
          <w:sz w:val="24"/>
          <w:szCs w:val="24"/>
        </w:rPr>
        <w:t>demise</w:t>
      </w:r>
      <w:r w:rsidRPr="005A0D68">
        <w:rPr>
          <w:rFonts w:ascii="Times New Roman" w:hAnsi="Times New Roman" w:cs="Times New Roman"/>
          <w:sz w:val="24"/>
          <w:szCs w:val="24"/>
        </w:rPr>
        <w:t xml:space="preserve"> </w:t>
      </w:r>
      <w:r w:rsidR="00C26A07" w:rsidRPr="005A0D68">
        <w:rPr>
          <w:rFonts w:ascii="Times New Roman" w:hAnsi="Times New Roman" w:cs="Times New Roman"/>
          <w:sz w:val="24"/>
          <w:szCs w:val="24"/>
        </w:rPr>
        <w:t>brought about by t</w:t>
      </w:r>
      <w:r w:rsidRPr="005A0D68">
        <w:rPr>
          <w:rFonts w:ascii="Times New Roman" w:hAnsi="Times New Roman" w:cs="Times New Roman"/>
          <w:sz w:val="24"/>
          <w:szCs w:val="24"/>
        </w:rPr>
        <w:t>he Charities Act 2006,</w:t>
      </w:r>
      <w:r w:rsidRPr="005A0D68">
        <w:rPr>
          <w:rStyle w:val="FootnoteReference"/>
          <w:rFonts w:ascii="Times New Roman" w:hAnsi="Times New Roman" w:cs="Times New Roman"/>
          <w:sz w:val="24"/>
          <w:szCs w:val="24"/>
        </w:rPr>
        <w:footnoteReference w:id="2"/>
      </w:r>
      <w:r w:rsidRPr="005A0D68">
        <w:rPr>
          <w:rFonts w:ascii="Times New Roman" w:hAnsi="Times New Roman" w:cs="Times New Roman"/>
          <w:sz w:val="24"/>
          <w:szCs w:val="24"/>
        </w:rPr>
        <w:t xml:space="preserve">  this dis</w:t>
      </w:r>
      <w:r w:rsidR="00C26A07" w:rsidRPr="005A0D68">
        <w:rPr>
          <w:rFonts w:ascii="Times New Roman" w:hAnsi="Times New Roman" w:cs="Times New Roman"/>
          <w:sz w:val="24"/>
          <w:szCs w:val="24"/>
        </w:rPr>
        <w:t>crete</w:t>
      </w:r>
      <w:r w:rsidRPr="005A0D68">
        <w:rPr>
          <w:rFonts w:ascii="Times New Roman" w:hAnsi="Times New Roman" w:cs="Times New Roman"/>
          <w:sz w:val="24"/>
          <w:szCs w:val="24"/>
        </w:rPr>
        <w:t xml:space="preserve"> category </w:t>
      </w:r>
      <w:r w:rsidR="00C26A07" w:rsidRPr="005A0D68">
        <w:rPr>
          <w:rFonts w:ascii="Times New Roman" w:hAnsi="Times New Roman" w:cs="Times New Roman"/>
          <w:sz w:val="24"/>
          <w:szCs w:val="24"/>
        </w:rPr>
        <w:t>offered</w:t>
      </w:r>
      <w:r w:rsidRPr="005A0D68">
        <w:rPr>
          <w:rFonts w:ascii="Times New Roman" w:hAnsi="Times New Roman" w:cs="Times New Roman"/>
          <w:sz w:val="24"/>
          <w:szCs w:val="24"/>
        </w:rPr>
        <w:t xml:space="preserve"> a repository for </w:t>
      </w:r>
      <w:r w:rsidR="00C26A07" w:rsidRPr="005A0D68">
        <w:rPr>
          <w:rFonts w:ascii="Times New Roman" w:hAnsi="Times New Roman" w:cs="Times New Roman"/>
          <w:sz w:val="24"/>
          <w:szCs w:val="24"/>
        </w:rPr>
        <w:t>the</w:t>
      </w:r>
      <w:r w:rsidRPr="005A0D68">
        <w:rPr>
          <w:rFonts w:ascii="Times New Roman" w:hAnsi="Times New Roman" w:cs="Times New Roman"/>
          <w:sz w:val="24"/>
          <w:szCs w:val="24"/>
        </w:rPr>
        <w:t xml:space="preserve"> diverse grouping of purposes deemed charitable at law and </w:t>
      </w:r>
      <w:r w:rsidR="00C26A07" w:rsidRPr="005A0D68">
        <w:rPr>
          <w:rFonts w:ascii="Times New Roman" w:hAnsi="Times New Roman" w:cs="Times New Roman"/>
          <w:sz w:val="24"/>
          <w:szCs w:val="24"/>
        </w:rPr>
        <w:t xml:space="preserve">outside </w:t>
      </w:r>
      <w:r w:rsidRPr="005A0D68">
        <w:rPr>
          <w:rFonts w:ascii="Times New Roman" w:hAnsi="Times New Roman" w:cs="Times New Roman"/>
          <w:sz w:val="24"/>
          <w:szCs w:val="24"/>
        </w:rPr>
        <w:t xml:space="preserve">the other heads of relieving poverty, </w:t>
      </w:r>
      <w:proofErr w:type="gramStart"/>
      <w:r w:rsidRPr="005A0D68">
        <w:rPr>
          <w:rFonts w:ascii="Times New Roman" w:hAnsi="Times New Roman" w:cs="Times New Roman"/>
          <w:sz w:val="24"/>
          <w:szCs w:val="24"/>
        </w:rPr>
        <w:t>advancing</w:t>
      </w:r>
      <w:proofErr w:type="gramEnd"/>
      <w:r w:rsidRPr="005A0D68">
        <w:rPr>
          <w:rFonts w:ascii="Times New Roman" w:hAnsi="Times New Roman" w:cs="Times New Roman"/>
          <w:sz w:val="24"/>
          <w:szCs w:val="24"/>
        </w:rPr>
        <w:t xml:space="preserve"> education or advancing religion.</w:t>
      </w:r>
      <w:r w:rsidRPr="005A0D68">
        <w:rPr>
          <w:rStyle w:val="FootnoteReference"/>
          <w:rFonts w:ascii="Times New Roman" w:hAnsi="Times New Roman" w:cs="Times New Roman"/>
          <w:sz w:val="24"/>
          <w:szCs w:val="24"/>
        </w:rPr>
        <w:footnoteReference w:id="3"/>
      </w:r>
      <w:r w:rsidRPr="005A0D68">
        <w:rPr>
          <w:rFonts w:ascii="Times New Roman" w:hAnsi="Times New Roman" w:cs="Times New Roman"/>
          <w:sz w:val="24"/>
          <w:szCs w:val="24"/>
        </w:rPr>
        <w:t xml:space="preserve"> </w:t>
      </w:r>
      <w:r w:rsidR="000D17CB" w:rsidRPr="005A0D68">
        <w:rPr>
          <w:rFonts w:ascii="Times New Roman" w:hAnsi="Times New Roman" w:cs="Times New Roman"/>
          <w:sz w:val="24"/>
          <w:szCs w:val="24"/>
        </w:rPr>
        <w:t xml:space="preserve">It comprised of a </w:t>
      </w:r>
      <w:r w:rsidR="009A7CE7" w:rsidRPr="005A0D68">
        <w:rPr>
          <w:rFonts w:ascii="Times New Roman" w:hAnsi="Times New Roman" w:cs="Times New Roman"/>
          <w:sz w:val="24"/>
          <w:szCs w:val="24"/>
        </w:rPr>
        <w:t>sundry</w:t>
      </w:r>
      <w:r w:rsidR="000D17CB" w:rsidRPr="005A0D68">
        <w:rPr>
          <w:rFonts w:ascii="Times New Roman" w:hAnsi="Times New Roman" w:cs="Times New Roman"/>
          <w:sz w:val="24"/>
          <w:szCs w:val="24"/>
        </w:rPr>
        <w:t xml:space="preserve"> grouping of estab</w:t>
      </w:r>
      <w:r w:rsidR="006642A7" w:rsidRPr="005A0D68">
        <w:rPr>
          <w:rFonts w:ascii="Times New Roman" w:hAnsi="Times New Roman" w:cs="Times New Roman"/>
          <w:sz w:val="24"/>
          <w:szCs w:val="24"/>
        </w:rPr>
        <w:t>lished</w:t>
      </w:r>
      <w:r w:rsidR="000D17CB" w:rsidRPr="005A0D68">
        <w:rPr>
          <w:rFonts w:ascii="Times New Roman" w:hAnsi="Times New Roman" w:cs="Times New Roman"/>
          <w:sz w:val="24"/>
          <w:szCs w:val="24"/>
        </w:rPr>
        <w:t xml:space="preserve"> sub-categories, such as the promotion of health,</w:t>
      </w:r>
      <w:r w:rsidR="000D17CB" w:rsidRPr="005A0D68">
        <w:rPr>
          <w:rStyle w:val="FootnoteReference"/>
          <w:rFonts w:ascii="Times New Roman" w:hAnsi="Times New Roman" w:cs="Times New Roman"/>
          <w:sz w:val="24"/>
          <w:szCs w:val="24"/>
        </w:rPr>
        <w:footnoteReference w:id="4"/>
      </w:r>
      <w:r w:rsidR="000D17CB" w:rsidRPr="005A0D68">
        <w:rPr>
          <w:rFonts w:ascii="Times New Roman" w:hAnsi="Times New Roman" w:cs="Times New Roman"/>
          <w:sz w:val="24"/>
          <w:szCs w:val="24"/>
        </w:rPr>
        <w:t xml:space="preserve">  the welfare of animals</w:t>
      </w:r>
      <w:r w:rsidR="000D17CB" w:rsidRPr="005A0D68">
        <w:rPr>
          <w:rStyle w:val="FootnoteReference"/>
          <w:rFonts w:ascii="Times New Roman" w:hAnsi="Times New Roman" w:cs="Times New Roman"/>
          <w:sz w:val="24"/>
          <w:szCs w:val="24"/>
        </w:rPr>
        <w:footnoteReference w:id="5"/>
      </w:r>
      <w:r w:rsidR="000D17CB" w:rsidRPr="005A0D68">
        <w:rPr>
          <w:rFonts w:ascii="Times New Roman" w:hAnsi="Times New Roman" w:cs="Times New Roman"/>
          <w:sz w:val="24"/>
          <w:szCs w:val="24"/>
        </w:rPr>
        <w:t xml:space="preserve"> and the promotion of public works, services or amenities.</w:t>
      </w:r>
      <w:r w:rsidR="000D17CB" w:rsidRPr="005A0D68">
        <w:rPr>
          <w:rStyle w:val="FootnoteReference"/>
          <w:rFonts w:ascii="Times New Roman" w:hAnsi="Times New Roman" w:cs="Times New Roman"/>
          <w:sz w:val="24"/>
          <w:szCs w:val="24"/>
        </w:rPr>
        <w:footnoteReference w:id="6"/>
      </w:r>
      <w:r w:rsidR="000D17CB" w:rsidRPr="005A0D68">
        <w:rPr>
          <w:rFonts w:ascii="Times New Roman" w:hAnsi="Times New Roman" w:cs="Times New Roman"/>
          <w:sz w:val="24"/>
          <w:szCs w:val="24"/>
        </w:rPr>
        <w:t xml:space="preserve"> Taking its inspiration from </w:t>
      </w:r>
      <w:r w:rsidR="000D17CB" w:rsidRPr="005A0D68">
        <w:rPr>
          <w:rFonts w:ascii="Times New Roman" w:eastAsia="Times New Roman" w:hAnsi="Times New Roman" w:cs="Times New Roman"/>
          <w:sz w:val="24"/>
          <w:szCs w:val="24"/>
        </w:rPr>
        <w:t xml:space="preserve">the Preamble to the 1601 Statute of Charitable Uses, which contained a </w:t>
      </w:r>
      <w:r w:rsidR="000D17CB" w:rsidRPr="005A0D68">
        <w:rPr>
          <w:rFonts w:ascii="Times New Roman" w:hAnsi="Times New Roman" w:cs="Times New Roman"/>
          <w:sz w:val="24"/>
          <w:szCs w:val="24"/>
        </w:rPr>
        <w:t xml:space="preserve">non-exhaustive list of purposes deemed charitable at the </w:t>
      </w:r>
      <w:r w:rsidR="009F4653" w:rsidRPr="005A0D68">
        <w:rPr>
          <w:rFonts w:ascii="Times New Roman" w:hAnsi="Times New Roman" w:cs="Times New Roman"/>
          <w:sz w:val="24"/>
          <w:szCs w:val="24"/>
        </w:rPr>
        <w:t>time of that</w:t>
      </w:r>
      <w:r w:rsidR="000D17CB" w:rsidRPr="005A0D68">
        <w:rPr>
          <w:rFonts w:ascii="Times New Roman" w:hAnsi="Times New Roman" w:cs="Times New Roman"/>
          <w:sz w:val="24"/>
          <w:szCs w:val="24"/>
        </w:rPr>
        <w:t xml:space="preserve"> enactment</w:t>
      </w:r>
      <w:proofErr w:type="gramStart"/>
      <w:r w:rsidR="009F4653" w:rsidRPr="005A0D68">
        <w:rPr>
          <w:rFonts w:ascii="Times New Roman" w:hAnsi="Times New Roman" w:cs="Times New Roman"/>
          <w:sz w:val="24"/>
          <w:szCs w:val="24"/>
        </w:rPr>
        <w:t>,</w:t>
      </w:r>
      <w:proofErr w:type="gramEnd"/>
      <w:r w:rsidR="009F4653" w:rsidRPr="005A0D68">
        <w:rPr>
          <w:rStyle w:val="FootnoteReference"/>
          <w:rFonts w:ascii="Times New Roman" w:hAnsi="Times New Roman" w:cs="Times New Roman"/>
          <w:sz w:val="24"/>
          <w:szCs w:val="24"/>
        </w:rPr>
        <w:t xml:space="preserve"> </w:t>
      </w:r>
      <w:r w:rsidR="009F4653" w:rsidRPr="005A0D68">
        <w:rPr>
          <w:rFonts w:ascii="Times New Roman" w:hAnsi="Times New Roman" w:cs="Times New Roman"/>
          <w:sz w:val="24"/>
          <w:szCs w:val="24"/>
        </w:rPr>
        <w:t>the fourth head represented a body of law of “intolerable messiness”,</w:t>
      </w:r>
      <w:r w:rsidR="009F4653" w:rsidRPr="005A0D68">
        <w:rPr>
          <w:rStyle w:val="FootnoteReference"/>
          <w:rFonts w:ascii="Times New Roman" w:hAnsi="Times New Roman" w:cs="Times New Roman"/>
          <w:sz w:val="24"/>
          <w:szCs w:val="24"/>
        </w:rPr>
        <w:footnoteReference w:id="7"/>
      </w:r>
      <w:r w:rsidR="009F4653" w:rsidRPr="005A0D68">
        <w:rPr>
          <w:rFonts w:ascii="Times New Roman" w:eastAsia="Times New Roman" w:hAnsi="Times New Roman" w:cs="Times New Roman"/>
          <w:sz w:val="24"/>
          <w:szCs w:val="24"/>
        </w:rPr>
        <w:t xml:space="preserve"> built up, “not logically but empirically”.</w:t>
      </w:r>
      <w:r w:rsidR="009F4653" w:rsidRPr="005A0D68">
        <w:rPr>
          <w:rStyle w:val="FootnoteReference"/>
          <w:rFonts w:ascii="Times New Roman" w:eastAsia="Times New Roman" w:hAnsi="Times New Roman" w:cs="Times New Roman"/>
          <w:sz w:val="24"/>
          <w:szCs w:val="24"/>
        </w:rPr>
        <w:footnoteReference w:id="8"/>
      </w:r>
      <w:r w:rsidR="009F4653" w:rsidRPr="005A0D68">
        <w:rPr>
          <w:rFonts w:ascii="Times New Roman" w:eastAsia="Times New Roman" w:hAnsi="Times New Roman" w:cs="Times New Roman"/>
          <w:sz w:val="24"/>
          <w:szCs w:val="24"/>
        </w:rPr>
        <w:t xml:space="preserve">  </w:t>
      </w:r>
      <w:r w:rsidR="00DA3DDB" w:rsidRPr="005A0D68">
        <w:rPr>
          <w:rFonts w:ascii="Times New Roman" w:eastAsia="Times New Roman" w:hAnsi="Times New Roman" w:cs="Times New Roman"/>
          <w:sz w:val="24"/>
          <w:szCs w:val="24"/>
        </w:rPr>
        <w:t xml:space="preserve">Nevertheless, </w:t>
      </w:r>
      <w:r w:rsidR="009F4653" w:rsidRPr="005A0D68">
        <w:rPr>
          <w:rFonts w:ascii="Times New Roman" w:hAnsi="Times New Roman" w:cs="Times New Roman"/>
          <w:sz w:val="24"/>
          <w:szCs w:val="24"/>
        </w:rPr>
        <w:t>it permitted the inclusion of novel purposes by a process of analogy</w:t>
      </w:r>
      <w:r w:rsidR="009F4653" w:rsidRPr="005A0D68">
        <w:rPr>
          <w:rStyle w:val="FootnoteReference"/>
          <w:rFonts w:ascii="Times New Roman" w:hAnsi="Times New Roman" w:cs="Times New Roman"/>
          <w:sz w:val="24"/>
          <w:szCs w:val="24"/>
        </w:rPr>
        <w:footnoteReference w:id="9"/>
      </w:r>
      <w:r w:rsidR="009F4653" w:rsidRPr="005A0D68">
        <w:rPr>
          <w:rFonts w:ascii="Times New Roman" w:hAnsi="Times New Roman" w:cs="Times New Roman"/>
          <w:sz w:val="24"/>
          <w:szCs w:val="24"/>
        </w:rPr>
        <w:t xml:space="preserve"> and, thereby, maintained flexibility </w:t>
      </w:r>
      <w:r w:rsidR="009F4653" w:rsidRPr="005A0D68">
        <w:rPr>
          <w:rFonts w:ascii="Times New Roman" w:hAnsi="Times New Roman" w:cs="Times New Roman"/>
          <w:sz w:val="24"/>
          <w:szCs w:val="24"/>
        </w:rPr>
        <w:lastRenderedPageBreak/>
        <w:t>in the law.</w:t>
      </w:r>
      <w:r w:rsidR="009F4653" w:rsidRPr="005A0D68">
        <w:rPr>
          <w:rStyle w:val="FootnoteReference"/>
          <w:rFonts w:ascii="Times New Roman" w:hAnsi="Times New Roman" w:cs="Times New Roman"/>
          <w:sz w:val="24"/>
          <w:szCs w:val="24"/>
        </w:rPr>
        <w:footnoteReference w:id="10"/>
      </w:r>
      <w:r w:rsidR="009F4653" w:rsidRPr="005A0D68">
        <w:rPr>
          <w:rFonts w:ascii="Times New Roman" w:hAnsi="Times New Roman" w:cs="Times New Roman"/>
          <w:sz w:val="24"/>
          <w:szCs w:val="24"/>
        </w:rPr>
        <w:t xml:space="preserve"> </w:t>
      </w:r>
      <w:r w:rsidR="00DA3DDB" w:rsidRPr="005A0D68">
        <w:rPr>
          <w:rFonts w:ascii="Times New Roman" w:hAnsi="Times New Roman" w:cs="Times New Roman"/>
          <w:sz w:val="24"/>
          <w:szCs w:val="24"/>
        </w:rPr>
        <w:t>T</w:t>
      </w:r>
      <w:r w:rsidRPr="005A0D68">
        <w:rPr>
          <w:rFonts w:ascii="Times New Roman" w:hAnsi="Times New Roman" w:cs="Times New Roman"/>
          <w:sz w:val="24"/>
          <w:szCs w:val="24"/>
        </w:rPr>
        <w:t xml:space="preserve">his latter characteristic </w:t>
      </w:r>
      <w:r w:rsidR="009F4653" w:rsidRPr="005A0D68">
        <w:rPr>
          <w:rFonts w:ascii="Times New Roman" w:hAnsi="Times New Roman" w:cs="Times New Roman"/>
          <w:sz w:val="24"/>
          <w:szCs w:val="24"/>
        </w:rPr>
        <w:t>was appraised</w:t>
      </w:r>
      <w:r w:rsidRPr="005A0D68">
        <w:rPr>
          <w:rFonts w:ascii="Times New Roman" w:hAnsi="Times New Roman" w:cs="Times New Roman"/>
          <w:sz w:val="24"/>
          <w:szCs w:val="24"/>
        </w:rPr>
        <w:t xml:space="preserve"> as, “its greatest strength and most valuable feature”.</w:t>
      </w:r>
      <w:r w:rsidRPr="005A0D68">
        <w:rPr>
          <w:rStyle w:val="FootnoteReference"/>
          <w:rFonts w:ascii="Times New Roman" w:hAnsi="Times New Roman" w:cs="Times New Roman"/>
          <w:sz w:val="24"/>
          <w:szCs w:val="24"/>
        </w:rPr>
        <w:footnoteReference w:id="11"/>
      </w:r>
      <w:r w:rsidRPr="005A0D68">
        <w:rPr>
          <w:rFonts w:ascii="Times New Roman" w:hAnsi="Times New Roman" w:cs="Times New Roman"/>
          <w:sz w:val="24"/>
          <w:szCs w:val="24"/>
        </w:rPr>
        <w:t xml:space="preserve"> </w:t>
      </w:r>
    </w:p>
    <w:p w:rsidR="00BA456B" w:rsidRPr="005A0D68" w:rsidRDefault="009F4653" w:rsidP="00675668">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r>
      <w:r w:rsidR="005F4EBB" w:rsidRPr="005A0D68">
        <w:rPr>
          <w:rFonts w:ascii="Times New Roman" w:eastAsia="Times New Roman" w:hAnsi="Times New Roman" w:cs="Times New Roman"/>
          <w:sz w:val="24"/>
          <w:szCs w:val="24"/>
        </w:rPr>
        <w:t>T</w:t>
      </w:r>
      <w:r w:rsidRPr="005A0D68">
        <w:rPr>
          <w:rFonts w:ascii="Times New Roman" w:eastAsia="Times New Roman" w:hAnsi="Times New Roman" w:cs="Times New Roman"/>
          <w:sz w:val="24"/>
          <w:szCs w:val="24"/>
        </w:rPr>
        <w:t xml:space="preserve">he fourth head drew </w:t>
      </w:r>
      <w:r w:rsidR="00403A17" w:rsidRPr="005A0D68">
        <w:rPr>
          <w:rFonts w:ascii="Times New Roman" w:eastAsia="Times New Roman" w:hAnsi="Times New Roman" w:cs="Times New Roman"/>
          <w:sz w:val="24"/>
          <w:szCs w:val="24"/>
        </w:rPr>
        <w:t>up</w:t>
      </w:r>
      <w:r w:rsidRPr="005A0D68">
        <w:rPr>
          <w:rFonts w:ascii="Times New Roman" w:eastAsia="Times New Roman" w:hAnsi="Times New Roman" w:cs="Times New Roman"/>
          <w:sz w:val="24"/>
          <w:szCs w:val="24"/>
        </w:rPr>
        <w:t xml:space="preserve">on </w:t>
      </w:r>
      <w:r w:rsidR="009A7CE7" w:rsidRPr="005A0D68">
        <w:rPr>
          <w:rFonts w:ascii="Times New Roman" w:eastAsia="Times New Roman" w:hAnsi="Times New Roman" w:cs="Times New Roman"/>
          <w:sz w:val="24"/>
          <w:szCs w:val="24"/>
        </w:rPr>
        <w:t xml:space="preserve">centuries </w:t>
      </w:r>
      <w:r w:rsidR="00D02A91" w:rsidRPr="005A0D68">
        <w:rPr>
          <w:rFonts w:ascii="Times New Roman" w:eastAsia="Times New Roman" w:hAnsi="Times New Roman" w:cs="Times New Roman"/>
          <w:sz w:val="24"/>
          <w:szCs w:val="24"/>
        </w:rPr>
        <w:t>of accumulated, and sometimes discordant, case law developments</w:t>
      </w:r>
      <w:r w:rsidR="00DA3DDB" w:rsidRPr="005A0D68">
        <w:rPr>
          <w:rFonts w:ascii="Times New Roman" w:eastAsia="Times New Roman" w:hAnsi="Times New Roman" w:cs="Times New Roman"/>
          <w:sz w:val="24"/>
          <w:szCs w:val="24"/>
        </w:rPr>
        <w:t>, traceable back to the 1601 Preamble</w:t>
      </w:r>
      <w:r w:rsidRPr="005A0D68">
        <w:rPr>
          <w:rFonts w:ascii="Times New Roman" w:eastAsia="Times New Roman" w:hAnsi="Times New Roman" w:cs="Times New Roman"/>
          <w:sz w:val="24"/>
          <w:szCs w:val="24"/>
        </w:rPr>
        <w:t>.</w:t>
      </w:r>
      <w:r w:rsidRPr="005A0D68" w:rsidDel="009F4653">
        <w:rPr>
          <w:rFonts w:ascii="Times New Roman" w:eastAsia="Times New Roman" w:hAnsi="Times New Roman" w:cs="Times New Roman"/>
          <w:sz w:val="24"/>
          <w:szCs w:val="24"/>
        </w:rPr>
        <w:t xml:space="preserve"> </w:t>
      </w:r>
      <w:r w:rsidR="00DA3DDB" w:rsidRPr="005A0D68">
        <w:rPr>
          <w:rFonts w:ascii="Times New Roman" w:eastAsia="Times New Roman" w:hAnsi="Times New Roman" w:cs="Times New Roman"/>
          <w:sz w:val="24"/>
          <w:szCs w:val="24"/>
        </w:rPr>
        <w:t xml:space="preserve">The Preamble had </w:t>
      </w:r>
      <w:r w:rsidR="00403A17" w:rsidRPr="005A0D68">
        <w:rPr>
          <w:rFonts w:ascii="Times New Roman" w:eastAsia="Times New Roman" w:hAnsi="Times New Roman" w:cs="Times New Roman"/>
          <w:sz w:val="24"/>
          <w:szCs w:val="24"/>
        </w:rPr>
        <w:t xml:space="preserve">modestly </w:t>
      </w:r>
      <w:r w:rsidR="00DA3DDB" w:rsidRPr="005A0D68">
        <w:rPr>
          <w:rFonts w:ascii="Times New Roman" w:eastAsia="Times New Roman" w:hAnsi="Times New Roman" w:cs="Times New Roman"/>
          <w:sz w:val="24"/>
          <w:szCs w:val="24"/>
        </w:rPr>
        <w:t xml:space="preserve">attempted to illustrate the purposes that might be charitable rather than offering any definition of what </w:t>
      </w:r>
      <w:r w:rsidR="007C016E" w:rsidRPr="005A0D68">
        <w:rPr>
          <w:rFonts w:ascii="Times New Roman" w:eastAsia="Times New Roman" w:hAnsi="Times New Roman" w:cs="Times New Roman"/>
          <w:sz w:val="24"/>
          <w:szCs w:val="24"/>
        </w:rPr>
        <w:t>comprises</w:t>
      </w:r>
      <w:r w:rsidR="00DA3DDB" w:rsidRPr="005A0D68">
        <w:rPr>
          <w:rFonts w:ascii="Times New Roman" w:eastAsia="Times New Roman" w:hAnsi="Times New Roman" w:cs="Times New Roman"/>
          <w:sz w:val="24"/>
          <w:szCs w:val="24"/>
        </w:rPr>
        <w:t xml:space="preserve"> a charitable purpose.</w:t>
      </w:r>
      <w:r w:rsidR="001A7DD8" w:rsidRPr="005A0D68">
        <w:rPr>
          <w:rStyle w:val="FootnoteReference"/>
          <w:rFonts w:ascii="Times New Roman" w:hAnsi="Times New Roman" w:cs="Times New Roman"/>
          <w:sz w:val="24"/>
          <w:szCs w:val="24"/>
        </w:rPr>
        <w:footnoteReference w:id="12"/>
      </w:r>
      <w:r w:rsidR="00DA3DDB" w:rsidRPr="005A0D68">
        <w:rPr>
          <w:rFonts w:ascii="Times New Roman" w:eastAsia="Times New Roman" w:hAnsi="Times New Roman" w:cs="Times New Roman"/>
          <w:sz w:val="24"/>
          <w:szCs w:val="24"/>
        </w:rPr>
        <w:t xml:space="preserve"> </w:t>
      </w:r>
      <w:r w:rsidR="001A7DD8" w:rsidRPr="005A0D68">
        <w:rPr>
          <w:rFonts w:ascii="Times New Roman" w:eastAsia="Times New Roman" w:hAnsi="Times New Roman" w:cs="Times New Roman"/>
          <w:sz w:val="24"/>
          <w:szCs w:val="24"/>
        </w:rPr>
        <w:t xml:space="preserve"> </w:t>
      </w:r>
      <w:r w:rsidR="00DA3DDB" w:rsidRPr="005A0D68">
        <w:rPr>
          <w:rFonts w:ascii="Times New Roman" w:eastAsia="Times New Roman" w:hAnsi="Times New Roman" w:cs="Times New Roman"/>
          <w:sz w:val="24"/>
          <w:szCs w:val="24"/>
        </w:rPr>
        <w:t>It mentioned, for example,</w:t>
      </w:r>
      <w:r w:rsidR="00D02A91" w:rsidRPr="005A0D68">
        <w:rPr>
          <w:rFonts w:ascii="Times New Roman" w:hAnsi="Times New Roman" w:cs="Times New Roman"/>
          <w:sz w:val="24"/>
          <w:szCs w:val="24"/>
        </w:rPr>
        <w:t xml:space="preserve"> the ‘relief of aged, impotent and poor people’, the ‘maintenance of sick and maimed soldiers’ and the ‘redemption of prisoners’.</w:t>
      </w:r>
      <w:r w:rsidR="00D02A91" w:rsidRPr="005A0D68">
        <w:rPr>
          <w:rFonts w:ascii="Times New Roman" w:eastAsia="Times New Roman" w:hAnsi="Times New Roman" w:cs="Times New Roman"/>
          <w:sz w:val="24"/>
          <w:szCs w:val="24"/>
        </w:rPr>
        <w:t xml:space="preserve"> </w:t>
      </w:r>
      <w:r w:rsidR="00DA3DDB" w:rsidRPr="005A0D68">
        <w:rPr>
          <w:rFonts w:ascii="Times New Roman" w:eastAsia="Times New Roman" w:hAnsi="Times New Roman" w:cs="Times New Roman"/>
          <w:sz w:val="24"/>
          <w:szCs w:val="24"/>
        </w:rPr>
        <w:t>Nevertheless,</w:t>
      </w:r>
      <w:r w:rsidR="001A7DD8" w:rsidRPr="005A0D68">
        <w:rPr>
          <w:rFonts w:ascii="Times New Roman" w:eastAsia="Times New Roman" w:hAnsi="Times New Roman" w:cs="Times New Roman"/>
          <w:sz w:val="24"/>
          <w:szCs w:val="24"/>
        </w:rPr>
        <w:t xml:space="preserve"> it was to assume major significance in the development of charity law, which was to recognise only that</w:t>
      </w:r>
      <w:r w:rsidR="00D02A91" w:rsidRPr="005A0D68">
        <w:rPr>
          <w:rFonts w:ascii="Times New Roman" w:eastAsia="Times New Roman" w:hAnsi="Times New Roman" w:cs="Times New Roman"/>
          <w:sz w:val="24"/>
          <w:szCs w:val="24"/>
        </w:rPr>
        <w:t xml:space="preserve">, </w:t>
      </w:r>
      <w:r w:rsidR="00D02A91" w:rsidRPr="005A0D68">
        <w:rPr>
          <w:rFonts w:ascii="Times New Roman" w:hAnsi="Times New Roman" w:cs="Times New Roman"/>
          <w:sz w:val="24"/>
          <w:szCs w:val="24"/>
        </w:rPr>
        <w:t>“which the Statute enumerates or which by analogies are within its spirit and intendment”.</w:t>
      </w:r>
      <w:r w:rsidR="00D02A91" w:rsidRPr="005A0D68">
        <w:rPr>
          <w:rStyle w:val="FootnoteReference"/>
          <w:rFonts w:ascii="Times New Roman" w:hAnsi="Times New Roman" w:cs="Times New Roman"/>
          <w:sz w:val="24"/>
          <w:szCs w:val="24"/>
        </w:rPr>
        <w:footnoteReference w:id="13"/>
      </w:r>
      <w:r w:rsidR="00D02A91" w:rsidRPr="005A0D68">
        <w:rPr>
          <w:rFonts w:ascii="Times New Roman" w:hAnsi="Times New Roman" w:cs="Times New Roman"/>
          <w:sz w:val="24"/>
          <w:szCs w:val="24"/>
        </w:rPr>
        <w:t xml:space="preserve"> </w:t>
      </w:r>
      <w:r w:rsidR="001A7DD8" w:rsidRPr="005A0D68">
        <w:rPr>
          <w:rFonts w:ascii="Times New Roman" w:hAnsi="Times New Roman" w:cs="Times New Roman"/>
          <w:sz w:val="24"/>
          <w:szCs w:val="24"/>
        </w:rPr>
        <w:t>Despite its formal interment</w:t>
      </w:r>
      <w:r w:rsidR="00D02A91" w:rsidRPr="005A0D68">
        <w:rPr>
          <w:rFonts w:ascii="Times New Roman" w:eastAsia="Times New Roman" w:hAnsi="Times New Roman" w:cs="Times New Roman"/>
          <w:sz w:val="24"/>
          <w:szCs w:val="24"/>
        </w:rPr>
        <w:t xml:space="preserve"> by the </w:t>
      </w:r>
      <w:r w:rsidR="00D02A91" w:rsidRPr="005A0D68">
        <w:rPr>
          <w:rFonts w:ascii="Times New Roman" w:hAnsi="Times New Roman" w:cs="Times New Roman"/>
          <w:sz w:val="24"/>
          <w:szCs w:val="24"/>
        </w:rPr>
        <w:t>Charities Act 1960</w:t>
      </w:r>
      <w:r w:rsidR="001A7DD8" w:rsidRPr="005A0D68">
        <w:rPr>
          <w:rFonts w:ascii="Times New Roman" w:hAnsi="Times New Roman" w:cs="Times New Roman"/>
          <w:sz w:val="24"/>
          <w:szCs w:val="24"/>
        </w:rPr>
        <w:t>,</w:t>
      </w:r>
      <w:r w:rsidR="001E4213" w:rsidRPr="005A0D68">
        <w:rPr>
          <w:rFonts w:ascii="Times New Roman" w:eastAsia="Times New Roman" w:hAnsi="Times New Roman" w:cs="Times New Roman"/>
          <w:sz w:val="24"/>
          <w:szCs w:val="24"/>
        </w:rPr>
        <w:t xml:space="preserve"> </w:t>
      </w:r>
      <w:r w:rsidR="00D02A91" w:rsidRPr="005A0D68">
        <w:rPr>
          <w:rFonts w:ascii="Times New Roman" w:eastAsia="Times New Roman" w:hAnsi="Times New Roman" w:cs="Times New Roman"/>
          <w:sz w:val="24"/>
          <w:szCs w:val="24"/>
        </w:rPr>
        <w:t xml:space="preserve">judicial precedent ensured that </w:t>
      </w:r>
      <w:r w:rsidR="001A7DD8" w:rsidRPr="005A0D68">
        <w:rPr>
          <w:rFonts w:ascii="Times New Roman" w:eastAsia="Times New Roman" w:hAnsi="Times New Roman" w:cs="Times New Roman"/>
          <w:sz w:val="24"/>
          <w:szCs w:val="24"/>
        </w:rPr>
        <w:t>the Preamble</w:t>
      </w:r>
      <w:r w:rsidR="00D02A91" w:rsidRPr="005A0D68">
        <w:rPr>
          <w:rFonts w:ascii="Times New Roman" w:eastAsia="Times New Roman" w:hAnsi="Times New Roman" w:cs="Times New Roman"/>
          <w:sz w:val="24"/>
          <w:szCs w:val="24"/>
        </w:rPr>
        <w:t xml:space="preserve"> </w:t>
      </w:r>
      <w:r w:rsidR="001A7DD8" w:rsidRPr="005A0D68">
        <w:rPr>
          <w:rFonts w:ascii="Times New Roman" w:eastAsia="Times New Roman" w:hAnsi="Times New Roman" w:cs="Times New Roman"/>
          <w:sz w:val="24"/>
          <w:szCs w:val="24"/>
        </w:rPr>
        <w:t xml:space="preserve">continued to </w:t>
      </w:r>
      <w:r w:rsidR="00D02A91" w:rsidRPr="005A0D68">
        <w:rPr>
          <w:rFonts w:ascii="Times New Roman" w:eastAsia="Times New Roman" w:hAnsi="Times New Roman" w:cs="Times New Roman"/>
          <w:sz w:val="24"/>
          <w:szCs w:val="24"/>
        </w:rPr>
        <w:t>exert influence</w:t>
      </w:r>
      <w:r w:rsidR="001A7DD8" w:rsidRPr="005A0D68">
        <w:rPr>
          <w:rFonts w:ascii="Times New Roman" w:eastAsia="Times New Roman" w:hAnsi="Times New Roman" w:cs="Times New Roman"/>
          <w:sz w:val="24"/>
          <w:szCs w:val="24"/>
        </w:rPr>
        <w:t>, especially so</w:t>
      </w:r>
      <w:r w:rsidR="00D02A91" w:rsidRPr="005A0D68">
        <w:rPr>
          <w:rFonts w:ascii="Times New Roman" w:eastAsia="Times New Roman" w:hAnsi="Times New Roman" w:cs="Times New Roman"/>
          <w:sz w:val="24"/>
          <w:szCs w:val="24"/>
        </w:rPr>
        <w:t xml:space="preserve"> </w:t>
      </w:r>
      <w:r w:rsidR="001A7DD8" w:rsidRPr="005A0D68">
        <w:rPr>
          <w:rFonts w:ascii="Times New Roman" w:eastAsia="Times New Roman" w:hAnsi="Times New Roman" w:cs="Times New Roman"/>
          <w:sz w:val="24"/>
          <w:szCs w:val="24"/>
        </w:rPr>
        <w:t xml:space="preserve">with </w:t>
      </w:r>
      <w:r w:rsidR="00D02A91" w:rsidRPr="005A0D68">
        <w:rPr>
          <w:rFonts w:ascii="Times New Roman" w:eastAsia="Times New Roman" w:hAnsi="Times New Roman" w:cs="Times New Roman"/>
          <w:sz w:val="24"/>
          <w:szCs w:val="24"/>
        </w:rPr>
        <w:t xml:space="preserve">the fourth </w:t>
      </w:r>
      <w:r w:rsidR="00D02A91" w:rsidRPr="005A0D68">
        <w:rPr>
          <w:rFonts w:ascii="Times New Roman" w:eastAsia="Times New Roman" w:hAnsi="Times New Roman" w:cs="Times New Roman"/>
          <w:i/>
          <w:sz w:val="24"/>
          <w:szCs w:val="24"/>
        </w:rPr>
        <w:t>Pemsel</w:t>
      </w:r>
      <w:r w:rsidR="00D02A91" w:rsidRPr="005A0D68">
        <w:rPr>
          <w:rFonts w:ascii="Times New Roman" w:eastAsia="Times New Roman" w:hAnsi="Times New Roman" w:cs="Times New Roman"/>
          <w:sz w:val="24"/>
          <w:szCs w:val="24"/>
        </w:rPr>
        <w:t xml:space="preserve"> head. </w:t>
      </w:r>
      <w:r w:rsidR="001A7DD8" w:rsidRPr="005A0D68">
        <w:rPr>
          <w:rFonts w:ascii="Times New Roman" w:eastAsia="Times New Roman" w:hAnsi="Times New Roman" w:cs="Times New Roman"/>
          <w:sz w:val="24"/>
          <w:szCs w:val="24"/>
        </w:rPr>
        <w:t xml:space="preserve"> Indeed, the</w:t>
      </w:r>
      <w:r w:rsidR="00D02A91" w:rsidRPr="005A0D68">
        <w:rPr>
          <w:rFonts w:ascii="Times New Roman" w:hAnsi="Times New Roman" w:cs="Times New Roman"/>
          <w:sz w:val="24"/>
          <w:szCs w:val="24"/>
        </w:rPr>
        <w:t xml:space="preserve"> fourth head</w:t>
      </w:r>
      <w:r w:rsidR="001A7DD8" w:rsidRPr="005A0D68">
        <w:rPr>
          <w:rFonts w:ascii="Times New Roman" w:hAnsi="Times New Roman" w:cs="Times New Roman"/>
          <w:sz w:val="24"/>
          <w:szCs w:val="24"/>
        </w:rPr>
        <w:t xml:space="preserve"> </w:t>
      </w:r>
      <w:r w:rsidR="00D02A91" w:rsidRPr="005A0D68">
        <w:rPr>
          <w:rFonts w:ascii="Times New Roman" w:hAnsi="Times New Roman" w:cs="Times New Roman"/>
          <w:sz w:val="24"/>
          <w:szCs w:val="24"/>
        </w:rPr>
        <w:t xml:space="preserve">remained inextricably </w:t>
      </w:r>
      <w:r w:rsidR="007C016E" w:rsidRPr="005A0D68">
        <w:rPr>
          <w:rFonts w:ascii="Times New Roman" w:hAnsi="Times New Roman" w:cs="Times New Roman"/>
          <w:sz w:val="24"/>
          <w:szCs w:val="24"/>
        </w:rPr>
        <w:t>b</w:t>
      </w:r>
      <w:r w:rsidR="007929EA" w:rsidRPr="005A0D68">
        <w:rPr>
          <w:rFonts w:ascii="Times New Roman" w:hAnsi="Times New Roman" w:cs="Times New Roman"/>
          <w:sz w:val="24"/>
          <w:szCs w:val="24"/>
        </w:rPr>
        <w:t>ound</w:t>
      </w:r>
      <w:r w:rsidR="00D02A91" w:rsidRPr="005A0D68">
        <w:rPr>
          <w:rFonts w:ascii="Times New Roman" w:hAnsi="Times New Roman" w:cs="Times New Roman"/>
          <w:sz w:val="24"/>
          <w:szCs w:val="24"/>
        </w:rPr>
        <w:t xml:space="preserve"> to the archaic requirement that any newly admitted purpose must be within the equity of the statute.</w:t>
      </w:r>
      <w:r w:rsidR="00D02A91" w:rsidRPr="005A0D68">
        <w:rPr>
          <w:rStyle w:val="FootnoteReference"/>
          <w:rFonts w:ascii="Times New Roman" w:hAnsi="Times New Roman" w:cs="Times New Roman"/>
          <w:sz w:val="24"/>
          <w:szCs w:val="24"/>
        </w:rPr>
        <w:footnoteReference w:id="14"/>
      </w:r>
      <w:r w:rsidR="00D02A91" w:rsidRPr="005A0D68">
        <w:rPr>
          <w:rFonts w:ascii="Times New Roman" w:eastAsia="Times New Roman" w:hAnsi="Times New Roman" w:cs="Times New Roman"/>
          <w:sz w:val="24"/>
          <w:szCs w:val="24"/>
        </w:rPr>
        <w:t xml:space="preserve"> </w:t>
      </w:r>
      <w:r w:rsidR="00986145" w:rsidRPr="005A0D68">
        <w:rPr>
          <w:rFonts w:ascii="Times New Roman" w:hAnsi="Times New Roman" w:cs="Times New Roman"/>
          <w:sz w:val="24"/>
          <w:szCs w:val="24"/>
        </w:rPr>
        <w:t>If not, the traditional wisdom was that, however beneficial, the purpose could not be charitable at law.</w:t>
      </w:r>
      <w:r w:rsidR="00986145" w:rsidRPr="005A0D68">
        <w:rPr>
          <w:rStyle w:val="FootnoteReference"/>
          <w:rFonts w:ascii="Times New Roman" w:hAnsi="Times New Roman" w:cs="Times New Roman"/>
          <w:sz w:val="24"/>
          <w:szCs w:val="24"/>
        </w:rPr>
        <w:footnoteReference w:id="15"/>
      </w:r>
    </w:p>
    <w:p w:rsidR="00D02A91" w:rsidRPr="005A0D68" w:rsidRDefault="00986145" w:rsidP="00D02A91">
      <w:pPr>
        <w:spacing w:after="0" w:line="480" w:lineRule="auto"/>
        <w:ind w:firstLine="720"/>
        <w:jc w:val="both"/>
        <w:rPr>
          <w:rFonts w:ascii="Times New Roman" w:hAnsi="Times New Roman" w:cs="Times New Roman"/>
          <w:sz w:val="24"/>
          <w:szCs w:val="24"/>
        </w:rPr>
      </w:pPr>
      <w:r w:rsidRPr="005A0D68">
        <w:rPr>
          <w:rFonts w:ascii="Times New Roman" w:hAnsi="Times New Roman" w:cs="Times New Roman"/>
          <w:sz w:val="24"/>
          <w:szCs w:val="24"/>
        </w:rPr>
        <w:t>The requirem</w:t>
      </w:r>
      <w:r w:rsidR="00436850" w:rsidRPr="005A0D68">
        <w:rPr>
          <w:rFonts w:ascii="Times New Roman" w:hAnsi="Times New Roman" w:cs="Times New Roman"/>
          <w:sz w:val="24"/>
          <w:szCs w:val="24"/>
        </w:rPr>
        <w:t>ent that a novel purpose was</w:t>
      </w:r>
      <w:r w:rsidR="000E53F4" w:rsidRPr="005A0D68">
        <w:rPr>
          <w:rFonts w:ascii="Times New Roman" w:hAnsi="Times New Roman" w:cs="Times New Roman"/>
          <w:sz w:val="24"/>
          <w:szCs w:val="24"/>
        </w:rPr>
        <w:t xml:space="preserve"> to be</w:t>
      </w:r>
      <w:r w:rsidRPr="005A0D68">
        <w:rPr>
          <w:rFonts w:ascii="Times New Roman" w:hAnsi="Times New Roman" w:cs="Times New Roman"/>
          <w:sz w:val="24"/>
          <w:szCs w:val="24"/>
        </w:rPr>
        <w:t xml:space="preserve"> sited within the spirit and intendment of the Preamble</w:t>
      </w:r>
      <w:r w:rsidR="000E53F4" w:rsidRPr="005A0D68">
        <w:rPr>
          <w:rFonts w:ascii="Times New Roman" w:hAnsi="Times New Roman" w:cs="Times New Roman"/>
          <w:sz w:val="24"/>
          <w:szCs w:val="24"/>
        </w:rPr>
        <w:t>, encouraged the courts to be creative and sometimes stretch analogies, “a</w:t>
      </w:r>
      <w:r w:rsidR="00D02A91" w:rsidRPr="005A0D68">
        <w:rPr>
          <w:rFonts w:ascii="Times New Roman" w:hAnsi="Times New Roman" w:cs="Times New Roman"/>
          <w:sz w:val="24"/>
          <w:szCs w:val="24"/>
        </w:rPr>
        <w:t>lmost to breaking point”.</w:t>
      </w:r>
      <w:r w:rsidR="00D02A91" w:rsidRPr="005A0D68">
        <w:rPr>
          <w:rStyle w:val="FootnoteReference"/>
          <w:rFonts w:ascii="Times New Roman" w:eastAsia="Times New Roman" w:hAnsi="Times New Roman" w:cs="Times New Roman"/>
          <w:sz w:val="24"/>
          <w:szCs w:val="24"/>
        </w:rPr>
        <w:footnoteReference w:id="16"/>
      </w:r>
      <w:r w:rsidR="00D02A91" w:rsidRPr="005A0D68">
        <w:rPr>
          <w:rFonts w:ascii="Times New Roman" w:hAnsi="Times New Roman" w:cs="Times New Roman"/>
          <w:sz w:val="24"/>
          <w:szCs w:val="24"/>
        </w:rPr>
        <w:t xml:space="preserve"> </w:t>
      </w:r>
      <w:r w:rsidR="00D02A91" w:rsidRPr="005A0D68">
        <w:rPr>
          <w:rFonts w:ascii="Times New Roman" w:eastAsia="Times New Roman" w:hAnsi="Times New Roman" w:cs="Times New Roman"/>
          <w:sz w:val="24"/>
          <w:szCs w:val="24"/>
        </w:rPr>
        <w:t xml:space="preserve">The most striking </w:t>
      </w:r>
      <w:r w:rsidR="000E53F4" w:rsidRPr="005A0D68">
        <w:rPr>
          <w:rFonts w:ascii="Times New Roman" w:eastAsia="Times New Roman" w:hAnsi="Times New Roman" w:cs="Times New Roman"/>
          <w:sz w:val="24"/>
          <w:szCs w:val="24"/>
        </w:rPr>
        <w:t>example</w:t>
      </w:r>
      <w:r w:rsidR="00D02A91" w:rsidRPr="005A0D68">
        <w:rPr>
          <w:rFonts w:ascii="Times New Roman" w:eastAsia="Times New Roman" w:hAnsi="Times New Roman" w:cs="Times New Roman"/>
          <w:sz w:val="24"/>
          <w:szCs w:val="24"/>
        </w:rPr>
        <w:t xml:space="preserve"> was </w:t>
      </w:r>
      <w:r w:rsidR="000E53F4" w:rsidRPr="005A0D68">
        <w:rPr>
          <w:rFonts w:ascii="Times New Roman" w:eastAsia="Times New Roman" w:hAnsi="Times New Roman" w:cs="Times New Roman"/>
          <w:sz w:val="24"/>
          <w:szCs w:val="24"/>
        </w:rPr>
        <w:t>provided in</w:t>
      </w:r>
      <w:r w:rsidR="000E53F4" w:rsidRPr="005A0D68">
        <w:rPr>
          <w:rFonts w:ascii="Times New Roman" w:hAnsi="Times New Roman" w:cs="Times New Roman"/>
          <w:i/>
          <w:sz w:val="24"/>
          <w:szCs w:val="24"/>
        </w:rPr>
        <w:t xml:space="preserve"> Vancouver Regional Freenet Association v Minister of National Revenue </w:t>
      </w:r>
      <w:r w:rsidR="000E53F4" w:rsidRPr="005A0D68">
        <w:rPr>
          <w:rFonts w:ascii="Times New Roman" w:hAnsi="Times New Roman" w:cs="Times New Roman"/>
          <w:sz w:val="24"/>
          <w:szCs w:val="24"/>
        </w:rPr>
        <w:t xml:space="preserve">where </w:t>
      </w:r>
      <w:r w:rsidR="00D02A91" w:rsidRPr="005A0D68">
        <w:rPr>
          <w:rFonts w:ascii="Times New Roman" w:hAnsi="Times New Roman" w:cs="Times New Roman"/>
          <w:sz w:val="24"/>
          <w:szCs w:val="24"/>
        </w:rPr>
        <w:t xml:space="preserve">the provision of internet access </w:t>
      </w:r>
      <w:r w:rsidR="000E53F4" w:rsidRPr="005A0D68">
        <w:rPr>
          <w:rFonts w:ascii="Times New Roman" w:hAnsi="Times New Roman" w:cs="Times New Roman"/>
          <w:sz w:val="24"/>
          <w:szCs w:val="24"/>
        </w:rPr>
        <w:t>was</w:t>
      </w:r>
      <w:r w:rsidR="00D02A91" w:rsidRPr="005A0D68">
        <w:rPr>
          <w:rFonts w:ascii="Times New Roman" w:hAnsi="Times New Roman" w:cs="Times New Roman"/>
          <w:sz w:val="24"/>
          <w:szCs w:val="24"/>
        </w:rPr>
        <w:t xml:space="preserve"> held to be analogous with the repair of highways.</w:t>
      </w:r>
      <w:r w:rsidR="00D02A91" w:rsidRPr="005A0D68">
        <w:rPr>
          <w:rStyle w:val="FootnoteReference"/>
          <w:rFonts w:ascii="Times New Roman" w:eastAsia="Times New Roman" w:hAnsi="Times New Roman" w:cs="Times New Roman"/>
          <w:sz w:val="24"/>
          <w:szCs w:val="24"/>
        </w:rPr>
        <w:footnoteReference w:id="17"/>
      </w:r>
      <w:r w:rsidR="00D02A91" w:rsidRPr="005A0D68">
        <w:rPr>
          <w:rFonts w:ascii="Times New Roman" w:eastAsia="Times New Roman" w:hAnsi="Times New Roman" w:cs="Times New Roman"/>
          <w:sz w:val="24"/>
          <w:szCs w:val="24"/>
        </w:rPr>
        <w:t xml:space="preserve"> </w:t>
      </w:r>
      <w:r w:rsidR="00D02A91" w:rsidRPr="005A0D68">
        <w:rPr>
          <w:rFonts w:ascii="Times New Roman" w:hAnsi="Times New Roman" w:cs="Times New Roman"/>
          <w:sz w:val="24"/>
          <w:szCs w:val="24"/>
        </w:rPr>
        <w:t xml:space="preserve"> Unsurprisingly, the case for reform </w:t>
      </w:r>
      <w:r w:rsidR="00D02A91" w:rsidRPr="005A0D68">
        <w:rPr>
          <w:rFonts w:ascii="Times New Roman" w:hAnsi="Times New Roman" w:cs="Times New Roman"/>
          <w:sz w:val="24"/>
          <w:szCs w:val="24"/>
        </w:rPr>
        <w:lastRenderedPageBreak/>
        <w:t>was urgent and compelling. As Alan Milburn admitted, “today’s charitable sector would be completely unrecognisable to those who set out the first framework for charitable law, and it is characterised by its huge diversity and enormous size”.</w:t>
      </w:r>
      <w:r w:rsidR="00D02A91" w:rsidRPr="005A0D68">
        <w:rPr>
          <w:rFonts w:ascii="Times New Roman" w:eastAsia="Times New Roman" w:hAnsi="Times New Roman" w:cs="Times New Roman"/>
          <w:sz w:val="24"/>
          <w:szCs w:val="24"/>
          <w:vertAlign w:val="superscript"/>
        </w:rPr>
        <w:footnoteReference w:id="18"/>
      </w:r>
      <w:r w:rsidR="00D02A91" w:rsidRPr="005A0D68">
        <w:rPr>
          <w:rFonts w:ascii="Times New Roman" w:hAnsi="Times New Roman" w:cs="Times New Roman"/>
          <w:sz w:val="24"/>
          <w:szCs w:val="24"/>
        </w:rPr>
        <w:t xml:space="preserve"> </w:t>
      </w:r>
      <w:r w:rsidR="00D02A91" w:rsidRPr="005A0D68">
        <w:rPr>
          <w:rFonts w:ascii="Times New Roman" w:eastAsia="Times New Roman" w:hAnsi="Times New Roman" w:cs="Times New Roman"/>
          <w:sz w:val="24"/>
          <w:szCs w:val="24"/>
        </w:rPr>
        <w:t>The Charities Act 2011 marked the culmination of a review and consultation process aimed at reinventing the legal definition of charity with heightened emphasis upon public benefit.</w:t>
      </w:r>
      <w:r w:rsidR="00D02A91" w:rsidRPr="005A0D68">
        <w:rPr>
          <w:rStyle w:val="FootnoteReference"/>
          <w:rFonts w:ascii="Times New Roman" w:hAnsi="Times New Roman" w:cs="Times New Roman"/>
          <w:sz w:val="24"/>
          <w:szCs w:val="24"/>
        </w:rPr>
        <w:footnoteReference w:id="19"/>
      </w:r>
      <w:r w:rsidR="00D02A91" w:rsidRPr="005A0D68">
        <w:rPr>
          <w:rFonts w:ascii="Times New Roman" w:hAnsi="Times New Roman" w:cs="Times New Roman"/>
          <w:sz w:val="24"/>
          <w:szCs w:val="24"/>
        </w:rPr>
        <w:t xml:space="preserve"> This delivered the fatal blow to the </w:t>
      </w:r>
      <w:r w:rsidR="00D02A91" w:rsidRPr="005A0D68">
        <w:rPr>
          <w:rFonts w:ascii="Times New Roman" w:hAnsi="Times New Roman" w:cs="Times New Roman"/>
          <w:i/>
          <w:sz w:val="24"/>
          <w:szCs w:val="24"/>
        </w:rPr>
        <w:t>Pemsel</w:t>
      </w:r>
      <w:r w:rsidR="00D02A91" w:rsidRPr="005A0D68">
        <w:rPr>
          <w:rFonts w:ascii="Times New Roman" w:hAnsi="Times New Roman" w:cs="Times New Roman"/>
          <w:sz w:val="24"/>
          <w:szCs w:val="24"/>
        </w:rPr>
        <w:t xml:space="preserve"> classification</w:t>
      </w:r>
      <w:r w:rsidR="00436850" w:rsidRPr="005A0D68">
        <w:rPr>
          <w:rFonts w:ascii="Times New Roman" w:hAnsi="Times New Roman" w:cs="Times New Roman"/>
          <w:sz w:val="24"/>
          <w:szCs w:val="24"/>
        </w:rPr>
        <w:t xml:space="preserve">, which was replaced by </w:t>
      </w:r>
      <w:r w:rsidR="00D02A91" w:rsidRPr="005A0D68">
        <w:rPr>
          <w:rFonts w:ascii="Times New Roman" w:hAnsi="Times New Roman" w:cs="Times New Roman"/>
          <w:sz w:val="24"/>
          <w:szCs w:val="24"/>
        </w:rPr>
        <w:t xml:space="preserve">a more comprehensive list of statutory descriptors. The fourth head was dismantled and reconstituted in the guise of the individual descriptions set out in </w:t>
      </w:r>
      <w:proofErr w:type="gramStart"/>
      <w:r w:rsidR="00D02A91" w:rsidRPr="005A0D68">
        <w:rPr>
          <w:rFonts w:ascii="Times New Roman" w:hAnsi="Times New Roman" w:cs="Times New Roman"/>
          <w:sz w:val="24"/>
          <w:szCs w:val="24"/>
        </w:rPr>
        <w:t>s.3(</w:t>
      </w:r>
      <w:proofErr w:type="gramEnd"/>
      <w:r w:rsidR="00D02A91" w:rsidRPr="005A0D68">
        <w:rPr>
          <w:rFonts w:ascii="Times New Roman" w:hAnsi="Times New Roman" w:cs="Times New Roman"/>
          <w:sz w:val="24"/>
          <w:szCs w:val="24"/>
        </w:rPr>
        <w:t>1)(d)-(l).</w:t>
      </w:r>
      <w:r w:rsidR="00D02A91" w:rsidRPr="005A0D68">
        <w:rPr>
          <w:rStyle w:val="FootnoteReference"/>
          <w:rFonts w:ascii="Times New Roman" w:hAnsi="Times New Roman" w:cs="Times New Roman"/>
          <w:sz w:val="24"/>
          <w:szCs w:val="24"/>
        </w:rPr>
        <w:footnoteReference w:id="20"/>
      </w:r>
      <w:r w:rsidR="00D02A91" w:rsidRPr="005A0D68">
        <w:rPr>
          <w:rFonts w:ascii="Times New Roman" w:hAnsi="Times New Roman" w:cs="Times New Roman"/>
          <w:sz w:val="24"/>
          <w:szCs w:val="24"/>
        </w:rPr>
        <w:t xml:space="preserve"> The laudable ambition was that </w:t>
      </w:r>
      <w:r w:rsidR="007929EA" w:rsidRPr="005A0D68">
        <w:rPr>
          <w:rFonts w:ascii="Times New Roman" w:hAnsi="Times New Roman" w:cs="Times New Roman"/>
          <w:sz w:val="24"/>
          <w:szCs w:val="24"/>
        </w:rPr>
        <w:t>this</w:t>
      </w:r>
      <w:r w:rsidR="00D02A91" w:rsidRPr="005A0D68">
        <w:rPr>
          <w:rFonts w:ascii="Times New Roman" w:hAnsi="Times New Roman" w:cs="Times New Roman"/>
          <w:sz w:val="24"/>
          <w:szCs w:val="24"/>
        </w:rPr>
        <w:t>, “</w:t>
      </w:r>
      <w:r w:rsidR="00D02A91" w:rsidRPr="005A0D68">
        <w:rPr>
          <w:rFonts w:ascii="Times New Roman" w:eastAsia="Times New Roman" w:hAnsi="Times New Roman" w:cs="Times New Roman"/>
          <w:sz w:val="24"/>
          <w:szCs w:val="24"/>
        </w:rPr>
        <w:t>expanded list of purposes would make the overall framework much clearer both for charities and for the public”</w:t>
      </w:r>
      <w:r w:rsidR="00D02A91" w:rsidRPr="005A0D68">
        <w:rPr>
          <w:rFonts w:ascii="Times New Roman" w:hAnsi="Times New Roman" w:cs="Times New Roman"/>
          <w:sz w:val="24"/>
          <w:szCs w:val="24"/>
        </w:rPr>
        <w:t>.</w:t>
      </w:r>
      <w:r w:rsidR="00D02A91" w:rsidRPr="005A0D68">
        <w:rPr>
          <w:rStyle w:val="FootnoteReference"/>
          <w:rFonts w:ascii="Times New Roman" w:hAnsi="Times New Roman" w:cs="Times New Roman"/>
          <w:sz w:val="24"/>
          <w:szCs w:val="24"/>
        </w:rPr>
        <w:footnoteReference w:id="21"/>
      </w:r>
      <w:r w:rsidR="00D02A91" w:rsidRPr="005A0D68">
        <w:rPr>
          <w:rFonts w:ascii="Times New Roman" w:hAnsi="Times New Roman" w:cs="Times New Roman"/>
          <w:sz w:val="24"/>
          <w:szCs w:val="24"/>
        </w:rPr>
        <w:t xml:space="preserve"> Accordingly, </w:t>
      </w:r>
      <w:r w:rsidR="00436850" w:rsidRPr="005A0D68">
        <w:rPr>
          <w:rFonts w:ascii="Times New Roman" w:hAnsi="Times New Roman" w:cs="Times New Roman"/>
          <w:sz w:val="24"/>
          <w:szCs w:val="24"/>
        </w:rPr>
        <w:t>Parliament required</w:t>
      </w:r>
      <w:r w:rsidR="00D02A91" w:rsidRPr="005A0D68">
        <w:rPr>
          <w:rFonts w:ascii="Times New Roman" w:hAnsi="Times New Roman" w:cs="Times New Roman"/>
          <w:sz w:val="24"/>
          <w:szCs w:val="24"/>
        </w:rPr>
        <w:t xml:space="preserve"> that a purpose </w:t>
      </w:r>
      <w:r w:rsidR="00436850" w:rsidRPr="005A0D68">
        <w:rPr>
          <w:rFonts w:ascii="Times New Roman" w:hAnsi="Times New Roman" w:cs="Times New Roman"/>
          <w:sz w:val="24"/>
          <w:szCs w:val="24"/>
        </w:rPr>
        <w:t>must fall</w:t>
      </w:r>
      <w:r w:rsidR="00D02A91" w:rsidRPr="005A0D68">
        <w:rPr>
          <w:rFonts w:ascii="Times New Roman" w:hAnsi="Times New Roman" w:cs="Times New Roman"/>
          <w:sz w:val="24"/>
          <w:szCs w:val="24"/>
        </w:rPr>
        <w:t xml:space="preserve"> within one or more of the thirteen replacement statutory </w:t>
      </w:r>
      <w:r w:rsidR="00436850" w:rsidRPr="005A0D68">
        <w:rPr>
          <w:rFonts w:ascii="Times New Roman" w:hAnsi="Times New Roman" w:cs="Times New Roman"/>
          <w:sz w:val="24"/>
          <w:szCs w:val="24"/>
        </w:rPr>
        <w:t>heads</w:t>
      </w:r>
      <w:r w:rsidR="00D02A91" w:rsidRPr="005A0D68">
        <w:rPr>
          <w:rFonts w:ascii="Times New Roman" w:hAnsi="Times New Roman" w:cs="Times New Roman"/>
          <w:sz w:val="24"/>
          <w:szCs w:val="24"/>
        </w:rPr>
        <w:t xml:space="preserve"> and that it </w:t>
      </w:r>
      <w:r w:rsidR="00436850" w:rsidRPr="005A0D68">
        <w:rPr>
          <w:rFonts w:ascii="Times New Roman" w:hAnsi="Times New Roman" w:cs="Times New Roman"/>
          <w:sz w:val="24"/>
          <w:szCs w:val="24"/>
        </w:rPr>
        <w:t>be</w:t>
      </w:r>
      <w:r w:rsidR="00D02A91" w:rsidRPr="005A0D68">
        <w:rPr>
          <w:rFonts w:ascii="Times New Roman" w:hAnsi="Times New Roman" w:cs="Times New Roman"/>
          <w:sz w:val="24"/>
          <w:szCs w:val="24"/>
        </w:rPr>
        <w:t xml:space="preserve"> demonstrably in the public benefit. </w:t>
      </w:r>
    </w:p>
    <w:p w:rsidR="001C1C28" w:rsidRPr="005A0D68" w:rsidRDefault="00D02A91" w:rsidP="001C1C28">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 xml:space="preserve">Regrettably, the </w:t>
      </w:r>
      <w:r w:rsidRPr="005A0D68">
        <w:rPr>
          <w:rFonts w:ascii="Times New Roman" w:eastAsia="Times New Roman" w:hAnsi="Times New Roman" w:cs="Times New Roman"/>
          <w:sz w:val="24"/>
          <w:szCs w:val="24"/>
        </w:rPr>
        <w:t>Act refrain</w:t>
      </w:r>
      <w:r w:rsidR="00436850" w:rsidRPr="005A0D68">
        <w:rPr>
          <w:rFonts w:ascii="Times New Roman" w:eastAsia="Times New Roman" w:hAnsi="Times New Roman" w:cs="Times New Roman"/>
          <w:sz w:val="24"/>
          <w:szCs w:val="24"/>
        </w:rPr>
        <w:t>ed</w:t>
      </w:r>
      <w:r w:rsidRPr="005A0D68">
        <w:rPr>
          <w:rFonts w:ascii="Times New Roman" w:eastAsia="Times New Roman" w:hAnsi="Times New Roman" w:cs="Times New Roman"/>
          <w:sz w:val="24"/>
          <w:szCs w:val="24"/>
        </w:rPr>
        <w:t xml:space="preserve"> from charting the parameters of its public benefit requirement. Two related provisions, however, assume relevance. </w:t>
      </w:r>
      <w:r w:rsidR="00436850" w:rsidRPr="005A0D68">
        <w:rPr>
          <w:rFonts w:ascii="Times New Roman" w:eastAsia="Times New Roman" w:hAnsi="Times New Roman" w:cs="Times New Roman"/>
          <w:sz w:val="24"/>
          <w:szCs w:val="24"/>
        </w:rPr>
        <w:t>First, s.</w:t>
      </w:r>
      <w:r w:rsidRPr="005A0D68">
        <w:rPr>
          <w:rFonts w:ascii="Times New Roman" w:eastAsia="Times New Roman" w:hAnsi="Times New Roman" w:cs="Times New Roman"/>
          <w:sz w:val="24"/>
          <w:szCs w:val="24"/>
        </w:rPr>
        <w:t>4(3) states that public benefit is to be interpreted ‘as that term is understood’ for the purposes of the law of charity in England and Wales. Th</w:t>
      </w:r>
      <w:r w:rsidR="00436850" w:rsidRPr="005A0D68">
        <w:rPr>
          <w:rFonts w:ascii="Times New Roman" w:eastAsia="Times New Roman" w:hAnsi="Times New Roman" w:cs="Times New Roman"/>
          <w:sz w:val="24"/>
          <w:szCs w:val="24"/>
        </w:rPr>
        <w:t>is</w:t>
      </w:r>
      <w:r w:rsidRPr="005A0D68">
        <w:rPr>
          <w:rFonts w:ascii="Times New Roman" w:eastAsia="Times New Roman" w:hAnsi="Times New Roman" w:cs="Times New Roman"/>
          <w:sz w:val="24"/>
          <w:szCs w:val="24"/>
        </w:rPr>
        <w:t xml:space="preserve"> reinforce</w:t>
      </w:r>
      <w:r w:rsidR="00436850" w:rsidRPr="005A0D68">
        <w:rPr>
          <w:rFonts w:ascii="Times New Roman" w:eastAsia="Times New Roman" w:hAnsi="Times New Roman" w:cs="Times New Roman"/>
          <w:sz w:val="24"/>
          <w:szCs w:val="24"/>
        </w:rPr>
        <w:t>s</w:t>
      </w:r>
      <w:r w:rsidRPr="005A0D68">
        <w:rPr>
          <w:rFonts w:ascii="Times New Roman" w:eastAsia="Times New Roman" w:hAnsi="Times New Roman" w:cs="Times New Roman"/>
          <w:sz w:val="24"/>
          <w:szCs w:val="24"/>
        </w:rPr>
        <w:t xml:space="preserve"> the pre-existing understanding of public benefit</w:t>
      </w:r>
      <w:r w:rsidR="00FA737D" w:rsidRPr="005A0D68">
        <w:rPr>
          <w:rFonts w:ascii="Times New Roman" w:eastAsia="Times New Roman" w:hAnsi="Times New Roman" w:cs="Times New Roman"/>
          <w:sz w:val="24"/>
          <w:szCs w:val="24"/>
        </w:rPr>
        <w:t>,</w:t>
      </w:r>
      <w:r w:rsidRPr="005A0D68">
        <w:rPr>
          <w:rFonts w:ascii="Times New Roman" w:eastAsia="Times New Roman" w:hAnsi="Times New Roman" w:cs="Times New Roman"/>
          <w:sz w:val="24"/>
          <w:szCs w:val="24"/>
          <w:vertAlign w:val="superscript"/>
        </w:rPr>
        <w:footnoteReference w:id="22"/>
      </w:r>
      <w:r w:rsidRPr="005A0D68">
        <w:rPr>
          <w:rFonts w:ascii="Times New Roman" w:eastAsia="Times New Roman" w:hAnsi="Times New Roman" w:cs="Times New Roman"/>
          <w:sz w:val="24"/>
          <w:szCs w:val="24"/>
        </w:rPr>
        <w:t xml:space="preserve"> </w:t>
      </w:r>
      <w:r w:rsidR="00FA737D" w:rsidRPr="005A0D68">
        <w:rPr>
          <w:rFonts w:ascii="Times New Roman" w:eastAsia="Times New Roman" w:hAnsi="Times New Roman" w:cs="Times New Roman"/>
          <w:sz w:val="24"/>
          <w:szCs w:val="24"/>
        </w:rPr>
        <w:t>and ensures that the pre-existing case law, however anomalous, must necessarily pervade the current law.</w:t>
      </w:r>
      <w:r w:rsidR="00FA737D" w:rsidRPr="005A0D68">
        <w:rPr>
          <w:rFonts w:ascii="Times New Roman" w:eastAsia="Times New Roman" w:hAnsi="Times New Roman" w:cs="Times New Roman"/>
          <w:sz w:val="24"/>
          <w:szCs w:val="24"/>
          <w:vertAlign w:val="superscript"/>
        </w:rPr>
        <w:footnoteReference w:id="23"/>
      </w:r>
      <w:r w:rsidR="00FA737D" w:rsidRPr="005A0D68">
        <w:rPr>
          <w:rFonts w:ascii="Times New Roman" w:eastAsia="Times New Roman" w:hAnsi="Times New Roman" w:cs="Times New Roman"/>
          <w:sz w:val="24"/>
          <w:szCs w:val="24"/>
        </w:rPr>
        <w:t xml:space="preserve"> </w:t>
      </w:r>
      <w:r w:rsidRPr="005A0D68">
        <w:rPr>
          <w:rFonts w:ascii="Times New Roman" w:eastAsia="Times New Roman" w:hAnsi="Times New Roman" w:cs="Times New Roman"/>
          <w:sz w:val="24"/>
          <w:szCs w:val="24"/>
        </w:rPr>
        <w:t>S</w:t>
      </w:r>
      <w:r w:rsidR="00FA737D" w:rsidRPr="005A0D68">
        <w:rPr>
          <w:rFonts w:ascii="Times New Roman" w:eastAsia="Times New Roman" w:hAnsi="Times New Roman" w:cs="Times New Roman"/>
          <w:sz w:val="24"/>
          <w:szCs w:val="24"/>
        </w:rPr>
        <w:t xml:space="preserve">econdly, </w:t>
      </w:r>
      <w:proofErr w:type="gramStart"/>
      <w:r w:rsidR="00FA737D" w:rsidRPr="005A0D68">
        <w:rPr>
          <w:rFonts w:ascii="Times New Roman" w:eastAsia="Times New Roman" w:hAnsi="Times New Roman" w:cs="Times New Roman"/>
          <w:sz w:val="24"/>
          <w:szCs w:val="24"/>
        </w:rPr>
        <w:t>s.</w:t>
      </w:r>
      <w:r w:rsidRPr="005A0D68">
        <w:rPr>
          <w:rFonts w:ascii="Times New Roman" w:eastAsia="Times New Roman" w:hAnsi="Times New Roman" w:cs="Times New Roman"/>
          <w:sz w:val="24"/>
          <w:szCs w:val="24"/>
        </w:rPr>
        <w:t>4(</w:t>
      </w:r>
      <w:proofErr w:type="gramEnd"/>
      <w:r w:rsidRPr="005A0D68">
        <w:rPr>
          <w:rFonts w:ascii="Times New Roman" w:eastAsia="Times New Roman" w:hAnsi="Times New Roman" w:cs="Times New Roman"/>
          <w:sz w:val="24"/>
          <w:szCs w:val="24"/>
        </w:rPr>
        <w:t xml:space="preserve">2) </w:t>
      </w:r>
      <w:r w:rsidR="001E4213" w:rsidRPr="005A0D68">
        <w:rPr>
          <w:rFonts w:ascii="Times New Roman" w:eastAsia="Times New Roman" w:hAnsi="Times New Roman" w:cs="Times New Roman"/>
          <w:sz w:val="24"/>
          <w:szCs w:val="24"/>
        </w:rPr>
        <w:t>has</w:t>
      </w:r>
      <w:r w:rsidR="00FA737D" w:rsidRPr="005A0D68">
        <w:rPr>
          <w:rFonts w:ascii="Times New Roman" w:eastAsia="Times New Roman" w:hAnsi="Times New Roman" w:cs="Times New Roman"/>
          <w:sz w:val="24"/>
          <w:szCs w:val="24"/>
        </w:rPr>
        <w:t xml:space="preserve"> </w:t>
      </w:r>
      <w:r w:rsidR="001E4213" w:rsidRPr="005A0D68">
        <w:rPr>
          <w:rFonts w:ascii="Times New Roman" w:eastAsia="Times New Roman" w:hAnsi="Times New Roman" w:cs="Times New Roman"/>
          <w:sz w:val="24"/>
          <w:szCs w:val="24"/>
        </w:rPr>
        <w:t xml:space="preserve">sparked controversy, </w:t>
      </w:r>
      <w:r w:rsidRPr="005A0D68">
        <w:rPr>
          <w:rFonts w:ascii="Times New Roman" w:eastAsia="Times New Roman" w:hAnsi="Times New Roman" w:cs="Times New Roman"/>
          <w:sz w:val="24"/>
          <w:szCs w:val="24"/>
        </w:rPr>
        <w:t>despite its s</w:t>
      </w:r>
      <w:r w:rsidR="001E4213" w:rsidRPr="005A0D68">
        <w:rPr>
          <w:rFonts w:ascii="Times New Roman" w:eastAsia="Times New Roman" w:hAnsi="Times New Roman" w:cs="Times New Roman"/>
          <w:sz w:val="24"/>
          <w:szCs w:val="24"/>
        </w:rPr>
        <w:t>eemingly innocuous wording</w:t>
      </w:r>
      <w:r w:rsidRPr="005A0D68">
        <w:rPr>
          <w:rFonts w:ascii="Times New Roman" w:eastAsia="Times New Roman" w:hAnsi="Times New Roman" w:cs="Times New Roman"/>
          <w:sz w:val="24"/>
          <w:szCs w:val="24"/>
        </w:rPr>
        <w:t xml:space="preserve">. This provides that, in determining whether the public benefit requirement has been satisfied, it is, ‘not to be presumed that a purpose of a particular description is for the public benefit’. </w:t>
      </w:r>
      <w:r w:rsidR="001C1C28" w:rsidRPr="005A0D68">
        <w:rPr>
          <w:rFonts w:ascii="Times New Roman" w:eastAsia="Times New Roman" w:hAnsi="Times New Roman" w:cs="Times New Roman"/>
          <w:sz w:val="24"/>
          <w:szCs w:val="24"/>
        </w:rPr>
        <w:t>As will be discussed, t</w:t>
      </w:r>
      <w:r w:rsidRPr="005A0D68">
        <w:rPr>
          <w:rFonts w:ascii="Times New Roman" w:eastAsia="Times New Roman" w:hAnsi="Times New Roman" w:cs="Times New Roman"/>
          <w:sz w:val="24"/>
          <w:szCs w:val="24"/>
        </w:rPr>
        <w:t xml:space="preserve">his provision was designed to end the operation of </w:t>
      </w:r>
      <w:r w:rsidRPr="005A0D68">
        <w:rPr>
          <w:rFonts w:ascii="Times New Roman" w:eastAsia="Times New Roman" w:hAnsi="Times New Roman" w:cs="Times New Roman"/>
          <w:sz w:val="24"/>
          <w:szCs w:val="24"/>
        </w:rPr>
        <w:lastRenderedPageBreak/>
        <w:t>the so-called ‘presumption’ of public benefit</w:t>
      </w:r>
      <w:r w:rsidRPr="005A0D68">
        <w:rPr>
          <w:rStyle w:val="FootnoteReference"/>
          <w:rFonts w:ascii="Times New Roman" w:eastAsia="Times New Roman" w:hAnsi="Times New Roman" w:cs="Times New Roman"/>
          <w:sz w:val="24"/>
          <w:szCs w:val="24"/>
        </w:rPr>
        <w:footnoteReference w:id="24"/>
      </w:r>
      <w:r w:rsidRPr="005A0D68">
        <w:rPr>
          <w:rFonts w:ascii="Times New Roman" w:eastAsia="Times New Roman" w:hAnsi="Times New Roman" w:cs="Times New Roman"/>
          <w:sz w:val="24"/>
          <w:szCs w:val="24"/>
        </w:rPr>
        <w:t xml:space="preserve"> that was generally, but not universally, believed to have aided the courts in previous times.</w:t>
      </w:r>
      <w:r w:rsidRPr="005A0D68">
        <w:rPr>
          <w:rStyle w:val="FootnoteReference"/>
          <w:rFonts w:ascii="Times New Roman" w:eastAsia="Times New Roman" w:hAnsi="Times New Roman" w:cs="Times New Roman"/>
          <w:sz w:val="24"/>
          <w:szCs w:val="24"/>
        </w:rPr>
        <w:footnoteReference w:id="25"/>
      </w:r>
      <w:r w:rsidRPr="005A0D68">
        <w:rPr>
          <w:rFonts w:ascii="Times New Roman" w:hAnsi="Times New Roman" w:cs="Times New Roman"/>
          <w:sz w:val="24"/>
          <w:szCs w:val="24"/>
        </w:rPr>
        <w:t xml:space="preserve"> Instead, </w:t>
      </w:r>
      <w:r w:rsidR="00FA737D" w:rsidRPr="005A0D68">
        <w:rPr>
          <w:rFonts w:ascii="Times New Roman" w:hAnsi="Times New Roman" w:cs="Times New Roman"/>
          <w:sz w:val="24"/>
          <w:szCs w:val="24"/>
        </w:rPr>
        <w:t>an</w:t>
      </w:r>
      <w:r w:rsidRPr="005A0D68">
        <w:rPr>
          <w:rFonts w:ascii="Times New Roman" w:hAnsi="Times New Roman" w:cs="Times New Roman"/>
          <w:sz w:val="24"/>
          <w:szCs w:val="24"/>
        </w:rPr>
        <w:t xml:space="preserve"> intrinsic benefit must now be demonstrated affirmatively in all cases. </w:t>
      </w:r>
      <w:r w:rsidR="00FA737D" w:rsidRPr="005A0D68">
        <w:rPr>
          <w:rFonts w:ascii="Times New Roman" w:hAnsi="Times New Roman" w:cs="Times New Roman"/>
          <w:sz w:val="24"/>
          <w:szCs w:val="24"/>
        </w:rPr>
        <w:t xml:space="preserve"> </w:t>
      </w:r>
      <w:r w:rsidR="001C1C28" w:rsidRPr="005A0D68">
        <w:rPr>
          <w:rFonts w:ascii="Times New Roman" w:hAnsi="Times New Roman" w:cs="Times New Roman"/>
          <w:sz w:val="24"/>
          <w:szCs w:val="24"/>
        </w:rPr>
        <w:t>A</w:t>
      </w:r>
      <w:r w:rsidR="00FA737D" w:rsidRPr="005A0D68">
        <w:rPr>
          <w:rFonts w:ascii="Times New Roman" w:hAnsi="Times New Roman" w:cs="Times New Roman"/>
          <w:sz w:val="24"/>
          <w:szCs w:val="24"/>
        </w:rPr>
        <w:t xml:space="preserve"> key problem</w:t>
      </w:r>
      <w:r w:rsidR="00766242" w:rsidRPr="005A0D68">
        <w:rPr>
          <w:rFonts w:ascii="Times New Roman" w:hAnsi="Times New Roman" w:cs="Times New Roman"/>
          <w:sz w:val="24"/>
          <w:szCs w:val="24"/>
        </w:rPr>
        <w:t xml:space="preserve"> th</w:t>
      </w:r>
      <w:r w:rsidR="00D32B13" w:rsidRPr="005A0D68">
        <w:rPr>
          <w:rFonts w:ascii="Times New Roman" w:hAnsi="Times New Roman" w:cs="Times New Roman"/>
          <w:sz w:val="24"/>
          <w:szCs w:val="24"/>
        </w:rPr>
        <w:t>at is</w:t>
      </w:r>
      <w:r w:rsidR="00766242" w:rsidRPr="005A0D68">
        <w:rPr>
          <w:rFonts w:ascii="Times New Roman" w:hAnsi="Times New Roman" w:cs="Times New Roman"/>
          <w:sz w:val="24"/>
          <w:szCs w:val="24"/>
        </w:rPr>
        <w:t xml:space="preserve"> addressed in this article </w:t>
      </w:r>
      <w:r w:rsidR="00D32B13" w:rsidRPr="005A0D68">
        <w:rPr>
          <w:rFonts w:ascii="Times New Roman" w:hAnsi="Times New Roman" w:cs="Times New Roman"/>
          <w:sz w:val="24"/>
          <w:szCs w:val="24"/>
        </w:rPr>
        <w:t>concerns</w:t>
      </w:r>
      <w:r w:rsidR="00FA737D" w:rsidRPr="005A0D68">
        <w:rPr>
          <w:rFonts w:ascii="Times New Roman" w:hAnsi="Times New Roman" w:cs="Times New Roman"/>
          <w:sz w:val="24"/>
          <w:szCs w:val="24"/>
        </w:rPr>
        <w:t xml:space="preserve"> how this aspect of public benefit is to be evidenced in any given case</w:t>
      </w:r>
      <w:r w:rsidR="00766242" w:rsidRPr="005A0D68">
        <w:rPr>
          <w:rFonts w:ascii="Times New Roman" w:hAnsi="Times New Roman" w:cs="Times New Roman"/>
          <w:sz w:val="24"/>
          <w:szCs w:val="24"/>
        </w:rPr>
        <w:t>, particularly those under the unpacked fourth head</w:t>
      </w:r>
      <w:r w:rsidR="00FA737D" w:rsidRPr="005A0D68">
        <w:rPr>
          <w:rFonts w:ascii="Times New Roman" w:hAnsi="Times New Roman" w:cs="Times New Roman"/>
          <w:sz w:val="24"/>
          <w:szCs w:val="24"/>
        </w:rPr>
        <w:t>.</w:t>
      </w:r>
      <w:r w:rsidR="001C1C28" w:rsidRPr="005A0D68">
        <w:rPr>
          <w:rFonts w:ascii="Times New Roman" w:hAnsi="Times New Roman" w:cs="Times New Roman"/>
          <w:sz w:val="24"/>
          <w:szCs w:val="24"/>
        </w:rPr>
        <w:t xml:space="preserve"> The enigmatic nature of public benefit continues to cause problems </w:t>
      </w:r>
      <w:r w:rsidR="00D32B13" w:rsidRPr="005A0D68">
        <w:rPr>
          <w:rFonts w:ascii="Times New Roman" w:hAnsi="Times New Roman" w:cs="Times New Roman"/>
          <w:sz w:val="24"/>
          <w:szCs w:val="24"/>
        </w:rPr>
        <w:t xml:space="preserve">both </w:t>
      </w:r>
      <w:r w:rsidR="001C1C28" w:rsidRPr="005A0D68">
        <w:rPr>
          <w:rFonts w:ascii="Times New Roman" w:hAnsi="Times New Roman" w:cs="Times New Roman"/>
          <w:sz w:val="24"/>
          <w:szCs w:val="24"/>
        </w:rPr>
        <w:t>for prospective applicants</w:t>
      </w:r>
      <w:r w:rsidR="00D32B13" w:rsidRPr="005A0D68">
        <w:rPr>
          <w:rFonts w:ascii="Times New Roman" w:hAnsi="Times New Roman" w:cs="Times New Roman"/>
          <w:sz w:val="24"/>
          <w:szCs w:val="24"/>
        </w:rPr>
        <w:t xml:space="preserve"> and the Charity Commission</w:t>
      </w:r>
      <w:r w:rsidR="001C1C28" w:rsidRPr="005A0D68">
        <w:rPr>
          <w:rFonts w:ascii="Times New Roman" w:hAnsi="Times New Roman" w:cs="Times New Roman"/>
          <w:sz w:val="24"/>
          <w:szCs w:val="24"/>
        </w:rPr>
        <w:t xml:space="preserve"> and it </w:t>
      </w:r>
      <w:r w:rsidR="006647E5" w:rsidRPr="005A0D68">
        <w:rPr>
          <w:rFonts w:ascii="Times New Roman" w:hAnsi="Times New Roman" w:cs="Times New Roman"/>
          <w:sz w:val="24"/>
          <w:szCs w:val="24"/>
        </w:rPr>
        <w:t>may now be</w:t>
      </w:r>
      <w:r w:rsidR="001C1C28" w:rsidRPr="005A0D68">
        <w:rPr>
          <w:rFonts w:ascii="Times New Roman" w:hAnsi="Times New Roman" w:cs="Times New Roman"/>
          <w:sz w:val="24"/>
          <w:szCs w:val="24"/>
        </w:rPr>
        <w:t xml:space="preserve"> time to consider afresh the prospect of </w:t>
      </w:r>
      <w:r w:rsidR="00D32B13" w:rsidRPr="005A0D68">
        <w:rPr>
          <w:rFonts w:ascii="Times New Roman" w:hAnsi="Times New Roman" w:cs="Times New Roman"/>
          <w:sz w:val="24"/>
          <w:szCs w:val="24"/>
        </w:rPr>
        <w:t>a formulating a statutory definition</w:t>
      </w:r>
      <w:r w:rsidR="001C1C28" w:rsidRPr="005A0D68">
        <w:rPr>
          <w:rFonts w:ascii="Times New Roman" w:hAnsi="Times New Roman" w:cs="Times New Roman"/>
          <w:sz w:val="24"/>
          <w:szCs w:val="24"/>
        </w:rPr>
        <w:t>.</w:t>
      </w:r>
      <w:r w:rsidR="00D32B13" w:rsidRPr="005A0D68">
        <w:rPr>
          <w:rFonts w:ascii="Times New Roman" w:hAnsi="Times New Roman" w:cs="Times New Roman"/>
          <w:sz w:val="24"/>
          <w:szCs w:val="24"/>
        </w:rPr>
        <w:t xml:space="preserve"> </w:t>
      </w:r>
      <w:r w:rsidR="001C1C28" w:rsidRPr="005A0D68">
        <w:rPr>
          <w:rFonts w:ascii="Times New Roman" w:hAnsi="Times New Roman" w:cs="Times New Roman"/>
          <w:sz w:val="24"/>
          <w:szCs w:val="24"/>
        </w:rPr>
        <w:t>Parliament’s failure to draw out meaning</w:t>
      </w:r>
      <w:r w:rsidR="00D32B13" w:rsidRPr="005A0D68">
        <w:rPr>
          <w:rFonts w:ascii="Times New Roman" w:hAnsi="Times New Roman" w:cs="Times New Roman"/>
          <w:sz w:val="24"/>
          <w:szCs w:val="24"/>
        </w:rPr>
        <w:t>,</w:t>
      </w:r>
      <w:r w:rsidR="001C1C28" w:rsidRPr="005A0D68">
        <w:rPr>
          <w:rFonts w:ascii="Times New Roman" w:hAnsi="Times New Roman" w:cs="Times New Roman"/>
          <w:sz w:val="24"/>
          <w:szCs w:val="24"/>
        </w:rPr>
        <w:t xml:space="preserve"> and to deal with attendant implications</w:t>
      </w:r>
      <w:r w:rsidR="00D32B13" w:rsidRPr="005A0D68">
        <w:rPr>
          <w:rFonts w:ascii="Times New Roman" w:hAnsi="Times New Roman" w:cs="Times New Roman"/>
          <w:sz w:val="24"/>
          <w:szCs w:val="24"/>
        </w:rPr>
        <w:t>,</w:t>
      </w:r>
      <w:r w:rsidR="001C1C28" w:rsidRPr="005A0D68">
        <w:rPr>
          <w:rFonts w:ascii="Times New Roman" w:hAnsi="Times New Roman" w:cs="Times New Roman"/>
          <w:sz w:val="24"/>
          <w:szCs w:val="24"/>
        </w:rPr>
        <w:t xml:space="preserve"> has generated </w:t>
      </w:r>
      <w:r w:rsidR="00D32B13" w:rsidRPr="005A0D68">
        <w:rPr>
          <w:rFonts w:ascii="Times New Roman" w:hAnsi="Times New Roman" w:cs="Times New Roman"/>
          <w:sz w:val="24"/>
          <w:szCs w:val="24"/>
        </w:rPr>
        <w:t>unnecessary and unwanted</w:t>
      </w:r>
      <w:r w:rsidR="001C1C28" w:rsidRPr="005A0D68">
        <w:rPr>
          <w:rFonts w:ascii="Times New Roman" w:hAnsi="Times New Roman" w:cs="Times New Roman"/>
          <w:sz w:val="24"/>
          <w:szCs w:val="24"/>
        </w:rPr>
        <w:t xml:space="preserve"> </w:t>
      </w:r>
      <w:r w:rsidR="00D32B13" w:rsidRPr="005A0D68">
        <w:rPr>
          <w:rFonts w:ascii="Times New Roman" w:hAnsi="Times New Roman" w:cs="Times New Roman"/>
          <w:sz w:val="24"/>
          <w:szCs w:val="24"/>
        </w:rPr>
        <w:t>practical difficulties.</w:t>
      </w:r>
      <w:r w:rsidR="0081757A">
        <w:rPr>
          <w:rFonts w:ascii="Times New Roman" w:hAnsi="Times New Roman" w:cs="Times New Roman"/>
          <w:sz w:val="24"/>
          <w:szCs w:val="24"/>
        </w:rPr>
        <w:t xml:space="preserve"> Accordingly, the present work will appraise the difficulties of establishing a public benefit within this changed legal landscape as dominated by the Charity Commission and the Charity Tribunal, blighted by conceptual uncertainty and obscured by linguistic unfamiliarity.</w:t>
      </w:r>
    </w:p>
    <w:p w:rsidR="00E92992" w:rsidRDefault="00E92992">
      <w:pPr>
        <w:spacing w:after="0" w:line="480" w:lineRule="auto"/>
        <w:jc w:val="center"/>
        <w:rPr>
          <w:rFonts w:ascii="Times New Roman" w:hAnsi="Times New Roman" w:cs="Times New Roman"/>
          <w:b/>
          <w:sz w:val="24"/>
          <w:szCs w:val="24"/>
        </w:rPr>
      </w:pPr>
    </w:p>
    <w:p w:rsidR="001F5C7C" w:rsidRPr="005A0D68" w:rsidRDefault="0081757A" w:rsidP="00373EF0">
      <w:pPr>
        <w:spacing w:after="0" w:line="480" w:lineRule="auto"/>
        <w:rPr>
          <w:rFonts w:ascii="Times New Roman" w:hAnsi="Times New Roman" w:cs="Times New Roman"/>
          <w:sz w:val="24"/>
          <w:szCs w:val="24"/>
        </w:rPr>
      </w:pPr>
      <w:r>
        <w:rPr>
          <w:rFonts w:ascii="Times New Roman" w:hAnsi="Times New Roman" w:cs="Times New Roman"/>
          <w:b/>
          <w:sz w:val="24"/>
          <w:szCs w:val="24"/>
        </w:rPr>
        <w:t>The Decision Makers</w:t>
      </w:r>
    </w:p>
    <w:p w:rsidR="00D24973" w:rsidRPr="005A0D68" w:rsidRDefault="00D02A91" w:rsidP="00D02A91">
      <w:pPr>
        <w:spacing w:after="0" w:line="480" w:lineRule="auto"/>
        <w:jc w:val="both"/>
        <w:rPr>
          <w:rFonts w:ascii="Times New Roman" w:hAnsi="Times New Roman" w:cs="Times New Roman"/>
          <w:sz w:val="24"/>
          <w:szCs w:val="24"/>
        </w:rPr>
      </w:pPr>
      <w:r w:rsidRPr="005A0D68">
        <w:rPr>
          <w:rFonts w:ascii="Times New Roman" w:eastAsia="Times New Roman" w:hAnsi="Times New Roman" w:cs="Times New Roman"/>
          <w:sz w:val="24"/>
          <w:szCs w:val="24"/>
        </w:rPr>
        <w:t>T</w:t>
      </w:r>
      <w:r w:rsidR="00766242" w:rsidRPr="005A0D68">
        <w:rPr>
          <w:rFonts w:ascii="Times New Roman" w:eastAsia="Times New Roman" w:hAnsi="Times New Roman" w:cs="Times New Roman"/>
          <w:sz w:val="24"/>
          <w:szCs w:val="24"/>
        </w:rPr>
        <w:t xml:space="preserve">aking centre stage </w:t>
      </w:r>
      <w:r w:rsidR="0081757A">
        <w:rPr>
          <w:rFonts w:ascii="Times New Roman" w:eastAsia="Times New Roman" w:hAnsi="Times New Roman" w:cs="Times New Roman"/>
          <w:sz w:val="24"/>
          <w:szCs w:val="24"/>
        </w:rPr>
        <w:t xml:space="preserve">in the post-legislative arena </w:t>
      </w:r>
      <w:r w:rsidR="00766242" w:rsidRPr="005A0D68">
        <w:rPr>
          <w:rFonts w:ascii="Times New Roman" w:eastAsia="Times New Roman" w:hAnsi="Times New Roman" w:cs="Times New Roman"/>
          <w:sz w:val="24"/>
          <w:szCs w:val="24"/>
        </w:rPr>
        <w:t>is the</w:t>
      </w:r>
      <w:r w:rsidRPr="005A0D68">
        <w:rPr>
          <w:rFonts w:ascii="Times New Roman" w:eastAsia="Times New Roman" w:hAnsi="Times New Roman" w:cs="Times New Roman"/>
          <w:sz w:val="24"/>
          <w:szCs w:val="24"/>
        </w:rPr>
        <w:t xml:space="preserve"> Charity Commission</w:t>
      </w:r>
      <w:r w:rsidR="00766242" w:rsidRPr="005A0D68">
        <w:rPr>
          <w:rFonts w:ascii="Times New Roman" w:eastAsia="Times New Roman" w:hAnsi="Times New Roman" w:cs="Times New Roman"/>
          <w:sz w:val="24"/>
          <w:szCs w:val="24"/>
        </w:rPr>
        <w:t>, which</w:t>
      </w:r>
      <w:r w:rsidRPr="005A0D68">
        <w:rPr>
          <w:rFonts w:ascii="Times New Roman" w:eastAsia="Times New Roman" w:hAnsi="Times New Roman" w:cs="Times New Roman"/>
          <w:sz w:val="24"/>
          <w:szCs w:val="24"/>
        </w:rPr>
        <w:t xml:space="preserve"> determin</w:t>
      </w:r>
      <w:r w:rsidR="00766242" w:rsidRPr="005A0D68">
        <w:rPr>
          <w:rFonts w:ascii="Times New Roman" w:eastAsia="Times New Roman" w:hAnsi="Times New Roman" w:cs="Times New Roman"/>
          <w:sz w:val="24"/>
          <w:szCs w:val="24"/>
        </w:rPr>
        <w:t>es</w:t>
      </w:r>
      <w:r w:rsidRPr="005A0D68">
        <w:rPr>
          <w:rFonts w:ascii="Times New Roman" w:eastAsia="Times New Roman" w:hAnsi="Times New Roman" w:cs="Times New Roman"/>
          <w:sz w:val="24"/>
          <w:szCs w:val="24"/>
        </w:rPr>
        <w:t xml:space="preserve"> which institutions and purposes are </w:t>
      </w:r>
      <w:r w:rsidR="00FA4F72" w:rsidRPr="005A0D68">
        <w:rPr>
          <w:rFonts w:ascii="Times New Roman" w:eastAsia="Times New Roman" w:hAnsi="Times New Roman" w:cs="Times New Roman"/>
          <w:sz w:val="24"/>
          <w:szCs w:val="24"/>
        </w:rPr>
        <w:t xml:space="preserve">to be categorised as </w:t>
      </w:r>
      <w:r w:rsidRPr="005A0D68">
        <w:rPr>
          <w:rFonts w:ascii="Times New Roman" w:eastAsia="Times New Roman" w:hAnsi="Times New Roman" w:cs="Times New Roman"/>
          <w:sz w:val="24"/>
          <w:szCs w:val="24"/>
        </w:rPr>
        <w:t>charitable.</w:t>
      </w:r>
      <w:r w:rsidRPr="005A0D68">
        <w:rPr>
          <w:rStyle w:val="FootnoteReference"/>
          <w:rFonts w:ascii="Times New Roman" w:eastAsia="Times New Roman" w:hAnsi="Times New Roman" w:cs="Times New Roman"/>
          <w:sz w:val="24"/>
          <w:szCs w:val="24"/>
        </w:rPr>
        <w:footnoteReference w:id="26"/>
      </w:r>
      <w:r w:rsidRPr="005A0D68">
        <w:rPr>
          <w:rFonts w:ascii="Times New Roman" w:eastAsia="Times New Roman" w:hAnsi="Times New Roman" w:cs="Times New Roman"/>
          <w:sz w:val="24"/>
          <w:szCs w:val="24"/>
        </w:rPr>
        <w:t xml:space="preserve"> </w:t>
      </w:r>
      <w:r w:rsidR="00E263F1">
        <w:rPr>
          <w:rFonts w:ascii="Times New Roman" w:eastAsia="Times New Roman" w:hAnsi="Times New Roman" w:cs="Times New Roman"/>
          <w:sz w:val="24"/>
          <w:szCs w:val="24"/>
        </w:rPr>
        <w:t xml:space="preserve">The importance of the registration process </w:t>
      </w:r>
      <w:r w:rsidR="00725F99">
        <w:rPr>
          <w:rFonts w:ascii="Times New Roman" w:eastAsia="Times New Roman" w:hAnsi="Times New Roman" w:cs="Times New Roman"/>
          <w:sz w:val="24"/>
          <w:szCs w:val="24"/>
        </w:rPr>
        <w:t>cannot be underestimated as i</w:t>
      </w:r>
      <w:r w:rsidR="00E263F1">
        <w:rPr>
          <w:rFonts w:ascii="Times New Roman" w:eastAsia="Times New Roman" w:hAnsi="Times New Roman" w:cs="Times New Roman"/>
          <w:sz w:val="24"/>
          <w:szCs w:val="24"/>
        </w:rPr>
        <w:t xml:space="preserve">t provides </w:t>
      </w:r>
      <w:r w:rsidR="00725F99">
        <w:rPr>
          <w:rFonts w:ascii="Times New Roman" w:eastAsia="Times New Roman" w:hAnsi="Times New Roman" w:cs="Times New Roman"/>
          <w:sz w:val="24"/>
          <w:szCs w:val="24"/>
        </w:rPr>
        <w:t>an</w:t>
      </w:r>
      <w:r w:rsidR="00E263F1">
        <w:rPr>
          <w:rFonts w:ascii="Times New Roman" w:eastAsia="Times New Roman" w:hAnsi="Times New Roman" w:cs="Times New Roman"/>
          <w:sz w:val="24"/>
          <w:szCs w:val="24"/>
        </w:rPr>
        <w:t xml:space="preserve"> assurance that the </w:t>
      </w:r>
      <w:r w:rsidR="00725F99">
        <w:rPr>
          <w:rFonts w:ascii="Times New Roman" w:eastAsia="Times New Roman" w:hAnsi="Times New Roman" w:cs="Times New Roman"/>
          <w:sz w:val="24"/>
          <w:szCs w:val="24"/>
        </w:rPr>
        <w:t xml:space="preserve">extensive </w:t>
      </w:r>
      <w:r w:rsidR="00E263F1">
        <w:rPr>
          <w:rFonts w:ascii="Times New Roman" w:eastAsia="Times New Roman" w:hAnsi="Times New Roman" w:cs="Times New Roman"/>
          <w:sz w:val="24"/>
          <w:szCs w:val="24"/>
        </w:rPr>
        <w:t>fiscal privileges that attach to charitable status</w:t>
      </w:r>
      <w:r w:rsidR="00725F99">
        <w:rPr>
          <w:rFonts w:ascii="Times New Roman" w:eastAsia="Times New Roman" w:hAnsi="Times New Roman" w:cs="Times New Roman"/>
          <w:sz w:val="24"/>
          <w:szCs w:val="24"/>
        </w:rPr>
        <w:t xml:space="preserve"> are deserved. There are also the reputational advantages that come with enhanced public standing</w:t>
      </w:r>
      <w:r w:rsidR="00806B9E">
        <w:rPr>
          <w:rFonts w:ascii="Times New Roman" w:eastAsia="Times New Roman" w:hAnsi="Times New Roman" w:cs="Times New Roman"/>
          <w:sz w:val="24"/>
          <w:szCs w:val="24"/>
        </w:rPr>
        <w:t>,</w:t>
      </w:r>
      <w:r w:rsidR="00725F99">
        <w:rPr>
          <w:rFonts w:ascii="Times New Roman" w:eastAsia="Times New Roman" w:hAnsi="Times New Roman" w:cs="Times New Roman"/>
          <w:sz w:val="24"/>
          <w:szCs w:val="24"/>
        </w:rPr>
        <w:t xml:space="preserve"> </w:t>
      </w:r>
      <w:r w:rsidR="00F70897">
        <w:rPr>
          <w:rFonts w:ascii="Times New Roman" w:eastAsia="Times New Roman" w:hAnsi="Times New Roman" w:cs="Times New Roman"/>
          <w:sz w:val="24"/>
          <w:szCs w:val="24"/>
        </w:rPr>
        <w:t>instilling</w:t>
      </w:r>
      <w:r w:rsidR="00806B9E">
        <w:rPr>
          <w:rFonts w:ascii="Times New Roman" w:eastAsia="Times New Roman" w:hAnsi="Times New Roman" w:cs="Times New Roman"/>
          <w:sz w:val="24"/>
          <w:szCs w:val="24"/>
        </w:rPr>
        <w:t xml:space="preserve"> </w:t>
      </w:r>
      <w:r w:rsidR="00725F99">
        <w:rPr>
          <w:rFonts w:ascii="Times New Roman" w:eastAsia="Times New Roman" w:hAnsi="Times New Roman" w:cs="Times New Roman"/>
          <w:sz w:val="24"/>
          <w:szCs w:val="24"/>
        </w:rPr>
        <w:t>confidence that such charities</w:t>
      </w:r>
      <w:r w:rsidR="00634AD9">
        <w:rPr>
          <w:rFonts w:ascii="Times New Roman" w:eastAsia="Times New Roman" w:hAnsi="Times New Roman" w:cs="Times New Roman"/>
          <w:sz w:val="24"/>
          <w:szCs w:val="24"/>
        </w:rPr>
        <w:t xml:space="preserve"> operate for the public benefit.</w:t>
      </w:r>
      <w:r w:rsidR="00725F99">
        <w:rPr>
          <w:rFonts w:ascii="Times New Roman" w:eastAsia="Times New Roman" w:hAnsi="Times New Roman" w:cs="Times New Roman"/>
          <w:sz w:val="24"/>
          <w:szCs w:val="24"/>
        </w:rPr>
        <w:t xml:space="preserve"> </w:t>
      </w:r>
      <w:r w:rsidRPr="005A0D68">
        <w:rPr>
          <w:rFonts w:ascii="Times New Roman" w:eastAsia="Times New Roman" w:hAnsi="Times New Roman" w:cs="Times New Roman"/>
          <w:sz w:val="24"/>
          <w:szCs w:val="24"/>
        </w:rPr>
        <w:t xml:space="preserve">Significantly, the Commission is by </w:t>
      </w:r>
      <w:proofErr w:type="gramStart"/>
      <w:r w:rsidRPr="005A0D68">
        <w:rPr>
          <w:rFonts w:ascii="Times New Roman" w:eastAsia="Times New Roman" w:hAnsi="Times New Roman" w:cs="Times New Roman"/>
          <w:sz w:val="24"/>
          <w:szCs w:val="24"/>
        </w:rPr>
        <w:t>s.17(</w:t>
      </w:r>
      <w:proofErr w:type="gramEnd"/>
      <w:r w:rsidRPr="005A0D68">
        <w:rPr>
          <w:rFonts w:ascii="Times New Roman" w:eastAsia="Times New Roman" w:hAnsi="Times New Roman" w:cs="Times New Roman"/>
          <w:sz w:val="24"/>
          <w:szCs w:val="24"/>
        </w:rPr>
        <w:t xml:space="preserve">1) tasked to provide guidance to promote awareness and understanding of the public benefit requirement. While the Commission is not technically a lawmaker, it undoubtedly enjoys a role as a quasi-judicial arbiter of status. Absent rectification of the register, </w:t>
      </w:r>
      <w:proofErr w:type="gramStart"/>
      <w:r w:rsidRPr="005A0D68">
        <w:rPr>
          <w:rFonts w:ascii="Times New Roman" w:eastAsia="Times New Roman" w:hAnsi="Times New Roman" w:cs="Times New Roman"/>
          <w:sz w:val="24"/>
          <w:szCs w:val="24"/>
        </w:rPr>
        <w:t>s.37(</w:t>
      </w:r>
      <w:proofErr w:type="gramEnd"/>
      <w:r w:rsidRPr="005A0D68">
        <w:rPr>
          <w:rFonts w:ascii="Times New Roman" w:eastAsia="Times New Roman" w:hAnsi="Times New Roman" w:cs="Times New Roman"/>
          <w:sz w:val="24"/>
          <w:szCs w:val="24"/>
        </w:rPr>
        <w:t xml:space="preserve">1) states that </w:t>
      </w:r>
      <w:r w:rsidRPr="005A0D68">
        <w:rPr>
          <w:rFonts w:ascii="Times New Roman" w:eastAsia="Times New Roman" w:hAnsi="Times New Roman" w:cs="Times New Roman"/>
          <w:sz w:val="24"/>
          <w:szCs w:val="24"/>
        </w:rPr>
        <w:lastRenderedPageBreak/>
        <w:t xml:space="preserve">registration by the Commission is conclusive of charitable status. It is important, therefore, that registration decisions are robust, fair and consistent and that the public benefit guidance is comprehensive and on all fours with traditional, judicial wisdom. </w:t>
      </w:r>
      <w:r w:rsidR="00766242" w:rsidRPr="005A0D68">
        <w:rPr>
          <w:rFonts w:ascii="Times New Roman" w:eastAsia="Times New Roman" w:hAnsi="Times New Roman" w:cs="Times New Roman"/>
          <w:sz w:val="24"/>
          <w:szCs w:val="24"/>
        </w:rPr>
        <w:t>This article will establish that</w:t>
      </w:r>
      <w:r w:rsidRPr="005A0D68">
        <w:rPr>
          <w:rFonts w:ascii="Times New Roman" w:eastAsia="Times New Roman" w:hAnsi="Times New Roman" w:cs="Times New Roman"/>
          <w:sz w:val="24"/>
          <w:szCs w:val="24"/>
        </w:rPr>
        <w:t xml:space="preserve"> these ideals </w:t>
      </w:r>
      <w:r w:rsidR="00766242" w:rsidRPr="005A0D68">
        <w:rPr>
          <w:rFonts w:ascii="Times New Roman" w:eastAsia="Times New Roman" w:hAnsi="Times New Roman" w:cs="Times New Roman"/>
          <w:sz w:val="24"/>
          <w:szCs w:val="24"/>
        </w:rPr>
        <w:t xml:space="preserve">are </w:t>
      </w:r>
      <w:r w:rsidRPr="005A0D68">
        <w:rPr>
          <w:rFonts w:ascii="Times New Roman" w:eastAsia="Times New Roman" w:hAnsi="Times New Roman" w:cs="Times New Roman"/>
          <w:sz w:val="24"/>
          <w:szCs w:val="24"/>
        </w:rPr>
        <w:t>not always achieved. The Commission has already suffered the chastening effect of a successful legal challenge to its public benefit guidance as regards education</w:t>
      </w:r>
      <w:r w:rsidRPr="005A0D68">
        <w:rPr>
          <w:rStyle w:val="FootnoteReference"/>
          <w:rFonts w:ascii="Times New Roman" w:eastAsia="Times New Roman" w:hAnsi="Times New Roman" w:cs="Times New Roman"/>
          <w:sz w:val="24"/>
          <w:szCs w:val="24"/>
        </w:rPr>
        <w:footnoteReference w:id="27"/>
      </w:r>
      <w:r w:rsidRPr="005A0D68">
        <w:rPr>
          <w:rFonts w:ascii="Times New Roman" w:eastAsia="Times New Roman" w:hAnsi="Times New Roman" w:cs="Times New Roman"/>
          <w:sz w:val="24"/>
          <w:szCs w:val="24"/>
        </w:rPr>
        <w:t xml:space="preserve"> with the subsequent need to revisit its </w:t>
      </w:r>
      <w:r w:rsidRPr="005A0D68">
        <w:rPr>
          <w:rFonts w:ascii="Times New Roman" w:hAnsi="Times New Roman" w:cs="Times New Roman"/>
          <w:sz w:val="24"/>
          <w:szCs w:val="24"/>
        </w:rPr>
        <w:t>guidance and accompanying legal analysis.</w:t>
      </w:r>
      <w:r w:rsidRPr="005A0D68">
        <w:rPr>
          <w:rStyle w:val="FootnoteReference"/>
          <w:rFonts w:ascii="Times New Roman" w:hAnsi="Times New Roman" w:cs="Times New Roman"/>
          <w:sz w:val="24"/>
          <w:szCs w:val="24"/>
        </w:rPr>
        <w:footnoteReference w:id="28"/>
      </w:r>
      <w:r w:rsidR="00670277" w:rsidRPr="005A0D68">
        <w:rPr>
          <w:rFonts w:ascii="Times New Roman" w:hAnsi="Times New Roman" w:cs="Times New Roman"/>
          <w:sz w:val="24"/>
          <w:szCs w:val="24"/>
        </w:rPr>
        <w:t xml:space="preserve"> Admittedly, t</w:t>
      </w:r>
      <w:r w:rsidR="00670277" w:rsidRPr="005A0D68">
        <w:rPr>
          <w:rFonts w:ascii="Times New Roman" w:eastAsia="Times New Roman" w:hAnsi="Times New Roman" w:cs="Times New Roman"/>
          <w:sz w:val="24"/>
          <w:szCs w:val="24"/>
        </w:rPr>
        <w:t>he Commission is not helped in its task by the paucity of cases reaching the</w:t>
      </w:r>
      <w:r w:rsidR="004B3206" w:rsidRPr="005A0D68">
        <w:rPr>
          <w:rFonts w:ascii="Times New Roman" w:eastAsia="Times New Roman" w:hAnsi="Times New Roman" w:cs="Times New Roman"/>
          <w:sz w:val="24"/>
          <w:szCs w:val="24"/>
        </w:rPr>
        <w:t xml:space="preserve"> courts or the Upper Tribunal. Only a</w:t>
      </w:r>
      <w:r w:rsidR="00670277" w:rsidRPr="005A0D68">
        <w:rPr>
          <w:rFonts w:ascii="Times New Roman" w:eastAsia="Times New Roman" w:hAnsi="Times New Roman" w:cs="Times New Roman"/>
          <w:sz w:val="24"/>
          <w:szCs w:val="24"/>
        </w:rPr>
        <w:t xml:space="preserve"> modest mea</w:t>
      </w:r>
      <w:r w:rsidR="004B3206" w:rsidRPr="005A0D68">
        <w:rPr>
          <w:rFonts w:ascii="Times New Roman" w:eastAsia="Times New Roman" w:hAnsi="Times New Roman" w:cs="Times New Roman"/>
          <w:sz w:val="24"/>
          <w:szCs w:val="24"/>
        </w:rPr>
        <w:t xml:space="preserve">sure of oversight and redress is </w:t>
      </w:r>
      <w:r w:rsidR="00670277" w:rsidRPr="005A0D68">
        <w:rPr>
          <w:rFonts w:ascii="Times New Roman" w:eastAsia="Times New Roman" w:hAnsi="Times New Roman" w:cs="Times New Roman"/>
          <w:sz w:val="24"/>
          <w:szCs w:val="24"/>
        </w:rPr>
        <w:t>provided by the First-tier Tribunal (Charity).</w:t>
      </w:r>
      <w:r w:rsidR="00670277" w:rsidRPr="005A0D68">
        <w:rPr>
          <w:rStyle w:val="FootnoteReference"/>
          <w:rFonts w:ascii="Times New Roman" w:eastAsia="Times New Roman" w:hAnsi="Times New Roman" w:cs="Times New Roman"/>
          <w:sz w:val="24"/>
          <w:szCs w:val="24"/>
        </w:rPr>
        <w:footnoteReference w:id="29"/>
      </w:r>
      <w:r w:rsidR="00670277" w:rsidRPr="005A0D68">
        <w:rPr>
          <w:rFonts w:ascii="Times New Roman" w:eastAsia="Times New Roman" w:hAnsi="Times New Roman" w:cs="Times New Roman"/>
          <w:sz w:val="24"/>
          <w:szCs w:val="24"/>
        </w:rPr>
        <w:t xml:space="preserve"> </w:t>
      </w:r>
      <w:r w:rsidR="00FA4F72" w:rsidRPr="005A0D68">
        <w:rPr>
          <w:rFonts w:ascii="Times New Roman" w:eastAsia="Times New Roman" w:hAnsi="Times New Roman" w:cs="Times New Roman"/>
          <w:sz w:val="24"/>
          <w:szCs w:val="24"/>
        </w:rPr>
        <w:t>Although not</w:t>
      </w:r>
      <w:r w:rsidR="00670277" w:rsidRPr="005A0D68">
        <w:rPr>
          <w:rFonts w:ascii="Times New Roman" w:eastAsia="Times New Roman" w:hAnsi="Times New Roman" w:cs="Times New Roman"/>
          <w:sz w:val="24"/>
          <w:szCs w:val="24"/>
        </w:rPr>
        <w:t xml:space="preserve"> a court of precedent and </w:t>
      </w:r>
      <w:r w:rsidR="00FA4F72" w:rsidRPr="005A0D68">
        <w:rPr>
          <w:rFonts w:ascii="Times New Roman" w:eastAsia="Times New Roman" w:hAnsi="Times New Roman" w:cs="Times New Roman"/>
          <w:sz w:val="24"/>
          <w:szCs w:val="24"/>
        </w:rPr>
        <w:t>with i</w:t>
      </w:r>
      <w:r w:rsidR="00670277" w:rsidRPr="005A0D68">
        <w:rPr>
          <w:rFonts w:ascii="Times New Roman" w:eastAsia="Times New Roman" w:hAnsi="Times New Roman" w:cs="Times New Roman"/>
          <w:sz w:val="24"/>
          <w:szCs w:val="24"/>
        </w:rPr>
        <w:t xml:space="preserve">ts proceedings </w:t>
      </w:r>
      <w:r w:rsidR="00FA4F72" w:rsidRPr="005A0D68">
        <w:rPr>
          <w:rFonts w:ascii="Times New Roman" w:eastAsia="Times New Roman" w:hAnsi="Times New Roman" w:cs="Times New Roman"/>
          <w:sz w:val="24"/>
          <w:szCs w:val="24"/>
        </w:rPr>
        <w:t>being</w:t>
      </w:r>
      <w:r w:rsidR="00670277" w:rsidRPr="005A0D68">
        <w:rPr>
          <w:rFonts w:ascii="Times New Roman" w:eastAsia="Times New Roman" w:hAnsi="Times New Roman" w:cs="Times New Roman"/>
          <w:sz w:val="24"/>
          <w:szCs w:val="24"/>
        </w:rPr>
        <w:t xml:space="preserve"> geared to, </w:t>
      </w:r>
      <w:r w:rsidR="00670277" w:rsidRPr="005A0D68">
        <w:rPr>
          <w:rFonts w:ascii="Times New Roman" w:hAnsi="Times New Roman" w:cs="Times New Roman"/>
          <w:sz w:val="24"/>
          <w:szCs w:val="24"/>
        </w:rPr>
        <w:t>“the procedural informality and quasi-inquisitorial approach characteristic of tribunals”,</w:t>
      </w:r>
      <w:r w:rsidR="00670277" w:rsidRPr="005A0D68">
        <w:rPr>
          <w:rStyle w:val="FootnoteReference"/>
          <w:rFonts w:ascii="Times New Roman" w:eastAsia="Times New Roman" w:hAnsi="Times New Roman" w:cs="Times New Roman"/>
          <w:sz w:val="24"/>
          <w:szCs w:val="24"/>
        </w:rPr>
        <w:footnoteReference w:id="30"/>
      </w:r>
      <w:r w:rsidR="00670277" w:rsidRPr="005A0D68">
        <w:rPr>
          <w:rFonts w:ascii="Times New Roman" w:eastAsia="Times New Roman" w:hAnsi="Times New Roman" w:cs="Times New Roman"/>
          <w:sz w:val="24"/>
          <w:szCs w:val="24"/>
        </w:rPr>
        <w:t xml:space="preserve"> </w:t>
      </w:r>
      <w:r w:rsidR="00670277" w:rsidRPr="005A0D68">
        <w:rPr>
          <w:rFonts w:ascii="Times New Roman" w:hAnsi="Times New Roman" w:cs="Times New Roman"/>
          <w:sz w:val="24"/>
          <w:szCs w:val="24"/>
        </w:rPr>
        <w:t xml:space="preserve">its </w:t>
      </w:r>
      <w:r w:rsidR="00FA4F72" w:rsidRPr="005A0D68">
        <w:rPr>
          <w:rFonts w:ascii="Times New Roman" w:hAnsi="Times New Roman" w:cs="Times New Roman"/>
          <w:sz w:val="24"/>
          <w:szCs w:val="24"/>
        </w:rPr>
        <w:t xml:space="preserve">key </w:t>
      </w:r>
      <w:r w:rsidR="00670277" w:rsidRPr="005A0D68">
        <w:rPr>
          <w:rFonts w:ascii="Times New Roman" w:hAnsi="Times New Roman" w:cs="Times New Roman"/>
          <w:sz w:val="24"/>
          <w:szCs w:val="24"/>
        </w:rPr>
        <w:t xml:space="preserve">role is to consider afresh contested decisions as to eligibility for charity registration. </w:t>
      </w:r>
      <w:r w:rsidR="00373EF0">
        <w:rPr>
          <w:rFonts w:ascii="Times New Roman" w:hAnsi="Times New Roman" w:cs="Times New Roman"/>
          <w:sz w:val="24"/>
          <w:szCs w:val="24"/>
        </w:rPr>
        <w:t>As will become clear, the Commission’s ideals are not always shared and important differences in approach between the bodies have come to the fore.</w:t>
      </w:r>
    </w:p>
    <w:p w:rsidR="001659D4" w:rsidRPr="005A0D68" w:rsidRDefault="00670277" w:rsidP="00675668">
      <w:pPr>
        <w:spacing w:after="0" w:line="480" w:lineRule="auto"/>
        <w:ind w:firstLine="720"/>
        <w:jc w:val="both"/>
        <w:rPr>
          <w:rFonts w:ascii="Times New Roman" w:eastAsia="Times New Roman" w:hAnsi="Times New Roman" w:cs="Times New Roman"/>
          <w:sz w:val="24"/>
          <w:szCs w:val="24"/>
        </w:rPr>
      </w:pPr>
      <w:r w:rsidRPr="005A0D68">
        <w:rPr>
          <w:rFonts w:ascii="Times New Roman" w:eastAsia="Times New Roman" w:hAnsi="Times New Roman" w:cs="Times New Roman"/>
          <w:sz w:val="24"/>
          <w:szCs w:val="24"/>
        </w:rPr>
        <w:t xml:space="preserve">A </w:t>
      </w:r>
      <w:r w:rsidR="00766242" w:rsidRPr="005A0D68">
        <w:rPr>
          <w:rFonts w:ascii="Times New Roman" w:eastAsia="Times New Roman" w:hAnsi="Times New Roman" w:cs="Times New Roman"/>
          <w:sz w:val="24"/>
          <w:szCs w:val="24"/>
        </w:rPr>
        <w:t>limited</w:t>
      </w:r>
      <w:r w:rsidRPr="005A0D68">
        <w:rPr>
          <w:rFonts w:ascii="Times New Roman" w:eastAsia="Times New Roman" w:hAnsi="Times New Roman" w:cs="Times New Roman"/>
          <w:sz w:val="24"/>
          <w:szCs w:val="24"/>
        </w:rPr>
        <w:t xml:space="preserve"> </w:t>
      </w:r>
      <w:r w:rsidR="00FA4F72" w:rsidRPr="005A0D68">
        <w:rPr>
          <w:rFonts w:ascii="Times New Roman" w:eastAsia="Times New Roman" w:hAnsi="Times New Roman" w:cs="Times New Roman"/>
          <w:sz w:val="24"/>
          <w:szCs w:val="24"/>
        </w:rPr>
        <w:t>(</w:t>
      </w:r>
      <w:r w:rsidRPr="005A0D68">
        <w:rPr>
          <w:rFonts w:ascii="Times New Roman" w:eastAsia="Times New Roman" w:hAnsi="Times New Roman" w:cs="Times New Roman"/>
          <w:sz w:val="24"/>
          <w:szCs w:val="24"/>
        </w:rPr>
        <w:t xml:space="preserve">but </w:t>
      </w:r>
      <w:r w:rsidR="00FA4F72" w:rsidRPr="005A0D68">
        <w:rPr>
          <w:rFonts w:ascii="Times New Roman" w:eastAsia="Times New Roman" w:hAnsi="Times New Roman" w:cs="Times New Roman"/>
          <w:sz w:val="24"/>
          <w:szCs w:val="24"/>
        </w:rPr>
        <w:t xml:space="preserve">ever </w:t>
      </w:r>
      <w:r w:rsidRPr="005A0D68">
        <w:rPr>
          <w:rFonts w:ascii="Times New Roman" w:eastAsia="Times New Roman" w:hAnsi="Times New Roman" w:cs="Times New Roman"/>
          <w:sz w:val="24"/>
          <w:szCs w:val="24"/>
        </w:rPr>
        <w:t>growing</w:t>
      </w:r>
      <w:r w:rsidR="00FA4F72" w:rsidRPr="005A0D68">
        <w:rPr>
          <w:rFonts w:ascii="Times New Roman" w:eastAsia="Times New Roman" w:hAnsi="Times New Roman" w:cs="Times New Roman"/>
          <w:sz w:val="24"/>
          <w:szCs w:val="24"/>
        </w:rPr>
        <w:t>)</w:t>
      </w:r>
      <w:r w:rsidRPr="005A0D68">
        <w:rPr>
          <w:rFonts w:ascii="Times New Roman" w:eastAsia="Times New Roman" w:hAnsi="Times New Roman" w:cs="Times New Roman"/>
          <w:sz w:val="24"/>
          <w:szCs w:val="24"/>
        </w:rPr>
        <w:t xml:space="preserve"> number of First-tier </w:t>
      </w:r>
      <w:r w:rsidR="00EC3E59" w:rsidRPr="005A0D68">
        <w:rPr>
          <w:rFonts w:ascii="Times New Roman" w:eastAsia="Times New Roman" w:hAnsi="Times New Roman" w:cs="Times New Roman"/>
          <w:sz w:val="24"/>
          <w:szCs w:val="24"/>
        </w:rPr>
        <w:t>T</w:t>
      </w:r>
      <w:r w:rsidRPr="005A0D68">
        <w:rPr>
          <w:rFonts w:ascii="Times New Roman" w:eastAsia="Times New Roman" w:hAnsi="Times New Roman" w:cs="Times New Roman"/>
          <w:sz w:val="24"/>
          <w:szCs w:val="24"/>
        </w:rPr>
        <w:t xml:space="preserve">ribunal decisions paint a </w:t>
      </w:r>
      <w:r w:rsidR="00D24973" w:rsidRPr="005A0D68">
        <w:rPr>
          <w:rFonts w:ascii="Times New Roman" w:eastAsia="Times New Roman" w:hAnsi="Times New Roman" w:cs="Times New Roman"/>
          <w:sz w:val="24"/>
          <w:szCs w:val="24"/>
        </w:rPr>
        <w:t>revealing</w:t>
      </w:r>
      <w:r w:rsidRPr="005A0D68">
        <w:rPr>
          <w:rFonts w:ascii="Times New Roman" w:eastAsia="Times New Roman" w:hAnsi="Times New Roman" w:cs="Times New Roman"/>
          <w:sz w:val="24"/>
          <w:szCs w:val="24"/>
        </w:rPr>
        <w:t xml:space="preserve"> picture of </w:t>
      </w:r>
      <w:r w:rsidR="0084555C" w:rsidRPr="005A0D68">
        <w:rPr>
          <w:rFonts w:ascii="Times New Roman" w:eastAsia="Times New Roman" w:hAnsi="Times New Roman" w:cs="Times New Roman"/>
          <w:sz w:val="24"/>
          <w:szCs w:val="24"/>
        </w:rPr>
        <w:t xml:space="preserve">the </w:t>
      </w:r>
      <w:r w:rsidR="00766242" w:rsidRPr="005A0D68">
        <w:rPr>
          <w:rFonts w:ascii="Times New Roman" w:eastAsia="Times New Roman" w:hAnsi="Times New Roman" w:cs="Times New Roman"/>
          <w:sz w:val="24"/>
          <w:szCs w:val="24"/>
        </w:rPr>
        <w:t>existing</w:t>
      </w:r>
      <w:r w:rsidR="00EA1B63" w:rsidRPr="005A0D68">
        <w:rPr>
          <w:rFonts w:ascii="Times New Roman" w:eastAsia="Times New Roman" w:hAnsi="Times New Roman" w:cs="Times New Roman"/>
          <w:sz w:val="24"/>
          <w:szCs w:val="24"/>
        </w:rPr>
        <w:t xml:space="preserve"> </w:t>
      </w:r>
      <w:r w:rsidRPr="005A0D68">
        <w:rPr>
          <w:rFonts w:ascii="Times New Roman" w:eastAsia="Times New Roman" w:hAnsi="Times New Roman" w:cs="Times New Roman"/>
          <w:sz w:val="24"/>
          <w:szCs w:val="24"/>
        </w:rPr>
        <w:t>tension and uncertaint</w:t>
      </w:r>
      <w:r w:rsidR="00766242" w:rsidRPr="005A0D68">
        <w:rPr>
          <w:rFonts w:ascii="Times New Roman" w:eastAsia="Times New Roman" w:hAnsi="Times New Roman" w:cs="Times New Roman"/>
          <w:sz w:val="24"/>
          <w:szCs w:val="24"/>
        </w:rPr>
        <w:t>y</w:t>
      </w:r>
      <w:r w:rsidRPr="005A0D68">
        <w:rPr>
          <w:rFonts w:ascii="Times New Roman" w:eastAsia="Times New Roman" w:hAnsi="Times New Roman" w:cs="Times New Roman"/>
          <w:sz w:val="24"/>
          <w:szCs w:val="24"/>
        </w:rPr>
        <w:t xml:space="preserve"> </w:t>
      </w:r>
      <w:r w:rsidR="0090084A" w:rsidRPr="005A0D68">
        <w:rPr>
          <w:rFonts w:ascii="Times New Roman" w:eastAsia="Times New Roman" w:hAnsi="Times New Roman" w:cs="Times New Roman"/>
          <w:sz w:val="24"/>
          <w:szCs w:val="24"/>
        </w:rPr>
        <w:t xml:space="preserve">in the </w:t>
      </w:r>
      <w:r w:rsidR="001401B0">
        <w:rPr>
          <w:rFonts w:ascii="Times New Roman" w:eastAsia="Times New Roman" w:hAnsi="Times New Roman" w:cs="Times New Roman"/>
          <w:sz w:val="24"/>
          <w:szCs w:val="24"/>
        </w:rPr>
        <w:t xml:space="preserve">Commission’s </w:t>
      </w:r>
      <w:r w:rsidR="0090084A" w:rsidRPr="005A0D68">
        <w:rPr>
          <w:rFonts w:ascii="Times New Roman" w:eastAsia="Times New Roman" w:hAnsi="Times New Roman" w:cs="Times New Roman"/>
          <w:sz w:val="24"/>
          <w:szCs w:val="24"/>
        </w:rPr>
        <w:t>explication</w:t>
      </w:r>
      <w:r w:rsidRPr="005A0D68">
        <w:rPr>
          <w:rFonts w:ascii="Times New Roman" w:eastAsia="Times New Roman" w:hAnsi="Times New Roman" w:cs="Times New Roman"/>
          <w:sz w:val="24"/>
          <w:szCs w:val="24"/>
        </w:rPr>
        <w:t xml:space="preserve"> and application of the revamped code.</w:t>
      </w:r>
      <w:r w:rsidR="00D24973" w:rsidRPr="005A0D68">
        <w:rPr>
          <w:rFonts w:ascii="Times New Roman" w:eastAsia="Times New Roman" w:hAnsi="Times New Roman" w:cs="Times New Roman"/>
          <w:sz w:val="24"/>
          <w:szCs w:val="24"/>
        </w:rPr>
        <w:t xml:space="preserve"> </w:t>
      </w:r>
      <w:r w:rsidR="00D02A91" w:rsidRPr="005A0D68">
        <w:rPr>
          <w:rFonts w:ascii="Times New Roman" w:eastAsia="Times New Roman" w:hAnsi="Times New Roman" w:cs="Times New Roman"/>
          <w:sz w:val="24"/>
          <w:szCs w:val="24"/>
        </w:rPr>
        <w:t xml:space="preserve">From the perspective of the fourth head in its contemporary and disassembled form, this article will critically examine the interpretation and impact of this redefinition of charitable purpose and public benefit. </w:t>
      </w:r>
      <w:r w:rsidR="00D24973" w:rsidRPr="005A0D68">
        <w:rPr>
          <w:rFonts w:ascii="Times New Roman" w:eastAsia="Times New Roman" w:hAnsi="Times New Roman" w:cs="Times New Roman"/>
          <w:sz w:val="24"/>
          <w:szCs w:val="24"/>
        </w:rPr>
        <w:t xml:space="preserve">This is an aspect of charity law that has hitherto been neglected, with academic and judicial attention having been focused instead upon the more conspicuous heads of poverty, education and religion. </w:t>
      </w:r>
      <w:r w:rsidR="006642A7" w:rsidRPr="005A0D68">
        <w:rPr>
          <w:rFonts w:ascii="Times New Roman" w:eastAsia="Times New Roman" w:hAnsi="Times New Roman" w:cs="Times New Roman"/>
          <w:sz w:val="24"/>
          <w:szCs w:val="24"/>
        </w:rPr>
        <w:t>T</w:t>
      </w:r>
      <w:r w:rsidR="008134A3" w:rsidRPr="005A0D68">
        <w:rPr>
          <w:rFonts w:ascii="Times New Roman" w:eastAsia="Times New Roman" w:hAnsi="Times New Roman" w:cs="Times New Roman"/>
          <w:sz w:val="24"/>
          <w:szCs w:val="24"/>
        </w:rPr>
        <w:t xml:space="preserve">wo </w:t>
      </w:r>
      <w:r w:rsidR="00D02A91" w:rsidRPr="005A0D68">
        <w:rPr>
          <w:rFonts w:ascii="Times New Roman" w:eastAsia="Times New Roman" w:hAnsi="Times New Roman" w:cs="Times New Roman"/>
          <w:sz w:val="24"/>
          <w:szCs w:val="24"/>
        </w:rPr>
        <w:t>prob</w:t>
      </w:r>
      <w:r w:rsidR="00117DF8" w:rsidRPr="005A0D68">
        <w:rPr>
          <w:rFonts w:ascii="Times New Roman" w:eastAsia="Times New Roman" w:hAnsi="Times New Roman" w:cs="Times New Roman"/>
          <w:sz w:val="24"/>
          <w:szCs w:val="24"/>
        </w:rPr>
        <w:t xml:space="preserve">lems inherent in the redefined </w:t>
      </w:r>
      <w:r w:rsidR="00D02A91" w:rsidRPr="005A0D68">
        <w:rPr>
          <w:rFonts w:ascii="Times New Roman" w:eastAsia="Times New Roman" w:hAnsi="Times New Roman" w:cs="Times New Roman"/>
          <w:sz w:val="24"/>
          <w:szCs w:val="24"/>
        </w:rPr>
        <w:t xml:space="preserve">concept of a </w:t>
      </w:r>
      <w:r w:rsidR="008134A3" w:rsidRPr="005A0D68">
        <w:rPr>
          <w:rFonts w:ascii="Times New Roman" w:eastAsia="Times New Roman" w:hAnsi="Times New Roman" w:cs="Times New Roman"/>
          <w:sz w:val="24"/>
          <w:szCs w:val="24"/>
        </w:rPr>
        <w:t>charitable purpose</w:t>
      </w:r>
      <w:r w:rsidR="006642A7" w:rsidRPr="005A0D68">
        <w:rPr>
          <w:rFonts w:ascii="Times New Roman" w:eastAsia="Times New Roman" w:hAnsi="Times New Roman" w:cs="Times New Roman"/>
          <w:sz w:val="24"/>
          <w:szCs w:val="24"/>
        </w:rPr>
        <w:t xml:space="preserve"> will be exposed and examined</w:t>
      </w:r>
      <w:r w:rsidR="00D24973" w:rsidRPr="005A0D68">
        <w:rPr>
          <w:rFonts w:ascii="Times New Roman" w:eastAsia="Times New Roman" w:hAnsi="Times New Roman" w:cs="Times New Roman"/>
          <w:sz w:val="24"/>
          <w:szCs w:val="24"/>
        </w:rPr>
        <w:t>.</w:t>
      </w:r>
      <w:r w:rsidR="008134A3" w:rsidRPr="005A0D68">
        <w:rPr>
          <w:rFonts w:ascii="Times New Roman" w:eastAsia="Times New Roman" w:hAnsi="Times New Roman" w:cs="Times New Roman"/>
          <w:sz w:val="24"/>
          <w:szCs w:val="24"/>
        </w:rPr>
        <w:t xml:space="preserve"> The first is </w:t>
      </w:r>
      <w:r w:rsidR="00D02A91" w:rsidRPr="005A0D68">
        <w:rPr>
          <w:rFonts w:ascii="Times New Roman" w:eastAsia="Times New Roman" w:hAnsi="Times New Roman" w:cs="Times New Roman"/>
          <w:sz w:val="24"/>
          <w:szCs w:val="24"/>
        </w:rPr>
        <w:t>conceptual and derive</w:t>
      </w:r>
      <w:r w:rsidR="008134A3" w:rsidRPr="005A0D68">
        <w:rPr>
          <w:rFonts w:ascii="Times New Roman" w:eastAsia="Times New Roman" w:hAnsi="Times New Roman" w:cs="Times New Roman"/>
          <w:sz w:val="24"/>
          <w:szCs w:val="24"/>
        </w:rPr>
        <w:t>s</w:t>
      </w:r>
      <w:r w:rsidR="00D02A91" w:rsidRPr="005A0D68">
        <w:rPr>
          <w:rFonts w:ascii="Times New Roman" w:eastAsia="Times New Roman" w:hAnsi="Times New Roman" w:cs="Times New Roman"/>
          <w:sz w:val="24"/>
          <w:szCs w:val="24"/>
        </w:rPr>
        <w:t xml:space="preserve"> from the lack of settled meaning in the </w:t>
      </w:r>
      <w:r w:rsidR="008134A3" w:rsidRPr="005A0D68">
        <w:rPr>
          <w:rFonts w:ascii="Times New Roman" w:eastAsia="Times New Roman" w:hAnsi="Times New Roman" w:cs="Times New Roman"/>
          <w:sz w:val="24"/>
          <w:szCs w:val="24"/>
        </w:rPr>
        <w:t xml:space="preserve">statutory </w:t>
      </w:r>
      <w:r w:rsidR="008134A3" w:rsidRPr="005A0D68">
        <w:rPr>
          <w:rFonts w:ascii="Times New Roman" w:eastAsia="Times New Roman" w:hAnsi="Times New Roman" w:cs="Times New Roman"/>
          <w:sz w:val="24"/>
          <w:szCs w:val="24"/>
        </w:rPr>
        <w:lastRenderedPageBreak/>
        <w:t xml:space="preserve">language and </w:t>
      </w:r>
      <w:r w:rsidR="00D02A91" w:rsidRPr="005A0D68">
        <w:rPr>
          <w:rFonts w:ascii="Times New Roman" w:eastAsia="Times New Roman" w:hAnsi="Times New Roman" w:cs="Times New Roman"/>
          <w:sz w:val="24"/>
          <w:szCs w:val="24"/>
        </w:rPr>
        <w:t>open-endedn</w:t>
      </w:r>
      <w:r w:rsidR="008134A3" w:rsidRPr="005A0D68">
        <w:rPr>
          <w:rFonts w:ascii="Times New Roman" w:eastAsia="Times New Roman" w:hAnsi="Times New Roman" w:cs="Times New Roman"/>
          <w:sz w:val="24"/>
          <w:szCs w:val="24"/>
        </w:rPr>
        <w:t>ess of the descriptions.</w:t>
      </w:r>
      <w:r w:rsidR="00A06FFD" w:rsidRPr="005A0D68">
        <w:rPr>
          <w:rFonts w:ascii="Times New Roman" w:eastAsia="Times New Roman" w:hAnsi="Times New Roman" w:cs="Times New Roman"/>
          <w:sz w:val="24"/>
          <w:szCs w:val="24"/>
        </w:rPr>
        <w:t xml:space="preserve"> This is directly</w:t>
      </w:r>
      <w:r w:rsidR="008134A3" w:rsidRPr="005A0D68">
        <w:rPr>
          <w:rFonts w:ascii="Times New Roman" w:eastAsia="Times New Roman" w:hAnsi="Times New Roman" w:cs="Times New Roman"/>
          <w:sz w:val="24"/>
          <w:szCs w:val="24"/>
        </w:rPr>
        <w:t xml:space="preserve"> </w:t>
      </w:r>
      <w:r w:rsidR="00A06FFD" w:rsidRPr="005A0D68">
        <w:rPr>
          <w:rFonts w:ascii="Times New Roman" w:hAnsi="Times New Roman" w:cs="Times New Roman"/>
          <w:sz w:val="24"/>
          <w:szCs w:val="24"/>
        </w:rPr>
        <w:t xml:space="preserve">attributable to the failure of Parliament to offer adequate statutory guidance or clarification. </w:t>
      </w:r>
      <w:r w:rsidR="00A06FFD" w:rsidRPr="005A0D68">
        <w:rPr>
          <w:rFonts w:ascii="Times New Roman" w:eastAsia="Times New Roman" w:hAnsi="Times New Roman" w:cs="Times New Roman"/>
          <w:sz w:val="24"/>
          <w:szCs w:val="24"/>
        </w:rPr>
        <w:t>The second lies in the climate of uncertainty that shrouds public benefit, in particular, the Commission’s interpretation of benefit and what it asks of an organisation in order that its public ‘benefit’ be established. It will become apparent that t</w:t>
      </w:r>
      <w:r w:rsidR="00FF0309" w:rsidRPr="005A0D68">
        <w:rPr>
          <w:rFonts w:ascii="Times New Roman" w:eastAsia="Times New Roman" w:hAnsi="Times New Roman" w:cs="Times New Roman"/>
          <w:sz w:val="24"/>
          <w:szCs w:val="24"/>
        </w:rPr>
        <w:t>he Commission operates with a</w:t>
      </w:r>
      <w:r w:rsidR="00A06FFD" w:rsidRPr="005A0D68">
        <w:rPr>
          <w:rFonts w:ascii="Times New Roman" w:eastAsia="Times New Roman" w:hAnsi="Times New Roman" w:cs="Times New Roman"/>
          <w:sz w:val="24"/>
          <w:szCs w:val="24"/>
        </w:rPr>
        <w:t>n acute</w:t>
      </w:r>
      <w:r w:rsidR="00FF0309" w:rsidRPr="005A0D68">
        <w:rPr>
          <w:rFonts w:ascii="Times New Roman" w:eastAsia="Times New Roman" w:hAnsi="Times New Roman" w:cs="Times New Roman"/>
          <w:sz w:val="24"/>
          <w:szCs w:val="24"/>
        </w:rPr>
        <w:t xml:space="preserve"> awareness of the threat of ambiguity in an organisation’s objects</w:t>
      </w:r>
      <w:r w:rsidR="00D24973" w:rsidRPr="005A0D68">
        <w:rPr>
          <w:rFonts w:ascii="Times New Roman" w:eastAsia="Times New Roman" w:hAnsi="Times New Roman" w:cs="Times New Roman"/>
          <w:sz w:val="24"/>
          <w:szCs w:val="24"/>
        </w:rPr>
        <w:t xml:space="preserve"> and, by insisting </w:t>
      </w:r>
      <w:r w:rsidR="00FF0309" w:rsidRPr="005A0D68">
        <w:rPr>
          <w:rFonts w:ascii="Times New Roman" w:eastAsia="Times New Roman" w:hAnsi="Times New Roman" w:cs="Times New Roman"/>
          <w:sz w:val="24"/>
          <w:szCs w:val="24"/>
        </w:rPr>
        <w:t>upon compelling formal proof of impact, sets a</w:t>
      </w:r>
      <w:r w:rsidR="00A06FFD" w:rsidRPr="005A0D68">
        <w:rPr>
          <w:rFonts w:ascii="Times New Roman" w:eastAsia="Times New Roman" w:hAnsi="Times New Roman" w:cs="Times New Roman"/>
          <w:sz w:val="24"/>
          <w:szCs w:val="24"/>
        </w:rPr>
        <w:t>n unrealistically</w:t>
      </w:r>
      <w:r w:rsidR="00FF0309" w:rsidRPr="005A0D68">
        <w:rPr>
          <w:rFonts w:ascii="Times New Roman" w:eastAsia="Times New Roman" w:hAnsi="Times New Roman" w:cs="Times New Roman"/>
          <w:sz w:val="24"/>
          <w:szCs w:val="24"/>
        </w:rPr>
        <w:t xml:space="preserve"> high bar </w:t>
      </w:r>
      <w:r w:rsidR="00A06FFD" w:rsidRPr="005A0D68">
        <w:rPr>
          <w:rFonts w:ascii="Times New Roman" w:eastAsia="Times New Roman" w:hAnsi="Times New Roman" w:cs="Times New Roman"/>
          <w:sz w:val="24"/>
          <w:szCs w:val="24"/>
        </w:rPr>
        <w:t xml:space="preserve">to </w:t>
      </w:r>
      <w:r w:rsidR="00EC3E59" w:rsidRPr="005A0D68">
        <w:rPr>
          <w:rFonts w:ascii="Times New Roman" w:eastAsia="Times New Roman" w:hAnsi="Times New Roman" w:cs="Times New Roman"/>
          <w:sz w:val="24"/>
          <w:szCs w:val="24"/>
        </w:rPr>
        <w:t xml:space="preserve">be </w:t>
      </w:r>
      <w:r w:rsidR="00A06FFD" w:rsidRPr="005A0D68">
        <w:rPr>
          <w:rFonts w:ascii="Times New Roman" w:eastAsia="Times New Roman" w:hAnsi="Times New Roman" w:cs="Times New Roman"/>
          <w:sz w:val="24"/>
          <w:szCs w:val="24"/>
        </w:rPr>
        <w:t>overcome</w:t>
      </w:r>
      <w:r w:rsidR="00FF0309" w:rsidRPr="005A0D68">
        <w:rPr>
          <w:rFonts w:ascii="Times New Roman" w:eastAsia="Times New Roman" w:hAnsi="Times New Roman" w:cs="Times New Roman"/>
          <w:sz w:val="24"/>
          <w:szCs w:val="24"/>
        </w:rPr>
        <w:t xml:space="preserve">. </w:t>
      </w:r>
      <w:r w:rsidR="00A06FFD" w:rsidRPr="005A0D68">
        <w:rPr>
          <w:rFonts w:ascii="Times New Roman" w:eastAsia="Times New Roman" w:hAnsi="Times New Roman" w:cs="Times New Roman"/>
          <w:sz w:val="24"/>
          <w:szCs w:val="24"/>
        </w:rPr>
        <w:t>While t</w:t>
      </w:r>
      <w:r w:rsidR="00B96F24" w:rsidRPr="005A0D68">
        <w:rPr>
          <w:rFonts w:ascii="Times New Roman" w:eastAsia="Times New Roman" w:hAnsi="Times New Roman" w:cs="Times New Roman"/>
          <w:sz w:val="24"/>
          <w:szCs w:val="24"/>
        </w:rPr>
        <w:t xml:space="preserve">he desire to impose rigour and order in its decision-making </w:t>
      </w:r>
      <w:r w:rsidR="00A06FFD" w:rsidRPr="005A0D68">
        <w:rPr>
          <w:rFonts w:ascii="Times New Roman" w:eastAsia="Times New Roman" w:hAnsi="Times New Roman" w:cs="Times New Roman"/>
          <w:sz w:val="24"/>
          <w:szCs w:val="24"/>
        </w:rPr>
        <w:t xml:space="preserve">process </w:t>
      </w:r>
      <w:r w:rsidR="00B96F24" w:rsidRPr="005A0D68">
        <w:rPr>
          <w:rFonts w:ascii="Times New Roman" w:eastAsia="Times New Roman" w:hAnsi="Times New Roman" w:cs="Times New Roman"/>
          <w:sz w:val="24"/>
          <w:szCs w:val="24"/>
        </w:rPr>
        <w:t xml:space="preserve">may be laudable, </w:t>
      </w:r>
      <w:r w:rsidR="00A06FFD" w:rsidRPr="005A0D68">
        <w:rPr>
          <w:rFonts w:ascii="Times New Roman" w:eastAsia="Times New Roman" w:hAnsi="Times New Roman" w:cs="Times New Roman"/>
          <w:sz w:val="24"/>
          <w:szCs w:val="24"/>
        </w:rPr>
        <w:t>this article will demonstrate</w:t>
      </w:r>
      <w:r w:rsidR="00A06FFD" w:rsidRPr="005A0D68">
        <w:rPr>
          <w:rFonts w:ascii="Times New Roman" w:hAnsi="Times New Roman" w:cs="Times New Roman"/>
          <w:sz w:val="24"/>
          <w:szCs w:val="24"/>
        </w:rPr>
        <w:t xml:space="preserve"> that</w:t>
      </w:r>
      <w:r w:rsidR="00B96F24" w:rsidRPr="005A0D68">
        <w:rPr>
          <w:rFonts w:ascii="Times New Roman" w:hAnsi="Times New Roman" w:cs="Times New Roman"/>
          <w:sz w:val="24"/>
          <w:szCs w:val="24"/>
        </w:rPr>
        <w:t xml:space="preserve"> </w:t>
      </w:r>
      <w:r w:rsidR="00A06FFD" w:rsidRPr="005A0D68">
        <w:rPr>
          <w:rFonts w:ascii="Times New Roman" w:hAnsi="Times New Roman" w:cs="Times New Roman"/>
          <w:sz w:val="24"/>
          <w:szCs w:val="24"/>
        </w:rPr>
        <w:t xml:space="preserve">the </w:t>
      </w:r>
      <w:r w:rsidR="00B96F24" w:rsidRPr="005A0D68">
        <w:rPr>
          <w:rFonts w:ascii="Times New Roman" w:hAnsi="Times New Roman" w:cs="Times New Roman"/>
          <w:sz w:val="24"/>
          <w:szCs w:val="24"/>
        </w:rPr>
        <w:t xml:space="preserve">Commission </w:t>
      </w:r>
      <w:r w:rsidR="00A06FFD" w:rsidRPr="005A0D68">
        <w:rPr>
          <w:rFonts w:ascii="Times New Roman" w:hAnsi="Times New Roman" w:cs="Times New Roman"/>
          <w:sz w:val="24"/>
          <w:szCs w:val="24"/>
        </w:rPr>
        <w:t>becomes</w:t>
      </w:r>
      <w:r w:rsidR="00B96F24" w:rsidRPr="005A0D68">
        <w:rPr>
          <w:rFonts w:ascii="Times New Roman" w:hAnsi="Times New Roman" w:cs="Times New Roman"/>
          <w:sz w:val="24"/>
          <w:szCs w:val="24"/>
        </w:rPr>
        <w:t xml:space="preserve"> </w:t>
      </w:r>
      <w:r w:rsidR="00EC3E59" w:rsidRPr="005A0D68">
        <w:rPr>
          <w:rFonts w:ascii="Times New Roman" w:hAnsi="Times New Roman" w:cs="Times New Roman"/>
          <w:sz w:val="24"/>
          <w:szCs w:val="24"/>
        </w:rPr>
        <w:t xml:space="preserve">overly </w:t>
      </w:r>
      <w:r w:rsidR="00B96F24" w:rsidRPr="005A0D68">
        <w:rPr>
          <w:rFonts w:ascii="Times New Roman" w:hAnsi="Times New Roman" w:cs="Times New Roman"/>
          <w:sz w:val="24"/>
          <w:szCs w:val="24"/>
        </w:rPr>
        <w:t>mired in</w:t>
      </w:r>
      <w:r w:rsidR="00EC3E59" w:rsidRPr="005A0D68">
        <w:rPr>
          <w:rFonts w:ascii="Times New Roman" w:hAnsi="Times New Roman" w:cs="Times New Roman"/>
          <w:sz w:val="24"/>
          <w:szCs w:val="24"/>
        </w:rPr>
        <w:t xml:space="preserve"> legal technicality</w:t>
      </w:r>
      <w:r w:rsidR="00A06FFD" w:rsidRPr="005A0D68">
        <w:rPr>
          <w:rFonts w:ascii="Times New Roman" w:hAnsi="Times New Roman" w:cs="Times New Roman"/>
          <w:sz w:val="24"/>
          <w:szCs w:val="24"/>
        </w:rPr>
        <w:t xml:space="preserve">. </w:t>
      </w:r>
      <w:r w:rsidR="003C6090" w:rsidRPr="005A0D68">
        <w:rPr>
          <w:rFonts w:ascii="Times New Roman" w:hAnsi="Times New Roman" w:cs="Times New Roman"/>
          <w:sz w:val="24"/>
          <w:szCs w:val="24"/>
        </w:rPr>
        <w:t>Unsurprisingly, t</w:t>
      </w:r>
      <w:r w:rsidR="00A06FFD" w:rsidRPr="005A0D68">
        <w:rPr>
          <w:rFonts w:ascii="Times New Roman" w:hAnsi="Times New Roman" w:cs="Times New Roman"/>
          <w:sz w:val="24"/>
          <w:szCs w:val="24"/>
        </w:rPr>
        <w:t>h</w:t>
      </w:r>
      <w:r w:rsidR="00A72D76" w:rsidRPr="005A0D68">
        <w:rPr>
          <w:rFonts w:ascii="Times New Roman" w:hAnsi="Times New Roman" w:cs="Times New Roman"/>
          <w:sz w:val="24"/>
          <w:szCs w:val="24"/>
        </w:rPr>
        <w:t>is tendency</w:t>
      </w:r>
      <w:r w:rsidR="00A06FFD" w:rsidRPr="005A0D68">
        <w:rPr>
          <w:rFonts w:ascii="Times New Roman" w:hAnsi="Times New Roman" w:cs="Times New Roman"/>
          <w:sz w:val="24"/>
          <w:szCs w:val="24"/>
        </w:rPr>
        <w:t xml:space="preserve"> </w:t>
      </w:r>
      <w:r w:rsidR="00B96F24" w:rsidRPr="005A0D68">
        <w:rPr>
          <w:rFonts w:ascii="Times New Roman" w:hAnsi="Times New Roman" w:cs="Times New Roman"/>
          <w:sz w:val="24"/>
          <w:szCs w:val="24"/>
        </w:rPr>
        <w:t>impede</w:t>
      </w:r>
      <w:r w:rsidR="003C6090" w:rsidRPr="005A0D68">
        <w:rPr>
          <w:rFonts w:ascii="Times New Roman" w:hAnsi="Times New Roman" w:cs="Times New Roman"/>
          <w:sz w:val="24"/>
          <w:szCs w:val="24"/>
        </w:rPr>
        <w:t>s</w:t>
      </w:r>
      <w:r w:rsidR="00B96F24" w:rsidRPr="005A0D68">
        <w:rPr>
          <w:rFonts w:ascii="Times New Roman" w:hAnsi="Times New Roman" w:cs="Times New Roman"/>
          <w:sz w:val="24"/>
          <w:szCs w:val="24"/>
        </w:rPr>
        <w:t xml:space="preserve"> the valuable, innovative and philanthropic efforts of those at the forefront of charitable endeavour</w:t>
      </w:r>
      <w:r w:rsidR="008C1104" w:rsidRPr="005A0D68">
        <w:rPr>
          <w:rFonts w:ascii="Times New Roman" w:hAnsi="Times New Roman" w:cs="Times New Roman"/>
          <w:sz w:val="24"/>
          <w:szCs w:val="24"/>
        </w:rPr>
        <w:t xml:space="preserve"> and generate</w:t>
      </w:r>
      <w:r w:rsidR="003C6090" w:rsidRPr="005A0D68">
        <w:rPr>
          <w:rFonts w:ascii="Times New Roman" w:hAnsi="Times New Roman" w:cs="Times New Roman"/>
          <w:sz w:val="24"/>
          <w:szCs w:val="24"/>
        </w:rPr>
        <w:t>s</w:t>
      </w:r>
      <w:r w:rsidR="008C1104" w:rsidRPr="005A0D68">
        <w:rPr>
          <w:rFonts w:ascii="Times New Roman" w:hAnsi="Times New Roman" w:cs="Times New Roman"/>
          <w:sz w:val="24"/>
          <w:szCs w:val="24"/>
        </w:rPr>
        <w:t xml:space="preserve"> unpredictability and uncertainty for</w:t>
      </w:r>
      <w:r w:rsidRPr="005A0D68">
        <w:rPr>
          <w:rFonts w:ascii="Times New Roman" w:eastAsia="Times New Roman" w:hAnsi="Times New Roman" w:cs="Times New Roman"/>
          <w:sz w:val="24"/>
          <w:szCs w:val="24"/>
        </w:rPr>
        <w:t xml:space="preserve"> prospective charity trustees</w:t>
      </w:r>
      <w:r w:rsidR="00117DF8" w:rsidRPr="005A0D68">
        <w:rPr>
          <w:rFonts w:ascii="Times New Roman" w:eastAsia="Times New Roman" w:hAnsi="Times New Roman" w:cs="Times New Roman"/>
          <w:sz w:val="24"/>
          <w:szCs w:val="24"/>
        </w:rPr>
        <w:t xml:space="preserve">. </w:t>
      </w:r>
      <w:r w:rsidR="00373EF0">
        <w:rPr>
          <w:rFonts w:ascii="Times New Roman" w:eastAsia="Times New Roman" w:hAnsi="Times New Roman" w:cs="Times New Roman"/>
          <w:sz w:val="24"/>
          <w:szCs w:val="24"/>
        </w:rPr>
        <w:t>Both of these problems will now be considered in turn.</w:t>
      </w:r>
    </w:p>
    <w:p w:rsidR="00373EF0" w:rsidRDefault="00373EF0" w:rsidP="003F1CC9">
      <w:pPr>
        <w:spacing w:after="0" w:line="480" w:lineRule="auto"/>
        <w:jc w:val="center"/>
        <w:rPr>
          <w:rFonts w:ascii="Times New Roman" w:eastAsia="Times New Roman" w:hAnsi="Times New Roman" w:cs="Times New Roman"/>
          <w:b/>
          <w:sz w:val="24"/>
          <w:szCs w:val="24"/>
        </w:rPr>
      </w:pPr>
    </w:p>
    <w:p w:rsidR="003F1CC9" w:rsidRPr="005A0D68" w:rsidRDefault="003F1CC9" w:rsidP="003F1CC9">
      <w:pPr>
        <w:spacing w:after="0" w:line="480" w:lineRule="auto"/>
        <w:jc w:val="center"/>
        <w:rPr>
          <w:rFonts w:ascii="Times New Roman" w:eastAsia="Times New Roman" w:hAnsi="Times New Roman" w:cs="Times New Roman"/>
          <w:b/>
          <w:sz w:val="24"/>
          <w:szCs w:val="24"/>
        </w:rPr>
      </w:pPr>
      <w:r w:rsidRPr="005A0D68">
        <w:rPr>
          <w:rFonts w:ascii="Times New Roman" w:eastAsia="Times New Roman" w:hAnsi="Times New Roman" w:cs="Times New Roman"/>
          <w:b/>
          <w:sz w:val="24"/>
          <w:szCs w:val="24"/>
        </w:rPr>
        <w:t>Inherent Uncertainty</w:t>
      </w:r>
      <w:r w:rsidR="00373EF0">
        <w:rPr>
          <w:rFonts w:ascii="Times New Roman" w:eastAsia="Times New Roman" w:hAnsi="Times New Roman" w:cs="Times New Roman"/>
          <w:b/>
          <w:sz w:val="24"/>
          <w:szCs w:val="24"/>
        </w:rPr>
        <w:t xml:space="preserve"> and Conceptual Misgivings</w:t>
      </w:r>
    </w:p>
    <w:p w:rsidR="003F1CC9" w:rsidRPr="005A0D68" w:rsidRDefault="003F1CC9" w:rsidP="003F1CC9">
      <w:pPr>
        <w:spacing w:after="0" w:line="480" w:lineRule="auto"/>
        <w:jc w:val="both"/>
        <w:rPr>
          <w:rFonts w:ascii="Times New Roman" w:eastAsia="Times New Roman" w:hAnsi="Times New Roman" w:cs="Times New Roman"/>
          <w:sz w:val="24"/>
          <w:szCs w:val="24"/>
          <w:lang w:eastAsia="en-GB"/>
        </w:rPr>
      </w:pPr>
      <w:r w:rsidRPr="005A0D68">
        <w:rPr>
          <w:rFonts w:ascii="Times New Roman" w:eastAsia="Times New Roman" w:hAnsi="Times New Roman" w:cs="Times New Roman"/>
          <w:sz w:val="24"/>
          <w:szCs w:val="24"/>
        </w:rPr>
        <w:t>The decision to update the list of charitable purposes was popular, uncontested and produced a wider range of descriptions of charity with a decidedly contemporary feel. With some notable amendments in scope, the first three heads were retained</w:t>
      </w:r>
      <w:r w:rsidR="006642A7" w:rsidRPr="005A0D68">
        <w:rPr>
          <w:rFonts w:ascii="Times New Roman" w:eastAsia="Times New Roman" w:hAnsi="Times New Roman" w:cs="Times New Roman"/>
          <w:sz w:val="24"/>
          <w:szCs w:val="24"/>
        </w:rPr>
        <w:t xml:space="preserve"> and duly modified</w:t>
      </w:r>
      <w:r w:rsidRPr="005A0D68">
        <w:rPr>
          <w:rFonts w:ascii="Times New Roman" w:eastAsia="Times New Roman" w:hAnsi="Times New Roman" w:cs="Times New Roman"/>
          <w:sz w:val="24"/>
          <w:szCs w:val="24"/>
        </w:rPr>
        <w:t>.</w:t>
      </w:r>
      <w:r w:rsidRPr="005A0D68">
        <w:rPr>
          <w:rFonts w:ascii="Times New Roman" w:eastAsia="Times New Roman" w:hAnsi="Times New Roman" w:cs="Times New Roman"/>
          <w:sz w:val="24"/>
          <w:szCs w:val="24"/>
          <w:vertAlign w:val="superscript"/>
        </w:rPr>
        <w:footnoteReference w:id="31"/>
      </w:r>
      <w:r w:rsidRPr="005A0D68">
        <w:rPr>
          <w:rFonts w:ascii="Times New Roman" w:eastAsia="Times New Roman" w:hAnsi="Times New Roman" w:cs="Times New Roman"/>
          <w:sz w:val="24"/>
          <w:szCs w:val="24"/>
        </w:rPr>
        <w:t xml:space="preserve"> </w:t>
      </w:r>
      <w:r w:rsidR="0081757A">
        <w:rPr>
          <w:rFonts w:ascii="Times New Roman" w:eastAsia="Times New Roman" w:hAnsi="Times New Roman" w:cs="Times New Roman"/>
          <w:sz w:val="24"/>
          <w:szCs w:val="24"/>
        </w:rPr>
        <w:t>As mentioned earlier, t</w:t>
      </w:r>
      <w:r w:rsidRPr="005A0D68">
        <w:rPr>
          <w:rFonts w:ascii="Times New Roman" w:eastAsia="Times New Roman" w:hAnsi="Times New Roman" w:cs="Times New Roman"/>
          <w:sz w:val="24"/>
          <w:szCs w:val="24"/>
        </w:rPr>
        <w:t>he unhelpfully opaque ‘other purposes’ head was unceremoniously dismantled and replaced by specific, individual descriptions of the purposes. Un</w:t>
      </w:r>
      <w:r w:rsidRPr="005A0D68">
        <w:rPr>
          <w:rFonts w:ascii="Times New Roman" w:eastAsia="Times New Roman" w:hAnsi="Times New Roman" w:cs="Times New Roman"/>
          <w:sz w:val="24"/>
          <w:szCs w:val="24"/>
          <w:lang w:eastAsia="en-GB"/>
        </w:rPr>
        <w:t>doubtedly, the revised list of statutory descriptions reflect</w:t>
      </w:r>
      <w:r w:rsidR="009A2E90" w:rsidRPr="005A0D68">
        <w:rPr>
          <w:rFonts w:ascii="Times New Roman" w:eastAsia="Times New Roman" w:hAnsi="Times New Roman" w:cs="Times New Roman"/>
          <w:sz w:val="24"/>
          <w:szCs w:val="24"/>
          <w:lang w:eastAsia="en-GB"/>
        </w:rPr>
        <w:t>s</w:t>
      </w:r>
      <w:r w:rsidRPr="005A0D68">
        <w:rPr>
          <w:rFonts w:ascii="Times New Roman" w:eastAsia="Times New Roman" w:hAnsi="Times New Roman" w:cs="Times New Roman"/>
          <w:sz w:val="24"/>
          <w:szCs w:val="24"/>
          <w:lang w:eastAsia="en-GB"/>
        </w:rPr>
        <w:t xml:space="preserve"> more completely the breadth and scope of charitable purposes pursued in modern times. While a </w:t>
      </w:r>
      <w:r w:rsidRPr="005A0D68">
        <w:rPr>
          <w:rFonts w:ascii="Times New Roman" w:eastAsia="Times New Roman" w:hAnsi="Times New Roman" w:cs="Times New Roman"/>
          <w:sz w:val="24"/>
          <w:szCs w:val="24"/>
        </w:rPr>
        <w:t xml:space="preserve">number of these </w:t>
      </w:r>
      <w:r w:rsidR="00D1207C" w:rsidRPr="005A0D68">
        <w:rPr>
          <w:rFonts w:ascii="Times New Roman" w:eastAsia="Times New Roman" w:hAnsi="Times New Roman" w:cs="Times New Roman"/>
          <w:sz w:val="24"/>
          <w:szCs w:val="24"/>
        </w:rPr>
        <w:t xml:space="preserve">purposes </w:t>
      </w:r>
      <w:r w:rsidRPr="005A0D68">
        <w:rPr>
          <w:rFonts w:ascii="Times New Roman" w:eastAsia="Times New Roman" w:hAnsi="Times New Roman" w:cs="Times New Roman"/>
          <w:sz w:val="24"/>
          <w:szCs w:val="24"/>
        </w:rPr>
        <w:t>had long been held to be charitable,</w:t>
      </w:r>
      <w:r w:rsidRPr="005A0D68">
        <w:rPr>
          <w:rFonts w:ascii="Times New Roman" w:eastAsia="Times New Roman" w:hAnsi="Times New Roman" w:cs="Times New Roman"/>
          <w:sz w:val="24"/>
          <w:szCs w:val="24"/>
          <w:vertAlign w:val="superscript"/>
        </w:rPr>
        <w:footnoteReference w:id="32"/>
      </w:r>
      <w:r w:rsidRPr="005A0D68">
        <w:rPr>
          <w:rFonts w:ascii="Times New Roman" w:eastAsia="Times New Roman" w:hAnsi="Times New Roman" w:cs="Times New Roman"/>
          <w:sz w:val="24"/>
          <w:szCs w:val="24"/>
        </w:rPr>
        <w:t xml:space="preserve"> others are of a more recent vintage.</w:t>
      </w:r>
      <w:r w:rsidRPr="005A0D68">
        <w:rPr>
          <w:rFonts w:ascii="Times New Roman" w:eastAsia="Times New Roman" w:hAnsi="Times New Roman" w:cs="Times New Roman"/>
          <w:sz w:val="24"/>
          <w:szCs w:val="24"/>
          <w:vertAlign w:val="superscript"/>
        </w:rPr>
        <w:footnoteReference w:id="33"/>
      </w:r>
      <w:r w:rsidRPr="005A0D68">
        <w:rPr>
          <w:rFonts w:ascii="Times New Roman" w:eastAsia="Times New Roman" w:hAnsi="Times New Roman" w:cs="Times New Roman"/>
          <w:sz w:val="24"/>
          <w:szCs w:val="24"/>
        </w:rPr>
        <w:t xml:space="preserve"> Importantly, </w:t>
      </w:r>
      <w:r w:rsidRPr="005A0D68">
        <w:rPr>
          <w:rFonts w:ascii="Times New Roman" w:eastAsia="Times New Roman" w:hAnsi="Times New Roman" w:cs="Times New Roman"/>
          <w:sz w:val="24"/>
          <w:szCs w:val="24"/>
          <w:lang w:eastAsia="en-GB"/>
        </w:rPr>
        <w:t xml:space="preserve">the promotion </w:t>
      </w:r>
      <w:r w:rsidRPr="005A0D68">
        <w:rPr>
          <w:rFonts w:ascii="Times New Roman" w:eastAsia="Times New Roman" w:hAnsi="Times New Roman" w:cs="Times New Roman"/>
          <w:sz w:val="24"/>
          <w:szCs w:val="24"/>
          <w:lang w:eastAsia="en-GB"/>
        </w:rPr>
        <w:lastRenderedPageBreak/>
        <w:t>of existing charitable purposes to new, delineated statutory categories serves to enhance the status of those purposes and emphasise their legitimacy. It also underscores an equivalence of treatment with no evident intention to prioritise or distinguish on the merits of a claim to fiscal privileges.</w:t>
      </w:r>
      <w:r w:rsidRPr="005A0D68">
        <w:rPr>
          <w:rStyle w:val="FootnoteReference"/>
          <w:rFonts w:ascii="Times New Roman" w:eastAsia="Times New Roman" w:hAnsi="Times New Roman" w:cs="Times New Roman"/>
          <w:sz w:val="24"/>
          <w:szCs w:val="24"/>
          <w:lang w:eastAsia="en-GB"/>
        </w:rPr>
        <w:footnoteReference w:id="34"/>
      </w:r>
      <w:r w:rsidRPr="005A0D68">
        <w:rPr>
          <w:rFonts w:ascii="Times New Roman" w:eastAsia="Times New Roman" w:hAnsi="Times New Roman" w:cs="Times New Roman"/>
          <w:sz w:val="24"/>
          <w:szCs w:val="24"/>
          <w:lang w:eastAsia="en-GB"/>
        </w:rPr>
        <w:t xml:space="preserve">  Hence, community orientated ends such as the promotion of amateur sport sit alongside fundamental, humanitarian purposes such as the promotion of human rights or the saving of lives. The forms of benefit are diverse, often focused upon fulfilling a specific need</w:t>
      </w:r>
      <w:r w:rsidR="00D1207C" w:rsidRPr="005A0D68">
        <w:rPr>
          <w:rFonts w:ascii="Times New Roman" w:eastAsia="Times New Roman" w:hAnsi="Times New Roman" w:cs="Times New Roman"/>
          <w:sz w:val="24"/>
          <w:szCs w:val="24"/>
          <w:lang w:eastAsia="en-GB"/>
        </w:rPr>
        <w:t>,</w:t>
      </w:r>
      <w:r w:rsidRPr="005A0D68">
        <w:rPr>
          <w:rStyle w:val="FootnoteReference"/>
          <w:rFonts w:ascii="Times New Roman" w:eastAsia="Times New Roman" w:hAnsi="Times New Roman" w:cs="Times New Roman"/>
          <w:sz w:val="24"/>
          <w:szCs w:val="24"/>
          <w:lang w:eastAsia="en-GB"/>
        </w:rPr>
        <w:footnoteReference w:id="35"/>
      </w:r>
      <w:r w:rsidRPr="005A0D68">
        <w:rPr>
          <w:rFonts w:ascii="Times New Roman" w:eastAsia="Times New Roman" w:hAnsi="Times New Roman" w:cs="Times New Roman"/>
          <w:sz w:val="24"/>
          <w:szCs w:val="24"/>
          <w:lang w:eastAsia="en-GB"/>
        </w:rPr>
        <w:t xml:space="preserve"> but sometimes are indirect and of broader benefit to the wider community.</w:t>
      </w:r>
      <w:r w:rsidRPr="005A0D68">
        <w:rPr>
          <w:rStyle w:val="FootnoteReference"/>
          <w:rFonts w:ascii="Times New Roman" w:eastAsia="Times New Roman" w:hAnsi="Times New Roman" w:cs="Times New Roman"/>
          <w:sz w:val="24"/>
          <w:szCs w:val="24"/>
          <w:lang w:eastAsia="en-GB"/>
        </w:rPr>
        <w:footnoteReference w:id="36"/>
      </w:r>
      <w:r w:rsidRPr="005A0D68">
        <w:rPr>
          <w:rFonts w:ascii="Times New Roman" w:eastAsia="Times New Roman" w:hAnsi="Times New Roman" w:cs="Times New Roman"/>
          <w:sz w:val="24"/>
          <w:szCs w:val="24"/>
          <w:lang w:eastAsia="en-GB"/>
        </w:rPr>
        <w:t xml:space="preserve"> In the absence of demand to extend its number,</w:t>
      </w:r>
      <w:r w:rsidRPr="005A0D68">
        <w:rPr>
          <w:rStyle w:val="FootnoteReference"/>
          <w:rFonts w:ascii="Times New Roman" w:eastAsia="Times New Roman" w:hAnsi="Times New Roman" w:cs="Times New Roman"/>
          <w:sz w:val="24"/>
          <w:szCs w:val="24"/>
          <w:lang w:eastAsia="en-GB"/>
        </w:rPr>
        <w:footnoteReference w:id="37"/>
      </w:r>
      <w:r w:rsidRPr="005A0D68">
        <w:rPr>
          <w:rFonts w:ascii="Times New Roman" w:eastAsia="Times New Roman" w:hAnsi="Times New Roman" w:cs="Times New Roman"/>
          <w:sz w:val="24"/>
          <w:szCs w:val="24"/>
          <w:lang w:eastAsia="en-GB"/>
        </w:rPr>
        <w:t xml:space="preserve"> there is a sense of permanence to this statutory list. It is not possible to alter the descriptions in light of changing social circumstances or with a view to adding to, or subtracting from, the list. </w:t>
      </w:r>
      <w:r w:rsidRPr="005A0D68">
        <w:rPr>
          <w:rFonts w:ascii="Times New Roman" w:hAnsi="Times New Roman" w:cs="Times New Roman"/>
          <w:sz w:val="24"/>
          <w:szCs w:val="24"/>
        </w:rPr>
        <w:t xml:space="preserve">The flexibility so prized at common law is, however, preserved by </w:t>
      </w:r>
      <w:proofErr w:type="gramStart"/>
      <w:r w:rsidRPr="005A0D68">
        <w:rPr>
          <w:rFonts w:ascii="Times New Roman" w:hAnsi="Times New Roman" w:cs="Times New Roman"/>
          <w:sz w:val="24"/>
          <w:szCs w:val="24"/>
        </w:rPr>
        <w:t>s.3(</w:t>
      </w:r>
      <w:proofErr w:type="gramEnd"/>
      <w:r w:rsidRPr="005A0D68">
        <w:rPr>
          <w:rFonts w:ascii="Times New Roman" w:hAnsi="Times New Roman" w:cs="Times New Roman"/>
          <w:sz w:val="24"/>
          <w:szCs w:val="24"/>
        </w:rPr>
        <w:t>1)(m). This residual category reflects, “</w:t>
      </w:r>
      <w:proofErr w:type="gramStart"/>
      <w:r w:rsidRPr="005A0D68">
        <w:rPr>
          <w:rFonts w:ascii="Times New Roman" w:hAnsi="Times New Roman" w:cs="Times New Roman"/>
          <w:sz w:val="24"/>
          <w:szCs w:val="24"/>
        </w:rPr>
        <w:t>the</w:t>
      </w:r>
      <w:proofErr w:type="gramEnd"/>
      <w:r w:rsidRPr="005A0D68">
        <w:rPr>
          <w:rFonts w:ascii="Times New Roman" w:hAnsi="Times New Roman" w:cs="Times New Roman"/>
          <w:sz w:val="24"/>
          <w:szCs w:val="24"/>
        </w:rPr>
        <w:t xml:space="preserve"> way in which charity law has developed in extending incrementally ... analogy upon analogy, the legal concept of charity”.</w:t>
      </w:r>
      <w:r w:rsidRPr="005A0D68">
        <w:rPr>
          <w:rStyle w:val="FootnoteReference"/>
          <w:rFonts w:ascii="Times New Roman" w:hAnsi="Times New Roman" w:cs="Times New Roman"/>
          <w:sz w:val="24"/>
          <w:szCs w:val="24"/>
        </w:rPr>
        <w:footnoteReference w:id="38"/>
      </w:r>
      <w:r w:rsidRPr="005A0D68">
        <w:rPr>
          <w:rFonts w:ascii="Times New Roman" w:hAnsi="Times New Roman" w:cs="Times New Roman"/>
          <w:sz w:val="24"/>
          <w:szCs w:val="24"/>
        </w:rPr>
        <w:t xml:space="preserve"> Recognised purposes that do not feature in the list continue to be charitable,</w:t>
      </w:r>
      <w:r w:rsidRPr="005A0D68">
        <w:rPr>
          <w:rStyle w:val="FootnoteReference"/>
          <w:rFonts w:ascii="Times New Roman" w:hAnsi="Times New Roman" w:cs="Times New Roman"/>
          <w:sz w:val="24"/>
          <w:szCs w:val="24"/>
        </w:rPr>
        <w:footnoteReference w:id="39"/>
      </w:r>
      <w:r w:rsidRPr="005A0D68">
        <w:rPr>
          <w:rFonts w:ascii="Times New Roman" w:hAnsi="Times New Roman" w:cs="Times New Roman"/>
          <w:sz w:val="24"/>
          <w:szCs w:val="24"/>
        </w:rPr>
        <w:t xml:space="preserve"> as do purposes that, ‘may reasonably be regarded as analogous to, or within the spirit of’ a recognised charitable purpose or a purpose analogous thereto.</w:t>
      </w:r>
      <w:r w:rsidRPr="005A0D68">
        <w:rPr>
          <w:rStyle w:val="FootnoteReference"/>
          <w:rFonts w:ascii="Times New Roman" w:hAnsi="Times New Roman" w:cs="Times New Roman"/>
          <w:sz w:val="24"/>
          <w:szCs w:val="24"/>
        </w:rPr>
        <w:footnoteReference w:id="40"/>
      </w:r>
    </w:p>
    <w:p w:rsidR="003F1CC9" w:rsidRPr="005A0D68" w:rsidRDefault="003F1CC9" w:rsidP="003F1CC9">
      <w:pPr>
        <w:spacing w:after="0" w:line="480" w:lineRule="auto"/>
        <w:jc w:val="both"/>
        <w:rPr>
          <w:rFonts w:ascii="Times New Roman" w:hAnsi="Times New Roman" w:cs="Times New Roman"/>
          <w:sz w:val="24"/>
          <w:szCs w:val="24"/>
        </w:rPr>
      </w:pPr>
      <w:r w:rsidRPr="005A0D68">
        <w:rPr>
          <w:rFonts w:ascii="Times New Roman" w:eastAsia="Times New Roman" w:hAnsi="Times New Roman" w:cs="Times New Roman"/>
          <w:sz w:val="24"/>
          <w:szCs w:val="24"/>
          <w:lang w:eastAsia="en-GB"/>
        </w:rPr>
        <w:tab/>
        <w:t xml:space="preserve">There is no doubt that the shift from the historically recognised heads of charity to a longer list of statutory descriptions has generated concerns for organisations whose purposes might have formerly fallen under the fourth </w:t>
      </w:r>
      <w:r w:rsidRPr="005A0D68">
        <w:rPr>
          <w:rFonts w:ascii="Times New Roman" w:eastAsia="Times New Roman" w:hAnsi="Times New Roman" w:cs="Times New Roman"/>
          <w:i/>
          <w:sz w:val="24"/>
          <w:szCs w:val="24"/>
          <w:lang w:eastAsia="en-GB"/>
        </w:rPr>
        <w:t xml:space="preserve">Pemsel </w:t>
      </w:r>
      <w:r w:rsidRPr="005A0D68">
        <w:rPr>
          <w:rFonts w:ascii="Times New Roman" w:eastAsia="Times New Roman" w:hAnsi="Times New Roman" w:cs="Times New Roman"/>
          <w:sz w:val="24"/>
          <w:szCs w:val="24"/>
          <w:lang w:eastAsia="en-GB"/>
        </w:rPr>
        <w:t xml:space="preserve">head. As Buckley recognised, </w:t>
      </w:r>
      <w:r w:rsidRPr="005A0D68">
        <w:rPr>
          <w:rFonts w:ascii="Times New Roman" w:hAnsi="Times New Roman" w:cs="Times New Roman"/>
          <w:sz w:val="24"/>
          <w:szCs w:val="24"/>
        </w:rPr>
        <w:t xml:space="preserve">“a lot of unanswered questions remain … it is both uncertain what these new categories comprise and </w:t>
      </w:r>
      <w:r w:rsidRPr="005A0D68">
        <w:rPr>
          <w:rFonts w:ascii="Times New Roman" w:hAnsi="Times New Roman" w:cs="Times New Roman"/>
          <w:sz w:val="24"/>
          <w:szCs w:val="24"/>
        </w:rPr>
        <w:lastRenderedPageBreak/>
        <w:t>what, in turn, should be the appropriate test of public benefit in respect of each of them”.</w:t>
      </w:r>
      <w:r w:rsidRPr="005A0D68">
        <w:rPr>
          <w:rStyle w:val="FootnoteReference"/>
          <w:rFonts w:ascii="Times New Roman" w:hAnsi="Times New Roman" w:cs="Times New Roman"/>
          <w:sz w:val="24"/>
          <w:szCs w:val="24"/>
        </w:rPr>
        <w:footnoteReference w:id="41"/>
      </w:r>
      <w:r w:rsidRPr="005A0D68">
        <w:rPr>
          <w:rFonts w:ascii="Times New Roman" w:hAnsi="Times New Roman" w:cs="Times New Roman"/>
          <w:sz w:val="24"/>
          <w:szCs w:val="24"/>
        </w:rPr>
        <w:t xml:space="preserve"> Obvious problems are faced by prospective charity trustees who are confronted with a list of descriptions that are couched in novel language and are not defined more fully. </w:t>
      </w:r>
      <w:r w:rsidR="002E3E69">
        <w:rPr>
          <w:rFonts w:ascii="Times New Roman" w:hAnsi="Times New Roman" w:cs="Times New Roman"/>
          <w:sz w:val="24"/>
          <w:szCs w:val="24"/>
        </w:rPr>
        <w:t>As will become clear, t</w:t>
      </w:r>
      <w:r w:rsidRPr="005A0D68">
        <w:rPr>
          <w:rFonts w:ascii="Times New Roman" w:hAnsi="Times New Roman" w:cs="Times New Roman"/>
          <w:sz w:val="24"/>
          <w:szCs w:val="24"/>
        </w:rPr>
        <w:t xml:space="preserve">he </w:t>
      </w:r>
      <w:r w:rsidR="00D1207C" w:rsidRPr="005A0D68">
        <w:rPr>
          <w:rFonts w:ascii="Times New Roman" w:hAnsi="Times New Roman" w:cs="Times New Roman"/>
          <w:sz w:val="24"/>
          <w:szCs w:val="24"/>
        </w:rPr>
        <w:t>stark reality</w:t>
      </w:r>
      <w:r w:rsidRPr="005A0D68">
        <w:rPr>
          <w:rFonts w:ascii="Times New Roman" w:hAnsi="Times New Roman" w:cs="Times New Roman"/>
          <w:sz w:val="24"/>
          <w:szCs w:val="24"/>
        </w:rPr>
        <w:t xml:space="preserve"> is that an institution has to demonstrate that it is established exclusively for charitable purposes in circumstances where the confines of the descriptions are not fully understood. </w:t>
      </w:r>
      <w:r w:rsidR="002E3E69">
        <w:rPr>
          <w:rFonts w:ascii="Times New Roman" w:hAnsi="Times New Roman" w:cs="Times New Roman"/>
          <w:sz w:val="24"/>
          <w:szCs w:val="24"/>
        </w:rPr>
        <w:t>Hence, t</w:t>
      </w:r>
      <w:r w:rsidRPr="005A0D68">
        <w:rPr>
          <w:rFonts w:ascii="Times New Roman" w:hAnsi="Times New Roman" w:cs="Times New Roman"/>
          <w:sz w:val="24"/>
          <w:szCs w:val="24"/>
        </w:rPr>
        <w:t>he key registration decisions of the Commission, coupled with the trickle of appeals to the First-tier Tribunal, offer for the first time the opportunity to examine this emerging obstacle to charitable status.</w:t>
      </w:r>
      <w:r w:rsidRPr="005A0D68">
        <w:rPr>
          <w:rStyle w:val="FootnoteReference"/>
          <w:rFonts w:ascii="Times New Roman" w:hAnsi="Times New Roman" w:cs="Times New Roman"/>
          <w:sz w:val="24"/>
          <w:szCs w:val="24"/>
        </w:rPr>
        <w:footnoteReference w:id="42"/>
      </w:r>
    </w:p>
    <w:p w:rsidR="003F1CC9" w:rsidRPr="005A0D68" w:rsidRDefault="003F1CC9" w:rsidP="003F1CC9">
      <w:pPr>
        <w:spacing w:after="0" w:line="480" w:lineRule="auto"/>
        <w:jc w:val="both"/>
        <w:rPr>
          <w:rFonts w:ascii="Times New Roman" w:hAnsi="Times New Roman" w:cs="Times New Roman"/>
          <w:sz w:val="24"/>
          <w:szCs w:val="24"/>
        </w:rPr>
      </w:pPr>
    </w:p>
    <w:p w:rsidR="003F1CC9" w:rsidRPr="005A0D68" w:rsidRDefault="0081757A" w:rsidP="00373EF0">
      <w:pPr>
        <w:spacing w:after="0" w:line="480" w:lineRule="auto"/>
        <w:rPr>
          <w:rFonts w:ascii="Times New Roman" w:hAnsi="Times New Roman" w:cs="Times New Roman"/>
          <w:sz w:val="24"/>
          <w:szCs w:val="24"/>
        </w:rPr>
      </w:pPr>
      <w:r>
        <w:rPr>
          <w:rFonts w:ascii="Times New Roman" w:hAnsi="Times New Roman" w:cs="Times New Roman"/>
          <w:b/>
          <w:sz w:val="24"/>
          <w:szCs w:val="24"/>
        </w:rPr>
        <w:t>Decoding the Statutory Language</w:t>
      </w:r>
    </w:p>
    <w:p w:rsidR="003F1CC9" w:rsidRPr="005A0D68" w:rsidRDefault="002E3E69" w:rsidP="003F1CC9">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rPr>
        <w:t>Undoubtedly, t</w:t>
      </w:r>
      <w:r w:rsidR="003F1CC9" w:rsidRPr="005A0D68">
        <w:rPr>
          <w:rFonts w:ascii="Times New Roman" w:hAnsi="Times New Roman" w:cs="Times New Roman"/>
          <w:sz w:val="24"/>
          <w:szCs w:val="24"/>
        </w:rPr>
        <w:t>he unfamiliarity of the statutory wording and the open-endedness of the descriptions combine to generate conceptual and practical problems</w:t>
      </w:r>
      <w:r w:rsidR="001401B0">
        <w:rPr>
          <w:rFonts w:ascii="Times New Roman" w:hAnsi="Times New Roman" w:cs="Times New Roman"/>
          <w:sz w:val="24"/>
          <w:szCs w:val="24"/>
        </w:rPr>
        <w:t xml:space="preserve"> for the Commission</w:t>
      </w:r>
      <w:r w:rsidR="003F1CC9" w:rsidRPr="005A0D68">
        <w:rPr>
          <w:rFonts w:ascii="Times New Roman" w:hAnsi="Times New Roman" w:cs="Times New Roman"/>
          <w:sz w:val="24"/>
          <w:szCs w:val="24"/>
        </w:rPr>
        <w:t>. In contrast with the well-</w:t>
      </w:r>
      <w:r w:rsidR="003F1CC9" w:rsidRPr="005A0D68">
        <w:rPr>
          <w:rFonts w:ascii="Times New Roman" w:hAnsi="Times New Roman" w:cs="Times New Roman"/>
          <w:sz w:val="24"/>
          <w:szCs w:val="24"/>
          <w:lang w:eastAsia="en-GB"/>
        </w:rPr>
        <w:t xml:space="preserve">established categories of charity, </w:t>
      </w:r>
      <w:r w:rsidR="003F1CC9" w:rsidRPr="005A0D68">
        <w:rPr>
          <w:rFonts w:ascii="Times New Roman" w:eastAsia="Times New Roman" w:hAnsi="Times New Roman" w:cs="Times New Roman"/>
          <w:sz w:val="24"/>
          <w:szCs w:val="24"/>
        </w:rPr>
        <w:t xml:space="preserve">many of </w:t>
      </w:r>
      <w:r w:rsidR="003F1CC9" w:rsidRPr="005A0D68">
        <w:rPr>
          <w:rFonts w:ascii="Times New Roman" w:hAnsi="Times New Roman" w:cs="Times New Roman"/>
          <w:sz w:val="24"/>
          <w:szCs w:val="24"/>
        </w:rPr>
        <w:t xml:space="preserve">the new descriptions lack both clarity and meaning. </w:t>
      </w:r>
      <w:r w:rsidR="003F1CC9" w:rsidRPr="005A0D68">
        <w:rPr>
          <w:rFonts w:ascii="Times New Roman" w:hAnsi="Times New Roman" w:cs="Times New Roman"/>
          <w:sz w:val="24"/>
          <w:szCs w:val="24"/>
          <w:lang w:eastAsia="en-GB"/>
        </w:rPr>
        <w:t>The finding that a particular purpose falls within the concept of education, for example, renders it self-evidently beneficial because the legal meaning of education is so innately understood as including certain elements and precluding others. It necessarily excludes a range of purposes that might be deemed political, subversive, lacking in utility or subjective merit. As Garton explains,</w:t>
      </w:r>
      <w:r w:rsidR="003F1CC9" w:rsidRPr="005A0D68">
        <w:rPr>
          <w:rFonts w:ascii="Times New Roman" w:hAnsi="Times New Roman" w:cs="Times New Roman"/>
          <w:sz w:val="24"/>
          <w:szCs w:val="24"/>
        </w:rPr>
        <w:t xml:space="preserve"> “a prima facie charitable purpose is rendered non-charitable because it delivers only an intangible or inefficacious benefit, or has detrimental side effects”.</w:t>
      </w:r>
      <w:r w:rsidR="003F1CC9" w:rsidRPr="005A0D68">
        <w:rPr>
          <w:rStyle w:val="FootnoteReference"/>
          <w:rFonts w:ascii="Times New Roman" w:hAnsi="Times New Roman" w:cs="Times New Roman"/>
          <w:sz w:val="24"/>
          <w:szCs w:val="24"/>
          <w:lang w:eastAsia="en-GB"/>
        </w:rPr>
        <w:footnoteReference w:id="43"/>
      </w:r>
      <w:r w:rsidR="003F1CC9" w:rsidRPr="005A0D68">
        <w:rPr>
          <w:rFonts w:ascii="Times New Roman" w:hAnsi="Times New Roman" w:cs="Times New Roman"/>
          <w:sz w:val="24"/>
          <w:szCs w:val="24"/>
          <w:lang w:eastAsia="en-GB"/>
        </w:rPr>
        <w:t xml:space="preserve"> In comparison, many of the newly formed descriptions remain vague with untested boundaries and only limited or fact-specific case law illustrations from which to distil general principles. Particular problems for prospective trustees have emerged in the context of human rights and community development.</w:t>
      </w:r>
    </w:p>
    <w:p w:rsidR="003F1CC9" w:rsidRPr="005A0D68" w:rsidRDefault="003F1CC9" w:rsidP="003F1CC9">
      <w:pPr>
        <w:spacing w:after="0" w:line="480" w:lineRule="auto"/>
        <w:jc w:val="both"/>
        <w:rPr>
          <w:rFonts w:ascii="Times New Roman" w:hAnsi="Times New Roman" w:cs="Times New Roman"/>
          <w:sz w:val="24"/>
          <w:szCs w:val="24"/>
          <w:lang w:eastAsia="en-GB"/>
        </w:rPr>
      </w:pPr>
      <w:r w:rsidRPr="005A0D68">
        <w:rPr>
          <w:rFonts w:ascii="Times New Roman" w:hAnsi="Times New Roman" w:cs="Times New Roman"/>
          <w:sz w:val="24"/>
          <w:szCs w:val="24"/>
          <w:lang w:eastAsia="en-GB"/>
        </w:rPr>
        <w:lastRenderedPageBreak/>
        <w:tab/>
      </w:r>
      <w:r w:rsidRPr="005A0D68">
        <w:rPr>
          <w:rFonts w:ascii="Times New Roman" w:hAnsi="Times New Roman" w:cs="Times New Roman"/>
          <w:sz w:val="24"/>
          <w:szCs w:val="24"/>
        </w:rPr>
        <w:t xml:space="preserve">In </w:t>
      </w:r>
      <w:r w:rsidRPr="005A0D68">
        <w:rPr>
          <w:rFonts w:ascii="Times New Roman" w:hAnsi="Times New Roman" w:cs="Times New Roman"/>
          <w:i/>
          <w:sz w:val="24"/>
          <w:szCs w:val="24"/>
        </w:rPr>
        <w:t>Human Dignity Trust v Charity Commission for England and Wales</w:t>
      </w:r>
      <w:r w:rsidRPr="005A0D68">
        <w:rPr>
          <w:rFonts w:ascii="Times New Roman" w:hAnsi="Times New Roman" w:cs="Times New Roman"/>
          <w:sz w:val="24"/>
          <w:szCs w:val="24"/>
        </w:rPr>
        <w:t>,</w:t>
      </w:r>
      <w:r w:rsidRPr="005A0D68">
        <w:rPr>
          <w:rStyle w:val="FootnoteReference"/>
          <w:rFonts w:ascii="Times New Roman" w:hAnsi="Times New Roman" w:cs="Times New Roman"/>
          <w:sz w:val="24"/>
          <w:szCs w:val="24"/>
        </w:rPr>
        <w:footnoteReference w:id="44"/>
      </w:r>
      <w:r w:rsidRPr="005A0D68">
        <w:rPr>
          <w:rFonts w:ascii="Times New Roman" w:hAnsi="Times New Roman" w:cs="Times New Roman"/>
          <w:sz w:val="24"/>
          <w:szCs w:val="24"/>
        </w:rPr>
        <w:t xml:space="preserve"> the Trust was established to assist persons whose human rights were violated by the criminalisation of private, adult, consensual, homosexual conduct and it sought recognition as a charity under s.3(1)(h) of the 2011 Act. The Commission refused initially to register the Trust </w:t>
      </w:r>
      <w:r w:rsidR="00D1207C" w:rsidRPr="005A0D68">
        <w:rPr>
          <w:rFonts w:ascii="Times New Roman" w:hAnsi="Times New Roman" w:cs="Times New Roman"/>
          <w:sz w:val="24"/>
          <w:szCs w:val="24"/>
        </w:rPr>
        <w:t xml:space="preserve">because </w:t>
      </w:r>
      <w:r w:rsidR="00C968C4" w:rsidRPr="005A0D68">
        <w:rPr>
          <w:rFonts w:ascii="Times New Roman" w:hAnsi="Times New Roman" w:cs="Times New Roman"/>
          <w:sz w:val="24"/>
          <w:szCs w:val="24"/>
        </w:rPr>
        <w:t>in</w:t>
      </w:r>
      <w:r w:rsidRPr="005A0D68">
        <w:rPr>
          <w:rFonts w:ascii="Times New Roman" w:hAnsi="Times New Roman" w:cs="Times New Roman"/>
          <w:sz w:val="24"/>
          <w:szCs w:val="24"/>
        </w:rPr>
        <w:t xml:space="preserve"> campaigning for a change in the law, it was political in nature. Of </w:t>
      </w:r>
      <w:r w:rsidR="00C968C4" w:rsidRPr="005A0D68">
        <w:rPr>
          <w:rFonts w:ascii="Times New Roman" w:hAnsi="Times New Roman" w:cs="Times New Roman"/>
          <w:sz w:val="24"/>
          <w:szCs w:val="24"/>
        </w:rPr>
        <w:t xml:space="preserve">present </w:t>
      </w:r>
      <w:r w:rsidRPr="005A0D68">
        <w:rPr>
          <w:rFonts w:ascii="Times New Roman" w:hAnsi="Times New Roman" w:cs="Times New Roman"/>
          <w:sz w:val="24"/>
          <w:szCs w:val="24"/>
        </w:rPr>
        <w:t>interest</w:t>
      </w:r>
      <w:r w:rsidR="008E5419" w:rsidRPr="005A0D68">
        <w:rPr>
          <w:rFonts w:ascii="Times New Roman" w:hAnsi="Times New Roman" w:cs="Times New Roman"/>
          <w:sz w:val="24"/>
          <w:szCs w:val="24"/>
        </w:rPr>
        <w:t>, however, is the Commission’s</w:t>
      </w:r>
      <w:r w:rsidRPr="005A0D68">
        <w:rPr>
          <w:rFonts w:ascii="Times New Roman" w:hAnsi="Times New Roman" w:cs="Times New Roman"/>
          <w:sz w:val="24"/>
          <w:szCs w:val="24"/>
        </w:rPr>
        <w:t xml:space="preserve"> strikingly conservative view of the concept of human right</w:t>
      </w:r>
      <w:r w:rsidR="006642A7" w:rsidRPr="005A0D68">
        <w:rPr>
          <w:rFonts w:ascii="Times New Roman" w:hAnsi="Times New Roman" w:cs="Times New Roman"/>
          <w:sz w:val="24"/>
          <w:szCs w:val="24"/>
        </w:rPr>
        <w:t xml:space="preserve">s, surprisingly at odds with </w:t>
      </w:r>
      <w:r w:rsidR="008E5419" w:rsidRPr="005A0D68">
        <w:rPr>
          <w:rFonts w:ascii="Times New Roman" w:hAnsi="Times New Roman" w:cs="Times New Roman"/>
          <w:sz w:val="24"/>
          <w:szCs w:val="24"/>
        </w:rPr>
        <w:t>it</w:t>
      </w:r>
      <w:r w:rsidR="006642A7" w:rsidRPr="005A0D68">
        <w:rPr>
          <w:rFonts w:ascii="Times New Roman" w:hAnsi="Times New Roman" w:cs="Times New Roman"/>
          <w:sz w:val="24"/>
          <w:szCs w:val="24"/>
        </w:rPr>
        <w:t>s</w:t>
      </w:r>
      <w:r w:rsidRPr="005A0D68">
        <w:rPr>
          <w:rFonts w:ascii="Times New Roman" w:hAnsi="Times New Roman" w:cs="Times New Roman"/>
          <w:sz w:val="24"/>
          <w:szCs w:val="24"/>
        </w:rPr>
        <w:t xml:space="preserve"> own prior thinking. Citing the lack of clarity as to what </w:t>
      </w:r>
      <w:r w:rsidRPr="005A0D68">
        <w:rPr>
          <w:rFonts w:ascii="Times New Roman" w:hAnsi="Times New Roman" w:cs="Times New Roman"/>
          <w:color w:val="000000"/>
          <w:sz w:val="24"/>
          <w:szCs w:val="24"/>
        </w:rPr>
        <w:t>human rights means in English law, the Commission favoured a narrow interpretation of the concept, which was to the detriment of the Trust.</w:t>
      </w:r>
      <w:r w:rsidRPr="005A0D68">
        <w:rPr>
          <w:rFonts w:ascii="Times New Roman" w:hAnsi="Times New Roman" w:cs="Times New Roman"/>
          <w:sz w:val="24"/>
          <w:szCs w:val="24"/>
        </w:rPr>
        <w:t xml:space="preserve"> Ironically, this contradicted its previous, valuable efforts to produce encompassing, non-statutory guidance with a broad conception of human rights,</w:t>
      </w:r>
      <w:r w:rsidRPr="005A0D68">
        <w:rPr>
          <w:rStyle w:val="FootnoteReference"/>
          <w:rFonts w:ascii="Times New Roman" w:hAnsi="Times New Roman" w:cs="Times New Roman"/>
          <w:sz w:val="24"/>
          <w:szCs w:val="24"/>
        </w:rPr>
        <w:footnoteReference w:id="45"/>
      </w:r>
      <w:r w:rsidRPr="005A0D68">
        <w:rPr>
          <w:rFonts w:ascii="Times New Roman" w:hAnsi="Times New Roman" w:cs="Times New Roman"/>
          <w:sz w:val="24"/>
          <w:szCs w:val="24"/>
        </w:rPr>
        <w:t xml:space="preserve"> upon which the Trust had </w:t>
      </w:r>
      <w:r w:rsidR="00B70188" w:rsidRPr="005A0D68">
        <w:rPr>
          <w:rFonts w:ascii="Times New Roman" w:hAnsi="Times New Roman" w:cs="Times New Roman"/>
          <w:sz w:val="24"/>
          <w:szCs w:val="24"/>
        </w:rPr>
        <w:t>not</w:t>
      </w:r>
      <w:r w:rsidRPr="005A0D68">
        <w:rPr>
          <w:rFonts w:ascii="Times New Roman" w:hAnsi="Times New Roman" w:cs="Times New Roman"/>
          <w:sz w:val="24"/>
          <w:szCs w:val="24"/>
        </w:rPr>
        <w:t xml:space="preserve"> </w:t>
      </w:r>
      <w:r w:rsidR="00B70188" w:rsidRPr="005A0D68">
        <w:rPr>
          <w:rFonts w:ascii="Times New Roman" w:hAnsi="Times New Roman" w:cs="Times New Roman"/>
          <w:sz w:val="24"/>
          <w:szCs w:val="24"/>
        </w:rPr>
        <w:t>un</w:t>
      </w:r>
      <w:r w:rsidRPr="005A0D68">
        <w:rPr>
          <w:rFonts w:ascii="Times New Roman" w:hAnsi="Times New Roman" w:cs="Times New Roman"/>
          <w:sz w:val="24"/>
          <w:szCs w:val="24"/>
        </w:rPr>
        <w:t>reasonably</w:t>
      </w:r>
      <w:r w:rsidR="00B70188" w:rsidRPr="005A0D68">
        <w:rPr>
          <w:rFonts w:ascii="Times New Roman" w:hAnsi="Times New Roman" w:cs="Times New Roman"/>
          <w:sz w:val="24"/>
          <w:szCs w:val="24"/>
        </w:rPr>
        <w:t xml:space="preserve"> sought</w:t>
      </w:r>
      <w:r w:rsidRPr="005A0D68">
        <w:rPr>
          <w:rFonts w:ascii="Times New Roman" w:hAnsi="Times New Roman" w:cs="Times New Roman"/>
          <w:sz w:val="24"/>
          <w:szCs w:val="24"/>
        </w:rPr>
        <w:t xml:space="preserve"> to rely. It fell to the First-tier Tribunal to take the more confident stand that the, “</w:t>
      </w:r>
      <w:r w:rsidRPr="005A0D68">
        <w:rPr>
          <w:rFonts w:ascii="Times New Roman" w:hAnsi="Times New Roman" w:cs="Times New Roman"/>
          <w:color w:val="000000"/>
          <w:sz w:val="24"/>
          <w:szCs w:val="24"/>
          <w:shd w:val="clear" w:color="auto" w:fill="FFFFFF"/>
        </w:rPr>
        <w:t>broad, undefined description of a purpose in the Act was intended to build upon the valuable work already undertaken by the Charity Commission”,</w:t>
      </w:r>
      <w:r w:rsidRPr="005A0D68">
        <w:rPr>
          <w:rStyle w:val="FootnoteReference"/>
          <w:rFonts w:ascii="Times New Roman" w:hAnsi="Times New Roman" w:cs="Times New Roman"/>
          <w:sz w:val="24"/>
          <w:szCs w:val="24"/>
        </w:rPr>
        <w:t xml:space="preserve"> </w:t>
      </w:r>
      <w:r w:rsidRPr="005A0D68">
        <w:rPr>
          <w:rStyle w:val="FootnoteReference"/>
          <w:rFonts w:ascii="Times New Roman" w:hAnsi="Times New Roman" w:cs="Times New Roman"/>
          <w:sz w:val="24"/>
          <w:szCs w:val="24"/>
        </w:rPr>
        <w:footnoteReference w:id="46"/>
      </w:r>
      <w:r w:rsidRPr="005A0D68">
        <w:rPr>
          <w:rFonts w:ascii="Times New Roman" w:hAnsi="Times New Roman" w:cs="Times New Roman"/>
          <w:color w:val="000000"/>
          <w:sz w:val="24"/>
          <w:szCs w:val="24"/>
          <w:shd w:val="clear" w:color="auto" w:fill="FFFFFF"/>
        </w:rPr>
        <w:t xml:space="preserve"> and that the scope of rights falling within the description was apt to, “evolve and change from time to time”.</w:t>
      </w:r>
      <w:r w:rsidRPr="005A0D68">
        <w:rPr>
          <w:rStyle w:val="FootnoteReference"/>
          <w:rFonts w:ascii="Times New Roman" w:hAnsi="Times New Roman" w:cs="Times New Roman"/>
          <w:color w:val="000000"/>
          <w:sz w:val="24"/>
          <w:szCs w:val="24"/>
          <w:shd w:val="clear" w:color="auto" w:fill="FFFFFF"/>
        </w:rPr>
        <w:footnoteReference w:id="47"/>
      </w:r>
      <w:r w:rsidRPr="005A0D68">
        <w:rPr>
          <w:rFonts w:ascii="Times New Roman" w:hAnsi="Times New Roman" w:cs="Times New Roman"/>
          <w:color w:val="000000"/>
          <w:sz w:val="24"/>
          <w:szCs w:val="24"/>
          <w:shd w:val="clear" w:color="auto" w:fill="FFFFFF"/>
        </w:rPr>
        <w:t xml:space="preserve"> With characteristic liberality of reasoning,</w:t>
      </w:r>
      <w:r w:rsidRPr="005A0D68">
        <w:rPr>
          <w:rStyle w:val="FootnoteReference"/>
          <w:rFonts w:ascii="Times New Roman" w:hAnsi="Times New Roman" w:cs="Times New Roman"/>
          <w:sz w:val="24"/>
          <w:szCs w:val="24"/>
        </w:rPr>
        <w:footnoteReference w:id="48"/>
      </w:r>
      <w:r w:rsidRPr="005A0D68">
        <w:rPr>
          <w:rFonts w:ascii="Times New Roman" w:hAnsi="Times New Roman" w:cs="Times New Roman"/>
          <w:color w:val="000000"/>
          <w:sz w:val="24"/>
          <w:szCs w:val="24"/>
          <w:shd w:val="clear" w:color="auto" w:fill="FFFFFF"/>
        </w:rPr>
        <w:t xml:space="preserve"> t</w:t>
      </w:r>
      <w:r w:rsidRPr="005A0D68">
        <w:rPr>
          <w:rFonts w:ascii="Times New Roman" w:hAnsi="Times New Roman" w:cs="Times New Roman"/>
          <w:sz w:val="24"/>
          <w:szCs w:val="24"/>
        </w:rPr>
        <w:t>he appeal against the refusal of the Commission to register the Trust as a charity was allowed. Concerned with interpreting and protecting superior constitutional rights, the purposes were, in its view, geared to upholding the law, not changing it.</w:t>
      </w:r>
    </w:p>
    <w:p w:rsidR="003F1CC9" w:rsidRPr="005A0D68" w:rsidRDefault="003F1CC9" w:rsidP="003F1CC9">
      <w:pPr>
        <w:spacing w:after="0" w:line="480" w:lineRule="auto"/>
        <w:jc w:val="both"/>
        <w:rPr>
          <w:rFonts w:ascii="Times New Roman" w:eastAsia="Times New Roman" w:hAnsi="Times New Roman" w:cs="Times New Roman"/>
          <w:sz w:val="24"/>
          <w:szCs w:val="24"/>
        </w:rPr>
      </w:pPr>
      <w:r w:rsidRPr="005A0D68">
        <w:rPr>
          <w:rFonts w:ascii="Times New Roman" w:hAnsi="Times New Roman" w:cs="Times New Roman"/>
          <w:sz w:val="24"/>
          <w:szCs w:val="24"/>
          <w:lang w:eastAsia="en-GB"/>
        </w:rPr>
        <w:tab/>
      </w:r>
      <w:r w:rsidRPr="005A0D68">
        <w:rPr>
          <w:rFonts w:ascii="Times New Roman" w:eastAsia="Times New Roman" w:hAnsi="Times New Roman" w:cs="Times New Roman"/>
          <w:sz w:val="24"/>
          <w:szCs w:val="24"/>
        </w:rPr>
        <w:t xml:space="preserve">A further illustration of uncertainty may be found in the context of ‘community development’, which forms part of </w:t>
      </w:r>
      <w:proofErr w:type="gramStart"/>
      <w:r w:rsidRPr="005A0D68">
        <w:rPr>
          <w:rFonts w:ascii="Times New Roman" w:eastAsia="Times New Roman" w:hAnsi="Times New Roman" w:cs="Times New Roman"/>
          <w:sz w:val="24"/>
          <w:szCs w:val="24"/>
        </w:rPr>
        <w:t>s.3(</w:t>
      </w:r>
      <w:proofErr w:type="gramEnd"/>
      <w:r w:rsidRPr="005A0D68">
        <w:rPr>
          <w:rFonts w:ascii="Times New Roman" w:eastAsia="Times New Roman" w:hAnsi="Times New Roman" w:cs="Times New Roman"/>
          <w:sz w:val="24"/>
          <w:szCs w:val="24"/>
        </w:rPr>
        <w:t>1)(e) along with the advancement of citizenship.</w:t>
      </w:r>
      <w:r w:rsidRPr="005A0D68">
        <w:rPr>
          <w:rFonts w:ascii="Times New Roman" w:hAnsi="Times New Roman" w:cs="Times New Roman"/>
          <w:sz w:val="24"/>
          <w:szCs w:val="24"/>
          <w:vertAlign w:val="superscript"/>
        </w:rPr>
        <w:footnoteReference w:id="49"/>
      </w:r>
      <w:r w:rsidRPr="005A0D68">
        <w:rPr>
          <w:rFonts w:ascii="Times New Roman" w:eastAsia="Times New Roman" w:hAnsi="Times New Roman" w:cs="Times New Roman"/>
          <w:sz w:val="24"/>
          <w:szCs w:val="24"/>
        </w:rPr>
        <w:t xml:space="preserve"> It is understandable that ‘community development’ </w:t>
      </w:r>
      <w:r w:rsidR="006642A7" w:rsidRPr="005A0D68">
        <w:rPr>
          <w:rFonts w:ascii="Times New Roman" w:eastAsia="Times New Roman" w:hAnsi="Times New Roman" w:cs="Times New Roman"/>
          <w:sz w:val="24"/>
          <w:szCs w:val="24"/>
        </w:rPr>
        <w:t>should assume a</w:t>
      </w:r>
      <w:r w:rsidRPr="005A0D68">
        <w:rPr>
          <w:rFonts w:ascii="Times New Roman" w:eastAsia="Times New Roman" w:hAnsi="Times New Roman" w:cs="Times New Roman"/>
          <w:sz w:val="24"/>
          <w:szCs w:val="24"/>
        </w:rPr>
        <w:t xml:space="preserve"> place on the statutory list. </w:t>
      </w:r>
      <w:r w:rsidRPr="005A0D68">
        <w:rPr>
          <w:rFonts w:ascii="Times New Roman" w:eastAsia="Times New Roman" w:hAnsi="Times New Roman" w:cs="Times New Roman"/>
          <w:sz w:val="24"/>
          <w:szCs w:val="24"/>
        </w:rPr>
        <w:lastRenderedPageBreak/>
        <w:t>There is a wealth of Commission guidance on what might be caught by this description</w:t>
      </w:r>
      <w:r w:rsidRPr="005A0D68">
        <w:rPr>
          <w:rFonts w:ascii="Times New Roman" w:eastAsia="Times New Roman" w:hAnsi="Times New Roman" w:cs="Times New Roman"/>
          <w:sz w:val="24"/>
          <w:szCs w:val="24"/>
          <w:vertAlign w:val="superscript"/>
        </w:rPr>
        <w:footnoteReference w:id="50"/>
      </w:r>
      <w:r w:rsidRPr="005A0D68">
        <w:rPr>
          <w:rFonts w:ascii="Times New Roman" w:eastAsia="Times New Roman" w:hAnsi="Times New Roman" w:cs="Times New Roman"/>
          <w:sz w:val="24"/>
          <w:szCs w:val="24"/>
        </w:rPr>
        <w:t xml:space="preserve"> and it is largely due to the Commission’s endeavours that community development has become a category of modern-day charitable enterprise. The Commission’s decision</w:t>
      </w:r>
      <w:r w:rsidR="00B70188" w:rsidRPr="005A0D68">
        <w:rPr>
          <w:rFonts w:ascii="Times New Roman" w:eastAsia="Times New Roman" w:hAnsi="Times New Roman" w:cs="Times New Roman"/>
          <w:sz w:val="24"/>
          <w:szCs w:val="24"/>
        </w:rPr>
        <w:t xml:space="preserve"> in 2003</w:t>
      </w:r>
      <w:r w:rsidRPr="005A0D68">
        <w:rPr>
          <w:rFonts w:ascii="Times New Roman" w:eastAsia="Times New Roman" w:hAnsi="Times New Roman" w:cs="Times New Roman"/>
          <w:sz w:val="24"/>
          <w:szCs w:val="24"/>
        </w:rPr>
        <w:t xml:space="preserve"> to </w:t>
      </w:r>
      <w:r w:rsidRPr="005A0D68">
        <w:rPr>
          <w:rFonts w:ascii="Times New Roman" w:hAnsi="Times New Roman" w:cs="Times New Roman"/>
          <w:sz w:val="24"/>
          <w:szCs w:val="24"/>
        </w:rPr>
        <w:t xml:space="preserve">register </w:t>
      </w:r>
      <w:proofErr w:type="spellStart"/>
      <w:r w:rsidRPr="005A0D68">
        <w:rPr>
          <w:rFonts w:ascii="Times New Roman" w:hAnsi="Times New Roman" w:cs="Times New Roman"/>
          <w:sz w:val="24"/>
          <w:szCs w:val="24"/>
        </w:rPr>
        <w:t>Guidestar</w:t>
      </w:r>
      <w:proofErr w:type="spellEnd"/>
      <w:r w:rsidRPr="005A0D68">
        <w:rPr>
          <w:rFonts w:ascii="Times New Roman" w:hAnsi="Times New Roman" w:cs="Times New Roman"/>
          <w:sz w:val="24"/>
          <w:szCs w:val="24"/>
        </w:rPr>
        <w:t xml:space="preserve"> UK, for example, admitted as charitable the new purpose of promoting the voluntary sector.</w:t>
      </w:r>
      <w:r w:rsidRPr="005A0D68">
        <w:rPr>
          <w:rStyle w:val="FootnoteReference"/>
          <w:rFonts w:ascii="Times New Roman" w:eastAsia="Times New Roman" w:hAnsi="Times New Roman" w:cs="Times New Roman"/>
          <w:sz w:val="24"/>
          <w:szCs w:val="24"/>
        </w:rPr>
        <w:footnoteReference w:id="51"/>
      </w:r>
      <w:r w:rsidR="006642A7" w:rsidRPr="005A0D68">
        <w:rPr>
          <w:rFonts w:ascii="Times New Roman" w:hAnsi="Times New Roman" w:cs="Times New Roman"/>
          <w:sz w:val="24"/>
          <w:szCs w:val="24"/>
        </w:rPr>
        <w:t xml:space="preserve"> It is logical, moreover</w:t>
      </w:r>
      <w:r w:rsidRPr="005A0D68">
        <w:rPr>
          <w:rFonts w:ascii="Times New Roman" w:hAnsi="Times New Roman" w:cs="Times New Roman"/>
          <w:sz w:val="24"/>
          <w:szCs w:val="24"/>
        </w:rPr>
        <w:t xml:space="preserve">, that trustees might look to that existing Commission guidance for assistance in interpreting the law. </w:t>
      </w:r>
      <w:r w:rsidRPr="005A0D68">
        <w:rPr>
          <w:rFonts w:ascii="Times New Roman" w:eastAsia="Times New Roman" w:hAnsi="Times New Roman" w:cs="Times New Roman"/>
          <w:sz w:val="24"/>
          <w:szCs w:val="24"/>
        </w:rPr>
        <w:t xml:space="preserve">The problem remains, however, with the paucity of assistance offered to trustees, anxious to demonstrate that their purposes are exclusively charitable within the bounds of the description. Such was evident in </w:t>
      </w:r>
      <w:r w:rsidRPr="005A0D68">
        <w:rPr>
          <w:rFonts w:ascii="Times New Roman" w:eastAsia="Times New Roman" w:hAnsi="Times New Roman" w:cs="Times New Roman"/>
          <w:i/>
          <w:sz w:val="24"/>
          <w:szCs w:val="24"/>
        </w:rPr>
        <w:t>Full Fact v Charity Commission for England and Wales</w:t>
      </w:r>
      <w:r w:rsidRPr="005A0D68">
        <w:rPr>
          <w:rFonts w:ascii="Times New Roman" w:eastAsia="Times New Roman" w:hAnsi="Times New Roman" w:cs="Times New Roman"/>
          <w:sz w:val="24"/>
          <w:szCs w:val="24"/>
        </w:rPr>
        <w:t>,</w:t>
      </w:r>
      <w:r w:rsidRPr="005A0D68">
        <w:rPr>
          <w:rStyle w:val="FootnoteReference"/>
          <w:rFonts w:ascii="Times New Roman" w:eastAsia="Times New Roman" w:hAnsi="Times New Roman" w:cs="Times New Roman"/>
          <w:sz w:val="24"/>
          <w:szCs w:val="24"/>
        </w:rPr>
        <w:footnoteReference w:id="52"/>
      </w:r>
      <w:r w:rsidRPr="005A0D68">
        <w:rPr>
          <w:rFonts w:ascii="Times New Roman" w:eastAsia="Times New Roman" w:hAnsi="Times New Roman" w:cs="Times New Roman"/>
          <w:sz w:val="24"/>
          <w:szCs w:val="24"/>
        </w:rPr>
        <w:t xml:space="preserve"> where the independent fact-checking organisation, Full Fact, failed in its initial attempts to obtain charitable status with purposes that included the advancement of civic responsibility and engagement. The First-tier Tribunal admitted that the ‘promotion of civic responsibility’ was, “undefined by the courts”.</w:t>
      </w:r>
      <w:r w:rsidRPr="005A0D68">
        <w:rPr>
          <w:rStyle w:val="FootnoteReference"/>
          <w:rFonts w:ascii="Times New Roman" w:eastAsia="Times New Roman" w:hAnsi="Times New Roman" w:cs="Times New Roman"/>
          <w:sz w:val="24"/>
          <w:szCs w:val="24"/>
        </w:rPr>
        <w:footnoteReference w:id="53"/>
      </w:r>
      <w:r w:rsidRPr="005A0D68">
        <w:rPr>
          <w:rFonts w:ascii="Times New Roman" w:eastAsia="Times New Roman" w:hAnsi="Times New Roman" w:cs="Times New Roman"/>
          <w:sz w:val="24"/>
          <w:szCs w:val="24"/>
        </w:rPr>
        <w:t xml:space="preserve"> </w:t>
      </w:r>
      <w:r w:rsidR="00B70188" w:rsidRPr="005A0D68">
        <w:rPr>
          <w:rFonts w:ascii="Times New Roman" w:eastAsia="Times New Roman" w:hAnsi="Times New Roman" w:cs="Times New Roman"/>
          <w:sz w:val="24"/>
          <w:szCs w:val="24"/>
        </w:rPr>
        <w:t>It</w:t>
      </w:r>
      <w:r w:rsidRPr="005A0D68">
        <w:rPr>
          <w:rFonts w:ascii="Times New Roman" w:eastAsia="Times New Roman" w:hAnsi="Times New Roman" w:cs="Times New Roman"/>
          <w:sz w:val="24"/>
          <w:szCs w:val="24"/>
        </w:rPr>
        <w:t xml:space="preserve"> was</w:t>
      </w:r>
      <w:r w:rsidR="00B70188" w:rsidRPr="005A0D68">
        <w:rPr>
          <w:rFonts w:ascii="Times New Roman" w:eastAsia="Times New Roman" w:hAnsi="Times New Roman" w:cs="Times New Roman"/>
          <w:sz w:val="24"/>
          <w:szCs w:val="24"/>
        </w:rPr>
        <w:t>, moreover,</w:t>
      </w:r>
      <w:r w:rsidRPr="005A0D68">
        <w:rPr>
          <w:rFonts w:ascii="Times New Roman" w:eastAsia="Times New Roman" w:hAnsi="Times New Roman" w:cs="Times New Roman"/>
          <w:sz w:val="24"/>
          <w:szCs w:val="24"/>
        </w:rPr>
        <w:t xml:space="preserve"> troubled that the term ‘civic engagement’ was not necessarily within the same sphere as ‘civic responsibility’ and, accordingly,</w:t>
      </w:r>
      <w:r w:rsidRPr="005A0D68">
        <w:rPr>
          <w:rFonts w:ascii="Times New Roman" w:hAnsi="Times New Roman" w:cs="Times New Roman"/>
          <w:sz w:val="24"/>
          <w:szCs w:val="24"/>
        </w:rPr>
        <w:t xml:space="preserve"> “It cannot be assumed that ‘engagement’ is always positive and capable of providing benefit”.</w:t>
      </w:r>
      <w:r w:rsidRPr="005A0D68">
        <w:rPr>
          <w:rStyle w:val="FootnoteReference"/>
          <w:rFonts w:ascii="Times New Roman" w:eastAsia="Times New Roman" w:hAnsi="Times New Roman" w:cs="Times New Roman"/>
          <w:sz w:val="24"/>
          <w:szCs w:val="24"/>
        </w:rPr>
        <w:footnoteReference w:id="54"/>
      </w:r>
      <w:r w:rsidRPr="005A0D68">
        <w:rPr>
          <w:rFonts w:ascii="Times New Roman" w:eastAsia="Times New Roman" w:hAnsi="Times New Roman" w:cs="Times New Roman"/>
          <w:sz w:val="24"/>
          <w:szCs w:val="24"/>
        </w:rPr>
        <w:t xml:space="preserve"> </w:t>
      </w:r>
      <w:r w:rsidRPr="005A0D68">
        <w:rPr>
          <w:rFonts w:ascii="Times New Roman" w:hAnsi="Times New Roman" w:cs="Times New Roman"/>
          <w:sz w:val="24"/>
          <w:szCs w:val="24"/>
        </w:rPr>
        <w:t xml:space="preserve">Although the Commission was later to accept a renewed application from Full Fact, it was with an objects clause that fell entirely within </w:t>
      </w:r>
      <w:proofErr w:type="gramStart"/>
      <w:r w:rsidRPr="005A0D68">
        <w:rPr>
          <w:rFonts w:ascii="Times New Roman" w:hAnsi="Times New Roman" w:cs="Times New Roman"/>
          <w:sz w:val="24"/>
          <w:szCs w:val="24"/>
        </w:rPr>
        <w:t>s.3(</w:t>
      </w:r>
      <w:proofErr w:type="gramEnd"/>
      <w:r w:rsidRPr="005A0D68">
        <w:rPr>
          <w:rFonts w:ascii="Times New Roman" w:hAnsi="Times New Roman" w:cs="Times New Roman"/>
          <w:sz w:val="24"/>
          <w:szCs w:val="24"/>
        </w:rPr>
        <w:t>1)(b) of the Act (i.e. the advancement of education).</w:t>
      </w:r>
      <w:r w:rsidRPr="005A0D68">
        <w:rPr>
          <w:rStyle w:val="FootnoteReference"/>
          <w:rFonts w:ascii="Times New Roman" w:eastAsia="Times New Roman" w:hAnsi="Times New Roman" w:cs="Times New Roman"/>
          <w:sz w:val="24"/>
          <w:szCs w:val="24"/>
        </w:rPr>
        <w:footnoteReference w:id="55"/>
      </w:r>
      <w:r w:rsidRPr="005A0D68">
        <w:rPr>
          <w:rFonts w:ascii="Times New Roman" w:hAnsi="Times New Roman" w:cs="Times New Roman"/>
          <w:sz w:val="24"/>
          <w:szCs w:val="24"/>
        </w:rPr>
        <w:t xml:space="preserve"> </w:t>
      </w:r>
      <w:r w:rsidR="006642A7" w:rsidRPr="005A0D68">
        <w:rPr>
          <w:rFonts w:ascii="Times New Roman" w:hAnsi="Times New Roman" w:cs="Times New Roman"/>
          <w:sz w:val="24"/>
          <w:szCs w:val="24"/>
        </w:rPr>
        <w:t>It is troubling that</w:t>
      </w:r>
      <w:r w:rsidRPr="005A0D68">
        <w:rPr>
          <w:rFonts w:ascii="Times New Roman" w:hAnsi="Times New Roman" w:cs="Times New Roman"/>
          <w:sz w:val="24"/>
          <w:szCs w:val="24"/>
        </w:rPr>
        <w:t xml:space="preserve"> Full Fact was unable to establish that its purposes fell within the specific sphere of charity it preferred to pursue. It came to appreciate that it was manifestly more difficult to structure its objects to those </w:t>
      </w:r>
      <w:r w:rsidR="00B70188" w:rsidRPr="005A0D68">
        <w:rPr>
          <w:rFonts w:ascii="Times New Roman" w:hAnsi="Times New Roman" w:cs="Times New Roman"/>
          <w:sz w:val="24"/>
          <w:szCs w:val="24"/>
        </w:rPr>
        <w:t>desired</w:t>
      </w:r>
      <w:r w:rsidRPr="005A0D68">
        <w:rPr>
          <w:rFonts w:ascii="Times New Roman" w:hAnsi="Times New Roman" w:cs="Times New Roman"/>
          <w:sz w:val="24"/>
          <w:szCs w:val="24"/>
        </w:rPr>
        <w:t xml:space="preserve"> ends.</w:t>
      </w:r>
    </w:p>
    <w:p w:rsidR="0081757A" w:rsidRDefault="0081757A" w:rsidP="003F1CC9">
      <w:pPr>
        <w:spacing w:after="0" w:line="480" w:lineRule="auto"/>
        <w:jc w:val="both"/>
        <w:rPr>
          <w:rFonts w:ascii="Times New Roman" w:eastAsia="Times New Roman" w:hAnsi="Times New Roman" w:cs="Times New Roman"/>
          <w:sz w:val="24"/>
          <w:szCs w:val="24"/>
        </w:rPr>
      </w:pPr>
    </w:p>
    <w:p w:rsidR="0081757A" w:rsidRPr="0081757A" w:rsidRDefault="0081757A" w:rsidP="003F1CC9">
      <w:pPr>
        <w:spacing w:after="0" w:line="480" w:lineRule="auto"/>
        <w:jc w:val="both"/>
        <w:rPr>
          <w:rFonts w:ascii="Times New Roman" w:eastAsia="Times New Roman" w:hAnsi="Times New Roman" w:cs="Times New Roman"/>
          <w:b/>
          <w:sz w:val="24"/>
          <w:szCs w:val="24"/>
        </w:rPr>
      </w:pPr>
      <w:r w:rsidRPr="0081757A">
        <w:rPr>
          <w:rFonts w:ascii="Times New Roman" w:eastAsia="Times New Roman" w:hAnsi="Times New Roman" w:cs="Times New Roman"/>
          <w:b/>
          <w:sz w:val="24"/>
          <w:szCs w:val="24"/>
        </w:rPr>
        <w:lastRenderedPageBreak/>
        <w:t>Exclusivity of Charitable Purpose</w:t>
      </w:r>
      <w:r w:rsidR="003F1CC9" w:rsidRPr="0081757A">
        <w:rPr>
          <w:rFonts w:ascii="Times New Roman" w:eastAsia="Times New Roman" w:hAnsi="Times New Roman" w:cs="Times New Roman"/>
          <w:b/>
          <w:sz w:val="24"/>
          <w:szCs w:val="24"/>
        </w:rPr>
        <w:tab/>
      </w:r>
    </w:p>
    <w:p w:rsidR="003F1CC9" w:rsidRPr="005A0D68" w:rsidRDefault="003F1CC9" w:rsidP="003F1CC9">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 xml:space="preserve">Not only is the </w:t>
      </w:r>
      <w:r w:rsidR="00B70188" w:rsidRPr="005A0D68">
        <w:rPr>
          <w:rFonts w:ascii="Times New Roman" w:hAnsi="Times New Roman" w:cs="Times New Roman"/>
          <w:sz w:val="24"/>
          <w:szCs w:val="24"/>
        </w:rPr>
        <w:t xml:space="preserve">statutory </w:t>
      </w:r>
      <w:r w:rsidRPr="005A0D68">
        <w:rPr>
          <w:rFonts w:ascii="Times New Roman" w:hAnsi="Times New Roman" w:cs="Times New Roman"/>
          <w:sz w:val="24"/>
          <w:szCs w:val="24"/>
        </w:rPr>
        <w:t>language novel, the new descriptions are troublingly open-ended such that both charitable and non-charitable activities m</w:t>
      </w:r>
      <w:r w:rsidR="00B70188" w:rsidRPr="005A0D68">
        <w:rPr>
          <w:rFonts w:ascii="Times New Roman" w:hAnsi="Times New Roman" w:cs="Times New Roman"/>
          <w:sz w:val="24"/>
          <w:szCs w:val="24"/>
        </w:rPr>
        <w:t>ight</w:t>
      </w:r>
      <w:r w:rsidRPr="005A0D68">
        <w:rPr>
          <w:rFonts w:ascii="Times New Roman" w:hAnsi="Times New Roman" w:cs="Times New Roman"/>
          <w:sz w:val="24"/>
          <w:szCs w:val="24"/>
        </w:rPr>
        <w:t xml:space="preserve"> be pursued.</w:t>
      </w:r>
      <w:r w:rsidRPr="005A0D68">
        <w:rPr>
          <w:rStyle w:val="FootnoteReference"/>
          <w:rFonts w:ascii="Times New Roman" w:hAnsi="Times New Roman" w:cs="Times New Roman"/>
          <w:sz w:val="24"/>
          <w:szCs w:val="24"/>
        </w:rPr>
        <w:footnoteReference w:id="56"/>
      </w:r>
      <w:r w:rsidRPr="005A0D68">
        <w:rPr>
          <w:rFonts w:ascii="Times New Roman" w:hAnsi="Times New Roman" w:cs="Times New Roman"/>
          <w:sz w:val="24"/>
          <w:szCs w:val="24"/>
        </w:rPr>
        <w:t xml:space="preserve"> For Lord Hodgson, it </w:t>
      </w:r>
      <w:r w:rsidR="00B70188" w:rsidRPr="005A0D68">
        <w:rPr>
          <w:rFonts w:ascii="Times New Roman" w:hAnsi="Times New Roman" w:cs="Times New Roman"/>
          <w:sz w:val="24"/>
          <w:szCs w:val="24"/>
        </w:rPr>
        <w:t>wa</w:t>
      </w:r>
      <w:r w:rsidRPr="005A0D68">
        <w:rPr>
          <w:rFonts w:ascii="Times New Roman" w:hAnsi="Times New Roman" w:cs="Times New Roman"/>
          <w:sz w:val="24"/>
          <w:szCs w:val="24"/>
        </w:rPr>
        <w:t xml:space="preserve">s contentious that a statutory list of charitable </w:t>
      </w:r>
      <w:proofErr w:type="gramStart"/>
      <w:r w:rsidRPr="005A0D68">
        <w:rPr>
          <w:rFonts w:ascii="Times New Roman" w:hAnsi="Times New Roman" w:cs="Times New Roman"/>
          <w:sz w:val="24"/>
          <w:szCs w:val="24"/>
        </w:rPr>
        <w:t>purposes,</w:t>
      </w:r>
      <w:proofErr w:type="gramEnd"/>
      <w:r w:rsidRPr="005A0D68">
        <w:rPr>
          <w:rFonts w:ascii="Times New Roman" w:hAnsi="Times New Roman" w:cs="Times New Roman"/>
          <w:sz w:val="24"/>
          <w:szCs w:val="24"/>
        </w:rPr>
        <w:t xml:space="preserve"> “may include purposes which are not in fact charitable”.</w:t>
      </w:r>
      <w:r w:rsidRPr="005A0D68">
        <w:rPr>
          <w:rFonts w:ascii="Times New Roman" w:hAnsi="Times New Roman" w:cs="Times New Roman"/>
          <w:sz w:val="24"/>
          <w:szCs w:val="24"/>
          <w:vertAlign w:val="superscript"/>
        </w:rPr>
        <w:footnoteReference w:id="57"/>
      </w:r>
      <w:r w:rsidRPr="005A0D68">
        <w:rPr>
          <w:rFonts w:ascii="Times New Roman" w:hAnsi="Times New Roman" w:cs="Times New Roman"/>
          <w:sz w:val="24"/>
          <w:szCs w:val="24"/>
        </w:rPr>
        <w:t xml:space="preserve"> He </w:t>
      </w:r>
      <w:r w:rsidR="00B70188" w:rsidRPr="005A0D68">
        <w:rPr>
          <w:rFonts w:ascii="Times New Roman" w:hAnsi="Times New Roman" w:cs="Times New Roman"/>
          <w:sz w:val="24"/>
          <w:szCs w:val="24"/>
        </w:rPr>
        <w:t xml:space="preserve">readily </w:t>
      </w:r>
      <w:r w:rsidRPr="005A0D68">
        <w:rPr>
          <w:rFonts w:ascii="Times New Roman" w:hAnsi="Times New Roman" w:cs="Times New Roman"/>
          <w:sz w:val="24"/>
          <w:szCs w:val="24"/>
        </w:rPr>
        <w:t>identif</w:t>
      </w:r>
      <w:r w:rsidR="00B70188" w:rsidRPr="005A0D68">
        <w:rPr>
          <w:rFonts w:ascii="Times New Roman" w:hAnsi="Times New Roman" w:cs="Times New Roman"/>
          <w:sz w:val="24"/>
          <w:szCs w:val="24"/>
        </w:rPr>
        <w:t>ied an</w:t>
      </w:r>
      <w:r w:rsidRPr="005A0D68">
        <w:rPr>
          <w:rFonts w:ascii="Times New Roman" w:hAnsi="Times New Roman" w:cs="Times New Roman"/>
          <w:sz w:val="24"/>
          <w:szCs w:val="24"/>
        </w:rPr>
        <w:t xml:space="preserve"> anomaly that, “an organisation with the express object of ‘relieving poverty’ may be regarded by the Commission as having charitable purposes … but an organisation with the express object of ‘advancing amateur sport’ may not”.</w:t>
      </w:r>
      <w:r w:rsidRPr="005A0D68">
        <w:rPr>
          <w:rFonts w:ascii="Times New Roman" w:hAnsi="Times New Roman" w:cs="Times New Roman"/>
          <w:sz w:val="24"/>
          <w:szCs w:val="24"/>
          <w:vertAlign w:val="superscript"/>
        </w:rPr>
        <w:footnoteReference w:id="58"/>
      </w:r>
      <w:r w:rsidRPr="005A0D68">
        <w:rPr>
          <w:rFonts w:ascii="Times New Roman" w:hAnsi="Times New Roman" w:cs="Times New Roman"/>
          <w:sz w:val="24"/>
          <w:szCs w:val="24"/>
        </w:rPr>
        <w:t xml:space="preserve"> Such is well illustrated in </w:t>
      </w:r>
      <w:r w:rsidRPr="005A0D68">
        <w:rPr>
          <w:rFonts w:ascii="Times New Roman" w:hAnsi="Times New Roman" w:cs="Times New Roman"/>
          <w:i/>
          <w:sz w:val="24"/>
          <w:szCs w:val="24"/>
        </w:rPr>
        <w:t>Uturn</w:t>
      </w:r>
      <w:r w:rsidRPr="005A0D68">
        <w:rPr>
          <w:rFonts w:ascii="Times New Roman" w:hAnsi="Times New Roman" w:cs="Times New Roman"/>
          <w:sz w:val="24"/>
          <w:szCs w:val="24"/>
        </w:rPr>
        <w:t xml:space="preserve"> where the Company lost its appeal against </w:t>
      </w:r>
      <w:r w:rsidR="00B70188" w:rsidRPr="005A0D68">
        <w:rPr>
          <w:rFonts w:ascii="Times New Roman" w:hAnsi="Times New Roman" w:cs="Times New Roman"/>
          <w:sz w:val="24"/>
          <w:szCs w:val="24"/>
        </w:rPr>
        <w:t xml:space="preserve">the refusal </w:t>
      </w:r>
      <w:r w:rsidRPr="005A0D68">
        <w:rPr>
          <w:rFonts w:ascii="Times New Roman" w:hAnsi="Times New Roman" w:cs="Times New Roman"/>
          <w:sz w:val="24"/>
          <w:szCs w:val="24"/>
        </w:rPr>
        <w:t xml:space="preserve">by the Commission to register it as a charity. The primary object of Uturn was to promote and set up street associations to ‘advance citizenship and community development’. More specifically, its ambition was ‘to bring the residents of streets together in local groupings with a framework that will engender civic responsibility and volunteering’. This primary purpose appeared to fall squarely within </w:t>
      </w:r>
      <w:proofErr w:type="gramStart"/>
      <w:r w:rsidRPr="005A0D68">
        <w:rPr>
          <w:rFonts w:ascii="Times New Roman" w:hAnsi="Times New Roman" w:cs="Times New Roman"/>
          <w:sz w:val="24"/>
          <w:szCs w:val="24"/>
        </w:rPr>
        <w:t>s.3(</w:t>
      </w:r>
      <w:proofErr w:type="gramEnd"/>
      <w:r w:rsidRPr="005A0D68">
        <w:rPr>
          <w:rFonts w:ascii="Times New Roman" w:hAnsi="Times New Roman" w:cs="Times New Roman"/>
          <w:sz w:val="24"/>
          <w:szCs w:val="24"/>
        </w:rPr>
        <w:t>2)(c), with street associations the particular vehicle adopted to promote one of the stated descriptions of charity. The Tribunal, however, shared the concern of the Commission that the expression ‘street association’ did not carry any settled meaning in law and warned that, “the framing of a purpose by reference to an expression, the meaning of which is uncertain, risks the meaning of the purpose itself being unclear or uncertain”.</w:t>
      </w:r>
      <w:r w:rsidRPr="005A0D68">
        <w:rPr>
          <w:rFonts w:ascii="Times New Roman" w:hAnsi="Times New Roman" w:cs="Times New Roman"/>
          <w:sz w:val="24"/>
          <w:szCs w:val="24"/>
          <w:vertAlign w:val="superscript"/>
        </w:rPr>
        <w:footnoteReference w:id="59"/>
      </w:r>
      <w:r w:rsidRPr="005A0D68">
        <w:rPr>
          <w:rFonts w:ascii="Times New Roman" w:hAnsi="Times New Roman" w:cs="Times New Roman"/>
          <w:sz w:val="24"/>
          <w:szCs w:val="24"/>
        </w:rPr>
        <w:t xml:space="preserve"> In deciding that the purposes of the Company were not exclusively charitable, the Tribunal made clear that, “for any purpose to be charitable (whether it is new or well established), it must be sufficiently certain, to permit an assessment of whether it falls exclusively within the heads of purpose listed ... in the Act”.</w:t>
      </w:r>
      <w:r w:rsidRPr="005A0D68">
        <w:rPr>
          <w:rFonts w:ascii="Times New Roman" w:hAnsi="Times New Roman" w:cs="Times New Roman"/>
          <w:sz w:val="24"/>
          <w:szCs w:val="24"/>
          <w:vertAlign w:val="superscript"/>
        </w:rPr>
        <w:footnoteReference w:id="60"/>
      </w:r>
      <w:r w:rsidRPr="005A0D68">
        <w:rPr>
          <w:rFonts w:ascii="Times New Roman" w:hAnsi="Times New Roman" w:cs="Times New Roman"/>
          <w:sz w:val="24"/>
          <w:szCs w:val="24"/>
        </w:rPr>
        <w:t xml:space="preserve"> This is a </w:t>
      </w:r>
      <w:r w:rsidRPr="005A0D68">
        <w:rPr>
          <w:rFonts w:ascii="Times New Roman" w:hAnsi="Times New Roman" w:cs="Times New Roman"/>
          <w:sz w:val="24"/>
          <w:szCs w:val="24"/>
        </w:rPr>
        <w:lastRenderedPageBreak/>
        <w:t>conclusion manifestly more difficult to reach where the content of those heads of purpose remain</w:t>
      </w:r>
      <w:r w:rsidR="008961F7" w:rsidRPr="005A0D68">
        <w:rPr>
          <w:rFonts w:ascii="Times New Roman" w:hAnsi="Times New Roman" w:cs="Times New Roman"/>
          <w:sz w:val="24"/>
          <w:szCs w:val="24"/>
        </w:rPr>
        <w:t>s</w:t>
      </w:r>
      <w:r w:rsidRPr="005A0D68">
        <w:rPr>
          <w:rFonts w:ascii="Times New Roman" w:hAnsi="Times New Roman" w:cs="Times New Roman"/>
          <w:sz w:val="24"/>
          <w:szCs w:val="24"/>
        </w:rPr>
        <w:t xml:space="preserve"> </w:t>
      </w:r>
      <w:r w:rsidR="00B70188" w:rsidRPr="005A0D68">
        <w:rPr>
          <w:rFonts w:ascii="Times New Roman" w:hAnsi="Times New Roman" w:cs="Times New Roman"/>
          <w:sz w:val="24"/>
          <w:szCs w:val="24"/>
        </w:rPr>
        <w:t>alarmingly un</w:t>
      </w:r>
      <w:r w:rsidRPr="005A0D68">
        <w:rPr>
          <w:rFonts w:ascii="Times New Roman" w:hAnsi="Times New Roman" w:cs="Times New Roman"/>
          <w:sz w:val="24"/>
          <w:szCs w:val="24"/>
        </w:rPr>
        <w:t>settled.</w:t>
      </w:r>
    </w:p>
    <w:p w:rsidR="003F1CC9" w:rsidRPr="005A0D68" w:rsidRDefault="003F1CC9" w:rsidP="003F1CC9">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 xml:space="preserve">The decision in </w:t>
      </w:r>
      <w:proofErr w:type="spellStart"/>
      <w:r w:rsidRPr="005A0D68">
        <w:rPr>
          <w:rFonts w:ascii="Times New Roman" w:hAnsi="Times New Roman" w:cs="Times New Roman"/>
          <w:i/>
          <w:sz w:val="24"/>
          <w:szCs w:val="24"/>
        </w:rPr>
        <w:t>Uturn</w:t>
      </w:r>
      <w:proofErr w:type="spellEnd"/>
      <w:r w:rsidRPr="005A0D68">
        <w:rPr>
          <w:rFonts w:ascii="Times New Roman" w:hAnsi="Times New Roman" w:cs="Times New Roman"/>
          <w:sz w:val="24"/>
          <w:szCs w:val="24"/>
        </w:rPr>
        <w:t xml:space="preserve"> </w:t>
      </w:r>
      <w:r w:rsidR="00B70188" w:rsidRPr="005A0D68">
        <w:rPr>
          <w:rFonts w:ascii="Times New Roman" w:hAnsi="Times New Roman" w:cs="Times New Roman"/>
          <w:sz w:val="24"/>
          <w:szCs w:val="24"/>
        </w:rPr>
        <w:t>is</w:t>
      </w:r>
      <w:r w:rsidR="006642A7" w:rsidRPr="005A0D68">
        <w:rPr>
          <w:rFonts w:ascii="Times New Roman" w:hAnsi="Times New Roman" w:cs="Times New Roman"/>
          <w:sz w:val="24"/>
          <w:szCs w:val="24"/>
        </w:rPr>
        <w:t xml:space="preserve"> a reminder</w:t>
      </w:r>
      <w:r w:rsidRPr="005A0D68">
        <w:rPr>
          <w:rFonts w:ascii="Times New Roman" w:hAnsi="Times New Roman" w:cs="Times New Roman"/>
          <w:sz w:val="24"/>
          <w:szCs w:val="24"/>
        </w:rPr>
        <w:t xml:space="preserve"> that merely to adopt the </w:t>
      </w:r>
      <w:r w:rsidRPr="005A0D68">
        <w:rPr>
          <w:rFonts w:ascii="Times New Roman" w:eastAsia="Times New Roman" w:hAnsi="Times New Roman" w:cs="Times New Roman"/>
          <w:sz w:val="24"/>
          <w:szCs w:val="24"/>
        </w:rPr>
        <w:t xml:space="preserve">language of the descriptions as a means to communicate the objects of an organisation will not </w:t>
      </w:r>
      <w:r w:rsidR="00B70188" w:rsidRPr="005A0D68">
        <w:rPr>
          <w:rFonts w:ascii="Times New Roman" w:eastAsia="Times New Roman" w:hAnsi="Times New Roman" w:cs="Times New Roman"/>
          <w:sz w:val="24"/>
          <w:szCs w:val="24"/>
        </w:rPr>
        <w:t xml:space="preserve">necessarily </w:t>
      </w:r>
      <w:r w:rsidRPr="005A0D68">
        <w:rPr>
          <w:rFonts w:ascii="Times New Roman" w:eastAsia="Times New Roman" w:hAnsi="Times New Roman" w:cs="Times New Roman"/>
          <w:sz w:val="24"/>
          <w:szCs w:val="24"/>
        </w:rPr>
        <w:t>satisfy the Commission or the Tribunal that an organisation is confined to the pursuit of exclusively charitable purposes.</w:t>
      </w:r>
      <w:r w:rsidRPr="005A0D68">
        <w:rPr>
          <w:rFonts w:ascii="Times New Roman" w:hAnsi="Times New Roman" w:cs="Times New Roman"/>
          <w:sz w:val="24"/>
          <w:szCs w:val="24"/>
        </w:rPr>
        <w:t xml:space="preserve"> More is required than a statement that a legally recognised benefit lies at the heart of an organisation’s purposes.</w:t>
      </w:r>
      <w:r w:rsidRPr="005A0D68">
        <w:rPr>
          <w:rStyle w:val="FootnoteReference"/>
          <w:rFonts w:ascii="Times New Roman" w:hAnsi="Times New Roman" w:cs="Times New Roman"/>
          <w:sz w:val="24"/>
          <w:szCs w:val="24"/>
        </w:rPr>
        <w:footnoteReference w:id="61"/>
      </w:r>
      <w:r w:rsidRPr="005A0D68">
        <w:rPr>
          <w:rFonts w:ascii="Times New Roman" w:hAnsi="Times New Roman" w:cs="Times New Roman"/>
          <w:sz w:val="24"/>
          <w:szCs w:val="24"/>
        </w:rPr>
        <w:t xml:space="preserve"> By corollary, it can be argued that more might be expected in terms of effective guidance to prospective charity trustees seeking to situate their objects within the new descriptions. In </w:t>
      </w:r>
      <w:r w:rsidRPr="005A0D68">
        <w:rPr>
          <w:rFonts w:ascii="Times New Roman" w:hAnsi="Times New Roman" w:cs="Times New Roman"/>
          <w:i/>
          <w:sz w:val="24"/>
          <w:szCs w:val="24"/>
        </w:rPr>
        <w:t>Uturn</w:t>
      </w:r>
      <w:r w:rsidRPr="005A0D68">
        <w:rPr>
          <w:rFonts w:ascii="Times New Roman" w:hAnsi="Times New Roman" w:cs="Times New Roman"/>
          <w:sz w:val="24"/>
          <w:szCs w:val="24"/>
        </w:rPr>
        <w:t xml:space="preserve">, the Commission identified a lack of clarity regarding the operation of street associations. </w:t>
      </w:r>
      <w:r w:rsidR="00B70188" w:rsidRPr="005A0D68">
        <w:rPr>
          <w:rFonts w:ascii="Times New Roman" w:hAnsi="Times New Roman" w:cs="Times New Roman"/>
          <w:sz w:val="24"/>
          <w:szCs w:val="24"/>
        </w:rPr>
        <w:t>The</w:t>
      </w:r>
      <w:r w:rsidRPr="005A0D68">
        <w:rPr>
          <w:rFonts w:ascii="Times New Roman" w:hAnsi="Times New Roman" w:cs="Times New Roman"/>
          <w:sz w:val="24"/>
          <w:szCs w:val="24"/>
        </w:rPr>
        <w:t xml:space="preserve"> admitted concern (shared </w:t>
      </w:r>
      <w:r w:rsidR="00B70188" w:rsidRPr="005A0D68">
        <w:rPr>
          <w:rFonts w:ascii="Times New Roman" w:hAnsi="Times New Roman" w:cs="Times New Roman"/>
          <w:sz w:val="24"/>
          <w:szCs w:val="24"/>
        </w:rPr>
        <w:t xml:space="preserve">also </w:t>
      </w:r>
      <w:r w:rsidRPr="005A0D68">
        <w:rPr>
          <w:rFonts w:ascii="Times New Roman" w:hAnsi="Times New Roman" w:cs="Times New Roman"/>
          <w:sz w:val="24"/>
          <w:szCs w:val="24"/>
        </w:rPr>
        <w:t>by the Tribunal), was that an association might, “provide services to individuals which confer a private benefit”. The Commission was looking, therefore, for a high degree of certainty regarding the future operational activities of each association that would ensure</w:t>
      </w:r>
      <w:r w:rsidR="000071DF" w:rsidRPr="005A0D68">
        <w:rPr>
          <w:rFonts w:ascii="Times New Roman" w:hAnsi="Times New Roman" w:cs="Times New Roman"/>
          <w:sz w:val="24"/>
          <w:szCs w:val="24"/>
        </w:rPr>
        <w:t xml:space="preserve"> that</w:t>
      </w:r>
      <w:r w:rsidRPr="005A0D68">
        <w:rPr>
          <w:rFonts w:ascii="Times New Roman" w:hAnsi="Times New Roman" w:cs="Times New Roman"/>
          <w:sz w:val="24"/>
          <w:szCs w:val="24"/>
        </w:rPr>
        <w:t xml:space="preserve">, in practice, it worked towards exclusively charitable ends. Uturn could not meet that threshold even though its street association project offered a fresh and </w:t>
      </w:r>
      <w:r w:rsidR="000071DF" w:rsidRPr="005A0D68">
        <w:rPr>
          <w:rFonts w:ascii="Times New Roman" w:hAnsi="Times New Roman" w:cs="Times New Roman"/>
          <w:sz w:val="24"/>
          <w:szCs w:val="24"/>
        </w:rPr>
        <w:t>innovative</w:t>
      </w:r>
      <w:r w:rsidRPr="005A0D68">
        <w:rPr>
          <w:rFonts w:ascii="Times New Roman" w:hAnsi="Times New Roman" w:cs="Times New Roman"/>
          <w:sz w:val="24"/>
          <w:szCs w:val="24"/>
        </w:rPr>
        <w:t xml:space="preserve"> response to </w:t>
      </w:r>
      <w:r w:rsidR="00425537" w:rsidRPr="005A0D68">
        <w:rPr>
          <w:rFonts w:ascii="Times New Roman" w:hAnsi="Times New Roman" w:cs="Times New Roman"/>
          <w:sz w:val="24"/>
          <w:szCs w:val="24"/>
        </w:rPr>
        <w:t>a pressing</w:t>
      </w:r>
      <w:r w:rsidRPr="005A0D68">
        <w:rPr>
          <w:rFonts w:ascii="Times New Roman" w:hAnsi="Times New Roman" w:cs="Times New Roman"/>
          <w:sz w:val="24"/>
          <w:szCs w:val="24"/>
        </w:rPr>
        <w:t xml:space="preserve"> social problem. </w:t>
      </w:r>
    </w:p>
    <w:p w:rsidR="003F1CC9" w:rsidRPr="005A0D68" w:rsidRDefault="003F1CC9" w:rsidP="003F1CC9">
      <w:pPr>
        <w:rPr>
          <w:rFonts w:ascii="Times New Roman" w:hAnsi="Times New Roman" w:cs="Times New Roman"/>
          <w:sz w:val="24"/>
          <w:szCs w:val="24"/>
        </w:rPr>
      </w:pPr>
    </w:p>
    <w:p w:rsidR="001F5C7C" w:rsidRPr="005A0D68" w:rsidRDefault="000071DF">
      <w:pPr>
        <w:spacing w:after="0" w:line="480" w:lineRule="auto"/>
        <w:jc w:val="center"/>
        <w:rPr>
          <w:rFonts w:ascii="Times New Roman" w:hAnsi="Times New Roman" w:cs="Times New Roman"/>
          <w:sz w:val="24"/>
          <w:szCs w:val="24"/>
        </w:rPr>
      </w:pPr>
      <w:r w:rsidRPr="005A0D68">
        <w:rPr>
          <w:rFonts w:ascii="Times New Roman" w:hAnsi="Times New Roman" w:cs="Times New Roman"/>
          <w:b/>
          <w:sz w:val="24"/>
          <w:szCs w:val="24"/>
        </w:rPr>
        <w:t>Ambiguity and Artifice</w:t>
      </w:r>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As considered above, the lack of settled meaning underpinning the</w:t>
      </w:r>
      <w:r w:rsidR="000071DF" w:rsidRPr="005A0D68">
        <w:rPr>
          <w:rFonts w:ascii="Times New Roman" w:hAnsi="Times New Roman" w:cs="Times New Roman"/>
          <w:sz w:val="24"/>
          <w:szCs w:val="24"/>
        </w:rPr>
        <w:t xml:space="preserve"> revised </w:t>
      </w:r>
      <w:r w:rsidRPr="005A0D68">
        <w:rPr>
          <w:rFonts w:ascii="Times New Roman" w:hAnsi="Times New Roman" w:cs="Times New Roman"/>
          <w:sz w:val="24"/>
          <w:szCs w:val="24"/>
        </w:rPr>
        <w:t xml:space="preserve">descriptions has resulted in a problematic degree of conceptual </w:t>
      </w:r>
      <w:r w:rsidR="000071DF" w:rsidRPr="005A0D68">
        <w:rPr>
          <w:rFonts w:ascii="Times New Roman" w:hAnsi="Times New Roman" w:cs="Times New Roman"/>
          <w:sz w:val="24"/>
          <w:szCs w:val="24"/>
        </w:rPr>
        <w:t xml:space="preserve">and legal </w:t>
      </w:r>
      <w:r w:rsidRPr="005A0D68">
        <w:rPr>
          <w:rFonts w:ascii="Times New Roman" w:hAnsi="Times New Roman" w:cs="Times New Roman"/>
          <w:sz w:val="24"/>
          <w:szCs w:val="24"/>
        </w:rPr>
        <w:t xml:space="preserve">uncertainty. In consequence, the Charity Commission feels obliged to look beyond the institution’s governing document and to consider extrinsic evidence. This approach is not without controversy. In determining whether or not an organisation is established for charitable purposes only, the initial task is to </w:t>
      </w:r>
      <w:r w:rsidRPr="005A0D68">
        <w:rPr>
          <w:rFonts w:ascii="Times New Roman" w:hAnsi="Times New Roman" w:cs="Times New Roman"/>
          <w:sz w:val="24"/>
          <w:szCs w:val="24"/>
        </w:rPr>
        <w:lastRenderedPageBreak/>
        <w:t xml:space="preserve">identify the ‘particular purpose’ (or purposes) of </w:t>
      </w:r>
      <w:r w:rsidR="00705B94" w:rsidRPr="005A0D68">
        <w:rPr>
          <w:rFonts w:ascii="Times New Roman" w:hAnsi="Times New Roman" w:cs="Times New Roman"/>
          <w:sz w:val="24"/>
          <w:szCs w:val="24"/>
        </w:rPr>
        <w:t>the</w:t>
      </w:r>
      <w:r w:rsidRPr="005A0D68">
        <w:rPr>
          <w:rFonts w:ascii="Times New Roman" w:hAnsi="Times New Roman" w:cs="Times New Roman"/>
          <w:sz w:val="24"/>
          <w:szCs w:val="24"/>
        </w:rPr>
        <w:t xml:space="preserve"> institution.</w:t>
      </w:r>
      <w:r w:rsidRPr="005A0D68">
        <w:rPr>
          <w:rStyle w:val="FootnoteReference"/>
          <w:rFonts w:ascii="Times New Roman" w:hAnsi="Times New Roman" w:cs="Times New Roman"/>
          <w:sz w:val="24"/>
          <w:szCs w:val="24"/>
        </w:rPr>
        <w:footnoteReference w:id="62"/>
      </w:r>
      <w:r w:rsidRPr="005A0D68">
        <w:rPr>
          <w:rFonts w:ascii="Times New Roman" w:hAnsi="Times New Roman" w:cs="Times New Roman"/>
          <w:sz w:val="24"/>
          <w:szCs w:val="24"/>
        </w:rPr>
        <w:t xml:space="preserve"> This involves ascertaining, “what the institution was set up to do ... not how it would achieve its objects or whether its subsequent activities are in accordance ...</w:t>
      </w:r>
      <w:proofErr w:type="gramStart"/>
      <w:r w:rsidRPr="005A0D68">
        <w:rPr>
          <w:rFonts w:ascii="Times New Roman" w:hAnsi="Times New Roman" w:cs="Times New Roman"/>
          <w:sz w:val="24"/>
          <w:szCs w:val="24"/>
        </w:rPr>
        <w:t>”.</w:t>
      </w:r>
      <w:proofErr w:type="gramEnd"/>
      <w:r w:rsidRPr="005A0D68">
        <w:rPr>
          <w:rStyle w:val="FootnoteReference"/>
          <w:rFonts w:ascii="Times New Roman" w:hAnsi="Times New Roman" w:cs="Times New Roman"/>
          <w:sz w:val="24"/>
          <w:szCs w:val="24"/>
        </w:rPr>
        <w:footnoteReference w:id="63"/>
      </w:r>
      <w:r w:rsidRPr="005A0D68">
        <w:rPr>
          <w:rFonts w:ascii="Times New Roman" w:hAnsi="Times New Roman" w:cs="Times New Roman"/>
          <w:sz w:val="24"/>
          <w:szCs w:val="24"/>
        </w:rPr>
        <w:t xml:space="preserve"> The authorities are clear that the </w:t>
      </w:r>
      <w:r w:rsidR="00705B94" w:rsidRPr="005A0D68">
        <w:rPr>
          <w:rFonts w:ascii="Times New Roman" w:hAnsi="Times New Roman" w:cs="Times New Roman"/>
          <w:sz w:val="24"/>
          <w:szCs w:val="24"/>
        </w:rPr>
        <w:t>initial</w:t>
      </w:r>
      <w:r w:rsidRPr="005A0D68">
        <w:rPr>
          <w:rFonts w:ascii="Times New Roman" w:hAnsi="Times New Roman" w:cs="Times New Roman"/>
          <w:sz w:val="24"/>
          <w:szCs w:val="24"/>
        </w:rPr>
        <w:t xml:space="preserve"> focus must be </w:t>
      </w:r>
      <w:r w:rsidR="00705B94" w:rsidRPr="005A0D68">
        <w:rPr>
          <w:rFonts w:ascii="Times New Roman" w:hAnsi="Times New Roman" w:cs="Times New Roman"/>
          <w:sz w:val="24"/>
          <w:szCs w:val="24"/>
        </w:rPr>
        <w:t xml:space="preserve">on </w:t>
      </w:r>
      <w:r w:rsidRPr="005A0D68">
        <w:rPr>
          <w:rFonts w:ascii="Times New Roman" w:hAnsi="Times New Roman" w:cs="Times New Roman"/>
          <w:sz w:val="24"/>
          <w:szCs w:val="24"/>
        </w:rPr>
        <w:t>the objects clause or its equivalent in the institution’s governing document.</w:t>
      </w:r>
      <w:r w:rsidRPr="005A0D68">
        <w:rPr>
          <w:rStyle w:val="FootnoteReference"/>
          <w:rFonts w:ascii="Times New Roman" w:hAnsi="Times New Roman" w:cs="Times New Roman"/>
          <w:sz w:val="24"/>
          <w:szCs w:val="24"/>
        </w:rPr>
        <w:footnoteReference w:id="64"/>
      </w:r>
      <w:r w:rsidRPr="005A0D68">
        <w:rPr>
          <w:rFonts w:ascii="Times New Roman" w:hAnsi="Times New Roman" w:cs="Times New Roman"/>
          <w:sz w:val="24"/>
          <w:szCs w:val="24"/>
        </w:rPr>
        <w:t xml:space="preserve"> The relevant test </w:t>
      </w:r>
      <w:r w:rsidR="00705B94" w:rsidRPr="005A0D68">
        <w:rPr>
          <w:rFonts w:ascii="Times New Roman" w:hAnsi="Times New Roman" w:cs="Times New Roman"/>
          <w:sz w:val="24"/>
          <w:szCs w:val="24"/>
        </w:rPr>
        <w:t xml:space="preserve">here </w:t>
      </w:r>
      <w:r w:rsidRPr="005A0D68">
        <w:rPr>
          <w:rFonts w:ascii="Times New Roman" w:hAnsi="Times New Roman" w:cs="Times New Roman"/>
          <w:sz w:val="24"/>
          <w:szCs w:val="24"/>
        </w:rPr>
        <w:t>is not an activities test, but is instead a test of what an organisation is established to do. As Synge explains, “charitable status is not a transient quality which depends on a charity’s activities, but a near permanent quality which depends on the purposes for which an institution is established”.</w:t>
      </w:r>
      <w:r w:rsidRPr="005A0D68">
        <w:rPr>
          <w:rStyle w:val="FootnoteReference"/>
          <w:rFonts w:ascii="Times New Roman" w:hAnsi="Times New Roman" w:cs="Times New Roman"/>
          <w:sz w:val="24"/>
          <w:szCs w:val="24"/>
        </w:rPr>
        <w:footnoteReference w:id="65"/>
      </w:r>
      <w:r w:rsidRPr="005A0D68">
        <w:rPr>
          <w:rFonts w:ascii="Times New Roman" w:hAnsi="Times New Roman" w:cs="Times New Roman"/>
          <w:sz w:val="24"/>
          <w:szCs w:val="24"/>
        </w:rPr>
        <w:t xml:space="preserve"> This echoes the sentiment expressed by </w:t>
      </w:r>
      <w:r w:rsidRPr="005A0D68">
        <w:rPr>
          <w:rFonts w:ascii="Times New Roman" w:hAnsi="Times New Roman" w:cs="Times New Roman"/>
          <w:color w:val="000000"/>
          <w:sz w:val="24"/>
          <w:szCs w:val="24"/>
          <w:shd w:val="clear" w:color="auto" w:fill="FFFFFF"/>
        </w:rPr>
        <w:t xml:space="preserve">Buckley LJ that it is irrelevant, “to inquire what the motives of the founders </w:t>
      </w:r>
      <w:proofErr w:type="gramStart"/>
      <w:r w:rsidRPr="005A0D68">
        <w:rPr>
          <w:rFonts w:ascii="Times New Roman" w:hAnsi="Times New Roman" w:cs="Times New Roman"/>
          <w:color w:val="000000"/>
          <w:sz w:val="24"/>
          <w:szCs w:val="24"/>
          <w:shd w:val="clear" w:color="auto" w:fill="FFFFFF"/>
        </w:rPr>
        <w:t>were,</w:t>
      </w:r>
      <w:proofErr w:type="gramEnd"/>
      <w:r w:rsidRPr="005A0D68">
        <w:rPr>
          <w:rFonts w:ascii="Times New Roman" w:hAnsi="Times New Roman" w:cs="Times New Roman"/>
          <w:color w:val="000000"/>
          <w:sz w:val="24"/>
          <w:szCs w:val="24"/>
          <w:shd w:val="clear" w:color="auto" w:fill="FFFFFF"/>
        </w:rPr>
        <w:t xml:space="preserve"> or how they contemplated or intended that the... [</w:t>
      </w:r>
      <w:proofErr w:type="gramStart"/>
      <w:r w:rsidRPr="005A0D68">
        <w:rPr>
          <w:rFonts w:ascii="Times New Roman" w:hAnsi="Times New Roman" w:cs="Times New Roman"/>
          <w:color w:val="000000"/>
          <w:sz w:val="24"/>
          <w:szCs w:val="24"/>
          <w:shd w:val="clear" w:color="auto" w:fill="FFFFFF"/>
        </w:rPr>
        <w:t>organisation</w:t>
      </w:r>
      <w:proofErr w:type="gramEnd"/>
      <w:r w:rsidRPr="005A0D68">
        <w:rPr>
          <w:rFonts w:ascii="Times New Roman" w:hAnsi="Times New Roman" w:cs="Times New Roman"/>
          <w:color w:val="000000"/>
          <w:sz w:val="24"/>
          <w:szCs w:val="24"/>
          <w:shd w:val="clear" w:color="auto" w:fill="FFFFFF"/>
        </w:rPr>
        <w:t>] should operate, or how it has in fact operated”.</w:t>
      </w:r>
      <w:r w:rsidRPr="005A0D68">
        <w:rPr>
          <w:rStyle w:val="FootnoteReference"/>
          <w:rFonts w:ascii="Times New Roman" w:hAnsi="Times New Roman" w:cs="Times New Roman"/>
          <w:color w:val="000000"/>
          <w:sz w:val="24"/>
          <w:szCs w:val="24"/>
          <w:shd w:val="clear" w:color="auto" w:fill="FFFFFF"/>
        </w:rPr>
        <w:footnoteReference w:id="66"/>
      </w:r>
      <w:r w:rsidRPr="005A0D68">
        <w:rPr>
          <w:rFonts w:ascii="Times New Roman" w:hAnsi="Times New Roman" w:cs="Times New Roman"/>
          <w:sz w:val="24"/>
          <w:szCs w:val="24"/>
        </w:rPr>
        <w:tab/>
      </w:r>
    </w:p>
    <w:p w:rsidR="00132760" w:rsidRPr="005A0D68" w:rsidRDefault="00EB65A3" w:rsidP="00132760">
      <w:pPr>
        <w:spacing w:after="0" w:line="480" w:lineRule="auto"/>
        <w:ind w:firstLine="720"/>
        <w:jc w:val="both"/>
        <w:rPr>
          <w:rFonts w:ascii="Times New Roman" w:hAnsi="Times New Roman" w:cs="Times New Roman"/>
          <w:sz w:val="24"/>
          <w:szCs w:val="24"/>
        </w:rPr>
      </w:pPr>
      <w:r w:rsidRPr="005A0D68">
        <w:rPr>
          <w:rFonts w:ascii="Times New Roman" w:hAnsi="Times New Roman" w:cs="Times New Roman"/>
          <w:sz w:val="24"/>
          <w:szCs w:val="24"/>
        </w:rPr>
        <w:t>Nevertheless, i</w:t>
      </w:r>
      <w:r w:rsidR="00132760" w:rsidRPr="005A0D68">
        <w:rPr>
          <w:rFonts w:ascii="Times New Roman" w:hAnsi="Times New Roman" w:cs="Times New Roman"/>
          <w:sz w:val="24"/>
          <w:szCs w:val="24"/>
        </w:rPr>
        <w:t xml:space="preserve">n </w:t>
      </w:r>
      <w:r w:rsidR="00132760" w:rsidRPr="005A0D68">
        <w:rPr>
          <w:rFonts w:ascii="Times New Roman" w:hAnsi="Times New Roman" w:cs="Times New Roman"/>
          <w:i/>
          <w:sz w:val="24"/>
          <w:szCs w:val="24"/>
        </w:rPr>
        <w:t>Helena Partnerships Limited v Revenue and Customs Commissioners</w:t>
      </w:r>
      <w:r w:rsidRPr="005A0D68">
        <w:rPr>
          <w:rFonts w:ascii="Times New Roman" w:hAnsi="Times New Roman" w:cs="Times New Roman"/>
          <w:sz w:val="24"/>
          <w:szCs w:val="24"/>
        </w:rPr>
        <w:t xml:space="preserve"> </w:t>
      </w:r>
      <w:r w:rsidR="00132760" w:rsidRPr="005A0D68">
        <w:rPr>
          <w:rFonts w:ascii="Times New Roman" w:hAnsi="Times New Roman" w:cs="Times New Roman"/>
          <w:sz w:val="24"/>
          <w:szCs w:val="24"/>
        </w:rPr>
        <w:t>the Upper Tribunal acknowledged that the court may examine activities, “</w:t>
      </w:r>
      <w:r w:rsidR="00132760" w:rsidRPr="005A0D68">
        <w:rPr>
          <w:rFonts w:ascii="Times New Roman" w:hAnsi="Times New Roman" w:cs="Times New Roman"/>
          <w:color w:val="000000"/>
          <w:sz w:val="24"/>
          <w:szCs w:val="24"/>
          <w:shd w:val="clear" w:color="auto" w:fill="FFFFFF"/>
        </w:rPr>
        <w:t>where there is a doubt or ambiguity about whether the objects of an institution are charitable”.</w:t>
      </w:r>
      <w:r w:rsidR="00132760" w:rsidRPr="005A0D68">
        <w:rPr>
          <w:rStyle w:val="FootnoteReference"/>
          <w:rFonts w:ascii="Times New Roman" w:hAnsi="Times New Roman" w:cs="Times New Roman"/>
          <w:sz w:val="24"/>
          <w:szCs w:val="24"/>
        </w:rPr>
        <w:footnoteReference w:id="67"/>
      </w:r>
      <w:r w:rsidR="00132760" w:rsidRPr="005A0D68">
        <w:rPr>
          <w:rFonts w:ascii="Times New Roman" w:hAnsi="Times New Roman" w:cs="Times New Roman"/>
          <w:color w:val="000000"/>
          <w:sz w:val="24"/>
          <w:szCs w:val="24"/>
          <w:shd w:val="clear" w:color="auto" w:fill="FFFFFF"/>
        </w:rPr>
        <w:t xml:space="preserve"> This qualification to the general rule appears to distinguish between the </w:t>
      </w:r>
      <w:proofErr w:type="gramStart"/>
      <w:r w:rsidR="00132760" w:rsidRPr="005A0D68">
        <w:rPr>
          <w:rFonts w:ascii="Times New Roman" w:hAnsi="Times New Roman" w:cs="Times New Roman"/>
          <w:color w:val="000000"/>
          <w:sz w:val="24"/>
          <w:szCs w:val="24"/>
          <w:shd w:val="clear" w:color="auto" w:fill="FFFFFF"/>
        </w:rPr>
        <w:t>process</w:t>
      </w:r>
      <w:proofErr w:type="gramEnd"/>
      <w:r w:rsidR="00132760" w:rsidRPr="005A0D68">
        <w:rPr>
          <w:rFonts w:ascii="Times New Roman" w:hAnsi="Times New Roman" w:cs="Times New Roman"/>
          <w:color w:val="000000"/>
          <w:sz w:val="24"/>
          <w:szCs w:val="24"/>
          <w:shd w:val="clear" w:color="auto" w:fill="FFFFFF"/>
        </w:rPr>
        <w:t xml:space="preserve"> of working out what the particular purposes of an organisation are (i.e. what it is established to do) and the attendant matter of whether those purposes are charitable purposes. In </w:t>
      </w:r>
      <w:r w:rsidR="00132760" w:rsidRPr="005A0D68">
        <w:rPr>
          <w:rFonts w:ascii="Times New Roman" w:hAnsi="Times New Roman" w:cs="Times New Roman"/>
          <w:i/>
          <w:color w:val="000000"/>
          <w:sz w:val="24"/>
          <w:szCs w:val="24"/>
          <w:shd w:val="clear" w:color="auto" w:fill="FFFFFF"/>
        </w:rPr>
        <w:t>Incorporated Council of Law Reporting for England and Wales v AG</w:t>
      </w:r>
      <w:r w:rsidR="00132760" w:rsidRPr="005A0D68">
        <w:rPr>
          <w:rFonts w:ascii="Times New Roman" w:hAnsi="Times New Roman" w:cs="Times New Roman"/>
          <w:color w:val="000000"/>
          <w:sz w:val="24"/>
          <w:szCs w:val="24"/>
          <w:shd w:val="clear" w:color="auto" w:fill="FFFFFF"/>
        </w:rPr>
        <w:t xml:space="preserve">, Buckley LJ </w:t>
      </w:r>
      <w:r w:rsidRPr="005A0D68">
        <w:rPr>
          <w:rFonts w:ascii="Times New Roman" w:hAnsi="Times New Roman" w:cs="Times New Roman"/>
          <w:color w:val="000000"/>
          <w:sz w:val="24"/>
          <w:szCs w:val="24"/>
          <w:shd w:val="clear" w:color="auto" w:fill="FFFFFF"/>
        </w:rPr>
        <w:t xml:space="preserve">offered </w:t>
      </w:r>
      <w:r w:rsidR="00132760" w:rsidRPr="005A0D68">
        <w:rPr>
          <w:rFonts w:ascii="Times New Roman" w:hAnsi="Times New Roman" w:cs="Times New Roman"/>
          <w:color w:val="000000"/>
          <w:sz w:val="24"/>
          <w:szCs w:val="24"/>
          <w:shd w:val="clear" w:color="auto" w:fill="FFFFFF"/>
        </w:rPr>
        <w:t xml:space="preserve">support </w:t>
      </w:r>
      <w:r w:rsidRPr="005A0D68">
        <w:rPr>
          <w:rFonts w:ascii="Times New Roman" w:hAnsi="Times New Roman" w:cs="Times New Roman"/>
          <w:color w:val="000000"/>
          <w:sz w:val="24"/>
          <w:szCs w:val="24"/>
          <w:shd w:val="clear" w:color="auto" w:fill="FFFFFF"/>
        </w:rPr>
        <w:t>for</w:t>
      </w:r>
      <w:r w:rsidR="00132760" w:rsidRPr="005A0D68">
        <w:rPr>
          <w:rFonts w:ascii="Times New Roman" w:hAnsi="Times New Roman" w:cs="Times New Roman"/>
          <w:color w:val="000000"/>
          <w:sz w:val="24"/>
          <w:szCs w:val="24"/>
          <w:shd w:val="clear" w:color="auto" w:fill="FFFFFF"/>
        </w:rPr>
        <w:t xml:space="preserve"> that distinction. He admit</w:t>
      </w:r>
      <w:r w:rsidRPr="005A0D68">
        <w:rPr>
          <w:rFonts w:ascii="Times New Roman" w:hAnsi="Times New Roman" w:cs="Times New Roman"/>
          <w:color w:val="000000"/>
          <w:sz w:val="24"/>
          <w:szCs w:val="24"/>
          <w:shd w:val="clear" w:color="auto" w:fill="FFFFFF"/>
        </w:rPr>
        <w:t>ted</w:t>
      </w:r>
      <w:r w:rsidR="00132760" w:rsidRPr="005A0D68">
        <w:rPr>
          <w:rFonts w:ascii="Times New Roman" w:hAnsi="Times New Roman" w:cs="Times New Roman"/>
          <w:color w:val="000000"/>
          <w:sz w:val="24"/>
          <w:szCs w:val="24"/>
          <w:shd w:val="clear" w:color="auto" w:fill="FFFFFF"/>
        </w:rPr>
        <w:t xml:space="preserve"> that, “in order to determine whether an object, the scope of which has been ascertained by due processes of construction, is a charitable purpose it may be </w:t>
      </w:r>
      <w:r w:rsidR="00132760" w:rsidRPr="005A0D68">
        <w:rPr>
          <w:rFonts w:ascii="Times New Roman" w:hAnsi="Times New Roman" w:cs="Times New Roman"/>
          <w:color w:val="000000"/>
          <w:sz w:val="24"/>
          <w:szCs w:val="24"/>
          <w:shd w:val="clear" w:color="auto" w:fill="FFFFFF"/>
        </w:rPr>
        <w:lastRenderedPageBreak/>
        <w:t>necessary to have regard to evidence to discover the consequences of pursuing that object”.</w:t>
      </w:r>
      <w:r w:rsidR="00132760" w:rsidRPr="005A0D68">
        <w:rPr>
          <w:rStyle w:val="FootnoteReference"/>
          <w:rFonts w:ascii="Times New Roman" w:hAnsi="Times New Roman" w:cs="Times New Roman"/>
          <w:color w:val="000000"/>
          <w:sz w:val="24"/>
          <w:szCs w:val="24"/>
          <w:shd w:val="clear" w:color="auto" w:fill="FFFFFF"/>
        </w:rPr>
        <w:footnoteReference w:id="68"/>
      </w:r>
      <w:r w:rsidR="00132760" w:rsidRPr="005A0D68">
        <w:rPr>
          <w:rFonts w:ascii="Times New Roman" w:hAnsi="Times New Roman" w:cs="Times New Roman"/>
          <w:color w:val="000000"/>
          <w:sz w:val="24"/>
          <w:szCs w:val="24"/>
          <w:shd w:val="clear" w:color="auto" w:fill="FFFFFF"/>
        </w:rPr>
        <w:t xml:space="preserve"> There the purpose was identified as being the preparation and publication of law reports and the court felt it necessary to consider extrinsic evidence as to whether the performance of its objects achieved an exclusively charitable purpose.</w:t>
      </w:r>
      <w:r w:rsidR="00132760" w:rsidRPr="005A0D68">
        <w:rPr>
          <w:rFonts w:ascii="Times New Roman" w:hAnsi="Times New Roman" w:cs="Times New Roman"/>
          <w:sz w:val="24"/>
          <w:szCs w:val="24"/>
        </w:rPr>
        <w:t xml:space="preserve"> </w:t>
      </w:r>
    </w:p>
    <w:p w:rsidR="0081757A"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r>
    </w:p>
    <w:p w:rsidR="0081757A" w:rsidRPr="0081757A" w:rsidRDefault="0081757A" w:rsidP="00132760">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Purpose</w:t>
      </w:r>
      <w:r w:rsidR="00373EF0">
        <w:rPr>
          <w:rFonts w:ascii="Times New Roman" w:hAnsi="Times New Roman" w:cs="Times New Roman"/>
          <w:b/>
          <w:sz w:val="24"/>
          <w:szCs w:val="24"/>
        </w:rPr>
        <w:t>s</w:t>
      </w:r>
      <w:r>
        <w:rPr>
          <w:rFonts w:ascii="Times New Roman" w:hAnsi="Times New Roman" w:cs="Times New Roman"/>
          <w:b/>
          <w:sz w:val="24"/>
          <w:szCs w:val="24"/>
        </w:rPr>
        <w:t xml:space="preserve"> or Activi</w:t>
      </w:r>
      <w:r w:rsidR="00373EF0">
        <w:rPr>
          <w:rFonts w:ascii="Times New Roman" w:hAnsi="Times New Roman" w:cs="Times New Roman"/>
          <w:b/>
          <w:sz w:val="24"/>
          <w:szCs w:val="24"/>
        </w:rPr>
        <w:t>ties?</w:t>
      </w:r>
      <w:proofErr w:type="gramEnd"/>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Although the Commission purports to follow the courts in applying a purposes test, it readily employs an analysis of activities and proposed activities to gain a proper understanding of the body’s true purpose. This enquiry is separate to the determination of whether those purposes will furnish a public benefit</w:t>
      </w:r>
      <w:r w:rsidRPr="005A0D68">
        <w:rPr>
          <w:rStyle w:val="FootnoteReference"/>
          <w:rFonts w:ascii="Times New Roman" w:hAnsi="Times New Roman" w:cs="Times New Roman"/>
          <w:sz w:val="24"/>
          <w:szCs w:val="24"/>
        </w:rPr>
        <w:footnoteReference w:id="69"/>
      </w:r>
      <w:r w:rsidRPr="005A0D68">
        <w:rPr>
          <w:rFonts w:ascii="Times New Roman" w:hAnsi="Times New Roman" w:cs="Times New Roman"/>
          <w:sz w:val="24"/>
          <w:szCs w:val="24"/>
        </w:rPr>
        <w:t xml:space="preserve"> and it involves an additional, unjustified measure of scrutiny for prospective charities. For Luxton, this </w:t>
      </w:r>
      <w:r w:rsidR="006642A7" w:rsidRPr="005A0D68">
        <w:rPr>
          <w:rFonts w:ascii="Times New Roman" w:hAnsi="Times New Roman" w:cs="Times New Roman"/>
          <w:sz w:val="24"/>
          <w:szCs w:val="24"/>
        </w:rPr>
        <w:t>approach is problematic becau</w:t>
      </w:r>
      <w:r w:rsidRPr="005A0D68">
        <w:rPr>
          <w:rFonts w:ascii="Times New Roman" w:hAnsi="Times New Roman" w:cs="Times New Roman"/>
          <w:sz w:val="24"/>
          <w:szCs w:val="24"/>
        </w:rPr>
        <w:t>s</w:t>
      </w:r>
      <w:r w:rsidR="006642A7" w:rsidRPr="005A0D68">
        <w:rPr>
          <w:rFonts w:ascii="Times New Roman" w:hAnsi="Times New Roman" w:cs="Times New Roman"/>
          <w:sz w:val="24"/>
          <w:szCs w:val="24"/>
        </w:rPr>
        <w:t>e</w:t>
      </w:r>
      <w:r w:rsidRPr="005A0D68">
        <w:rPr>
          <w:rFonts w:ascii="Times New Roman" w:hAnsi="Times New Roman" w:cs="Times New Roman"/>
          <w:sz w:val="24"/>
          <w:szCs w:val="24"/>
        </w:rPr>
        <w:t xml:space="preserve"> it ignores, “a vital difference between a legitimate regard to activities in order to determine whether they are consistent with the body’s charitable purposes and an improper attempt to require charities to show public benefit in their activities”.</w:t>
      </w:r>
      <w:r w:rsidRPr="005A0D68">
        <w:rPr>
          <w:rStyle w:val="FootnoteReference"/>
          <w:rFonts w:ascii="Times New Roman" w:hAnsi="Times New Roman" w:cs="Times New Roman"/>
          <w:sz w:val="24"/>
          <w:szCs w:val="24"/>
        </w:rPr>
        <w:footnoteReference w:id="70"/>
      </w:r>
      <w:r w:rsidRPr="005A0D68">
        <w:rPr>
          <w:rFonts w:ascii="Times New Roman" w:hAnsi="Times New Roman" w:cs="Times New Roman"/>
          <w:sz w:val="24"/>
          <w:szCs w:val="24"/>
        </w:rPr>
        <w:t xml:space="preserve"> Nevertheless, the Commission continues to undertake this analysis and does so readily when the purposes of an organisation appear to it to be unclear or ambiguous. Indeed, where the purposes of organisations fall within the new descriptions, this is </w:t>
      </w:r>
      <w:r w:rsidR="00EB65A3" w:rsidRPr="005A0D68">
        <w:rPr>
          <w:rFonts w:ascii="Times New Roman" w:hAnsi="Times New Roman" w:cs="Times New Roman"/>
          <w:sz w:val="24"/>
          <w:szCs w:val="24"/>
        </w:rPr>
        <w:t>the</w:t>
      </w:r>
      <w:r w:rsidRPr="005A0D68">
        <w:rPr>
          <w:rFonts w:ascii="Times New Roman" w:hAnsi="Times New Roman" w:cs="Times New Roman"/>
          <w:sz w:val="24"/>
          <w:szCs w:val="24"/>
        </w:rPr>
        <w:t xml:space="preserve"> </w:t>
      </w:r>
      <w:r w:rsidR="003A54B6" w:rsidRPr="005A0D68">
        <w:rPr>
          <w:rFonts w:ascii="Times New Roman" w:hAnsi="Times New Roman" w:cs="Times New Roman"/>
          <w:i/>
          <w:sz w:val="24"/>
          <w:szCs w:val="24"/>
        </w:rPr>
        <w:t>prima facie</w:t>
      </w:r>
      <w:r w:rsidRPr="005A0D68">
        <w:rPr>
          <w:rFonts w:ascii="Times New Roman" w:hAnsi="Times New Roman" w:cs="Times New Roman"/>
          <w:sz w:val="24"/>
          <w:szCs w:val="24"/>
        </w:rPr>
        <w:t xml:space="preserve"> starting point. In </w:t>
      </w:r>
      <w:r w:rsidRPr="005A0D68">
        <w:rPr>
          <w:rFonts w:ascii="Times New Roman" w:hAnsi="Times New Roman" w:cs="Times New Roman"/>
          <w:i/>
          <w:sz w:val="24"/>
          <w:szCs w:val="24"/>
        </w:rPr>
        <w:t>HDT</w:t>
      </w:r>
      <w:r w:rsidRPr="005A0D68">
        <w:rPr>
          <w:rFonts w:ascii="Times New Roman" w:hAnsi="Times New Roman" w:cs="Times New Roman"/>
          <w:sz w:val="24"/>
          <w:szCs w:val="24"/>
        </w:rPr>
        <w:t xml:space="preserve">, for example, the primary concern was the political element to the purposes, but the Commission was explicit that where an institution purports to advance human rights, it would, “generally be necessary to consider extrinsic evidence (including evidence about the nature of its activities or proposed activities) because, firstly, there is as yet no ‘particular meaning’ in charity law of the term ‘human rights’ and secondly, the promotion of human rights is a broad concept which could include </w:t>
      </w:r>
      <w:r w:rsidRPr="005A0D68">
        <w:rPr>
          <w:rFonts w:ascii="Times New Roman" w:hAnsi="Times New Roman" w:cs="Times New Roman"/>
          <w:sz w:val="24"/>
          <w:szCs w:val="24"/>
        </w:rPr>
        <w:lastRenderedPageBreak/>
        <w:t>non-charitable activities”.</w:t>
      </w:r>
      <w:r w:rsidRPr="005A0D68">
        <w:rPr>
          <w:rStyle w:val="FootnoteReference"/>
          <w:rFonts w:ascii="Times New Roman" w:hAnsi="Times New Roman" w:cs="Times New Roman"/>
          <w:sz w:val="24"/>
          <w:szCs w:val="24"/>
        </w:rPr>
        <w:footnoteReference w:id="71"/>
      </w:r>
      <w:r w:rsidRPr="005A0D68">
        <w:rPr>
          <w:rFonts w:ascii="Times New Roman" w:hAnsi="Times New Roman" w:cs="Times New Roman"/>
          <w:sz w:val="24"/>
          <w:szCs w:val="24"/>
        </w:rPr>
        <w:t xml:space="preserve"> Tellingly, the First-tier Tribunal did not share</w:t>
      </w:r>
      <w:r w:rsidR="006642A7" w:rsidRPr="005A0D68">
        <w:rPr>
          <w:rFonts w:ascii="Times New Roman" w:hAnsi="Times New Roman" w:cs="Times New Roman"/>
          <w:sz w:val="24"/>
          <w:szCs w:val="24"/>
        </w:rPr>
        <w:t xml:space="preserve"> that hypothesis</w:t>
      </w:r>
      <w:r w:rsidRPr="005A0D68">
        <w:rPr>
          <w:rFonts w:ascii="Times New Roman" w:hAnsi="Times New Roman" w:cs="Times New Roman"/>
          <w:sz w:val="24"/>
          <w:szCs w:val="24"/>
        </w:rPr>
        <w:t>,</w:t>
      </w:r>
      <w:r w:rsidR="006642A7" w:rsidRPr="005A0D68">
        <w:rPr>
          <w:rFonts w:ascii="Times New Roman" w:hAnsi="Times New Roman" w:cs="Times New Roman"/>
          <w:sz w:val="24"/>
          <w:szCs w:val="24"/>
        </w:rPr>
        <w:t xml:space="preserve"> fin</w:t>
      </w:r>
      <w:r w:rsidRPr="005A0D68">
        <w:rPr>
          <w:rFonts w:ascii="Times New Roman" w:hAnsi="Times New Roman" w:cs="Times New Roman"/>
          <w:sz w:val="24"/>
          <w:szCs w:val="24"/>
        </w:rPr>
        <w:t>ding that HDT’s purposes were clear without recourse to extrinsic evidence. The Commission, by contrast, was entangled in an analysis of activities that led it to conclude that a parallel purpose lurked beneath and that HDT was not established for exclusively charitable purposes.</w:t>
      </w:r>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 xml:space="preserve">In </w:t>
      </w:r>
      <w:proofErr w:type="spellStart"/>
      <w:r w:rsidRPr="005A0D68">
        <w:rPr>
          <w:rFonts w:ascii="Times New Roman" w:hAnsi="Times New Roman" w:cs="Times New Roman"/>
          <w:i/>
          <w:sz w:val="24"/>
          <w:szCs w:val="24"/>
        </w:rPr>
        <w:t>Vernor</w:t>
      </w:r>
      <w:proofErr w:type="spellEnd"/>
      <w:r w:rsidRPr="005A0D68">
        <w:rPr>
          <w:rFonts w:ascii="Times New Roman" w:hAnsi="Times New Roman" w:cs="Times New Roman"/>
          <w:i/>
          <w:sz w:val="24"/>
          <w:szCs w:val="24"/>
        </w:rPr>
        <w:t>-Miles v Charity Commission for England and Wales</w:t>
      </w:r>
      <w:r w:rsidRPr="005A0D68">
        <w:rPr>
          <w:rFonts w:ascii="Times New Roman" w:hAnsi="Times New Roman" w:cs="Times New Roman"/>
          <w:sz w:val="24"/>
          <w:szCs w:val="24"/>
        </w:rPr>
        <w:t>, moreover, the stated purpose of the Independent Press Regulation Trust (IPRT), was to ‘promote for the public benefit high standards of ethical conduct and best practice in journalism ...’.</w:t>
      </w:r>
      <w:r w:rsidRPr="005A0D68">
        <w:rPr>
          <w:rStyle w:val="FootnoteReference"/>
          <w:rFonts w:ascii="Times New Roman" w:hAnsi="Times New Roman" w:cs="Times New Roman"/>
          <w:sz w:val="24"/>
          <w:szCs w:val="24"/>
        </w:rPr>
        <w:footnoteReference w:id="72"/>
      </w:r>
      <w:r w:rsidRPr="005A0D68">
        <w:rPr>
          <w:rFonts w:ascii="Times New Roman" w:hAnsi="Times New Roman" w:cs="Times New Roman"/>
          <w:sz w:val="24"/>
          <w:szCs w:val="24"/>
        </w:rPr>
        <w:t xml:space="preserve"> A separate sub-clause contained a power to expand the objects clause, which included the provision of financial assistance towards the establishment and support of an independent press regulator. The Commission was quick to identify those purposes as ambiguous and focused instead upon the, “express means by which the purpose is to be furthered.” As a Leveson compliant press regulator was yet to be established, the Commission felt that the purposes of IPRT were too vague and uncertain to conclude that they were exclusively charitable. In its view, IPRT was promoting a concept that had yet to be established as beneficial for the purposes of charity law and it was unprepared to reason by analogy</w:t>
      </w:r>
      <w:r w:rsidR="006642A7" w:rsidRPr="005A0D68">
        <w:rPr>
          <w:rFonts w:ascii="Times New Roman" w:hAnsi="Times New Roman" w:cs="Times New Roman"/>
          <w:sz w:val="24"/>
          <w:szCs w:val="24"/>
        </w:rPr>
        <w:t xml:space="preserve"> in its favour</w:t>
      </w:r>
      <w:r w:rsidRPr="005A0D68">
        <w:rPr>
          <w:rFonts w:ascii="Times New Roman" w:hAnsi="Times New Roman" w:cs="Times New Roman"/>
          <w:sz w:val="24"/>
          <w:szCs w:val="24"/>
        </w:rPr>
        <w:t>.  Once again, the First-tier Tribunal did not agree that the purposes were unclear or ambiguous. It did not share the view of the Commission that a collateral purpose could be discerned and concluded that the particular purpose of IPRT was to be found in its objects clause alone.</w:t>
      </w:r>
      <w:r w:rsidRPr="005A0D68">
        <w:rPr>
          <w:rStyle w:val="FootnoteReference"/>
          <w:rFonts w:ascii="Times New Roman" w:hAnsi="Times New Roman" w:cs="Times New Roman"/>
          <w:sz w:val="24"/>
          <w:szCs w:val="24"/>
        </w:rPr>
        <w:footnoteReference w:id="73"/>
      </w:r>
      <w:r w:rsidRPr="005A0D68">
        <w:rPr>
          <w:rFonts w:ascii="Times New Roman" w:hAnsi="Times New Roman" w:cs="Times New Roman"/>
          <w:sz w:val="24"/>
          <w:szCs w:val="24"/>
        </w:rPr>
        <w:t xml:space="preserve"> It could find no evidence that a, “non-ancillary private benefit would accrue to those in the media industry” and highlighted the, “unchallenged evidence” that any private benefit would be incidental.</w:t>
      </w:r>
      <w:r w:rsidRPr="005A0D68">
        <w:rPr>
          <w:rStyle w:val="FootnoteReference"/>
          <w:rFonts w:ascii="Times New Roman" w:hAnsi="Times New Roman" w:cs="Times New Roman"/>
          <w:sz w:val="24"/>
          <w:szCs w:val="24"/>
        </w:rPr>
        <w:footnoteReference w:id="74"/>
      </w:r>
      <w:r w:rsidRPr="005A0D68">
        <w:rPr>
          <w:rFonts w:ascii="Times New Roman" w:hAnsi="Times New Roman" w:cs="Times New Roman"/>
          <w:sz w:val="24"/>
          <w:szCs w:val="24"/>
        </w:rPr>
        <w:t xml:space="preserve"> It was wrong in principle to require the appellants to prove a negative, which was the insurmountable burden the Commission had imposed on IPRT.</w:t>
      </w:r>
    </w:p>
    <w:p w:rsidR="00132760" w:rsidRPr="005A0D68" w:rsidRDefault="00132760" w:rsidP="00132760">
      <w:pPr>
        <w:spacing w:after="0" w:line="480" w:lineRule="auto"/>
        <w:jc w:val="both"/>
        <w:rPr>
          <w:rFonts w:ascii="Times New Roman" w:hAnsi="Times New Roman" w:cs="Times New Roman"/>
          <w:sz w:val="24"/>
          <w:szCs w:val="24"/>
        </w:rPr>
      </w:pPr>
    </w:p>
    <w:p w:rsidR="00132760" w:rsidRPr="005A0D68" w:rsidRDefault="00132760" w:rsidP="00132760">
      <w:pPr>
        <w:spacing w:after="0" w:line="480" w:lineRule="auto"/>
        <w:jc w:val="both"/>
        <w:rPr>
          <w:rFonts w:ascii="Times New Roman" w:hAnsi="Times New Roman" w:cs="Times New Roman"/>
          <w:b/>
          <w:sz w:val="24"/>
          <w:szCs w:val="24"/>
        </w:rPr>
      </w:pPr>
      <w:r w:rsidRPr="005A0D68">
        <w:rPr>
          <w:rFonts w:ascii="Times New Roman" w:hAnsi="Times New Roman" w:cs="Times New Roman"/>
          <w:b/>
          <w:sz w:val="24"/>
          <w:szCs w:val="24"/>
        </w:rPr>
        <w:t>Ancillary Purposes</w:t>
      </w:r>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 xml:space="preserve">Analysis of the registration decisions reveals a divergence of approach to the key matters of determining an institution’s objects and distinguishing purposes from the means of their pursuit. Indeed, the Commission might </w:t>
      </w:r>
      <w:r w:rsidR="00673F16" w:rsidRPr="005A0D68">
        <w:rPr>
          <w:rFonts w:ascii="Times New Roman" w:hAnsi="Times New Roman" w:cs="Times New Roman"/>
          <w:sz w:val="24"/>
          <w:szCs w:val="24"/>
        </w:rPr>
        <w:t xml:space="preserve">seem </w:t>
      </w:r>
      <w:r w:rsidRPr="005A0D68">
        <w:rPr>
          <w:rFonts w:ascii="Times New Roman" w:hAnsi="Times New Roman" w:cs="Times New Roman"/>
          <w:sz w:val="24"/>
          <w:szCs w:val="24"/>
        </w:rPr>
        <w:t>somewhat over-zealous in its efforts to unearth collateral purposes that it suspects might be masked or hidden by the applicant. Judicial support for this robust type of investigative inquiry is, nonetheless, discernible, particular</w:t>
      </w:r>
      <w:r w:rsidR="00673F16" w:rsidRPr="005A0D68">
        <w:rPr>
          <w:rFonts w:ascii="Times New Roman" w:hAnsi="Times New Roman" w:cs="Times New Roman"/>
          <w:sz w:val="24"/>
          <w:szCs w:val="24"/>
        </w:rPr>
        <w:t>ly</w:t>
      </w:r>
      <w:r w:rsidRPr="005A0D68">
        <w:rPr>
          <w:rFonts w:ascii="Times New Roman" w:hAnsi="Times New Roman" w:cs="Times New Roman"/>
          <w:sz w:val="24"/>
          <w:szCs w:val="24"/>
        </w:rPr>
        <w:t xml:space="preserve"> where political purposes are concerned. For example, </w:t>
      </w:r>
      <w:r w:rsidRPr="005A0D68">
        <w:rPr>
          <w:rFonts w:ascii="Times New Roman" w:hAnsi="Times New Roman" w:cs="Times New Roman"/>
          <w:i/>
          <w:sz w:val="24"/>
          <w:szCs w:val="24"/>
        </w:rPr>
        <w:t>Southwood v AG</w:t>
      </w:r>
      <w:r w:rsidRPr="005A0D68">
        <w:rPr>
          <w:rStyle w:val="FootnoteReference"/>
          <w:rFonts w:ascii="Times New Roman" w:hAnsi="Times New Roman" w:cs="Times New Roman"/>
          <w:sz w:val="24"/>
          <w:szCs w:val="24"/>
        </w:rPr>
        <w:footnoteReference w:id="75"/>
      </w:r>
      <w:r w:rsidRPr="005A0D68">
        <w:rPr>
          <w:rFonts w:ascii="Times New Roman" w:hAnsi="Times New Roman" w:cs="Times New Roman"/>
          <w:i/>
          <w:sz w:val="24"/>
          <w:szCs w:val="24"/>
        </w:rPr>
        <w:t xml:space="preserve"> </w:t>
      </w:r>
      <w:r w:rsidRPr="005A0D68">
        <w:rPr>
          <w:rFonts w:ascii="Times New Roman" w:hAnsi="Times New Roman" w:cs="Times New Roman"/>
          <w:sz w:val="24"/>
          <w:szCs w:val="24"/>
        </w:rPr>
        <w:t>advocated the use of extrinsic evidence to determine the ‘true’ (i.e. non-charitable) purposes of an institution and is frequently cited as authority for that proposition.</w:t>
      </w:r>
      <w:r w:rsidRPr="005A0D68">
        <w:rPr>
          <w:rStyle w:val="FootnoteReference"/>
          <w:rFonts w:ascii="Times New Roman" w:hAnsi="Times New Roman" w:cs="Times New Roman"/>
          <w:sz w:val="24"/>
          <w:szCs w:val="24"/>
        </w:rPr>
        <w:footnoteReference w:id="76"/>
      </w:r>
      <w:r w:rsidRPr="005A0D68">
        <w:rPr>
          <w:rFonts w:ascii="Times New Roman" w:hAnsi="Times New Roman" w:cs="Times New Roman"/>
          <w:sz w:val="24"/>
          <w:szCs w:val="24"/>
        </w:rPr>
        <w:t xml:space="preserve"> The briefing papers and project proposals available led the court to conclude that the trust was of an overtly political character and not exclusively charitable for the advancement of education. This has not been universally accepted as being the correct approach. Garton complains that, “The trust’s purpose was reinterpreted ... the correct approach should have been to declare the trust valid as being conceptually for the public benefit, although the activities carried on pursuant to it may well have been in breach of trust”.</w:t>
      </w:r>
      <w:r w:rsidRPr="005A0D68">
        <w:rPr>
          <w:rStyle w:val="FootnoteReference"/>
          <w:rFonts w:ascii="Times New Roman" w:hAnsi="Times New Roman" w:cs="Times New Roman"/>
          <w:sz w:val="24"/>
          <w:szCs w:val="24"/>
        </w:rPr>
        <w:footnoteReference w:id="77"/>
      </w:r>
      <w:r w:rsidRPr="005A0D68">
        <w:rPr>
          <w:rFonts w:ascii="Times New Roman" w:hAnsi="Times New Roman" w:cs="Times New Roman"/>
          <w:sz w:val="24"/>
          <w:szCs w:val="24"/>
        </w:rPr>
        <w:t xml:space="preserve"> Nevertheless, it is undeniable that the perceived ambiguity in the stated objects strongly encouraged </w:t>
      </w:r>
      <w:r w:rsidR="007D0711" w:rsidRPr="005A0D68">
        <w:rPr>
          <w:rFonts w:ascii="Times New Roman" w:hAnsi="Times New Roman" w:cs="Times New Roman"/>
          <w:sz w:val="24"/>
          <w:szCs w:val="24"/>
        </w:rPr>
        <w:t xml:space="preserve">the use of </w:t>
      </w:r>
      <w:r w:rsidRPr="005A0D68">
        <w:rPr>
          <w:rFonts w:ascii="Times New Roman" w:hAnsi="Times New Roman" w:cs="Times New Roman"/>
          <w:sz w:val="24"/>
          <w:szCs w:val="24"/>
        </w:rPr>
        <w:t xml:space="preserve">extrinsic evidence as an aid to interpretation. </w:t>
      </w:r>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 xml:space="preserve">Whatever the merits of </w:t>
      </w:r>
      <w:r w:rsidR="007D0711" w:rsidRPr="005A0D68">
        <w:rPr>
          <w:rFonts w:ascii="Times New Roman" w:hAnsi="Times New Roman" w:cs="Times New Roman"/>
          <w:sz w:val="24"/>
          <w:szCs w:val="24"/>
        </w:rPr>
        <w:t xml:space="preserve">a </w:t>
      </w:r>
      <w:r w:rsidRPr="005A0D68">
        <w:rPr>
          <w:rFonts w:ascii="Times New Roman" w:hAnsi="Times New Roman" w:cs="Times New Roman"/>
          <w:sz w:val="24"/>
          <w:szCs w:val="24"/>
        </w:rPr>
        <w:t xml:space="preserve">robust enquiry, the Commission has proved itself willing to </w:t>
      </w:r>
      <w:r w:rsidR="006642A7" w:rsidRPr="005A0D68">
        <w:rPr>
          <w:rFonts w:ascii="Times New Roman" w:hAnsi="Times New Roman" w:cs="Times New Roman"/>
          <w:sz w:val="24"/>
          <w:szCs w:val="24"/>
        </w:rPr>
        <w:t>move beyond even these limits</w:t>
      </w:r>
      <w:r w:rsidRPr="005A0D68">
        <w:rPr>
          <w:rFonts w:ascii="Times New Roman" w:hAnsi="Times New Roman" w:cs="Times New Roman"/>
          <w:sz w:val="24"/>
          <w:szCs w:val="24"/>
        </w:rPr>
        <w:t xml:space="preserve"> and to seize upon the post-formation activities of a registered charity to make the case that it was not established for charitable purposes. Those problems </w:t>
      </w:r>
      <w:r w:rsidR="007D0711" w:rsidRPr="005A0D68">
        <w:rPr>
          <w:rFonts w:ascii="Times New Roman" w:hAnsi="Times New Roman" w:cs="Times New Roman"/>
          <w:sz w:val="24"/>
          <w:szCs w:val="24"/>
        </w:rPr>
        <w:t xml:space="preserve">were demonstrated </w:t>
      </w:r>
      <w:r w:rsidRPr="005A0D68">
        <w:rPr>
          <w:rFonts w:ascii="Times New Roman" w:hAnsi="Times New Roman" w:cs="Times New Roman"/>
          <w:sz w:val="24"/>
          <w:szCs w:val="24"/>
        </w:rPr>
        <w:t xml:space="preserve">in the litigation involving the Human Organ Preservation Research Trust </w:t>
      </w:r>
      <w:r w:rsidRPr="005A0D68">
        <w:rPr>
          <w:rFonts w:ascii="Times New Roman" w:hAnsi="Times New Roman" w:cs="Times New Roman"/>
          <w:sz w:val="24"/>
          <w:szCs w:val="24"/>
        </w:rPr>
        <w:lastRenderedPageBreak/>
        <w:t>(HOPRT)</w:t>
      </w:r>
      <w:r w:rsidR="007D0711" w:rsidRPr="005A0D68">
        <w:rPr>
          <w:rFonts w:ascii="Times New Roman" w:hAnsi="Times New Roman" w:cs="Times New Roman"/>
          <w:sz w:val="24"/>
          <w:szCs w:val="24"/>
        </w:rPr>
        <w:t>.</w:t>
      </w:r>
      <w:r w:rsidRPr="005A0D68">
        <w:rPr>
          <w:rStyle w:val="FootnoteReference"/>
          <w:rFonts w:ascii="Times New Roman" w:hAnsi="Times New Roman" w:cs="Times New Roman"/>
          <w:sz w:val="24"/>
          <w:szCs w:val="24"/>
        </w:rPr>
        <w:footnoteReference w:id="78"/>
      </w:r>
      <w:r w:rsidRPr="005A0D68">
        <w:rPr>
          <w:rFonts w:ascii="Times New Roman" w:hAnsi="Times New Roman" w:cs="Times New Roman"/>
          <w:sz w:val="24"/>
          <w:szCs w:val="24"/>
        </w:rPr>
        <w:t xml:space="preserve"> </w:t>
      </w:r>
      <w:r w:rsidR="007D0711" w:rsidRPr="005A0D68">
        <w:rPr>
          <w:rFonts w:ascii="Times New Roman" w:hAnsi="Times New Roman" w:cs="Times New Roman"/>
          <w:sz w:val="24"/>
          <w:szCs w:val="24"/>
        </w:rPr>
        <w:t>This decision</w:t>
      </w:r>
      <w:r w:rsidRPr="005A0D68">
        <w:rPr>
          <w:rFonts w:ascii="Times New Roman" w:hAnsi="Times New Roman" w:cs="Times New Roman"/>
          <w:sz w:val="24"/>
          <w:szCs w:val="24"/>
        </w:rPr>
        <w:t xml:space="preserve"> serves well </w:t>
      </w:r>
      <w:r w:rsidR="008961F7" w:rsidRPr="005A0D68">
        <w:rPr>
          <w:rFonts w:ascii="Times New Roman" w:hAnsi="Times New Roman" w:cs="Times New Roman"/>
          <w:sz w:val="24"/>
          <w:szCs w:val="24"/>
        </w:rPr>
        <w:t>to highlight some</w:t>
      </w:r>
      <w:r w:rsidR="006642A7" w:rsidRPr="005A0D68">
        <w:rPr>
          <w:rFonts w:ascii="Times New Roman" w:hAnsi="Times New Roman" w:cs="Times New Roman"/>
          <w:sz w:val="24"/>
          <w:szCs w:val="24"/>
        </w:rPr>
        <w:t xml:space="preserve"> </w:t>
      </w:r>
      <w:r w:rsidRPr="005A0D68">
        <w:rPr>
          <w:rFonts w:ascii="Times New Roman" w:hAnsi="Times New Roman" w:cs="Times New Roman"/>
          <w:sz w:val="24"/>
          <w:szCs w:val="24"/>
        </w:rPr>
        <w:t>wo</w:t>
      </w:r>
      <w:r w:rsidR="006642A7" w:rsidRPr="005A0D68">
        <w:rPr>
          <w:rFonts w:ascii="Times New Roman" w:hAnsi="Times New Roman" w:cs="Times New Roman"/>
          <w:sz w:val="24"/>
          <w:szCs w:val="24"/>
        </w:rPr>
        <w:t xml:space="preserve">rrying </w:t>
      </w:r>
      <w:r w:rsidRPr="005A0D68">
        <w:rPr>
          <w:rFonts w:ascii="Times New Roman" w:hAnsi="Times New Roman" w:cs="Times New Roman"/>
          <w:sz w:val="24"/>
          <w:szCs w:val="24"/>
        </w:rPr>
        <w:t>features of the Commission’s approach. HOPRT was established by deed of trust in 1990 and entered onto the Register in 1991. Its objects were overtly research orientated. Primarily, it was to ‘conduct promote develop and co-ordinate for the benefit of the public research’ with a view to enabling the preservation of human organs after death for transplant purposes and to undertake research ‘into the ageing process’. By 2017, the organisation was conducting research and training, providing information and advice, while catering also for the provision of cryopreservation services to members of the public and facilitating the transport of preserved bodies into storage. Following a period of heightened press attention,</w:t>
      </w:r>
      <w:r w:rsidRPr="005A0D68">
        <w:rPr>
          <w:rStyle w:val="FootnoteReference"/>
          <w:rFonts w:ascii="Times New Roman" w:hAnsi="Times New Roman" w:cs="Times New Roman"/>
          <w:sz w:val="24"/>
          <w:szCs w:val="24"/>
        </w:rPr>
        <w:footnoteReference w:id="79"/>
      </w:r>
      <w:r w:rsidRPr="005A0D68">
        <w:rPr>
          <w:rFonts w:ascii="Times New Roman" w:hAnsi="Times New Roman" w:cs="Times New Roman"/>
          <w:sz w:val="24"/>
          <w:szCs w:val="24"/>
        </w:rPr>
        <w:t xml:space="preserve"> and spurred by a complaint by a member of the </w:t>
      </w:r>
      <w:proofErr w:type="gramStart"/>
      <w:r w:rsidRPr="005A0D68">
        <w:rPr>
          <w:rFonts w:ascii="Times New Roman" w:hAnsi="Times New Roman" w:cs="Times New Roman"/>
          <w:sz w:val="24"/>
          <w:szCs w:val="24"/>
        </w:rPr>
        <w:t>public,</w:t>
      </w:r>
      <w:proofErr w:type="gramEnd"/>
      <w:r w:rsidRPr="005A0D68">
        <w:rPr>
          <w:rFonts w:ascii="Times New Roman" w:hAnsi="Times New Roman" w:cs="Times New Roman"/>
          <w:sz w:val="24"/>
          <w:szCs w:val="24"/>
        </w:rPr>
        <w:t xml:space="preserve"> the Commission solicited evidence of HOPRT’s post-formation activities and took the decision to remove it from the Register.</w:t>
      </w:r>
      <w:r w:rsidRPr="005A0D68">
        <w:rPr>
          <w:rStyle w:val="FootnoteReference"/>
          <w:rFonts w:ascii="Times New Roman" w:hAnsi="Times New Roman" w:cs="Times New Roman"/>
          <w:sz w:val="24"/>
          <w:szCs w:val="24"/>
        </w:rPr>
        <w:footnoteReference w:id="80"/>
      </w:r>
      <w:r w:rsidRPr="005A0D68">
        <w:rPr>
          <w:rFonts w:ascii="Times New Roman" w:hAnsi="Times New Roman" w:cs="Times New Roman"/>
          <w:sz w:val="24"/>
          <w:szCs w:val="24"/>
        </w:rPr>
        <w:t xml:space="preserve"> It did not reach its decision on the basis that HOPRT had ceased to operate as a charity. Instead, it felt that there was insufficient evidence to show that HOPRT had been established for exclusively charitable purposes. In the view of the Commission, its objects were and always had been the promotion and facilitation of cryopreservation, which did not fall within the purposes set out in its trust deed. Accordingly, its entry onto the Register had been a mistake requiring rectification.</w:t>
      </w:r>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On appeal, the First-tier Tribunal turned its attention to the purposes for which HOPRT was established, but could find no evidence of a sham, misunderstanding or miscommunication at the time of registration that might support the Commission’s case of registration by mistake. On the contrary, on the evidence available,</w:t>
      </w:r>
      <w:r w:rsidRPr="005A0D68">
        <w:rPr>
          <w:rStyle w:val="FootnoteReference"/>
          <w:rFonts w:ascii="Times New Roman" w:hAnsi="Times New Roman" w:cs="Times New Roman"/>
          <w:sz w:val="24"/>
          <w:szCs w:val="24"/>
        </w:rPr>
        <w:footnoteReference w:id="81"/>
      </w:r>
      <w:r w:rsidRPr="005A0D68">
        <w:rPr>
          <w:rFonts w:ascii="Times New Roman" w:hAnsi="Times New Roman" w:cs="Times New Roman"/>
          <w:sz w:val="24"/>
          <w:szCs w:val="24"/>
        </w:rPr>
        <w:t xml:space="preserve"> the Tribunal found it, “more likely than not that it was the Commission who suggested the final wording of the </w:t>
      </w:r>
      <w:r w:rsidRPr="005A0D68">
        <w:rPr>
          <w:rFonts w:ascii="Times New Roman" w:hAnsi="Times New Roman" w:cs="Times New Roman"/>
          <w:sz w:val="24"/>
          <w:szCs w:val="24"/>
        </w:rPr>
        <w:lastRenderedPageBreak/>
        <w:t>objects clause or, at the very least, provided input on the words used”.</w:t>
      </w:r>
      <w:r w:rsidRPr="005A0D68">
        <w:rPr>
          <w:rStyle w:val="FootnoteReference"/>
          <w:rFonts w:ascii="Times New Roman" w:hAnsi="Times New Roman" w:cs="Times New Roman"/>
          <w:sz w:val="24"/>
          <w:szCs w:val="24"/>
        </w:rPr>
        <w:footnoteReference w:id="82"/>
      </w:r>
      <w:r w:rsidRPr="005A0D68">
        <w:rPr>
          <w:rFonts w:ascii="Times New Roman" w:hAnsi="Times New Roman" w:cs="Times New Roman"/>
          <w:sz w:val="24"/>
          <w:szCs w:val="24"/>
        </w:rPr>
        <w:t xml:space="preserve"> Furthermore, on a plain reading of the objects clause the Tribunal found no ambiguity. The objects as drafted were, “by design, generous and permissive of a wide range of research activities, including those which were not then feasible but which might become so in the future”.</w:t>
      </w:r>
      <w:r w:rsidRPr="005A0D68">
        <w:rPr>
          <w:rStyle w:val="FootnoteReference"/>
          <w:rFonts w:ascii="Times New Roman" w:hAnsi="Times New Roman" w:cs="Times New Roman"/>
          <w:sz w:val="24"/>
          <w:szCs w:val="24"/>
        </w:rPr>
        <w:footnoteReference w:id="83"/>
      </w:r>
      <w:r w:rsidRPr="005A0D68">
        <w:rPr>
          <w:rFonts w:ascii="Times New Roman" w:hAnsi="Times New Roman" w:cs="Times New Roman"/>
          <w:sz w:val="24"/>
          <w:szCs w:val="24"/>
        </w:rPr>
        <w:t xml:space="preserve"> </w:t>
      </w:r>
    </w:p>
    <w:p w:rsidR="00132760" w:rsidRPr="005A0D68" w:rsidRDefault="00132760" w:rsidP="00132760">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Although it expressed concern that the trust deed had, “become stale and in need of updating”,</w:t>
      </w:r>
      <w:r w:rsidRPr="005A0D68">
        <w:rPr>
          <w:rStyle w:val="FootnoteReference"/>
          <w:rFonts w:ascii="Times New Roman" w:hAnsi="Times New Roman" w:cs="Times New Roman"/>
          <w:sz w:val="24"/>
          <w:szCs w:val="24"/>
        </w:rPr>
        <w:footnoteReference w:id="84"/>
      </w:r>
      <w:r w:rsidRPr="005A0D68">
        <w:rPr>
          <w:rFonts w:ascii="Times New Roman" w:hAnsi="Times New Roman" w:cs="Times New Roman"/>
          <w:sz w:val="24"/>
          <w:szCs w:val="24"/>
        </w:rPr>
        <w:t xml:space="preserve"> the Commission was reminded that the problem was a regulatory matter, unconnected with charitable status. Indeed, the focus of the appeal was not to, “conduct a review of all the possible ways in which a charity may satisfy the statutory test for registration”</w:t>
      </w:r>
      <w:r w:rsidR="006642A7" w:rsidRPr="005A0D68">
        <w:rPr>
          <w:rFonts w:ascii="Times New Roman" w:hAnsi="Times New Roman" w:cs="Times New Roman"/>
          <w:sz w:val="24"/>
          <w:szCs w:val="24"/>
        </w:rPr>
        <w:t>.</w:t>
      </w:r>
      <w:r w:rsidRPr="005A0D68">
        <w:rPr>
          <w:rStyle w:val="FootnoteReference"/>
          <w:rFonts w:ascii="Times New Roman" w:hAnsi="Times New Roman" w:cs="Times New Roman"/>
          <w:sz w:val="24"/>
          <w:szCs w:val="24"/>
        </w:rPr>
        <w:footnoteReference w:id="85"/>
      </w:r>
      <w:r w:rsidRPr="005A0D68">
        <w:rPr>
          <w:rFonts w:ascii="Times New Roman" w:hAnsi="Times New Roman" w:cs="Times New Roman"/>
          <w:sz w:val="24"/>
          <w:szCs w:val="24"/>
        </w:rPr>
        <w:t xml:space="preserve"> Instead, it was simply to determine what HOPRT was established to do</w:t>
      </w:r>
      <w:r w:rsidR="006642A7" w:rsidRPr="005A0D68">
        <w:rPr>
          <w:rFonts w:ascii="Times New Roman" w:hAnsi="Times New Roman" w:cs="Times New Roman"/>
          <w:sz w:val="24"/>
          <w:szCs w:val="24"/>
        </w:rPr>
        <w:t>. T</w:t>
      </w:r>
      <w:r w:rsidRPr="005A0D68">
        <w:rPr>
          <w:rFonts w:ascii="Times New Roman" w:hAnsi="Times New Roman" w:cs="Times New Roman"/>
          <w:sz w:val="24"/>
          <w:szCs w:val="24"/>
        </w:rPr>
        <w:t>he direction was that HOPRT be restored to the Register.</w:t>
      </w:r>
      <w:r w:rsidRPr="005A0D68">
        <w:rPr>
          <w:rStyle w:val="FootnoteReference"/>
          <w:rFonts w:ascii="Times New Roman" w:hAnsi="Times New Roman" w:cs="Times New Roman"/>
          <w:sz w:val="24"/>
          <w:szCs w:val="24"/>
        </w:rPr>
        <w:footnoteReference w:id="86"/>
      </w:r>
      <w:r w:rsidRPr="005A0D68">
        <w:rPr>
          <w:rFonts w:ascii="Times New Roman" w:hAnsi="Times New Roman" w:cs="Times New Roman"/>
          <w:sz w:val="24"/>
          <w:szCs w:val="24"/>
        </w:rPr>
        <w:t xml:space="preserve"> More broadly, </w:t>
      </w:r>
      <w:r w:rsidR="006642A7" w:rsidRPr="005A0D68">
        <w:rPr>
          <w:rFonts w:ascii="Times New Roman" w:hAnsi="Times New Roman" w:cs="Times New Roman"/>
          <w:sz w:val="24"/>
          <w:szCs w:val="24"/>
        </w:rPr>
        <w:t xml:space="preserve">however, </w:t>
      </w:r>
      <w:r w:rsidRPr="005A0D68">
        <w:rPr>
          <w:rFonts w:ascii="Times New Roman" w:hAnsi="Times New Roman" w:cs="Times New Roman"/>
          <w:sz w:val="24"/>
          <w:szCs w:val="24"/>
        </w:rPr>
        <w:t>the decision serves to expose the crippling uncertainties faced by organisations seeking to show that their purposes are clear and exclusively charitable from the objects clause in their governing instrument. The response of the Commission does not always help and its decision to act here was unpredictable, time-consuming and ultimately baseless.</w:t>
      </w:r>
    </w:p>
    <w:p w:rsidR="00963062" w:rsidRPr="005A0D68" w:rsidRDefault="00963062" w:rsidP="000265BC">
      <w:pPr>
        <w:spacing w:after="0" w:line="480" w:lineRule="auto"/>
        <w:jc w:val="center"/>
        <w:rPr>
          <w:rFonts w:ascii="Times New Roman" w:eastAsia="Times New Roman" w:hAnsi="Times New Roman" w:cs="Times New Roman"/>
          <w:b/>
          <w:sz w:val="24"/>
          <w:szCs w:val="24"/>
          <w:lang w:eastAsia="en-GB"/>
        </w:rPr>
      </w:pPr>
    </w:p>
    <w:p w:rsidR="000265BC" w:rsidRPr="005A0D68" w:rsidRDefault="000265BC" w:rsidP="000265BC">
      <w:pPr>
        <w:spacing w:after="0" w:line="480" w:lineRule="auto"/>
        <w:jc w:val="center"/>
        <w:rPr>
          <w:rFonts w:ascii="Times New Roman" w:eastAsia="Times New Roman" w:hAnsi="Times New Roman" w:cs="Times New Roman"/>
          <w:b/>
          <w:sz w:val="24"/>
          <w:szCs w:val="24"/>
          <w:lang w:eastAsia="en-GB"/>
        </w:rPr>
      </w:pPr>
      <w:proofErr w:type="gramStart"/>
      <w:r w:rsidRPr="005A0D68">
        <w:rPr>
          <w:rFonts w:ascii="Times New Roman" w:eastAsia="Times New Roman" w:hAnsi="Times New Roman" w:cs="Times New Roman"/>
          <w:b/>
          <w:sz w:val="24"/>
          <w:szCs w:val="24"/>
          <w:lang w:eastAsia="en-GB"/>
        </w:rPr>
        <w:t>A Beneficial Purpose?</w:t>
      </w:r>
      <w:proofErr w:type="gramEnd"/>
    </w:p>
    <w:p w:rsidR="000265BC" w:rsidRPr="005A0D68" w:rsidRDefault="000265BC" w:rsidP="000265BC">
      <w:pPr>
        <w:spacing w:after="0" w:line="480" w:lineRule="auto"/>
        <w:jc w:val="both"/>
        <w:rPr>
          <w:rFonts w:ascii="Times New Roman" w:eastAsia="Times New Roman" w:hAnsi="Times New Roman" w:cs="Times New Roman"/>
          <w:sz w:val="24"/>
          <w:szCs w:val="24"/>
        </w:rPr>
      </w:pPr>
      <w:r w:rsidRPr="005A0D68">
        <w:rPr>
          <w:rFonts w:ascii="Times New Roman" w:eastAsia="Times New Roman" w:hAnsi="Times New Roman" w:cs="Times New Roman"/>
          <w:sz w:val="24"/>
          <w:szCs w:val="24"/>
          <w:lang w:eastAsia="en-GB"/>
        </w:rPr>
        <w:t xml:space="preserve">As between the Commission and the Tribunal, the preceding analysis exposes the dichotomy in approach to discerning the purposes for which an institution is established and the matter of whether these purposes fall exclusively within one or more of the statutory descriptions. It is not </w:t>
      </w:r>
      <w:proofErr w:type="gramStart"/>
      <w:r w:rsidRPr="005A0D68">
        <w:rPr>
          <w:rFonts w:ascii="Times New Roman" w:eastAsia="Times New Roman" w:hAnsi="Times New Roman" w:cs="Times New Roman"/>
          <w:sz w:val="24"/>
          <w:szCs w:val="24"/>
          <w:lang w:eastAsia="en-GB"/>
        </w:rPr>
        <w:t>sufficient,</w:t>
      </w:r>
      <w:proofErr w:type="gramEnd"/>
      <w:r w:rsidRPr="005A0D68">
        <w:rPr>
          <w:rFonts w:ascii="Times New Roman" w:eastAsia="Times New Roman" w:hAnsi="Times New Roman" w:cs="Times New Roman"/>
          <w:sz w:val="24"/>
          <w:szCs w:val="24"/>
          <w:lang w:eastAsia="en-GB"/>
        </w:rPr>
        <w:t xml:space="preserve"> however, that a purpose falls within one or more of the new descriptions and that it is exclusively charitable. It must also be for the public benefit. The </w:t>
      </w:r>
      <w:r w:rsidRPr="005A0D68">
        <w:rPr>
          <w:rFonts w:ascii="Times New Roman" w:eastAsia="Times New Roman" w:hAnsi="Times New Roman" w:cs="Times New Roman"/>
          <w:sz w:val="24"/>
          <w:szCs w:val="24"/>
        </w:rPr>
        <w:t xml:space="preserve">concept of public </w:t>
      </w:r>
      <w:r w:rsidRPr="005A0D68">
        <w:rPr>
          <w:rFonts w:ascii="Times New Roman" w:eastAsia="Times New Roman" w:hAnsi="Times New Roman" w:cs="Times New Roman"/>
          <w:sz w:val="24"/>
          <w:szCs w:val="24"/>
        </w:rPr>
        <w:lastRenderedPageBreak/>
        <w:t>benefit is widely understood to have two interrelated aspects.</w:t>
      </w:r>
      <w:r w:rsidRPr="005A0D68">
        <w:rPr>
          <w:rStyle w:val="FootnoteReference"/>
          <w:rFonts w:ascii="Times New Roman" w:eastAsia="Times New Roman" w:hAnsi="Times New Roman" w:cs="Times New Roman"/>
          <w:sz w:val="24"/>
          <w:szCs w:val="24"/>
        </w:rPr>
        <w:footnoteReference w:id="87"/>
      </w:r>
      <w:r w:rsidRPr="005A0D68">
        <w:rPr>
          <w:rFonts w:ascii="Times New Roman" w:eastAsia="Times New Roman" w:hAnsi="Times New Roman" w:cs="Times New Roman"/>
          <w:sz w:val="24"/>
          <w:szCs w:val="24"/>
        </w:rPr>
        <w:t xml:space="preserve"> In its first sense, the purpose must be inherently beneficial in a way that the law deems charitable (i.e. the benefit element of public benefit). In its second sense, that benefit must be visited upon a sufficient section of the community (i.e. the public element of public benefit).</w:t>
      </w:r>
      <w:r w:rsidRPr="005A0D68">
        <w:rPr>
          <w:rStyle w:val="FootnoteReference"/>
          <w:rFonts w:ascii="Times New Roman" w:eastAsia="Times New Roman" w:hAnsi="Times New Roman" w:cs="Times New Roman"/>
          <w:sz w:val="24"/>
          <w:szCs w:val="24"/>
        </w:rPr>
        <w:footnoteReference w:id="88"/>
      </w:r>
      <w:r w:rsidRPr="005A0D68">
        <w:rPr>
          <w:rFonts w:ascii="Times New Roman" w:eastAsia="Times New Roman" w:hAnsi="Times New Roman" w:cs="Times New Roman"/>
          <w:sz w:val="24"/>
          <w:szCs w:val="24"/>
        </w:rPr>
        <w:t xml:space="preserve"> As this article is concerned only with public benefit in the first sense, it does not engage with the required reach or scope of that beneficial purpose once established. The task that remains is to analyse the approach of the Commission to the demonstration of benefit as part of the public benefit requirement. Again, the cases to date paint a picture of needless bureaucracy and conceptual conflation.</w:t>
      </w:r>
    </w:p>
    <w:p w:rsidR="000265BC" w:rsidRPr="005A0D68" w:rsidRDefault="000265BC" w:rsidP="000265BC">
      <w:pPr>
        <w:spacing w:after="0" w:line="480" w:lineRule="auto"/>
        <w:jc w:val="both"/>
        <w:rPr>
          <w:rFonts w:ascii="Times New Roman" w:eastAsia="Times New Roman" w:hAnsi="Times New Roman" w:cs="Times New Roman"/>
          <w:sz w:val="24"/>
          <w:szCs w:val="24"/>
          <w:lang w:eastAsia="en-GB"/>
        </w:rPr>
      </w:pPr>
    </w:p>
    <w:p w:rsidR="000265BC" w:rsidRPr="005A0D68" w:rsidRDefault="000265BC" w:rsidP="000265BC">
      <w:pPr>
        <w:spacing w:after="0" w:line="480" w:lineRule="auto"/>
        <w:jc w:val="both"/>
        <w:rPr>
          <w:rFonts w:ascii="Times New Roman" w:eastAsia="Times New Roman" w:hAnsi="Times New Roman" w:cs="Times New Roman"/>
          <w:b/>
          <w:sz w:val="24"/>
          <w:szCs w:val="24"/>
          <w:lang w:eastAsia="en-GB"/>
        </w:rPr>
      </w:pPr>
      <w:r w:rsidRPr="005A0D68">
        <w:rPr>
          <w:rFonts w:ascii="Times New Roman" w:eastAsia="Times New Roman" w:hAnsi="Times New Roman" w:cs="Times New Roman"/>
          <w:b/>
          <w:sz w:val="24"/>
          <w:szCs w:val="24"/>
          <w:lang w:eastAsia="en-GB"/>
        </w:rPr>
        <w:t>Isolating Benefit</w:t>
      </w:r>
    </w:p>
    <w:p w:rsidR="000265BC" w:rsidRPr="005A0D68" w:rsidRDefault="000265BC" w:rsidP="000265BC">
      <w:pPr>
        <w:spacing w:after="0" w:line="480" w:lineRule="auto"/>
        <w:jc w:val="both"/>
        <w:rPr>
          <w:rFonts w:ascii="Times New Roman" w:hAnsi="Times New Roman" w:cs="Times New Roman"/>
          <w:bCs/>
          <w:i/>
          <w:sz w:val="24"/>
          <w:szCs w:val="24"/>
          <w:lang w:eastAsia="en-GB"/>
        </w:rPr>
      </w:pPr>
      <w:r w:rsidRPr="005A0D68">
        <w:rPr>
          <w:rFonts w:ascii="Times New Roman" w:eastAsia="Times New Roman" w:hAnsi="Times New Roman" w:cs="Times New Roman"/>
          <w:sz w:val="24"/>
          <w:szCs w:val="24"/>
          <w:lang w:eastAsia="en-GB"/>
        </w:rPr>
        <w:t>It is somewhat odd that a separate assessment of benefit may be required once a purpose has been shown to fall within one or more of the statutory descriptions.</w:t>
      </w:r>
      <w:r w:rsidRPr="005A0D68">
        <w:rPr>
          <w:rStyle w:val="FootnoteReference"/>
          <w:rFonts w:ascii="Times New Roman" w:eastAsia="Times New Roman" w:hAnsi="Times New Roman" w:cs="Times New Roman"/>
          <w:sz w:val="24"/>
          <w:szCs w:val="24"/>
          <w:lang w:eastAsia="en-GB"/>
        </w:rPr>
        <w:footnoteReference w:id="89"/>
      </w:r>
      <w:r w:rsidRPr="005A0D68">
        <w:rPr>
          <w:rFonts w:ascii="Times New Roman" w:eastAsia="Times New Roman" w:hAnsi="Times New Roman" w:cs="Times New Roman"/>
          <w:sz w:val="24"/>
          <w:szCs w:val="24"/>
          <w:lang w:eastAsia="en-GB"/>
        </w:rPr>
        <w:t xml:space="preserve"> The Strategy Unit Report emphasised that t</w:t>
      </w:r>
      <w:r w:rsidRPr="005A0D68">
        <w:rPr>
          <w:rFonts w:ascii="Times New Roman" w:hAnsi="Times New Roman" w:cs="Times New Roman"/>
          <w:sz w:val="24"/>
          <w:szCs w:val="24"/>
        </w:rPr>
        <w:t>he purposes were, “chosen to represent the main areas of charitable activity that can reasonably be anticipated to continue to represent a public benefit”.</w:t>
      </w:r>
      <w:r w:rsidRPr="005A0D68">
        <w:rPr>
          <w:rStyle w:val="FootnoteReference"/>
          <w:rFonts w:ascii="Times New Roman" w:hAnsi="Times New Roman" w:cs="Times New Roman"/>
          <w:sz w:val="24"/>
          <w:szCs w:val="24"/>
        </w:rPr>
        <w:footnoteReference w:id="90"/>
      </w:r>
      <w:r w:rsidRPr="005A0D68">
        <w:rPr>
          <w:rFonts w:ascii="Times New Roman" w:hAnsi="Times New Roman" w:cs="Times New Roman"/>
          <w:sz w:val="24"/>
          <w:szCs w:val="24"/>
        </w:rPr>
        <w:t xml:space="preserve"> </w:t>
      </w:r>
      <w:r w:rsidRPr="005A0D68">
        <w:rPr>
          <w:rFonts w:ascii="Times New Roman" w:eastAsia="Times New Roman" w:hAnsi="Times New Roman" w:cs="Times New Roman"/>
          <w:sz w:val="24"/>
          <w:szCs w:val="24"/>
          <w:lang w:eastAsia="en-GB"/>
        </w:rPr>
        <w:t>For the Upper Tribunal, the effect of the statutory wording is to separate out, in a highly artificial manner, the issue of whether the purpose of an institution falls within the descriptions of charity from whether it is beneficial so as to establish public ‘benefit’.</w:t>
      </w:r>
      <w:r w:rsidRPr="005A0D68">
        <w:rPr>
          <w:rStyle w:val="FootnoteReference"/>
          <w:rFonts w:ascii="Times New Roman" w:eastAsia="Times New Roman" w:hAnsi="Times New Roman" w:cs="Times New Roman"/>
          <w:sz w:val="24"/>
          <w:szCs w:val="24"/>
          <w:lang w:eastAsia="en-GB"/>
        </w:rPr>
        <w:footnoteReference w:id="91"/>
      </w:r>
      <w:r w:rsidRPr="005A0D68">
        <w:rPr>
          <w:rFonts w:ascii="Times New Roman" w:eastAsia="Times New Roman" w:hAnsi="Times New Roman" w:cs="Times New Roman"/>
          <w:sz w:val="24"/>
          <w:szCs w:val="24"/>
          <w:lang w:eastAsia="en-GB"/>
        </w:rPr>
        <w:t xml:space="preserve"> The relevance of the statutory list of purposes is that it, “presents a hurdle: the purpose must fall within one or more of the categories and if it does not the question of public benefit is not relevant”.</w:t>
      </w:r>
      <w:r w:rsidRPr="005A0D68">
        <w:rPr>
          <w:rStyle w:val="FootnoteReference"/>
          <w:rFonts w:ascii="Times New Roman" w:eastAsia="Times New Roman" w:hAnsi="Times New Roman" w:cs="Times New Roman"/>
          <w:sz w:val="24"/>
          <w:szCs w:val="24"/>
          <w:lang w:eastAsia="en-GB"/>
        </w:rPr>
        <w:footnoteReference w:id="92"/>
      </w:r>
      <w:r w:rsidRPr="005A0D68">
        <w:rPr>
          <w:rFonts w:ascii="Times New Roman" w:eastAsia="Times New Roman" w:hAnsi="Times New Roman" w:cs="Times New Roman"/>
          <w:sz w:val="24"/>
          <w:szCs w:val="24"/>
          <w:lang w:eastAsia="en-GB"/>
        </w:rPr>
        <w:t xml:space="preserve">  T</w:t>
      </w:r>
      <w:r w:rsidRPr="005A0D68">
        <w:rPr>
          <w:rFonts w:ascii="Times New Roman" w:hAnsi="Times New Roman" w:cs="Times New Roman"/>
          <w:sz w:val="24"/>
          <w:szCs w:val="24"/>
        </w:rPr>
        <w:t xml:space="preserve">he pertinent issue is, “not whether the categories are inherently or necessarily for the public </w:t>
      </w:r>
      <w:r w:rsidRPr="005A0D68">
        <w:rPr>
          <w:rFonts w:ascii="Times New Roman" w:hAnsi="Times New Roman" w:cs="Times New Roman"/>
          <w:sz w:val="24"/>
          <w:szCs w:val="24"/>
        </w:rPr>
        <w:lastRenderedPageBreak/>
        <w:t>benefit, the focus is on the particular purpose of a particular institution”.</w:t>
      </w:r>
      <w:r w:rsidRPr="005A0D68">
        <w:rPr>
          <w:rStyle w:val="FootnoteReference"/>
          <w:rFonts w:ascii="Times New Roman" w:hAnsi="Times New Roman" w:cs="Times New Roman"/>
          <w:sz w:val="24"/>
          <w:szCs w:val="24"/>
        </w:rPr>
        <w:footnoteReference w:id="93"/>
      </w:r>
      <w:r w:rsidRPr="005A0D68">
        <w:rPr>
          <w:rFonts w:ascii="Times New Roman" w:hAnsi="Times New Roman" w:cs="Times New Roman"/>
          <w:sz w:val="24"/>
          <w:szCs w:val="24"/>
        </w:rPr>
        <w:t xml:space="preserve"> </w:t>
      </w:r>
      <w:r w:rsidR="00706CCD" w:rsidRPr="005A0D68">
        <w:rPr>
          <w:rFonts w:ascii="Times New Roman" w:hAnsi="Times New Roman" w:cs="Times New Roman"/>
          <w:sz w:val="24"/>
          <w:szCs w:val="24"/>
        </w:rPr>
        <w:t>Regrettably, it follows that</w:t>
      </w:r>
      <w:r w:rsidR="00706CCD" w:rsidRPr="005A0D68">
        <w:rPr>
          <w:rFonts w:ascii="Times New Roman" w:eastAsia="Times New Roman" w:hAnsi="Times New Roman" w:cs="Times New Roman"/>
          <w:sz w:val="24"/>
          <w:szCs w:val="24"/>
          <w:lang w:eastAsia="en-GB"/>
        </w:rPr>
        <w:t xml:space="preserve"> </w:t>
      </w:r>
      <w:r w:rsidRPr="005A0D68">
        <w:rPr>
          <w:rFonts w:ascii="Times New Roman" w:eastAsia="Times New Roman" w:hAnsi="Times New Roman" w:cs="Times New Roman"/>
          <w:sz w:val="24"/>
          <w:szCs w:val="24"/>
          <w:lang w:eastAsia="en-GB"/>
        </w:rPr>
        <w:t xml:space="preserve">the claimant with a particular purpose that falls within the descriptions must face further scrutiny with something additional to demonstrate. </w:t>
      </w:r>
      <w:r w:rsidRPr="005A0D68">
        <w:rPr>
          <w:rFonts w:ascii="Times New Roman" w:hAnsi="Times New Roman" w:cs="Times New Roman"/>
          <w:sz w:val="24"/>
          <w:szCs w:val="24"/>
        </w:rPr>
        <w:t xml:space="preserve">Albeit tentatively, Synge notes that a separate assessment of benefit is not itself objectionable, but argues that, “inclusion on the list should be understood to signify that they [the purposes] are </w:t>
      </w:r>
      <w:r w:rsidRPr="005A0D68">
        <w:rPr>
          <w:rFonts w:ascii="Times New Roman" w:hAnsi="Times New Roman" w:cs="Times New Roman"/>
          <w:i/>
          <w:sz w:val="24"/>
          <w:szCs w:val="24"/>
        </w:rPr>
        <w:t>prima facie</w:t>
      </w:r>
      <w:r w:rsidRPr="005A0D68">
        <w:rPr>
          <w:rFonts w:ascii="Times New Roman" w:hAnsi="Times New Roman" w:cs="Times New Roman"/>
          <w:sz w:val="24"/>
          <w:szCs w:val="24"/>
        </w:rPr>
        <w:t xml:space="preserve"> beneficial, so that satisfying the benefit aspect requires consideration of possible disqualifying factors, rather than separate evidence of benefit”.</w:t>
      </w:r>
      <w:r w:rsidRPr="005A0D68">
        <w:rPr>
          <w:rStyle w:val="FootnoteReference"/>
          <w:rFonts w:ascii="Times New Roman" w:hAnsi="Times New Roman" w:cs="Times New Roman"/>
          <w:sz w:val="24"/>
          <w:szCs w:val="24"/>
        </w:rPr>
        <w:footnoteReference w:id="94"/>
      </w:r>
      <w:r w:rsidRPr="005A0D68">
        <w:rPr>
          <w:rFonts w:ascii="Times New Roman" w:hAnsi="Times New Roman" w:cs="Times New Roman"/>
          <w:sz w:val="24"/>
          <w:szCs w:val="24"/>
        </w:rPr>
        <w:t xml:space="preserve"> This would seem to be an eminently sensible shift of emphasis, but it directly conflicts with the policy and practice of the Commission, which places the onus firmly on the applicant in every case to demonstrate beneficial impact. </w:t>
      </w:r>
    </w:p>
    <w:p w:rsidR="000265BC" w:rsidRPr="005A0D68" w:rsidRDefault="000265BC" w:rsidP="000265BC">
      <w:pPr>
        <w:spacing w:after="0" w:line="480" w:lineRule="auto"/>
        <w:jc w:val="both"/>
        <w:rPr>
          <w:rFonts w:ascii="Times New Roman" w:hAnsi="Times New Roman" w:cs="Times New Roman"/>
          <w:sz w:val="24"/>
          <w:szCs w:val="24"/>
        </w:rPr>
      </w:pPr>
      <w:r w:rsidRPr="005A0D68">
        <w:rPr>
          <w:rFonts w:ascii="Times New Roman" w:hAnsi="Times New Roman" w:cs="Times New Roman"/>
          <w:bCs/>
          <w:sz w:val="24"/>
          <w:szCs w:val="24"/>
          <w:lang w:eastAsia="en-GB"/>
        </w:rPr>
        <w:tab/>
      </w:r>
      <w:r w:rsidRPr="005A0D68">
        <w:rPr>
          <w:rFonts w:ascii="Times New Roman" w:hAnsi="Times New Roman" w:cs="Times New Roman"/>
          <w:sz w:val="24"/>
          <w:szCs w:val="24"/>
          <w:lang w:eastAsia="en-GB"/>
        </w:rPr>
        <w:t xml:space="preserve">Much </w:t>
      </w:r>
      <w:r w:rsidR="00FC221D" w:rsidRPr="005A0D68">
        <w:rPr>
          <w:rFonts w:ascii="Times New Roman" w:hAnsi="Times New Roman" w:cs="Times New Roman"/>
          <w:sz w:val="24"/>
          <w:szCs w:val="24"/>
          <w:lang w:eastAsia="en-GB"/>
        </w:rPr>
        <w:t xml:space="preserve">attention has been </w:t>
      </w:r>
      <w:r w:rsidR="00E92992">
        <w:rPr>
          <w:rFonts w:ascii="Times New Roman" w:hAnsi="Times New Roman" w:cs="Times New Roman"/>
          <w:sz w:val="24"/>
          <w:szCs w:val="24"/>
          <w:lang w:eastAsia="en-GB"/>
        </w:rPr>
        <w:t>devoted</w:t>
      </w:r>
      <w:r w:rsidRPr="005A0D68">
        <w:rPr>
          <w:rFonts w:ascii="Times New Roman" w:hAnsi="Times New Roman" w:cs="Times New Roman"/>
          <w:sz w:val="24"/>
          <w:szCs w:val="24"/>
          <w:lang w:eastAsia="en-GB"/>
        </w:rPr>
        <w:t xml:space="preserve"> in </w:t>
      </w:r>
      <w:r w:rsidR="00FC221D" w:rsidRPr="005A0D68">
        <w:rPr>
          <w:rFonts w:ascii="Times New Roman" w:hAnsi="Times New Roman" w:cs="Times New Roman"/>
          <w:sz w:val="24"/>
          <w:szCs w:val="24"/>
          <w:lang w:eastAsia="en-GB"/>
        </w:rPr>
        <w:t>an</w:t>
      </w:r>
      <w:r w:rsidRPr="005A0D68">
        <w:rPr>
          <w:rFonts w:ascii="Times New Roman" w:hAnsi="Times New Roman" w:cs="Times New Roman"/>
          <w:sz w:val="24"/>
          <w:szCs w:val="24"/>
          <w:lang w:eastAsia="en-GB"/>
        </w:rPr>
        <w:t xml:space="preserve"> effort to discern the scope of the common law presumption of public benefit (if, indeed, it may properly be so described), and the effect of the Act in securing its jettison.</w:t>
      </w:r>
      <w:r w:rsidRPr="005A0D68">
        <w:rPr>
          <w:rStyle w:val="FootnoteReference"/>
          <w:rFonts w:ascii="Times New Roman" w:hAnsi="Times New Roman" w:cs="Times New Roman"/>
          <w:sz w:val="24"/>
          <w:szCs w:val="24"/>
          <w:lang w:eastAsia="en-GB"/>
        </w:rPr>
        <w:footnoteReference w:id="95"/>
      </w:r>
      <w:r w:rsidRPr="005A0D68">
        <w:rPr>
          <w:rFonts w:ascii="Times New Roman" w:hAnsi="Times New Roman" w:cs="Times New Roman"/>
          <w:sz w:val="24"/>
          <w:szCs w:val="24"/>
          <w:lang w:eastAsia="en-GB"/>
        </w:rPr>
        <w:t xml:space="preserve"> Beyond the enactment of this short statutory provision, Parliament did not seek to define public benefit or alter its pre-existing meaning. The alleged existence of a presumption of public benefit was posited</w:t>
      </w:r>
      <w:r w:rsidRPr="005A0D68">
        <w:rPr>
          <w:rFonts w:ascii="Times New Roman" w:hAnsi="Times New Roman" w:cs="Times New Roman"/>
          <w:sz w:val="24"/>
          <w:szCs w:val="24"/>
        </w:rPr>
        <w:t xml:space="preserve"> on a statement made by Lord Wright, where the issue before him was the matter of whether the National Anti-Vivisection Society had been established for charitable purposes only.</w:t>
      </w:r>
      <w:r w:rsidRPr="005A0D68">
        <w:rPr>
          <w:rStyle w:val="FootnoteReference"/>
          <w:rFonts w:ascii="Times New Roman" w:hAnsi="Times New Roman" w:cs="Times New Roman"/>
          <w:sz w:val="24"/>
          <w:szCs w:val="24"/>
        </w:rPr>
        <w:footnoteReference w:id="96"/>
      </w:r>
      <w:r w:rsidRPr="005A0D68">
        <w:rPr>
          <w:rFonts w:ascii="Times New Roman" w:hAnsi="Times New Roman" w:cs="Times New Roman"/>
          <w:sz w:val="24"/>
          <w:szCs w:val="24"/>
        </w:rPr>
        <w:t xml:space="preserve"> Acknowledging the somewhat distinctive position of trusts falling under the first three </w:t>
      </w:r>
      <w:r w:rsidRPr="005A0D68">
        <w:rPr>
          <w:rFonts w:ascii="Times New Roman" w:hAnsi="Times New Roman" w:cs="Times New Roman"/>
          <w:i/>
          <w:sz w:val="24"/>
          <w:szCs w:val="24"/>
        </w:rPr>
        <w:t xml:space="preserve">Pemsel </w:t>
      </w:r>
      <w:r w:rsidRPr="005A0D68">
        <w:rPr>
          <w:rFonts w:ascii="Times New Roman" w:hAnsi="Times New Roman" w:cs="Times New Roman"/>
          <w:sz w:val="24"/>
          <w:szCs w:val="24"/>
        </w:rPr>
        <w:t xml:space="preserve">heads, he concluded that, “The test of benefit to the community goes through the whole of Lord </w:t>
      </w:r>
      <w:proofErr w:type="spellStart"/>
      <w:r w:rsidRPr="005A0D68">
        <w:rPr>
          <w:rFonts w:ascii="Times New Roman" w:hAnsi="Times New Roman" w:cs="Times New Roman"/>
          <w:sz w:val="24"/>
          <w:szCs w:val="24"/>
        </w:rPr>
        <w:t>Macnaghten’s</w:t>
      </w:r>
      <w:proofErr w:type="spellEnd"/>
      <w:r w:rsidRPr="005A0D68">
        <w:rPr>
          <w:rFonts w:ascii="Times New Roman" w:hAnsi="Times New Roman" w:cs="Times New Roman"/>
          <w:sz w:val="24"/>
          <w:szCs w:val="24"/>
        </w:rPr>
        <w:t xml:space="preserve"> classification, though as regards the first three heads, it may be </w:t>
      </w:r>
      <w:r w:rsidRPr="005A0D68">
        <w:rPr>
          <w:rFonts w:ascii="Times New Roman" w:hAnsi="Times New Roman" w:cs="Times New Roman"/>
          <w:i/>
          <w:sz w:val="24"/>
          <w:szCs w:val="24"/>
        </w:rPr>
        <w:t xml:space="preserve">prima facie </w:t>
      </w:r>
      <w:r w:rsidRPr="005A0D68">
        <w:rPr>
          <w:rFonts w:ascii="Times New Roman" w:hAnsi="Times New Roman" w:cs="Times New Roman"/>
          <w:sz w:val="24"/>
          <w:szCs w:val="24"/>
        </w:rPr>
        <w:t>assumed unless the contrary appears”.</w:t>
      </w:r>
      <w:r w:rsidRPr="005A0D68">
        <w:rPr>
          <w:rStyle w:val="FootnoteReference"/>
          <w:rFonts w:ascii="Times New Roman" w:hAnsi="Times New Roman" w:cs="Times New Roman"/>
          <w:sz w:val="24"/>
          <w:szCs w:val="24"/>
        </w:rPr>
        <w:footnoteReference w:id="97"/>
      </w:r>
      <w:r w:rsidRPr="005A0D68">
        <w:rPr>
          <w:rFonts w:ascii="Times New Roman" w:hAnsi="Times New Roman" w:cs="Times New Roman"/>
          <w:sz w:val="24"/>
          <w:szCs w:val="24"/>
        </w:rPr>
        <w:t xml:space="preserve"> Tellingly, he does not employ the term ‘presumption’, but alludes to an assumption that, in the absence of evidence to the contrary, a purpose in those categories is </w:t>
      </w:r>
      <w:r w:rsidRPr="005A0D68">
        <w:rPr>
          <w:rFonts w:ascii="Times New Roman" w:hAnsi="Times New Roman" w:cs="Times New Roman"/>
          <w:sz w:val="24"/>
          <w:szCs w:val="24"/>
        </w:rPr>
        <w:lastRenderedPageBreak/>
        <w:t>beneficial. Lord Simonds agreed that w</w:t>
      </w:r>
      <w:r w:rsidRPr="005A0D68">
        <w:rPr>
          <w:rFonts w:ascii="Times New Roman" w:hAnsi="Times New Roman" w:cs="Times New Roman"/>
          <w:sz w:val="24"/>
          <w:szCs w:val="24"/>
          <w:lang w:eastAsia="en-GB"/>
        </w:rPr>
        <w:t xml:space="preserve">ithout that evidence, </w:t>
      </w:r>
      <w:r w:rsidRPr="005A0D68">
        <w:rPr>
          <w:rFonts w:ascii="Times New Roman" w:hAnsi="Times New Roman" w:cs="Times New Roman"/>
          <w:sz w:val="24"/>
          <w:szCs w:val="24"/>
        </w:rPr>
        <w:t>“the court will easily conclude that it is a charitable purpose”.</w:t>
      </w:r>
      <w:r w:rsidRPr="005A0D68">
        <w:rPr>
          <w:rStyle w:val="FootnoteReference"/>
          <w:rFonts w:ascii="Times New Roman" w:hAnsi="Times New Roman" w:cs="Times New Roman"/>
          <w:sz w:val="24"/>
          <w:szCs w:val="24"/>
        </w:rPr>
        <w:footnoteReference w:id="98"/>
      </w:r>
      <w:r w:rsidRPr="005A0D68">
        <w:rPr>
          <w:rFonts w:ascii="Times New Roman" w:hAnsi="Times New Roman" w:cs="Times New Roman"/>
          <w:sz w:val="24"/>
          <w:szCs w:val="24"/>
        </w:rPr>
        <w:t xml:space="preserve"> </w:t>
      </w:r>
    </w:p>
    <w:p w:rsidR="000265BC" w:rsidRPr="005A0D68" w:rsidRDefault="000265BC" w:rsidP="000265BC">
      <w:pPr>
        <w:spacing w:after="0" w:line="480" w:lineRule="auto"/>
        <w:jc w:val="both"/>
        <w:rPr>
          <w:rFonts w:ascii="Times New Roman" w:hAnsi="Times New Roman" w:cs="Times New Roman"/>
          <w:sz w:val="24"/>
          <w:szCs w:val="24"/>
          <w:lang w:eastAsia="en-GB"/>
        </w:rPr>
      </w:pPr>
      <w:r w:rsidRPr="005A0D68">
        <w:rPr>
          <w:rFonts w:ascii="Times New Roman" w:hAnsi="Times New Roman" w:cs="Times New Roman"/>
          <w:sz w:val="24"/>
          <w:szCs w:val="24"/>
        </w:rPr>
        <w:tab/>
      </w:r>
      <w:r w:rsidRPr="005A0D68">
        <w:rPr>
          <w:rFonts w:ascii="Times New Roman" w:hAnsi="Times New Roman" w:cs="Times New Roman"/>
          <w:sz w:val="24"/>
          <w:szCs w:val="24"/>
          <w:lang w:eastAsia="en-GB"/>
        </w:rPr>
        <w:t xml:space="preserve">In the </w:t>
      </w:r>
      <w:r w:rsidRPr="005A0D68">
        <w:rPr>
          <w:rFonts w:ascii="Times New Roman" w:hAnsi="Times New Roman" w:cs="Times New Roman"/>
          <w:i/>
          <w:sz w:val="24"/>
          <w:szCs w:val="24"/>
          <w:lang w:eastAsia="en-GB"/>
        </w:rPr>
        <w:t>ISC</w:t>
      </w:r>
      <w:r w:rsidRPr="005A0D68">
        <w:rPr>
          <w:rFonts w:ascii="Times New Roman" w:hAnsi="Times New Roman" w:cs="Times New Roman"/>
          <w:sz w:val="24"/>
          <w:szCs w:val="24"/>
          <w:lang w:eastAsia="en-GB"/>
        </w:rPr>
        <w:t xml:space="preserve"> case, however, the Upper Tribunal denied that a presumption of public benefit had ever existed, but acknowledged that there was a ‘predisposition’, which might be displaced by evidence, argument or a consideration of the purpose in the mind of the judge. Following such displacement, “evidence would be needed to establish public benefit”.</w:t>
      </w:r>
      <w:r w:rsidRPr="005A0D68">
        <w:rPr>
          <w:rStyle w:val="FootnoteReference"/>
          <w:rFonts w:ascii="Times New Roman" w:hAnsi="Times New Roman" w:cs="Times New Roman"/>
          <w:sz w:val="24"/>
          <w:szCs w:val="24"/>
          <w:lang w:eastAsia="en-GB"/>
        </w:rPr>
        <w:footnoteReference w:id="99"/>
      </w:r>
      <w:r w:rsidRPr="005A0D68">
        <w:rPr>
          <w:rFonts w:ascii="Times New Roman" w:hAnsi="Times New Roman" w:cs="Times New Roman"/>
          <w:sz w:val="24"/>
          <w:szCs w:val="24"/>
        </w:rPr>
        <w:t xml:space="preserve"> The impact of this ‘predisposition’ was confined to the benefit aspect of public benefit and it did not serve to preclude the court from arriving at its own conclusions on the matter, “not by way of assumption, but by way of decision”.</w:t>
      </w:r>
      <w:r w:rsidRPr="005A0D68">
        <w:rPr>
          <w:rStyle w:val="FootnoteReference"/>
          <w:rFonts w:ascii="Times New Roman" w:hAnsi="Times New Roman" w:cs="Times New Roman"/>
          <w:sz w:val="24"/>
          <w:szCs w:val="24"/>
        </w:rPr>
        <w:footnoteReference w:id="100"/>
      </w:r>
      <w:r w:rsidRPr="005A0D68">
        <w:rPr>
          <w:rFonts w:ascii="Times New Roman" w:hAnsi="Times New Roman" w:cs="Times New Roman"/>
          <w:sz w:val="24"/>
          <w:szCs w:val="24"/>
        </w:rPr>
        <w:t xml:space="preserve"> This interpretation is clearly arguable and can be made to fit any </w:t>
      </w:r>
      <w:r w:rsidRPr="005A0D68">
        <w:rPr>
          <w:rFonts w:ascii="Times New Roman" w:hAnsi="Times New Roman" w:cs="Times New Roman"/>
          <w:i/>
          <w:sz w:val="24"/>
          <w:szCs w:val="24"/>
        </w:rPr>
        <w:t>ex post facto</w:t>
      </w:r>
      <w:r w:rsidRPr="005A0D68">
        <w:rPr>
          <w:rFonts w:ascii="Times New Roman" w:hAnsi="Times New Roman" w:cs="Times New Roman"/>
          <w:sz w:val="24"/>
          <w:szCs w:val="24"/>
        </w:rPr>
        <w:t xml:space="preserve"> analysis of the case law. </w:t>
      </w:r>
      <w:r w:rsidRPr="005A0D68">
        <w:rPr>
          <w:rFonts w:ascii="Times New Roman" w:hAnsi="Times New Roman" w:cs="Times New Roman"/>
          <w:sz w:val="24"/>
          <w:szCs w:val="24"/>
          <w:lang w:eastAsia="en-GB"/>
        </w:rPr>
        <w:t>Accordingly, the inherently educational benefits of a museum displaying antiques or works of art</w:t>
      </w:r>
      <w:r w:rsidRPr="005A0D68">
        <w:rPr>
          <w:rFonts w:ascii="Times New Roman" w:hAnsi="Times New Roman" w:cs="Times New Roman"/>
          <w:sz w:val="24"/>
          <w:szCs w:val="24"/>
          <w:vertAlign w:val="superscript"/>
          <w:lang w:eastAsia="en-GB"/>
        </w:rPr>
        <w:footnoteReference w:id="101"/>
      </w:r>
      <w:r w:rsidRPr="005A0D68">
        <w:rPr>
          <w:rFonts w:ascii="Times New Roman" w:hAnsi="Times New Roman" w:cs="Times New Roman"/>
          <w:sz w:val="24"/>
          <w:szCs w:val="24"/>
          <w:lang w:eastAsia="en-GB"/>
        </w:rPr>
        <w:t xml:space="preserve"> may be offset by evidence that the objects displayed are of no inherent artistic or intrinsic value.</w:t>
      </w:r>
      <w:r w:rsidRPr="005A0D68">
        <w:rPr>
          <w:rFonts w:ascii="Times New Roman" w:hAnsi="Times New Roman" w:cs="Times New Roman"/>
          <w:sz w:val="24"/>
          <w:szCs w:val="24"/>
          <w:vertAlign w:val="superscript"/>
          <w:lang w:eastAsia="en-GB"/>
        </w:rPr>
        <w:footnoteReference w:id="102"/>
      </w:r>
      <w:r w:rsidRPr="005A0D68">
        <w:rPr>
          <w:rFonts w:ascii="Times New Roman" w:hAnsi="Times New Roman" w:cs="Times New Roman"/>
          <w:sz w:val="24"/>
          <w:szCs w:val="24"/>
          <w:lang w:eastAsia="en-GB"/>
        </w:rPr>
        <w:t xml:space="preserve"> The publication of religious writings is readily deemed to advance religion unless </w:t>
      </w:r>
      <w:r w:rsidRPr="005A0D68">
        <w:rPr>
          <w:rFonts w:ascii="Times New Roman" w:hAnsi="Times New Roman" w:cs="Times New Roman"/>
          <w:sz w:val="24"/>
          <w:szCs w:val="24"/>
        </w:rPr>
        <w:t>the works under scrutiny might,</w:t>
      </w:r>
      <w:r w:rsidRPr="005A0D68">
        <w:rPr>
          <w:rFonts w:ascii="Times New Roman" w:hAnsi="Times New Roman" w:cs="Times New Roman"/>
          <w:sz w:val="24"/>
          <w:szCs w:val="24"/>
          <w:lang w:eastAsia="en-GB"/>
        </w:rPr>
        <w:t xml:space="preserve"> “inculcate doctrines adverse to the very foundations of religion or be subversive of all morality”.</w:t>
      </w:r>
      <w:r w:rsidRPr="005A0D68">
        <w:rPr>
          <w:rFonts w:ascii="Times New Roman" w:hAnsi="Times New Roman" w:cs="Times New Roman"/>
          <w:sz w:val="24"/>
          <w:szCs w:val="24"/>
          <w:vertAlign w:val="superscript"/>
          <w:lang w:eastAsia="en-GB"/>
        </w:rPr>
        <w:footnoteReference w:id="103"/>
      </w:r>
      <w:r w:rsidRPr="005A0D68">
        <w:rPr>
          <w:rFonts w:ascii="Times New Roman" w:hAnsi="Times New Roman" w:cs="Times New Roman"/>
          <w:sz w:val="24"/>
          <w:szCs w:val="24"/>
          <w:lang w:eastAsia="en-GB"/>
        </w:rPr>
        <w:t xml:space="preserve"> The issue is altogether different where the charitable character of a purpose is also in dispute and the judge may, understandably, require to be convinced of the quality of benefit. The classic illustration is the trust for the training of spiritualist mediums,</w:t>
      </w:r>
      <w:r w:rsidRPr="005A0D68">
        <w:rPr>
          <w:rStyle w:val="FootnoteReference"/>
          <w:rFonts w:ascii="Times New Roman" w:hAnsi="Times New Roman" w:cs="Times New Roman"/>
          <w:sz w:val="24"/>
          <w:szCs w:val="24"/>
          <w:lang w:eastAsia="en-GB"/>
        </w:rPr>
        <w:footnoteReference w:id="104"/>
      </w:r>
      <w:r w:rsidRPr="005A0D68">
        <w:rPr>
          <w:rFonts w:ascii="Times New Roman" w:hAnsi="Times New Roman" w:cs="Times New Roman"/>
          <w:sz w:val="24"/>
          <w:szCs w:val="24"/>
          <w:lang w:eastAsia="en-GB"/>
        </w:rPr>
        <w:t xml:space="preserve"> </w:t>
      </w:r>
      <w:r w:rsidRPr="005A0D68">
        <w:rPr>
          <w:rFonts w:ascii="Times New Roman" w:hAnsi="Times New Roman" w:cs="Times New Roman"/>
          <w:sz w:val="24"/>
          <w:szCs w:val="24"/>
        </w:rPr>
        <w:t xml:space="preserve">cited by the Upper Tribunal in </w:t>
      </w:r>
      <w:r w:rsidRPr="005A0D68">
        <w:rPr>
          <w:rFonts w:ascii="Times New Roman" w:hAnsi="Times New Roman" w:cs="Times New Roman"/>
          <w:i/>
          <w:sz w:val="24"/>
          <w:szCs w:val="24"/>
        </w:rPr>
        <w:t xml:space="preserve">ISC </w:t>
      </w:r>
      <w:r w:rsidRPr="005A0D68">
        <w:rPr>
          <w:rFonts w:ascii="Times New Roman" w:hAnsi="Times New Roman" w:cs="Times New Roman"/>
          <w:sz w:val="24"/>
          <w:szCs w:val="24"/>
        </w:rPr>
        <w:t>as its primary example of a case where public benefit could not be assumed.</w:t>
      </w:r>
      <w:r w:rsidRPr="005A0D68">
        <w:rPr>
          <w:rStyle w:val="FootnoteReference"/>
          <w:rFonts w:ascii="Times New Roman" w:hAnsi="Times New Roman" w:cs="Times New Roman"/>
          <w:sz w:val="24"/>
          <w:szCs w:val="24"/>
        </w:rPr>
        <w:footnoteReference w:id="105"/>
      </w:r>
    </w:p>
    <w:p w:rsidR="000265BC" w:rsidRPr="005A0D68" w:rsidRDefault="000265BC" w:rsidP="000265BC">
      <w:pPr>
        <w:spacing w:after="0" w:line="480" w:lineRule="auto"/>
        <w:jc w:val="both"/>
        <w:rPr>
          <w:rFonts w:ascii="Times New Roman" w:hAnsi="Times New Roman" w:cs="Times New Roman"/>
          <w:sz w:val="24"/>
          <w:szCs w:val="24"/>
          <w:lang w:eastAsia="en-GB"/>
        </w:rPr>
      </w:pPr>
      <w:r w:rsidRPr="005A0D68">
        <w:rPr>
          <w:rFonts w:ascii="Times New Roman" w:hAnsi="Times New Roman" w:cs="Times New Roman"/>
          <w:sz w:val="24"/>
          <w:szCs w:val="24"/>
          <w:lang w:eastAsia="en-GB"/>
        </w:rPr>
        <w:lastRenderedPageBreak/>
        <w:tab/>
        <w:t xml:space="preserve">In </w:t>
      </w:r>
      <w:r w:rsidRPr="005A0D68">
        <w:rPr>
          <w:rFonts w:ascii="Times New Roman" w:hAnsi="Times New Roman" w:cs="Times New Roman"/>
          <w:i/>
          <w:sz w:val="24"/>
          <w:szCs w:val="24"/>
          <w:lang w:eastAsia="en-GB"/>
        </w:rPr>
        <w:t>ISC</w:t>
      </w:r>
      <w:r w:rsidRPr="005A0D68">
        <w:rPr>
          <w:rFonts w:ascii="Times New Roman" w:hAnsi="Times New Roman" w:cs="Times New Roman"/>
          <w:sz w:val="24"/>
          <w:szCs w:val="24"/>
          <w:lang w:eastAsia="en-GB"/>
        </w:rPr>
        <w:t xml:space="preserve">, the strident disavowal of any technical common law presumption of public benefit generated surprise, at least in some quarters. In its amended analysis, the Commission acknowledged that, “it was widely considered that there was a presumption ... </w:t>
      </w:r>
      <w:r w:rsidRPr="005A0D68">
        <w:rPr>
          <w:rFonts w:ascii="Times New Roman" w:hAnsi="Times New Roman" w:cs="Times New Roman"/>
          <w:sz w:val="24"/>
          <w:szCs w:val="24"/>
        </w:rPr>
        <w:t>although views differed as to the nature and effect”</w:t>
      </w:r>
      <w:r w:rsidRPr="005A0D68">
        <w:rPr>
          <w:rFonts w:ascii="Times New Roman" w:hAnsi="Times New Roman" w:cs="Times New Roman"/>
          <w:sz w:val="24"/>
          <w:szCs w:val="24"/>
          <w:lang w:eastAsia="en-GB"/>
        </w:rPr>
        <w:t>.</w:t>
      </w:r>
      <w:r w:rsidRPr="005A0D68">
        <w:rPr>
          <w:rStyle w:val="FootnoteReference"/>
          <w:rFonts w:ascii="Times New Roman" w:hAnsi="Times New Roman" w:cs="Times New Roman"/>
          <w:sz w:val="24"/>
          <w:szCs w:val="24"/>
          <w:lang w:eastAsia="en-GB"/>
        </w:rPr>
        <w:footnoteReference w:id="106"/>
      </w:r>
      <w:r w:rsidRPr="005A0D68">
        <w:rPr>
          <w:rFonts w:ascii="Times New Roman" w:hAnsi="Times New Roman" w:cs="Times New Roman"/>
          <w:sz w:val="24"/>
          <w:szCs w:val="24"/>
          <w:lang w:eastAsia="en-GB"/>
        </w:rPr>
        <w:t xml:space="preserve"> </w:t>
      </w:r>
      <w:r w:rsidRPr="005A0D68">
        <w:rPr>
          <w:rFonts w:ascii="Times New Roman" w:hAnsi="Times New Roman" w:cs="Times New Roman"/>
          <w:sz w:val="24"/>
          <w:szCs w:val="24"/>
        </w:rPr>
        <w:t>Those championing reform were convinced that the removal of every trace of a presumption would ensure that</w:t>
      </w:r>
      <w:r w:rsidRPr="005A0D68">
        <w:rPr>
          <w:rFonts w:ascii="Times New Roman" w:hAnsi="Times New Roman" w:cs="Times New Roman"/>
          <w:sz w:val="24"/>
          <w:szCs w:val="24"/>
          <w:lang w:eastAsia="en-GB"/>
        </w:rPr>
        <w:t xml:space="preserve">, </w:t>
      </w:r>
      <w:r w:rsidRPr="005A0D68">
        <w:rPr>
          <w:rFonts w:ascii="Times New Roman" w:hAnsi="Times New Roman" w:cs="Times New Roman"/>
          <w:sz w:val="24"/>
          <w:szCs w:val="24"/>
        </w:rPr>
        <w:t>“the same strong public benefit test across all four heads of charity”,</w:t>
      </w:r>
      <w:r w:rsidRPr="005A0D68">
        <w:rPr>
          <w:rStyle w:val="FootnoteReference"/>
          <w:rFonts w:ascii="Times New Roman" w:hAnsi="Times New Roman" w:cs="Times New Roman"/>
          <w:sz w:val="24"/>
          <w:szCs w:val="24"/>
        </w:rPr>
        <w:footnoteReference w:id="107"/>
      </w:r>
      <w:r w:rsidRPr="005A0D68">
        <w:rPr>
          <w:rFonts w:ascii="Times New Roman" w:hAnsi="Times New Roman" w:cs="Times New Roman"/>
          <w:sz w:val="24"/>
          <w:szCs w:val="24"/>
        </w:rPr>
        <w:t xml:space="preserve"> and, </w:t>
      </w:r>
      <w:r w:rsidRPr="005A0D68">
        <w:rPr>
          <w:rFonts w:ascii="Times New Roman" w:hAnsi="Times New Roman" w:cs="Times New Roman"/>
          <w:sz w:val="24"/>
          <w:szCs w:val="24"/>
          <w:lang w:eastAsia="en-GB"/>
        </w:rPr>
        <w:t>“</w:t>
      </w:r>
      <w:r w:rsidRPr="005A0D68">
        <w:rPr>
          <w:rFonts w:ascii="Times New Roman" w:hAnsi="Times New Roman" w:cs="Times New Roman"/>
          <w:sz w:val="24"/>
          <w:szCs w:val="24"/>
        </w:rPr>
        <w:t>create a level playing field on which all charities will have to show that they are for the public benefit”.</w:t>
      </w:r>
      <w:r w:rsidRPr="005A0D68">
        <w:rPr>
          <w:rStyle w:val="FootnoteReference"/>
          <w:rFonts w:ascii="Times New Roman" w:hAnsi="Times New Roman" w:cs="Times New Roman"/>
          <w:sz w:val="24"/>
          <w:szCs w:val="24"/>
        </w:rPr>
        <w:footnoteReference w:id="108"/>
      </w:r>
      <w:r w:rsidRPr="005A0D68">
        <w:rPr>
          <w:rFonts w:ascii="Times New Roman" w:hAnsi="Times New Roman" w:cs="Times New Roman"/>
          <w:sz w:val="24"/>
          <w:szCs w:val="24"/>
          <w:lang w:eastAsia="en-GB"/>
        </w:rPr>
        <w:t xml:space="preserve"> For Luxton, however, </w:t>
      </w:r>
      <w:proofErr w:type="gramStart"/>
      <w:r w:rsidRPr="005A0D68">
        <w:rPr>
          <w:rFonts w:ascii="Times New Roman" w:hAnsi="Times New Roman" w:cs="Times New Roman"/>
          <w:sz w:val="24"/>
          <w:szCs w:val="24"/>
          <w:lang w:eastAsia="en-GB"/>
        </w:rPr>
        <w:t>s.4(</w:t>
      </w:r>
      <w:proofErr w:type="gramEnd"/>
      <w:r w:rsidRPr="005A0D68">
        <w:rPr>
          <w:rFonts w:ascii="Times New Roman" w:hAnsi="Times New Roman" w:cs="Times New Roman"/>
          <w:sz w:val="24"/>
          <w:szCs w:val="24"/>
          <w:lang w:eastAsia="en-GB"/>
        </w:rPr>
        <w:t xml:space="preserve">2) had no effect on </w:t>
      </w:r>
      <w:r w:rsidRPr="005A0D68">
        <w:rPr>
          <w:rFonts w:ascii="Times New Roman" w:hAnsi="Times New Roman" w:cs="Times New Roman"/>
          <w:sz w:val="24"/>
          <w:szCs w:val="24"/>
        </w:rPr>
        <w:t>charitable status, “because such status is not dependent on any presumption but has been established by law”.</w:t>
      </w:r>
      <w:r w:rsidRPr="005A0D68">
        <w:rPr>
          <w:rStyle w:val="FootnoteReference"/>
          <w:rFonts w:ascii="Times New Roman" w:hAnsi="Times New Roman" w:cs="Times New Roman"/>
          <w:sz w:val="24"/>
          <w:szCs w:val="24"/>
          <w:lang w:eastAsia="en-GB"/>
        </w:rPr>
        <w:footnoteReference w:id="109"/>
      </w:r>
      <w:r w:rsidRPr="005A0D68">
        <w:rPr>
          <w:rFonts w:ascii="Times New Roman" w:hAnsi="Times New Roman" w:cs="Times New Roman"/>
          <w:sz w:val="24"/>
          <w:szCs w:val="24"/>
        </w:rPr>
        <w:t xml:space="preserve"> </w:t>
      </w:r>
      <w:r w:rsidRPr="005A0D68">
        <w:rPr>
          <w:rFonts w:ascii="Times New Roman" w:hAnsi="Times New Roman" w:cs="Times New Roman"/>
          <w:sz w:val="24"/>
          <w:szCs w:val="24"/>
          <w:lang w:eastAsia="en-GB"/>
        </w:rPr>
        <w:t>On the basis that the section</w:t>
      </w:r>
      <w:r w:rsidRPr="005A0D68">
        <w:rPr>
          <w:rFonts w:ascii="Times New Roman" w:hAnsi="Times New Roman" w:cs="Times New Roman"/>
          <w:sz w:val="24"/>
          <w:szCs w:val="24"/>
        </w:rPr>
        <w:t xml:space="preserve"> did not have the impact that was envisaged, the provision came to be viewed as no more than, “a political statement, which has affected practice and perception but hasn’t really altered the law”</w:t>
      </w:r>
      <w:r w:rsidRPr="005A0D68">
        <w:rPr>
          <w:rStyle w:val="FootnoteReference"/>
          <w:rFonts w:ascii="Times New Roman" w:hAnsi="Times New Roman" w:cs="Times New Roman"/>
          <w:sz w:val="24"/>
          <w:szCs w:val="24"/>
        </w:rPr>
        <w:footnoteReference w:id="110"/>
      </w:r>
      <w:r w:rsidRPr="005A0D68">
        <w:rPr>
          <w:rFonts w:ascii="Times New Roman" w:hAnsi="Times New Roman" w:cs="Times New Roman"/>
          <w:sz w:val="24"/>
          <w:szCs w:val="24"/>
        </w:rPr>
        <w:t xml:space="preserve"> or as serving only, “to give expression to the extant practice of the Charity Commission, whereby all charities have been required to demonstrate public benefit in order to be registered as a charity”.</w:t>
      </w:r>
      <w:r w:rsidRPr="005A0D68">
        <w:rPr>
          <w:rStyle w:val="FootnoteReference"/>
          <w:rFonts w:ascii="Times New Roman" w:hAnsi="Times New Roman" w:cs="Times New Roman"/>
          <w:sz w:val="24"/>
          <w:szCs w:val="24"/>
        </w:rPr>
        <w:footnoteReference w:id="111"/>
      </w:r>
      <w:r w:rsidRPr="005A0D68">
        <w:rPr>
          <w:rFonts w:ascii="Times New Roman" w:hAnsi="Times New Roman" w:cs="Times New Roman"/>
          <w:sz w:val="24"/>
          <w:szCs w:val="24"/>
          <w:lang w:eastAsia="en-GB"/>
        </w:rPr>
        <w:t xml:space="preserve">  Sparked </w:t>
      </w:r>
      <w:r w:rsidRPr="005A0D68">
        <w:rPr>
          <w:rFonts w:ascii="Times New Roman" w:hAnsi="Times New Roman" w:cs="Times New Roman"/>
          <w:sz w:val="24"/>
          <w:szCs w:val="24"/>
        </w:rPr>
        <w:t xml:space="preserve">by the Commission’s initial refusal to register the Preston </w:t>
      </w:r>
      <w:proofErr w:type="gramStart"/>
      <w:r w:rsidRPr="005A0D68">
        <w:rPr>
          <w:rFonts w:ascii="Times New Roman" w:hAnsi="Times New Roman" w:cs="Times New Roman"/>
          <w:sz w:val="24"/>
          <w:szCs w:val="24"/>
        </w:rPr>
        <w:t>Down</w:t>
      </w:r>
      <w:proofErr w:type="gramEnd"/>
      <w:r w:rsidRPr="005A0D68">
        <w:rPr>
          <w:rFonts w:ascii="Times New Roman" w:hAnsi="Times New Roman" w:cs="Times New Roman"/>
          <w:sz w:val="24"/>
          <w:szCs w:val="24"/>
        </w:rPr>
        <w:t xml:space="preserve"> Trust, the perceived difficulties to which religious charities were exposed were voiced loudly in the press</w:t>
      </w:r>
      <w:r w:rsidRPr="005A0D68">
        <w:rPr>
          <w:rStyle w:val="FootnoteReference"/>
          <w:rFonts w:ascii="Times New Roman" w:hAnsi="Times New Roman" w:cs="Times New Roman"/>
          <w:sz w:val="24"/>
          <w:szCs w:val="24"/>
        </w:rPr>
        <w:footnoteReference w:id="112"/>
      </w:r>
      <w:r w:rsidRPr="005A0D68">
        <w:rPr>
          <w:rFonts w:ascii="Times New Roman" w:hAnsi="Times New Roman" w:cs="Times New Roman"/>
          <w:sz w:val="24"/>
          <w:szCs w:val="24"/>
        </w:rPr>
        <w:t xml:space="preserve"> and in Parliamentary debate.</w:t>
      </w:r>
      <w:r w:rsidRPr="005A0D68">
        <w:rPr>
          <w:rStyle w:val="FootnoteReference"/>
          <w:rFonts w:ascii="Times New Roman" w:hAnsi="Times New Roman" w:cs="Times New Roman"/>
          <w:sz w:val="24"/>
          <w:szCs w:val="24"/>
        </w:rPr>
        <w:footnoteReference w:id="113"/>
      </w:r>
      <w:r w:rsidRPr="005A0D68">
        <w:rPr>
          <w:rFonts w:ascii="Times New Roman" w:hAnsi="Times New Roman" w:cs="Times New Roman"/>
          <w:sz w:val="24"/>
          <w:szCs w:val="24"/>
        </w:rPr>
        <w:t xml:space="preserve"> This led to the recommendation of the Public Administrative Select Committee that the, “removal of the presumption of public benefit ... be repealed”.</w:t>
      </w:r>
      <w:r w:rsidRPr="005A0D68">
        <w:rPr>
          <w:rStyle w:val="FootnoteReference"/>
          <w:rFonts w:ascii="Times New Roman" w:hAnsi="Times New Roman" w:cs="Times New Roman"/>
          <w:sz w:val="24"/>
          <w:szCs w:val="24"/>
        </w:rPr>
        <w:footnoteReference w:id="114"/>
      </w:r>
      <w:r w:rsidRPr="005A0D68">
        <w:rPr>
          <w:rFonts w:ascii="Times New Roman" w:hAnsi="Times New Roman" w:cs="Times New Roman"/>
          <w:sz w:val="24"/>
          <w:szCs w:val="24"/>
        </w:rPr>
        <w:t xml:space="preserve"> The response of the Government was unhelpfully trite, that, “it would not be possible to ‘restore’ a presumption of public benefit that may never have </w:t>
      </w:r>
      <w:r w:rsidRPr="005A0D68">
        <w:rPr>
          <w:rFonts w:ascii="Times New Roman" w:hAnsi="Times New Roman" w:cs="Times New Roman"/>
          <w:sz w:val="24"/>
          <w:szCs w:val="24"/>
        </w:rPr>
        <w:lastRenderedPageBreak/>
        <w:t>existed”.</w:t>
      </w:r>
      <w:r w:rsidRPr="005A0D68">
        <w:rPr>
          <w:rStyle w:val="FootnoteReference"/>
          <w:rFonts w:ascii="Times New Roman" w:hAnsi="Times New Roman" w:cs="Times New Roman"/>
          <w:sz w:val="24"/>
          <w:szCs w:val="24"/>
        </w:rPr>
        <w:footnoteReference w:id="115"/>
      </w:r>
      <w:r w:rsidRPr="005A0D68">
        <w:rPr>
          <w:rFonts w:ascii="Times New Roman" w:hAnsi="Times New Roman" w:cs="Times New Roman"/>
          <w:sz w:val="24"/>
          <w:szCs w:val="24"/>
        </w:rPr>
        <w:t xml:space="preserve"> The continuing uncertainty prevalent in the discourse is far from satisfactory and the impact of the reform continues to be contested.</w:t>
      </w:r>
      <w:r w:rsidRPr="005A0D68">
        <w:rPr>
          <w:rStyle w:val="FootnoteReference"/>
          <w:rFonts w:ascii="Times New Roman" w:hAnsi="Times New Roman" w:cs="Times New Roman"/>
          <w:sz w:val="24"/>
          <w:szCs w:val="24"/>
        </w:rPr>
        <w:footnoteReference w:id="116"/>
      </w:r>
    </w:p>
    <w:p w:rsidR="000265BC" w:rsidRPr="005A0D68" w:rsidRDefault="000265BC" w:rsidP="000265BC">
      <w:pPr>
        <w:spacing w:after="0" w:line="480" w:lineRule="auto"/>
        <w:jc w:val="both"/>
        <w:rPr>
          <w:rFonts w:ascii="Times New Roman" w:hAnsi="Times New Roman" w:cs="Times New Roman"/>
          <w:sz w:val="24"/>
          <w:szCs w:val="24"/>
        </w:rPr>
      </w:pPr>
    </w:p>
    <w:p w:rsidR="000265BC" w:rsidRPr="005A0D68" w:rsidRDefault="006A1553" w:rsidP="000265BC">
      <w:pPr>
        <w:spacing w:after="0" w:line="480" w:lineRule="auto"/>
        <w:jc w:val="both"/>
        <w:rPr>
          <w:rFonts w:ascii="Times New Roman" w:hAnsi="Times New Roman" w:cs="Times New Roman"/>
          <w:b/>
          <w:sz w:val="24"/>
          <w:szCs w:val="24"/>
          <w:lang w:eastAsia="en-GB"/>
        </w:rPr>
      </w:pPr>
      <w:r w:rsidRPr="005A0D68">
        <w:rPr>
          <w:rFonts w:ascii="Times New Roman" w:hAnsi="Times New Roman" w:cs="Times New Roman"/>
          <w:b/>
          <w:sz w:val="24"/>
          <w:szCs w:val="24"/>
          <w:lang w:eastAsia="en-GB"/>
        </w:rPr>
        <w:t xml:space="preserve">The Fourth Head: </w:t>
      </w:r>
      <w:r w:rsidR="008C5401" w:rsidRPr="005A0D68">
        <w:rPr>
          <w:rFonts w:ascii="Times New Roman" w:hAnsi="Times New Roman" w:cs="Times New Roman"/>
          <w:b/>
          <w:sz w:val="24"/>
          <w:szCs w:val="24"/>
          <w:lang w:eastAsia="en-GB"/>
        </w:rPr>
        <w:t xml:space="preserve"> </w:t>
      </w:r>
      <w:r w:rsidR="00706CCD" w:rsidRPr="005A0D68">
        <w:rPr>
          <w:rFonts w:ascii="Times New Roman" w:hAnsi="Times New Roman" w:cs="Times New Roman"/>
          <w:b/>
          <w:sz w:val="24"/>
          <w:szCs w:val="24"/>
          <w:lang w:eastAsia="en-GB"/>
        </w:rPr>
        <w:t xml:space="preserve">Presumption </w:t>
      </w:r>
      <w:r w:rsidR="00604407" w:rsidRPr="005A0D68">
        <w:rPr>
          <w:rFonts w:ascii="Times New Roman" w:hAnsi="Times New Roman" w:cs="Times New Roman"/>
          <w:b/>
          <w:sz w:val="24"/>
          <w:szCs w:val="24"/>
          <w:lang w:eastAsia="en-GB"/>
        </w:rPr>
        <w:t xml:space="preserve">and </w:t>
      </w:r>
      <w:r w:rsidR="00706CCD" w:rsidRPr="005A0D68">
        <w:rPr>
          <w:rFonts w:ascii="Times New Roman" w:hAnsi="Times New Roman" w:cs="Times New Roman"/>
          <w:b/>
          <w:sz w:val="24"/>
          <w:szCs w:val="24"/>
          <w:lang w:eastAsia="en-GB"/>
        </w:rPr>
        <w:t>Fallacy</w:t>
      </w:r>
    </w:p>
    <w:p w:rsidR="000265BC" w:rsidRPr="005A0D68" w:rsidRDefault="000265BC" w:rsidP="000265BC">
      <w:pPr>
        <w:spacing w:after="0" w:line="480" w:lineRule="auto"/>
        <w:jc w:val="both"/>
        <w:rPr>
          <w:rFonts w:ascii="Times New Roman" w:hAnsi="Times New Roman" w:cs="Times New Roman"/>
          <w:sz w:val="24"/>
          <w:szCs w:val="24"/>
          <w:lang w:eastAsia="en-GB"/>
        </w:rPr>
      </w:pPr>
      <w:r w:rsidRPr="005A0D68">
        <w:rPr>
          <w:rFonts w:ascii="Times New Roman" w:hAnsi="Times New Roman" w:cs="Times New Roman"/>
          <w:sz w:val="24"/>
          <w:szCs w:val="24"/>
          <w:lang w:eastAsia="en-GB"/>
        </w:rPr>
        <w:t xml:space="preserve">As previously indicated, for purposes within the new descriptions the prevailing view was that </w:t>
      </w:r>
      <w:r w:rsidRPr="005A0D68">
        <w:rPr>
          <w:rFonts w:ascii="Times New Roman" w:hAnsi="Times New Roman" w:cs="Times New Roman"/>
          <w:sz w:val="24"/>
          <w:szCs w:val="24"/>
        </w:rPr>
        <w:t>the test of public benefit would “remain largely unaffected by the Act”.</w:t>
      </w:r>
      <w:r w:rsidRPr="005A0D68">
        <w:rPr>
          <w:rStyle w:val="FootnoteReference"/>
          <w:rFonts w:ascii="Times New Roman" w:hAnsi="Times New Roman" w:cs="Times New Roman"/>
          <w:sz w:val="24"/>
          <w:szCs w:val="24"/>
        </w:rPr>
        <w:footnoteReference w:id="117"/>
      </w:r>
      <w:r w:rsidRPr="005A0D68">
        <w:rPr>
          <w:rFonts w:ascii="Times New Roman" w:hAnsi="Times New Roman" w:cs="Times New Roman"/>
          <w:sz w:val="24"/>
          <w:szCs w:val="24"/>
        </w:rPr>
        <w:t xml:space="preserve"> </w:t>
      </w:r>
      <w:r w:rsidRPr="005A0D68">
        <w:rPr>
          <w:rFonts w:ascii="Times New Roman" w:hAnsi="Times New Roman" w:cs="Times New Roman"/>
          <w:sz w:val="24"/>
          <w:szCs w:val="24"/>
          <w:lang w:eastAsia="en-GB"/>
        </w:rPr>
        <w:t xml:space="preserve">Whatever the uncertainties facing charities in demonstrating public benefit for the first time, it was plainly understood that fourth head purposes would be untouched by </w:t>
      </w:r>
      <w:proofErr w:type="gramStart"/>
      <w:r w:rsidRPr="005A0D68">
        <w:rPr>
          <w:rFonts w:ascii="Times New Roman" w:hAnsi="Times New Roman" w:cs="Times New Roman"/>
          <w:sz w:val="24"/>
          <w:szCs w:val="24"/>
          <w:lang w:eastAsia="en-GB"/>
        </w:rPr>
        <w:t>s.4(</w:t>
      </w:r>
      <w:proofErr w:type="gramEnd"/>
      <w:r w:rsidRPr="005A0D68">
        <w:rPr>
          <w:rFonts w:ascii="Times New Roman" w:hAnsi="Times New Roman" w:cs="Times New Roman"/>
          <w:sz w:val="24"/>
          <w:szCs w:val="24"/>
          <w:lang w:eastAsia="en-GB"/>
        </w:rPr>
        <w:t>2). Understandably, purposes under th</w:t>
      </w:r>
      <w:r w:rsidR="00604407" w:rsidRPr="005A0D68">
        <w:rPr>
          <w:rFonts w:ascii="Times New Roman" w:hAnsi="Times New Roman" w:cs="Times New Roman"/>
          <w:sz w:val="24"/>
          <w:szCs w:val="24"/>
          <w:lang w:eastAsia="en-GB"/>
        </w:rPr>
        <w:t>is</w:t>
      </w:r>
      <w:r w:rsidRPr="005A0D68">
        <w:rPr>
          <w:rFonts w:ascii="Times New Roman" w:hAnsi="Times New Roman" w:cs="Times New Roman"/>
          <w:sz w:val="24"/>
          <w:szCs w:val="24"/>
          <w:lang w:eastAsia="en-GB"/>
        </w:rPr>
        <w:t xml:space="preserve"> </w:t>
      </w:r>
      <w:proofErr w:type="spellStart"/>
      <w:r w:rsidRPr="005A0D68">
        <w:rPr>
          <w:rFonts w:ascii="Times New Roman" w:hAnsi="Times New Roman" w:cs="Times New Roman"/>
          <w:i/>
          <w:sz w:val="24"/>
          <w:szCs w:val="24"/>
          <w:lang w:eastAsia="en-GB"/>
        </w:rPr>
        <w:t>Pemsel</w:t>
      </w:r>
      <w:proofErr w:type="spellEnd"/>
      <w:r w:rsidRPr="005A0D68">
        <w:rPr>
          <w:rFonts w:ascii="Times New Roman" w:hAnsi="Times New Roman" w:cs="Times New Roman"/>
          <w:sz w:val="24"/>
          <w:szCs w:val="24"/>
          <w:lang w:eastAsia="en-GB"/>
        </w:rPr>
        <w:t xml:space="preserve"> head were never viewed as benefiting from the presumption of public benefit.</w:t>
      </w:r>
      <w:r w:rsidRPr="005A0D68">
        <w:rPr>
          <w:rStyle w:val="FootnoteReference"/>
          <w:rFonts w:ascii="Times New Roman" w:hAnsi="Times New Roman" w:cs="Times New Roman"/>
          <w:sz w:val="24"/>
          <w:szCs w:val="24"/>
          <w:lang w:eastAsia="en-GB"/>
        </w:rPr>
        <w:footnoteReference w:id="118"/>
      </w:r>
      <w:r w:rsidRPr="005A0D68">
        <w:rPr>
          <w:rFonts w:ascii="Times New Roman" w:hAnsi="Times New Roman" w:cs="Times New Roman"/>
          <w:sz w:val="24"/>
          <w:szCs w:val="24"/>
          <w:lang w:eastAsia="en-GB"/>
        </w:rPr>
        <w:t xml:space="preserve"> The fourth head differed from the first three, as, “unlike them it was not a charitable purpose – rather it merely indicated a quality (that of being beneficial to the community) that any purpose would need to possess in order to enter the ranks...</w:t>
      </w:r>
      <w:proofErr w:type="gramStart"/>
      <w:r w:rsidRPr="005A0D68">
        <w:rPr>
          <w:rFonts w:ascii="Times New Roman" w:hAnsi="Times New Roman" w:cs="Times New Roman"/>
          <w:sz w:val="24"/>
          <w:szCs w:val="24"/>
          <w:lang w:eastAsia="en-GB"/>
        </w:rPr>
        <w:t>”.</w:t>
      </w:r>
      <w:proofErr w:type="gramEnd"/>
      <w:r w:rsidRPr="005A0D68">
        <w:rPr>
          <w:rFonts w:ascii="Times New Roman" w:hAnsi="Times New Roman" w:cs="Times New Roman"/>
          <w:sz w:val="24"/>
          <w:szCs w:val="24"/>
          <w:vertAlign w:val="superscript"/>
          <w:lang w:eastAsia="en-GB"/>
        </w:rPr>
        <w:footnoteReference w:id="119"/>
      </w:r>
      <w:r w:rsidRPr="005A0D68">
        <w:rPr>
          <w:rFonts w:ascii="Times New Roman" w:hAnsi="Times New Roman" w:cs="Times New Roman"/>
          <w:sz w:val="24"/>
          <w:szCs w:val="24"/>
          <w:lang w:eastAsia="en-GB"/>
        </w:rPr>
        <w:t xml:space="preserve"> </w:t>
      </w:r>
      <w:r w:rsidRPr="005A0D68">
        <w:rPr>
          <w:rFonts w:ascii="Times New Roman" w:hAnsi="Times New Roman" w:cs="Times New Roman"/>
          <w:sz w:val="24"/>
          <w:szCs w:val="24"/>
        </w:rPr>
        <w:t>As Lloyd LJ acknowledged, “there is a difference, at least in the process of analysis, between identifying a purpose as charitable within that aspect of the classification, on the one hand, and doing so within one of the first three categories, on the other”.</w:t>
      </w:r>
      <w:r w:rsidRPr="005A0D68">
        <w:rPr>
          <w:rStyle w:val="FootnoteReference"/>
          <w:rFonts w:ascii="Times New Roman" w:hAnsi="Times New Roman" w:cs="Times New Roman"/>
          <w:sz w:val="24"/>
          <w:szCs w:val="24"/>
        </w:rPr>
        <w:footnoteReference w:id="120"/>
      </w:r>
      <w:r w:rsidRPr="005A0D68">
        <w:rPr>
          <w:rFonts w:ascii="Times New Roman" w:hAnsi="Times New Roman" w:cs="Times New Roman"/>
          <w:sz w:val="24"/>
          <w:szCs w:val="24"/>
          <w:lang w:eastAsia="en-GB"/>
        </w:rPr>
        <w:t xml:space="preserve"> For novel purposes, two separate issues fell to be addressed. The court would consider whether, in a general sense, the purpose carried any benefit or value. If so, the purpose was required to fall within the spirit and intendment of the Preamble to the 1601 Act.</w:t>
      </w:r>
    </w:p>
    <w:p w:rsidR="000265BC" w:rsidRPr="005A0D68" w:rsidRDefault="000265BC" w:rsidP="000265BC">
      <w:pPr>
        <w:spacing w:after="0" w:line="480" w:lineRule="auto"/>
        <w:jc w:val="both"/>
        <w:rPr>
          <w:rFonts w:ascii="Times New Roman" w:hAnsi="Times New Roman" w:cs="Times New Roman"/>
          <w:sz w:val="24"/>
          <w:szCs w:val="24"/>
          <w:lang w:eastAsia="en-GB"/>
        </w:rPr>
      </w:pPr>
      <w:r w:rsidRPr="005A0D68">
        <w:rPr>
          <w:rFonts w:ascii="Times New Roman" w:hAnsi="Times New Roman" w:cs="Times New Roman"/>
          <w:sz w:val="24"/>
          <w:szCs w:val="24"/>
          <w:lang w:eastAsia="en-GB"/>
        </w:rPr>
        <w:lastRenderedPageBreak/>
        <w:tab/>
        <w:t>Only novel fourth head purposes were made subject to a more exacting test of validity, with the need for a distinctive approach to fourth head purposes diminishing as the head became shaped by established groupings of cases.</w:t>
      </w:r>
      <w:r w:rsidRPr="005A0D68">
        <w:rPr>
          <w:rStyle w:val="FootnoteReference"/>
          <w:rFonts w:ascii="Times New Roman" w:hAnsi="Times New Roman" w:cs="Times New Roman"/>
          <w:sz w:val="24"/>
          <w:szCs w:val="24"/>
          <w:lang w:eastAsia="en-GB"/>
        </w:rPr>
        <w:footnoteReference w:id="121"/>
      </w:r>
      <w:r w:rsidRPr="005A0D68">
        <w:rPr>
          <w:rFonts w:ascii="Times New Roman" w:hAnsi="Times New Roman" w:cs="Times New Roman"/>
          <w:sz w:val="24"/>
          <w:szCs w:val="24"/>
          <w:lang w:eastAsia="en-GB"/>
        </w:rPr>
        <w:t xml:space="preserve"> If a purpose could be housed within an established sub-category, it could, in effect, be assumed to carry benefit in the same way as trusts falling under one of the first three heads. By way of illustration, the welfare of animals had become a well-established fourth head sub-category by the early twentieth century</w:t>
      </w:r>
      <w:r w:rsidRPr="005A0D68">
        <w:rPr>
          <w:rFonts w:ascii="Times New Roman" w:hAnsi="Times New Roman" w:cs="Times New Roman"/>
          <w:sz w:val="24"/>
          <w:szCs w:val="24"/>
          <w:vertAlign w:val="superscript"/>
          <w:lang w:eastAsia="en-GB"/>
        </w:rPr>
        <w:footnoteReference w:id="122"/>
      </w:r>
      <w:r w:rsidRPr="005A0D68">
        <w:rPr>
          <w:rFonts w:ascii="Times New Roman" w:hAnsi="Times New Roman" w:cs="Times New Roman"/>
          <w:sz w:val="24"/>
          <w:szCs w:val="24"/>
          <w:lang w:eastAsia="en-GB"/>
        </w:rPr>
        <w:t xml:space="preserve"> for the reason that, “discouragement of cruelty to lower animals … involved benefit to the community”.</w:t>
      </w:r>
      <w:r w:rsidRPr="005A0D68">
        <w:rPr>
          <w:rFonts w:ascii="Times New Roman" w:hAnsi="Times New Roman" w:cs="Times New Roman"/>
          <w:sz w:val="24"/>
          <w:szCs w:val="24"/>
          <w:vertAlign w:val="superscript"/>
          <w:lang w:eastAsia="en-GB"/>
        </w:rPr>
        <w:footnoteReference w:id="123"/>
      </w:r>
      <w:r w:rsidRPr="005A0D68">
        <w:rPr>
          <w:rFonts w:ascii="Times New Roman" w:hAnsi="Times New Roman" w:cs="Times New Roman"/>
          <w:sz w:val="24"/>
          <w:szCs w:val="24"/>
          <w:lang w:eastAsia="en-GB"/>
        </w:rPr>
        <w:t xml:space="preserve"> Accordingly, in </w:t>
      </w:r>
      <w:r w:rsidRPr="005A0D68">
        <w:rPr>
          <w:rFonts w:ascii="Times New Roman" w:hAnsi="Times New Roman" w:cs="Times New Roman"/>
          <w:i/>
          <w:iCs/>
          <w:sz w:val="24"/>
          <w:szCs w:val="24"/>
          <w:lang w:eastAsia="en-GB"/>
        </w:rPr>
        <w:t>Re Grove-Grady</w:t>
      </w:r>
      <w:r w:rsidRPr="005A0D68">
        <w:rPr>
          <w:rFonts w:ascii="Times New Roman" w:hAnsi="Times New Roman" w:cs="Times New Roman"/>
          <w:sz w:val="24"/>
          <w:szCs w:val="24"/>
          <w:lang w:eastAsia="en-GB"/>
        </w:rPr>
        <w:t xml:space="preserve"> Hanworth LJ was clear that the ‘removal of cruelty to animals’ (the primary concern of the testatrix) was an object that, “must clearly be accepted as a charity within the decided cases”.</w:t>
      </w:r>
      <w:r w:rsidRPr="005A0D68">
        <w:rPr>
          <w:rFonts w:ascii="Times New Roman" w:hAnsi="Times New Roman" w:cs="Times New Roman"/>
          <w:sz w:val="24"/>
          <w:szCs w:val="24"/>
          <w:vertAlign w:val="superscript"/>
          <w:lang w:eastAsia="en-GB"/>
        </w:rPr>
        <w:footnoteReference w:id="124"/>
      </w:r>
      <w:r w:rsidRPr="005A0D68">
        <w:rPr>
          <w:rFonts w:ascii="Times New Roman" w:hAnsi="Times New Roman" w:cs="Times New Roman"/>
          <w:sz w:val="24"/>
          <w:szCs w:val="24"/>
          <w:lang w:eastAsia="en-GB"/>
        </w:rPr>
        <w:t xml:space="preserve"> This type of benefit is, however, intangible, unquantifiable and thoroughly anomalous. It is described in typically oblique fashion in the case law through the use of phrases such as the promotion of feelings of morality, the repression of brutality and the elevation of the human race.</w:t>
      </w:r>
      <w:r w:rsidRPr="005A0D68">
        <w:rPr>
          <w:rFonts w:ascii="Times New Roman" w:hAnsi="Times New Roman" w:cs="Times New Roman"/>
          <w:sz w:val="24"/>
          <w:szCs w:val="24"/>
          <w:vertAlign w:val="superscript"/>
          <w:lang w:eastAsia="en-GB"/>
        </w:rPr>
        <w:footnoteReference w:id="125"/>
      </w:r>
      <w:r w:rsidRPr="005A0D68">
        <w:rPr>
          <w:rFonts w:ascii="Times New Roman" w:hAnsi="Times New Roman" w:cs="Times New Roman"/>
          <w:sz w:val="24"/>
          <w:szCs w:val="24"/>
          <w:lang w:eastAsia="en-GB"/>
        </w:rPr>
        <w:t xml:space="preserve"> Not every trust for the benefit of animals carries this form of benefit to the community. Indeed, Picarda admitted that, </w:t>
      </w:r>
      <w:r w:rsidRPr="005A0D68">
        <w:rPr>
          <w:rFonts w:ascii="Times New Roman" w:hAnsi="Times New Roman" w:cs="Times New Roman"/>
          <w:sz w:val="24"/>
          <w:szCs w:val="24"/>
        </w:rPr>
        <w:t>“It is difficult to see how animal charities are within the spirit and intendment of the preamble”.</w:t>
      </w:r>
      <w:r w:rsidRPr="005A0D68">
        <w:rPr>
          <w:rStyle w:val="FootnoteReference"/>
          <w:rFonts w:ascii="Times New Roman" w:hAnsi="Times New Roman" w:cs="Times New Roman"/>
          <w:sz w:val="24"/>
          <w:szCs w:val="24"/>
          <w:lang w:eastAsia="en-GB"/>
        </w:rPr>
        <w:footnoteReference w:id="126"/>
      </w:r>
      <w:r w:rsidRPr="005A0D68">
        <w:rPr>
          <w:rFonts w:ascii="Times New Roman" w:hAnsi="Times New Roman" w:cs="Times New Roman"/>
          <w:sz w:val="24"/>
          <w:szCs w:val="24"/>
        </w:rPr>
        <w:t xml:space="preserve"> </w:t>
      </w:r>
      <w:r w:rsidRPr="005A0D68">
        <w:rPr>
          <w:rFonts w:ascii="Times New Roman" w:hAnsi="Times New Roman" w:cs="Times New Roman"/>
          <w:sz w:val="24"/>
          <w:szCs w:val="24"/>
          <w:lang w:eastAsia="en-GB"/>
        </w:rPr>
        <w:t xml:space="preserve">However, once the capability of benefit (in a legal sense) is recognised, that is, in the identification of analogous case law, the court is involved in exactly the same process of evaluation as would occur under any of the first three heads. Evidence of benefit thus ceases to be of concern and what follows is the taking on board of any countervailing evidence of lack of benefit. The outcome in </w:t>
      </w:r>
      <w:r w:rsidRPr="005A0D68">
        <w:rPr>
          <w:rFonts w:ascii="Times New Roman" w:hAnsi="Times New Roman" w:cs="Times New Roman"/>
          <w:i/>
          <w:iCs/>
          <w:sz w:val="24"/>
          <w:szCs w:val="24"/>
          <w:lang w:eastAsia="en-GB"/>
        </w:rPr>
        <w:t>Re Grove-Grady</w:t>
      </w:r>
      <w:r w:rsidRPr="005A0D68">
        <w:rPr>
          <w:rFonts w:ascii="Times New Roman" w:hAnsi="Times New Roman" w:cs="Times New Roman"/>
          <w:sz w:val="24"/>
          <w:szCs w:val="24"/>
          <w:lang w:eastAsia="en-GB"/>
        </w:rPr>
        <w:t xml:space="preserve"> is well known. Lord Hanworth MR could find nothing beneficial to the animals or to mankind from a sanctuary, “free from </w:t>
      </w:r>
      <w:r w:rsidRPr="005A0D68">
        <w:rPr>
          <w:rFonts w:ascii="Times New Roman" w:hAnsi="Times New Roman" w:cs="Times New Roman"/>
          <w:sz w:val="24"/>
          <w:szCs w:val="24"/>
          <w:lang w:eastAsia="en-GB"/>
        </w:rPr>
        <w:lastRenderedPageBreak/>
        <w:t>the molestation of man, while all the fauna within it are to be free to molest and harry one another”.</w:t>
      </w:r>
      <w:r w:rsidRPr="005A0D68">
        <w:rPr>
          <w:rFonts w:ascii="Times New Roman" w:hAnsi="Times New Roman" w:cs="Times New Roman"/>
          <w:sz w:val="24"/>
          <w:szCs w:val="24"/>
          <w:vertAlign w:val="superscript"/>
          <w:lang w:eastAsia="en-GB"/>
        </w:rPr>
        <w:footnoteReference w:id="127"/>
      </w:r>
      <w:r w:rsidRPr="005A0D68">
        <w:rPr>
          <w:rFonts w:ascii="Times New Roman" w:hAnsi="Times New Roman" w:cs="Times New Roman"/>
          <w:sz w:val="24"/>
          <w:szCs w:val="24"/>
          <w:lang w:eastAsia="en-GB"/>
        </w:rPr>
        <w:t xml:space="preserve"> </w:t>
      </w:r>
    </w:p>
    <w:p w:rsidR="000265BC" w:rsidRPr="005A0D68" w:rsidRDefault="000265BC" w:rsidP="000265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lang w:eastAsia="en-GB"/>
        </w:rPr>
        <w:tab/>
        <w:t xml:space="preserve">The desire for a strong, universal test of public benefit was built upon the fallacy that benefit under the fourth head could never be </w:t>
      </w:r>
      <w:proofErr w:type="gramStart"/>
      <w:r w:rsidRPr="005A0D68">
        <w:rPr>
          <w:rFonts w:ascii="Times New Roman" w:hAnsi="Times New Roman" w:cs="Times New Roman"/>
          <w:sz w:val="24"/>
          <w:szCs w:val="24"/>
          <w:lang w:eastAsia="en-GB"/>
        </w:rPr>
        <w:t>assumed,</w:t>
      </w:r>
      <w:proofErr w:type="gramEnd"/>
      <w:r w:rsidRPr="005A0D68">
        <w:rPr>
          <w:rFonts w:ascii="Times New Roman" w:hAnsi="Times New Roman" w:cs="Times New Roman"/>
          <w:sz w:val="24"/>
          <w:szCs w:val="24"/>
          <w:lang w:eastAsia="en-GB"/>
        </w:rPr>
        <w:t xml:space="preserve"> that such purposes were subject to a higher degree of scrutiny and that more robust screening might also apply fittingly to purposes under the first three </w:t>
      </w:r>
      <w:r w:rsidRPr="005A0D68">
        <w:rPr>
          <w:rFonts w:ascii="Times New Roman" w:hAnsi="Times New Roman" w:cs="Times New Roman"/>
          <w:i/>
          <w:sz w:val="24"/>
          <w:szCs w:val="24"/>
          <w:lang w:eastAsia="en-GB"/>
        </w:rPr>
        <w:t>Pemsel</w:t>
      </w:r>
      <w:r w:rsidRPr="005A0D68">
        <w:rPr>
          <w:rFonts w:ascii="Times New Roman" w:hAnsi="Times New Roman" w:cs="Times New Roman"/>
          <w:sz w:val="24"/>
          <w:szCs w:val="24"/>
          <w:lang w:eastAsia="en-GB"/>
        </w:rPr>
        <w:t xml:space="preserve"> heads. Accordingly, benefit is seemingly demonstrated by the weighing up of benefit and detriment in a given case, as though the purpose at hand were a novel purpose, and without the assumption that a purpose falling squarely within a statutory description is a beneficial purpose. In its day to day assessment of public ‘benefit’, moreover, the Commission sets a high bar with </w:t>
      </w:r>
      <w:r w:rsidRPr="005A0D68">
        <w:rPr>
          <w:rFonts w:ascii="Times New Roman" w:hAnsi="Times New Roman" w:cs="Times New Roman"/>
          <w:sz w:val="24"/>
          <w:szCs w:val="24"/>
        </w:rPr>
        <w:t xml:space="preserve">an unapologetic focus on the means by which is purpose is pursued. The relevant question is, “not whether the ... [particular] purposes are </w:t>
      </w:r>
      <w:r w:rsidRPr="005A0D68">
        <w:rPr>
          <w:rFonts w:ascii="Times New Roman" w:hAnsi="Times New Roman" w:cs="Times New Roman"/>
          <w:sz w:val="24"/>
          <w:szCs w:val="24"/>
          <w:u w:val="single"/>
        </w:rPr>
        <w:t>capable</w:t>
      </w:r>
      <w:r w:rsidRPr="005A0D68">
        <w:rPr>
          <w:rFonts w:ascii="Times New Roman" w:hAnsi="Times New Roman" w:cs="Times New Roman"/>
          <w:sz w:val="24"/>
          <w:szCs w:val="24"/>
        </w:rPr>
        <w:t xml:space="preserve"> of being for the public benefit, but whether there is sufficient evidence from which it can be concluded that they </w:t>
      </w:r>
      <w:r w:rsidRPr="005A0D68">
        <w:rPr>
          <w:rFonts w:ascii="Times New Roman" w:hAnsi="Times New Roman" w:cs="Times New Roman"/>
          <w:sz w:val="24"/>
          <w:szCs w:val="24"/>
          <w:u w:val="single"/>
        </w:rPr>
        <w:t>will</w:t>
      </w:r>
      <w:r w:rsidRPr="005A0D68">
        <w:rPr>
          <w:rFonts w:ascii="Times New Roman" w:hAnsi="Times New Roman" w:cs="Times New Roman"/>
          <w:b/>
          <w:sz w:val="24"/>
          <w:szCs w:val="24"/>
        </w:rPr>
        <w:t xml:space="preserve"> </w:t>
      </w:r>
      <w:r w:rsidRPr="005A0D68">
        <w:rPr>
          <w:rFonts w:ascii="Times New Roman" w:hAnsi="Times New Roman" w:cs="Times New Roman"/>
          <w:sz w:val="24"/>
          <w:szCs w:val="24"/>
        </w:rPr>
        <w:t>result in such benefit”.</w:t>
      </w:r>
      <w:r w:rsidRPr="005A0D68">
        <w:rPr>
          <w:rStyle w:val="FootnoteReference"/>
          <w:rFonts w:ascii="Times New Roman" w:hAnsi="Times New Roman" w:cs="Times New Roman"/>
          <w:sz w:val="24"/>
          <w:szCs w:val="24"/>
        </w:rPr>
        <w:footnoteReference w:id="128"/>
      </w:r>
      <w:r w:rsidRPr="005A0D68">
        <w:rPr>
          <w:rFonts w:ascii="Times New Roman" w:hAnsi="Times New Roman" w:cs="Times New Roman"/>
          <w:sz w:val="24"/>
          <w:szCs w:val="24"/>
        </w:rPr>
        <w:t xml:space="preserve"> This is, most certainly, an exacting test for any newly established organisation that might struggle to furnish satisfactory evidence of impact.  When challenged on its interpretation of the law in </w:t>
      </w:r>
      <w:r w:rsidRPr="005A0D68">
        <w:rPr>
          <w:rFonts w:ascii="Times New Roman" w:hAnsi="Times New Roman" w:cs="Times New Roman"/>
          <w:i/>
          <w:sz w:val="24"/>
          <w:szCs w:val="24"/>
        </w:rPr>
        <w:t>Uturn</w:t>
      </w:r>
      <w:r w:rsidRPr="005A0D68">
        <w:rPr>
          <w:rFonts w:ascii="Times New Roman" w:hAnsi="Times New Roman" w:cs="Times New Roman"/>
          <w:sz w:val="24"/>
          <w:szCs w:val="24"/>
        </w:rPr>
        <w:t xml:space="preserve">, the Commission justified its general approach by reference to </w:t>
      </w:r>
      <w:proofErr w:type="gramStart"/>
      <w:r w:rsidRPr="005A0D68">
        <w:rPr>
          <w:rFonts w:ascii="Times New Roman" w:hAnsi="Times New Roman" w:cs="Times New Roman"/>
          <w:sz w:val="24"/>
          <w:szCs w:val="24"/>
        </w:rPr>
        <w:t>s.2(</w:t>
      </w:r>
      <w:proofErr w:type="gramEnd"/>
      <w:r w:rsidRPr="005A0D68">
        <w:rPr>
          <w:rFonts w:ascii="Times New Roman" w:hAnsi="Times New Roman" w:cs="Times New Roman"/>
          <w:sz w:val="24"/>
          <w:szCs w:val="24"/>
        </w:rPr>
        <w:t>1)(b) and the “absolute requirement” now imposed that a purpose be for the public benefit.</w:t>
      </w:r>
      <w:r w:rsidRPr="005A0D68">
        <w:rPr>
          <w:rStyle w:val="FootnoteReference"/>
          <w:rFonts w:ascii="Times New Roman" w:hAnsi="Times New Roman" w:cs="Times New Roman"/>
          <w:sz w:val="24"/>
          <w:szCs w:val="24"/>
        </w:rPr>
        <w:footnoteReference w:id="129"/>
      </w:r>
      <w:r w:rsidRPr="005A0D68">
        <w:rPr>
          <w:rFonts w:ascii="Times New Roman" w:hAnsi="Times New Roman" w:cs="Times New Roman"/>
          <w:sz w:val="24"/>
          <w:szCs w:val="24"/>
        </w:rPr>
        <w:t xml:space="preserve"> In the context of community development, the Commission was forced to concede that its earlier, less rigorous statements to the contrary pre-dated the Act, did not reflect the current law and should be disregarded. It is far from clear that this strict and uncompromising approach to public benefit, which it applies across the board, is either justifiable or fair. </w:t>
      </w:r>
    </w:p>
    <w:p w:rsidR="00314ABC" w:rsidRPr="005A0D68" w:rsidRDefault="00314ABC" w:rsidP="00314ABC">
      <w:pPr>
        <w:spacing w:after="0" w:line="480" w:lineRule="auto"/>
        <w:jc w:val="both"/>
        <w:rPr>
          <w:rFonts w:ascii="Times New Roman" w:hAnsi="Times New Roman" w:cs="Times New Roman"/>
          <w:b/>
          <w:sz w:val="24"/>
          <w:szCs w:val="24"/>
        </w:rPr>
      </w:pPr>
    </w:p>
    <w:p w:rsidR="00314ABC" w:rsidRPr="005A0D68" w:rsidRDefault="00314ABC" w:rsidP="00314ABC">
      <w:pPr>
        <w:spacing w:after="0" w:line="480" w:lineRule="auto"/>
        <w:jc w:val="both"/>
        <w:rPr>
          <w:rFonts w:ascii="Times New Roman" w:eastAsia="Times New Roman" w:hAnsi="Times New Roman" w:cs="Times New Roman"/>
          <w:sz w:val="24"/>
          <w:szCs w:val="24"/>
          <w:lang w:eastAsia="en-GB"/>
        </w:rPr>
      </w:pPr>
      <w:r w:rsidRPr="005A0D68">
        <w:rPr>
          <w:rFonts w:ascii="Times New Roman" w:hAnsi="Times New Roman" w:cs="Times New Roman"/>
          <w:b/>
          <w:sz w:val="24"/>
          <w:szCs w:val="24"/>
        </w:rPr>
        <w:t>Public Benefit Guidance</w:t>
      </w:r>
    </w:p>
    <w:p w:rsidR="00314ABC" w:rsidRPr="005A0D68" w:rsidRDefault="00314ABC" w:rsidP="00314A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lastRenderedPageBreak/>
        <w:t>Pursuant to its public benefit objective, the Commission is required to issue and, from time to time revise, its public benefit guidance.</w:t>
      </w:r>
      <w:r w:rsidRPr="005A0D68">
        <w:rPr>
          <w:rStyle w:val="FootnoteReference"/>
          <w:rFonts w:ascii="Times New Roman" w:hAnsi="Times New Roman" w:cs="Times New Roman"/>
          <w:sz w:val="24"/>
          <w:szCs w:val="24"/>
        </w:rPr>
        <w:footnoteReference w:id="130"/>
      </w:r>
      <w:r w:rsidRPr="005A0D68">
        <w:rPr>
          <w:rFonts w:ascii="Times New Roman" w:hAnsi="Times New Roman" w:cs="Times New Roman"/>
          <w:sz w:val="24"/>
          <w:szCs w:val="24"/>
        </w:rPr>
        <w:t xml:space="preserve"> This is guidance to which charity trustees must have regard when exercising any powers and duties to which that guidance is relevant.</w:t>
      </w:r>
      <w:r w:rsidRPr="005A0D68">
        <w:rPr>
          <w:rStyle w:val="FootnoteReference"/>
          <w:rFonts w:ascii="Times New Roman" w:hAnsi="Times New Roman" w:cs="Times New Roman"/>
          <w:sz w:val="24"/>
          <w:szCs w:val="24"/>
        </w:rPr>
        <w:footnoteReference w:id="131"/>
      </w:r>
      <w:r w:rsidRPr="005A0D68">
        <w:rPr>
          <w:rFonts w:ascii="Times New Roman" w:hAnsi="Times New Roman" w:cs="Times New Roman"/>
          <w:sz w:val="24"/>
          <w:szCs w:val="24"/>
        </w:rPr>
        <w:t xml:space="preserve"> Issued in 2013, the guidance in its current form entirely replaces the earlier 2008 version</w:t>
      </w:r>
      <w:r w:rsidRPr="005A0D68">
        <w:rPr>
          <w:rStyle w:val="FootnoteReference"/>
          <w:rFonts w:ascii="Times New Roman" w:hAnsi="Times New Roman" w:cs="Times New Roman"/>
          <w:sz w:val="24"/>
          <w:szCs w:val="24"/>
        </w:rPr>
        <w:footnoteReference w:id="132"/>
      </w:r>
      <w:r w:rsidRPr="005A0D68">
        <w:rPr>
          <w:rFonts w:ascii="Times New Roman" w:hAnsi="Times New Roman" w:cs="Times New Roman"/>
          <w:sz w:val="24"/>
          <w:szCs w:val="24"/>
        </w:rPr>
        <w:t xml:space="preserve"> and comprises three parts. Whereas parts two and three deal with running a charity and reporting on a charity’s work respectively,</w:t>
      </w:r>
      <w:r w:rsidRPr="005A0D68">
        <w:rPr>
          <w:rStyle w:val="FootnoteReference"/>
          <w:rFonts w:ascii="Times New Roman" w:hAnsi="Times New Roman" w:cs="Times New Roman"/>
          <w:sz w:val="24"/>
          <w:szCs w:val="24"/>
        </w:rPr>
        <w:footnoteReference w:id="133"/>
      </w:r>
      <w:r w:rsidRPr="005A0D68">
        <w:rPr>
          <w:rFonts w:ascii="Times New Roman" w:hAnsi="Times New Roman" w:cs="Times New Roman"/>
          <w:sz w:val="24"/>
          <w:szCs w:val="24"/>
        </w:rPr>
        <w:t xml:space="preserve"> only the first part (PB1) directly concerns the ‘public benefit requirement’ as defined in the 2011 Act.</w:t>
      </w:r>
      <w:r w:rsidRPr="005A0D68">
        <w:rPr>
          <w:rFonts w:ascii="Times New Roman" w:eastAsia="Times New Roman" w:hAnsi="Times New Roman" w:cs="Times New Roman"/>
          <w:sz w:val="24"/>
          <w:szCs w:val="24"/>
        </w:rPr>
        <w:t xml:space="preserve"> </w:t>
      </w:r>
    </w:p>
    <w:p w:rsidR="00314ABC" w:rsidRPr="005A0D68" w:rsidRDefault="00314ABC" w:rsidP="00314ABC">
      <w:pPr>
        <w:pStyle w:val="ListParagraph"/>
        <w:spacing w:after="0" w:line="480" w:lineRule="auto"/>
        <w:ind w:left="0"/>
        <w:jc w:val="both"/>
        <w:rPr>
          <w:rFonts w:ascii="Times New Roman" w:hAnsi="Times New Roman" w:cs="Times New Roman"/>
          <w:sz w:val="24"/>
          <w:szCs w:val="24"/>
        </w:rPr>
      </w:pPr>
      <w:r w:rsidRPr="005A0D68">
        <w:rPr>
          <w:rFonts w:ascii="Times New Roman" w:hAnsi="Times New Roman" w:cs="Times New Roman"/>
          <w:sz w:val="24"/>
          <w:szCs w:val="24"/>
        </w:rPr>
        <w:tab/>
        <w:t>To satisfy the ‘benefit aspect’ of public benefit, the guidance makes clear that, “the purpose must be beneficial” and “any detriment or harm that results from the purpose must not outweigh the benefit”.</w:t>
      </w:r>
      <w:r w:rsidRPr="005A0D68">
        <w:rPr>
          <w:rStyle w:val="FootnoteReference"/>
          <w:rFonts w:ascii="Times New Roman" w:hAnsi="Times New Roman" w:cs="Times New Roman"/>
          <w:sz w:val="24"/>
          <w:szCs w:val="24"/>
        </w:rPr>
        <w:footnoteReference w:id="134"/>
      </w:r>
      <w:r w:rsidRPr="005A0D68">
        <w:rPr>
          <w:rFonts w:ascii="Times New Roman" w:hAnsi="Times New Roman" w:cs="Times New Roman"/>
          <w:sz w:val="24"/>
          <w:szCs w:val="24"/>
        </w:rPr>
        <w:t xml:space="preserve"> Beyond this broad prescription, the Commission guidance is brief, vague and pitched at a level of generality that offers little insight into the Commission’s expectations, method of working or rigorous quality control. Its choice of illustrations is mundane and unchallenging. It clarifies that beneficial means, “beneficial in a way that is identifiable”, “capable of being proved by evidence where necessary” and “not based on personal views”.</w:t>
      </w:r>
      <w:r w:rsidRPr="005A0D68">
        <w:rPr>
          <w:rStyle w:val="FootnoteReference"/>
          <w:rFonts w:ascii="Times New Roman" w:hAnsi="Times New Roman" w:cs="Times New Roman"/>
          <w:sz w:val="24"/>
          <w:szCs w:val="24"/>
        </w:rPr>
        <w:footnoteReference w:id="135"/>
      </w:r>
      <w:r w:rsidRPr="005A0D68">
        <w:rPr>
          <w:rFonts w:ascii="Times New Roman" w:hAnsi="Times New Roman" w:cs="Times New Roman"/>
          <w:sz w:val="24"/>
          <w:szCs w:val="24"/>
        </w:rPr>
        <w:t xml:space="preserve"> The reference to “where necessary” is immediately eye-catching. The Commission admits that, “In some cases the purpose is so clearly beneficial that there is little need for trustees to provide evidence to prove this”,</w:t>
      </w:r>
      <w:r w:rsidRPr="005A0D68">
        <w:rPr>
          <w:rStyle w:val="FootnoteReference"/>
          <w:rFonts w:ascii="Times New Roman" w:hAnsi="Times New Roman" w:cs="Times New Roman"/>
          <w:sz w:val="24"/>
          <w:szCs w:val="24"/>
        </w:rPr>
        <w:footnoteReference w:id="136"/>
      </w:r>
      <w:r w:rsidRPr="005A0D68">
        <w:rPr>
          <w:rFonts w:ascii="Times New Roman" w:hAnsi="Times New Roman" w:cs="Times New Roman"/>
          <w:sz w:val="24"/>
          <w:szCs w:val="24"/>
        </w:rPr>
        <w:t xml:space="preserve"> chiming clearly with the view expressed by Vaisey J that, “</w:t>
      </w:r>
      <w:r w:rsidRPr="005A0D68">
        <w:rPr>
          <w:rFonts w:ascii="Times New Roman" w:hAnsi="Times New Roman" w:cs="Times New Roman"/>
          <w:color w:val="000000"/>
          <w:sz w:val="24"/>
          <w:szCs w:val="24"/>
          <w:shd w:val="clear" w:color="auto" w:fill="FFFFFF"/>
        </w:rPr>
        <w:t>there are many cases ... where the purpose is so obviously beneficial to the community that to ask for evidence would really be quite absurd”.</w:t>
      </w:r>
      <w:r w:rsidRPr="005A0D68">
        <w:rPr>
          <w:rStyle w:val="FootnoteReference"/>
          <w:rFonts w:ascii="Times New Roman" w:hAnsi="Times New Roman" w:cs="Times New Roman"/>
          <w:sz w:val="24"/>
          <w:szCs w:val="24"/>
        </w:rPr>
        <w:footnoteReference w:id="137"/>
      </w:r>
      <w:r w:rsidRPr="005A0D68">
        <w:rPr>
          <w:rFonts w:ascii="Times New Roman" w:hAnsi="Times New Roman" w:cs="Times New Roman"/>
          <w:sz w:val="24"/>
          <w:szCs w:val="24"/>
        </w:rPr>
        <w:t xml:space="preserve"> It is unhelpful, nonetheless, that the Commission provides no more than a solitary example of the </w:t>
      </w:r>
      <w:r w:rsidRPr="005A0D68">
        <w:rPr>
          <w:rFonts w:ascii="Times New Roman" w:hAnsi="Times New Roman" w:cs="Times New Roman"/>
          <w:sz w:val="24"/>
          <w:szCs w:val="24"/>
        </w:rPr>
        <w:lastRenderedPageBreak/>
        <w:t>most urgent and compelling kind, “the provision of emergency aid in the context of a natural disaster”. Given that a great many trustees may feel that their purposes are clearly beneficial without the need for probative evidence, it is regrettable that no borderline illustrations are offered to assist. This part of the guidance also fails to convey that the focus of the Commission falls not only on the purpose, but the manner in which the purpose is pursued, leading it to doubt, more often than it might, that benefit will result from the pursuit of the organisation’s purposes.</w:t>
      </w:r>
    </w:p>
    <w:p w:rsidR="00314ABC" w:rsidRPr="005A0D68" w:rsidRDefault="00314ABC" w:rsidP="00314ABC">
      <w:pPr>
        <w:pStyle w:val="ListParagraph"/>
        <w:spacing w:after="0" w:line="480" w:lineRule="auto"/>
        <w:ind w:left="0"/>
        <w:jc w:val="both"/>
        <w:rPr>
          <w:rFonts w:ascii="Times New Roman" w:hAnsi="Times New Roman" w:cs="Times New Roman"/>
          <w:sz w:val="24"/>
          <w:szCs w:val="24"/>
        </w:rPr>
      </w:pPr>
    </w:p>
    <w:p w:rsidR="00314ABC" w:rsidRPr="005A0D68" w:rsidRDefault="00314ABC" w:rsidP="00314ABC">
      <w:pPr>
        <w:pStyle w:val="ListParagraph"/>
        <w:spacing w:after="0" w:line="480" w:lineRule="auto"/>
        <w:ind w:left="0"/>
        <w:jc w:val="both"/>
        <w:rPr>
          <w:rFonts w:ascii="Times New Roman" w:hAnsi="Times New Roman" w:cs="Times New Roman"/>
          <w:b/>
          <w:sz w:val="24"/>
          <w:szCs w:val="24"/>
        </w:rPr>
      </w:pPr>
      <w:r w:rsidRPr="005A0D68">
        <w:rPr>
          <w:rFonts w:ascii="Times New Roman" w:hAnsi="Times New Roman" w:cs="Times New Roman"/>
          <w:b/>
          <w:sz w:val="24"/>
          <w:szCs w:val="24"/>
        </w:rPr>
        <w:t xml:space="preserve">Obvious and </w:t>
      </w:r>
      <w:r w:rsidR="00AA5C18" w:rsidRPr="005A0D68">
        <w:rPr>
          <w:rFonts w:ascii="Times New Roman" w:hAnsi="Times New Roman" w:cs="Times New Roman"/>
          <w:b/>
          <w:sz w:val="24"/>
          <w:szCs w:val="24"/>
        </w:rPr>
        <w:t xml:space="preserve">Other </w:t>
      </w:r>
      <w:r w:rsidRPr="005A0D68">
        <w:rPr>
          <w:rFonts w:ascii="Times New Roman" w:hAnsi="Times New Roman" w:cs="Times New Roman"/>
          <w:b/>
          <w:sz w:val="24"/>
          <w:szCs w:val="24"/>
        </w:rPr>
        <w:t>Benefits</w:t>
      </w:r>
    </w:p>
    <w:p w:rsidR="00314ABC" w:rsidRPr="005A0D68" w:rsidRDefault="00314ABC" w:rsidP="00314ABC">
      <w:pPr>
        <w:pStyle w:val="FootnoteText"/>
        <w:spacing w:line="480" w:lineRule="auto"/>
        <w:jc w:val="both"/>
        <w:rPr>
          <w:sz w:val="24"/>
          <w:szCs w:val="24"/>
        </w:rPr>
      </w:pPr>
      <w:r w:rsidRPr="005A0D68">
        <w:rPr>
          <w:sz w:val="24"/>
          <w:szCs w:val="24"/>
        </w:rPr>
        <w:t xml:space="preserve">The requirement for formal proof of benefit was contested in the </w:t>
      </w:r>
      <w:r w:rsidRPr="005A0D68">
        <w:rPr>
          <w:i/>
          <w:sz w:val="24"/>
          <w:szCs w:val="24"/>
        </w:rPr>
        <w:t xml:space="preserve">HDT </w:t>
      </w:r>
      <w:r w:rsidRPr="005A0D68">
        <w:rPr>
          <w:sz w:val="24"/>
          <w:szCs w:val="24"/>
        </w:rPr>
        <w:t>case. HDT had been denied registration by the Commission on the basis that its objects were too vague and its purposes too political. On appeal, the Commission argued that, “the onus of proof fell on HDT to satisfy the Tribunal that its purposes are directed to benefitting the public in a way that is recognised as charitable”.</w:t>
      </w:r>
      <w:r w:rsidRPr="005A0D68">
        <w:rPr>
          <w:rStyle w:val="FootnoteReference"/>
          <w:sz w:val="24"/>
          <w:szCs w:val="24"/>
        </w:rPr>
        <w:footnoteReference w:id="138"/>
      </w:r>
      <w:r w:rsidRPr="005A0D68">
        <w:rPr>
          <w:sz w:val="24"/>
          <w:szCs w:val="24"/>
        </w:rPr>
        <w:t xml:space="preserve"> Accordingly, HDT argued that the eradication of human rights abuses was so obviously beneficial that it did not demand formal proof. Support for this view was found in the Commission’s own RR12 guidance which stated that the, “concept of human rights is virtually unanimously endorsed by the countries of the world”</w:t>
      </w:r>
      <w:r w:rsidRPr="005A0D68">
        <w:rPr>
          <w:rStyle w:val="FootnoteReference"/>
          <w:sz w:val="24"/>
          <w:szCs w:val="24"/>
        </w:rPr>
        <w:footnoteReference w:id="139"/>
      </w:r>
      <w:r w:rsidRPr="005A0D68">
        <w:rPr>
          <w:sz w:val="24"/>
          <w:szCs w:val="24"/>
        </w:rPr>
        <w:t xml:space="preserve"> and that, “there is an obvious benefit in promoting human rights”.</w:t>
      </w:r>
      <w:r w:rsidRPr="005A0D68">
        <w:rPr>
          <w:rStyle w:val="FootnoteReference"/>
          <w:sz w:val="24"/>
          <w:szCs w:val="24"/>
        </w:rPr>
        <w:footnoteReference w:id="140"/>
      </w:r>
      <w:r w:rsidRPr="005A0D68">
        <w:rPr>
          <w:sz w:val="24"/>
          <w:szCs w:val="24"/>
        </w:rPr>
        <w:t xml:space="preserve"> Although the Tribunal did not respond specifically to that argument, it was satisfied by witness evidence presented by HDT, which was couched in the language of particular benefits to individuals whose human rights were promoted and protected and wider benefits to the community at large from having such rights interpreted, clarified and enforced. No evidence of detriment was presented. The Tribunal concluded readily that the, “criminalisation of relevant conduct represents a serious </w:t>
      </w:r>
      <w:r w:rsidRPr="005A0D68">
        <w:rPr>
          <w:sz w:val="24"/>
          <w:szCs w:val="24"/>
        </w:rPr>
        <w:lastRenderedPageBreak/>
        <w:t>breach of human rights norms” and that there must be, “a public benefit in seeking to interpret, clarify and protect superior constitutional rights”.</w:t>
      </w:r>
      <w:r w:rsidRPr="005A0D68">
        <w:rPr>
          <w:rStyle w:val="FootnoteReference"/>
          <w:sz w:val="24"/>
          <w:szCs w:val="24"/>
        </w:rPr>
        <w:footnoteReference w:id="141"/>
      </w:r>
      <w:r w:rsidRPr="005A0D68">
        <w:rPr>
          <w:sz w:val="24"/>
          <w:szCs w:val="24"/>
        </w:rPr>
        <w:t xml:space="preserve"> </w:t>
      </w:r>
    </w:p>
    <w:p w:rsidR="00314ABC" w:rsidRPr="005A0D68" w:rsidRDefault="00314ABC" w:rsidP="00314ABC">
      <w:pPr>
        <w:spacing w:after="0" w:line="480" w:lineRule="auto"/>
        <w:ind w:firstLine="720"/>
        <w:jc w:val="both"/>
        <w:rPr>
          <w:rFonts w:ascii="Times New Roman" w:hAnsi="Times New Roman" w:cs="Times New Roman"/>
          <w:sz w:val="24"/>
          <w:szCs w:val="24"/>
        </w:rPr>
      </w:pPr>
      <w:r w:rsidRPr="005A0D68">
        <w:rPr>
          <w:rFonts w:ascii="Times New Roman" w:hAnsi="Times New Roman" w:cs="Times New Roman"/>
          <w:sz w:val="24"/>
          <w:szCs w:val="24"/>
        </w:rPr>
        <w:t xml:space="preserve">To clarify cases where the Commission may ask for evidence, the guidance provides straightforward examples, such as to determine the artistic merit of an art collection or the healing benefits of a therapy. These are uncontroversial and unsurprising and are clearly the type of claims that will necessitate expert evidence to establish their merits. Such evidence was adduced by the </w:t>
      </w:r>
      <w:proofErr w:type="spellStart"/>
      <w:r w:rsidRPr="005A0D68">
        <w:rPr>
          <w:rFonts w:ascii="Times New Roman" w:hAnsi="Times New Roman" w:cs="Times New Roman"/>
          <w:sz w:val="24"/>
          <w:szCs w:val="24"/>
        </w:rPr>
        <w:t>Soteria</w:t>
      </w:r>
      <w:proofErr w:type="spellEnd"/>
      <w:r w:rsidRPr="005A0D68">
        <w:rPr>
          <w:rFonts w:ascii="Times New Roman" w:hAnsi="Times New Roman" w:cs="Times New Roman"/>
          <w:sz w:val="24"/>
          <w:szCs w:val="24"/>
        </w:rPr>
        <w:t xml:space="preserve"> Network as to the efficacy of its alternative healing method.</w:t>
      </w:r>
      <w:r w:rsidRPr="005A0D68">
        <w:rPr>
          <w:rStyle w:val="FootnoteReference"/>
          <w:rFonts w:ascii="Times New Roman" w:hAnsi="Times New Roman" w:cs="Times New Roman"/>
          <w:sz w:val="24"/>
          <w:szCs w:val="24"/>
        </w:rPr>
        <w:footnoteReference w:id="142"/>
      </w:r>
      <w:r w:rsidRPr="005A0D68">
        <w:rPr>
          <w:rFonts w:ascii="Times New Roman" w:hAnsi="Times New Roman" w:cs="Times New Roman"/>
          <w:sz w:val="24"/>
          <w:szCs w:val="24"/>
        </w:rPr>
        <w:t xml:space="preserve"> Organisations that fail to do so will simply fall at the first hurdle. In the application for registration by Hitchin Bridge Club,</w:t>
      </w:r>
      <w:r w:rsidRPr="005A0D68">
        <w:rPr>
          <w:rStyle w:val="FootnoteReference"/>
          <w:rFonts w:ascii="Times New Roman" w:hAnsi="Times New Roman" w:cs="Times New Roman"/>
          <w:sz w:val="24"/>
          <w:szCs w:val="24"/>
        </w:rPr>
        <w:footnoteReference w:id="143"/>
      </w:r>
      <w:r w:rsidRPr="005A0D68">
        <w:rPr>
          <w:rFonts w:ascii="Times New Roman" w:hAnsi="Times New Roman" w:cs="Times New Roman"/>
          <w:sz w:val="24"/>
          <w:szCs w:val="24"/>
        </w:rPr>
        <w:t xml:space="preserve"> the Club sought to be considered under the advancement of amateur sport, which embraces a sport or game which promotes ‘health by involving physical or mental skill or exertion’.</w:t>
      </w:r>
      <w:r w:rsidRPr="005A0D68">
        <w:rPr>
          <w:rStyle w:val="FootnoteReference"/>
          <w:rFonts w:ascii="Times New Roman" w:hAnsi="Times New Roman" w:cs="Times New Roman"/>
          <w:sz w:val="24"/>
          <w:szCs w:val="24"/>
        </w:rPr>
        <w:footnoteReference w:id="144"/>
      </w:r>
      <w:r w:rsidRPr="005A0D68">
        <w:rPr>
          <w:rFonts w:ascii="Times New Roman" w:hAnsi="Times New Roman" w:cs="Times New Roman"/>
          <w:sz w:val="24"/>
          <w:szCs w:val="24"/>
        </w:rPr>
        <w:t xml:space="preserve"> To fall within the description, it was necessary to demonstrate associated health benefits of the game and, in reaching its </w:t>
      </w:r>
      <w:proofErr w:type="gramStart"/>
      <w:r w:rsidRPr="005A0D68">
        <w:rPr>
          <w:rFonts w:ascii="Times New Roman" w:hAnsi="Times New Roman" w:cs="Times New Roman"/>
          <w:sz w:val="24"/>
          <w:szCs w:val="24"/>
        </w:rPr>
        <w:t>decision,</w:t>
      </w:r>
      <w:proofErr w:type="gramEnd"/>
      <w:r w:rsidRPr="005A0D68">
        <w:rPr>
          <w:rFonts w:ascii="Times New Roman" w:hAnsi="Times New Roman" w:cs="Times New Roman"/>
          <w:sz w:val="24"/>
          <w:szCs w:val="24"/>
        </w:rPr>
        <w:t xml:space="preserve"> the Commission took account of a body of research evidence which identified those benefits. The ‘benefit’ element was established just as soon as it was deemed to fall within the confines of the description. In its separate assessment of public benefit, the Commission had little more to add than a series of generic observations, such as the undoubted benefit of, “regular mental stimulation” from participation in the game.</w:t>
      </w:r>
      <w:r w:rsidRPr="005A0D68">
        <w:rPr>
          <w:rStyle w:val="FootnoteReference"/>
          <w:rFonts w:ascii="Times New Roman" w:hAnsi="Times New Roman" w:cs="Times New Roman"/>
          <w:sz w:val="24"/>
          <w:szCs w:val="24"/>
        </w:rPr>
        <w:footnoteReference w:id="145"/>
      </w:r>
      <w:r w:rsidRPr="005A0D68">
        <w:rPr>
          <w:rFonts w:ascii="Times New Roman" w:hAnsi="Times New Roman" w:cs="Times New Roman"/>
          <w:sz w:val="24"/>
          <w:szCs w:val="24"/>
        </w:rPr>
        <w:t xml:space="preserve"> The </w:t>
      </w:r>
      <w:r w:rsidRPr="005A0D68">
        <w:rPr>
          <w:rFonts w:ascii="Times New Roman" w:hAnsi="Times New Roman" w:cs="Times New Roman"/>
          <w:i/>
          <w:sz w:val="24"/>
          <w:szCs w:val="24"/>
        </w:rPr>
        <w:t>Cambridgeshire Target Shooting Association</w:t>
      </w:r>
      <w:r w:rsidRPr="005A0D68">
        <w:rPr>
          <w:rFonts w:ascii="Times New Roman" w:hAnsi="Times New Roman" w:cs="Times New Roman"/>
          <w:sz w:val="24"/>
          <w:szCs w:val="24"/>
        </w:rPr>
        <w:t>, however, did not fare so well.</w:t>
      </w:r>
      <w:r w:rsidRPr="005A0D68">
        <w:rPr>
          <w:rStyle w:val="FootnoteReference"/>
          <w:rFonts w:ascii="Times New Roman" w:hAnsi="Times New Roman" w:cs="Times New Roman"/>
          <w:sz w:val="24"/>
          <w:szCs w:val="24"/>
        </w:rPr>
        <w:footnoteReference w:id="146"/>
      </w:r>
      <w:r w:rsidRPr="005A0D68">
        <w:rPr>
          <w:rFonts w:ascii="Times New Roman" w:hAnsi="Times New Roman" w:cs="Times New Roman"/>
          <w:sz w:val="24"/>
          <w:szCs w:val="24"/>
        </w:rPr>
        <w:t xml:space="preserve"> The appellant introduced witness evidence from an experienced target shooter, a retired clinical psychologist, a specialist sports physiotherapist, a Reader in Human Neuropsychology and a Consultant Physical and Chemical Pathologist. The claim was undone by the absence of published, discrete, scientific </w:t>
      </w:r>
      <w:r w:rsidRPr="005A0D68">
        <w:rPr>
          <w:rFonts w:ascii="Times New Roman" w:hAnsi="Times New Roman" w:cs="Times New Roman"/>
          <w:sz w:val="24"/>
          <w:szCs w:val="24"/>
        </w:rPr>
        <w:lastRenderedPageBreak/>
        <w:t xml:space="preserve">research. The Tribunal warned that neither it nor the </w:t>
      </w:r>
      <w:proofErr w:type="gramStart"/>
      <w:r w:rsidRPr="005A0D68">
        <w:rPr>
          <w:rFonts w:ascii="Times New Roman" w:hAnsi="Times New Roman" w:cs="Times New Roman"/>
          <w:sz w:val="24"/>
          <w:szCs w:val="24"/>
        </w:rPr>
        <w:t>Commission,</w:t>
      </w:r>
      <w:proofErr w:type="gramEnd"/>
      <w:r w:rsidRPr="005A0D68">
        <w:rPr>
          <w:rFonts w:ascii="Times New Roman" w:hAnsi="Times New Roman" w:cs="Times New Roman"/>
          <w:sz w:val="24"/>
          <w:szCs w:val="24"/>
        </w:rPr>
        <w:t xml:space="preserve"> “should lightly reach findings, which result in the advantages of charitable status being conferred in respect of activities for which the science base is less than robust”.</w:t>
      </w:r>
      <w:r w:rsidRPr="005A0D68">
        <w:rPr>
          <w:rStyle w:val="FootnoteReference"/>
          <w:rFonts w:ascii="Times New Roman" w:hAnsi="Times New Roman" w:cs="Times New Roman"/>
          <w:sz w:val="24"/>
          <w:szCs w:val="24"/>
        </w:rPr>
        <w:footnoteReference w:id="147"/>
      </w:r>
      <w:r w:rsidRPr="005A0D68">
        <w:rPr>
          <w:rFonts w:ascii="Times New Roman" w:hAnsi="Times New Roman" w:cs="Times New Roman"/>
          <w:sz w:val="24"/>
          <w:szCs w:val="24"/>
        </w:rPr>
        <w:t xml:space="preserve"> Presumably, if the Association had demonstrated its rightful place within the description, its inherent benefit would have been established without more.</w:t>
      </w:r>
    </w:p>
    <w:p w:rsidR="00314ABC" w:rsidRPr="005A0D68" w:rsidRDefault="00314ABC" w:rsidP="00314A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r>
    </w:p>
    <w:p w:rsidR="00314ABC" w:rsidRPr="005A0D68" w:rsidRDefault="00AA5C18" w:rsidP="00314ABC">
      <w:pPr>
        <w:spacing w:after="0" w:line="480" w:lineRule="auto"/>
        <w:jc w:val="both"/>
        <w:rPr>
          <w:rFonts w:ascii="Times New Roman" w:hAnsi="Times New Roman" w:cs="Times New Roman"/>
          <w:b/>
          <w:sz w:val="24"/>
          <w:szCs w:val="24"/>
        </w:rPr>
      </w:pPr>
      <w:r w:rsidRPr="005A0D68">
        <w:rPr>
          <w:rFonts w:ascii="Times New Roman" w:hAnsi="Times New Roman" w:cs="Times New Roman"/>
          <w:b/>
          <w:sz w:val="24"/>
          <w:szCs w:val="24"/>
        </w:rPr>
        <w:t>Evidential Difficulties</w:t>
      </w:r>
    </w:p>
    <w:p w:rsidR="00314ABC" w:rsidRPr="005A0D68" w:rsidRDefault="00314ABC" w:rsidP="00314A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The final advice in this part of the Commission’s guidance deals with the difficulty of measuring benefit and maintains that it should, “always be possible to identify and describe how a charity’s purpose is beneficial, whether or not that can be quantified or measured”.</w:t>
      </w:r>
      <w:r w:rsidRPr="005A0D68">
        <w:rPr>
          <w:rStyle w:val="FootnoteReference"/>
          <w:rFonts w:ascii="Times New Roman" w:hAnsi="Times New Roman" w:cs="Times New Roman"/>
          <w:sz w:val="24"/>
          <w:szCs w:val="24"/>
        </w:rPr>
        <w:footnoteReference w:id="148"/>
      </w:r>
      <w:r w:rsidRPr="005A0D68">
        <w:rPr>
          <w:rFonts w:ascii="Times New Roman" w:hAnsi="Times New Roman" w:cs="Times New Roman"/>
          <w:sz w:val="24"/>
          <w:szCs w:val="24"/>
        </w:rPr>
        <w:t xml:space="preserve"> The example provided is, “developing a person’s artistic taste by viewing works of art”. There would be few who would contest the benefit of such a purpose were the works of art of sufficient merit. The greater concern, which arises where some formal evidence of benefit is demanded, focuses upon the quality of evidence required. In its separate </w:t>
      </w:r>
      <w:r w:rsidRPr="005A0D68">
        <w:rPr>
          <w:rFonts w:ascii="Times New Roman" w:hAnsi="Times New Roman" w:cs="Times New Roman"/>
          <w:i/>
          <w:sz w:val="24"/>
          <w:szCs w:val="24"/>
        </w:rPr>
        <w:t>Analysis of the Law Relating to Public Benefit</w:t>
      </w:r>
      <w:r w:rsidRPr="005A0D68">
        <w:rPr>
          <w:rStyle w:val="FootnoteReference"/>
          <w:rFonts w:ascii="Times New Roman" w:hAnsi="Times New Roman" w:cs="Times New Roman"/>
          <w:sz w:val="24"/>
          <w:szCs w:val="24"/>
        </w:rPr>
        <w:footnoteReference w:id="149"/>
      </w:r>
      <w:r w:rsidRPr="005A0D68">
        <w:rPr>
          <w:rFonts w:ascii="Times New Roman" w:hAnsi="Times New Roman" w:cs="Times New Roman"/>
          <w:sz w:val="24"/>
          <w:szCs w:val="24"/>
        </w:rPr>
        <w:t xml:space="preserve"> the Commission acknowledged that, “The courts have not been uniform in their use of language to describe the test for deciding whether a purpose is for the public benefit”.</w:t>
      </w:r>
      <w:r w:rsidRPr="005A0D68">
        <w:rPr>
          <w:rStyle w:val="FootnoteReference"/>
          <w:rFonts w:ascii="Times New Roman" w:hAnsi="Times New Roman" w:cs="Times New Roman"/>
          <w:sz w:val="24"/>
          <w:szCs w:val="24"/>
        </w:rPr>
        <w:footnoteReference w:id="150"/>
      </w:r>
      <w:r w:rsidRPr="005A0D68">
        <w:rPr>
          <w:rFonts w:ascii="Times New Roman" w:hAnsi="Times New Roman" w:cs="Times New Roman"/>
          <w:sz w:val="24"/>
          <w:szCs w:val="24"/>
        </w:rPr>
        <w:t xml:space="preserve"> It added that, “the quality of the evidence which is required to satisfy this test depends on the circumstances of the particular case”. It follows that detailed guidance is difficult to compile and the outcome of an application to the Commission difficult to predict. In </w:t>
      </w:r>
      <w:r w:rsidRPr="005A0D68">
        <w:rPr>
          <w:rFonts w:ascii="Times New Roman" w:hAnsi="Times New Roman" w:cs="Times New Roman"/>
          <w:i/>
          <w:sz w:val="24"/>
          <w:szCs w:val="24"/>
        </w:rPr>
        <w:t>Full Fact</w:t>
      </w:r>
      <w:r w:rsidR="00706CCD" w:rsidRPr="005A0D68">
        <w:rPr>
          <w:rFonts w:ascii="Times New Roman" w:hAnsi="Times New Roman" w:cs="Times New Roman"/>
          <w:sz w:val="24"/>
          <w:szCs w:val="24"/>
        </w:rPr>
        <w:t>, for example, the Commission could be</w:t>
      </w:r>
      <w:r w:rsidRPr="005A0D68">
        <w:rPr>
          <w:rFonts w:ascii="Times New Roman" w:hAnsi="Times New Roman" w:cs="Times New Roman"/>
          <w:sz w:val="24"/>
          <w:szCs w:val="24"/>
        </w:rPr>
        <w:t xml:space="preserve"> satisfied by nothing less than evidence of external validation and concrete reassurance as to the future operation of the organisation. Its eventual registration took five years to secure and required </w:t>
      </w:r>
      <w:proofErr w:type="gramStart"/>
      <w:r w:rsidRPr="005A0D68">
        <w:rPr>
          <w:rFonts w:ascii="Times New Roman" w:hAnsi="Times New Roman" w:cs="Times New Roman"/>
          <w:sz w:val="24"/>
          <w:szCs w:val="24"/>
        </w:rPr>
        <w:t>both the</w:t>
      </w:r>
      <w:proofErr w:type="gramEnd"/>
      <w:r w:rsidRPr="005A0D68">
        <w:rPr>
          <w:rFonts w:ascii="Times New Roman" w:hAnsi="Times New Roman" w:cs="Times New Roman"/>
          <w:sz w:val="24"/>
          <w:szCs w:val="24"/>
        </w:rPr>
        <w:t xml:space="preserve"> adoption of, </w:t>
      </w:r>
      <w:r w:rsidRPr="005A0D68">
        <w:rPr>
          <w:rFonts w:ascii="Times New Roman" w:hAnsi="Times New Roman" w:cs="Times New Roman"/>
          <w:sz w:val="24"/>
          <w:szCs w:val="24"/>
        </w:rPr>
        <w:lastRenderedPageBreak/>
        <w:t>“constitutional provisions for an independent reviewer to periodically assess its work”</w:t>
      </w:r>
      <w:r w:rsidRPr="005A0D68">
        <w:rPr>
          <w:rStyle w:val="FootnoteReference"/>
          <w:rFonts w:ascii="Times New Roman" w:hAnsi="Times New Roman" w:cs="Times New Roman"/>
          <w:sz w:val="24"/>
          <w:szCs w:val="24"/>
        </w:rPr>
        <w:footnoteReference w:id="151"/>
      </w:r>
      <w:r w:rsidRPr="005A0D68">
        <w:rPr>
          <w:rFonts w:ascii="Times New Roman" w:hAnsi="Times New Roman" w:cs="Times New Roman"/>
          <w:sz w:val="24"/>
          <w:szCs w:val="24"/>
        </w:rPr>
        <w:t xml:space="preserve"> and the provision of supporting references from the UK Statistics Authority, Royal Statistical Society </w:t>
      </w:r>
      <w:r w:rsidR="00706CCD" w:rsidRPr="005A0D68">
        <w:rPr>
          <w:rFonts w:ascii="Times New Roman" w:hAnsi="Times New Roman" w:cs="Times New Roman"/>
          <w:sz w:val="24"/>
          <w:szCs w:val="24"/>
        </w:rPr>
        <w:t>and The Migration Observatory. In this case, t</w:t>
      </w:r>
      <w:r w:rsidRPr="005A0D68">
        <w:rPr>
          <w:rFonts w:ascii="Times New Roman" w:hAnsi="Times New Roman" w:cs="Times New Roman"/>
          <w:sz w:val="24"/>
          <w:szCs w:val="24"/>
        </w:rPr>
        <w:t>he evidence that followed was both robust and compelling.</w:t>
      </w:r>
    </w:p>
    <w:p w:rsidR="00314ABC" w:rsidRPr="005A0D68" w:rsidRDefault="00314ABC" w:rsidP="00314A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 xml:space="preserve">More interesting, however, are those cases where the Tribunal has reached a different conclusion to the Commission either on the basis of the evidence presented to it or, on occasion, the absence of evidence negating benefit. These decisions serve best to illustrate the fundamental difference in outlook between the two bodies. In striking contrast to the Commission, the Tribunal elects for a broad-brush approach to the demonstration of benefit, which allows for intuitive responses and much greater flexibility. In </w:t>
      </w:r>
      <w:r w:rsidRPr="005A0D68">
        <w:rPr>
          <w:rFonts w:ascii="Times New Roman" w:hAnsi="Times New Roman" w:cs="Times New Roman"/>
          <w:i/>
          <w:sz w:val="24"/>
          <w:szCs w:val="24"/>
        </w:rPr>
        <w:t>Uturn</w:t>
      </w:r>
      <w:r w:rsidRPr="005A0D68">
        <w:rPr>
          <w:rFonts w:ascii="Times New Roman" w:hAnsi="Times New Roman" w:cs="Times New Roman"/>
          <w:sz w:val="24"/>
          <w:szCs w:val="24"/>
        </w:rPr>
        <w:t>, for example, the First-tier Tribunal acknowledged that the Commission may have been influenced by the absence of evidence of demonstrable benefit. Some five months on from the Commission decision, the Tribunal seemed prepared to accept that satisfactory evidence of benefit could have come first-hand from, “individuals actually participating in (or benefitting from) the activities”</w:t>
      </w:r>
      <w:r w:rsidRPr="005A0D68">
        <w:rPr>
          <w:rStyle w:val="FootnoteReference"/>
          <w:rFonts w:ascii="Times New Roman" w:hAnsi="Times New Roman" w:cs="Times New Roman"/>
          <w:sz w:val="24"/>
          <w:szCs w:val="24"/>
        </w:rPr>
        <w:footnoteReference w:id="152"/>
      </w:r>
      <w:r w:rsidRPr="005A0D68">
        <w:rPr>
          <w:rFonts w:ascii="Times New Roman" w:hAnsi="Times New Roman" w:cs="Times New Roman"/>
          <w:sz w:val="24"/>
          <w:szCs w:val="24"/>
        </w:rPr>
        <w:t xml:space="preserve">  </w:t>
      </w:r>
      <w:r w:rsidR="002E3E69">
        <w:rPr>
          <w:rFonts w:ascii="Times New Roman" w:hAnsi="Times New Roman" w:cs="Times New Roman"/>
          <w:sz w:val="24"/>
          <w:szCs w:val="24"/>
        </w:rPr>
        <w:t xml:space="preserve">and </w:t>
      </w:r>
      <w:r w:rsidRPr="005A0D68">
        <w:rPr>
          <w:rFonts w:ascii="Times New Roman" w:hAnsi="Times New Roman" w:cs="Times New Roman"/>
          <w:sz w:val="24"/>
          <w:szCs w:val="24"/>
        </w:rPr>
        <w:t>described it as “regrettable” that that growing evidence of beneficial impact was not supported by witness evidence. Admittedly, neither the Commission nor the Tribunal found that Uturn was established for exclusively charitable purposes and so the question of public benefit was considered by the Tribunal for the sake of completeness. It is difficult to imagine</w:t>
      </w:r>
      <w:r w:rsidR="00706CCD" w:rsidRPr="005A0D68">
        <w:rPr>
          <w:rFonts w:ascii="Times New Roman" w:hAnsi="Times New Roman" w:cs="Times New Roman"/>
          <w:sz w:val="24"/>
          <w:szCs w:val="24"/>
        </w:rPr>
        <w:t>, nonetheless,</w:t>
      </w:r>
      <w:r w:rsidRPr="005A0D68">
        <w:rPr>
          <w:rFonts w:ascii="Times New Roman" w:hAnsi="Times New Roman" w:cs="Times New Roman"/>
          <w:sz w:val="24"/>
          <w:szCs w:val="24"/>
        </w:rPr>
        <w:t xml:space="preserve"> that such witness evidence would have satisfied the Commission had it been presented at the time.</w:t>
      </w:r>
      <w:r w:rsidR="002E3E69">
        <w:rPr>
          <w:rFonts w:ascii="Times New Roman" w:hAnsi="Times New Roman" w:cs="Times New Roman"/>
          <w:sz w:val="24"/>
          <w:szCs w:val="24"/>
        </w:rPr>
        <w:t xml:space="preserve"> The Commission’s evident preference for robust external validation would seem to go much beyond the subjective or self-serving statements of those participating in the activities</w:t>
      </w:r>
      <w:r w:rsidR="00C636A4">
        <w:rPr>
          <w:rFonts w:ascii="Times New Roman" w:hAnsi="Times New Roman" w:cs="Times New Roman"/>
          <w:sz w:val="24"/>
          <w:szCs w:val="24"/>
        </w:rPr>
        <w:t>.</w:t>
      </w:r>
    </w:p>
    <w:p w:rsidR="00314ABC" w:rsidRPr="005A0D68" w:rsidRDefault="00314ABC" w:rsidP="00314A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lastRenderedPageBreak/>
        <w:tab/>
        <w:t xml:space="preserve">In </w:t>
      </w:r>
      <w:r w:rsidRPr="005A0D68">
        <w:rPr>
          <w:rFonts w:ascii="Times New Roman" w:hAnsi="Times New Roman" w:cs="Times New Roman"/>
          <w:i/>
          <w:sz w:val="24"/>
          <w:szCs w:val="24"/>
        </w:rPr>
        <w:t>HOPRT</w:t>
      </w:r>
      <w:r w:rsidRPr="005A0D68">
        <w:rPr>
          <w:rFonts w:ascii="Times New Roman" w:hAnsi="Times New Roman" w:cs="Times New Roman"/>
          <w:sz w:val="24"/>
          <w:szCs w:val="24"/>
        </w:rPr>
        <w:t>, the Commission and the Tribunal reached contrasting conclusions as to the purposes for which HOPRT was established and on the matter of public benefit. Once the Tribunal was satisfied that HOPRT’s particular research orientated purposes were charitable within the parameters</w:t>
      </w:r>
      <w:r w:rsidR="00706CCD" w:rsidRPr="005A0D68">
        <w:rPr>
          <w:rFonts w:ascii="Times New Roman" w:hAnsi="Times New Roman" w:cs="Times New Roman"/>
          <w:sz w:val="24"/>
          <w:szCs w:val="24"/>
        </w:rPr>
        <w:t xml:space="preserve"> of education, little was deemed to be </w:t>
      </w:r>
      <w:r w:rsidRPr="005A0D68">
        <w:rPr>
          <w:rFonts w:ascii="Times New Roman" w:hAnsi="Times New Roman" w:cs="Times New Roman"/>
          <w:sz w:val="24"/>
          <w:szCs w:val="24"/>
        </w:rPr>
        <w:t xml:space="preserve">required by way of formal proof to evidence its benefit. It certainly helped that only minimal evidence was presented to the contrary. In terms of its public benefit assessment, the Tribunal formulated the key question to be whether the research conducted by HOPRT was, “in its broadest sense, a </w:t>
      </w:r>
      <w:r w:rsidRPr="005A0D68">
        <w:rPr>
          <w:rFonts w:ascii="Times New Roman" w:hAnsi="Times New Roman" w:cs="Times New Roman"/>
          <w:i/>
          <w:sz w:val="24"/>
          <w:szCs w:val="24"/>
        </w:rPr>
        <w:t>good thing</w:t>
      </w:r>
      <w:r w:rsidRPr="005A0D68">
        <w:rPr>
          <w:rFonts w:ascii="Times New Roman" w:hAnsi="Times New Roman" w:cs="Times New Roman"/>
          <w:sz w:val="24"/>
          <w:szCs w:val="24"/>
        </w:rPr>
        <w:t>”.</w:t>
      </w:r>
      <w:r w:rsidRPr="005A0D68">
        <w:rPr>
          <w:rStyle w:val="FootnoteReference"/>
          <w:rFonts w:ascii="Times New Roman" w:hAnsi="Times New Roman" w:cs="Times New Roman"/>
          <w:sz w:val="24"/>
          <w:szCs w:val="24"/>
        </w:rPr>
        <w:footnoteReference w:id="153"/>
      </w:r>
      <w:r w:rsidRPr="005A0D68">
        <w:rPr>
          <w:rFonts w:ascii="Times New Roman" w:hAnsi="Times New Roman" w:cs="Times New Roman"/>
          <w:sz w:val="24"/>
          <w:szCs w:val="24"/>
        </w:rPr>
        <w:t xml:space="preserve"> Unchallenged witness evidence was presented to this end, describing benefits in the broadest of terms, such as the giving of comfort to patients and making a mother’s death easier to bear. Acknowledging that chances of reanimation were remote, there was little to negate the benefits of the research conducted by HOPRT. Ethical uncertainties had not been an issue in the appeal and no evidence on the matter was presented. In addition, there was no evidence of pressure or false hope for those in receipt of services. As cryopreservation was lawful, unregulated by Parliament and in demand, the Tribunal held that the benefit part of the public benefit requirement was clearly satisfied. </w:t>
      </w:r>
    </w:p>
    <w:p w:rsidR="00314ABC" w:rsidRPr="005A0D68" w:rsidRDefault="00314ABC" w:rsidP="00314ABC">
      <w:pPr>
        <w:spacing w:after="0" w:line="480" w:lineRule="auto"/>
        <w:jc w:val="both"/>
        <w:rPr>
          <w:rFonts w:ascii="Times New Roman" w:hAnsi="Times New Roman" w:cs="Times New Roman"/>
          <w:sz w:val="24"/>
          <w:szCs w:val="24"/>
        </w:rPr>
      </w:pPr>
      <w:r w:rsidRPr="005A0D68">
        <w:rPr>
          <w:rFonts w:ascii="Times New Roman" w:hAnsi="Times New Roman" w:cs="Times New Roman"/>
          <w:sz w:val="24"/>
          <w:szCs w:val="24"/>
        </w:rPr>
        <w:tab/>
        <w:t xml:space="preserve">Finally, in the </w:t>
      </w:r>
      <w:r w:rsidRPr="005A0D68">
        <w:rPr>
          <w:rFonts w:ascii="Times New Roman" w:hAnsi="Times New Roman" w:cs="Times New Roman"/>
          <w:i/>
          <w:sz w:val="24"/>
          <w:szCs w:val="24"/>
        </w:rPr>
        <w:t>IPRT</w:t>
      </w:r>
      <w:r w:rsidRPr="005A0D68">
        <w:rPr>
          <w:rFonts w:ascii="Times New Roman" w:hAnsi="Times New Roman" w:cs="Times New Roman"/>
          <w:sz w:val="24"/>
          <w:szCs w:val="24"/>
        </w:rPr>
        <w:t xml:space="preserve"> case</w:t>
      </w:r>
      <w:r w:rsidRPr="005A0D68">
        <w:rPr>
          <w:rStyle w:val="FootnoteReference"/>
          <w:rFonts w:ascii="Times New Roman" w:hAnsi="Times New Roman" w:cs="Times New Roman"/>
          <w:sz w:val="24"/>
          <w:szCs w:val="24"/>
        </w:rPr>
        <w:footnoteReference w:id="154"/>
      </w:r>
      <w:r w:rsidRPr="005A0D68">
        <w:rPr>
          <w:rFonts w:ascii="Times New Roman" w:hAnsi="Times New Roman" w:cs="Times New Roman"/>
          <w:sz w:val="24"/>
          <w:szCs w:val="24"/>
        </w:rPr>
        <w:t xml:space="preserve"> the First-tier Tribunal swept aside the concerns of the Commission that there was no evidential basis from which the public benefit of a Leveson compliant system of press regulation might be discerned.</w:t>
      </w:r>
      <w:r w:rsidRPr="005A0D68">
        <w:rPr>
          <w:rStyle w:val="FootnoteReference"/>
          <w:rFonts w:ascii="Times New Roman" w:hAnsi="Times New Roman" w:cs="Times New Roman"/>
          <w:sz w:val="24"/>
          <w:szCs w:val="24"/>
        </w:rPr>
        <w:footnoteReference w:id="155"/>
      </w:r>
      <w:r w:rsidRPr="005A0D68">
        <w:rPr>
          <w:rFonts w:ascii="Times New Roman" w:hAnsi="Times New Roman" w:cs="Times New Roman"/>
          <w:sz w:val="24"/>
          <w:szCs w:val="24"/>
        </w:rPr>
        <w:t xml:space="preserve"> Instead, it again utilised a broad-brush approach without regard for remoteness or future uncertainties. The Tribunal accepted evidence in the form of a written report outlining the public benefit. The founding director of the IMPRESS project</w:t>
      </w:r>
      <w:r w:rsidRPr="005A0D68">
        <w:rPr>
          <w:rStyle w:val="FootnoteReference"/>
          <w:rFonts w:ascii="Times New Roman" w:hAnsi="Times New Roman" w:cs="Times New Roman"/>
          <w:sz w:val="24"/>
          <w:szCs w:val="24"/>
        </w:rPr>
        <w:footnoteReference w:id="156"/>
      </w:r>
      <w:r w:rsidRPr="005A0D68">
        <w:rPr>
          <w:rFonts w:ascii="Times New Roman" w:hAnsi="Times New Roman" w:cs="Times New Roman"/>
          <w:sz w:val="24"/>
          <w:szCs w:val="24"/>
        </w:rPr>
        <w:t xml:space="preserve"> lacked the impartiality to be deemed an expert witness, but gave uncontested evidence as to the public benefit of the project and the Tribunal happily endorsed his views. It noted that recommendations had been made in the wake of a thorough public </w:t>
      </w:r>
      <w:r w:rsidRPr="005A0D68">
        <w:rPr>
          <w:rFonts w:ascii="Times New Roman" w:hAnsi="Times New Roman" w:cs="Times New Roman"/>
          <w:sz w:val="24"/>
          <w:szCs w:val="24"/>
        </w:rPr>
        <w:lastRenderedPageBreak/>
        <w:t>enquiry and that those recommendations retained the support of all parties in Parliament. Apparently influenced by matters of public policy, the Tribunal declared that, “if such a regulator cannot be established by the Government for constitutional reasons and ought not to be established by the industry itself for reasons of propriety and public confidence, then the charity sector is uniquely placed to be able to offer both the mechanism and the means by which a benefit to the community as a whole can be achieved”.</w:t>
      </w:r>
      <w:r w:rsidRPr="005A0D68">
        <w:rPr>
          <w:rStyle w:val="FootnoteReference"/>
          <w:rFonts w:ascii="Times New Roman" w:hAnsi="Times New Roman" w:cs="Times New Roman"/>
          <w:sz w:val="24"/>
          <w:szCs w:val="24"/>
        </w:rPr>
        <w:footnoteReference w:id="157"/>
      </w:r>
      <w:r w:rsidRPr="005A0D68">
        <w:rPr>
          <w:rFonts w:ascii="Times New Roman" w:hAnsi="Times New Roman" w:cs="Times New Roman"/>
          <w:sz w:val="24"/>
          <w:szCs w:val="24"/>
        </w:rPr>
        <w:t xml:space="preserve"> Such a conclusion was firmly outside the Commission’s view of its remit and range of responses.</w:t>
      </w:r>
    </w:p>
    <w:p w:rsidR="006642A7" w:rsidRPr="005A0D68" w:rsidRDefault="006642A7" w:rsidP="006642A7">
      <w:pPr>
        <w:spacing w:after="0" w:line="480" w:lineRule="auto"/>
        <w:jc w:val="center"/>
        <w:rPr>
          <w:rFonts w:ascii="Times New Roman" w:eastAsia="Times New Roman" w:hAnsi="Times New Roman" w:cs="Times New Roman"/>
          <w:b/>
          <w:sz w:val="24"/>
          <w:szCs w:val="24"/>
        </w:rPr>
      </w:pPr>
    </w:p>
    <w:p w:rsidR="006642A7" w:rsidRPr="005A0D68" w:rsidRDefault="006642A7" w:rsidP="006642A7">
      <w:pPr>
        <w:spacing w:after="0" w:line="480" w:lineRule="auto"/>
        <w:jc w:val="center"/>
        <w:rPr>
          <w:rFonts w:ascii="Times New Roman" w:eastAsia="Times New Roman" w:hAnsi="Times New Roman" w:cs="Times New Roman"/>
          <w:b/>
          <w:sz w:val="24"/>
          <w:szCs w:val="24"/>
        </w:rPr>
      </w:pPr>
      <w:r w:rsidRPr="005A0D68">
        <w:rPr>
          <w:rFonts w:ascii="Times New Roman" w:eastAsia="Times New Roman" w:hAnsi="Times New Roman" w:cs="Times New Roman"/>
          <w:b/>
          <w:sz w:val="24"/>
          <w:szCs w:val="24"/>
        </w:rPr>
        <w:t>Conclusion</w:t>
      </w:r>
    </w:p>
    <w:p w:rsidR="006642A7" w:rsidRPr="005A0D68" w:rsidRDefault="00AA5C18" w:rsidP="006642A7">
      <w:pPr>
        <w:spacing w:after="0" w:line="480" w:lineRule="auto"/>
        <w:jc w:val="both"/>
        <w:rPr>
          <w:rFonts w:ascii="Times New Roman" w:eastAsia="Times New Roman" w:hAnsi="Times New Roman" w:cs="Times New Roman"/>
          <w:sz w:val="24"/>
          <w:szCs w:val="24"/>
        </w:rPr>
      </w:pPr>
      <w:r w:rsidRPr="005A0D68">
        <w:rPr>
          <w:rFonts w:ascii="Times New Roman" w:eastAsia="Times New Roman" w:hAnsi="Times New Roman" w:cs="Times New Roman"/>
          <w:sz w:val="24"/>
          <w:szCs w:val="24"/>
        </w:rPr>
        <w:t>This article has identified various problems inherent in redefining the concept of a charitable purpose, specifically from the perspective of the old</w:t>
      </w:r>
      <w:r w:rsidR="006642A7" w:rsidRPr="005A0D68">
        <w:rPr>
          <w:rFonts w:ascii="Times New Roman" w:eastAsia="Times New Roman" w:hAnsi="Times New Roman" w:cs="Times New Roman"/>
          <w:sz w:val="24"/>
          <w:szCs w:val="24"/>
        </w:rPr>
        <w:t xml:space="preserve"> fourth head</w:t>
      </w:r>
      <w:r w:rsidRPr="005A0D68">
        <w:rPr>
          <w:rFonts w:ascii="Times New Roman" w:eastAsia="Times New Roman" w:hAnsi="Times New Roman" w:cs="Times New Roman"/>
          <w:sz w:val="24"/>
          <w:szCs w:val="24"/>
        </w:rPr>
        <w:t>.</w:t>
      </w:r>
      <w:r w:rsidR="006642A7" w:rsidRPr="005A0D68">
        <w:rPr>
          <w:rFonts w:ascii="Times New Roman" w:eastAsia="Times New Roman" w:hAnsi="Times New Roman" w:cs="Times New Roman"/>
          <w:sz w:val="24"/>
          <w:szCs w:val="24"/>
        </w:rPr>
        <w:t xml:space="preserve"> </w:t>
      </w:r>
      <w:r w:rsidRPr="005A0D68">
        <w:rPr>
          <w:rFonts w:ascii="Times New Roman" w:eastAsia="Times New Roman" w:hAnsi="Times New Roman" w:cs="Times New Roman"/>
          <w:sz w:val="24"/>
          <w:szCs w:val="24"/>
        </w:rPr>
        <w:t>As demonstrated, s</w:t>
      </w:r>
      <w:r w:rsidR="006642A7" w:rsidRPr="005A0D68">
        <w:rPr>
          <w:rFonts w:ascii="Times New Roman" w:eastAsia="Times New Roman" w:hAnsi="Times New Roman" w:cs="Times New Roman"/>
          <w:sz w:val="24"/>
          <w:szCs w:val="24"/>
        </w:rPr>
        <w:t xml:space="preserve">ome of those problems are conceptual, deriving from the lack of established meaning in the statutory language and the open-endedness of the descriptions themselves. Others </w:t>
      </w:r>
      <w:r w:rsidRPr="005A0D68">
        <w:rPr>
          <w:rFonts w:ascii="Times New Roman" w:eastAsia="Times New Roman" w:hAnsi="Times New Roman" w:cs="Times New Roman"/>
          <w:sz w:val="24"/>
          <w:szCs w:val="24"/>
        </w:rPr>
        <w:t>stem</w:t>
      </w:r>
      <w:r w:rsidR="006642A7" w:rsidRPr="005A0D68">
        <w:rPr>
          <w:rFonts w:ascii="Times New Roman" w:eastAsia="Times New Roman" w:hAnsi="Times New Roman" w:cs="Times New Roman"/>
          <w:sz w:val="24"/>
          <w:szCs w:val="24"/>
        </w:rPr>
        <w:t xml:space="preserve"> from the elusive concept of public benefit and the </w:t>
      </w:r>
      <w:r w:rsidRPr="005A0D68">
        <w:rPr>
          <w:rFonts w:ascii="Times New Roman" w:eastAsia="Times New Roman" w:hAnsi="Times New Roman" w:cs="Times New Roman"/>
          <w:sz w:val="24"/>
          <w:szCs w:val="24"/>
        </w:rPr>
        <w:t xml:space="preserve">strict </w:t>
      </w:r>
      <w:r w:rsidR="006642A7" w:rsidRPr="005A0D68">
        <w:rPr>
          <w:rFonts w:ascii="Times New Roman" w:eastAsia="Times New Roman" w:hAnsi="Times New Roman" w:cs="Times New Roman"/>
          <w:sz w:val="24"/>
          <w:szCs w:val="24"/>
        </w:rPr>
        <w:t xml:space="preserve">manner in which it is now interpreted and applied. Understandably, the Commission must approach its task in a robust fashion. It is aware of its role as a gatekeeper, securing the charity brand and guarding officiously the fiscal privileges and reputational advantages attendant to charitable status. In its insistence upon compelling formal proof of impact and invariable focus on activities, there is no doubt that it sets a challengingly high </w:t>
      </w:r>
      <w:r w:rsidRPr="005A0D68">
        <w:rPr>
          <w:rFonts w:ascii="Times New Roman" w:eastAsia="Times New Roman" w:hAnsi="Times New Roman" w:cs="Times New Roman"/>
          <w:sz w:val="24"/>
          <w:szCs w:val="24"/>
        </w:rPr>
        <w:t>standard</w:t>
      </w:r>
      <w:r w:rsidR="006642A7" w:rsidRPr="005A0D68">
        <w:rPr>
          <w:rFonts w:ascii="Times New Roman" w:eastAsia="Times New Roman" w:hAnsi="Times New Roman" w:cs="Times New Roman"/>
          <w:sz w:val="24"/>
          <w:szCs w:val="24"/>
        </w:rPr>
        <w:t xml:space="preserve"> that </w:t>
      </w:r>
      <w:r w:rsidRPr="005A0D68">
        <w:rPr>
          <w:rFonts w:ascii="Times New Roman" w:eastAsia="Times New Roman" w:hAnsi="Times New Roman" w:cs="Times New Roman"/>
          <w:sz w:val="24"/>
          <w:szCs w:val="24"/>
        </w:rPr>
        <w:t xml:space="preserve">otherwise </w:t>
      </w:r>
      <w:r w:rsidR="006642A7" w:rsidRPr="005A0D68">
        <w:rPr>
          <w:rFonts w:ascii="Times New Roman" w:eastAsia="Times New Roman" w:hAnsi="Times New Roman" w:cs="Times New Roman"/>
          <w:sz w:val="24"/>
          <w:szCs w:val="24"/>
        </w:rPr>
        <w:t xml:space="preserve">worthy applicants have struggled to meet. </w:t>
      </w:r>
      <w:r w:rsidR="008C5401" w:rsidRPr="005A0D68">
        <w:rPr>
          <w:rFonts w:ascii="Times New Roman" w:eastAsia="Times New Roman" w:hAnsi="Times New Roman" w:cs="Times New Roman"/>
          <w:sz w:val="24"/>
          <w:szCs w:val="24"/>
        </w:rPr>
        <w:t>There lies the major obstacle to the fair and inclusive operation of</w:t>
      </w:r>
      <w:r w:rsidR="00740621" w:rsidRPr="005A0D68">
        <w:rPr>
          <w:rFonts w:ascii="Times New Roman" w:eastAsia="Times New Roman" w:hAnsi="Times New Roman" w:cs="Times New Roman"/>
          <w:sz w:val="24"/>
          <w:szCs w:val="24"/>
        </w:rPr>
        <w:t xml:space="preserve"> the test for charitable status</w:t>
      </w:r>
      <w:r w:rsidR="008C5401" w:rsidRPr="005A0D68">
        <w:rPr>
          <w:rFonts w:ascii="Times New Roman" w:eastAsia="Times New Roman" w:hAnsi="Times New Roman" w:cs="Times New Roman"/>
          <w:sz w:val="24"/>
          <w:szCs w:val="24"/>
        </w:rPr>
        <w:t>.</w:t>
      </w:r>
    </w:p>
    <w:p w:rsidR="006642A7" w:rsidRPr="005A0D68" w:rsidRDefault="006642A7" w:rsidP="006642A7">
      <w:pPr>
        <w:spacing w:after="0" w:line="480" w:lineRule="auto"/>
        <w:jc w:val="both"/>
        <w:rPr>
          <w:rFonts w:ascii="Times New Roman" w:eastAsia="Times New Roman" w:hAnsi="Times New Roman" w:cs="Times New Roman"/>
          <w:sz w:val="24"/>
          <w:szCs w:val="24"/>
        </w:rPr>
      </w:pPr>
      <w:r w:rsidRPr="005A0D68">
        <w:rPr>
          <w:rFonts w:ascii="Times New Roman" w:eastAsia="Times New Roman" w:hAnsi="Times New Roman" w:cs="Times New Roman"/>
          <w:sz w:val="24"/>
          <w:szCs w:val="24"/>
        </w:rPr>
        <w:tab/>
        <w:t xml:space="preserve">By contrast, the First-tier Tribunal operates with freedom and flexibility. In </w:t>
      </w:r>
      <w:r w:rsidRPr="005A0D68">
        <w:rPr>
          <w:rFonts w:ascii="Times New Roman" w:hAnsi="Times New Roman" w:cs="Times New Roman"/>
          <w:sz w:val="24"/>
          <w:szCs w:val="24"/>
        </w:rPr>
        <w:t xml:space="preserve">considering afresh the claim for eligibility to charity registration, the Tribunal does not set out to identify or clarify the errors of the Commission and is able to take into account </w:t>
      </w:r>
      <w:r w:rsidRPr="005A0D68">
        <w:rPr>
          <w:rFonts w:ascii="Times New Roman" w:hAnsi="Times New Roman" w:cs="Times New Roman"/>
          <w:sz w:val="24"/>
          <w:szCs w:val="24"/>
        </w:rPr>
        <w:lastRenderedPageBreak/>
        <w:t>evidence which was not available to the Commission.</w:t>
      </w:r>
      <w:r w:rsidRPr="005A0D68">
        <w:rPr>
          <w:rStyle w:val="FootnoteReference"/>
          <w:rFonts w:ascii="Times New Roman" w:hAnsi="Times New Roman" w:cs="Times New Roman"/>
          <w:sz w:val="24"/>
          <w:szCs w:val="24"/>
        </w:rPr>
        <w:footnoteReference w:id="158"/>
      </w:r>
      <w:r w:rsidRPr="005A0D68">
        <w:rPr>
          <w:rFonts w:ascii="Times New Roman" w:hAnsi="Times New Roman" w:cs="Times New Roman"/>
          <w:sz w:val="24"/>
          <w:szCs w:val="24"/>
        </w:rPr>
        <w:t xml:space="preserve"> </w:t>
      </w:r>
      <w:r w:rsidRPr="005A0D68">
        <w:rPr>
          <w:rFonts w:ascii="Times New Roman" w:eastAsia="Times New Roman" w:hAnsi="Times New Roman" w:cs="Times New Roman"/>
          <w:sz w:val="24"/>
          <w:szCs w:val="24"/>
        </w:rPr>
        <w:t xml:space="preserve">Although not a body generating precedent, </w:t>
      </w:r>
      <w:r w:rsidR="008C5401" w:rsidRPr="005A0D68">
        <w:rPr>
          <w:rFonts w:ascii="Times New Roman" w:eastAsia="Times New Roman" w:hAnsi="Times New Roman" w:cs="Times New Roman"/>
          <w:sz w:val="24"/>
          <w:szCs w:val="24"/>
        </w:rPr>
        <w:t xml:space="preserve">the Tribunal’s </w:t>
      </w:r>
      <w:r w:rsidRPr="005A0D68">
        <w:rPr>
          <w:rFonts w:ascii="Times New Roman" w:eastAsia="Times New Roman" w:hAnsi="Times New Roman" w:cs="Times New Roman"/>
          <w:sz w:val="24"/>
          <w:szCs w:val="24"/>
        </w:rPr>
        <w:t xml:space="preserve">decisions </w:t>
      </w:r>
      <w:r w:rsidR="008C5401" w:rsidRPr="005A0D68">
        <w:rPr>
          <w:rFonts w:ascii="Times New Roman" w:eastAsia="Times New Roman" w:hAnsi="Times New Roman" w:cs="Times New Roman"/>
          <w:sz w:val="24"/>
          <w:szCs w:val="24"/>
        </w:rPr>
        <w:t xml:space="preserve">may undoubtedly </w:t>
      </w:r>
      <w:r w:rsidRPr="005A0D68">
        <w:rPr>
          <w:rFonts w:ascii="Times New Roman" w:eastAsia="Times New Roman" w:hAnsi="Times New Roman" w:cs="Times New Roman"/>
          <w:sz w:val="24"/>
          <w:szCs w:val="24"/>
        </w:rPr>
        <w:t>carry</w:t>
      </w:r>
      <w:r w:rsidR="001C1C28" w:rsidRPr="005A0D68">
        <w:rPr>
          <w:rFonts w:ascii="Times New Roman" w:eastAsia="Times New Roman" w:hAnsi="Times New Roman" w:cs="Times New Roman"/>
          <w:sz w:val="24"/>
          <w:szCs w:val="24"/>
        </w:rPr>
        <w:t xml:space="preserve"> some</w:t>
      </w:r>
      <w:r w:rsidR="008C5401" w:rsidRPr="005A0D68">
        <w:rPr>
          <w:rFonts w:ascii="Times New Roman" w:eastAsia="Times New Roman" w:hAnsi="Times New Roman" w:cs="Times New Roman"/>
          <w:sz w:val="24"/>
          <w:szCs w:val="24"/>
        </w:rPr>
        <w:t xml:space="preserve"> weight.</w:t>
      </w:r>
      <w:r w:rsidRPr="005A0D68">
        <w:rPr>
          <w:rStyle w:val="FootnoteReference"/>
          <w:rFonts w:ascii="Times New Roman" w:hAnsi="Times New Roman" w:cs="Times New Roman"/>
          <w:sz w:val="24"/>
          <w:szCs w:val="24"/>
        </w:rPr>
        <w:footnoteReference w:id="159"/>
      </w:r>
      <w:r w:rsidRPr="005A0D68">
        <w:rPr>
          <w:rFonts w:ascii="Times New Roman" w:hAnsi="Times New Roman" w:cs="Times New Roman"/>
          <w:sz w:val="24"/>
          <w:szCs w:val="24"/>
        </w:rPr>
        <w:t xml:space="preserve"> Such was the case with </w:t>
      </w:r>
      <w:r w:rsidRPr="005A0D68">
        <w:rPr>
          <w:rFonts w:ascii="Times New Roman" w:hAnsi="Times New Roman" w:cs="Times New Roman"/>
          <w:i/>
          <w:sz w:val="24"/>
          <w:szCs w:val="24"/>
        </w:rPr>
        <w:t>HDT</w:t>
      </w:r>
      <w:r w:rsidRPr="005A0D68">
        <w:rPr>
          <w:rFonts w:ascii="Times New Roman" w:hAnsi="Times New Roman" w:cs="Times New Roman"/>
          <w:sz w:val="24"/>
          <w:szCs w:val="24"/>
        </w:rPr>
        <w:t>, viewed conservatively by some as</w:t>
      </w:r>
      <w:r w:rsidRPr="005A0D68">
        <w:rPr>
          <w:rFonts w:ascii="Times New Roman" w:hAnsi="Times New Roman" w:cs="Times New Roman"/>
          <w:color w:val="000000"/>
          <w:sz w:val="24"/>
          <w:szCs w:val="24"/>
          <w:shd w:val="clear" w:color="auto" w:fill="FFFFFF"/>
        </w:rPr>
        <w:t xml:space="preserve"> a, “logical application of the existing law in this field”,</w:t>
      </w:r>
      <w:r w:rsidRPr="005A0D68">
        <w:rPr>
          <w:rStyle w:val="FootnoteReference"/>
          <w:rFonts w:ascii="Times New Roman" w:hAnsi="Times New Roman" w:cs="Times New Roman"/>
          <w:sz w:val="24"/>
          <w:szCs w:val="24"/>
        </w:rPr>
        <w:footnoteReference w:id="160"/>
      </w:r>
      <w:r w:rsidRPr="005A0D68">
        <w:rPr>
          <w:rFonts w:ascii="Times New Roman" w:hAnsi="Times New Roman" w:cs="Times New Roman"/>
          <w:sz w:val="24"/>
          <w:szCs w:val="24"/>
        </w:rPr>
        <w:t xml:space="preserve"> but for others as, “most significant”, making it, “</w:t>
      </w:r>
      <w:r w:rsidRPr="005A0D68">
        <w:rPr>
          <w:rFonts w:ascii="Times New Roman" w:hAnsi="Times New Roman" w:cs="Times New Roman"/>
          <w:color w:val="000000"/>
          <w:sz w:val="24"/>
          <w:szCs w:val="24"/>
          <w:shd w:val="clear" w:color="auto" w:fill="FFFFFF"/>
        </w:rPr>
        <w:t>increasingly difficult to sustain the political purposes exclusion where ... human rights are at issue”.</w:t>
      </w:r>
      <w:r w:rsidRPr="005A0D68">
        <w:rPr>
          <w:rStyle w:val="FootnoteReference"/>
          <w:rFonts w:ascii="Times New Roman" w:hAnsi="Times New Roman" w:cs="Times New Roman"/>
          <w:sz w:val="24"/>
          <w:szCs w:val="24"/>
        </w:rPr>
        <w:footnoteReference w:id="161"/>
      </w:r>
      <w:r w:rsidRPr="005A0D68">
        <w:rPr>
          <w:rFonts w:ascii="Times New Roman" w:hAnsi="Times New Roman" w:cs="Times New Roman"/>
          <w:color w:val="000000"/>
          <w:sz w:val="24"/>
          <w:szCs w:val="24"/>
          <w:shd w:val="clear" w:color="auto" w:fill="FFFFFF"/>
        </w:rPr>
        <w:t xml:space="preserve"> </w:t>
      </w:r>
      <w:r w:rsidR="008C5401" w:rsidRPr="005A0D68">
        <w:rPr>
          <w:rFonts w:ascii="Times New Roman" w:hAnsi="Times New Roman" w:cs="Times New Roman"/>
          <w:color w:val="000000"/>
          <w:sz w:val="24"/>
          <w:szCs w:val="24"/>
          <w:shd w:val="clear" w:color="auto" w:fill="FFFFFF"/>
        </w:rPr>
        <w:t>Unfortunately, many of the appeals to the Tribunal</w:t>
      </w:r>
      <w:r w:rsidRPr="005A0D68">
        <w:rPr>
          <w:rFonts w:ascii="Times New Roman" w:hAnsi="Times New Roman" w:cs="Times New Roman"/>
          <w:color w:val="000000"/>
          <w:sz w:val="24"/>
          <w:szCs w:val="24"/>
          <w:shd w:val="clear" w:color="auto" w:fill="FFFFFF"/>
        </w:rPr>
        <w:t xml:space="preserve"> have failed to </w:t>
      </w:r>
      <w:r w:rsidR="008C5401" w:rsidRPr="005A0D68">
        <w:rPr>
          <w:rFonts w:ascii="Times New Roman" w:hAnsi="Times New Roman" w:cs="Times New Roman"/>
          <w:color w:val="000000"/>
          <w:sz w:val="24"/>
          <w:szCs w:val="24"/>
          <w:shd w:val="clear" w:color="auto" w:fill="FFFFFF"/>
        </w:rPr>
        <w:t>stimulate</w:t>
      </w:r>
      <w:r w:rsidRPr="005A0D68">
        <w:rPr>
          <w:rFonts w:ascii="Times New Roman" w:hAnsi="Times New Roman" w:cs="Times New Roman"/>
          <w:color w:val="000000"/>
          <w:sz w:val="24"/>
          <w:szCs w:val="24"/>
          <w:shd w:val="clear" w:color="auto" w:fill="FFFFFF"/>
        </w:rPr>
        <w:t xml:space="preserve"> any meaningful comment. </w:t>
      </w:r>
      <w:r w:rsidR="001138F7" w:rsidRPr="005A0D68">
        <w:rPr>
          <w:rFonts w:ascii="Times New Roman" w:hAnsi="Times New Roman" w:cs="Times New Roman"/>
          <w:color w:val="000000"/>
          <w:sz w:val="24"/>
          <w:szCs w:val="24"/>
          <w:shd w:val="clear" w:color="auto" w:fill="FFFFFF"/>
        </w:rPr>
        <w:t xml:space="preserve">With </w:t>
      </w:r>
      <w:r w:rsidRPr="005A0D68">
        <w:rPr>
          <w:rFonts w:ascii="Times New Roman" w:hAnsi="Times New Roman" w:cs="Times New Roman"/>
          <w:sz w:val="24"/>
          <w:szCs w:val="24"/>
        </w:rPr>
        <w:t>so few cases</w:t>
      </w:r>
      <w:r w:rsidR="00CB714D" w:rsidRPr="005A0D68">
        <w:rPr>
          <w:rFonts w:ascii="Times New Roman" w:hAnsi="Times New Roman" w:cs="Times New Roman"/>
          <w:sz w:val="24"/>
          <w:szCs w:val="24"/>
        </w:rPr>
        <w:t xml:space="preserve"> now reach</w:t>
      </w:r>
      <w:r w:rsidR="001138F7" w:rsidRPr="005A0D68">
        <w:rPr>
          <w:rFonts w:ascii="Times New Roman" w:hAnsi="Times New Roman" w:cs="Times New Roman"/>
          <w:sz w:val="24"/>
          <w:szCs w:val="24"/>
        </w:rPr>
        <w:t>ing</w:t>
      </w:r>
      <w:r w:rsidR="00CB714D" w:rsidRPr="005A0D68">
        <w:rPr>
          <w:rFonts w:ascii="Times New Roman" w:hAnsi="Times New Roman" w:cs="Times New Roman"/>
          <w:sz w:val="24"/>
          <w:szCs w:val="24"/>
        </w:rPr>
        <w:t xml:space="preserve"> a court of record, </w:t>
      </w:r>
      <w:r w:rsidRPr="005A0D68">
        <w:rPr>
          <w:rFonts w:ascii="Times New Roman" w:hAnsi="Times New Roman" w:cs="Times New Roman"/>
          <w:sz w:val="24"/>
          <w:szCs w:val="24"/>
        </w:rPr>
        <w:t xml:space="preserve">serious doubt </w:t>
      </w:r>
      <w:r w:rsidR="00740621" w:rsidRPr="005A0D68">
        <w:rPr>
          <w:rFonts w:ascii="Times New Roman" w:hAnsi="Times New Roman" w:cs="Times New Roman"/>
          <w:sz w:val="24"/>
          <w:szCs w:val="24"/>
        </w:rPr>
        <w:t>is cast</w:t>
      </w:r>
      <w:r w:rsidR="001138F7" w:rsidRPr="005A0D68">
        <w:rPr>
          <w:rFonts w:ascii="Times New Roman" w:hAnsi="Times New Roman" w:cs="Times New Roman"/>
          <w:sz w:val="24"/>
          <w:szCs w:val="24"/>
        </w:rPr>
        <w:t xml:space="preserve"> as to the </w:t>
      </w:r>
      <w:r w:rsidRPr="005A0D68">
        <w:rPr>
          <w:rFonts w:ascii="Times New Roman" w:hAnsi="Times New Roman" w:cs="Times New Roman"/>
          <w:sz w:val="24"/>
          <w:szCs w:val="24"/>
        </w:rPr>
        <w:t>scope for charity law to develop organically</w:t>
      </w:r>
      <w:r w:rsidR="001138F7" w:rsidRPr="005A0D68">
        <w:rPr>
          <w:rFonts w:ascii="Times New Roman" w:hAnsi="Times New Roman" w:cs="Times New Roman"/>
          <w:sz w:val="24"/>
          <w:szCs w:val="24"/>
        </w:rPr>
        <w:t xml:space="preserve"> and systematically</w:t>
      </w:r>
      <w:r w:rsidRPr="005A0D68">
        <w:rPr>
          <w:rFonts w:ascii="Times New Roman" w:hAnsi="Times New Roman" w:cs="Times New Roman"/>
          <w:sz w:val="24"/>
          <w:szCs w:val="24"/>
        </w:rPr>
        <w:t>.</w:t>
      </w:r>
    </w:p>
    <w:p w:rsidR="006642A7" w:rsidRPr="005A0D68" w:rsidRDefault="006642A7" w:rsidP="006642A7">
      <w:pPr>
        <w:spacing w:after="0" w:line="480" w:lineRule="auto"/>
        <w:jc w:val="both"/>
        <w:rPr>
          <w:rFonts w:ascii="Times New Roman" w:eastAsia="Times New Roman" w:hAnsi="Times New Roman" w:cs="Times New Roman"/>
          <w:sz w:val="24"/>
          <w:szCs w:val="24"/>
        </w:rPr>
      </w:pPr>
      <w:r w:rsidRPr="005A0D68">
        <w:rPr>
          <w:rFonts w:ascii="Times New Roman" w:hAnsi="Times New Roman" w:cs="Times New Roman"/>
          <w:color w:val="000000"/>
          <w:sz w:val="24"/>
          <w:szCs w:val="24"/>
          <w:shd w:val="clear" w:color="auto" w:fill="FFFFFF"/>
        </w:rPr>
        <w:tab/>
        <w:t xml:space="preserve">For the applicant, the path to charitable status is daunting and unpredictable. There is an unhelpful absence of developing precedent and </w:t>
      </w:r>
      <w:r w:rsidRPr="005A0D68">
        <w:rPr>
          <w:rFonts w:ascii="Times New Roman" w:eastAsia="Times New Roman" w:hAnsi="Times New Roman" w:cs="Times New Roman"/>
          <w:sz w:val="24"/>
          <w:szCs w:val="24"/>
        </w:rPr>
        <w:t xml:space="preserve">little can be gleaned from </w:t>
      </w:r>
      <w:r w:rsidRPr="005A0D68">
        <w:rPr>
          <w:rFonts w:ascii="Times New Roman" w:hAnsi="Times New Roman" w:cs="Times New Roman"/>
          <w:sz w:val="24"/>
          <w:szCs w:val="24"/>
        </w:rPr>
        <w:t>the Register of Charities</w:t>
      </w:r>
      <w:r w:rsidR="005B0EAC" w:rsidRPr="005A0D68">
        <w:rPr>
          <w:rFonts w:ascii="Times New Roman" w:hAnsi="Times New Roman" w:cs="Times New Roman"/>
          <w:sz w:val="24"/>
          <w:szCs w:val="24"/>
        </w:rPr>
        <w:t xml:space="preserve"> as it</w:t>
      </w:r>
      <w:bookmarkStart w:id="0" w:name="_GoBack"/>
      <w:bookmarkEnd w:id="0"/>
      <w:r w:rsidRPr="005A0D68">
        <w:rPr>
          <w:rFonts w:ascii="Times New Roman" w:hAnsi="Times New Roman" w:cs="Times New Roman"/>
          <w:sz w:val="24"/>
          <w:szCs w:val="24"/>
        </w:rPr>
        <w:t>, “does not exist as a precedent bank”</w:t>
      </w:r>
      <w:r w:rsidRPr="005A0D68">
        <w:rPr>
          <w:rStyle w:val="FootnoteReference"/>
          <w:rFonts w:ascii="Times New Roman" w:hAnsi="Times New Roman" w:cs="Times New Roman"/>
          <w:sz w:val="24"/>
          <w:szCs w:val="24"/>
        </w:rPr>
        <w:t>.</w:t>
      </w:r>
      <w:r w:rsidRPr="005A0D68">
        <w:rPr>
          <w:rStyle w:val="FootnoteReference"/>
          <w:rFonts w:ascii="Times New Roman" w:hAnsi="Times New Roman" w:cs="Times New Roman"/>
          <w:sz w:val="24"/>
          <w:szCs w:val="24"/>
        </w:rPr>
        <w:footnoteReference w:id="162"/>
      </w:r>
      <w:r w:rsidRPr="005A0D68">
        <w:rPr>
          <w:rFonts w:ascii="Times New Roman" w:hAnsi="Times New Roman" w:cs="Times New Roman"/>
          <w:sz w:val="24"/>
          <w:szCs w:val="24"/>
        </w:rPr>
        <w:t xml:space="preserve"> It seems to make no difference that an applicant can point to examples of charities registered with purposes that are the similar or analogous to its own. It is clear too that the Commission’s subject-specific, non-statutory guidance cannot be relied upon. </w:t>
      </w:r>
      <w:r w:rsidR="001138F7" w:rsidRPr="005A0D68">
        <w:rPr>
          <w:rFonts w:ascii="Times New Roman" w:hAnsi="Times New Roman" w:cs="Times New Roman"/>
          <w:sz w:val="24"/>
          <w:szCs w:val="24"/>
        </w:rPr>
        <w:t>Although i</w:t>
      </w:r>
      <w:r w:rsidRPr="005A0D68">
        <w:rPr>
          <w:rFonts w:ascii="Times New Roman" w:hAnsi="Times New Roman" w:cs="Times New Roman"/>
          <w:sz w:val="24"/>
          <w:szCs w:val="24"/>
        </w:rPr>
        <w:t xml:space="preserve">ts work on the Register </w:t>
      </w:r>
      <w:r w:rsidR="00097D2A" w:rsidRPr="005A0D68">
        <w:rPr>
          <w:rFonts w:ascii="Times New Roman" w:hAnsi="Times New Roman" w:cs="Times New Roman"/>
          <w:sz w:val="24"/>
          <w:szCs w:val="24"/>
        </w:rPr>
        <w:t>has been</w:t>
      </w:r>
      <w:r w:rsidRPr="005A0D68">
        <w:rPr>
          <w:rFonts w:ascii="Times New Roman" w:hAnsi="Times New Roman" w:cs="Times New Roman"/>
          <w:sz w:val="24"/>
          <w:szCs w:val="24"/>
        </w:rPr>
        <w:t xml:space="preserve"> bold and confident,</w:t>
      </w:r>
      <w:r w:rsidRPr="005A0D68">
        <w:rPr>
          <w:rStyle w:val="FootnoteReference"/>
          <w:rFonts w:ascii="Times New Roman" w:hAnsi="Times New Roman" w:cs="Times New Roman"/>
          <w:sz w:val="24"/>
          <w:szCs w:val="24"/>
        </w:rPr>
        <w:footnoteReference w:id="163"/>
      </w:r>
      <w:r w:rsidRPr="005A0D68">
        <w:rPr>
          <w:rFonts w:ascii="Times New Roman" w:hAnsi="Times New Roman" w:cs="Times New Roman"/>
          <w:sz w:val="24"/>
          <w:szCs w:val="24"/>
        </w:rPr>
        <w:t xml:space="preserve"> much of the guidance </w:t>
      </w:r>
      <w:r w:rsidR="00097D2A" w:rsidRPr="005A0D68">
        <w:rPr>
          <w:rFonts w:ascii="Times New Roman" w:hAnsi="Times New Roman" w:cs="Times New Roman"/>
          <w:sz w:val="24"/>
          <w:szCs w:val="24"/>
        </w:rPr>
        <w:t xml:space="preserve">produced </w:t>
      </w:r>
      <w:r w:rsidRPr="005A0D68">
        <w:rPr>
          <w:rFonts w:ascii="Times New Roman" w:hAnsi="Times New Roman" w:cs="Times New Roman"/>
          <w:sz w:val="24"/>
          <w:szCs w:val="24"/>
        </w:rPr>
        <w:t>is of its time and does not help to impart ‘particular meaning’ in the statutory concepts. The authoritative steer is to be found in the,</w:t>
      </w:r>
      <w:r w:rsidRPr="005A0D68">
        <w:rPr>
          <w:rFonts w:ascii="Times New Roman" w:eastAsia="Times New Roman" w:hAnsi="Times New Roman" w:cs="Times New Roman"/>
          <w:sz w:val="24"/>
          <w:szCs w:val="24"/>
        </w:rPr>
        <w:t xml:space="preserve"> </w:t>
      </w:r>
      <w:r w:rsidRPr="005A0D68">
        <w:rPr>
          <w:rFonts w:ascii="Times New Roman" w:hAnsi="Times New Roman" w:cs="Times New Roman"/>
          <w:sz w:val="24"/>
          <w:szCs w:val="24"/>
        </w:rPr>
        <w:t>“previous (binding) decisions of the court rather than ... [the] guidance issued by a regulator”.</w:t>
      </w:r>
      <w:r w:rsidRPr="005A0D68">
        <w:rPr>
          <w:rStyle w:val="FootnoteReference"/>
          <w:rFonts w:ascii="Times New Roman" w:hAnsi="Times New Roman" w:cs="Times New Roman"/>
          <w:sz w:val="24"/>
          <w:szCs w:val="24"/>
        </w:rPr>
        <w:footnoteReference w:id="164"/>
      </w:r>
      <w:r w:rsidRPr="005A0D68">
        <w:rPr>
          <w:rFonts w:ascii="Times New Roman" w:hAnsi="Times New Roman" w:cs="Times New Roman"/>
          <w:color w:val="000000"/>
          <w:sz w:val="24"/>
          <w:szCs w:val="24"/>
          <w:shd w:val="clear" w:color="auto" w:fill="FFFFFF"/>
        </w:rPr>
        <w:t xml:space="preserve"> For the disappointed applicant, the First-tier Tribunal may now offer a viable avenue of appeal with reasonable prospects of success</w:t>
      </w:r>
      <w:r w:rsidR="00760324">
        <w:rPr>
          <w:rFonts w:ascii="Times New Roman" w:hAnsi="Times New Roman" w:cs="Times New Roman"/>
          <w:color w:val="000000"/>
          <w:sz w:val="24"/>
          <w:szCs w:val="24"/>
          <w:shd w:val="clear" w:color="auto" w:fill="FFFFFF"/>
        </w:rPr>
        <w:t>.</w:t>
      </w:r>
      <w:r w:rsidRPr="005A0D68">
        <w:rPr>
          <w:rFonts w:ascii="Times New Roman" w:hAnsi="Times New Roman" w:cs="Times New Roman"/>
          <w:color w:val="000000"/>
          <w:sz w:val="24"/>
          <w:szCs w:val="24"/>
          <w:shd w:val="clear" w:color="auto" w:fill="FFFFFF"/>
        </w:rPr>
        <w:t xml:space="preserve"> </w:t>
      </w:r>
      <w:r w:rsidR="00760324">
        <w:rPr>
          <w:rFonts w:ascii="Times New Roman" w:hAnsi="Times New Roman" w:cs="Times New Roman"/>
          <w:color w:val="000000"/>
          <w:sz w:val="24"/>
          <w:szCs w:val="24"/>
          <w:shd w:val="clear" w:color="auto" w:fill="FFFFFF"/>
        </w:rPr>
        <w:t xml:space="preserve">Although manifestly cheaper than undertaking High Court litigation, </w:t>
      </w:r>
      <w:r w:rsidRPr="005A0D68">
        <w:rPr>
          <w:rFonts w:ascii="Times New Roman" w:hAnsi="Times New Roman" w:cs="Times New Roman"/>
          <w:color w:val="000000"/>
          <w:sz w:val="24"/>
          <w:szCs w:val="24"/>
          <w:shd w:val="clear" w:color="auto" w:fill="FFFFFF"/>
        </w:rPr>
        <w:t xml:space="preserve">the price of access to justice </w:t>
      </w:r>
      <w:r w:rsidR="00760324">
        <w:rPr>
          <w:rFonts w:ascii="Times New Roman" w:hAnsi="Times New Roman" w:cs="Times New Roman"/>
          <w:color w:val="000000"/>
          <w:sz w:val="24"/>
          <w:szCs w:val="24"/>
          <w:shd w:val="clear" w:color="auto" w:fill="FFFFFF"/>
        </w:rPr>
        <w:t>in the First-tier Tribunal may</w:t>
      </w:r>
      <w:r w:rsidRPr="005A0D68">
        <w:rPr>
          <w:rFonts w:ascii="Times New Roman" w:hAnsi="Times New Roman" w:cs="Times New Roman"/>
          <w:color w:val="000000"/>
          <w:sz w:val="24"/>
          <w:szCs w:val="24"/>
          <w:shd w:val="clear" w:color="auto" w:fill="FFFFFF"/>
        </w:rPr>
        <w:t xml:space="preserve"> </w:t>
      </w:r>
      <w:r w:rsidR="00373EF0">
        <w:rPr>
          <w:rFonts w:ascii="Times New Roman" w:hAnsi="Times New Roman" w:cs="Times New Roman"/>
          <w:color w:val="000000"/>
          <w:sz w:val="24"/>
          <w:szCs w:val="24"/>
          <w:shd w:val="clear" w:color="auto" w:fill="FFFFFF"/>
        </w:rPr>
        <w:lastRenderedPageBreak/>
        <w:t>nevertheless</w:t>
      </w:r>
      <w:r w:rsidR="00760324">
        <w:rPr>
          <w:rFonts w:ascii="Times New Roman" w:hAnsi="Times New Roman" w:cs="Times New Roman"/>
          <w:color w:val="000000"/>
          <w:sz w:val="24"/>
          <w:szCs w:val="24"/>
          <w:shd w:val="clear" w:color="auto" w:fill="FFFFFF"/>
        </w:rPr>
        <w:t xml:space="preserve"> be off-putting </w:t>
      </w:r>
      <w:r w:rsidRPr="005A0D68">
        <w:rPr>
          <w:rFonts w:ascii="Times New Roman" w:hAnsi="Times New Roman" w:cs="Times New Roman"/>
          <w:color w:val="000000"/>
          <w:sz w:val="24"/>
          <w:szCs w:val="24"/>
          <w:shd w:val="clear" w:color="auto" w:fill="FFFFFF"/>
        </w:rPr>
        <w:t xml:space="preserve">in </w:t>
      </w:r>
      <w:r w:rsidR="00760324">
        <w:rPr>
          <w:rFonts w:ascii="Times New Roman" w:hAnsi="Times New Roman" w:cs="Times New Roman"/>
          <w:color w:val="000000"/>
          <w:sz w:val="24"/>
          <w:szCs w:val="24"/>
          <w:shd w:val="clear" w:color="auto" w:fill="FFFFFF"/>
        </w:rPr>
        <w:t xml:space="preserve">terms of </w:t>
      </w:r>
      <w:r w:rsidRPr="005A0D68">
        <w:rPr>
          <w:rFonts w:ascii="Times New Roman" w:hAnsi="Times New Roman" w:cs="Times New Roman"/>
          <w:color w:val="000000"/>
          <w:sz w:val="24"/>
          <w:szCs w:val="24"/>
          <w:shd w:val="clear" w:color="auto" w:fill="FFFFFF"/>
        </w:rPr>
        <w:t xml:space="preserve">the </w:t>
      </w:r>
      <w:r w:rsidRPr="005A0D68">
        <w:rPr>
          <w:rFonts w:ascii="Times New Roman" w:eastAsia="Times New Roman" w:hAnsi="Times New Roman" w:cs="Times New Roman"/>
          <w:sz w:val="24"/>
          <w:szCs w:val="24"/>
        </w:rPr>
        <w:t>time and effort required to engage with the appeal process and, as will often prove necessary, the associated cost of instructing counsel.</w:t>
      </w:r>
      <w:r w:rsidR="00760324">
        <w:rPr>
          <w:rStyle w:val="FootnoteReference"/>
          <w:rFonts w:ascii="Times New Roman" w:eastAsia="Times New Roman" w:hAnsi="Times New Roman" w:cs="Times New Roman"/>
          <w:sz w:val="24"/>
          <w:szCs w:val="24"/>
        </w:rPr>
        <w:footnoteReference w:id="165"/>
      </w:r>
    </w:p>
    <w:p w:rsidR="001C1C28" w:rsidRDefault="00BF30FB" w:rsidP="006642A7">
      <w:pPr>
        <w:spacing w:after="0" w:line="480" w:lineRule="auto"/>
        <w:jc w:val="both"/>
        <w:rPr>
          <w:rFonts w:ascii="Arial" w:hAnsi="Arial" w:cs="Arial"/>
        </w:rPr>
      </w:pPr>
      <w:r>
        <w:rPr>
          <w:rFonts w:ascii="Arial" w:hAnsi="Arial" w:cs="Arial"/>
        </w:rPr>
        <w:tab/>
      </w:r>
    </w:p>
    <w:p w:rsidR="001C1C28" w:rsidRDefault="001C1C28" w:rsidP="006642A7">
      <w:pPr>
        <w:spacing w:after="0" w:line="480" w:lineRule="auto"/>
        <w:jc w:val="both"/>
        <w:rPr>
          <w:rFonts w:ascii="Arial" w:hAnsi="Arial" w:cs="Arial"/>
        </w:rPr>
      </w:pPr>
    </w:p>
    <w:p w:rsidR="00195856" w:rsidRDefault="00195856" w:rsidP="006642A7">
      <w:pPr>
        <w:spacing w:after="0" w:line="480" w:lineRule="auto"/>
        <w:jc w:val="both"/>
        <w:rPr>
          <w:rFonts w:ascii="Arial" w:hAnsi="Arial" w:cs="Arial"/>
        </w:rPr>
      </w:pPr>
    </w:p>
    <w:p w:rsidR="00195856" w:rsidRDefault="00195856" w:rsidP="006642A7">
      <w:pPr>
        <w:spacing w:after="0" w:line="480" w:lineRule="auto"/>
        <w:jc w:val="both"/>
        <w:rPr>
          <w:rFonts w:ascii="Arial" w:hAnsi="Arial" w:cs="Arial"/>
        </w:rPr>
      </w:pPr>
    </w:p>
    <w:p w:rsidR="00195856" w:rsidRDefault="00195856" w:rsidP="006642A7">
      <w:pPr>
        <w:spacing w:after="0" w:line="480" w:lineRule="auto"/>
        <w:jc w:val="both"/>
        <w:rPr>
          <w:rFonts w:ascii="Arial" w:hAnsi="Arial" w:cs="Arial"/>
        </w:rPr>
      </w:pPr>
    </w:p>
    <w:p w:rsidR="00132760" w:rsidRDefault="00132760" w:rsidP="003F1CC9"/>
    <w:p w:rsidR="001659D4" w:rsidRPr="00D02A91" w:rsidRDefault="001659D4" w:rsidP="00D02A91">
      <w:pPr>
        <w:spacing w:after="0" w:line="480" w:lineRule="auto"/>
        <w:jc w:val="both"/>
        <w:rPr>
          <w:rFonts w:ascii="Arial" w:eastAsia="Times New Roman" w:hAnsi="Arial" w:cs="Arial"/>
        </w:rPr>
      </w:pPr>
    </w:p>
    <w:sectPr w:rsidR="001659D4" w:rsidRPr="00D02A91" w:rsidSect="00280016">
      <w:footerReference w:type="default" r:id="rId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E6BFB1" w15:done="0"/>
  <w15:commentEx w15:paraId="2454E1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6BFB1" w16cid:durableId="214B3E3D"/>
  <w16cid:commentId w16cid:paraId="2454E17D" w16cid:durableId="214B44B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A8" w:rsidRDefault="006422A8" w:rsidP="00D02A91">
      <w:pPr>
        <w:spacing w:after="0" w:line="240" w:lineRule="auto"/>
      </w:pPr>
      <w:r>
        <w:separator/>
      </w:r>
    </w:p>
  </w:endnote>
  <w:endnote w:type="continuationSeparator" w:id="0">
    <w:p w:rsidR="006422A8" w:rsidRDefault="006422A8" w:rsidP="00D02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35235"/>
      <w:docPartObj>
        <w:docPartGallery w:val="Page Numbers (Bottom of Page)"/>
        <w:docPartUnique/>
      </w:docPartObj>
    </w:sdtPr>
    <w:sdtContent>
      <w:p w:rsidR="00F70897" w:rsidRDefault="00645063">
        <w:pPr>
          <w:pStyle w:val="Footer"/>
          <w:jc w:val="center"/>
        </w:pPr>
        <w:fldSimple w:instr=" PAGE   \* MERGEFORMAT ">
          <w:r w:rsidR="00ED3AC5">
            <w:rPr>
              <w:noProof/>
            </w:rPr>
            <w:t>1</w:t>
          </w:r>
        </w:fldSimple>
      </w:p>
    </w:sdtContent>
  </w:sdt>
  <w:p w:rsidR="00F70897" w:rsidRDefault="00F70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A8" w:rsidRDefault="006422A8" w:rsidP="00D02A91">
      <w:pPr>
        <w:spacing w:after="0" w:line="240" w:lineRule="auto"/>
      </w:pPr>
      <w:r>
        <w:separator/>
      </w:r>
    </w:p>
  </w:footnote>
  <w:footnote w:type="continuationSeparator" w:id="0">
    <w:p w:rsidR="006422A8" w:rsidRDefault="006422A8" w:rsidP="00D02A91">
      <w:pPr>
        <w:spacing w:after="0" w:line="240" w:lineRule="auto"/>
      </w:pPr>
      <w:r>
        <w:continuationSeparator/>
      </w:r>
    </w:p>
  </w:footnote>
  <w:footnote w:id="1">
    <w:p w:rsidR="00F70897" w:rsidRDefault="00F70897" w:rsidP="00D02A91">
      <w:pPr>
        <w:pStyle w:val="FootnoteText"/>
        <w:jc w:val="both"/>
      </w:pPr>
      <w:r>
        <w:t xml:space="preserve">I am grateful to Professor Tony </w:t>
      </w:r>
      <w:proofErr w:type="spellStart"/>
      <w:r>
        <w:t>Bradney</w:t>
      </w:r>
      <w:proofErr w:type="spellEnd"/>
      <w:r>
        <w:t xml:space="preserve"> and Professor Warren Barr for their comments on an earlier draft.</w:t>
      </w:r>
    </w:p>
    <w:p w:rsidR="00F70897" w:rsidRDefault="00F70897" w:rsidP="00D02A91">
      <w:pPr>
        <w:pStyle w:val="FootnoteText"/>
        <w:jc w:val="both"/>
      </w:pPr>
      <w:r>
        <w:rPr>
          <w:rStyle w:val="FootnoteReference"/>
        </w:rPr>
        <w:footnoteRef/>
      </w:r>
      <w:r>
        <w:t xml:space="preserve"> [1891] AC 531.</w:t>
      </w:r>
    </w:p>
  </w:footnote>
  <w:footnote w:id="2">
    <w:p w:rsidR="00F70897" w:rsidRDefault="00F70897" w:rsidP="00D02A91">
      <w:pPr>
        <w:pStyle w:val="FootnoteText"/>
        <w:jc w:val="both"/>
      </w:pPr>
      <w:r>
        <w:rPr>
          <w:rStyle w:val="FootnoteReference"/>
        </w:rPr>
        <w:footnoteRef/>
      </w:r>
      <w:r>
        <w:t xml:space="preserve"> Repealed by the Charities Act 2011. Unless otherwise stated, all statutory references are to the 2011 Act.</w:t>
      </w:r>
    </w:p>
  </w:footnote>
  <w:footnote w:id="3">
    <w:p w:rsidR="00F70897" w:rsidRDefault="00F70897" w:rsidP="00D02A91">
      <w:pPr>
        <w:pStyle w:val="FootnoteText"/>
      </w:pPr>
      <w:r>
        <w:rPr>
          <w:rStyle w:val="FootnoteReference"/>
        </w:rPr>
        <w:footnoteRef/>
      </w:r>
      <w:r>
        <w:t xml:space="preserve"> To be charitable, a trust must be for a purpose deemed charitable at law, exclusively charitable and for the public benefit.</w:t>
      </w:r>
    </w:p>
  </w:footnote>
  <w:footnote w:id="4">
    <w:p w:rsidR="00F70897" w:rsidRPr="00D665F7" w:rsidRDefault="00F70897" w:rsidP="000D17CB">
      <w:pPr>
        <w:pStyle w:val="FootnoteText"/>
        <w:jc w:val="both"/>
        <w:rPr>
          <w:i/>
        </w:rPr>
      </w:pPr>
      <w:r>
        <w:rPr>
          <w:rStyle w:val="FootnoteReference"/>
        </w:rPr>
        <w:footnoteRef/>
      </w:r>
      <w:r>
        <w:rPr>
          <w:i/>
        </w:rPr>
        <w:t xml:space="preserve"> Re Hillier </w:t>
      </w:r>
      <w:r>
        <w:t>[1944] 1 All ER 480.</w:t>
      </w:r>
    </w:p>
  </w:footnote>
  <w:footnote w:id="5">
    <w:p w:rsidR="00F70897" w:rsidRDefault="00F70897" w:rsidP="000D17CB">
      <w:pPr>
        <w:pStyle w:val="FootnoteText"/>
      </w:pPr>
      <w:r>
        <w:rPr>
          <w:rStyle w:val="FootnoteReference"/>
        </w:rPr>
        <w:footnoteRef/>
      </w:r>
      <w:r>
        <w:t xml:space="preserve"> </w:t>
      </w:r>
      <w:r>
        <w:rPr>
          <w:i/>
        </w:rPr>
        <w:t>Re Grove-Grady</w:t>
      </w:r>
      <w:r>
        <w:t xml:space="preserve"> [1929] 1 Ch 557.</w:t>
      </w:r>
    </w:p>
  </w:footnote>
  <w:footnote w:id="6">
    <w:p w:rsidR="00F70897" w:rsidRDefault="00F70897" w:rsidP="000D17CB">
      <w:pPr>
        <w:pStyle w:val="FootnoteText"/>
      </w:pPr>
      <w:r>
        <w:rPr>
          <w:rStyle w:val="FootnoteReference"/>
        </w:rPr>
        <w:footnoteRef/>
      </w:r>
      <w:r>
        <w:t xml:space="preserve"> </w:t>
      </w:r>
      <w:r w:rsidRPr="00D665F7">
        <w:rPr>
          <w:i/>
        </w:rPr>
        <w:t>British Museum Trustees v White</w:t>
      </w:r>
      <w:r>
        <w:t xml:space="preserve"> (1826) 2 Sim &amp; St 594.</w:t>
      </w:r>
    </w:p>
  </w:footnote>
  <w:footnote w:id="7">
    <w:p w:rsidR="00F70897" w:rsidRDefault="00F70897" w:rsidP="009F4653">
      <w:pPr>
        <w:pStyle w:val="FootnoteText"/>
        <w:jc w:val="both"/>
      </w:pPr>
      <w:r>
        <w:rPr>
          <w:rStyle w:val="FootnoteReference"/>
        </w:rPr>
        <w:footnoteRef/>
      </w:r>
      <w:r>
        <w:t xml:space="preserve"> H. Kidd, ‘Definition of Charity: A Modest Proposal for a Bit of Divorce’ (1992-93) 1(1) CL&amp;PR 5, p.6.</w:t>
      </w:r>
    </w:p>
  </w:footnote>
  <w:footnote w:id="8">
    <w:p w:rsidR="00F70897" w:rsidRDefault="00F70897" w:rsidP="009F4653">
      <w:pPr>
        <w:pStyle w:val="FootnoteText"/>
        <w:jc w:val="both"/>
      </w:pPr>
      <w:r>
        <w:rPr>
          <w:rStyle w:val="FootnoteReference"/>
        </w:rPr>
        <w:footnoteRef/>
      </w:r>
      <w:r>
        <w:t xml:space="preserve"> See </w:t>
      </w:r>
      <w:r>
        <w:rPr>
          <w:i/>
          <w:iCs/>
        </w:rPr>
        <w:t>Oppenheim v Tobacco Securities Trust Co Ltd</w:t>
      </w:r>
      <w:r>
        <w:t xml:space="preserve"> [1951] AC 297, 309 per Lord Normand.</w:t>
      </w:r>
    </w:p>
  </w:footnote>
  <w:footnote w:id="9">
    <w:p w:rsidR="00F70897" w:rsidRDefault="00F70897" w:rsidP="009F4653">
      <w:pPr>
        <w:pStyle w:val="FootnoteText"/>
        <w:jc w:val="both"/>
      </w:pPr>
      <w:r>
        <w:rPr>
          <w:rStyle w:val="FootnoteReference"/>
        </w:rPr>
        <w:footnoteRef/>
      </w:r>
      <w:r>
        <w:t xml:space="preserve"> See </w:t>
      </w:r>
      <w:r>
        <w:rPr>
          <w:i/>
        </w:rPr>
        <w:t xml:space="preserve">Scottish Burial Reform and Cremation Society v Glasgow City </w:t>
      </w:r>
      <w:r w:rsidRPr="00C764DA">
        <w:t>Corp</w:t>
      </w:r>
      <w:r>
        <w:t xml:space="preserve"> [1968] AC 138.</w:t>
      </w:r>
    </w:p>
  </w:footnote>
  <w:footnote w:id="10">
    <w:p w:rsidR="00F70897" w:rsidRDefault="00F70897" w:rsidP="009F4653">
      <w:pPr>
        <w:pStyle w:val="FootnoteText"/>
      </w:pPr>
      <w:r>
        <w:rPr>
          <w:rStyle w:val="FootnoteReference"/>
        </w:rPr>
        <w:footnoteRef/>
      </w:r>
      <w:r>
        <w:t xml:space="preserve"> See </w:t>
      </w:r>
      <w:r w:rsidRPr="002B559D">
        <w:rPr>
          <w:i/>
        </w:rPr>
        <w:t>Re Foveaux</w:t>
      </w:r>
      <w:r>
        <w:t xml:space="preserve"> [1895] 2 Ch 501. As will become clear, the development of the law by analogy remains integral to charity law.</w:t>
      </w:r>
    </w:p>
  </w:footnote>
  <w:footnote w:id="11">
    <w:p w:rsidR="00F70897" w:rsidRDefault="00F70897" w:rsidP="00D02A91">
      <w:pPr>
        <w:pStyle w:val="FootnoteText"/>
        <w:jc w:val="both"/>
      </w:pPr>
      <w:r>
        <w:rPr>
          <w:rStyle w:val="FootnoteReference"/>
        </w:rPr>
        <w:footnoteRef/>
      </w:r>
      <w:r>
        <w:t xml:space="preserve"> See Home Office, </w:t>
      </w:r>
      <w:r>
        <w:rPr>
          <w:i/>
        </w:rPr>
        <w:t xml:space="preserve">Charities – </w:t>
      </w:r>
      <w:r w:rsidRPr="00CF3EB3">
        <w:rPr>
          <w:i/>
        </w:rPr>
        <w:t xml:space="preserve">A Framework for the Future </w:t>
      </w:r>
      <w:r>
        <w:t>(Cm 694, 1989), [2.11].</w:t>
      </w:r>
    </w:p>
  </w:footnote>
  <w:footnote w:id="12">
    <w:p w:rsidR="00F70897" w:rsidRDefault="00F70897" w:rsidP="001A7DD8">
      <w:pPr>
        <w:pStyle w:val="FootnoteText"/>
        <w:jc w:val="both"/>
      </w:pPr>
      <w:r>
        <w:rPr>
          <w:rStyle w:val="FootnoteReference"/>
        </w:rPr>
        <w:footnoteRef/>
      </w:r>
      <w:r>
        <w:t xml:space="preserve"> See B. Bromley, ‘1601 Preamble: The State’s Agenda for Charity’ (2002) 7(3) CL&amp;PR 209.</w:t>
      </w:r>
    </w:p>
  </w:footnote>
  <w:footnote w:id="13">
    <w:p w:rsidR="00F70897" w:rsidRDefault="00F70897" w:rsidP="00D02A91">
      <w:pPr>
        <w:pStyle w:val="FootnoteText"/>
        <w:jc w:val="both"/>
      </w:pPr>
      <w:r>
        <w:rPr>
          <w:rStyle w:val="FootnoteReference"/>
        </w:rPr>
        <w:footnoteRef/>
      </w:r>
      <w:r>
        <w:t xml:space="preserve"> </w:t>
      </w:r>
      <w:r w:rsidRPr="00F42EEA">
        <w:rPr>
          <w:i/>
        </w:rPr>
        <w:t xml:space="preserve">Morice v Bishop of Durham </w:t>
      </w:r>
      <w:r w:rsidRPr="00F42EEA">
        <w:t>(1804) 9 Ves 399, 405</w:t>
      </w:r>
      <w:r>
        <w:t xml:space="preserve"> p</w:t>
      </w:r>
      <w:r w:rsidRPr="00F42EEA">
        <w:t>er Sir William Grant MR.</w:t>
      </w:r>
      <w:r>
        <w:t xml:space="preserve"> </w:t>
      </w:r>
    </w:p>
  </w:footnote>
  <w:footnote w:id="14">
    <w:p w:rsidR="00F70897" w:rsidRDefault="00F70897" w:rsidP="00D02A91">
      <w:pPr>
        <w:pStyle w:val="FootnoteText"/>
        <w:jc w:val="both"/>
      </w:pPr>
      <w:r>
        <w:rPr>
          <w:rStyle w:val="FootnoteReference"/>
        </w:rPr>
        <w:footnoteRef/>
      </w:r>
      <w:r>
        <w:t xml:space="preserve"> A continuing process described by H. Kidd, (1992-93) 1(1) CL&amp;PR 5, p.6 as that, “game of inspecting the Sibylline book of 1601”.</w:t>
      </w:r>
    </w:p>
  </w:footnote>
  <w:footnote w:id="15">
    <w:p w:rsidR="00F70897" w:rsidRPr="00736B5E" w:rsidRDefault="00F70897" w:rsidP="00986145">
      <w:pPr>
        <w:pStyle w:val="FootnoteText"/>
        <w:jc w:val="both"/>
      </w:pPr>
      <w:r>
        <w:rPr>
          <w:rStyle w:val="FootnoteReference"/>
        </w:rPr>
        <w:footnoteRef/>
      </w:r>
      <w:r>
        <w:t xml:space="preserve"> </w:t>
      </w:r>
      <w:r w:rsidRPr="000914A9">
        <w:rPr>
          <w:i/>
        </w:rPr>
        <w:t xml:space="preserve">Re </w:t>
      </w:r>
      <w:proofErr w:type="spellStart"/>
      <w:r w:rsidRPr="000914A9">
        <w:rPr>
          <w:i/>
        </w:rPr>
        <w:t>Strakosch</w:t>
      </w:r>
      <w:proofErr w:type="spellEnd"/>
      <w:r>
        <w:t xml:space="preserve"> [1949] Ch 529;</w:t>
      </w:r>
      <w:r w:rsidRPr="00BC1BBD">
        <w:rPr>
          <w:rFonts w:ascii="Arial" w:hAnsi="Arial" w:cs="Arial"/>
        </w:rPr>
        <w:t xml:space="preserve"> </w:t>
      </w:r>
      <w:r>
        <w:t xml:space="preserve">see also Lord </w:t>
      </w:r>
      <w:proofErr w:type="spellStart"/>
      <w:r>
        <w:t>Simonds</w:t>
      </w:r>
      <w:proofErr w:type="spellEnd"/>
      <w:r>
        <w:t xml:space="preserve"> in </w:t>
      </w:r>
      <w:r>
        <w:rPr>
          <w:i/>
        </w:rPr>
        <w:t xml:space="preserve">Gilmour v Coats </w:t>
      </w:r>
      <w:r>
        <w:t>[1949] AC 426, 442.</w:t>
      </w:r>
    </w:p>
  </w:footnote>
  <w:footnote w:id="16">
    <w:p w:rsidR="00F70897" w:rsidRDefault="00F70897" w:rsidP="00D02A91">
      <w:pPr>
        <w:pStyle w:val="FootnoteText"/>
        <w:jc w:val="both"/>
      </w:pPr>
      <w:r>
        <w:rPr>
          <w:rStyle w:val="FootnoteReference"/>
        </w:rPr>
        <w:footnoteRef/>
      </w:r>
      <w:r>
        <w:t xml:space="preserve"> </w:t>
      </w:r>
      <w:r>
        <w:rPr>
          <w:i/>
        </w:rPr>
        <w:t xml:space="preserve">Scottish Burial Reform and Cremation Society v Glasgow City </w:t>
      </w:r>
      <w:r w:rsidRPr="00C764DA">
        <w:t>Corp</w:t>
      </w:r>
      <w:r>
        <w:t xml:space="preserve"> [1968] AC 138, 153 per Lord Upjohn.</w:t>
      </w:r>
    </w:p>
  </w:footnote>
  <w:footnote w:id="17">
    <w:p w:rsidR="00F70897" w:rsidRPr="006215B8" w:rsidRDefault="00F70897" w:rsidP="00D02A91">
      <w:pPr>
        <w:pStyle w:val="FootnoteText"/>
        <w:jc w:val="both"/>
      </w:pPr>
      <w:r>
        <w:rPr>
          <w:rStyle w:val="FootnoteReference"/>
        </w:rPr>
        <w:footnoteRef/>
      </w:r>
      <w:r>
        <w:t xml:space="preserve"> (1996) 137 DLR 406. See further A. Iwobi, ‘Rolling Down the Information Highway in Search of Charitable Status’ (1998) 5 Web JCLI.</w:t>
      </w:r>
    </w:p>
  </w:footnote>
  <w:footnote w:id="18">
    <w:p w:rsidR="00F70897" w:rsidRDefault="00F70897" w:rsidP="007929EA">
      <w:pPr>
        <w:pStyle w:val="FootnoteText"/>
        <w:jc w:val="both"/>
      </w:pPr>
      <w:r>
        <w:rPr>
          <w:rStyle w:val="FootnoteReference"/>
        </w:rPr>
        <w:footnoteRef/>
      </w:r>
      <w:r>
        <w:t xml:space="preserve"> HC Deb 26 June 2006, vol. 448, col. 44.</w:t>
      </w:r>
    </w:p>
  </w:footnote>
  <w:footnote w:id="19">
    <w:p w:rsidR="00F70897" w:rsidRPr="002144F1" w:rsidRDefault="00F70897" w:rsidP="007929EA">
      <w:pPr>
        <w:pStyle w:val="FootnoteText"/>
        <w:jc w:val="both"/>
      </w:pPr>
      <w:r>
        <w:rPr>
          <w:rStyle w:val="FootnoteReference"/>
        </w:rPr>
        <w:footnoteRef/>
      </w:r>
      <w:r>
        <w:t xml:space="preserve"> See generally the Labour Government’s Strategy Unit Report, </w:t>
      </w:r>
      <w:r>
        <w:rPr>
          <w:i/>
          <w:iCs/>
        </w:rPr>
        <w:t xml:space="preserve">Private Action, </w:t>
      </w:r>
      <w:proofErr w:type="gramStart"/>
      <w:r>
        <w:rPr>
          <w:i/>
          <w:iCs/>
        </w:rPr>
        <w:t>Public</w:t>
      </w:r>
      <w:proofErr w:type="gramEnd"/>
      <w:r>
        <w:rPr>
          <w:i/>
          <w:iCs/>
        </w:rPr>
        <w:t xml:space="preserve"> Benefit </w:t>
      </w:r>
      <w:r>
        <w:t>(September 2002).</w:t>
      </w:r>
    </w:p>
  </w:footnote>
  <w:footnote w:id="20">
    <w:p w:rsidR="00F70897" w:rsidRDefault="00F70897">
      <w:pPr>
        <w:pStyle w:val="FootnoteText"/>
        <w:jc w:val="both"/>
      </w:pPr>
      <w:r>
        <w:rPr>
          <w:rStyle w:val="FootnoteReference"/>
        </w:rPr>
        <w:footnoteRef/>
      </w:r>
      <w:r>
        <w:t xml:space="preserve"> Some of the newly listed purposes were imported form the other pre-existing heads, for example, the promotion of the arts (in s.3(1)(d)) from the ‘advancement of education’.</w:t>
      </w:r>
    </w:p>
  </w:footnote>
  <w:footnote w:id="21">
    <w:p w:rsidR="00F70897" w:rsidRPr="00924218" w:rsidRDefault="00F70897" w:rsidP="007929EA">
      <w:pPr>
        <w:spacing w:after="0" w:line="240" w:lineRule="auto"/>
        <w:jc w:val="both"/>
        <w:rPr>
          <w:rFonts w:ascii="Times New Roman" w:hAnsi="Times New Roman" w:cs="Times New Roman"/>
          <w:sz w:val="20"/>
          <w:szCs w:val="20"/>
        </w:rPr>
      </w:pPr>
      <w:r w:rsidRPr="00924218">
        <w:rPr>
          <w:rStyle w:val="FootnoteReference"/>
          <w:rFonts w:ascii="Times New Roman" w:hAnsi="Times New Roman" w:cs="Times New Roman"/>
          <w:sz w:val="20"/>
          <w:szCs w:val="20"/>
        </w:rPr>
        <w:footnoteRef/>
      </w:r>
      <w:r w:rsidRPr="00924218">
        <w:rPr>
          <w:rFonts w:ascii="Times New Roman" w:hAnsi="Times New Roman" w:cs="Times New Roman"/>
          <w:sz w:val="20"/>
          <w:szCs w:val="20"/>
        </w:rPr>
        <w:t xml:space="preserve"> </w:t>
      </w:r>
      <w:r w:rsidRPr="00924218">
        <w:rPr>
          <w:rFonts w:ascii="Times New Roman" w:hAnsi="Times New Roman" w:cs="Times New Roman"/>
          <w:i/>
          <w:iCs/>
          <w:sz w:val="20"/>
          <w:szCs w:val="20"/>
        </w:rPr>
        <w:t xml:space="preserve">Private Action, Public Benefit </w:t>
      </w:r>
      <w:r w:rsidRPr="00924218">
        <w:rPr>
          <w:rFonts w:ascii="Times New Roman" w:hAnsi="Times New Roman" w:cs="Times New Roman"/>
          <w:sz w:val="20"/>
          <w:szCs w:val="20"/>
        </w:rPr>
        <w:t>(September 2002)</w:t>
      </w:r>
      <w:r>
        <w:rPr>
          <w:rFonts w:ascii="Times New Roman" w:hAnsi="Times New Roman" w:cs="Times New Roman"/>
          <w:sz w:val="20"/>
          <w:szCs w:val="20"/>
        </w:rPr>
        <w:t>,</w:t>
      </w:r>
      <w:r w:rsidRPr="00924218">
        <w:rPr>
          <w:rFonts w:ascii="Times New Roman" w:hAnsi="Times New Roman" w:cs="Times New Roman"/>
          <w:sz w:val="20"/>
          <w:szCs w:val="20"/>
        </w:rPr>
        <w:t xml:space="preserve"> </w:t>
      </w:r>
      <w:r>
        <w:rPr>
          <w:rFonts w:ascii="Times New Roman" w:hAnsi="Times New Roman" w:cs="Times New Roman"/>
          <w:sz w:val="20"/>
          <w:szCs w:val="20"/>
        </w:rPr>
        <w:t>above</w:t>
      </w:r>
      <w:r w:rsidRPr="00924218">
        <w:rPr>
          <w:rFonts w:ascii="Times New Roman" w:hAnsi="Times New Roman" w:cs="Times New Roman"/>
          <w:sz w:val="20"/>
          <w:szCs w:val="20"/>
        </w:rPr>
        <w:t xml:space="preserve"> [4.12].</w:t>
      </w:r>
    </w:p>
  </w:footnote>
  <w:footnote w:id="22">
    <w:p w:rsidR="00F70897" w:rsidRPr="00FA4145" w:rsidRDefault="00F70897" w:rsidP="007C016E">
      <w:pPr>
        <w:pStyle w:val="FootnoteText"/>
        <w:jc w:val="both"/>
        <w:rPr>
          <w:lang w:val="en-US"/>
        </w:rPr>
      </w:pPr>
      <w:r w:rsidRPr="00FA4145">
        <w:rPr>
          <w:rStyle w:val="FootnoteReference"/>
        </w:rPr>
        <w:footnoteRef/>
      </w:r>
      <w:r>
        <w:t xml:space="preserve"> As J. Hackney observed in ‘</w:t>
      </w:r>
      <w:r w:rsidRPr="00FA4145">
        <w:t>Chariti</w:t>
      </w:r>
      <w:r>
        <w:t xml:space="preserve">es and Public Benefit’ (2008) LQR 347, p.347, “this section effects no change at all”. </w:t>
      </w:r>
    </w:p>
  </w:footnote>
  <w:footnote w:id="23">
    <w:p w:rsidR="00F70897" w:rsidRPr="00FA4145" w:rsidRDefault="00F70897" w:rsidP="001138F7">
      <w:pPr>
        <w:pStyle w:val="FootnoteText"/>
        <w:jc w:val="both"/>
      </w:pPr>
      <w:r w:rsidRPr="00FA4145">
        <w:rPr>
          <w:rStyle w:val="FootnoteReference"/>
        </w:rPr>
        <w:footnoteRef/>
      </w:r>
      <w:r w:rsidRPr="00FA4145">
        <w:t xml:space="preserve"> See, for example, the strikingly conservative approach of the Upper Tribunal in </w:t>
      </w:r>
      <w:r>
        <w:rPr>
          <w:i/>
        </w:rPr>
        <w:t xml:space="preserve">AG v Charity Commission </w:t>
      </w:r>
      <w:r>
        <w:t xml:space="preserve">[2012] UKUT 420 (TCC) </w:t>
      </w:r>
      <w:r w:rsidRPr="00FA4145">
        <w:t>upholding the charita</w:t>
      </w:r>
      <w:r>
        <w:t xml:space="preserve">ble status of benevolent funds for </w:t>
      </w:r>
      <w:r w:rsidRPr="00FA4145">
        <w:t>the relief of pov</w:t>
      </w:r>
      <w:r>
        <w:t>erty amongst family members and</w:t>
      </w:r>
      <w:r w:rsidRPr="00FA4145">
        <w:t xml:space="preserve"> employees.</w:t>
      </w:r>
    </w:p>
  </w:footnote>
  <w:footnote w:id="24">
    <w:p w:rsidR="00F70897" w:rsidRDefault="00F70897">
      <w:pPr>
        <w:pStyle w:val="FootnoteText"/>
        <w:jc w:val="both"/>
      </w:pPr>
      <w:r>
        <w:rPr>
          <w:rStyle w:val="FootnoteReference"/>
        </w:rPr>
        <w:footnoteRef/>
      </w:r>
      <w:r>
        <w:t xml:space="preserve"> See Hillary Armstrong HC Deb 26 June 2006, vol. 448, col. 25.</w:t>
      </w:r>
    </w:p>
  </w:footnote>
  <w:footnote w:id="25">
    <w:p w:rsidR="00F70897" w:rsidRDefault="00F70897">
      <w:pPr>
        <w:pStyle w:val="FootnoteText"/>
        <w:jc w:val="both"/>
      </w:pPr>
      <w:r>
        <w:rPr>
          <w:rStyle w:val="FootnoteReference"/>
        </w:rPr>
        <w:footnoteRef/>
      </w:r>
      <w:r>
        <w:t xml:space="preserve"> The existence of this presumption was denied in </w:t>
      </w:r>
      <w:r>
        <w:rPr>
          <w:i/>
        </w:rPr>
        <w:t xml:space="preserve">ISC v Charity Commission </w:t>
      </w:r>
      <w:r>
        <w:t xml:space="preserve">[2011] UKUT 421 (TCC) (hereafter </w:t>
      </w:r>
      <w:r w:rsidRPr="003F2570">
        <w:rPr>
          <w:i/>
        </w:rPr>
        <w:t>ISC</w:t>
      </w:r>
      <w:r>
        <w:t xml:space="preserve">), but previously was thought to apply to trusts in the first three </w:t>
      </w:r>
      <w:proofErr w:type="spellStart"/>
      <w:r w:rsidRPr="00D24EC5">
        <w:rPr>
          <w:i/>
        </w:rPr>
        <w:t>Pemsel</w:t>
      </w:r>
      <w:proofErr w:type="spellEnd"/>
      <w:r>
        <w:t xml:space="preserve"> categories.</w:t>
      </w:r>
    </w:p>
  </w:footnote>
  <w:footnote w:id="26">
    <w:p w:rsidR="00F70897" w:rsidRPr="00030DA4" w:rsidRDefault="00F70897" w:rsidP="00D02A91">
      <w:pPr>
        <w:pStyle w:val="FootnoteText"/>
        <w:jc w:val="both"/>
      </w:pPr>
      <w:r>
        <w:rPr>
          <w:rStyle w:val="FootnoteReference"/>
        </w:rPr>
        <w:footnoteRef/>
      </w:r>
      <w:r>
        <w:t xml:space="preserve"> See generally R. </w:t>
      </w:r>
      <w:proofErr w:type="spellStart"/>
      <w:r>
        <w:t>Meakin</w:t>
      </w:r>
      <w:proofErr w:type="spellEnd"/>
      <w:r>
        <w:t xml:space="preserve">, </w:t>
      </w:r>
      <w:r>
        <w:rPr>
          <w:i/>
        </w:rPr>
        <w:t>The Law of Charitable Status: Maintenance and Removal</w:t>
      </w:r>
      <w:r>
        <w:t xml:space="preserve"> (Cambridge University Press 2008).</w:t>
      </w:r>
    </w:p>
  </w:footnote>
  <w:footnote w:id="27">
    <w:p w:rsidR="00F70897" w:rsidRPr="00924218" w:rsidRDefault="00F70897" w:rsidP="00D02A91">
      <w:pPr>
        <w:pStyle w:val="FootnoteText"/>
        <w:jc w:val="both"/>
      </w:pPr>
      <w:r>
        <w:rPr>
          <w:rStyle w:val="FootnoteReference"/>
        </w:rPr>
        <w:footnoteRef/>
      </w:r>
      <w:r>
        <w:t xml:space="preserve"> </w:t>
      </w:r>
      <w:r>
        <w:rPr>
          <w:i/>
        </w:rPr>
        <w:t>ISC</w:t>
      </w:r>
      <w:r>
        <w:t>, above.</w:t>
      </w:r>
    </w:p>
  </w:footnote>
  <w:footnote w:id="28">
    <w:p w:rsidR="00F70897" w:rsidRDefault="00F70897" w:rsidP="00D02A91">
      <w:pPr>
        <w:pStyle w:val="FootnoteText"/>
      </w:pPr>
      <w:r>
        <w:rPr>
          <w:rStyle w:val="FootnoteReference"/>
        </w:rPr>
        <w:footnoteRef/>
      </w:r>
      <w:r>
        <w:t xml:space="preserve"> S</w:t>
      </w:r>
      <w:r>
        <w:rPr>
          <w:szCs w:val="24"/>
        </w:rPr>
        <w:t xml:space="preserve">ee generally M. Synge, </w:t>
      </w:r>
      <w:r>
        <w:rPr>
          <w:i/>
          <w:szCs w:val="24"/>
        </w:rPr>
        <w:t>The New Public Benefit Requirement</w:t>
      </w:r>
      <w:r>
        <w:rPr>
          <w:szCs w:val="24"/>
        </w:rPr>
        <w:t xml:space="preserve"> (Hart 2015), pp.219-231.</w:t>
      </w:r>
    </w:p>
  </w:footnote>
  <w:footnote w:id="29">
    <w:p w:rsidR="00F70897" w:rsidRDefault="00F70897" w:rsidP="00670277">
      <w:pPr>
        <w:pStyle w:val="FootnoteText"/>
        <w:jc w:val="both"/>
      </w:pPr>
      <w:r>
        <w:rPr>
          <w:rStyle w:val="FootnoteReference"/>
        </w:rPr>
        <w:footnoteRef/>
      </w:r>
      <w:r>
        <w:t xml:space="preserve"> See D. Morris, ‘The First-tier Tribunal (Charity): Enhanced Access to Justice for Charities or a case of David versus Goliath’ [2010] CJQ 491.</w:t>
      </w:r>
    </w:p>
  </w:footnote>
  <w:footnote w:id="30">
    <w:p w:rsidR="00F70897" w:rsidRDefault="00F70897" w:rsidP="00670277">
      <w:pPr>
        <w:pStyle w:val="FootnoteText"/>
        <w:jc w:val="both"/>
      </w:pPr>
      <w:r>
        <w:rPr>
          <w:rStyle w:val="FootnoteReference"/>
        </w:rPr>
        <w:footnoteRef/>
      </w:r>
      <w:r>
        <w:t xml:space="preserve"> A. McKenna, ‘Should the Charity Tribunal be Reformed’ (2011-12) 14 CL&amp;PR 1, p.4.</w:t>
      </w:r>
    </w:p>
  </w:footnote>
  <w:footnote w:id="31">
    <w:p w:rsidR="00F70897" w:rsidRDefault="00F70897" w:rsidP="003F1CC9">
      <w:pPr>
        <w:pStyle w:val="FootnoteText"/>
        <w:jc w:val="both"/>
      </w:pPr>
      <w:r w:rsidRPr="00285D3D">
        <w:rPr>
          <w:rStyle w:val="FootnoteReference"/>
        </w:rPr>
        <w:footnoteRef/>
      </w:r>
      <w:r w:rsidRPr="00285D3D">
        <w:t xml:space="preserve"> The relief </w:t>
      </w:r>
      <w:r>
        <w:t>of poverty was widened to encompass</w:t>
      </w:r>
      <w:r w:rsidRPr="00285D3D">
        <w:t xml:space="preserve"> the ‘prevention or relief of poverty’ (s.3(1)(a)) and the scope of</w:t>
      </w:r>
      <w:r>
        <w:t xml:space="preserve"> religion was to include ‘a religion which involves belief in more than one god’ or that ‘does not involve belief in a god’ (s.3(2)(a)).</w:t>
      </w:r>
    </w:p>
  </w:footnote>
  <w:footnote w:id="32">
    <w:p w:rsidR="00F70897" w:rsidRDefault="00F70897" w:rsidP="003F1CC9">
      <w:pPr>
        <w:pStyle w:val="FootnoteText"/>
        <w:jc w:val="both"/>
      </w:pPr>
      <w:r>
        <w:rPr>
          <w:rStyle w:val="FootnoteReference"/>
        </w:rPr>
        <w:footnoteRef/>
      </w:r>
      <w:r>
        <w:t xml:space="preserve"> An obvious example is the advancement of the arts, which appears explicitly in s.3(1)(d), and is recognised as charitable in celebrated cases such as </w:t>
      </w:r>
      <w:r>
        <w:rPr>
          <w:i/>
          <w:iCs/>
        </w:rPr>
        <w:t>Re Verrall</w:t>
      </w:r>
      <w:r>
        <w:t xml:space="preserve"> [1916] 1 Ch 100 (National Trust).</w:t>
      </w:r>
    </w:p>
  </w:footnote>
  <w:footnote w:id="33">
    <w:p w:rsidR="00F70897" w:rsidRDefault="00F70897" w:rsidP="003F1CC9">
      <w:pPr>
        <w:pStyle w:val="FootnoteText"/>
        <w:jc w:val="both"/>
      </w:pPr>
      <w:r>
        <w:rPr>
          <w:rStyle w:val="FootnoteReference"/>
        </w:rPr>
        <w:footnoteRef/>
      </w:r>
      <w:r>
        <w:t xml:space="preserve"> For example, the promotion of amateur sport, which now enjoys statutory recognition in s.3(1)(g). </w:t>
      </w:r>
    </w:p>
  </w:footnote>
  <w:footnote w:id="34">
    <w:p w:rsidR="00F70897" w:rsidRDefault="00F70897" w:rsidP="003F1CC9">
      <w:pPr>
        <w:pStyle w:val="FootnoteText"/>
        <w:jc w:val="both"/>
      </w:pPr>
      <w:r>
        <w:rPr>
          <w:rStyle w:val="FootnoteReference"/>
        </w:rPr>
        <w:footnoteRef/>
      </w:r>
      <w:r>
        <w:t xml:space="preserve"> For relevant discussions of charity and fiscal privilege, see S. Bright, ‘Charity and Trusts for the Public Benefit – Time for a Re-think’ [1989] Conv 28; J. Warburton, ‘“Charity” – One Definition for all Tax Purposes in the new Millennium?’ [2000] BTR 144.</w:t>
      </w:r>
    </w:p>
  </w:footnote>
  <w:footnote w:id="35">
    <w:p w:rsidR="00F70897" w:rsidRDefault="00F70897" w:rsidP="003F1CC9">
      <w:pPr>
        <w:pStyle w:val="FootnoteText"/>
        <w:jc w:val="both"/>
      </w:pPr>
      <w:r>
        <w:rPr>
          <w:rStyle w:val="FootnoteReference"/>
        </w:rPr>
        <w:footnoteRef/>
      </w:r>
      <w:r>
        <w:t xml:space="preserve"> See s.3(1)(j) (‘the relief of those in need by reason of youth, age, ill-health ...’).</w:t>
      </w:r>
    </w:p>
  </w:footnote>
  <w:footnote w:id="36">
    <w:p w:rsidR="00F70897" w:rsidRDefault="00F70897" w:rsidP="003F1CC9">
      <w:pPr>
        <w:pStyle w:val="FootnoteText"/>
        <w:jc w:val="both"/>
      </w:pPr>
      <w:r>
        <w:rPr>
          <w:rStyle w:val="FootnoteReference"/>
        </w:rPr>
        <w:footnoteRef/>
      </w:r>
      <w:r>
        <w:t xml:space="preserve"> For example, the advancement of environmental protection or improvement (s.3(1)(i)).</w:t>
      </w:r>
    </w:p>
  </w:footnote>
  <w:footnote w:id="37">
    <w:p w:rsidR="00F70897" w:rsidRDefault="00F70897" w:rsidP="003F1CC9">
      <w:pPr>
        <w:pStyle w:val="FootnoteText"/>
        <w:jc w:val="both"/>
      </w:pPr>
      <w:r>
        <w:rPr>
          <w:rStyle w:val="FootnoteReference"/>
        </w:rPr>
        <w:footnoteRef/>
      </w:r>
      <w:r>
        <w:t xml:space="preserve"> See Lord Hodgson, </w:t>
      </w:r>
      <w:r w:rsidRPr="0065008A">
        <w:rPr>
          <w:i/>
        </w:rPr>
        <w:t>Trusted and Independent: Giving charity back to charities – Review of the Charities Act 2006</w:t>
      </w:r>
      <w:r w:rsidRPr="0065008A">
        <w:t xml:space="preserve"> (July 2012)</w:t>
      </w:r>
      <w:r>
        <w:t xml:space="preserve">, [4.15]. </w:t>
      </w:r>
    </w:p>
  </w:footnote>
  <w:footnote w:id="38">
    <w:p w:rsidR="00F70897" w:rsidRPr="006A16FD" w:rsidRDefault="00F70897" w:rsidP="003F1CC9">
      <w:pPr>
        <w:pStyle w:val="FootnoteText"/>
        <w:jc w:val="both"/>
      </w:pPr>
      <w:r>
        <w:rPr>
          <w:rStyle w:val="FootnoteReference"/>
        </w:rPr>
        <w:footnoteRef/>
      </w:r>
      <w:r>
        <w:t xml:space="preserve"> </w:t>
      </w:r>
      <w:r>
        <w:rPr>
          <w:i/>
        </w:rPr>
        <w:t>ISC</w:t>
      </w:r>
      <w:r>
        <w:t>,</w:t>
      </w:r>
      <w:r>
        <w:rPr>
          <w:i/>
        </w:rPr>
        <w:t xml:space="preserve"> </w:t>
      </w:r>
      <w:r w:rsidRPr="00D157CC">
        <w:t xml:space="preserve">above </w:t>
      </w:r>
      <w:r>
        <w:t>at [77].</w:t>
      </w:r>
    </w:p>
  </w:footnote>
  <w:footnote w:id="39">
    <w:p w:rsidR="00F70897" w:rsidRPr="00553AD5" w:rsidRDefault="00F70897" w:rsidP="003F1CC9">
      <w:pPr>
        <w:pStyle w:val="ListParagraph"/>
        <w:spacing w:after="0" w:line="240" w:lineRule="auto"/>
        <w:ind w:left="0"/>
        <w:jc w:val="both"/>
        <w:rPr>
          <w:rFonts w:ascii="Times New Roman" w:hAnsi="Times New Roman" w:cs="Times New Roman"/>
          <w:sz w:val="20"/>
          <w:szCs w:val="20"/>
        </w:rPr>
      </w:pPr>
      <w:r>
        <w:rPr>
          <w:rStyle w:val="FootnoteReference"/>
        </w:rPr>
        <w:footnoteRef/>
      </w:r>
      <w:r>
        <w:t xml:space="preserve"> </w:t>
      </w:r>
      <w:r w:rsidRPr="00553AD5">
        <w:rPr>
          <w:rFonts w:ascii="Times New Roman" w:hAnsi="Times New Roman" w:cs="Times New Roman"/>
          <w:sz w:val="20"/>
          <w:szCs w:val="20"/>
        </w:rPr>
        <w:t>As H</w:t>
      </w:r>
      <w:r>
        <w:rPr>
          <w:rFonts w:ascii="Times New Roman" w:hAnsi="Times New Roman" w:cs="Times New Roman"/>
          <w:sz w:val="20"/>
          <w:szCs w:val="20"/>
        </w:rPr>
        <w:t xml:space="preserve">. Picarda observed in </w:t>
      </w:r>
      <w:r>
        <w:rPr>
          <w:rFonts w:ascii="Times New Roman" w:hAnsi="Times New Roman" w:cs="Times New Roman"/>
          <w:i/>
          <w:sz w:val="20"/>
          <w:szCs w:val="20"/>
        </w:rPr>
        <w:t>The L</w:t>
      </w:r>
      <w:r w:rsidRPr="00553AD5">
        <w:rPr>
          <w:rFonts w:ascii="Times New Roman" w:hAnsi="Times New Roman" w:cs="Times New Roman"/>
          <w:i/>
          <w:sz w:val="20"/>
          <w:szCs w:val="20"/>
        </w:rPr>
        <w:t xml:space="preserve">aw and Practice Relating to Modern Charities </w:t>
      </w:r>
      <w:r>
        <w:rPr>
          <w:rFonts w:ascii="Times New Roman" w:hAnsi="Times New Roman" w:cs="Times New Roman"/>
          <w:sz w:val="20"/>
          <w:szCs w:val="20"/>
        </w:rPr>
        <w:t>(Butterworths London</w:t>
      </w:r>
      <w:r w:rsidRPr="00553AD5">
        <w:rPr>
          <w:rFonts w:ascii="Times New Roman" w:hAnsi="Times New Roman" w:cs="Times New Roman"/>
          <w:sz w:val="20"/>
          <w:szCs w:val="20"/>
        </w:rPr>
        <w:t xml:space="preserve"> 1977</w:t>
      </w:r>
      <w:r>
        <w:rPr>
          <w:rFonts w:ascii="Times New Roman" w:hAnsi="Times New Roman" w:cs="Times New Roman"/>
          <w:sz w:val="20"/>
          <w:szCs w:val="20"/>
        </w:rPr>
        <w:t xml:space="preserve">), p.108, </w:t>
      </w:r>
      <w:r w:rsidRPr="00553AD5">
        <w:rPr>
          <w:rFonts w:ascii="Times New Roman" w:hAnsi="Times New Roman" w:cs="Times New Roman"/>
          <w:sz w:val="20"/>
          <w:szCs w:val="20"/>
        </w:rPr>
        <w:t>“No list of charitable purposes can be exhaustive and it is perhaps inevitable that any classification of purposes will leave a rag bag of individual charitable gifts with no e</w:t>
      </w:r>
      <w:r>
        <w:rPr>
          <w:rFonts w:ascii="Times New Roman" w:hAnsi="Times New Roman" w:cs="Times New Roman"/>
          <w:sz w:val="20"/>
          <w:szCs w:val="20"/>
        </w:rPr>
        <w:t>asily discernible common thread</w:t>
      </w:r>
      <w:r w:rsidRPr="00553AD5">
        <w:rPr>
          <w:rFonts w:ascii="Times New Roman" w:hAnsi="Times New Roman" w:cs="Times New Roman"/>
          <w:sz w:val="20"/>
          <w:szCs w:val="20"/>
        </w:rPr>
        <w:t>”</w:t>
      </w:r>
      <w:r>
        <w:rPr>
          <w:rFonts w:ascii="Times New Roman" w:hAnsi="Times New Roman" w:cs="Times New Roman"/>
          <w:sz w:val="20"/>
          <w:szCs w:val="20"/>
        </w:rPr>
        <w:t>.</w:t>
      </w:r>
      <w:r w:rsidRPr="00553AD5">
        <w:rPr>
          <w:rFonts w:ascii="Times New Roman" w:hAnsi="Times New Roman" w:cs="Times New Roman"/>
          <w:sz w:val="20"/>
          <w:szCs w:val="20"/>
        </w:rPr>
        <w:t xml:space="preserve"> </w:t>
      </w:r>
    </w:p>
  </w:footnote>
  <w:footnote w:id="40">
    <w:p w:rsidR="00F70897" w:rsidRDefault="00F70897" w:rsidP="003F1CC9">
      <w:pPr>
        <w:pStyle w:val="FootnoteText"/>
        <w:jc w:val="both"/>
      </w:pPr>
      <w:r>
        <w:rPr>
          <w:rStyle w:val="FootnoteReference"/>
        </w:rPr>
        <w:footnoteRef/>
      </w:r>
      <w:r>
        <w:t xml:space="preserve"> Section 3(1)(m)(ii), (iii).</w:t>
      </w:r>
    </w:p>
  </w:footnote>
  <w:footnote w:id="41">
    <w:p w:rsidR="00F70897" w:rsidRDefault="00F70897" w:rsidP="003F1CC9">
      <w:pPr>
        <w:pStyle w:val="FootnoteText"/>
        <w:jc w:val="both"/>
      </w:pPr>
      <w:r>
        <w:rPr>
          <w:rStyle w:val="FootnoteReference"/>
        </w:rPr>
        <w:footnoteRef/>
      </w:r>
      <w:r>
        <w:t xml:space="preserve"> C. Buckley, ‘</w:t>
      </w:r>
      <w:r w:rsidRPr="00C712F2">
        <w:t>The Charities Act</w:t>
      </w:r>
      <w:r>
        <w:t xml:space="preserve"> 2006: Consolidation or Reform?’ (2008) 11(1) CL&amp;PR 1, p.</w:t>
      </w:r>
      <w:r w:rsidRPr="00C712F2">
        <w:t>42</w:t>
      </w:r>
      <w:r>
        <w:t>.</w:t>
      </w:r>
    </w:p>
  </w:footnote>
  <w:footnote w:id="42">
    <w:p w:rsidR="00F70897" w:rsidRDefault="00F70897" w:rsidP="003F1CC9">
      <w:pPr>
        <w:pStyle w:val="FootnoteText"/>
        <w:jc w:val="both"/>
      </w:pPr>
      <w:r>
        <w:rPr>
          <w:rStyle w:val="FootnoteReference"/>
        </w:rPr>
        <w:footnoteRef/>
      </w:r>
      <w:r>
        <w:t xml:space="preserve"> Note that First-tier Tribunal decisions, “turn on their own facts and have no precedent value” (A. McKenna, “The Charity Tribunal – Where To and From” (2014) 4 PCB 213, p.214). </w:t>
      </w:r>
    </w:p>
  </w:footnote>
  <w:footnote w:id="43">
    <w:p w:rsidR="00F70897" w:rsidRDefault="00F70897" w:rsidP="003F1CC9">
      <w:pPr>
        <w:pStyle w:val="FootnoteText"/>
        <w:jc w:val="both"/>
      </w:pPr>
      <w:r>
        <w:rPr>
          <w:rStyle w:val="FootnoteReference"/>
        </w:rPr>
        <w:footnoteRef/>
      </w:r>
      <w:r>
        <w:t xml:space="preserve"> J. Garton, </w:t>
      </w:r>
      <w:r w:rsidRPr="004D1C58">
        <w:rPr>
          <w:i/>
        </w:rPr>
        <w:t xml:space="preserve">Public Benefit in Charity Law </w:t>
      </w:r>
      <w:r>
        <w:t>(Oxford 2013), p.</w:t>
      </w:r>
      <w:r w:rsidRPr="004D1C58">
        <w:t>47</w:t>
      </w:r>
      <w:r>
        <w:t>.</w:t>
      </w:r>
    </w:p>
  </w:footnote>
  <w:footnote w:id="44">
    <w:p w:rsidR="00F70897" w:rsidRDefault="00F70897" w:rsidP="003F1CC9">
      <w:pPr>
        <w:pStyle w:val="FootnoteText"/>
        <w:jc w:val="both"/>
      </w:pPr>
      <w:r>
        <w:rPr>
          <w:rStyle w:val="FootnoteReference"/>
        </w:rPr>
        <w:footnoteRef/>
      </w:r>
      <w:r>
        <w:t xml:space="preserve"> CA/2013/0013, 9 July 2014, (FTT (Charity)) (hereafter </w:t>
      </w:r>
      <w:r w:rsidRPr="00177FEE">
        <w:rPr>
          <w:i/>
        </w:rPr>
        <w:t>HDT</w:t>
      </w:r>
      <w:r>
        <w:t xml:space="preserve">). </w:t>
      </w:r>
    </w:p>
  </w:footnote>
  <w:footnote w:id="45">
    <w:p w:rsidR="00F70897" w:rsidRPr="00B23400" w:rsidRDefault="00F70897" w:rsidP="003F1CC9">
      <w:pPr>
        <w:pStyle w:val="FootnoteText"/>
        <w:jc w:val="both"/>
      </w:pPr>
      <w:r>
        <w:rPr>
          <w:rStyle w:val="FootnoteReference"/>
        </w:rPr>
        <w:footnoteRef/>
      </w:r>
      <w:r>
        <w:t xml:space="preserve"> Charity Commission, </w:t>
      </w:r>
      <w:r w:rsidRPr="00B23400">
        <w:rPr>
          <w:i/>
        </w:rPr>
        <w:t>The Promotion of Human Rights (RR12)</w:t>
      </w:r>
      <w:r>
        <w:t xml:space="preserve"> (1 January 2012).</w:t>
      </w:r>
    </w:p>
  </w:footnote>
  <w:footnote w:id="46">
    <w:p w:rsidR="00F70897" w:rsidRDefault="00F70897" w:rsidP="003F1CC9">
      <w:pPr>
        <w:pStyle w:val="FootnoteText"/>
        <w:jc w:val="both"/>
      </w:pPr>
      <w:r>
        <w:rPr>
          <w:rStyle w:val="FootnoteReference"/>
        </w:rPr>
        <w:footnoteRef/>
      </w:r>
      <w:r>
        <w:t xml:space="preserve"> </w:t>
      </w:r>
      <w:r w:rsidRPr="00F4476D">
        <w:rPr>
          <w:i/>
        </w:rPr>
        <w:t>HDT</w:t>
      </w:r>
      <w:r>
        <w:t xml:space="preserve">, above </w:t>
      </w:r>
      <w:r w:rsidRPr="00650C01">
        <w:t>at</w:t>
      </w:r>
      <w:r>
        <w:t xml:space="preserve"> [42].</w:t>
      </w:r>
      <w:r w:rsidRPr="00501D2A">
        <w:rPr>
          <w:szCs w:val="24"/>
        </w:rPr>
        <w:t xml:space="preserve"> </w:t>
      </w:r>
    </w:p>
  </w:footnote>
  <w:footnote w:id="47">
    <w:p w:rsidR="00F70897" w:rsidRDefault="00F70897" w:rsidP="003F1CC9">
      <w:pPr>
        <w:pStyle w:val="FootnoteText"/>
        <w:jc w:val="both"/>
      </w:pPr>
      <w:r>
        <w:rPr>
          <w:rStyle w:val="FootnoteReference"/>
        </w:rPr>
        <w:footnoteRef/>
      </w:r>
      <w:r>
        <w:t xml:space="preserve"> </w:t>
      </w:r>
      <w:r w:rsidRPr="00730C55">
        <w:rPr>
          <w:i/>
        </w:rPr>
        <w:t>Ibid.</w:t>
      </w:r>
      <w:r>
        <w:t xml:space="preserve"> at [44].</w:t>
      </w:r>
    </w:p>
  </w:footnote>
  <w:footnote w:id="48">
    <w:p w:rsidR="00F70897" w:rsidRPr="00035FCF" w:rsidRDefault="00F70897" w:rsidP="003F1CC9">
      <w:pPr>
        <w:pStyle w:val="FootnoteText"/>
      </w:pPr>
      <w:r>
        <w:rPr>
          <w:rStyle w:val="FootnoteReference"/>
        </w:rPr>
        <w:footnoteRef/>
      </w:r>
      <w:r>
        <w:t xml:space="preserve"> Here, the Tribunal has been criticised for its reliance upon, </w:t>
      </w:r>
      <w:r w:rsidRPr="00035FCF">
        <w:t>“highly vague generalities to describe what ‘human rights’ mea</w:t>
      </w:r>
      <w:r>
        <w:t>ns for purposes of charity law” (see A Parachin, ‘</w:t>
      </w:r>
      <w:r w:rsidRPr="009E4F62">
        <w:t>Charity, Politics and Neut</w:t>
      </w:r>
      <w:r>
        <w:t>rality’ (2015-16) 18 CL&amp;PR 23, p.</w:t>
      </w:r>
      <w:r w:rsidRPr="009E4F62">
        <w:t>37</w:t>
      </w:r>
      <w:r>
        <w:t>).</w:t>
      </w:r>
    </w:p>
  </w:footnote>
  <w:footnote w:id="49">
    <w:p w:rsidR="00F70897" w:rsidRDefault="00F70897" w:rsidP="003F1CC9">
      <w:pPr>
        <w:pStyle w:val="FootnoteText"/>
        <w:jc w:val="both"/>
      </w:pPr>
      <w:r>
        <w:rPr>
          <w:rStyle w:val="FootnoteReference"/>
        </w:rPr>
        <w:footnoteRef/>
      </w:r>
      <w:r>
        <w:t xml:space="preserve"> Section 3(2)(c)(ii) provides that this includes </w:t>
      </w:r>
      <w:r w:rsidRPr="0019317B">
        <w:t>the promotion of civic responsibility and volunteering</w:t>
      </w:r>
      <w:r>
        <w:t>.</w:t>
      </w:r>
    </w:p>
  </w:footnote>
  <w:footnote w:id="50">
    <w:p w:rsidR="00F70897" w:rsidRDefault="00F70897" w:rsidP="003F1CC9">
      <w:pPr>
        <w:pStyle w:val="FootnoteText"/>
        <w:jc w:val="both"/>
      </w:pPr>
      <w:r>
        <w:rPr>
          <w:rStyle w:val="FootnoteReference"/>
        </w:rPr>
        <w:footnoteRef/>
      </w:r>
      <w:r>
        <w:t xml:space="preserve"> See </w:t>
      </w:r>
      <w:r>
        <w:rPr>
          <w:i/>
          <w:iCs/>
        </w:rPr>
        <w:t xml:space="preserve">Promotion of Rural and Urban Regeneration (RR2) </w:t>
      </w:r>
      <w:r w:rsidRPr="008626D9">
        <w:rPr>
          <w:iCs/>
        </w:rPr>
        <w:t>(1 March 1999)</w:t>
      </w:r>
      <w:r>
        <w:t xml:space="preserve">; </w:t>
      </w:r>
      <w:r>
        <w:rPr>
          <w:i/>
          <w:iCs/>
        </w:rPr>
        <w:t xml:space="preserve">The Promotion of Community Capacity Building (RR5) </w:t>
      </w:r>
      <w:r>
        <w:rPr>
          <w:iCs/>
        </w:rPr>
        <w:t>(1 November 2000)</w:t>
      </w:r>
      <w:r>
        <w:t>.</w:t>
      </w:r>
    </w:p>
  </w:footnote>
  <w:footnote w:id="51">
    <w:p w:rsidR="00F70897" w:rsidRPr="00543882" w:rsidRDefault="00F70897" w:rsidP="003F1CC9">
      <w:pPr>
        <w:pStyle w:val="FootnoteText"/>
        <w:jc w:val="both"/>
      </w:pPr>
      <w:r>
        <w:rPr>
          <w:rStyle w:val="FootnoteReference"/>
        </w:rPr>
        <w:footnoteRef/>
      </w:r>
      <w:r>
        <w:t xml:space="preserve"> See Charity Commission, </w:t>
      </w:r>
      <w:proofErr w:type="gramStart"/>
      <w:r>
        <w:rPr>
          <w:i/>
        </w:rPr>
        <w:t>The</w:t>
      </w:r>
      <w:proofErr w:type="gramEnd"/>
      <w:r>
        <w:rPr>
          <w:i/>
        </w:rPr>
        <w:t xml:space="preserve"> Promotion of the Voluntary Sector for the Benefit of the Public (RR13) </w:t>
      </w:r>
      <w:r>
        <w:t>(1 September 2004).</w:t>
      </w:r>
    </w:p>
  </w:footnote>
  <w:footnote w:id="52">
    <w:p w:rsidR="00F70897" w:rsidRDefault="00F70897" w:rsidP="003F1CC9">
      <w:pPr>
        <w:pStyle w:val="FootnoteText"/>
        <w:jc w:val="both"/>
      </w:pPr>
      <w:r>
        <w:rPr>
          <w:rStyle w:val="FootnoteReference"/>
        </w:rPr>
        <w:footnoteRef/>
      </w:r>
      <w:r>
        <w:t xml:space="preserve"> CA/2011/0001, 26 July 2011(FTT (Charity)).</w:t>
      </w:r>
    </w:p>
  </w:footnote>
  <w:footnote w:id="53">
    <w:p w:rsidR="00F70897" w:rsidRDefault="00F70897" w:rsidP="003F1CC9">
      <w:pPr>
        <w:pStyle w:val="FootnoteText"/>
      </w:pPr>
      <w:r>
        <w:rPr>
          <w:rStyle w:val="FootnoteReference"/>
        </w:rPr>
        <w:footnoteRef/>
      </w:r>
      <w:r>
        <w:t xml:space="preserve"> </w:t>
      </w:r>
      <w:r>
        <w:rPr>
          <w:i/>
        </w:rPr>
        <w:t xml:space="preserve">Ibid. </w:t>
      </w:r>
      <w:r>
        <w:t>at [7.3].</w:t>
      </w:r>
    </w:p>
  </w:footnote>
  <w:footnote w:id="54">
    <w:p w:rsidR="00F70897" w:rsidRDefault="00F70897" w:rsidP="003F1CC9">
      <w:pPr>
        <w:pStyle w:val="FootnoteText"/>
      </w:pPr>
      <w:r>
        <w:rPr>
          <w:rStyle w:val="FootnoteReference"/>
        </w:rPr>
        <w:footnoteRef/>
      </w:r>
      <w:r>
        <w:t xml:space="preserve"> </w:t>
      </w:r>
      <w:r w:rsidRPr="009D276A">
        <w:rPr>
          <w:i/>
        </w:rPr>
        <w:t>Ibid.</w:t>
      </w:r>
      <w:r>
        <w:t xml:space="preserve"> </w:t>
      </w:r>
    </w:p>
  </w:footnote>
  <w:footnote w:id="55">
    <w:p w:rsidR="00F70897" w:rsidRPr="00236F44" w:rsidRDefault="00F70897" w:rsidP="003F1CC9">
      <w:pPr>
        <w:pStyle w:val="FootnoteText"/>
        <w:jc w:val="both"/>
      </w:pPr>
      <w:r>
        <w:rPr>
          <w:rStyle w:val="FootnoteReference"/>
        </w:rPr>
        <w:footnoteRef/>
      </w:r>
      <w:r>
        <w:t xml:space="preserve"> 17 September 2014.</w:t>
      </w:r>
    </w:p>
  </w:footnote>
  <w:footnote w:id="56">
    <w:p w:rsidR="00F70897" w:rsidRPr="007B28DE" w:rsidRDefault="00F70897" w:rsidP="003F1CC9">
      <w:pPr>
        <w:pStyle w:val="FootnoteText"/>
        <w:jc w:val="both"/>
      </w:pPr>
      <w:r>
        <w:rPr>
          <w:rStyle w:val="FootnoteReference"/>
        </w:rPr>
        <w:footnoteRef/>
      </w:r>
      <w:r>
        <w:t xml:space="preserve"> See </w:t>
      </w:r>
      <w:r>
        <w:rPr>
          <w:i/>
        </w:rPr>
        <w:t>Uturn UK CIC v Charity Commission for England and Wales</w:t>
      </w:r>
      <w:r>
        <w:t xml:space="preserve"> CA/2011/0006, 27 February 2012 (FTT (Charity)) (hereafter </w:t>
      </w:r>
      <w:r w:rsidRPr="00650C01">
        <w:rPr>
          <w:i/>
        </w:rPr>
        <w:t>Uturn</w:t>
      </w:r>
      <w:r>
        <w:t xml:space="preserve">) </w:t>
      </w:r>
      <w:r w:rsidRPr="00650C01">
        <w:t>where</w:t>
      </w:r>
      <w:r>
        <w:t xml:space="preserve"> at [8] the twelve specific heads of purpose were seen as no more than, “potentially charitable”.</w:t>
      </w:r>
    </w:p>
  </w:footnote>
  <w:footnote w:id="57">
    <w:p w:rsidR="00F70897" w:rsidRPr="0065008A" w:rsidRDefault="00F70897" w:rsidP="003F1CC9">
      <w:pPr>
        <w:pStyle w:val="FootnoteText"/>
        <w:jc w:val="both"/>
      </w:pPr>
      <w:r w:rsidRPr="0065008A">
        <w:rPr>
          <w:rStyle w:val="FootnoteReference"/>
        </w:rPr>
        <w:footnoteRef/>
      </w:r>
      <w:r>
        <w:t xml:space="preserve"> Lord Hodgson, </w:t>
      </w:r>
      <w:r w:rsidRPr="0065008A">
        <w:rPr>
          <w:i/>
        </w:rPr>
        <w:t>Trusted and Independent: Giving charity back to charities – Review of the Charities Act 2006</w:t>
      </w:r>
      <w:r w:rsidRPr="0065008A">
        <w:t xml:space="preserve"> (July 2012)</w:t>
      </w:r>
      <w:r>
        <w:t>, [4.15.2].</w:t>
      </w:r>
    </w:p>
  </w:footnote>
  <w:footnote w:id="58">
    <w:p w:rsidR="00F70897" w:rsidRPr="0065008A" w:rsidRDefault="00F70897" w:rsidP="003F1CC9">
      <w:pPr>
        <w:pStyle w:val="FootnoteText"/>
        <w:jc w:val="both"/>
      </w:pPr>
      <w:r w:rsidRPr="0065008A">
        <w:rPr>
          <w:rStyle w:val="FootnoteReference"/>
        </w:rPr>
        <w:footnoteRef/>
      </w:r>
      <w:r>
        <w:t xml:space="preserve"> </w:t>
      </w:r>
      <w:r w:rsidRPr="00A13EB5">
        <w:rPr>
          <w:i/>
        </w:rPr>
        <w:t>Ibid.</w:t>
      </w:r>
    </w:p>
  </w:footnote>
  <w:footnote w:id="59">
    <w:p w:rsidR="00F70897" w:rsidRDefault="00F70897" w:rsidP="003F1CC9">
      <w:pPr>
        <w:pStyle w:val="FootnoteText"/>
        <w:jc w:val="both"/>
      </w:pPr>
      <w:r>
        <w:rPr>
          <w:rStyle w:val="FootnoteReference"/>
        </w:rPr>
        <w:footnoteRef/>
      </w:r>
      <w:r>
        <w:t xml:space="preserve"> Above at [20].</w:t>
      </w:r>
    </w:p>
  </w:footnote>
  <w:footnote w:id="60">
    <w:p w:rsidR="00F70897" w:rsidRDefault="00F70897" w:rsidP="003F1CC9">
      <w:pPr>
        <w:pStyle w:val="FootnoteText"/>
        <w:jc w:val="both"/>
      </w:pPr>
      <w:r>
        <w:rPr>
          <w:rStyle w:val="FootnoteReference"/>
        </w:rPr>
        <w:footnoteRef/>
      </w:r>
      <w:r>
        <w:t xml:space="preserve"> </w:t>
      </w:r>
      <w:r w:rsidRPr="00650C01">
        <w:rPr>
          <w:i/>
        </w:rPr>
        <w:t>Ibid.</w:t>
      </w:r>
      <w:r>
        <w:t xml:space="preserve"> at [27].</w:t>
      </w:r>
    </w:p>
  </w:footnote>
  <w:footnote w:id="61">
    <w:p w:rsidR="00F70897" w:rsidRDefault="00F70897" w:rsidP="003F1CC9">
      <w:pPr>
        <w:pStyle w:val="FootnoteText"/>
        <w:jc w:val="both"/>
      </w:pPr>
      <w:r>
        <w:rPr>
          <w:rStyle w:val="FootnoteReference"/>
        </w:rPr>
        <w:footnoteRef/>
      </w:r>
      <w:r>
        <w:t xml:space="preserve"> A point emphasised in </w:t>
      </w:r>
      <w:proofErr w:type="spellStart"/>
      <w:r>
        <w:rPr>
          <w:i/>
        </w:rPr>
        <w:t>Crocels</w:t>
      </w:r>
      <w:proofErr w:type="spellEnd"/>
      <w:r>
        <w:rPr>
          <w:i/>
        </w:rPr>
        <w:t xml:space="preserve"> Community Media Group v Charity Commission for England and Wales</w:t>
      </w:r>
      <w:r>
        <w:t xml:space="preserve"> CA/2015/0009, 18 July 2016 (FTT (Charity) at [23].</w:t>
      </w:r>
    </w:p>
  </w:footnote>
  <w:footnote w:id="62">
    <w:p w:rsidR="00F70897" w:rsidRPr="00797BE5" w:rsidRDefault="00F70897" w:rsidP="00132760">
      <w:pPr>
        <w:pStyle w:val="FootnoteText"/>
        <w:jc w:val="both"/>
      </w:pPr>
      <w:r>
        <w:rPr>
          <w:rStyle w:val="FootnoteReference"/>
        </w:rPr>
        <w:footnoteRef/>
      </w:r>
      <w:r>
        <w:t xml:space="preserve"> </w:t>
      </w:r>
      <w:r>
        <w:rPr>
          <w:i/>
        </w:rPr>
        <w:t>ISC</w:t>
      </w:r>
      <w:r>
        <w:t xml:space="preserve"> at [82].</w:t>
      </w:r>
    </w:p>
  </w:footnote>
  <w:footnote w:id="63">
    <w:p w:rsidR="00F70897" w:rsidRDefault="00F70897" w:rsidP="00132760">
      <w:pPr>
        <w:pStyle w:val="FootnoteText"/>
        <w:jc w:val="both"/>
      </w:pPr>
      <w:r>
        <w:rPr>
          <w:rStyle w:val="FootnoteReference"/>
        </w:rPr>
        <w:footnoteRef/>
      </w:r>
      <w:r>
        <w:t xml:space="preserve"> </w:t>
      </w:r>
      <w:r w:rsidRPr="00576D16">
        <w:rPr>
          <w:i/>
        </w:rPr>
        <w:t>Ibid.</w:t>
      </w:r>
      <w:r>
        <w:t xml:space="preserve"> at [188].</w:t>
      </w:r>
    </w:p>
  </w:footnote>
  <w:footnote w:id="64">
    <w:p w:rsidR="00F70897" w:rsidRDefault="00F70897" w:rsidP="00132760">
      <w:pPr>
        <w:pStyle w:val="FootnoteText"/>
        <w:jc w:val="both"/>
      </w:pPr>
      <w:r>
        <w:rPr>
          <w:rStyle w:val="FootnoteReference"/>
        </w:rPr>
        <w:footnoteRef/>
      </w:r>
      <w:r>
        <w:t xml:space="preserve"> See </w:t>
      </w:r>
      <w:r>
        <w:rPr>
          <w:i/>
        </w:rPr>
        <w:t xml:space="preserve">Helena Partnerships Limited v Revenue and Customs Commissioners </w:t>
      </w:r>
      <w:r>
        <w:t>[2011] UKUT 271.</w:t>
      </w:r>
    </w:p>
  </w:footnote>
  <w:footnote w:id="65">
    <w:p w:rsidR="00F70897" w:rsidRPr="00CA1CD8" w:rsidRDefault="00F70897" w:rsidP="00132760">
      <w:pPr>
        <w:pStyle w:val="ListParagraph"/>
        <w:spacing w:after="0" w:line="240" w:lineRule="auto"/>
        <w:ind w:left="0"/>
        <w:jc w:val="both"/>
        <w:rPr>
          <w:rFonts w:ascii="Times New Roman" w:hAnsi="Times New Roman" w:cs="Times New Roman"/>
          <w:sz w:val="20"/>
          <w:szCs w:val="20"/>
        </w:rPr>
      </w:pPr>
      <w:r w:rsidRPr="00CA1CD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 Synge, ‘</w:t>
      </w:r>
      <w:r w:rsidRPr="00CA1CD8">
        <w:rPr>
          <w:rFonts w:ascii="Times New Roman" w:hAnsi="Times New Roman" w:cs="Times New Roman"/>
          <w:sz w:val="20"/>
          <w:szCs w:val="20"/>
        </w:rPr>
        <w:t>A State of Flux in Public Benefit Ac</w:t>
      </w:r>
      <w:r>
        <w:rPr>
          <w:rFonts w:ascii="Times New Roman" w:hAnsi="Times New Roman" w:cs="Times New Roman"/>
          <w:sz w:val="20"/>
          <w:szCs w:val="20"/>
        </w:rPr>
        <w:t xml:space="preserve">ross the UK, Ireland and Europe’ </w:t>
      </w:r>
      <w:r w:rsidRPr="00CA1CD8">
        <w:rPr>
          <w:rFonts w:ascii="Times New Roman" w:hAnsi="Times New Roman" w:cs="Times New Roman"/>
          <w:sz w:val="20"/>
          <w:szCs w:val="20"/>
        </w:rPr>
        <w:t xml:space="preserve">(2013-14) 16 CL&amp;PR 163, </w:t>
      </w:r>
      <w:r>
        <w:rPr>
          <w:rFonts w:ascii="Times New Roman" w:hAnsi="Times New Roman" w:cs="Times New Roman"/>
          <w:sz w:val="20"/>
          <w:szCs w:val="20"/>
        </w:rPr>
        <w:t>p.</w:t>
      </w:r>
      <w:r w:rsidRPr="00CA1CD8">
        <w:rPr>
          <w:rFonts w:ascii="Times New Roman" w:hAnsi="Times New Roman" w:cs="Times New Roman"/>
          <w:sz w:val="20"/>
          <w:szCs w:val="20"/>
        </w:rPr>
        <w:t>168.</w:t>
      </w:r>
    </w:p>
  </w:footnote>
  <w:footnote w:id="66">
    <w:p w:rsidR="00F70897" w:rsidRDefault="00F70897" w:rsidP="00132760">
      <w:pPr>
        <w:pStyle w:val="FootnoteText"/>
        <w:jc w:val="both"/>
      </w:pPr>
      <w:r>
        <w:rPr>
          <w:rStyle w:val="FootnoteReference"/>
        </w:rPr>
        <w:footnoteRef/>
      </w:r>
      <w:r>
        <w:t xml:space="preserve"> </w:t>
      </w:r>
      <w:r w:rsidRPr="00B367F9">
        <w:rPr>
          <w:rStyle w:val="Emphasis"/>
          <w:color w:val="000000"/>
          <w:shd w:val="clear" w:color="auto" w:fill="FFFFFF"/>
        </w:rPr>
        <w:t xml:space="preserve">Incorporated Society of Law Reporting for England and Wales v A-G </w:t>
      </w:r>
      <w:r w:rsidRPr="003A54B6">
        <w:rPr>
          <w:rStyle w:val="Emphasis"/>
          <w:i w:val="0"/>
          <w:color w:val="000000"/>
          <w:shd w:val="clear" w:color="auto" w:fill="FFFFFF"/>
        </w:rPr>
        <w:t>[1972] Ch 73,</w:t>
      </w:r>
      <w:r w:rsidRPr="00EB65A3">
        <w:rPr>
          <w:color w:val="000000"/>
          <w:shd w:val="clear" w:color="auto" w:fill="FFFFFF"/>
        </w:rPr>
        <w:t xml:space="preserve"> 99</w:t>
      </w:r>
      <w:r w:rsidRPr="003A54B6">
        <w:rPr>
          <w:color w:val="000000"/>
          <w:shd w:val="clear" w:color="auto" w:fill="FFFFFF"/>
        </w:rPr>
        <w:t>.</w:t>
      </w:r>
    </w:p>
  </w:footnote>
  <w:footnote w:id="67">
    <w:p w:rsidR="00F70897" w:rsidRPr="00C707B7" w:rsidRDefault="00F70897" w:rsidP="00132760">
      <w:pPr>
        <w:pStyle w:val="FootnoteText"/>
        <w:jc w:val="both"/>
      </w:pPr>
      <w:r>
        <w:rPr>
          <w:rStyle w:val="FootnoteReference"/>
        </w:rPr>
        <w:footnoteRef/>
      </w:r>
      <w:r>
        <w:t xml:space="preserve"> Above at [20]. This accords with the views expressed by Garton that there are ways in which activities “could </w:t>
      </w:r>
      <w:r>
        <w:rPr>
          <w:i/>
        </w:rPr>
        <w:t>potentially</w:t>
      </w:r>
      <w:r>
        <w:t xml:space="preserve"> play a role” such as in the case of a novel purpose, to “determine whether that purpose falls within the categories of charity” (‘Charitable Purposes and Activities’ (2014) 67 CLP 373, p.389).</w:t>
      </w:r>
    </w:p>
  </w:footnote>
  <w:footnote w:id="68">
    <w:p w:rsidR="00F70897" w:rsidRDefault="00F70897" w:rsidP="00132760">
      <w:pPr>
        <w:pStyle w:val="FootnoteText"/>
        <w:jc w:val="both"/>
      </w:pPr>
      <w:r>
        <w:rPr>
          <w:rStyle w:val="FootnoteReference"/>
        </w:rPr>
        <w:footnoteRef/>
      </w:r>
      <w:r>
        <w:t xml:space="preserve"> </w:t>
      </w:r>
      <w:r>
        <w:rPr>
          <w:color w:val="000000"/>
          <w:shd w:val="clear" w:color="auto" w:fill="FFFFFF"/>
        </w:rPr>
        <w:t>Above a</w:t>
      </w:r>
      <w:r w:rsidRPr="00C55D37">
        <w:rPr>
          <w:color w:val="000000"/>
          <w:shd w:val="clear" w:color="auto" w:fill="FFFFFF"/>
        </w:rPr>
        <w:t>t 99</w:t>
      </w:r>
      <w:r>
        <w:rPr>
          <w:color w:val="000000"/>
          <w:shd w:val="clear" w:color="auto" w:fill="FFFFFF"/>
        </w:rPr>
        <w:t>.</w:t>
      </w:r>
    </w:p>
  </w:footnote>
  <w:footnote w:id="69">
    <w:p w:rsidR="00F70897" w:rsidRDefault="00F70897" w:rsidP="00132760">
      <w:pPr>
        <w:pStyle w:val="FootnoteText"/>
        <w:jc w:val="both"/>
      </w:pPr>
      <w:r>
        <w:rPr>
          <w:rStyle w:val="FootnoteReference"/>
        </w:rPr>
        <w:footnoteRef/>
      </w:r>
      <w:r>
        <w:t xml:space="preserve"> See, for example, the decision of the Commission not to register the Countryside Alliance:</w:t>
      </w:r>
      <w:r w:rsidRPr="006F3B26">
        <w:t xml:space="preserve"> </w:t>
      </w:r>
      <w:hyperlink r:id="rId1" w:history="1">
        <w:r w:rsidRPr="00F9682D">
          <w:rPr>
            <w:rStyle w:val="Hyperlink"/>
          </w:rPr>
          <w:t>https://www.gov.uk/government/publications/the-countryside-alliance</w:t>
        </w:r>
      </w:hyperlink>
      <w:r>
        <w:t xml:space="preserve"> (23 March 2017) at [16].</w:t>
      </w:r>
    </w:p>
  </w:footnote>
  <w:footnote w:id="70">
    <w:p w:rsidR="00F70897" w:rsidRPr="00431CAE" w:rsidRDefault="00F70897" w:rsidP="00132760">
      <w:pPr>
        <w:pStyle w:val="FootnoteText"/>
        <w:jc w:val="both"/>
      </w:pPr>
      <w:r>
        <w:rPr>
          <w:rStyle w:val="FootnoteReference"/>
        </w:rPr>
        <w:footnoteRef/>
      </w:r>
      <w:r>
        <w:t xml:space="preserve"> P. Luxton, </w:t>
      </w:r>
      <w:r w:rsidRPr="00431CAE">
        <w:rPr>
          <w:i/>
        </w:rPr>
        <w:t xml:space="preserve">Making Law? Parliament v The Charity Commission </w:t>
      </w:r>
      <w:r w:rsidRPr="00431CAE">
        <w:t>(Politeia 2009)</w:t>
      </w:r>
      <w:r>
        <w:t>, p.18.</w:t>
      </w:r>
    </w:p>
  </w:footnote>
  <w:footnote w:id="71">
    <w:p w:rsidR="00F70897" w:rsidRPr="00C81E67" w:rsidRDefault="00F70897" w:rsidP="00132760">
      <w:pPr>
        <w:pStyle w:val="FootnoteText"/>
        <w:jc w:val="both"/>
      </w:pPr>
      <w:r>
        <w:rPr>
          <w:rStyle w:val="FootnoteReference"/>
        </w:rPr>
        <w:footnoteRef/>
      </w:r>
      <w:r>
        <w:t xml:space="preserve"> CA/2013/0013, 9 July 2014, (FTT (Charity)) at [18]. </w:t>
      </w:r>
    </w:p>
  </w:footnote>
  <w:footnote w:id="72">
    <w:p w:rsidR="00F70897" w:rsidRDefault="00F70897" w:rsidP="00132760">
      <w:pPr>
        <w:pStyle w:val="FootnoteText"/>
        <w:jc w:val="both"/>
      </w:pPr>
      <w:r>
        <w:rPr>
          <w:rStyle w:val="FootnoteReference"/>
        </w:rPr>
        <w:footnoteRef/>
      </w:r>
      <w:r>
        <w:t xml:space="preserve"> CA/2014/0022 15 June 2015 (FTT (Charity)) (hereafter </w:t>
      </w:r>
      <w:r w:rsidRPr="00C91709">
        <w:rPr>
          <w:i/>
        </w:rPr>
        <w:t>IPRT</w:t>
      </w:r>
      <w:r>
        <w:t>).</w:t>
      </w:r>
    </w:p>
  </w:footnote>
  <w:footnote w:id="73">
    <w:p w:rsidR="00F70897" w:rsidRDefault="00F70897" w:rsidP="00132760">
      <w:pPr>
        <w:pStyle w:val="FootnoteText"/>
        <w:jc w:val="both"/>
      </w:pPr>
      <w:r>
        <w:rPr>
          <w:rStyle w:val="FootnoteReference"/>
        </w:rPr>
        <w:footnoteRef/>
      </w:r>
      <w:r>
        <w:t xml:space="preserve"> It benefitted from a report outlining the public benefit of the Leveson recommendations (see below).</w:t>
      </w:r>
    </w:p>
  </w:footnote>
  <w:footnote w:id="74">
    <w:p w:rsidR="00F70897" w:rsidRPr="008B6E05" w:rsidRDefault="00F70897" w:rsidP="00132760">
      <w:pPr>
        <w:pStyle w:val="FootnoteText"/>
        <w:jc w:val="both"/>
      </w:pPr>
      <w:r>
        <w:rPr>
          <w:rStyle w:val="FootnoteReference"/>
        </w:rPr>
        <w:footnoteRef/>
      </w:r>
      <w:r>
        <w:t xml:space="preserve"> </w:t>
      </w:r>
      <w:r>
        <w:rPr>
          <w:i/>
        </w:rPr>
        <w:t>IPRT</w:t>
      </w:r>
      <w:r>
        <w:t>,</w:t>
      </w:r>
      <w:r>
        <w:rPr>
          <w:i/>
        </w:rPr>
        <w:t xml:space="preserve"> </w:t>
      </w:r>
      <w:r>
        <w:t>above</w:t>
      </w:r>
      <w:r>
        <w:rPr>
          <w:i/>
        </w:rPr>
        <w:t>,</w:t>
      </w:r>
      <w:r>
        <w:t xml:space="preserve"> at [38].</w:t>
      </w:r>
    </w:p>
  </w:footnote>
  <w:footnote w:id="75">
    <w:p w:rsidR="00F70897" w:rsidRDefault="00F70897" w:rsidP="00132760">
      <w:pPr>
        <w:pStyle w:val="FootnoteText"/>
        <w:jc w:val="both"/>
      </w:pPr>
      <w:r>
        <w:rPr>
          <w:rStyle w:val="FootnoteReference"/>
        </w:rPr>
        <w:footnoteRef/>
      </w:r>
      <w:r>
        <w:t xml:space="preserve"> [2000] WTLR 1199.</w:t>
      </w:r>
    </w:p>
  </w:footnote>
  <w:footnote w:id="76">
    <w:p w:rsidR="00F70897" w:rsidRPr="003A1E59" w:rsidRDefault="00F70897" w:rsidP="00132760">
      <w:pPr>
        <w:pStyle w:val="FootnoteText"/>
        <w:jc w:val="both"/>
      </w:pPr>
      <w:r>
        <w:rPr>
          <w:rStyle w:val="FootnoteReference"/>
        </w:rPr>
        <w:footnoteRef/>
      </w:r>
      <w:r>
        <w:t xml:space="preserve"> See, for example, P. Luxton, </w:t>
      </w:r>
      <w:r>
        <w:rPr>
          <w:i/>
        </w:rPr>
        <w:t>The Law of Charities</w:t>
      </w:r>
      <w:r>
        <w:t xml:space="preserve"> (OUP 2001), p.440; P. Luxton, ‘A Three-Part Invention: Public Benefit Under the Charity Commission’ (2009) 11 CL&amp;PR 19, p.27.</w:t>
      </w:r>
    </w:p>
  </w:footnote>
  <w:footnote w:id="77">
    <w:p w:rsidR="00F70897" w:rsidRPr="003A1E59" w:rsidRDefault="00F70897" w:rsidP="00132760">
      <w:pPr>
        <w:pStyle w:val="FootnoteText"/>
        <w:jc w:val="both"/>
      </w:pPr>
      <w:r>
        <w:rPr>
          <w:rStyle w:val="FootnoteReference"/>
        </w:rPr>
        <w:footnoteRef/>
      </w:r>
      <w:r>
        <w:t xml:space="preserve"> J. Garton, </w:t>
      </w:r>
      <w:r>
        <w:rPr>
          <w:i/>
        </w:rPr>
        <w:t xml:space="preserve">Public Benefit in Charity Law </w:t>
      </w:r>
      <w:r>
        <w:t>(OUP 2013), p.85.</w:t>
      </w:r>
    </w:p>
  </w:footnote>
  <w:footnote w:id="78">
    <w:p w:rsidR="00F70897" w:rsidRDefault="00F70897" w:rsidP="00132760">
      <w:pPr>
        <w:pStyle w:val="FootnoteText"/>
        <w:jc w:val="both"/>
      </w:pPr>
      <w:r>
        <w:rPr>
          <w:rStyle w:val="FootnoteReference"/>
        </w:rPr>
        <w:footnoteRef/>
      </w:r>
      <w:r>
        <w:t xml:space="preserve"> </w:t>
      </w:r>
      <w:proofErr w:type="spellStart"/>
      <w:r>
        <w:rPr>
          <w:i/>
        </w:rPr>
        <w:t>Hipkiss</w:t>
      </w:r>
      <w:proofErr w:type="spellEnd"/>
      <w:r>
        <w:rPr>
          <w:i/>
        </w:rPr>
        <w:t xml:space="preserve"> v Charity Commission for England and Wales </w:t>
      </w:r>
      <w:r>
        <w:t xml:space="preserve">CA/2017/0014, 23 August 2018 (FTT (Charity)) (hereafter </w:t>
      </w:r>
      <w:r w:rsidRPr="00C91709">
        <w:rPr>
          <w:i/>
        </w:rPr>
        <w:t>HOPRT</w:t>
      </w:r>
      <w:r>
        <w:t>).</w:t>
      </w:r>
    </w:p>
  </w:footnote>
  <w:footnote w:id="79">
    <w:p w:rsidR="00F70897" w:rsidRPr="00AD713B" w:rsidRDefault="00F70897" w:rsidP="00132760">
      <w:pPr>
        <w:pStyle w:val="FootnoteText"/>
        <w:jc w:val="both"/>
      </w:pPr>
      <w:r>
        <w:rPr>
          <w:rStyle w:val="FootnoteReference"/>
        </w:rPr>
        <w:footnoteRef/>
      </w:r>
      <w:r>
        <w:t xml:space="preserve"> Sparked by media coverage of </w:t>
      </w:r>
      <w:r>
        <w:rPr>
          <w:i/>
        </w:rPr>
        <w:t>Re JS</w:t>
      </w:r>
      <w:r>
        <w:t xml:space="preserve"> </w:t>
      </w:r>
      <w:r>
        <w:rPr>
          <w:i/>
        </w:rPr>
        <w:t xml:space="preserve">(A child) (Disposal of Body: Prospective Orders) </w:t>
      </w:r>
      <w:r>
        <w:t>[2017] 4 WLR 1 (a landmark decision allowing a terminally-ill, 14-year-old girl to preserve her body after death).</w:t>
      </w:r>
    </w:p>
  </w:footnote>
  <w:footnote w:id="80">
    <w:p w:rsidR="00F70897" w:rsidRDefault="00F70897" w:rsidP="00132760">
      <w:pPr>
        <w:pStyle w:val="FootnoteText"/>
        <w:jc w:val="both"/>
      </w:pPr>
      <w:r>
        <w:rPr>
          <w:rStyle w:val="FootnoteReference"/>
        </w:rPr>
        <w:footnoteRef/>
      </w:r>
      <w:r>
        <w:t xml:space="preserve"> The Commission has the ability to do so under </w:t>
      </w:r>
      <w:proofErr w:type="gramStart"/>
      <w:r>
        <w:t>s.34(</w:t>
      </w:r>
      <w:proofErr w:type="gramEnd"/>
      <w:r>
        <w:t>1)(a),(b).</w:t>
      </w:r>
    </w:p>
  </w:footnote>
  <w:footnote w:id="81">
    <w:p w:rsidR="00F70897" w:rsidRPr="0042470B" w:rsidRDefault="00F70897" w:rsidP="00132760">
      <w:pPr>
        <w:pStyle w:val="FootnoteText"/>
        <w:jc w:val="both"/>
      </w:pPr>
      <w:r>
        <w:rPr>
          <w:rStyle w:val="FootnoteReference"/>
        </w:rPr>
        <w:footnoteRef/>
      </w:r>
      <w:r>
        <w:t xml:space="preserve"> </w:t>
      </w:r>
      <w:r w:rsidRPr="0042470B">
        <w:t>With only limited contemporaneous documentary evidence, much of the evidence presented was circumstantial and hearsay</w:t>
      </w:r>
      <w:r>
        <w:t>.</w:t>
      </w:r>
    </w:p>
  </w:footnote>
  <w:footnote w:id="82">
    <w:p w:rsidR="00F70897" w:rsidRDefault="00F70897" w:rsidP="00132760">
      <w:pPr>
        <w:pStyle w:val="FootnoteText"/>
        <w:jc w:val="both"/>
      </w:pPr>
      <w:r>
        <w:rPr>
          <w:rStyle w:val="FootnoteReference"/>
        </w:rPr>
        <w:footnoteRef/>
      </w:r>
      <w:r>
        <w:t xml:space="preserve"> </w:t>
      </w:r>
      <w:r>
        <w:rPr>
          <w:i/>
        </w:rPr>
        <w:t>HOPRT</w:t>
      </w:r>
      <w:r>
        <w:t>,</w:t>
      </w:r>
      <w:r>
        <w:rPr>
          <w:i/>
        </w:rPr>
        <w:t xml:space="preserve"> </w:t>
      </w:r>
      <w:r>
        <w:t>above at [107].</w:t>
      </w:r>
    </w:p>
  </w:footnote>
  <w:footnote w:id="83">
    <w:p w:rsidR="00F70897" w:rsidRDefault="00F70897" w:rsidP="00132760">
      <w:pPr>
        <w:pStyle w:val="FootnoteText"/>
        <w:jc w:val="both"/>
      </w:pPr>
      <w:r>
        <w:rPr>
          <w:rStyle w:val="FootnoteReference"/>
        </w:rPr>
        <w:footnoteRef/>
      </w:r>
      <w:r>
        <w:t xml:space="preserve"> </w:t>
      </w:r>
      <w:r w:rsidRPr="00576D16">
        <w:rPr>
          <w:i/>
        </w:rPr>
        <w:t>Ibid.</w:t>
      </w:r>
      <w:r>
        <w:t xml:space="preserve"> at [110]. Note </w:t>
      </w:r>
      <w:r w:rsidRPr="00B72F78">
        <w:t>that cryopreservation was not possible at the time the trust was executed</w:t>
      </w:r>
      <w:r>
        <w:t>.</w:t>
      </w:r>
    </w:p>
  </w:footnote>
  <w:footnote w:id="84">
    <w:p w:rsidR="00F70897" w:rsidRDefault="00F70897" w:rsidP="00132760">
      <w:pPr>
        <w:pStyle w:val="FootnoteText"/>
        <w:jc w:val="both"/>
      </w:pPr>
      <w:r>
        <w:rPr>
          <w:rStyle w:val="FootnoteReference"/>
        </w:rPr>
        <w:footnoteRef/>
      </w:r>
      <w:r>
        <w:t xml:space="preserve"> </w:t>
      </w:r>
      <w:r>
        <w:rPr>
          <w:i/>
        </w:rPr>
        <w:t xml:space="preserve">Ibid. </w:t>
      </w:r>
      <w:r>
        <w:t>at [119].</w:t>
      </w:r>
    </w:p>
  </w:footnote>
  <w:footnote w:id="85">
    <w:p w:rsidR="00F70897" w:rsidRDefault="00F70897" w:rsidP="00132760">
      <w:pPr>
        <w:pStyle w:val="FootnoteText"/>
        <w:jc w:val="both"/>
      </w:pPr>
      <w:r>
        <w:rPr>
          <w:rStyle w:val="FootnoteReference"/>
        </w:rPr>
        <w:footnoteRef/>
      </w:r>
      <w:r>
        <w:t xml:space="preserve"> </w:t>
      </w:r>
      <w:r w:rsidRPr="00576D16">
        <w:rPr>
          <w:i/>
        </w:rPr>
        <w:t>Ibid.</w:t>
      </w:r>
      <w:r>
        <w:t xml:space="preserve"> at [123].</w:t>
      </w:r>
    </w:p>
  </w:footnote>
  <w:footnote w:id="86">
    <w:p w:rsidR="00F70897" w:rsidRDefault="00F70897" w:rsidP="00132760">
      <w:pPr>
        <w:pStyle w:val="FootnoteText"/>
        <w:jc w:val="both"/>
      </w:pPr>
      <w:r>
        <w:rPr>
          <w:rStyle w:val="FootnoteReference"/>
        </w:rPr>
        <w:footnoteRef/>
      </w:r>
      <w:r>
        <w:t xml:space="preserve"> The vulnerability of the beneficial class was clearly of influence as (</w:t>
      </w:r>
      <w:r w:rsidRPr="003C6F8B">
        <w:rPr>
          <w:i/>
        </w:rPr>
        <w:t>ibid.</w:t>
      </w:r>
      <w:r>
        <w:t xml:space="preserve"> at [102]) the Commission was rebuked for the failure to consider how best to support individuals in the event that HOPRT was removed from the Register.</w:t>
      </w:r>
    </w:p>
  </w:footnote>
  <w:footnote w:id="87">
    <w:p w:rsidR="00F70897" w:rsidRDefault="00F70897" w:rsidP="000265BC">
      <w:pPr>
        <w:pStyle w:val="FootnoteText"/>
        <w:jc w:val="both"/>
      </w:pPr>
      <w:r>
        <w:rPr>
          <w:rStyle w:val="FootnoteReference"/>
        </w:rPr>
        <w:footnoteRef/>
      </w:r>
      <w:r>
        <w:t xml:space="preserve"> </w:t>
      </w:r>
      <w:r>
        <w:rPr>
          <w:i/>
        </w:rPr>
        <w:t>ISC</w:t>
      </w:r>
      <w:r>
        <w:t xml:space="preserve"> at [44].</w:t>
      </w:r>
    </w:p>
  </w:footnote>
  <w:footnote w:id="88">
    <w:p w:rsidR="00F70897" w:rsidRPr="00324715" w:rsidRDefault="00F70897" w:rsidP="000265BC">
      <w:pPr>
        <w:pStyle w:val="FootnoteText"/>
        <w:jc w:val="both"/>
      </w:pPr>
      <w:r>
        <w:rPr>
          <w:rStyle w:val="FootnoteReference"/>
        </w:rPr>
        <w:footnoteRef/>
      </w:r>
      <w:r>
        <w:t xml:space="preserve"> J. </w:t>
      </w:r>
      <w:proofErr w:type="spellStart"/>
      <w:r>
        <w:t>Jaconelli</w:t>
      </w:r>
      <w:proofErr w:type="spellEnd"/>
      <w:r>
        <w:t>, ‘</w:t>
      </w:r>
      <w:r w:rsidRPr="00324715">
        <w:t>Adjudicating on Charitable Status – A Reconsideration o</w:t>
      </w:r>
      <w:r>
        <w:t xml:space="preserve">f the Elements’ [2013] Conv 96, </w:t>
      </w:r>
      <w:r w:rsidRPr="00324715">
        <w:t>p</w:t>
      </w:r>
      <w:r>
        <w:t>.</w:t>
      </w:r>
      <w:r w:rsidRPr="00324715">
        <w:t>97</w:t>
      </w:r>
      <w:r>
        <w:t xml:space="preserve"> conceives of these elements as being qualitative and quantitative respectively.</w:t>
      </w:r>
    </w:p>
  </w:footnote>
  <w:footnote w:id="89">
    <w:p w:rsidR="00F70897" w:rsidRDefault="00F70897" w:rsidP="000265BC">
      <w:pPr>
        <w:pStyle w:val="FootnoteText"/>
        <w:jc w:val="both"/>
      </w:pPr>
      <w:r>
        <w:rPr>
          <w:rStyle w:val="FootnoteReference"/>
        </w:rPr>
        <w:footnoteRef/>
      </w:r>
      <w:r>
        <w:t xml:space="preserve"> As P. Luxton, </w:t>
      </w:r>
      <w:r>
        <w:rPr>
          <w:i/>
        </w:rPr>
        <w:t>Making Law? Parliament v The Charity Commission</w:t>
      </w:r>
      <w:r>
        <w:t xml:space="preserve"> (Politeia 2009), p. 6 explains, “</w:t>
      </w:r>
      <w:r w:rsidRPr="002E623F">
        <w:t>the case law establishes that, once a purpose is shown to be charitable, it is necessarily for the public benefit in the first sense</w:t>
      </w:r>
      <w:r>
        <w:t>”</w:t>
      </w:r>
      <w:r w:rsidRPr="002E623F">
        <w:t>.</w:t>
      </w:r>
    </w:p>
  </w:footnote>
  <w:footnote w:id="90">
    <w:p w:rsidR="00F70897" w:rsidRDefault="00F70897" w:rsidP="000265BC">
      <w:pPr>
        <w:pStyle w:val="FootnoteText"/>
        <w:jc w:val="both"/>
      </w:pPr>
      <w:r>
        <w:rPr>
          <w:rStyle w:val="FootnoteReference"/>
        </w:rPr>
        <w:footnoteRef/>
      </w:r>
      <w:r>
        <w:t xml:space="preserve"> </w:t>
      </w:r>
      <w:r w:rsidRPr="00854B27">
        <w:rPr>
          <w:i/>
        </w:rPr>
        <w:t xml:space="preserve">Private Action, Public Benefit: A Review of Charities and the Wider Not-for-Profit Sector </w:t>
      </w:r>
      <w:r>
        <w:t>(HMSO 2002), [4.14].</w:t>
      </w:r>
    </w:p>
  </w:footnote>
  <w:footnote w:id="91">
    <w:p w:rsidR="00F70897" w:rsidRPr="0051684F" w:rsidRDefault="00F70897" w:rsidP="000265BC">
      <w:pPr>
        <w:pStyle w:val="FootnoteText"/>
        <w:jc w:val="both"/>
      </w:pPr>
      <w:r w:rsidRPr="0051684F">
        <w:rPr>
          <w:rStyle w:val="FootnoteReference"/>
        </w:rPr>
        <w:footnoteRef/>
      </w:r>
      <w:r w:rsidRPr="0051684F">
        <w:t xml:space="preserve"> </w:t>
      </w:r>
      <w:r>
        <w:rPr>
          <w:i/>
        </w:rPr>
        <w:t xml:space="preserve">ISC </w:t>
      </w:r>
      <w:r>
        <w:t>at [82]</w:t>
      </w:r>
      <w:r w:rsidRPr="0051684F">
        <w:t>.</w:t>
      </w:r>
    </w:p>
  </w:footnote>
  <w:footnote w:id="92">
    <w:p w:rsidR="00F70897" w:rsidRPr="0051684F" w:rsidRDefault="00F70897" w:rsidP="000265BC">
      <w:pPr>
        <w:pStyle w:val="FootnoteText"/>
        <w:jc w:val="both"/>
      </w:pPr>
      <w:r w:rsidRPr="0051684F">
        <w:rPr>
          <w:rStyle w:val="FootnoteReference"/>
        </w:rPr>
        <w:footnoteRef/>
      </w:r>
      <w:r>
        <w:t xml:space="preserve"> </w:t>
      </w:r>
      <w:r w:rsidRPr="00ED1585">
        <w:rPr>
          <w:i/>
        </w:rPr>
        <w:t>Ibid.</w:t>
      </w:r>
    </w:p>
  </w:footnote>
  <w:footnote w:id="93">
    <w:p w:rsidR="00F70897" w:rsidRDefault="00F70897" w:rsidP="000265BC">
      <w:pPr>
        <w:pStyle w:val="FootnoteText"/>
        <w:jc w:val="both"/>
      </w:pPr>
      <w:r>
        <w:rPr>
          <w:rStyle w:val="FootnoteReference"/>
        </w:rPr>
        <w:footnoteRef/>
      </w:r>
      <w:r>
        <w:t xml:space="preserve"> </w:t>
      </w:r>
      <w:r w:rsidRPr="00ED1585">
        <w:rPr>
          <w:i/>
        </w:rPr>
        <w:t>Ibid.</w:t>
      </w:r>
    </w:p>
  </w:footnote>
  <w:footnote w:id="94">
    <w:p w:rsidR="00F70897" w:rsidRPr="00DD0F74" w:rsidRDefault="00F70897" w:rsidP="000265BC">
      <w:pPr>
        <w:pStyle w:val="FootnoteText"/>
        <w:jc w:val="both"/>
      </w:pPr>
      <w:r>
        <w:rPr>
          <w:rStyle w:val="FootnoteReference"/>
        </w:rPr>
        <w:footnoteRef/>
      </w:r>
      <w:r>
        <w:t xml:space="preserve"> M. Synge, </w:t>
      </w:r>
      <w:r>
        <w:rPr>
          <w:i/>
        </w:rPr>
        <w:t>The ‘New’ Public Benefit Requirement</w:t>
      </w:r>
      <w:r>
        <w:t xml:space="preserve"> (Hart Oxford 2015), p.223.</w:t>
      </w:r>
    </w:p>
  </w:footnote>
  <w:footnote w:id="95">
    <w:p w:rsidR="00F70897" w:rsidRDefault="00F70897" w:rsidP="000265BC">
      <w:pPr>
        <w:pStyle w:val="FootnoteText"/>
        <w:jc w:val="both"/>
      </w:pPr>
      <w:r>
        <w:rPr>
          <w:rStyle w:val="FootnoteReference"/>
        </w:rPr>
        <w:footnoteRef/>
      </w:r>
      <w:r>
        <w:t xml:space="preserve"> Section 4(2) provides that, ‘it is not to be presumed that a purpose of a particular description is for the public benefit’.</w:t>
      </w:r>
    </w:p>
  </w:footnote>
  <w:footnote w:id="96">
    <w:p w:rsidR="00F70897" w:rsidRDefault="00F70897" w:rsidP="000265BC">
      <w:pPr>
        <w:pStyle w:val="FootnoteText"/>
        <w:jc w:val="both"/>
      </w:pPr>
      <w:r>
        <w:rPr>
          <w:rStyle w:val="FootnoteReference"/>
        </w:rPr>
        <w:footnoteRef/>
      </w:r>
      <w:r>
        <w:t xml:space="preserve"> </w:t>
      </w:r>
      <w:r>
        <w:rPr>
          <w:i/>
        </w:rPr>
        <w:t xml:space="preserve">National Anti-Vivisection Society v IRC </w:t>
      </w:r>
      <w:r>
        <w:t>[1948] AC 31.</w:t>
      </w:r>
    </w:p>
  </w:footnote>
  <w:footnote w:id="97">
    <w:p w:rsidR="00F70897" w:rsidRPr="001E3DFF" w:rsidRDefault="00F70897" w:rsidP="000265BC">
      <w:pPr>
        <w:pStyle w:val="FootnoteText"/>
        <w:jc w:val="both"/>
      </w:pPr>
      <w:r>
        <w:rPr>
          <w:rStyle w:val="FootnoteReference"/>
        </w:rPr>
        <w:footnoteRef/>
      </w:r>
      <w:r>
        <w:t xml:space="preserve"> </w:t>
      </w:r>
      <w:r w:rsidRPr="00ED1585">
        <w:rPr>
          <w:i/>
        </w:rPr>
        <w:t>Ibid.</w:t>
      </w:r>
      <w:r>
        <w:t xml:space="preserve"> at 41.</w:t>
      </w:r>
    </w:p>
  </w:footnote>
  <w:footnote w:id="98">
    <w:p w:rsidR="00F70897" w:rsidRDefault="00F70897" w:rsidP="000265BC">
      <w:pPr>
        <w:pStyle w:val="FootnoteText"/>
        <w:jc w:val="both"/>
      </w:pPr>
      <w:r>
        <w:rPr>
          <w:rStyle w:val="FootnoteReference"/>
        </w:rPr>
        <w:footnoteRef/>
      </w:r>
      <w:r>
        <w:t xml:space="preserve"> </w:t>
      </w:r>
      <w:r w:rsidRPr="00ED1585">
        <w:rPr>
          <w:i/>
        </w:rPr>
        <w:t>Ibid.</w:t>
      </w:r>
      <w:r>
        <w:t xml:space="preserve"> at 65.</w:t>
      </w:r>
    </w:p>
  </w:footnote>
  <w:footnote w:id="99">
    <w:p w:rsidR="00F70897" w:rsidRDefault="00F70897" w:rsidP="000265BC">
      <w:pPr>
        <w:pStyle w:val="FootnoteText"/>
        <w:jc w:val="both"/>
      </w:pPr>
      <w:r>
        <w:rPr>
          <w:rStyle w:val="FootnoteReference"/>
        </w:rPr>
        <w:footnoteRef/>
      </w:r>
      <w:r>
        <w:t xml:space="preserve"> [2011] UKUT 421 (TCC) at [67].</w:t>
      </w:r>
    </w:p>
  </w:footnote>
  <w:footnote w:id="100">
    <w:p w:rsidR="00F70897" w:rsidRDefault="00F70897" w:rsidP="000265BC">
      <w:pPr>
        <w:pStyle w:val="FootnoteText"/>
        <w:jc w:val="both"/>
      </w:pPr>
      <w:r>
        <w:rPr>
          <w:rStyle w:val="FootnoteReference"/>
        </w:rPr>
        <w:footnoteRef/>
      </w:r>
      <w:r>
        <w:t xml:space="preserve"> </w:t>
      </w:r>
      <w:r w:rsidRPr="00A6425F">
        <w:rPr>
          <w:i/>
        </w:rPr>
        <w:t>A-G v Charity Commission for England &amp; Wales</w:t>
      </w:r>
      <w:r>
        <w:t xml:space="preserve"> [2012] UKUT 420 (TCC) at [39].</w:t>
      </w:r>
    </w:p>
  </w:footnote>
  <w:footnote w:id="101">
    <w:p w:rsidR="00F70897" w:rsidRDefault="00F70897" w:rsidP="000265BC">
      <w:pPr>
        <w:pStyle w:val="FootnoteText"/>
        <w:jc w:val="both"/>
      </w:pPr>
      <w:r>
        <w:rPr>
          <w:rStyle w:val="FootnoteReference"/>
        </w:rPr>
        <w:footnoteRef/>
      </w:r>
      <w:r>
        <w:t xml:space="preserve"> In </w:t>
      </w:r>
      <w:r>
        <w:rPr>
          <w:i/>
          <w:iCs/>
        </w:rPr>
        <w:t>Re Spence</w:t>
      </w:r>
      <w:r>
        <w:t xml:space="preserve"> [1938] Ch 96, 105, the display of arms and antiques in a public hall was deemed, “an educational object” and, therefore, charitable in status.</w:t>
      </w:r>
    </w:p>
  </w:footnote>
  <w:footnote w:id="102">
    <w:p w:rsidR="00F70897" w:rsidRPr="00290B10" w:rsidRDefault="00F70897" w:rsidP="000265BC">
      <w:pPr>
        <w:pStyle w:val="FootnoteText"/>
        <w:jc w:val="both"/>
      </w:pPr>
      <w:r>
        <w:rPr>
          <w:rStyle w:val="FootnoteReference"/>
        </w:rPr>
        <w:footnoteRef/>
      </w:r>
      <w:r>
        <w:t xml:space="preserve"> </w:t>
      </w:r>
      <w:r>
        <w:rPr>
          <w:i/>
          <w:iCs/>
        </w:rPr>
        <w:t>Re Pinion</w:t>
      </w:r>
      <w:r>
        <w:t xml:space="preserve"> [1965] Ch 85.</w:t>
      </w:r>
      <w:r w:rsidRPr="00290B10">
        <w:rPr>
          <w:rFonts w:ascii="Arial" w:hAnsi="Arial" w:cs="Arial"/>
          <w:sz w:val="22"/>
        </w:rPr>
        <w:t xml:space="preserve"> </w:t>
      </w:r>
      <w:r>
        <w:t>As Wilberforce J. commented at 95</w:t>
      </w:r>
      <w:r w:rsidRPr="00290B10">
        <w:t xml:space="preserve">, “Once a gift is clearly seen to be in </w:t>
      </w:r>
      <w:r>
        <w:t xml:space="preserve">the … </w:t>
      </w:r>
      <w:r w:rsidRPr="00290B10">
        <w:t>educational sphere, it does not prevent the court from ascertaining, if necessary by evidence, whether the gift has any educational tendency”.</w:t>
      </w:r>
    </w:p>
  </w:footnote>
  <w:footnote w:id="103">
    <w:p w:rsidR="00F70897" w:rsidRDefault="00F70897" w:rsidP="000265BC">
      <w:pPr>
        <w:pStyle w:val="FootnoteText"/>
        <w:jc w:val="both"/>
      </w:pPr>
      <w:r>
        <w:rPr>
          <w:rStyle w:val="FootnoteReference"/>
        </w:rPr>
        <w:footnoteRef/>
      </w:r>
      <w:r>
        <w:t xml:space="preserve"> </w:t>
      </w:r>
      <w:r w:rsidRPr="00AE5C50">
        <w:rPr>
          <w:i/>
        </w:rPr>
        <w:t>Thornton v Howe</w:t>
      </w:r>
      <w:r>
        <w:t xml:space="preserve"> (1862) 31 </w:t>
      </w:r>
      <w:proofErr w:type="spellStart"/>
      <w:r>
        <w:t>Beav</w:t>
      </w:r>
      <w:proofErr w:type="spellEnd"/>
      <w:r>
        <w:t xml:space="preserve"> 14, 20.</w:t>
      </w:r>
    </w:p>
  </w:footnote>
  <w:footnote w:id="104">
    <w:p w:rsidR="00F70897" w:rsidRDefault="00F70897" w:rsidP="000265BC">
      <w:pPr>
        <w:pStyle w:val="FootnoteText"/>
        <w:jc w:val="both"/>
      </w:pPr>
      <w:r>
        <w:rPr>
          <w:rStyle w:val="FootnoteReference"/>
        </w:rPr>
        <w:footnoteRef/>
      </w:r>
      <w:r>
        <w:t xml:space="preserve"> </w:t>
      </w:r>
      <w:r w:rsidRPr="006213E9">
        <w:rPr>
          <w:i/>
        </w:rPr>
        <w:t xml:space="preserve">Re </w:t>
      </w:r>
      <w:proofErr w:type="spellStart"/>
      <w:r w:rsidRPr="006213E9">
        <w:rPr>
          <w:i/>
        </w:rPr>
        <w:t>Hummeltenberg</w:t>
      </w:r>
      <w:proofErr w:type="spellEnd"/>
      <w:r>
        <w:t xml:space="preserve"> [1923] 1 Ch 237.</w:t>
      </w:r>
    </w:p>
  </w:footnote>
  <w:footnote w:id="105">
    <w:p w:rsidR="00F70897" w:rsidRPr="008931CC" w:rsidRDefault="00F70897" w:rsidP="000265BC">
      <w:pPr>
        <w:pStyle w:val="FootnoteText"/>
        <w:jc w:val="both"/>
      </w:pPr>
      <w:r>
        <w:rPr>
          <w:rStyle w:val="FootnoteReference"/>
        </w:rPr>
        <w:footnoteRef/>
      </w:r>
      <w:r>
        <w:t xml:space="preserve"> </w:t>
      </w:r>
      <w:r>
        <w:rPr>
          <w:i/>
        </w:rPr>
        <w:t>ISC</w:t>
      </w:r>
      <w:r>
        <w:t xml:space="preserve"> at [67].</w:t>
      </w:r>
    </w:p>
  </w:footnote>
  <w:footnote w:id="106">
    <w:p w:rsidR="00F70897" w:rsidRPr="007A6A71" w:rsidRDefault="00F70897" w:rsidP="000265BC">
      <w:pPr>
        <w:pStyle w:val="FootnoteText"/>
        <w:jc w:val="both"/>
      </w:pPr>
      <w:r w:rsidRPr="007A6A71">
        <w:rPr>
          <w:rStyle w:val="FootnoteReference"/>
        </w:rPr>
        <w:footnoteRef/>
      </w:r>
      <w:r w:rsidRPr="007A6A71">
        <w:t xml:space="preserve"> Charity Commission, </w:t>
      </w:r>
      <w:r w:rsidRPr="007A6A71">
        <w:rPr>
          <w:i/>
        </w:rPr>
        <w:t>Analysis of the Law Relating to Public Benefit</w:t>
      </w:r>
      <w:r w:rsidRPr="007A6A71">
        <w:t xml:space="preserve"> (September 2013), </w:t>
      </w:r>
      <w:r>
        <w:t xml:space="preserve">at </w:t>
      </w:r>
      <w:r w:rsidRPr="007A6A71">
        <w:t>[12].</w:t>
      </w:r>
    </w:p>
  </w:footnote>
  <w:footnote w:id="107">
    <w:p w:rsidR="00F70897" w:rsidRPr="007A6A71" w:rsidRDefault="00F70897" w:rsidP="000265BC">
      <w:pPr>
        <w:spacing w:after="0" w:line="240" w:lineRule="auto"/>
        <w:jc w:val="both"/>
        <w:rPr>
          <w:rFonts w:ascii="Times New Roman" w:hAnsi="Times New Roman" w:cs="Times New Roman"/>
          <w:sz w:val="20"/>
          <w:szCs w:val="20"/>
        </w:rPr>
      </w:pPr>
      <w:r w:rsidRPr="007A6A71">
        <w:rPr>
          <w:rStyle w:val="FootnoteReference"/>
          <w:rFonts w:ascii="Times New Roman" w:hAnsi="Times New Roman" w:cs="Times New Roman"/>
        </w:rPr>
        <w:footnoteRef/>
      </w:r>
      <w:r w:rsidRPr="007A6A71">
        <w:rPr>
          <w:rFonts w:ascii="Times New Roman" w:hAnsi="Times New Roman" w:cs="Times New Roman"/>
        </w:rPr>
        <w:t xml:space="preserve"> </w:t>
      </w:r>
      <w:r w:rsidRPr="007A6A71">
        <w:rPr>
          <w:rFonts w:ascii="Times New Roman" w:hAnsi="Times New Roman" w:cs="Times New Roman"/>
          <w:i/>
          <w:sz w:val="20"/>
          <w:szCs w:val="20"/>
        </w:rPr>
        <w:t>For the Public Benefit: A Consultation Document on Charity Law Reform</w:t>
      </w:r>
      <w:r>
        <w:rPr>
          <w:rFonts w:ascii="Times New Roman" w:hAnsi="Times New Roman" w:cs="Times New Roman"/>
          <w:sz w:val="20"/>
          <w:szCs w:val="20"/>
        </w:rPr>
        <w:t xml:space="preserve"> (NCVO 2001), [</w:t>
      </w:r>
      <w:r w:rsidRPr="007A6A71">
        <w:rPr>
          <w:rFonts w:ascii="Times New Roman" w:hAnsi="Times New Roman" w:cs="Times New Roman"/>
          <w:sz w:val="20"/>
          <w:szCs w:val="20"/>
        </w:rPr>
        <w:t>4.1.6</w:t>
      </w:r>
      <w:r>
        <w:rPr>
          <w:rFonts w:ascii="Times New Roman" w:hAnsi="Times New Roman" w:cs="Times New Roman"/>
          <w:sz w:val="20"/>
          <w:szCs w:val="20"/>
        </w:rPr>
        <w:t>]</w:t>
      </w:r>
      <w:r w:rsidRPr="007A6A71">
        <w:rPr>
          <w:rFonts w:ascii="Times New Roman" w:hAnsi="Times New Roman" w:cs="Times New Roman"/>
          <w:sz w:val="20"/>
          <w:szCs w:val="20"/>
        </w:rPr>
        <w:t>.</w:t>
      </w:r>
    </w:p>
  </w:footnote>
  <w:footnote w:id="108">
    <w:p w:rsidR="00F70897" w:rsidRPr="007A6A71" w:rsidRDefault="00F70897" w:rsidP="000265BC">
      <w:pPr>
        <w:pStyle w:val="FootnoteText"/>
        <w:jc w:val="both"/>
      </w:pPr>
      <w:r w:rsidRPr="007A6A71">
        <w:rPr>
          <w:rStyle w:val="FootnoteReference"/>
        </w:rPr>
        <w:footnoteRef/>
      </w:r>
      <w:r w:rsidRPr="007A6A71">
        <w:t xml:space="preserve"> Hilary Armstrong (HC Deb 26 June 2006, vol</w:t>
      </w:r>
      <w:r>
        <w:t>.</w:t>
      </w:r>
      <w:r w:rsidRPr="007A6A71">
        <w:t xml:space="preserve"> 448 col</w:t>
      </w:r>
      <w:r>
        <w:t>.</w:t>
      </w:r>
      <w:r w:rsidRPr="007A6A71">
        <w:t xml:space="preserve"> 24).</w:t>
      </w:r>
    </w:p>
  </w:footnote>
  <w:footnote w:id="109">
    <w:p w:rsidR="00F70897" w:rsidRDefault="00F70897" w:rsidP="000265BC">
      <w:pPr>
        <w:pStyle w:val="FootnoteText"/>
        <w:jc w:val="both"/>
      </w:pPr>
      <w:r>
        <w:rPr>
          <w:rStyle w:val="FootnoteReference"/>
        </w:rPr>
        <w:footnoteRef/>
      </w:r>
      <w:r>
        <w:t xml:space="preserve"> P. Luxton in, </w:t>
      </w:r>
      <w:r>
        <w:rPr>
          <w:i/>
        </w:rPr>
        <w:t>Making Law? Parliament v The Charity Commission</w:t>
      </w:r>
      <w:r>
        <w:t xml:space="preserve"> (Politeia 2009), p. 9.</w:t>
      </w:r>
    </w:p>
  </w:footnote>
  <w:footnote w:id="110">
    <w:p w:rsidR="00F70897" w:rsidRPr="007A6A71" w:rsidRDefault="00F70897" w:rsidP="000265BC">
      <w:pPr>
        <w:pStyle w:val="FootnoteText"/>
        <w:jc w:val="both"/>
      </w:pPr>
      <w:r w:rsidRPr="007A6A71">
        <w:rPr>
          <w:rStyle w:val="FootnoteReference"/>
        </w:rPr>
        <w:footnoteRef/>
      </w:r>
      <w:r w:rsidRPr="007A6A71">
        <w:t xml:space="preserve"> Final Report and Recommendations of NCVO’s Independent Review of the Charity Act 2006 (NVCO May 2012), p.26.</w:t>
      </w:r>
    </w:p>
  </w:footnote>
  <w:footnote w:id="111">
    <w:p w:rsidR="00F70897" w:rsidRPr="00B95F91" w:rsidRDefault="00F70897" w:rsidP="000265BC">
      <w:pPr>
        <w:pStyle w:val="FootnoteText"/>
        <w:jc w:val="both"/>
      </w:pPr>
      <w:r w:rsidRPr="007A6A71">
        <w:rPr>
          <w:rStyle w:val="FootnoteReference"/>
        </w:rPr>
        <w:footnoteRef/>
      </w:r>
      <w:r>
        <w:t xml:space="preserve"> C. Buckley, ‘</w:t>
      </w:r>
      <w:r w:rsidRPr="007A6A71">
        <w:t>The Charities Act 2006: Consolidation or Reform?</w:t>
      </w:r>
      <w:r>
        <w:t>’</w:t>
      </w:r>
      <w:r w:rsidRPr="007A6A71">
        <w:t xml:space="preserve"> (2008) 11(1) CL&amp;PR 1, p.41</w:t>
      </w:r>
      <w:r>
        <w:t>.</w:t>
      </w:r>
    </w:p>
  </w:footnote>
  <w:footnote w:id="112">
    <w:p w:rsidR="00F70897" w:rsidRDefault="00F70897" w:rsidP="000265BC">
      <w:pPr>
        <w:pStyle w:val="FootnoteText"/>
        <w:jc w:val="both"/>
      </w:pPr>
      <w:r>
        <w:rPr>
          <w:rStyle w:val="FootnoteReference"/>
        </w:rPr>
        <w:footnoteRef/>
      </w:r>
      <w:r>
        <w:t xml:space="preserve"> S</w:t>
      </w:r>
      <w:r w:rsidRPr="007A6A71">
        <w:t>ee</w:t>
      </w:r>
      <w:r>
        <w:t>, for example,</w:t>
      </w:r>
      <w:r w:rsidRPr="007A6A71">
        <w:t xml:space="preserve"> </w:t>
      </w:r>
      <w:r w:rsidRPr="007A6A71">
        <w:rPr>
          <w:i/>
        </w:rPr>
        <w:t xml:space="preserve">The Times, </w:t>
      </w:r>
      <w:r w:rsidRPr="007A6A71">
        <w:t>27 May 2004, p.</w:t>
      </w:r>
      <w:r>
        <w:t>27 (“Proposed Changes to Charitable Status”).</w:t>
      </w:r>
    </w:p>
  </w:footnote>
  <w:footnote w:id="113">
    <w:p w:rsidR="00F70897" w:rsidRDefault="00F70897" w:rsidP="000265BC">
      <w:pPr>
        <w:pStyle w:val="FootnoteText"/>
        <w:jc w:val="both"/>
      </w:pPr>
      <w:r>
        <w:rPr>
          <w:rStyle w:val="FootnoteReference"/>
        </w:rPr>
        <w:footnoteRef/>
      </w:r>
      <w:r>
        <w:t xml:space="preserve"> See HC 13 November 2012 vol. 553 col. 36. This was described by Nick Hurd (at col 59) as “quite a rough day for the members of the Charity Commission”.</w:t>
      </w:r>
    </w:p>
  </w:footnote>
  <w:footnote w:id="114">
    <w:p w:rsidR="00F70897" w:rsidRDefault="00F70897" w:rsidP="000265BC">
      <w:pPr>
        <w:pStyle w:val="FootnoteText"/>
        <w:jc w:val="both"/>
      </w:pPr>
      <w:r>
        <w:rPr>
          <w:rStyle w:val="FootnoteReference"/>
        </w:rPr>
        <w:footnoteRef/>
      </w:r>
      <w:r>
        <w:t xml:space="preserve"> Public Administrative Select Committee</w:t>
      </w:r>
      <w:r>
        <w:rPr>
          <w:i/>
        </w:rPr>
        <w:t xml:space="preserve"> The Role of the Charity Commission and ‘Public Benefit’: Post-legislative Scrutiny of the Charities Act 2006 </w:t>
      </w:r>
      <w:r>
        <w:t>Third Report of Session 2013-14 (June 2013), [93].</w:t>
      </w:r>
    </w:p>
  </w:footnote>
  <w:footnote w:id="115">
    <w:p w:rsidR="00F70897" w:rsidRDefault="00F70897" w:rsidP="000265BC">
      <w:pPr>
        <w:pStyle w:val="FootnoteText"/>
        <w:jc w:val="both"/>
      </w:pPr>
      <w:r>
        <w:rPr>
          <w:rStyle w:val="FootnoteReference"/>
        </w:rPr>
        <w:footnoteRef/>
      </w:r>
      <w:r>
        <w:t xml:space="preserve"> Government Response to The Public Administration Select Committee’s Third Report of 2013-14: The role of the Charity Commission and “public benefit”: Post-legislative scrutiny of the Charities Act 2006 (Cm 8700) (September 2013), p.14.</w:t>
      </w:r>
    </w:p>
  </w:footnote>
  <w:footnote w:id="116">
    <w:p w:rsidR="00F70897" w:rsidRPr="00915FAB" w:rsidRDefault="00F70897" w:rsidP="000265BC">
      <w:pPr>
        <w:pStyle w:val="Heading2"/>
        <w:shd w:val="clear" w:color="auto" w:fill="FFFFFF"/>
        <w:spacing w:before="0" w:beforeAutospacing="0" w:after="0" w:afterAutospacing="0"/>
        <w:jc w:val="both"/>
        <w:rPr>
          <w:rFonts w:ascii="Trebuchet MS" w:hAnsi="Trebuchet MS"/>
          <w:color w:val="000000"/>
          <w:sz w:val="20"/>
          <w:szCs w:val="20"/>
        </w:rPr>
      </w:pPr>
      <w:r w:rsidRPr="00997BFB">
        <w:rPr>
          <w:rStyle w:val="FootnoteReference"/>
          <w:b w:val="0"/>
          <w:sz w:val="20"/>
          <w:szCs w:val="20"/>
        </w:rPr>
        <w:footnoteRef/>
      </w:r>
      <w:r w:rsidRPr="0026009A">
        <w:rPr>
          <w:sz w:val="20"/>
          <w:szCs w:val="20"/>
        </w:rPr>
        <w:t xml:space="preserve"> </w:t>
      </w:r>
      <w:r w:rsidRPr="0026009A">
        <w:rPr>
          <w:b w:val="0"/>
          <w:sz w:val="20"/>
          <w:szCs w:val="20"/>
        </w:rPr>
        <w:t xml:space="preserve">See, for example R. </w:t>
      </w:r>
      <w:proofErr w:type="spellStart"/>
      <w:r w:rsidRPr="0026009A">
        <w:rPr>
          <w:b w:val="0"/>
          <w:sz w:val="20"/>
          <w:szCs w:val="20"/>
        </w:rPr>
        <w:t>Meakin</w:t>
      </w:r>
      <w:proofErr w:type="spellEnd"/>
      <w:r w:rsidRPr="0026009A">
        <w:rPr>
          <w:b w:val="0"/>
          <w:sz w:val="20"/>
          <w:szCs w:val="20"/>
        </w:rPr>
        <w:t xml:space="preserve">, </w:t>
      </w:r>
      <w:r>
        <w:rPr>
          <w:b w:val="0"/>
          <w:sz w:val="20"/>
          <w:szCs w:val="20"/>
        </w:rPr>
        <w:t>‘</w:t>
      </w:r>
      <w:r w:rsidRPr="0026009A">
        <w:rPr>
          <w:b w:val="0"/>
          <w:color w:val="000000"/>
          <w:sz w:val="20"/>
          <w:szCs w:val="20"/>
        </w:rPr>
        <w:t>Taking the Queen's shilling: the implications for religious freedom for religions being registered as charities</w:t>
      </w:r>
      <w:r>
        <w:rPr>
          <w:b w:val="0"/>
          <w:color w:val="000000"/>
          <w:sz w:val="20"/>
          <w:szCs w:val="20"/>
        </w:rPr>
        <w:t>’ (2017) 178 Law &amp; Just 57.</w:t>
      </w:r>
    </w:p>
  </w:footnote>
  <w:footnote w:id="117">
    <w:p w:rsidR="00F70897" w:rsidRPr="00CA4995" w:rsidRDefault="00F70897" w:rsidP="000265BC">
      <w:pPr>
        <w:pStyle w:val="FootnoteText"/>
        <w:jc w:val="both"/>
      </w:pPr>
      <w:r>
        <w:rPr>
          <w:rStyle w:val="FootnoteReference"/>
        </w:rPr>
        <w:footnoteRef/>
      </w:r>
      <w:r>
        <w:t xml:space="preserve"> P. Smith, ‘</w:t>
      </w:r>
      <w:r w:rsidRPr="00CA4995">
        <w:t>Religious Chari</w:t>
      </w:r>
      <w:r>
        <w:t>ties and the Charities Act 2006’</w:t>
      </w:r>
      <w:r w:rsidRPr="00CA4995">
        <w:t xml:space="preserve"> (2007) 9(3) CL&amp;PR  57, p.70</w:t>
      </w:r>
    </w:p>
  </w:footnote>
  <w:footnote w:id="118">
    <w:p w:rsidR="00F70897" w:rsidRDefault="00F70897" w:rsidP="000265BC">
      <w:pPr>
        <w:pStyle w:val="FootnoteText"/>
        <w:jc w:val="both"/>
      </w:pPr>
      <w:r>
        <w:rPr>
          <w:rStyle w:val="FootnoteReference"/>
        </w:rPr>
        <w:footnoteRef/>
      </w:r>
      <w:r>
        <w:t xml:space="preserve"> As </w:t>
      </w:r>
      <w:r w:rsidRPr="00735518">
        <w:t>Bar</w:t>
      </w:r>
      <w:r>
        <w:t>oness Scotland explained of the general law, “</w:t>
      </w:r>
      <w:r w:rsidRPr="00735518">
        <w:t>there is a presumption that charities established for the relief of poverty, the advancement of education or the advancement of religion are for the public benefit.  However, charities established for all other purposes do not ben</w:t>
      </w:r>
      <w:r>
        <w:t xml:space="preserve">efit from this presumption” (HL Deb 20 </w:t>
      </w:r>
      <w:r w:rsidRPr="00735518">
        <w:t>January 2005,</w:t>
      </w:r>
      <w:r>
        <w:t xml:space="preserve"> vol 668,</w:t>
      </w:r>
      <w:r w:rsidRPr="00735518">
        <w:t xml:space="preserve"> col 885).</w:t>
      </w:r>
    </w:p>
  </w:footnote>
  <w:footnote w:id="119">
    <w:p w:rsidR="00F70897" w:rsidRDefault="00F70897" w:rsidP="000265BC">
      <w:pPr>
        <w:pStyle w:val="FootnoteText"/>
        <w:jc w:val="both"/>
      </w:pPr>
      <w:r>
        <w:rPr>
          <w:rStyle w:val="FootnoteReference"/>
        </w:rPr>
        <w:footnoteRef/>
      </w:r>
      <w:r>
        <w:t xml:space="preserve"> See P. Luxton, ‘A Three-Part Invention: Public Benefit under the Charity Commission’ (2009) 11(2) CL&amp;PR 19, p.22.</w:t>
      </w:r>
    </w:p>
  </w:footnote>
  <w:footnote w:id="120">
    <w:p w:rsidR="00F70897" w:rsidRDefault="00F70897" w:rsidP="000265BC">
      <w:pPr>
        <w:pStyle w:val="FootnoteText"/>
        <w:jc w:val="both"/>
      </w:pPr>
      <w:r>
        <w:rPr>
          <w:rStyle w:val="FootnoteReference"/>
        </w:rPr>
        <w:footnoteRef/>
      </w:r>
      <w:r>
        <w:t xml:space="preserve"> </w:t>
      </w:r>
      <w:r w:rsidRPr="00080577">
        <w:rPr>
          <w:i/>
        </w:rPr>
        <w:t>Helena Partnerships Ltd v HM Commissioners for Revenue and Customs</w:t>
      </w:r>
      <w:r>
        <w:t xml:space="preserve"> [2012] EWCA Civ 569 at [65].</w:t>
      </w:r>
    </w:p>
  </w:footnote>
  <w:footnote w:id="121">
    <w:p w:rsidR="00F70897" w:rsidRPr="000D00FC" w:rsidRDefault="00F70897" w:rsidP="000265BC">
      <w:pPr>
        <w:pStyle w:val="FootnoteText"/>
        <w:jc w:val="both"/>
      </w:pPr>
      <w:r>
        <w:rPr>
          <w:rStyle w:val="FootnoteReference"/>
        </w:rPr>
        <w:footnoteRef/>
      </w:r>
      <w:r>
        <w:t xml:space="preserve"> </w:t>
      </w:r>
      <w:r w:rsidRPr="000D00FC">
        <w:t>As J</w:t>
      </w:r>
      <w:r>
        <w:t>.</w:t>
      </w:r>
      <w:r w:rsidRPr="000D00FC">
        <w:t xml:space="preserve"> Hackney put it in </w:t>
      </w:r>
      <w:r>
        <w:rPr>
          <w:color w:val="000000"/>
          <w:shd w:val="clear" w:color="auto" w:fill="FFFFFF"/>
        </w:rPr>
        <w:t>‘Charities and Public Benefit’</w:t>
      </w:r>
      <w:r w:rsidRPr="000D00FC">
        <w:rPr>
          <w:color w:val="000000"/>
          <w:shd w:val="clear" w:color="auto" w:fill="FFFFFF"/>
        </w:rPr>
        <w:t xml:space="preserve"> [2008] LQR 347</w:t>
      </w:r>
      <w:r>
        <w:rPr>
          <w:color w:val="000000"/>
          <w:shd w:val="clear" w:color="auto" w:fill="FFFFFF"/>
        </w:rPr>
        <w:t>, p.</w:t>
      </w:r>
      <w:r w:rsidRPr="000D00FC">
        <w:rPr>
          <w:color w:val="000000"/>
          <w:shd w:val="clear" w:color="auto" w:fill="FFFFFF"/>
        </w:rPr>
        <w:t>348</w:t>
      </w:r>
      <w:r>
        <w:rPr>
          <w:color w:val="000000"/>
          <w:shd w:val="clear" w:color="auto" w:fill="FFFFFF"/>
        </w:rPr>
        <w:t>,</w:t>
      </w:r>
      <w:r w:rsidRPr="000D00FC">
        <w:rPr>
          <w:color w:val="000000"/>
          <w:shd w:val="clear" w:color="auto" w:fill="FFFFFF"/>
        </w:rPr>
        <w:t xml:space="preserve"> </w:t>
      </w:r>
      <w:r>
        <w:rPr>
          <w:color w:val="000000"/>
          <w:shd w:val="clear" w:color="auto" w:fill="FFFFFF"/>
        </w:rPr>
        <w:t>“</w:t>
      </w:r>
      <w:r w:rsidRPr="000D00FC">
        <w:rPr>
          <w:color w:val="000000"/>
          <w:shd w:val="clear" w:color="auto" w:fill="FFFFFF"/>
        </w:rPr>
        <w:t xml:space="preserve">these purposes became grouped together into classes, and though the language of the books does not always adequately reflect it, other </w:t>
      </w:r>
      <w:r>
        <w:rPr>
          <w:color w:val="000000"/>
          <w:shd w:val="clear" w:color="auto" w:fill="FFFFFF"/>
        </w:rPr>
        <w:t>‘</w:t>
      </w:r>
      <w:r w:rsidRPr="000D00FC">
        <w:rPr>
          <w:color w:val="000000"/>
          <w:shd w:val="clear" w:color="auto" w:fill="FFFFFF"/>
        </w:rPr>
        <w:t>heads</w:t>
      </w:r>
      <w:r>
        <w:rPr>
          <w:color w:val="000000"/>
          <w:shd w:val="clear" w:color="auto" w:fill="FFFFFF"/>
        </w:rPr>
        <w:t>’</w:t>
      </w:r>
      <w:r w:rsidRPr="000D00FC">
        <w:rPr>
          <w:color w:val="000000"/>
          <w:shd w:val="clear" w:color="auto" w:fill="FFFFFF"/>
        </w:rPr>
        <w:t xml:space="preserve"> came into analytical existence”.</w:t>
      </w:r>
    </w:p>
  </w:footnote>
  <w:footnote w:id="122">
    <w:p w:rsidR="00F70897" w:rsidRPr="00CA4995" w:rsidRDefault="00F70897" w:rsidP="000265BC">
      <w:pPr>
        <w:pStyle w:val="FootnoteText"/>
        <w:jc w:val="both"/>
      </w:pPr>
      <w:r w:rsidRPr="00CA4995">
        <w:rPr>
          <w:rStyle w:val="FootnoteReference"/>
        </w:rPr>
        <w:footnoteRef/>
      </w:r>
      <w:r w:rsidRPr="00CA4995">
        <w:t xml:space="preserve"> See </w:t>
      </w:r>
      <w:r w:rsidRPr="00CA4995">
        <w:rPr>
          <w:i/>
          <w:iCs/>
        </w:rPr>
        <w:t>Re Wedgewood</w:t>
      </w:r>
      <w:r w:rsidRPr="00CA4995">
        <w:t xml:space="preserve"> [1915] 1 Ch 113.</w:t>
      </w:r>
    </w:p>
  </w:footnote>
  <w:footnote w:id="123">
    <w:p w:rsidR="00F70897" w:rsidRPr="00CA4995" w:rsidRDefault="00F70897" w:rsidP="000265BC">
      <w:pPr>
        <w:pStyle w:val="FootnoteText"/>
        <w:jc w:val="both"/>
      </w:pPr>
      <w:r w:rsidRPr="00CA4995">
        <w:rPr>
          <w:rStyle w:val="FootnoteReference"/>
        </w:rPr>
        <w:footnoteRef/>
      </w:r>
      <w:r w:rsidRPr="00CA4995">
        <w:t xml:space="preserve"> </w:t>
      </w:r>
      <w:r>
        <w:t>P</w:t>
      </w:r>
      <w:r w:rsidRPr="00CA4995">
        <w:t>er Russell LJ</w:t>
      </w:r>
      <w:r>
        <w:t xml:space="preserve"> in </w:t>
      </w:r>
      <w:r w:rsidRPr="00CA4995">
        <w:rPr>
          <w:i/>
          <w:iCs/>
        </w:rPr>
        <w:t>Re Grove-Grady</w:t>
      </w:r>
      <w:r>
        <w:t xml:space="preserve"> [1929] 1 Ch 557, </w:t>
      </w:r>
      <w:r w:rsidRPr="00CA4995">
        <w:t>588.</w:t>
      </w:r>
    </w:p>
  </w:footnote>
  <w:footnote w:id="124">
    <w:p w:rsidR="00F70897" w:rsidRPr="00CA4995" w:rsidRDefault="00F70897" w:rsidP="000265BC">
      <w:pPr>
        <w:pStyle w:val="FootnoteText"/>
        <w:jc w:val="both"/>
      </w:pPr>
      <w:r w:rsidRPr="00CA4995">
        <w:rPr>
          <w:rStyle w:val="FootnoteReference"/>
        </w:rPr>
        <w:footnoteRef/>
      </w:r>
      <w:r w:rsidRPr="00CA4995">
        <w:t xml:space="preserve"> </w:t>
      </w:r>
      <w:r w:rsidRPr="005A3DA5">
        <w:rPr>
          <w:i/>
          <w:iCs/>
        </w:rPr>
        <w:t>Ibid.</w:t>
      </w:r>
      <w:r>
        <w:rPr>
          <w:iCs/>
        </w:rPr>
        <w:t xml:space="preserve"> at </w:t>
      </w:r>
      <w:r w:rsidRPr="00CA4995">
        <w:t>572.</w:t>
      </w:r>
    </w:p>
  </w:footnote>
  <w:footnote w:id="125">
    <w:p w:rsidR="00F70897" w:rsidRDefault="00F70897" w:rsidP="000265BC">
      <w:pPr>
        <w:pStyle w:val="FootnoteText"/>
        <w:jc w:val="both"/>
      </w:pPr>
      <w:r>
        <w:rPr>
          <w:rStyle w:val="FootnoteReference"/>
        </w:rPr>
        <w:footnoteRef/>
      </w:r>
      <w:r>
        <w:t xml:space="preserve"> See </w:t>
      </w:r>
      <w:r>
        <w:rPr>
          <w:i/>
          <w:iCs/>
        </w:rPr>
        <w:t>Re Wedgewood</w:t>
      </w:r>
      <w:r>
        <w:rPr>
          <w:iCs/>
        </w:rPr>
        <w:t>,</w:t>
      </w:r>
      <w:r>
        <w:t xml:space="preserve"> above at 122.</w:t>
      </w:r>
    </w:p>
  </w:footnote>
  <w:footnote w:id="126">
    <w:p w:rsidR="00F70897" w:rsidRDefault="00F70897" w:rsidP="000265BC">
      <w:pPr>
        <w:pStyle w:val="FootnoteText"/>
        <w:jc w:val="both"/>
      </w:pPr>
      <w:r w:rsidRPr="00CA4995">
        <w:rPr>
          <w:rStyle w:val="FootnoteReference"/>
        </w:rPr>
        <w:footnoteRef/>
      </w:r>
      <w:r w:rsidRPr="00CA4995">
        <w:t xml:space="preserve"> H</w:t>
      </w:r>
      <w:r>
        <w:t>.</w:t>
      </w:r>
      <w:r w:rsidRPr="00CA4995">
        <w:t xml:space="preserve"> Picarda</w:t>
      </w:r>
      <w:r>
        <w:t xml:space="preserve">, </w:t>
      </w:r>
      <w:r w:rsidRPr="00FB14F7">
        <w:rPr>
          <w:i/>
        </w:rPr>
        <w:t>The Law and Practice Relating to Charities</w:t>
      </w:r>
      <w:r>
        <w:t xml:space="preserve"> (Butterworths, London: 1977), p.109.</w:t>
      </w:r>
    </w:p>
  </w:footnote>
  <w:footnote w:id="127">
    <w:p w:rsidR="00F70897" w:rsidRDefault="00F70897" w:rsidP="000265BC">
      <w:pPr>
        <w:pStyle w:val="FootnoteText"/>
        <w:jc w:val="both"/>
      </w:pPr>
      <w:r>
        <w:rPr>
          <w:rStyle w:val="FootnoteReference"/>
        </w:rPr>
        <w:footnoteRef/>
      </w:r>
      <w:r>
        <w:t xml:space="preserve"> [1929] 1 Ch 557, 574.</w:t>
      </w:r>
    </w:p>
  </w:footnote>
  <w:footnote w:id="128">
    <w:p w:rsidR="00F70897" w:rsidRDefault="00F70897" w:rsidP="000265BC">
      <w:pPr>
        <w:pStyle w:val="FootnoteText"/>
        <w:jc w:val="both"/>
      </w:pPr>
      <w:r>
        <w:rPr>
          <w:rStyle w:val="FootnoteReference"/>
        </w:rPr>
        <w:footnoteRef/>
      </w:r>
      <w:r>
        <w:t xml:space="preserve"> </w:t>
      </w:r>
      <w:r>
        <w:rPr>
          <w:i/>
        </w:rPr>
        <w:t xml:space="preserve">Uturn </w:t>
      </w:r>
      <w:r>
        <w:t xml:space="preserve">CA/2011/0006, 27 February 2012, (FTT (Charity) </w:t>
      </w:r>
      <w:r w:rsidRPr="00DA62B7">
        <w:t>at</w:t>
      </w:r>
      <w:r>
        <w:t xml:space="preserve"> [40].</w:t>
      </w:r>
    </w:p>
  </w:footnote>
  <w:footnote w:id="129">
    <w:p w:rsidR="00F70897" w:rsidRDefault="00F70897" w:rsidP="000265BC">
      <w:pPr>
        <w:pStyle w:val="FootnoteText"/>
        <w:jc w:val="both"/>
      </w:pPr>
      <w:r>
        <w:rPr>
          <w:rStyle w:val="FootnoteReference"/>
        </w:rPr>
        <w:footnoteRef/>
      </w:r>
      <w:r>
        <w:t xml:space="preserve"> </w:t>
      </w:r>
      <w:r>
        <w:rPr>
          <w:i/>
        </w:rPr>
        <w:t>Ibid.</w:t>
      </w:r>
      <w:r>
        <w:t xml:space="preserve"> at [41].</w:t>
      </w:r>
    </w:p>
  </w:footnote>
  <w:footnote w:id="130">
    <w:p w:rsidR="00F70897" w:rsidRDefault="00F70897" w:rsidP="00314ABC">
      <w:pPr>
        <w:pStyle w:val="FootnoteText"/>
        <w:jc w:val="both"/>
      </w:pPr>
      <w:r>
        <w:rPr>
          <w:rStyle w:val="FootnoteReference"/>
        </w:rPr>
        <w:footnoteRef/>
      </w:r>
      <w:r>
        <w:t xml:space="preserve"> Section 17.</w:t>
      </w:r>
    </w:p>
  </w:footnote>
  <w:footnote w:id="131">
    <w:p w:rsidR="00F70897" w:rsidRDefault="00F70897" w:rsidP="00314ABC">
      <w:pPr>
        <w:pStyle w:val="FootnoteText"/>
        <w:jc w:val="both"/>
      </w:pPr>
      <w:r>
        <w:rPr>
          <w:rStyle w:val="FootnoteReference"/>
        </w:rPr>
        <w:footnoteRef/>
      </w:r>
      <w:r>
        <w:t xml:space="preserve"> Section 17(5).</w:t>
      </w:r>
    </w:p>
  </w:footnote>
  <w:footnote w:id="132">
    <w:p w:rsidR="00F70897" w:rsidRPr="004D4047" w:rsidRDefault="00F70897" w:rsidP="00314ABC">
      <w:pPr>
        <w:pStyle w:val="FootnoteText"/>
        <w:jc w:val="both"/>
      </w:pPr>
      <w:r>
        <w:rPr>
          <w:rStyle w:val="FootnoteReference"/>
        </w:rPr>
        <w:footnoteRef/>
      </w:r>
      <w:r>
        <w:t xml:space="preserve"> Charity Commission, </w:t>
      </w:r>
      <w:r>
        <w:rPr>
          <w:i/>
        </w:rPr>
        <w:t xml:space="preserve">Charities and Public Benefit </w:t>
      </w:r>
      <w:r>
        <w:t>(January 2008).</w:t>
      </w:r>
    </w:p>
  </w:footnote>
  <w:footnote w:id="133">
    <w:p w:rsidR="00F70897" w:rsidRPr="00C53D89" w:rsidRDefault="00F70897" w:rsidP="00314ABC">
      <w:pPr>
        <w:pStyle w:val="FootnoteText"/>
        <w:jc w:val="both"/>
      </w:pPr>
      <w:r>
        <w:rPr>
          <w:rStyle w:val="FootnoteReference"/>
        </w:rPr>
        <w:footnoteRef/>
      </w:r>
      <w:r>
        <w:t xml:space="preserve"> </w:t>
      </w:r>
      <w:r>
        <w:rPr>
          <w:i/>
        </w:rPr>
        <w:t>Public Benefit: Running a Charity (PB2)</w:t>
      </w:r>
      <w:r>
        <w:t xml:space="preserve">; </w:t>
      </w:r>
      <w:r>
        <w:rPr>
          <w:i/>
        </w:rPr>
        <w:t>Public Benefit: Reporting (PB3)</w:t>
      </w:r>
      <w:r>
        <w:t>.</w:t>
      </w:r>
    </w:p>
  </w:footnote>
  <w:footnote w:id="134">
    <w:p w:rsidR="00F70897" w:rsidRPr="005215D9" w:rsidRDefault="00F70897" w:rsidP="00314ABC">
      <w:pPr>
        <w:pStyle w:val="FootnoteText"/>
        <w:jc w:val="both"/>
      </w:pPr>
      <w:r>
        <w:rPr>
          <w:rStyle w:val="FootnoteReference"/>
        </w:rPr>
        <w:footnoteRef/>
      </w:r>
      <w:r>
        <w:t xml:space="preserve"> Charity Commission, </w:t>
      </w:r>
      <w:r>
        <w:rPr>
          <w:i/>
        </w:rPr>
        <w:t xml:space="preserve">Public Benefit: The Public Benefit Requirement (PB1) </w:t>
      </w:r>
      <w:r>
        <w:t>(September 2013), p.5.</w:t>
      </w:r>
      <w:r w:rsidRPr="009D18CC">
        <w:t xml:space="preserve"> </w:t>
      </w:r>
      <w:r>
        <w:t>Based on evidence and not personal views, the Commission will, “take detriment or harm into account where it is reasonable to expect that it will result from the individual organisation’s purpose” (p.8).</w:t>
      </w:r>
    </w:p>
  </w:footnote>
  <w:footnote w:id="135">
    <w:p w:rsidR="00F70897" w:rsidRDefault="00F70897" w:rsidP="00314ABC">
      <w:pPr>
        <w:pStyle w:val="FootnoteText"/>
        <w:jc w:val="both"/>
      </w:pPr>
      <w:r>
        <w:rPr>
          <w:rStyle w:val="FootnoteReference"/>
        </w:rPr>
        <w:footnoteRef/>
      </w:r>
      <w:r>
        <w:t xml:space="preserve"> </w:t>
      </w:r>
      <w:r w:rsidRPr="00CF6FD8">
        <w:rPr>
          <w:i/>
        </w:rPr>
        <w:t>Ibid.</w:t>
      </w:r>
      <w:r>
        <w:t xml:space="preserve"> p.7.</w:t>
      </w:r>
    </w:p>
  </w:footnote>
  <w:footnote w:id="136">
    <w:p w:rsidR="00F70897" w:rsidRDefault="00F70897" w:rsidP="00314ABC">
      <w:pPr>
        <w:pStyle w:val="FootnoteText"/>
        <w:jc w:val="both"/>
      </w:pPr>
      <w:r>
        <w:rPr>
          <w:rStyle w:val="FootnoteReference"/>
        </w:rPr>
        <w:footnoteRef/>
      </w:r>
      <w:r>
        <w:t xml:space="preserve"> </w:t>
      </w:r>
      <w:r w:rsidRPr="009902A8">
        <w:rPr>
          <w:i/>
        </w:rPr>
        <w:t>I</w:t>
      </w:r>
      <w:r w:rsidRPr="00941E76">
        <w:rPr>
          <w:i/>
        </w:rPr>
        <w:t>bid.</w:t>
      </w:r>
      <w:r>
        <w:t xml:space="preserve"> p.8 the Commission noted that, “where the benefit of a purpose is obvious and commonly recognised, there is an even greater need for evidence of detriment or harm to be clear and substantial, if it is to outweigh that benefit”.</w:t>
      </w:r>
    </w:p>
  </w:footnote>
  <w:footnote w:id="137">
    <w:p w:rsidR="00F70897" w:rsidRPr="004A4149" w:rsidRDefault="00F70897" w:rsidP="00314ABC">
      <w:pPr>
        <w:pStyle w:val="FootnoteText"/>
        <w:jc w:val="both"/>
      </w:pPr>
      <w:r>
        <w:rPr>
          <w:rStyle w:val="FootnoteReference"/>
        </w:rPr>
        <w:footnoteRef/>
      </w:r>
      <w:r>
        <w:t xml:space="preserve"> </w:t>
      </w:r>
      <w:r>
        <w:rPr>
          <w:i/>
        </w:rPr>
        <w:t xml:space="preserve">Re Shaw’s WT </w:t>
      </w:r>
      <w:r>
        <w:t>[1952] Ch 163, 169.</w:t>
      </w:r>
    </w:p>
  </w:footnote>
  <w:footnote w:id="138">
    <w:p w:rsidR="00F70897" w:rsidRDefault="00F70897" w:rsidP="00314ABC">
      <w:pPr>
        <w:pStyle w:val="FootnoteText"/>
        <w:jc w:val="both"/>
      </w:pPr>
      <w:r>
        <w:rPr>
          <w:rStyle w:val="FootnoteReference"/>
        </w:rPr>
        <w:footnoteRef/>
      </w:r>
      <w:r>
        <w:t xml:space="preserve"> CA/2013/0013 (9 July 2014) (FTT (Charity)) at [102].</w:t>
      </w:r>
    </w:p>
  </w:footnote>
  <w:footnote w:id="139">
    <w:p w:rsidR="00F70897" w:rsidRDefault="00F70897" w:rsidP="00314ABC">
      <w:pPr>
        <w:pStyle w:val="FootnoteText"/>
        <w:jc w:val="both"/>
      </w:pPr>
      <w:r>
        <w:rPr>
          <w:rStyle w:val="FootnoteReference"/>
        </w:rPr>
        <w:footnoteRef/>
      </w:r>
      <w:r>
        <w:t xml:space="preserve"> Charity Commission, </w:t>
      </w:r>
      <w:r>
        <w:rPr>
          <w:i/>
        </w:rPr>
        <w:t xml:space="preserve">RR12: The Promotion of Human Rights </w:t>
      </w:r>
      <w:r>
        <w:t>(January 2005), [11].</w:t>
      </w:r>
    </w:p>
  </w:footnote>
  <w:footnote w:id="140">
    <w:p w:rsidR="00F70897" w:rsidRPr="00301747" w:rsidRDefault="00F70897" w:rsidP="00314ABC">
      <w:pPr>
        <w:pStyle w:val="FootnoteText"/>
        <w:jc w:val="both"/>
      </w:pPr>
      <w:r>
        <w:rPr>
          <w:rStyle w:val="FootnoteReference"/>
        </w:rPr>
        <w:footnoteRef/>
      </w:r>
      <w:r>
        <w:t xml:space="preserve"> </w:t>
      </w:r>
      <w:r w:rsidRPr="008035CB">
        <w:rPr>
          <w:i/>
        </w:rPr>
        <w:t>Ibid.</w:t>
      </w:r>
      <w:r>
        <w:t xml:space="preserve"> [12].</w:t>
      </w:r>
    </w:p>
  </w:footnote>
  <w:footnote w:id="141">
    <w:p w:rsidR="00F70897" w:rsidRDefault="00F70897" w:rsidP="00314ABC">
      <w:pPr>
        <w:pStyle w:val="FootnoteText"/>
        <w:jc w:val="both"/>
      </w:pPr>
      <w:r>
        <w:rPr>
          <w:rStyle w:val="FootnoteReference"/>
        </w:rPr>
        <w:footnoteRef/>
      </w:r>
      <w:r>
        <w:t xml:space="preserve"> Above at [109].</w:t>
      </w:r>
    </w:p>
  </w:footnote>
  <w:footnote w:id="142">
    <w:p w:rsidR="00F70897" w:rsidRDefault="00F70897" w:rsidP="00314ABC">
      <w:pPr>
        <w:pStyle w:val="FootnoteText"/>
        <w:jc w:val="both"/>
      </w:pPr>
      <w:r>
        <w:rPr>
          <w:rStyle w:val="FootnoteReference"/>
        </w:rPr>
        <w:footnoteRef/>
      </w:r>
      <w:r>
        <w:t xml:space="preserve"> See the Decision of the Charity Commission on </w:t>
      </w:r>
      <w:proofErr w:type="spellStart"/>
      <w:r>
        <w:t>Soteria</w:t>
      </w:r>
      <w:proofErr w:type="spellEnd"/>
      <w:r>
        <w:t xml:space="preserve"> Network (1 December 2012) (h</w:t>
      </w:r>
      <w:r w:rsidRPr="00BC13E7">
        <w:t>ttps://www.gov.uk/government/publications/soteria-network</w:t>
      </w:r>
      <w:r>
        <w:t>).</w:t>
      </w:r>
    </w:p>
  </w:footnote>
  <w:footnote w:id="143">
    <w:p w:rsidR="00F70897" w:rsidRDefault="00F70897" w:rsidP="00314ABC">
      <w:pPr>
        <w:pStyle w:val="FootnoteText"/>
        <w:jc w:val="both"/>
      </w:pPr>
      <w:r>
        <w:rPr>
          <w:rStyle w:val="FootnoteReference"/>
        </w:rPr>
        <w:footnoteRef/>
      </w:r>
      <w:r>
        <w:t xml:space="preserve"> 1 March 2011 (</w:t>
      </w:r>
      <w:r w:rsidRPr="004948B2">
        <w:t>https://www.gov.uk/government/publications/hitchin-bridge-club</w:t>
      </w:r>
      <w:r>
        <w:t>).</w:t>
      </w:r>
    </w:p>
  </w:footnote>
  <w:footnote w:id="144">
    <w:p w:rsidR="00F70897" w:rsidRDefault="00F70897" w:rsidP="00314ABC">
      <w:pPr>
        <w:pStyle w:val="FootnoteText"/>
        <w:jc w:val="both"/>
      </w:pPr>
      <w:r>
        <w:rPr>
          <w:rStyle w:val="FootnoteReference"/>
        </w:rPr>
        <w:footnoteRef/>
      </w:r>
      <w:r>
        <w:t xml:space="preserve"> Section 3(2)(d).</w:t>
      </w:r>
    </w:p>
  </w:footnote>
  <w:footnote w:id="145">
    <w:p w:rsidR="00F70897" w:rsidRDefault="00F70897" w:rsidP="00314ABC">
      <w:pPr>
        <w:pStyle w:val="FootnoteText"/>
        <w:jc w:val="both"/>
      </w:pPr>
      <w:r>
        <w:rPr>
          <w:rStyle w:val="FootnoteReference"/>
        </w:rPr>
        <w:footnoteRef/>
      </w:r>
      <w:r>
        <w:t xml:space="preserve"> Above at [28].</w:t>
      </w:r>
    </w:p>
  </w:footnote>
  <w:footnote w:id="146">
    <w:p w:rsidR="00F70897" w:rsidRDefault="00F70897" w:rsidP="00314ABC">
      <w:pPr>
        <w:pStyle w:val="FootnoteText"/>
        <w:jc w:val="both"/>
      </w:pPr>
      <w:r>
        <w:rPr>
          <w:rStyle w:val="FootnoteReference"/>
        </w:rPr>
        <w:footnoteRef/>
      </w:r>
      <w:r>
        <w:t xml:space="preserve"> </w:t>
      </w:r>
      <w:r w:rsidRPr="00127A01">
        <w:rPr>
          <w:i/>
        </w:rPr>
        <w:t>Cambridgeshire Target Shooting Association v Charity Commission for England and Wales</w:t>
      </w:r>
      <w:r w:rsidRPr="00127A01">
        <w:t xml:space="preserve"> CA/2015/0002, 23 November 2015 (FTT (Charity)).</w:t>
      </w:r>
    </w:p>
  </w:footnote>
  <w:footnote w:id="147">
    <w:p w:rsidR="00F70897" w:rsidRDefault="00F70897" w:rsidP="00314ABC">
      <w:pPr>
        <w:pStyle w:val="FootnoteText"/>
        <w:jc w:val="both"/>
      </w:pPr>
      <w:r>
        <w:rPr>
          <w:rStyle w:val="FootnoteReference"/>
        </w:rPr>
        <w:footnoteRef/>
      </w:r>
      <w:r>
        <w:t xml:space="preserve"> </w:t>
      </w:r>
      <w:r w:rsidRPr="00E55441">
        <w:rPr>
          <w:i/>
        </w:rPr>
        <w:t>Ibid.</w:t>
      </w:r>
      <w:r>
        <w:t xml:space="preserve"> at [61].</w:t>
      </w:r>
    </w:p>
  </w:footnote>
  <w:footnote w:id="148">
    <w:p w:rsidR="00F70897" w:rsidRDefault="00F70897" w:rsidP="00314ABC">
      <w:pPr>
        <w:pStyle w:val="FootnoteText"/>
        <w:jc w:val="both"/>
      </w:pPr>
      <w:r>
        <w:rPr>
          <w:rStyle w:val="FootnoteReference"/>
        </w:rPr>
        <w:footnoteRef/>
      </w:r>
      <w:r>
        <w:t xml:space="preserve"> </w:t>
      </w:r>
      <w:r>
        <w:rPr>
          <w:i/>
        </w:rPr>
        <w:t xml:space="preserve">Public Benefit: The Public Benefit Requirement (PB1) </w:t>
      </w:r>
      <w:r>
        <w:t>(September 2013), p.7.</w:t>
      </w:r>
    </w:p>
  </w:footnote>
  <w:footnote w:id="149">
    <w:p w:rsidR="00F70897" w:rsidRDefault="00F70897" w:rsidP="00314ABC">
      <w:pPr>
        <w:pStyle w:val="FootnoteText"/>
        <w:jc w:val="both"/>
      </w:pPr>
      <w:r>
        <w:rPr>
          <w:rStyle w:val="FootnoteReference"/>
        </w:rPr>
        <w:footnoteRef/>
      </w:r>
      <w:r>
        <w:t xml:space="preserve"> Published September 2013.</w:t>
      </w:r>
    </w:p>
  </w:footnote>
  <w:footnote w:id="150">
    <w:p w:rsidR="00F70897" w:rsidRDefault="00F70897" w:rsidP="00314ABC">
      <w:pPr>
        <w:pStyle w:val="FootnoteText"/>
        <w:jc w:val="both"/>
      </w:pPr>
      <w:r>
        <w:rPr>
          <w:rStyle w:val="FootnoteReference"/>
        </w:rPr>
        <w:footnoteRef/>
      </w:r>
      <w:r>
        <w:t xml:space="preserve"> </w:t>
      </w:r>
      <w:r w:rsidRPr="003B6B98">
        <w:rPr>
          <w:i/>
        </w:rPr>
        <w:t>Ibid.</w:t>
      </w:r>
      <w:r>
        <w:t xml:space="preserve"> [50].</w:t>
      </w:r>
    </w:p>
  </w:footnote>
  <w:footnote w:id="151">
    <w:p w:rsidR="00F70897" w:rsidRDefault="00F70897" w:rsidP="00314ABC">
      <w:pPr>
        <w:pStyle w:val="FootnoteText"/>
        <w:jc w:val="both"/>
      </w:pPr>
      <w:r>
        <w:rPr>
          <w:rStyle w:val="FootnoteReference"/>
        </w:rPr>
        <w:footnoteRef/>
      </w:r>
      <w:r>
        <w:t xml:space="preserve"> CA/2011/0001, 26 July 2011(FTT (Charity)) at [31].</w:t>
      </w:r>
    </w:p>
  </w:footnote>
  <w:footnote w:id="152">
    <w:p w:rsidR="00F70897" w:rsidRDefault="00F70897" w:rsidP="00314ABC">
      <w:pPr>
        <w:pStyle w:val="FootnoteText"/>
        <w:jc w:val="both"/>
      </w:pPr>
      <w:r>
        <w:rPr>
          <w:rStyle w:val="FootnoteReference"/>
        </w:rPr>
        <w:footnoteRef/>
      </w:r>
      <w:r>
        <w:t xml:space="preserve"> CA/2011/0006, 27 February 2012, (FTT (Charity) at [42]. </w:t>
      </w:r>
      <w:r w:rsidRPr="002E3E69">
        <w:t>The Tribunal was receptive to the fact that a further five street associations had been set up by the date of the hearing and heard descriptions of the benefit that flowed from them, namely new links formed in participating communities and the encouragement of volunteering.</w:t>
      </w:r>
    </w:p>
  </w:footnote>
  <w:footnote w:id="153">
    <w:p w:rsidR="00F70897" w:rsidRDefault="00F70897" w:rsidP="00314ABC">
      <w:pPr>
        <w:pStyle w:val="FootnoteText"/>
        <w:jc w:val="both"/>
      </w:pPr>
      <w:r>
        <w:rPr>
          <w:rStyle w:val="FootnoteReference"/>
        </w:rPr>
        <w:footnoteRef/>
      </w:r>
      <w:r>
        <w:t xml:space="preserve"> </w:t>
      </w:r>
      <w:proofErr w:type="gramStart"/>
      <w:r>
        <w:rPr>
          <w:i/>
        </w:rPr>
        <w:t xml:space="preserve">HOPRT </w:t>
      </w:r>
      <w:r>
        <w:t>CA/2017/0014, 23 August 2018 (FTT (Charity)) at [120].</w:t>
      </w:r>
      <w:proofErr w:type="gramEnd"/>
    </w:p>
  </w:footnote>
  <w:footnote w:id="154">
    <w:p w:rsidR="00F70897" w:rsidRPr="004952FE" w:rsidRDefault="00F70897" w:rsidP="00314ABC">
      <w:pPr>
        <w:pStyle w:val="FootnoteText"/>
        <w:jc w:val="both"/>
      </w:pPr>
      <w:r>
        <w:rPr>
          <w:rStyle w:val="FootnoteReference"/>
        </w:rPr>
        <w:footnoteRef/>
      </w:r>
      <w:r>
        <w:t xml:space="preserve"> CA/2014/0022, 15 June 2015 (FTT (Charity)).</w:t>
      </w:r>
    </w:p>
  </w:footnote>
  <w:footnote w:id="155">
    <w:p w:rsidR="00F70897" w:rsidRDefault="00F70897" w:rsidP="00314ABC">
      <w:pPr>
        <w:pStyle w:val="FootnoteText"/>
        <w:jc w:val="both"/>
      </w:pPr>
      <w:r>
        <w:rPr>
          <w:rStyle w:val="FootnoteReference"/>
        </w:rPr>
        <w:footnoteRef/>
      </w:r>
      <w:r>
        <w:t xml:space="preserve"> See the Decision of the Charity Commission on the Independent Press Regulation Trust, (29 October 2014) at [25] (</w:t>
      </w:r>
      <w:r w:rsidRPr="0054472C">
        <w:t>https://www.gov.uk/government/publications/independent-press-regulation-trust-iprt</w:t>
      </w:r>
      <w:r>
        <w:t>).</w:t>
      </w:r>
    </w:p>
  </w:footnote>
  <w:footnote w:id="156">
    <w:p w:rsidR="00F70897" w:rsidRDefault="00F70897" w:rsidP="00314ABC">
      <w:pPr>
        <w:pStyle w:val="FootnoteText"/>
        <w:jc w:val="both"/>
      </w:pPr>
      <w:r>
        <w:rPr>
          <w:rStyle w:val="FootnoteReference"/>
        </w:rPr>
        <w:footnoteRef/>
      </w:r>
      <w:r>
        <w:t xml:space="preserve"> Another organisation seeking to establish a similar press regulator.</w:t>
      </w:r>
    </w:p>
  </w:footnote>
  <w:footnote w:id="157">
    <w:p w:rsidR="00F70897" w:rsidRDefault="00F70897" w:rsidP="00314ABC">
      <w:pPr>
        <w:pStyle w:val="FootnoteText"/>
      </w:pPr>
      <w:r>
        <w:rPr>
          <w:rStyle w:val="FootnoteReference"/>
        </w:rPr>
        <w:footnoteRef/>
      </w:r>
      <w:r>
        <w:t xml:space="preserve"> Above at [40].</w:t>
      </w:r>
    </w:p>
  </w:footnote>
  <w:footnote w:id="158">
    <w:p w:rsidR="00F70897" w:rsidRDefault="00F70897">
      <w:pPr>
        <w:pStyle w:val="FootnoteText"/>
        <w:jc w:val="both"/>
      </w:pPr>
      <w:r>
        <w:rPr>
          <w:rStyle w:val="FootnoteReference"/>
        </w:rPr>
        <w:footnoteRef/>
      </w:r>
      <w:r>
        <w:t xml:space="preserve"> Charities Act 2011, s.319(4).</w:t>
      </w:r>
    </w:p>
  </w:footnote>
  <w:footnote w:id="159">
    <w:p w:rsidR="00F70897" w:rsidRDefault="00F70897">
      <w:pPr>
        <w:pStyle w:val="FootnoteText"/>
        <w:jc w:val="both"/>
      </w:pPr>
      <w:r>
        <w:rPr>
          <w:rStyle w:val="FootnoteReference"/>
        </w:rPr>
        <w:footnoteRef/>
      </w:r>
      <w:r>
        <w:t xml:space="preserve"> In the words of A. McKenna (‘How Does Charity Law Develop in the Age of the Tribunal’ (2018) 20 CL&amp;PR 25, p.32), these cases offer, “a fascinating snapshot of what is really going on”.</w:t>
      </w:r>
    </w:p>
  </w:footnote>
  <w:footnote w:id="160">
    <w:p w:rsidR="00F70897" w:rsidRDefault="00F70897">
      <w:pPr>
        <w:pStyle w:val="FootnoteText"/>
        <w:jc w:val="both"/>
      </w:pPr>
      <w:r>
        <w:rPr>
          <w:rStyle w:val="FootnoteReference"/>
        </w:rPr>
        <w:footnoteRef/>
      </w:r>
      <w:r>
        <w:t xml:space="preserve"> P. Kirkpatrick (2015) 2 PCB 73 at 73.</w:t>
      </w:r>
    </w:p>
  </w:footnote>
  <w:footnote w:id="161">
    <w:p w:rsidR="00F70897" w:rsidRDefault="00F70897">
      <w:pPr>
        <w:pStyle w:val="FootnoteText"/>
        <w:jc w:val="both"/>
      </w:pPr>
      <w:r>
        <w:rPr>
          <w:rStyle w:val="FootnoteReference"/>
        </w:rPr>
        <w:footnoteRef/>
      </w:r>
      <w:r>
        <w:t xml:space="preserve"> H. </w:t>
      </w:r>
      <w:proofErr w:type="spellStart"/>
      <w:r>
        <w:t>Biehler</w:t>
      </w:r>
      <w:proofErr w:type="spellEnd"/>
      <w:r>
        <w:t xml:space="preserve">, “The Political Purposes Exception – Is there a Future for a Doctrine Built on Foundations of Sand?” (2015) 29(3) </w:t>
      </w:r>
      <w:proofErr w:type="spellStart"/>
      <w:r>
        <w:t>Tru</w:t>
      </w:r>
      <w:proofErr w:type="spellEnd"/>
      <w:r>
        <w:t xml:space="preserve"> LI  97, 102.</w:t>
      </w:r>
    </w:p>
  </w:footnote>
  <w:footnote w:id="162">
    <w:p w:rsidR="00F70897" w:rsidRDefault="00F70897">
      <w:pPr>
        <w:pStyle w:val="FootnoteText"/>
        <w:jc w:val="both"/>
      </w:pPr>
      <w:r>
        <w:rPr>
          <w:rStyle w:val="FootnoteReference"/>
        </w:rPr>
        <w:footnoteRef/>
      </w:r>
      <w:r>
        <w:t xml:space="preserve"> </w:t>
      </w:r>
      <w:proofErr w:type="spellStart"/>
      <w:r>
        <w:rPr>
          <w:i/>
        </w:rPr>
        <w:t>Crocels</w:t>
      </w:r>
      <w:proofErr w:type="spellEnd"/>
      <w:r>
        <w:rPr>
          <w:i/>
        </w:rPr>
        <w:t xml:space="preserve"> Community Media Group v Charity Commission for England and Wales</w:t>
      </w:r>
      <w:r>
        <w:t xml:space="preserve"> CA/2015/0009, 18 July 2016 (FTT (Charity), at [23].</w:t>
      </w:r>
    </w:p>
  </w:footnote>
  <w:footnote w:id="163">
    <w:p w:rsidR="00F70897" w:rsidRDefault="00F70897">
      <w:pPr>
        <w:pStyle w:val="FootnoteText"/>
        <w:jc w:val="both"/>
      </w:pPr>
      <w:r>
        <w:rPr>
          <w:rStyle w:val="FootnoteReference"/>
        </w:rPr>
        <w:footnoteRef/>
      </w:r>
      <w:r>
        <w:t xml:space="preserve"> See Charity Commission, </w:t>
      </w:r>
      <w:r>
        <w:rPr>
          <w:i/>
          <w:iCs/>
        </w:rPr>
        <w:t xml:space="preserve">The Review of the Register of Charities (RR1) </w:t>
      </w:r>
      <w:r>
        <w:t xml:space="preserve">(1 October 2001); Charity Commission, RR1A: </w:t>
      </w:r>
      <w:r>
        <w:rPr>
          <w:i/>
          <w:iCs/>
        </w:rPr>
        <w:t xml:space="preserve">Recognising New Charitable Purposes </w:t>
      </w:r>
      <w:r>
        <w:t>(1 October 2001).</w:t>
      </w:r>
    </w:p>
  </w:footnote>
  <w:footnote w:id="164">
    <w:p w:rsidR="00F70897" w:rsidRDefault="00F70897">
      <w:pPr>
        <w:pStyle w:val="FootnoteText"/>
        <w:jc w:val="both"/>
      </w:pPr>
      <w:r>
        <w:rPr>
          <w:rStyle w:val="FootnoteReference"/>
        </w:rPr>
        <w:footnoteRef/>
      </w:r>
      <w:r>
        <w:t xml:space="preserve"> </w:t>
      </w:r>
      <w:r>
        <w:rPr>
          <w:i/>
        </w:rPr>
        <w:t xml:space="preserve">HDT </w:t>
      </w:r>
      <w:r>
        <w:t>above, [42].</w:t>
      </w:r>
    </w:p>
  </w:footnote>
  <w:footnote w:id="165">
    <w:p w:rsidR="00F70897" w:rsidRDefault="00F70897">
      <w:pPr>
        <w:pStyle w:val="FootnoteText"/>
      </w:pPr>
      <w:r>
        <w:rPr>
          <w:rStyle w:val="FootnoteReference"/>
        </w:rPr>
        <w:footnoteRef/>
      </w:r>
      <w:r>
        <w:t xml:space="preserve"> No better illustrated than in </w:t>
      </w:r>
      <w:r w:rsidRPr="00760324">
        <w:rPr>
          <w:i/>
        </w:rPr>
        <w:t>Full Fact</w:t>
      </w:r>
      <w:r>
        <w:t xml:space="preserve"> where</w:t>
      </w:r>
      <w:r w:rsidR="002749C7">
        <w:t xml:space="preserve"> </w:t>
      </w:r>
      <w:r>
        <w:t xml:space="preserve">the registration process took a </w:t>
      </w:r>
      <w:r w:rsidR="002749C7">
        <w:t>full five years and cost the organisation thousands of pounds in legal fees.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None" w15:userId="Micha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D75"/>
    <w:rsid w:val="00000D75"/>
    <w:rsid w:val="000071DF"/>
    <w:rsid w:val="00022457"/>
    <w:rsid w:val="000265BC"/>
    <w:rsid w:val="00042CA1"/>
    <w:rsid w:val="00097D2A"/>
    <w:rsid w:val="000D17CB"/>
    <w:rsid w:val="000E53F4"/>
    <w:rsid w:val="00112242"/>
    <w:rsid w:val="001138F7"/>
    <w:rsid w:val="00117DF8"/>
    <w:rsid w:val="00132760"/>
    <w:rsid w:val="001401B0"/>
    <w:rsid w:val="001659D4"/>
    <w:rsid w:val="00195856"/>
    <w:rsid w:val="001A5559"/>
    <w:rsid w:val="001A7DD8"/>
    <w:rsid w:val="001C1C28"/>
    <w:rsid w:val="001C2B33"/>
    <w:rsid w:val="001D3ADC"/>
    <w:rsid w:val="001D5D89"/>
    <w:rsid w:val="001D6B7C"/>
    <w:rsid w:val="001E4213"/>
    <w:rsid w:val="001F5C7C"/>
    <w:rsid w:val="00265060"/>
    <w:rsid w:val="002749C7"/>
    <w:rsid w:val="00280016"/>
    <w:rsid w:val="002C0DFE"/>
    <w:rsid w:val="002E3E69"/>
    <w:rsid w:val="002E70A1"/>
    <w:rsid w:val="003033EB"/>
    <w:rsid w:val="00314ABC"/>
    <w:rsid w:val="00373EF0"/>
    <w:rsid w:val="003A54B6"/>
    <w:rsid w:val="003C395E"/>
    <w:rsid w:val="003C6090"/>
    <w:rsid w:val="003F1CC9"/>
    <w:rsid w:val="00403A17"/>
    <w:rsid w:val="004065F7"/>
    <w:rsid w:val="00425537"/>
    <w:rsid w:val="00436850"/>
    <w:rsid w:val="0046207C"/>
    <w:rsid w:val="004B3206"/>
    <w:rsid w:val="005A0D68"/>
    <w:rsid w:val="005B0EAC"/>
    <w:rsid w:val="005F4EBB"/>
    <w:rsid w:val="00604407"/>
    <w:rsid w:val="006261B8"/>
    <w:rsid w:val="00634AD9"/>
    <w:rsid w:val="006422A8"/>
    <w:rsid w:val="00645063"/>
    <w:rsid w:val="006642A7"/>
    <w:rsid w:val="006647E5"/>
    <w:rsid w:val="00670277"/>
    <w:rsid w:val="00670E25"/>
    <w:rsid w:val="00673F16"/>
    <w:rsid w:val="00675668"/>
    <w:rsid w:val="00680FA1"/>
    <w:rsid w:val="006A1553"/>
    <w:rsid w:val="007030D5"/>
    <w:rsid w:val="00705B94"/>
    <w:rsid w:val="00706CCD"/>
    <w:rsid w:val="00725F99"/>
    <w:rsid w:val="007340DD"/>
    <w:rsid w:val="00740621"/>
    <w:rsid w:val="0074198B"/>
    <w:rsid w:val="00760324"/>
    <w:rsid w:val="00766126"/>
    <w:rsid w:val="00766242"/>
    <w:rsid w:val="007929EA"/>
    <w:rsid w:val="007A3B0D"/>
    <w:rsid w:val="007C016E"/>
    <w:rsid w:val="007D0711"/>
    <w:rsid w:val="007D5749"/>
    <w:rsid w:val="007E4DB4"/>
    <w:rsid w:val="00806B9E"/>
    <w:rsid w:val="008134A3"/>
    <w:rsid w:val="0081757A"/>
    <w:rsid w:val="0084555C"/>
    <w:rsid w:val="008662AF"/>
    <w:rsid w:val="008961F7"/>
    <w:rsid w:val="008967EC"/>
    <w:rsid w:val="00896ED4"/>
    <w:rsid w:val="008A6477"/>
    <w:rsid w:val="008A74AF"/>
    <w:rsid w:val="008C1104"/>
    <w:rsid w:val="008C2ABE"/>
    <w:rsid w:val="008C5401"/>
    <w:rsid w:val="008E5419"/>
    <w:rsid w:val="0090084A"/>
    <w:rsid w:val="009151E2"/>
    <w:rsid w:val="00952535"/>
    <w:rsid w:val="00963062"/>
    <w:rsid w:val="009658E2"/>
    <w:rsid w:val="00986145"/>
    <w:rsid w:val="009A2E90"/>
    <w:rsid w:val="009A7CE7"/>
    <w:rsid w:val="009F4653"/>
    <w:rsid w:val="00A06FFD"/>
    <w:rsid w:val="00A72D76"/>
    <w:rsid w:val="00A74270"/>
    <w:rsid w:val="00AA5C18"/>
    <w:rsid w:val="00AB11CF"/>
    <w:rsid w:val="00AF73F8"/>
    <w:rsid w:val="00B10872"/>
    <w:rsid w:val="00B62BB5"/>
    <w:rsid w:val="00B65FAA"/>
    <w:rsid w:val="00B67284"/>
    <w:rsid w:val="00B70188"/>
    <w:rsid w:val="00B92A35"/>
    <w:rsid w:val="00B96F24"/>
    <w:rsid w:val="00BA456B"/>
    <w:rsid w:val="00BC6B65"/>
    <w:rsid w:val="00BF30FB"/>
    <w:rsid w:val="00C26A07"/>
    <w:rsid w:val="00C41E9C"/>
    <w:rsid w:val="00C636A4"/>
    <w:rsid w:val="00C72DB3"/>
    <w:rsid w:val="00C968C4"/>
    <w:rsid w:val="00CB714D"/>
    <w:rsid w:val="00CC513A"/>
    <w:rsid w:val="00CE1610"/>
    <w:rsid w:val="00CE33FA"/>
    <w:rsid w:val="00D02A91"/>
    <w:rsid w:val="00D1207C"/>
    <w:rsid w:val="00D12E87"/>
    <w:rsid w:val="00D24973"/>
    <w:rsid w:val="00D32B13"/>
    <w:rsid w:val="00D348FF"/>
    <w:rsid w:val="00D46F53"/>
    <w:rsid w:val="00D54FDD"/>
    <w:rsid w:val="00D86DF3"/>
    <w:rsid w:val="00D958CF"/>
    <w:rsid w:val="00DA3DDB"/>
    <w:rsid w:val="00DB7ED7"/>
    <w:rsid w:val="00E263F1"/>
    <w:rsid w:val="00E92992"/>
    <w:rsid w:val="00EA1B63"/>
    <w:rsid w:val="00EB65A3"/>
    <w:rsid w:val="00EC3E59"/>
    <w:rsid w:val="00EC4391"/>
    <w:rsid w:val="00ED3AC5"/>
    <w:rsid w:val="00F355D6"/>
    <w:rsid w:val="00F57B6C"/>
    <w:rsid w:val="00F70897"/>
    <w:rsid w:val="00FA0D48"/>
    <w:rsid w:val="00FA4F72"/>
    <w:rsid w:val="00FA737D"/>
    <w:rsid w:val="00FC221D"/>
    <w:rsid w:val="00FC4BEF"/>
    <w:rsid w:val="00FF03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1"/>
  </w:style>
  <w:style w:type="paragraph" w:styleId="Heading2">
    <w:name w:val="heading 2"/>
    <w:basedOn w:val="Normal"/>
    <w:link w:val="Heading2Char"/>
    <w:uiPriority w:val="9"/>
    <w:qFormat/>
    <w:rsid w:val="000265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02A91"/>
    <w:rPr>
      <w:vertAlign w:val="superscript"/>
    </w:rPr>
  </w:style>
  <w:style w:type="paragraph" w:styleId="FootnoteText">
    <w:name w:val="footnote text"/>
    <w:basedOn w:val="Normal"/>
    <w:link w:val="FootnoteTextChar"/>
    <w:semiHidden/>
    <w:rsid w:val="00D02A9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02A91"/>
    <w:rPr>
      <w:rFonts w:ascii="Times New Roman" w:eastAsia="Times New Roman" w:hAnsi="Times New Roman" w:cs="Times New Roman"/>
      <w:sz w:val="20"/>
      <w:szCs w:val="20"/>
      <w:lang w:eastAsia="en-GB"/>
    </w:rPr>
  </w:style>
  <w:style w:type="paragraph" w:styleId="Header">
    <w:name w:val="header"/>
    <w:basedOn w:val="Normal"/>
    <w:link w:val="HeaderChar"/>
    <w:uiPriority w:val="99"/>
    <w:semiHidden/>
    <w:unhideWhenUsed/>
    <w:rsid w:val="007030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30D5"/>
  </w:style>
  <w:style w:type="paragraph" w:styleId="Footer">
    <w:name w:val="footer"/>
    <w:basedOn w:val="Normal"/>
    <w:link w:val="FooterChar"/>
    <w:uiPriority w:val="99"/>
    <w:unhideWhenUsed/>
    <w:rsid w:val="0070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D5"/>
  </w:style>
  <w:style w:type="paragraph" w:styleId="BalloonText">
    <w:name w:val="Balloon Text"/>
    <w:basedOn w:val="Normal"/>
    <w:link w:val="BalloonTextChar"/>
    <w:uiPriority w:val="99"/>
    <w:semiHidden/>
    <w:unhideWhenUsed/>
    <w:rsid w:val="000D1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CB"/>
    <w:rPr>
      <w:rFonts w:ascii="Segoe UI" w:hAnsi="Segoe UI" w:cs="Segoe UI"/>
      <w:sz w:val="18"/>
      <w:szCs w:val="18"/>
    </w:rPr>
  </w:style>
  <w:style w:type="character" w:styleId="CommentReference">
    <w:name w:val="annotation reference"/>
    <w:basedOn w:val="DefaultParagraphFont"/>
    <w:uiPriority w:val="99"/>
    <w:semiHidden/>
    <w:unhideWhenUsed/>
    <w:rsid w:val="00986145"/>
    <w:rPr>
      <w:sz w:val="16"/>
      <w:szCs w:val="16"/>
    </w:rPr>
  </w:style>
  <w:style w:type="paragraph" w:styleId="CommentText">
    <w:name w:val="annotation text"/>
    <w:basedOn w:val="Normal"/>
    <w:link w:val="CommentTextChar"/>
    <w:uiPriority w:val="99"/>
    <w:semiHidden/>
    <w:unhideWhenUsed/>
    <w:rsid w:val="00986145"/>
    <w:pPr>
      <w:spacing w:line="240" w:lineRule="auto"/>
    </w:pPr>
    <w:rPr>
      <w:sz w:val="20"/>
      <w:szCs w:val="20"/>
    </w:rPr>
  </w:style>
  <w:style w:type="character" w:customStyle="1" w:styleId="CommentTextChar">
    <w:name w:val="Comment Text Char"/>
    <w:basedOn w:val="DefaultParagraphFont"/>
    <w:link w:val="CommentText"/>
    <w:uiPriority w:val="99"/>
    <w:semiHidden/>
    <w:rsid w:val="00986145"/>
    <w:rPr>
      <w:sz w:val="20"/>
      <w:szCs w:val="20"/>
    </w:rPr>
  </w:style>
  <w:style w:type="paragraph" w:styleId="CommentSubject">
    <w:name w:val="annotation subject"/>
    <w:basedOn w:val="CommentText"/>
    <w:next w:val="CommentText"/>
    <w:link w:val="CommentSubjectChar"/>
    <w:uiPriority w:val="99"/>
    <w:semiHidden/>
    <w:unhideWhenUsed/>
    <w:rsid w:val="00986145"/>
    <w:rPr>
      <w:b/>
      <w:bCs/>
    </w:rPr>
  </w:style>
  <w:style w:type="character" w:customStyle="1" w:styleId="CommentSubjectChar">
    <w:name w:val="Comment Subject Char"/>
    <w:basedOn w:val="CommentTextChar"/>
    <w:link w:val="CommentSubject"/>
    <w:uiPriority w:val="99"/>
    <w:semiHidden/>
    <w:rsid w:val="00986145"/>
    <w:rPr>
      <w:b/>
      <w:bCs/>
      <w:sz w:val="20"/>
      <w:szCs w:val="20"/>
    </w:rPr>
  </w:style>
  <w:style w:type="paragraph" w:styleId="ListParagraph">
    <w:name w:val="List Paragraph"/>
    <w:basedOn w:val="Normal"/>
    <w:uiPriority w:val="34"/>
    <w:qFormat/>
    <w:rsid w:val="003F1CC9"/>
    <w:pPr>
      <w:ind w:left="720"/>
      <w:contextualSpacing/>
    </w:pPr>
  </w:style>
  <w:style w:type="character" w:styleId="Emphasis">
    <w:name w:val="Emphasis"/>
    <w:basedOn w:val="DefaultParagraphFont"/>
    <w:uiPriority w:val="20"/>
    <w:qFormat/>
    <w:rsid w:val="00132760"/>
    <w:rPr>
      <w:i/>
      <w:iCs/>
    </w:rPr>
  </w:style>
  <w:style w:type="character" w:styleId="Hyperlink">
    <w:name w:val="Hyperlink"/>
    <w:basedOn w:val="DefaultParagraphFont"/>
    <w:uiPriority w:val="99"/>
    <w:unhideWhenUsed/>
    <w:rsid w:val="00132760"/>
    <w:rPr>
      <w:color w:val="0000FF" w:themeColor="hyperlink"/>
      <w:u w:val="single"/>
    </w:rPr>
  </w:style>
  <w:style w:type="character" w:customStyle="1" w:styleId="Heading2Char">
    <w:name w:val="Heading 2 Char"/>
    <w:basedOn w:val="DefaultParagraphFont"/>
    <w:link w:val="Heading2"/>
    <w:uiPriority w:val="9"/>
    <w:rsid w:val="000265BC"/>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2115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countryside-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FF88-67B6-4BF5-8C0B-BD07304D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9302</Words>
  <Characters>50330</Characters>
  <Application>Microsoft Office Word</Application>
  <DocSecurity>0</DocSecurity>
  <Lines>708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McMurtry</dc:creator>
  <cp:lastModifiedBy>Lara McMurtry</cp:lastModifiedBy>
  <cp:revision>5</cp:revision>
  <cp:lastPrinted>2019-11-30T14:28:00Z</cp:lastPrinted>
  <dcterms:created xsi:type="dcterms:W3CDTF">2019-11-30T16:24:00Z</dcterms:created>
  <dcterms:modified xsi:type="dcterms:W3CDTF">2019-12-06T10:25:00Z</dcterms:modified>
</cp:coreProperties>
</file>