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CCCD7" w14:textId="75B9AA19" w:rsidR="00F80FFD" w:rsidRPr="00F80FFD" w:rsidRDefault="003207F0" w:rsidP="001D7870">
      <w:pPr>
        <w:spacing w:line="360" w:lineRule="auto"/>
        <w:outlineLvl w:val="0"/>
        <w:rPr>
          <w:rFonts w:ascii="Times New Roman" w:hAnsi="Times New Roman" w:cs="Times New Roman"/>
          <w:b/>
          <w:lang w:val="en-US"/>
        </w:rPr>
      </w:pPr>
      <w:bookmarkStart w:id="0" w:name="_GoBack"/>
      <w:bookmarkEnd w:id="0"/>
      <w:r w:rsidRPr="003207F0">
        <w:rPr>
          <w:rFonts w:ascii="Times New Roman" w:hAnsi="Times New Roman" w:cs="Times New Roman"/>
          <w:b/>
          <w:lang w:val="en-US"/>
        </w:rPr>
        <w:t>Uns</w:t>
      </w:r>
      <w:r w:rsidR="00E01192">
        <w:rPr>
          <w:rFonts w:ascii="Times New Roman" w:hAnsi="Times New Roman" w:cs="Times New Roman"/>
          <w:b/>
          <w:lang w:val="en-US"/>
        </w:rPr>
        <w:t>poken</w:t>
      </w:r>
      <w:r w:rsidRPr="003207F0">
        <w:rPr>
          <w:rFonts w:ascii="Times New Roman" w:hAnsi="Times New Roman" w:cs="Times New Roman"/>
          <w:b/>
          <w:lang w:val="en-US"/>
        </w:rPr>
        <w:t xml:space="preserve"> and U</w:t>
      </w:r>
      <w:r w:rsidR="00EA164E">
        <w:rPr>
          <w:rFonts w:ascii="Times New Roman" w:hAnsi="Times New Roman" w:cs="Times New Roman"/>
          <w:b/>
          <w:lang w:val="en-US"/>
        </w:rPr>
        <w:t>nthinkable</w:t>
      </w:r>
      <w:r w:rsidR="00F80FFD" w:rsidRPr="003207F0">
        <w:rPr>
          <w:rFonts w:ascii="Times New Roman" w:hAnsi="Times New Roman" w:cs="Times New Roman"/>
          <w:b/>
          <w:lang w:val="en-US"/>
        </w:rPr>
        <w:t>: T</w:t>
      </w:r>
      <w:r w:rsidR="003509B3">
        <w:rPr>
          <w:rFonts w:ascii="Times New Roman" w:hAnsi="Times New Roman" w:cs="Times New Roman"/>
          <w:b/>
          <w:lang w:val="en-US"/>
        </w:rPr>
        <w:t>he Older Disabled Body in Judicial Discourse</w:t>
      </w:r>
    </w:p>
    <w:p w14:paraId="0EDB203C" w14:textId="77777777" w:rsidR="00F43A66" w:rsidRPr="005F6EC3" w:rsidRDefault="00F43A66" w:rsidP="00F43A66">
      <w:pPr>
        <w:spacing w:line="360" w:lineRule="auto"/>
        <w:rPr>
          <w:rFonts w:ascii="Times New Roman" w:hAnsi="Times New Roman" w:cs="Times New Roman"/>
          <w:b/>
        </w:rPr>
      </w:pPr>
    </w:p>
    <w:p w14:paraId="07706642" w14:textId="0F309061" w:rsidR="00F615E8" w:rsidRPr="00F80FFD" w:rsidRDefault="00F43A66" w:rsidP="00F80FFD">
      <w:pPr>
        <w:spacing w:line="360" w:lineRule="auto"/>
        <w:jc w:val="both"/>
        <w:rPr>
          <w:rFonts w:ascii="Times New Roman" w:hAnsi="Times New Roman"/>
        </w:rPr>
      </w:pPr>
      <w:r>
        <w:rPr>
          <w:rFonts w:ascii="Times New Roman" w:hAnsi="Times New Roman" w:cs="Times New Roman"/>
          <w:b/>
        </w:rPr>
        <w:t>Abstract:</w:t>
      </w:r>
      <w:r w:rsidR="00501074">
        <w:rPr>
          <w:rFonts w:ascii="Times New Roman" w:hAnsi="Times New Roman" w:cs="Times New Roman"/>
          <w:b/>
        </w:rPr>
        <w:t xml:space="preserve"> </w:t>
      </w:r>
      <w:r w:rsidR="00501074">
        <w:rPr>
          <w:rFonts w:ascii="Times New Roman" w:hAnsi="Times New Roman" w:cs="Times New Roman"/>
        </w:rPr>
        <w:t>While much has been said about gendered bodies in legal discourse, as yet relatively little has been written about older bodies. This is surprising given the fact older people are statistically far more likely to be the subjects of certain areas of law</w:t>
      </w:r>
      <w:r w:rsidR="00A3192F">
        <w:rPr>
          <w:rFonts w:ascii="Times New Roman" w:hAnsi="Times New Roman" w:cs="Times New Roman"/>
        </w:rPr>
        <w:t xml:space="preserve"> which constrain and regulate bodily autonomy</w:t>
      </w:r>
      <w:r w:rsidR="00501074">
        <w:rPr>
          <w:rFonts w:ascii="Times New Roman" w:hAnsi="Times New Roman" w:cs="Times New Roman"/>
        </w:rPr>
        <w:t>, such as mental health and cap</w:t>
      </w:r>
      <w:r w:rsidR="00A3192F">
        <w:rPr>
          <w:rFonts w:ascii="Times New Roman" w:hAnsi="Times New Roman" w:cs="Times New Roman"/>
        </w:rPr>
        <w:t xml:space="preserve">acity law. </w:t>
      </w:r>
      <w:r w:rsidR="00501074">
        <w:rPr>
          <w:rFonts w:ascii="Times New Roman" w:hAnsi="Times New Roman" w:cs="Times New Roman"/>
        </w:rPr>
        <w:t xml:space="preserve">This discussion </w:t>
      </w:r>
      <w:r w:rsidR="00063E39">
        <w:rPr>
          <w:rFonts w:ascii="Times New Roman" w:hAnsi="Times New Roman" w:cs="Times New Roman"/>
        </w:rPr>
        <w:t>uses discourse analysis to understand</w:t>
      </w:r>
      <w:r w:rsidR="00501074">
        <w:rPr>
          <w:rFonts w:ascii="Times New Roman" w:hAnsi="Times New Roman" w:cs="Times New Roman"/>
        </w:rPr>
        <w:t xml:space="preserve"> </w:t>
      </w:r>
      <w:r w:rsidR="000234DD">
        <w:rPr>
          <w:rFonts w:ascii="Times New Roman" w:hAnsi="Times New Roman" w:cs="Times New Roman"/>
        </w:rPr>
        <w:t>the way in which</w:t>
      </w:r>
      <w:r w:rsidR="00501074">
        <w:rPr>
          <w:rFonts w:ascii="Times New Roman" w:hAnsi="Times New Roman" w:cs="Times New Roman"/>
        </w:rPr>
        <w:t xml:space="preserve"> older</w:t>
      </w:r>
      <w:r w:rsidR="000234DD">
        <w:rPr>
          <w:rFonts w:ascii="Times New Roman" w:hAnsi="Times New Roman" w:cs="Times New Roman"/>
        </w:rPr>
        <w:t xml:space="preserve"> disabled</w:t>
      </w:r>
      <w:r w:rsidR="00501074">
        <w:rPr>
          <w:rFonts w:ascii="Times New Roman" w:hAnsi="Times New Roman" w:cs="Times New Roman"/>
        </w:rPr>
        <w:t xml:space="preserve"> bodies appear in judicial discourse</w:t>
      </w:r>
      <w:r w:rsidR="000234DD">
        <w:rPr>
          <w:rFonts w:ascii="Times New Roman" w:hAnsi="Times New Roman" w:cs="Times New Roman"/>
        </w:rPr>
        <w:t xml:space="preserve">. It is argued that </w:t>
      </w:r>
      <w:r w:rsidR="00E83413">
        <w:rPr>
          <w:rFonts w:ascii="Times New Roman" w:hAnsi="Times New Roman" w:cs="Times New Roman"/>
        </w:rPr>
        <w:t>these</w:t>
      </w:r>
      <w:r w:rsidR="000234DD">
        <w:rPr>
          <w:rFonts w:ascii="Times New Roman" w:hAnsi="Times New Roman" w:cs="Times New Roman"/>
        </w:rPr>
        <w:t xml:space="preserve"> bodies are often understood</w:t>
      </w:r>
      <w:r w:rsidR="00063E39">
        <w:rPr>
          <w:rFonts w:ascii="Times New Roman" w:hAnsi="Times New Roman" w:cs="Times New Roman"/>
        </w:rPr>
        <w:t xml:space="preserve"> as abject, which in turn is</w:t>
      </w:r>
      <w:r w:rsidR="00501074">
        <w:rPr>
          <w:rFonts w:ascii="Times New Roman" w:hAnsi="Times New Roman" w:cs="Times New Roman"/>
        </w:rPr>
        <w:t xml:space="preserve"> used to legitimise certain</w:t>
      </w:r>
      <w:r w:rsidR="002F30E1">
        <w:rPr>
          <w:rFonts w:ascii="Times New Roman" w:hAnsi="Times New Roman" w:cs="Times New Roman"/>
        </w:rPr>
        <w:t xml:space="preserve"> problematic</w:t>
      </w:r>
      <w:r w:rsidR="00501074">
        <w:rPr>
          <w:rFonts w:ascii="Times New Roman" w:hAnsi="Times New Roman" w:cs="Times New Roman"/>
        </w:rPr>
        <w:t xml:space="preserve"> legal interventions. </w:t>
      </w:r>
    </w:p>
    <w:p w14:paraId="7E0F97E3" w14:textId="77777777" w:rsidR="00F615E8" w:rsidRDefault="00F615E8" w:rsidP="00F43A66">
      <w:pPr>
        <w:spacing w:line="360" w:lineRule="auto"/>
        <w:rPr>
          <w:rFonts w:ascii="Times New Roman" w:hAnsi="Times New Roman" w:cs="Times New Roman"/>
          <w:b/>
        </w:rPr>
      </w:pPr>
    </w:p>
    <w:p w14:paraId="3742DC39" w14:textId="77777777" w:rsidR="00F43A66" w:rsidRDefault="007823F3" w:rsidP="001D7870">
      <w:pPr>
        <w:spacing w:line="360" w:lineRule="auto"/>
        <w:outlineLvl w:val="0"/>
        <w:rPr>
          <w:rFonts w:ascii="Times New Roman" w:hAnsi="Times New Roman" w:cs="Times New Roman"/>
        </w:rPr>
      </w:pPr>
      <w:r w:rsidRPr="002A7662">
        <w:rPr>
          <w:rFonts w:ascii="Times New Roman" w:hAnsi="Times New Roman" w:cs="Times New Roman"/>
          <w:b/>
        </w:rPr>
        <w:t xml:space="preserve">Keywords: </w:t>
      </w:r>
      <w:r w:rsidR="00DC1B82" w:rsidRPr="00DC1B82">
        <w:rPr>
          <w:rFonts w:ascii="Times New Roman" w:hAnsi="Times New Roman" w:cs="Times New Roman"/>
        </w:rPr>
        <w:t>abjection; ageing; bodies;</w:t>
      </w:r>
      <w:r w:rsidR="003D6A84">
        <w:rPr>
          <w:rFonts w:ascii="Times New Roman" w:hAnsi="Times New Roman" w:cs="Times New Roman"/>
        </w:rPr>
        <w:t xml:space="preserve"> discourse analysis;</w:t>
      </w:r>
      <w:r w:rsidR="00DC1B82" w:rsidRPr="00DC1B82">
        <w:rPr>
          <w:rFonts w:ascii="Times New Roman" w:hAnsi="Times New Roman" w:cs="Times New Roman"/>
        </w:rPr>
        <w:t xml:space="preserve"> old age; mental capacity</w:t>
      </w:r>
    </w:p>
    <w:p w14:paraId="1B073AD2" w14:textId="77777777" w:rsidR="00DC1B82" w:rsidRPr="005F6EC3" w:rsidRDefault="00DC1B82" w:rsidP="00F43A66">
      <w:pPr>
        <w:spacing w:line="360" w:lineRule="auto"/>
        <w:rPr>
          <w:rFonts w:ascii="Times New Roman" w:hAnsi="Times New Roman" w:cs="Times New Roman"/>
          <w:b/>
        </w:rPr>
      </w:pPr>
    </w:p>
    <w:p w14:paraId="7F684208" w14:textId="77777777" w:rsidR="00250CC2" w:rsidRDefault="0093406F" w:rsidP="001D7870">
      <w:pPr>
        <w:spacing w:line="360" w:lineRule="auto"/>
        <w:outlineLvl w:val="0"/>
        <w:rPr>
          <w:rFonts w:ascii="Times New Roman" w:hAnsi="Times New Roman" w:cs="Times New Roman"/>
          <w:b/>
        </w:rPr>
      </w:pPr>
      <w:r>
        <w:rPr>
          <w:rFonts w:ascii="Times New Roman" w:hAnsi="Times New Roman" w:cs="Times New Roman"/>
          <w:b/>
        </w:rPr>
        <w:t xml:space="preserve">1. </w:t>
      </w:r>
      <w:r w:rsidR="00250CC2" w:rsidRPr="005F6EC3">
        <w:rPr>
          <w:rFonts w:ascii="Times New Roman" w:hAnsi="Times New Roman" w:cs="Times New Roman"/>
          <w:b/>
        </w:rPr>
        <w:t>Introduction</w:t>
      </w:r>
    </w:p>
    <w:p w14:paraId="5DBA3280" w14:textId="1EAB1FD2" w:rsidR="006719AC" w:rsidRDefault="005353F9" w:rsidP="00B37874">
      <w:pPr>
        <w:spacing w:line="360" w:lineRule="auto"/>
        <w:jc w:val="both"/>
        <w:rPr>
          <w:rFonts w:ascii="Times New Roman" w:hAnsi="Times New Roman" w:cs="Times New Roman"/>
        </w:rPr>
      </w:pPr>
      <w:r>
        <w:rPr>
          <w:rFonts w:ascii="Times New Roman" w:hAnsi="Times New Roman" w:cs="Times New Roman"/>
        </w:rPr>
        <w:t>Much has been</w:t>
      </w:r>
      <w:r w:rsidR="00DE5723">
        <w:rPr>
          <w:rFonts w:ascii="Times New Roman" w:hAnsi="Times New Roman" w:cs="Times New Roman"/>
        </w:rPr>
        <w:t xml:space="preserve"> and, indeed, continues to be written </w:t>
      </w:r>
      <w:r>
        <w:rPr>
          <w:rFonts w:ascii="Times New Roman" w:hAnsi="Times New Roman" w:cs="Times New Roman"/>
        </w:rPr>
        <w:t xml:space="preserve">about the </w:t>
      </w:r>
      <w:r w:rsidR="00610416">
        <w:rPr>
          <w:rFonts w:ascii="Times New Roman" w:hAnsi="Times New Roman" w:cs="Times New Roman"/>
        </w:rPr>
        <w:t xml:space="preserve">law and </w:t>
      </w:r>
      <w:r w:rsidR="005222AA">
        <w:rPr>
          <w:rFonts w:ascii="Times New Roman" w:hAnsi="Times New Roman" w:cs="Times New Roman"/>
        </w:rPr>
        <w:t xml:space="preserve">how it interacts with the </w:t>
      </w:r>
      <w:r>
        <w:rPr>
          <w:rFonts w:ascii="Times New Roman" w:hAnsi="Times New Roman" w:cs="Times New Roman"/>
        </w:rPr>
        <w:t>sexed</w:t>
      </w:r>
      <w:r w:rsidR="005222AA">
        <w:rPr>
          <w:rFonts w:ascii="Times New Roman" w:hAnsi="Times New Roman" w:cs="Times New Roman"/>
        </w:rPr>
        <w:t xml:space="preserve"> or gendered</w:t>
      </w:r>
      <w:r w:rsidR="00200FF5">
        <w:rPr>
          <w:rFonts w:ascii="Times New Roman" w:hAnsi="Times New Roman" w:cs="Times New Roman"/>
        </w:rPr>
        <w:t xml:space="preserve"> body.</w:t>
      </w:r>
      <w:r w:rsidR="00505045">
        <w:rPr>
          <w:rStyle w:val="FootnoteReference"/>
          <w:rFonts w:ascii="Times New Roman" w:hAnsi="Times New Roman" w:cs="Times New Roman"/>
        </w:rPr>
        <w:footnoteReference w:id="2"/>
      </w:r>
      <w:r w:rsidR="00200FF5">
        <w:rPr>
          <w:rFonts w:ascii="Times New Roman" w:hAnsi="Times New Roman" w:cs="Times New Roman"/>
        </w:rPr>
        <w:t xml:space="preserve"> </w:t>
      </w:r>
      <w:r w:rsidR="00DE5723">
        <w:rPr>
          <w:rFonts w:ascii="Times New Roman" w:hAnsi="Times New Roman" w:cs="Times New Roman"/>
        </w:rPr>
        <w:t>T</w:t>
      </w:r>
      <w:r w:rsidR="005222AA" w:rsidRPr="006719AC">
        <w:rPr>
          <w:rFonts w:ascii="Times New Roman" w:hAnsi="Times New Roman" w:cs="Times New Roman"/>
        </w:rPr>
        <w:t>his special issue</w:t>
      </w:r>
      <w:r w:rsidR="007806EB">
        <w:rPr>
          <w:rFonts w:ascii="Times New Roman" w:hAnsi="Times New Roman" w:cs="Times New Roman"/>
        </w:rPr>
        <w:t xml:space="preserve"> itself is testament</w:t>
      </w:r>
      <w:r w:rsidR="005222AA" w:rsidRPr="006719AC">
        <w:rPr>
          <w:rFonts w:ascii="Times New Roman" w:hAnsi="Times New Roman" w:cs="Times New Roman"/>
        </w:rPr>
        <w:t xml:space="preserve"> to the depth of analysis that a ‘gender’ lens add</w:t>
      </w:r>
      <w:r w:rsidR="00522FCE">
        <w:rPr>
          <w:rFonts w:ascii="Times New Roman" w:hAnsi="Times New Roman" w:cs="Times New Roman"/>
        </w:rPr>
        <w:t>s</w:t>
      </w:r>
      <w:r w:rsidR="005222AA" w:rsidRPr="006719AC">
        <w:rPr>
          <w:rFonts w:ascii="Times New Roman" w:hAnsi="Times New Roman" w:cs="Times New Roman"/>
        </w:rPr>
        <w:t xml:space="preserve"> to discussions about legal regulation</w:t>
      </w:r>
      <w:r w:rsidR="008245C8">
        <w:rPr>
          <w:rFonts w:ascii="Times New Roman" w:hAnsi="Times New Roman" w:cs="Times New Roman"/>
        </w:rPr>
        <w:t>,</w:t>
      </w:r>
      <w:r w:rsidR="005222AA" w:rsidRPr="006719AC">
        <w:rPr>
          <w:rFonts w:ascii="Times New Roman" w:hAnsi="Times New Roman" w:cs="Times New Roman"/>
        </w:rPr>
        <w:t xml:space="preserve"> or lack thereof. B</w:t>
      </w:r>
      <w:r w:rsidRPr="006719AC">
        <w:rPr>
          <w:rFonts w:ascii="Times New Roman" w:hAnsi="Times New Roman" w:cs="Times New Roman"/>
        </w:rPr>
        <w:t>ut what of the aged body?</w:t>
      </w:r>
      <w:r w:rsidR="005222AA">
        <w:rPr>
          <w:rFonts w:ascii="Times New Roman" w:hAnsi="Times New Roman" w:cs="Times New Roman"/>
        </w:rPr>
        <w:t xml:space="preserve"> </w:t>
      </w:r>
      <w:r w:rsidR="005222AA" w:rsidRPr="005222AA">
        <w:rPr>
          <w:rFonts w:ascii="Times New Roman" w:hAnsi="Times New Roman" w:cs="Times New Roman"/>
          <w:lang w:val="en-US"/>
        </w:rPr>
        <w:t xml:space="preserve">As Newdick wrote in 1996, </w:t>
      </w:r>
      <w:r w:rsidR="006719AC">
        <w:rPr>
          <w:rFonts w:ascii="Times New Roman" w:hAnsi="Times New Roman" w:cs="Times New Roman"/>
          <w:lang w:val="en-US"/>
        </w:rPr>
        <w:t>‘</w:t>
      </w:r>
      <w:r w:rsidR="005222AA" w:rsidRPr="005222AA">
        <w:rPr>
          <w:rFonts w:ascii="Times New Roman" w:hAnsi="Times New Roman" w:cs="Times New Roman"/>
          <w:lang w:val="en-US"/>
        </w:rPr>
        <w:t>“[t]he elderly”</w:t>
      </w:r>
      <w:r w:rsidR="00B37874">
        <w:rPr>
          <w:rFonts w:ascii="Times New Roman" w:hAnsi="Times New Roman" w:cs="Times New Roman"/>
          <w:lang w:val="en-US"/>
        </w:rPr>
        <w:t xml:space="preserve"> </w:t>
      </w:r>
      <w:r w:rsidR="005222AA" w:rsidRPr="005222AA">
        <w:rPr>
          <w:rFonts w:ascii="Times New Roman" w:hAnsi="Times New Roman" w:cs="Times New Roman"/>
          <w:lang w:val="en-US"/>
        </w:rPr>
        <w:t>have never commanded</w:t>
      </w:r>
      <w:r w:rsidR="00B37874">
        <w:rPr>
          <w:rFonts w:ascii="Times New Roman" w:hAnsi="Times New Roman" w:cs="Times New Roman"/>
          <w:lang w:val="en-US"/>
        </w:rPr>
        <w:t xml:space="preserve"> sufficient political attention’ (Newdick, 1996, 146). It may be just as easy to </w:t>
      </w:r>
      <w:r w:rsidR="00522FCE">
        <w:rPr>
          <w:rFonts w:ascii="Times New Roman" w:hAnsi="Times New Roman" w:cs="Times New Roman"/>
          <w:lang w:val="en-US"/>
        </w:rPr>
        <w:t>substitute the word ‘legal</w:t>
      </w:r>
      <w:r w:rsidR="00B37874">
        <w:rPr>
          <w:rFonts w:ascii="Times New Roman" w:hAnsi="Times New Roman" w:cs="Times New Roman"/>
          <w:lang w:val="en-US"/>
        </w:rPr>
        <w:t>’ for the word ‘</w:t>
      </w:r>
      <w:r w:rsidR="00522FCE">
        <w:rPr>
          <w:rFonts w:ascii="Times New Roman" w:hAnsi="Times New Roman" w:cs="Times New Roman"/>
          <w:lang w:val="en-US"/>
        </w:rPr>
        <w:t>political</w:t>
      </w:r>
      <w:r w:rsidR="006719AC">
        <w:rPr>
          <w:rFonts w:ascii="Times New Roman" w:hAnsi="Times New Roman" w:cs="Times New Roman"/>
          <w:lang w:val="en-US"/>
        </w:rPr>
        <w:t xml:space="preserve">’ in Newdick’s assertion; </w:t>
      </w:r>
      <w:r w:rsidR="00B37874" w:rsidRPr="00B37874">
        <w:rPr>
          <w:rFonts w:ascii="Times New Roman" w:hAnsi="Times New Roman" w:cs="Times New Roman"/>
          <w:lang w:val="en-US"/>
        </w:rPr>
        <w:t>the elderly</w:t>
      </w:r>
      <w:r w:rsidR="0050587C">
        <w:rPr>
          <w:rStyle w:val="FootnoteReference"/>
          <w:rFonts w:ascii="Times New Roman" w:hAnsi="Times New Roman" w:cs="Times New Roman"/>
          <w:lang w:val="en-US"/>
        </w:rPr>
        <w:footnoteReference w:id="3"/>
      </w:r>
      <w:r w:rsidR="00B37874" w:rsidRPr="00B37874">
        <w:rPr>
          <w:rFonts w:ascii="Times New Roman" w:hAnsi="Times New Roman" w:cs="Times New Roman"/>
          <w:lang w:val="en-US"/>
        </w:rPr>
        <w:t xml:space="preserve"> have</w:t>
      </w:r>
      <w:r w:rsidR="006719AC">
        <w:rPr>
          <w:rFonts w:ascii="Times New Roman" w:hAnsi="Times New Roman" w:cs="Times New Roman"/>
          <w:lang w:val="en-US"/>
        </w:rPr>
        <w:t xml:space="preserve"> </w:t>
      </w:r>
      <w:r w:rsidR="00B37874" w:rsidRPr="00B37874">
        <w:rPr>
          <w:rFonts w:ascii="Times New Roman" w:hAnsi="Times New Roman" w:cs="Times New Roman"/>
          <w:lang w:val="en-US"/>
        </w:rPr>
        <w:t>never commanded sufficient legal attention.</w:t>
      </w:r>
      <w:r>
        <w:rPr>
          <w:rFonts w:ascii="Times New Roman" w:hAnsi="Times New Roman" w:cs="Times New Roman"/>
        </w:rPr>
        <w:t xml:space="preserve"> </w:t>
      </w:r>
      <w:r w:rsidR="00E87B5F">
        <w:rPr>
          <w:rFonts w:ascii="Times New Roman" w:hAnsi="Times New Roman" w:cs="Times New Roman"/>
        </w:rPr>
        <w:t>Wh</w:t>
      </w:r>
      <w:r w:rsidR="006719AC">
        <w:rPr>
          <w:rFonts w:ascii="Times New Roman" w:hAnsi="Times New Roman" w:cs="Times New Roman"/>
        </w:rPr>
        <w:t>ere discussion</w:t>
      </w:r>
      <w:r w:rsidR="00E87B5F">
        <w:rPr>
          <w:rFonts w:ascii="Times New Roman" w:hAnsi="Times New Roman" w:cs="Times New Roman"/>
        </w:rPr>
        <w:t xml:space="preserve"> about the law and its</w:t>
      </w:r>
      <w:r w:rsidR="006719AC">
        <w:rPr>
          <w:rFonts w:ascii="Times New Roman" w:hAnsi="Times New Roman" w:cs="Times New Roman"/>
        </w:rPr>
        <w:t xml:space="preserve"> application to older adults </w:t>
      </w:r>
      <w:r w:rsidR="006719AC" w:rsidRPr="00F87B52">
        <w:rPr>
          <w:rFonts w:ascii="Times New Roman" w:hAnsi="Times New Roman" w:cs="Times New Roman"/>
          <w:i/>
        </w:rPr>
        <w:t>has</w:t>
      </w:r>
      <w:r w:rsidR="00E87B5F">
        <w:rPr>
          <w:rFonts w:ascii="Times New Roman" w:hAnsi="Times New Roman" w:cs="Times New Roman"/>
        </w:rPr>
        <w:t xml:space="preserve"> proliferated in recent years, such discussions have predominantly focussed on the </w:t>
      </w:r>
      <w:r w:rsidR="00E87B5F" w:rsidRPr="006719AC">
        <w:rPr>
          <w:rFonts w:ascii="Times New Roman" w:hAnsi="Times New Roman" w:cs="Times New Roman"/>
        </w:rPr>
        <w:t xml:space="preserve">substance </w:t>
      </w:r>
      <w:r w:rsidR="00E87B5F">
        <w:rPr>
          <w:rFonts w:ascii="Times New Roman" w:hAnsi="Times New Roman" w:cs="Times New Roman"/>
        </w:rPr>
        <w:t xml:space="preserve">of </w:t>
      </w:r>
      <w:r w:rsidR="006719AC">
        <w:rPr>
          <w:rFonts w:ascii="Times New Roman" w:hAnsi="Times New Roman" w:cs="Times New Roman"/>
        </w:rPr>
        <w:t xml:space="preserve">particular areas of </w:t>
      </w:r>
      <w:r w:rsidR="00E87B5F">
        <w:rPr>
          <w:rFonts w:ascii="Times New Roman" w:hAnsi="Times New Roman" w:cs="Times New Roman"/>
        </w:rPr>
        <w:t>law</w:t>
      </w:r>
      <w:r w:rsidR="004B723A">
        <w:rPr>
          <w:rFonts w:ascii="Times New Roman" w:hAnsi="Times New Roman" w:cs="Times New Roman"/>
        </w:rPr>
        <w:t xml:space="preserve">; </w:t>
      </w:r>
      <w:r w:rsidR="00E87B5F">
        <w:rPr>
          <w:rFonts w:ascii="Times New Roman" w:hAnsi="Times New Roman" w:cs="Times New Roman"/>
        </w:rPr>
        <w:t>for example</w:t>
      </w:r>
      <w:r w:rsidR="00522FCE">
        <w:rPr>
          <w:rFonts w:ascii="Times New Roman" w:hAnsi="Times New Roman" w:cs="Times New Roman"/>
        </w:rPr>
        <w:t>,</w:t>
      </w:r>
      <w:r w:rsidR="00E87B5F">
        <w:rPr>
          <w:rFonts w:ascii="Times New Roman" w:hAnsi="Times New Roman" w:cs="Times New Roman"/>
        </w:rPr>
        <w:t xml:space="preserve"> mental disability law (Herring</w:t>
      </w:r>
      <w:r w:rsidR="002C1410">
        <w:rPr>
          <w:rFonts w:ascii="Times New Roman" w:hAnsi="Times New Roman" w:cs="Times New Roman"/>
        </w:rPr>
        <w:t>, 2009; Pritchard-Jones, 2016a) and</w:t>
      </w:r>
      <w:r w:rsidR="00E87B5F">
        <w:rPr>
          <w:rFonts w:ascii="Times New Roman" w:hAnsi="Times New Roman" w:cs="Times New Roman"/>
        </w:rPr>
        <w:t xml:space="preserve"> human rights law (</w:t>
      </w:r>
      <w:r w:rsidR="006719AC">
        <w:rPr>
          <w:rFonts w:ascii="Times New Roman" w:hAnsi="Times New Roman" w:cs="Times New Roman"/>
        </w:rPr>
        <w:t xml:space="preserve">Kanter, 2009; </w:t>
      </w:r>
      <w:r w:rsidR="00E87B5F">
        <w:rPr>
          <w:rFonts w:ascii="Times New Roman" w:hAnsi="Times New Roman" w:cs="Times New Roman"/>
        </w:rPr>
        <w:t>Clough and Brazier, 2014)</w:t>
      </w:r>
      <w:r w:rsidR="006719AC">
        <w:rPr>
          <w:rFonts w:ascii="Times New Roman" w:hAnsi="Times New Roman" w:cs="Times New Roman"/>
        </w:rPr>
        <w:t xml:space="preserve">, or how the law has been implemented in relation to older adults with particular </w:t>
      </w:r>
      <w:r w:rsidR="00B36018">
        <w:rPr>
          <w:rFonts w:ascii="Times New Roman" w:hAnsi="Times New Roman" w:cs="Times New Roman"/>
        </w:rPr>
        <w:t xml:space="preserve">mental </w:t>
      </w:r>
      <w:r w:rsidR="006719AC">
        <w:rPr>
          <w:rFonts w:ascii="Times New Roman" w:hAnsi="Times New Roman" w:cs="Times New Roman"/>
        </w:rPr>
        <w:t>disabilities</w:t>
      </w:r>
      <w:r w:rsidR="002C1410">
        <w:rPr>
          <w:rFonts w:ascii="Times New Roman" w:hAnsi="Times New Roman" w:cs="Times New Roman"/>
        </w:rPr>
        <w:t>,</w:t>
      </w:r>
      <w:r w:rsidR="006719AC">
        <w:rPr>
          <w:rFonts w:ascii="Times New Roman" w:hAnsi="Times New Roman" w:cs="Times New Roman"/>
        </w:rPr>
        <w:t xml:space="preserve"> such as dementia (</w:t>
      </w:r>
      <w:r w:rsidR="006D3F0A">
        <w:rPr>
          <w:rFonts w:ascii="Times New Roman" w:hAnsi="Times New Roman" w:cs="Times New Roman"/>
        </w:rPr>
        <w:t xml:space="preserve">Harding, 2012; </w:t>
      </w:r>
      <w:r w:rsidR="006719AC">
        <w:rPr>
          <w:rFonts w:ascii="Times New Roman" w:hAnsi="Times New Roman" w:cs="Times New Roman"/>
        </w:rPr>
        <w:t>Pritchard-Jones, 2016b)</w:t>
      </w:r>
      <w:r w:rsidR="008F473D">
        <w:rPr>
          <w:rFonts w:ascii="Times New Roman" w:hAnsi="Times New Roman" w:cs="Times New Roman"/>
        </w:rPr>
        <w:t>.  Rarely has</w:t>
      </w:r>
      <w:r w:rsidR="006719AC">
        <w:rPr>
          <w:rFonts w:ascii="Times New Roman" w:hAnsi="Times New Roman" w:cs="Times New Roman"/>
        </w:rPr>
        <w:t xml:space="preserve"> academic discussion </w:t>
      </w:r>
      <w:r w:rsidR="008F473D">
        <w:rPr>
          <w:rFonts w:ascii="Times New Roman" w:hAnsi="Times New Roman" w:cs="Times New Roman"/>
        </w:rPr>
        <w:t xml:space="preserve">about </w:t>
      </w:r>
      <w:r w:rsidR="002C1410">
        <w:rPr>
          <w:rFonts w:ascii="Times New Roman" w:hAnsi="Times New Roman" w:cs="Times New Roman"/>
        </w:rPr>
        <w:t>old</w:t>
      </w:r>
      <w:r w:rsidR="006719AC">
        <w:rPr>
          <w:rFonts w:ascii="Times New Roman" w:hAnsi="Times New Roman" w:cs="Times New Roman"/>
        </w:rPr>
        <w:t xml:space="preserve"> age and the law focussed on bodies. This is surprising, because as Keywood notes, bodies are the very ‘stuff’ of law (Keywood, 2000, 319). </w:t>
      </w:r>
      <w:r w:rsidR="00A06E20">
        <w:rPr>
          <w:rFonts w:ascii="Times New Roman" w:hAnsi="Times New Roman" w:cs="Times New Roman"/>
        </w:rPr>
        <w:t>Nowhere</w:t>
      </w:r>
      <w:r w:rsidR="006719AC">
        <w:rPr>
          <w:rFonts w:ascii="Times New Roman" w:hAnsi="Times New Roman" w:cs="Times New Roman"/>
        </w:rPr>
        <w:t xml:space="preserve"> is this more pronounced than in the case of older adults</w:t>
      </w:r>
      <w:r w:rsidR="00C64C59">
        <w:rPr>
          <w:rFonts w:ascii="Times New Roman" w:hAnsi="Times New Roman" w:cs="Times New Roman"/>
        </w:rPr>
        <w:t>, or</w:t>
      </w:r>
      <w:r w:rsidR="00F87B52">
        <w:rPr>
          <w:rFonts w:ascii="Times New Roman" w:hAnsi="Times New Roman" w:cs="Times New Roman"/>
        </w:rPr>
        <w:t>, indeed,</w:t>
      </w:r>
      <w:r w:rsidR="00C64C59">
        <w:rPr>
          <w:rFonts w:ascii="Times New Roman" w:hAnsi="Times New Roman" w:cs="Times New Roman"/>
        </w:rPr>
        <w:t xml:space="preserve"> in the case of mental health </w:t>
      </w:r>
      <w:r w:rsidR="00F87B52">
        <w:rPr>
          <w:rFonts w:ascii="Times New Roman" w:hAnsi="Times New Roman" w:cs="Times New Roman"/>
        </w:rPr>
        <w:t xml:space="preserve">and capacity </w:t>
      </w:r>
      <w:r w:rsidR="00C64C59">
        <w:rPr>
          <w:rFonts w:ascii="Times New Roman" w:hAnsi="Times New Roman" w:cs="Times New Roman"/>
        </w:rPr>
        <w:t>law</w:t>
      </w:r>
      <w:r w:rsidR="00A5388A">
        <w:rPr>
          <w:rFonts w:ascii="Times New Roman" w:hAnsi="Times New Roman" w:cs="Times New Roman"/>
        </w:rPr>
        <w:t>.</w:t>
      </w:r>
      <w:r w:rsidR="00A5388A">
        <w:rPr>
          <w:rStyle w:val="FootnoteReference"/>
          <w:rFonts w:ascii="Times New Roman" w:hAnsi="Times New Roman" w:cs="Times New Roman"/>
        </w:rPr>
        <w:footnoteReference w:id="4"/>
      </w:r>
      <w:r w:rsidR="00A5388A">
        <w:rPr>
          <w:rFonts w:ascii="Times New Roman" w:hAnsi="Times New Roman" w:cs="Times New Roman"/>
        </w:rPr>
        <w:t xml:space="preserve"> This area of</w:t>
      </w:r>
      <w:r w:rsidR="006719AC">
        <w:rPr>
          <w:rFonts w:ascii="Times New Roman" w:hAnsi="Times New Roman" w:cs="Times New Roman"/>
        </w:rPr>
        <w:t xml:space="preserve"> law</w:t>
      </w:r>
      <w:r w:rsidR="00F87B52">
        <w:rPr>
          <w:rFonts w:ascii="Times New Roman" w:hAnsi="Times New Roman" w:cs="Times New Roman"/>
        </w:rPr>
        <w:t xml:space="preserve"> </w:t>
      </w:r>
      <w:r w:rsidR="00A06E20">
        <w:rPr>
          <w:rFonts w:ascii="Times New Roman" w:hAnsi="Times New Roman" w:cs="Times New Roman"/>
        </w:rPr>
        <w:t xml:space="preserve">closely regulates </w:t>
      </w:r>
      <w:r w:rsidR="006719AC">
        <w:rPr>
          <w:rFonts w:ascii="Times New Roman" w:hAnsi="Times New Roman" w:cs="Times New Roman"/>
        </w:rPr>
        <w:t xml:space="preserve">what can legally be done </w:t>
      </w:r>
      <w:r w:rsidR="006719AC" w:rsidRPr="006719AC">
        <w:rPr>
          <w:rFonts w:ascii="Times New Roman" w:hAnsi="Times New Roman" w:cs="Times New Roman"/>
          <w:i/>
        </w:rPr>
        <w:t>to</w:t>
      </w:r>
      <w:r w:rsidR="006719AC">
        <w:rPr>
          <w:rFonts w:ascii="Times New Roman" w:hAnsi="Times New Roman" w:cs="Times New Roman"/>
        </w:rPr>
        <w:t xml:space="preserve"> older bodies,</w:t>
      </w:r>
      <w:r w:rsidR="00A5388A">
        <w:rPr>
          <w:rFonts w:ascii="Times New Roman" w:hAnsi="Times New Roman" w:cs="Times New Roman"/>
        </w:rPr>
        <w:t xml:space="preserve"> </w:t>
      </w:r>
      <w:r w:rsidR="006719AC">
        <w:rPr>
          <w:rFonts w:ascii="Times New Roman" w:hAnsi="Times New Roman" w:cs="Times New Roman"/>
        </w:rPr>
        <w:t>or</w:t>
      </w:r>
      <w:r w:rsidR="001664D7">
        <w:rPr>
          <w:rFonts w:ascii="Times New Roman" w:hAnsi="Times New Roman" w:cs="Times New Roman"/>
        </w:rPr>
        <w:t xml:space="preserve"> – because actions and </w:t>
      </w:r>
      <w:r w:rsidR="001664D7">
        <w:rPr>
          <w:rFonts w:ascii="Times New Roman" w:hAnsi="Times New Roman" w:cs="Times New Roman"/>
        </w:rPr>
        <w:lastRenderedPageBreak/>
        <w:t xml:space="preserve">choices are </w:t>
      </w:r>
      <w:r w:rsidR="00076203">
        <w:rPr>
          <w:rFonts w:ascii="Times New Roman" w:hAnsi="Times New Roman" w:cs="Times New Roman"/>
        </w:rPr>
        <w:t xml:space="preserve">ultimately </w:t>
      </w:r>
      <w:r w:rsidR="001664D7">
        <w:rPr>
          <w:rFonts w:ascii="Times New Roman" w:hAnsi="Times New Roman" w:cs="Times New Roman"/>
        </w:rPr>
        <w:t>embodied</w:t>
      </w:r>
      <w:r w:rsidR="00076203">
        <w:rPr>
          <w:rFonts w:ascii="Times New Roman" w:hAnsi="Times New Roman" w:cs="Times New Roman"/>
        </w:rPr>
        <w:t xml:space="preserve"> experiences</w:t>
      </w:r>
      <w:r w:rsidR="001664D7">
        <w:rPr>
          <w:rFonts w:ascii="Times New Roman" w:hAnsi="Times New Roman" w:cs="Times New Roman"/>
        </w:rPr>
        <w:t xml:space="preserve"> – w</w:t>
      </w:r>
      <w:r w:rsidR="006719AC">
        <w:rPr>
          <w:rFonts w:ascii="Times New Roman" w:hAnsi="Times New Roman" w:cs="Times New Roman"/>
        </w:rPr>
        <w:t xml:space="preserve">hat can be done </w:t>
      </w:r>
      <w:r w:rsidR="006719AC">
        <w:rPr>
          <w:rFonts w:ascii="Times New Roman" w:hAnsi="Times New Roman" w:cs="Times New Roman"/>
          <w:i/>
        </w:rPr>
        <w:t xml:space="preserve">by </w:t>
      </w:r>
      <w:r w:rsidR="006719AC" w:rsidRPr="006719AC">
        <w:rPr>
          <w:rFonts w:ascii="Times New Roman" w:hAnsi="Times New Roman" w:cs="Times New Roman"/>
        </w:rPr>
        <w:t>older</w:t>
      </w:r>
      <w:r w:rsidR="006719AC" w:rsidRPr="006719AC">
        <w:rPr>
          <w:rFonts w:ascii="Times New Roman" w:hAnsi="Times New Roman" w:cs="Times New Roman"/>
          <w:i/>
        </w:rPr>
        <w:t xml:space="preserve"> </w:t>
      </w:r>
      <w:r w:rsidR="006719AC">
        <w:rPr>
          <w:rFonts w:ascii="Times New Roman" w:hAnsi="Times New Roman" w:cs="Times New Roman"/>
        </w:rPr>
        <w:t>bodies</w:t>
      </w:r>
      <w:r w:rsidR="00663EE8">
        <w:rPr>
          <w:rFonts w:ascii="Times New Roman" w:hAnsi="Times New Roman" w:cs="Times New Roman"/>
        </w:rPr>
        <w:t xml:space="preserve">. Moreover, </w:t>
      </w:r>
      <w:r w:rsidR="00A50F54">
        <w:rPr>
          <w:rFonts w:ascii="Times New Roman" w:hAnsi="Times New Roman" w:cs="Times New Roman"/>
        </w:rPr>
        <w:t>courts often use</w:t>
      </w:r>
      <w:r w:rsidR="00663EE8">
        <w:rPr>
          <w:rFonts w:ascii="Times New Roman" w:hAnsi="Times New Roman" w:cs="Times New Roman"/>
        </w:rPr>
        <w:t xml:space="preserve"> those older bodies themselves as justification for their decisions in implementing the law</w:t>
      </w:r>
      <w:r w:rsidR="00A5388A">
        <w:rPr>
          <w:rFonts w:ascii="Times New Roman" w:hAnsi="Times New Roman" w:cs="Times New Roman"/>
        </w:rPr>
        <w:t xml:space="preserve">. </w:t>
      </w:r>
      <w:r w:rsidR="003509B3">
        <w:rPr>
          <w:rFonts w:ascii="Times New Roman" w:hAnsi="Times New Roman" w:cs="Times New Roman"/>
        </w:rPr>
        <w:t>For</w:t>
      </w:r>
      <w:r w:rsidR="00A5388A">
        <w:rPr>
          <w:rFonts w:ascii="Times New Roman" w:hAnsi="Times New Roman" w:cs="Times New Roman"/>
        </w:rPr>
        <w:t xml:space="preserve"> Douglas Meyers,</w:t>
      </w:r>
      <w:r w:rsidR="00A5388A">
        <w:rPr>
          <w:rStyle w:val="FootnoteReference"/>
          <w:rFonts w:ascii="Times New Roman" w:hAnsi="Times New Roman" w:cs="Times New Roman"/>
        </w:rPr>
        <w:footnoteReference w:id="5"/>
      </w:r>
      <w:r w:rsidR="00A5388A">
        <w:rPr>
          <w:rFonts w:ascii="Times New Roman" w:hAnsi="Times New Roman" w:cs="Times New Roman"/>
        </w:rPr>
        <w:t xml:space="preserve"> for example – a case that this paper will return to </w:t>
      </w:r>
      <w:r w:rsidR="003509B3">
        <w:rPr>
          <w:rFonts w:ascii="Times New Roman" w:hAnsi="Times New Roman" w:cs="Times New Roman"/>
        </w:rPr>
        <w:t>later</w:t>
      </w:r>
      <w:r w:rsidR="00A5388A">
        <w:rPr>
          <w:rFonts w:ascii="Times New Roman" w:hAnsi="Times New Roman" w:cs="Times New Roman"/>
        </w:rPr>
        <w:t xml:space="preserve"> – the courts decided that he should be required to live in a care home</w:t>
      </w:r>
      <w:r w:rsidR="00616720">
        <w:rPr>
          <w:rFonts w:ascii="Times New Roman" w:hAnsi="Times New Roman" w:cs="Times New Roman"/>
        </w:rPr>
        <w:t xml:space="preserve"> temporarily, but</w:t>
      </w:r>
      <w:r w:rsidR="002C1410">
        <w:rPr>
          <w:rFonts w:ascii="Times New Roman" w:hAnsi="Times New Roman" w:cs="Times New Roman"/>
        </w:rPr>
        <w:t xml:space="preserve"> that he should also</w:t>
      </w:r>
      <w:r w:rsidR="00A5388A">
        <w:rPr>
          <w:rFonts w:ascii="Times New Roman" w:hAnsi="Times New Roman" w:cs="Times New Roman"/>
        </w:rPr>
        <w:t xml:space="preserve"> permanently </w:t>
      </w:r>
      <w:r w:rsidR="002C1410">
        <w:rPr>
          <w:rFonts w:ascii="Times New Roman" w:hAnsi="Times New Roman" w:cs="Times New Roman"/>
        </w:rPr>
        <w:t xml:space="preserve">live </w:t>
      </w:r>
      <w:r w:rsidR="00A50F54">
        <w:rPr>
          <w:rFonts w:ascii="Times New Roman" w:hAnsi="Times New Roman" w:cs="Times New Roman"/>
        </w:rPr>
        <w:t>separately</w:t>
      </w:r>
      <w:r w:rsidR="00A5388A">
        <w:rPr>
          <w:rFonts w:ascii="Times New Roman" w:hAnsi="Times New Roman" w:cs="Times New Roman"/>
        </w:rPr>
        <w:t xml:space="preserve"> from his son, </w:t>
      </w:r>
      <w:r w:rsidR="0042141A">
        <w:rPr>
          <w:rFonts w:ascii="Times New Roman" w:hAnsi="Times New Roman" w:cs="Times New Roman"/>
        </w:rPr>
        <w:t xml:space="preserve">partly </w:t>
      </w:r>
      <w:r w:rsidR="00A5388A">
        <w:rPr>
          <w:rFonts w:ascii="Times New Roman" w:hAnsi="Times New Roman" w:cs="Times New Roman"/>
        </w:rPr>
        <w:t>because of neglectful conditions in which he</w:t>
      </w:r>
      <w:r w:rsidR="00663EE8">
        <w:rPr>
          <w:rFonts w:ascii="Times New Roman" w:hAnsi="Times New Roman" w:cs="Times New Roman"/>
        </w:rPr>
        <w:t xml:space="preserve"> – his body – was </w:t>
      </w:r>
      <w:r w:rsidR="00A5388A">
        <w:rPr>
          <w:rFonts w:ascii="Times New Roman" w:hAnsi="Times New Roman" w:cs="Times New Roman"/>
        </w:rPr>
        <w:t>found at home. Such constraints</w:t>
      </w:r>
      <w:r w:rsidR="000F599B">
        <w:rPr>
          <w:rStyle w:val="FootnoteReference"/>
          <w:rFonts w:ascii="Times New Roman" w:hAnsi="Times New Roman" w:cs="Times New Roman"/>
        </w:rPr>
        <w:footnoteReference w:id="6"/>
      </w:r>
      <w:r w:rsidR="00A5388A">
        <w:rPr>
          <w:rFonts w:ascii="Times New Roman" w:hAnsi="Times New Roman" w:cs="Times New Roman"/>
        </w:rPr>
        <w:t xml:space="preserve"> on older peoples’ bodily autonomy are not uncommon. </w:t>
      </w:r>
      <w:r w:rsidR="007A426B">
        <w:rPr>
          <w:rFonts w:ascii="Times New Roman" w:hAnsi="Times New Roman" w:cs="Times New Roman"/>
        </w:rPr>
        <w:t xml:space="preserve">In </w:t>
      </w:r>
      <w:r w:rsidR="00A5388A">
        <w:rPr>
          <w:rFonts w:ascii="Times New Roman" w:hAnsi="Times New Roman" w:cs="Times New Roman"/>
        </w:rPr>
        <w:t>issuing these constraints</w:t>
      </w:r>
      <w:r w:rsidR="0059746F">
        <w:rPr>
          <w:rFonts w:ascii="Times New Roman" w:hAnsi="Times New Roman" w:cs="Times New Roman"/>
        </w:rPr>
        <w:t xml:space="preserve">, </w:t>
      </w:r>
      <w:r w:rsidR="00616720">
        <w:rPr>
          <w:rFonts w:ascii="Times New Roman" w:hAnsi="Times New Roman" w:cs="Times New Roman"/>
        </w:rPr>
        <w:t>it seems sensible to assume that the courts will</w:t>
      </w:r>
      <w:r w:rsidR="0059746F">
        <w:rPr>
          <w:rFonts w:ascii="Times New Roman" w:hAnsi="Times New Roman" w:cs="Times New Roman"/>
        </w:rPr>
        <w:t xml:space="preserve"> </w:t>
      </w:r>
      <w:r w:rsidR="006719AC">
        <w:rPr>
          <w:rFonts w:ascii="Times New Roman" w:hAnsi="Times New Roman" w:cs="Times New Roman"/>
        </w:rPr>
        <w:t xml:space="preserve">talk about </w:t>
      </w:r>
      <w:r w:rsidR="00A06E20">
        <w:rPr>
          <w:rFonts w:ascii="Times New Roman" w:hAnsi="Times New Roman" w:cs="Times New Roman"/>
        </w:rPr>
        <w:t xml:space="preserve">these older </w:t>
      </w:r>
      <w:r w:rsidR="00E76007">
        <w:rPr>
          <w:rFonts w:ascii="Times New Roman" w:hAnsi="Times New Roman" w:cs="Times New Roman"/>
        </w:rPr>
        <w:t>bodies;</w:t>
      </w:r>
      <w:r w:rsidR="00522FCE">
        <w:rPr>
          <w:rFonts w:ascii="Times New Roman" w:hAnsi="Times New Roman" w:cs="Times New Roman"/>
        </w:rPr>
        <w:t xml:space="preserve"> </w:t>
      </w:r>
      <w:r w:rsidR="006719AC">
        <w:rPr>
          <w:rFonts w:ascii="Times New Roman" w:hAnsi="Times New Roman" w:cs="Times New Roman"/>
        </w:rPr>
        <w:t>the very bodies it seeks to</w:t>
      </w:r>
      <w:r w:rsidR="005E13A4">
        <w:rPr>
          <w:rFonts w:ascii="Times New Roman" w:hAnsi="Times New Roman" w:cs="Times New Roman"/>
        </w:rPr>
        <w:t xml:space="preserve"> define,</w:t>
      </w:r>
      <w:r w:rsidR="006719AC">
        <w:rPr>
          <w:rFonts w:ascii="Times New Roman" w:hAnsi="Times New Roman" w:cs="Times New Roman"/>
        </w:rPr>
        <w:t xml:space="preserve"> </w:t>
      </w:r>
      <w:r w:rsidR="005E13A4">
        <w:rPr>
          <w:rFonts w:ascii="Times New Roman" w:hAnsi="Times New Roman" w:cs="Times New Roman"/>
        </w:rPr>
        <w:t xml:space="preserve">contain, and </w:t>
      </w:r>
      <w:r w:rsidR="006719AC">
        <w:rPr>
          <w:rFonts w:ascii="Times New Roman" w:hAnsi="Times New Roman" w:cs="Times New Roman"/>
        </w:rPr>
        <w:t xml:space="preserve">regulate. </w:t>
      </w:r>
      <w:r w:rsidR="006D3F0A">
        <w:rPr>
          <w:rFonts w:ascii="Times New Roman" w:hAnsi="Times New Roman" w:cs="Times New Roman"/>
        </w:rPr>
        <w:t>An analysis of how the law speaks</w:t>
      </w:r>
      <w:r w:rsidR="008F473D">
        <w:rPr>
          <w:rFonts w:ascii="Times New Roman" w:hAnsi="Times New Roman" w:cs="Times New Roman"/>
        </w:rPr>
        <w:t xml:space="preserve"> of </w:t>
      </w:r>
      <w:r w:rsidR="006D3F0A">
        <w:rPr>
          <w:rFonts w:ascii="Times New Roman" w:hAnsi="Times New Roman" w:cs="Times New Roman"/>
        </w:rPr>
        <w:t xml:space="preserve">and relates to </w:t>
      </w:r>
      <w:r w:rsidR="0059746F">
        <w:rPr>
          <w:rFonts w:ascii="Times New Roman" w:hAnsi="Times New Roman" w:cs="Times New Roman"/>
        </w:rPr>
        <w:t xml:space="preserve">such bodies can </w:t>
      </w:r>
      <w:r w:rsidR="00AC16F1">
        <w:rPr>
          <w:rFonts w:ascii="Times New Roman" w:hAnsi="Times New Roman" w:cs="Times New Roman"/>
        </w:rPr>
        <w:t>thus</w:t>
      </w:r>
      <w:r w:rsidR="009C6098">
        <w:rPr>
          <w:rFonts w:ascii="Times New Roman" w:hAnsi="Times New Roman" w:cs="Times New Roman"/>
        </w:rPr>
        <w:t xml:space="preserve"> be seen as </w:t>
      </w:r>
      <w:r w:rsidR="008F473D">
        <w:rPr>
          <w:rFonts w:ascii="Times New Roman" w:hAnsi="Times New Roman" w:cs="Times New Roman"/>
        </w:rPr>
        <w:t>timely.</w:t>
      </w:r>
    </w:p>
    <w:p w14:paraId="4B30539B" w14:textId="77777777" w:rsidR="006719AC" w:rsidRDefault="006719AC" w:rsidP="00B37874">
      <w:pPr>
        <w:spacing w:line="360" w:lineRule="auto"/>
        <w:jc w:val="both"/>
        <w:rPr>
          <w:rFonts w:ascii="Times New Roman" w:hAnsi="Times New Roman" w:cs="Times New Roman"/>
        </w:rPr>
      </w:pPr>
    </w:p>
    <w:p w14:paraId="45C73C2E" w14:textId="3C5B9E87" w:rsidR="00832A27" w:rsidRPr="0012165C" w:rsidRDefault="007730FD" w:rsidP="00E0153E">
      <w:pPr>
        <w:spacing w:line="360" w:lineRule="auto"/>
        <w:jc w:val="both"/>
        <w:rPr>
          <w:rFonts w:ascii="Times New Roman" w:hAnsi="Times New Roman" w:cs="Times New Roman"/>
          <w:lang w:val="en-US"/>
        </w:rPr>
      </w:pPr>
      <w:r>
        <w:rPr>
          <w:rFonts w:ascii="Times New Roman" w:hAnsi="Times New Roman" w:cs="Times New Roman"/>
        </w:rPr>
        <w:t>In light of th</w:t>
      </w:r>
      <w:r w:rsidR="00863818">
        <w:rPr>
          <w:rFonts w:ascii="Times New Roman" w:hAnsi="Times New Roman" w:cs="Times New Roman"/>
        </w:rPr>
        <w:t>e above</w:t>
      </w:r>
      <w:r w:rsidR="00616720">
        <w:rPr>
          <w:rFonts w:ascii="Times New Roman" w:hAnsi="Times New Roman" w:cs="Times New Roman"/>
        </w:rPr>
        <w:t>, th</w:t>
      </w:r>
      <w:r w:rsidR="00863818">
        <w:rPr>
          <w:rFonts w:ascii="Times New Roman" w:hAnsi="Times New Roman" w:cs="Times New Roman"/>
        </w:rPr>
        <w:t>is</w:t>
      </w:r>
      <w:r>
        <w:rPr>
          <w:rFonts w:ascii="Times New Roman" w:hAnsi="Times New Roman" w:cs="Times New Roman"/>
        </w:rPr>
        <w:t xml:space="preserve"> paper</w:t>
      </w:r>
      <w:r w:rsidR="006D3F0A">
        <w:rPr>
          <w:rFonts w:ascii="Times New Roman" w:hAnsi="Times New Roman" w:cs="Times New Roman"/>
        </w:rPr>
        <w:t xml:space="preserve"> </w:t>
      </w:r>
      <w:r w:rsidR="003509B3">
        <w:rPr>
          <w:rFonts w:ascii="Times New Roman" w:hAnsi="Times New Roman" w:cs="Times New Roman"/>
        </w:rPr>
        <w:t>takes a different approach to</w:t>
      </w:r>
      <w:r w:rsidR="00753E03">
        <w:rPr>
          <w:rFonts w:ascii="Times New Roman" w:hAnsi="Times New Roman" w:cs="Times New Roman"/>
        </w:rPr>
        <w:t xml:space="preserve"> mental health and capacity law. It does not seek to analyse the position of gender </w:t>
      </w:r>
      <w:r w:rsidR="00753E03" w:rsidRPr="00753E03">
        <w:rPr>
          <w:rFonts w:ascii="Times New Roman" w:hAnsi="Times New Roman" w:cs="Times New Roman"/>
          <w:i/>
        </w:rPr>
        <w:t>within</w:t>
      </w:r>
      <w:r w:rsidR="00753E03">
        <w:rPr>
          <w:rFonts w:ascii="Times New Roman" w:hAnsi="Times New Roman" w:cs="Times New Roman"/>
        </w:rPr>
        <w:t xml:space="preserve"> old age, such as understanding the effects of dementia on women, for example</w:t>
      </w:r>
      <w:r w:rsidR="00AE43FE">
        <w:rPr>
          <w:rFonts w:ascii="Times New Roman" w:hAnsi="Times New Roman" w:cs="Times New Roman"/>
        </w:rPr>
        <w:t>.</w:t>
      </w:r>
      <w:r w:rsidR="00AE43FE">
        <w:rPr>
          <w:rStyle w:val="FootnoteReference"/>
          <w:rFonts w:ascii="Times New Roman" w:hAnsi="Times New Roman" w:cs="Times New Roman"/>
        </w:rPr>
        <w:footnoteReference w:id="7"/>
      </w:r>
      <w:r w:rsidR="00AE43FE">
        <w:rPr>
          <w:rFonts w:ascii="Times New Roman" w:hAnsi="Times New Roman" w:cs="Times New Roman"/>
        </w:rPr>
        <w:t xml:space="preserve"> </w:t>
      </w:r>
      <w:r w:rsidR="00753E03" w:rsidRPr="00305DAC">
        <w:rPr>
          <w:rFonts w:ascii="Times New Roman" w:hAnsi="Times New Roman" w:cs="Times New Roman"/>
        </w:rPr>
        <w:t>What the paper seeks to do instead is</w:t>
      </w:r>
      <w:r w:rsidR="003509B3">
        <w:rPr>
          <w:rFonts w:ascii="Times New Roman" w:hAnsi="Times New Roman" w:cs="Times New Roman"/>
        </w:rPr>
        <w:t>, through discourse analysis</w:t>
      </w:r>
      <w:r w:rsidR="00710428">
        <w:rPr>
          <w:rFonts w:ascii="Times New Roman" w:hAnsi="Times New Roman" w:cs="Times New Roman"/>
        </w:rPr>
        <w:t>,</w:t>
      </w:r>
      <w:r w:rsidR="00753E03" w:rsidRPr="00305DAC">
        <w:rPr>
          <w:rFonts w:ascii="Times New Roman" w:hAnsi="Times New Roman" w:cs="Times New Roman"/>
        </w:rPr>
        <w:t xml:space="preserve"> </w:t>
      </w:r>
      <w:r w:rsidR="002B4C26">
        <w:rPr>
          <w:rFonts w:ascii="Times New Roman" w:hAnsi="Times New Roman" w:cs="Times New Roman"/>
        </w:rPr>
        <w:t>understand th</w:t>
      </w:r>
      <w:r w:rsidR="00870804">
        <w:rPr>
          <w:rFonts w:ascii="Times New Roman" w:hAnsi="Times New Roman" w:cs="Times New Roman"/>
        </w:rPr>
        <w:t>e way the courts</w:t>
      </w:r>
      <w:r w:rsidR="0012165C">
        <w:rPr>
          <w:rFonts w:ascii="Times New Roman" w:hAnsi="Times New Roman" w:cs="Times New Roman"/>
        </w:rPr>
        <w:t xml:space="preserve"> </w:t>
      </w:r>
      <w:r w:rsidR="00870804">
        <w:rPr>
          <w:rFonts w:ascii="Times New Roman" w:hAnsi="Times New Roman" w:cs="Times New Roman"/>
        </w:rPr>
        <w:t>engage with the</w:t>
      </w:r>
      <w:r w:rsidR="002B4C26">
        <w:rPr>
          <w:rFonts w:ascii="Times New Roman" w:hAnsi="Times New Roman" w:cs="Times New Roman"/>
        </w:rPr>
        <w:t xml:space="preserve"> older</w:t>
      </w:r>
      <w:r w:rsidR="004671FB">
        <w:rPr>
          <w:rFonts w:ascii="Times New Roman" w:hAnsi="Times New Roman" w:cs="Times New Roman"/>
        </w:rPr>
        <w:t>,</w:t>
      </w:r>
      <w:r w:rsidR="00AE43FE">
        <w:rPr>
          <w:rFonts w:ascii="Times New Roman" w:hAnsi="Times New Roman" w:cs="Times New Roman"/>
        </w:rPr>
        <w:t xml:space="preserve"> disabled,</w:t>
      </w:r>
      <w:r w:rsidR="004671FB">
        <w:rPr>
          <w:rFonts w:ascii="Times New Roman" w:hAnsi="Times New Roman" w:cs="Times New Roman"/>
        </w:rPr>
        <w:t xml:space="preserve"> ‘leaky’ </w:t>
      </w:r>
      <w:r w:rsidR="002B4C26">
        <w:rPr>
          <w:rFonts w:ascii="Times New Roman" w:hAnsi="Times New Roman" w:cs="Times New Roman"/>
        </w:rPr>
        <w:t>body</w:t>
      </w:r>
      <w:r w:rsidR="00AE43FE">
        <w:rPr>
          <w:rFonts w:ascii="Times New Roman" w:hAnsi="Times New Roman" w:cs="Times New Roman"/>
        </w:rPr>
        <w:t xml:space="preserve"> (Shildrick, 1997)</w:t>
      </w:r>
      <w:r w:rsidR="003509B3">
        <w:rPr>
          <w:rFonts w:ascii="Times New Roman" w:hAnsi="Times New Roman" w:cs="Times New Roman"/>
        </w:rPr>
        <w:t>.</w:t>
      </w:r>
      <w:r w:rsidR="002B4C26">
        <w:rPr>
          <w:rFonts w:ascii="Times New Roman" w:hAnsi="Times New Roman" w:cs="Times New Roman"/>
        </w:rPr>
        <w:t xml:space="preserve"> </w:t>
      </w:r>
      <w:r w:rsidR="00663EE8">
        <w:rPr>
          <w:rFonts w:ascii="Times New Roman" w:hAnsi="Times New Roman" w:cs="Times New Roman"/>
        </w:rPr>
        <w:t>Using discourse analysis as the</w:t>
      </w:r>
      <w:r w:rsidR="00832A27">
        <w:rPr>
          <w:rFonts w:ascii="Times New Roman" w:hAnsi="Times New Roman" w:cs="Times New Roman"/>
        </w:rPr>
        <w:t xml:space="preserve"> methodological framework – explored in greater detail in the next section – the </w:t>
      </w:r>
      <w:r w:rsidR="00A91EB4">
        <w:rPr>
          <w:rFonts w:ascii="Times New Roman" w:hAnsi="Times New Roman" w:cs="Times New Roman"/>
        </w:rPr>
        <w:t>foci</w:t>
      </w:r>
      <w:r w:rsidR="00616720">
        <w:rPr>
          <w:rFonts w:ascii="Times New Roman" w:hAnsi="Times New Roman" w:cs="Times New Roman"/>
        </w:rPr>
        <w:t xml:space="preserve"> for such an analysis is twofold</w:t>
      </w:r>
      <w:r w:rsidR="00A91EB4">
        <w:rPr>
          <w:rFonts w:ascii="Times New Roman" w:hAnsi="Times New Roman" w:cs="Times New Roman"/>
        </w:rPr>
        <w:t>.</w:t>
      </w:r>
      <w:r w:rsidR="00C01266">
        <w:rPr>
          <w:rFonts w:ascii="Times New Roman" w:hAnsi="Times New Roman" w:cs="Times New Roman"/>
        </w:rPr>
        <w:t xml:space="preserve"> T</w:t>
      </w:r>
      <w:r w:rsidR="00F80FFD">
        <w:rPr>
          <w:rFonts w:ascii="Times New Roman" w:hAnsi="Times New Roman" w:cs="Times New Roman"/>
        </w:rPr>
        <w:t xml:space="preserve">he first </w:t>
      </w:r>
      <w:r w:rsidR="006D3F0A">
        <w:rPr>
          <w:rFonts w:ascii="Times New Roman" w:hAnsi="Times New Roman" w:cs="Times New Roman"/>
        </w:rPr>
        <w:t xml:space="preserve">is </w:t>
      </w:r>
      <w:r w:rsidR="00533F37">
        <w:rPr>
          <w:rFonts w:ascii="Times New Roman" w:hAnsi="Times New Roman" w:cs="Times New Roman"/>
        </w:rPr>
        <w:t>etymological</w:t>
      </w:r>
      <w:r w:rsidR="0082559D">
        <w:rPr>
          <w:rFonts w:ascii="Times New Roman" w:hAnsi="Times New Roman" w:cs="Times New Roman"/>
        </w:rPr>
        <w:t xml:space="preserve"> and pertains to the</w:t>
      </w:r>
      <w:r w:rsidR="00832A27">
        <w:rPr>
          <w:rFonts w:ascii="Times New Roman" w:hAnsi="Times New Roman" w:cs="Times New Roman"/>
        </w:rPr>
        <w:t xml:space="preserve"> content of the</w:t>
      </w:r>
      <w:r w:rsidR="0082559D">
        <w:rPr>
          <w:rFonts w:ascii="Times New Roman" w:hAnsi="Times New Roman" w:cs="Times New Roman"/>
        </w:rPr>
        <w:t xml:space="preserve"> language used by the courts to </w:t>
      </w:r>
      <w:r w:rsidR="004671FB">
        <w:rPr>
          <w:rFonts w:ascii="Times New Roman" w:hAnsi="Times New Roman" w:cs="Times New Roman"/>
        </w:rPr>
        <w:t>describe</w:t>
      </w:r>
      <w:r w:rsidR="00870804">
        <w:rPr>
          <w:rFonts w:ascii="Times New Roman" w:hAnsi="Times New Roman" w:cs="Times New Roman"/>
        </w:rPr>
        <w:t xml:space="preserve"> certain older bodies</w:t>
      </w:r>
      <w:r w:rsidR="0082559D">
        <w:rPr>
          <w:rFonts w:ascii="Times New Roman" w:hAnsi="Times New Roman" w:cs="Times New Roman"/>
        </w:rPr>
        <w:t>; it is conce</w:t>
      </w:r>
      <w:r w:rsidR="0048562E">
        <w:rPr>
          <w:rFonts w:ascii="Times New Roman" w:hAnsi="Times New Roman" w:cs="Times New Roman"/>
        </w:rPr>
        <w:t>rned primarily with what the courts</w:t>
      </w:r>
      <w:r w:rsidR="0082559D">
        <w:rPr>
          <w:rFonts w:ascii="Times New Roman" w:hAnsi="Times New Roman" w:cs="Times New Roman"/>
        </w:rPr>
        <w:t xml:space="preserve"> </w:t>
      </w:r>
      <w:r w:rsidR="0048562E">
        <w:rPr>
          <w:rFonts w:ascii="Times New Roman" w:hAnsi="Times New Roman" w:cs="Times New Roman"/>
          <w:i/>
        </w:rPr>
        <w:t xml:space="preserve">say </w:t>
      </w:r>
      <w:r w:rsidR="001E06FB">
        <w:rPr>
          <w:rFonts w:ascii="Times New Roman" w:hAnsi="Times New Roman" w:cs="Times New Roman"/>
        </w:rPr>
        <w:t>about bodies</w:t>
      </w:r>
      <w:r w:rsidR="009B0EFF">
        <w:rPr>
          <w:rFonts w:ascii="Times New Roman" w:hAnsi="Times New Roman" w:cs="Times New Roman"/>
        </w:rPr>
        <w:t xml:space="preserve"> </w:t>
      </w:r>
      <w:r w:rsidR="0048562E">
        <w:rPr>
          <w:rFonts w:ascii="Times New Roman" w:hAnsi="Times New Roman" w:cs="Times New Roman"/>
        </w:rPr>
        <w:t>and the way in which it is said</w:t>
      </w:r>
      <w:r w:rsidR="0082559D">
        <w:rPr>
          <w:rFonts w:ascii="Times New Roman" w:hAnsi="Times New Roman" w:cs="Times New Roman"/>
        </w:rPr>
        <w:t>.</w:t>
      </w:r>
      <w:r w:rsidR="009C6098">
        <w:rPr>
          <w:rFonts w:ascii="Times New Roman" w:hAnsi="Times New Roman" w:cs="Times New Roman"/>
        </w:rPr>
        <w:t xml:space="preserve"> </w:t>
      </w:r>
      <w:r w:rsidR="002B4C26">
        <w:rPr>
          <w:rFonts w:ascii="Times New Roman" w:hAnsi="Times New Roman" w:cs="Times New Roman"/>
        </w:rPr>
        <w:t xml:space="preserve">The second is a consideration of what the law </w:t>
      </w:r>
      <w:r w:rsidR="002B4C26">
        <w:rPr>
          <w:rFonts w:ascii="Times New Roman" w:hAnsi="Times New Roman" w:cs="Times New Roman"/>
          <w:i/>
        </w:rPr>
        <w:t xml:space="preserve">does </w:t>
      </w:r>
      <w:r w:rsidR="002B4C26">
        <w:rPr>
          <w:rFonts w:ascii="Times New Roman" w:hAnsi="Times New Roman" w:cs="Times New Roman"/>
        </w:rPr>
        <w:t>with these bodies</w:t>
      </w:r>
      <w:r w:rsidR="008B119D">
        <w:rPr>
          <w:rFonts w:ascii="Times New Roman" w:hAnsi="Times New Roman" w:cs="Times New Roman"/>
        </w:rPr>
        <w:t xml:space="preserve"> in light of this</w:t>
      </w:r>
      <w:r w:rsidR="00832A27">
        <w:rPr>
          <w:rFonts w:ascii="Times New Roman" w:hAnsi="Times New Roman" w:cs="Times New Roman"/>
        </w:rPr>
        <w:t xml:space="preserve"> language</w:t>
      </w:r>
      <w:r w:rsidR="002B4C26">
        <w:rPr>
          <w:rFonts w:ascii="Times New Roman" w:hAnsi="Times New Roman" w:cs="Times New Roman"/>
        </w:rPr>
        <w:t xml:space="preserve">; i.e. </w:t>
      </w:r>
      <w:r w:rsidR="00832A27">
        <w:rPr>
          <w:rFonts w:ascii="Times New Roman" w:hAnsi="Times New Roman" w:cs="Times New Roman"/>
        </w:rPr>
        <w:t xml:space="preserve">how such language impacts </w:t>
      </w:r>
      <w:r w:rsidR="002B4C26">
        <w:rPr>
          <w:rFonts w:ascii="Times New Roman" w:hAnsi="Times New Roman" w:cs="Times New Roman"/>
        </w:rPr>
        <w:t>the substance of the law</w:t>
      </w:r>
      <w:r w:rsidR="00616720">
        <w:rPr>
          <w:rFonts w:ascii="Times New Roman" w:hAnsi="Times New Roman" w:cs="Times New Roman"/>
        </w:rPr>
        <w:t>, such as the types of interventions in Douglas Meyers’ case</w:t>
      </w:r>
      <w:r w:rsidR="002B4C26">
        <w:rPr>
          <w:rFonts w:ascii="Times New Roman" w:hAnsi="Times New Roman" w:cs="Times New Roman"/>
        </w:rPr>
        <w:t>.</w:t>
      </w:r>
      <w:r w:rsidR="00863818">
        <w:rPr>
          <w:rFonts w:ascii="Times New Roman" w:hAnsi="Times New Roman" w:cs="Times New Roman"/>
        </w:rPr>
        <w:t xml:space="preserve"> </w:t>
      </w:r>
      <w:r w:rsidR="001A20A8">
        <w:rPr>
          <w:rFonts w:ascii="Times New Roman" w:hAnsi="Times New Roman" w:cs="Times New Roman"/>
        </w:rPr>
        <w:t xml:space="preserve">This </w:t>
      </w:r>
      <w:r w:rsidR="002503BD">
        <w:rPr>
          <w:rFonts w:ascii="Times New Roman" w:hAnsi="Times New Roman" w:cs="Times New Roman"/>
        </w:rPr>
        <w:t xml:space="preserve">majority of this </w:t>
      </w:r>
      <w:r w:rsidR="001A20A8">
        <w:rPr>
          <w:rFonts w:ascii="Times New Roman" w:hAnsi="Times New Roman" w:cs="Times New Roman"/>
        </w:rPr>
        <w:t xml:space="preserve">analysis is carried out in relation to </w:t>
      </w:r>
      <w:r w:rsidR="001A20A8" w:rsidRPr="00650240">
        <w:rPr>
          <w:rFonts w:ascii="Times New Roman" w:hAnsi="Times New Roman" w:cs="Times New Roman"/>
        </w:rPr>
        <w:t>f</w:t>
      </w:r>
      <w:r w:rsidR="002503BD">
        <w:rPr>
          <w:rFonts w:ascii="Times New Roman" w:hAnsi="Times New Roman" w:cs="Times New Roman"/>
        </w:rPr>
        <w:t>ive</w:t>
      </w:r>
      <w:r w:rsidR="001A20A8" w:rsidRPr="00650240">
        <w:rPr>
          <w:rFonts w:ascii="Times New Roman" w:hAnsi="Times New Roman" w:cs="Times New Roman"/>
        </w:rPr>
        <w:t xml:space="preserve"> legal cases involving older adults, and where the bodies of these older adults feature heavily in the judgments</w:t>
      </w:r>
      <w:r w:rsidR="003D1F32" w:rsidRPr="00650240">
        <w:rPr>
          <w:rFonts w:ascii="Times New Roman" w:hAnsi="Times New Roman" w:cs="Times New Roman"/>
        </w:rPr>
        <w:t xml:space="preserve"> and discourse</w:t>
      </w:r>
      <w:r w:rsidR="001A20A8" w:rsidRPr="00650240">
        <w:rPr>
          <w:rFonts w:ascii="Times New Roman" w:hAnsi="Times New Roman" w:cs="Times New Roman"/>
        </w:rPr>
        <w:t xml:space="preserve"> of the courts; </w:t>
      </w:r>
      <w:r w:rsidR="001A20A8" w:rsidRPr="00650240">
        <w:rPr>
          <w:rFonts w:ascii="Times New Roman" w:hAnsi="Times New Roman" w:cs="Times New Roman"/>
          <w:i/>
        </w:rPr>
        <w:t>R v Kurtz</w:t>
      </w:r>
      <w:r w:rsidR="001D7870" w:rsidRPr="00650240">
        <w:rPr>
          <w:rFonts w:ascii="Times New Roman" w:hAnsi="Times New Roman" w:cs="Times New Roman"/>
          <w:i/>
        </w:rPr>
        <w:t xml:space="preserve"> </w:t>
      </w:r>
      <w:r w:rsidR="001D7870" w:rsidRPr="00650240">
        <w:rPr>
          <w:rFonts w:ascii="Times New Roman" w:hAnsi="Times New Roman" w:cs="Times New Roman"/>
          <w:lang w:val="en-US"/>
        </w:rPr>
        <w:t>[2018] EWCA Crim 2743</w:t>
      </w:r>
      <w:r w:rsidR="001A20A8" w:rsidRPr="00650240">
        <w:rPr>
          <w:rFonts w:ascii="Times New Roman" w:hAnsi="Times New Roman" w:cs="Times New Roman"/>
          <w:i/>
        </w:rPr>
        <w:t>, Southend-on-Sea Borough Council v Meyers</w:t>
      </w:r>
      <w:r w:rsidR="001D7870" w:rsidRPr="00650240">
        <w:rPr>
          <w:rFonts w:ascii="Times New Roman" w:hAnsi="Times New Roman" w:cs="Times New Roman"/>
          <w:i/>
        </w:rPr>
        <w:t xml:space="preserve"> </w:t>
      </w:r>
      <w:r w:rsidR="001D7870" w:rsidRPr="00650240">
        <w:rPr>
          <w:rFonts w:ascii="Times New Roman" w:hAnsi="Times New Roman" w:cs="Times New Roman"/>
          <w:lang w:val="en-US"/>
        </w:rPr>
        <w:t>[2019] EWHC 399</w:t>
      </w:r>
      <w:r w:rsidR="001A20A8" w:rsidRPr="00650240">
        <w:rPr>
          <w:rFonts w:ascii="Times New Roman" w:hAnsi="Times New Roman" w:cs="Times New Roman"/>
          <w:i/>
        </w:rPr>
        <w:t>, NCC v PB</w:t>
      </w:r>
      <w:r w:rsidR="001D7870" w:rsidRPr="00650240">
        <w:rPr>
          <w:rFonts w:ascii="Times New Roman" w:hAnsi="Times New Roman" w:cs="Times New Roman"/>
          <w:i/>
        </w:rPr>
        <w:t xml:space="preserve"> </w:t>
      </w:r>
      <w:r w:rsidR="001D7870" w:rsidRPr="00650240">
        <w:rPr>
          <w:rFonts w:ascii="Times New Roman" w:hAnsi="Times New Roman" w:cs="Times New Roman"/>
          <w:lang w:val="en-US"/>
        </w:rPr>
        <w:t>[2014] EWCOP 14</w:t>
      </w:r>
      <w:r w:rsidR="001A20A8" w:rsidRPr="00650240">
        <w:rPr>
          <w:rFonts w:ascii="Times New Roman" w:hAnsi="Times New Roman" w:cs="Times New Roman"/>
          <w:i/>
        </w:rPr>
        <w:t xml:space="preserve">, Hounslow Clinical Commissioning Group v </w:t>
      </w:r>
      <w:r w:rsidR="001A20A8" w:rsidRPr="00AD5A60">
        <w:rPr>
          <w:rFonts w:ascii="Times New Roman" w:hAnsi="Times New Roman" w:cs="Times New Roman"/>
          <w:i/>
        </w:rPr>
        <w:t>RW</w:t>
      </w:r>
      <w:r w:rsidR="0012165C">
        <w:rPr>
          <w:rFonts w:ascii="Times New Roman" w:hAnsi="Times New Roman" w:cs="Times New Roman"/>
          <w:i/>
        </w:rPr>
        <w:t xml:space="preserve"> </w:t>
      </w:r>
      <w:r w:rsidR="0012165C">
        <w:rPr>
          <w:rFonts w:ascii="Times New Roman" w:hAnsi="Times New Roman" w:cs="Times New Roman"/>
          <w:lang w:val="en-US"/>
        </w:rPr>
        <w:t>[2019] EWCOP 12</w:t>
      </w:r>
      <w:r w:rsidR="001A20A8" w:rsidRPr="00AD5A60">
        <w:rPr>
          <w:rFonts w:ascii="Times New Roman" w:hAnsi="Times New Roman" w:cs="Times New Roman"/>
          <w:i/>
        </w:rPr>
        <w:t xml:space="preserve">, </w:t>
      </w:r>
      <w:r w:rsidR="001A20A8" w:rsidRPr="00650240">
        <w:rPr>
          <w:rFonts w:ascii="Times New Roman" w:hAnsi="Times New Roman" w:cs="Times New Roman"/>
          <w:i/>
        </w:rPr>
        <w:t>and R (McDonald) v Royal Borough of Kensington &amp; Chelsea</w:t>
      </w:r>
      <w:r w:rsidR="0012165C">
        <w:rPr>
          <w:rFonts w:ascii="Times New Roman" w:hAnsi="Times New Roman" w:cs="Times New Roman"/>
          <w:i/>
        </w:rPr>
        <w:t xml:space="preserve"> </w:t>
      </w:r>
      <w:r w:rsidR="0012165C" w:rsidRPr="0012165C">
        <w:rPr>
          <w:rFonts w:ascii="Times New Roman" w:hAnsi="Times New Roman" w:cs="Times New Roman"/>
          <w:lang w:val="en-US"/>
        </w:rPr>
        <w:t>[2011] UKSC 33</w:t>
      </w:r>
      <w:r w:rsidR="001A20A8">
        <w:rPr>
          <w:rFonts w:ascii="Times New Roman" w:hAnsi="Times New Roman" w:cs="Times New Roman"/>
          <w:i/>
        </w:rPr>
        <w:t>.</w:t>
      </w:r>
      <w:r w:rsidR="00650240" w:rsidRPr="0042141A">
        <w:rPr>
          <w:rStyle w:val="FootnoteReference"/>
          <w:rFonts w:ascii="Times New Roman" w:hAnsi="Times New Roman" w:cs="Times New Roman"/>
        </w:rPr>
        <w:footnoteReference w:id="8"/>
      </w:r>
      <w:r w:rsidR="001A20A8" w:rsidRPr="005A5ECA">
        <w:rPr>
          <w:rFonts w:ascii="Times New Roman" w:hAnsi="Times New Roman" w:cs="Times New Roman"/>
        </w:rPr>
        <w:t xml:space="preserve"> </w:t>
      </w:r>
      <w:r w:rsidR="00663EE8">
        <w:rPr>
          <w:rFonts w:ascii="Times New Roman" w:hAnsi="Times New Roman" w:cs="Times New Roman"/>
        </w:rPr>
        <w:t xml:space="preserve">The paper argues that </w:t>
      </w:r>
      <w:r w:rsidR="001A20A8">
        <w:rPr>
          <w:rFonts w:ascii="Times New Roman" w:hAnsi="Times New Roman" w:cs="Times New Roman"/>
        </w:rPr>
        <w:t>a discourse analysis of these judgments reveals an emergent process of abjection</w:t>
      </w:r>
      <w:r w:rsidR="003D1F32">
        <w:rPr>
          <w:rFonts w:ascii="Times New Roman" w:hAnsi="Times New Roman" w:cs="Times New Roman"/>
        </w:rPr>
        <w:t xml:space="preserve"> by the </w:t>
      </w:r>
      <w:r w:rsidR="003D1F32">
        <w:rPr>
          <w:rFonts w:ascii="Times New Roman" w:hAnsi="Times New Roman" w:cs="Times New Roman"/>
        </w:rPr>
        <w:lastRenderedPageBreak/>
        <w:t>courts</w:t>
      </w:r>
      <w:r w:rsidR="003242E4">
        <w:rPr>
          <w:rFonts w:ascii="Times New Roman" w:hAnsi="Times New Roman" w:cs="Times New Roman"/>
        </w:rPr>
        <w:t>, that</w:t>
      </w:r>
      <w:r w:rsidR="00AE43FE">
        <w:rPr>
          <w:rFonts w:ascii="Times New Roman" w:hAnsi="Times New Roman" w:cs="Times New Roman"/>
        </w:rPr>
        <w:t xml:space="preserve"> takes the form of </w:t>
      </w:r>
      <w:r w:rsidR="00650240">
        <w:rPr>
          <w:rFonts w:ascii="Times New Roman" w:hAnsi="Times New Roman" w:cs="Times New Roman"/>
        </w:rPr>
        <w:t xml:space="preserve">disassociation from – and even disgust towards – the </w:t>
      </w:r>
      <w:r w:rsidR="003D1F32">
        <w:rPr>
          <w:rFonts w:ascii="Times New Roman" w:hAnsi="Times New Roman" w:cs="Times New Roman"/>
        </w:rPr>
        <w:t>older</w:t>
      </w:r>
      <w:r w:rsidR="00AE43FE">
        <w:rPr>
          <w:rFonts w:ascii="Times New Roman" w:hAnsi="Times New Roman" w:cs="Times New Roman"/>
        </w:rPr>
        <w:t xml:space="preserve"> disabled</w:t>
      </w:r>
      <w:r w:rsidR="008B119D">
        <w:rPr>
          <w:rFonts w:ascii="Times New Roman" w:hAnsi="Times New Roman" w:cs="Times New Roman"/>
        </w:rPr>
        <w:t xml:space="preserve"> body</w:t>
      </w:r>
      <w:r w:rsidR="00AE43FE">
        <w:rPr>
          <w:rFonts w:ascii="Times New Roman" w:hAnsi="Times New Roman" w:cs="Times New Roman"/>
        </w:rPr>
        <w:t xml:space="preserve">, </w:t>
      </w:r>
      <w:r w:rsidR="00663EE8">
        <w:rPr>
          <w:rFonts w:ascii="Times New Roman" w:hAnsi="Times New Roman" w:cs="Times New Roman"/>
        </w:rPr>
        <w:t xml:space="preserve">and </w:t>
      </w:r>
      <w:r w:rsidR="00AE43FE">
        <w:rPr>
          <w:rFonts w:ascii="Times New Roman" w:hAnsi="Times New Roman" w:cs="Times New Roman"/>
        </w:rPr>
        <w:t xml:space="preserve">which in turn serves to reinforce boundaries between judicial ideas of corporeal normality and abnormality. </w:t>
      </w:r>
      <w:r w:rsidR="00AE43FE" w:rsidRPr="00C311B3">
        <w:rPr>
          <w:rFonts w:ascii="Times New Roman" w:hAnsi="Times New Roman" w:cs="Times New Roman"/>
        </w:rPr>
        <w:t>As Clough (2018) argues, only through understanding why such boundaries are created and constructed</w:t>
      </w:r>
      <w:r w:rsidR="00AE43FE">
        <w:rPr>
          <w:rFonts w:ascii="Times New Roman" w:hAnsi="Times New Roman" w:cs="Times New Roman"/>
        </w:rPr>
        <w:t xml:space="preserve"> can </w:t>
      </w:r>
      <w:r w:rsidR="00AE43FE" w:rsidRPr="00C311B3">
        <w:rPr>
          <w:rFonts w:ascii="Times New Roman" w:hAnsi="Times New Roman" w:cs="Times New Roman"/>
        </w:rPr>
        <w:t>some of them be dismantled</w:t>
      </w:r>
      <w:r w:rsidR="00AE43FE">
        <w:rPr>
          <w:rFonts w:ascii="Times New Roman" w:hAnsi="Times New Roman" w:cs="Times New Roman"/>
        </w:rPr>
        <w:t>,</w:t>
      </w:r>
      <w:r w:rsidR="00AE43FE" w:rsidRPr="00C311B3">
        <w:rPr>
          <w:rFonts w:ascii="Times New Roman" w:hAnsi="Times New Roman" w:cs="Times New Roman"/>
        </w:rPr>
        <w:t xml:space="preserve"> and the norma</w:t>
      </w:r>
      <w:r w:rsidR="00AE43FE">
        <w:rPr>
          <w:rFonts w:ascii="Times New Roman" w:hAnsi="Times New Roman" w:cs="Times New Roman"/>
        </w:rPr>
        <w:t xml:space="preserve">tive standards </w:t>
      </w:r>
      <w:r w:rsidR="00E83413">
        <w:rPr>
          <w:rFonts w:ascii="Times New Roman" w:hAnsi="Times New Roman" w:cs="Times New Roman"/>
        </w:rPr>
        <w:t xml:space="preserve">about ‘normal’ bodies </w:t>
      </w:r>
      <w:r w:rsidR="00AE43FE">
        <w:rPr>
          <w:rFonts w:ascii="Times New Roman" w:hAnsi="Times New Roman" w:cs="Times New Roman"/>
        </w:rPr>
        <w:t>held by the law challenged</w:t>
      </w:r>
      <w:r w:rsidR="00AE43FE" w:rsidRPr="00C311B3">
        <w:rPr>
          <w:rFonts w:ascii="Times New Roman" w:hAnsi="Times New Roman" w:cs="Times New Roman"/>
        </w:rPr>
        <w:t>.</w:t>
      </w:r>
      <w:r w:rsidR="00E0153E">
        <w:rPr>
          <w:rFonts w:ascii="Times New Roman" w:hAnsi="Times New Roman" w:cs="Times New Roman"/>
        </w:rPr>
        <w:t xml:space="preserve"> The analysis that ensues in this paper demonstrates, therefore, that these cases are not simply about doctrinal issues. </w:t>
      </w:r>
      <w:r w:rsidR="00E0153E">
        <w:rPr>
          <w:rFonts w:ascii="Times New Roman" w:hAnsi="Times New Roman" w:cs="Times New Roman"/>
          <w:lang w:val="en-US"/>
        </w:rPr>
        <w:t xml:space="preserve">Unpicking the etymological aspects of these judgments </w:t>
      </w:r>
      <w:r w:rsidR="00663EE8">
        <w:rPr>
          <w:rFonts w:ascii="Times New Roman" w:hAnsi="Times New Roman" w:cs="Times New Roman"/>
          <w:lang w:val="en-US"/>
        </w:rPr>
        <w:t>shows</w:t>
      </w:r>
      <w:r w:rsidR="00E0153E">
        <w:rPr>
          <w:rFonts w:ascii="Times New Roman" w:hAnsi="Times New Roman" w:cs="Times New Roman"/>
          <w:lang w:val="en-US"/>
        </w:rPr>
        <w:t xml:space="preserve"> that the older disabled person’s body in fact lies at the very heart of the courts’ legal and moral reasoning.</w:t>
      </w:r>
    </w:p>
    <w:p w14:paraId="0443F090" w14:textId="77777777" w:rsidR="00F80FFD" w:rsidRDefault="00F80FFD" w:rsidP="00F80FFD">
      <w:pPr>
        <w:spacing w:line="360" w:lineRule="auto"/>
        <w:jc w:val="both"/>
        <w:rPr>
          <w:rFonts w:ascii="Times New Roman" w:hAnsi="Times New Roman" w:cs="Times New Roman"/>
        </w:rPr>
      </w:pPr>
    </w:p>
    <w:p w14:paraId="3D707E02" w14:textId="00A45E6D" w:rsidR="00710428" w:rsidRDefault="00A42AB4" w:rsidP="001D7870">
      <w:pPr>
        <w:spacing w:line="360" w:lineRule="auto"/>
        <w:jc w:val="both"/>
        <w:outlineLvl w:val="0"/>
        <w:rPr>
          <w:rFonts w:ascii="Times New Roman" w:hAnsi="Times New Roman" w:cs="Times New Roman"/>
          <w:b/>
        </w:rPr>
      </w:pPr>
      <w:r w:rsidRPr="00AA4ECB">
        <w:rPr>
          <w:rFonts w:ascii="Times New Roman" w:hAnsi="Times New Roman" w:cs="Times New Roman"/>
          <w:b/>
        </w:rPr>
        <w:t>2. Discourse Analysis</w:t>
      </w:r>
      <w:r w:rsidR="00832A27">
        <w:rPr>
          <w:rFonts w:ascii="Times New Roman" w:hAnsi="Times New Roman" w:cs="Times New Roman"/>
          <w:b/>
        </w:rPr>
        <w:t xml:space="preserve"> and Law</w:t>
      </w:r>
    </w:p>
    <w:p w14:paraId="66BC8569" w14:textId="4C5D9428" w:rsidR="005968C6" w:rsidRDefault="00A01568" w:rsidP="00832A27">
      <w:pPr>
        <w:spacing w:line="360" w:lineRule="auto"/>
        <w:jc w:val="both"/>
        <w:rPr>
          <w:rFonts w:ascii="Times New Roman" w:hAnsi="Times New Roman" w:cs="Times New Roman"/>
        </w:rPr>
      </w:pPr>
      <w:r>
        <w:rPr>
          <w:rFonts w:ascii="Times New Roman" w:hAnsi="Times New Roman" w:cs="Times New Roman"/>
        </w:rPr>
        <w:t>Before moving on to the discussion</w:t>
      </w:r>
      <w:r w:rsidR="00642931">
        <w:rPr>
          <w:rFonts w:ascii="Times New Roman" w:hAnsi="Times New Roman" w:cs="Times New Roman"/>
        </w:rPr>
        <w:t xml:space="preserve"> of the cases</w:t>
      </w:r>
      <w:r>
        <w:rPr>
          <w:rFonts w:ascii="Times New Roman" w:hAnsi="Times New Roman" w:cs="Times New Roman"/>
        </w:rPr>
        <w:t xml:space="preserve"> that form</w:t>
      </w:r>
      <w:r w:rsidR="00E62E43">
        <w:rPr>
          <w:rFonts w:ascii="Times New Roman" w:hAnsi="Times New Roman" w:cs="Times New Roman"/>
        </w:rPr>
        <w:t>s</w:t>
      </w:r>
      <w:r>
        <w:rPr>
          <w:rFonts w:ascii="Times New Roman" w:hAnsi="Times New Roman" w:cs="Times New Roman"/>
        </w:rPr>
        <w:t xml:space="preserve"> the remainder of the paper, it is necessary to briefly outline what is meant by discourse analysis and its benefits as a methodological framework in a legal context. </w:t>
      </w:r>
      <w:r w:rsidR="00642931">
        <w:rPr>
          <w:rFonts w:ascii="Times New Roman" w:hAnsi="Times New Roman" w:cs="Times New Roman"/>
        </w:rPr>
        <w:t>Discourse</w:t>
      </w:r>
      <w:r w:rsidR="00832A27">
        <w:rPr>
          <w:rFonts w:ascii="Times New Roman" w:hAnsi="Times New Roman" w:cs="Times New Roman"/>
        </w:rPr>
        <w:t xml:space="preserve"> analysis is predominantly concerned with the use and structure of language across different domains and disciplines. More specifically, it is concerned with examining ‘what language is used </w:t>
      </w:r>
      <w:r w:rsidR="00832A27" w:rsidRPr="00832A27">
        <w:rPr>
          <w:rFonts w:ascii="Times New Roman" w:hAnsi="Times New Roman" w:cs="Times New Roman"/>
          <w:i/>
        </w:rPr>
        <w:t>for</w:t>
      </w:r>
      <w:r w:rsidR="00832A27">
        <w:rPr>
          <w:rFonts w:ascii="Times New Roman" w:hAnsi="Times New Roman" w:cs="Times New Roman"/>
        </w:rPr>
        <w:t>’ (Brown and Yule, 1983, 1).</w:t>
      </w:r>
      <w:r w:rsidR="005968C6">
        <w:rPr>
          <w:rFonts w:ascii="Times New Roman" w:hAnsi="Times New Roman" w:cs="Times New Roman"/>
        </w:rPr>
        <w:t xml:space="preserve"> One of the central objectives of discourse analysis, is therefore to</w:t>
      </w:r>
      <w:r w:rsidR="00E0153E">
        <w:rPr>
          <w:rFonts w:ascii="Times New Roman" w:hAnsi="Times New Roman" w:cs="Times New Roman"/>
        </w:rPr>
        <w:t xml:space="preserve"> navigate and </w:t>
      </w:r>
      <w:r w:rsidR="005968C6">
        <w:rPr>
          <w:rFonts w:ascii="Times New Roman" w:hAnsi="Times New Roman" w:cs="Times New Roman"/>
        </w:rPr>
        <w:t>investigate</w:t>
      </w:r>
      <w:r w:rsidR="00832A27">
        <w:rPr>
          <w:rFonts w:ascii="Times New Roman" w:hAnsi="Times New Roman" w:cs="Times New Roman"/>
        </w:rPr>
        <w:t xml:space="preserve"> the way in which language can be used in a performative manner; </w:t>
      </w:r>
      <w:r w:rsidR="005968C6">
        <w:rPr>
          <w:rFonts w:ascii="Times New Roman" w:hAnsi="Times New Roman" w:cs="Times New Roman"/>
        </w:rPr>
        <w:t xml:space="preserve">language </w:t>
      </w:r>
      <w:r w:rsidR="00832A27">
        <w:rPr>
          <w:rFonts w:ascii="Times New Roman" w:hAnsi="Times New Roman" w:cs="Times New Roman"/>
        </w:rPr>
        <w:t>as ‘constitutive of the social world’ (Harding, 2012, 434)</w:t>
      </w:r>
      <w:r w:rsidR="00E0153E">
        <w:rPr>
          <w:rFonts w:ascii="Times New Roman" w:hAnsi="Times New Roman" w:cs="Times New Roman"/>
        </w:rPr>
        <w:t xml:space="preserve">. In effect, looking more closely the way things are written about can help us to understand </w:t>
      </w:r>
      <w:r w:rsidR="00832A27">
        <w:rPr>
          <w:rFonts w:ascii="Times New Roman" w:hAnsi="Times New Roman" w:cs="Times New Roman"/>
        </w:rPr>
        <w:t>the way these things are constructed and perceived in a particular context</w:t>
      </w:r>
      <w:r w:rsidR="00650240">
        <w:rPr>
          <w:rFonts w:ascii="Times New Roman" w:hAnsi="Times New Roman" w:cs="Times New Roman"/>
        </w:rPr>
        <w:t>.</w:t>
      </w:r>
      <w:r w:rsidR="00E0153E">
        <w:rPr>
          <w:rFonts w:ascii="Times New Roman" w:hAnsi="Times New Roman" w:cs="Times New Roman"/>
        </w:rPr>
        <w:t xml:space="preserve"> </w:t>
      </w:r>
      <w:r w:rsidR="00642931">
        <w:rPr>
          <w:rFonts w:ascii="Times New Roman" w:hAnsi="Times New Roman" w:cs="Times New Roman"/>
        </w:rPr>
        <w:t>As Black (2010, 2)</w:t>
      </w:r>
      <w:r w:rsidR="005968C6">
        <w:rPr>
          <w:rFonts w:ascii="Times New Roman" w:hAnsi="Times New Roman" w:cs="Times New Roman"/>
        </w:rPr>
        <w:t xml:space="preserve"> - writing specifically about the use of discourse analysis in a legal or regulatory context -</w:t>
      </w:r>
      <w:r w:rsidR="00642931">
        <w:rPr>
          <w:rFonts w:ascii="Times New Roman" w:hAnsi="Times New Roman" w:cs="Times New Roman"/>
        </w:rPr>
        <w:t xml:space="preserve"> outlines, ‘[d]iscourse analysis would go one step further in its own justification, for it contends that social action can be comprehended only by comprehending discourse, that discourse is the basis of social action in that it is constitutive, functional and coordinative.’</w:t>
      </w:r>
      <w:r w:rsidR="00A50F54">
        <w:rPr>
          <w:rFonts w:ascii="Times New Roman" w:hAnsi="Times New Roman" w:cs="Times New Roman"/>
        </w:rPr>
        <w:t xml:space="preserve"> </w:t>
      </w:r>
      <w:r w:rsidR="00A50F54" w:rsidRPr="00A50F54">
        <w:rPr>
          <w:rFonts w:ascii="Times New Roman" w:hAnsi="Times New Roman" w:cs="Times New Roman"/>
          <w:lang w:val="en-US"/>
        </w:rPr>
        <w:t xml:space="preserve">Although this article does not take a radically social constructionist stance towards language and the constructions of identities – that bodies are </w:t>
      </w:r>
      <w:r w:rsidR="00A50F54" w:rsidRPr="00A50F54">
        <w:rPr>
          <w:rFonts w:ascii="Times New Roman" w:hAnsi="Times New Roman" w:cs="Times New Roman"/>
          <w:i/>
          <w:lang w:val="en-US"/>
        </w:rPr>
        <w:t>entirely</w:t>
      </w:r>
      <w:r w:rsidR="00A50F54" w:rsidRPr="00A50F54">
        <w:rPr>
          <w:rFonts w:ascii="Times New Roman" w:hAnsi="Times New Roman" w:cs="Times New Roman"/>
          <w:lang w:val="en-US"/>
        </w:rPr>
        <w:t xml:space="preserve"> socially constructed by language and ideas – it does suggest that the way in which older bodies are identified with </w:t>
      </w:r>
      <w:r w:rsidR="00650240">
        <w:rPr>
          <w:rFonts w:ascii="Times New Roman" w:hAnsi="Times New Roman" w:cs="Times New Roman"/>
          <w:lang w:val="en-US"/>
        </w:rPr>
        <w:t xml:space="preserve">and described </w:t>
      </w:r>
      <w:r w:rsidR="00A50F54" w:rsidRPr="00A50F54">
        <w:rPr>
          <w:rFonts w:ascii="Times New Roman" w:hAnsi="Times New Roman" w:cs="Times New Roman"/>
          <w:lang w:val="en-US"/>
        </w:rPr>
        <w:t>through the use of language impacts on how the law interjects.</w:t>
      </w:r>
    </w:p>
    <w:p w14:paraId="49D635F4" w14:textId="77777777" w:rsidR="005968C6" w:rsidRDefault="005968C6" w:rsidP="00832A27">
      <w:pPr>
        <w:spacing w:line="360" w:lineRule="auto"/>
        <w:jc w:val="both"/>
        <w:rPr>
          <w:rFonts w:ascii="Times New Roman" w:hAnsi="Times New Roman" w:cs="Times New Roman"/>
        </w:rPr>
      </w:pPr>
    </w:p>
    <w:p w14:paraId="3CC72841" w14:textId="584546B2" w:rsidR="00832A27" w:rsidRPr="005968C6" w:rsidRDefault="005968C6" w:rsidP="00832A27">
      <w:pPr>
        <w:spacing w:line="360" w:lineRule="auto"/>
        <w:jc w:val="both"/>
        <w:rPr>
          <w:rFonts w:ascii="Times New Roman" w:hAnsi="Times New Roman" w:cs="Times New Roman"/>
          <w:lang w:val="en-US"/>
        </w:rPr>
      </w:pPr>
      <w:r w:rsidRPr="005968C6">
        <w:rPr>
          <w:rFonts w:ascii="Times New Roman" w:hAnsi="Times New Roman" w:cs="Times New Roman"/>
        </w:rPr>
        <w:t>It is not difficult to see, given this dual aspect to discourse analysis, how it might be used in critiquing law. As</w:t>
      </w:r>
      <w:r w:rsidR="00642931" w:rsidRPr="005968C6">
        <w:rPr>
          <w:rFonts w:ascii="Times New Roman" w:hAnsi="Times New Roman" w:cs="Times New Roman"/>
        </w:rPr>
        <w:t xml:space="preserve"> outlined in the introduction,</w:t>
      </w:r>
      <w:r w:rsidRPr="005968C6">
        <w:rPr>
          <w:rFonts w:ascii="Times New Roman" w:hAnsi="Times New Roman" w:cs="Times New Roman"/>
        </w:rPr>
        <w:t xml:space="preserve"> and above,</w:t>
      </w:r>
      <w:r w:rsidR="00642931" w:rsidRPr="005968C6">
        <w:rPr>
          <w:rFonts w:ascii="Times New Roman" w:hAnsi="Times New Roman" w:cs="Times New Roman"/>
        </w:rPr>
        <w:t xml:space="preserve"> discourse analysis requires a focus both on the very language used, but also its effects</w:t>
      </w:r>
      <w:r w:rsidRPr="005968C6">
        <w:rPr>
          <w:rFonts w:ascii="Times New Roman" w:hAnsi="Times New Roman" w:cs="Times New Roman"/>
        </w:rPr>
        <w:t xml:space="preserve">. In legal terms, this translates into, first, an analysis of the language spoken by the law – in this paper, the courts as a manifestation of the ‘law’ – and furthermore, </w:t>
      </w:r>
      <w:r w:rsidR="00642931" w:rsidRPr="005968C6">
        <w:rPr>
          <w:rFonts w:ascii="Times New Roman" w:hAnsi="Times New Roman" w:cs="Times New Roman"/>
        </w:rPr>
        <w:t xml:space="preserve">how that language justifies the law being ‘performed’ or </w:t>
      </w:r>
      <w:r w:rsidR="00642931" w:rsidRPr="005968C6">
        <w:rPr>
          <w:rFonts w:ascii="Times New Roman" w:hAnsi="Times New Roman" w:cs="Times New Roman"/>
        </w:rPr>
        <w:lastRenderedPageBreak/>
        <w:t xml:space="preserve">implemented in a certain way. </w:t>
      </w:r>
      <w:r w:rsidRPr="005968C6">
        <w:rPr>
          <w:rFonts w:ascii="Times New Roman" w:hAnsi="Times New Roman" w:cs="Times New Roman"/>
        </w:rPr>
        <w:t xml:space="preserve">While, as Harding (2012, 434) notes, discourse analysis has not </w:t>
      </w:r>
      <w:r w:rsidR="0042141A">
        <w:rPr>
          <w:rFonts w:ascii="Times New Roman" w:hAnsi="Times New Roman" w:cs="Times New Roman"/>
        </w:rPr>
        <w:t>yet gained much traction in socio-legal studies,</w:t>
      </w:r>
      <w:r w:rsidRPr="005968C6">
        <w:rPr>
          <w:rFonts w:ascii="Times New Roman" w:hAnsi="Times New Roman" w:cs="Times New Roman"/>
        </w:rPr>
        <w:t xml:space="preserve"> there is some evidence of its utility in critiquing the law and its application.  </w:t>
      </w:r>
      <w:r w:rsidR="00642931" w:rsidRPr="005968C6">
        <w:rPr>
          <w:rFonts w:ascii="Times New Roman" w:hAnsi="Times New Roman" w:cs="Times New Roman"/>
        </w:rPr>
        <w:t xml:space="preserve">Stefan (1993), for example, in part uses discourse analysis to scrutinise discursive and testimonial interactions between judges and women who are subject of guardianship proceedings in America in order to demonstrate the ‘relational and </w:t>
      </w:r>
      <w:r w:rsidR="00A50F54">
        <w:rPr>
          <w:rFonts w:ascii="Times New Roman" w:hAnsi="Times New Roman" w:cs="Times New Roman"/>
        </w:rPr>
        <w:t>contextual’ nature of</w:t>
      </w:r>
      <w:r w:rsidR="00642931" w:rsidRPr="005968C6">
        <w:rPr>
          <w:rFonts w:ascii="Times New Roman" w:hAnsi="Times New Roman" w:cs="Times New Roman"/>
        </w:rPr>
        <w:t xml:space="preserve"> judgements</w:t>
      </w:r>
      <w:r w:rsidR="00A50F54">
        <w:rPr>
          <w:rFonts w:ascii="Times New Roman" w:hAnsi="Times New Roman" w:cs="Times New Roman"/>
        </w:rPr>
        <w:t xml:space="preserve"> about their mental competence</w:t>
      </w:r>
      <w:r w:rsidR="00642931" w:rsidRPr="005968C6">
        <w:rPr>
          <w:rFonts w:ascii="Times New Roman" w:hAnsi="Times New Roman" w:cs="Times New Roman"/>
        </w:rPr>
        <w:t xml:space="preserve"> (Stefan, 1993, 790). Likewise, Harding (2012) scrutinises how judicial discussions of autonomy and capacity in the context of </w:t>
      </w:r>
      <w:r w:rsidR="00650240">
        <w:rPr>
          <w:rFonts w:ascii="Times New Roman" w:hAnsi="Times New Roman" w:cs="Times New Roman"/>
        </w:rPr>
        <w:t>a person</w:t>
      </w:r>
      <w:r w:rsidR="00642931" w:rsidRPr="005968C6">
        <w:rPr>
          <w:rFonts w:ascii="Times New Roman" w:hAnsi="Times New Roman" w:cs="Times New Roman"/>
        </w:rPr>
        <w:t xml:space="preserve"> with dementia can help understand the way those individuals are situated within the regulatory and legal framework.</w:t>
      </w:r>
      <w:r w:rsidRPr="005968C6">
        <w:rPr>
          <w:rFonts w:ascii="Times New Roman" w:hAnsi="Times New Roman" w:cs="Times New Roman"/>
        </w:rPr>
        <w:t xml:space="preserve"> Lastly, and most recently, Harrington, Series, and Ruck Keene (2019) </w:t>
      </w:r>
      <w:r>
        <w:rPr>
          <w:rFonts w:ascii="Times New Roman" w:hAnsi="Times New Roman" w:cs="Times New Roman"/>
          <w:lang w:val="en-US"/>
        </w:rPr>
        <w:t xml:space="preserve">have drawn on the concept of </w:t>
      </w:r>
      <w:r w:rsidRPr="003F49E3">
        <w:rPr>
          <w:rFonts w:ascii="Times New Roman" w:hAnsi="Times New Roman" w:cs="Times New Roman"/>
          <w:lang w:val="en-US"/>
        </w:rPr>
        <w:t>rhetoric</w:t>
      </w:r>
      <w:r>
        <w:rPr>
          <w:rFonts w:ascii="Times New Roman" w:hAnsi="Times New Roman" w:cs="Times New Roman"/>
          <w:lang w:val="en-US"/>
        </w:rPr>
        <w:t xml:space="preserve"> in analyzing aspects of mental capacity law discourse in England and Wales. In doing so, they argue that ‘</w:t>
      </w:r>
      <w:r w:rsidRPr="003C4DD3">
        <w:rPr>
          <w:rFonts w:ascii="Times New Roman" w:hAnsi="Times New Roman" w:cs="Times New Roman"/>
          <w:lang w:val="en-US"/>
        </w:rPr>
        <w:t>ethical and legal debates concerning individual autonomy, medical paternalism, and judicial power, resolve into fundamentally rhetorical questions over who speaks and how they are represented, who is addressed and who is silenced’ (Harrington, Series, and Ruck Keene, 2019, 303</w:t>
      </w:r>
      <w:r w:rsidRPr="005968C6">
        <w:rPr>
          <w:rFonts w:ascii="Times New Roman" w:hAnsi="Times New Roman" w:cs="Times New Roman"/>
          <w:lang w:val="en-US"/>
        </w:rPr>
        <w:t xml:space="preserve">). </w:t>
      </w:r>
      <w:r w:rsidRPr="005968C6">
        <w:rPr>
          <w:rFonts w:ascii="Times New Roman" w:hAnsi="Times New Roman" w:cs="Times New Roman"/>
        </w:rPr>
        <w:t xml:space="preserve"> </w:t>
      </w:r>
      <w:r w:rsidR="00642931" w:rsidRPr="005968C6">
        <w:rPr>
          <w:rFonts w:ascii="Times New Roman" w:hAnsi="Times New Roman" w:cs="Times New Roman"/>
        </w:rPr>
        <w:t xml:space="preserve">The link that </w:t>
      </w:r>
      <w:r w:rsidRPr="005968C6">
        <w:rPr>
          <w:rFonts w:ascii="Times New Roman" w:hAnsi="Times New Roman" w:cs="Times New Roman"/>
        </w:rPr>
        <w:t>is inherent within discourse analysis -</w:t>
      </w:r>
      <w:r w:rsidR="00642931" w:rsidRPr="005968C6">
        <w:rPr>
          <w:rFonts w:ascii="Times New Roman" w:hAnsi="Times New Roman" w:cs="Times New Roman"/>
        </w:rPr>
        <w:t xml:space="preserve"> between language and its performative </w:t>
      </w:r>
      <w:r w:rsidRPr="005968C6">
        <w:rPr>
          <w:rFonts w:ascii="Times New Roman" w:hAnsi="Times New Roman" w:cs="Times New Roman"/>
        </w:rPr>
        <w:t>consequences –</w:t>
      </w:r>
      <w:r w:rsidR="00642931" w:rsidRPr="005968C6">
        <w:rPr>
          <w:rFonts w:ascii="Times New Roman" w:hAnsi="Times New Roman" w:cs="Times New Roman"/>
        </w:rPr>
        <w:t xml:space="preserve"> </w:t>
      </w:r>
      <w:r w:rsidRPr="005968C6">
        <w:rPr>
          <w:rFonts w:ascii="Times New Roman" w:hAnsi="Times New Roman" w:cs="Times New Roman"/>
        </w:rPr>
        <w:t xml:space="preserve">therefore </w:t>
      </w:r>
      <w:r w:rsidR="00642931" w:rsidRPr="005968C6">
        <w:rPr>
          <w:rFonts w:ascii="Times New Roman" w:hAnsi="Times New Roman" w:cs="Times New Roman"/>
        </w:rPr>
        <w:t xml:space="preserve">makes it a particularly </w:t>
      </w:r>
      <w:r w:rsidRPr="005968C6">
        <w:rPr>
          <w:rFonts w:ascii="Times New Roman" w:hAnsi="Times New Roman" w:cs="Times New Roman"/>
        </w:rPr>
        <w:t>interesting</w:t>
      </w:r>
      <w:r w:rsidR="00642931" w:rsidRPr="005968C6">
        <w:rPr>
          <w:rFonts w:ascii="Times New Roman" w:hAnsi="Times New Roman" w:cs="Times New Roman"/>
        </w:rPr>
        <w:t xml:space="preserve"> framework within which to analyse legal interactions</w:t>
      </w:r>
      <w:r w:rsidRPr="005968C6">
        <w:rPr>
          <w:rFonts w:ascii="Times New Roman" w:hAnsi="Times New Roman" w:cs="Times New Roman"/>
        </w:rPr>
        <w:t>, which – to put it at its most basic – typically include the performance of law following words spoken in statute or by a judge</w:t>
      </w:r>
      <w:r w:rsidR="00642931" w:rsidRPr="005968C6">
        <w:rPr>
          <w:rFonts w:ascii="Times New Roman" w:hAnsi="Times New Roman" w:cs="Times New Roman"/>
        </w:rPr>
        <w:t>.</w:t>
      </w:r>
    </w:p>
    <w:p w14:paraId="671EF134" w14:textId="77777777" w:rsidR="00832A27" w:rsidRDefault="00832A27" w:rsidP="00832A27">
      <w:pPr>
        <w:spacing w:line="360" w:lineRule="auto"/>
        <w:jc w:val="both"/>
        <w:rPr>
          <w:rFonts w:ascii="Times New Roman" w:hAnsi="Times New Roman" w:cs="Times New Roman"/>
        </w:rPr>
      </w:pPr>
    </w:p>
    <w:p w14:paraId="36382CFE" w14:textId="37875B23" w:rsidR="00616562" w:rsidRDefault="00832A27" w:rsidP="00832A27">
      <w:pPr>
        <w:spacing w:line="360" w:lineRule="auto"/>
        <w:jc w:val="both"/>
        <w:rPr>
          <w:rFonts w:ascii="Times New Roman" w:hAnsi="Times New Roman" w:cs="Times New Roman"/>
          <w:lang w:val="en-US"/>
        </w:rPr>
      </w:pPr>
      <w:r>
        <w:rPr>
          <w:rFonts w:ascii="Times New Roman" w:hAnsi="Times New Roman" w:cs="Times New Roman"/>
        </w:rPr>
        <w:t xml:space="preserve">At this point it is important to </w:t>
      </w:r>
      <w:r w:rsidR="005968C6">
        <w:rPr>
          <w:rFonts w:ascii="Times New Roman" w:hAnsi="Times New Roman" w:cs="Times New Roman"/>
        </w:rPr>
        <w:t>expand upon one</w:t>
      </w:r>
      <w:r w:rsidR="00A41A21">
        <w:rPr>
          <w:rFonts w:ascii="Times New Roman" w:hAnsi="Times New Roman" w:cs="Times New Roman"/>
        </w:rPr>
        <w:t xml:space="preserve"> </w:t>
      </w:r>
      <w:r>
        <w:rPr>
          <w:rFonts w:ascii="Times New Roman" w:hAnsi="Times New Roman" w:cs="Times New Roman"/>
        </w:rPr>
        <w:t xml:space="preserve">potential criticism about the use of discourse analysis in a legal context; what merit is there in </w:t>
      </w:r>
      <w:r w:rsidR="005968C6">
        <w:rPr>
          <w:rFonts w:ascii="Times New Roman" w:hAnsi="Times New Roman" w:cs="Times New Roman"/>
        </w:rPr>
        <w:t xml:space="preserve">looking at </w:t>
      </w:r>
      <w:r w:rsidR="005968C6" w:rsidRPr="00E83413">
        <w:rPr>
          <w:rFonts w:ascii="Times New Roman" w:hAnsi="Times New Roman" w:cs="Times New Roman"/>
          <w:i/>
        </w:rPr>
        <w:t>language</w:t>
      </w:r>
      <w:r w:rsidR="00C04FE0">
        <w:rPr>
          <w:rFonts w:ascii="Times New Roman" w:hAnsi="Times New Roman" w:cs="Times New Roman"/>
        </w:rPr>
        <w:t xml:space="preserve"> used about bodies</w:t>
      </w:r>
      <w:r>
        <w:rPr>
          <w:rFonts w:ascii="Times New Roman" w:hAnsi="Times New Roman" w:cs="Times New Roman"/>
        </w:rPr>
        <w:t xml:space="preserve">? Is it not the second dimension outlined above – the </w:t>
      </w:r>
      <w:r>
        <w:rPr>
          <w:rFonts w:ascii="Times New Roman" w:hAnsi="Times New Roman" w:cs="Times New Roman"/>
          <w:i/>
        </w:rPr>
        <w:t xml:space="preserve">substance </w:t>
      </w:r>
      <w:r>
        <w:rPr>
          <w:rFonts w:ascii="Times New Roman" w:hAnsi="Times New Roman" w:cs="Times New Roman"/>
        </w:rPr>
        <w:t>of the law alone – that is important</w:t>
      </w:r>
      <w:r w:rsidR="00E83413">
        <w:rPr>
          <w:rFonts w:ascii="Times New Roman" w:hAnsi="Times New Roman" w:cs="Times New Roman"/>
        </w:rPr>
        <w:t xml:space="preserve">; the aspect of the law that </w:t>
      </w:r>
      <w:r w:rsidR="00E83413">
        <w:rPr>
          <w:rFonts w:ascii="Times New Roman" w:hAnsi="Times New Roman" w:cs="Times New Roman"/>
          <w:i/>
        </w:rPr>
        <w:t xml:space="preserve">actually </w:t>
      </w:r>
      <w:r w:rsidR="00E83413">
        <w:rPr>
          <w:rFonts w:ascii="Times New Roman" w:hAnsi="Times New Roman" w:cs="Times New Roman"/>
        </w:rPr>
        <w:t>impacts on people,</w:t>
      </w:r>
      <w:r>
        <w:rPr>
          <w:rFonts w:ascii="Times New Roman" w:hAnsi="Times New Roman" w:cs="Times New Roman"/>
        </w:rPr>
        <w:t xml:space="preserve"> rather than the language used by the courts? </w:t>
      </w:r>
      <w:r w:rsidR="005968C6">
        <w:rPr>
          <w:rFonts w:ascii="Times New Roman" w:hAnsi="Times New Roman" w:cs="Times New Roman"/>
        </w:rPr>
        <w:t xml:space="preserve">In effect, should we not be concerned more with doctrine than with language? </w:t>
      </w:r>
      <w:r>
        <w:rPr>
          <w:rFonts w:ascii="Times New Roman" w:hAnsi="Times New Roman" w:cs="Times New Roman"/>
        </w:rPr>
        <w:t>On the one hand this criticism seems intuitive; why should we be bothered by the language used by courts in their engagement with older disabled bodies when in reality it is</w:t>
      </w:r>
      <w:r w:rsidR="00A41A21">
        <w:rPr>
          <w:rFonts w:ascii="Times New Roman" w:hAnsi="Times New Roman" w:cs="Times New Roman"/>
        </w:rPr>
        <w:t xml:space="preserve"> the end point -</w:t>
      </w:r>
      <w:r>
        <w:rPr>
          <w:rFonts w:ascii="Times New Roman" w:hAnsi="Times New Roman" w:cs="Times New Roman"/>
        </w:rPr>
        <w:t xml:space="preserve"> what the law </w:t>
      </w:r>
      <w:r>
        <w:rPr>
          <w:rFonts w:ascii="Times New Roman" w:hAnsi="Times New Roman" w:cs="Times New Roman"/>
          <w:i/>
        </w:rPr>
        <w:t>does</w:t>
      </w:r>
      <w:r>
        <w:rPr>
          <w:rFonts w:ascii="Times New Roman" w:hAnsi="Times New Roman" w:cs="Times New Roman"/>
        </w:rPr>
        <w:t xml:space="preserve"> </w:t>
      </w:r>
      <w:r w:rsidR="00A41A21">
        <w:rPr>
          <w:rFonts w:ascii="Times New Roman" w:hAnsi="Times New Roman" w:cs="Times New Roman"/>
        </w:rPr>
        <w:t xml:space="preserve">- </w:t>
      </w:r>
      <w:r>
        <w:rPr>
          <w:rFonts w:ascii="Times New Roman" w:hAnsi="Times New Roman" w:cs="Times New Roman"/>
        </w:rPr>
        <w:t xml:space="preserve">that </w:t>
      </w:r>
      <w:r w:rsidR="00C04FE0">
        <w:rPr>
          <w:rFonts w:ascii="Times New Roman" w:hAnsi="Times New Roman" w:cs="Times New Roman"/>
        </w:rPr>
        <w:t xml:space="preserve">perhaps </w:t>
      </w:r>
      <w:r>
        <w:rPr>
          <w:rFonts w:ascii="Times New Roman" w:hAnsi="Times New Roman" w:cs="Times New Roman"/>
        </w:rPr>
        <w:t xml:space="preserve">really ‘matters’? To the doctrinal lawyers, Douglas Meyers’ case, for example, was not </w:t>
      </w:r>
      <w:r w:rsidRPr="00AE43FE">
        <w:rPr>
          <w:rFonts w:ascii="Times New Roman" w:hAnsi="Times New Roman" w:cs="Times New Roman"/>
          <w:i/>
        </w:rPr>
        <w:t>really</w:t>
      </w:r>
      <w:r>
        <w:rPr>
          <w:rFonts w:ascii="Times New Roman" w:hAnsi="Times New Roman" w:cs="Times New Roman"/>
        </w:rPr>
        <w:t xml:space="preserve"> about corporeality. It was about the scope of the inherent jurisdiction to intervene in cases of neglect. Yet such a criticism creates an artificial separation between the substance of the law and the language of the law; a separation that discourse analysis </w:t>
      </w:r>
      <w:r w:rsidR="00D91FF6">
        <w:rPr>
          <w:rFonts w:ascii="Times New Roman" w:hAnsi="Times New Roman" w:cs="Times New Roman"/>
        </w:rPr>
        <w:t>bridges</w:t>
      </w:r>
      <w:r>
        <w:rPr>
          <w:rFonts w:ascii="Times New Roman" w:hAnsi="Times New Roman" w:cs="Times New Roman"/>
        </w:rPr>
        <w:t xml:space="preserve">. </w:t>
      </w:r>
      <w:r w:rsidR="00A41A21">
        <w:rPr>
          <w:rFonts w:ascii="Times New Roman" w:hAnsi="Times New Roman" w:cs="Times New Roman"/>
        </w:rPr>
        <w:t>As outlined above, o</w:t>
      </w:r>
      <w:r>
        <w:rPr>
          <w:rFonts w:ascii="Times New Roman" w:hAnsi="Times New Roman" w:cs="Times New Roman"/>
        </w:rPr>
        <w:t>ne of the central assumptions of discourse analysis, particularly critical discourse analysis</w:t>
      </w:r>
      <w:r w:rsidR="0012165C">
        <w:rPr>
          <w:rFonts w:ascii="Times New Roman" w:hAnsi="Times New Roman" w:cs="Times New Roman"/>
        </w:rPr>
        <w:t xml:space="preserve"> as distinct from other forms of discourse analysis</w:t>
      </w:r>
      <w:r>
        <w:rPr>
          <w:rFonts w:ascii="Times New Roman" w:hAnsi="Times New Roman" w:cs="Times New Roman"/>
        </w:rPr>
        <w:t xml:space="preserve">, is that language is </w:t>
      </w:r>
      <w:r w:rsidRPr="005A5ECA">
        <w:rPr>
          <w:rFonts w:ascii="Times New Roman" w:hAnsi="Times New Roman" w:cs="Times New Roman"/>
        </w:rPr>
        <w:t>performative (Fairclough, 2010)</w:t>
      </w:r>
      <w:r w:rsidR="005968C6">
        <w:rPr>
          <w:rFonts w:ascii="Times New Roman" w:hAnsi="Times New Roman" w:cs="Times New Roman"/>
        </w:rPr>
        <w:t xml:space="preserve"> in that it acts as</w:t>
      </w:r>
      <w:r>
        <w:rPr>
          <w:rFonts w:ascii="Times New Roman" w:hAnsi="Times New Roman" w:cs="Times New Roman"/>
        </w:rPr>
        <w:t xml:space="preserve"> a form of social practice which</w:t>
      </w:r>
      <w:r w:rsidR="00E83413">
        <w:rPr>
          <w:rFonts w:ascii="Times New Roman" w:hAnsi="Times New Roman" w:cs="Times New Roman"/>
        </w:rPr>
        <w:t xml:space="preserve"> sometimes</w:t>
      </w:r>
      <w:r>
        <w:rPr>
          <w:rFonts w:ascii="Times New Roman" w:hAnsi="Times New Roman" w:cs="Times New Roman"/>
        </w:rPr>
        <w:t xml:space="preserve"> serves to establish and reproduce relations of power</w:t>
      </w:r>
      <w:r w:rsidR="005968C6">
        <w:rPr>
          <w:rFonts w:ascii="Times New Roman" w:hAnsi="Times New Roman" w:cs="Times New Roman"/>
        </w:rPr>
        <w:t xml:space="preserve">. </w:t>
      </w:r>
      <w:r w:rsidR="00A50F54">
        <w:rPr>
          <w:rFonts w:ascii="Times New Roman" w:hAnsi="Times New Roman" w:cs="Times New Roman"/>
        </w:rPr>
        <w:t xml:space="preserve">Critical </w:t>
      </w:r>
      <w:r w:rsidR="00A50F54">
        <w:rPr>
          <w:rFonts w:ascii="Times New Roman" w:hAnsi="Times New Roman" w:cs="Times New Roman"/>
        </w:rPr>
        <w:lastRenderedPageBreak/>
        <w:t>discourse analysis</w:t>
      </w:r>
      <w:r w:rsidR="00E83413">
        <w:rPr>
          <w:rFonts w:ascii="Times New Roman" w:hAnsi="Times New Roman" w:cs="Times New Roman"/>
        </w:rPr>
        <w:t xml:space="preserve"> in particular, for example,</w:t>
      </w:r>
      <w:r>
        <w:rPr>
          <w:rFonts w:ascii="Times New Roman" w:hAnsi="Times New Roman" w:cs="Times New Roman"/>
        </w:rPr>
        <w:t xml:space="preserve"> is a ‘type of discourse analytical research that primarily studies the way social power abuse, dominance, and inequality are enacted, reproduced, and resisted by text and talk in the social and political context’ (van Dijk, 2001, 352). As such, using this particular mode analysis necessitates not only a focus on language, but also the results that flow from that language</w:t>
      </w:r>
      <w:r w:rsidR="005968C6">
        <w:rPr>
          <w:rFonts w:ascii="Times New Roman" w:hAnsi="Times New Roman" w:cs="Times New Roman"/>
        </w:rPr>
        <w:t xml:space="preserve"> in terms of the way they structure relations </w:t>
      </w:r>
      <w:r w:rsidR="00616562">
        <w:rPr>
          <w:rFonts w:ascii="Times New Roman" w:hAnsi="Times New Roman" w:cs="Times New Roman"/>
        </w:rPr>
        <w:t>between in</w:t>
      </w:r>
      <w:r w:rsidR="005968C6">
        <w:rPr>
          <w:rFonts w:ascii="Times New Roman" w:hAnsi="Times New Roman" w:cs="Times New Roman"/>
        </w:rPr>
        <w:t>dividuals</w:t>
      </w:r>
      <w:r>
        <w:rPr>
          <w:rFonts w:ascii="Times New Roman" w:hAnsi="Times New Roman" w:cs="Times New Roman"/>
        </w:rPr>
        <w:t xml:space="preserve">. </w:t>
      </w:r>
      <w:r w:rsidR="00C04FE0">
        <w:rPr>
          <w:rFonts w:ascii="Times New Roman" w:hAnsi="Times New Roman" w:cs="Times New Roman"/>
        </w:rPr>
        <w:t>This</w:t>
      </w:r>
      <w:r>
        <w:rPr>
          <w:rFonts w:ascii="Times New Roman" w:hAnsi="Times New Roman" w:cs="Times New Roman"/>
        </w:rPr>
        <w:t xml:space="preserve"> is perhaps what makes it such an interesting methodological and analytical framework for a discussion of the law, given that the law itself is</w:t>
      </w:r>
      <w:r w:rsidR="0012165C">
        <w:rPr>
          <w:rFonts w:ascii="Times New Roman" w:hAnsi="Times New Roman" w:cs="Times New Roman"/>
        </w:rPr>
        <w:t xml:space="preserve"> often</w:t>
      </w:r>
      <w:r>
        <w:rPr>
          <w:rFonts w:ascii="Times New Roman" w:hAnsi="Times New Roman" w:cs="Times New Roman"/>
        </w:rPr>
        <w:t xml:space="preserve"> a tool which arguably reproduces social and power imbalances in the way it is framed and applied (Hunter, McGlynn, and Rackley, 2010</w:t>
      </w:r>
      <w:r w:rsidR="00A50F54">
        <w:rPr>
          <w:rFonts w:ascii="Times New Roman" w:hAnsi="Times New Roman" w:cs="Times New Roman"/>
        </w:rPr>
        <w:t>; Keywood, 2000</w:t>
      </w:r>
      <w:r>
        <w:rPr>
          <w:rFonts w:ascii="Times New Roman" w:hAnsi="Times New Roman" w:cs="Times New Roman"/>
        </w:rPr>
        <w:t>). Language is a vital tool in understanding how individuals are related to and perceived, as well as in the construction and dissemination of ideas, boundaries, and laws</w:t>
      </w:r>
      <w:r w:rsidR="005968C6">
        <w:rPr>
          <w:rFonts w:ascii="Times New Roman" w:hAnsi="Times New Roman" w:cs="Times New Roman"/>
        </w:rPr>
        <w:t xml:space="preserve"> which can either empower, or disempower</w:t>
      </w:r>
      <w:r w:rsidR="00C04FE0">
        <w:rPr>
          <w:rFonts w:ascii="Times New Roman" w:hAnsi="Times New Roman" w:cs="Times New Roman"/>
        </w:rPr>
        <w:t xml:space="preserve">; </w:t>
      </w:r>
      <w:r>
        <w:rPr>
          <w:rFonts w:ascii="Times New Roman" w:hAnsi="Times New Roman" w:cs="Times New Roman"/>
        </w:rPr>
        <w:t>‘</w:t>
      </w:r>
      <w:r w:rsidRPr="00D4318C">
        <w:rPr>
          <w:rFonts w:ascii="Times New Roman" w:hAnsi="Times New Roman" w:cs="Times New Roman"/>
          <w:lang w:val="en-US"/>
        </w:rPr>
        <w:t>language is a signifying process, not simply a static system</w:t>
      </w:r>
      <w:r>
        <w:rPr>
          <w:rFonts w:ascii="Times New Roman" w:hAnsi="Times New Roman" w:cs="Times New Roman"/>
          <w:lang w:val="en-US"/>
        </w:rPr>
        <w:t xml:space="preserve">’ (Moi, 1984, 24). This is precisely why much work has been done in recent years to analyze, critique, and challenge the prevailing language associated with dementia, for example (Graham, 2017; Peel, 2014). </w:t>
      </w:r>
      <w:r w:rsidR="00C04FE0">
        <w:rPr>
          <w:rFonts w:ascii="Times New Roman" w:hAnsi="Times New Roman" w:cs="Times New Roman"/>
          <w:lang w:val="en-US"/>
        </w:rPr>
        <w:t>As Clarke (2019, 38) notes</w:t>
      </w:r>
      <w:r w:rsidR="0042141A">
        <w:rPr>
          <w:rFonts w:ascii="Times New Roman" w:hAnsi="Times New Roman" w:cs="Times New Roman"/>
          <w:lang w:val="en-US"/>
        </w:rPr>
        <w:t xml:space="preserve"> specifically in the context of older age</w:t>
      </w:r>
      <w:r w:rsidR="00C04FE0">
        <w:rPr>
          <w:rFonts w:ascii="Times New Roman" w:hAnsi="Times New Roman" w:cs="Times New Roman"/>
          <w:lang w:val="en-US"/>
        </w:rPr>
        <w:t xml:space="preserve">, ‘[o]lder adults’ unequal access to resources, representation and recognition are additionally reflected in and constituted by the ways that their corporeality is given meaning through symbolic signification.’ </w:t>
      </w:r>
    </w:p>
    <w:p w14:paraId="660E844E" w14:textId="77777777" w:rsidR="00616562" w:rsidRDefault="00616562" w:rsidP="00832A27">
      <w:pPr>
        <w:spacing w:line="360" w:lineRule="auto"/>
        <w:jc w:val="both"/>
        <w:rPr>
          <w:rFonts w:ascii="Times New Roman" w:hAnsi="Times New Roman" w:cs="Times New Roman"/>
          <w:lang w:val="en-US"/>
        </w:rPr>
      </w:pPr>
    </w:p>
    <w:p w14:paraId="1AA73DEF" w14:textId="51708FBA" w:rsidR="00832A27" w:rsidRDefault="00616562" w:rsidP="00616562">
      <w:pPr>
        <w:spacing w:line="360" w:lineRule="auto"/>
        <w:ind w:right="20"/>
        <w:jc w:val="both"/>
        <w:rPr>
          <w:rFonts w:ascii="Times New Roman" w:hAnsi="Times New Roman" w:cs="Times New Roman"/>
          <w:lang w:val="en-US"/>
        </w:rPr>
      </w:pPr>
      <w:r w:rsidRPr="008C2E5A">
        <w:rPr>
          <w:rFonts w:ascii="Times New Roman" w:hAnsi="Times New Roman" w:cs="Times New Roman"/>
        </w:rPr>
        <w:t xml:space="preserve">In much the same vein, this paper uses </w:t>
      </w:r>
      <w:r>
        <w:rPr>
          <w:rFonts w:ascii="Times New Roman" w:hAnsi="Times New Roman" w:cs="Times New Roman"/>
        </w:rPr>
        <w:t>discourse analysis</w:t>
      </w:r>
      <w:r w:rsidRPr="008C2E5A">
        <w:rPr>
          <w:rFonts w:ascii="Times New Roman" w:hAnsi="Times New Roman" w:cs="Times New Roman"/>
        </w:rPr>
        <w:t xml:space="preserve"> as outlined here to show how </w:t>
      </w:r>
      <w:r w:rsidR="0042141A">
        <w:rPr>
          <w:rFonts w:ascii="Times New Roman" w:hAnsi="Times New Roman" w:cs="Times New Roman"/>
        </w:rPr>
        <w:t xml:space="preserve">the </w:t>
      </w:r>
      <w:r w:rsidRPr="008C2E5A">
        <w:rPr>
          <w:rFonts w:ascii="Times New Roman" w:hAnsi="Times New Roman" w:cs="Times New Roman"/>
        </w:rPr>
        <w:t xml:space="preserve">law </w:t>
      </w:r>
      <w:r w:rsidR="00E83413">
        <w:rPr>
          <w:rFonts w:ascii="Times New Roman" w:hAnsi="Times New Roman" w:cs="Times New Roman"/>
        </w:rPr>
        <w:t>may</w:t>
      </w:r>
      <w:r w:rsidRPr="008C2E5A">
        <w:rPr>
          <w:rFonts w:ascii="Times New Roman" w:hAnsi="Times New Roman" w:cs="Times New Roman"/>
        </w:rPr>
        <w:t xml:space="preserve"> be seen as </w:t>
      </w:r>
      <w:r w:rsidR="0042141A">
        <w:rPr>
          <w:rFonts w:ascii="Times New Roman" w:hAnsi="Times New Roman" w:cs="Times New Roman"/>
        </w:rPr>
        <w:t xml:space="preserve">establishing and </w:t>
      </w:r>
      <w:r w:rsidRPr="008C2E5A">
        <w:rPr>
          <w:rFonts w:ascii="Times New Roman" w:hAnsi="Times New Roman" w:cs="Times New Roman"/>
        </w:rPr>
        <w:t>reinforcing the disempowerment of older adults</w:t>
      </w:r>
      <w:r>
        <w:rPr>
          <w:rFonts w:ascii="Times New Roman" w:hAnsi="Times New Roman" w:cs="Times New Roman"/>
        </w:rPr>
        <w:t xml:space="preserve"> through the way their bodies are spoken about</w:t>
      </w:r>
      <w:r w:rsidR="00E83413">
        <w:rPr>
          <w:rFonts w:ascii="Times New Roman" w:hAnsi="Times New Roman" w:cs="Times New Roman"/>
        </w:rPr>
        <w:t xml:space="preserve"> as abject; as ‘not normal bodies’</w:t>
      </w:r>
      <w:r w:rsidRPr="008C2E5A">
        <w:rPr>
          <w:rFonts w:ascii="Times New Roman" w:hAnsi="Times New Roman" w:cs="Times New Roman"/>
        </w:rPr>
        <w:t>. As Harrington, Series, and Ruck Keene</w:t>
      </w:r>
      <w:r>
        <w:rPr>
          <w:rFonts w:ascii="Times New Roman" w:hAnsi="Times New Roman" w:cs="Times New Roman"/>
        </w:rPr>
        <w:t xml:space="preserve"> (2019, 314)</w:t>
      </w:r>
      <w:r w:rsidRPr="008C2E5A">
        <w:rPr>
          <w:rFonts w:ascii="Times New Roman" w:hAnsi="Times New Roman" w:cs="Times New Roman"/>
        </w:rPr>
        <w:t xml:space="preserve"> </w:t>
      </w:r>
      <w:r>
        <w:rPr>
          <w:rFonts w:ascii="Times New Roman" w:hAnsi="Times New Roman" w:cs="Times New Roman"/>
        </w:rPr>
        <w:t>argue in their paper on rhetoric, ‘i</w:t>
      </w:r>
      <w:r w:rsidRPr="008C2E5A">
        <w:rPr>
          <w:rFonts w:ascii="Times New Roman" w:hAnsi="Times New Roman" w:cs="Times New Roman"/>
        </w:rPr>
        <w:t>n so far as law is rhetorical, it is an argument about these constitutional issues, of inclusion and exclusion, as much as about tactics for persuasion</w:t>
      </w:r>
      <w:r>
        <w:rPr>
          <w:rFonts w:ascii="Times New Roman" w:hAnsi="Times New Roman" w:cs="Times New Roman"/>
        </w:rPr>
        <w:t>.’</w:t>
      </w:r>
      <w:r w:rsidRPr="008C2E5A">
        <w:rPr>
          <w:rFonts w:ascii="Times New Roman" w:hAnsi="Times New Roman" w:cs="Times New Roman"/>
        </w:rPr>
        <w:t xml:space="preserve"> </w:t>
      </w:r>
      <w:r>
        <w:rPr>
          <w:rFonts w:ascii="Times New Roman" w:hAnsi="Times New Roman" w:cs="Times New Roman"/>
        </w:rPr>
        <w:t xml:space="preserve">As </w:t>
      </w:r>
      <w:r w:rsidR="00832A27">
        <w:rPr>
          <w:rFonts w:ascii="Times New Roman" w:hAnsi="Times New Roman" w:cs="Times New Roman"/>
        </w:rPr>
        <w:t>will be shown later in the paper, language may convey values, and in doing so, sometimes help judges reach and rationalise certain substantive – arguably questionable – conclusions about the law and how it should apply to a</w:t>
      </w:r>
      <w:r w:rsidR="0012165C">
        <w:rPr>
          <w:rFonts w:ascii="Times New Roman" w:hAnsi="Times New Roman" w:cs="Times New Roman"/>
        </w:rPr>
        <w:t xml:space="preserve"> </w:t>
      </w:r>
      <w:r w:rsidR="00832A27">
        <w:rPr>
          <w:rFonts w:ascii="Times New Roman" w:hAnsi="Times New Roman" w:cs="Times New Roman"/>
        </w:rPr>
        <w:t xml:space="preserve">person (Harding, 2012; Harmon, 1990; Stefan, 1993; Kong </w:t>
      </w:r>
      <w:r w:rsidR="00832A27">
        <w:rPr>
          <w:rFonts w:ascii="Times New Roman" w:hAnsi="Times New Roman" w:cs="Times New Roman"/>
          <w:i/>
        </w:rPr>
        <w:t xml:space="preserve">et al, </w:t>
      </w:r>
      <w:r w:rsidR="00832A27">
        <w:rPr>
          <w:rFonts w:ascii="Times New Roman" w:hAnsi="Times New Roman" w:cs="Times New Roman"/>
        </w:rPr>
        <w:t xml:space="preserve">2019). </w:t>
      </w:r>
      <w:r w:rsidR="00832A27">
        <w:rPr>
          <w:rFonts w:ascii="Times New Roman" w:hAnsi="Times New Roman" w:cs="Times New Roman"/>
          <w:lang w:val="en-US"/>
        </w:rPr>
        <w:t xml:space="preserve">An analysis of both the language and how this impacts the operation of law on older bodies, is therefore crucial to discourse analysis. Moreover, without a methodological framework such as this, which </w:t>
      </w:r>
      <w:r w:rsidR="00C04FE0">
        <w:rPr>
          <w:rFonts w:ascii="Times New Roman" w:hAnsi="Times New Roman" w:cs="Times New Roman"/>
          <w:i/>
          <w:lang w:val="en-US"/>
        </w:rPr>
        <w:t>requires</w:t>
      </w:r>
      <w:r w:rsidR="00C04FE0">
        <w:rPr>
          <w:rFonts w:ascii="Times New Roman" w:hAnsi="Times New Roman" w:cs="Times New Roman"/>
          <w:lang w:val="en-US"/>
        </w:rPr>
        <w:t xml:space="preserve"> </w:t>
      </w:r>
      <w:r w:rsidR="00832A27">
        <w:rPr>
          <w:rFonts w:ascii="Times New Roman" w:hAnsi="Times New Roman" w:cs="Times New Roman"/>
          <w:lang w:val="en-US"/>
        </w:rPr>
        <w:t>us to</w:t>
      </w:r>
      <w:r>
        <w:rPr>
          <w:rFonts w:ascii="Times New Roman" w:hAnsi="Times New Roman" w:cs="Times New Roman"/>
          <w:lang w:val="en-US"/>
        </w:rPr>
        <w:t xml:space="preserve"> focus on</w:t>
      </w:r>
      <w:r w:rsidR="00650240">
        <w:rPr>
          <w:rFonts w:ascii="Times New Roman" w:hAnsi="Times New Roman" w:cs="Times New Roman"/>
          <w:lang w:val="en-US"/>
        </w:rPr>
        <w:t xml:space="preserve"> -</w:t>
      </w:r>
      <w:r>
        <w:rPr>
          <w:rFonts w:ascii="Times New Roman" w:hAnsi="Times New Roman" w:cs="Times New Roman"/>
          <w:lang w:val="en-US"/>
        </w:rPr>
        <w:t xml:space="preserve"> and</w:t>
      </w:r>
      <w:r w:rsidR="00832A27">
        <w:rPr>
          <w:rFonts w:ascii="Times New Roman" w:hAnsi="Times New Roman" w:cs="Times New Roman"/>
          <w:lang w:val="en-US"/>
        </w:rPr>
        <w:t xml:space="preserve"> question</w:t>
      </w:r>
      <w:r w:rsidR="00650240">
        <w:rPr>
          <w:rFonts w:ascii="Times New Roman" w:hAnsi="Times New Roman" w:cs="Times New Roman"/>
          <w:lang w:val="en-US"/>
        </w:rPr>
        <w:t xml:space="preserve"> -</w:t>
      </w:r>
      <w:r w:rsidR="00832A27">
        <w:rPr>
          <w:rFonts w:ascii="Times New Roman" w:hAnsi="Times New Roman" w:cs="Times New Roman"/>
          <w:lang w:val="en-US"/>
        </w:rPr>
        <w:t xml:space="preserve"> the meaning behind language</w:t>
      </w:r>
      <w:r w:rsidR="00650240">
        <w:rPr>
          <w:rFonts w:ascii="Times New Roman" w:hAnsi="Times New Roman" w:cs="Times New Roman"/>
          <w:lang w:val="en-US"/>
        </w:rPr>
        <w:t xml:space="preserve">, as well as </w:t>
      </w:r>
      <w:r>
        <w:rPr>
          <w:rFonts w:ascii="Times New Roman" w:hAnsi="Times New Roman" w:cs="Times New Roman"/>
          <w:lang w:val="en-US"/>
        </w:rPr>
        <w:t>doctrine</w:t>
      </w:r>
      <w:r w:rsidR="00832A27">
        <w:rPr>
          <w:rFonts w:ascii="Times New Roman" w:hAnsi="Times New Roman" w:cs="Times New Roman"/>
          <w:lang w:val="en-US"/>
        </w:rPr>
        <w:t xml:space="preserve">, we risk overlooking the fact that legal decision-making about older bodies is never value-free, and almost always value-laden. As Louise Harmon notes in this context, ‘...as we write and talk passionately about what to do with the body of the incompetent, we should be careful not </w:t>
      </w:r>
      <w:r w:rsidR="00832A27">
        <w:rPr>
          <w:rFonts w:ascii="Times New Roman" w:hAnsi="Times New Roman" w:cs="Times New Roman"/>
          <w:lang w:val="en-US"/>
        </w:rPr>
        <w:lastRenderedPageBreak/>
        <w:t xml:space="preserve">only about what we say, but also about the way in which we say it’ (Harmon, 1990, 71). Language – including language used by courts – is important. Language can symbolize, rationalize, and – as will be shown in this paper – legitimize the way the law is applied to older bodies and legitimize the constraints placed on bodily autonomy. </w:t>
      </w:r>
    </w:p>
    <w:p w14:paraId="1F9EE753" w14:textId="77777777" w:rsidR="006F3B1B" w:rsidRDefault="006F3B1B" w:rsidP="00F80FFD">
      <w:pPr>
        <w:spacing w:line="360" w:lineRule="auto"/>
        <w:jc w:val="both"/>
        <w:rPr>
          <w:rFonts w:ascii="Times New Roman" w:hAnsi="Times New Roman" w:cs="Times New Roman"/>
          <w:b/>
        </w:rPr>
      </w:pPr>
    </w:p>
    <w:p w14:paraId="7DBE343C" w14:textId="550D5152" w:rsidR="00364A59" w:rsidRDefault="005D5395" w:rsidP="001D7870">
      <w:pPr>
        <w:widowControl w:val="0"/>
        <w:autoSpaceDE w:val="0"/>
        <w:autoSpaceDN w:val="0"/>
        <w:adjustRightInd w:val="0"/>
        <w:spacing w:line="360" w:lineRule="auto"/>
        <w:jc w:val="both"/>
        <w:outlineLvl w:val="0"/>
        <w:rPr>
          <w:rFonts w:ascii="Times New Roman" w:hAnsi="Times New Roman" w:cs="Times New Roman"/>
          <w:b/>
        </w:rPr>
      </w:pPr>
      <w:r>
        <w:rPr>
          <w:rFonts w:ascii="Times New Roman" w:hAnsi="Times New Roman" w:cs="Times New Roman"/>
          <w:b/>
        </w:rPr>
        <w:t>3</w:t>
      </w:r>
      <w:r w:rsidR="00861919" w:rsidRPr="009E4E3F">
        <w:rPr>
          <w:rFonts w:ascii="Times New Roman" w:hAnsi="Times New Roman" w:cs="Times New Roman"/>
          <w:b/>
        </w:rPr>
        <w:t xml:space="preserve">. </w:t>
      </w:r>
      <w:r w:rsidR="00807EFB">
        <w:rPr>
          <w:rFonts w:ascii="Times New Roman" w:hAnsi="Times New Roman" w:cs="Times New Roman"/>
          <w:b/>
        </w:rPr>
        <w:t>The Older</w:t>
      </w:r>
      <w:r w:rsidR="00922B61">
        <w:rPr>
          <w:rFonts w:ascii="Times New Roman" w:hAnsi="Times New Roman" w:cs="Times New Roman"/>
          <w:b/>
        </w:rPr>
        <w:t xml:space="preserve"> Disabled</w:t>
      </w:r>
      <w:r w:rsidR="00807EFB">
        <w:rPr>
          <w:rFonts w:ascii="Times New Roman" w:hAnsi="Times New Roman" w:cs="Times New Roman"/>
          <w:b/>
        </w:rPr>
        <w:t xml:space="preserve"> Body </w:t>
      </w:r>
      <w:r w:rsidR="00650240">
        <w:rPr>
          <w:rFonts w:ascii="Times New Roman" w:hAnsi="Times New Roman" w:cs="Times New Roman"/>
          <w:b/>
        </w:rPr>
        <w:t>at the Juncture of Mental Capacity and Incapacity</w:t>
      </w:r>
    </w:p>
    <w:p w14:paraId="458E81B8" w14:textId="32CCD02C" w:rsidR="00130FC8" w:rsidRPr="00AA4ECB" w:rsidRDefault="00A01568" w:rsidP="00130FC8">
      <w:pPr>
        <w:widowControl w:val="0"/>
        <w:autoSpaceDE w:val="0"/>
        <w:autoSpaceDN w:val="0"/>
        <w:adjustRightInd w:val="0"/>
        <w:spacing w:line="360" w:lineRule="auto"/>
        <w:jc w:val="both"/>
        <w:rPr>
          <w:rFonts w:ascii="Times New Roman" w:hAnsi="Times New Roman" w:cs="Times New Roman"/>
          <w:lang w:val="en-US"/>
        </w:rPr>
      </w:pPr>
      <w:r>
        <w:rPr>
          <w:rFonts w:ascii="Times New Roman" w:hAnsi="Times New Roman" w:cs="Times New Roman"/>
          <w:u w:val="single"/>
        </w:rPr>
        <w:t>The paper now turns to</w:t>
      </w:r>
      <w:r w:rsidR="00650240">
        <w:rPr>
          <w:rFonts w:ascii="Times New Roman" w:hAnsi="Times New Roman" w:cs="Times New Roman"/>
          <w:u w:val="single"/>
        </w:rPr>
        <w:t xml:space="preserve"> </w:t>
      </w:r>
      <w:r w:rsidR="00650240" w:rsidRPr="0042141A">
        <w:rPr>
          <w:rFonts w:ascii="Times New Roman" w:hAnsi="Times New Roman" w:cs="Times New Roman"/>
          <w:u w:val="single"/>
        </w:rPr>
        <w:t>three</w:t>
      </w:r>
      <w:r w:rsidR="00650240">
        <w:rPr>
          <w:rFonts w:ascii="Times New Roman" w:hAnsi="Times New Roman" w:cs="Times New Roman"/>
          <w:u w:val="single"/>
        </w:rPr>
        <w:t xml:space="preserve"> of</w:t>
      </w:r>
      <w:r>
        <w:rPr>
          <w:rFonts w:ascii="Times New Roman" w:hAnsi="Times New Roman" w:cs="Times New Roman"/>
          <w:u w:val="single"/>
        </w:rPr>
        <w:t xml:space="preserve"> the </w:t>
      </w:r>
      <w:r w:rsidRPr="00650240">
        <w:rPr>
          <w:rFonts w:ascii="Times New Roman" w:hAnsi="Times New Roman" w:cs="Times New Roman"/>
          <w:u w:val="single"/>
        </w:rPr>
        <w:t>five</w:t>
      </w:r>
      <w:r>
        <w:rPr>
          <w:rFonts w:ascii="Times New Roman" w:hAnsi="Times New Roman" w:cs="Times New Roman"/>
          <w:u w:val="single"/>
        </w:rPr>
        <w:t xml:space="preserve"> cases </w:t>
      </w:r>
      <w:r w:rsidR="00D13397">
        <w:rPr>
          <w:rFonts w:ascii="Times New Roman" w:hAnsi="Times New Roman" w:cs="Times New Roman"/>
          <w:u w:val="single"/>
        </w:rPr>
        <w:t>which form the basis of the discourse analysis. Each of these cases</w:t>
      </w:r>
      <w:r w:rsidR="00650240">
        <w:rPr>
          <w:rFonts w:ascii="Times New Roman" w:hAnsi="Times New Roman" w:cs="Times New Roman"/>
          <w:u w:val="single"/>
        </w:rPr>
        <w:t xml:space="preserve"> </w:t>
      </w:r>
      <w:r w:rsidR="00D13397">
        <w:rPr>
          <w:rFonts w:ascii="Times New Roman" w:hAnsi="Times New Roman" w:cs="Times New Roman"/>
          <w:u w:val="single"/>
        </w:rPr>
        <w:t>are drawn from the field of mental disability and mental capacity law in England and Wales, but concern older adults with physical and</w:t>
      </w:r>
      <w:r w:rsidR="0012165C">
        <w:rPr>
          <w:rFonts w:ascii="Times New Roman" w:hAnsi="Times New Roman" w:cs="Times New Roman"/>
          <w:u w:val="single"/>
        </w:rPr>
        <w:t>, in some circumstances,</w:t>
      </w:r>
      <w:r w:rsidR="00D13397">
        <w:rPr>
          <w:rFonts w:ascii="Times New Roman" w:hAnsi="Times New Roman" w:cs="Times New Roman"/>
          <w:u w:val="single"/>
        </w:rPr>
        <w:t xml:space="preserve"> mental impairments. It is</w:t>
      </w:r>
      <w:r w:rsidR="001D7870">
        <w:rPr>
          <w:rFonts w:ascii="Times New Roman" w:hAnsi="Times New Roman" w:cs="Times New Roman"/>
          <w:u w:val="single"/>
        </w:rPr>
        <w:t xml:space="preserve"> predominantly</w:t>
      </w:r>
      <w:r w:rsidR="00D13397">
        <w:rPr>
          <w:rFonts w:ascii="Times New Roman" w:hAnsi="Times New Roman" w:cs="Times New Roman"/>
          <w:u w:val="single"/>
        </w:rPr>
        <w:t xml:space="preserve"> for that reaso</w:t>
      </w:r>
      <w:r w:rsidR="001D7870">
        <w:rPr>
          <w:rFonts w:ascii="Times New Roman" w:hAnsi="Times New Roman" w:cs="Times New Roman"/>
          <w:u w:val="single"/>
        </w:rPr>
        <w:t>n that they have been chosen; as</w:t>
      </w:r>
      <w:r w:rsidR="00D13397">
        <w:rPr>
          <w:rFonts w:ascii="Times New Roman" w:hAnsi="Times New Roman" w:cs="Times New Roman"/>
          <w:u w:val="single"/>
        </w:rPr>
        <w:t xml:space="preserve"> will be show</w:t>
      </w:r>
      <w:r w:rsidR="0012165C">
        <w:rPr>
          <w:rFonts w:ascii="Times New Roman" w:hAnsi="Times New Roman" w:cs="Times New Roman"/>
          <w:u w:val="single"/>
        </w:rPr>
        <w:t xml:space="preserve">n, the confluence between the physical </w:t>
      </w:r>
      <w:r w:rsidR="00D13397">
        <w:rPr>
          <w:rFonts w:ascii="Times New Roman" w:hAnsi="Times New Roman" w:cs="Times New Roman"/>
          <w:u w:val="single"/>
        </w:rPr>
        <w:t>disabilities</w:t>
      </w:r>
      <w:r w:rsidR="0012165C">
        <w:rPr>
          <w:rFonts w:ascii="Times New Roman" w:hAnsi="Times New Roman" w:cs="Times New Roman"/>
          <w:u w:val="single"/>
        </w:rPr>
        <w:t xml:space="preserve"> affecting the older body, and their relationship to findings of mental competence,</w:t>
      </w:r>
      <w:r w:rsidR="00D13397">
        <w:rPr>
          <w:rFonts w:ascii="Times New Roman" w:hAnsi="Times New Roman" w:cs="Times New Roman"/>
          <w:u w:val="single"/>
        </w:rPr>
        <w:t xml:space="preserve"> is a marked feature in a number of the cases. </w:t>
      </w:r>
      <w:r w:rsidR="001D7870">
        <w:rPr>
          <w:rFonts w:ascii="Times New Roman" w:hAnsi="Times New Roman" w:cs="Times New Roman"/>
          <w:u w:val="single"/>
        </w:rPr>
        <w:t xml:space="preserve"> The first of these cases, </w:t>
      </w:r>
      <w:r w:rsidR="00130FC8">
        <w:rPr>
          <w:rFonts w:ascii="Times New Roman" w:hAnsi="Times New Roman" w:cs="Times New Roman"/>
          <w:i/>
          <w:lang w:val="en-US"/>
        </w:rPr>
        <w:t>R v Kurtz</w:t>
      </w:r>
      <w:r w:rsidR="001D7870">
        <w:rPr>
          <w:rFonts w:ascii="Times New Roman" w:hAnsi="Times New Roman" w:cs="Times New Roman"/>
          <w:i/>
          <w:lang w:val="en-US"/>
        </w:rPr>
        <w:t xml:space="preserve">, </w:t>
      </w:r>
      <w:r w:rsidR="00130FC8">
        <w:rPr>
          <w:rFonts w:ascii="Times New Roman" w:hAnsi="Times New Roman" w:cs="Times New Roman"/>
          <w:lang w:val="en-US"/>
        </w:rPr>
        <w:t xml:space="preserve">involved a 79-year old woman, Cecily Kurtz, who was found to have died whilst living with her daughter, Emma-Jane Kurtz. Emma-Jane Kurtz had an Enduring Power of Attorney (EPA) in respect of her mother’s affairs, and was convicted of the criminal offence of ill-treating or wilfully neglecting a person lacking capacity under section 44 of the Mental Capacity Act 2005. </w:t>
      </w:r>
      <w:r w:rsidR="00130FC8" w:rsidRPr="004F38B3">
        <w:rPr>
          <w:rFonts w:ascii="Times New Roman" w:hAnsi="Times New Roman" w:cs="Times New Roman"/>
          <w:lang w:val="en-US"/>
        </w:rPr>
        <w:t xml:space="preserve">Section 44 states that </w:t>
      </w:r>
      <w:r w:rsidR="00130FC8">
        <w:rPr>
          <w:rFonts w:ascii="Times New Roman" w:hAnsi="Times New Roman" w:cs="Times New Roman"/>
          <w:lang w:val="en-US"/>
        </w:rPr>
        <w:t>someone</w:t>
      </w:r>
      <w:r w:rsidR="00130FC8" w:rsidRPr="004F38B3">
        <w:rPr>
          <w:rFonts w:ascii="Times New Roman" w:hAnsi="Times New Roman" w:cs="Times New Roman"/>
          <w:lang w:val="en-US"/>
        </w:rPr>
        <w:t xml:space="preserve"> </w:t>
      </w:r>
      <w:r w:rsidR="00130FC8">
        <w:rPr>
          <w:rFonts w:ascii="Times New Roman" w:hAnsi="Times New Roman" w:cs="Times New Roman"/>
          <w:lang w:val="en-US"/>
        </w:rPr>
        <w:t>commits</w:t>
      </w:r>
      <w:r w:rsidR="00130FC8" w:rsidRPr="004F38B3">
        <w:rPr>
          <w:rFonts w:ascii="Times New Roman" w:hAnsi="Times New Roman" w:cs="Times New Roman"/>
          <w:lang w:val="en-US"/>
        </w:rPr>
        <w:t xml:space="preserve"> the offence if they</w:t>
      </w:r>
      <w:r w:rsidR="00130FC8">
        <w:rPr>
          <w:rFonts w:ascii="Times New Roman" w:hAnsi="Times New Roman" w:cs="Times New Roman"/>
          <w:lang w:val="en-US"/>
        </w:rPr>
        <w:t xml:space="preserve"> have an EPA for, or care for someone who lacks capacity or whom they reasonably believe to </w:t>
      </w:r>
      <w:r w:rsidR="00130FC8" w:rsidRPr="004F38B3">
        <w:rPr>
          <w:rFonts w:ascii="Times New Roman" w:hAnsi="Times New Roman" w:cs="Times New Roman"/>
          <w:lang w:val="en-US"/>
        </w:rPr>
        <w:t>lack capacity</w:t>
      </w:r>
      <w:r w:rsidR="00130FC8">
        <w:rPr>
          <w:rFonts w:ascii="Times New Roman" w:hAnsi="Times New Roman" w:cs="Times New Roman"/>
          <w:lang w:val="en-US"/>
        </w:rPr>
        <w:t>, and they willfully neglect or ill-treat that person</w:t>
      </w:r>
      <w:r w:rsidR="00130FC8" w:rsidRPr="004F38B3">
        <w:rPr>
          <w:rFonts w:ascii="Times New Roman" w:hAnsi="Times New Roman" w:cs="Times New Roman"/>
          <w:lang w:val="en-US"/>
        </w:rPr>
        <w:t>.</w:t>
      </w:r>
      <w:r w:rsidR="00130FC8">
        <w:rPr>
          <w:rFonts w:ascii="Times New Roman" w:hAnsi="Times New Roman" w:cs="Times New Roman"/>
          <w:lang w:val="en-US"/>
        </w:rPr>
        <w:t xml:space="preserve"> Cecily is described as having </w:t>
      </w:r>
      <w:r w:rsidR="00130FC8">
        <w:rPr>
          <w:rFonts w:ascii="Times New Roman" w:hAnsi="Times New Roman" w:cs="Times New Roman"/>
        </w:rPr>
        <w:t xml:space="preserve">been found </w:t>
      </w:r>
    </w:p>
    <w:p w14:paraId="07133D1A" w14:textId="77777777" w:rsidR="00130FC8" w:rsidRPr="00336BAB" w:rsidRDefault="00130FC8" w:rsidP="00130FC8">
      <w:pPr>
        <w:spacing w:line="360" w:lineRule="auto"/>
        <w:ind w:left="720" w:right="740"/>
        <w:jc w:val="both"/>
        <w:rPr>
          <w:rFonts w:ascii="Times New Roman" w:hAnsi="Times New Roman" w:cs="Times New Roman"/>
          <w:lang w:val="en-US"/>
        </w:rPr>
      </w:pPr>
      <w:r w:rsidRPr="00336BAB">
        <w:rPr>
          <w:rFonts w:ascii="Times New Roman" w:hAnsi="Times New Roman" w:cs="Times New Roman"/>
          <w:lang w:val="en-US"/>
        </w:rPr>
        <w:t>...sitting in her own urine and faeces, and had urine burns and sores on her buttocks and legs. She was malnourished (weighing only about six stone) and was covered in dirt. Her hair was matted and her nails were unkempt, suggesting that they had received no attention for over a year. When the paramedics tried to lift her body from her seat, her clothes fell apart. She had not changed her</w:t>
      </w:r>
      <w:r>
        <w:rPr>
          <w:rFonts w:ascii="Times New Roman" w:hAnsi="Times New Roman" w:cs="Times New Roman"/>
          <w:lang w:val="en-US"/>
        </w:rPr>
        <w:t xml:space="preserve"> clothing for many, many months</w:t>
      </w:r>
      <w:r w:rsidRPr="00336BAB">
        <w:rPr>
          <w:rFonts w:ascii="Times New Roman" w:hAnsi="Times New Roman" w:cs="Times New Roman"/>
          <w:lang w:val="en-US"/>
        </w:rPr>
        <w:t xml:space="preserve"> (para. 8).</w:t>
      </w:r>
    </w:p>
    <w:p w14:paraId="4E160EBD" w14:textId="0ED83B98" w:rsidR="000F599B" w:rsidRDefault="00130FC8" w:rsidP="000F599B">
      <w:pPr>
        <w:spacing w:line="360" w:lineRule="auto"/>
        <w:ind w:right="20"/>
        <w:jc w:val="both"/>
        <w:rPr>
          <w:rFonts w:ascii="Times New Roman" w:hAnsi="Times New Roman" w:cs="Times New Roman"/>
          <w:lang w:val="en-US"/>
        </w:rPr>
      </w:pPr>
      <w:r>
        <w:rPr>
          <w:rFonts w:ascii="Times New Roman" w:hAnsi="Times New Roman" w:cs="Times New Roman"/>
          <w:lang w:val="en-US"/>
        </w:rPr>
        <w:t>Reporting of the initial trial elaborates on this. Cecily had been found in a ‘pool of diarrhea, s</w:t>
      </w:r>
      <w:r w:rsidRPr="00392069">
        <w:rPr>
          <w:rFonts w:ascii="Times New Roman" w:hAnsi="Times New Roman" w:cs="Times New Roman"/>
          <w:lang w:val="en-US"/>
        </w:rPr>
        <w:t>he had been neglected for years in the most horrifically squalid conditions</w:t>
      </w:r>
      <w:r>
        <w:rPr>
          <w:rFonts w:ascii="Times New Roman" w:hAnsi="Times New Roman" w:cs="Times New Roman"/>
          <w:lang w:val="en-US"/>
        </w:rPr>
        <w:t>...</w:t>
      </w:r>
      <w:r w:rsidRPr="00392069">
        <w:rPr>
          <w:rFonts w:ascii="Times New Roman" w:hAnsi="Times New Roman" w:cs="Times New Roman"/>
          <w:lang w:val="en-US"/>
        </w:rPr>
        <w:t>She had suffered unimaginably and died in the most undignified manner</w:t>
      </w:r>
      <w:r>
        <w:rPr>
          <w:rFonts w:ascii="Times New Roman" w:hAnsi="Times New Roman" w:cs="Times New Roman"/>
          <w:lang w:val="en-US"/>
        </w:rPr>
        <w:t xml:space="preserve">’ (CPS News Centre, 2018). </w:t>
      </w:r>
      <w:r w:rsidR="000F599B">
        <w:rPr>
          <w:rFonts w:ascii="Times New Roman" w:hAnsi="Times New Roman" w:cs="Times New Roman"/>
          <w:lang w:val="en-US"/>
        </w:rPr>
        <w:t xml:space="preserve">A consideration of remarks made by the judge summing up the original trial captures the </w:t>
      </w:r>
      <w:r w:rsidR="000F599B" w:rsidRPr="00966D0E">
        <w:rPr>
          <w:rFonts w:ascii="Times New Roman" w:hAnsi="Times New Roman" w:cs="Times New Roman"/>
          <w:lang w:val="en-US"/>
        </w:rPr>
        <w:t>‘disgust’</w:t>
      </w:r>
      <w:r w:rsidR="000F599B">
        <w:rPr>
          <w:rFonts w:ascii="Times New Roman" w:hAnsi="Times New Roman" w:cs="Times New Roman"/>
          <w:lang w:val="en-US"/>
        </w:rPr>
        <w:t xml:space="preserve"> felt by those listening to the evidence</w:t>
      </w:r>
      <w:r w:rsidR="000F599B" w:rsidRPr="00966D0E">
        <w:rPr>
          <w:rFonts w:ascii="Times New Roman" w:hAnsi="Times New Roman" w:cs="Times New Roman"/>
          <w:lang w:val="en-US"/>
        </w:rPr>
        <w:t>:</w:t>
      </w:r>
      <w:r w:rsidR="000F599B">
        <w:rPr>
          <w:rFonts w:ascii="Times New Roman" w:hAnsi="Times New Roman" w:cs="Times New Roman"/>
          <w:lang w:val="en-US"/>
        </w:rPr>
        <w:t xml:space="preserve"> </w:t>
      </w:r>
    </w:p>
    <w:p w14:paraId="3F4051C9" w14:textId="77777777" w:rsidR="000F599B" w:rsidRPr="00E33F05" w:rsidRDefault="000F599B" w:rsidP="000F599B">
      <w:pPr>
        <w:spacing w:line="360" w:lineRule="auto"/>
        <w:ind w:left="720" w:right="740"/>
        <w:jc w:val="both"/>
        <w:rPr>
          <w:lang w:val="en-US"/>
        </w:rPr>
      </w:pPr>
      <w:r w:rsidRPr="00E33F05">
        <w:rPr>
          <w:rFonts w:ascii="Times New Roman" w:hAnsi="Times New Roman" w:cs="Times New Roman"/>
          <w:lang w:val="en-US"/>
        </w:rPr>
        <w:t xml:space="preserve">I've sat on the bench for 15 years and this was some of the toughest evidence I've had to listen to. That's as a judge who has seen some distressing things. I saw the expressions on faces at the opening. I'm not sure what you thought </w:t>
      </w:r>
      <w:r w:rsidRPr="00E33F05">
        <w:rPr>
          <w:rFonts w:ascii="Times New Roman" w:hAnsi="Times New Roman" w:cs="Times New Roman"/>
          <w:lang w:val="en-US"/>
        </w:rPr>
        <w:lastRenderedPageBreak/>
        <w:t>you would be trying, but I doubt it was this. To say thank you might sound terribly easy, but I am grateful for the attention you have given this case</w:t>
      </w:r>
      <w:r>
        <w:rPr>
          <w:rFonts w:ascii="Times New Roman" w:hAnsi="Times New Roman" w:cs="Times New Roman"/>
          <w:lang w:val="en-US"/>
        </w:rPr>
        <w:t xml:space="preserve"> (Grubb, 2018)</w:t>
      </w:r>
      <w:r w:rsidRPr="00E33F05">
        <w:rPr>
          <w:rFonts w:ascii="Times New Roman" w:hAnsi="Times New Roman" w:cs="Times New Roman"/>
          <w:lang w:val="en-US"/>
        </w:rPr>
        <w:t>.</w:t>
      </w:r>
    </w:p>
    <w:p w14:paraId="4B9D39B4" w14:textId="218E5FCB" w:rsidR="000F599B" w:rsidRDefault="000F599B" w:rsidP="000F599B">
      <w:pPr>
        <w:spacing w:line="360" w:lineRule="auto"/>
        <w:jc w:val="both"/>
        <w:rPr>
          <w:rFonts w:ascii="Times New Roman" w:hAnsi="Times New Roman" w:cs="Times New Roman"/>
          <w:lang w:val="en-US"/>
        </w:rPr>
      </w:pPr>
      <w:r>
        <w:rPr>
          <w:rFonts w:ascii="Times New Roman" w:hAnsi="Times New Roman" w:cs="Times New Roman"/>
          <w:lang w:val="en-US"/>
        </w:rPr>
        <w:t>The language used here, as well as in reports describing the case as ‘</w:t>
      </w:r>
      <w:r w:rsidRPr="00A76B9C">
        <w:rPr>
          <w:rFonts w:ascii="Times New Roman" w:hAnsi="Times New Roman" w:cs="Times New Roman"/>
          <w:lang w:val="en-US"/>
        </w:rPr>
        <w:t>shocking, and sickening’ (CPS News Centre, 2018)</w:t>
      </w:r>
      <w:r>
        <w:rPr>
          <w:rFonts w:ascii="Times New Roman" w:hAnsi="Times New Roman" w:cs="Times New Roman"/>
          <w:lang w:val="en-US"/>
        </w:rPr>
        <w:t>, are illustrative. They represent visceral descriptions of reactions to the evidence about Cecily Kurtz’s body, and indeed the trial judge’s summing up suggests that such reactions were apparently evident on the faces of those in attendance during the trial.</w:t>
      </w:r>
    </w:p>
    <w:p w14:paraId="58E7C24E" w14:textId="77777777" w:rsidR="000F599B" w:rsidRDefault="000F599B" w:rsidP="00130FC8">
      <w:pPr>
        <w:spacing w:line="360" w:lineRule="auto"/>
        <w:jc w:val="both"/>
        <w:rPr>
          <w:rFonts w:ascii="Times New Roman" w:hAnsi="Times New Roman" w:cs="Times New Roman"/>
          <w:lang w:val="en-US"/>
        </w:rPr>
      </w:pPr>
    </w:p>
    <w:p w14:paraId="723BBDA8" w14:textId="497C5BAE" w:rsidR="001D7870" w:rsidRDefault="00130FC8" w:rsidP="001D7870">
      <w:pPr>
        <w:spacing w:line="360" w:lineRule="auto"/>
        <w:jc w:val="both"/>
        <w:rPr>
          <w:rFonts w:ascii="Times New Roman" w:hAnsi="Times New Roman" w:cs="Times New Roman"/>
          <w:lang w:val="en-US"/>
        </w:rPr>
      </w:pPr>
      <w:r>
        <w:rPr>
          <w:rFonts w:ascii="Times New Roman" w:hAnsi="Times New Roman" w:cs="Times New Roman"/>
          <w:lang w:val="en-US"/>
        </w:rPr>
        <w:t>Although establishing a lack of capacity under the Mental Capacity Act 2005 for civil matters is usually decision-specific, and a rigorous process on the balance of probabilities which includes establishing that a person is unable to understand information relevant to a decision, retain that information, use and weigh that information to reach a decision, or communicate the decision (section 3(1)), and any of these failures must be because of a disturbance in the functioning in the mind or the brain (section 2(1)), the test for capacity under section 44 is lower than the general test</w:t>
      </w:r>
      <w:r w:rsidR="001D7870">
        <w:rPr>
          <w:rFonts w:ascii="Times New Roman" w:hAnsi="Times New Roman" w:cs="Times New Roman"/>
          <w:lang w:val="en-US"/>
        </w:rPr>
        <w:t xml:space="preserve"> for mental incapacity under the Act</w:t>
      </w:r>
      <w:r>
        <w:rPr>
          <w:rFonts w:ascii="Times New Roman" w:hAnsi="Times New Roman" w:cs="Times New Roman"/>
          <w:lang w:val="en-US"/>
        </w:rPr>
        <w:t>.</w:t>
      </w:r>
      <w:r w:rsidR="000F599B">
        <w:rPr>
          <w:rFonts w:ascii="Times New Roman" w:hAnsi="Times New Roman" w:cs="Times New Roman"/>
          <w:lang w:val="en-US"/>
        </w:rPr>
        <w:t xml:space="preserve"> </w:t>
      </w:r>
      <w:r w:rsidR="001D7870">
        <w:rPr>
          <w:rFonts w:ascii="Times New Roman" w:hAnsi="Times New Roman" w:cs="Times New Roman"/>
          <w:lang w:val="en-US"/>
        </w:rPr>
        <w:t xml:space="preserve">Given this, the Court of Appeal quashed Emma-Jane Kurtz’s conviction on the basis that the trial judge had not directed the jury to the question of Cecily Kurtz’s capacity; there needing to be a lack of capacity for the essential requirements of the offence to be made out. In doing so the Court of Appeal confirmed that simply because Emma-Jane Kurtz held an EPA, this did not obviate the need to establish that Cecily Kurtz lacked capacity or that Emma-Jane Kurtz reasonably believed that her mother lacked capacity. </w:t>
      </w:r>
      <w:r w:rsidR="001D7870" w:rsidRPr="002A6F05">
        <w:rPr>
          <w:rFonts w:ascii="Times New Roman" w:hAnsi="Times New Roman" w:cs="Times New Roman"/>
          <w:lang w:val="en-US"/>
        </w:rPr>
        <w:t xml:space="preserve">Despite the jury at the original trial not having been directed as to Cecily Kurtz’s capacity and therefore no finding having been made about this, the judgment of the Court of Appeal is notable in the context of this paper, however, for the manner in which it approaches a discussion of Cecily Kurtz’s </w:t>
      </w:r>
      <w:r w:rsidR="001D7870">
        <w:rPr>
          <w:rFonts w:ascii="Times New Roman" w:hAnsi="Times New Roman" w:cs="Times New Roman"/>
          <w:lang w:val="en-US"/>
        </w:rPr>
        <w:t>mental capacity</w:t>
      </w:r>
      <w:r w:rsidR="001D7870" w:rsidRPr="002A6F05">
        <w:rPr>
          <w:rFonts w:ascii="Times New Roman" w:hAnsi="Times New Roman" w:cs="Times New Roman"/>
          <w:lang w:val="en-US"/>
        </w:rPr>
        <w:t>.</w:t>
      </w:r>
      <w:r w:rsidR="001D7870">
        <w:rPr>
          <w:rFonts w:ascii="Times New Roman" w:hAnsi="Times New Roman" w:cs="Times New Roman"/>
          <w:lang w:val="en-US"/>
        </w:rPr>
        <w:t xml:space="preserve"> The Court of Appeal noted simply that</w:t>
      </w:r>
    </w:p>
    <w:p w14:paraId="78E7D27C" w14:textId="77777777" w:rsidR="001D7870" w:rsidRDefault="001D7870" w:rsidP="001D7870">
      <w:pPr>
        <w:spacing w:line="360" w:lineRule="auto"/>
        <w:ind w:left="720" w:right="920"/>
        <w:jc w:val="both"/>
        <w:rPr>
          <w:rFonts w:ascii="Times New Roman" w:hAnsi="Times New Roman" w:cs="Times New Roman"/>
          <w:lang w:val="en-US"/>
        </w:rPr>
      </w:pPr>
      <w:r w:rsidRPr="00430512">
        <w:rPr>
          <w:rFonts w:ascii="Times New Roman" w:hAnsi="Times New Roman" w:cs="Times New Roman"/>
          <w:lang w:val="en-US"/>
        </w:rPr>
        <w:t xml:space="preserve">The </w:t>
      </w:r>
      <w:r w:rsidRPr="00650240">
        <w:rPr>
          <w:rFonts w:ascii="Times New Roman" w:hAnsi="Times New Roman" w:cs="Times New Roman"/>
          <w:i/>
          <w:lang w:val="en-US"/>
        </w:rPr>
        <w:t>state of Cecily Kurtz</w:t>
      </w:r>
      <w:r w:rsidRPr="00430512">
        <w:rPr>
          <w:rFonts w:ascii="Times New Roman" w:hAnsi="Times New Roman" w:cs="Times New Roman"/>
          <w:lang w:val="en-US"/>
        </w:rPr>
        <w:t xml:space="preserve"> in the months leading up to her death, </w:t>
      </w:r>
      <w:r w:rsidRPr="00E83413">
        <w:rPr>
          <w:rFonts w:ascii="Times New Roman" w:hAnsi="Times New Roman" w:cs="Times New Roman"/>
          <w:i/>
          <w:lang w:val="en-US"/>
        </w:rPr>
        <w:t>and the conditions in which she spent the last weeks and months of her life</w:t>
      </w:r>
      <w:r w:rsidRPr="00430512">
        <w:rPr>
          <w:rFonts w:ascii="Times New Roman" w:hAnsi="Times New Roman" w:cs="Times New Roman"/>
          <w:lang w:val="en-US"/>
        </w:rPr>
        <w:t xml:space="preserve">, might well have been sufficient, </w:t>
      </w:r>
      <w:r w:rsidRPr="00922428">
        <w:rPr>
          <w:rFonts w:ascii="Times New Roman" w:hAnsi="Times New Roman" w:cs="Times New Roman"/>
          <w:i/>
          <w:lang w:val="en-US"/>
        </w:rPr>
        <w:t>without more</w:t>
      </w:r>
      <w:r w:rsidRPr="00430512">
        <w:rPr>
          <w:rFonts w:ascii="Times New Roman" w:hAnsi="Times New Roman" w:cs="Times New Roman"/>
          <w:lang w:val="en-US"/>
        </w:rPr>
        <w:t>, for the jury to have been satisfied that she lacked capacity</w:t>
      </w:r>
      <w:r>
        <w:rPr>
          <w:rFonts w:ascii="Times New Roman" w:hAnsi="Times New Roman" w:cs="Times New Roman"/>
          <w:lang w:val="en-US"/>
        </w:rPr>
        <w:t xml:space="preserve"> (para. 19, emphasis added)</w:t>
      </w:r>
      <w:r w:rsidRPr="00430512">
        <w:rPr>
          <w:rFonts w:ascii="Times New Roman" w:hAnsi="Times New Roman" w:cs="Times New Roman"/>
          <w:lang w:val="en-US"/>
        </w:rPr>
        <w:t>.</w:t>
      </w:r>
    </w:p>
    <w:p w14:paraId="0A45B14F" w14:textId="6646A151" w:rsidR="000F599B" w:rsidRDefault="001D7870" w:rsidP="001D7870">
      <w:pPr>
        <w:spacing w:line="360" w:lineRule="auto"/>
        <w:ind w:right="20"/>
        <w:jc w:val="both"/>
        <w:rPr>
          <w:rFonts w:ascii="Times New Roman" w:hAnsi="Times New Roman" w:cs="Times New Roman"/>
          <w:lang w:val="en-US"/>
        </w:rPr>
      </w:pPr>
      <w:r w:rsidRPr="003B6668">
        <w:rPr>
          <w:rFonts w:ascii="Times New Roman" w:hAnsi="Times New Roman" w:cs="Times New Roman"/>
          <w:lang w:val="en-US"/>
        </w:rPr>
        <w:t>Put starkly, the Court’s statement here indicates that Cecily Kurtz’s bod</w:t>
      </w:r>
      <w:r w:rsidR="00650240">
        <w:rPr>
          <w:rFonts w:ascii="Times New Roman" w:hAnsi="Times New Roman" w:cs="Times New Roman"/>
          <w:lang w:val="en-US"/>
        </w:rPr>
        <w:t xml:space="preserve">ily </w:t>
      </w:r>
      <w:r w:rsidRPr="003B6668">
        <w:rPr>
          <w:rFonts w:ascii="Times New Roman" w:hAnsi="Times New Roman" w:cs="Times New Roman"/>
          <w:lang w:val="en-US"/>
        </w:rPr>
        <w:t>state</w:t>
      </w:r>
      <w:r>
        <w:rPr>
          <w:rFonts w:ascii="Times New Roman" w:hAnsi="Times New Roman" w:cs="Times New Roman"/>
          <w:lang w:val="en-US"/>
        </w:rPr>
        <w:t xml:space="preserve"> and her environmental conditions which created that bodily state </w:t>
      </w:r>
      <w:r w:rsidRPr="003B6668">
        <w:rPr>
          <w:rFonts w:ascii="Times New Roman" w:hAnsi="Times New Roman" w:cs="Times New Roman"/>
          <w:lang w:val="en-US"/>
        </w:rPr>
        <w:t>could</w:t>
      </w:r>
      <w:r>
        <w:rPr>
          <w:rFonts w:ascii="Times New Roman" w:hAnsi="Times New Roman" w:cs="Times New Roman"/>
          <w:lang w:val="en-US"/>
        </w:rPr>
        <w:t xml:space="preserve">, </w:t>
      </w:r>
      <w:r>
        <w:rPr>
          <w:rFonts w:ascii="Times New Roman" w:hAnsi="Times New Roman" w:cs="Times New Roman"/>
          <w:i/>
          <w:lang w:val="en-US"/>
        </w:rPr>
        <w:t>alone,</w:t>
      </w:r>
      <w:r w:rsidRPr="003B6668">
        <w:rPr>
          <w:rFonts w:ascii="Times New Roman" w:hAnsi="Times New Roman" w:cs="Times New Roman"/>
          <w:lang w:val="en-US"/>
        </w:rPr>
        <w:t xml:space="preserve"> </w:t>
      </w:r>
      <w:r>
        <w:rPr>
          <w:rFonts w:ascii="Times New Roman" w:hAnsi="Times New Roman" w:cs="Times New Roman"/>
          <w:lang w:val="en-US"/>
        </w:rPr>
        <w:t>be evidence of</w:t>
      </w:r>
      <w:r w:rsidRPr="003B6668">
        <w:rPr>
          <w:rFonts w:ascii="Times New Roman" w:hAnsi="Times New Roman" w:cs="Times New Roman"/>
          <w:lang w:val="en-US"/>
        </w:rPr>
        <w:t xml:space="preserve"> mental </w:t>
      </w:r>
      <w:r w:rsidRPr="003B6668">
        <w:rPr>
          <w:rFonts w:ascii="Times New Roman" w:hAnsi="Times New Roman" w:cs="Times New Roman"/>
          <w:lang w:val="en-US"/>
        </w:rPr>
        <w:lastRenderedPageBreak/>
        <w:t>incapacity</w:t>
      </w:r>
      <w:r>
        <w:rPr>
          <w:rFonts w:ascii="Times New Roman" w:hAnsi="Times New Roman" w:cs="Times New Roman"/>
          <w:lang w:val="en-US"/>
        </w:rPr>
        <w:t xml:space="preserve"> -</w:t>
      </w:r>
      <w:r w:rsidRPr="003B6668">
        <w:rPr>
          <w:rFonts w:ascii="Times New Roman" w:hAnsi="Times New Roman" w:cs="Times New Roman"/>
          <w:lang w:val="en-US"/>
        </w:rPr>
        <w:t xml:space="preserve"> albeit a low threshold of incapacity</w:t>
      </w:r>
      <w:r>
        <w:rPr>
          <w:rFonts w:ascii="Times New Roman" w:hAnsi="Times New Roman" w:cs="Times New Roman"/>
          <w:lang w:val="en-US"/>
        </w:rPr>
        <w:t xml:space="preserve"> -</w:t>
      </w:r>
      <w:r w:rsidRPr="003B6668">
        <w:rPr>
          <w:rFonts w:ascii="Times New Roman" w:hAnsi="Times New Roman" w:cs="Times New Roman"/>
          <w:lang w:val="en-US"/>
        </w:rPr>
        <w:t xml:space="preserve"> under section 44. </w:t>
      </w:r>
      <w:r>
        <w:rPr>
          <w:rFonts w:ascii="Times New Roman" w:hAnsi="Times New Roman" w:cs="Times New Roman"/>
          <w:lang w:val="en-US"/>
        </w:rPr>
        <w:t xml:space="preserve">While this paper remains silent as to whether Cecily Kurtz necessarily </w:t>
      </w:r>
      <w:r>
        <w:rPr>
          <w:rFonts w:ascii="Times New Roman" w:hAnsi="Times New Roman" w:cs="Times New Roman"/>
          <w:i/>
          <w:lang w:val="en-US"/>
        </w:rPr>
        <w:t>had</w:t>
      </w:r>
      <w:r>
        <w:rPr>
          <w:rFonts w:ascii="Times New Roman" w:hAnsi="Times New Roman" w:cs="Times New Roman"/>
          <w:lang w:val="en-US"/>
        </w:rPr>
        <w:t xml:space="preserve"> capacity,</w:t>
      </w:r>
      <w:r>
        <w:rPr>
          <w:rStyle w:val="FootnoteReference"/>
          <w:rFonts w:ascii="Times New Roman" w:hAnsi="Times New Roman" w:cs="Times New Roman"/>
          <w:lang w:val="en-US"/>
        </w:rPr>
        <w:footnoteReference w:id="9"/>
      </w:r>
      <w:r>
        <w:rPr>
          <w:rFonts w:ascii="Times New Roman" w:hAnsi="Times New Roman" w:cs="Times New Roman"/>
          <w:lang w:val="en-US"/>
        </w:rPr>
        <w:t xml:space="preserve"> </w:t>
      </w:r>
      <w:r w:rsidR="00650240">
        <w:rPr>
          <w:rFonts w:ascii="Times New Roman" w:hAnsi="Times New Roman" w:cs="Times New Roman"/>
          <w:lang w:val="en-US"/>
        </w:rPr>
        <w:t>and also remains silent as to the accuracy of the doctrinal reasoning</w:t>
      </w:r>
      <w:r w:rsidR="00AD5A60">
        <w:rPr>
          <w:rFonts w:ascii="Times New Roman" w:hAnsi="Times New Roman" w:cs="Times New Roman"/>
          <w:lang w:val="en-US"/>
        </w:rPr>
        <w:t xml:space="preserve"> regarding section 44</w:t>
      </w:r>
      <w:r w:rsidR="00650240">
        <w:rPr>
          <w:rFonts w:ascii="Times New Roman" w:hAnsi="Times New Roman" w:cs="Times New Roman"/>
          <w:lang w:val="en-US"/>
        </w:rPr>
        <w:t xml:space="preserve"> that ensues in the case, </w:t>
      </w:r>
      <w:r>
        <w:rPr>
          <w:rFonts w:ascii="Times New Roman" w:hAnsi="Times New Roman" w:cs="Times New Roman"/>
          <w:lang w:val="en-US"/>
        </w:rPr>
        <w:t xml:space="preserve">what is </w:t>
      </w:r>
      <w:r w:rsidR="0012165C">
        <w:rPr>
          <w:rFonts w:ascii="Times New Roman" w:hAnsi="Times New Roman" w:cs="Times New Roman"/>
          <w:lang w:val="en-US"/>
        </w:rPr>
        <w:t xml:space="preserve">notable in the judges’ </w:t>
      </w:r>
      <w:r w:rsidR="001966EF">
        <w:rPr>
          <w:rFonts w:ascii="Times New Roman" w:hAnsi="Times New Roman" w:cs="Times New Roman"/>
          <w:lang w:val="en-US"/>
        </w:rPr>
        <w:t xml:space="preserve">use of </w:t>
      </w:r>
      <w:r w:rsidR="0012165C">
        <w:rPr>
          <w:rFonts w:ascii="Times New Roman" w:hAnsi="Times New Roman" w:cs="Times New Roman"/>
          <w:lang w:val="en-US"/>
        </w:rPr>
        <w:t xml:space="preserve">language </w:t>
      </w:r>
      <w:r>
        <w:rPr>
          <w:rFonts w:ascii="Times New Roman" w:hAnsi="Times New Roman" w:cs="Times New Roman"/>
          <w:lang w:val="en-US"/>
        </w:rPr>
        <w:t>here is the fact that r</w:t>
      </w:r>
      <w:r w:rsidRPr="003B6668">
        <w:rPr>
          <w:rFonts w:ascii="Times New Roman" w:hAnsi="Times New Roman" w:cs="Times New Roman"/>
          <w:lang w:val="en-US"/>
        </w:rPr>
        <w:t>ather than using factors usually used to establish that a person lacks capacity – such as evidence of a mental illness or evidence of cogniti</w:t>
      </w:r>
      <w:r>
        <w:rPr>
          <w:rFonts w:ascii="Times New Roman" w:hAnsi="Times New Roman" w:cs="Times New Roman"/>
          <w:lang w:val="en-US"/>
        </w:rPr>
        <w:t>ve functioning, for example – the Court</w:t>
      </w:r>
      <w:r w:rsidRPr="003B6668">
        <w:rPr>
          <w:rFonts w:ascii="Times New Roman" w:hAnsi="Times New Roman" w:cs="Times New Roman"/>
          <w:lang w:val="en-US"/>
        </w:rPr>
        <w:t xml:space="preserve"> simply</w:t>
      </w:r>
      <w:r>
        <w:rPr>
          <w:rFonts w:ascii="Times New Roman" w:hAnsi="Times New Roman" w:cs="Times New Roman"/>
          <w:lang w:val="en-US"/>
        </w:rPr>
        <w:t xml:space="preserve"> makes reference to</w:t>
      </w:r>
      <w:r w:rsidRPr="003B6668">
        <w:rPr>
          <w:rFonts w:ascii="Times New Roman" w:hAnsi="Times New Roman" w:cs="Times New Roman"/>
          <w:lang w:val="en-US"/>
        </w:rPr>
        <w:t xml:space="preserve"> Cecily Kurtz’s body</w:t>
      </w:r>
      <w:r>
        <w:rPr>
          <w:rFonts w:ascii="Times New Roman" w:hAnsi="Times New Roman" w:cs="Times New Roman"/>
          <w:lang w:val="en-US"/>
        </w:rPr>
        <w:t xml:space="preserve"> and the state in which she was found</w:t>
      </w:r>
      <w:r w:rsidRPr="003B6668">
        <w:rPr>
          <w:rFonts w:ascii="Times New Roman" w:hAnsi="Times New Roman" w:cs="Times New Roman"/>
          <w:lang w:val="en-US"/>
        </w:rPr>
        <w:t xml:space="preserve"> in order to make the claim that she lacked mental capacity.</w:t>
      </w:r>
      <w:r>
        <w:rPr>
          <w:rFonts w:ascii="Times New Roman" w:hAnsi="Times New Roman" w:cs="Times New Roman"/>
          <w:lang w:val="en-US"/>
        </w:rPr>
        <w:t xml:space="preserve"> Although they are referred to elsewhere in the judgment, t</w:t>
      </w:r>
      <w:r w:rsidRPr="003B6668">
        <w:rPr>
          <w:rFonts w:ascii="Times New Roman" w:hAnsi="Times New Roman" w:cs="Times New Roman"/>
          <w:lang w:val="en-US"/>
        </w:rPr>
        <w:t xml:space="preserve">here is no reference </w:t>
      </w:r>
      <w:r>
        <w:rPr>
          <w:rFonts w:ascii="Times New Roman" w:hAnsi="Times New Roman" w:cs="Times New Roman"/>
          <w:lang w:val="en-US"/>
        </w:rPr>
        <w:t>at all to her mental illnesses -</w:t>
      </w:r>
      <w:r w:rsidRPr="003B6668">
        <w:rPr>
          <w:rFonts w:ascii="Times New Roman" w:hAnsi="Times New Roman" w:cs="Times New Roman"/>
          <w:lang w:val="en-US"/>
        </w:rPr>
        <w:t xml:space="preserve"> bipolar disorder, depression</w:t>
      </w:r>
      <w:r>
        <w:rPr>
          <w:rFonts w:ascii="Times New Roman" w:hAnsi="Times New Roman" w:cs="Times New Roman"/>
          <w:lang w:val="en-US"/>
        </w:rPr>
        <w:t>,</w:t>
      </w:r>
      <w:r w:rsidRPr="003B6668">
        <w:rPr>
          <w:rFonts w:ascii="Times New Roman" w:hAnsi="Times New Roman" w:cs="Times New Roman"/>
          <w:lang w:val="en-US"/>
        </w:rPr>
        <w:t xml:space="preserve"> and obsessive-compulsive disorder</w:t>
      </w:r>
      <w:r>
        <w:rPr>
          <w:rFonts w:ascii="Times New Roman" w:hAnsi="Times New Roman" w:cs="Times New Roman"/>
          <w:lang w:val="en-US"/>
        </w:rPr>
        <w:t xml:space="preserve"> - in this paragraph to explain that if she had lacked capacity, that these</w:t>
      </w:r>
      <w:r w:rsidRPr="003B6668">
        <w:rPr>
          <w:rFonts w:ascii="Times New Roman" w:hAnsi="Times New Roman" w:cs="Times New Roman"/>
          <w:lang w:val="en-US"/>
        </w:rPr>
        <w:t xml:space="preserve"> might have </w:t>
      </w:r>
      <w:r>
        <w:rPr>
          <w:rFonts w:ascii="Times New Roman" w:hAnsi="Times New Roman" w:cs="Times New Roman"/>
          <w:lang w:val="en-US"/>
        </w:rPr>
        <w:t>been partly the cause</w:t>
      </w:r>
      <w:r w:rsidRPr="003F312A">
        <w:rPr>
          <w:rFonts w:ascii="Times New Roman" w:hAnsi="Times New Roman" w:cs="Times New Roman"/>
          <w:lang w:val="en-US"/>
        </w:rPr>
        <w:t xml:space="preserve">.  </w:t>
      </w:r>
      <w:r w:rsidR="00650240" w:rsidRPr="003F312A">
        <w:rPr>
          <w:rFonts w:ascii="Times New Roman" w:hAnsi="Times New Roman" w:cs="Times New Roman"/>
          <w:lang w:val="en-US"/>
        </w:rPr>
        <w:t>The</w:t>
      </w:r>
      <w:r w:rsidRPr="003F312A">
        <w:rPr>
          <w:rFonts w:ascii="Times New Roman" w:hAnsi="Times New Roman" w:cs="Times New Roman"/>
          <w:lang w:val="en-US"/>
        </w:rPr>
        <w:t xml:space="preserve"> conditions in which Cecily Kurtz lived and the disgust</w:t>
      </w:r>
      <w:r w:rsidR="00E83413">
        <w:rPr>
          <w:rFonts w:ascii="Times New Roman" w:hAnsi="Times New Roman" w:cs="Times New Roman"/>
          <w:lang w:val="en-US"/>
        </w:rPr>
        <w:t xml:space="preserve"> and shock</w:t>
      </w:r>
      <w:r w:rsidRPr="003F312A">
        <w:rPr>
          <w:rFonts w:ascii="Times New Roman" w:hAnsi="Times New Roman" w:cs="Times New Roman"/>
          <w:lang w:val="en-US"/>
        </w:rPr>
        <w:t xml:space="preserve"> felt towards the way in which her body was found are sufficient alone to place her the other side of the capacity/incapacity boundary.</w:t>
      </w:r>
      <w:r w:rsidRPr="003B6668">
        <w:rPr>
          <w:rFonts w:ascii="Times New Roman" w:hAnsi="Times New Roman" w:cs="Times New Roman"/>
          <w:lang w:val="en-US"/>
        </w:rPr>
        <w:t xml:space="preserve"> </w:t>
      </w:r>
    </w:p>
    <w:p w14:paraId="2883062E" w14:textId="77777777" w:rsidR="000F599B" w:rsidRDefault="000F599B" w:rsidP="001D7870">
      <w:pPr>
        <w:spacing w:line="360" w:lineRule="auto"/>
        <w:ind w:right="20"/>
        <w:jc w:val="both"/>
        <w:rPr>
          <w:rFonts w:ascii="Times New Roman" w:hAnsi="Times New Roman" w:cs="Times New Roman"/>
          <w:lang w:val="en-US"/>
        </w:rPr>
      </w:pPr>
    </w:p>
    <w:p w14:paraId="3A53DAB1" w14:textId="62EA248A" w:rsidR="001D7870" w:rsidRPr="00A77141" w:rsidRDefault="000F599B" w:rsidP="001D7870">
      <w:pPr>
        <w:spacing w:line="360" w:lineRule="auto"/>
        <w:ind w:right="20"/>
        <w:jc w:val="both"/>
        <w:rPr>
          <w:rFonts w:ascii="Times New Roman" w:hAnsi="Times New Roman" w:cs="Times New Roman"/>
          <w:highlight w:val="yellow"/>
          <w:lang w:val="en-US"/>
        </w:rPr>
      </w:pPr>
      <w:r>
        <w:rPr>
          <w:rFonts w:ascii="Times New Roman" w:hAnsi="Times New Roman" w:cs="Times New Roman"/>
          <w:lang w:val="en-US"/>
        </w:rPr>
        <w:t xml:space="preserve">If </w:t>
      </w:r>
      <w:r w:rsidRPr="009F23ED">
        <w:rPr>
          <w:rFonts w:ascii="Times New Roman" w:hAnsi="Times New Roman" w:cs="Times New Roman"/>
        </w:rPr>
        <w:t>‘</w:t>
      </w:r>
      <w:r w:rsidRPr="009F23ED">
        <w:rPr>
          <w:rFonts w:ascii="Times New Roman" w:hAnsi="Times New Roman" w:cs="Times New Roman"/>
          <w:lang w:val="en-US"/>
        </w:rPr>
        <w:t xml:space="preserve">[t]he abject is a force which disrupts the social world in order to secure social </w:t>
      </w:r>
      <w:r>
        <w:rPr>
          <w:rFonts w:ascii="Times New Roman" w:hAnsi="Times New Roman" w:cs="Times New Roman"/>
          <w:lang w:val="en-US"/>
        </w:rPr>
        <w:t xml:space="preserve">norms...’ (Tyler, 2009, 82), and abjection </w:t>
      </w:r>
      <w:r w:rsidR="00D91FF6">
        <w:rPr>
          <w:rFonts w:ascii="Times New Roman" w:hAnsi="Times New Roman" w:cs="Times New Roman"/>
          <w:lang w:val="en-US"/>
        </w:rPr>
        <w:t xml:space="preserve">can be understood as a process of rejecting or repulsion towards that </w:t>
      </w:r>
      <w:r w:rsidR="00D91FF6">
        <w:rPr>
          <w:rFonts w:ascii="Times New Roman" w:hAnsi="Times New Roman" w:cs="Times New Roman"/>
        </w:rPr>
        <w:t>in order to protect what is considered ‘normal’ -</w:t>
      </w:r>
      <w:r w:rsidR="00D91FF6" w:rsidRPr="009F23ED">
        <w:rPr>
          <w:rFonts w:ascii="Times New Roman" w:hAnsi="Times New Roman" w:cs="Times New Roman"/>
        </w:rPr>
        <w:t xml:space="preserve"> </w:t>
      </w:r>
      <w:r w:rsidRPr="009F23ED">
        <w:rPr>
          <w:rFonts w:ascii="Times New Roman" w:hAnsi="Times New Roman" w:cs="Times New Roman"/>
        </w:rPr>
        <w:t>‘identity, system, or order’ (Kristeva, 1982, 4)</w:t>
      </w:r>
      <w:r w:rsidR="00D91FF6">
        <w:rPr>
          <w:rFonts w:ascii="Times New Roman" w:hAnsi="Times New Roman" w:cs="Times New Roman"/>
        </w:rPr>
        <w:t xml:space="preserve"> -</w:t>
      </w:r>
      <w:r w:rsidRPr="009F23ED">
        <w:rPr>
          <w:rFonts w:ascii="Times New Roman" w:hAnsi="Times New Roman" w:cs="Times New Roman"/>
        </w:rPr>
        <w:t xml:space="preserve"> against those entities which are perceived to disturb them</w:t>
      </w:r>
      <w:r>
        <w:rPr>
          <w:rFonts w:ascii="Times New Roman" w:hAnsi="Times New Roman" w:cs="Times New Roman"/>
        </w:rPr>
        <w:t>, then this may be one way of interpret</w:t>
      </w:r>
      <w:r w:rsidR="00D91FF6">
        <w:rPr>
          <w:rFonts w:ascii="Times New Roman" w:hAnsi="Times New Roman" w:cs="Times New Roman"/>
        </w:rPr>
        <w:t>ing the approach of the courts</w:t>
      </w:r>
      <w:r>
        <w:rPr>
          <w:rFonts w:ascii="Times New Roman" w:hAnsi="Times New Roman" w:cs="Times New Roman"/>
        </w:rPr>
        <w:t xml:space="preserve"> and the reaction to the evid</w:t>
      </w:r>
      <w:r w:rsidR="00D91FF6">
        <w:rPr>
          <w:rFonts w:ascii="Times New Roman" w:hAnsi="Times New Roman" w:cs="Times New Roman"/>
        </w:rPr>
        <w:t>ence about Cecily Kurtz’s body</w:t>
      </w:r>
      <w:r>
        <w:rPr>
          <w:rFonts w:ascii="Times New Roman" w:hAnsi="Times New Roman" w:cs="Times New Roman"/>
        </w:rPr>
        <w:t xml:space="preserve"> in this</w:t>
      </w:r>
      <w:r w:rsidR="00D91FF6">
        <w:rPr>
          <w:rFonts w:ascii="Times New Roman" w:hAnsi="Times New Roman" w:cs="Times New Roman"/>
        </w:rPr>
        <w:t xml:space="preserve"> particular</w:t>
      </w:r>
      <w:r>
        <w:rPr>
          <w:rFonts w:ascii="Times New Roman" w:hAnsi="Times New Roman" w:cs="Times New Roman"/>
        </w:rPr>
        <w:t xml:space="preserve"> case</w:t>
      </w:r>
      <w:r w:rsidRPr="009F23ED">
        <w:rPr>
          <w:rFonts w:ascii="Times New Roman" w:hAnsi="Times New Roman" w:cs="Times New Roman"/>
        </w:rPr>
        <w:t xml:space="preserve">. </w:t>
      </w:r>
      <w:r w:rsidRPr="000F599B">
        <w:rPr>
          <w:rFonts w:ascii="Times New Roman" w:hAnsi="Times New Roman" w:cs="Times New Roman"/>
          <w:lang w:val="en-US"/>
        </w:rPr>
        <w:t xml:space="preserve">In the language used by the Court of Appeal, for example, Cecily Kurtz’s body has the effect of challenging their conceptions of what a normal body should be, to the extent that the judges cannot help but find that she </w:t>
      </w:r>
      <w:r w:rsidRPr="000F599B">
        <w:rPr>
          <w:rFonts w:ascii="Times New Roman" w:hAnsi="Times New Roman" w:cs="Times New Roman"/>
          <w:i/>
          <w:lang w:val="en-US"/>
        </w:rPr>
        <w:t xml:space="preserve">must </w:t>
      </w:r>
      <w:r w:rsidRPr="000F599B">
        <w:rPr>
          <w:rFonts w:ascii="Times New Roman" w:hAnsi="Times New Roman" w:cs="Times New Roman"/>
          <w:lang w:val="en-US"/>
        </w:rPr>
        <w:t>have lacked mental capacity simply because of the state of her body when she was found.</w:t>
      </w:r>
      <w:r>
        <w:rPr>
          <w:rFonts w:ascii="Times New Roman" w:hAnsi="Times New Roman" w:cs="Times New Roman"/>
          <w:lang w:val="en-US"/>
        </w:rPr>
        <w:t xml:space="preserve"> In other words, it cannot possibly be that a body in the state of Cecily Kurtz’s when she died could have belonged to anybody of </w:t>
      </w:r>
      <w:r w:rsidRPr="000F599B">
        <w:rPr>
          <w:rFonts w:ascii="Times New Roman" w:hAnsi="Times New Roman" w:cs="Times New Roman"/>
          <w:i/>
          <w:lang w:val="en-US"/>
        </w:rPr>
        <w:t>full</w:t>
      </w:r>
      <w:r>
        <w:rPr>
          <w:rFonts w:ascii="Times New Roman" w:hAnsi="Times New Roman" w:cs="Times New Roman"/>
          <w:lang w:val="en-US"/>
        </w:rPr>
        <w:t xml:space="preserve"> capacity, thereby reaffirming that bodies of those with full capacity simply do not look like that. </w:t>
      </w:r>
      <w:r w:rsidR="00A77141">
        <w:rPr>
          <w:rFonts w:ascii="Times New Roman" w:hAnsi="Times New Roman" w:cs="Times New Roman"/>
          <w:lang w:val="en-US"/>
        </w:rPr>
        <w:t>The position of the</w:t>
      </w:r>
      <w:r w:rsidR="001D7870">
        <w:rPr>
          <w:rFonts w:ascii="Times New Roman" w:hAnsi="Times New Roman" w:cs="Times New Roman"/>
          <w:lang w:val="en-US"/>
        </w:rPr>
        <w:t xml:space="preserve"> Court of Appeal, </w:t>
      </w:r>
      <w:r w:rsidR="00A77141">
        <w:rPr>
          <w:rFonts w:ascii="Times New Roman" w:hAnsi="Times New Roman" w:cs="Times New Roman"/>
          <w:lang w:val="en-US"/>
        </w:rPr>
        <w:t xml:space="preserve">read in conjunction with the discourse from the trial judge and the strength of feeling toward the evidence presented to that court, indicates that </w:t>
      </w:r>
      <w:r w:rsidR="001D7870">
        <w:rPr>
          <w:rFonts w:ascii="Times New Roman" w:hAnsi="Times New Roman" w:cs="Times New Roman"/>
          <w:lang w:val="en-US"/>
        </w:rPr>
        <w:t>the</w:t>
      </w:r>
      <w:r w:rsidR="001D7870" w:rsidRPr="00A76B9C">
        <w:rPr>
          <w:rFonts w:ascii="Times New Roman" w:hAnsi="Times New Roman" w:cs="Times New Roman"/>
          <w:lang w:val="en-US"/>
        </w:rPr>
        <w:t xml:space="preserve"> only way </w:t>
      </w:r>
      <w:r w:rsidR="00A77141">
        <w:rPr>
          <w:rFonts w:ascii="Times New Roman" w:hAnsi="Times New Roman" w:cs="Times New Roman"/>
          <w:lang w:val="en-US"/>
        </w:rPr>
        <w:t>they can</w:t>
      </w:r>
      <w:r w:rsidR="001D7870">
        <w:rPr>
          <w:rFonts w:ascii="Times New Roman" w:hAnsi="Times New Roman" w:cs="Times New Roman"/>
          <w:lang w:val="en-US"/>
        </w:rPr>
        <w:t xml:space="preserve"> perhaps</w:t>
      </w:r>
      <w:r w:rsidR="001D7870" w:rsidRPr="00A76B9C">
        <w:rPr>
          <w:rFonts w:ascii="Times New Roman" w:hAnsi="Times New Roman" w:cs="Times New Roman"/>
          <w:lang w:val="en-US"/>
        </w:rPr>
        <w:t xml:space="preserve"> understand and make sense of the </w:t>
      </w:r>
      <w:r w:rsidR="001D7870">
        <w:rPr>
          <w:rFonts w:ascii="Times New Roman" w:hAnsi="Times New Roman" w:cs="Times New Roman"/>
          <w:lang w:val="en-US"/>
        </w:rPr>
        <w:t xml:space="preserve">evidence before it, and the way in which Cecily Kurtz’s body was found, is </w:t>
      </w:r>
      <w:r w:rsidR="001D7870" w:rsidRPr="00A76B9C">
        <w:rPr>
          <w:rFonts w:ascii="Times New Roman" w:hAnsi="Times New Roman" w:cs="Times New Roman"/>
          <w:lang w:val="en-US"/>
        </w:rPr>
        <w:t xml:space="preserve">to understand </w:t>
      </w:r>
      <w:r w:rsidR="001D7870">
        <w:rPr>
          <w:rFonts w:ascii="Times New Roman" w:hAnsi="Times New Roman" w:cs="Times New Roman"/>
          <w:lang w:val="en-US"/>
        </w:rPr>
        <w:t xml:space="preserve">her as being </w:t>
      </w:r>
      <w:r w:rsidR="001D7870" w:rsidRPr="00A76B9C">
        <w:rPr>
          <w:rFonts w:ascii="Times New Roman" w:hAnsi="Times New Roman" w:cs="Times New Roman"/>
          <w:lang w:val="en-US"/>
        </w:rPr>
        <w:t xml:space="preserve">beyond the </w:t>
      </w:r>
      <w:r w:rsidR="001D7870">
        <w:rPr>
          <w:rFonts w:ascii="Times New Roman" w:hAnsi="Times New Roman" w:cs="Times New Roman"/>
          <w:lang w:val="en-US"/>
        </w:rPr>
        <w:t>boundary</w:t>
      </w:r>
      <w:r w:rsidR="001D7870" w:rsidRPr="00A76B9C">
        <w:rPr>
          <w:rFonts w:ascii="Times New Roman" w:hAnsi="Times New Roman" w:cs="Times New Roman"/>
          <w:lang w:val="en-US"/>
        </w:rPr>
        <w:t xml:space="preserve"> of </w:t>
      </w:r>
      <w:r w:rsidR="001D7870">
        <w:rPr>
          <w:rFonts w:ascii="Times New Roman" w:hAnsi="Times New Roman" w:cs="Times New Roman"/>
          <w:lang w:val="en-US"/>
        </w:rPr>
        <w:t xml:space="preserve">being able to have mental </w:t>
      </w:r>
      <w:r w:rsidR="001D7870" w:rsidRPr="00A76B9C">
        <w:rPr>
          <w:rFonts w:ascii="Times New Roman" w:hAnsi="Times New Roman" w:cs="Times New Roman"/>
          <w:lang w:val="en-US"/>
        </w:rPr>
        <w:t>capacity</w:t>
      </w:r>
      <w:r w:rsidR="001D7870">
        <w:rPr>
          <w:rFonts w:ascii="Times New Roman" w:hAnsi="Times New Roman" w:cs="Times New Roman"/>
          <w:lang w:val="en-US"/>
        </w:rPr>
        <w:t xml:space="preserve">. </w:t>
      </w:r>
      <w:r w:rsidR="00A77141" w:rsidRPr="00A77141">
        <w:rPr>
          <w:rFonts w:ascii="Times New Roman" w:hAnsi="Times New Roman" w:cs="Times New Roman"/>
          <w:lang w:val="en-US"/>
        </w:rPr>
        <w:t>To</w:t>
      </w:r>
      <w:r w:rsidR="001D7870" w:rsidRPr="00A77141">
        <w:rPr>
          <w:rFonts w:ascii="Times New Roman" w:hAnsi="Times New Roman" w:cs="Times New Roman"/>
          <w:lang w:val="en-US"/>
        </w:rPr>
        <w:t xml:space="preserve"> put this another way, her bodily state represented someone not of full capacity; a label that </w:t>
      </w:r>
      <w:r w:rsidR="001D7870" w:rsidRPr="00A77141">
        <w:rPr>
          <w:rFonts w:ascii="Times New Roman" w:hAnsi="Times New Roman" w:cs="Times New Roman"/>
          <w:lang w:val="en-US"/>
        </w:rPr>
        <w:lastRenderedPageBreak/>
        <w:t>serves to differentiate her body from a ‘normal’ body. It is to hint at what bodily states can tell us about the boundary between mental capacity and incapacity; and, by implication, to hint at what we – or at least the courts – think of the older</w:t>
      </w:r>
      <w:r w:rsidR="00AD5A60" w:rsidRPr="00A77141">
        <w:rPr>
          <w:rFonts w:ascii="Times New Roman" w:hAnsi="Times New Roman" w:cs="Times New Roman"/>
          <w:lang w:val="en-US"/>
        </w:rPr>
        <w:t xml:space="preserve"> </w:t>
      </w:r>
      <w:r w:rsidR="00E83413">
        <w:rPr>
          <w:rFonts w:ascii="Times New Roman" w:hAnsi="Times New Roman" w:cs="Times New Roman"/>
          <w:lang w:val="en-US"/>
        </w:rPr>
        <w:t xml:space="preserve">physically and mentally </w:t>
      </w:r>
      <w:r w:rsidR="00AD5A60" w:rsidRPr="00A77141">
        <w:rPr>
          <w:rFonts w:ascii="Times New Roman" w:hAnsi="Times New Roman" w:cs="Times New Roman"/>
          <w:lang w:val="en-US"/>
        </w:rPr>
        <w:t>disabled</w:t>
      </w:r>
      <w:r w:rsidR="001D7870" w:rsidRPr="00A77141">
        <w:rPr>
          <w:rFonts w:ascii="Times New Roman" w:hAnsi="Times New Roman" w:cs="Times New Roman"/>
          <w:lang w:val="en-US"/>
        </w:rPr>
        <w:t xml:space="preserve"> body. </w:t>
      </w:r>
    </w:p>
    <w:p w14:paraId="2488911D" w14:textId="77777777" w:rsidR="00130FC8" w:rsidRDefault="00130FC8" w:rsidP="00130FC8">
      <w:pPr>
        <w:spacing w:line="360" w:lineRule="auto"/>
        <w:jc w:val="both"/>
        <w:rPr>
          <w:rFonts w:ascii="Times New Roman" w:hAnsi="Times New Roman" w:cs="Times New Roman"/>
          <w:lang w:val="en-US"/>
        </w:rPr>
      </w:pPr>
    </w:p>
    <w:p w14:paraId="4C1441B1" w14:textId="2AAD43A5" w:rsidR="001D7870" w:rsidRDefault="001D7870" w:rsidP="001D7870">
      <w:pPr>
        <w:tabs>
          <w:tab w:val="left" w:pos="1350"/>
        </w:tabs>
        <w:spacing w:line="360" w:lineRule="auto"/>
        <w:jc w:val="both"/>
        <w:rPr>
          <w:rFonts w:ascii="Times New Roman" w:hAnsi="Times New Roman" w:cs="Times New Roman"/>
          <w:lang w:val="en-US"/>
        </w:rPr>
      </w:pPr>
      <w:r w:rsidRPr="00AD5A60">
        <w:rPr>
          <w:rFonts w:ascii="Times New Roman" w:hAnsi="Times New Roman" w:cs="Times New Roman"/>
          <w:lang w:val="en-US"/>
        </w:rPr>
        <w:t xml:space="preserve">Such evidence </w:t>
      </w:r>
      <w:r w:rsidRPr="00375AA5">
        <w:rPr>
          <w:rFonts w:ascii="Times New Roman" w:hAnsi="Times New Roman" w:cs="Times New Roman"/>
          <w:lang w:val="en-US"/>
        </w:rPr>
        <w:t xml:space="preserve">of </w:t>
      </w:r>
      <w:r w:rsidRPr="00375AA5">
        <w:rPr>
          <w:rFonts w:ascii="Times New Roman" w:hAnsi="Times New Roman" w:cs="Times New Roman"/>
          <w:i/>
          <w:lang w:val="en-US"/>
        </w:rPr>
        <w:t>physical</w:t>
      </w:r>
      <w:r w:rsidR="00A77141">
        <w:rPr>
          <w:rFonts w:ascii="Times New Roman" w:hAnsi="Times New Roman" w:cs="Times New Roman"/>
          <w:i/>
          <w:lang w:val="en-US"/>
        </w:rPr>
        <w:t xml:space="preserve">ly </w:t>
      </w:r>
      <w:r w:rsidR="00A77141">
        <w:rPr>
          <w:rFonts w:ascii="Times New Roman" w:hAnsi="Times New Roman" w:cs="Times New Roman"/>
          <w:lang w:val="en-US"/>
        </w:rPr>
        <w:t>disabled</w:t>
      </w:r>
      <w:r w:rsidRPr="00375AA5">
        <w:rPr>
          <w:rFonts w:ascii="Times New Roman" w:hAnsi="Times New Roman" w:cs="Times New Roman"/>
          <w:lang w:val="en-US"/>
        </w:rPr>
        <w:t xml:space="preserve"> bodies </w:t>
      </w:r>
      <w:r>
        <w:rPr>
          <w:rFonts w:ascii="Times New Roman" w:hAnsi="Times New Roman" w:cs="Times New Roman"/>
          <w:lang w:val="en-US"/>
        </w:rPr>
        <w:t xml:space="preserve">giving rise to </w:t>
      </w:r>
      <w:r w:rsidR="00650240">
        <w:rPr>
          <w:rFonts w:ascii="Times New Roman" w:hAnsi="Times New Roman" w:cs="Times New Roman"/>
          <w:lang w:val="en-US"/>
        </w:rPr>
        <w:t>assumptions of</w:t>
      </w:r>
      <w:r>
        <w:rPr>
          <w:rFonts w:ascii="Times New Roman" w:hAnsi="Times New Roman" w:cs="Times New Roman"/>
          <w:lang w:val="en-US"/>
        </w:rPr>
        <w:t xml:space="preserve"> </w:t>
      </w:r>
      <w:r w:rsidRPr="004F71E7">
        <w:rPr>
          <w:rFonts w:ascii="Times New Roman" w:hAnsi="Times New Roman" w:cs="Times New Roman"/>
          <w:i/>
          <w:lang w:val="en-US"/>
        </w:rPr>
        <w:t>mental</w:t>
      </w:r>
      <w:r>
        <w:rPr>
          <w:rFonts w:ascii="Times New Roman" w:hAnsi="Times New Roman" w:cs="Times New Roman"/>
          <w:lang w:val="en-US"/>
        </w:rPr>
        <w:t xml:space="preserve"> incapacity </w:t>
      </w:r>
      <w:r w:rsidR="000F599B">
        <w:rPr>
          <w:rFonts w:ascii="Times New Roman" w:hAnsi="Times New Roman" w:cs="Times New Roman"/>
          <w:lang w:val="en-US"/>
        </w:rPr>
        <w:t>continues</w:t>
      </w:r>
      <w:r>
        <w:rPr>
          <w:rFonts w:ascii="Times New Roman" w:hAnsi="Times New Roman" w:cs="Times New Roman"/>
          <w:lang w:val="en-US"/>
        </w:rPr>
        <w:t xml:space="preserve"> in other</w:t>
      </w:r>
      <w:r w:rsidR="00E83413">
        <w:rPr>
          <w:rFonts w:ascii="Times New Roman" w:hAnsi="Times New Roman" w:cs="Times New Roman"/>
          <w:lang w:val="en-US"/>
        </w:rPr>
        <w:t xml:space="preserve">, more recent </w:t>
      </w:r>
      <w:r>
        <w:rPr>
          <w:rFonts w:ascii="Times New Roman" w:hAnsi="Times New Roman" w:cs="Times New Roman"/>
          <w:lang w:val="en-US"/>
        </w:rPr>
        <w:t xml:space="preserve">cases </w:t>
      </w:r>
      <w:r w:rsidRPr="0012165C">
        <w:rPr>
          <w:rFonts w:ascii="Times New Roman" w:hAnsi="Times New Roman" w:cs="Times New Roman"/>
          <w:lang w:val="en-US"/>
        </w:rPr>
        <w:t>concerning older disabled bodies</w:t>
      </w:r>
      <w:r>
        <w:rPr>
          <w:rFonts w:ascii="Times New Roman" w:hAnsi="Times New Roman" w:cs="Times New Roman"/>
          <w:lang w:val="en-US"/>
        </w:rPr>
        <w:t xml:space="preserve">. </w:t>
      </w:r>
      <w:r w:rsidRPr="00D660E5">
        <w:rPr>
          <w:rFonts w:ascii="Times New Roman" w:hAnsi="Times New Roman" w:cs="Times New Roman"/>
          <w:i/>
        </w:rPr>
        <w:t xml:space="preserve">A Local Authority v BF </w:t>
      </w:r>
      <w:r w:rsidRPr="00D660E5">
        <w:rPr>
          <w:rFonts w:ascii="Times New Roman" w:hAnsi="Times New Roman" w:cs="Times New Roman"/>
        </w:rPr>
        <w:t>[2018] EWCA Civ 2962</w:t>
      </w:r>
      <w:r>
        <w:rPr>
          <w:rFonts w:ascii="Times New Roman" w:hAnsi="Times New Roman" w:cs="Times New Roman"/>
          <w:lang w:val="en-US"/>
        </w:rPr>
        <w:t xml:space="preserve"> and </w:t>
      </w:r>
      <w:r>
        <w:rPr>
          <w:rFonts w:ascii="Times New Roman" w:hAnsi="Times New Roman" w:cs="Times New Roman"/>
          <w:i/>
          <w:lang w:val="en-US"/>
        </w:rPr>
        <w:t xml:space="preserve">Southend-on-Sea Borough Council v Meyers </w:t>
      </w:r>
      <w:r>
        <w:rPr>
          <w:rFonts w:ascii="Times New Roman" w:hAnsi="Times New Roman" w:cs="Times New Roman"/>
          <w:lang w:val="en-US"/>
        </w:rPr>
        <w:t>[2019] EWHC 399 involved a 91-year old man, Douglas Meyers</w:t>
      </w:r>
      <w:r w:rsidR="00650240">
        <w:rPr>
          <w:rFonts w:ascii="Times New Roman" w:hAnsi="Times New Roman" w:cs="Times New Roman"/>
          <w:lang w:val="en-US"/>
        </w:rPr>
        <w:t>,</w:t>
      </w:r>
      <w:r>
        <w:rPr>
          <w:rStyle w:val="FootnoteReference"/>
          <w:rFonts w:ascii="Times New Roman" w:hAnsi="Times New Roman" w:cs="Times New Roman"/>
          <w:lang w:val="en-US"/>
        </w:rPr>
        <w:footnoteReference w:id="10"/>
      </w:r>
      <w:r w:rsidR="00650240">
        <w:rPr>
          <w:rFonts w:ascii="Times New Roman" w:hAnsi="Times New Roman" w:cs="Times New Roman"/>
          <w:lang w:val="en-US"/>
        </w:rPr>
        <w:t xml:space="preserve"> who was </w:t>
      </w:r>
      <w:r w:rsidR="00650240" w:rsidRPr="00650240">
        <w:rPr>
          <w:rFonts w:ascii="Times New Roman" w:hAnsi="Times New Roman" w:cs="Times New Roman"/>
          <w:lang w:val="en-US"/>
        </w:rPr>
        <w:t>‘blind, a little hard of hearing and diabetic’ (</w:t>
      </w:r>
      <w:r w:rsidR="00650240" w:rsidRPr="00650240">
        <w:rPr>
          <w:rFonts w:ascii="Times New Roman" w:hAnsi="Times New Roman" w:cs="Times New Roman"/>
          <w:i/>
          <w:lang w:val="en-US"/>
        </w:rPr>
        <w:t xml:space="preserve">Southend-on-Sea Borough Council v Meyers, </w:t>
      </w:r>
      <w:r w:rsidR="00650240" w:rsidRPr="00650240">
        <w:rPr>
          <w:rFonts w:ascii="Times New Roman" w:hAnsi="Times New Roman" w:cs="Times New Roman"/>
          <w:lang w:val="en-US"/>
        </w:rPr>
        <w:t>para. 3)</w:t>
      </w:r>
      <w:r w:rsidR="00650240">
        <w:rPr>
          <w:rFonts w:ascii="Times New Roman" w:hAnsi="Times New Roman" w:cs="Times New Roman"/>
          <w:lang w:val="en-US"/>
        </w:rPr>
        <w:t>, but had no diagnosed mental impairment</w:t>
      </w:r>
      <w:r w:rsidR="00650240" w:rsidRPr="00650240">
        <w:rPr>
          <w:rFonts w:ascii="Times New Roman" w:hAnsi="Times New Roman" w:cs="Times New Roman"/>
          <w:lang w:val="en-US"/>
        </w:rPr>
        <w:t>.</w:t>
      </w:r>
      <w:r w:rsidRPr="00650240">
        <w:rPr>
          <w:rFonts w:ascii="Times New Roman" w:hAnsi="Times New Roman" w:cs="Times New Roman"/>
          <w:lang w:val="en-US"/>
        </w:rPr>
        <w:t xml:space="preserve"> </w:t>
      </w:r>
      <w:r>
        <w:rPr>
          <w:rFonts w:ascii="Times New Roman" w:hAnsi="Times New Roman" w:cs="Times New Roman"/>
          <w:lang w:val="en-US"/>
        </w:rPr>
        <w:t>For many years since his wife died, Mr Meyers had lived with his son, KF, who had behavioural difficulties and long term problems with drug addiction and alcoholism. Nevertheless, Mr Meyers told the court that he ‘</w:t>
      </w:r>
      <w:r w:rsidRPr="004C51B5">
        <w:rPr>
          <w:rFonts w:ascii="Times New Roman" w:hAnsi="Times New Roman" w:cs="Times New Roman"/>
          <w:lang w:val="en-US"/>
        </w:rPr>
        <w:t>had promised his late wife that he would look after KF and he wished</w:t>
      </w:r>
      <w:r>
        <w:rPr>
          <w:rFonts w:ascii="Times New Roman" w:hAnsi="Times New Roman" w:cs="Times New Roman"/>
          <w:lang w:val="en-US"/>
        </w:rPr>
        <w:t xml:space="preserve"> to honour his commitment’ (</w:t>
      </w:r>
      <w:r>
        <w:rPr>
          <w:rFonts w:ascii="Times New Roman" w:hAnsi="Times New Roman" w:cs="Times New Roman"/>
          <w:i/>
          <w:lang w:val="en-US"/>
        </w:rPr>
        <w:t>Southend-</w:t>
      </w:r>
      <w:proofErr w:type="gramStart"/>
      <w:r>
        <w:rPr>
          <w:rFonts w:ascii="Times New Roman" w:hAnsi="Times New Roman" w:cs="Times New Roman"/>
          <w:i/>
          <w:lang w:val="en-US"/>
        </w:rPr>
        <w:t>on</w:t>
      </w:r>
      <w:proofErr w:type="gramEnd"/>
      <w:r>
        <w:rPr>
          <w:rFonts w:ascii="Times New Roman" w:hAnsi="Times New Roman" w:cs="Times New Roman"/>
          <w:i/>
          <w:lang w:val="en-US"/>
        </w:rPr>
        <w:t>-Sea Borough Council</w:t>
      </w:r>
      <w:r w:rsidR="00AD5A60">
        <w:rPr>
          <w:rFonts w:ascii="Times New Roman" w:hAnsi="Times New Roman" w:cs="Times New Roman"/>
          <w:i/>
          <w:lang w:val="en-US"/>
        </w:rPr>
        <w:t xml:space="preserve"> v Meyers</w:t>
      </w:r>
      <w:r>
        <w:rPr>
          <w:rFonts w:ascii="Times New Roman" w:hAnsi="Times New Roman" w:cs="Times New Roman"/>
          <w:i/>
          <w:lang w:val="en-US"/>
        </w:rPr>
        <w:t xml:space="preserve">, </w:t>
      </w:r>
      <w:r>
        <w:rPr>
          <w:rFonts w:ascii="Times New Roman" w:hAnsi="Times New Roman" w:cs="Times New Roman"/>
          <w:lang w:val="en-US"/>
        </w:rPr>
        <w:t>para. 19), and therefore wished to continue living at his home with his son. The local authority, however, was concerned that KF had been preventing Mr Meyers from receiving the necessary care he needed for his physical conditions: blindness, osteoarthritis, and diabetes. This culminated in a visit to Mr Meyers by a social worker, and the situation in his house is described as follows:</w:t>
      </w:r>
    </w:p>
    <w:p w14:paraId="40290D66" w14:textId="77777777" w:rsidR="001D7870" w:rsidRPr="00DD029C" w:rsidRDefault="001D7870" w:rsidP="001D7870">
      <w:pPr>
        <w:spacing w:line="360" w:lineRule="auto"/>
        <w:ind w:left="720" w:right="830"/>
        <w:jc w:val="both"/>
        <w:rPr>
          <w:rFonts w:ascii="Times New Roman" w:hAnsi="Times New Roman" w:cs="Times New Roman"/>
          <w:lang w:val="en-US"/>
        </w:rPr>
      </w:pPr>
      <w:r w:rsidRPr="00DD029C">
        <w:rPr>
          <w:rFonts w:ascii="Times New Roman" w:hAnsi="Times New Roman" w:cs="Times New Roman"/>
          <w:lang w:val="en-US"/>
        </w:rPr>
        <w:t>The description of the scene is set out in graphic detail in the witness statement of Ms C, social worker, who reported in summary that she and her colleagues found BF sitting bare-bottomed on the wooden slats of his bed. He had no mattress or sheets. He was surrounded by flies, blood, food, faeces and clutter. He was in pain. He reported he had had nothing to eat or drink for several days. He was hallucinating</w:t>
      </w:r>
      <w:r>
        <w:rPr>
          <w:rFonts w:ascii="Times New Roman" w:hAnsi="Times New Roman" w:cs="Times New Roman"/>
          <w:lang w:val="en-US"/>
        </w:rPr>
        <w:t xml:space="preserve"> (</w:t>
      </w:r>
      <w:r>
        <w:rPr>
          <w:rFonts w:ascii="Times New Roman" w:hAnsi="Times New Roman" w:cs="Times New Roman"/>
          <w:i/>
          <w:lang w:val="en-US"/>
        </w:rPr>
        <w:t xml:space="preserve">A Local Authority v BF, </w:t>
      </w:r>
      <w:r>
        <w:rPr>
          <w:rFonts w:ascii="Times New Roman" w:hAnsi="Times New Roman" w:cs="Times New Roman"/>
          <w:lang w:val="en-US"/>
        </w:rPr>
        <w:t>at para. 11).</w:t>
      </w:r>
    </w:p>
    <w:p w14:paraId="01F3E3B1" w14:textId="6DB852BE" w:rsidR="001D7870" w:rsidRDefault="001D7870" w:rsidP="001D7870">
      <w:pPr>
        <w:tabs>
          <w:tab w:val="left" w:pos="1350"/>
        </w:tabs>
        <w:spacing w:line="360" w:lineRule="auto"/>
        <w:jc w:val="both"/>
        <w:rPr>
          <w:rFonts w:ascii="Times New Roman" w:hAnsi="Times New Roman" w:cs="Times New Roman"/>
          <w:lang w:val="en-US"/>
        </w:rPr>
      </w:pPr>
      <w:r>
        <w:rPr>
          <w:rFonts w:ascii="Times New Roman" w:hAnsi="Times New Roman" w:cs="Times New Roman"/>
          <w:lang w:val="en-US"/>
        </w:rPr>
        <w:t>Mr Meyers’ home circumstances were clearly akin to such as would be expected in instances of physical and environmental neglect. Moreover, the relationship with his son, who himself may well have had his own mental health condition but of which there was no concrete evidence (</w:t>
      </w:r>
      <w:r>
        <w:rPr>
          <w:rFonts w:ascii="Times New Roman" w:hAnsi="Times New Roman" w:cs="Times New Roman"/>
          <w:i/>
          <w:lang w:val="en-US"/>
        </w:rPr>
        <w:t>Southend-</w:t>
      </w:r>
      <w:proofErr w:type="gramStart"/>
      <w:r>
        <w:rPr>
          <w:rFonts w:ascii="Times New Roman" w:hAnsi="Times New Roman" w:cs="Times New Roman"/>
          <w:i/>
          <w:lang w:val="en-US"/>
        </w:rPr>
        <w:t>on</w:t>
      </w:r>
      <w:proofErr w:type="gramEnd"/>
      <w:r>
        <w:rPr>
          <w:rFonts w:ascii="Times New Roman" w:hAnsi="Times New Roman" w:cs="Times New Roman"/>
          <w:i/>
          <w:lang w:val="en-US"/>
        </w:rPr>
        <w:t>-Sea</w:t>
      </w:r>
      <w:r w:rsidR="002E3540">
        <w:rPr>
          <w:rFonts w:ascii="Times New Roman" w:hAnsi="Times New Roman" w:cs="Times New Roman"/>
          <w:i/>
          <w:lang w:val="en-US"/>
        </w:rPr>
        <w:t xml:space="preserve"> Borough Council</w:t>
      </w:r>
      <w:r>
        <w:rPr>
          <w:rFonts w:ascii="Times New Roman" w:hAnsi="Times New Roman" w:cs="Times New Roman"/>
          <w:i/>
          <w:lang w:val="en-US"/>
        </w:rPr>
        <w:t xml:space="preserve"> v M</w:t>
      </w:r>
      <w:r w:rsidR="002E3540">
        <w:rPr>
          <w:rFonts w:ascii="Times New Roman" w:hAnsi="Times New Roman" w:cs="Times New Roman"/>
          <w:i/>
          <w:lang w:val="en-US"/>
        </w:rPr>
        <w:t>e</w:t>
      </w:r>
      <w:r>
        <w:rPr>
          <w:rFonts w:ascii="Times New Roman" w:hAnsi="Times New Roman" w:cs="Times New Roman"/>
          <w:i/>
          <w:lang w:val="en-US"/>
        </w:rPr>
        <w:t xml:space="preserve">yers, </w:t>
      </w:r>
      <w:r>
        <w:rPr>
          <w:rFonts w:ascii="Times New Roman" w:hAnsi="Times New Roman" w:cs="Times New Roman"/>
          <w:lang w:val="en-US"/>
        </w:rPr>
        <w:t>para. 39), and which also formed a crucial part of the court’s ultimate reasoning, is described as being ‘</w:t>
      </w:r>
      <w:r w:rsidRPr="00FB255E">
        <w:rPr>
          <w:rFonts w:ascii="Times New Roman" w:hAnsi="Times New Roman" w:cs="Times New Roman"/>
          <w:lang w:val="en-US"/>
        </w:rPr>
        <w:t>extremely complex</w:t>
      </w:r>
      <w:r>
        <w:rPr>
          <w:rFonts w:ascii="Times New Roman" w:hAnsi="Times New Roman" w:cs="Times New Roman"/>
          <w:lang w:val="en-US"/>
        </w:rPr>
        <w:t>...</w:t>
      </w:r>
      <w:r w:rsidRPr="00FB255E">
        <w:rPr>
          <w:rFonts w:ascii="Times New Roman" w:hAnsi="Times New Roman" w:cs="Times New Roman"/>
          <w:lang w:val="en-US"/>
        </w:rPr>
        <w:t xml:space="preserve">which, on the evidence which I have read, seems to me at least to have elements of </w:t>
      </w:r>
      <w:r w:rsidRPr="00FB255E">
        <w:rPr>
          <w:rFonts w:ascii="Times New Roman" w:hAnsi="Times New Roman" w:cs="Times New Roman"/>
          <w:lang w:val="en-US"/>
        </w:rPr>
        <w:lastRenderedPageBreak/>
        <w:t>the insidious, persuasive undue influence</w:t>
      </w:r>
      <w:r>
        <w:rPr>
          <w:rFonts w:ascii="Times New Roman" w:hAnsi="Times New Roman" w:cs="Times New Roman"/>
          <w:lang w:val="en-US"/>
        </w:rPr>
        <w:t>...’ (</w:t>
      </w:r>
      <w:r>
        <w:rPr>
          <w:rFonts w:ascii="Times New Roman" w:hAnsi="Times New Roman" w:cs="Times New Roman"/>
          <w:i/>
          <w:lang w:val="en-US"/>
        </w:rPr>
        <w:t xml:space="preserve">A Local Authority v BF, </w:t>
      </w:r>
      <w:r>
        <w:rPr>
          <w:rFonts w:ascii="Times New Roman" w:hAnsi="Times New Roman" w:cs="Times New Roman"/>
          <w:lang w:val="en-US"/>
        </w:rPr>
        <w:t xml:space="preserve">para. 31) by KF towards his father. For the Court, one of the crucial factors in deciding to intervene is that </w:t>
      </w:r>
    </w:p>
    <w:p w14:paraId="0472A46B" w14:textId="72BE523B" w:rsidR="001D7870" w:rsidRDefault="001D7870" w:rsidP="001D7870">
      <w:pPr>
        <w:tabs>
          <w:tab w:val="left" w:pos="1350"/>
        </w:tabs>
        <w:spacing w:line="360" w:lineRule="auto"/>
        <w:ind w:left="720" w:right="830"/>
        <w:jc w:val="both"/>
        <w:rPr>
          <w:rFonts w:ascii="Times New Roman" w:hAnsi="Times New Roman" w:cs="Times New Roman"/>
          <w:lang w:val="en-US"/>
        </w:rPr>
      </w:pPr>
      <w:r>
        <w:rPr>
          <w:rFonts w:ascii="Times New Roman" w:hAnsi="Times New Roman" w:cs="Times New Roman"/>
          <w:lang w:val="en-US"/>
        </w:rPr>
        <w:t>K</w:t>
      </w:r>
      <w:r w:rsidRPr="00375AA5">
        <w:rPr>
          <w:rFonts w:ascii="Times New Roman" w:hAnsi="Times New Roman" w:cs="Times New Roman"/>
          <w:lang w:val="en-US"/>
        </w:rPr>
        <w:t>F is needy, irrational, frequently out of control as well as manifestly emotionally</w:t>
      </w:r>
      <w:r>
        <w:rPr>
          <w:rFonts w:ascii="Times New Roman" w:hAnsi="Times New Roman" w:cs="Times New Roman"/>
          <w:lang w:val="en-US"/>
        </w:rPr>
        <w:t xml:space="preserve"> </w:t>
      </w:r>
      <w:r w:rsidRPr="00375AA5">
        <w:rPr>
          <w:rFonts w:ascii="Times New Roman" w:hAnsi="Times New Roman" w:cs="Times New Roman"/>
          <w:lang w:val="en-US"/>
        </w:rPr>
        <w:t>dependent on a father who, despite the alarming history of this case, he obviously loves.</w:t>
      </w:r>
      <w:r>
        <w:rPr>
          <w:rFonts w:ascii="Times New Roman" w:hAnsi="Times New Roman" w:cs="Times New Roman"/>
          <w:lang w:val="en-US"/>
        </w:rPr>
        <w:t xml:space="preserve"> </w:t>
      </w:r>
      <w:r w:rsidRPr="00375AA5">
        <w:rPr>
          <w:rFonts w:ascii="Times New Roman" w:hAnsi="Times New Roman" w:cs="Times New Roman"/>
          <w:lang w:val="en-US"/>
        </w:rPr>
        <w:t>KF’s influence on his father is insidious and pervasive. It triggers Mr Meyers’s sense</w:t>
      </w:r>
      <w:r>
        <w:rPr>
          <w:rFonts w:ascii="Times New Roman" w:hAnsi="Times New Roman" w:cs="Times New Roman"/>
          <w:lang w:val="en-US"/>
        </w:rPr>
        <w:t xml:space="preserve"> </w:t>
      </w:r>
      <w:r w:rsidRPr="00375AA5">
        <w:rPr>
          <w:rFonts w:ascii="Times New Roman" w:hAnsi="Times New Roman" w:cs="Times New Roman"/>
          <w:lang w:val="en-US"/>
        </w:rPr>
        <w:t>of duty, guilt, love and responsibility</w:t>
      </w:r>
      <w:r>
        <w:rPr>
          <w:rFonts w:ascii="Times New Roman" w:hAnsi="Times New Roman" w:cs="Times New Roman"/>
          <w:lang w:val="en-US"/>
        </w:rPr>
        <w:t xml:space="preserve"> (</w:t>
      </w:r>
      <w:r>
        <w:rPr>
          <w:rFonts w:ascii="Times New Roman" w:hAnsi="Times New Roman" w:cs="Times New Roman"/>
          <w:i/>
          <w:lang w:val="en-US"/>
        </w:rPr>
        <w:t>Southend-</w:t>
      </w:r>
      <w:proofErr w:type="gramStart"/>
      <w:r>
        <w:rPr>
          <w:rFonts w:ascii="Times New Roman" w:hAnsi="Times New Roman" w:cs="Times New Roman"/>
          <w:i/>
          <w:lang w:val="en-US"/>
        </w:rPr>
        <w:t>on</w:t>
      </w:r>
      <w:proofErr w:type="gramEnd"/>
      <w:r>
        <w:rPr>
          <w:rFonts w:ascii="Times New Roman" w:hAnsi="Times New Roman" w:cs="Times New Roman"/>
          <w:i/>
          <w:lang w:val="en-US"/>
        </w:rPr>
        <w:t>-Sea</w:t>
      </w:r>
      <w:r w:rsidR="002E3540">
        <w:rPr>
          <w:rFonts w:ascii="Times New Roman" w:hAnsi="Times New Roman" w:cs="Times New Roman"/>
          <w:i/>
          <w:lang w:val="en-US"/>
        </w:rPr>
        <w:t xml:space="preserve"> Borough Council</w:t>
      </w:r>
      <w:r>
        <w:rPr>
          <w:rFonts w:ascii="Times New Roman" w:hAnsi="Times New Roman" w:cs="Times New Roman"/>
          <w:i/>
          <w:lang w:val="en-US"/>
        </w:rPr>
        <w:t xml:space="preserve"> v Meyers, </w:t>
      </w:r>
      <w:r>
        <w:rPr>
          <w:rFonts w:ascii="Times New Roman" w:hAnsi="Times New Roman" w:cs="Times New Roman"/>
          <w:lang w:val="en-US"/>
        </w:rPr>
        <w:t xml:space="preserve">para. 41). </w:t>
      </w:r>
    </w:p>
    <w:p w14:paraId="3D1A494E" w14:textId="77777777" w:rsidR="001D7870" w:rsidRDefault="001D7870" w:rsidP="001D7870">
      <w:pPr>
        <w:tabs>
          <w:tab w:val="left" w:pos="1350"/>
        </w:tabs>
        <w:spacing w:line="360" w:lineRule="auto"/>
        <w:jc w:val="both"/>
        <w:rPr>
          <w:rFonts w:ascii="Times New Roman" w:hAnsi="Times New Roman" w:cs="Times New Roman"/>
          <w:lang w:val="en-US"/>
        </w:rPr>
      </w:pPr>
    </w:p>
    <w:p w14:paraId="347B1B28" w14:textId="5408CCCF" w:rsidR="001D7870" w:rsidRDefault="001D7870" w:rsidP="001D7870">
      <w:pPr>
        <w:tabs>
          <w:tab w:val="left" w:pos="1350"/>
        </w:tabs>
        <w:spacing w:line="360" w:lineRule="auto"/>
        <w:jc w:val="both"/>
        <w:rPr>
          <w:rFonts w:ascii="Times New Roman" w:hAnsi="Times New Roman" w:cs="Times New Roman"/>
          <w:lang w:val="en-US"/>
        </w:rPr>
      </w:pPr>
      <w:r>
        <w:rPr>
          <w:rFonts w:ascii="Times New Roman" w:hAnsi="Times New Roman" w:cs="Times New Roman"/>
          <w:lang w:val="en-US"/>
        </w:rPr>
        <w:t>The case had originally been heard in the Family Division of the High Court by Hayden J in December 2018,</w:t>
      </w:r>
      <w:r w:rsidR="00AD5A60">
        <w:rPr>
          <w:rStyle w:val="FootnoteReference"/>
          <w:rFonts w:ascii="Times New Roman" w:hAnsi="Times New Roman" w:cs="Times New Roman"/>
          <w:lang w:val="en-US"/>
        </w:rPr>
        <w:footnoteReference w:id="11"/>
      </w:r>
      <w:r>
        <w:rPr>
          <w:rFonts w:ascii="Times New Roman" w:hAnsi="Times New Roman" w:cs="Times New Roman"/>
          <w:lang w:val="en-US"/>
        </w:rPr>
        <w:t xml:space="preserve"> where the local authority had sought an interim declaration that it would be lawful to deprive him of his liberty in a care home pursuant to the inherent jurisdiction of the High Court, rather than under the usual Deprivation of Liberty Safeguards.</w:t>
      </w:r>
      <w:r>
        <w:rPr>
          <w:rStyle w:val="FootnoteReference"/>
          <w:rFonts w:ascii="Times New Roman" w:hAnsi="Times New Roman" w:cs="Times New Roman"/>
          <w:lang w:val="en-US"/>
        </w:rPr>
        <w:footnoteReference w:id="12"/>
      </w:r>
      <w:r>
        <w:rPr>
          <w:rFonts w:ascii="Times New Roman" w:hAnsi="Times New Roman" w:cs="Times New Roman"/>
          <w:lang w:val="en-US"/>
        </w:rPr>
        <w:t xml:space="preserve"> Hayden J issued the declaration sought, and a subsequent legal challenge to this decision to the Court of Appeal was unsuccessful.</w:t>
      </w:r>
      <w:r>
        <w:rPr>
          <w:rStyle w:val="FootnoteReference"/>
          <w:rFonts w:ascii="Times New Roman" w:hAnsi="Times New Roman" w:cs="Times New Roman"/>
          <w:lang w:val="en-US"/>
        </w:rPr>
        <w:footnoteReference w:id="13"/>
      </w:r>
      <w:r>
        <w:rPr>
          <w:rFonts w:ascii="Times New Roman" w:hAnsi="Times New Roman" w:cs="Times New Roman"/>
          <w:lang w:val="en-US"/>
        </w:rPr>
        <w:t xml:space="preserve"> As is well rehearsed in legal discussion, in order to be compliant with Article 5 of the European Convention on Human Rights, any deprivation of a person’s liberty must be made on one of the grounds in Article 5(1), which includes of persons ‘of unsound mind’ (Article 5(1)(e)).</w:t>
      </w:r>
      <w:r>
        <w:rPr>
          <w:rStyle w:val="FootnoteReference"/>
          <w:rFonts w:ascii="Times New Roman" w:hAnsi="Times New Roman" w:cs="Times New Roman"/>
          <w:lang w:val="en-US"/>
        </w:rPr>
        <w:footnoteReference w:id="14"/>
      </w:r>
      <w:r>
        <w:rPr>
          <w:rFonts w:ascii="Times New Roman" w:hAnsi="Times New Roman" w:cs="Times New Roman"/>
          <w:lang w:val="en-US"/>
        </w:rPr>
        <w:t xml:space="preserve"> The Court held, surprisingly, that his infirmities – ostensibly</w:t>
      </w:r>
      <w:r w:rsidR="00E83413">
        <w:rPr>
          <w:rFonts w:ascii="Times New Roman" w:hAnsi="Times New Roman" w:cs="Times New Roman"/>
          <w:lang w:val="en-US"/>
        </w:rPr>
        <w:t xml:space="preserve"> only</w:t>
      </w:r>
      <w:r>
        <w:rPr>
          <w:rFonts w:ascii="Times New Roman" w:hAnsi="Times New Roman" w:cs="Times New Roman"/>
          <w:lang w:val="en-US"/>
        </w:rPr>
        <w:t xml:space="preserve"> physical – at least in part rendered him vulnerable enough to potentially be of unsound mind within the meaning of Article 5:</w:t>
      </w:r>
    </w:p>
    <w:p w14:paraId="71CD9250" w14:textId="77777777" w:rsidR="001D7870" w:rsidRPr="00E73C9C" w:rsidRDefault="001D7870" w:rsidP="001D7870">
      <w:pPr>
        <w:spacing w:line="360" w:lineRule="auto"/>
        <w:ind w:left="720" w:right="830"/>
        <w:jc w:val="both"/>
        <w:rPr>
          <w:rFonts w:ascii="Times New Roman" w:hAnsi="Times New Roman" w:cs="Times New Roman"/>
          <w:lang w:val="en-US"/>
        </w:rPr>
      </w:pPr>
      <w:bookmarkStart w:id="1" w:name="para33"/>
      <w:r>
        <w:rPr>
          <w:rFonts w:ascii="Times New Roman" w:hAnsi="Times New Roman" w:cs="Times New Roman"/>
          <w:lang w:val="en-US"/>
        </w:rPr>
        <w:t>...</w:t>
      </w:r>
      <w:r w:rsidRPr="00E73C9C">
        <w:rPr>
          <w:rFonts w:ascii="Times New Roman" w:hAnsi="Times New Roman" w:cs="Times New Roman"/>
          <w:lang w:val="en-US"/>
        </w:rPr>
        <w:t>although the expert evidence is that he has capacity to make decisions concerning his care and residence, there is certainly </w:t>
      </w:r>
      <w:r w:rsidRPr="00E73C9C">
        <w:rPr>
          <w:rFonts w:ascii="Times New Roman" w:hAnsi="Times New Roman" w:cs="Times New Roman"/>
          <w:i/>
          <w:iCs/>
          <w:lang w:val="en-US"/>
        </w:rPr>
        <w:t>prima facie</w:t>
      </w:r>
      <w:r w:rsidRPr="00E73C9C">
        <w:rPr>
          <w:rFonts w:ascii="Times New Roman" w:hAnsi="Times New Roman" w:cs="Times New Roman"/>
          <w:lang w:val="en-US"/>
        </w:rPr>
        <w:t xml:space="preserve"> evidence that he is of unsound mind </w:t>
      </w:r>
      <w:r w:rsidRPr="004F71E7">
        <w:rPr>
          <w:rFonts w:ascii="Times New Roman" w:hAnsi="Times New Roman" w:cs="Times New Roman"/>
          <w:i/>
          <w:lang w:val="en-US"/>
        </w:rPr>
        <w:t>by reason of his infirmity</w:t>
      </w:r>
      <w:r w:rsidRPr="00E73C9C">
        <w:rPr>
          <w:rFonts w:ascii="Times New Roman" w:hAnsi="Times New Roman" w:cs="Times New Roman"/>
          <w:lang w:val="en-US"/>
        </w:rPr>
        <w:t xml:space="preserve"> and/or all the extraneous circumstances identified above. In assessing whether someone is of unsound mind, a judge looks not only at the expert evidence, but at all the evidence directed to the particular issue. Manifestly, the test of "unsound mind" is </w:t>
      </w:r>
      <w:r w:rsidRPr="00E73C9C">
        <w:rPr>
          <w:rFonts w:ascii="Times New Roman" w:hAnsi="Times New Roman" w:cs="Times New Roman"/>
          <w:lang w:val="en-US"/>
        </w:rPr>
        <w:lastRenderedPageBreak/>
        <w:t>different from the test of capacity under the Mental Capacity Act. It is at this stage unclear whether he is of unsound mind, but there are certainly </w:t>
      </w:r>
      <w:r w:rsidRPr="00E73C9C">
        <w:rPr>
          <w:rFonts w:ascii="Times New Roman" w:hAnsi="Times New Roman" w:cs="Times New Roman"/>
          <w:i/>
          <w:iCs/>
          <w:lang w:val="en-US"/>
        </w:rPr>
        <w:t>prima facie</w:t>
      </w:r>
      <w:r w:rsidRPr="00E73C9C">
        <w:rPr>
          <w:rFonts w:ascii="Times New Roman" w:hAnsi="Times New Roman" w:cs="Times New Roman"/>
          <w:lang w:val="en-US"/>
        </w:rPr>
        <w:t> grounds for thinking that he may be</w:t>
      </w:r>
      <w:r>
        <w:rPr>
          <w:rFonts w:ascii="Times New Roman" w:hAnsi="Times New Roman" w:cs="Times New Roman"/>
          <w:lang w:val="en-US"/>
        </w:rPr>
        <w:t xml:space="preserve"> (para. 33, emphasis added)</w:t>
      </w:r>
      <w:r w:rsidRPr="00E73C9C">
        <w:rPr>
          <w:rFonts w:ascii="Times New Roman" w:hAnsi="Times New Roman" w:cs="Times New Roman"/>
          <w:lang w:val="en-US"/>
        </w:rPr>
        <w:t>.</w:t>
      </w:r>
      <w:bookmarkEnd w:id="1"/>
    </w:p>
    <w:p w14:paraId="7A36CDFF" w14:textId="60760F79" w:rsidR="001D7870" w:rsidRDefault="001D7870" w:rsidP="001D7870">
      <w:pPr>
        <w:spacing w:line="360" w:lineRule="auto"/>
        <w:jc w:val="both"/>
        <w:rPr>
          <w:rFonts w:ascii="Times New Roman" w:hAnsi="Times New Roman" w:cs="Times New Roman"/>
          <w:lang w:val="en-US"/>
        </w:rPr>
      </w:pPr>
      <w:r>
        <w:rPr>
          <w:rFonts w:ascii="Times New Roman" w:hAnsi="Times New Roman" w:cs="Times New Roman"/>
          <w:lang w:val="en-US"/>
        </w:rPr>
        <w:t>Although a full discussion of the technical ramifications of this judgment are beyond the scope of this paper, it is important to note that, legally, t</w:t>
      </w:r>
      <w:r w:rsidRPr="0012754A">
        <w:rPr>
          <w:rFonts w:ascii="Times New Roman" w:hAnsi="Times New Roman" w:cs="Times New Roman"/>
          <w:lang w:val="en-US"/>
        </w:rPr>
        <w:t>his</w:t>
      </w:r>
      <w:r>
        <w:rPr>
          <w:rFonts w:ascii="Times New Roman" w:hAnsi="Times New Roman" w:cs="Times New Roman"/>
          <w:lang w:val="en-US"/>
        </w:rPr>
        <w:t xml:space="preserve"> paragraph – and the wider judgment of the Court – is </w:t>
      </w:r>
      <w:r w:rsidRPr="0012754A">
        <w:rPr>
          <w:rFonts w:ascii="Times New Roman" w:hAnsi="Times New Roman" w:cs="Times New Roman"/>
          <w:lang w:val="en-US"/>
        </w:rPr>
        <w:t>remarkable</w:t>
      </w:r>
      <w:r>
        <w:rPr>
          <w:rFonts w:ascii="Times New Roman" w:hAnsi="Times New Roman" w:cs="Times New Roman"/>
          <w:lang w:val="en-US"/>
        </w:rPr>
        <w:t xml:space="preserve">. </w:t>
      </w:r>
      <w:r w:rsidRPr="00A77141">
        <w:rPr>
          <w:rFonts w:ascii="Times New Roman" w:hAnsi="Times New Roman" w:cs="Times New Roman"/>
          <w:lang w:val="en-US"/>
        </w:rPr>
        <w:t>It suggests</w:t>
      </w:r>
      <w:r w:rsidR="00C34ACD">
        <w:rPr>
          <w:rFonts w:ascii="Times New Roman" w:hAnsi="Times New Roman" w:cs="Times New Roman"/>
          <w:lang w:val="en-US"/>
        </w:rPr>
        <w:t xml:space="preserve"> – much as the </w:t>
      </w:r>
      <w:r w:rsidR="00C34ACD" w:rsidRPr="00D15A14">
        <w:rPr>
          <w:rFonts w:ascii="Times New Roman" w:hAnsi="Times New Roman" w:cs="Times New Roman"/>
          <w:i/>
          <w:lang w:val="en-US"/>
        </w:rPr>
        <w:t>dicta</w:t>
      </w:r>
      <w:r w:rsidR="00C34ACD">
        <w:rPr>
          <w:rFonts w:ascii="Times New Roman" w:hAnsi="Times New Roman" w:cs="Times New Roman"/>
          <w:lang w:val="en-US"/>
        </w:rPr>
        <w:t xml:space="preserve"> of the Court of Appeal in </w:t>
      </w:r>
      <w:r w:rsidR="00C34ACD" w:rsidRPr="00D15A14">
        <w:rPr>
          <w:rFonts w:ascii="Times New Roman" w:hAnsi="Times New Roman" w:cs="Times New Roman"/>
          <w:i/>
          <w:lang w:val="en-US"/>
        </w:rPr>
        <w:t>R v Kurtz</w:t>
      </w:r>
      <w:r w:rsidR="00C34ACD">
        <w:rPr>
          <w:rFonts w:ascii="Times New Roman" w:hAnsi="Times New Roman" w:cs="Times New Roman"/>
          <w:lang w:val="en-US"/>
        </w:rPr>
        <w:t xml:space="preserve"> </w:t>
      </w:r>
      <w:r w:rsidR="00E83413">
        <w:rPr>
          <w:rFonts w:ascii="Times New Roman" w:hAnsi="Times New Roman" w:cs="Times New Roman"/>
          <w:lang w:val="en-US"/>
        </w:rPr>
        <w:t>hinted at</w:t>
      </w:r>
      <w:r w:rsidR="00C34ACD">
        <w:rPr>
          <w:rFonts w:ascii="Times New Roman" w:hAnsi="Times New Roman" w:cs="Times New Roman"/>
          <w:lang w:val="en-US"/>
        </w:rPr>
        <w:t xml:space="preserve"> – that </w:t>
      </w:r>
      <w:r w:rsidRPr="00A77141">
        <w:rPr>
          <w:rFonts w:ascii="Times New Roman" w:hAnsi="Times New Roman" w:cs="Times New Roman"/>
          <w:lang w:val="en-US"/>
        </w:rPr>
        <w:t xml:space="preserve">unsoundness of mind for the purposes of Article 5 could be based at least in part on Mr Meyers’ </w:t>
      </w:r>
      <w:r w:rsidRPr="00A77141">
        <w:rPr>
          <w:rFonts w:ascii="Times New Roman" w:hAnsi="Times New Roman" w:cs="Times New Roman"/>
          <w:i/>
          <w:lang w:val="en-US"/>
        </w:rPr>
        <w:t>physical</w:t>
      </w:r>
      <w:r w:rsidRPr="00A77141">
        <w:rPr>
          <w:rFonts w:ascii="Times New Roman" w:hAnsi="Times New Roman" w:cs="Times New Roman"/>
          <w:lang w:val="en-US"/>
        </w:rPr>
        <w:t xml:space="preserve"> </w:t>
      </w:r>
      <w:r w:rsidR="00A77141" w:rsidRPr="00A77141">
        <w:rPr>
          <w:rFonts w:ascii="Times New Roman" w:hAnsi="Times New Roman" w:cs="Times New Roman"/>
          <w:lang w:val="en-US"/>
        </w:rPr>
        <w:t xml:space="preserve">disabilities, </w:t>
      </w:r>
      <w:r w:rsidRPr="00A77141">
        <w:rPr>
          <w:rFonts w:ascii="Times New Roman" w:hAnsi="Times New Roman" w:cs="Times New Roman"/>
          <w:lang w:val="en-US"/>
        </w:rPr>
        <w:t>and</w:t>
      </w:r>
      <w:r w:rsidR="00A77141" w:rsidRPr="00A77141">
        <w:rPr>
          <w:rFonts w:ascii="Times New Roman" w:hAnsi="Times New Roman" w:cs="Times New Roman"/>
          <w:lang w:val="en-US"/>
        </w:rPr>
        <w:t xml:space="preserve"> his</w:t>
      </w:r>
      <w:r w:rsidRPr="00A77141">
        <w:rPr>
          <w:rFonts w:ascii="Times New Roman" w:hAnsi="Times New Roman" w:cs="Times New Roman"/>
          <w:lang w:val="en-US"/>
        </w:rPr>
        <w:t xml:space="preserve"> need for care, albeit care that his son </w:t>
      </w:r>
      <w:r w:rsidR="00E83413">
        <w:rPr>
          <w:rFonts w:ascii="Times New Roman" w:hAnsi="Times New Roman" w:cs="Times New Roman"/>
          <w:lang w:val="en-US"/>
        </w:rPr>
        <w:t>was</w:t>
      </w:r>
      <w:r w:rsidRPr="00A77141">
        <w:rPr>
          <w:rFonts w:ascii="Times New Roman" w:hAnsi="Times New Roman" w:cs="Times New Roman"/>
          <w:lang w:val="en-US"/>
        </w:rPr>
        <w:t xml:space="preserve"> prohibiting him from receiving</w:t>
      </w:r>
      <w:r w:rsidR="00A77141" w:rsidRPr="00A77141">
        <w:rPr>
          <w:rFonts w:ascii="Times New Roman" w:hAnsi="Times New Roman" w:cs="Times New Roman"/>
          <w:lang w:val="en-US"/>
        </w:rPr>
        <w:t xml:space="preserve">. This is </w:t>
      </w:r>
      <w:r w:rsidRPr="00A77141">
        <w:rPr>
          <w:rFonts w:ascii="Times New Roman" w:hAnsi="Times New Roman" w:cs="Times New Roman"/>
          <w:lang w:val="en-US"/>
        </w:rPr>
        <w:t xml:space="preserve">as opposed to any sort of </w:t>
      </w:r>
      <w:r w:rsidRPr="00A77141">
        <w:rPr>
          <w:rFonts w:ascii="Times New Roman" w:hAnsi="Times New Roman" w:cs="Times New Roman"/>
          <w:i/>
          <w:lang w:val="en-US"/>
        </w:rPr>
        <w:t xml:space="preserve">mental </w:t>
      </w:r>
      <w:r w:rsidRPr="00A77141">
        <w:rPr>
          <w:rFonts w:ascii="Times New Roman" w:hAnsi="Times New Roman" w:cs="Times New Roman"/>
          <w:lang w:val="en-US"/>
        </w:rPr>
        <w:t>impairment</w:t>
      </w:r>
      <w:r w:rsidR="00A77141" w:rsidRPr="00A77141">
        <w:rPr>
          <w:rFonts w:ascii="Times New Roman" w:hAnsi="Times New Roman" w:cs="Times New Roman"/>
          <w:lang w:val="en-US"/>
        </w:rPr>
        <w:t>, which, under section 2 of the Mental Capacity Act 2005, is the usual mechanism by which the courts establish unsoundness of mind</w:t>
      </w:r>
      <w:r w:rsidRPr="00A77141">
        <w:rPr>
          <w:rFonts w:ascii="Times New Roman" w:hAnsi="Times New Roman" w:cs="Times New Roman"/>
          <w:lang w:val="en-US"/>
        </w:rPr>
        <w:t>.</w:t>
      </w:r>
      <w:r>
        <w:rPr>
          <w:rFonts w:ascii="Times New Roman" w:hAnsi="Times New Roman" w:cs="Times New Roman"/>
          <w:lang w:val="en-US"/>
        </w:rPr>
        <w:t xml:space="preserve"> In effect, a deprivation of liberty could be lawful even where there is no mental disorder in play, but could simply be down Douglas Meyers’ physically infirm body.</w:t>
      </w:r>
      <w:r>
        <w:rPr>
          <w:rStyle w:val="FootnoteReference"/>
          <w:rFonts w:ascii="Times New Roman" w:hAnsi="Times New Roman" w:cs="Times New Roman"/>
          <w:lang w:val="en-US"/>
        </w:rPr>
        <w:footnoteReference w:id="15"/>
      </w:r>
      <w:r>
        <w:rPr>
          <w:rFonts w:ascii="Times New Roman" w:hAnsi="Times New Roman" w:cs="Times New Roman"/>
          <w:lang w:val="en-US"/>
        </w:rPr>
        <w:t xml:space="preserve"> </w:t>
      </w:r>
      <w:r w:rsidRPr="00D7536C">
        <w:rPr>
          <w:rFonts w:ascii="Times New Roman" w:hAnsi="Times New Roman" w:cs="Times New Roman"/>
          <w:lang w:val="en-US"/>
        </w:rPr>
        <w:t>The legal implications of this decision can therefore be seen as potentially wide ranging and intrusive</w:t>
      </w:r>
      <w:r>
        <w:rPr>
          <w:rFonts w:ascii="Times New Roman" w:hAnsi="Times New Roman" w:cs="Times New Roman"/>
          <w:lang w:val="en-US"/>
        </w:rPr>
        <w:t xml:space="preserve">. Beyond this - and in much the same way as the Court of Appeal approached the </w:t>
      </w:r>
      <w:r w:rsidRPr="00C34ACD">
        <w:rPr>
          <w:rFonts w:ascii="Times New Roman" w:hAnsi="Times New Roman" w:cs="Times New Roman"/>
          <w:lang w:val="en-US"/>
        </w:rPr>
        <w:t>issue of Cecily Kurtz’s capacity - the judgment is also notable, however, for the way in which they</w:t>
      </w:r>
      <w:r w:rsidR="009F23ED" w:rsidRPr="00C34ACD">
        <w:rPr>
          <w:rFonts w:ascii="Times New Roman" w:hAnsi="Times New Roman" w:cs="Times New Roman"/>
          <w:lang w:val="en-US"/>
        </w:rPr>
        <w:t xml:space="preserve"> position Douglas Meyers’ ‘infirm’ body as justification of their argument that he must be of unsound mind. </w:t>
      </w:r>
    </w:p>
    <w:p w14:paraId="15F6ECFC" w14:textId="77777777" w:rsidR="001D7870" w:rsidRDefault="001D7870" w:rsidP="001D7870">
      <w:pPr>
        <w:spacing w:line="360" w:lineRule="auto"/>
        <w:jc w:val="both"/>
        <w:rPr>
          <w:rFonts w:ascii="Times New Roman" w:hAnsi="Times New Roman" w:cs="Times New Roman"/>
          <w:lang w:val="en-US"/>
        </w:rPr>
      </w:pPr>
    </w:p>
    <w:p w14:paraId="4F588BCF" w14:textId="6BE82E75" w:rsidR="001D7870" w:rsidRDefault="001D7870" w:rsidP="001D7870">
      <w:pPr>
        <w:spacing w:line="360" w:lineRule="auto"/>
        <w:jc w:val="both"/>
        <w:rPr>
          <w:rFonts w:ascii="Times New Roman" w:hAnsi="Times New Roman" w:cs="Times New Roman"/>
          <w:lang w:val="en-US"/>
        </w:rPr>
      </w:pPr>
      <w:r w:rsidRPr="00D15A14">
        <w:rPr>
          <w:rFonts w:ascii="Times New Roman" w:hAnsi="Times New Roman" w:cs="Times New Roman"/>
          <w:lang w:val="en-US"/>
        </w:rPr>
        <w:t>Moreover,</w:t>
      </w:r>
      <w:r w:rsidR="00D15A14" w:rsidRPr="00D15A14">
        <w:rPr>
          <w:rFonts w:ascii="Times New Roman" w:hAnsi="Times New Roman" w:cs="Times New Roman"/>
          <w:lang w:val="en-US"/>
        </w:rPr>
        <w:t xml:space="preserve"> if</w:t>
      </w:r>
      <w:r w:rsidR="00C34ACD" w:rsidRPr="00D15A14">
        <w:rPr>
          <w:rFonts w:ascii="Times New Roman" w:hAnsi="Times New Roman" w:cs="Times New Roman"/>
          <w:lang w:val="en-US"/>
        </w:rPr>
        <w:t xml:space="preserve"> as suggested earlier, abjection is a process</w:t>
      </w:r>
      <w:r w:rsidR="00D15A14" w:rsidRPr="00D15A14">
        <w:rPr>
          <w:rFonts w:ascii="Times New Roman" w:hAnsi="Times New Roman" w:cs="Times New Roman"/>
          <w:lang w:val="en-US"/>
        </w:rPr>
        <w:t>, the end point of which is to safeguard order</w:t>
      </w:r>
      <w:r w:rsidR="00E83413">
        <w:rPr>
          <w:rFonts w:ascii="Times New Roman" w:hAnsi="Times New Roman" w:cs="Times New Roman"/>
          <w:lang w:val="en-US"/>
        </w:rPr>
        <w:t xml:space="preserve"> and reinforce ideas about what the normal body should look like</w:t>
      </w:r>
      <w:r w:rsidR="00D15A14" w:rsidRPr="00D15A14">
        <w:rPr>
          <w:rFonts w:ascii="Times New Roman" w:hAnsi="Times New Roman" w:cs="Times New Roman"/>
          <w:lang w:val="en-US"/>
        </w:rPr>
        <w:t xml:space="preserve"> – the ‘clean and proper self’</w:t>
      </w:r>
      <w:r w:rsidR="00D15A14">
        <w:rPr>
          <w:rFonts w:ascii="Times New Roman" w:hAnsi="Times New Roman" w:cs="Times New Roman"/>
          <w:lang w:val="en-US"/>
        </w:rPr>
        <w:t xml:space="preserve"> </w:t>
      </w:r>
      <w:r w:rsidR="00E83413">
        <w:rPr>
          <w:rFonts w:ascii="Times New Roman" w:hAnsi="Times New Roman" w:cs="Times New Roman"/>
        </w:rPr>
        <w:t>(Kristeva, 1982, 8)</w:t>
      </w:r>
      <w:r w:rsidR="00D15A14" w:rsidRPr="00D15A14">
        <w:rPr>
          <w:rFonts w:ascii="Times New Roman" w:hAnsi="Times New Roman" w:cs="Times New Roman"/>
          <w:lang w:val="en-US"/>
        </w:rPr>
        <w:t xml:space="preserve"> – then </w:t>
      </w:r>
      <w:r w:rsidR="00AD5A60" w:rsidRPr="00D15A14">
        <w:rPr>
          <w:rFonts w:ascii="Times New Roman" w:hAnsi="Times New Roman" w:cs="Times New Roman"/>
          <w:lang w:val="en-US"/>
        </w:rPr>
        <w:t xml:space="preserve">what follows in </w:t>
      </w:r>
      <w:r w:rsidRPr="00D15A14">
        <w:rPr>
          <w:rFonts w:ascii="Times New Roman" w:hAnsi="Times New Roman" w:cs="Times New Roman"/>
          <w:lang w:val="en-US"/>
        </w:rPr>
        <w:t>the judgment can also be read as reinforcing the boundaries</w:t>
      </w:r>
      <w:r w:rsidR="00AD5A60" w:rsidRPr="00D15A14">
        <w:rPr>
          <w:rFonts w:ascii="Times New Roman" w:hAnsi="Times New Roman" w:cs="Times New Roman"/>
          <w:lang w:val="en-US"/>
        </w:rPr>
        <w:t xml:space="preserve"> </w:t>
      </w:r>
      <w:r w:rsidRPr="00D15A14">
        <w:rPr>
          <w:rFonts w:ascii="Times New Roman" w:hAnsi="Times New Roman" w:cs="Times New Roman"/>
          <w:lang w:val="en-US"/>
        </w:rPr>
        <w:t xml:space="preserve">of </w:t>
      </w:r>
      <w:r w:rsidR="00D15A14" w:rsidRPr="00D15A14">
        <w:rPr>
          <w:rFonts w:ascii="Times New Roman" w:hAnsi="Times New Roman" w:cs="Times New Roman"/>
          <w:lang w:val="en-US"/>
        </w:rPr>
        <w:t>that domain</w:t>
      </w:r>
      <w:r w:rsidRPr="00D15A14">
        <w:rPr>
          <w:rFonts w:ascii="Times New Roman" w:hAnsi="Times New Roman" w:cs="Times New Roman"/>
          <w:lang w:val="en-US"/>
        </w:rPr>
        <w:t xml:space="preserve">. This process of </w:t>
      </w:r>
      <w:r w:rsidR="00D15A14" w:rsidRPr="00D15A14">
        <w:rPr>
          <w:rFonts w:ascii="Times New Roman" w:hAnsi="Times New Roman" w:cs="Times New Roman"/>
          <w:lang w:val="en-US"/>
        </w:rPr>
        <w:t xml:space="preserve">using Mr Meyers’ physically disabled body </w:t>
      </w:r>
      <w:r w:rsidRPr="00D15A14">
        <w:rPr>
          <w:rFonts w:ascii="Times New Roman" w:hAnsi="Times New Roman" w:cs="Times New Roman"/>
          <w:lang w:val="en-US"/>
        </w:rPr>
        <w:t xml:space="preserve">as a method of both </w:t>
      </w:r>
      <w:r w:rsidRPr="00D15A14">
        <w:rPr>
          <w:rFonts w:ascii="Times New Roman" w:hAnsi="Times New Roman" w:cs="Times New Roman"/>
          <w:i/>
          <w:lang w:val="en-US"/>
        </w:rPr>
        <w:t>justifying</w:t>
      </w:r>
      <w:r w:rsidRPr="00D15A14">
        <w:rPr>
          <w:rFonts w:ascii="Times New Roman" w:hAnsi="Times New Roman" w:cs="Times New Roman"/>
          <w:lang w:val="en-US"/>
        </w:rPr>
        <w:t xml:space="preserve"> and </w:t>
      </w:r>
      <w:r w:rsidRPr="00D15A14">
        <w:rPr>
          <w:rFonts w:ascii="Times New Roman" w:hAnsi="Times New Roman" w:cs="Times New Roman"/>
          <w:i/>
          <w:lang w:val="en-US"/>
        </w:rPr>
        <w:t>demarcating</w:t>
      </w:r>
      <w:r w:rsidRPr="00D15A14">
        <w:rPr>
          <w:rFonts w:ascii="Times New Roman" w:hAnsi="Times New Roman" w:cs="Times New Roman"/>
          <w:lang w:val="en-US"/>
        </w:rPr>
        <w:t xml:space="preserve"> order – the domain of the ‘subject’</w:t>
      </w:r>
      <w:r>
        <w:rPr>
          <w:rFonts w:ascii="Times New Roman" w:hAnsi="Times New Roman" w:cs="Times New Roman"/>
          <w:lang w:val="en-US"/>
        </w:rPr>
        <w:t xml:space="preserve"> – remains subtly evident throughout subsequent developments in the case. Following the Court of Appeal’s decision that Mr Meyers’ interim deprivation of liberty using the inherent jurisdiction </w:t>
      </w:r>
      <w:r w:rsidRPr="002E3540">
        <w:rPr>
          <w:rFonts w:ascii="Times New Roman" w:hAnsi="Times New Roman" w:cs="Times New Roman"/>
          <w:i/>
          <w:lang w:val="en-US"/>
        </w:rPr>
        <w:t>was</w:t>
      </w:r>
      <w:r>
        <w:rPr>
          <w:rFonts w:ascii="Times New Roman" w:hAnsi="Times New Roman" w:cs="Times New Roman"/>
          <w:lang w:val="en-US"/>
        </w:rPr>
        <w:t xml:space="preserve"> lawful, the case returned to Hayden J in January 2019 (</w:t>
      </w:r>
      <w:r>
        <w:rPr>
          <w:rFonts w:ascii="Times New Roman" w:hAnsi="Times New Roman" w:cs="Times New Roman"/>
          <w:i/>
          <w:lang w:val="en-US"/>
        </w:rPr>
        <w:t>Southend-</w:t>
      </w:r>
      <w:proofErr w:type="gramStart"/>
      <w:r>
        <w:rPr>
          <w:rFonts w:ascii="Times New Roman" w:hAnsi="Times New Roman" w:cs="Times New Roman"/>
          <w:i/>
          <w:lang w:val="en-US"/>
        </w:rPr>
        <w:t>on</w:t>
      </w:r>
      <w:proofErr w:type="gramEnd"/>
      <w:r>
        <w:rPr>
          <w:rFonts w:ascii="Times New Roman" w:hAnsi="Times New Roman" w:cs="Times New Roman"/>
          <w:i/>
          <w:lang w:val="en-US"/>
        </w:rPr>
        <w:t xml:space="preserve">-Sea </w:t>
      </w:r>
      <w:r w:rsidR="002E3540">
        <w:rPr>
          <w:rFonts w:ascii="Times New Roman" w:hAnsi="Times New Roman" w:cs="Times New Roman"/>
          <w:i/>
          <w:lang w:val="en-US"/>
        </w:rPr>
        <w:t xml:space="preserve">Borough </w:t>
      </w:r>
      <w:r>
        <w:rPr>
          <w:rFonts w:ascii="Times New Roman" w:hAnsi="Times New Roman" w:cs="Times New Roman"/>
          <w:i/>
          <w:lang w:val="en-US"/>
        </w:rPr>
        <w:t xml:space="preserve">Council v Meyers </w:t>
      </w:r>
      <w:r>
        <w:rPr>
          <w:rFonts w:ascii="Times New Roman" w:hAnsi="Times New Roman" w:cs="Times New Roman"/>
          <w:lang w:val="en-US"/>
        </w:rPr>
        <w:t xml:space="preserve">[2019] EWHC 399 (Fam)). In this final case, Hayden J concluded – contrary to the view of the Court of Appeal – that Mr Meyers was not, </w:t>
      </w:r>
      <w:r>
        <w:rPr>
          <w:rFonts w:ascii="Times New Roman" w:hAnsi="Times New Roman" w:cs="Times New Roman"/>
          <w:lang w:val="en-US"/>
        </w:rPr>
        <w:lastRenderedPageBreak/>
        <w:t>in fact, of ‘unsound mind’, nor was he eligible to be detained</w:t>
      </w:r>
      <w:r w:rsidR="00D15A14">
        <w:rPr>
          <w:rFonts w:ascii="Times New Roman" w:hAnsi="Times New Roman" w:cs="Times New Roman"/>
          <w:lang w:val="en-US"/>
        </w:rPr>
        <w:t xml:space="preserve"> in a care home</w:t>
      </w:r>
      <w:r>
        <w:rPr>
          <w:rFonts w:ascii="Times New Roman" w:hAnsi="Times New Roman" w:cs="Times New Roman"/>
          <w:lang w:val="en-US"/>
        </w:rPr>
        <w:t xml:space="preserve"> under the inherent jurisdiction. He did decide, however, that the court could nonetheless invoke </w:t>
      </w:r>
      <w:r w:rsidR="00D15A14">
        <w:rPr>
          <w:rFonts w:ascii="Times New Roman" w:hAnsi="Times New Roman" w:cs="Times New Roman"/>
          <w:lang w:val="en-US"/>
        </w:rPr>
        <w:t xml:space="preserve">this latter power </w:t>
      </w:r>
      <w:r>
        <w:rPr>
          <w:rFonts w:ascii="Times New Roman" w:hAnsi="Times New Roman" w:cs="Times New Roman"/>
          <w:lang w:val="en-US"/>
        </w:rPr>
        <w:t>to prevent Mr Meyers from residing with his son, KF, either at his bungalow or elsewhere.</w:t>
      </w:r>
      <w:r>
        <w:rPr>
          <w:rStyle w:val="FootnoteReference"/>
          <w:rFonts w:ascii="Times New Roman" w:hAnsi="Times New Roman" w:cs="Times New Roman"/>
          <w:lang w:val="en-US"/>
        </w:rPr>
        <w:footnoteReference w:id="16"/>
      </w:r>
      <w:r>
        <w:rPr>
          <w:rFonts w:ascii="Times New Roman" w:hAnsi="Times New Roman" w:cs="Times New Roman"/>
          <w:lang w:val="en-US"/>
        </w:rPr>
        <w:t xml:space="preserve"> </w:t>
      </w:r>
      <w:r w:rsidR="00D15A14">
        <w:rPr>
          <w:rFonts w:ascii="Times New Roman" w:hAnsi="Times New Roman" w:cs="Times New Roman"/>
          <w:lang w:val="en-US"/>
        </w:rPr>
        <w:t>More crucially for the purposes of this paper, however, i</w:t>
      </w:r>
      <w:r>
        <w:rPr>
          <w:rFonts w:ascii="Times New Roman" w:hAnsi="Times New Roman" w:cs="Times New Roman"/>
          <w:lang w:val="en-US"/>
        </w:rPr>
        <w:t>n order to justify such a decision Hayden J makes a point of referring to how clean and well-presented Mr Meyers looks, following his spell in a care home pursuant to the earlier</w:t>
      </w:r>
      <w:r w:rsidR="00AD5A60">
        <w:rPr>
          <w:rFonts w:ascii="Times New Roman" w:hAnsi="Times New Roman" w:cs="Times New Roman"/>
          <w:lang w:val="en-US"/>
        </w:rPr>
        <w:t xml:space="preserve"> interim</w:t>
      </w:r>
      <w:r>
        <w:rPr>
          <w:rFonts w:ascii="Times New Roman" w:hAnsi="Times New Roman" w:cs="Times New Roman"/>
          <w:lang w:val="en-US"/>
        </w:rPr>
        <w:t xml:space="preserve"> decision</w:t>
      </w:r>
      <w:r w:rsidR="00D15A14">
        <w:rPr>
          <w:rFonts w:ascii="Times New Roman" w:hAnsi="Times New Roman" w:cs="Times New Roman"/>
          <w:lang w:val="en-US"/>
        </w:rPr>
        <w:t xml:space="preserve"> and the failed appeal to the Court of Appeal</w:t>
      </w:r>
      <w:r>
        <w:rPr>
          <w:rFonts w:ascii="Times New Roman" w:hAnsi="Times New Roman" w:cs="Times New Roman"/>
          <w:lang w:val="en-US"/>
        </w:rPr>
        <w:t>:</w:t>
      </w:r>
    </w:p>
    <w:p w14:paraId="12F86BFA" w14:textId="77777777" w:rsidR="001D7870" w:rsidRPr="00BF246C" w:rsidRDefault="001D7870" w:rsidP="001D7870">
      <w:pPr>
        <w:spacing w:line="360" w:lineRule="auto"/>
        <w:ind w:left="720" w:right="920"/>
        <w:jc w:val="both"/>
        <w:rPr>
          <w:rFonts w:ascii="Times New Roman" w:hAnsi="Times New Roman" w:cs="Times New Roman"/>
          <w:lang w:val="en-US"/>
        </w:rPr>
      </w:pPr>
      <w:r w:rsidRPr="00BF246C">
        <w:rPr>
          <w:rFonts w:ascii="Times New Roman" w:hAnsi="Times New Roman" w:cs="Times New Roman"/>
          <w:lang w:val="en-US"/>
        </w:rPr>
        <w:t>If he will forgive me for commenting on his appearance, I should like to note that he was extremely smartly presented. He wore his medals, which I noted were well polished and had been looked after. I was told that though he arrived at Court by wheelchair he insisted on walking in to Court. He is a proud and determined man (</w:t>
      </w:r>
      <w:r w:rsidRPr="00BF246C">
        <w:rPr>
          <w:rFonts w:ascii="Times New Roman" w:hAnsi="Times New Roman" w:cs="Times New Roman"/>
          <w:i/>
          <w:lang w:val="en-US"/>
        </w:rPr>
        <w:t>Southend-</w:t>
      </w:r>
      <w:proofErr w:type="gramStart"/>
      <w:r w:rsidRPr="00BF246C">
        <w:rPr>
          <w:rFonts w:ascii="Times New Roman" w:hAnsi="Times New Roman" w:cs="Times New Roman"/>
          <w:i/>
          <w:lang w:val="en-US"/>
        </w:rPr>
        <w:t>on</w:t>
      </w:r>
      <w:proofErr w:type="gramEnd"/>
      <w:r w:rsidRPr="00BF246C">
        <w:rPr>
          <w:rFonts w:ascii="Times New Roman" w:hAnsi="Times New Roman" w:cs="Times New Roman"/>
          <w:i/>
          <w:lang w:val="en-US"/>
        </w:rPr>
        <w:t xml:space="preserve">-Sea Council v Meyers, </w:t>
      </w:r>
      <w:r w:rsidRPr="00BF246C">
        <w:rPr>
          <w:rFonts w:ascii="Times New Roman" w:hAnsi="Times New Roman" w:cs="Times New Roman"/>
          <w:lang w:val="en-US"/>
        </w:rPr>
        <w:t>para. 24).</w:t>
      </w:r>
    </w:p>
    <w:p w14:paraId="0620558E" w14:textId="0281155B" w:rsidR="001D7870" w:rsidRDefault="001D7870" w:rsidP="001D7870">
      <w:pPr>
        <w:spacing w:line="360" w:lineRule="auto"/>
        <w:jc w:val="both"/>
        <w:rPr>
          <w:rFonts w:ascii="Times New Roman" w:hAnsi="Times New Roman" w:cs="Times New Roman"/>
          <w:lang w:val="en-US"/>
        </w:rPr>
      </w:pPr>
      <w:r w:rsidRPr="007C39E5">
        <w:rPr>
          <w:rFonts w:ascii="Times New Roman" w:hAnsi="Times New Roman" w:cs="Times New Roman"/>
          <w:lang w:val="en-US"/>
        </w:rPr>
        <w:t>As opposed to the living conditions the Court was first presented with, it is clear that following his temporary period in a care home Mr Mey</w:t>
      </w:r>
      <w:r>
        <w:rPr>
          <w:rFonts w:ascii="Times New Roman" w:hAnsi="Times New Roman" w:cs="Times New Roman"/>
          <w:lang w:val="en-US"/>
        </w:rPr>
        <w:t>ers presents in a manner that the C</w:t>
      </w:r>
      <w:r w:rsidRPr="007C39E5">
        <w:rPr>
          <w:rFonts w:ascii="Times New Roman" w:hAnsi="Times New Roman" w:cs="Times New Roman"/>
          <w:lang w:val="en-US"/>
        </w:rPr>
        <w:t>ourt</w:t>
      </w:r>
      <w:r>
        <w:rPr>
          <w:rFonts w:ascii="Times New Roman" w:hAnsi="Times New Roman" w:cs="Times New Roman"/>
          <w:lang w:val="en-US"/>
        </w:rPr>
        <w:t xml:space="preserve"> can relate to. Mr Meyers</w:t>
      </w:r>
      <w:r w:rsidR="0027789E">
        <w:rPr>
          <w:rFonts w:ascii="Times New Roman" w:hAnsi="Times New Roman" w:cs="Times New Roman"/>
          <w:lang w:val="en-US"/>
        </w:rPr>
        <w:t>’ body,</w:t>
      </w:r>
      <w:r>
        <w:rPr>
          <w:rFonts w:ascii="Times New Roman" w:hAnsi="Times New Roman" w:cs="Times New Roman"/>
          <w:lang w:val="en-US"/>
        </w:rPr>
        <w:t xml:space="preserve"> and his infirmities</w:t>
      </w:r>
      <w:r w:rsidR="0027789E">
        <w:rPr>
          <w:rFonts w:ascii="Times New Roman" w:hAnsi="Times New Roman" w:cs="Times New Roman"/>
          <w:lang w:val="en-US"/>
        </w:rPr>
        <w:t>,</w:t>
      </w:r>
      <w:r>
        <w:rPr>
          <w:rFonts w:ascii="Times New Roman" w:hAnsi="Times New Roman" w:cs="Times New Roman"/>
          <w:lang w:val="en-US"/>
        </w:rPr>
        <w:t xml:space="preserve"> that the Court of Appeal considered might indicate unsoundness of mind</w:t>
      </w:r>
      <w:r w:rsidR="0027789E">
        <w:rPr>
          <w:rFonts w:ascii="Times New Roman" w:hAnsi="Times New Roman" w:cs="Times New Roman"/>
          <w:lang w:val="en-US"/>
        </w:rPr>
        <w:t>,</w:t>
      </w:r>
      <w:r>
        <w:rPr>
          <w:rFonts w:ascii="Times New Roman" w:hAnsi="Times New Roman" w:cs="Times New Roman"/>
          <w:lang w:val="en-US"/>
        </w:rPr>
        <w:t xml:space="preserve"> have been replaced with an appearance that the court almost indicates is one that is worthy of pride. More purposefully, this ‘clean’ appearance </w:t>
      </w:r>
      <w:r w:rsidRPr="007C39E5">
        <w:rPr>
          <w:rFonts w:ascii="Times New Roman" w:hAnsi="Times New Roman" w:cs="Times New Roman"/>
          <w:lang w:val="en-US"/>
        </w:rPr>
        <w:t>is almost used as a retrospective justification for</w:t>
      </w:r>
      <w:r>
        <w:rPr>
          <w:rFonts w:ascii="Times New Roman" w:hAnsi="Times New Roman" w:cs="Times New Roman"/>
          <w:lang w:val="en-US"/>
        </w:rPr>
        <w:t xml:space="preserve"> the earlier interim decision; Mr Meyers’</w:t>
      </w:r>
      <w:r w:rsidRPr="007C39E5">
        <w:rPr>
          <w:rFonts w:ascii="Times New Roman" w:hAnsi="Times New Roman" w:cs="Times New Roman"/>
          <w:lang w:val="en-US"/>
        </w:rPr>
        <w:t xml:space="preserve"> appearance now – returned to a sta</w:t>
      </w:r>
      <w:r>
        <w:rPr>
          <w:rFonts w:ascii="Times New Roman" w:hAnsi="Times New Roman" w:cs="Times New Roman"/>
          <w:lang w:val="en-US"/>
        </w:rPr>
        <w:t xml:space="preserve">te of perceived ‘normality’ – </w:t>
      </w:r>
      <w:r w:rsidRPr="007C39E5">
        <w:rPr>
          <w:rFonts w:ascii="Times New Roman" w:hAnsi="Times New Roman" w:cs="Times New Roman"/>
          <w:lang w:val="en-US"/>
        </w:rPr>
        <w:t>certainly</w:t>
      </w:r>
      <w:r>
        <w:rPr>
          <w:rFonts w:ascii="Times New Roman" w:hAnsi="Times New Roman" w:cs="Times New Roman"/>
          <w:lang w:val="en-US"/>
        </w:rPr>
        <w:t xml:space="preserve"> appears to</w:t>
      </w:r>
      <w:r w:rsidRPr="007C39E5">
        <w:rPr>
          <w:rFonts w:ascii="Times New Roman" w:hAnsi="Times New Roman" w:cs="Times New Roman"/>
          <w:lang w:val="en-US"/>
        </w:rPr>
        <w:t xml:space="preserve"> </w:t>
      </w:r>
      <w:r>
        <w:rPr>
          <w:rFonts w:ascii="Times New Roman" w:hAnsi="Times New Roman" w:cs="Times New Roman"/>
          <w:lang w:val="en-US"/>
        </w:rPr>
        <w:t xml:space="preserve">be </w:t>
      </w:r>
      <w:r w:rsidRPr="007C39E5">
        <w:rPr>
          <w:rFonts w:ascii="Times New Roman" w:hAnsi="Times New Roman" w:cs="Times New Roman"/>
          <w:lang w:val="en-US"/>
        </w:rPr>
        <w:t>persuasive and important</w:t>
      </w:r>
      <w:r>
        <w:rPr>
          <w:rFonts w:ascii="Times New Roman" w:hAnsi="Times New Roman" w:cs="Times New Roman"/>
          <w:lang w:val="en-US"/>
        </w:rPr>
        <w:t xml:space="preserve"> </w:t>
      </w:r>
      <w:r w:rsidRPr="007C39E5">
        <w:rPr>
          <w:rFonts w:ascii="Times New Roman" w:hAnsi="Times New Roman" w:cs="Times New Roman"/>
          <w:lang w:val="en-US"/>
        </w:rPr>
        <w:t>for the Court</w:t>
      </w:r>
      <w:r w:rsidR="002E3540">
        <w:rPr>
          <w:rFonts w:ascii="Times New Roman" w:hAnsi="Times New Roman" w:cs="Times New Roman"/>
          <w:lang w:val="en-US"/>
        </w:rPr>
        <w:t xml:space="preserve"> in justifying its earlier decision to temporarily move Mr Meyers to a care home</w:t>
      </w:r>
      <w:r>
        <w:rPr>
          <w:rFonts w:ascii="Times New Roman" w:hAnsi="Times New Roman" w:cs="Times New Roman"/>
          <w:lang w:val="en-US"/>
        </w:rPr>
        <w:t>. Charting a course in contrasting the depiction of Mr Meyers’ body in the earlier case versus this one demonstrates very clearly the idea that there is a boundary between soundness and unsoundness of mind; between abnormal older bodies and normal ones</w:t>
      </w:r>
      <w:r w:rsidRPr="00AD5A60">
        <w:rPr>
          <w:rFonts w:ascii="Times New Roman" w:hAnsi="Times New Roman" w:cs="Times New Roman"/>
          <w:lang w:val="en-US"/>
        </w:rPr>
        <w:t>.</w:t>
      </w:r>
      <w:r>
        <w:rPr>
          <w:rFonts w:ascii="Times New Roman" w:hAnsi="Times New Roman" w:cs="Times New Roman"/>
          <w:lang w:val="en-US"/>
        </w:rPr>
        <w:t xml:space="preserve"> In the latter case, Mr Meyers’ body is </w:t>
      </w:r>
      <w:r w:rsidR="0027789E">
        <w:rPr>
          <w:rFonts w:ascii="Times New Roman" w:hAnsi="Times New Roman" w:cs="Times New Roman"/>
          <w:lang w:val="en-US"/>
        </w:rPr>
        <w:t xml:space="preserve">not </w:t>
      </w:r>
      <w:r>
        <w:rPr>
          <w:rFonts w:ascii="Times New Roman" w:hAnsi="Times New Roman" w:cs="Times New Roman"/>
          <w:lang w:val="en-US"/>
        </w:rPr>
        <w:t>one that gives rise to unsoundness of mind</w:t>
      </w:r>
      <w:r>
        <w:rPr>
          <w:rStyle w:val="FootnoteReference"/>
          <w:rFonts w:ascii="Times New Roman" w:hAnsi="Times New Roman" w:cs="Times New Roman"/>
          <w:lang w:val="en-US"/>
        </w:rPr>
        <w:footnoteReference w:id="17"/>
      </w:r>
      <w:r>
        <w:rPr>
          <w:rFonts w:ascii="Times New Roman" w:hAnsi="Times New Roman" w:cs="Times New Roman"/>
          <w:lang w:val="en-US"/>
        </w:rPr>
        <w:t xml:space="preserve"> but is one in which he can take pride, and this resto</w:t>
      </w:r>
      <w:r w:rsidR="00E83413">
        <w:rPr>
          <w:rFonts w:ascii="Times New Roman" w:hAnsi="Times New Roman" w:cs="Times New Roman"/>
          <w:lang w:val="en-US"/>
        </w:rPr>
        <w:t>ration</w:t>
      </w:r>
      <w:r>
        <w:rPr>
          <w:rFonts w:ascii="Times New Roman" w:hAnsi="Times New Roman" w:cs="Times New Roman"/>
          <w:lang w:val="en-US"/>
        </w:rPr>
        <w:t xml:space="preserve"> of normality is used as justification for the legitimacy of the original legal decision to deprive him of his liberty in a care home.</w:t>
      </w:r>
    </w:p>
    <w:p w14:paraId="217ED2D9" w14:textId="77777777" w:rsidR="001D7870" w:rsidRDefault="001D7870" w:rsidP="00130FC8">
      <w:pPr>
        <w:tabs>
          <w:tab w:val="left" w:pos="1350"/>
        </w:tabs>
        <w:spacing w:line="360" w:lineRule="auto"/>
        <w:jc w:val="both"/>
        <w:rPr>
          <w:rFonts w:ascii="Times New Roman" w:hAnsi="Times New Roman" w:cs="Times New Roman"/>
          <w:lang w:val="en-US"/>
        </w:rPr>
      </w:pPr>
    </w:p>
    <w:p w14:paraId="51F7E7B6" w14:textId="7725B577" w:rsidR="00130FC8" w:rsidRDefault="00130FC8" w:rsidP="00130FC8">
      <w:pPr>
        <w:tabs>
          <w:tab w:val="left" w:pos="1350"/>
        </w:tabs>
        <w:spacing w:line="360" w:lineRule="auto"/>
        <w:jc w:val="both"/>
        <w:rPr>
          <w:rFonts w:ascii="Times New Roman" w:hAnsi="Times New Roman" w:cs="Times New Roman"/>
          <w:lang w:val="en-US"/>
        </w:rPr>
      </w:pPr>
      <w:r w:rsidRPr="00D15A14">
        <w:rPr>
          <w:rFonts w:ascii="Times New Roman" w:hAnsi="Times New Roman" w:cs="Times New Roman"/>
          <w:lang w:val="en-US"/>
        </w:rPr>
        <w:lastRenderedPageBreak/>
        <w:t>Teasing out the language in the cases above begins to highlight the way in which the</w:t>
      </w:r>
      <w:r w:rsidR="00E83413">
        <w:rPr>
          <w:rFonts w:ascii="Times New Roman" w:hAnsi="Times New Roman" w:cs="Times New Roman"/>
          <w:lang w:val="en-US"/>
        </w:rPr>
        <w:t xml:space="preserve"> courts sometimes engage in a process of abjection with the</w:t>
      </w:r>
      <w:r w:rsidRPr="00D15A14">
        <w:rPr>
          <w:rFonts w:ascii="Times New Roman" w:hAnsi="Times New Roman" w:cs="Times New Roman"/>
          <w:lang w:val="en-US"/>
        </w:rPr>
        <w:t xml:space="preserve"> older body </w:t>
      </w:r>
      <w:r w:rsidR="00E83413">
        <w:rPr>
          <w:rFonts w:ascii="Times New Roman" w:hAnsi="Times New Roman" w:cs="Times New Roman"/>
          <w:lang w:val="en-US"/>
        </w:rPr>
        <w:t xml:space="preserve">in front of them in order to shore up their perceived notions of </w:t>
      </w:r>
      <w:r w:rsidR="002E3540">
        <w:rPr>
          <w:rFonts w:ascii="Times New Roman" w:hAnsi="Times New Roman" w:cs="Times New Roman"/>
          <w:lang w:val="en-US"/>
        </w:rPr>
        <w:t>‘</w:t>
      </w:r>
      <w:r w:rsidR="00E83413">
        <w:rPr>
          <w:rFonts w:ascii="Times New Roman" w:hAnsi="Times New Roman" w:cs="Times New Roman"/>
          <w:lang w:val="en-US"/>
        </w:rPr>
        <w:t>normal</w:t>
      </w:r>
      <w:r w:rsidR="002E3540">
        <w:rPr>
          <w:rFonts w:ascii="Times New Roman" w:hAnsi="Times New Roman" w:cs="Times New Roman"/>
          <w:lang w:val="en-US"/>
        </w:rPr>
        <w:t>’</w:t>
      </w:r>
      <w:r w:rsidR="00E83413">
        <w:rPr>
          <w:rFonts w:ascii="Times New Roman" w:hAnsi="Times New Roman" w:cs="Times New Roman"/>
          <w:lang w:val="en-US"/>
        </w:rPr>
        <w:t xml:space="preserve"> bodies. </w:t>
      </w:r>
      <w:r w:rsidR="00D15A14" w:rsidRPr="00D15A14">
        <w:rPr>
          <w:rFonts w:ascii="Times New Roman" w:hAnsi="Times New Roman" w:cs="Times New Roman"/>
          <w:lang w:val="en-US"/>
        </w:rPr>
        <w:t>While</w:t>
      </w:r>
      <w:r w:rsidRPr="00D15A14">
        <w:rPr>
          <w:rFonts w:ascii="Times New Roman" w:hAnsi="Times New Roman" w:cs="Times New Roman"/>
          <w:lang w:val="en-US"/>
        </w:rPr>
        <w:t xml:space="preserve"> the abjection outlined above may be subtle, </w:t>
      </w:r>
      <w:r w:rsidR="00D15A14">
        <w:rPr>
          <w:rFonts w:ascii="Times New Roman" w:hAnsi="Times New Roman" w:cs="Times New Roman"/>
          <w:lang w:val="en-US"/>
        </w:rPr>
        <w:t xml:space="preserve">and relate to the perception of </w:t>
      </w:r>
      <w:r w:rsidR="00D15A14" w:rsidRPr="00D15A14">
        <w:rPr>
          <w:rFonts w:ascii="Times New Roman" w:hAnsi="Times New Roman" w:cs="Times New Roman"/>
          <w:i/>
          <w:lang w:val="en-US"/>
        </w:rPr>
        <w:t>physical</w:t>
      </w:r>
      <w:r w:rsidR="00D15A14">
        <w:rPr>
          <w:rFonts w:ascii="Times New Roman" w:hAnsi="Times New Roman" w:cs="Times New Roman"/>
          <w:lang w:val="en-US"/>
        </w:rPr>
        <w:t xml:space="preserve"> bodies giving rise to </w:t>
      </w:r>
      <w:r w:rsidR="00D15A14" w:rsidRPr="00D15A14">
        <w:rPr>
          <w:rFonts w:ascii="Times New Roman" w:hAnsi="Times New Roman" w:cs="Times New Roman"/>
          <w:i/>
          <w:lang w:val="en-US"/>
        </w:rPr>
        <w:t>mental</w:t>
      </w:r>
      <w:r w:rsidR="00D15A14">
        <w:rPr>
          <w:rFonts w:ascii="Times New Roman" w:hAnsi="Times New Roman" w:cs="Times New Roman"/>
          <w:lang w:val="en-US"/>
        </w:rPr>
        <w:t xml:space="preserve"> incapacity, </w:t>
      </w:r>
      <w:r w:rsidRPr="00D15A14">
        <w:rPr>
          <w:rFonts w:ascii="Times New Roman" w:hAnsi="Times New Roman" w:cs="Times New Roman"/>
          <w:lang w:val="en-US"/>
        </w:rPr>
        <w:t xml:space="preserve">in some cases it is more directly aligned with discourses of disgust and </w:t>
      </w:r>
      <w:r w:rsidR="00D15A14">
        <w:rPr>
          <w:rFonts w:ascii="Times New Roman" w:hAnsi="Times New Roman" w:cs="Times New Roman"/>
          <w:lang w:val="en-US"/>
        </w:rPr>
        <w:t>filth</w:t>
      </w:r>
      <w:r w:rsidRPr="00D15A14">
        <w:rPr>
          <w:rFonts w:ascii="Times New Roman" w:hAnsi="Times New Roman" w:cs="Times New Roman"/>
          <w:lang w:val="en-US"/>
        </w:rPr>
        <w:t xml:space="preserve">, as it is in </w:t>
      </w:r>
      <w:r w:rsidR="00D15A14">
        <w:rPr>
          <w:rFonts w:ascii="Times New Roman" w:hAnsi="Times New Roman" w:cs="Times New Roman"/>
          <w:lang w:val="en-US"/>
        </w:rPr>
        <w:t>many theories of abjection (Kristeva, 1982; Biles, 2014; Arya, 2017)</w:t>
      </w:r>
      <w:r>
        <w:rPr>
          <w:rFonts w:ascii="Times New Roman" w:hAnsi="Times New Roman" w:cs="Times New Roman"/>
          <w:lang w:val="en-US"/>
        </w:rPr>
        <w:t xml:space="preserve">. In the oft-commented on decision in </w:t>
      </w:r>
      <w:r>
        <w:rPr>
          <w:rFonts w:ascii="Times New Roman" w:hAnsi="Times New Roman" w:cs="Times New Roman"/>
          <w:i/>
          <w:lang w:val="en-US"/>
        </w:rPr>
        <w:t xml:space="preserve">NCC v PB </w:t>
      </w:r>
      <w:r>
        <w:rPr>
          <w:rFonts w:ascii="Times New Roman" w:hAnsi="Times New Roman" w:cs="Times New Roman"/>
          <w:lang w:val="en-US"/>
        </w:rPr>
        <w:t>[2014] EWCOP 14,</w:t>
      </w:r>
      <w:r>
        <w:rPr>
          <w:rFonts w:ascii="Times New Roman" w:hAnsi="Times New Roman" w:cs="Times New Roman"/>
          <w:i/>
          <w:lang w:val="en-US"/>
        </w:rPr>
        <w:t xml:space="preserve"> </w:t>
      </w:r>
      <w:r>
        <w:rPr>
          <w:rFonts w:ascii="Times New Roman" w:hAnsi="Times New Roman" w:cs="Times New Roman"/>
          <w:lang w:val="en-US"/>
        </w:rPr>
        <w:t>the Court of Protection,</w:t>
      </w:r>
      <w:r>
        <w:rPr>
          <w:rStyle w:val="FootnoteReference"/>
          <w:rFonts w:ascii="Times New Roman" w:hAnsi="Times New Roman" w:cs="Times New Roman"/>
          <w:lang w:val="en-US"/>
        </w:rPr>
        <w:footnoteReference w:id="18"/>
      </w:r>
      <w:r>
        <w:rPr>
          <w:rFonts w:ascii="Times New Roman" w:hAnsi="Times New Roman" w:cs="Times New Roman"/>
          <w:lang w:val="en-US"/>
        </w:rPr>
        <w:t xml:space="preserve"> again, had to deal with similar circumstances</w:t>
      </w:r>
      <w:r w:rsidR="0027789E">
        <w:rPr>
          <w:rFonts w:ascii="Times New Roman" w:hAnsi="Times New Roman" w:cs="Times New Roman"/>
          <w:lang w:val="en-US"/>
        </w:rPr>
        <w:t xml:space="preserve"> to that of Douglas Meyers’ case</w:t>
      </w:r>
      <w:r>
        <w:rPr>
          <w:rFonts w:ascii="Times New Roman" w:hAnsi="Times New Roman" w:cs="Times New Roman"/>
          <w:lang w:val="en-US"/>
        </w:rPr>
        <w:t>. In this case, an older woman with</w:t>
      </w:r>
      <w:r w:rsidR="00D15A14">
        <w:rPr>
          <w:rFonts w:ascii="Times New Roman" w:hAnsi="Times New Roman" w:cs="Times New Roman"/>
          <w:lang w:val="en-US"/>
        </w:rPr>
        <w:t xml:space="preserve"> both</w:t>
      </w:r>
      <w:r>
        <w:rPr>
          <w:rFonts w:ascii="Times New Roman" w:hAnsi="Times New Roman" w:cs="Times New Roman"/>
          <w:lang w:val="en-US"/>
        </w:rPr>
        <w:t xml:space="preserve"> mental and physical impairments, PB, had frequently been found in conditions that the judge, Parker J, describes as ‘filthy’ (para. 52(i)), both at home in the house she shared with her husband TB, who also had needs for care and support and a propensity for self neglect. Of the conditions in which PB lived with TB, the judge goes on to say:</w:t>
      </w:r>
    </w:p>
    <w:p w14:paraId="2E811C87" w14:textId="77777777" w:rsidR="00130FC8" w:rsidRDefault="00130FC8" w:rsidP="00130FC8">
      <w:pPr>
        <w:tabs>
          <w:tab w:val="left" w:pos="1350"/>
        </w:tabs>
        <w:spacing w:line="360" w:lineRule="auto"/>
        <w:ind w:left="567" w:right="567"/>
        <w:jc w:val="both"/>
        <w:rPr>
          <w:rFonts w:ascii="Times New Roman" w:hAnsi="Times New Roman" w:cs="Times New Roman"/>
          <w:lang w:val="en-US"/>
        </w:rPr>
      </w:pPr>
      <w:bookmarkStart w:id="2" w:name="para16"/>
      <w:r>
        <w:rPr>
          <w:rFonts w:ascii="Times New Roman" w:hAnsi="Times New Roman" w:cs="Times New Roman"/>
          <w:lang w:val="en-US"/>
        </w:rPr>
        <w:t xml:space="preserve"> it is not necessary for me to describe them in detail: </w:t>
      </w:r>
      <w:r w:rsidRPr="006E6A41">
        <w:rPr>
          <w:rFonts w:ascii="Times New Roman" w:hAnsi="Times New Roman" w:cs="Times New Roman"/>
          <w:lang w:val="en-US"/>
        </w:rPr>
        <w:t>the premises were clearly disgusting and a health hazard. PB was often in a urine soaked bed. Industrial cleaners had to go in on several occasions</w:t>
      </w:r>
      <w:bookmarkEnd w:id="2"/>
      <w:r>
        <w:rPr>
          <w:rFonts w:ascii="Times New Roman" w:hAnsi="Times New Roman" w:cs="Times New Roman"/>
          <w:lang w:val="en-US"/>
        </w:rPr>
        <w:t xml:space="preserve"> (para. 16). </w:t>
      </w:r>
    </w:p>
    <w:p w14:paraId="7142B0C1" w14:textId="50BA7827" w:rsidR="002E3540" w:rsidRPr="002E3540" w:rsidRDefault="00130FC8" w:rsidP="0012165C">
      <w:pPr>
        <w:spacing w:line="360" w:lineRule="auto"/>
        <w:jc w:val="both"/>
        <w:rPr>
          <w:rFonts w:ascii="Times New Roman" w:hAnsi="Times New Roman" w:cs="Times New Roman"/>
          <w:lang w:val="en-US"/>
        </w:rPr>
      </w:pPr>
      <w:r>
        <w:rPr>
          <w:rFonts w:ascii="Times New Roman" w:hAnsi="Times New Roman" w:cs="Times New Roman"/>
          <w:lang w:val="en-US"/>
        </w:rPr>
        <w:t>At both paragraphs 17 and 52(ii), the judge notes that how, on the 6</w:t>
      </w:r>
      <w:r w:rsidRPr="00030BEC">
        <w:rPr>
          <w:rFonts w:ascii="Times New Roman" w:hAnsi="Times New Roman" w:cs="Times New Roman"/>
          <w:vertAlign w:val="superscript"/>
          <w:lang w:val="en-US"/>
        </w:rPr>
        <w:t>th</w:t>
      </w:r>
      <w:r>
        <w:rPr>
          <w:rFonts w:ascii="Times New Roman" w:hAnsi="Times New Roman" w:cs="Times New Roman"/>
          <w:lang w:val="en-US"/>
        </w:rPr>
        <w:t xml:space="preserve"> March 2012, PB had been found in her husband’s flat in a ‘filthy state,’ and replaces a detailed description of the facts with the word ‘disgusting’. While not using the conditions and the state of PB’s body </w:t>
      </w:r>
      <w:r>
        <w:rPr>
          <w:rFonts w:ascii="Times New Roman" w:hAnsi="Times New Roman" w:cs="Times New Roman"/>
          <w:i/>
          <w:lang w:val="en-US"/>
        </w:rPr>
        <w:t xml:space="preserve">per se </w:t>
      </w:r>
      <w:r>
        <w:rPr>
          <w:rFonts w:ascii="Times New Roman" w:hAnsi="Times New Roman" w:cs="Times New Roman"/>
          <w:lang w:val="en-US"/>
        </w:rPr>
        <w:t>to argue that she lacked capacity,</w:t>
      </w:r>
      <w:r>
        <w:rPr>
          <w:rStyle w:val="FootnoteReference"/>
          <w:rFonts w:ascii="Times New Roman" w:hAnsi="Times New Roman" w:cs="Times New Roman"/>
          <w:lang w:val="en-US"/>
        </w:rPr>
        <w:footnoteReference w:id="19"/>
      </w:r>
      <w:r>
        <w:rPr>
          <w:rFonts w:ascii="Times New Roman" w:hAnsi="Times New Roman" w:cs="Times New Roman"/>
          <w:lang w:val="en-US"/>
        </w:rPr>
        <w:t xml:space="preserve"> as was essentially the upshot of the Court of Appeal’s reasoning in </w:t>
      </w:r>
      <w:r>
        <w:rPr>
          <w:rFonts w:ascii="Times New Roman" w:hAnsi="Times New Roman" w:cs="Times New Roman"/>
          <w:i/>
          <w:lang w:val="en-US"/>
        </w:rPr>
        <w:t>Kurtz</w:t>
      </w:r>
      <w:r>
        <w:rPr>
          <w:rFonts w:ascii="Times New Roman" w:hAnsi="Times New Roman" w:cs="Times New Roman"/>
          <w:lang w:val="en-US"/>
        </w:rPr>
        <w:t xml:space="preserve"> and Douglas Meyers’ case, the choice of language used in the judgment in </w:t>
      </w:r>
      <w:r>
        <w:rPr>
          <w:rFonts w:ascii="Times New Roman" w:hAnsi="Times New Roman" w:cs="Times New Roman"/>
          <w:i/>
          <w:lang w:val="en-US"/>
        </w:rPr>
        <w:t>NCC v PB</w:t>
      </w:r>
      <w:r>
        <w:rPr>
          <w:rFonts w:ascii="Times New Roman" w:hAnsi="Times New Roman" w:cs="Times New Roman"/>
          <w:lang w:val="en-US"/>
        </w:rPr>
        <w:t xml:space="preserve"> - such as ‘filth’</w:t>
      </w:r>
      <w:r w:rsidR="00D15A14">
        <w:rPr>
          <w:rFonts w:ascii="Times New Roman" w:hAnsi="Times New Roman" w:cs="Times New Roman"/>
          <w:lang w:val="en-US"/>
        </w:rPr>
        <w:t xml:space="preserve"> and ‘disgusting’</w:t>
      </w:r>
      <w:r>
        <w:rPr>
          <w:rFonts w:ascii="Times New Roman" w:hAnsi="Times New Roman" w:cs="Times New Roman"/>
          <w:lang w:val="en-US"/>
        </w:rPr>
        <w:t xml:space="preserve"> - has associations with </w:t>
      </w:r>
      <w:r w:rsidR="00D15A14">
        <w:rPr>
          <w:rFonts w:ascii="Times New Roman" w:hAnsi="Times New Roman" w:cs="Times New Roman"/>
          <w:lang w:val="en-US"/>
        </w:rPr>
        <w:t>core features of abjection</w:t>
      </w:r>
      <w:r w:rsidRPr="0012165C">
        <w:rPr>
          <w:rFonts w:ascii="Times New Roman" w:hAnsi="Times New Roman" w:cs="Times New Roman"/>
          <w:lang w:val="en-US"/>
        </w:rPr>
        <w:t>.</w:t>
      </w:r>
      <w:r>
        <w:rPr>
          <w:rFonts w:ascii="Times New Roman" w:hAnsi="Times New Roman" w:cs="Times New Roman"/>
          <w:lang w:val="en-US"/>
        </w:rPr>
        <w:t xml:space="preserve"> </w:t>
      </w:r>
      <w:r w:rsidR="0012165C" w:rsidRPr="00D15A14">
        <w:rPr>
          <w:rFonts w:ascii="Times New Roman" w:hAnsi="Times New Roman" w:cs="Times New Roman"/>
          <w:lang w:val="en-US"/>
        </w:rPr>
        <w:t>As Kristeva elaborates in her discussion of ‘filth’ by drawing on the work of Mary Douglas (1966), ‘filth is not a quality in itself, but applies only to what relates to a boundary and represents the object jettisoned to a boundary out of that boundary, its other side, margin’ (Kristeva, 1982, 69). In other words, the term</w:t>
      </w:r>
      <w:r w:rsidR="00D15A14" w:rsidRPr="00D15A14">
        <w:rPr>
          <w:rFonts w:ascii="Times New Roman" w:hAnsi="Times New Roman" w:cs="Times New Roman"/>
          <w:lang w:val="en-US"/>
        </w:rPr>
        <w:t>s</w:t>
      </w:r>
      <w:r w:rsidR="0012165C" w:rsidRPr="00D15A14">
        <w:rPr>
          <w:rFonts w:ascii="Times New Roman" w:hAnsi="Times New Roman" w:cs="Times New Roman"/>
          <w:lang w:val="en-US"/>
        </w:rPr>
        <w:t xml:space="preserve"> ‘filth’ and ‘disgusting’ have particular value judgements attached to them </w:t>
      </w:r>
      <w:r w:rsidR="00D15A14" w:rsidRPr="00D15A14">
        <w:rPr>
          <w:rFonts w:ascii="Times New Roman" w:hAnsi="Times New Roman" w:cs="Times New Roman"/>
        </w:rPr>
        <w:t xml:space="preserve">(Grosz, 1994, 192) </w:t>
      </w:r>
      <w:r w:rsidR="0012165C" w:rsidRPr="00D15A14">
        <w:rPr>
          <w:rFonts w:ascii="Times New Roman" w:hAnsi="Times New Roman" w:cs="Times New Roman"/>
        </w:rPr>
        <w:t>because of negative connotations, values, or beliefs, that we – individually, or even collectively – attach to those things</w:t>
      </w:r>
      <w:r w:rsidR="00D15A14" w:rsidRPr="00D15A14">
        <w:rPr>
          <w:rFonts w:ascii="Times New Roman" w:hAnsi="Times New Roman" w:cs="Times New Roman"/>
        </w:rPr>
        <w:t xml:space="preserve"> given the distruptive nature they have on our psyches</w:t>
      </w:r>
      <w:r w:rsidR="002E3540">
        <w:rPr>
          <w:rFonts w:ascii="Times New Roman" w:hAnsi="Times New Roman" w:cs="Times New Roman"/>
        </w:rPr>
        <w:t xml:space="preserve"> and our belief system about what is ‘normal’</w:t>
      </w:r>
      <w:r w:rsidR="0012165C" w:rsidRPr="00D15A14">
        <w:rPr>
          <w:rFonts w:ascii="Times New Roman" w:hAnsi="Times New Roman" w:cs="Times New Roman"/>
        </w:rPr>
        <w:t xml:space="preserve">. This process of describing something as ‘disgusting’ or ‘filthy’ acts to disrupt the ego of our focus for the benefit of generating collective normalcy at the level of the </w:t>
      </w:r>
      <w:r w:rsidR="0012165C" w:rsidRPr="00D15A14">
        <w:rPr>
          <w:rFonts w:ascii="Times New Roman" w:hAnsi="Times New Roman" w:cs="Times New Roman"/>
        </w:rPr>
        <w:lastRenderedPageBreak/>
        <w:t>unconscious.</w:t>
      </w:r>
      <w:r w:rsidR="00D15A14" w:rsidRPr="00D15A14">
        <w:rPr>
          <w:rFonts w:ascii="Times New Roman" w:hAnsi="Times New Roman" w:cs="Times New Roman"/>
        </w:rPr>
        <w:t xml:space="preserve"> This disruption therefore reaches its conclusion when the realm of the ‘clean and proper’ self has once again been reaffirmed. </w:t>
      </w:r>
      <w:r w:rsidR="0012165C">
        <w:rPr>
          <w:rFonts w:ascii="Times New Roman" w:hAnsi="Times New Roman" w:cs="Times New Roman"/>
        </w:rPr>
        <w:t xml:space="preserve"> </w:t>
      </w:r>
    </w:p>
    <w:p w14:paraId="29B9776B" w14:textId="77777777" w:rsidR="002E3540" w:rsidRDefault="002E3540" w:rsidP="0012165C">
      <w:pPr>
        <w:spacing w:line="360" w:lineRule="auto"/>
        <w:jc w:val="both"/>
        <w:rPr>
          <w:rFonts w:ascii="Times New Roman" w:hAnsi="Times New Roman" w:cs="Times New Roman"/>
        </w:rPr>
      </w:pPr>
    </w:p>
    <w:p w14:paraId="2A303C50" w14:textId="2DE256F0" w:rsidR="00130FC8" w:rsidRPr="0012165C" w:rsidRDefault="00130FC8" w:rsidP="0012165C">
      <w:pPr>
        <w:spacing w:line="360" w:lineRule="auto"/>
        <w:jc w:val="both"/>
        <w:rPr>
          <w:rFonts w:ascii="Times New Roman" w:hAnsi="Times New Roman" w:cs="Times New Roman"/>
          <w:lang w:val="en-US"/>
        </w:rPr>
      </w:pPr>
      <w:r w:rsidRPr="003E6F23">
        <w:rPr>
          <w:rFonts w:ascii="Times New Roman" w:hAnsi="Times New Roman" w:cs="Times New Roman"/>
          <w:lang w:val="en-US"/>
        </w:rPr>
        <w:t>If filth is not necessarily a quality of itself, but relates to a boundary of something that is ‘jettisoned’ outside of that boundary,</w:t>
      </w:r>
      <w:r w:rsidRPr="0012165C">
        <w:rPr>
          <w:rFonts w:ascii="Times New Roman" w:hAnsi="Times New Roman" w:cs="Times New Roman"/>
          <w:lang w:val="en-US"/>
        </w:rPr>
        <w:t xml:space="preserve"> then in describing PB’s environment, and moreover, describing PB </w:t>
      </w:r>
      <w:r w:rsidRPr="008E151C">
        <w:rPr>
          <w:rFonts w:ascii="Times New Roman" w:hAnsi="Times New Roman" w:cs="Times New Roman"/>
          <w:i/>
          <w:lang w:val="en-US"/>
        </w:rPr>
        <w:t xml:space="preserve">herself </w:t>
      </w:r>
      <w:r w:rsidRPr="00A77141">
        <w:rPr>
          <w:rFonts w:ascii="Times New Roman" w:hAnsi="Times New Roman" w:cs="Times New Roman"/>
          <w:lang w:val="en-US"/>
        </w:rPr>
        <w:t>as being filthy, represents abjection of PB to a realm that the Court deems unspeakable</w:t>
      </w:r>
      <w:r w:rsidR="002E3540">
        <w:rPr>
          <w:rFonts w:ascii="Times New Roman" w:hAnsi="Times New Roman" w:cs="Times New Roman"/>
          <w:lang w:val="en-US"/>
        </w:rPr>
        <w:t>;</w:t>
      </w:r>
      <w:r w:rsidRPr="00A77141">
        <w:rPr>
          <w:rFonts w:ascii="Times New Roman" w:hAnsi="Times New Roman" w:cs="Times New Roman"/>
          <w:lang w:val="en-US"/>
        </w:rPr>
        <w:t xml:space="preserve"> </w:t>
      </w:r>
      <w:r w:rsidR="00E83413">
        <w:rPr>
          <w:rFonts w:ascii="Times New Roman" w:hAnsi="Times New Roman" w:cs="Times New Roman"/>
          <w:lang w:val="en-US"/>
        </w:rPr>
        <w:t xml:space="preserve">again, </w:t>
      </w:r>
      <w:r w:rsidRPr="003E6F23">
        <w:rPr>
          <w:rFonts w:ascii="Times New Roman" w:hAnsi="Times New Roman" w:cs="Times New Roman"/>
          <w:lang w:val="en-US"/>
        </w:rPr>
        <w:t>a moral statement on</w:t>
      </w:r>
      <w:r w:rsidR="00D15A14">
        <w:rPr>
          <w:rFonts w:ascii="Times New Roman" w:hAnsi="Times New Roman" w:cs="Times New Roman"/>
          <w:lang w:val="en-US"/>
        </w:rPr>
        <w:t xml:space="preserve"> what</w:t>
      </w:r>
      <w:r w:rsidRPr="003E6F23">
        <w:rPr>
          <w:rFonts w:ascii="Times New Roman" w:hAnsi="Times New Roman" w:cs="Times New Roman"/>
          <w:lang w:val="en-US"/>
        </w:rPr>
        <w:t xml:space="preserve"> </w:t>
      </w:r>
      <w:r w:rsidR="00D15A14">
        <w:rPr>
          <w:rFonts w:ascii="Times New Roman" w:hAnsi="Times New Roman" w:cs="Times New Roman"/>
          <w:lang w:val="en-US"/>
        </w:rPr>
        <w:t>a</w:t>
      </w:r>
      <w:r w:rsidRPr="003E6F23">
        <w:rPr>
          <w:rFonts w:ascii="Times New Roman" w:hAnsi="Times New Roman" w:cs="Times New Roman"/>
          <w:lang w:val="en-US"/>
        </w:rPr>
        <w:t xml:space="preserve"> ‘clean and proper’ body</w:t>
      </w:r>
      <w:r w:rsidR="00D15A14">
        <w:rPr>
          <w:rFonts w:ascii="Times New Roman" w:hAnsi="Times New Roman" w:cs="Times New Roman"/>
          <w:lang w:val="en-US"/>
        </w:rPr>
        <w:t xml:space="preserve"> </w:t>
      </w:r>
      <w:r w:rsidR="00D15A14">
        <w:rPr>
          <w:rFonts w:ascii="Times New Roman" w:hAnsi="Times New Roman" w:cs="Times New Roman"/>
          <w:i/>
          <w:lang w:val="en-US"/>
        </w:rPr>
        <w:t>should</w:t>
      </w:r>
      <w:r w:rsidR="00D15A14">
        <w:rPr>
          <w:rFonts w:ascii="Times New Roman" w:hAnsi="Times New Roman" w:cs="Times New Roman"/>
          <w:lang w:val="en-US"/>
        </w:rPr>
        <w:t xml:space="preserve"> look like</w:t>
      </w:r>
      <w:r w:rsidRPr="0012165C">
        <w:rPr>
          <w:rFonts w:ascii="Times New Roman" w:hAnsi="Times New Roman" w:cs="Times New Roman"/>
          <w:lang w:val="en-US"/>
        </w:rPr>
        <w:t>.</w:t>
      </w:r>
      <w:r>
        <w:rPr>
          <w:rFonts w:ascii="Times New Roman" w:hAnsi="Times New Roman" w:cs="Times New Roman"/>
          <w:lang w:val="en-US"/>
        </w:rPr>
        <w:t xml:space="preserve">  In this instance, the fact that the judge does not </w:t>
      </w:r>
      <w:r w:rsidR="003E6F23">
        <w:rPr>
          <w:rFonts w:ascii="Times New Roman" w:hAnsi="Times New Roman" w:cs="Times New Roman"/>
          <w:lang w:val="en-US"/>
        </w:rPr>
        <w:t xml:space="preserve">even </w:t>
      </w:r>
      <w:r>
        <w:rPr>
          <w:rFonts w:ascii="Times New Roman" w:hAnsi="Times New Roman" w:cs="Times New Roman"/>
          <w:lang w:val="en-US"/>
        </w:rPr>
        <w:t xml:space="preserve">feel the need to verbalize the conditions in which PB was found lends credence to this analysis. </w:t>
      </w:r>
      <w:r w:rsidR="00E83413">
        <w:rPr>
          <w:rFonts w:ascii="Times New Roman" w:hAnsi="Times New Roman" w:cs="Times New Roman"/>
          <w:lang w:val="en-US"/>
        </w:rPr>
        <w:t>The</w:t>
      </w:r>
      <w:r w:rsidR="00650240" w:rsidRPr="00650240">
        <w:rPr>
          <w:rFonts w:ascii="Times New Roman" w:hAnsi="Times New Roman" w:cs="Times New Roman"/>
        </w:rPr>
        <w:t xml:space="preserve"> same approach is evident in </w:t>
      </w:r>
      <w:r w:rsidR="00650240" w:rsidRPr="00650240">
        <w:rPr>
          <w:rFonts w:ascii="Times New Roman" w:hAnsi="Times New Roman" w:cs="Times New Roman"/>
          <w:i/>
        </w:rPr>
        <w:t>CB v Medway Borough Council,</w:t>
      </w:r>
      <w:r w:rsidR="00650240" w:rsidRPr="00650240">
        <w:rPr>
          <w:rStyle w:val="FootnoteReference"/>
          <w:rFonts w:ascii="Times New Roman" w:hAnsi="Times New Roman" w:cs="Times New Roman"/>
        </w:rPr>
        <w:footnoteReference w:id="20"/>
      </w:r>
      <w:r w:rsidR="00650240" w:rsidRPr="00650240">
        <w:rPr>
          <w:rFonts w:ascii="Times New Roman" w:hAnsi="Times New Roman" w:cs="Times New Roman"/>
        </w:rPr>
        <w:t xml:space="preserve"> in which CB, a 91-year old woman with dementia, wished to return home from the care home the local authority had placed her in. For the HHJ Backhouse, </w:t>
      </w:r>
      <w:r w:rsidR="00E83413">
        <w:rPr>
          <w:rFonts w:ascii="Times New Roman" w:hAnsi="Times New Roman" w:cs="Times New Roman"/>
        </w:rPr>
        <w:t xml:space="preserve">it is death - </w:t>
      </w:r>
      <w:r w:rsidR="00650240" w:rsidRPr="00650240">
        <w:rPr>
          <w:rFonts w:ascii="Times New Roman" w:hAnsi="Times New Roman" w:cs="Times New Roman"/>
        </w:rPr>
        <w:t xml:space="preserve">the dying </w:t>
      </w:r>
      <w:r w:rsidR="00E83413">
        <w:rPr>
          <w:rFonts w:ascii="Times New Roman" w:hAnsi="Times New Roman" w:cs="Times New Roman"/>
        </w:rPr>
        <w:t xml:space="preserve">older </w:t>
      </w:r>
      <w:r w:rsidR="00650240" w:rsidRPr="00650240">
        <w:rPr>
          <w:rFonts w:ascii="Times New Roman" w:hAnsi="Times New Roman" w:cs="Times New Roman"/>
        </w:rPr>
        <w:t>body</w:t>
      </w:r>
      <w:r w:rsidR="00E83413">
        <w:rPr>
          <w:rFonts w:ascii="Times New Roman" w:hAnsi="Times New Roman" w:cs="Times New Roman"/>
        </w:rPr>
        <w:t xml:space="preserve"> -</w:t>
      </w:r>
      <w:r w:rsidR="00650240" w:rsidRPr="00650240">
        <w:rPr>
          <w:rFonts w:ascii="Times New Roman" w:hAnsi="Times New Roman" w:cs="Times New Roman"/>
        </w:rPr>
        <w:t xml:space="preserve"> </w:t>
      </w:r>
      <w:r w:rsidR="00E83413">
        <w:rPr>
          <w:rFonts w:ascii="Times New Roman" w:hAnsi="Times New Roman" w:cs="Times New Roman"/>
        </w:rPr>
        <w:t xml:space="preserve">that </w:t>
      </w:r>
      <w:r w:rsidR="00650240" w:rsidRPr="00650240">
        <w:rPr>
          <w:rFonts w:ascii="Times New Roman" w:hAnsi="Times New Roman" w:cs="Times New Roman"/>
        </w:rPr>
        <w:t xml:space="preserve">becomes the </w:t>
      </w:r>
      <w:r w:rsidR="00E83413">
        <w:rPr>
          <w:rFonts w:ascii="Times New Roman" w:hAnsi="Times New Roman" w:cs="Times New Roman"/>
        </w:rPr>
        <w:t>‘</w:t>
      </w:r>
      <w:r w:rsidR="00650240" w:rsidRPr="00650240">
        <w:rPr>
          <w:rFonts w:ascii="Times New Roman" w:hAnsi="Times New Roman" w:cs="Times New Roman"/>
        </w:rPr>
        <w:t>unspeakable</w:t>
      </w:r>
      <w:r w:rsidR="00E83413">
        <w:rPr>
          <w:rFonts w:ascii="Times New Roman" w:hAnsi="Times New Roman" w:cs="Times New Roman"/>
        </w:rPr>
        <w:t>’</w:t>
      </w:r>
      <w:r w:rsidR="00650240" w:rsidRPr="00650240">
        <w:rPr>
          <w:rFonts w:ascii="Times New Roman" w:hAnsi="Times New Roman" w:cs="Times New Roman"/>
        </w:rPr>
        <w:t>:</w:t>
      </w:r>
      <w:r w:rsidR="00650240" w:rsidRPr="00650240">
        <w:rPr>
          <w:rFonts w:ascii="Times New Roman" w:eastAsia="Times New Roman" w:hAnsi="Times New Roman" w:cs="Times New Roman"/>
          <w:i/>
          <w:iCs/>
          <w:color w:val="000000"/>
          <w:lang w:val="en-US"/>
        </w:rPr>
        <w:t xml:space="preserve"> </w:t>
      </w:r>
      <w:bookmarkStart w:id="3" w:name="para18"/>
      <w:r w:rsidR="00650240" w:rsidRPr="00650240">
        <w:rPr>
          <w:rFonts w:ascii="Times New Roman" w:eastAsia="Times New Roman" w:hAnsi="Times New Roman" w:cs="Times New Roman"/>
          <w:i/>
          <w:iCs/>
          <w:color w:val="000000"/>
          <w:lang w:val="en-US"/>
        </w:rPr>
        <w:t>‘</w:t>
      </w:r>
      <w:r w:rsidR="00650240" w:rsidRPr="00650240">
        <w:rPr>
          <w:rFonts w:ascii="Times New Roman" w:eastAsia="Times New Roman" w:hAnsi="Times New Roman" w:cs="Times New Roman"/>
          <w:iCs/>
          <w:color w:val="000000"/>
          <w:lang w:val="en-US"/>
        </w:rPr>
        <w:t>The Judge also observed </w:t>
      </w:r>
      <w:r w:rsidR="00650240" w:rsidRPr="00650240">
        <w:rPr>
          <w:rFonts w:ascii="Times New Roman" w:eastAsia="Times New Roman" w:hAnsi="Times New Roman" w:cs="Times New Roman"/>
          <w:i/>
          <w:iCs/>
          <w:color w:val="000000"/>
          <w:lang w:val="en-US"/>
        </w:rPr>
        <w:t>“money is not infinite and we do not know when she is going to… how long she is going to last, bluntly”</w:t>
      </w:r>
      <w:bookmarkEnd w:id="3"/>
      <w:r w:rsidR="00650240" w:rsidRPr="00650240">
        <w:rPr>
          <w:rFonts w:ascii="Times New Roman" w:eastAsia="Times New Roman" w:hAnsi="Times New Roman" w:cs="Times New Roman"/>
          <w:i/>
          <w:iCs/>
          <w:color w:val="000000"/>
          <w:lang w:val="en-US"/>
        </w:rPr>
        <w:t xml:space="preserve">’ </w:t>
      </w:r>
      <w:r w:rsidR="00650240" w:rsidRPr="00650240">
        <w:rPr>
          <w:rFonts w:ascii="Times New Roman" w:eastAsia="Times New Roman" w:hAnsi="Times New Roman" w:cs="Times New Roman"/>
          <w:iCs/>
          <w:color w:val="000000"/>
          <w:lang w:val="en-US"/>
        </w:rPr>
        <w:t>(para.18, emphasis in original)</w:t>
      </w:r>
      <w:r w:rsidR="00650240" w:rsidRPr="00650240">
        <w:rPr>
          <w:rFonts w:ascii="Times New Roman" w:eastAsia="Times New Roman" w:hAnsi="Times New Roman" w:cs="Times New Roman"/>
          <w:i/>
          <w:iCs/>
          <w:color w:val="000000"/>
          <w:lang w:val="en-US"/>
        </w:rPr>
        <w:t>.</w:t>
      </w:r>
      <w:r w:rsidR="00650240" w:rsidRPr="00650240">
        <w:rPr>
          <w:rStyle w:val="FootnoteReference"/>
          <w:rFonts w:ascii="Times New Roman" w:eastAsia="Times New Roman" w:hAnsi="Times New Roman" w:cs="Times New Roman"/>
          <w:iCs/>
          <w:color w:val="000000"/>
          <w:lang w:val="en-US"/>
        </w:rPr>
        <w:footnoteReference w:id="21"/>
      </w:r>
      <w:r w:rsidR="00650240" w:rsidRPr="00650240">
        <w:rPr>
          <w:rFonts w:ascii="Times New Roman" w:eastAsia="Times New Roman" w:hAnsi="Times New Roman" w:cs="Times New Roman"/>
          <w:iCs/>
          <w:color w:val="000000"/>
          <w:lang w:val="en-US"/>
        </w:rPr>
        <w:t xml:space="preserve"> </w:t>
      </w:r>
      <w:r w:rsidR="00650240" w:rsidRPr="00650240">
        <w:rPr>
          <w:rFonts w:ascii="Times New Roman" w:hAnsi="Times New Roman" w:cs="Times New Roman"/>
        </w:rPr>
        <w:t xml:space="preserve"> </w:t>
      </w:r>
      <w:r w:rsidR="00E83413">
        <w:rPr>
          <w:rFonts w:ascii="Times New Roman" w:hAnsi="Times New Roman" w:cs="Times New Roman"/>
          <w:lang w:val="en-US"/>
        </w:rPr>
        <w:t>Again</w:t>
      </w:r>
      <w:r w:rsidR="00D15A14">
        <w:rPr>
          <w:rFonts w:ascii="Times New Roman" w:hAnsi="Times New Roman" w:cs="Times New Roman"/>
          <w:lang w:val="en-US"/>
        </w:rPr>
        <w:t xml:space="preserve">, if </w:t>
      </w:r>
      <w:r>
        <w:rPr>
          <w:rFonts w:ascii="Times New Roman" w:hAnsi="Times New Roman" w:cs="Times New Roman"/>
          <w:lang w:val="en-US"/>
        </w:rPr>
        <w:t xml:space="preserve">we briefly return to the case of </w:t>
      </w:r>
      <w:r>
        <w:rPr>
          <w:rFonts w:ascii="Times New Roman" w:hAnsi="Times New Roman" w:cs="Times New Roman"/>
          <w:i/>
          <w:lang w:val="en-US"/>
        </w:rPr>
        <w:t>Southend-on-Sea Borough Council v Meyers</w:t>
      </w:r>
      <w:r w:rsidR="00650240">
        <w:rPr>
          <w:rFonts w:ascii="Times New Roman" w:hAnsi="Times New Roman" w:cs="Times New Roman"/>
          <w:lang w:val="en-US"/>
        </w:rPr>
        <w:t>, the</w:t>
      </w:r>
      <w:r w:rsidR="00E83413">
        <w:rPr>
          <w:rFonts w:ascii="Times New Roman" w:hAnsi="Times New Roman" w:cs="Times New Roman"/>
          <w:lang w:val="en-US"/>
        </w:rPr>
        <w:t xml:space="preserve"> idea of the</w:t>
      </w:r>
      <w:r w:rsidR="00650240">
        <w:rPr>
          <w:rFonts w:ascii="Times New Roman" w:hAnsi="Times New Roman" w:cs="Times New Roman"/>
          <w:lang w:val="en-US"/>
        </w:rPr>
        <w:t xml:space="preserve"> older disabled body as ‘unspeakable’ </w:t>
      </w:r>
      <w:r w:rsidR="00E83413">
        <w:rPr>
          <w:rFonts w:ascii="Times New Roman" w:hAnsi="Times New Roman" w:cs="Times New Roman"/>
          <w:lang w:val="en-US"/>
        </w:rPr>
        <w:t>also appears</w:t>
      </w:r>
      <w:r w:rsidR="002E3540">
        <w:rPr>
          <w:rFonts w:ascii="Times New Roman" w:hAnsi="Times New Roman" w:cs="Times New Roman"/>
          <w:lang w:val="en-US"/>
        </w:rPr>
        <w:t xml:space="preserve"> there</w:t>
      </w:r>
      <w:r>
        <w:rPr>
          <w:rFonts w:ascii="Times New Roman" w:hAnsi="Times New Roman" w:cs="Times New Roman"/>
          <w:lang w:val="en-US"/>
        </w:rPr>
        <w:t>. At paragraph 14 Hayden J states that he will ‘</w:t>
      </w:r>
      <w:r w:rsidRPr="007D4225">
        <w:rPr>
          <w:rFonts w:ascii="Times New Roman" w:hAnsi="Times New Roman" w:cs="Times New Roman"/>
          <w:lang w:val="en-US"/>
        </w:rPr>
        <w:t>resist describing Mr Meyers’ circumstances in graphic detail to avoid</w:t>
      </w:r>
      <w:r>
        <w:rPr>
          <w:rFonts w:ascii="Times New Roman" w:hAnsi="Times New Roman" w:cs="Times New Roman"/>
          <w:lang w:val="en-US"/>
        </w:rPr>
        <w:t xml:space="preserve"> compromising his dignity’</w:t>
      </w:r>
      <w:r w:rsidR="00E83413">
        <w:rPr>
          <w:rFonts w:ascii="Times New Roman" w:hAnsi="Times New Roman" w:cs="Times New Roman"/>
          <w:lang w:val="en-US"/>
        </w:rPr>
        <w:t xml:space="preserve">, </w:t>
      </w:r>
      <w:r>
        <w:rPr>
          <w:rFonts w:ascii="Times New Roman" w:hAnsi="Times New Roman" w:cs="Times New Roman"/>
          <w:lang w:val="en-US"/>
        </w:rPr>
        <w:t xml:space="preserve">indicating that not only is there something undignified in the </w:t>
      </w:r>
      <w:r w:rsidR="00D15A14">
        <w:rPr>
          <w:rFonts w:ascii="Times New Roman" w:hAnsi="Times New Roman" w:cs="Times New Roman"/>
          <w:lang w:val="en-US"/>
        </w:rPr>
        <w:t>appearance of Mr Meyers’ body when he was found at home</w:t>
      </w:r>
      <w:r>
        <w:rPr>
          <w:rFonts w:ascii="Times New Roman" w:hAnsi="Times New Roman" w:cs="Times New Roman"/>
          <w:lang w:val="en-US"/>
        </w:rPr>
        <w:t>, but even</w:t>
      </w:r>
      <w:r w:rsidR="00D15A14">
        <w:rPr>
          <w:rFonts w:ascii="Times New Roman" w:hAnsi="Times New Roman" w:cs="Times New Roman"/>
          <w:lang w:val="en-US"/>
        </w:rPr>
        <w:t xml:space="preserve"> just</w:t>
      </w:r>
      <w:r>
        <w:rPr>
          <w:rFonts w:ascii="Times New Roman" w:hAnsi="Times New Roman" w:cs="Times New Roman"/>
          <w:lang w:val="en-US"/>
        </w:rPr>
        <w:t xml:space="preserve"> the process of describing</w:t>
      </w:r>
      <w:r w:rsidR="00D15A14">
        <w:rPr>
          <w:rFonts w:ascii="Times New Roman" w:hAnsi="Times New Roman" w:cs="Times New Roman"/>
          <w:lang w:val="en-US"/>
        </w:rPr>
        <w:t xml:space="preserve"> and verbalizing</w:t>
      </w:r>
      <w:r>
        <w:rPr>
          <w:rFonts w:ascii="Times New Roman" w:hAnsi="Times New Roman" w:cs="Times New Roman"/>
          <w:lang w:val="en-US"/>
        </w:rPr>
        <w:t xml:space="preserve"> these circumstances may compromise his dignity. </w:t>
      </w:r>
      <w:r w:rsidR="00E83413">
        <w:rPr>
          <w:rFonts w:ascii="Times New Roman" w:hAnsi="Times New Roman" w:cs="Times New Roman"/>
          <w:lang w:val="en-US"/>
        </w:rPr>
        <w:t xml:space="preserve">For the courts, it appears that to </w:t>
      </w:r>
      <w:r>
        <w:rPr>
          <w:rFonts w:ascii="Times New Roman" w:hAnsi="Times New Roman" w:cs="Times New Roman"/>
          <w:lang w:val="en-US"/>
        </w:rPr>
        <w:t>verbaliz</w:t>
      </w:r>
      <w:r w:rsidRPr="004F71E7">
        <w:rPr>
          <w:rFonts w:ascii="Times New Roman" w:hAnsi="Times New Roman" w:cs="Times New Roman"/>
          <w:lang w:val="en-US"/>
        </w:rPr>
        <w:t>e or to describe such conditions</w:t>
      </w:r>
      <w:r w:rsidR="00E83413">
        <w:rPr>
          <w:rFonts w:ascii="Times New Roman" w:hAnsi="Times New Roman" w:cs="Times New Roman"/>
          <w:lang w:val="en-US"/>
        </w:rPr>
        <w:t>, impairments, and bodily states,</w:t>
      </w:r>
      <w:r>
        <w:rPr>
          <w:rFonts w:ascii="Times New Roman" w:hAnsi="Times New Roman" w:cs="Times New Roman"/>
          <w:lang w:val="en-US"/>
        </w:rPr>
        <w:t xml:space="preserve"> is about more than just the words used to describe them;</w:t>
      </w:r>
      <w:r w:rsidRPr="004F71E7">
        <w:rPr>
          <w:rFonts w:ascii="Times New Roman" w:hAnsi="Times New Roman" w:cs="Times New Roman"/>
          <w:lang w:val="en-US"/>
        </w:rPr>
        <w:t xml:space="preserve"> </w:t>
      </w:r>
      <w:r>
        <w:rPr>
          <w:rFonts w:ascii="Times New Roman" w:hAnsi="Times New Roman" w:cs="Times New Roman"/>
          <w:lang w:val="en-US"/>
        </w:rPr>
        <w:t>it is about the broader meaning that attaches to those words and</w:t>
      </w:r>
      <w:r w:rsidRPr="004F71E7">
        <w:rPr>
          <w:rFonts w:ascii="Times New Roman" w:hAnsi="Times New Roman" w:cs="Times New Roman"/>
          <w:lang w:val="en-US"/>
        </w:rPr>
        <w:t xml:space="preserve"> how those words would be understood by anybody hearing them (in court) or reading them (in the judgment) </w:t>
      </w:r>
      <w:r>
        <w:rPr>
          <w:rFonts w:ascii="Times New Roman" w:hAnsi="Times New Roman" w:cs="Times New Roman"/>
          <w:lang w:val="en-US"/>
        </w:rPr>
        <w:t>as posing</w:t>
      </w:r>
      <w:r w:rsidRPr="004F71E7">
        <w:rPr>
          <w:rFonts w:ascii="Times New Roman" w:hAnsi="Times New Roman" w:cs="Times New Roman"/>
          <w:lang w:val="en-US"/>
        </w:rPr>
        <w:t xml:space="preserve"> a risk to</w:t>
      </w:r>
      <w:r>
        <w:rPr>
          <w:rFonts w:ascii="Times New Roman" w:hAnsi="Times New Roman" w:cs="Times New Roman"/>
          <w:lang w:val="en-US"/>
        </w:rPr>
        <w:t xml:space="preserve"> the very thing that – at least in human rights discourse, for example – makes Mr Meyers</w:t>
      </w:r>
      <w:r w:rsidR="00D15A14">
        <w:rPr>
          <w:rFonts w:ascii="Times New Roman" w:hAnsi="Times New Roman" w:cs="Times New Roman"/>
          <w:lang w:val="en-US"/>
        </w:rPr>
        <w:t xml:space="preserve">, and us, </w:t>
      </w:r>
      <w:r>
        <w:rPr>
          <w:rFonts w:ascii="Times New Roman" w:hAnsi="Times New Roman" w:cs="Times New Roman"/>
          <w:lang w:val="en-US"/>
        </w:rPr>
        <w:t>human; his</w:t>
      </w:r>
      <w:r w:rsidRPr="004F71E7">
        <w:rPr>
          <w:rFonts w:ascii="Times New Roman" w:hAnsi="Times New Roman" w:cs="Times New Roman"/>
          <w:lang w:val="en-US"/>
        </w:rPr>
        <w:t xml:space="preserve"> dignity.</w:t>
      </w:r>
      <w:r w:rsidR="00D15A14">
        <w:rPr>
          <w:rFonts w:ascii="Times New Roman" w:hAnsi="Times New Roman" w:cs="Times New Roman"/>
          <w:lang w:val="en-US"/>
        </w:rPr>
        <w:t xml:space="preserve"> While </w:t>
      </w:r>
      <w:r w:rsidR="00E83413">
        <w:rPr>
          <w:rFonts w:ascii="Times New Roman" w:hAnsi="Times New Roman" w:cs="Times New Roman"/>
          <w:lang w:val="en-US"/>
        </w:rPr>
        <w:t>Hayden J’s approach</w:t>
      </w:r>
      <w:r w:rsidR="00D15A14">
        <w:rPr>
          <w:rFonts w:ascii="Times New Roman" w:hAnsi="Times New Roman" w:cs="Times New Roman"/>
          <w:lang w:val="en-US"/>
        </w:rPr>
        <w:t xml:space="preserve"> </w:t>
      </w:r>
      <w:r w:rsidR="00E83413">
        <w:rPr>
          <w:rFonts w:ascii="Times New Roman" w:hAnsi="Times New Roman" w:cs="Times New Roman"/>
          <w:lang w:val="en-US"/>
        </w:rPr>
        <w:t>is</w:t>
      </w:r>
      <w:r w:rsidR="00D15A14">
        <w:rPr>
          <w:rFonts w:ascii="Times New Roman" w:hAnsi="Times New Roman" w:cs="Times New Roman"/>
          <w:lang w:val="en-US"/>
        </w:rPr>
        <w:t xml:space="preserve"> reflective</w:t>
      </w:r>
      <w:r w:rsidR="00E83413">
        <w:rPr>
          <w:rFonts w:ascii="Times New Roman" w:hAnsi="Times New Roman" w:cs="Times New Roman"/>
          <w:lang w:val="en-US"/>
        </w:rPr>
        <w:t xml:space="preserve"> and charitable</w:t>
      </w:r>
      <w:r w:rsidR="00D15A14">
        <w:rPr>
          <w:rFonts w:ascii="Times New Roman" w:hAnsi="Times New Roman" w:cs="Times New Roman"/>
          <w:lang w:val="en-US"/>
        </w:rPr>
        <w:t xml:space="preserve"> in that it displays an understanding of the impact such a description may have on Mr Meyers, in doing so – and in refusing to verbalize this description</w:t>
      </w:r>
      <w:r w:rsidR="00E83413">
        <w:rPr>
          <w:rFonts w:ascii="Times New Roman" w:hAnsi="Times New Roman" w:cs="Times New Roman"/>
          <w:lang w:val="en-US"/>
        </w:rPr>
        <w:t xml:space="preserve">, as the judges did in </w:t>
      </w:r>
      <w:r w:rsidR="00E83413">
        <w:rPr>
          <w:rFonts w:ascii="Times New Roman" w:hAnsi="Times New Roman" w:cs="Times New Roman"/>
          <w:i/>
          <w:lang w:val="en-US"/>
        </w:rPr>
        <w:t xml:space="preserve">NCC v PB, </w:t>
      </w:r>
      <w:r w:rsidR="00E83413">
        <w:rPr>
          <w:rFonts w:ascii="Times New Roman" w:hAnsi="Times New Roman" w:cs="Times New Roman"/>
          <w:lang w:val="en-US"/>
        </w:rPr>
        <w:t xml:space="preserve">and in </w:t>
      </w:r>
      <w:r w:rsidR="00E83413">
        <w:rPr>
          <w:rFonts w:ascii="Times New Roman" w:hAnsi="Times New Roman" w:cs="Times New Roman"/>
          <w:i/>
          <w:lang w:val="en-US"/>
        </w:rPr>
        <w:t xml:space="preserve">CB v Medway </w:t>
      </w:r>
      <w:r w:rsidR="00D15A14">
        <w:rPr>
          <w:rFonts w:ascii="Times New Roman" w:hAnsi="Times New Roman" w:cs="Times New Roman"/>
          <w:lang w:val="en-US"/>
        </w:rPr>
        <w:t xml:space="preserve">– it </w:t>
      </w:r>
      <w:r w:rsidR="00E83413">
        <w:rPr>
          <w:rFonts w:ascii="Times New Roman" w:hAnsi="Times New Roman" w:cs="Times New Roman"/>
          <w:lang w:val="en-US"/>
        </w:rPr>
        <w:t>could be seen as confining</w:t>
      </w:r>
      <w:r w:rsidR="00D15A14">
        <w:rPr>
          <w:rFonts w:ascii="Times New Roman" w:hAnsi="Times New Roman" w:cs="Times New Roman"/>
          <w:lang w:val="en-US"/>
        </w:rPr>
        <w:t xml:space="preserve"> the physically impaired and ‘undignified’ body to the realm of the unspeakable. </w:t>
      </w:r>
    </w:p>
    <w:p w14:paraId="0E673A90" w14:textId="77777777" w:rsidR="00130FC8" w:rsidRDefault="00130FC8" w:rsidP="00130FC8">
      <w:pPr>
        <w:spacing w:line="360" w:lineRule="auto"/>
        <w:ind w:right="20"/>
        <w:jc w:val="both"/>
        <w:rPr>
          <w:rFonts w:ascii="Times New Roman" w:hAnsi="Times New Roman" w:cs="Times New Roman"/>
          <w:lang w:val="en-US"/>
        </w:rPr>
      </w:pPr>
    </w:p>
    <w:p w14:paraId="1C5822E1" w14:textId="10FD8E7B" w:rsidR="00AD5A60" w:rsidRPr="004572FE" w:rsidRDefault="00AD5A60" w:rsidP="001D7870">
      <w:pPr>
        <w:spacing w:line="360" w:lineRule="auto"/>
        <w:jc w:val="both"/>
        <w:rPr>
          <w:rFonts w:ascii="Times New Roman" w:hAnsi="Times New Roman" w:cs="Times New Roman"/>
          <w:b/>
          <w:lang w:val="en-US"/>
        </w:rPr>
      </w:pPr>
      <w:r w:rsidRPr="004572FE">
        <w:rPr>
          <w:rFonts w:ascii="Times New Roman" w:hAnsi="Times New Roman" w:cs="Times New Roman"/>
          <w:b/>
          <w:lang w:val="en-US"/>
        </w:rPr>
        <w:lastRenderedPageBreak/>
        <w:t xml:space="preserve">4. </w:t>
      </w:r>
      <w:r w:rsidR="00E83413">
        <w:rPr>
          <w:rFonts w:ascii="Times New Roman" w:hAnsi="Times New Roman" w:cs="Times New Roman"/>
          <w:b/>
          <w:lang w:val="en-US"/>
        </w:rPr>
        <w:t xml:space="preserve">‘Problems’ and ‘Misfortunes’: </w:t>
      </w:r>
      <w:r w:rsidRPr="004572FE">
        <w:rPr>
          <w:rFonts w:ascii="Times New Roman" w:hAnsi="Times New Roman" w:cs="Times New Roman"/>
          <w:b/>
          <w:lang w:val="en-US"/>
        </w:rPr>
        <w:t>The Phys</w:t>
      </w:r>
      <w:r w:rsidR="0012165C" w:rsidRPr="004572FE">
        <w:rPr>
          <w:rFonts w:ascii="Times New Roman" w:hAnsi="Times New Roman" w:cs="Times New Roman"/>
          <w:b/>
          <w:lang w:val="en-US"/>
        </w:rPr>
        <w:t>ically Disabled Older Body</w:t>
      </w:r>
    </w:p>
    <w:p w14:paraId="62DABDD8" w14:textId="04B0D2F7" w:rsidR="003E6F23" w:rsidRDefault="001D7870" w:rsidP="001D7870">
      <w:pPr>
        <w:spacing w:line="360" w:lineRule="auto"/>
        <w:jc w:val="both"/>
        <w:rPr>
          <w:rFonts w:ascii="Times New Roman" w:hAnsi="Times New Roman" w:cs="Times New Roman"/>
          <w:lang w:val="en-US"/>
        </w:rPr>
      </w:pPr>
      <w:r w:rsidRPr="003E6F23">
        <w:rPr>
          <w:rFonts w:ascii="Times New Roman" w:hAnsi="Times New Roman" w:cs="Times New Roman"/>
          <w:lang w:val="en-US"/>
        </w:rPr>
        <w:t>Abjection</w:t>
      </w:r>
      <w:r w:rsidR="003E6F23" w:rsidRPr="003E6F23">
        <w:rPr>
          <w:rFonts w:ascii="Times New Roman" w:hAnsi="Times New Roman" w:cs="Times New Roman"/>
          <w:lang w:val="en-US"/>
        </w:rPr>
        <w:t xml:space="preserve"> of older bodies</w:t>
      </w:r>
      <w:r w:rsidRPr="003E6F23">
        <w:rPr>
          <w:rFonts w:ascii="Times New Roman" w:hAnsi="Times New Roman" w:cs="Times New Roman"/>
          <w:lang w:val="en-US"/>
        </w:rPr>
        <w:t xml:space="preserve"> through language is not peculiar to the domain of mental </w:t>
      </w:r>
      <w:r w:rsidR="00AD5A60" w:rsidRPr="003E6F23">
        <w:rPr>
          <w:rFonts w:ascii="Times New Roman" w:hAnsi="Times New Roman" w:cs="Times New Roman"/>
          <w:lang w:val="en-US"/>
        </w:rPr>
        <w:t xml:space="preserve">disability </w:t>
      </w:r>
      <w:r w:rsidRPr="003E6F23">
        <w:rPr>
          <w:rFonts w:ascii="Times New Roman" w:hAnsi="Times New Roman" w:cs="Times New Roman"/>
          <w:lang w:val="en-US"/>
        </w:rPr>
        <w:t>law, from which the above cases are drawn</w:t>
      </w:r>
      <w:r w:rsidR="00E617B2">
        <w:rPr>
          <w:rFonts w:ascii="Times New Roman" w:hAnsi="Times New Roman" w:cs="Times New Roman"/>
          <w:lang w:val="en-US"/>
        </w:rPr>
        <w:t xml:space="preserve">, but in fact stretches much more broadly to </w:t>
      </w:r>
      <w:r w:rsidR="002E3540">
        <w:rPr>
          <w:rFonts w:ascii="Times New Roman" w:hAnsi="Times New Roman" w:cs="Times New Roman"/>
          <w:lang w:val="en-US"/>
        </w:rPr>
        <w:t>bodies that experience solely</w:t>
      </w:r>
      <w:r w:rsidR="00945A16">
        <w:rPr>
          <w:rFonts w:ascii="Times New Roman" w:hAnsi="Times New Roman" w:cs="Times New Roman"/>
          <w:lang w:val="en-US"/>
        </w:rPr>
        <w:t xml:space="preserve"> </w:t>
      </w:r>
      <w:r w:rsidR="002E3540">
        <w:rPr>
          <w:rFonts w:ascii="Times New Roman" w:hAnsi="Times New Roman" w:cs="Times New Roman"/>
          <w:lang w:val="en-US"/>
        </w:rPr>
        <w:t>physical</w:t>
      </w:r>
      <w:r w:rsidR="00945A16">
        <w:rPr>
          <w:rFonts w:ascii="Times New Roman" w:hAnsi="Times New Roman" w:cs="Times New Roman"/>
          <w:lang w:val="en-US"/>
        </w:rPr>
        <w:t xml:space="preserve"> i</w:t>
      </w:r>
      <w:r w:rsidR="002E3540">
        <w:rPr>
          <w:rFonts w:ascii="Times New Roman" w:hAnsi="Times New Roman" w:cs="Times New Roman"/>
          <w:lang w:val="en-US"/>
        </w:rPr>
        <w:t>mpairments</w:t>
      </w:r>
      <w:r w:rsidR="003E6F23" w:rsidRPr="003E6F23">
        <w:rPr>
          <w:rFonts w:ascii="Times New Roman" w:hAnsi="Times New Roman" w:cs="Times New Roman"/>
          <w:lang w:val="en-US"/>
        </w:rPr>
        <w:t xml:space="preserve">. </w:t>
      </w:r>
      <w:r w:rsidR="00AD5A60" w:rsidRPr="003E6F23">
        <w:rPr>
          <w:rFonts w:ascii="Times New Roman" w:hAnsi="Times New Roman" w:cs="Times New Roman"/>
          <w:lang w:val="en-US"/>
        </w:rPr>
        <w:t xml:space="preserve">This sections moves to the remaining cases that form the basis of analysis in this paper; </w:t>
      </w:r>
      <w:r w:rsidR="00AD5A60" w:rsidRPr="003E6F23">
        <w:rPr>
          <w:rFonts w:ascii="Times New Roman" w:hAnsi="Times New Roman" w:cs="Times New Roman"/>
          <w:i/>
          <w:lang w:val="en-US"/>
        </w:rPr>
        <w:t>R (McDonald) v Royal Borough of Kensington &amp; Chelsea</w:t>
      </w:r>
      <w:r w:rsidR="00AD5A60" w:rsidRPr="003E6F23">
        <w:rPr>
          <w:rFonts w:ascii="Times New Roman" w:hAnsi="Times New Roman" w:cs="Times New Roman"/>
          <w:lang w:val="en-US"/>
        </w:rPr>
        <w:t xml:space="preserve"> and </w:t>
      </w:r>
      <w:r w:rsidR="00AD5A60" w:rsidRPr="003E6F23">
        <w:rPr>
          <w:rFonts w:ascii="Times New Roman" w:hAnsi="Times New Roman" w:cs="Times New Roman"/>
          <w:i/>
          <w:lang w:val="en-US"/>
        </w:rPr>
        <w:t>Hounslow Clinical Commissioning Group v RW</w:t>
      </w:r>
      <w:r w:rsidR="00AD5A60" w:rsidRPr="003E6F23">
        <w:rPr>
          <w:rFonts w:ascii="Times New Roman" w:hAnsi="Times New Roman" w:cs="Times New Roman"/>
          <w:lang w:val="en-US"/>
        </w:rPr>
        <w:t>. In the first, there was no issue of mental disability</w:t>
      </w:r>
      <w:r w:rsidR="003E6F23" w:rsidRPr="003E6F23">
        <w:rPr>
          <w:rFonts w:ascii="Times New Roman" w:hAnsi="Times New Roman" w:cs="Times New Roman"/>
          <w:lang w:val="en-US"/>
        </w:rPr>
        <w:t>; in the latter there was</w:t>
      </w:r>
      <w:r w:rsidR="00320CF6">
        <w:rPr>
          <w:rFonts w:ascii="Times New Roman" w:hAnsi="Times New Roman" w:cs="Times New Roman"/>
          <w:lang w:val="en-US"/>
        </w:rPr>
        <w:t>.</w:t>
      </w:r>
      <w:r w:rsidR="00E617B2">
        <w:rPr>
          <w:rStyle w:val="FootnoteReference"/>
          <w:rFonts w:ascii="Times New Roman" w:hAnsi="Times New Roman" w:cs="Times New Roman"/>
          <w:lang w:val="en-US"/>
        </w:rPr>
        <w:footnoteReference w:id="22"/>
      </w:r>
      <w:r w:rsidR="00320CF6">
        <w:rPr>
          <w:rFonts w:ascii="Times New Roman" w:hAnsi="Times New Roman" w:cs="Times New Roman"/>
          <w:lang w:val="en-US"/>
        </w:rPr>
        <w:t xml:space="preserve"> However, both</w:t>
      </w:r>
      <w:r w:rsidR="00AD5A60" w:rsidRPr="003E6F23">
        <w:rPr>
          <w:rFonts w:ascii="Times New Roman" w:hAnsi="Times New Roman" w:cs="Times New Roman"/>
          <w:lang w:val="en-US"/>
        </w:rPr>
        <w:t xml:space="preserve"> case</w:t>
      </w:r>
      <w:r w:rsidR="003E6F23" w:rsidRPr="003E6F23">
        <w:rPr>
          <w:rFonts w:ascii="Times New Roman" w:hAnsi="Times New Roman" w:cs="Times New Roman"/>
          <w:lang w:val="en-US"/>
        </w:rPr>
        <w:t>s are</w:t>
      </w:r>
      <w:r w:rsidR="00AD5A60" w:rsidRPr="003E6F23">
        <w:rPr>
          <w:rFonts w:ascii="Times New Roman" w:hAnsi="Times New Roman" w:cs="Times New Roman"/>
          <w:lang w:val="en-US"/>
        </w:rPr>
        <w:t xml:space="preserve"> </w:t>
      </w:r>
      <w:r w:rsidR="008D6A45">
        <w:rPr>
          <w:rFonts w:ascii="Times New Roman" w:hAnsi="Times New Roman" w:cs="Times New Roman"/>
          <w:lang w:val="en-US"/>
        </w:rPr>
        <w:t>interesting</w:t>
      </w:r>
      <w:r w:rsidR="00AD5A60" w:rsidRPr="003E6F23">
        <w:rPr>
          <w:rFonts w:ascii="Times New Roman" w:hAnsi="Times New Roman" w:cs="Times New Roman"/>
          <w:lang w:val="en-US"/>
        </w:rPr>
        <w:t xml:space="preserve"> for the</w:t>
      </w:r>
      <w:r w:rsidR="008D6A45">
        <w:rPr>
          <w:rFonts w:ascii="Times New Roman" w:hAnsi="Times New Roman" w:cs="Times New Roman"/>
          <w:lang w:val="en-US"/>
        </w:rPr>
        <w:t>ir</w:t>
      </w:r>
      <w:r w:rsidR="00AD5A60" w:rsidRPr="003E6F23">
        <w:rPr>
          <w:rFonts w:ascii="Times New Roman" w:hAnsi="Times New Roman" w:cs="Times New Roman"/>
          <w:lang w:val="en-US"/>
        </w:rPr>
        <w:t xml:space="preserve"> use of judicial language in relation to the </w:t>
      </w:r>
      <w:r w:rsidR="00945A16">
        <w:rPr>
          <w:rFonts w:ascii="Times New Roman" w:hAnsi="Times New Roman" w:cs="Times New Roman"/>
          <w:lang w:val="en-US"/>
        </w:rPr>
        <w:t>physical disabilities experienced by the individuals at the centre of the case</w:t>
      </w:r>
      <w:r w:rsidR="00AD5A60" w:rsidRPr="003E6F23">
        <w:rPr>
          <w:rFonts w:ascii="Times New Roman" w:hAnsi="Times New Roman" w:cs="Times New Roman"/>
          <w:lang w:val="en-US"/>
        </w:rPr>
        <w:t>. As such, this section aims to show how abjection does not only inhere in cases where there is a perceived juncture between mental capacity and incapac</w:t>
      </w:r>
      <w:r w:rsidR="00D50B45">
        <w:rPr>
          <w:rFonts w:ascii="Times New Roman" w:hAnsi="Times New Roman" w:cs="Times New Roman"/>
          <w:lang w:val="en-US"/>
        </w:rPr>
        <w:t>ity, but that it is also emerges</w:t>
      </w:r>
      <w:r w:rsidR="00AD5A60" w:rsidRPr="003E6F23">
        <w:rPr>
          <w:rFonts w:ascii="Times New Roman" w:hAnsi="Times New Roman" w:cs="Times New Roman"/>
          <w:lang w:val="en-US"/>
        </w:rPr>
        <w:t xml:space="preserve"> in cases where physical impairments alone are</w:t>
      </w:r>
      <w:r w:rsidR="003E6F23" w:rsidRPr="003E6F23">
        <w:rPr>
          <w:rFonts w:ascii="Times New Roman" w:hAnsi="Times New Roman" w:cs="Times New Roman"/>
          <w:lang w:val="en-US"/>
        </w:rPr>
        <w:t xml:space="preserve"> in issue</w:t>
      </w:r>
      <w:r w:rsidR="00AD5A60" w:rsidRPr="003E6F23">
        <w:rPr>
          <w:rFonts w:ascii="Times New Roman" w:hAnsi="Times New Roman" w:cs="Times New Roman"/>
          <w:lang w:val="en-US"/>
        </w:rPr>
        <w:t>.</w:t>
      </w:r>
      <w:r w:rsidR="00AD5A60">
        <w:rPr>
          <w:rFonts w:ascii="Times New Roman" w:hAnsi="Times New Roman" w:cs="Times New Roman"/>
          <w:lang w:val="en-US"/>
        </w:rPr>
        <w:t xml:space="preserve"> </w:t>
      </w:r>
      <w:r w:rsidRPr="00A95587">
        <w:rPr>
          <w:rFonts w:ascii="Times New Roman" w:hAnsi="Times New Roman" w:cs="Times New Roman"/>
          <w:lang w:val="en-US"/>
        </w:rPr>
        <w:t xml:space="preserve"> </w:t>
      </w:r>
    </w:p>
    <w:p w14:paraId="5458E91B" w14:textId="77777777" w:rsidR="003E6F23" w:rsidRDefault="003E6F23" w:rsidP="001D7870">
      <w:pPr>
        <w:spacing w:line="360" w:lineRule="auto"/>
        <w:jc w:val="both"/>
        <w:rPr>
          <w:rFonts w:ascii="Times New Roman" w:hAnsi="Times New Roman" w:cs="Times New Roman"/>
          <w:lang w:val="en-US"/>
        </w:rPr>
      </w:pPr>
    </w:p>
    <w:p w14:paraId="5733F014" w14:textId="6706708D" w:rsidR="001D7870" w:rsidRDefault="00AD5A60" w:rsidP="001D7870">
      <w:pPr>
        <w:spacing w:line="360" w:lineRule="auto"/>
        <w:jc w:val="both"/>
        <w:rPr>
          <w:rFonts w:ascii="Times New Roman" w:hAnsi="Times New Roman" w:cs="Times New Roman"/>
          <w:lang w:val="en-US"/>
        </w:rPr>
      </w:pPr>
      <w:r w:rsidRPr="00AD5A60">
        <w:rPr>
          <w:rFonts w:ascii="Times New Roman" w:hAnsi="Times New Roman" w:cs="Times New Roman"/>
          <w:i/>
          <w:lang w:val="en-US"/>
        </w:rPr>
        <w:t xml:space="preserve">R (McDonald) v Royal Borough of Kensington &amp; Chelsea </w:t>
      </w:r>
      <w:r w:rsidRPr="00AD5A60">
        <w:rPr>
          <w:rFonts w:ascii="Times New Roman" w:hAnsi="Times New Roman" w:cs="Times New Roman"/>
          <w:lang w:val="en-US"/>
        </w:rPr>
        <w:t xml:space="preserve">involved </w:t>
      </w:r>
      <w:r w:rsidR="001D7870">
        <w:rPr>
          <w:rFonts w:ascii="Times New Roman" w:hAnsi="Times New Roman" w:cs="Times New Roman"/>
          <w:lang w:val="en-US"/>
        </w:rPr>
        <w:t>a judicial review</w:t>
      </w:r>
      <w:r w:rsidR="001D7870">
        <w:rPr>
          <w:rStyle w:val="FootnoteReference"/>
          <w:rFonts w:ascii="Times New Roman" w:hAnsi="Times New Roman" w:cs="Times New Roman"/>
          <w:lang w:val="en-US"/>
        </w:rPr>
        <w:footnoteReference w:id="23"/>
      </w:r>
      <w:r w:rsidR="001D7870">
        <w:rPr>
          <w:rFonts w:ascii="Times New Roman" w:hAnsi="Times New Roman" w:cs="Times New Roman"/>
          <w:lang w:val="en-US"/>
        </w:rPr>
        <w:t xml:space="preserve"> challenge to the proposal of the local authority, Kensington and Chelsea, to remove the night time carers from Elaine McDonald, who, at the time of the proceedings was 67, and had a number of physical disabilities following a stroke in 1999. For a number of years, Ms McDonald had overnight carers to assist her in using the lavatory. The local authority later revised her care plan and replaced the night time carers with incontinence pads, despite the fact that Ms McDonald was not, in fact, incontinent. She was able to use control her urination and defecation albeit with the help of carers to assist her in getting to the toilet. The </w:t>
      </w:r>
      <w:r>
        <w:rPr>
          <w:rFonts w:ascii="Times New Roman" w:hAnsi="Times New Roman" w:cs="Times New Roman"/>
          <w:lang w:val="en-US"/>
        </w:rPr>
        <w:t xml:space="preserve">Supreme </w:t>
      </w:r>
      <w:r w:rsidR="001D7870">
        <w:rPr>
          <w:rFonts w:ascii="Times New Roman" w:hAnsi="Times New Roman" w:cs="Times New Roman"/>
          <w:lang w:val="en-US"/>
        </w:rPr>
        <w:t>Court found – by a majority of 4 to 1 (Lady Hale dissenting) – that the decision by the local authority to replace her night time care team with incontinence pads was lawful.</w:t>
      </w:r>
      <w:r w:rsidR="002E3540">
        <w:rPr>
          <w:rStyle w:val="FootnoteReference"/>
          <w:rFonts w:ascii="Times New Roman" w:hAnsi="Times New Roman" w:cs="Times New Roman"/>
          <w:lang w:val="en-US"/>
        </w:rPr>
        <w:footnoteReference w:id="24"/>
      </w:r>
      <w:r w:rsidR="001D7870">
        <w:rPr>
          <w:rFonts w:ascii="Times New Roman" w:hAnsi="Times New Roman" w:cs="Times New Roman"/>
          <w:lang w:val="en-US"/>
        </w:rPr>
        <w:t xml:space="preserve"> A key area of dispute between the majority judges and Lady Hale, however, centred on what the implications might be if the replacement with incontinence pads was found to be lawful by the court, and whether the necessary implications would be that Ms McDonald might need to use the incontinence pads for both urinating </w:t>
      </w:r>
      <w:r w:rsidR="001D7870">
        <w:rPr>
          <w:rFonts w:ascii="Times New Roman" w:hAnsi="Times New Roman" w:cs="Times New Roman"/>
          <w:i/>
          <w:lang w:val="en-US"/>
        </w:rPr>
        <w:t xml:space="preserve">and </w:t>
      </w:r>
      <w:r w:rsidR="001D7870">
        <w:rPr>
          <w:rFonts w:ascii="Times New Roman" w:hAnsi="Times New Roman" w:cs="Times New Roman"/>
          <w:lang w:val="en-US"/>
        </w:rPr>
        <w:t xml:space="preserve">defecating. Lady Hale believed the logical extension of the argument put forward by the local authority would be that should Ms McDonald’s bladder and bowel function deteriorate further, she may find herself in the </w:t>
      </w:r>
      <w:r w:rsidR="001D7870">
        <w:rPr>
          <w:rFonts w:ascii="Times New Roman" w:hAnsi="Times New Roman" w:cs="Times New Roman"/>
          <w:lang w:val="en-US"/>
        </w:rPr>
        <w:lastRenderedPageBreak/>
        <w:t>position of having to use the incontinence pads for both urination and defecation, which Lady Hale found unacceptable:</w:t>
      </w:r>
    </w:p>
    <w:p w14:paraId="7E8E14A4" w14:textId="77777777" w:rsidR="001D7870" w:rsidRDefault="001D7870" w:rsidP="001D7870">
      <w:pPr>
        <w:spacing w:line="360" w:lineRule="auto"/>
        <w:ind w:left="720" w:right="1100"/>
        <w:jc w:val="both"/>
        <w:rPr>
          <w:rFonts w:ascii="Times New Roman" w:hAnsi="Times New Roman" w:cs="Times New Roman"/>
          <w:lang w:val="en-US"/>
        </w:rPr>
      </w:pPr>
      <w:r>
        <w:rPr>
          <w:rFonts w:ascii="Times New Roman" w:hAnsi="Times New Roman" w:cs="Times New Roman"/>
          <w:lang w:val="en-US"/>
        </w:rPr>
        <w:t>...</w:t>
      </w:r>
      <w:r w:rsidRPr="0085726A">
        <w:rPr>
          <w:rFonts w:ascii="Times New Roman" w:hAnsi="Times New Roman" w:cs="Times New Roman"/>
          <w:lang w:val="en-US"/>
        </w:rPr>
        <w:t>I am troubled by the implications of the contrary view. A</w:t>
      </w:r>
      <w:r>
        <w:rPr>
          <w:rFonts w:ascii="Times New Roman" w:hAnsi="Times New Roman" w:cs="Times New Roman"/>
          <w:lang w:val="en-US"/>
        </w:rPr>
        <w:t xml:space="preserve"> </w:t>
      </w:r>
      <w:r w:rsidRPr="0085726A">
        <w:rPr>
          <w:rFonts w:ascii="Times New Roman" w:hAnsi="Times New Roman" w:cs="Times New Roman"/>
          <w:lang w:val="en-US"/>
        </w:rPr>
        <w:t>person in her situation needs this help during the day as well as during the night</w:t>
      </w:r>
      <w:r>
        <w:rPr>
          <w:rFonts w:ascii="Times New Roman" w:hAnsi="Times New Roman" w:cs="Times New Roman"/>
          <w:lang w:val="en-US"/>
        </w:rPr>
        <w:t xml:space="preserve"> </w:t>
      </w:r>
      <w:r w:rsidRPr="0085726A">
        <w:rPr>
          <w:rFonts w:ascii="Times New Roman" w:hAnsi="Times New Roman" w:cs="Times New Roman"/>
          <w:lang w:val="en-US"/>
        </w:rPr>
        <w:t>and irrespective of whether she needs to urinate or to defecate. Logically, the</w:t>
      </w:r>
      <w:r>
        <w:rPr>
          <w:rFonts w:ascii="Times New Roman" w:hAnsi="Times New Roman" w:cs="Times New Roman"/>
          <w:lang w:val="en-US"/>
        </w:rPr>
        <w:t xml:space="preserve"> </w:t>
      </w:r>
      <w:r w:rsidRPr="0085726A">
        <w:rPr>
          <w:rFonts w:ascii="Times New Roman" w:hAnsi="Times New Roman" w:cs="Times New Roman"/>
          <w:lang w:val="en-US"/>
        </w:rPr>
        <w:t>decision of the majority in this case would entitle a local authority to withdraw this</w:t>
      </w:r>
      <w:r>
        <w:rPr>
          <w:rFonts w:ascii="Times New Roman" w:hAnsi="Times New Roman" w:cs="Times New Roman"/>
          <w:lang w:val="en-US"/>
        </w:rPr>
        <w:t xml:space="preserve"> </w:t>
      </w:r>
      <w:r w:rsidRPr="0085726A">
        <w:rPr>
          <w:rFonts w:ascii="Times New Roman" w:hAnsi="Times New Roman" w:cs="Times New Roman"/>
          <w:lang w:val="en-US"/>
        </w:rPr>
        <w:t>help even though the client needed to defecate during the night and thus might be</w:t>
      </w:r>
      <w:r>
        <w:rPr>
          <w:rFonts w:ascii="Times New Roman" w:hAnsi="Times New Roman" w:cs="Times New Roman"/>
          <w:lang w:val="en-US"/>
        </w:rPr>
        <w:t xml:space="preserve"> </w:t>
      </w:r>
      <w:r w:rsidRPr="0085726A">
        <w:rPr>
          <w:rFonts w:ascii="Times New Roman" w:hAnsi="Times New Roman" w:cs="Times New Roman"/>
          <w:lang w:val="en-US"/>
        </w:rPr>
        <w:t>left lying in her faeces until the carers came in the morning. This is not Ms</w:t>
      </w:r>
      <w:r>
        <w:rPr>
          <w:rFonts w:ascii="Times New Roman" w:hAnsi="Times New Roman" w:cs="Times New Roman"/>
          <w:lang w:val="en-US"/>
        </w:rPr>
        <w:t xml:space="preserve"> </w:t>
      </w:r>
      <w:r w:rsidRPr="0085726A">
        <w:rPr>
          <w:rFonts w:ascii="Times New Roman" w:hAnsi="Times New Roman" w:cs="Times New Roman"/>
          <w:lang w:val="en-US"/>
        </w:rPr>
        <w:t>McDonald’s problem at the moment, but her evidence leaves one in no doubt that</w:t>
      </w:r>
      <w:r>
        <w:rPr>
          <w:rFonts w:ascii="Times New Roman" w:hAnsi="Times New Roman" w:cs="Times New Roman"/>
          <w:lang w:val="en-US"/>
        </w:rPr>
        <w:t xml:space="preserve"> </w:t>
      </w:r>
      <w:r w:rsidRPr="0085726A">
        <w:rPr>
          <w:rFonts w:ascii="Times New Roman" w:hAnsi="Times New Roman" w:cs="Times New Roman"/>
          <w:lang w:val="en-US"/>
        </w:rPr>
        <w:t>this is one of her fears. Indeed, the majority view would also entitle an authority to</w:t>
      </w:r>
      <w:r>
        <w:rPr>
          <w:rFonts w:ascii="Times New Roman" w:hAnsi="Times New Roman" w:cs="Times New Roman"/>
          <w:lang w:val="en-US"/>
        </w:rPr>
        <w:t xml:space="preserve"> </w:t>
      </w:r>
      <w:r w:rsidRPr="0085726A">
        <w:rPr>
          <w:rFonts w:ascii="Times New Roman" w:hAnsi="Times New Roman" w:cs="Times New Roman"/>
          <w:lang w:val="en-US"/>
        </w:rPr>
        <w:t>withdraw this help during the day. The only constraint would be how frequently</w:t>
      </w:r>
      <w:r>
        <w:rPr>
          <w:rFonts w:ascii="Times New Roman" w:hAnsi="Times New Roman" w:cs="Times New Roman"/>
          <w:lang w:val="en-US"/>
        </w:rPr>
        <w:t xml:space="preserve"> </w:t>
      </w:r>
      <w:r w:rsidRPr="0085726A">
        <w:rPr>
          <w:rFonts w:ascii="Times New Roman" w:hAnsi="Times New Roman" w:cs="Times New Roman"/>
          <w:lang w:val="en-US"/>
        </w:rPr>
        <w:t>(or rather how infrequently) it was deemed necessary to change the pads or sheets,</w:t>
      </w:r>
      <w:r>
        <w:rPr>
          <w:rFonts w:ascii="Times New Roman" w:hAnsi="Times New Roman" w:cs="Times New Roman"/>
          <w:lang w:val="en-US"/>
        </w:rPr>
        <w:t xml:space="preserve"> </w:t>
      </w:r>
      <w:r w:rsidRPr="0085726A">
        <w:rPr>
          <w:rFonts w:ascii="Times New Roman" w:hAnsi="Times New Roman" w:cs="Times New Roman"/>
          <w:lang w:val="en-US"/>
        </w:rPr>
        <w:t>consistently with the avoidance of infection and other hazards such as nappy rash.</w:t>
      </w:r>
      <w:r>
        <w:rPr>
          <w:rFonts w:ascii="Times New Roman" w:hAnsi="Times New Roman" w:cs="Times New Roman"/>
          <w:lang w:val="en-US"/>
        </w:rPr>
        <w:t xml:space="preserve"> </w:t>
      </w:r>
      <w:r w:rsidRPr="0085726A">
        <w:rPr>
          <w:rFonts w:ascii="Times New Roman" w:hAnsi="Times New Roman" w:cs="Times New Roman"/>
          <w:lang w:val="en-US"/>
        </w:rPr>
        <w:t>The consequences do not bear thinking about</w:t>
      </w:r>
      <w:r>
        <w:rPr>
          <w:rFonts w:ascii="Times New Roman" w:hAnsi="Times New Roman" w:cs="Times New Roman"/>
          <w:lang w:val="en-US"/>
        </w:rPr>
        <w:t xml:space="preserve"> (para. 77).</w:t>
      </w:r>
    </w:p>
    <w:p w14:paraId="2BBACE91" w14:textId="62180E7B" w:rsidR="001D7870" w:rsidRDefault="001D7870" w:rsidP="001D7870">
      <w:pPr>
        <w:spacing w:line="360" w:lineRule="auto"/>
        <w:ind w:right="20"/>
        <w:jc w:val="both"/>
        <w:rPr>
          <w:rFonts w:ascii="Times New Roman" w:hAnsi="Times New Roman" w:cs="Times New Roman"/>
          <w:lang w:val="en-US"/>
        </w:rPr>
      </w:pPr>
      <w:r>
        <w:rPr>
          <w:rFonts w:ascii="Times New Roman" w:hAnsi="Times New Roman" w:cs="Times New Roman"/>
          <w:lang w:val="en-US"/>
        </w:rPr>
        <w:t>The strength of feeling Lady Hale has towards Ms McDonald’s fear that she may find herself in the position of having to defecate in the incontinence pads is evident. Indeed, throughout her judgment</w:t>
      </w:r>
      <w:r w:rsidR="00D50B45">
        <w:rPr>
          <w:rFonts w:ascii="Times New Roman" w:hAnsi="Times New Roman" w:cs="Times New Roman"/>
          <w:lang w:val="en-US"/>
        </w:rPr>
        <w:t>,</w:t>
      </w:r>
      <w:r>
        <w:rPr>
          <w:rFonts w:ascii="Times New Roman" w:hAnsi="Times New Roman" w:cs="Times New Roman"/>
          <w:lang w:val="en-US"/>
        </w:rPr>
        <w:t xml:space="preserve"> faeces is singled out as being of particular significance and as distinct from other bodily functions; in this case, urination. Any upshot that required Ms McDonald to be left in incontinence pads for faeces is, according to the last line of Lady Hale’s quote, unthinkable. Such language is reminiscent of that used in </w:t>
      </w:r>
      <w:r>
        <w:rPr>
          <w:rFonts w:ascii="Times New Roman" w:hAnsi="Times New Roman" w:cs="Times New Roman"/>
          <w:i/>
          <w:lang w:val="en-US"/>
        </w:rPr>
        <w:t xml:space="preserve">R v Kurtz, </w:t>
      </w:r>
      <w:r>
        <w:rPr>
          <w:rFonts w:ascii="Times New Roman" w:hAnsi="Times New Roman" w:cs="Times New Roman"/>
          <w:lang w:val="en-US"/>
        </w:rPr>
        <w:t xml:space="preserve">or </w:t>
      </w:r>
      <w:r>
        <w:rPr>
          <w:rFonts w:ascii="Times New Roman" w:hAnsi="Times New Roman" w:cs="Times New Roman"/>
          <w:i/>
          <w:lang w:val="en-US"/>
        </w:rPr>
        <w:t>NCC v PB</w:t>
      </w:r>
      <w:r>
        <w:rPr>
          <w:rFonts w:ascii="Times New Roman" w:hAnsi="Times New Roman" w:cs="Times New Roman"/>
          <w:lang w:val="en-US"/>
        </w:rPr>
        <w:t>: bodily waste</w:t>
      </w:r>
      <w:r w:rsidR="00D50B45">
        <w:rPr>
          <w:rFonts w:ascii="Times New Roman" w:hAnsi="Times New Roman" w:cs="Times New Roman"/>
          <w:lang w:val="en-US"/>
        </w:rPr>
        <w:t xml:space="preserve"> from the physically disabled body</w:t>
      </w:r>
      <w:r>
        <w:rPr>
          <w:rFonts w:ascii="Times New Roman" w:hAnsi="Times New Roman" w:cs="Times New Roman"/>
          <w:lang w:val="en-US"/>
        </w:rPr>
        <w:t xml:space="preserve"> represents something so challenging that it is beyond the boundary of what should be thought about or discussed. </w:t>
      </w:r>
    </w:p>
    <w:p w14:paraId="4D952991" w14:textId="77777777" w:rsidR="001D7870" w:rsidRDefault="001D7870" w:rsidP="001D7870">
      <w:pPr>
        <w:spacing w:line="360" w:lineRule="auto"/>
        <w:ind w:right="20"/>
        <w:jc w:val="both"/>
        <w:rPr>
          <w:rFonts w:ascii="Times New Roman" w:hAnsi="Times New Roman" w:cs="Times New Roman"/>
          <w:lang w:val="en-US"/>
        </w:rPr>
      </w:pPr>
    </w:p>
    <w:p w14:paraId="6E687697" w14:textId="1F168435" w:rsidR="001D7870" w:rsidRDefault="001D7870" w:rsidP="001D7870">
      <w:pPr>
        <w:spacing w:line="360" w:lineRule="auto"/>
        <w:ind w:left="90" w:right="20"/>
        <w:jc w:val="both"/>
        <w:rPr>
          <w:rFonts w:ascii="Times New Roman" w:hAnsi="Times New Roman" w:cs="Times New Roman"/>
          <w:lang w:val="en-US"/>
        </w:rPr>
      </w:pPr>
      <w:r>
        <w:rPr>
          <w:rFonts w:ascii="Times New Roman" w:hAnsi="Times New Roman" w:cs="Times New Roman"/>
          <w:lang w:val="en-US"/>
        </w:rPr>
        <w:t>The decision of the Court, however, is not simply to do with defecation on a</w:t>
      </w:r>
      <w:r w:rsidR="00D50B45">
        <w:rPr>
          <w:rFonts w:ascii="Times New Roman" w:hAnsi="Times New Roman" w:cs="Times New Roman"/>
          <w:lang w:val="en-US"/>
        </w:rPr>
        <w:t xml:space="preserve"> superficial</w:t>
      </w:r>
      <w:r>
        <w:rPr>
          <w:rFonts w:ascii="Times New Roman" w:hAnsi="Times New Roman" w:cs="Times New Roman"/>
          <w:lang w:val="en-US"/>
        </w:rPr>
        <w:t xml:space="preserve"> linguistic level; as something ‘unthinkable’. A consideration of the judgment of the majority shows how the </w:t>
      </w:r>
      <w:r w:rsidRPr="00D50B45">
        <w:rPr>
          <w:rFonts w:ascii="Times New Roman" w:hAnsi="Times New Roman" w:cs="Times New Roman"/>
          <w:lang w:val="en-US"/>
        </w:rPr>
        <w:t xml:space="preserve">abjection of </w:t>
      </w:r>
      <w:r w:rsidR="00D50B45" w:rsidRPr="00D50B45">
        <w:rPr>
          <w:rFonts w:ascii="Times New Roman" w:hAnsi="Times New Roman" w:cs="Times New Roman"/>
          <w:lang w:val="en-US"/>
        </w:rPr>
        <w:t xml:space="preserve">bodily functions such as defecation </w:t>
      </w:r>
      <w:r w:rsidRPr="00D50B45">
        <w:rPr>
          <w:rFonts w:ascii="Times New Roman" w:hAnsi="Times New Roman" w:cs="Times New Roman"/>
          <w:lang w:val="en-US"/>
        </w:rPr>
        <w:t>is substantive; abjection of faeces is,</w:t>
      </w:r>
      <w:r>
        <w:rPr>
          <w:rFonts w:ascii="Times New Roman" w:hAnsi="Times New Roman" w:cs="Times New Roman"/>
          <w:lang w:val="en-US"/>
        </w:rPr>
        <w:t xml:space="preserve"> in fact, what the</w:t>
      </w:r>
      <w:r w:rsidR="00D50B45">
        <w:rPr>
          <w:rFonts w:ascii="Times New Roman" w:hAnsi="Times New Roman" w:cs="Times New Roman"/>
          <w:lang w:val="en-US"/>
        </w:rPr>
        <w:t xml:space="preserve"> entire majority</w:t>
      </w:r>
      <w:r>
        <w:rPr>
          <w:rFonts w:ascii="Times New Roman" w:hAnsi="Times New Roman" w:cs="Times New Roman"/>
          <w:lang w:val="en-US"/>
        </w:rPr>
        <w:t xml:space="preserve"> decision of the Supreme Court </w:t>
      </w:r>
      <w:r w:rsidRPr="00353B8A">
        <w:rPr>
          <w:rFonts w:ascii="Times New Roman" w:hAnsi="Times New Roman" w:cs="Times New Roman"/>
          <w:i/>
          <w:lang w:val="en-US"/>
        </w:rPr>
        <w:t>hinges</w:t>
      </w:r>
      <w:r>
        <w:rPr>
          <w:rFonts w:ascii="Times New Roman" w:hAnsi="Times New Roman" w:cs="Times New Roman"/>
          <w:lang w:val="en-US"/>
        </w:rPr>
        <w:t xml:space="preserve"> upon. The crux of the legal matter for the Supreme Court justices was whether the local authority required Ms McDonald to use incontinence pads for urination alone, or for defecation as well. In effect, the boundary between urine and faeces becomes not only one of language, but also a substantive one upon which the case turns. Lady Hale’s argument is that this is a perfectly valid assumption to make. If the local authority is allowed to require Ms McDonald to use incontinence pads for urination, then there is no reason as to why this </w:t>
      </w:r>
      <w:r>
        <w:rPr>
          <w:rFonts w:ascii="Times New Roman" w:hAnsi="Times New Roman" w:cs="Times New Roman"/>
          <w:lang w:val="en-US"/>
        </w:rPr>
        <w:lastRenderedPageBreak/>
        <w:t>might not eventually logically extend to defecation, and - in her opinion - this was not acceptable.</w:t>
      </w:r>
      <w:r w:rsidR="002E3540">
        <w:rPr>
          <w:rFonts w:ascii="Times New Roman" w:hAnsi="Times New Roman" w:cs="Times New Roman"/>
          <w:lang w:val="en-US"/>
        </w:rPr>
        <w:t xml:space="preserve"> It is perhaps this that Lady Hale</w:t>
      </w:r>
      <w:r w:rsidR="005F531B">
        <w:rPr>
          <w:rFonts w:ascii="Times New Roman" w:hAnsi="Times New Roman" w:cs="Times New Roman"/>
          <w:lang w:val="en-US"/>
        </w:rPr>
        <w:t xml:space="preserve"> meant when using the term ‘unthinkable’.</w:t>
      </w:r>
      <w:r>
        <w:rPr>
          <w:rFonts w:ascii="Times New Roman" w:hAnsi="Times New Roman" w:cs="Times New Roman"/>
          <w:lang w:val="en-US"/>
        </w:rPr>
        <w:t xml:space="preserve"> Lord Walker, on the other hand, accompanied by Lord Brown, felt that Lady Hale had jumped the gun on this issue. There was only limited cause to believe the local authority would require Ms McDonald to use the pads for defecation as well as urination.</w:t>
      </w:r>
      <w:r>
        <w:rPr>
          <w:rStyle w:val="FootnoteReference"/>
          <w:rFonts w:ascii="Times New Roman" w:hAnsi="Times New Roman" w:cs="Times New Roman"/>
          <w:lang w:val="en-US"/>
        </w:rPr>
        <w:footnoteReference w:id="25"/>
      </w:r>
      <w:r>
        <w:rPr>
          <w:rFonts w:ascii="Times New Roman" w:hAnsi="Times New Roman" w:cs="Times New Roman"/>
          <w:lang w:val="en-US"/>
        </w:rPr>
        <w:t xml:space="preserve"> That was not, in fact, what was proposed by the revised care plan that was at the centre of the current legal challenge:</w:t>
      </w:r>
    </w:p>
    <w:p w14:paraId="389A73AB" w14:textId="77777777" w:rsidR="001D7870" w:rsidRPr="003803CD" w:rsidRDefault="001D7870" w:rsidP="001D7870">
      <w:pPr>
        <w:spacing w:line="360" w:lineRule="auto"/>
        <w:ind w:left="720" w:right="920"/>
        <w:jc w:val="both"/>
        <w:rPr>
          <w:rFonts w:ascii="Times New Roman" w:hAnsi="Times New Roman" w:cs="Times New Roman"/>
          <w:lang w:val="en-US"/>
        </w:rPr>
      </w:pPr>
      <w:r w:rsidRPr="003803CD">
        <w:rPr>
          <w:rFonts w:ascii="Times New Roman" w:hAnsi="Times New Roman" w:cs="Times New Roman"/>
          <w:lang w:val="en-US"/>
        </w:rPr>
        <w:t>It will be noted that in his last witness statement Mr Brown referred to a possible need to pass faeces at night, but noted that it had not been raised as an issue at the most recent review. In view of this I find it rather regrettable that Lady Hale’s judgment makes so many references to defecation. She says, at the end of para 77, that the consequences (of what she describes as the logical implications of the majority decision) do not bear thinking about. But in this case we do have to think about urine and faeces. For an adult to use incontinence pads for urination may be quite unpleasant for both the user and the carer, but most people would agree that it is a good deal less unpleasant and undignified than their use for defecation. I totally disagree with, and I deplore, Lady Hale’s suggestion that the decision of the majority would logically entitle a local authority to withdraw help from a client so that she might be left lying in her faeces day and night, relieved only by periodic chang</w:t>
      </w:r>
      <w:r>
        <w:rPr>
          <w:rFonts w:ascii="Times New Roman" w:hAnsi="Times New Roman" w:cs="Times New Roman"/>
          <w:lang w:val="en-US"/>
        </w:rPr>
        <w:t xml:space="preserve">es of absorbent pads or sheets </w:t>
      </w:r>
      <w:r w:rsidRPr="00483BCA">
        <w:rPr>
          <w:rFonts w:ascii="Times New Roman" w:hAnsi="Times New Roman" w:cs="Times New Roman"/>
          <w:lang w:val="en-US"/>
        </w:rPr>
        <w:t>(para. 32).</w:t>
      </w:r>
    </w:p>
    <w:p w14:paraId="185447DB" w14:textId="77777777" w:rsidR="001D7870" w:rsidRDefault="001D7870" w:rsidP="001D7870">
      <w:pPr>
        <w:spacing w:line="360" w:lineRule="auto"/>
        <w:ind w:right="20"/>
        <w:jc w:val="both"/>
        <w:rPr>
          <w:rFonts w:ascii="Times New Roman" w:hAnsi="Times New Roman" w:cs="Times New Roman"/>
          <w:lang w:val="en-US"/>
        </w:rPr>
      </w:pPr>
    </w:p>
    <w:p w14:paraId="330C5A09" w14:textId="61503D13" w:rsidR="001D7870" w:rsidRDefault="001D7870" w:rsidP="00130FC8">
      <w:pPr>
        <w:spacing w:line="360" w:lineRule="auto"/>
        <w:ind w:right="20"/>
        <w:jc w:val="both"/>
        <w:rPr>
          <w:rFonts w:ascii="Times New Roman" w:hAnsi="Times New Roman" w:cs="Times New Roman"/>
          <w:lang w:val="en-US"/>
        </w:rPr>
      </w:pPr>
      <w:r>
        <w:rPr>
          <w:rFonts w:ascii="Times New Roman" w:hAnsi="Times New Roman" w:cs="Times New Roman"/>
          <w:lang w:val="en-US"/>
        </w:rPr>
        <w:t xml:space="preserve">Dissecting these paragraphs, however, also reveals an </w:t>
      </w:r>
      <w:r w:rsidRPr="008F19E6">
        <w:rPr>
          <w:rFonts w:ascii="Times New Roman" w:hAnsi="Times New Roman" w:cs="Times New Roman"/>
          <w:lang w:val="en-US"/>
        </w:rPr>
        <w:t>emergent process of abjection</w:t>
      </w:r>
      <w:r w:rsidR="008F19E6" w:rsidRPr="008F19E6">
        <w:rPr>
          <w:rFonts w:ascii="Times New Roman" w:hAnsi="Times New Roman" w:cs="Times New Roman"/>
          <w:lang w:val="en-US"/>
        </w:rPr>
        <w:t>;</w:t>
      </w:r>
      <w:r w:rsidR="008F19E6">
        <w:rPr>
          <w:rFonts w:ascii="Times New Roman" w:hAnsi="Times New Roman" w:cs="Times New Roman"/>
          <w:lang w:val="en-US"/>
        </w:rPr>
        <w:t xml:space="preserve"> setting up the boundaries of what the court thinks is acceptable versus what is unacceptable</w:t>
      </w:r>
      <w:r w:rsidR="002E3540">
        <w:rPr>
          <w:rFonts w:ascii="Times New Roman" w:hAnsi="Times New Roman" w:cs="Times New Roman"/>
          <w:lang w:val="en-US"/>
        </w:rPr>
        <w:t xml:space="preserve">. </w:t>
      </w:r>
      <w:r>
        <w:rPr>
          <w:rFonts w:ascii="Times New Roman" w:hAnsi="Times New Roman" w:cs="Times New Roman"/>
          <w:lang w:val="en-US"/>
        </w:rPr>
        <w:t>Lord Walker begins with a very clear rebuke to Lady Hale’s use of defecation, indicating that ‘...</w:t>
      </w:r>
      <w:r w:rsidRPr="003803CD">
        <w:rPr>
          <w:rFonts w:ascii="Times New Roman" w:hAnsi="Times New Roman" w:cs="Times New Roman"/>
          <w:lang w:val="en-US"/>
        </w:rPr>
        <w:t>I find it rather regrettable that Lady Hale’s judgment makes so many references to defecation</w:t>
      </w:r>
      <w:r>
        <w:rPr>
          <w:rFonts w:ascii="Times New Roman" w:hAnsi="Times New Roman" w:cs="Times New Roman"/>
          <w:lang w:val="en-US"/>
        </w:rPr>
        <w:t>.’ In this refusal to acknowledge defecation, and depicting it as something to be ashamed of, and furthermore, reprimanding Lady Hale for referring to it, Lord Walker displays strong associations with the kind of repulsion or disassociation that</w:t>
      </w:r>
      <w:r w:rsidR="008F19E6">
        <w:rPr>
          <w:rFonts w:ascii="Times New Roman" w:hAnsi="Times New Roman" w:cs="Times New Roman"/>
          <w:lang w:val="en-US"/>
        </w:rPr>
        <w:t xml:space="preserve"> – as explained above – are a core response that </w:t>
      </w:r>
      <w:r w:rsidR="002E3540">
        <w:rPr>
          <w:rFonts w:ascii="Times New Roman" w:hAnsi="Times New Roman" w:cs="Times New Roman"/>
          <w:lang w:val="en-US"/>
        </w:rPr>
        <w:t>demonstrate</w:t>
      </w:r>
      <w:r w:rsidR="008F19E6">
        <w:rPr>
          <w:rFonts w:ascii="Times New Roman" w:hAnsi="Times New Roman" w:cs="Times New Roman"/>
          <w:lang w:val="en-US"/>
        </w:rPr>
        <w:t xml:space="preserve"> abjection</w:t>
      </w:r>
      <w:r>
        <w:rPr>
          <w:rFonts w:ascii="Times New Roman" w:hAnsi="Times New Roman" w:cs="Times New Roman"/>
          <w:lang w:val="en-US"/>
        </w:rPr>
        <w:t xml:space="preserve">. The logical meaning of Lord Walker’s quote is that </w:t>
      </w:r>
      <w:r>
        <w:rPr>
          <w:rFonts w:ascii="Times New Roman" w:hAnsi="Times New Roman" w:cs="Times New Roman"/>
          <w:lang w:val="en-US"/>
        </w:rPr>
        <w:lastRenderedPageBreak/>
        <w:t xml:space="preserve">there is a very clear boundary between the acceptable and unacceptable in this case: the case is about urination alone, and references to faeces are ostensibly unacceptable. </w:t>
      </w:r>
      <w:r w:rsidRPr="00697D94">
        <w:rPr>
          <w:rFonts w:ascii="Times New Roman" w:hAnsi="Times New Roman" w:cs="Times New Roman"/>
          <w:lang w:val="en-US"/>
        </w:rPr>
        <w:t xml:space="preserve">But as he goes on to note, this case </w:t>
      </w:r>
      <w:r w:rsidRPr="00697D94">
        <w:rPr>
          <w:rFonts w:ascii="Times New Roman" w:hAnsi="Times New Roman" w:cs="Times New Roman"/>
          <w:i/>
          <w:lang w:val="en-US"/>
        </w:rPr>
        <w:t>is</w:t>
      </w:r>
      <w:r w:rsidRPr="00697D94">
        <w:rPr>
          <w:rFonts w:ascii="Times New Roman" w:hAnsi="Times New Roman" w:cs="Times New Roman"/>
          <w:lang w:val="en-US"/>
        </w:rPr>
        <w:t>, in fact,</w:t>
      </w:r>
      <w:r w:rsidRPr="00697D94">
        <w:rPr>
          <w:rFonts w:ascii="Times New Roman" w:hAnsi="Times New Roman" w:cs="Times New Roman"/>
          <w:i/>
          <w:lang w:val="en-US"/>
        </w:rPr>
        <w:t xml:space="preserve"> </w:t>
      </w:r>
      <w:r w:rsidRPr="00697D94">
        <w:rPr>
          <w:rFonts w:ascii="Times New Roman" w:hAnsi="Times New Roman" w:cs="Times New Roman"/>
          <w:lang w:val="en-US"/>
        </w:rPr>
        <w:t>about faeces and defecation – ‘we do have to think about urine and faeces’.</w:t>
      </w:r>
      <w:r>
        <w:rPr>
          <w:rFonts w:ascii="Times New Roman" w:hAnsi="Times New Roman" w:cs="Times New Roman"/>
          <w:lang w:val="en-US"/>
        </w:rPr>
        <w:t xml:space="preserve"> </w:t>
      </w:r>
      <w:r w:rsidRPr="00697D94">
        <w:rPr>
          <w:rFonts w:ascii="Times New Roman" w:hAnsi="Times New Roman" w:cs="Times New Roman"/>
          <w:lang w:val="en-US"/>
        </w:rPr>
        <w:t xml:space="preserve">This is in seeming contradiction to his previous rebuke, but also acts as a direct counterpoint to Lady Hale’s assertion that leaving someone lying in incontinence pads in faeces is </w:t>
      </w:r>
      <w:r w:rsidRPr="00697D94">
        <w:rPr>
          <w:rFonts w:ascii="Times New Roman" w:hAnsi="Times New Roman" w:cs="Times New Roman"/>
          <w:i/>
          <w:lang w:val="en-US"/>
        </w:rPr>
        <w:t>unthinkable</w:t>
      </w:r>
      <w:r w:rsidRPr="00697D94">
        <w:rPr>
          <w:rFonts w:ascii="Times New Roman" w:hAnsi="Times New Roman" w:cs="Times New Roman"/>
          <w:lang w:val="en-US"/>
        </w:rPr>
        <w:t xml:space="preserve">. More crucially, </w:t>
      </w:r>
      <w:r>
        <w:rPr>
          <w:rFonts w:ascii="Times New Roman" w:hAnsi="Times New Roman" w:cs="Times New Roman"/>
          <w:lang w:val="en-US"/>
        </w:rPr>
        <w:t>perhaps</w:t>
      </w:r>
      <w:r w:rsidRPr="00697D94">
        <w:rPr>
          <w:rFonts w:ascii="Times New Roman" w:hAnsi="Times New Roman" w:cs="Times New Roman"/>
          <w:lang w:val="en-US"/>
        </w:rPr>
        <w:t>,</w:t>
      </w:r>
      <w:r>
        <w:rPr>
          <w:rFonts w:ascii="Times New Roman" w:hAnsi="Times New Roman" w:cs="Times New Roman"/>
          <w:lang w:val="en-US"/>
        </w:rPr>
        <w:t xml:space="preserve"> is the fact that</w:t>
      </w:r>
      <w:r w:rsidRPr="00697D94">
        <w:rPr>
          <w:rFonts w:ascii="Times New Roman" w:hAnsi="Times New Roman" w:cs="Times New Roman"/>
          <w:lang w:val="en-US"/>
        </w:rPr>
        <w:t xml:space="preserve"> it is on this substantive boundary</w:t>
      </w:r>
      <w:r>
        <w:rPr>
          <w:rFonts w:ascii="Times New Roman" w:hAnsi="Times New Roman" w:cs="Times New Roman"/>
          <w:lang w:val="en-US"/>
        </w:rPr>
        <w:t xml:space="preserve"> – between urine and faeces – that</w:t>
      </w:r>
      <w:r w:rsidRPr="00697D94">
        <w:rPr>
          <w:rFonts w:ascii="Times New Roman" w:hAnsi="Times New Roman" w:cs="Times New Roman"/>
          <w:lang w:val="en-US"/>
        </w:rPr>
        <w:t xml:space="preserve"> he bases his final decision as to the legality of the local authority’s decision. </w:t>
      </w:r>
      <w:r w:rsidRPr="003459BE">
        <w:rPr>
          <w:rFonts w:ascii="Times New Roman" w:hAnsi="Times New Roman" w:cs="Times New Roman"/>
          <w:lang w:val="en-US"/>
        </w:rPr>
        <w:t xml:space="preserve">The former – using incontinence pads for urine – is acceptable. The latter – using them for defecation – is so repugnant that he finds it in himself to ‘deplore’ Lady Hale’s suggestion that the local authority’s decision might require it. Faeces represents a challenge to dignity in the way urine does not, and his </w:t>
      </w:r>
      <w:r w:rsidR="008F19E6">
        <w:rPr>
          <w:rFonts w:ascii="Times New Roman" w:hAnsi="Times New Roman" w:cs="Times New Roman"/>
          <w:lang w:val="en-US"/>
        </w:rPr>
        <w:t>strength of feeling towards the former</w:t>
      </w:r>
      <w:r w:rsidRPr="003459BE">
        <w:rPr>
          <w:rFonts w:ascii="Times New Roman" w:hAnsi="Times New Roman" w:cs="Times New Roman"/>
          <w:lang w:val="en-US"/>
        </w:rPr>
        <w:t xml:space="preserve"> is so strong that he uses it as a central rationale for his ultimate ruling that the local authority’s decision to remove night time carers was lawful.</w:t>
      </w:r>
      <w:r w:rsidRPr="00E80D05">
        <w:rPr>
          <w:rFonts w:ascii="Times New Roman" w:hAnsi="Times New Roman" w:cs="Times New Roman"/>
          <w:lang w:val="en-US"/>
        </w:rPr>
        <w:t xml:space="preserve"> </w:t>
      </w:r>
      <w:r>
        <w:rPr>
          <w:rFonts w:ascii="Times New Roman" w:hAnsi="Times New Roman" w:cs="Times New Roman"/>
          <w:lang w:val="en-US"/>
        </w:rPr>
        <w:t>To put this in terms of abjection, by putting faeces as outside the boundary of what the Court is dealing with, he finds the decision of the local authority to remove night time carers lawful, thereby legitimizing the decision</w:t>
      </w:r>
      <w:r w:rsidR="008F19E6">
        <w:rPr>
          <w:rFonts w:ascii="Times New Roman" w:hAnsi="Times New Roman" w:cs="Times New Roman"/>
          <w:lang w:val="en-US"/>
        </w:rPr>
        <w:t xml:space="preserve"> of the majority.</w:t>
      </w:r>
    </w:p>
    <w:p w14:paraId="7E7E3311" w14:textId="77777777" w:rsidR="00D50B45" w:rsidRDefault="00D50B45" w:rsidP="00130FC8">
      <w:pPr>
        <w:spacing w:line="360" w:lineRule="auto"/>
        <w:ind w:right="20"/>
        <w:jc w:val="both"/>
        <w:rPr>
          <w:rFonts w:ascii="Times New Roman" w:hAnsi="Times New Roman" w:cs="Times New Roman"/>
          <w:lang w:val="en-US"/>
        </w:rPr>
      </w:pPr>
    </w:p>
    <w:p w14:paraId="3663B000" w14:textId="25314053" w:rsidR="005C75A0" w:rsidRDefault="00D50B45" w:rsidP="002503BD">
      <w:pPr>
        <w:spacing w:line="360" w:lineRule="auto"/>
        <w:ind w:right="20"/>
        <w:jc w:val="both"/>
        <w:rPr>
          <w:rFonts w:ascii="Times New Roman" w:hAnsi="Times New Roman" w:cs="Times New Roman"/>
          <w:lang w:val="en-US"/>
        </w:rPr>
      </w:pPr>
      <w:r>
        <w:rPr>
          <w:rFonts w:ascii="Times New Roman" w:hAnsi="Times New Roman" w:cs="Times New Roman"/>
          <w:lang w:val="en-US"/>
        </w:rPr>
        <w:t xml:space="preserve">However, through his abjection of faeces, there also becomes apparent a more nuanced and subtle kind of linguistic </w:t>
      </w:r>
      <w:r w:rsidRPr="006C6339">
        <w:rPr>
          <w:rFonts w:ascii="Times New Roman" w:hAnsi="Times New Roman" w:cs="Times New Roman"/>
          <w:lang w:val="en-US"/>
        </w:rPr>
        <w:t>abjection</w:t>
      </w:r>
      <w:r>
        <w:rPr>
          <w:rFonts w:ascii="Times New Roman" w:hAnsi="Times New Roman" w:cs="Times New Roman"/>
          <w:lang w:val="en-US"/>
        </w:rPr>
        <w:t xml:space="preserve"> towards Elaine McDonald’s </w:t>
      </w:r>
      <w:r w:rsidR="002E3540">
        <w:rPr>
          <w:rFonts w:ascii="Times New Roman" w:hAnsi="Times New Roman" w:cs="Times New Roman"/>
          <w:lang w:val="en-US"/>
        </w:rPr>
        <w:t xml:space="preserve">physically disabled </w:t>
      </w:r>
      <w:r>
        <w:rPr>
          <w:rFonts w:ascii="Times New Roman" w:hAnsi="Times New Roman" w:cs="Times New Roman"/>
          <w:lang w:val="en-US"/>
        </w:rPr>
        <w:t xml:space="preserve">body itself. Consider the following section of the above quote: ‘...Mr Brown referred to </w:t>
      </w:r>
      <w:r>
        <w:rPr>
          <w:rFonts w:ascii="Times New Roman" w:hAnsi="Times New Roman" w:cs="Times New Roman"/>
          <w:i/>
          <w:lang w:val="en-US"/>
        </w:rPr>
        <w:t xml:space="preserve">a </w:t>
      </w:r>
      <w:r>
        <w:rPr>
          <w:rFonts w:ascii="Times New Roman" w:hAnsi="Times New Roman" w:cs="Times New Roman"/>
          <w:lang w:val="en-US"/>
        </w:rPr>
        <w:t xml:space="preserve">possible need to pass faeces at night...For </w:t>
      </w:r>
      <w:r>
        <w:rPr>
          <w:rFonts w:ascii="Times New Roman" w:hAnsi="Times New Roman" w:cs="Times New Roman"/>
          <w:i/>
          <w:lang w:val="en-US"/>
        </w:rPr>
        <w:t xml:space="preserve">an adult </w:t>
      </w:r>
      <w:r>
        <w:rPr>
          <w:rFonts w:ascii="Times New Roman" w:hAnsi="Times New Roman" w:cs="Times New Roman"/>
          <w:lang w:val="en-US"/>
        </w:rPr>
        <w:t xml:space="preserve">to use incontinence pads for urination may be quite unpleasant for both </w:t>
      </w:r>
      <w:r>
        <w:rPr>
          <w:rFonts w:ascii="Times New Roman" w:hAnsi="Times New Roman" w:cs="Times New Roman"/>
          <w:i/>
          <w:lang w:val="en-US"/>
        </w:rPr>
        <w:t xml:space="preserve">the user </w:t>
      </w:r>
      <w:r>
        <w:rPr>
          <w:rFonts w:ascii="Times New Roman" w:hAnsi="Times New Roman" w:cs="Times New Roman"/>
          <w:lang w:val="en-US"/>
        </w:rPr>
        <w:t xml:space="preserve">and </w:t>
      </w:r>
      <w:r>
        <w:rPr>
          <w:rFonts w:ascii="Times New Roman" w:hAnsi="Times New Roman" w:cs="Times New Roman"/>
          <w:i/>
          <w:lang w:val="en-US"/>
        </w:rPr>
        <w:t>the carer</w:t>
      </w:r>
      <w:r w:rsidRPr="00734C37">
        <w:rPr>
          <w:rFonts w:ascii="Times New Roman" w:hAnsi="Times New Roman" w:cs="Times New Roman"/>
          <w:lang w:val="en-US"/>
        </w:rPr>
        <w:t>...</w:t>
      </w:r>
      <w:r>
        <w:rPr>
          <w:rFonts w:ascii="Times New Roman" w:hAnsi="Times New Roman" w:cs="Times New Roman"/>
          <w:lang w:val="en-US"/>
        </w:rPr>
        <w:t xml:space="preserve">I deplore Lady Hale’s suggestion that the decision of the majority would...entitle a local authority to withdraw help from </w:t>
      </w:r>
      <w:r>
        <w:rPr>
          <w:rFonts w:ascii="Times New Roman" w:hAnsi="Times New Roman" w:cs="Times New Roman"/>
          <w:i/>
          <w:lang w:val="en-US"/>
        </w:rPr>
        <w:t xml:space="preserve">a </w:t>
      </w:r>
      <w:r>
        <w:rPr>
          <w:rFonts w:ascii="Times New Roman" w:hAnsi="Times New Roman" w:cs="Times New Roman"/>
          <w:lang w:val="en-US"/>
        </w:rPr>
        <w:t>client</w:t>
      </w:r>
      <w:r w:rsidRPr="00734C37">
        <w:rPr>
          <w:rFonts w:ascii="Times New Roman" w:hAnsi="Times New Roman" w:cs="Times New Roman"/>
          <w:lang w:val="en-US"/>
        </w:rPr>
        <w:t>’</w:t>
      </w:r>
      <w:r>
        <w:rPr>
          <w:rFonts w:ascii="Times New Roman" w:hAnsi="Times New Roman" w:cs="Times New Roman"/>
          <w:lang w:val="en-US"/>
        </w:rPr>
        <w:t xml:space="preserve"> (emphasis added). Although apparently an innocuous description, on one reading the language could be seen as representing an </w:t>
      </w:r>
      <w:r w:rsidRPr="006C6339">
        <w:rPr>
          <w:rFonts w:ascii="Times New Roman" w:hAnsi="Times New Roman" w:cs="Times New Roman"/>
          <w:lang w:val="en-US"/>
        </w:rPr>
        <w:t>abjection</w:t>
      </w:r>
      <w:r>
        <w:rPr>
          <w:rFonts w:ascii="Times New Roman" w:hAnsi="Times New Roman" w:cs="Times New Roman"/>
          <w:lang w:val="en-US"/>
        </w:rPr>
        <w:t xml:space="preserve"> of the very person at the centre of the case; Elaine McDonald. The language used by Lord Walker categorizes urination and defecation as processes and bodily functions that occur to an unnamed body, not the specific individual affected by this judgment; Ms McDonald. In effect, urination and defecation become things that happen to an abstract person, and fail to grasp the lived bodily experiences of the person at the centre of the case - Elaine McDonald. </w:t>
      </w:r>
      <w:r w:rsidRPr="008F19E6">
        <w:rPr>
          <w:rFonts w:ascii="Times New Roman" w:hAnsi="Times New Roman" w:cs="Times New Roman"/>
          <w:lang w:val="en-US"/>
        </w:rPr>
        <w:t>If one of the core reasons as to why the abject comes in to being is to protect domains of order and normality - the domain of the ‘subject’ – then this choice of language, in many ways, is unsurprising.</w:t>
      </w:r>
      <w:r w:rsidRPr="003459BE">
        <w:rPr>
          <w:rFonts w:ascii="Times New Roman" w:hAnsi="Times New Roman" w:cs="Times New Roman"/>
          <w:lang w:val="en-US"/>
        </w:rPr>
        <w:t xml:space="preserve">  Sterilizing the language used, and thinking of corporeal waste as disassociated from particular bodies rather than as something in fact experienced by a real body - in this case, </w:t>
      </w:r>
      <w:r w:rsidRPr="003459BE">
        <w:rPr>
          <w:rFonts w:ascii="Times New Roman" w:hAnsi="Times New Roman" w:cs="Times New Roman"/>
          <w:lang w:val="en-US"/>
        </w:rPr>
        <w:lastRenderedPageBreak/>
        <w:t>Ms McDonald – is one way in which this protection can be achieved</w:t>
      </w:r>
      <w:r>
        <w:rPr>
          <w:rFonts w:ascii="Times New Roman" w:hAnsi="Times New Roman" w:cs="Times New Roman"/>
          <w:lang w:val="en-US"/>
        </w:rPr>
        <w:t xml:space="preserve"> psychologically</w:t>
      </w:r>
      <w:r w:rsidRPr="003459BE">
        <w:rPr>
          <w:rFonts w:ascii="Times New Roman" w:hAnsi="Times New Roman" w:cs="Times New Roman"/>
          <w:lang w:val="en-US"/>
        </w:rPr>
        <w:t>, at least from an etymological perspective.</w:t>
      </w:r>
      <w:r>
        <w:rPr>
          <w:rFonts w:ascii="Times New Roman" w:hAnsi="Times New Roman" w:cs="Times New Roman"/>
          <w:lang w:val="en-US"/>
        </w:rPr>
        <w:t xml:space="preserve"> Indeed, the language used to describe the circumstances of Cecily Kurtz, Douglas Meyers, and PB’s cases show what happens when faeces is linked to particular bodies at the centre of the cases. When this happens, evidence becomes ‘shocking’ and difficult to hear, and situations become ‘disgusting’ and ‘filthy’. </w:t>
      </w:r>
    </w:p>
    <w:p w14:paraId="08CD3C1B" w14:textId="77777777" w:rsidR="005C75A0" w:rsidRDefault="005C75A0" w:rsidP="002503BD">
      <w:pPr>
        <w:spacing w:line="360" w:lineRule="auto"/>
        <w:ind w:right="20"/>
        <w:jc w:val="both"/>
        <w:rPr>
          <w:rFonts w:ascii="Times New Roman" w:hAnsi="Times New Roman" w:cs="Times New Roman"/>
          <w:lang w:val="en-US"/>
        </w:rPr>
      </w:pPr>
    </w:p>
    <w:p w14:paraId="57F0E1C3" w14:textId="495431E8" w:rsidR="002503BD" w:rsidRDefault="008F19E6" w:rsidP="002503BD">
      <w:pPr>
        <w:spacing w:line="360" w:lineRule="auto"/>
        <w:ind w:right="20"/>
        <w:jc w:val="both"/>
        <w:rPr>
          <w:rFonts w:ascii="Times New Roman" w:hAnsi="Times New Roman" w:cs="Times New Roman"/>
          <w:lang w:val="en-US"/>
        </w:rPr>
      </w:pPr>
      <w:r>
        <w:rPr>
          <w:rFonts w:ascii="Times New Roman" w:hAnsi="Times New Roman" w:cs="Times New Roman"/>
          <w:lang w:val="en-US"/>
        </w:rPr>
        <w:t>This reading of the</w:t>
      </w:r>
      <w:r w:rsidR="002E3540">
        <w:rPr>
          <w:rFonts w:ascii="Times New Roman" w:hAnsi="Times New Roman" w:cs="Times New Roman"/>
          <w:lang w:val="en-US"/>
        </w:rPr>
        <w:t xml:space="preserve"> language used in the majority</w:t>
      </w:r>
      <w:r>
        <w:rPr>
          <w:rFonts w:ascii="Times New Roman" w:hAnsi="Times New Roman" w:cs="Times New Roman"/>
          <w:lang w:val="en-US"/>
        </w:rPr>
        <w:t xml:space="preserve"> judgment is supported if we</w:t>
      </w:r>
      <w:r w:rsidR="002E3540">
        <w:rPr>
          <w:rFonts w:ascii="Times New Roman" w:hAnsi="Times New Roman" w:cs="Times New Roman"/>
          <w:lang w:val="en-US"/>
        </w:rPr>
        <w:t xml:space="preserve"> also</w:t>
      </w:r>
      <w:r>
        <w:rPr>
          <w:rFonts w:ascii="Times New Roman" w:hAnsi="Times New Roman" w:cs="Times New Roman"/>
          <w:lang w:val="en-US"/>
        </w:rPr>
        <w:t xml:space="preserve"> look elsewhere at some of the</w:t>
      </w:r>
      <w:r w:rsidR="002E3540">
        <w:rPr>
          <w:rFonts w:ascii="Times New Roman" w:hAnsi="Times New Roman" w:cs="Times New Roman"/>
          <w:lang w:val="en-US"/>
        </w:rPr>
        <w:t xml:space="preserve"> broader</w:t>
      </w:r>
      <w:r>
        <w:rPr>
          <w:rFonts w:ascii="Times New Roman" w:hAnsi="Times New Roman" w:cs="Times New Roman"/>
          <w:lang w:val="en-US"/>
        </w:rPr>
        <w:t xml:space="preserve"> language used to describe the circumstances of the case. Lord Brown and Lord Walker both describe Elaine McDonald’s circumstances as representing a ‘misfortune’; the former, for example, states ‘I </w:t>
      </w:r>
      <w:r w:rsidRPr="008F19E6">
        <w:rPr>
          <w:rFonts w:ascii="Times New Roman" w:hAnsi="Times New Roman" w:cs="Times New Roman"/>
          <w:lang w:val="en-US"/>
        </w:rPr>
        <w:t>have the greatest sympathy for the appellant’s misfortunes and a real understanding of her deep antipathy towards the notion of using incontinence pads</w:t>
      </w:r>
      <w:r>
        <w:rPr>
          <w:rFonts w:ascii="Times New Roman" w:hAnsi="Times New Roman" w:cs="Times New Roman"/>
          <w:lang w:val="en-US"/>
        </w:rPr>
        <w:t xml:space="preserve">’ (para. 19). </w:t>
      </w:r>
      <w:r w:rsidR="002503BD">
        <w:rPr>
          <w:rFonts w:ascii="Times New Roman" w:hAnsi="Times New Roman" w:cs="Times New Roman"/>
          <w:lang w:val="en-US"/>
        </w:rPr>
        <w:t>Perhaps more tellingly, however, is the fact that physical impairments have befallen Ms McDonald are presented as ‘problems’. Lord Brown states at the outset of the case, for example, that ‘[t]</w:t>
      </w:r>
      <w:r w:rsidR="002503BD" w:rsidRPr="002503BD">
        <w:rPr>
          <w:rFonts w:ascii="Times New Roman" w:hAnsi="Times New Roman" w:cs="Times New Roman"/>
          <w:lang w:val="en-US"/>
        </w:rPr>
        <w:t>he problem at the centre of these proceedings, however, is that the appellant suffers also from a small and neurogenic bladder which makes her have to urinate s</w:t>
      </w:r>
      <w:r w:rsidR="002503BD">
        <w:rPr>
          <w:rFonts w:ascii="Times New Roman" w:hAnsi="Times New Roman" w:cs="Times New Roman"/>
          <w:lang w:val="en-US"/>
        </w:rPr>
        <w:t>ome two to three times a night’ (para. 1). Later, Lord Walker states that</w:t>
      </w:r>
    </w:p>
    <w:p w14:paraId="7D5C7FD8" w14:textId="01616AA1" w:rsidR="002503BD" w:rsidRPr="002503BD" w:rsidRDefault="002503BD" w:rsidP="002503BD">
      <w:pPr>
        <w:spacing w:line="360" w:lineRule="auto"/>
        <w:ind w:left="720" w:right="920"/>
        <w:jc w:val="both"/>
        <w:rPr>
          <w:rFonts w:ascii="Times New Roman" w:hAnsi="Times New Roman" w:cs="Times New Roman"/>
          <w:lang w:val="en-US"/>
        </w:rPr>
      </w:pPr>
      <w:r w:rsidRPr="002503BD">
        <w:rPr>
          <w:rFonts w:ascii="Times New Roman" w:hAnsi="Times New Roman" w:cs="Times New Roman"/>
          <w:lang w:val="en-US"/>
        </w:rPr>
        <w:t>Leaving aside the problems of managing functi</w:t>
      </w:r>
      <w:r>
        <w:rPr>
          <w:rFonts w:ascii="Times New Roman" w:hAnsi="Times New Roman" w:cs="Times New Roman"/>
          <w:lang w:val="en-US"/>
        </w:rPr>
        <w:t>onal incontinence in care homes...</w:t>
      </w:r>
      <w:r w:rsidRPr="002503BD">
        <w:rPr>
          <w:rFonts w:ascii="Times New Roman" w:hAnsi="Times New Roman" w:cs="Times New Roman"/>
          <w:lang w:val="en-US"/>
        </w:rPr>
        <w:t>I can see no evidence that the respondent</w:t>
      </w:r>
      <w:r>
        <w:rPr>
          <w:rFonts w:ascii="Times New Roman" w:hAnsi="Times New Roman" w:cs="Times New Roman"/>
          <w:lang w:val="en-US"/>
        </w:rPr>
        <w:t>...</w:t>
      </w:r>
      <w:r w:rsidRPr="002503BD">
        <w:rPr>
          <w:rFonts w:ascii="Times New Roman" w:hAnsi="Times New Roman" w:cs="Times New Roman"/>
          <w:lang w:val="en-US"/>
        </w:rPr>
        <w:t>is not well aware of Miss McDonald’s right to have her dignity respected</w:t>
      </w:r>
      <w:r>
        <w:rPr>
          <w:rFonts w:ascii="Times New Roman" w:hAnsi="Times New Roman" w:cs="Times New Roman"/>
          <w:lang w:val="en-US"/>
        </w:rPr>
        <w:t>...</w:t>
      </w:r>
      <w:r w:rsidRPr="002503BD">
        <w:rPr>
          <w:rFonts w:ascii="Times New Roman" w:hAnsi="Times New Roman" w:cs="Times New Roman"/>
          <w:lang w:val="en-US"/>
        </w:rPr>
        <w:t xml:space="preserve">She is a courageous and determined lady and </w:t>
      </w:r>
      <w:r>
        <w:rPr>
          <w:rFonts w:ascii="Times New Roman" w:hAnsi="Times New Roman" w:cs="Times New Roman"/>
          <w:lang w:val="en-US"/>
        </w:rPr>
        <w:t xml:space="preserve">[the </w:t>
      </w:r>
      <w:r w:rsidRPr="002503BD">
        <w:rPr>
          <w:rFonts w:ascii="Times New Roman" w:hAnsi="Times New Roman" w:cs="Times New Roman"/>
          <w:lang w:val="en-US"/>
        </w:rPr>
        <w:t>R</w:t>
      </w:r>
      <w:r>
        <w:rPr>
          <w:rFonts w:ascii="Times New Roman" w:hAnsi="Times New Roman" w:cs="Times New Roman"/>
          <w:lang w:val="en-US"/>
        </w:rPr>
        <w:t xml:space="preserve">oyal </w:t>
      </w:r>
      <w:r w:rsidRPr="002503BD">
        <w:rPr>
          <w:rFonts w:ascii="Times New Roman" w:hAnsi="Times New Roman" w:cs="Times New Roman"/>
          <w:lang w:val="en-US"/>
        </w:rPr>
        <w:t>B</w:t>
      </w:r>
      <w:r>
        <w:rPr>
          <w:rFonts w:ascii="Times New Roman" w:hAnsi="Times New Roman" w:cs="Times New Roman"/>
          <w:lang w:val="en-US"/>
        </w:rPr>
        <w:t xml:space="preserve">orough of </w:t>
      </w:r>
      <w:r w:rsidRPr="002503BD">
        <w:rPr>
          <w:rFonts w:ascii="Times New Roman" w:hAnsi="Times New Roman" w:cs="Times New Roman"/>
          <w:lang w:val="en-US"/>
        </w:rPr>
        <w:t>K</w:t>
      </w:r>
      <w:r>
        <w:rPr>
          <w:rFonts w:ascii="Times New Roman" w:hAnsi="Times New Roman" w:cs="Times New Roman"/>
          <w:lang w:val="en-US"/>
        </w:rPr>
        <w:t xml:space="preserve">ensington and </w:t>
      </w:r>
      <w:r w:rsidRPr="002503BD">
        <w:rPr>
          <w:rFonts w:ascii="Times New Roman" w:hAnsi="Times New Roman" w:cs="Times New Roman"/>
          <w:lang w:val="en-US"/>
        </w:rPr>
        <w:t>C</w:t>
      </w:r>
      <w:r>
        <w:rPr>
          <w:rFonts w:ascii="Times New Roman" w:hAnsi="Times New Roman" w:cs="Times New Roman"/>
          <w:lang w:val="en-US"/>
        </w:rPr>
        <w:t>helsea</w:t>
      </w:r>
      <w:r w:rsidRPr="002503BD">
        <w:rPr>
          <w:rFonts w:ascii="Times New Roman" w:hAnsi="Times New Roman" w:cs="Times New Roman"/>
          <w:lang w:val="en-US"/>
        </w:rPr>
        <w:t>’s</w:t>
      </w:r>
      <w:r>
        <w:rPr>
          <w:rFonts w:ascii="Times New Roman" w:hAnsi="Times New Roman" w:cs="Times New Roman"/>
          <w:lang w:val="en-US"/>
        </w:rPr>
        <w:t>]</w:t>
      </w:r>
      <w:r w:rsidRPr="002503BD">
        <w:rPr>
          <w:rFonts w:ascii="Times New Roman" w:hAnsi="Times New Roman" w:cs="Times New Roman"/>
          <w:lang w:val="en-US"/>
        </w:rPr>
        <w:t xml:space="preserve"> Adult Social Care Department have tried hard to f</w:t>
      </w:r>
      <w:r>
        <w:rPr>
          <w:rFonts w:ascii="Times New Roman" w:hAnsi="Times New Roman" w:cs="Times New Roman"/>
          <w:lang w:val="en-US"/>
        </w:rPr>
        <w:t>ind a solution to her problems (para. 29).</w:t>
      </w:r>
    </w:p>
    <w:p w14:paraId="3E444089" w14:textId="77777777" w:rsidR="005C75A0" w:rsidRDefault="005C75A0" w:rsidP="005C75A0">
      <w:pPr>
        <w:spacing w:line="360" w:lineRule="auto"/>
        <w:jc w:val="both"/>
        <w:rPr>
          <w:rFonts w:ascii="Times New Roman" w:hAnsi="Times New Roman" w:cs="Times New Roman"/>
          <w:lang w:val="en-US"/>
        </w:rPr>
      </w:pPr>
    </w:p>
    <w:p w14:paraId="32A2CDB4" w14:textId="3173C69A" w:rsidR="005C75A0" w:rsidRPr="005C75A0" w:rsidRDefault="005C75A0" w:rsidP="005C75A0">
      <w:pPr>
        <w:spacing w:line="360" w:lineRule="auto"/>
        <w:jc w:val="both"/>
        <w:rPr>
          <w:rFonts w:ascii="Times New Roman" w:hAnsi="Times New Roman" w:cs="Times New Roman"/>
        </w:rPr>
      </w:pPr>
      <w:r>
        <w:rPr>
          <w:rFonts w:ascii="Times New Roman" w:hAnsi="Times New Roman" w:cs="Times New Roman"/>
          <w:lang w:val="en-US"/>
        </w:rPr>
        <w:t>I have suggested in the previous section that abjection</w:t>
      </w:r>
      <w:r w:rsidRPr="005C75A0">
        <w:rPr>
          <w:rFonts w:ascii="Times New Roman" w:hAnsi="Times New Roman" w:cs="Times New Roman"/>
          <w:lang w:val="en-US"/>
        </w:rPr>
        <w:t xml:space="preserve"> begins with something that </w:t>
      </w:r>
      <w:r w:rsidRPr="005C75A0">
        <w:rPr>
          <w:rFonts w:ascii="Times New Roman" w:hAnsi="Times New Roman" w:cs="Times New Roman"/>
        </w:rPr>
        <w:t>causes or forces a disruption to our psyches as individuals; our ‘conscious ego’ (Tyler, 2009, 79)</w:t>
      </w:r>
      <w:r>
        <w:rPr>
          <w:rFonts w:ascii="Times New Roman" w:hAnsi="Times New Roman" w:cs="Times New Roman"/>
        </w:rPr>
        <w:t>. It is therefore possible that abjection can occur in relation to embodied differences such as disability, or the physical infirmities of old age, as Kristeva herself has recently argued (Kristeva, 2010; 2013)</w:t>
      </w:r>
      <w:r w:rsidRPr="005C75A0">
        <w:rPr>
          <w:rFonts w:ascii="Times New Roman" w:hAnsi="Times New Roman" w:cs="Times New Roman"/>
          <w:lang w:val="en-US"/>
        </w:rPr>
        <w:t>. In the context of advanced o</w:t>
      </w:r>
      <w:r>
        <w:rPr>
          <w:rFonts w:ascii="Times New Roman" w:hAnsi="Times New Roman" w:cs="Times New Roman"/>
          <w:lang w:val="en-US"/>
        </w:rPr>
        <w:t>ld age, Gilleard and Higgs, for example, suggest</w:t>
      </w:r>
      <w:r w:rsidRPr="005C75A0">
        <w:rPr>
          <w:rFonts w:ascii="Times New Roman" w:hAnsi="Times New Roman" w:cs="Times New Roman"/>
          <w:lang w:val="en-US"/>
        </w:rPr>
        <w:t xml:space="preserve"> that</w:t>
      </w:r>
    </w:p>
    <w:p w14:paraId="2ABA3B13" w14:textId="77777777" w:rsidR="005C75A0" w:rsidRDefault="005C75A0" w:rsidP="005C75A0">
      <w:pPr>
        <w:spacing w:line="360" w:lineRule="auto"/>
        <w:ind w:left="720" w:right="740"/>
        <w:jc w:val="both"/>
        <w:rPr>
          <w:rFonts w:ascii="Times New Roman" w:hAnsi="Times New Roman" w:cs="Times New Roman"/>
          <w:lang w:val="en-US"/>
        </w:rPr>
      </w:pPr>
      <w:r w:rsidRPr="005C75A0">
        <w:rPr>
          <w:rFonts w:ascii="Times New Roman" w:hAnsi="Times New Roman" w:cs="Times New Roman"/>
          <w:lang w:val="en-US"/>
        </w:rPr>
        <w:t xml:space="preserve">The deeper abjection of old age lies not so much in the leaking of bodily products nor in the physical stigma of an ageing appearance nor the demonstrable performance handicaps of a disabled person. What constitutes </w:t>
      </w:r>
      <w:r w:rsidRPr="005C75A0">
        <w:rPr>
          <w:rFonts w:ascii="Times New Roman" w:hAnsi="Times New Roman" w:cs="Times New Roman"/>
          <w:lang w:val="en-US"/>
        </w:rPr>
        <w:lastRenderedPageBreak/>
        <w:t>abjection in old age is the evidence of absence, absence of self consciousness, of self control, of corporeal ownership...(Gilleard and Higgs, 2011, 139).</w:t>
      </w:r>
      <w:r w:rsidRPr="005C75A0">
        <w:rPr>
          <w:rStyle w:val="FootnoteReference"/>
          <w:rFonts w:ascii="Times New Roman" w:hAnsi="Times New Roman" w:cs="Times New Roman"/>
          <w:lang w:val="en-US"/>
        </w:rPr>
        <w:footnoteReference w:id="26"/>
      </w:r>
    </w:p>
    <w:p w14:paraId="52E15D37" w14:textId="4357CDFE" w:rsidR="002503BD" w:rsidRPr="002503BD" w:rsidRDefault="005C75A0" w:rsidP="002503BD">
      <w:pPr>
        <w:spacing w:line="360" w:lineRule="auto"/>
        <w:ind w:right="20"/>
        <w:jc w:val="both"/>
        <w:rPr>
          <w:rFonts w:ascii="Times New Roman" w:hAnsi="Times New Roman" w:cs="Times New Roman"/>
          <w:lang w:val="en-US"/>
        </w:rPr>
      </w:pPr>
      <w:r>
        <w:rPr>
          <w:rFonts w:ascii="Times New Roman" w:hAnsi="Times New Roman" w:cs="Times New Roman"/>
          <w:lang w:val="en-US"/>
        </w:rPr>
        <w:t>In effect, the thing that generates the process of abjection need not always be a physical entity</w:t>
      </w:r>
      <w:r w:rsidR="002E3540">
        <w:rPr>
          <w:rFonts w:ascii="Times New Roman" w:hAnsi="Times New Roman" w:cs="Times New Roman"/>
          <w:lang w:val="en-US"/>
        </w:rPr>
        <w:t xml:space="preserve"> such as faeces</w:t>
      </w:r>
      <w:r>
        <w:rPr>
          <w:rFonts w:ascii="Times New Roman" w:hAnsi="Times New Roman" w:cs="Times New Roman"/>
          <w:lang w:val="en-US"/>
        </w:rPr>
        <w:t>, but it could be brought about because of perceived differences in embodied states. It is apparent from the judgments</w:t>
      </w:r>
      <w:r w:rsidR="002E3540">
        <w:rPr>
          <w:rFonts w:ascii="Times New Roman" w:hAnsi="Times New Roman" w:cs="Times New Roman"/>
          <w:lang w:val="en-US"/>
        </w:rPr>
        <w:t xml:space="preserve"> in </w:t>
      </w:r>
      <w:r w:rsidR="002E3540">
        <w:rPr>
          <w:rFonts w:ascii="Times New Roman" w:hAnsi="Times New Roman" w:cs="Times New Roman"/>
          <w:i/>
          <w:lang w:val="en-US"/>
        </w:rPr>
        <w:t xml:space="preserve">McDonald </w:t>
      </w:r>
      <w:r>
        <w:rPr>
          <w:rFonts w:ascii="Times New Roman" w:hAnsi="Times New Roman" w:cs="Times New Roman"/>
          <w:lang w:val="en-US"/>
        </w:rPr>
        <w:t xml:space="preserve">that physical impairments – </w:t>
      </w:r>
      <w:r w:rsidRPr="002E3540">
        <w:rPr>
          <w:rFonts w:ascii="Times New Roman" w:hAnsi="Times New Roman" w:cs="Times New Roman"/>
          <w:i/>
          <w:lang w:val="en-US"/>
        </w:rPr>
        <w:t>Elaine McDonald’s</w:t>
      </w:r>
      <w:r>
        <w:rPr>
          <w:rFonts w:ascii="Times New Roman" w:hAnsi="Times New Roman" w:cs="Times New Roman"/>
          <w:lang w:val="en-US"/>
        </w:rPr>
        <w:t xml:space="preserve"> physical impairments – represent a ‘problem’; something that presents difficulties for the court, which need to be solved. For Lord Brown, it is exactly that – Elaine McDonald’s physical impairment – that is the central </w:t>
      </w:r>
      <w:r w:rsidRPr="008D6A45">
        <w:rPr>
          <w:rFonts w:ascii="Times New Roman" w:hAnsi="Times New Roman" w:cs="Times New Roman"/>
          <w:i/>
          <w:lang w:val="en-US"/>
        </w:rPr>
        <w:t>problem</w:t>
      </w:r>
      <w:r>
        <w:rPr>
          <w:rFonts w:ascii="Times New Roman" w:hAnsi="Times New Roman" w:cs="Times New Roman"/>
          <w:lang w:val="en-US"/>
        </w:rPr>
        <w:t xml:space="preserve"> in the case; that Elaine McDonald has a small bladder which requires to urinate two or three times per night. Likewise, for Lord Walker, the same need is characterized as ‘</w:t>
      </w:r>
      <w:r w:rsidRPr="002503BD">
        <w:rPr>
          <w:rFonts w:ascii="Times New Roman" w:hAnsi="Times New Roman" w:cs="Times New Roman"/>
          <w:i/>
          <w:lang w:val="en-US"/>
        </w:rPr>
        <w:t>her</w:t>
      </w:r>
      <w:r>
        <w:rPr>
          <w:rFonts w:ascii="Times New Roman" w:hAnsi="Times New Roman" w:cs="Times New Roman"/>
          <w:i/>
          <w:lang w:val="en-US"/>
        </w:rPr>
        <w:t xml:space="preserve"> </w:t>
      </w:r>
      <w:r>
        <w:rPr>
          <w:rFonts w:ascii="Times New Roman" w:hAnsi="Times New Roman" w:cs="Times New Roman"/>
          <w:lang w:val="en-US"/>
        </w:rPr>
        <w:t>problem’ (emphasis added)</w:t>
      </w:r>
      <w:r w:rsidR="002E3540">
        <w:rPr>
          <w:rFonts w:ascii="Times New Roman" w:hAnsi="Times New Roman" w:cs="Times New Roman"/>
          <w:lang w:val="en-US"/>
        </w:rPr>
        <w:t>, as well as functional incontinence in care homes being a ‘problem’ that requires ‘management’. These are, ostensibly,</w:t>
      </w:r>
      <w:r>
        <w:rPr>
          <w:rFonts w:ascii="Times New Roman" w:hAnsi="Times New Roman" w:cs="Times New Roman"/>
          <w:lang w:val="en-US"/>
        </w:rPr>
        <w:t xml:space="preserve"> not the problem of the court, or any other individual or organization, but</w:t>
      </w:r>
      <w:r w:rsidR="002E3540">
        <w:rPr>
          <w:rFonts w:ascii="Times New Roman" w:hAnsi="Times New Roman" w:cs="Times New Roman"/>
          <w:lang w:val="en-US"/>
        </w:rPr>
        <w:t xml:space="preserve"> they belong</w:t>
      </w:r>
      <w:r>
        <w:rPr>
          <w:rFonts w:ascii="Times New Roman" w:hAnsi="Times New Roman" w:cs="Times New Roman"/>
          <w:lang w:val="en-US"/>
        </w:rPr>
        <w:t xml:space="preserve"> to Ms McDonald,</w:t>
      </w:r>
      <w:r w:rsidR="002E3540">
        <w:rPr>
          <w:rFonts w:ascii="Times New Roman" w:hAnsi="Times New Roman" w:cs="Times New Roman"/>
          <w:lang w:val="en-US"/>
        </w:rPr>
        <w:t xml:space="preserve"> or those who suffer the ‘misfortune’ of experiencing physical impairments. They are</w:t>
      </w:r>
      <w:r>
        <w:rPr>
          <w:rFonts w:ascii="Times New Roman" w:hAnsi="Times New Roman" w:cs="Times New Roman"/>
          <w:lang w:val="en-US"/>
        </w:rPr>
        <w:t xml:space="preserve"> </w:t>
      </w:r>
      <w:r w:rsidR="002E3540">
        <w:rPr>
          <w:rFonts w:ascii="Times New Roman" w:hAnsi="Times New Roman" w:cs="Times New Roman"/>
          <w:lang w:val="en-US"/>
        </w:rPr>
        <w:t>something that,</w:t>
      </w:r>
      <w:r>
        <w:rPr>
          <w:rFonts w:ascii="Times New Roman" w:hAnsi="Times New Roman" w:cs="Times New Roman"/>
          <w:lang w:val="en-US"/>
        </w:rPr>
        <w:t xml:space="preserve"> ultimately</w:t>
      </w:r>
      <w:r w:rsidR="002E3540">
        <w:rPr>
          <w:rFonts w:ascii="Times New Roman" w:hAnsi="Times New Roman" w:cs="Times New Roman"/>
          <w:lang w:val="en-US"/>
        </w:rPr>
        <w:t>, the older and physically disabled body is</w:t>
      </w:r>
      <w:r>
        <w:rPr>
          <w:rFonts w:ascii="Times New Roman" w:hAnsi="Times New Roman" w:cs="Times New Roman"/>
          <w:lang w:val="en-US"/>
        </w:rPr>
        <w:t xml:space="preserve"> responsible for. </w:t>
      </w:r>
      <w:r w:rsidR="002E3540">
        <w:rPr>
          <w:rFonts w:ascii="Times New Roman" w:hAnsi="Times New Roman" w:cs="Times New Roman"/>
          <w:lang w:val="en-US"/>
        </w:rPr>
        <w:t>The effect of such a description is to place</w:t>
      </w:r>
      <w:r>
        <w:rPr>
          <w:rFonts w:ascii="Times New Roman" w:hAnsi="Times New Roman" w:cs="Times New Roman"/>
          <w:lang w:val="en-US"/>
        </w:rPr>
        <w:t xml:space="preserve"> a distance between the court and Ms McDonald; between normal bodies and ‘problematic’ bodies; between normal bodies and bodies with physical impairments.</w:t>
      </w:r>
    </w:p>
    <w:p w14:paraId="2EA584CD" w14:textId="77777777" w:rsidR="00D50B45" w:rsidRDefault="00D50B45" w:rsidP="00130FC8">
      <w:pPr>
        <w:spacing w:line="360" w:lineRule="auto"/>
        <w:ind w:right="20"/>
        <w:jc w:val="both"/>
        <w:rPr>
          <w:rFonts w:ascii="Times New Roman" w:hAnsi="Times New Roman" w:cs="Times New Roman"/>
          <w:lang w:val="en-US"/>
        </w:rPr>
      </w:pPr>
    </w:p>
    <w:p w14:paraId="293E5C7D" w14:textId="46098E54" w:rsidR="00130FC8" w:rsidRDefault="002E3540" w:rsidP="00130FC8">
      <w:pPr>
        <w:spacing w:line="360" w:lineRule="auto"/>
        <w:ind w:right="20"/>
        <w:jc w:val="both"/>
        <w:rPr>
          <w:rFonts w:ascii="Times New Roman" w:hAnsi="Times New Roman" w:cs="Times New Roman"/>
          <w:lang w:val="en-US"/>
        </w:rPr>
      </w:pPr>
      <w:r>
        <w:rPr>
          <w:rFonts w:ascii="Times New Roman" w:hAnsi="Times New Roman" w:cs="Times New Roman"/>
          <w:lang w:val="en-US"/>
        </w:rPr>
        <w:t>Similar</w:t>
      </w:r>
      <w:r w:rsidR="00130FC8">
        <w:rPr>
          <w:rFonts w:ascii="Times New Roman" w:hAnsi="Times New Roman" w:cs="Times New Roman"/>
          <w:lang w:val="en-US"/>
        </w:rPr>
        <w:t xml:space="preserve"> linguistic technique</w:t>
      </w:r>
      <w:r>
        <w:rPr>
          <w:rFonts w:ascii="Times New Roman" w:hAnsi="Times New Roman" w:cs="Times New Roman"/>
          <w:lang w:val="en-US"/>
        </w:rPr>
        <w:t>s</w:t>
      </w:r>
      <w:r w:rsidR="00130FC8">
        <w:rPr>
          <w:rFonts w:ascii="Times New Roman" w:hAnsi="Times New Roman" w:cs="Times New Roman"/>
          <w:lang w:val="en-US"/>
        </w:rPr>
        <w:t xml:space="preserve"> of disassociation </w:t>
      </w:r>
      <w:proofErr w:type="gramStart"/>
      <w:r w:rsidR="00130FC8">
        <w:rPr>
          <w:rFonts w:ascii="Times New Roman" w:hAnsi="Times New Roman" w:cs="Times New Roman"/>
          <w:lang w:val="en-US"/>
        </w:rPr>
        <w:t>is</w:t>
      </w:r>
      <w:proofErr w:type="gramEnd"/>
      <w:r w:rsidR="008D6A45">
        <w:rPr>
          <w:rFonts w:ascii="Times New Roman" w:hAnsi="Times New Roman" w:cs="Times New Roman"/>
          <w:lang w:val="en-US"/>
        </w:rPr>
        <w:t xml:space="preserve"> also evident</w:t>
      </w:r>
      <w:r>
        <w:rPr>
          <w:rFonts w:ascii="Times New Roman" w:hAnsi="Times New Roman" w:cs="Times New Roman"/>
          <w:lang w:val="en-US"/>
        </w:rPr>
        <w:t xml:space="preserve"> – albeit to a lesser extent – in </w:t>
      </w:r>
      <w:r w:rsidR="008D6A45">
        <w:rPr>
          <w:rFonts w:ascii="Times New Roman" w:hAnsi="Times New Roman" w:cs="Times New Roman"/>
          <w:lang w:val="en-US"/>
        </w:rPr>
        <w:t>other cases.</w:t>
      </w:r>
      <w:r w:rsidR="00130FC8">
        <w:rPr>
          <w:rFonts w:ascii="Times New Roman" w:hAnsi="Times New Roman" w:cs="Times New Roman"/>
          <w:lang w:val="en-US"/>
        </w:rPr>
        <w:t xml:space="preserve"> </w:t>
      </w:r>
      <w:r w:rsidR="00130FC8">
        <w:rPr>
          <w:rFonts w:ascii="Times New Roman" w:hAnsi="Times New Roman" w:cs="Times New Roman"/>
          <w:i/>
          <w:lang w:val="en-US"/>
        </w:rPr>
        <w:t xml:space="preserve">Hounslow Clinical Commissioning Group v RW </w:t>
      </w:r>
      <w:r w:rsidR="00130FC8">
        <w:rPr>
          <w:rFonts w:ascii="Times New Roman" w:hAnsi="Times New Roman" w:cs="Times New Roman"/>
          <w:lang w:val="en-US"/>
        </w:rPr>
        <w:t>[2019] EWCOP 12</w:t>
      </w:r>
      <w:r w:rsidR="008D6A45">
        <w:rPr>
          <w:rFonts w:ascii="Times New Roman" w:hAnsi="Times New Roman" w:cs="Times New Roman"/>
          <w:lang w:val="en-US"/>
        </w:rPr>
        <w:t xml:space="preserve"> </w:t>
      </w:r>
      <w:r w:rsidR="00130FC8">
        <w:rPr>
          <w:rFonts w:ascii="Times New Roman" w:hAnsi="Times New Roman" w:cs="Times New Roman"/>
          <w:lang w:val="en-US"/>
        </w:rPr>
        <w:t>concerned concerned RW, a 78-year old man with vascular dementia who lacked capacity under the Mental Capacity Act 2005, and over whom a long running dispute had arisen between RW’s son, PT, and his treating team, as to whether he should continue to receive artificial nutrition and hydration (CANH). The case had previously come before the Court of Protection</w:t>
      </w:r>
      <w:r w:rsidR="00130FC8">
        <w:rPr>
          <w:rStyle w:val="FootnoteReference"/>
          <w:rFonts w:ascii="Times New Roman" w:hAnsi="Times New Roman" w:cs="Times New Roman"/>
          <w:lang w:val="en-US"/>
        </w:rPr>
        <w:footnoteReference w:id="27"/>
      </w:r>
      <w:r w:rsidR="00130FC8">
        <w:rPr>
          <w:rFonts w:ascii="Times New Roman" w:hAnsi="Times New Roman" w:cs="Times New Roman"/>
          <w:lang w:val="en-US"/>
        </w:rPr>
        <w:t xml:space="preserve"> in March 2018, when Parker J had held that it would be in RW’s best interests for CANH to be discontinued – a decision later upheld by the Court of Appeal.</w:t>
      </w:r>
      <w:r w:rsidR="00130FC8">
        <w:rPr>
          <w:rStyle w:val="FootnoteReference"/>
          <w:rFonts w:ascii="Times New Roman" w:hAnsi="Times New Roman" w:cs="Times New Roman"/>
          <w:lang w:val="en-US"/>
        </w:rPr>
        <w:footnoteReference w:id="28"/>
      </w:r>
      <w:r w:rsidR="00130FC8">
        <w:rPr>
          <w:rFonts w:ascii="Times New Roman" w:hAnsi="Times New Roman" w:cs="Times New Roman"/>
          <w:lang w:val="en-US"/>
        </w:rPr>
        <w:t xml:space="preserve"> Following the judgment of the Court of Appeal, it is clear that while RW did return home without CANH, his youngest son, PT, continued to feed him, hence RW’s continued survival nearly 12 months later. Following admission to hospital, doctors became increasingly concerned with RW’s physical </w:t>
      </w:r>
      <w:r w:rsidR="00130FC8">
        <w:rPr>
          <w:rFonts w:ascii="Times New Roman" w:hAnsi="Times New Roman" w:cs="Times New Roman"/>
          <w:lang w:val="en-US"/>
        </w:rPr>
        <w:lastRenderedPageBreak/>
        <w:t>state, which included one of RW’s legs that had become ischemic. The events that followed regarding RW’s physical state are described at some length in the judgment. In PT’s most recent evidence to Hayden J, it became clear that RW’s leg had become detached:</w:t>
      </w:r>
    </w:p>
    <w:p w14:paraId="586EE766" w14:textId="77777777" w:rsidR="00130FC8" w:rsidRPr="00D92FC8" w:rsidRDefault="00130FC8" w:rsidP="00130FC8">
      <w:pPr>
        <w:spacing w:line="360" w:lineRule="auto"/>
        <w:ind w:left="720" w:right="920"/>
        <w:jc w:val="both"/>
        <w:rPr>
          <w:rFonts w:ascii="Times New Roman" w:hAnsi="Times New Roman" w:cs="Times New Roman"/>
          <w:lang w:val="en-US"/>
        </w:rPr>
      </w:pPr>
      <w:r w:rsidRPr="00D527B2">
        <w:rPr>
          <w:rFonts w:ascii="Times New Roman" w:hAnsi="Times New Roman" w:cs="Times New Roman"/>
          <w:lang w:val="en-US"/>
        </w:rPr>
        <w:t>This was, to say the least, disturbing and shocking</w:t>
      </w:r>
      <w:r>
        <w:rPr>
          <w:rFonts w:ascii="Times New Roman" w:hAnsi="Times New Roman" w:cs="Times New Roman"/>
          <w:lang w:val="en-US"/>
        </w:rPr>
        <w:t xml:space="preserve"> </w:t>
      </w:r>
      <w:r w:rsidRPr="00D527B2">
        <w:rPr>
          <w:rFonts w:ascii="Times New Roman" w:hAnsi="Times New Roman" w:cs="Times New Roman"/>
          <w:lang w:val="en-US"/>
        </w:rPr>
        <w:t>evidence. I have never heard of a situation like this and I sensed the doctors were</w:t>
      </w:r>
      <w:r>
        <w:rPr>
          <w:rFonts w:ascii="Times New Roman" w:hAnsi="Times New Roman" w:cs="Times New Roman"/>
          <w:lang w:val="en-US"/>
        </w:rPr>
        <w:t xml:space="preserve"> </w:t>
      </w:r>
      <w:r w:rsidRPr="00D527B2">
        <w:rPr>
          <w:rFonts w:ascii="Times New Roman" w:hAnsi="Times New Roman" w:cs="Times New Roman"/>
          <w:lang w:val="en-US"/>
        </w:rPr>
        <w:t>equally alarmed. When I asked PT about it today, I was concerned that nobody had</w:t>
      </w:r>
      <w:r>
        <w:rPr>
          <w:rFonts w:ascii="Times New Roman" w:hAnsi="Times New Roman" w:cs="Times New Roman"/>
          <w:lang w:val="en-US"/>
        </w:rPr>
        <w:t xml:space="preserve"> </w:t>
      </w:r>
      <w:r w:rsidRPr="00D527B2">
        <w:rPr>
          <w:rFonts w:ascii="Times New Roman" w:hAnsi="Times New Roman" w:cs="Times New Roman"/>
          <w:lang w:val="en-US"/>
        </w:rPr>
        <w:t xml:space="preserve">been able to identify where </w:t>
      </w:r>
      <w:r w:rsidRPr="002E3540">
        <w:rPr>
          <w:rFonts w:ascii="Times New Roman" w:hAnsi="Times New Roman"/>
          <w:i/>
          <w:lang w:val="en-US"/>
        </w:rPr>
        <w:t>the</w:t>
      </w:r>
      <w:r w:rsidRPr="00121C99">
        <w:rPr>
          <w:rFonts w:ascii="Times New Roman" w:hAnsi="Times New Roman" w:cs="Times New Roman"/>
          <w:lang w:val="en-US"/>
        </w:rPr>
        <w:t xml:space="preserve"> </w:t>
      </w:r>
      <w:r w:rsidRPr="00D527B2">
        <w:rPr>
          <w:rFonts w:ascii="Times New Roman" w:hAnsi="Times New Roman" w:cs="Times New Roman"/>
          <w:lang w:val="en-US"/>
        </w:rPr>
        <w:t>leg is. PT told me he had wrapped it in cling film and</w:t>
      </w:r>
      <w:r>
        <w:rPr>
          <w:rFonts w:ascii="Times New Roman" w:hAnsi="Times New Roman" w:cs="Times New Roman"/>
          <w:lang w:val="en-US"/>
        </w:rPr>
        <w:t xml:space="preserve"> </w:t>
      </w:r>
      <w:r w:rsidRPr="00D527B2">
        <w:rPr>
          <w:rFonts w:ascii="Times New Roman" w:hAnsi="Times New Roman" w:cs="Times New Roman"/>
          <w:lang w:val="en-US"/>
        </w:rPr>
        <w:t>put it i</w:t>
      </w:r>
      <w:r>
        <w:rPr>
          <w:rFonts w:ascii="Times New Roman" w:hAnsi="Times New Roman" w:cs="Times New Roman"/>
          <w:lang w:val="en-US"/>
        </w:rPr>
        <w:t>n the freezer...</w:t>
      </w:r>
      <w:r w:rsidRPr="00D92FC8">
        <w:t xml:space="preserve"> </w:t>
      </w:r>
      <w:r>
        <w:rPr>
          <w:rFonts w:ascii="Times New Roman" w:hAnsi="Times New Roman" w:cs="Times New Roman"/>
          <w:lang w:val="en-US"/>
        </w:rPr>
        <w:t>He told [the doctors]</w:t>
      </w:r>
      <w:r w:rsidRPr="00D92FC8">
        <w:rPr>
          <w:rFonts w:ascii="Times New Roman" w:hAnsi="Times New Roman" w:cs="Times New Roman"/>
          <w:lang w:val="en-US"/>
        </w:rPr>
        <w:t xml:space="preserve"> how he had changed the</w:t>
      </w:r>
      <w:r>
        <w:rPr>
          <w:rFonts w:ascii="Times New Roman" w:hAnsi="Times New Roman" w:cs="Times New Roman"/>
          <w:lang w:val="en-US"/>
        </w:rPr>
        <w:t xml:space="preserve"> </w:t>
      </w:r>
      <w:r w:rsidRPr="00D92FC8">
        <w:rPr>
          <w:rFonts w:ascii="Times New Roman" w:hAnsi="Times New Roman" w:cs="Times New Roman"/>
          <w:lang w:val="en-US"/>
        </w:rPr>
        <w:t>catheter himself three months ago and was entirely clear regarding the treatment he</w:t>
      </w:r>
    </w:p>
    <w:p w14:paraId="31B0128A" w14:textId="77777777" w:rsidR="00130FC8" w:rsidRDefault="00130FC8" w:rsidP="00130FC8">
      <w:pPr>
        <w:spacing w:line="360" w:lineRule="auto"/>
        <w:ind w:left="720" w:right="920"/>
        <w:jc w:val="both"/>
        <w:rPr>
          <w:rFonts w:ascii="Times New Roman" w:hAnsi="Times New Roman" w:cs="Times New Roman"/>
          <w:lang w:val="en-US"/>
        </w:rPr>
      </w:pPr>
      <w:r w:rsidRPr="00D92FC8">
        <w:rPr>
          <w:rFonts w:ascii="Times New Roman" w:hAnsi="Times New Roman" w:cs="Times New Roman"/>
          <w:lang w:val="en-US"/>
        </w:rPr>
        <w:t xml:space="preserve">had been providing to his father’s leg, and </w:t>
      </w:r>
      <w:r>
        <w:rPr>
          <w:rFonts w:ascii="Times New Roman" w:hAnsi="Times New Roman" w:cs="Times New Roman"/>
          <w:lang w:val="en-US"/>
        </w:rPr>
        <w:t xml:space="preserve">how he responded when </w:t>
      </w:r>
      <w:r w:rsidRPr="00F80FFD">
        <w:rPr>
          <w:rFonts w:ascii="Times New Roman" w:hAnsi="Times New Roman"/>
          <w:lang w:val="en-US"/>
        </w:rPr>
        <w:t>the</w:t>
      </w:r>
      <w:r w:rsidRPr="00121C99">
        <w:rPr>
          <w:rFonts w:ascii="Times New Roman" w:hAnsi="Times New Roman" w:cs="Times New Roman"/>
          <w:lang w:val="en-US"/>
        </w:rPr>
        <w:t xml:space="preserve"> </w:t>
      </w:r>
      <w:r>
        <w:rPr>
          <w:rFonts w:ascii="Times New Roman" w:hAnsi="Times New Roman" w:cs="Times New Roman"/>
          <w:lang w:val="en-US"/>
        </w:rPr>
        <w:t xml:space="preserve">lower </w:t>
      </w:r>
      <w:r w:rsidRPr="00D92FC8">
        <w:rPr>
          <w:rFonts w:ascii="Times New Roman" w:hAnsi="Times New Roman" w:cs="Times New Roman"/>
          <w:lang w:val="en-US"/>
        </w:rPr>
        <w:t>leg</w:t>
      </w:r>
      <w:r>
        <w:rPr>
          <w:rFonts w:ascii="Times New Roman" w:hAnsi="Times New Roman" w:cs="Times New Roman"/>
          <w:lang w:val="en-US"/>
        </w:rPr>
        <w:t xml:space="preserve"> separated. There was no spreading of any infection from </w:t>
      </w:r>
      <w:r w:rsidRPr="00951277">
        <w:rPr>
          <w:rFonts w:ascii="Times New Roman" w:hAnsi="Times New Roman" w:cs="Times New Roman"/>
          <w:i/>
          <w:lang w:val="en-US"/>
        </w:rPr>
        <w:t>the detached left leg</w:t>
      </w:r>
      <w:r>
        <w:rPr>
          <w:rFonts w:ascii="Times New Roman" w:hAnsi="Times New Roman" w:cs="Times New Roman"/>
          <w:lang w:val="en-US"/>
        </w:rPr>
        <w:t xml:space="preserve"> </w:t>
      </w:r>
      <w:r w:rsidRPr="00D12F16">
        <w:rPr>
          <w:rFonts w:ascii="Times New Roman" w:hAnsi="Times New Roman" w:cs="Times New Roman"/>
          <w:i/>
          <w:lang w:val="en-US"/>
        </w:rPr>
        <w:t>to the rest of the body</w:t>
      </w:r>
      <w:r>
        <w:rPr>
          <w:rFonts w:ascii="Times New Roman" w:hAnsi="Times New Roman" w:cs="Times New Roman"/>
          <w:lang w:val="en-US"/>
        </w:rPr>
        <w:t xml:space="preserve"> (para 18-19, emphasis added).</w:t>
      </w:r>
    </w:p>
    <w:p w14:paraId="3BD5E550" w14:textId="3AFA0E4C" w:rsidR="00130FC8" w:rsidRDefault="00130FC8" w:rsidP="00130FC8">
      <w:pPr>
        <w:spacing w:line="360" w:lineRule="auto"/>
        <w:jc w:val="both"/>
        <w:rPr>
          <w:rFonts w:ascii="Times New Roman" w:hAnsi="Times New Roman" w:cs="Times New Roman"/>
          <w:lang w:val="en-US"/>
        </w:rPr>
      </w:pPr>
      <w:r>
        <w:rPr>
          <w:rFonts w:ascii="Times New Roman" w:hAnsi="Times New Roman" w:cs="Times New Roman"/>
          <w:lang w:val="en-US"/>
        </w:rPr>
        <w:t>From the description in these paragraphs it is unsurprising, then, that Hayden J finds RW’s situation ‘truly parlous’ (para 20), and describes PT’s evidence over the situation with RW’s leg as given with ‘</w:t>
      </w:r>
      <w:r>
        <w:rPr>
          <w:rFonts w:ascii="Times New Roman" w:hAnsi="Times New Roman" w:cs="Times New Roman"/>
          <w:i/>
          <w:lang w:val="en-US"/>
        </w:rPr>
        <w:t>alarming</w:t>
      </w:r>
      <w:r>
        <w:rPr>
          <w:rFonts w:ascii="Times New Roman" w:hAnsi="Times New Roman" w:cs="Times New Roman"/>
          <w:lang w:val="en-US"/>
        </w:rPr>
        <w:t xml:space="preserve"> candour’ (para. 12, emphasis added). </w:t>
      </w:r>
      <w:r w:rsidR="002E3540">
        <w:rPr>
          <w:rFonts w:ascii="Times New Roman" w:hAnsi="Times New Roman" w:cs="Times New Roman"/>
          <w:lang w:val="en-US"/>
        </w:rPr>
        <w:t xml:space="preserve">It is unlikely that anybody reading the case would disagree with this assessment of RW’s physical situation. </w:t>
      </w:r>
      <w:r>
        <w:rPr>
          <w:rFonts w:ascii="Times New Roman" w:hAnsi="Times New Roman" w:cs="Times New Roman"/>
          <w:lang w:val="en-US"/>
        </w:rPr>
        <w:t>It is perhaps for this reason that the judge notes how ‘disturbing and shocking’ the evidence had been</w:t>
      </w:r>
      <w:r w:rsidR="002E3540">
        <w:rPr>
          <w:rFonts w:ascii="Times New Roman" w:hAnsi="Times New Roman" w:cs="Times New Roman"/>
          <w:lang w:val="en-US"/>
        </w:rPr>
        <w:t>; it is, in abjection terms, evidence that has the ability to cause some sort of shock to – and force a disturbance in – those hearing it</w:t>
      </w:r>
      <w:r>
        <w:rPr>
          <w:rFonts w:ascii="Times New Roman" w:hAnsi="Times New Roman" w:cs="Times New Roman"/>
          <w:lang w:val="en-US"/>
        </w:rPr>
        <w:t>. Yet what is also interesting is the pattern of language used in discussing the events outlined above, which mirrors the pattern of language seen in the previous case. Hayden J notes that there was no infection spread from RW’s leg to ‘</w:t>
      </w:r>
      <w:r w:rsidRPr="00614FD8">
        <w:rPr>
          <w:rFonts w:ascii="Times New Roman" w:hAnsi="Times New Roman" w:cs="Times New Roman"/>
          <w:i/>
          <w:lang w:val="en-US"/>
        </w:rPr>
        <w:t>the</w:t>
      </w:r>
      <w:r>
        <w:rPr>
          <w:rFonts w:ascii="Times New Roman" w:hAnsi="Times New Roman" w:cs="Times New Roman"/>
          <w:lang w:val="en-US"/>
        </w:rPr>
        <w:t xml:space="preserve"> rest of the body’ (emphasis added). </w:t>
      </w:r>
      <w:r w:rsidRPr="008D6A45">
        <w:rPr>
          <w:rFonts w:ascii="Times New Roman" w:hAnsi="Times New Roman" w:cs="Times New Roman"/>
          <w:lang w:val="en-US"/>
        </w:rPr>
        <w:t>RW’s body</w:t>
      </w:r>
      <w:r w:rsidR="002E3540">
        <w:rPr>
          <w:rFonts w:ascii="Times New Roman" w:hAnsi="Times New Roman" w:cs="Times New Roman"/>
          <w:lang w:val="en-US"/>
        </w:rPr>
        <w:t xml:space="preserve">, and particularly the physically disabled part of his body – his leg – is </w:t>
      </w:r>
      <w:r w:rsidRPr="008D6A45">
        <w:rPr>
          <w:rFonts w:ascii="Times New Roman" w:hAnsi="Times New Roman" w:cs="Times New Roman"/>
          <w:lang w:val="en-US"/>
        </w:rPr>
        <w:t>no longer associated as his</w:t>
      </w:r>
      <w:r w:rsidR="002E3540">
        <w:rPr>
          <w:rFonts w:ascii="Times New Roman" w:hAnsi="Times New Roman" w:cs="Times New Roman"/>
          <w:lang w:val="en-US"/>
        </w:rPr>
        <w:t xml:space="preserve">. RW’s body </w:t>
      </w:r>
      <w:r w:rsidRPr="008D6A45">
        <w:rPr>
          <w:rFonts w:ascii="Times New Roman" w:hAnsi="Times New Roman" w:cs="Times New Roman"/>
          <w:lang w:val="en-US"/>
        </w:rPr>
        <w:t>becomes a medicalized entity</w:t>
      </w:r>
      <w:r w:rsidR="002E3540">
        <w:rPr>
          <w:rFonts w:ascii="Times New Roman" w:hAnsi="Times New Roman" w:cs="Times New Roman"/>
          <w:lang w:val="en-US"/>
        </w:rPr>
        <w:t>;</w:t>
      </w:r>
      <w:r w:rsidRPr="008D6A45">
        <w:rPr>
          <w:rFonts w:ascii="Times New Roman" w:hAnsi="Times New Roman" w:cs="Times New Roman"/>
          <w:lang w:val="en-US"/>
        </w:rPr>
        <w:t xml:space="preserve"> something that is either a site of infection, or not.</w:t>
      </w:r>
      <w:r w:rsidR="002E3540">
        <w:rPr>
          <w:rFonts w:ascii="Times New Roman" w:hAnsi="Times New Roman" w:cs="Times New Roman"/>
          <w:lang w:val="en-US"/>
        </w:rPr>
        <w:t xml:space="preserve"> Evidence that is ‘disturbing and shocking’ is mediated by the judge having recourse to an almost sanitized and medicalized description of RW’s body, and his left leg.</w:t>
      </w:r>
    </w:p>
    <w:p w14:paraId="4B51BBC7" w14:textId="77777777" w:rsidR="00130FC8" w:rsidRDefault="00130FC8" w:rsidP="00130FC8">
      <w:pPr>
        <w:spacing w:line="360" w:lineRule="auto"/>
        <w:jc w:val="both"/>
        <w:rPr>
          <w:rFonts w:ascii="Times New Roman" w:hAnsi="Times New Roman" w:cs="Times New Roman"/>
          <w:lang w:val="en-US"/>
        </w:rPr>
      </w:pPr>
    </w:p>
    <w:p w14:paraId="7D7A89CD" w14:textId="36F6C8DD" w:rsidR="00130FC8" w:rsidRDefault="00130FC8" w:rsidP="00130FC8">
      <w:pPr>
        <w:spacing w:line="360" w:lineRule="auto"/>
        <w:ind w:right="20"/>
        <w:jc w:val="both"/>
        <w:rPr>
          <w:rFonts w:ascii="Times New Roman" w:hAnsi="Times New Roman" w:cs="Times New Roman"/>
          <w:lang w:val="en-US"/>
        </w:rPr>
      </w:pPr>
      <w:r w:rsidRPr="00614FD8">
        <w:rPr>
          <w:rFonts w:ascii="Times New Roman" w:hAnsi="Times New Roman" w:cs="Times New Roman"/>
          <w:lang w:val="en-US"/>
        </w:rPr>
        <w:t xml:space="preserve">Of itself – and as with </w:t>
      </w:r>
      <w:r w:rsidR="002E3540">
        <w:rPr>
          <w:rFonts w:ascii="Times New Roman" w:hAnsi="Times New Roman" w:cs="Times New Roman"/>
          <w:lang w:val="en-US"/>
        </w:rPr>
        <w:t>the</w:t>
      </w:r>
      <w:r w:rsidRPr="00614FD8">
        <w:rPr>
          <w:rFonts w:ascii="Times New Roman" w:hAnsi="Times New Roman" w:cs="Times New Roman"/>
          <w:lang w:val="en-US"/>
        </w:rPr>
        <w:t xml:space="preserve"> </w:t>
      </w:r>
      <w:r w:rsidR="002E3540">
        <w:rPr>
          <w:rFonts w:ascii="Times New Roman" w:hAnsi="Times New Roman" w:cs="Times New Roman"/>
          <w:lang w:val="en-US"/>
        </w:rPr>
        <w:t xml:space="preserve">majority </w:t>
      </w:r>
      <w:r w:rsidRPr="00614FD8">
        <w:rPr>
          <w:rFonts w:ascii="Times New Roman" w:hAnsi="Times New Roman" w:cs="Times New Roman"/>
          <w:lang w:val="en-US"/>
        </w:rPr>
        <w:t xml:space="preserve">judgment in Elaine McDonald’s case above – this sort of language may appear unremarkable. It is perhaps simply one way the judge has in discussing what is </w:t>
      </w:r>
      <w:r w:rsidR="002E3540">
        <w:rPr>
          <w:rFonts w:ascii="Times New Roman" w:hAnsi="Times New Roman" w:cs="Times New Roman"/>
          <w:lang w:val="en-US"/>
        </w:rPr>
        <w:t xml:space="preserve">physically </w:t>
      </w:r>
      <w:r w:rsidRPr="00614FD8">
        <w:rPr>
          <w:rFonts w:ascii="Times New Roman" w:hAnsi="Times New Roman" w:cs="Times New Roman"/>
          <w:lang w:val="en-US"/>
        </w:rPr>
        <w:t xml:space="preserve">happening to the older bodies at the centre of the case. Yet – to conclude – the paper </w:t>
      </w:r>
      <w:r w:rsidR="001D7870">
        <w:rPr>
          <w:rFonts w:ascii="Times New Roman" w:hAnsi="Times New Roman" w:cs="Times New Roman"/>
          <w:lang w:val="en-US"/>
        </w:rPr>
        <w:t xml:space="preserve">briefly </w:t>
      </w:r>
      <w:r w:rsidRPr="00614FD8">
        <w:rPr>
          <w:rFonts w:ascii="Times New Roman" w:hAnsi="Times New Roman" w:cs="Times New Roman"/>
          <w:lang w:val="en-US"/>
        </w:rPr>
        <w:t xml:space="preserve">suggests that perhaps the most telling aspect to these cases is that such </w:t>
      </w:r>
      <w:r>
        <w:rPr>
          <w:rFonts w:ascii="Times New Roman" w:hAnsi="Times New Roman" w:cs="Times New Roman"/>
          <w:lang w:val="en-US"/>
        </w:rPr>
        <w:t>linguistic</w:t>
      </w:r>
      <w:r w:rsidRPr="00614FD8">
        <w:rPr>
          <w:rFonts w:ascii="Times New Roman" w:hAnsi="Times New Roman" w:cs="Times New Roman"/>
          <w:lang w:val="en-US"/>
        </w:rPr>
        <w:t xml:space="preserve"> detachment may arguably be peculiar – and specific – to older </w:t>
      </w:r>
      <w:r w:rsidRPr="00614FD8">
        <w:rPr>
          <w:rFonts w:ascii="Times New Roman" w:hAnsi="Times New Roman" w:cs="Times New Roman"/>
          <w:i/>
          <w:lang w:val="en-US"/>
        </w:rPr>
        <w:t>bodies</w:t>
      </w:r>
      <w:r>
        <w:rPr>
          <w:rFonts w:ascii="Times New Roman" w:hAnsi="Times New Roman" w:cs="Times New Roman"/>
          <w:lang w:val="en-US"/>
        </w:rPr>
        <w:t>, as opposed to other, non-corporeal properties</w:t>
      </w:r>
      <w:r w:rsidRPr="00614FD8">
        <w:rPr>
          <w:rFonts w:ascii="Times New Roman" w:hAnsi="Times New Roman" w:cs="Times New Roman"/>
          <w:lang w:val="en-US"/>
        </w:rPr>
        <w:t>.</w:t>
      </w:r>
      <w:r>
        <w:rPr>
          <w:rFonts w:ascii="Times New Roman" w:hAnsi="Times New Roman" w:cs="Times New Roman"/>
          <w:lang w:val="en-US"/>
        </w:rPr>
        <w:t xml:space="preserve"> Contrast the language above with the description of RW’s personality, where the judge strives – through examining PT’s evidence – to almost bring </w:t>
      </w:r>
      <w:r>
        <w:rPr>
          <w:rFonts w:ascii="Times New Roman" w:hAnsi="Times New Roman" w:cs="Times New Roman"/>
          <w:lang w:val="en-US"/>
        </w:rPr>
        <w:lastRenderedPageBreak/>
        <w:t xml:space="preserve">RW to life in the courtroom. Such descriptions provide a stark contrast to the kind of </w:t>
      </w:r>
      <w:r w:rsidR="008D6A45">
        <w:rPr>
          <w:rFonts w:ascii="Times New Roman" w:hAnsi="Times New Roman" w:cs="Times New Roman"/>
          <w:lang w:val="en-US"/>
        </w:rPr>
        <w:t xml:space="preserve">medicalization and </w:t>
      </w:r>
      <w:r>
        <w:rPr>
          <w:rFonts w:ascii="Times New Roman" w:hAnsi="Times New Roman" w:cs="Times New Roman"/>
          <w:lang w:val="en-US"/>
        </w:rPr>
        <w:t>dehumanization used to portray RW’s body:</w:t>
      </w:r>
    </w:p>
    <w:p w14:paraId="2A2944BB" w14:textId="2A6AE5F4" w:rsidR="00130FC8" w:rsidRPr="00F80FFD" w:rsidRDefault="00130FC8" w:rsidP="004572FE">
      <w:pPr>
        <w:spacing w:line="360" w:lineRule="auto"/>
        <w:ind w:left="720" w:right="830"/>
        <w:jc w:val="both"/>
        <w:rPr>
          <w:rFonts w:ascii="Times New Roman" w:hAnsi="Times New Roman" w:cs="Times New Roman"/>
          <w:lang w:val="en-US"/>
        </w:rPr>
      </w:pPr>
      <w:r w:rsidRPr="00577BAF">
        <w:rPr>
          <w:rFonts w:ascii="Times New Roman" w:hAnsi="Times New Roman" w:cs="Times New Roman"/>
          <w:lang w:val="en-US"/>
        </w:rPr>
        <w:t>In this court room, this afternoon, PT has brought his father’s</w:t>
      </w:r>
      <w:r>
        <w:rPr>
          <w:rFonts w:ascii="Times New Roman" w:hAnsi="Times New Roman" w:cs="Times New Roman"/>
          <w:lang w:val="en-US"/>
        </w:rPr>
        <w:t xml:space="preserve"> </w:t>
      </w:r>
      <w:r w:rsidRPr="00577BAF">
        <w:rPr>
          <w:rFonts w:ascii="Times New Roman" w:hAnsi="Times New Roman" w:cs="Times New Roman"/>
          <w:lang w:val="en-US"/>
        </w:rPr>
        <w:t>personality into the hearing. This has included not only RW’s strengths but his</w:t>
      </w:r>
      <w:r>
        <w:rPr>
          <w:rFonts w:ascii="Times New Roman" w:hAnsi="Times New Roman" w:cs="Times New Roman"/>
          <w:lang w:val="en-US"/>
        </w:rPr>
        <w:t xml:space="preserve"> weaknesses too..</w:t>
      </w:r>
      <w:r w:rsidRPr="005C3111">
        <w:rPr>
          <w:rFonts w:ascii="Times New Roman" w:hAnsi="Times New Roman" w:cs="Times New Roman"/>
          <w:lang w:val="en-US"/>
        </w:rPr>
        <w:t>. I</w:t>
      </w:r>
      <w:r>
        <w:rPr>
          <w:rFonts w:ascii="Times New Roman" w:hAnsi="Times New Roman" w:cs="Times New Roman"/>
          <w:lang w:val="en-US"/>
        </w:rPr>
        <w:t xml:space="preserve"> </w:t>
      </w:r>
      <w:r w:rsidRPr="005C3111">
        <w:rPr>
          <w:rFonts w:ascii="Times New Roman" w:hAnsi="Times New Roman" w:cs="Times New Roman"/>
          <w:lang w:val="en-US"/>
        </w:rPr>
        <w:t>pause for a moment to record that as PT was telling me about his father, his approach</w:t>
      </w:r>
      <w:r>
        <w:rPr>
          <w:rFonts w:ascii="Times New Roman" w:hAnsi="Times New Roman" w:cs="Times New Roman"/>
          <w:lang w:val="en-US"/>
        </w:rPr>
        <w:t xml:space="preserve"> </w:t>
      </w:r>
      <w:r w:rsidRPr="005C3111">
        <w:rPr>
          <w:rFonts w:ascii="Times New Roman" w:hAnsi="Times New Roman" w:cs="Times New Roman"/>
          <w:lang w:val="en-US"/>
        </w:rPr>
        <w:t>to life and his personality generally, he illustrated an occasion when, at the early</w:t>
      </w:r>
      <w:r>
        <w:rPr>
          <w:rFonts w:ascii="Times New Roman" w:hAnsi="Times New Roman" w:cs="Times New Roman"/>
          <w:lang w:val="en-US"/>
        </w:rPr>
        <w:t xml:space="preserve"> </w:t>
      </w:r>
      <w:r w:rsidRPr="005C3111">
        <w:rPr>
          <w:rFonts w:ascii="Times New Roman" w:hAnsi="Times New Roman" w:cs="Times New Roman"/>
          <w:lang w:val="en-US"/>
        </w:rPr>
        <w:t>stages of his dementia, he had taken him on holiday to Israel. This had been a country</w:t>
      </w:r>
      <w:r>
        <w:rPr>
          <w:rFonts w:ascii="Times New Roman" w:hAnsi="Times New Roman" w:cs="Times New Roman"/>
          <w:lang w:val="en-US"/>
        </w:rPr>
        <w:t xml:space="preserve"> </w:t>
      </w:r>
      <w:r w:rsidRPr="005C3111">
        <w:rPr>
          <w:rFonts w:ascii="Times New Roman" w:hAnsi="Times New Roman" w:cs="Times New Roman"/>
          <w:lang w:val="en-US"/>
        </w:rPr>
        <w:t>that RW very much wanted to see and it was obvious, as PT recounted the story, that</w:t>
      </w:r>
      <w:r>
        <w:rPr>
          <w:rFonts w:ascii="Times New Roman" w:hAnsi="Times New Roman" w:cs="Times New Roman"/>
          <w:lang w:val="en-US"/>
        </w:rPr>
        <w:t xml:space="preserve"> </w:t>
      </w:r>
      <w:r w:rsidRPr="005C3111">
        <w:rPr>
          <w:rFonts w:ascii="Times New Roman" w:hAnsi="Times New Roman" w:cs="Times New Roman"/>
          <w:lang w:val="en-US"/>
        </w:rPr>
        <w:t>he recognised that time was limited. He described how one afternoon, swimming in</w:t>
      </w:r>
      <w:r>
        <w:rPr>
          <w:rFonts w:ascii="Times New Roman" w:hAnsi="Times New Roman" w:cs="Times New Roman"/>
          <w:lang w:val="en-US"/>
        </w:rPr>
        <w:t xml:space="preserve"> </w:t>
      </w:r>
      <w:r w:rsidRPr="005C3111">
        <w:rPr>
          <w:rFonts w:ascii="Times New Roman" w:hAnsi="Times New Roman" w:cs="Times New Roman"/>
          <w:lang w:val="en-US"/>
        </w:rPr>
        <w:t>the Dead sea, his father swam too far out, rather dangerously and against the</w:t>
      </w:r>
      <w:r>
        <w:rPr>
          <w:rFonts w:ascii="Times New Roman" w:hAnsi="Times New Roman" w:cs="Times New Roman"/>
          <w:lang w:val="en-US"/>
        </w:rPr>
        <w:t xml:space="preserve"> </w:t>
      </w:r>
      <w:r w:rsidRPr="005C3111">
        <w:rPr>
          <w:rFonts w:ascii="Times New Roman" w:hAnsi="Times New Roman" w:cs="Times New Roman"/>
          <w:lang w:val="en-US"/>
        </w:rPr>
        <w:t>protestation of the life guard. Both brothers laughed together, in court, as PT related</w:t>
      </w:r>
      <w:r>
        <w:rPr>
          <w:rFonts w:ascii="Times New Roman" w:hAnsi="Times New Roman" w:cs="Times New Roman"/>
          <w:lang w:val="en-US"/>
        </w:rPr>
        <w:t xml:space="preserve"> </w:t>
      </w:r>
      <w:r w:rsidRPr="005C3111">
        <w:rPr>
          <w:rFonts w:ascii="Times New Roman" w:hAnsi="Times New Roman" w:cs="Times New Roman"/>
          <w:lang w:val="en-US"/>
        </w:rPr>
        <w:t>this story, particularly when PT said it was the sort of thing their father would do even</w:t>
      </w:r>
      <w:r>
        <w:rPr>
          <w:rFonts w:ascii="Times New Roman" w:hAnsi="Times New Roman" w:cs="Times New Roman"/>
          <w:lang w:val="en-US"/>
        </w:rPr>
        <w:t xml:space="preserve"> </w:t>
      </w:r>
      <w:r w:rsidRPr="005C3111">
        <w:rPr>
          <w:rFonts w:ascii="Times New Roman" w:hAnsi="Times New Roman" w:cs="Times New Roman"/>
          <w:lang w:val="en-US"/>
        </w:rPr>
        <w:t>before the de</w:t>
      </w:r>
      <w:r>
        <w:rPr>
          <w:rFonts w:ascii="Times New Roman" w:hAnsi="Times New Roman" w:cs="Times New Roman"/>
          <w:lang w:val="en-US"/>
        </w:rPr>
        <w:t xml:space="preserve">mentia. </w:t>
      </w:r>
      <w:r w:rsidRPr="00F80FFD">
        <w:rPr>
          <w:rFonts w:ascii="Times New Roman" w:hAnsi="Times New Roman" w:cs="Times New Roman"/>
          <w:lang w:val="en-US"/>
        </w:rPr>
        <w:t xml:space="preserve">That was the way he was’ (para. 3-5).  </w:t>
      </w:r>
    </w:p>
    <w:p w14:paraId="0C3E9041" w14:textId="4BEEBDB8" w:rsidR="00130FC8" w:rsidRDefault="00130FC8" w:rsidP="00130FC8">
      <w:pPr>
        <w:spacing w:line="360" w:lineRule="auto"/>
        <w:ind w:right="20"/>
        <w:jc w:val="both"/>
        <w:rPr>
          <w:rFonts w:ascii="Times New Roman" w:hAnsi="Times New Roman" w:cs="Times New Roman"/>
          <w:lang w:val="en-US"/>
        </w:rPr>
      </w:pPr>
      <w:r w:rsidRPr="00F80FFD">
        <w:rPr>
          <w:rFonts w:ascii="Times New Roman" w:hAnsi="Times New Roman" w:cs="Times New Roman"/>
          <w:lang w:val="en-US"/>
        </w:rPr>
        <w:t xml:space="preserve">Although </w:t>
      </w:r>
      <w:r w:rsidRPr="00F80FFD">
        <w:rPr>
          <w:rFonts w:ascii="Times New Roman" w:hAnsi="Times New Roman"/>
          <w:lang w:val="en-US"/>
        </w:rPr>
        <w:t xml:space="preserve">a </w:t>
      </w:r>
      <w:r w:rsidRPr="00F80FFD">
        <w:rPr>
          <w:rFonts w:ascii="Times New Roman" w:hAnsi="Times New Roman" w:cs="Times New Roman"/>
          <w:lang w:val="en-US"/>
        </w:rPr>
        <w:t>full exploration</w:t>
      </w:r>
      <w:r w:rsidRPr="00F80FFD">
        <w:rPr>
          <w:rFonts w:ascii="Times New Roman" w:hAnsi="Times New Roman"/>
          <w:lang w:val="en-US"/>
        </w:rPr>
        <w:t xml:space="preserve"> of </w:t>
      </w:r>
      <w:r w:rsidRPr="00F80FFD">
        <w:rPr>
          <w:rFonts w:ascii="Times New Roman" w:hAnsi="Times New Roman" w:cs="Times New Roman"/>
          <w:lang w:val="en-US"/>
        </w:rPr>
        <w:t xml:space="preserve">this point is outside the remit of the paper, it is offered here as a means of contrasting </w:t>
      </w:r>
      <w:r w:rsidRPr="00F80FFD">
        <w:rPr>
          <w:rFonts w:ascii="Times New Roman" w:hAnsi="Times New Roman"/>
          <w:lang w:val="en-US"/>
        </w:rPr>
        <w:t xml:space="preserve">how </w:t>
      </w:r>
      <w:r w:rsidRPr="00F80FFD">
        <w:rPr>
          <w:rFonts w:ascii="Times New Roman" w:hAnsi="Times New Roman" w:cs="Times New Roman"/>
          <w:lang w:val="en-US"/>
        </w:rPr>
        <w:t>judges</w:t>
      </w:r>
      <w:r w:rsidRPr="00F80FFD">
        <w:rPr>
          <w:rFonts w:ascii="Times New Roman" w:hAnsi="Times New Roman"/>
          <w:lang w:val="en-US"/>
        </w:rPr>
        <w:t xml:space="preserve"> describe </w:t>
      </w:r>
      <w:r w:rsidRPr="00F80FFD">
        <w:rPr>
          <w:rFonts w:ascii="Times New Roman" w:hAnsi="Times New Roman" w:cs="Times New Roman"/>
          <w:lang w:val="en-US"/>
        </w:rPr>
        <w:t xml:space="preserve">and deal with older </w:t>
      </w:r>
      <w:r w:rsidRPr="00F80FFD">
        <w:rPr>
          <w:rFonts w:ascii="Times New Roman" w:hAnsi="Times New Roman"/>
          <w:lang w:val="en-US"/>
        </w:rPr>
        <w:t xml:space="preserve">bodies, </w:t>
      </w:r>
      <w:r w:rsidRPr="00F80FFD">
        <w:rPr>
          <w:rFonts w:ascii="Times New Roman" w:hAnsi="Times New Roman" w:cs="Times New Roman"/>
          <w:lang w:val="en-US"/>
        </w:rPr>
        <w:t>compared to how judges consider evidence about an older person’s wishes, feelings, or personalities. It may well be the case, then, that there is an emergent chasm between the language used to describe bodies and bodily functions, compared to that used to discuss the</w:t>
      </w:r>
      <w:r w:rsidRPr="00F80FFD">
        <w:rPr>
          <w:rFonts w:ascii="Times New Roman" w:hAnsi="Times New Roman"/>
          <w:lang w:val="en-US"/>
        </w:rPr>
        <w:t xml:space="preserve"> non-corporeal aspects </w:t>
      </w:r>
      <w:r w:rsidRPr="00F80FFD">
        <w:rPr>
          <w:rFonts w:ascii="Times New Roman" w:hAnsi="Times New Roman" w:cs="Times New Roman"/>
          <w:lang w:val="en-US"/>
        </w:rPr>
        <w:t>of</w:t>
      </w:r>
      <w:r w:rsidRPr="00F80FFD">
        <w:rPr>
          <w:rFonts w:ascii="Times New Roman" w:hAnsi="Times New Roman"/>
          <w:lang w:val="en-US"/>
        </w:rPr>
        <w:t xml:space="preserve"> an older person</w:t>
      </w:r>
      <w:r w:rsidRPr="00F80FFD">
        <w:rPr>
          <w:rFonts w:ascii="Times New Roman" w:hAnsi="Times New Roman" w:cs="Times New Roman"/>
          <w:lang w:val="en-US"/>
        </w:rPr>
        <w:t>.</w:t>
      </w:r>
      <w:r w:rsidR="008D6A45">
        <w:rPr>
          <w:rStyle w:val="FootnoteReference"/>
          <w:rFonts w:ascii="Times New Roman" w:hAnsi="Times New Roman" w:cs="Times New Roman"/>
          <w:lang w:val="en-US"/>
        </w:rPr>
        <w:footnoteReference w:id="29"/>
      </w:r>
    </w:p>
    <w:p w14:paraId="6A7744D0" w14:textId="77777777" w:rsidR="009F71A7" w:rsidRPr="001D7870" w:rsidRDefault="009F71A7" w:rsidP="00A55591">
      <w:pPr>
        <w:spacing w:line="360" w:lineRule="auto"/>
        <w:ind w:right="20"/>
        <w:jc w:val="both"/>
        <w:rPr>
          <w:rFonts w:ascii="Times New Roman" w:hAnsi="Times New Roman" w:cs="Times New Roman"/>
          <w:b/>
          <w:lang w:val="en-US"/>
        </w:rPr>
      </w:pPr>
    </w:p>
    <w:p w14:paraId="3C3D2E8E" w14:textId="77777777" w:rsidR="00FE33AD" w:rsidRDefault="0093406F" w:rsidP="001D7870">
      <w:pPr>
        <w:spacing w:line="360" w:lineRule="auto"/>
        <w:outlineLvl w:val="0"/>
        <w:rPr>
          <w:rFonts w:ascii="Times New Roman" w:hAnsi="Times New Roman" w:cs="Times New Roman"/>
          <w:b/>
        </w:rPr>
      </w:pPr>
      <w:r>
        <w:rPr>
          <w:rFonts w:ascii="Times New Roman" w:hAnsi="Times New Roman" w:cs="Times New Roman"/>
          <w:b/>
        </w:rPr>
        <w:t xml:space="preserve">4. </w:t>
      </w:r>
      <w:r w:rsidR="001B3F07">
        <w:rPr>
          <w:rFonts w:ascii="Times New Roman" w:hAnsi="Times New Roman" w:cs="Times New Roman"/>
          <w:b/>
        </w:rPr>
        <w:t>Conclusion</w:t>
      </w:r>
    </w:p>
    <w:p w14:paraId="122FD482" w14:textId="110B5758" w:rsidR="00AC048A" w:rsidRDefault="00614FD8" w:rsidP="00670E94">
      <w:pPr>
        <w:spacing w:line="360" w:lineRule="auto"/>
        <w:jc w:val="both"/>
        <w:rPr>
          <w:rFonts w:ascii="Times New Roman" w:hAnsi="Times New Roman" w:cs="Times New Roman"/>
        </w:rPr>
      </w:pPr>
      <w:r>
        <w:rPr>
          <w:rFonts w:ascii="Times New Roman" w:hAnsi="Times New Roman" w:cs="Times New Roman"/>
        </w:rPr>
        <w:t>Th</w:t>
      </w:r>
      <w:r w:rsidR="005409F0">
        <w:rPr>
          <w:rFonts w:ascii="Times New Roman" w:hAnsi="Times New Roman" w:cs="Times New Roman"/>
        </w:rPr>
        <w:t>e judgments</w:t>
      </w:r>
      <w:r>
        <w:rPr>
          <w:rFonts w:ascii="Times New Roman" w:hAnsi="Times New Roman" w:cs="Times New Roman"/>
        </w:rPr>
        <w:t xml:space="preserve"> analysed here</w:t>
      </w:r>
      <w:r w:rsidR="005409F0">
        <w:rPr>
          <w:rFonts w:ascii="Times New Roman" w:hAnsi="Times New Roman" w:cs="Times New Roman"/>
        </w:rPr>
        <w:t xml:space="preserve"> have often attracted speculation and discontent; whether it be because of their overly</w:t>
      </w:r>
      <w:r>
        <w:rPr>
          <w:rFonts w:ascii="Times New Roman" w:hAnsi="Times New Roman" w:cs="Times New Roman"/>
        </w:rPr>
        <w:t xml:space="preserve"> paternalistic use of the law</w:t>
      </w:r>
      <w:r w:rsidR="005409F0">
        <w:rPr>
          <w:rFonts w:ascii="Times New Roman" w:hAnsi="Times New Roman" w:cs="Times New Roman"/>
        </w:rPr>
        <w:t>, or the extent to which th</w:t>
      </w:r>
      <w:r w:rsidR="004C410D">
        <w:rPr>
          <w:rFonts w:ascii="Times New Roman" w:hAnsi="Times New Roman" w:cs="Times New Roman"/>
        </w:rPr>
        <w:t>ey ride roughshod over the fears</w:t>
      </w:r>
      <w:r w:rsidR="005409F0">
        <w:rPr>
          <w:rFonts w:ascii="Times New Roman" w:hAnsi="Times New Roman" w:cs="Times New Roman"/>
        </w:rPr>
        <w:t xml:space="preserve"> of older disabled adults as in Elaine McDonald’s case. However, this paper has sought to consider how such cases can be criticised from a different dimension: by</w:t>
      </w:r>
      <w:r w:rsidR="00B37F83">
        <w:rPr>
          <w:rFonts w:ascii="Times New Roman" w:hAnsi="Times New Roman" w:cs="Times New Roman"/>
        </w:rPr>
        <w:t xml:space="preserve"> using discourse analysis to</w:t>
      </w:r>
      <w:r w:rsidR="005409F0">
        <w:rPr>
          <w:rFonts w:ascii="Times New Roman" w:hAnsi="Times New Roman" w:cs="Times New Roman"/>
        </w:rPr>
        <w:t xml:space="preserve"> focus on the </w:t>
      </w:r>
      <w:r>
        <w:rPr>
          <w:rFonts w:ascii="Times New Roman" w:hAnsi="Times New Roman" w:cs="Times New Roman"/>
        </w:rPr>
        <w:t xml:space="preserve">language used to describe </w:t>
      </w:r>
      <w:r w:rsidR="005D5395">
        <w:rPr>
          <w:rFonts w:ascii="Times New Roman" w:hAnsi="Times New Roman" w:cs="Times New Roman"/>
        </w:rPr>
        <w:t xml:space="preserve">the </w:t>
      </w:r>
      <w:r w:rsidR="005409F0">
        <w:rPr>
          <w:rFonts w:ascii="Times New Roman" w:hAnsi="Times New Roman" w:cs="Times New Roman"/>
        </w:rPr>
        <w:t>bodies</w:t>
      </w:r>
      <w:r w:rsidR="005D5395">
        <w:rPr>
          <w:rFonts w:ascii="Times New Roman" w:hAnsi="Times New Roman" w:cs="Times New Roman"/>
        </w:rPr>
        <w:t xml:space="preserve"> that lie at the heart of the cases</w:t>
      </w:r>
      <w:r w:rsidR="00B37F83">
        <w:rPr>
          <w:rFonts w:ascii="Times New Roman" w:hAnsi="Times New Roman" w:cs="Times New Roman"/>
        </w:rPr>
        <w:t xml:space="preserve"> in order to uncover assumptions and value judgements that lie beneath the surface of judicial discourse</w:t>
      </w:r>
      <w:r w:rsidR="005409F0">
        <w:rPr>
          <w:rFonts w:ascii="Times New Roman" w:hAnsi="Times New Roman" w:cs="Times New Roman"/>
        </w:rPr>
        <w:t>.</w:t>
      </w:r>
      <w:r w:rsidR="00B37F83">
        <w:rPr>
          <w:rFonts w:ascii="Times New Roman" w:hAnsi="Times New Roman" w:cs="Times New Roman"/>
        </w:rPr>
        <w:t xml:space="preserve"> It has been argued that such an analysis reveals an emergent process of abjection between the courts and the older disabled body</w:t>
      </w:r>
      <w:r w:rsidR="00890B87">
        <w:rPr>
          <w:rFonts w:ascii="Times New Roman" w:hAnsi="Times New Roman" w:cs="Times New Roman"/>
        </w:rPr>
        <w:t xml:space="preserve">, which is used by the judges as a means by which they can reaffirm their own notion of ‘normal’ bodies. </w:t>
      </w:r>
      <w:r w:rsidR="00AD5A60" w:rsidRPr="003E6F23">
        <w:rPr>
          <w:rFonts w:ascii="Times New Roman" w:hAnsi="Times New Roman" w:cs="Times New Roman"/>
        </w:rPr>
        <w:t xml:space="preserve">While neither </w:t>
      </w:r>
      <w:r w:rsidR="00AD5A60" w:rsidRPr="003E6F23">
        <w:rPr>
          <w:rFonts w:ascii="Times New Roman" w:hAnsi="Times New Roman" w:cs="Times New Roman"/>
        </w:rPr>
        <w:lastRenderedPageBreak/>
        <w:t xml:space="preserve">discourse analysis, nor abjection, </w:t>
      </w:r>
      <w:r w:rsidR="003E6F23" w:rsidRPr="003E6F23">
        <w:rPr>
          <w:rFonts w:ascii="Times New Roman" w:hAnsi="Times New Roman" w:cs="Times New Roman"/>
        </w:rPr>
        <w:t xml:space="preserve">are offered in this paper as the </w:t>
      </w:r>
      <w:r w:rsidR="003E6F23" w:rsidRPr="003E6F23">
        <w:rPr>
          <w:rFonts w:ascii="Times New Roman" w:hAnsi="Times New Roman" w:cs="Times New Roman"/>
          <w:i/>
        </w:rPr>
        <w:t xml:space="preserve">only </w:t>
      </w:r>
      <w:r w:rsidR="003E6F23" w:rsidRPr="003E6F23">
        <w:rPr>
          <w:rFonts w:ascii="Times New Roman" w:hAnsi="Times New Roman" w:cs="Times New Roman"/>
        </w:rPr>
        <w:t xml:space="preserve">methodological or </w:t>
      </w:r>
      <w:r w:rsidR="00AD5A60" w:rsidRPr="003E6F23">
        <w:rPr>
          <w:rFonts w:ascii="Times New Roman" w:hAnsi="Times New Roman" w:cs="Times New Roman"/>
        </w:rPr>
        <w:t xml:space="preserve">analytical frameworks </w:t>
      </w:r>
      <w:r w:rsidR="003E6F23" w:rsidRPr="003E6F23">
        <w:rPr>
          <w:rFonts w:ascii="Times New Roman" w:hAnsi="Times New Roman" w:cs="Times New Roman"/>
        </w:rPr>
        <w:t>that can help understand</w:t>
      </w:r>
      <w:r w:rsidR="00AD5A60" w:rsidRPr="003E6F23">
        <w:rPr>
          <w:rFonts w:ascii="Times New Roman" w:hAnsi="Times New Roman" w:cs="Times New Roman"/>
        </w:rPr>
        <w:t xml:space="preserve"> the way</w:t>
      </w:r>
      <w:r w:rsidR="003E6F23" w:rsidRPr="003E6F23">
        <w:rPr>
          <w:rFonts w:ascii="Times New Roman" w:hAnsi="Times New Roman" w:cs="Times New Roman"/>
        </w:rPr>
        <w:t xml:space="preserve"> older disabled</w:t>
      </w:r>
      <w:r w:rsidR="00AD5A60" w:rsidRPr="003E6F23">
        <w:rPr>
          <w:rFonts w:ascii="Times New Roman" w:hAnsi="Times New Roman" w:cs="Times New Roman"/>
        </w:rPr>
        <w:t xml:space="preserve"> bodies are engaged with</w:t>
      </w:r>
      <w:r w:rsidR="003E6F23" w:rsidRPr="003E6F23">
        <w:rPr>
          <w:rFonts w:ascii="Times New Roman" w:hAnsi="Times New Roman" w:cs="Times New Roman"/>
        </w:rPr>
        <w:t xml:space="preserve"> by the courts</w:t>
      </w:r>
      <w:r w:rsidR="00AD5A60" w:rsidRPr="003E6F23">
        <w:rPr>
          <w:rFonts w:ascii="Times New Roman" w:hAnsi="Times New Roman" w:cs="Times New Roman"/>
        </w:rPr>
        <w:t xml:space="preserve"> – as Iris Marion Young argued, any ‘claim to universality operates politically to exclude those understood as different’ (Young, 1990, 60) – they</w:t>
      </w:r>
      <w:r w:rsidR="003E6F23" w:rsidRPr="003E6F23">
        <w:rPr>
          <w:rFonts w:ascii="Times New Roman" w:hAnsi="Times New Roman" w:cs="Times New Roman"/>
        </w:rPr>
        <w:t xml:space="preserve"> do, however,</w:t>
      </w:r>
      <w:r w:rsidR="00AD5A60" w:rsidRPr="003E6F23">
        <w:rPr>
          <w:rFonts w:ascii="Times New Roman" w:hAnsi="Times New Roman" w:cs="Times New Roman"/>
        </w:rPr>
        <w:t xml:space="preserve"> offer one perspective on the language used and the </w:t>
      </w:r>
      <w:r w:rsidR="003E6F23" w:rsidRPr="003E6F23">
        <w:rPr>
          <w:rFonts w:ascii="Times New Roman" w:hAnsi="Times New Roman" w:cs="Times New Roman"/>
        </w:rPr>
        <w:t>legal outcomes of these cases</w:t>
      </w:r>
      <w:r w:rsidR="00AD5A60" w:rsidRPr="003E6F23">
        <w:rPr>
          <w:rFonts w:ascii="Times New Roman" w:hAnsi="Times New Roman" w:cs="Times New Roman"/>
        </w:rPr>
        <w:t>.</w:t>
      </w:r>
    </w:p>
    <w:p w14:paraId="4FF82750" w14:textId="77777777" w:rsidR="00AC048A" w:rsidRDefault="00AC048A" w:rsidP="00670E94">
      <w:pPr>
        <w:spacing w:line="360" w:lineRule="auto"/>
        <w:jc w:val="both"/>
        <w:rPr>
          <w:rFonts w:ascii="Times New Roman" w:hAnsi="Times New Roman" w:cs="Times New Roman"/>
        </w:rPr>
      </w:pPr>
    </w:p>
    <w:p w14:paraId="7E0908B7" w14:textId="29EAB40E" w:rsidR="00670E94" w:rsidRPr="00FE573F" w:rsidRDefault="00B37F83" w:rsidP="00670E94">
      <w:pPr>
        <w:spacing w:line="360" w:lineRule="auto"/>
        <w:jc w:val="both"/>
        <w:rPr>
          <w:rFonts w:ascii="Times New Roman" w:hAnsi="Times New Roman" w:cs="Times New Roman"/>
          <w:lang w:val="en-US"/>
        </w:rPr>
      </w:pPr>
      <w:r>
        <w:rPr>
          <w:rFonts w:ascii="Times New Roman" w:hAnsi="Times New Roman" w:cs="Times New Roman"/>
        </w:rPr>
        <w:t>As mentioned in the introduction, t</w:t>
      </w:r>
      <w:r w:rsidR="005271E4">
        <w:rPr>
          <w:rFonts w:ascii="Times New Roman" w:hAnsi="Times New Roman" w:cs="Times New Roman"/>
        </w:rPr>
        <w:t>o</w:t>
      </w:r>
      <w:r w:rsidR="00FE573F">
        <w:rPr>
          <w:rFonts w:ascii="Times New Roman" w:hAnsi="Times New Roman" w:cs="Times New Roman"/>
        </w:rPr>
        <w:t xml:space="preserve"> the doctrinal lawyers some </w:t>
      </w:r>
      <w:r w:rsidR="005409F0">
        <w:rPr>
          <w:rFonts w:ascii="Times New Roman" w:hAnsi="Times New Roman" w:cs="Times New Roman"/>
        </w:rPr>
        <w:t xml:space="preserve">of these cases </w:t>
      </w:r>
      <w:r w:rsidR="0039263E">
        <w:rPr>
          <w:rFonts w:ascii="Times New Roman" w:hAnsi="Times New Roman" w:cs="Times New Roman"/>
          <w:lang w:val="en-US"/>
        </w:rPr>
        <w:t>may not look - on the face of it -</w:t>
      </w:r>
      <w:r w:rsidR="00670E94">
        <w:rPr>
          <w:rFonts w:ascii="Times New Roman" w:hAnsi="Times New Roman" w:cs="Times New Roman"/>
          <w:lang w:val="en-US"/>
        </w:rPr>
        <w:t xml:space="preserve"> as if </w:t>
      </w:r>
      <w:r w:rsidR="005409F0">
        <w:rPr>
          <w:rFonts w:ascii="Times New Roman" w:hAnsi="Times New Roman" w:cs="Times New Roman"/>
          <w:lang w:val="en-US"/>
        </w:rPr>
        <w:t xml:space="preserve">they are </w:t>
      </w:r>
      <w:r w:rsidR="005409F0">
        <w:rPr>
          <w:rFonts w:ascii="Times New Roman" w:hAnsi="Times New Roman" w:cs="Times New Roman"/>
          <w:i/>
          <w:lang w:val="en-US"/>
        </w:rPr>
        <w:t>really</w:t>
      </w:r>
      <w:r w:rsidR="00670E94">
        <w:rPr>
          <w:rFonts w:ascii="Times New Roman" w:hAnsi="Times New Roman" w:cs="Times New Roman"/>
          <w:lang w:val="en-US"/>
        </w:rPr>
        <w:t xml:space="preserve"> about bodies</w:t>
      </w:r>
      <w:r w:rsidR="005409F0">
        <w:rPr>
          <w:rFonts w:ascii="Times New Roman" w:hAnsi="Times New Roman" w:cs="Times New Roman"/>
          <w:lang w:val="en-US"/>
        </w:rPr>
        <w:t>. Legally, Elaine McDonald’s case was about the proper remit of what a local auth</w:t>
      </w:r>
      <w:r w:rsidR="00FE573F">
        <w:rPr>
          <w:rFonts w:ascii="Times New Roman" w:hAnsi="Times New Roman" w:cs="Times New Roman"/>
          <w:lang w:val="en-US"/>
        </w:rPr>
        <w:t xml:space="preserve">ority could lawfully provide </w:t>
      </w:r>
      <w:r w:rsidR="005409F0">
        <w:rPr>
          <w:rFonts w:ascii="Times New Roman" w:hAnsi="Times New Roman" w:cs="Times New Roman"/>
          <w:lang w:val="en-US"/>
        </w:rPr>
        <w:t>her in the way of social care.</w:t>
      </w:r>
      <w:r w:rsidR="005D5395">
        <w:rPr>
          <w:rFonts w:ascii="Times New Roman" w:hAnsi="Times New Roman" w:cs="Times New Roman"/>
          <w:lang w:val="en-US"/>
        </w:rPr>
        <w:t xml:space="preserve"> Cecily Kurtz’s case was about the proper interpretation of section 44 of the Mental Capacity Act 2005.</w:t>
      </w:r>
      <w:r w:rsidR="005409F0">
        <w:rPr>
          <w:rFonts w:ascii="Times New Roman" w:hAnsi="Times New Roman" w:cs="Times New Roman"/>
          <w:lang w:val="en-US"/>
        </w:rPr>
        <w:t xml:space="preserve"> RW’s case was about what would be in</w:t>
      </w:r>
      <w:r w:rsidR="00FE573F">
        <w:rPr>
          <w:rFonts w:ascii="Times New Roman" w:hAnsi="Times New Roman" w:cs="Times New Roman"/>
          <w:lang w:val="en-US"/>
        </w:rPr>
        <w:t xml:space="preserve"> the best interests of a </w:t>
      </w:r>
      <w:r w:rsidR="005409F0">
        <w:rPr>
          <w:rFonts w:ascii="Times New Roman" w:hAnsi="Times New Roman" w:cs="Times New Roman"/>
          <w:lang w:val="en-US"/>
        </w:rPr>
        <w:t xml:space="preserve">man with end stage dementia, thereby dictating what it would be lawful for </w:t>
      </w:r>
      <w:r w:rsidR="00FE573F">
        <w:rPr>
          <w:rFonts w:ascii="Times New Roman" w:hAnsi="Times New Roman" w:cs="Times New Roman"/>
          <w:lang w:val="en-US"/>
        </w:rPr>
        <w:t>his treating clinicians (and, indeed, his son, to do to him)</w:t>
      </w:r>
      <w:r w:rsidR="005409F0">
        <w:rPr>
          <w:rFonts w:ascii="Times New Roman" w:hAnsi="Times New Roman" w:cs="Times New Roman"/>
          <w:lang w:val="en-US"/>
        </w:rPr>
        <w:t>. Douglas Meyer’s</w:t>
      </w:r>
      <w:r w:rsidR="00890B87">
        <w:rPr>
          <w:rFonts w:ascii="Times New Roman" w:hAnsi="Times New Roman" w:cs="Times New Roman"/>
          <w:lang w:val="en-US"/>
        </w:rPr>
        <w:t xml:space="preserve"> and PB’s</w:t>
      </w:r>
      <w:r w:rsidR="005409F0">
        <w:rPr>
          <w:rFonts w:ascii="Times New Roman" w:hAnsi="Times New Roman" w:cs="Times New Roman"/>
          <w:lang w:val="en-US"/>
        </w:rPr>
        <w:t xml:space="preserve"> case</w:t>
      </w:r>
      <w:r w:rsidR="00890B87">
        <w:rPr>
          <w:rFonts w:ascii="Times New Roman" w:hAnsi="Times New Roman" w:cs="Times New Roman"/>
          <w:lang w:val="en-US"/>
        </w:rPr>
        <w:t>s were</w:t>
      </w:r>
      <w:r w:rsidR="005409F0">
        <w:rPr>
          <w:rFonts w:ascii="Times New Roman" w:hAnsi="Times New Roman" w:cs="Times New Roman"/>
          <w:lang w:val="en-US"/>
        </w:rPr>
        <w:t xml:space="preserve"> about the powers available to the court to protect an older</w:t>
      </w:r>
      <w:r w:rsidR="005D5395">
        <w:rPr>
          <w:rFonts w:ascii="Times New Roman" w:hAnsi="Times New Roman" w:cs="Times New Roman"/>
          <w:lang w:val="en-US"/>
        </w:rPr>
        <w:t xml:space="preserve"> </w:t>
      </w:r>
      <w:r w:rsidR="00890B87">
        <w:rPr>
          <w:rFonts w:ascii="Times New Roman" w:hAnsi="Times New Roman" w:cs="Times New Roman"/>
          <w:lang w:val="en-US"/>
        </w:rPr>
        <w:t>person</w:t>
      </w:r>
      <w:r w:rsidR="005D5395">
        <w:rPr>
          <w:rFonts w:ascii="Times New Roman" w:hAnsi="Times New Roman" w:cs="Times New Roman"/>
          <w:lang w:val="en-US"/>
        </w:rPr>
        <w:t xml:space="preserve"> with multiple impairments</w:t>
      </w:r>
      <w:r w:rsidR="00890B87">
        <w:rPr>
          <w:rFonts w:ascii="Times New Roman" w:hAnsi="Times New Roman" w:cs="Times New Roman"/>
          <w:lang w:val="en-US"/>
        </w:rPr>
        <w:t xml:space="preserve"> in abusive and neglectful circumstances</w:t>
      </w:r>
      <w:r w:rsidR="005D5395">
        <w:rPr>
          <w:rFonts w:ascii="Times New Roman" w:hAnsi="Times New Roman" w:cs="Times New Roman"/>
          <w:lang w:val="en-US"/>
        </w:rPr>
        <w:t>. Moreover,</w:t>
      </w:r>
      <w:r w:rsidR="00614FD8">
        <w:rPr>
          <w:rFonts w:ascii="Times New Roman" w:hAnsi="Times New Roman" w:cs="Times New Roman"/>
          <w:lang w:val="en-US"/>
        </w:rPr>
        <w:t xml:space="preserve"> at no point has the paper sought to argue </w:t>
      </w:r>
      <w:r w:rsidR="00614FD8" w:rsidRPr="008D48BA">
        <w:rPr>
          <w:rFonts w:ascii="Times New Roman" w:hAnsi="Times New Roman" w:cs="Times New Roman"/>
          <w:lang w:val="en-US"/>
        </w:rPr>
        <w:t xml:space="preserve">– </w:t>
      </w:r>
      <w:r w:rsidR="00614FD8" w:rsidRPr="00F80FFD">
        <w:rPr>
          <w:rFonts w:ascii="Times New Roman" w:hAnsi="Times New Roman"/>
          <w:lang w:val="en-US"/>
        </w:rPr>
        <w:t xml:space="preserve">morally or legally – that any of the individuals at the centre of the cases should be left </w:t>
      </w:r>
      <w:r w:rsidR="00614FD8" w:rsidRPr="002E3540">
        <w:rPr>
          <w:rFonts w:ascii="Times New Roman" w:hAnsi="Times New Roman"/>
          <w:i/>
          <w:lang w:val="en-US"/>
        </w:rPr>
        <w:t>without</w:t>
      </w:r>
      <w:r w:rsidR="00614FD8" w:rsidRPr="00F80FFD">
        <w:rPr>
          <w:rFonts w:ascii="Times New Roman" w:hAnsi="Times New Roman"/>
          <w:lang w:val="en-US"/>
        </w:rPr>
        <w:t xml:space="preserve"> legal assistance</w:t>
      </w:r>
      <w:r w:rsidR="00121C99">
        <w:rPr>
          <w:rFonts w:ascii="Times New Roman" w:hAnsi="Times New Roman" w:cs="Times New Roman"/>
          <w:lang w:val="en-US"/>
        </w:rPr>
        <w:t>. N</w:t>
      </w:r>
      <w:r w:rsidR="005D5395">
        <w:rPr>
          <w:rFonts w:ascii="Times New Roman" w:hAnsi="Times New Roman" w:cs="Times New Roman"/>
          <w:lang w:val="en-US"/>
        </w:rPr>
        <w:t>or</w:t>
      </w:r>
      <w:r w:rsidR="00121C99">
        <w:rPr>
          <w:rFonts w:ascii="Times New Roman" w:hAnsi="Times New Roman" w:cs="Times New Roman"/>
          <w:lang w:val="en-US"/>
        </w:rPr>
        <w:t xml:space="preserve"> has it sought to argue</w:t>
      </w:r>
      <w:r w:rsidR="005D5395">
        <w:rPr>
          <w:rFonts w:ascii="Times New Roman" w:hAnsi="Times New Roman" w:cs="Times New Roman"/>
          <w:lang w:val="en-US"/>
        </w:rPr>
        <w:t xml:space="preserve"> </w:t>
      </w:r>
      <w:r w:rsidR="00121C99">
        <w:rPr>
          <w:rFonts w:ascii="Times New Roman" w:hAnsi="Times New Roman" w:cs="Times New Roman"/>
          <w:lang w:val="en-US"/>
        </w:rPr>
        <w:t>that</w:t>
      </w:r>
      <w:r w:rsidR="005D5395">
        <w:rPr>
          <w:rFonts w:ascii="Times New Roman" w:hAnsi="Times New Roman" w:cs="Times New Roman"/>
          <w:lang w:val="en-US"/>
        </w:rPr>
        <w:t xml:space="preserve"> the intervention and interpretation of the law in each case was </w:t>
      </w:r>
      <w:r w:rsidR="00121C99">
        <w:rPr>
          <w:rFonts w:ascii="Times New Roman" w:hAnsi="Times New Roman" w:cs="Times New Roman"/>
          <w:lang w:val="en-US"/>
        </w:rPr>
        <w:t xml:space="preserve">necessarily </w:t>
      </w:r>
      <w:r w:rsidR="005D5395">
        <w:rPr>
          <w:rFonts w:ascii="Times New Roman" w:hAnsi="Times New Roman" w:cs="Times New Roman"/>
          <w:lang w:val="en-US"/>
        </w:rPr>
        <w:t>wrong</w:t>
      </w:r>
      <w:r w:rsidR="001D7870">
        <w:rPr>
          <w:rFonts w:ascii="Times New Roman" w:hAnsi="Times New Roman" w:cs="Times New Roman"/>
          <w:lang w:val="en-US"/>
        </w:rPr>
        <w:t xml:space="preserve"> from a</w:t>
      </w:r>
      <w:r w:rsidR="003E6F23">
        <w:rPr>
          <w:rFonts w:ascii="Times New Roman" w:hAnsi="Times New Roman" w:cs="Times New Roman"/>
          <w:lang w:val="en-US"/>
        </w:rPr>
        <w:t xml:space="preserve"> solely</w:t>
      </w:r>
      <w:r w:rsidR="001D7870">
        <w:rPr>
          <w:rFonts w:ascii="Times New Roman" w:hAnsi="Times New Roman" w:cs="Times New Roman"/>
          <w:lang w:val="en-US"/>
        </w:rPr>
        <w:t xml:space="preserve"> doctrinal perspective</w:t>
      </w:r>
      <w:r w:rsidR="00614FD8">
        <w:rPr>
          <w:rFonts w:ascii="Times New Roman" w:hAnsi="Times New Roman" w:cs="Times New Roman"/>
          <w:lang w:val="en-US"/>
        </w:rPr>
        <w:t>.</w:t>
      </w:r>
      <w:r w:rsidR="002E3540">
        <w:rPr>
          <w:rStyle w:val="FootnoteReference"/>
          <w:rFonts w:ascii="Times New Roman" w:hAnsi="Times New Roman" w:cs="Times New Roman"/>
          <w:lang w:val="en-US"/>
        </w:rPr>
        <w:footnoteReference w:id="30"/>
      </w:r>
      <w:r w:rsidR="00614FD8">
        <w:rPr>
          <w:rFonts w:ascii="Times New Roman" w:hAnsi="Times New Roman" w:cs="Times New Roman"/>
          <w:lang w:val="en-US"/>
        </w:rPr>
        <w:t xml:space="preserve"> But</w:t>
      </w:r>
      <w:r w:rsidR="00FE573F">
        <w:rPr>
          <w:rFonts w:ascii="Times New Roman" w:hAnsi="Times New Roman" w:cs="Times New Roman"/>
          <w:lang w:val="en-US"/>
        </w:rPr>
        <w:t xml:space="preserve"> </w:t>
      </w:r>
      <w:r w:rsidR="005D5395">
        <w:rPr>
          <w:rFonts w:ascii="Times New Roman" w:hAnsi="Times New Roman" w:cs="Times New Roman"/>
          <w:lang w:val="en-US"/>
        </w:rPr>
        <w:t>one of the broader goals of the paper</w:t>
      </w:r>
      <w:r w:rsidR="001D7870">
        <w:rPr>
          <w:rFonts w:ascii="Times New Roman" w:hAnsi="Times New Roman" w:cs="Times New Roman"/>
          <w:lang w:val="en-US"/>
        </w:rPr>
        <w:t xml:space="preserve"> – as lies at the heart of discourse analysis – has </w:t>
      </w:r>
      <w:r w:rsidR="00121C99">
        <w:rPr>
          <w:rFonts w:ascii="Times New Roman" w:hAnsi="Times New Roman" w:cs="Times New Roman"/>
          <w:lang w:val="en-US"/>
        </w:rPr>
        <w:t>been</w:t>
      </w:r>
      <w:r w:rsidR="005D5395">
        <w:rPr>
          <w:rFonts w:ascii="Times New Roman" w:hAnsi="Times New Roman" w:cs="Times New Roman"/>
          <w:lang w:val="en-US"/>
        </w:rPr>
        <w:t xml:space="preserve"> to suggest that analyzing</w:t>
      </w:r>
      <w:r w:rsidR="00FE573F">
        <w:rPr>
          <w:rFonts w:ascii="Times New Roman" w:hAnsi="Times New Roman" w:cs="Times New Roman"/>
          <w:lang w:val="en-US"/>
        </w:rPr>
        <w:t xml:space="preserve"> only</w:t>
      </w:r>
      <w:r w:rsidR="005409F0">
        <w:rPr>
          <w:rFonts w:ascii="Times New Roman" w:hAnsi="Times New Roman" w:cs="Times New Roman"/>
          <w:lang w:val="en-US"/>
        </w:rPr>
        <w:t xml:space="preserve"> the </w:t>
      </w:r>
      <w:r w:rsidR="00890B87">
        <w:rPr>
          <w:rFonts w:ascii="Times New Roman" w:hAnsi="Times New Roman" w:cs="Times New Roman"/>
          <w:lang w:val="en-US"/>
        </w:rPr>
        <w:t>doctrinal</w:t>
      </w:r>
      <w:r w:rsidR="005409F0">
        <w:rPr>
          <w:rFonts w:ascii="Times New Roman" w:hAnsi="Times New Roman" w:cs="Times New Roman"/>
          <w:lang w:val="en-US"/>
        </w:rPr>
        <w:t xml:space="preserve"> questions in each case would be superficial, without also considering the </w:t>
      </w:r>
      <w:r w:rsidR="005409F0" w:rsidRPr="001C7F02">
        <w:rPr>
          <w:rFonts w:ascii="Times New Roman" w:hAnsi="Times New Roman" w:cs="Times New Roman"/>
          <w:i/>
          <w:lang w:val="en-US"/>
        </w:rPr>
        <w:t>way</w:t>
      </w:r>
      <w:r w:rsidR="005409F0">
        <w:rPr>
          <w:rFonts w:ascii="Times New Roman" w:hAnsi="Times New Roman" w:cs="Times New Roman"/>
          <w:lang w:val="en-US"/>
        </w:rPr>
        <w:t xml:space="preserve"> in which those </w:t>
      </w:r>
      <w:r w:rsidR="00890B87">
        <w:rPr>
          <w:rFonts w:ascii="Times New Roman" w:hAnsi="Times New Roman" w:cs="Times New Roman"/>
          <w:lang w:val="en-US"/>
        </w:rPr>
        <w:t>issues</w:t>
      </w:r>
      <w:r w:rsidR="005409F0">
        <w:rPr>
          <w:rFonts w:ascii="Times New Roman" w:hAnsi="Times New Roman" w:cs="Times New Roman"/>
          <w:lang w:val="en-US"/>
        </w:rPr>
        <w:t xml:space="preserve"> are </w:t>
      </w:r>
      <w:r w:rsidR="00AC048A">
        <w:rPr>
          <w:rFonts w:ascii="Times New Roman" w:hAnsi="Times New Roman" w:cs="Times New Roman"/>
          <w:lang w:val="en-US"/>
        </w:rPr>
        <w:t xml:space="preserve">framed and </w:t>
      </w:r>
      <w:r w:rsidR="005409F0">
        <w:rPr>
          <w:rFonts w:ascii="Times New Roman" w:hAnsi="Times New Roman" w:cs="Times New Roman"/>
          <w:lang w:val="en-US"/>
        </w:rPr>
        <w:t>addresse</w:t>
      </w:r>
      <w:r w:rsidR="00FE573F">
        <w:rPr>
          <w:rFonts w:ascii="Times New Roman" w:hAnsi="Times New Roman" w:cs="Times New Roman"/>
          <w:lang w:val="en-US"/>
        </w:rPr>
        <w:t>d by the court.</w:t>
      </w:r>
      <w:r w:rsidR="00890B87">
        <w:rPr>
          <w:rFonts w:ascii="Times New Roman" w:hAnsi="Times New Roman" w:cs="Times New Roman"/>
          <w:lang w:val="en-US"/>
        </w:rPr>
        <w:t xml:space="preserve"> </w:t>
      </w:r>
      <w:r w:rsidR="003E0957">
        <w:rPr>
          <w:rFonts w:ascii="Times New Roman" w:hAnsi="Times New Roman" w:cs="Times New Roman"/>
          <w:lang w:val="en-US"/>
        </w:rPr>
        <w:t>The law is never free from the assumptions and values that condition those who implement it.</w:t>
      </w:r>
      <w:r w:rsidR="008D6A45">
        <w:rPr>
          <w:rFonts w:ascii="Times New Roman" w:hAnsi="Times New Roman" w:cs="Times New Roman"/>
          <w:lang w:val="en-US"/>
        </w:rPr>
        <w:t xml:space="preserve"> </w:t>
      </w:r>
      <w:r w:rsidR="00A5767D">
        <w:rPr>
          <w:rFonts w:ascii="Times New Roman" w:hAnsi="Times New Roman" w:cs="Times New Roman"/>
          <w:lang w:val="en-US"/>
        </w:rPr>
        <w:t>For the judges i</w:t>
      </w:r>
      <w:r w:rsidR="008D6A45">
        <w:rPr>
          <w:rFonts w:ascii="Times New Roman" w:hAnsi="Times New Roman" w:cs="Times New Roman"/>
          <w:lang w:val="en-US"/>
        </w:rPr>
        <w:t xml:space="preserve">n </w:t>
      </w:r>
      <w:r w:rsidR="00A5767D" w:rsidRPr="00A5767D">
        <w:rPr>
          <w:rFonts w:ascii="Times New Roman" w:hAnsi="Times New Roman" w:cs="Times New Roman"/>
          <w:i/>
          <w:lang w:val="en-US"/>
        </w:rPr>
        <w:t xml:space="preserve">R v </w:t>
      </w:r>
      <w:r w:rsidR="008D6A45">
        <w:rPr>
          <w:rFonts w:ascii="Times New Roman" w:hAnsi="Times New Roman" w:cs="Times New Roman"/>
          <w:i/>
          <w:lang w:val="en-US"/>
        </w:rPr>
        <w:t xml:space="preserve">Kurtz, </w:t>
      </w:r>
      <w:r w:rsidR="008D6A45">
        <w:rPr>
          <w:rFonts w:ascii="Times New Roman" w:hAnsi="Times New Roman" w:cs="Times New Roman"/>
          <w:lang w:val="en-US"/>
        </w:rPr>
        <w:t xml:space="preserve">Cecily Kurtz lacked mental capacity simply because of the state of her physical body. In </w:t>
      </w:r>
      <w:r w:rsidR="008D6A45">
        <w:rPr>
          <w:rFonts w:ascii="Times New Roman" w:hAnsi="Times New Roman" w:cs="Times New Roman"/>
          <w:i/>
          <w:lang w:val="en-US"/>
        </w:rPr>
        <w:t xml:space="preserve">McDonald, </w:t>
      </w:r>
      <w:r w:rsidR="008D6A45">
        <w:rPr>
          <w:rFonts w:ascii="Times New Roman" w:hAnsi="Times New Roman" w:cs="Times New Roman"/>
          <w:lang w:val="en-US"/>
        </w:rPr>
        <w:t xml:space="preserve">Elaine McDonald’s body is the ‘problem’. In </w:t>
      </w:r>
      <w:r w:rsidR="008D6A45">
        <w:rPr>
          <w:rFonts w:ascii="Times New Roman" w:hAnsi="Times New Roman" w:cs="Times New Roman"/>
          <w:i/>
          <w:lang w:val="en-US"/>
        </w:rPr>
        <w:t xml:space="preserve">NCC v PB, </w:t>
      </w:r>
      <w:r w:rsidR="008D6A45">
        <w:rPr>
          <w:rFonts w:ascii="Times New Roman" w:hAnsi="Times New Roman" w:cs="Times New Roman"/>
          <w:lang w:val="en-US"/>
        </w:rPr>
        <w:t xml:space="preserve">PB’s body is ‘filthy’. And in </w:t>
      </w:r>
      <w:r w:rsidR="008D6A45">
        <w:rPr>
          <w:rFonts w:ascii="Times New Roman" w:hAnsi="Times New Roman" w:cs="Times New Roman"/>
          <w:i/>
          <w:lang w:val="en-US"/>
        </w:rPr>
        <w:t xml:space="preserve">Meyers, </w:t>
      </w:r>
      <w:r w:rsidR="008D6A45">
        <w:rPr>
          <w:rFonts w:ascii="Times New Roman" w:hAnsi="Times New Roman" w:cs="Times New Roman"/>
          <w:lang w:val="en-US"/>
        </w:rPr>
        <w:t>verbalizing</w:t>
      </w:r>
      <w:r w:rsidR="003E0957">
        <w:rPr>
          <w:rFonts w:ascii="Times New Roman" w:hAnsi="Times New Roman" w:cs="Times New Roman"/>
          <w:lang w:val="en-US"/>
        </w:rPr>
        <w:t xml:space="preserve"> </w:t>
      </w:r>
      <w:r w:rsidR="008D6A45">
        <w:rPr>
          <w:rFonts w:ascii="Times New Roman" w:hAnsi="Times New Roman" w:cs="Times New Roman"/>
          <w:lang w:val="en-US"/>
        </w:rPr>
        <w:t xml:space="preserve">what Douglas Meyers’ body looked like when he was found at home would be ‘undignified’. </w:t>
      </w:r>
      <w:r w:rsidR="003E0957">
        <w:rPr>
          <w:rFonts w:ascii="Times New Roman" w:hAnsi="Times New Roman" w:cs="Times New Roman"/>
          <w:lang w:val="en-US"/>
        </w:rPr>
        <w:t>Shining a spotlight on the language used by the courts, and the way in which this legitimizes certain legal interventions, show how bodies –</w:t>
      </w:r>
      <w:r w:rsidR="00AC048A">
        <w:rPr>
          <w:rFonts w:ascii="Times New Roman" w:hAnsi="Times New Roman" w:cs="Times New Roman"/>
          <w:lang w:val="en-US"/>
        </w:rPr>
        <w:t xml:space="preserve"> ideas about</w:t>
      </w:r>
      <w:r w:rsidR="003E0957">
        <w:rPr>
          <w:rFonts w:ascii="Times New Roman" w:hAnsi="Times New Roman" w:cs="Times New Roman"/>
          <w:lang w:val="en-US"/>
        </w:rPr>
        <w:t xml:space="preserve"> older disabled bodies, </w:t>
      </w:r>
      <w:r w:rsidR="003E0957" w:rsidRPr="00130FC8">
        <w:rPr>
          <w:rFonts w:ascii="Times New Roman" w:hAnsi="Times New Roman" w:cs="Times New Roman"/>
          <w:i/>
          <w:lang w:val="en-US"/>
        </w:rPr>
        <w:t>and</w:t>
      </w:r>
      <w:r w:rsidR="003E0957">
        <w:rPr>
          <w:rFonts w:ascii="Times New Roman" w:hAnsi="Times New Roman" w:cs="Times New Roman"/>
          <w:lang w:val="en-US"/>
        </w:rPr>
        <w:t xml:space="preserve"> ideas about ‘normal’ bodies – in fact rest at the very </w:t>
      </w:r>
      <w:r w:rsidR="009F71A7">
        <w:rPr>
          <w:rFonts w:ascii="Times New Roman" w:hAnsi="Times New Roman" w:cs="Times New Roman"/>
          <w:lang w:val="en-US"/>
        </w:rPr>
        <w:t>core</w:t>
      </w:r>
      <w:r w:rsidR="003E0957">
        <w:rPr>
          <w:rFonts w:ascii="Times New Roman" w:hAnsi="Times New Roman" w:cs="Times New Roman"/>
          <w:lang w:val="en-US"/>
        </w:rPr>
        <w:t xml:space="preserve"> of the courts</w:t>
      </w:r>
      <w:r w:rsidR="009F71A7">
        <w:rPr>
          <w:rFonts w:ascii="Times New Roman" w:hAnsi="Times New Roman" w:cs="Times New Roman"/>
          <w:lang w:val="en-US"/>
        </w:rPr>
        <w:t>’</w:t>
      </w:r>
      <w:r w:rsidR="003E0957">
        <w:rPr>
          <w:rFonts w:ascii="Times New Roman" w:hAnsi="Times New Roman" w:cs="Times New Roman"/>
          <w:lang w:val="en-US"/>
        </w:rPr>
        <w:t xml:space="preserve"> reasoning</w:t>
      </w:r>
      <w:r w:rsidR="00AC048A">
        <w:rPr>
          <w:rFonts w:ascii="Times New Roman" w:hAnsi="Times New Roman" w:cs="Times New Roman"/>
          <w:lang w:val="en-US"/>
        </w:rPr>
        <w:t xml:space="preserve"> in these cases</w:t>
      </w:r>
      <w:r w:rsidR="00890B87">
        <w:rPr>
          <w:rFonts w:ascii="Times New Roman" w:hAnsi="Times New Roman" w:cs="Times New Roman"/>
          <w:lang w:val="en-US"/>
        </w:rPr>
        <w:t>.</w:t>
      </w:r>
      <w:r w:rsidR="003E0957">
        <w:rPr>
          <w:rFonts w:ascii="Times New Roman" w:hAnsi="Times New Roman" w:cs="Times New Roman"/>
          <w:lang w:val="en-US"/>
        </w:rPr>
        <w:t xml:space="preserve"> </w:t>
      </w:r>
      <w:r w:rsidR="008D6A45">
        <w:rPr>
          <w:rFonts w:ascii="Times New Roman" w:hAnsi="Times New Roman" w:cs="Times New Roman"/>
          <w:lang w:val="en-US"/>
        </w:rPr>
        <w:t xml:space="preserve"> </w:t>
      </w:r>
    </w:p>
    <w:p w14:paraId="3BA060D2" w14:textId="77777777" w:rsidR="00670E94" w:rsidRDefault="00670E94" w:rsidP="00E44904">
      <w:pPr>
        <w:spacing w:line="360" w:lineRule="auto"/>
        <w:rPr>
          <w:rFonts w:ascii="Times New Roman" w:hAnsi="Times New Roman" w:cs="Times New Roman"/>
        </w:rPr>
      </w:pPr>
    </w:p>
    <w:p w14:paraId="3F4213A1" w14:textId="77777777" w:rsidR="00A5767D" w:rsidRDefault="00A5767D" w:rsidP="00E44904">
      <w:pPr>
        <w:spacing w:line="360" w:lineRule="auto"/>
        <w:rPr>
          <w:rFonts w:ascii="Times New Roman" w:hAnsi="Times New Roman" w:cs="Times New Roman"/>
        </w:rPr>
      </w:pPr>
    </w:p>
    <w:p w14:paraId="2691EA9C" w14:textId="77777777" w:rsidR="00A5767D" w:rsidRDefault="00A5767D" w:rsidP="00E44904">
      <w:pPr>
        <w:spacing w:line="360" w:lineRule="auto"/>
        <w:rPr>
          <w:rFonts w:ascii="Times New Roman" w:hAnsi="Times New Roman" w:cs="Times New Roman"/>
        </w:rPr>
      </w:pPr>
    </w:p>
    <w:p w14:paraId="12AF3A60" w14:textId="77777777" w:rsidR="00334D8A" w:rsidRDefault="00334D8A" w:rsidP="001D7870">
      <w:pPr>
        <w:spacing w:line="360" w:lineRule="auto"/>
        <w:outlineLvl w:val="0"/>
        <w:rPr>
          <w:rFonts w:ascii="Times New Roman" w:hAnsi="Times New Roman" w:cs="Times New Roman"/>
          <w:b/>
        </w:rPr>
      </w:pPr>
      <w:r>
        <w:rPr>
          <w:rFonts w:ascii="Times New Roman" w:hAnsi="Times New Roman" w:cs="Times New Roman"/>
          <w:b/>
        </w:rPr>
        <w:lastRenderedPageBreak/>
        <w:t>Acknowledgements</w:t>
      </w:r>
    </w:p>
    <w:p w14:paraId="675F1F6F" w14:textId="24A2987D" w:rsidR="00334D8A" w:rsidRPr="00334D8A" w:rsidRDefault="00334D8A" w:rsidP="00334D8A">
      <w:pPr>
        <w:spacing w:line="360" w:lineRule="auto"/>
        <w:jc w:val="both"/>
        <w:rPr>
          <w:rFonts w:ascii="Times New Roman" w:hAnsi="Times New Roman" w:cs="Times New Roman"/>
        </w:rPr>
      </w:pPr>
      <w:r w:rsidRPr="00334D8A">
        <w:rPr>
          <w:rFonts w:ascii="Times New Roman" w:hAnsi="Times New Roman" w:cs="Times New Roman"/>
        </w:rPr>
        <w:t xml:space="preserve">I would like to thank participants at the Gendering Mental Health and Capacity Law workshop </w:t>
      </w:r>
      <w:r>
        <w:rPr>
          <w:rFonts w:ascii="Times New Roman" w:hAnsi="Times New Roman" w:cs="Times New Roman"/>
        </w:rPr>
        <w:t>held at University College Cork for comments on the early ideas for this paper, and particular thanks to Dr Claire Murray</w:t>
      </w:r>
      <w:r w:rsidR="00BD641A">
        <w:rPr>
          <w:rFonts w:ascii="Times New Roman" w:hAnsi="Times New Roman" w:cs="Times New Roman"/>
        </w:rPr>
        <w:t xml:space="preserve"> and Professor Mary Donnelly</w:t>
      </w:r>
      <w:r>
        <w:rPr>
          <w:rFonts w:ascii="Times New Roman" w:hAnsi="Times New Roman" w:cs="Times New Roman"/>
        </w:rPr>
        <w:t xml:space="preserve"> for organising the workshop</w:t>
      </w:r>
      <w:r w:rsidR="004942C4">
        <w:rPr>
          <w:rFonts w:ascii="Times New Roman" w:hAnsi="Times New Roman" w:cs="Times New Roman"/>
        </w:rPr>
        <w:t xml:space="preserve"> and for their extremely helpful editors’ comments</w:t>
      </w:r>
      <w:r>
        <w:rPr>
          <w:rFonts w:ascii="Times New Roman" w:hAnsi="Times New Roman" w:cs="Times New Roman"/>
        </w:rPr>
        <w:t xml:space="preserve">. I would also like </w:t>
      </w:r>
      <w:r w:rsidR="005D5395">
        <w:rPr>
          <w:rFonts w:ascii="Times New Roman" w:hAnsi="Times New Roman" w:cs="Times New Roman"/>
        </w:rPr>
        <w:t>to thank Dr Paul Skowron</w:t>
      </w:r>
      <w:r w:rsidR="004942C4">
        <w:rPr>
          <w:rFonts w:ascii="Times New Roman" w:hAnsi="Times New Roman" w:cs="Times New Roman"/>
        </w:rPr>
        <w:t xml:space="preserve">, </w:t>
      </w:r>
      <w:r w:rsidR="005D5395">
        <w:rPr>
          <w:rFonts w:ascii="Times New Roman" w:hAnsi="Times New Roman" w:cs="Times New Roman"/>
        </w:rPr>
        <w:t>Dr Leon McRae</w:t>
      </w:r>
      <w:r w:rsidR="004942C4">
        <w:rPr>
          <w:rFonts w:ascii="Times New Roman" w:hAnsi="Times New Roman" w:cs="Times New Roman"/>
        </w:rPr>
        <w:t>, and the two anonymous reviewers</w:t>
      </w:r>
      <w:r w:rsidR="005D5395">
        <w:rPr>
          <w:rFonts w:ascii="Times New Roman" w:hAnsi="Times New Roman" w:cs="Times New Roman"/>
        </w:rPr>
        <w:t xml:space="preserve"> for their</w:t>
      </w:r>
      <w:r>
        <w:rPr>
          <w:rFonts w:ascii="Times New Roman" w:hAnsi="Times New Roman" w:cs="Times New Roman"/>
        </w:rPr>
        <w:t xml:space="preserve"> detailed and insightful comments on an earlier draft of the paper.</w:t>
      </w:r>
    </w:p>
    <w:p w14:paraId="4745C5C2" w14:textId="77777777" w:rsidR="001B3F07" w:rsidRDefault="001B3F07" w:rsidP="00F43A66">
      <w:pPr>
        <w:spacing w:line="360" w:lineRule="auto"/>
        <w:rPr>
          <w:rFonts w:ascii="Times New Roman" w:hAnsi="Times New Roman" w:cs="Times New Roman"/>
          <w:b/>
        </w:rPr>
      </w:pPr>
    </w:p>
    <w:p w14:paraId="5AC0748C" w14:textId="77777777" w:rsidR="00967901" w:rsidRPr="009556F3" w:rsidRDefault="00967901" w:rsidP="001D7870">
      <w:pPr>
        <w:spacing w:line="360" w:lineRule="auto"/>
        <w:outlineLvl w:val="0"/>
        <w:rPr>
          <w:rFonts w:ascii="Times New Roman" w:hAnsi="Times New Roman" w:cs="Times New Roman"/>
          <w:b/>
          <w:i/>
        </w:rPr>
      </w:pPr>
      <w:r>
        <w:rPr>
          <w:rFonts w:ascii="Times New Roman" w:hAnsi="Times New Roman" w:cs="Times New Roman"/>
          <w:b/>
        </w:rPr>
        <w:t>References</w:t>
      </w:r>
    </w:p>
    <w:p w14:paraId="24440D3B" w14:textId="77777777" w:rsidR="00305DAC" w:rsidRPr="004E3173" w:rsidRDefault="0035574A" w:rsidP="00B81299">
      <w:pPr>
        <w:pStyle w:val="ListParagraph"/>
        <w:numPr>
          <w:ilvl w:val="0"/>
          <w:numId w:val="8"/>
        </w:numPr>
        <w:spacing w:line="360" w:lineRule="auto"/>
        <w:rPr>
          <w:rFonts w:ascii="Times New Roman" w:hAnsi="Times New Roman" w:cs="Times New Roman"/>
          <w:lang w:val="en-US"/>
        </w:rPr>
      </w:pPr>
      <w:r w:rsidRPr="004E3173">
        <w:rPr>
          <w:rFonts w:ascii="Times New Roman" w:hAnsi="Times New Roman" w:cs="Times New Roman"/>
        </w:rPr>
        <w:t>39 Essex Street, Mental Capacity Report, April 2019</w:t>
      </w:r>
      <w:r w:rsidR="0062106E" w:rsidRPr="004E3173">
        <w:rPr>
          <w:rFonts w:ascii="Times New Roman" w:hAnsi="Times New Roman" w:cs="Times New Roman"/>
        </w:rPr>
        <w:t>,</w:t>
      </w:r>
      <w:r w:rsidRPr="004E3173">
        <w:rPr>
          <w:rFonts w:ascii="Times New Roman" w:hAnsi="Times New Roman" w:cs="Times New Roman"/>
        </w:rPr>
        <w:t xml:space="preserve"> available at: </w:t>
      </w:r>
      <w:hyperlink r:id="rId9" w:history="1">
        <w:r w:rsidRPr="004E3173">
          <w:rPr>
            <w:rStyle w:val="Hyperlink"/>
            <w:rFonts w:ascii="Times New Roman" w:hAnsi="Times New Roman" w:cs="Times New Roman"/>
            <w:lang w:val="en-US"/>
          </w:rPr>
          <w:t>https://1f2ca7mxjow42e65q49871m1-wpengine.netdna-ssl.com/wp-content/uploads/2019/03/March-2019-Compendium-Print-Version.pdf</w:t>
        </w:r>
      </w:hyperlink>
      <w:r w:rsidRPr="004E3173">
        <w:rPr>
          <w:rFonts w:ascii="Times New Roman" w:hAnsi="Times New Roman" w:cs="Times New Roman"/>
          <w:lang w:val="en-US"/>
        </w:rPr>
        <w:t xml:space="preserve"> (accessed 13th May 2019).</w:t>
      </w:r>
    </w:p>
    <w:p w14:paraId="61BC5943" w14:textId="77777777" w:rsidR="0035574A" w:rsidRPr="004E3173" w:rsidRDefault="00305DAC" w:rsidP="00B81299">
      <w:pPr>
        <w:pStyle w:val="ListParagraph"/>
        <w:numPr>
          <w:ilvl w:val="0"/>
          <w:numId w:val="8"/>
        </w:numPr>
        <w:spacing w:line="360" w:lineRule="auto"/>
        <w:rPr>
          <w:rFonts w:ascii="Times New Roman" w:hAnsi="Times New Roman" w:cs="Times New Roman"/>
          <w:lang w:val="en-US"/>
        </w:rPr>
      </w:pPr>
      <w:r w:rsidRPr="004E3173">
        <w:rPr>
          <w:rFonts w:ascii="Times New Roman" w:hAnsi="Times New Roman" w:cs="Times New Roman"/>
          <w:lang w:val="en-US"/>
        </w:rPr>
        <w:t xml:space="preserve">Alzheimer’s Disease International. (2015). </w:t>
      </w:r>
      <w:r w:rsidRPr="004E3173">
        <w:rPr>
          <w:rFonts w:ascii="Times New Roman" w:hAnsi="Times New Roman" w:cs="Times New Roman"/>
          <w:i/>
          <w:lang w:val="en-US"/>
        </w:rPr>
        <w:t xml:space="preserve">Women and Dementia: A Global Research Review. </w:t>
      </w:r>
      <w:r w:rsidRPr="004E3173">
        <w:rPr>
          <w:rFonts w:ascii="Times New Roman" w:hAnsi="Times New Roman" w:cs="Times New Roman"/>
          <w:lang w:val="en-US"/>
        </w:rPr>
        <w:t>London, Alzheimer’s Disease International.</w:t>
      </w:r>
    </w:p>
    <w:p w14:paraId="390D440F" w14:textId="6362115F" w:rsidR="00D15A14" w:rsidRDefault="00D45AFD" w:rsidP="00D15A14">
      <w:pPr>
        <w:pStyle w:val="ListParagraph"/>
        <w:numPr>
          <w:ilvl w:val="0"/>
          <w:numId w:val="8"/>
        </w:numPr>
        <w:rPr>
          <w:rFonts w:ascii="Times New Roman" w:eastAsia="Times New Roman" w:hAnsi="Times New Roman" w:cs="Times New Roman"/>
          <w:lang w:val="en-US"/>
        </w:rPr>
      </w:pPr>
      <w:r w:rsidRPr="004E3173">
        <w:rPr>
          <w:rFonts w:ascii="Times New Roman" w:hAnsi="Times New Roman" w:cs="Times New Roman"/>
          <w:lang w:val="en-US"/>
        </w:rPr>
        <w:t xml:space="preserve">Arya, R. (2017). </w:t>
      </w:r>
      <w:r w:rsidRPr="004E3173">
        <w:rPr>
          <w:rFonts w:ascii="Times New Roman" w:eastAsia="Times New Roman" w:hAnsi="Times New Roman" w:cs="Times New Roman"/>
          <w:lang w:val="en-US"/>
        </w:rPr>
        <w:t xml:space="preserve">Abjection Interrogated: Uncovering the Relation Between Abjection and Disgust. </w:t>
      </w:r>
      <w:r w:rsidRPr="004E3173">
        <w:rPr>
          <w:rFonts w:ascii="Times New Roman" w:eastAsia="Times New Roman" w:hAnsi="Times New Roman" w:cs="Times New Roman"/>
          <w:i/>
          <w:lang w:val="en-US"/>
        </w:rPr>
        <w:t>Journal of Extreme Anthropology, 1,</w:t>
      </w:r>
      <w:r w:rsidRPr="004E3173">
        <w:rPr>
          <w:rFonts w:ascii="Times New Roman" w:eastAsia="Times New Roman" w:hAnsi="Times New Roman" w:cs="Times New Roman"/>
          <w:lang w:val="en-US"/>
        </w:rPr>
        <w:t xml:space="preserve"> 48-61.</w:t>
      </w:r>
    </w:p>
    <w:p w14:paraId="44415A94" w14:textId="77777777" w:rsidR="00D15A14" w:rsidRPr="009F71A7" w:rsidRDefault="00D15A14" w:rsidP="009F71A7">
      <w:pPr>
        <w:pStyle w:val="ListParagraph"/>
        <w:rPr>
          <w:rFonts w:ascii="Times New Roman" w:eastAsia="Times New Roman" w:hAnsi="Times New Roman" w:cs="Times New Roman"/>
          <w:lang w:val="en-US"/>
        </w:rPr>
      </w:pPr>
    </w:p>
    <w:p w14:paraId="550A4315" w14:textId="77777777" w:rsidR="00EB6BBB" w:rsidRPr="004E3173" w:rsidRDefault="00EB6BBB"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Bamford, S. (2011). </w:t>
      </w:r>
      <w:r w:rsidRPr="004E3173">
        <w:rPr>
          <w:rFonts w:ascii="Times New Roman" w:hAnsi="Times New Roman" w:cs="Times New Roman"/>
          <w:i/>
        </w:rPr>
        <w:t xml:space="preserve">Women and Dementia: Not Forgotten. </w:t>
      </w:r>
      <w:r w:rsidRPr="004E3173">
        <w:rPr>
          <w:rFonts w:ascii="Times New Roman" w:hAnsi="Times New Roman" w:cs="Times New Roman"/>
        </w:rPr>
        <w:t>London: International Longevity Centre.</w:t>
      </w:r>
    </w:p>
    <w:p w14:paraId="05BC6C0D" w14:textId="77777777" w:rsidR="002A6F05" w:rsidRPr="004E3173" w:rsidRDefault="001B3F07"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Biles, J. (2014). A Story of Rats. </w:t>
      </w:r>
      <w:r w:rsidRPr="004E3173">
        <w:rPr>
          <w:rFonts w:ascii="Times New Roman" w:hAnsi="Times New Roman" w:cs="Times New Roman"/>
          <w:i/>
        </w:rPr>
        <w:t xml:space="preserve">Performance Research, 19, </w:t>
      </w:r>
      <w:r w:rsidRPr="004E3173">
        <w:rPr>
          <w:rFonts w:ascii="Times New Roman" w:hAnsi="Times New Roman" w:cs="Times New Roman"/>
        </w:rPr>
        <w:t>111-125.</w:t>
      </w:r>
    </w:p>
    <w:p w14:paraId="4D4A299A" w14:textId="77777777" w:rsidR="009E4E3F" w:rsidRPr="004E3173" w:rsidRDefault="009E4E3F" w:rsidP="009E4E3F">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Braye, S., Orr, D. and Preston-Shoot, M. (2015). Serious Case Review Findings on the</w:t>
      </w:r>
      <w:r w:rsidR="004E3173">
        <w:rPr>
          <w:rFonts w:ascii="Times New Roman" w:hAnsi="Times New Roman" w:cs="Times New Roman"/>
        </w:rPr>
        <w:t xml:space="preserve"> </w:t>
      </w:r>
      <w:r w:rsidRPr="004E3173">
        <w:rPr>
          <w:rFonts w:ascii="Times New Roman" w:hAnsi="Times New Roman" w:cs="Times New Roman"/>
        </w:rPr>
        <w:t xml:space="preserve">Challenge of Self-Neglect: Indicators for Good Practice. </w:t>
      </w:r>
      <w:r w:rsidRPr="004E3173">
        <w:rPr>
          <w:rFonts w:ascii="Times New Roman" w:hAnsi="Times New Roman" w:cs="Times New Roman"/>
          <w:i/>
        </w:rPr>
        <w:t>Journal of Adult Protection</w:t>
      </w:r>
      <w:r w:rsidRPr="004E3173">
        <w:rPr>
          <w:rFonts w:ascii="Times New Roman" w:hAnsi="Times New Roman" w:cs="Times New Roman"/>
        </w:rPr>
        <w:t xml:space="preserve">, </w:t>
      </w:r>
      <w:r w:rsidRPr="004E3173">
        <w:rPr>
          <w:rFonts w:ascii="Times New Roman" w:hAnsi="Times New Roman" w:cs="Times New Roman"/>
          <w:i/>
        </w:rPr>
        <w:t>17</w:t>
      </w:r>
      <w:r w:rsidRPr="004E3173">
        <w:rPr>
          <w:rFonts w:ascii="Times New Roman" w:hAnsi="Times New Roman" w:cs="Times New Roman"/>
        </w:rPr>
        <w:t>,</w:t>
      </w:r>
      <w:r w:rsidR="004E3173" w:rsidRPr="004E3173">
        <w:rPr>
          <w:rFonts w:ascii="Times New Roman" w:hAnsi="Times New Roman" w:cs="Times New Roman"/>
        </w:rPr>
        <w:t xml:space="preserve"> </w:t>
      </w:r>
      <w:r w:rsidRPr="004E3173">
        <w:rPr>
          <w:rFonts w:ascii="Times New Roman" w:hAnsi="Times New Roman" w:cs="Times New Roman"/>
        </w:rPr>
        <w:t>75-87.</w:t>
      </w:r>
    </w:p>
    <w:p w14:paraId="55D378F0" w14:textId="362D20B3" w:rsidR="00504E7F" w:rsidRDefault="009E4E3F" w:rsidP="00832A27">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Braye, S., and Preston-Shoot, M. (2017). Learning from SARs: A Report for the London</w:t>
      </w:r>
      <w:r w:rsidR="00832A27">
        <w:rPr>
          <w:rFonts w:ascii="Times New Roman" w:hAnsi="Times New Roman" w:cs="Times New Roman"/>
        </w:rPr>
        <w:t xml:space="preserve"> </w:t>
      </w:r>
      <w:r w:rsidRPr="00832A27">
        <w:rPr>
          <w:rFonts w:ascii="Times New Roman" w:hAnsi="Times New Roman" w:cs="Times New Roman"/>
        </w:rPr>
        <w:t>Safeguarding Adults Board. London: ADASS.</w:t>
      </w:r>
    </w:p>
    <w:p w14:paraId="7C4C4DB0" w14:textId="5F7C0CE3" w:rsidR="00832A27" w:rsidRPr="00832A27" w:rsidRDefault="00832A27" w:rsidP="00832A27">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Brown, G., and Yule, G. (1983). </w:t>
      </w:r>
      <w:r>
        <w:rPr>
          <w:rFonts w:ascii="Times New Roman" w:hAnsi="Times New Roman" w:cs="Times New Roman"/>
          <w:i/>
        </w:rPr>
        <w:t xml:space="preserve">Discourse Analysis. </w:t>
      </w:r>
      <w:r w:rsidRPr="00832A27">
        <w:rPr>
          <w:rFonts w:ascii="Times New Roman" w:hAnsi="Times New Roman" w:cs="Times New Roman"/>
        </w:rPr>
        <w:t>Cambridge: Cambridge University Press.</w:t>
      </w:r>
    </w:p>
    <w:p w14:paraId="45292673" w14:textId="77777777" w:rsidR="00527A65" w:rsidRPr="004E3173" w:rsidRDefault="008B3AF8"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Carr, H. (2012). </w:t>
      </w:r>
      <w:r w:rsidR="00A71ED5" w:rsidRPr="004E3173">
        <w:rPr>
          <w:rFonts w:ascii="Times New Roman" w:hAnsi="Times New Roman" w:cs="Times New Roman"/>
        </w:rPr>
        <w:t>Rational Men and Difficult W</w:t>
      </w:r>
      <w:r w:rsidRPr="004E3173">
        <w:rPr>
          <w:rFonts w:ascii="Times New Roman" w:hAnsi="Times New Roman" w:cs="Times New Roman"/>
        </w:rPr>
        <w:t xml:space="preserve">omen – </w:t>
      </w:r>
      <w:r w:rsidRPr="004E3173">
        <w:rPr>
          <w:rFonts w:ascii="Times New Roman" w:hAnsi="Times New Roman" w:cs="Times New Roman"/>
          <w:i/>
        </w:rPr>
        <w:t>R (on the application of McDonald)</w:t>
      </w:r>
      <w:r w:rsidR="00A71ED5" w:rsidRPr="004E3173">
        <w:rPr>
          <w:rFonts w:ascii="Times New Roman" w:hAnsi="Times New Roman" w:cs="Times New Roman"/>
          <w:i/>
        </w:rPr>
        <w:t xml:space="preserve"> v. Royal Borough of Kensington and Chelsea </w:t>
      </w:r>
      <w:r w:rsidR="00A71ED5" w:rsidRPr="004E3173">
        <w:rPr>
          <w:rFonts w:ascii="Times New Roman" w:hAnsi="Times New Roman" w:cs="Times New Roman"/>
        </w:rPr>
        <w:t xml:space="preserve">[2011] UKSC 33. </w:t>
      </w:r>
      <w:r w:rsidR="00A71ED5" w:rsidRPr="004E3173">
        <w:rPr>
          <w:rFonts w:ascii="Times New Roman" w:hAnsi="Times New Roman" w:cs="Times New Roman"/>
          <w:i/>
        </w:rPr>
        <w:t xml:space="preserve">Journal of Social Welfare and Family Law, 34, </w:t>
      </w:r>
      <w:r w:rsidR="00A71ED5" w:rsidRPr="004E3173">
        <w:rPr>
          <w:rFonts w:ascii="Times New Roman" w:hAnsi="Times New Roman" w:cs="Times New Roman"/>
        </w:rPr>
        <w:t>219-230.</w:t>
      </w:r>
    </w:p>
    <w:p w14:paraId="3E28B0F2" w14:textId="78E93450" w:rsidR="00C04FE0" w:rsidRPr="004E3173" w:rsidRDefault="00C04FE0" w:rsidP="00F43A66">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Clarke, L. H. (2019). Gender, (In)equality and the Body in Later Life. In S. Westwood (Ed.), </w:t>
      </w:r>
      <w:r w:rsidRPr="00C04FE0">
        <w:rPr>
          <w:rFonts w:ascii="Times New Roman" w:hAnsi="Times New Roman" w:cs="Times New Roman"/>
          <w:i/>
        </w:rPr>
        <w:t>Ageing,</w:t>
      </w:r>
      <w:r>
        <w:rPr>
          <w:rFonts w:ascii="Times New Roman" w:hAnsi="Times New Roman" w:cs="Times New Roman"/>
        </w:rPr>
        <w:t xml:space="preserve"> </w:t>
      </w:r>
      <w:r>
        <w:rPr>
          <w:rFonts w:ascii="Times New Roman" w:hAnsi="Times New Roman" w:cs="Times New Roman"/>
          <w:i/>
        </w:rPr>
        <w:t xml:space="preserve">Diversity and Equality: Social Justice Perspectives </w:t>
      </w:r>
      <w:r>
        <w:rPr>
          <w:rFonts w:ascii="Times New Roman" w:hAnsi="Times New Roman" w:cs="Times New Roman"/>
        </w:rPr>
        <w:t>(pp. 36-47). Oxford: Routledge.</w:t>
      </w:r>
    </w:p>
    <w:p w14:paraId="72ACEBAA" w14:textId="77777777" w:rsidR="00504E7F" w:rsidRPr="004E3173" w:rsidRDefault="008B3AF8" w:rsidP="00F43A66">
      <w:pPr>
        <w:pStyle w:val="ListParagraph"/>
        <w:numPr>
          <w:ilvl w:val="0"/>
          <w:numId w:val="8"/>
        </w:numPr>
        <w:spacing w:line="360" w:lineRule="auto"/>
        <w:rPr>
          <w:rFonts w:ascii="Times New Roman" w:hAnsi="Times New Roman" w:cs="Times New Roman"/>
          <w:i/>
          <w:lang w:val="en-US"/>
        </w:rPr>
      </w:pPr>
      <w:r w:rsidRPr="004E3173">
        <w:rPr>
          <w:rFonts w:ascii="Times New Roman" w:hAnsi="Times New Roman" w:cs="Times New Roman"/>
          <w:lang w:val="en-US"/>
        </w:rPr>
        <w:lastRenderedPageBreak/>
        <w:t xml:space="preserve">Clements, L. (2011). Disability, Dignity, and the Cri de Coeur. </w:t>
      </w:r>
      <w:r w:rsidRPr="004E3173">
        <w:rPr>
          <w:rFonts w:ascii="Times New Roman" w:hAnsi="Times New Roman" w:cs="Times New Roman"/>
          <w:i/>
          <w:lang w:val="en-US"/>
        </w:rPr>
        <w:t>European Human Rights Law</w:t>
      </w:r>
      <w:r w:rsidR="004E3173">
        <w:rPr>
          <w:rFonts w:ascii="Times New Roman" w:hAnsi="Times New Roman" w:cs="Times New Roman"/>
          <w:i/>
          <w:lang w:val="en-US"/>
        </w:rPr>
        <w:t xml:space="preserve"> </w:t>
      </w:r>
      <w:r w:rsidRPr="004E3173">
        <w:rPr>
          <w:rFonts w:ascii="Times New Roman" w:hAnsi="Times New Roman" w:cs="Times New Roman"/>
          <w:i/>
          <w:lang w:val="en-US"/>
        </w:rPr>
        <w:t>Review</w:t>
      </w:r>
      <w:r w:rsidRPr="004E3173">
        <w:rPr>
          <w:rFonts w:ascii="Times New Roman" w:hAnsi="Times New Roman" w:cs="Times New Roman"/>
          <w:lang w:val="en-US"/>
        </w:rPr>
        <w:t>, 6, 675-685.</w:t>
      </w:r>
    </w:p>
    <w:p w14:paraId="6ED9D62F" w14:textId="77777777" w:rsidR="00B84A84" w:rsidRPr="004E3173" w:rsidRDefault="00B84A84"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Clough, B. (2018). New Legal Landscapes: (Re)Constructing the Boundaries of Mental Capacity Law. </w:t>
      </w:r>
      <w:r w:rsidRPr="004E3173">
        <w:rPr>
          <w:rFonts w:ascii="Times New Roman" w:hAnsi="Times New Roman" w:cs="Times New Roman"/>
          <w:i/>
        </w:rPr>
        <w:t xml:space="preserve">Medical Law Review, 26, </w:t>
      </w:r>
      <w:r w:rsidRPr="004E3173">
        <w:rPr>
          <w:rFonts w:ascii="Times New Roman" w:hAnsi="Times New Roman" w:cs="Times New Roman"/>
        </w:rPr>
        <w:t>246-275.</w:t>
      </w:r>
    </w:p>
    <w:p w14:paraId="35FACBFA" w14:textId="77777777" w:rsidR="00392069" w:rsidRPr="004E3173" w:rsidRDefault="00E87B5F"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Clough, B.</w:t>
      </w:r>
      <w:r w:rsidR="00776987" w:rsidRPr="004E3173">
        <w:rPr>
          <w:rFonts w:ascii="Times New Roman" w:hAnsi="Times New Roman" w:cs="Times New Roman"/>
        </w:rPr>
        <w:t>,</w:t>
      </w:r>
      <w:r w:rsidRPr="004E3173">
        <w:rPr>
          <w:rFonts w:ascii="Times New Roman" w:hAnsi="Times New Roman" w:cs="Times New Roman"/>
        </w:rPr>
        <w:t xml:space="preserve"> and Brazier, M. (2014). Never Too Old for Health and Human Rights? </w:t>
      </w:r>
      <w:r w:rsidRPr="004E3173">
        <w:rPr>
          <w:rFonts w:ascii="Times New Roman" w:hAnsi="Times New Roman" w:cs="Times New Roman"/>
          <w:i/>
        </w:rPr>
        <w:t xml:space="preserve">Medical Law International, 14, </w:t>
      </w:r>
      <w:r w:rsidRPr="004E3173">
        <w:rPr>
          <w:rFonts w:ascii="Times New Roman" w:hAnsi="Times New Roman" w:cs="Times New Roman"/>
        </w:rPr>
        <w:t>133-156.</w:t>
      </w:r>
    </w:p>
    <w:p w14:paraId="716FF5E2" w14:textId="77777777" w:rsidR="002D519A" w:rsidRPr="004E3173" w:rsidRDefault="004A5161" w:rsidP="00F43A66">
      <w:pPr>
        <w:pStyle w:val="ListParagraph"/>
        <w:numPr>
          <w:ilvl w:val="0"/>
          <w:numId w:val="8"/>
        </w:numPr>
        <w:spacing w:line="360" w:lineRule="auto"/>
        <w:rPr>
          <w:rFonts w:ascii="Times New Roman" w:eastAsia="Times New Roman" w:hAnsi="Times New Roman" w:cs="Times New Roman"/>
          <w:lang w:val="en-US"/>
        </w:rPr>
      </w:pPr>
      <w:r w:rsidRPr="004E3173">
        <w:rPr>
          <w:rFonts w:ascii="Times New Roman" w:hAnsi="Times New Roman" w:cs="Times New Roman"/>
        </w:rPr>
        <w:t>CPS News Centre. (2018, April 27).</w:t>
      </w:r>
      <w:r w:rsidR="00392069" w:rsidRPr="004E3173">
        <w:rPr>
          <w:rFonts w:ascii="Times New Roman" w:hAnsi="Times New Roman" w:cs="Times New Roman"/>
        </w:rPr>
        <w:t xml:space="preserve"> Woman Jailed for Neglecting her Mother – Didcot</w:t>
      </w:r>
      <w:r w:rsidRPr="004E3173">
        <w:rPr>
          <w:rFonts w:ascii="Times New Roman" w:hAnsi="Times New Roman" w:cs="Times New Roman"/>
        </w:rPr>
        <w:t>.</w:t>
      </w:r>
      <w:r w:rsidR="00392069" w:rsidRPr="004E3173">
        <w:rPr>
          <w:rFonts w:ascii="Times New Roman" w:hAnsi="Times New Roman" w:cs="Times New Roman"/>
        </w:rPr>
        <w:t xml:space="preserve"> </w:t>
      </w:r>
      <w:r w:rsidRPr="004E3173">
        <w:rPr>
          <w:rFonts w:ascii="Times New Roman" w:hAnsi="Times New Roman" w:cs="Times New Roman"/>
        </w:rPr>
        <w:t>A</w:t>
      </w:r>
      <w:r w:rsidR="00392069" w:rsidRPr="004E3173">
        <w:rPr>
          <w:rFonts w:ascii="Times New Roman" w:hAnsi="Times New Roman" w:cs="Times New Roman"/>
        </w:rPr>
        <w:t xml:space="preserve">vailable at </w:t>
      </w:r>
      <w:hyperlink r:id="rId10" w:history="1">
        <w:r w:rsidR="00392069" w:rsidRPr="004E3173">
          <w:rPr>
            <w:rStyle w:val="Hyperlink"/>
            <w:rFonts w:ascii="Times New Roman" w:eastAsia="Times New Roman" w:hAnsi="Times New Roman" w:cs="Times New Roman"/>
            <w:lang w:val="en-US"/>
          </w:rPr>
          <w:t>https://www.cps.gov.uk/thames-and-chiltern/news/woman-jailed-neglecting-her-mother-didcot</w:t>
        </w:r>
      </w:hyperlink>
      <w:r w:rsidR="00392069" w:rsidRPr="004E3173">
        <w:rPr>
          <w:rFonts w:ascii="Times New Roman" w:eastAsia="Times New Roman" w:hAnsi="Times New Roman" w:cs="Times New Roman"/>
        </w:rPr>
        <w:t xml:space="preserve"> (accessed 12 June 2019)</w:t>
      </w:r>
    </w:p>
    <w:p w14:paraId="692C6376" w14:textId="77777777" w:rsidR="008B3AF8" w:rsidRDefault="007631B3" w:rsidP="00F43A66">
      <w:pPr>
        <w:pStyle w:val="ListParagraph"/>
        <w:numPr>
          <w:ilvl w:val="0"/>
          <w:numId w:val="8"/>
        </w:numPr>
        <w:spacing w:line="360" w:lineRule="auto"/>
        <w:rPr>
          <w:rFonts w:ascii="Times New Roman" w:hAnsi="Times New Roman" w:cs="Times New Roman"/>
          <w:bCs/>
          <w:iCs/>
          <w:lang w:val="en-US"/>
        </w:rPr>
      </w:pPr>
      <w:r w:rsidRPr="004E3173">
        <w:rPr>
          <w:rFonts w:ascii="Times New Roman" w:hAnsi="Times New Roman" w:cs="Times New Roman"/>
        </w:rPr>
        <w:t xml:space="preserve">Douglas, M. (1966). </w:t>
      </w:r>
      <w:r w:rsidRPr="004E3173">
        <w:rPr>
          <w:rFonts w:ascii="Times New Roman" w:hAnsi="Times New Roman" w:cs="Times New Roman"/>
          <w:bCs/>
          <w:i/>
          <w:iCs/>
          <w:lang w:val="en-US"/>
        </w:rPr>
        <w:t xml:space="preserve">Purity and Danger: An Analysis of Concepts of Pollution and Taboo. </w:t>
      </w:r>
      <w:r w:rsidRPr="004E3173">
        <w:rPr>
          <w:rFonts w:ascii="Times New Roman" w:hAnsi="Times New Roman" w:cs="Times New Roman"/>
          <w:bCs/>
          <w:iCs/>
          <w:lang w:val="en-US"/>
        </w:rPr>
        <w:t>London: Routledge &amp; Kegan Paul.</w:t>
      </w:r>
    </w:p>
    <w:p w14:paraId="66F092E3" w14:textId="77777777" w:rsidR="006B08BB" w:rsidRPr="004E3173" w:rsidRDefault="00E8416A" w:rsidP="00F43A66">
      <w:pPr>
        <w:pStyle w:val="ListParagraph"/>
        <w:numPr>
          <w:ilvl w:val="0"/>
          <w:numId w:val="8"/>
        </w:numPr>
        <w:spacing w:line="360" w:lineRule="auto"/>
        <w:rPr>
          <w:rFonts w:ascii="Times New Roman" w:hAnsi="Times New Roman" w:cs="Times New Roman"/>
          <w:bCs/>
          <w:iCs/>
          <w:lang w:val="en-US"/>
        </w:rPr>
      </w:pPr>
      <w:r>
        <w:rPr>
          <w:rFonts w:ascii="Times New Roman" w:hAnsi="Times New Roman" w:cs="Times New Roman"/>
          <w:bCs/>
          <w:iCs/>
          <w:lang w:val="en-US"/>
        </w:rPr>
        <w:t>Fairclough, N. (2010</w:t>
      </w:r>
      <w:r w:rsidR="006B08BB">
        <w:rPr>
          <w:rFonts w:ascii="Times New Roman" w:hAnsi="Times New Roman" w:cs="Times New Roman"/>
          <w:bCs/>
          <w:iCs/>
          <w:lang w:val="en-US"/>
        </w:rPr>
        <w:t xml:space="preserve">). </w:t>
      </w:r>
      <w:r w:rsidR="006B08BB">
        <w:rPr>
          <w:rFonts w:ascii="Times New Roman" w:hAnsi="Times New Roman" w:cs="Times New Roman"/>
          <w:bCs/>
          <w:i/>
          <w:iCs/>
          <w:lang w:val="en-US"/>
        </w:rPr>
        <w:t xml:space="preserve">Critical Discourse Analysis: The Critical Study of Language. </w:t>
      </w:r>
      <w:r w:rsidR="006B08BB">
        <w:rPr>
          <w:rFonts w:ascii="Times New Roman" w:hAnsi="Times New Roman" w:cs="Times New Roman"/>
          <w:bCs/>
          <w:iCs/>
          <w:lang w:val="en-US"/>
        </w:rPr>
        <w:t>(2</w:t>
      </w:r>
      <w:r w:rsidR="00A42AB4" w:rsidRPr="009F71A7">
        <w:rPr>
          <w:rFonts w:ascii="Times New Roman" w:hAnsi="Times New Roman" w:cs="Times New Roman"/>
          <w:bCs/>
          <w:iCs/>
          <w:vertAlign w:val="superscript"/>
          <w:lang w:val="en-US"/>
        </w:rPr>
        <w:t>nd</w:t>
      </w:r>
      <w:r w:rsidR="006B08BB">
        <w:rPr>
          <w:rFonts w:ascii="Times New Roman" w:hAnsi="Times New Roman" w:cs="Times New Roman"/>
          <w:bCs/>
          <w:iCs/>
          <w:lang w:val="en-US"/>
        </w:rPr>
        <w:t xml:space="preserve"> ed.). Harlow: Routledge.</w:t>
      </w:r>
    </w:p>
    <w:p w14:paraId="363FF352" w14:textId="77777777" w:rsidR="00277D30" w:rsidRPr="004E3173" w:rsidRDefault="008B3AF8" w:rsidP="008B3AF8">
      <w:pPr>
        <w:pStyle w:val="ListParagraph"/>
        <w:numPr>
          <w:ilvl w:val="0"/>
          <w:numId w:val="8"/>
        </w:numPr>
        <w:spacing w:line="360" w:lineRule="auto"/>
        <w:rPr>
          <w:rFonts w:ascii="Times New Roman" w:hAnsi="Times New Roman" w:cs="Times New Roman"/>
          <w:bCs/>
          <w:iCs/>
          <w:lang w:val="en-US"/>
        </w:rPr>
      </w:pPr>
      <w:r w:rsidRPr="004E3173">
        <w:rPr>
          <w:rFonts w:ascii="Times New Roman" w:hAnsi="Times New Roman" w:cs="Times New Roman"/>
          <w:bCs/>
          <w:iCs/>
          <w:lang w:val="en-US"/>
        </w:rPr>
        <w:t xml:space="preserve">George, R. (2011). In Defence of Dissent: </w:t>
      </w:r>
      <w:r w:rsidRPr="004E3173">
        <w:rPr>
          <w:rFonts w:ascii="Times New Roman" w:hAnsi="Times New Roman" w:cs="Times New Roman"/>
          <w:bCs/>
          <w:i/>
          <w:iCs/>
          <w:lang w:val="en-US"/>
        </w:rPr>
        <w:t xml:space="preserve">R (McDonald) v Royal Borough of Kensington and Chelsea. Elder Law Journal, 1, </w:t>
      </w:r>
      <w:r w:rsidRPr="004E3173">
        <w:rPr>
          <w:rFonts w:ascii="Times New Roman" w:hAnsi="Times New Roman" w:cs="Times New Roman"/>
          <w:bCs/>
          <w:iCs/>
          <w:lang w:val="en-US"/>
        </w:rPr>
        <w:t>409-414.</w:t>
      </w:r>
    </w:p>
    <w:p w14:paraId="4724560B" w14:textId="77777777" w:rsidR="00992FE0" w:rsidRPr="004E3173" w:rsidRDefault="005B5805"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Gilleard, C.</w:t>
      </w:r>
      <w:r w:rsidR="00776987" w:rsidRPr="004E3173">
        <w:rPr>
          <w:rFonts w:ascii="Times New Roman" w:hAnsi="Times New Roman" w:cs="Times New Roman"/>
        </w:rPr>
        <w:t>,</w:t>
      </w:r>
      <w:r w:rsidRPr="004E3173">
        <w:rPr>
          <w:rFonts w:ascii="Times New Roman" w:hAnsi="Times New Roman" w:cs="Times New Roman"/>
        </w:rPr>
        <w:t xml:space="preserve"> and Higgs, P. (2011). Ageing Abjection and Embodiment in the Fourth Age. </w:t>
      </w:r>
      <w:r w:rsidRPr="004E3173">
        <w:rPr>
          <w:rFonts w:ascii="Times New Roman" w:hAnsi="Times New Roman" w:cs="Times New Roman"/>
          <w:i/>
        </w:rPr>
        <w:t xml:space="preserve">Journal of Aging Studies, 25, </w:t>
      </w:r>
      <w:r w:rsidRPr="004E3173">
        <w:rPr>
          <w:rFonts w:ascii="Times New Roman" w:hAnsi="Times New Roman" w:cs="Times New Roman"/>
        </w:rPr>
        <w:t>135-142.</w:t>
      </w:r>
    </w:p>
    <w:p w14:paraId="7014039E" w14:textId="77777777" w:rsidR="0034354C" w:rsidRPr="004E3173" w:rsidRDefault="00670973" w:rsidP="00670973">
      <w:pPr>
        <w:pStyle w:val="ListParagraph"/>
        <w:numPr>
          <w:ilvl w:val="0"/>
          <w:numId w:val="8"/>
        </w:numPr>
        <w:spacing w:line="360" w:lineRule="auto"/>
        <w:rPr>
          <w:rFonts w:ascii="Times New Roman" w:hAnsi="Times New Roman" w:cs="Times New Roman"/>
          <w:bCs/>
          <w:lang w:val="en-US"/>
        </w:rPr>
      </w:pPr>
      <w:r w:rsidRPr="004E3173">
        <w:rPr>
          <w:rFonts w:ascii="Times New Roman" w:hAnsi="Times New Roman" w:cs="Times New Roman"/>
        </w:rPr>
        <w:t>Graham, M. (2017). F</w:t>
      </w:r>
      <w:r w:rsidRPr="004E3173">
        <w:rPr>
          <w:rFonts w:ascii="Times New Roman" w:hAnsi="Times New Roman" w:cs="Times New Roman"/>
          <w:bCs/>
          <w:lang w:val="en-US"/>
        </w:rPr>
        <w:t xml:space="preserve">rom Wandering to Wayfaring: Reconsidering Movement in People with Dementia in Long-Term Care. </w:t>
      </w:r>
      <w:r w:rsidRPr="004E3173">
        <w:rPr>
          <w:rFonts w:ascii="Times New Roman" w:hAnsi="Times New Roman" w:cs="Times New Roman"/>
          <w:bCs/>
          <w:i/>
          <w:lang w:val="en-US"/>
        </w:rPr>
        <w:t xml:space="preserve">Dementia, 16, </w:t>
      </w:r>
      <w:r w:rsidRPr="004E3173">
        <w:rPr>
          <w:rFonts w:ascii="Times New Roman" w:hAnsi="Times New Roman" w:cs="Times New Roman"/>
          <w:bCs/>
          <w:lang w:val="en-US"/>
        </w:rPr>
        <w:t>732-749.</w:t>
      </w:r>
    </w:p>
    <w:p w14:paraId="4ADBB876" w14:textId="77777777" w:rsidR="00970EF3" w:rsidRPr="004E3173" w:rsidRDefault="0034354C" w:rsidP="00670973">
      <w:pPr>
        <w:pStyle w:val="ListParagraph"/>
        <w:numPr>
          <w:ilvl w:val="0"/>
          <w:numId w:val="8"/>
        </w:numPr>
        <w:spacing w:line="360" w:lineRule="auto"/>
        <w:rPr>
          <w:rFonts w:ascii="Times New Roman" w:hAnsi="Times New Roman" w:cs="Times New Roman"/>
          <w:bCs/>
          <w:lang w:val="en-US"/>
        </w:rPr>
      </w:pPr>
      <w:r w:rsidRPr="004E3173">
        <w:rPr>
          <w:rFonts w:ascii="Times New Roman" w:hAnsi="Times New Roman" w:cs="Times New Roman"/>
          <w:bCs/>
          <w:lang w:val="en-US"/>
        </w:rPr>
        <w:t xml:space="preserve">Grosz, E. (1994). </w:t>
      </w:r>
      <w:r w:rsidRPr="004E3173">
        <w:rPr>
          <w:rFonts w:ascii="Times New Roman" w:hAnsi="Times New Roman" w:cs="Times New Roman"/>
          <w:bCs/>
          <w:i/>
          <w:lang w:val="en-US"/>
        </w:rPr>
        <w:t xml:space="preserve">Volatile Bodies: Towards a Corporeal Feminism. </w:t>
      </w:r>
      <w:r w:rsidRPr="004E3173">
        <w:rPr>
          <w:rFonts w:ascii="Times New Roman" w:hAnsi="Times New Roman" w:cs="Times New Roman"/>
          <w:bCs/>
          <w:lang w:val="en-US"/>
        </w:rPr>
        <w:t>Bloomington and Indianapolis: Indiana University Press.</w:t>
      </w:r>
    </w:p>
    <w:p w14:paraId="6A406EA4" w14:textId="77777777" w:rsidR="00724ED1" w:rsidRPr="004E3173" w:rsidRDefault="00970EF3" w:rsidP="00670973">
      <w:pPr>
        <w:pStyle w:val="ListParagraph"/>
        <w:numPr>
          <w:ilvl w:val="0"/>
          <w:numId w:val="8"/>
        </w:numPr>
        <w:spacing w:line="360" w:lineRule="auto"/>
        <w:rPr>
          <w:rFonts w:ascii="Times New Roman" w:hAnsi="Times New Roman" w:cs="Times New Roman"/>
          <w:bCs/>
          <w:i/>
          <w:lang w:val="en-US"/>
        </w:rPr>
      </w:pPr>
      <w:r w:rsidRPr="004E3173">
        <w:rPr>
          <w:rFonts w:ascii="Times New Roman" w:hAnsi="Times New Roman" w:cs="Times New Roman"/>
          <w:bCs/>
          <w:lang w:val="en-US"/>
        </w:rPr>
        <w:t xml:space="preserve">Grubb, S. (2018, March 27). Jury at Oxford Crown Court finds Emma-Jane Kurtz of Didcot guilty of neglect. </w:t>
      </w:r>
      <w:r w:rsidRPr="004E3173">
        <w:rPr>
          <w:rFonts w:ascii="Times New Roman" w:hAnsi="Times New Roman" w:cs="Times New Roman"/>
          <w:bCs/>
          <w:i/>
          <w:lang w:val="en-US"/>
        </w:rPr>
        <w:t>Oxford Mail.</w:t>
      </w:r>
    </w:p>
    <w:p w14:paraId="18FA0BA7" w14:textId="77777777" w:rsidR="00504E7F" w:rsidRPr="004E3173" w:rsidRDefault="00504E7F" w:rsidP="00504E7F">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Harding, R. (2012). Legal Constructions of Dementia: Discourses of Autonomy at the Margins of Capacity. </w:t>
      </w:r>
      <w:r w:rsidRPr="004E3173">
        <w:rPr>
          <w:rFonts w:ascii="Times New Roman" w:hAnsi="Times New Roman" w:cs="Times New Roman"/>
          <w:i/>
        </w:rPr>
        <w:t xml:space="preserve">Journal of Social Welfare and Family Law, 34, </w:t>
      </w:r>
      <w:r w:rsidRPr="004E3173">
        <w:rPr>
          <w:rFonts w:ascii="Times New Roman" w:hAnsi="Times New Roman" w:cs="Times New Roman"/>
        </w:rPr>
        <w:t>425-442.</w:t>
      </w:r>
    </w:p>
    <w:p w14:paraId="4B9DCCD9" w14:textId="77777777" w:rsidR="008723F1" w:rsidRPr="004E3173" w:rsidRDefault="005D1DB9" w:rsidP="00F43A66">
      <w:pPr>
        <w:pStyle w:val="ListParagraph"/>
        <w:numPr>
          <w:ilvl w:val="0"/>
          <w:numId w:val="8"/>
        </w:numPr>
        <w:spacing w:line="360" w:lineRule="auto"/>
        <w:rPr>
          <w:rFonts w:ascii="Times New Roman" w:hAnsi="Times New Roman" w:cs="Times New Roman"/>
          <w:lang w:val="en-US"/>
        </w:rPr>
      </w:pPr>
      <w:r w:rsidRPr="004E3173">
        <w:rPr>
          <w:rFonts w:ascii="Times New Roman" w:hAnsi="Times New Roman" w:cs="Times New Roman"/>
        </w:rPr>
        <w:t xml:space="preserve">Harmon, L. (1990). </w:t>
      </w:r>
      <w:r w:rsidRPr="004E3173">
        <w:rPr>
          <w:rFonts w:ascii="Times New Roman" w:hAnsi="Times New Roman" w:cs="Times New Roman"/>
          <w:lang w:val="en-US"/>
        </w:rPr>
        <w:t xml:space="preserve">Falling off the Vine: Legal Fictions and The Doctrine of Substituted Judgment. </w:t>
      </w:r>
      <w:r w:rsidRPr="004E3173">
        <w:rPr>
          <w:rFonts w:ascii="Times New Roman" w:hAnsi="Times New Roman" w:cs="Times New Roman"/>
          <w:i/>
          <w:lang w:val="en-US"/>
        </w:rPr>
        <w:t xml:space="preserve">Yale Law Journal, 100, </w:t>
      </w:r>
      <w:r w:rsidRPr="004E3173">
        <w:rPr>
          <w:rFonts w:ascii="Times New Roman" w:hAnsi="Times New Roman" w:cs="Times New Roman"/>
          <w:lang w:val="en-US"/>
        </w:rPr>
        <w:t>1-72.</w:t>
      </w:r>
    </w:p>
    <w:p w14:paraId="4C4D052B" w14:textId="77777777" w:rsidR="005D1DB9" w:rsidRPr="004E3173" w:rsidRDefault="003C4DD3" w:rsidP="00F43A66">
      <w:pPr>
        <w:pStyle w:val="ListParagraph"/>
        <w:numPr>
          <w:ilvl w:val="0"/>
          <w:numId w:val="8"/>
        </w:numPr>
        <w:spacing w:line="360" w:lineRule="auto"/>
        <w:rPr>
          <w:rFonts w:ascii="Times New Roman" w:eastAsia="Times New Roman" w:hAnsi="Times New Roman" w:cs="Times New Roman"/>
          <w:lang w:val="en-US"/>
        </w:rPr>
      </w:pPr>
      <w:r w:rsidRPr="004E3173">
        <w:rPr>
          <w:rFonts w:ascii="Times New Roman" w:eastAsia="Times New Roman" w:hAnsi="Times New Roman" w:cs="Times New Roman"/>
          <w:lang w:val="en-US"/>
        </w:rPr>
        <w:t xml:space="preserve">Harrington, J., Series, L., and Ruck Keene, A. (2019). Law and Rhetoric: Critical Possibilities. </w:t>
      </w:r>
      <w:r w:rsidRPr="004E3173">
        <w:rPr>
          <w:rFonts w:ascii="Times New Roman" w:eastAsia="Times New Roman" w:hAnsi="Times New Roman" w:cs="Times New Roman"/>
          <w:i/>
          <w:lang w:val="en-US"/>
        </w:rPr>
        <w:t xml:space="preserve">Journal of Law and Society, 46, </w:t>
      </w:r>
      <w:r w:rsidRPr="004E3173">
        <w:rPr>
          <w:rFonts w:ascii="Times New Roman" w:eastAsia="Times New Roman" w:hAnsi="Times New Roman" w:cs="Times New Roman"/>
          <w:lang w:val="en-US"/>
        </w:rPr>
        <w:t>302-327.</w:t>
      </w:r>
    </w:p>
    <w:p w14:paraId="41CC26A7" w14:textId="77777777" w:rsidR="00504E7F" w:rsidRPr="004E3173" w:rsidRDefault="00E87B5F"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Herring, J. (2009). Losing It? Losing What? The Law and Dementia. </w:t>
      </w:r>
      <w:r w:rsidRPr="004E3173">
        <w:rPr>
          <w:rFonts w:ascii="Times New Roman" w:hAnsi="Times New Roman" w:cs="Times New Roman"/>
          <w:i/>
        </w:rPr>
        <w:t xml:space="preserve">Child &amp; Family Law Quarterly, 21, </w:t>
      </w:r>
      <w:r w:rsidRPr="004E3173">
        <w:rPr>
          <w:rFonts w:ascii="Times New Roman" w:hAnsi="Times New Roman" w:cs="Times New Roman"/>
        </w:rPr>
        <w:t>3-29.</w:t>
      </w:r>
    </w:p>
    <w:p w14:paraId="5332957B" w14:textId="77777777" w:rsidR="001A20A8" w:rsidRPr="004E3173" w:rsidRDefault="001A20A8" w:rsidP="00A97BC0">
      <w:pPr>
        <w:pStyle w:val="ListParagraph"/>
        <w:numPr>
          <w:ilvl w:val="0"/>
          <w:numId w:val="8"/>
        </w:numPr>
        <w:spacing w:line="360" w:lineRule="auto"/>
        <w:rPr>
          <w:rFonts w:ascii="Times New Roman" w:hAnsi="Times New Roman" w:cs="Times New Roman"/>
          <w:lang w:val="en-US"/>
        </w:rPr>
      </w:pPr>
      <w:r>
        <w:rPr>
          <w:rFonts w:ascii="Times New Roman" w:hAnsi="Times New Roman" w:cs="Times New Roman"/>
          <w:lang w:val="en-US"/>
        </w:rPr>
        <w:t xml:space="preserve">Hunter, R., McGlynn, </w:t>
      </w:r>
      <w:r w:rsidR="001D7BF1">
        <w:rPr>
          <w:rFonts w:ascii="Times New Roman" w:hAnsi="Times New Roman" w:cs="Times New Roman"/>
          <w:lang w:val="en-US"/>
        </w:rPr>
        <w:t xml:space="preserve">C., and Rackley, E (eds). (2010). </w:t>
      </w:r>
      <w:r w:rsidR="001D7BF1">
        <w:rPr>
          <w:rFonts w:ascii="Times New Roman" w:hAnsi="Times New Roman" w:cs="Times New Roman"/>
          <w:i/>
          <w:lang w:val="en-US"/>
        </w:rPr>
        <w:t xml:space="preserve">Feminist Judgments: From Theory to Practice. </w:t>
      </w:r>
      <w:r w:rsidR="001D7BF1">
        <w:rPr>
          <w:rFonts w:ascii="Times New Roman" w:hAnsi="Times New Roman" w:cs="Times New Roman"/>
          <w:lang w:val="en-US"/>
        </w:rPr>
        <w:t>Oxford: Hart.</w:t>
      </w:r>
    </w:p>
    <w:p w14:paraId="569D6F37" w14:textId="77777777" w:rsidR="006719AC" w:rsidRPr="004E3173" w:rsidRDefault="006719AC" w:rsidP="006719AC">
      <w:pPr>
        <w:pStyle w:val="ListParagraph"/>
        <w:numPr>
          <w:ilvl w:val="0"/>
          <w:numId w:val="8"/>
        </w:numPr>
        <w:spacing w:line="360" w:lineRule="auto"/>
        <w:rPr>
          <w:rFonts w:ascii="Times New Roman" w:hAnsi="Times New Roman" w:cs="Times New Roman"/>
          <w:lang w:val="en-US"/>
        </w:rPr>
      </w:pPr>
      <w:r w:rsidRPr="004E3173">
        <w:rPr>
          <w:rFonts w:ascii="Times New Roman" w:hAnsi="Times New Roman" w:cs="Times New Roman"/>
          <w:lang w:val="en-US"/>
        </w:rPr>
        <w:lastRenderedPageBreak/>
        <w:t xml:space="preserve">Kanter, A. (2009). The United Nations Convention on the Rights of Persons with Disabilities and its Implications for the Rights of Elderly People under International Law. </w:t>
      </w:r>
      <w:r w:rsidRPr="004E3173">
        <w:rPr>
          <w:rFonts w:ascii="Times New Roman" w:hAnsi="Times New Roman" w:cs="Times New Roman"/>
          <w:i/>
          <w:lang w:val="en-US"/>
        </w:rPr>
        <w:t>Georgia State University Law Review, 25</w:t>
      </w:r>
      <w:r w:rsidRPr="004E3173">
        <w:rPr>
          <w:rFonts w:ascii="Times New Roman" w:hAnsi="Times New Roman" w:cs="Times New Roman"/>
          <w:lang w:val="en-US"/>
        </w:rPr>
        <w:t>, 527-273.</w:t>
      </w:r>
    </w:p>
    <w:p w14:paraId="70C08185" w14:textId="77777777" w:rsidR="005E5775" w:rsidRPr="004E3173" w:rsidRDefault="005222AA" w:rsidP="006719AC">
      <w:pPr>
        <w:pStyle w:val="ListParagraph"/>
        <w:numPr>
          <w:ilvl w:val="0"/>
          <w:numId w:val="8"/>
        </w:numPr>
        <w:spacing w:line="360" w:lineRule="auto"/>
        <w:rPr>
          <w:rFonts w:ascii="Times New Roman" w:hAnsi="Times New Roman" w:cs="Times New Roman"/>
          <w:lang w:val="en-US"/>
        </w:rPr>
      </w:pPr>
      <w:r w:rsidRPr="004E3173">
        <w:rPr>
          <w:rFonts w:ascii="Times New Roman" w:hAnsi="Times New Roman" w:cs="Times New Roman"/>
          <w:lang w:val="en-US"/>
        </w:rPr>
        <w:t xml:space="preserve">Keywood, K. (2000). More Than a Woman? Embodiment and Sexual Difference in Medical Law. </w:t>
      </w:r>
      <w:r w:rsidRPr="004E3173">
        <w:rPr>
          <w:rFonts w:ascii="Times New Roman" w:hAnsi="Times New Roman" w:cs="Times New Roman"/>
          <w:i/>
          <w:lang w:val="en-US"/>
        </w:rPr>
        <w:t xml:space="preserve">Feminist Legal Studies, 8, </w:t>
      </w:r>
      <w:r w:rsidRPr="004E3173">
        <w:rPr>
          <w:rFonts w:ascii="Times New Roman" w:hAnsi="Times New Roman" w:cs="Times New Roman"/>
          <w:lang w:val="en-US"/>
        </w:rPr>
        <w:t>319-342.</w:t>
      </w:r>
    </w:p>
    <w:p w14:paraId="2435C4C7" w14:textId="77777777" w:rsidR="00123C1D" w:rsidRPr="004E3173" w:rsidRDefault="005E5775" w:rsidP="00776987">
      <w:pPr>
        <w:pStyle w:val="ListParagraph"/>
        <w:numPr>
          <w:ilvl w:val="0"/>
          <w:numId w:val="8"/>
        </w:numPr>
        <w:spacing w:line="360" w:lineRule="auto"/>
        <w:rPr>
          <w:rFonts w:ascii="Times New Roman" w:hAnsi="Times New Roman" w:cs="Times New Roman"/>
          <w:lang w:val="en-US"/>
        </w:rPr>
      </w:pPr>
      <w:r w:rsidRPr="004E3173">
        <w:rPr>
          <w:rFonts w:ascii="Times New Roman" w:hAnsi="Times New Roman" w:cs="Times New Roman"/>
          <w:lang w:val="en-US"/>
        </w:rPr>
        <w:t xml:space="preserve">Keywood, K. (2017). The Vulnerable Adult Experiment: Situating Vulnerability in Adult Safeguarding Law and Policy. </w:t>
      </w:r>
      <w:r w:rsidRPr="004E3173">
        <w:rPr>
          <w:rFonts w:ascii="Times New Roman" w:hAnsi="Times New Roman" w:cs="Times New Roman"/>
          <w:i/>
          <w:lang w:val="en-US"/>
        </w:rPr>
        <w:t xml:space="preserve">International Journal of Law and Psychiatry, 53, </w:t>
      </w:r>
      <w:r w:rsidRPr="004E3173">
        <w:rPr>
          <w:rFonts w:ascii="Times New Roman" w:hAnsi="Times New Roman" w:cs="Times New Roman"/>
          <w:lang w:val="en-US"/>
        </w:rPr>
        <w:t>88-96.</w:t>
      </w:r>
    </w:p>
    <w:p w14:paraId="3DCACAB4" w14:textId="77777777" w:rsidR="00381CD2" w:rsidRPr="004E3173" w:rsidRDefault="00776987" w:rsidP="00F43A66">
      <w:pPr>
        <w:pStyle w:val="ListParagraph"/>
        <w:numPr>
          <w:ilvl w:val="0"/>
          <w:numId w:val="8"/>
        </w:numPr>
        <w:spacing w:line="360" w:lineRule="auto"/>
        <w:rPr>
          <w:rFonts w:ascii="Times New Roman" w:hAnsi="Times New Roman" w:cs="Times New Roman"/>
          <w:lang w:val="en-US"/>
        </w:rPr>
      </w:pPr>
      <w:r w:rsidRPr="004E3173">
        <w:rPr>
          <w:rFonts w:ascii="Times New Roman" w:hAnsi="Times New Roman" w:cs="Times New Roman"/>
          <w:lang w:val="en-US"/>
        </w:rPr>
        <w:t xml:space="preserve">Kong, C., Coggon, J., Dunn, M., and Cooper, P. (2019). Judging Values and Participation in Mental Capacity Law. </w:t>
      </w:r>
      <w:r w:rsidRPr="004E3173">
        <w:rPr>
          <w:rFonts w:ascii="Times New Roman" w:hAnsi="Times New Roman" w:cs="Times New Roman"/>
          <w:i/>
          <w:lang w:val="en-US"/>
        </w:rPr>
        <w:t xml:space="preserve">Laws, 8, </w:t>
      </w:r>
      <w:r w:rsidRPr="004E3173">
        <w:rPr>
          <w:rFonts w:ascii="Times New Roman" w:hAnsi="Times New Roman" w:cs="Times New Roman"/>
          <w:lang w:val="en-US"/>
        </w:rPr>
        <w:t>3-25.</w:t>
      </w:r>
    </w:p>
    <w:p w14:paraId="27CF2F03" w14:textId="77777777" w:rsidR="00504E7F" w:rsidRDefault="00967901"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Kristeva, J. (1982). </w:t>
      </w:r>
      <w:r w:rsidRPr="004E3173">
        <w:rPr>
          <w:rFonts w:ascii="Times New Roman" w:hAnsi="Times New Roman" w:cs="Times New Roman"/>
          <w:i/>
        </w:rPr>
        <w:t xml:space="preserve">Powers of Horror: An Essay on Abjection. </w:t>
      </w:r>
      <w:r w:rsidRPr="004E3173">
        <w:rPr>
          <w:rFonts w:ascii="Times New Roman" w:hAnsi="Times New Roman" w:cs="Times New Roman"/>
        </w:rPr>
        <w:t xml:space="preserve">New York: Columbia University Press. </w:t>
      </w:r>
    </w:p>
    <w:p w14:paraId="1A42A40C" w14:textId="77777777" w:rsidR="005C75A0" w:rsidRPr="004E3173" w:rsidRDefault="005C75A0" w:rsidP="005C75A0">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Kristeva, J. (2010). Liberty, Equality, Fraternity, and.</w:t>
      </w:r>
      <w:proofErr w:type="gramStart"/>
      <w:r w:rsidRPr="004E3173">
        <w:rPr>
          <w:rFonts w:ascii="Times New Roman" w:hAnsi="Times New Roman" w:cs="Times New Roman"/>
        </w:rPr>
        <w:t>..Vulnerability</w:t>
      </w:r>
      <w:proofErr w:type="gramEnd"/>
      <w:r w:rsidRPr="004E3173">
        <w:rPr>
          <w:rFonts w:ascii="Times New Roman" w:hAnsi="Times New Roman" w:cs="Times New Roman"/>
        </w:rPr>
        <w:t xml:space="preserve">. </w:t>
      </w:r>
      <w:r w:rsidRPr="004E3173">
        <w:rPr>
          <w:rFonts w:ascii="Times New Roman" w:hAnsi="Times New Roman" w:cs="Times New Roman"/>
          <w:i/>
        </w:rPr>
        <w:t xml:space="preserve">Women’s Studies Quarterly, 38, </w:t>
      </w:r>
      <w:r w:rsidRPr="004E3173">
        <w:rPr>
          <w:rFonts w:ascii="Times New Roman" w:hAnsi="Times New Roman" w:cs="Times New Roman"/>
        </w:rPr>
        <w:t>251-268.</w:t>
      </w:r>
    </w:p>
    <w:p w14:paraId="0A4F7FDA" w14:textId="1996D9F3" w:rsidR="005C75A0" w:rsidRPr="005C75A0" w:rsidRDefault="005C75A0" w:rsidP="005C75A0">
      <w:pPr>
        <w:pStyle w:val="ListParagraph"/>
        <w:numPr>
          <w:ilvl w:val="0"/>
          <w:numId w:val="8"/>
        </w:numPr>
        <w:spacing w:line="360" w:lineRule="auto"/>
        <w:rPr>
          <w:rFonts w:ascii="Times New Roman" w:hAnsi="Times New Roman" w:cs="Times New Roman"/>
          <w:bCs/>
          <w:lang w:val="en-US"/>
        </w:rPr>
      </w:pPr>
      <w:r w:rsidRPr="004E3173">
        <w:rPr>
          <w:rFonts w:ascii="Times New Roman" w:hAnsi="Times New Roman" w:cs="Times New Roman"/>
        </w:rPr>
        <w:t xml:space="preserve">Kristeva, J. (2013). </w:t>
      </w:r>
      <w:r w:rsidRPr="004E3173">
        <w:rPr>
          <w:rFonts w:ascii="Times New Roman" w:hAnsi="Times New Roman" w:cs="Times New Roman"/>
          <w:bCs/>
          <w:lang w:val="en-US"/>
        </w:rPr>
        <w:t xml:space="preserve">A Tragedy and a Dream: Disability Revisited. </w:t>
      </w:r>
      <w:r w:rsidRPr="004E3173">
        <w:rPr>
          <w:rFonts w:ascii="Times New Roman" w:hAnsi="Times New Roman" w:cs="Times New Roman"/>
          <w:bCs/>
          <w:i/>
          <w:lang w:val="en-US"/>
        </w:rPr>
        <w:t xml:space="preserve">Irish Theological Quarterly, 78, </w:t>
      </w:r>
      <w:r w:rsidRPr="004E3173">
        <w:rPr>
          <w:rFonts w:ascii="Times New Roman" w:hAnsi="Times New Roman" w:cs="Times New Roman"/>
          <w:bCs/>
          <w:lang w:val="en-US"/>
        </w:rPr>
        <w:t>219-230.</w:t>
      </w:r>
    </w:p>
    <w:p w14:paraId="10B25CED" w14:textId="77777777" w:rsidR="00504E7F" w:rsidRPr="004E3173" w:rsidRDefault="00EF12A0" w:rsidP="00F43A66">
      <w:pPr>
        <w:pStyle w:val="ListParagraph"/>
        <w:numPr>
          <w:ilvl w:val="0"/>
          <w:numId w:val="8"/>
        </w:numPr>
        <w:spacing w:line="360" w:lineRule="auto"/>
        <w:rPr>
          <w:rFonts w:ascii="Times New Roman" w:hAnsi="Times New Roman" w:cs="Times New Roman"/>
          <w:bCs/>
          <w:lang w:val="en-US"/>
        </w:rPr>
      </w:pPr>
      <w:r w:rsidRPr="004E3173">
        <w:rPr>
          <w:rFonts w:ascii="Times New Roman" w:hAnsi="Times New Roman" w:cs="Times New Roman"/>
          <w:bCs/>
          <w:lang w:val="en-US"/>
        </w:rPr>
        <w:t xml:space="preserve">Ludwin, K., and Parker, G. (2015). </w:t>
      </w:r>
      <w:r w:rsidRPr="004E3173">
        <w:rPr>
          <w:rFonts w:ascii="Times New Roman" w:hAnsi="Times New Roman" w:cs="Times New Roman"/>
          <w:bCs/>
          <w:i/>
          <w:lang w:val="en-US"/>
        </w:rPr>
        <w:t xml:space="preserve">Women and Dementia: All but Forgotten? </w:t>
      </w:r>
      <w:r w:rsidRPr="004E3173">
        <w:rPr>
          <w:rFonts w:ascii="Times New Roman" w:hAnsi="Times New Roman" w:cs="Times New Roman"/>
          <w:bCs/>
          <w:lang w:val="en-US"/>
        </w:rPr>
        <w:t xml:space="preserve">York: University of York. </w:t>
      </w:r>
    </w:p>
    <w:p w14:paraId="1339DF65" w14:textId="77777777" w:rsidR="00F25537" w:rsidRPr="004E3173" w:rsidRDefault="003959E1"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Moi, T. (1986). </w:t>
      </w:r>
      <w:r w:rsidRPr="004E3173">
        <w:rPr>
          <w:rFonts w:ascii="Times New Roman" w:hAnsi="Times New Roman" w:cs="Times New Roman"/>
          <w:i/>
        </w:rPr>
        <w:t xml:space="preserve">The Kristeva Reader. </w:t>
      </w:r>
      <w:r w:rsidRPr="004E3173">
        <w:rPr>
          <w:rFonts w:ascii="Times New Roman" w:hAnsi="Times New Roman" w:cs="Times New Roman"/>
        </w:rPr>
        <w:t>New York: Columbia University Press.</w:t>
      </w:r>
    </w:p>
    <w:p w14:paraId="0CA98550" w14:textId="77777777" w:rsidR="00504E7F" w:rsidRPr="004E3173" w:rsidRDefault="00670973" w:rsidP="00F43A66">
      <w:pPr>
        <w:pStyle w:val="ListParagraph"/>
        <w:numPr>
          <w:ilvl w:val="0"/>
          <w:numId w:val="8"/>
        </w:numPr>
        <w:spacing w:line="360" w:lineRule="auto"/>
        <w:rPr>
          <w:rFonts w:ascii="Times New Roman" w:hAnsi="Times New Roman" w:cs="Times New Roman"/>
          <w:b/>
          <w:bCs/>
          <w:lang w:val="en-US"/>
        </w:rPr>
      </w:pPr>
      <w:r w:rsidRPr="004E3173">
        <w:rPr>
          <w:rFonts w:ascii="Times New Roman" w:hAnsi="Times New Roman" w:cs="Times New Roman"/>
        </w:rPr>
        <w:t>Peel, E. (</w:t>
      </w:r>
      <w:r w:rsidR="005D1DB9" w:rsidRPr="004E3173">
        <w:rPr>
          <w:rFonts w:ascii="Times New Roman" w:hAnsi="Times New Roman" w:cs="Times New Roman"/>
        </w:rPr>
        <w:t xml:space="preserve">2014). </w:t>
      </w:r>
      <w:r w:rsidR="005D1DB9" w:rsidRPr="004E3173">
        <w:rPr>
          <w:rFonts w:ascii="Times New Roman" w:hAnsi="Times New Roman" w:cs="Times New Roman"/>
          <w:bCs/>
          <w:lang w:val="en-US"/>
        </w:rPr>
        <w:t xml:space="preserve">‘The Living Death of Alzheimer's’ Versus ‘Take a Walk to Keep Dementia at Bay’: Representations of Dementia in Print Media and Carer Discourse. </w:t>
      </w:r>
      <w:r w:rsidR="005D1DB9" w:rsidRPr="004E3173">
        <w:rPr>
          <w:rFonts w:ascii="Times New Roman" w:hAnsi="Times New Roman" w:cs="Times New Roman"/>
          <w:bCs/>
          <w:i/>
          <w:lang w:val="en-US"/>
        </w:rPr>
        <w:t xml:space="preserve">Sociology of Health &amp; Illness, 36, </w:t>
      </w:r>
      <w:r w:rsidR="005D1DB9" w:rsidRPr="004E3173">
        <w:rPr>
          <w:rFonts w:ascii="Times New Roman" w:hAnsi="Times New Roman" w:cs="Times New Roman"/>
          <w:bCs/>
          <w:lang w:val="en-US"/>
        </w:rPr>
        <w:t>885-901.</w:t>
      </w:r>
    </w:p>
    <w:p w14:paraId="5E6C0F06" w14:textId="77777777" w:rsidR="00504E7F" w:rsidRPr="004E3173" w:rsidRDefault="00504E7F"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Pritchard-Jones, L. (2016a). The Good, the Bad, and the ‘Vulnerable Older Adult’. </w:t>
      </w:r>
      <w:r w:rsidRPr="004E3173">
        <w:rPr>
          <w:rFonts w:ascii="Times New Roman" w:hAnsi="Times New Roman" w:cs="Times New Roman"/>
          <w:i/>
        </w:rPr>
        <w:t>Journal of Social Welfare and Family Law, 38,</w:t>
      </w:r>
      <w:r w:rsidRPr="004E3173">
        <w:rPr>
          <w:rFonts w:ascii="Times New Roman" w:hAnsi="Times New Roman" w:cs="Times New Roman"/>
        </w:rPr>
        <w:t xml:space="preserve"> 51-72. </w:t>
      </w:r>
    </w:p>
    <w:p w14:paraId="72894586" w14:textId="77777777" w:rsidR="00A71ED5" w:rsidRPr="004E3173" w:rsidRDefault="00E87B5F"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Pritchard-Jones, L. (2016</w:t>
      </w:r>
      <w:r w:rsidR="00504E7F" w:rsidRPr="004E3173">
        <w:rPr>
          <w:rFonts w:ascii="Times New Roman" w:hAnsi="Times New Roman" w:cs="Times New Roman"/>
        </w:rPr>
        <w:t>b</w:t>
      </w:r>
      <w:r w:rsidRPr="004E3173">
        <w:rPr>
          <w:rFonts w:ascii="Times New Roman" w:hAnsi="Times New Roman" w:cs="Times New Roman"/>
        </w:rPr>
        <w:t xml:space="preserve">). “This Man with Dementia” – ‘Othering’ the Person with Dementia in the Court of Protection. </w:t>
      </w:r>
      <w:r w:rsidRPr="004E3173">
        <w:rPr>
          <w:rFonts w:ascii="Times New Roman" w:hAnsi="Times New Roman" w:cs="Times New Roman"/>
          <w:i/>
        </w:rPr>
        <w:t xml:space="preserve">Medical Law Review, 24, </w:t>
      </w:r>
      <w:r w:rsidRPr="004E3173">
        <w:rPr>
          <w:rFonts w:ascii="Times New Roman" w:hAnsi="Times New Roman" w:cs="Times New Roman"/>
        </w:rPr>
        <w:t>518-543.</w:t>
      </w:r>
    </w:p>
    <w:p w14:paraId="173D188C" w14:textId="77777777" w:rsidR="00236B71" w:rsidRPr="004E3173" w:rsidRDefault="00A71ED5"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Pritchard-Jones, L. (2018). Revisiting the Feminist Critique of Rights: Lessons for a New Older Persons’ Convention? In B. Clough, &amp; J. Herring (Eds.), </w:t>
      </w:r>
      <w:r w:rsidRPr="004E3173">
        <w:rPr>
          <w:rFonts w:ascii="Times New Roman" w:hAnsi="Times New Roman" w:cs="Times New Roman"/>
          <w:i/>
        </w:rPr>
        <w:t xml:space="preserve">Ageing, Gender and Family Law </w:t>
      </w:r>
      <w:r w:rsidRPr="004E3173">
        <w:rPr>
          <w:rFonts w:ascii="Times New Roman" w:hAnsi="Times New Roman" w:cs="Times New Roman"/>
        </w:rPr>
        <w:t>(pp.109-125). Abingdon: Routledge.</w:t>
      </w:r>
    </w:p>
    <w:p w14:paraId="04742ED1" w14:textId="77777777" w:rsidR="00A06E20" w:rsidRPr="004E3173" w:rsidRDefault="00A06E20" w:rsidP="00F43A66">
      <w:pPr>
        <w:pStyle w:val="ListParagraph"/>
        <w:numPr>
          <w:ilvl w:val="0"/>
          <w:numId w:val="8"/>
        </w:numPr>
        <w:spacing w:line="360" w:lineRule="auto"/>
        <w:rPr>
          <w:rFonts w:ascii="Times New Roman" w:hAnsi="Times New Roman" w:cs="Times New Roman"/>
          <w:b/>
          <w:bCs/>
          <w:i/>
          <w:color w:val="000000" w:themeColor="text1"/>
          <w:lang w:val="en-US"/>
        </w:rPr>
      </w:pPr>
      <w:r w:rsidRPr="004E3173">
        <w:rPr>
          <w:rFonts w:ascii="Times New Roman" w:hAnsi="Times New Roman" w:cs="Times New Roman"/>
          <w:color w:val="000000" w:themeColor="text1"/>
        </w:rPr>
        <w:t xml:space="preserve">Ruck Keene, A., Kane, N., Kim, S., and Owen, G. (2019). </w:t>
      </w:r>
      <w:r w:rsidRPr="004E3173">
        <w:rPr>
          <w:rFonts w:ascii="Times New Roman" w:hAnsi="Times New Roman" w:cs="Times New Roman"/>
          <w:bCs/>
          <w:color w:val="000000" w:themeColor="text1"/>
          <w:lang w:val="en-US"/>
        </w:rPr>
        <w:t xml:space="preserve">Taking Capacity Seriously? Ten Years of Mental Capacity Disputes Before England's Court of Protection. </w:t>
      </w:r>
      <w:r w:rsidRPr="004E3173">
        <w:rPr>
          <w:rFonts w:ascii="Times New Roman" w:hAnsi="Times New Roman" w:cs="Times New Roman"/>
          <w:bCs/>
          <w:i/>
          <w:color w:val="000000" w:themeColor="text1"/>
          <w:lang w:val="en-US"/>
        </w:rPr>
        <w:t xml:space="preserve">International Journal of Law and Psychiatry, 62, </w:t>
      </w:r>
      <w:r w:rsidRPr="004E3173">
        <w:rPr>
          <w:rFonts w:ascii="Times New Roman" w:hAnsi="Times New Roman" w:cs="Times New Roman"/>
          <w:bCs/>
          <w:color w:val="000000" w:themeColor="text1"/>
          <w:lang w:val="en-US"/>
        </w:rPr>
        <w:t>56-76.</w:t>
      </w:r>
    </w:p>
    <w:p w14:paraId="7834BAB9" w14:textId="77777777" w:rsidR="00614FD8" w:rsidRPr="004E3173" w:rsidRDefault="00EF12A0" w:rsidP="00A06E20">
      <w:pPr>
        <w:pStyle w:val="ListParagraph"/>
        <w:numPr>
          <w:ilvl w:val="0"/>
          <w:numId w:val="8"/>
        </w:numPr>
        <w:spacing w:line="360" w:lineRule="auto"/>
        <w:rPr>
          <w:rFonts w:ascii="Times New Roman" w:hAnsi="Times New Roman" w:cs="Times New Roman"/>
          <w:color w:val="000000" w:themeColor="text1"/>
        </w:rPr>
      </w:pPr>
      <w:r w:rsidRPr="004E3173">
        <w:rPr>
          <w:rFonts w:ascii="Times New Roman" w:hAnsi="Times New Roman" w:cs="Times New Roman"/>
          <w:color w:val="000000" w:themeColor="text1"/>
        </w:rPr>
        <w:t xml:space="preserve">Savitch, N., Abbott, E., and Parker, G. (2015). </w:t>
      </w:r>
      <w:r w:rsidR="00EB6BBB" w:rsidRPr="004E3173">
        <w:rPr>
          <w:rFonts w:ascii="Times New Roman" w:hAnsi="Times New Roman" w:cs="Times New Roman"/>
          <w:i/>
          <w:color w:val="000000" w:themeColor="text1"/>
        </w:rPr>
        <w:t xml:space="preserve">Dementia: Through the Eyes of Women. </w:t>
      </w:r>
      <w:r w:rsidR="00EB6BBB" w:rsidRPr="004E3173">
        <w:rPr>
          <w:rFonts w:ascii="Times New Roman" w:hAnsi="Times New Roman" w:cs="Times New Roman"/>
          <w:color w:val="000000" w:themeColor="text1"/>
        </w:rPr>
        <w:t>York: Joseph Rowntree Foundation.</w:t>
      </w:r>
    </w:p>
    <w:p w14:paraId="19EC5142" w14:textId="77777777" w:rsidR="00EB6BBB" w:rsidRPr="004E3173" w:rsidRDefault="00614FD8" w:rsidP="00A06E20">
      <w:pPr>
        <w:pStyle w:val="ListParagraph"/>
        <w:numPr>
          <w:ilvl w:val="0"/>
          <w:numId w:val="8"/>
        </w:numPr>
        <w:spacing w:line="360" w:lineRule="auto"/>
        <w:rPr>
          <w:rFonts w:ascii="Times New Roman" w:hAnsi="Times New Roman" w:cs="Times New Roman"/>
          <w:bCs/>
          <w:color w:val="000000" w:themeColor="text1"/>
          <w:lang w:val="en-US"/>
        </w:rPr>
      </w:pPr>
      <w:r w:rsidRPr="004E3173">
        <w:rPr>
          <w:rFonts w:ascii="Times New Roman" w:hAnsi="Times New Roman" w:cs="Times New Roman"/>
          <w:color w:val="000000" w:themeColor="text1"/>
        </w:rPr>
        <w:lastRenderedPageBreak/>
        <w:t>Series, L. (2016). ‘</w:t>
      </w:r>
      <w:r w:rsidRPr="004E3173">
        <w:rPr>
          <w:rFonts w:ascii="Times New Roman" w:hAnsi="Times New Roman" w:cs="Times New Roman"/>
          <w:bCs/>
          <w:color w:val="000000" w:themeColor="text1"/>
          <w:lang w:val="en-US"/>
        </w:rPr>
        <w:t>The Place of Wishes and Feelings in Best Interests Decisions: </w:t>
      </w:r>
      <w:r w:rsidRPr="004E3173">
        <w:rPr>
          <w:rFonts w:ascii="Times New Roman" w:hAnsi="Times New Roman" w:cs="Times New Roman"/>
          <w:bCs/>
          <w:i/>
          <w:iCs/>
          <w:color w:val="000000" w:themeColor="text1"/>
          <w:lang w:val="en-US"/>
        </w:rPr>
        <w:t>Wye Valley NHS Trust</w:t>
      </w:r>
      <w:r w:rsidRPr="004E3173">
        <w:rPr>
          <w:rFonts w:ascii="Times New Roman" w:hAnsi="Times New Roman" w:cs="Times New Roman"/>
          <w:bCs/>
          <w:color w:val="000000" w:themeColor="text1"/>
          <w:lang w:val="en-US"/>
        </w:rPr>
        <w:t> v </w:t>
      </w:r>
      <w:r w:rsidRPr="004E3173">
        <w:rPr>
          <w:rFonts w:ascii="Times New Roman" w:hAnsi="Times New Roman" w:cs="Times New Roman"/>
          <w:bCs/>
          <w:i/>
          <w:iCs/>
          <w:color w:val="000000" w:themeColor="text1"/>
          <w:lang w:val="en-US"/>
        </w:rPr>
        <w:t>Mr B’</w:t>
      </w:r>
      <w:r w:rsidRPr="004E3173">
        <w:rPr>
          <w:rFonts w:ascii="Times New Roman" w:hAnsi="Times New Roman" w:cs="Times New Roman"/>
          <w:bCs/>
          <w:iCs/>
          <w:color w:val="000000" w:themeColor="text1"/>
          <w:lang w:val="en-US"/>
        </w:rPr>
        <w:t xml:space="preserve">. </w:t>
      </w:r>
      <w:r w:rsidRPr="004E3173">
        <w:rPr>
          <w:rFonts w:ascii="Times New Roman" w:hAnsi="Times New Roman" w:cs="Times New Roman"/>
          <w:bCs/>
          <w:i/>
          <w:iCs/>
          <w:color w:val="000000" w:themeColor="text1"/>
          <w:lang w:val="en-US"/>
        </w:rPr>
        <w:t xml:space="preserve">Modern Law Review, </w:t>
      </w:r>
      <w:r w:rsidRPr="004E3173">
        <w:rPr>
          <w:rFonts w:ascii="Times New Roman" w:hAnsi="Times New Roman" w:cs="Times New Roman"/>
          <w:bCs/>
          <w:iCs/>
          <w:color w:val="000000" w:themeColor="text1"/>
          <w:lang w:val="en-US"/>
        </w:rPr>
        <w:t>79, 1101-1115.</w:t>
      </w:r>
    </w:p>
    <w:p w14:paraId="19F602CE" w14:textId="77777777" w:rsidR="00504E7F" w:rsidRPr="004E3173" w:rsidRDefault="00A06E20" w:rsidP="00F43A66">
      <w:pPr>
        <w:pStyle w:val="ListParagraph"/>
        <w:numPr>
          <w:ilvl w:val="0"/>
          <w:numId w:val="8"/>
        </w:numPr>
        <w:spacing w:line="360" w:lineRule="auto"/>
        <w:rPr>
          <w:rFonts w:ascii="Times New Roman" w:hAnsi="Times New Roman" w:cs="Times New Roman"/>
          <w:color w:val="000000" w:themeColor="text1"/>
          <w:lang w:val="en-US"/>
        </w:rPr>
      </w:pPr>
      <w:r w:rsidRPr="004E3173">
        <w:rPr>
          <w:rFonts w:ascii="Times New Roman" w:hAnsi="Times New Roman" w:cs="Times New Roman"/>
          <w:color w:val="000000" w:themeColor="text1"/>
        </w:rPr>
        <w:t xml:space="preserve">Series, L., Fennell, P., Doughty, J., and Mercer, A. (2017). </w:t>
      </w:r>
      <w:r w:rsidRPr="004E3173">
        <w:rPr>
          <w:rFonts w:ascii="Times New Roman" w:hAnsi="Times New Roman" w:cs="Times New Roman"/>
          <w:i/>
          <w:color w:val="000000" w:themeColor="text1"/>
        </w:rPr>
        <w:t xml:space="preserve">Welfare Cases in the Court of Protection: A Statistical Overview. </w:t>
      </w:r>
      <w:r w:rsidRPr="004E3173">
        <w:rPr>
          <w:rFonts w:ascii="Times New Roman" w:hAnsi="Times New Roman" w:cs="Times New Roman"/>
          <w:color w:val="000000" w:themeColor="text1"/>
        </w:rPr>
        <w:t xml:space="preserve">Available at </w:t>
      </w:r>
      <w:hyperlink r:id="rId11" w:history="1">
        <w:r w:rsidRPr="004E3173">
          <w:rPr>
            <w:rStyle w:val="Hyperlink"/>
            <w:rFonts w:ascii="Times New Roman" w:hAnsi="Times New Roman" w:cs="Times New Roman"/>
            <w:lang w:val="en-US"/>
          </w:rPr>
          <w:t>http://sites.cardiff.ac.uk/wccop/files/2017/09/Series-Fennell-Doughty-2017-Statistical-overview-of-CoP.pdf</w:t>
        </w:r>
      </w:hyperlink>
      <w:r w:rsidRPr="004E3173">
        <w:rPr>
          <w:rFonts w:ascii="Times New Roman" w:hAnsi="Times New Roman" w:cs="Times New Roman"/>
          <w:color w:val="000000" w:themeColor="text1"/>
          <w:lang w:val="en-US"/>
        </w:rPr>
        <w:t xml:space="preserve"> (accessed 30 April 2019)</w:t>
      </w:r>
    </w:p>
    <w:p w14:paraId="0DD66AA9" w14:textId="77777777" w:rsidR="004A3A0D" w:rsidRPr="004E3173" w:rsidRDefault="004A3A0D" w:rsidP="00F43A66">
      <w:pPr>
        <w:pStyle w:val="ListParagraph"/>
        <w:numPr>
          <w:ilvl w:val="0"/>
          <w:numId w:val="8"/>
        </w:numPr>
        <w:spacing w:line="360" w:lineRule="auto"/>
        <w:rPr>
          <w:rFonts w:ascii="Times New Roman" w:hAnsi="Times New Roman" w:cs="Times New Roman"/>
          <w:b/>
          <w:bCs/>
          <w:lang w:val="en-US"/>
        </w:rPr>
      </w:pPr>
      <w:r w:rsidRPr="004E3173">
        <w:rPr>
          <w:rFonts w:ascii="Times New Roman" w:hAnsi="Times New Roman" w:cs="Times New Roman"/>
        </w:rPr>
        <w:t xml:space="preserve">Sheldon, S. (2002). </w:t>
      </w:r>
      <w:r w:rsidRPr="004E3173">
        <w:rPr>
          <w:rFonts w:ascii="Times New Roman" w:hAnsi="Times New Roman" w:cs="Times New Roman"/>
          <w:bCs/>
          <w:lang w:val="en-US"/>
        </w:rPr>
        <w:t xml:space="preserve">ReConceiving Masculinity: Imagining Men’s Reproductive Bodies in Law. </w:t>
      </w:r>
      <w:r w:rsidRPr="004E3173">
        <w:rPr>
          <w:rFonts w:ascii="Times New Roman" w:hAnsi="Times New Roman" w:cs="Times New Roman"/>
          <w:bCs/>
          <w:i/>
          <w:lang w:val="en-US"/>
        </w:rPr>
        <w:t>Journal of Law and Society, 26</w:t>
      </w:r>
      <w:r w:rsidRPr="004E3173">
        <w:rPr>
          <w:rFonts w:ascii="Times New Roman" w:hAnsi="Times New Roman" w:cs="Times New Roman"/>
          <w:bCs/>
          <w:lang w:val="en-US"/>
        </w:rPr>
        <w:t>, 129-149.</w:t>
      </w:r>
    </w:p>
    <w:p w14:paraId="75C6965B" w14:textId="77777777" w:rsidR="001A2AFA" w:rsidRPr="004E3173" w:rsidRDefault="004D7E8C" w:rsidP="00F43A66">
      <w:pPr>
        <w:pStyle w:val="ListParagraph"/>
        <w:numPr>
          <w:ilvl w:val="0"/>
          <w:numId w:val="8"/>
        </w:numPr>
        <w:spacing w:line="360" w:lineRule="auto"/>
        <w:rPr>
          <w:rFonts w:ascii="Times New Roman" w:hAnsi="Times New Roman" w:cs="Times New Roman"/>
          <w:bCs/>
          <w:lang w:val="en-US"/>
        </w:rPr>
      </w:pPr>
      <w:r w:rsidRPr="004E3173">
        <w:rPr>
          <w:rFonts w:ascii="Times New Roman" w:hAnsi="Times New Roman" w:cs="Times New Roman"/>
        </w:rPr>
        <w:t xml:space="preserve">Shildrick, M. (1997). </w:t>
      </w:r>
      <w:r w:rsidRPr="004E3173">
        <w:rPr>
          <w:rFonts w:ascii="Times New Roman" w:hAnsi="Times New Roman" w:cs="Times New Roman"/>
          <w:bCs/>
          <w:i/>
          <w:lang w:val="en-US"/>
        </w:rPr>
        <w:t xml:space="preserve">Leaky Bodies and Boundaries: Feminism, Postmodernism and (Bio)Ethics. </w:t>
      </w:r>
      <w:r w:rsidRPr="004E3173">
        <w:rPr>
          <w:rFonts w:ascii="Times New Roman" w:hAnsi="Times New Roman" w:cs="Times New Roman"/>
          <w:bCs/>
          <w:lang w:val="en-US"/>
        </w:rPr>
        <w:t>London: Routledge.</w:t>
      </w:r>
    </w:p>
    <w:p w14:paraId="53774432" w14:textId="77777777" w:rsidR="004A3A0D" w:rsidRPr="004E3173" w:rsidRDefault="005E3D45" w:rsidP="00F43A66">
      <w:pPr>
        <w:pStyle w:val="ListParagraph"/>
        <w:numPr>
          <w:ilvl w:val="0"/>
          <w:numId w:val="8"/>
        </w:numPr>
        <w:spacing w:line="360" w:lineRule="auto"/>
        <w:rPr>
          <w:rFonts w:ascii="Times New Roman" w:hAnsi="Times New Roman" w:cs="Times New Roman"/>
          <w:bCs/>
          <w:lang w:val="en-US"/>
        </w:rPr>
      </w:pPr>
      <w:r w:rsidRPr="004E3173">
        <w:rPr>
          <w:rFonts w:ascii="Times New Roman" w:hAnsi="Times New Roman" w:cs="Times New Roman"/>
          <w:bCs/>
          <w:lang w:val="en-US"/>
        </w:rPr>
        <w:t xml:space="preserve">Stefan, S. (1993). Silencing the Different Voice: Competence, Feminist Theory and Law. </w:t>
      </w:r>
      <w:r w:rsidRPr="004E3173">
        <w:rPr>
          <w:rFonts w:ascii="Times New Roman" w:hAnsi="Times New Roman" w:cs="Times New Roman"/>
          <w:bCs/>
          <w:i/>
          <w:lang w:val="en-US"/>
        </w:rPr>
        <w:t xml:space="preserve">University of Miami Law Review, 47, </w:t>
      </w:r>
      <w:r w:rsidRPr="004E3173">
        <w:rPr>
          <w:rFonts w:ascii="Times New Roman" w:hAnsi="Times New Roman" w:cs="Times New Roman"/>
          <w:bCs/>
          <w:lang w:val="en-US"/>
        </w:rPr>
        <w:t>763-815.</w:t>
      </w:r>
    </w:p>
    <w:p w14:paraId="218007F6" w14:textId="77777777" w:rsidR="00504E7F" w:rsidRPr="004E3173" w:rsidRDefault="004A3A0D" w:rsidP="00F43A66">
      <w:pPr>
        <w:pStyle w:val="ListParagraph"/>
        <w:numPr>
          <w:ilvl w:val="0"/>
          <w:numId w:val="8"/>
        </w:numPr>
        <w:spacing w:line="360" w:lineRule="auto"/>
        <w:rPr>
          <w:rFonts w:ascii="Times New Roman" w:hAnsi="Times New Roman" w:cs="Times New Roman"/>
          <w:b/>
          <w:bCs/>
          <w:lang w:val="en-US"/>
        </w:rPr>
      </w:pPr>
      <w:r w:rsidRPr="004E3173">
        <w:rPr>
          <w:rFonts w:ascii="Times New Roman" w:hAnsi="Times New Roman" w:cs="Times New Roman"/>
          <w:bCs/>
          <w:lang w:val="en-US"/>
        </w:rPr>
        <w:t xml:space="preserve">Thomson, M. (1997). Legislating for the Monstrous: Access to Reproductive Services and the Monstrous Feminine. </w:t>
      </w:r>
      <w:r w:rsidRPr="004E3173">
        <w:rPr>
          <w:rFonts w:ascii="Times New Roman" w:hAnsi="Times New Roman" w:cs="Times New Roman"/>
          <w:bCs/>
          <w:i/>
          <w:lang w:val="en-US"/>
        </w:rPr>
        <w:t xml:space="preserve">Social &amp; Legal Studies, 6, </w:t>
      </w:r>
      <w:r w:rsidRPr="004E3173">
        <w:rPr>
          <w:rFonts w:ascii="Times New Roman" w:hAnsi="Times New Roman" w:cs="Times New Roman"/>
          <w:bCs/>
          <w:lang w:val="en-US"/>
        </w:rPr>
        <w:t>401-424.</w:t>
      </w:r>
    </w:p>
    <w:p w14:paraId="47BE1B05" w14:textId="77777777" w:rsidR="0050587C" w:rsidRDefault="001B3F07" w:rsidP="00F43A66">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Tyler, I. (2009). Against Abjection. </w:t>
      </w:r>
      <w:r w:rsidRPr="004E3173">
        <w:rPr>
          <w:rFonts w:ascii="Times New Roman" w:hAnsi="Times New Roman" w:cs="Times New Roman"/>
          <w:i/>
        </w:rPr>
        <w:t xml:space="preserve">Feminist Theory, 10, </w:t>
      </w:r>
      <w:r w:rsidRPr="004E3173">
        <w:rPr>
          <w:rFonts w:ascii="Times New Roman" w:hAnsi="Times New Roman" w:cs="Times New Roman"/>
        </w:rPr>
        <w:t>77-98.</w:t>
      </w:r>
    </w:p>
    <w:p w14:paraId="48B260A2" w14:textId="1B3F7586" w:rsidR="00832A27" w:rsidRPr="004E3173" w:rsidRDefault="00832A27" w:rsidP="00F43A66">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van Dijk, T. (2000). Critical Discourse Analysis. In D. Schiffrin, D. Tannen, &amp; H. E. Hamilton (Eds.), </w:t>
      </w:r>
      <w:r>
        <w:rPr>
          <w:rFonts w:ascii="Times New Roman" w:hAnsi="Times New Roman" w:cs="Times New Roman"/>
          <w:i/>
        </w:rPr>
        <w:t xml:space="preserve">The Handbook of Discourse Analysis </w:t>
      </w:r>
      <w:r>
        <w:rPr>
          <w:rFonts w:ascii="Times New Roman" w:hAnsi="Times New Roman" w:cs="Times New Roman"/>
        </w:rPr>
        <w:t>(pp.352-371). Oxford: Blackwells</w:t>
      </w:r>
    </w:p>
    <w:p w14:paraId="631F6090" w14:textId="77777777" w:rsidR="0050587C" w:rsidRPr="004E3173" w:rsidRDefault="0050587C" w:rsidP="004E3173">
      <w:pPr>
        <w:pStyle w:val="ListParagraph"/>
        <w:numPr>
          <w:ilvl w:val="0"/>
          <w:numId w:val="8"/>
        </w:numPr>
        <w:spacing w:line="360" w:lineRule="auto"/>
        <w:rPr>
          <w:rFonts w:ascii="Times New Roman" w:hAnsi="Times New Roman" w:cs="Times New Roman"/>
        </w:rPr>
      </w:pPr>
      <w:r w:rsidRPr="004E3173">
        <w:rPr>
          <w:rFonts w:ascii="Times New Roman" w:hAnsi="Times New Roman" w:cs="Times New Roman"/>
        </w:rPr>
        <w:t xml:space="preserve">Young, I. M. (1990). </w:t>
      </w:r>
      <w:r w:rsidRPr="004E3173">
        <w:rPr>
          <w:rFonts w:ascii="Times New Roman" w:hAnsi="Times New Roman" w:cs="Times New Roman"/>
          <w:i/>
        </w:rPr>
        <w:t xml:space="preserve">Justice and the Politics of Difference. </w:t>
      </w:r>
      <w:r w:rsidRPr="004E3173">
        <w:rPr>
          <w:rFonts w:ascii="Times New Roman" w:hAnsi="Times New Roman" w:cs="Times New Roman"/>
        </w:rPr>
        <w:t>Princeton: Princeton University Press.</w:t>
      </w:r>
    </w:p>
    <w:sectPr w:rsidR="0050587C" w:rsidRPr="004E3173" w:rsidSect="00C640CC">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171E8" w14:textId="77777777" w:rsidR="009B6043" w:rsidRDefault="009B6043" w:rsidP="00365CD6">
      <w:r>
        <w:separator/>
      </w:r>
    </w:p>
  </w:endnote>
  <w:endnote w:type="continuationSeparator" w:id="0">
    <w:p w14:paraId="71CA53A9" w14:textId="77777777" w:rsidR="009B6043" w:rsidRDefault="009B6043" w:rsidP="00365CD6">
      <w:r>
        <w:continuationSeparator/>
      </w:r>
    </w:p>
  </w:endnote>
  <w:endnote w:type="continuationNotice" w:id="1">
    <w:p w14:paraId="49C3D117" w14:textId="77777777" w:rsidR="009B6043" w:rsidRDefault="009B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8AD6" w14:textId="77777777" w:rsidR="001A20A8" w:rsidRDefault="00A42AB4" w:rsidP="00456FB5">
    <w:pPr>
      <w:pStyle w:val="Footer"/>
      <w:framePr w:wrap="none" w:vAnchor="text" w:hAnchor="margin" w:xAlign="center" w:y="1"/>
      <w:rPr>
        <w:rStyle w:val="PageNumber"/>
      </w:rPr>
    </w:pPr>
    <w:r>
      <w:rPr>
        <w:rStyle w:val="PageNumber"/>
      </w:rPr>
      <w:fldChar w:fldCharType="begin"/>
    </w:r>
    <w:r w:rsidR="001A20A8">
      <w:rPr>
        <w:rStyle w:val="PageNumber"/>
      </w:rPr>
      <w:instrText xml:space="preserve">PAGE  </w:instrText>
    </w:r>
    <w:r>
      <w:rPr>
        <w:rStyle w:val="PageNumber"/>
      </w:rPr>
      <w:fldChar w:fldCharType="separate"/>
    </w:r>
    <w:r w:rsidR="001D7870">
      <w:rPr>
        <w:rStyle w:val="PageNumber"/>
        <w:noProof/>
      </w:rPr>
      <w:t>17</w:t>
    </w:r>
    <w:r>
      <w:rPr>
        <w:rStyle w:val="PageNumber"/>
      </w:rPr>
      <w:fldChar w:fldCharType="end"/>
    </w:r>
  </w:p>
  <w:p w14:paraId="2DC31D3E" w14:textId="77777777" w:rsidR="001A20A8" w:rsidRDefault="001A20A8" w:rsidP="00456F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AB02" w14:textId="77777777" w:rsidR="001A20A8" w:rsidRDefault="00A42AB4" w:rsidP="00456FB5">
    <w:pPr>
      <w:pStyle w:val="Footer"/>
      <w:framePr w:wrap="none" w:vAnchor="text" w:hAnchor="margin" w:xAlign="center" w:y="1"/>
      <w:rPr>
        <w:rStyle w:val="PageNumber"/>
      </w:rPr>
    </w:pPr>
    <w:r>
      <w:rPr>
        <w:rStyle w:val="PageNumber"/>
      </w:rPr>
      <w:fldChar w:fldCharType="begin"/>
    </w:r>
    <w:r w:rsidR="001A20A8">
      <w:rPr>
        <w:rStyle w:val="PageNumber"/>
      </w:rPr>
      <w:instrText xml:space="preserve">PAGE  </w:instrText>
    </w:r>
    <w:r>
      <w:rPr>
        <w:rStyle w:val="PageNumber"/>
      </w:rPr>
      <w:fldChar w:fldCharType="separate"/>
    </w:r>
    <w:r w:rsidR="00A21365">
      <w:rPr>
        <w:rStyle w:val="PageNumber"/>
        <w:noProof/>
      </w:rPr>
      <w:t>1</w:t>
    </w:r>
    <w:r>
      <w:rPr>
        <w:rStyle w:val="PageNumber"/>
      </w:rPr>
      <w:fldChar w:fldCharType="end"/>
    </w:r>
  </w:p>
  <w:p w14:paraId="7CB561E3" w14:textId="77777777" w:rsidR="001A20A8" w:rsidRDefault="001A20A8" w:rsidP="00456F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5540C" w14:textId="77777777" w:rsidR="009B6043" w:rsidRDefault="009B6043" w:rsidP="00365CD6">
      <w:r>
        <w:separator/>
      </w:r>
    </w:p>
  </w:footnote>
  <w:footnote w:type="continuationSeparator" w:id="0">
    <w:p w14:paraId="6BBA6C80" w14:textId="77777777" w:rsidR="009B6043" w:rsidRDefault="009B6043" w:rsidP="00365CD6">
      <w:r>
        <w:continuationSeparator/>
      </w:r>
    </w:p>
  </w:footnote>
  <w:footnote w:type="continuationNotice" w:id="1">
    <w:p w14:paraId="06EFB6C4" w14:textId="77777777" w:rsidR="009B6043" w:rsidRDefault="009B6043"/>
  </w:footnote>
  <w:footnote w:id="2">
    <w:p w14:paraId="5BEBF64F" w14:textId="77777777" w:rsidR="001A20A8" w:rsidRPr="00505045" w:rsidRDefault="001A20A8">
      <w:pPr>
        <w:pStyle w:val="FootnoteText"/>
        <w:rPr>
          <w:rFonts w:ascii="Times New Roman" w:hAnsi="Times New Roman" w:cs="Times New Roman"/>
          <w:sz w:val="20"/>
          <w:szCs w:val="20"/>
        </w:rPr>
      </w:pPr>
      <w:r w:rsidRPr="00505045">
        <w:rPr>
          <w:rStyle w:val="FootnoteReference"/>
          <w:rFonts w:ascii="Times New Roman" w:hAnsi="Times New Roman" w:cs="Times New Roman"/>
          <w:sz w:val="20"/>
          <w:szCs w:val="20"/>
        </w:rPr>
        <w:footnoteRef/>
      </w:r>
      <w:r w:rsidRPr="00505045">
        <w:rPr>
          <w:rFonts w:ascii="Times New Roman" w:hAnsi="Times New Roman" w:cs="Times New Roman"/>
          <w:sz w:val="20"/>
          <w:szCs w:val="20"/>
        </w:rPr>
        <w:t xml:space="preserve"> See, for example, Keywood (2000), Thomson (1998), and Sheldon (2002).</w:t>
      </w:r>
    </w:p>
  </w:footnote>
  <w:footnote w:id="3">
    <w:p w14:paraId="06550C12" w14:textId="77777777" w:rsidR="001A20A8" w:rsidRPr="0050587C" w:rsidRDefault="001A20A8" w:rsidP="00EB5365">
      <w:pPr>
        <w:pStyle w:val="FootnoteText"/>
        <w:jc w:val="both"/>
        <w:rPr>
          <w:rFonts w:ascii="Times New Roman" w:hAnsi="Times New Roman" w:cs="Times New Roman"/>
          <w:sz w:val="20"/>
          <w:szCs w:val="20"/>
        </w:rPr>
      </w:pPr>
      <w:r w:rsidRPr="0050587C">
        <w:rPr>
          <w:rStyle w:val="FootnoteReference"/>
          <w:rFonts w:ascii="Times New Roman" w:hAnsi="Times New Roman" w:cs="Times New Roman"/>
          <w:sz w:val="20"/>
          <w:szCs w:val="20"/>
        </w:rPr>
        <w:footnoteRef/>
      </w:r>
      <w:r w:rsidRPr="0050587C">
        <w:rPr>
          <w:rFonts w:ascii="Times New Roman" w:hAnsi="Times New Roman" w:cs="Times New Roman"/>
          <w:sz w:val="20"/>
          <w:szCs w:val="20"/>
        </w:rPr>
        <w:t xml:space="preserve"> The term ‘elderly’ is </w:t>
      </w:r>
      <w:r>
        <w:rPr>
          <w:rFonts w:ascii="Times New Roman" w:hAnsi="Times New Roman" w:cs="Times New Roman"/>
          <w:sz w:val="20"/>
          <w:szCs w:val="20"/>
        </w:rPr>
        <w:t>now seen by some cultures as</w:t>
      </w:r>
      <w:r w:rsidRPr="0050587C">
        <w:rPr>
          <w:rFonts w:ascii="Times New Roman" w:hAnsi="Times New Roman" w:cs="Times New Roman"/>
          <w:sz w:val="20"/>
          <w:szCs w:val="20"/>
        </w:rPr>
        <w:t xml:space="preserve"> being a pejorative term, however it is used here</w:t>
      </w:r>
      <w:r>
        <w:rPr>
          <w:rFonts w:ascii="Times New Roman" w:hAnsi="Times New Roman" w:cs="Times New Roman"/>
          <w:sz w:val="20"/>
          <w:szCs w:val="20"/>
        </w:rPr>
        <w:t xml:space="preserve"> to be consistent</w:t>
      </w:r>
      <w:r w:rsidRPr="0050587C">
        <w:rPr>
          <w:rFonts w:ascii="Times New Roman" w:hAnsi="Times New Roman" w:cs="Times New Roman"/>
          <w:sz w:val="20"/>
          <w:szCs w:val="20"/>
        </w:rPr>
        <w:t xml:space="preserve"> with Newdick’s quote.</w:t>
      </w:r>
    </w:p>
  </w:footnote>
  <w:footnote w:id="4">
    <w:p w14:paraId="07BCBA13" w14:textId="77777777" w:rsidR="001A20A8" w:rsidRPr="00A5388A" w:rsidRDefault="001A20A8" w:rsidP="00A5388A">
      <w:pPr>
        <w:pStyle w:val="FootnoteText"/>
        <w:jc w:val="both"/>
        <w:rPr>
          <w:rFonts w:ascii="Times New Roman" w:hAnsi="Times New Roman" w:cs="Times New Roman"/>
          <w:sz w:val="20"/>
          <w:szCs w:val="20"/>
        </w:rPr>
      </w:pPr>
      <w:r w:rsidRPr="00A5388A">
        <w:rPr>
          <w:rStyle w:val="FootnoteReference"/>
          <w:rFonts w:ascii="Times New Roman" w:hAnsi="Times New Roman" w:cs="Times New Roman"/>
          <w:sz w:val="20"/>
          <w:szCs w:val="20"/>
        </w:rPr>
        <w:footnoteRef/>
      </w:r>
      <w:r w:rsidRPr="00A5388A">
        <w:rPr>
          <w:rFonts w:ascii="Times New Roman" w:hAnsi="Times New Roman" w:cs="Times New Roman"/>
          <w:sz w:val="20"/>
          <w:szCs w:val="20"/>
        </w:rPr>
        <w:t xml:space="preserve"> Older adults are statistically more likely to be at the centre of legal disputes in mental capacity law (Series </w:t>
      </w:r>
      <w:r w:rsidRPr="00A5388A">
        <w:rPr>
          <w:rFonts w:ascii="Times New Roman" w:hAnsi="Times New Roman" w:cs="Times New Roman"/>
          <w:i/>
          <w:sz w:val="20"/>
          <w:szCs w:val="20"/>
        </w:rPr>
        <w:t xml:space="preserve">et al., </w:t>
      </w:r>
      <w:r w:rsidRPr="00A5388A">
        <w:rPr>
          <w:rFonts w:ascii="Times New Roman" w:hAnsi="Times New Roman" w:cs="Times New Roman"/>
          <w:sz w:val="20"/>
          <w:szCs w:val="20"/>
        </w:rPr>
        <w:t xml:space="preserve">2017; Ruck Keene </w:t>
      </w:r>
      <w:r w:rsidRPr="00A5388A">
        <w:rPr>
          <w:rFonts w:ascii="Times New Roman" w:hAnsi="Times New Roman" w:cs="Times New Roman"/>
          <w:i/>
          <w:sz w:val="20"/>
          <w:szCs w:val="20"/>
        </w:rPr>
        <w:t xml:space="preserve">et al., </w:t>
      </w:r>
      <w:r w:rsidRPr="00A5388A">
        <w:rPr>
          <w:rFonts w:ascii="Times New Roman" w:hAnsi="Times New Roman" w:cs="Times New Roman"/>
          <w:sz w:val="20"/>
          <w:szCs w:val="20"/>
        </w:rPr>
        <w:t>2019).</w:t>
      </w:r>
    </w:p>
  </w:footnote>
  <w:footnote w:id="5">
    <w:p w14:paraId="6E3B32D5" w14:textId="77777777" w:rsidR="001A20A8" w:rsidRPr="00A5388A" w:rsidRDefault="001A20A8" w:rsidP="00A5388A">
      <w:pPr>
        <w:pStyle w:val="FootnoteText"/>
        <w:jc w:val="both"/>
        <w:rPr>
          <w:rFonts w:ascii="Times New Roman" w:hAnsi="Times New Roman" w:cs="Times New Roman"/>
          <w:sz w:val="20"/>
          <w:szCs w:val="20"/>
        </w:rPr>
      </w:pPr>
      <w:r w:rsidRPr="00A5388A">
        <w:rPr>
          <w:rStyle w:val="FootnoteReference"/>
          <w:rFonts w:ascii="Times New Roman" w:hAnsi="Times New Roman" w:cs="Times New Roman"/>
          <w:sz w:val="20"/>
          <w:szCs w:val="20"/>
        </w:rPr>
        <w:footnoteRef/>
      </w:r>
      <w:r w:rsidRPr="00A5388A">
        <w:rPr>
          <w:rFonts w:ascii="Times New Roman" w:hAnsi="Times New Roman" w:cs="Times New Roman"/>
          <w:sz w:val="20"/>
          <w:szCs w:val="20"/>
        </w:rPr>
        <w:t xml:space="preserve"> </w:t>
      </w:r>
      <w:r w:rsidRPr="00A5388A">
        <w:rPr>
          <w:rFonts w:ascii="Times New Roman" w:hAnsi="Times New Roman" w:cs="Times New Roman"/>
          <w:i/>
          <w:sz w:val="20"/>
          <w:szCs w:val="20"/>
        </w:rPr>
        <w:t xml:space="preserve">A Local Authority v BF </w:t>
      </w:r>
      <w:r w:rsidRPr="00A5388A">
        <w:rPr>
          <w:rFonts w:ascii="Times New Roman" w:hAnsi="Times New Roman" w:cs="Times New Roman"/>
          <w:sz w:val="20"/>
          <w:szCs w:val="20"/>
        </w:rPr>
        <w:t>[2018] EWCA Civ 2962</w:t>
      </w:r>
      <w:r w:rsidRPr="00A5388A">
        <w:rPr>
          <w:rFonts w:ascii="Times New Roman" w:hAnsi="Times New Roman" w:cs="Times New Roman"/>
          <w:sz w:val="20"/>
          <w:szCs w:val="20"/>
          <w:lang w:val="en-US"/>
        </w:rPr>
        <w:t xml:space="preserve">; </w:t>
      </w:r>
      <w:r w:rsidRPr="00A5388A">
        <w:rPr>
          <w:rFonts w:ascii="Times New Roman" w:hAnsi="Times New Roman" w:cs="Times New Roman"/>
          <w:i/>
          <w:sz w:val="20"/>
          <w:szCs w:val="20"/>
          <w:lang w:val="en-US"/>
        </w:rPr>
        <w:t xml:space="preserve">Southend-on-Sea Borough Council v Meyers </w:t>
      </w:r>
      <w:r w:rsidRPr="00A5388A">
        <w:rPr>
          <w:rFonts w:ascii="Times New Roman" w:hAnsi="Times New Roman" w:cs="Times New Roman"/>
          <w:sz w:val="20"/>
          <w:szCs w:val="20"/>
          <w:lang w:val="en-US"/>
        </w:rPr>
        <w:t>[2019] EWHC 399.</w:t>
      </w:r>
    </w:p>
  </w:footnote>
  <w:footnote w:id="6">
    <w:p w14:paraId="2FDC7BB8" w14:textId="1A5E4352" w:rsidR="000F599B" w:rsidRPr="000F599B" w:rsidRDefault="000F599B" w:rsidP="000F599B">
      <w:pPr>
        <w:pStyle w:val="FootnoteText"/>
        <w:jc w:val="both"/>
        <w:rPr>
          <w:rFonts w:ascii="Times New Roman" w:hAnsi="Times New Roman" w:cs="Times New Roman"/>
          <w:sz w:val="20"/>
          <w:szCs w:val="20"/>
        </w:rPr>
      </w:pPr>
      <w:r w:rsidRPr="000F599B">
        <w:rPr>
          <w:rStyle w:val="FootnoteReference"/>
          <w:rFonts w:ascii="Times New Roman" w:hAnsi="Times New Roman" w:cs="Times New Roman"/>
          <w:sz w:val="20"/>
          <w:szCs w:val="20"/>
        </w:rPr>
        <w:footnoteRef/>
      </w:r>
      <w:r w:rsidRPr="000F599B">
        <w:rPr>
          <w:rFonts w:ascii="Times New Roman" w:hAnsi="Times New Roman" w:cs="Times New Roman"/>
          <w:sz w:val="20"/>
          <w:szCs w:val="20"/>
        </w:rPr>
        <w:t xml:space="preserve"> The paper does not, at this stage, purport to make any claim about the correctness – moral or legal – of these constraints.</w:t>
      </w:r>
    </w:p>
  </w:footnote>
  <w:footnote w:id="7">
    <w:p w14:paraId="0D0DAC8C" w14:textId="454AF505" w:rsidR="00AE43FE" w:rsidRPr="00AE43FE" w:rsidRDefault="00AE43FE" w:rsidP="00AE43FE">
      <w:pPr>
        <w:pStyle w:val="FootnoteText"/>
        <w:jc w:val="both"/>
        <w:rPr>
          <w:rFonts w:ascii="Times New Roman" w:hAnsi="Times New Roman" w:cs="Times New Roman"/>
          <w:sz w:val="20"/>
          <w:szCs w:val="20"/>
        </w:rPr>
      </w:pPr>
      <w:r w:rsidRPr="00AE43FE">
        <w:rPr>
          <w:rStyle w:val="FootnoteReference"/>
          <w:rFonts w:ascii="Times New Roman" w:hAnsi="Times New Roman" w:cs="Times New Roman"/>
          <w:sz w:val="20"/>
          <w:szCs w:val="20"/>
        </w:rPr>
        <w:footnoteRef/>
      </w:r>
      <w:r w:rsidRPr="00AE43FE">
        <w:rPr>
          <w:rFonts w:ascii="Times New Roman" w:hAnsi="Times New Roman" w:cs="Times New Roman"/>
          <w:sz w:val="20"/>
          <w:szCs w:val="20"/>
        </w:rPr>
        <w:t xml:space="preserve"> Although it is important to note that there is also a dearth of literature on that dimension to old age (Alzheimer’s Disease International, 2015; Bamford, 2011; Ludwin and Parker, 2015; Savitch, Abbott, and Parker, 2015).</w:t>
      </w:r>
    </w:p>
  </w:footnote>
  <w:footnote w:id="8">
    <w:p w14:paraId="49A8CC01" w14:textId="1FB87669" w:rsidR="00650240" w:rsidRPr="00650240" w:rsidRDefault="00650240">
      <w:pPr>
        <w:pStyle w:val="FootnoteText"/>
        <w:rPr>
          <w:rFonts w:ascii="Times New Roman" w:hAnsi="Times New Roman" w:cs="Times New Roman"/>
          <w:sz w:val="20"/>
          <w:szCs w:val="20"/>
        </w:rPr>
      </w:pPr>
      <w:r w:rsidRPr="00650240">
        <w:rPr>
          <w:rStyle w:val="FootnoteReference"/>
          <w:rFonts w:ascii="Times New Roman" w:hAnsi="Times New Roman" w:cs="Times New Roman"/>
          <w:sz w:val="20"/>
          <w:szCs w:val="20"/>
        </w:rPr>
        <w:footnoteRef/>
      </w:r>
      <w:r w:rsidRPr="00650240">
        <w:rPr>
          <w:rFonts w:ascii="Times New Roman" w:hAnsi="Times New Roman" w:cs="Times New Roman"/>
          <w:sz w:val="20"/>
          <w:szCs w:val="20"/>
        </w:rPr>
        <w:t xml:space="preserve"> The rationale for choosing these five cases is explained in greater detail later in the paper.</w:t>
      </w:r>
    </w:p>
  </w:footnote>
  <w:footnote w:id="9">
    <w:p w14:paraId="3DF996DC" w14:textId="2FC92376" w:rsidR="001D7870" w:rsidRPr="007C0D42" w:rsidRDefault="001D7870" w:rsidP="001D7870">
      <w:pPr>
        <w:pStyle w:val="FootnoteText"/>
        <w:jc w:val="both"/>
        <w:rPr>
          <w:rFonts w:ascii="Times New Roman" w:hAnsi="Times New Roman" w:cs="Times New Roman"/>
          <w:sz w:val="20"/>
          <w:szCs w:val="20"/>
        </w:rPr>
      </w:pPr>
      <w:r w:rsidRPr="007C0D42">
        <w:rPr>
          <w:rStyle w:val="FootnoteReference"/>
          <w:rFonts w:ascii="Times New Roman" w:hAnsi="Times New Roman" w:cs="Times New Roman"/>
          <w:sz w:val="20"/>
          <w:szCs w:val="20"/>
        </w:rPr>
        <w:footnoteRef/>
      </w:r>
      <w:r w:rsidRPr="007C0D42">
        <w:rPr>
          <w:rFonts w:ascii="Times New Roman" w:hAnsi="Times New Roman" w:cs="Times New Roman"/>
          <w:sz w:val="20"/>
          <w:szCs w:val="20"/>
        </w:rPr>
        <w:t xml:space="preserve"> </w:t>
      </w:r>
      <w:r w:rsidR="00650240">
        <w:rPr>
          <w:rFonts w:ascii="Times New Roman" w:hAnsi="Times New Roman" w:cs="Times New Roman"/>
          <w:sz w:val="20"/>
          <w:szCs w:val="20"/>
          <w:lang w:val="en-US"/>
        </w:rPr>
        <w:t>It</w:t>
      </w:r>
      <w:r w:rsidRPr="007C0D42">
        <w:rPr>
          <w:rFonts w:ascii="Times New Roman" w:hAnsi="Times New Roman" w:cs="Times New Roman"/>
          <w:sz w:val="20"/>
          <w:szCs w:val="20"/>
          <w:lang w:val="en-US"/>
        </w:rPr>
        <w:t xml:space="preserve"> must </w:t>
      </w:r>
      <w:r w:rsidR="00650240">
        <w:rPr>
          <w:rFonts w:ascii="Times New Roman" w:hAnsi="Times New Roman" w:cs="Times New Roman"/>
          <w:sz w:val="20"/>
          <w:szCs w:val="20"/>
          <w:lang w:val="en-US"/>
        </w:rPr>
        <w:t xml:space="preserve">also </w:t>
      </w:r>
      <w:r w:rsidRPr="007C0D42">
        <w:rPr>
          <w:rFonts w:ascii="Times New Roman" w:hAnsi="Times New Roman" w:cs="Times New Roman"/>
          <w:sz w:val="20"/>
          <w:szCs w:val="20"/>
          <w:lang w:val="en-US"/>
        </w:rPr>
        <w:t xml:space="preserve">be noted that evidence suggests </w:t>
      </w:r>
      <w:r>
        <w:rPr>
          <w:rFonts w:ascii="Times New Roman" w:hAnsi="Times New Roman" w:cs="Times New Roman"/>
          <w:sz w:val="20"/>
          <w:szCs w:val="20"/>
          <w:lang w:val="en-US"/>
        </w:rPr>
        <w:t xml:space="preserve">mental </w:t>
      </w:r>
      <w:r w:rsidRPr="007C0D42">
        <w:rPr>
          <w:rFonts w:ascii="Times New Roman" w:hAnsi="Times New Roman" w:cs="Times New Roman"/>
          <w:sz w:val="20"/>
          <w:szCs w:val="20"/>
          <w:lang w:val="en-US"/>
        </w:rPr>
        <w:t>capacity may indeed be an issue in many neglect cases (Braye, Orr, and Preston-Shoot, 2015; Braye and Preston-Shoot, 2017).</w:t>
      </w:r>
    </w:p>
  </w:footnote>
  <w:footnote w:id="10">
    <w:p w14:paraId="027F8F6E" w14:textId="77777777" w:rsidR="001D7870" w:rsidRPr="008E1277" w:rsidRDefault="001D7870" w:rsidP="001D7870">
      <w:pPr>
        <w:pStyle w:val="FootnoteText"/>
        <w:rPr>
          <w:rFonts w:ascii="Times New Roman" w:hAnsi="Times New Roman" w:cs="Times New Roman"/>
          <w:sz w:val="20"/>
          <w:szCs w:val="20"/>
        </w:rPr>
      </w:pPr>
      <w:r w:rsidRPr="008E1277">
        <w:rPr>
          <w:rStyle w:val="FootnoteReference"/>
          <w:rFonts w:ascii="Times New Roman" w:hAnsi="Times New Roman" w:cs="Times New Roman"/>
          <w:sz w:val="20"/>
          <w:szCs w:val="20"/>
        </w:rPr>
        <w:footnoteRef/>
      </w:r>
      <w:r w:rsidRPr="008E1277">
        <w:rPr>
          <w:rFonts w:ascii="Times New Roman" w:hAnsi="Times New Roman" w:cs="Times New Roman"/>
          <w:sz w:val="20"/>
          <w:szCs w:val="20"/>
        </w:rPr>
        <w:t xml:space="preserve"> The anonymity order was lifted at a subsequent hearing, therefore while the earlier judgment refers to ‘BF’, later judgments refer to Mr Meyers</w:t>
      </w:r>
      <w:r>
        <w:rPr>
          <w:rFonts w:ascii="Times New Roman" w:hAnsi="Times New Roman" w:cs="Times New Roman"/>
          <w:sz w:val="20"/>
          <w:szCs w:val="20"/>
        </w:rPr>
        <w:t>’</w:t>
      </w:r>
      <w:r w:rsidRPr="008E1277">
        <w:rPr>
          <w:rFonts w:ascii="Times New Roman" w:hAnsi="Times New Roman" w:cs="Times New Roman"/>
          <w:sz w:val="20"/>
          <w:szCs w:val="20"/>
        </w:rPr>
        <w:t xml:space="preserve"> full identity.</w:t>
      </w:r>
    </w:p>
  </w:footnote>
  <w:footnote w:id="11">
    <w:p w14:paraId="08A7ED5C" w14:textId="799CE99B" w:rsidR="00AD5A60" w:rsidRDefault="00AD5A60">
      <w:pPr>
        <w:pStyle w:val="FootnoteText"/>
      </w:pPr>
      <w:r w:rsidRPr="00AD5A60">
        <w:rPr>
          <w:rStyle w:val="FootnoteReference"/>
          <w:rFonts w:ascii="Times New Roman" w:hAnsi="Times New Roman" w:cs="Times New Roman"/>
          <w:sz w:val="20"/>
          <w:szCs w:val="20"/>
        </w:rPr>
        <w:footnoteRef/>
      </w:r>
      <w:r w:rsidRPr="00AD5A60">
        <w:rPr>
          <w:rFonts w:ascii="Times New Roman" w:hAnsi="Times New Roman" w:cs="Times New Roman"/>
          <w:sz w:val="20"/>
          <w:szCs w:val="20"/>
        </w:rPr>
        <w:t xml:space="preserve"> Unreported.</w:t>
      </w:r>
    </w:p>
  </w:footnote>
  <w:footnote w:id="12">
    <w:p w14:paraId="1A8EF558" w14:textId="77777777" w:rsidR="001D7870" w:rsidRPr="005E5775" w:rsidRDefault="001D7870" w:rsidP="001D7870">
      <w:pPr>
        <w:pStyle w:val="FootnoteText"/>
        <w:jc w:val="both"/>
        <w:rPr>
          <w:rFonts w:ascii="Times New Roman" w:hAnsi="Times New Roman" w:cs="Times New Roman"/>
          <w:sz w:val="20"/>
          <w:szCs w:val="20"/>
        </w:rPr>
      </w:pPr>
      <w:r w:rsidRPr="005E5775">
        <w:rPr>
          <w:rStyle w:val="FootnoteReference"/>
          <w:rFonts w:ascii="Times New Roman" w:hAnsi="Times New Roman" w:cs="Times New Roman"/>
          <w:sz w:val="20"/>
          <w:szCs w:val="20"/>
        </w:rPr>
        <w:footnoteRef/>
      </w:r>
      <w:r w:rsidRPr="005E5775">
        <w:rPr>
          <w:rFonts w:ascii="Times New Roman" w:hAnsi="Times New Roman" w:cs="Times New Roman"/>
          <w:sz w:val="20"/>
          <w:szCs w:val="20"/>
        </w:rPr>
        <w:t xml:space="preserve"> In brief, the Deprivation of Liberty Safeguards allow an authorisation for someone to be deprived of their liberty where they are over the age of 18 and have a mental disorder within the meaning of the Mental Health Act 1983, do not have an advance refusal in place to such a deprivation, lack mental capacity to make a decision as to their deprivation, where it is in their best interests to be deprived of their liberty, and are not otherwise eligible to be deprived of their liberty i.e. under the Mental Health Act 1983. The Safeguards are </w:t>
      </w:r>
      <w:r>
        <w:rPr>
          <w:rFonts w:ascii="Times New Roman" w:hAnsi="Times New Roman" w:cs="Times New Roman"/>
          <w:sz w:val="20"/>
          <w:szCs w:val="20"/>
        </w:rPr>
        <w:t xml:space="preserve">soon </w:t>
      </w:r>
      <w:r w:rsidRPr="005E5775">
        <w:rPr>
          <w:rFonts w:ascii="Times New Roman" w:hAnsi="Times New Roman" w:cs="Times New Roman"/>
          <w:sz w:val="20"/>
          <w:szCs w:val="20"/>
        </w:rPr>
        <w:t xml:space="preserve">to be replaced by the Liberty Protection Safeguards following the </w:t>
      </w:r>
      <w:r>
        <w:rPr>
          <w:rFonts w:ascii="Times New Roman" w:hAnsi="Times New Roman" w:cs="Times New Roman"/>
          <w:sz w:val="20"/>
          <w:szCs w:val="20"/>
        </w:rPr>
        <w:t>passing</w:t>
      </w:r>
      <w:r w:rsidRPr="005E5775">
        <w:rPr>
          <w:rFonts w:ascii="Times New Roman" w:hAnsi="Times New Roman" w:cs="Times New Roman"/>
          <w:sz w:val="20"/>
          <w:szCs w:val="20"/>
        </w:rPr>
        <w:t xml:space="preserve"> of the </w:t>
      </w:r>
      <w:r>
        <w:rPr>
          <w:rFonts w:ascii="Times New Roman" w:hAnsi="Times New Roman" w:cs="Times New Roman"/>
          <w:sz w:val="20"/>
          <w:szCs w:val="20"/>
        </w:rPr>
        <w:t>Mental Capacity (Amendment) Act 2019</w:t>
      </w:r>
      <w:r w:rsidRPr="005E5775">
        <w:rPr>
          <w:rFonts w:ascii="Times New Roman" w:hAnsi="Times New Roman" w:cs="Times New Roman"/>
          <w:sz w:val="20"/>
          <w:szCs w:val="20"/>
        </w:rPr>
        <w:t>.</w:t>
      </w:r>
    </w:p>
  </w:footnote>
  <w:footnote w:id="13">
    <w:p w14:paraId="7966E3B1" w14:textId="77777777" w:rsidR="001D7870" w:rsidRPr="00CD2709" w:rsidRDefault="001D7870" w:rsidP="001D7870">
      <w:pPr>
        <w:pStyle w:val="FootnoteText"/>
        <w:rPr>
          <w:rFonts w:ascii="Times New Roman" w:hAnsi="Times New Roman" w:cs="Times New Roman"/>
          <w:sz w:val="20"/>
          <w:szCs w:val="20"/>
        </w:rPr>
      </w:pPr>
      <w:r w:rsidRPr="00CD2709">
        <w:rPr>
          <w:rStyle w:val="FootnoteReference"/>
          <w:rFonts w:ascii="Times New Roman" w:hAnsi="Times New Roman" w:cs="Times New Roman"/>
          <w:sz w:val="20"/>
          <w:szCs w:val="20"/>
        </w:rPr>
        <w:footnoteRef/>
      </w:r>
      <w:r w:rsidRPr="00CD2709">
        <w:rPr>
          <w:rFonts w:ascii="Times New Roman" w:hAnsi="Times New Roman" w:cs="Times New Roman"/>
          <w:sz w:val="20"/>
          <w:szCs w:val="20"/>
        </w:rPr>
        <w:t xml:space="preserve"> </w:t>
      </w:r>
      <w:r w:rsidRPr="00CD2709">
        <w:rPr>
          <w:rFonts w:ascii="Times New Roman" w:hAnsi="Times New Roman" w:cs="Times New Roman"/>
          <w:i/>
          <w:sz w:val="20"/>
          <w:szCs w:val="20"/>
        </w:rPr>
        <w:t xml:space="preserve">A Local Authority v BF </w:t>
      </w:r>
      <w:r w:rsidRPr="00CD2709">
        <w:rPr>
          <w:rFonts w:ascii="Times New Roman" w:hAnsi="Times New Roman" w:cs="Times New Roman"/>
          <w:sz w:val="20"/>
          <w:szCs w:val="20"/>
        </w:rPr>
        <w:t>[2018] EWCA Civ 2962</w:t>
      </w:r>
      <w:r>
        <w:rPr>
          <w:rFonts w:ascii="Times New Roman" w:hAnsi="Times New Roman" w:cs="Times New Roman"/>
          <w:sz w:val="20"/>
          <w:szCs w:val="20"/>
        </w:rPr>
        <w:t>.</w:t>
      </w:r>
    </w:p>
  </w:footnote>
  <w:footnote w:id="14">
    <w:p w14:paraId="7B39FC60" w14:textId="77777777" w:rsidR="001D7870" w:rsidRPr="004F71E7" w:rsidRDefault="001D7870" w:rsidP="001D7870">
      <w:pPr>
        <w:pStyle w:val="FootnoteText"/>
        <w:jc w:val="both"/>
        <w:rPr>
          <w:rFonts w:ascii="Times New Roman" w:hAnsi="Times New Roman" w:cs="Times New Roman"/>
          <w:sz w:val="20"/>
          <w:szCs w:val="20"/>
        </w:rPr>
      </w:pPr>
      <w:r w:rsidRPr="004F71E7">
        <w:rPr>
          <w:rStyle w:val="FootnoteReference"/>
          <w:rFonts w:ascii="Times New Roman" w:hAnsi="Times New Roman" w:cs="Times New Roman"/>
          <w:sz w:val="20"/>
          <w:szCs w:val="20"/>
        </w:rPr>
        <w:footnoteRef/>
      </w:r>
      <w:r w:rsidRPr="004F71E7">
        <w:rPr>
          <w:rFonts w:ascii="Times New Roman" w:hAnsi="Times New Roman" w:cs="Times New Roman"/>
          <w:sz w:val="20"/>
          <w:szCs w:val="20"/>
        </w:rPr>
        <w:t xml:space="preserve"> </w:t>
      </w:r>
      <w:r w:rsidRPr="004F71E7">
        <w:rPr>
          <w:rFonts w:ascii="Times New Roman" w:hAnsi="Times New Roman" w:cs="Times New Roman"/>
          <w:sz w:val="20"/>
          <w:szCs w:val="20"/>
          <w:lang w:val="en-US"/>
        </w:rPr>
        <w:t>One of the central aspects of the challenge to the Court of Appeal in respect of Mr Meyers’ case was that he was not, in fact, of unsound mind. It was agreed by the parties that he did not lack mental capacity under the Mental Capacity Act 2005; hence his ineligibility for deprivation under the Deprivation of Liberty Safeguards.</w:t>
      </w:r>
    </w:p>
  </w:footnote>
  <w:footnote w:id="15">
    <w:p w14:paraId="7A93F179" w14:textId="77777777" w:rsidR="001D7870" w:rsidRPr="008F4D22" w:rsidRDefault="001D7870" w:rsidP="001D7870">
      <w:pPr>
        <w:pStyle w:val="FootnoteText"/>
        <w:jc w:val="both"/>
        <w:rPr>
          <w:rFonts w:ascii="Times New Roman" w:hAnsi="Times New Roman" w:cs="Times New Roman"/>
          <w:sz w:val="20"/>
          <w:szCs w:val="20"/>
        </w:rPr>
      </w:pPr>
      <w:r w:rsidRPr="007842AA">
        <w:rPr>
          <w:rStyle w:val="FootnoteReference"/>
          <w:rFonts w:ascii="Times New Roman" w:hAnsi="Times New Roman" w:cs="Times New Roman"/>
          <w:sz w:val="20"/>
          <w:szCs w:val="20"/>
        </w:rPr>
        <w:footnoteRef/>
      </w:r>
      <w:r w:rsidRPr="007842AA">
        <w:rPr>
          <w:rFonts w:ascii="Times New Roman" w:hAnsi="Times New Roman" w:cs="Times New Roman"/>
          <w:sz w:val="20"/>
          <w:szCs w:val="20"/>
        </w:rPr>
        <w:t xml:space="preserve"> It is debatable whether such an approach would be harmonious with the decision of the European Court of Human Rights in </w:t>
      </w:r>
      <w:r w:rsidRPr="007842AA">
        <w:rPr>
          <w:rFonts w:ascii="Times New Roman" w:hAnsi="Times New Roman" w:cs="Times New Roman"/>
          <w:i/>
          <w:sz w:val="20"/>
          <w:szCs w:val="20"/>
        </w:rPr>
        <w:t xml:space="preserve">Winterwerp v The Netherlands </w:t>
      </w:r>
      <w:r>
        <w:rPr>
          <w:rFonts w:ascii="Times New Roman" w:hAnsi="Times New Roman" w:cs="Times New Roman"/>
          <w:sz w:val="20"/>
          <w:szCs w:val="20"/>
        </w:rPr>
        <w:t xml:space="preserve">[1979] ECHR 4, which required a ‘true mental disorder’ (para. 39), notwithstanding the Court of Appeal’s assertion in </w:t>
      </w:r>
      <w:r>
        <w:rPr>
          <w:rFonts w:ascii="Times New Roman" w:hAnsi="Times New Roman" w:cs="Times New Roman"/>
          <w:i/>
          <w:sz w:val="20"/>
          <w:szCs w:val="20"/>
        </w:rPr>
        <w:t xml:space="preserve">A Local Authority v BF </w:t>
      </w:r>
      <w:r>
        <w:rPr>
          <w:rFonts w:ascii="Times New Roman" w:hAnsi="Times New Roman" w:cs="Times New Roman"/>
          <w:sz w:val="20"/>
          <w:szCs w:val="20"/>
        </w:rPr>
        <w:t xml:space="preserve">that it would be when the situation amounted to an emergency: </w:t>
      </w:r>
      <w:r>
        <w:rPr>
          <w:rFonts w:ascii="Times New Roman" w:hAnsi="Times New Roman" w:cs="Times New Roman"/>
          <w:i/>
          <w:sz w:val="20"/>
          <w:szCs w:val="20"/>
        </w:rPr>
        <w:t xml:space="preserve">A Local Authority v BF, </w:t>
      </w:r>
      <w:r>
        <w:rPr>
          <w:rFonts w:ascii="Times New Roman" w:hAnsi="Times New Roman" w:cs="Times New Roman"/>
          <w:sz w:val="20"/>
          <w:szCs w:val="20"/>
        </w:rPr>
        <w:t xml:space="preserve">para. 34. </w:t>
      </w:r>
      <w:r>
        <w:rPr>
          <w:rFonts w:ascii="Times New Roman" w:hAnsi="Times New Roman" w:cs="Times New Roman"/>
          <w:sz w:val="20"/>
          <w:szCs w:val="20"/>
          <w:lang w:val="en-US"/>
        </w:rPr>
        <w:t>T</w:t>
      </w:r>
      <w:r w:rsidRPr="008F4D22">
        <w:rPr>
          <w:rFonts w:ascii="Times New Roman" w:hAnsi="Times New Roman" w:cs="Times New Roman"/>
          <w:sz w:val="20"/>
          <w:szCs w:val="20"/>
          <w:lang w:val="en-US"/>
        </w:rPr>
        <w:t xml:space="preserve">he judgment </w:t>
      </w:r>
      <w:r>
        <w:rPr>
          <w:rFonts w:ascii="Times New Roman" w:hAnsi="Times New Roman" w:cs="Times New Roman"/>
          <w:sz w:val="20"/>
          <w:szCs w:val="20"/>
          <w:lang w:val="en-US"/>
        </w:rPr>
        <w:t xml:space="preserve">also </w:t>
      </w:r>
      <w:r w:rsidRPr="008F4D22">
        <w:rPr>
          <w:rFonts w:ascii="Times New Roman" w:hAnsi="Times New Roman" w:cs="Times New Roman"/>
          <w:sz w:val="20"/>
          <w:szCs w:val="20"/>
          <w:lang w:val="en-US"/>
        </w:rPr>
        <w:t>authorizes such a deprivation using the much criticized, ill defined, and apparently ever extending powers of the High Court’s inherent jurisdiction (Keywood, 2017; Pritchard-Jones, 2016a). It is precisely this use of the jurisdiction for authorizing a deprivation of liberty that the European Court of Human Rights found was unlawful and a violation of Article 5 itself in 2004</w:t>
      </w:r>
      <w:r>
        <w:rPr>
          <w:rFonts w:ascii="Times New Roman" w:hAnsi="Times New Roman" w:cs="Times New Roman"/>
          <w:sz w:val="20"/>
          <w:szCs w:val="20"/>
          <w:lang w:val="en-US"/>
        </w:rPr>
        <w:t xml:space="preserve"> in </w:t>
      </w:r>
      <w:r>
        <w:rPr>
          <w:rFonts w:ascii="Times New Roman" w:hAnsi="Times New Roman" w:cs="Times New Roman"/>
          <w:i/>
          <w:sz w:val="20"/>
          <w:szCs w:val="20"/>
          <w:lang w:val="en-US"/>
        </w:rPr>
        <w:t xml:space="preserve">HL v UK </w:t>
      </w:r>
      <w:r>
        <w:rPr>
          <w:rFonts w:ascii="Times New Roman" w:hAnsi="Times New Roman" w:cs="Times New Roman"/>
          <w:sz w:val="20"/>
          <w:szCs w:val="20"/>
          <w:lang w:val="en-US"/>
        </w:rPr>
        <w:t>[2004] ECHR 471.</w:t>
      </w:r>
    </w:p>
  </w:footnote>
  <w:footnote w:id="16">
    <w:p w14:paraId="12E2B464" w14:textId="77777777" w:rsidR="001D7870" w:rsidRPr="009556F3" w:rsidRDefault="001D7870" w:rsidP="001D7870">
      <w:pPr>
        <w:pStyle w:val="FootnoteText"/>
        <w:jc w:val="both"/>
        <w:rPr>
          <w:rFonts w:ascii="Times New Roman" w:hAnsi="Times New Roman" w:cs="Times New Roman"/>
          <w:sz w:val="20"/>
          <w:szCs w:val="20"/>
        </w:rPr>
      </w:pPr>
      <w:r w:rsidRPr="00C11634">
        <w:rPr>
          <w:rStyle w:val="FootnoteReference"/>
          <w:rFonts w:ascii="Times New Roman" w:hAnsi="Times New Roman" w:cs="Times New Roman"/>
          <w:sz w:val="20"/>
          <w:szCs w:val="20"/>
        </w:rPr>
        <w:footnoteRef/>
      </w:r>
      <w:r w:rsidRPr="00C11634">
        <w:rPr>
          <w:rFonts w:ascii="Times New Roman" w:hAnsi="Times New Roman" w:cs="Times New Roman"/>
          <w:sz w:val="20"/>
          <w:szCs w:val="20"/>
        </w:rPr>
        <w:t xml:space="preserve"> </w:t>
      </w:r>
      <w:r>
        <w:rPr>
          <w:rFonts w:ascii="Times New Roman" w:hAnsi="Times New Roman" w:cs="Times New Roman"/>
          <w:sz w:val="20"/>
          <w:szCs w:val="20"/>
        </w:rPr>
        <w:t>Hayden J also</w:t>
      </w:r>
      <w:r w:rsidRPr="00C11634">
        <w:rPr>
          <w:rFonts w:ascii="Times New Roman" w:hAnsi="Times New Roman" w:cs="Times New Roman"/>
          <w:sz w:val="20"/>
          <w:szCs w:val="20"/>
        </w:rPr>
        <w:t xml:space="preserve"> found that </w:t>
      </w:r>
      <w:r>
        <w:rPr>
          <w:rFonts w:ascii="Times New Roman" w:hAnsi="Times New Roman" w:cs="Times New Roman"/>
          <w:sz w:val="20"/>
          <w:szCs w:val="20"/>
        </w:rPr>
        <w:t>such an approach would not amount to</w:t>
      </w:r>
      <w:r w:rsidRPr="00C11634">
        <w:rPr>
          <w:rFonts w:ascii="Times New Roman" w:hAnsi="Times New Roman" w:cs="Times New Roman"/>
          <w:sz w:val="20"/>
          <w:szCs w:val="20"/>
        </w:rPr>
        <w:t xml:space="preserve"> a deprivation of liberty. He concluded that requiring Mr Meyers not to live in the bungalow with his son amounted merely to a restriction on Mr Meyers’ liberty, not a deprivation. The case did not, therefore, fall within the scope of Article 5.</w:t>
      </w:r>
      <w:r>
        <w:rPr>
          <w:rFonts w:ascii="Times New Roman" w:hAnsi="Times New Roman" w:cs="Times New Roman"/>
          <w:sz w:val="20"/>
          <w:szCs w:val="20"/>
        </w:rPr>
        <w:t xml:space="preserve"> This decision has also attracted criticism on the basis that it may not be entirely consistent with dicta in previous case law (39 Essex Street, April 2019).</w:t>
      </w:r>
    </w:p>
  </w:footnote>
  <w:footnote w:id="17">
    <w:p w14:paraId="1E2F2783" w14:textId="77777777" w:rsidR="001D7870" w:rsidRPr="004671FB" w:rsidRDefault="001D7870" w:rsidP="001D7870">
      <w:pPr>
        <w:pStyle w:val="FootnoteText"/>
        <w:jc w:val="both"/>
        <w:rPr>
          <w:rFonts w:ascii="Times New Roman" w:hAnsi="Times New Roman" w:cs="Times New Roman"/>
          <w:sz w:val="20"/>
          <w:szCs w:val="20"/>
        </w:rPr>
      </w:pPr>
      <w:r w:rsidRPr="00AD5A60">
        <w:rPr>
          <w:rStyle w:val="FootnoteReference"/>
          <w:rFonts w:ascii="Times New Roman" w:hAnsi="Times New Roman" w:cs="Times New Roman"/>
          <w:sz w:val="20"/>
          <w:szCs w:val="20"/>
        </w:rPr>
        <w:footnoteRef/>
      </w:r>
      <w:r w:rsidRPr="00AD5A60">
        <w:rPr>
          <w:rFonts w:ascii="Times New Roman" w:hAnsi="Times New Roman" w:cs="Times New Roman"/>
          <w:sz w:val="20"/>
          <w:szCs w:val="20"/>
        </w:rPr>
        <w:t xml:space="preserve"> Quite literally: as mentioned above Hayden J states very clearly that he does not consider Mr Meyers to be of unsound mind. Indeed, the fact that the anonymity was waived in accordance with Mr Meyers’ own wishes is testament to the strength of feeling that Hayden J has towards Mr Meyers </w:t>
      </w:r>
      <w:r w:rsidRPr="00AD5A60">
        <w:rPr>
          <w:rFonts w:ascii="Times New Roman" w:hAnsi="Times New Roman" w:cs="Times New Roman"/>
          <w:i/>
          <w:sz w:val="20"/>
          <w:szCs w:val="20"/>
        </w:rPr>
        <w:t>soundness</w:t>
      </w:r>
      <w:r w:rsidRPr="00AD5A60">
        <w:rPr>
          <w:rFonts w:ascii="Times New Roman" w:hAnsi="Times New Roman" w:cs="Times New Roman"/>
          <w:sz w:val="20"/>
          <w:szCs w:val="20"/>
        </w:rPr>
        <w:t xml:space="preserve"> of mind.</w:t>
      </w:r>
    </w:p>
  </w:footnote>
  <w:footnote w:id="18">
    <w:p w14:paraId="178697AA" w14:textId="77777777" w:rsidR="00130FC8" w:rsidRPr="005629D7" w:rsidRDefault="00130FC8" w:rsidP="00130FC8">
      <w:pPr>
        <w:pStyle w:val="FootnoteText"/>
        <w:jc w:val="both"/>
        <w:rPr>
          <w:rFonts w:ascii="Times New Roman" w:hAnsi="Times New Roman" w:cs="Times New Roman"/>
          <w:sz w:val="20"/>
          <w:szCs w:val="20"/>
        </w:rPr>
      </w:pPr>
      <w:r w:rsidRPr="005629D7">
        <w:rPr>
          <w:rStyle w:val="FootnoteReference"/>
          <w:rFonts w:ascii="Times New Roman" w:hAnsi="Times New Roman" w:cs="Times New Roman"/>
          <w:sz w:val="20"/>
          <w:szCs w:val="20"/>
        </w:rPr>
        <w:footnoteRef/>
      </w:r>
      <w:r w:rsidRPr="005629D7">
        <w:rPr>
          <w:rFonts w:ascii="Times New Roman" w:hAnsi="Times New Roman" w:cs="Times New Roman"/>
          <w:sz w:val="20"/>
          <w:szCs w:val="20"/>
        </w:rPr>
        <w:t xml:space="preserve"> The Court of Protection is the court responsible in England and Wales for deciding matters under the Mental Capacity Act 2005.</w:t>
      </w:r>
    </w:p>
  </w:footnote>
  <w:footnote w:id="19">
    <w:p w14:paraId="21751CFE" w14:textId="77777777" w:rsidR="00130FC8" w:rsidRPr="00F7402D" w:rsidRDefault="00130FC8" w:rsidP="00130FC8">
      <w:pPr>
        <w:pStyle w:val="FootnoteText"/>
        <w:jc w:val="both"/>
        <w:rPr>
          <w:rFonts w:ascii="Times New Roman" w:hAnsi="Times New Roman" w:cs="Times New Roman"/>
          <w:sz w:val="20"/>
          <w:szCs w:val="20"/>
        </w:rPr>
      </w:pPr>
      <w:r w:rsidRPr="00F7402D">
        <w:rPr>
          <w:rStyle w:val="FootnoteReference"/>
          <w:rFonts w:ascii="Times New Roman" w:hAnsi="Times New Roman" w:cs="Times New Roman"/>
          <w:sz w:val="20"/>
          <w:szCs w:val="20"/>
        </w:rPr>
        <w:footnoteRef/>
      </w:r>
      <w:r w:rsidRPr="00F7402D">
        <w:rPr>
          <w:rFonts w:ascii="Times New Roman" w:hAnsi="Times New Roman" w:cs="Times New Roman"/>
          <w:sz w:val="20"/>
          <w:szCs w:val="20"/>
        </w:rPr>
        <w:t xml:space="preserve"> Although the Court did conclude that PB lacked capacity under the Mental Capacity Act 2005, and even if she had not, she would still have ‘lacked capacity’ because of the undue influence of her husband.</w:t>
      </w:r>
    </w:p>
  </w:footnote>
  <w:footnote w:id="20">
    <w:p w14:paraId="326F5094" w14:textId="0595FFC7" w:rsidR="00650240" w:rsidRPr="00CD25CC" w:rsidRDefault="00650240" w:rsidP="00650240">
      <w:pPr>
        <w:pStyle w:val="FootnoteText"/>
        <w:jc w:val="both"/>
        <w:rPr>
          <w:rFonts w:ascii="Times New Roman" w:hAnsi="Times New Roman" w:cs="Times New Roman"/>
          <w:sz w:val="20"/>
          <w:szCs w:val="20"/>
        </w:rPr>
      </w:pPr>
      <w:r w:rsidRPr="00CD25CC">
        <w:rPr>
          <w:rStyle w:val="FootnoteReference"/>
          <w:rFonts w:ascii="Times New Roman" w:hAnsi="Times New Roman" w:cs="Times New Roman"/>
          <w:sz w:val="20"/>
          <w:szCs w:val="20"/>
        </w:rPr>
        <w:footnoteRef/>
      </w:r>
      <w:r w:rsidRPr="00CD25CC">
        <w:rPr>
          <w:rFonts w:ascii="Times New Roman" w:hAnsi="Times New Roman" w:cs="Times New Roman"/>
          <w:sz w:val="20"/>
          <w:szCs w:val="20"/>
        </w:rPr>
        <w:t xml:space="preserve"> [2019] EWCOP 5</w:t>
      </w:r>
      <w:r w:rsidRPr="00CD25CC">
        <w:rPr>
          <w:rFonts w:ascii="Times New Roman" w:hAnsi="Times New Roman" w:cs="Times New Roman"/>
          <w:i/>
          <w:sz w:val="20"/>
          <w:szCs w:val="20"/>
        </w:rPr>
        <w:t xml:space="preserve">. </w:t>
      </w:r>
      <w:r>
        <w:rPr>
          <w:rFonts w:ascii="Times New Roman" w:hAnsi="Times New Roman" w:cs="Times New Roman"/>
          <w:sz w:val="20"/>
          <w:szCs w:val="20"/>
        </w:rPr>
        <w:t>CB wished to appeal the previous judgment of HHJ Backhouse who had decided it would be in her best interests to remain in the care home.</w:t>
      </w:r>
    </w:p>
  </w:footnote>
  <w:footnote w:id="21">
    <w:p w14:paraId="7373046C" w14:textId="77777777" w:rsidR="00650240" w:rsidRPr="00CD25CC" w:rsidRDefault="00650240" w:rsidP="00650240">
      <w:pPr>
        <w:pStyle w:val="FootnoteText"/>
        <w:jc w:val="both"/>
        <w:rPr>
          <w:rFonts w:ascii="Times New Roman" w:hAnsi="Times New Roman" w:cs="Times New Roman"/>
          <w:sz w:val="20"/>
          <w:szCs w:val="20"/>
        </w:rPr>
      </w:pPr>
      <w:r w:rsidRPr="00CD25CC">
        <w:rPr>
          <w:rStyle w:val="FootnoteReference"/>
          <w:rFonts w:ascii="Times New Roman" w:hAnsi="Times New Roman" w:cs="Times New Roman"/>
          <w:sz w:val="20"/>
          <w:szCs w:val="20"/>
        </w:rPr>
        <w:footnoteRef/>
      </w:r>
      <w:r w:rsidRPr="00CD25CC">
        <w:rPr>
          <w:rFonts w:ascii="Times New Roman" w:hAnsi="Times New Roman" w:cs="Times New Roman"/>
          <w:sz w:val="20"/>
          <w:szCs w:val="20"/>
        </w:rPr>
        <w:t xml:space="preserve"> In this statement Hayd</w:t>
      </w:r>
      <w:r>
        <w:rPr>
          <w:rFonts w:ascii="Times New Roman" w:hAnsi="Times New Roman" w:cs="Times New Roman"/>
          <w:sz w:val="20"/>
          <w:szCs w:val="20"/>
        </w:rPr>
        <w:t>en J is discussing the judge</w:t>
      </w:r>
      <w:r w:rsidRPr="00CD25CC">
        <w:rPr>
          <w:rFonts w:ascii="Times New Roman" w:hAnsi="Times New Roman" w:cs="Times New Roman"/>
          <w:sz w:val="20"/>
          <w:szCs w:val="20"/>
        </w:rPr>
        <w:t>’s comments in the previous case.</w:t>
      </w:r>
    </w:p>
  </w:footnote>
  <w:footnote w:id="22">
    <w:p w14:paraId="5F9DCBA2" w14:textId="3D071F37" w:rsidR="00E617B2" w:rsidRPr="00E617B2" w:rsidRDefault="00E617B2" w:rsidP="00E617B2">
      <w:pPr>
        <w:pStyle w:val="FootnoteText"/>
        <w:jc w:val="both"/>
        <w:rPr>
          <w:rFonts w:ascii="Times New Roman" w:hAnsi="Times New Roman" w:cs="Times New Roman"/>
          <w:sz w:val="20"/>
          <w:szCs w:val="20"/>
        </w:rPr>
      </w:pPr>
      <w:r w:rsidRPr="00E617B2">
        <w:rPr>
          <w:rStyle w:val="FootnoteReference"/>
          <w:rFonts w:ascii="Times New Roman" w:hAnsi="Times New Roman" w:cs="Times New Roman"/>
          <w:sz w:val="20"/>
          <w:szCs w:val="20"/>
        </w:rPr>
        <w:footnoteRef/>
      </w:r>
      <w:r w:rsidRPr="00E617B2">
        <w:rPr>
          <w:rFonts w:ascii="Times New Roman" w:hAnsi="Times New Roman" w:cs="Times New Roman"/>
          <w:sz w:val="20"/>
          <w:szCs w:val="20"/>
        </w:rPr>
        <w:t xml:space="preserve"> This paper does not discuss this particular aspect of the case, but focuses solely on an aspect of the discussion that relates to the individual’s physical impairments, hence the case’s inclusion in this section. </w:t>
      </w:r>
    </w:p>
  </w:footnote>
  <w:footnote w:id="23">
    <w:p w14:paraId="0AC939F8" w14:textId="77777777" w:rsidR="001D7870" w:rsidRPr="001E2E1A" w:rsidRDefault="001D7870" w:rsidP="001D7870">
      <w:pPr>
        <w:pStyle w:val="FootnoteText"/>
        <w:jc w:val="both"/>
        <w:rPr>
          <w:rFonts w:ascii="Times New Roman" w:hAnsi="Times New Roman" w:cs="Times New Roman"/>
          <w:sz w:val="20"/>
          <w:szCs w:val="20"/>
        </w:rPr>
      </w:pPr>
      <w:r w:rsidRPr="005305A2">
        <w:rPr>
          <w:rStyle w:val="FootnoteReference"/>
          <w:rFonts w:ascii="Times New Roman" w:hAnsi="Times New Roman" w:cs="Times New Roman"/>
          <w:sz w:val="20"/>
          <w:szCs w:val="20"/>
        </w:rPr>
        <w:footnoteRef/>
      </w:r>
      <w:r w:rsidRPr="005305A2">
        <w:rPr>
          <w:rFonts w:ascii="Times New Roman" w:hAnsi="Times New Roman" w:cs="Times New Roman"/>
          <w:sz w:val="20"/>
          <w:szCs w:val="20"/>
        </w:rPr>
        <w:t xml:space="preserve"> Judicial review is a mechanism by which individuals or organisations in England and Wales can challenge the decisions of governmental bodies, including local authorities.</w:t>
      </w:r>
    </w:p>
  </w:footnote>
  <w:footnote w:id="24">
    <w:p w14:paraId="7D18AF41" w14:textId="5B5096ED" w:rsidR="002E3540" w:rsidRPr="002E3540" w:rsidRDefault="002E3540" w:rsidP="002E3540">
      <w:pPr>
        <w:pStyle w:val="FootnoteText"/>
        <w:jc w:val="both"/>
        <w:rPr>
          <w:rFonts w:ascii="Times New Roman" w:hAnsi="Times New Roman" w:cs="Times New Roman"/>
          <w:sz w:val="20"/>
          <w:szCs w:val="20"/>
        </w:rPr>
      </w:pPr>
      <w:r w:rsidRPr="002E3540">
        <w:rPr>
          <w:rStyle w:val="FootnoteReference"/>
          <w:rFonts w:ascii="Times New Roman" w:hAnsi="Times New Roman" w:cs="Times New Roman"/>
          <w:sz w:val="20"/>
          <w:szCs w:val="20"/>
        </w:rPr>
        <w:footnoteRef/>
      </w:r>
      <w:r w:rsidRPr="002E3540">
        <w:rPr>
          <w:rFonts w:ascii="Times New Roman" w:hAnsi="Times New Roman" w:cs="Times New Roman"/>
          <w:sz w:val="20"/>
          <w:szCs w:val="20"/>
        </w:rPr>
        <w:t xml:space="preserve"> </w:t>
      </w:r>
      <w:r w:rsidRPr="002E3540">
        <w:rPr>
          <w:rFonts w:ascii="Times New Roman" w:hAnsi="Times New Roman" w:cs="Times New Roman"/>
          <w:sz w:val="20"/>
          <w:szCs w:val="20"/>
          <w:lang w:val="en-US"/>
        </w:rPr>
        <w:t xml:space="preserve">The decision in the case has already generated much criticism (Clements, 2011; George, 2011), including from a gender perspective (Carr, 2012; Pritchard-Jones, 2018).  </w:t>
      </w:r>
    </w:p>
  </w:footnote>
  <w:footnote w:id="25">
    <w:p w14:paraId="64C18322" w14:textId="77777777" w:rsidR="001D7870" w:rsidRPr="000B7C45" w:rsidRDefault="001D7870" w:rsidP="001D7870">
      <w:pPr>
        <w:pStyle w:val="FootnoteText"/>
        <w:jc w:val="both"/>
        <w:rPr>
          <w:rFonts w:ascii="Times New Roman" w:hAnsi="Times New Roman" w:cs="Times New Roman"/>
          <w:sz w:val="20"/>
          <w:szCs w:val="20"/>
        </w:rPr>
      </w:pPr>
      <w:r w:rsidRPr="000B7C45">
        <w:rPr>
          <w:rStyle w:val="FootnoteReference"/>
          <w:rFonts w:ascii="Times New Roman" w:hAnsi="Times New Roman" w:cs="Times New Roman"/>
          <w:sz w:val="20"/>
          <w:szCs w:val="20"/>
        </w:rPr>
        <w:footnoteRef/>
      </w:r>
      <w:r w:rsidRPr="000B7C45">
        <w:rPr>
          <w:rFonts w:ascii="Times New Roman" w:hAnsi="Times New Roman" w:cs="Times New Roman"/>
          <w:sz w:val="20"/>
          <w:szCs w:val="20"/>
        </w:rPr>
        <w:t xml:space="preserve"> As George (2011) has noted, however, this was not in fact what Lady Hale was pointing out. Lady Hale’s comment was that allowing incontinence pads for defecation might be a </w:t>
      </w:r>
      <w:r w:rsidRPr="000B7C45">
        <w:rPr>
          <w:rFonts w:ascii="Times New Roman" w:hAnsi="Times New Roman" w:cs="Times New Roman"/>
          <w:i/>
          <w:sz w:val="20"/>
          <w:szCs w:val="20"/>
        </w:rPr>
        <w:t xml:space="preserve">logical extension </w:t>
      </w:r>
      <w:r w:rsidRPr="000B7C45">
        <w:rPr>
          <w:rFonts w:ascii="Times New Roman" w:hAnsi="Times New Roman" w:cs="Times New Roman"/>
          <w:sz w:val="20"/>
          <w:szCs w:val="20"/>
        </w:rPr>
        <w:t xml:space="preserve">of allowing incontinence pads for urination, not that the local authority was </w:t>
      </w:r>
      <w:r w:rsidRPr="000B7C45">
        <w:rPr>
          <w:rFonts w:ascii="Times New Roman" w:hAnsi="Times New Roman" w:cs="Times New Roman"/>
          <w:i/>
          <w:sz w:val="20"/>
          <w:szCs w:val="20"/>
        </w:rPr>
        <w:t>in fact</w:t>
      </w:r>
      <w:r w:rsidRPr="000B7C45">
        <w:rPr>
          <w:rFonts w:ascii="Times New Roman" w:hAnsi="Times New Roman" w:cs="Times New Roman"/>
          <w:sz w:val="20"/>
          <w:szCs w:val="20"/>
        </w:rPr>
        <w:t xml:space="preserve"> requiring this.</w:t>
      </w:r>
    </w:p>
  </w:footnote>
  <w:footnote w:id="26">
    <w:p w14:paraId="4E6A3D3C" w14:textId="4C90706E" w:rsidR="005C75A0" w:rsidRPr="0056723B" w:rsidRDefault="005C75A0" w:rsidP="005C75A0">
      <w:pPr>
        <w:pStyle w:val="FootnoteText"/>
        <w:jc w:val="both"/>
        <w:rPr>
          <w:rFonts w:ascii="Times New Roman" w:hAnsi="Times New Roman" w:cs="Times New Roman"/>
          <w:sz w:val="20"/>
          <w:szCs w:val="20"/>
        </w:rPr>
      </w:pPr>
      <w:r w:rsidRPr="0056723B">
        <w:rPr>
          <w:rStyle w:val="FootnoteReference"/>
          <w:rFonts w:ascii="Times New Roman" w:hAnsi="Times New Roman" w:cs="Times New Roman"/>
          <w:sz w:val="20"/>
          <w:szCs w:val="20"/>
        </w:rPr>
        <w:footnoteRef/>
      </w:r>
      <w:r w:rsidRPr="0056723B">
        <w:rPr>
          <w:rFonts w:ascii="Times New Roman" w:hAnsi="Times New Roman" w:cs="Times New Roman"/>
          <w:sz w:val="20"/>
          <w:szCs w:val="20"/>
        </w:rPr>
        <w:t xml:space="preserve"> It must be noted that Gilleard and Higgs – as I do in this paper - are pointing out the negative associations with old age but do not </w:t>
      </w:r>
      <w:r w:rsidRPr="0056723B">
        <w:rPr>
          <w:rFonts w:ascii="Times New Roman" w:hAnsi="Times New Roman" w:cs="Times New Roman"/>
          <w:i/>
          <w:sz w:val="20"/>
          <w:szCs w:val="20"/>
        </w:rPr>
        <w:t xml:space="preserve">agree </w:t>
      </w:r>
      <w:r w:rsidRPr="0056723B">
        <w:rPr>
          <w:rFonts w:ascii="Times New Roman" w:hAnsi="Times New Roman" w:cs="Times New Roman"/>
          <w:sz w:val="20"/>
          <w:szCs w:val="20"/>
        </w:rPr>
        <w:t xml:space="preserve">with these associations. Their problem is with the negativity assigned, not old age itself. Indeed, they also suggest that care ethic may help remove these negative associations and replace them with positive ones. </w:t>
      </w:r>
    </w:p>
  </w:footnote>
  <w:footnote w:id="27">
    <w:p w14:paraId="5F3A2BE5" w14:textId="77777777" w:rsidR="00130FC8" w:rsidRPr="00EB5365" w:rsidRDefault="00130FC8" w:rsidP="00130FC8">
      <w:pPr>
        <w:pStyle w:val="FootnoteText"/>
        <w:rPr>
          <w:rFonts w:ascii="Times New Roman" w:hAnsi="Times New Roman" w:cs="Times New Roman"/>
          <w:sz w:val="20"/>
          <w:szCs w:val="20"/>
        </w:rPr>
      </w:pPr>
      <w:r w:rsidRPr="00EB5365">
        <w:rPr>
          <w:rStyle w:val="FootnoteReference"/>
          <w:rFonts w:ascii="Times New Roman" w:hAnsi="Times New Roman" w:cs="Times New Roman"/>
          <w:sz w:val="20"/>
          <w:szCs w:val="20"/>
        </w:rPr>
        <w:footnoteRef/>
      </w:r>
      <w:r w:rsidRPr="00EB5365">
        <w:rPr>
          <w:rFonts w:ascii="Times New Roman" w:hAnsi="Times New Roman" w:cs="Times New Roman"/>
          <w:sz w:val="20"/>
          <w:szCs w:val="20"/>
        </w:rPr>
        <w:t xml:space="preserve"> The earlier case</w:t>
      </w:r>
      <w:r>
        <w:rPr>
          <w:rFonts w:ascii="Times New Roman" w:hAnsi="Times New Roman" w:cs="Times New Roman"/>
          <w:sz w:val="20"/>
          <w:szCs w:val="20"/>
        </w:rPr>
        <w:t xml:space="preserve"> in the Court of Protection</w:t>
      </w:r>
      <w:r w:rsidRPr="00EB5365">
        <w:rPr>
          <w:rFonts w:ascii="Times New Roman" w:hAnsi="Times New Roman" w:cs="Times New Roman"/>
          <w:sz w:val="20"/>
          <w:szCs w:val="20"/>
        </w:rPr>
        <w:t xml:space="preserve"> </w:t>
      </w:r>
      <w:r>
        <w:rPr>
          <w:rFonts w:ascii="Times New Roman" w:hAnsi="Times New Roman" w:cs="Times New Roman"/>
          <w:sz w:val="20"/>
          <w:szCs w:val="20"/>
        </w:rPr>
        <w:t xml:space="preserve">involving RW </w:t>
      </w:r>
      <w:r w:rsidRPr="00EB5365">
        <w:rPr>
          <w:rFonts w:ascii="Times New Roman" w:hAnsi="Times New Roman" w:cs="Times New Roman"/>
          <w:sz w:val="20"/>
          <w:szCs w:val="20"/>
        </w:rPr>
        <w:t>is unreported.</w:t>
      </w:r>
    </w:p>
  </w:footnote>
  <w:footnote w:id="28">
    <w:p w14:paraId="55B2D5A5" w14:textId="77777777" w:rsidR="00130FC8" w:rsidRPr="00EB5365" w:rsidRDefault="00130FC8" w:rsidP="00130FC8">
      <w:pPr>
        <w:pStyle w:val="FootnoteText"/>
        <w:rPr>
          <w:rFonts w:ascii="Times New Roman" w:hAnsi="Times New Roman" w:cs="Times New Roman"/>
          <w:sz w:val="20"/>
          <w:szCs w:val="20"/>
        </w:rPr>
      </w:pPr>
      <w:r w:rsidRPr="00EB5365">
        <w:rPr>
          <w:rStyle w:val="FootnoteReference"/>
          <w:rFonts w:ascii="Times New Roman" w:hAnsi="Times New Roman" w:cs="Times New Roman"/>
          <w:sz w:val="20"/>
          <w:szCs w:val="20"/>
        </w:rPr>
        <w:footnoteRef/>
      </w:r>
      <w:r w:rsidRPr="00EB5365">
        <w:rPr>
          <w:rFonts w:ascii="Times New Roman" w:hAnsi="Times New Roman" w:cs="Times New Roman"/>
          <w:sz w:val="20"/>
          <w:szCs w:val="20"/>
        </w:rPr>
        <w:t xml:space="preserve"> </w:t>
      </w:r>
      <w:r w:rsidRPr="00EB5365">
        <w:rPr>
          <w:rFonts w:ascii="Times New Roman" w:hAnsi="Times New Roman" w:cs="Times New Roman"/>
          <w:i/>
          <w:sz w:val="20"/>
          <w:szCs w:val="20"/>
        </w:rPr>
        <w:t>PW v Chelsea and Westminster Hospital NHS Foundation Trust</w:t>
      </w:r>
      <w:r w:rsidRPr="00EB5365">
        <w:rPr>
          <w:rFonts w:ascii="Times New Roman" w:hAnsi="Times New Roman" w:cs="Times New Roman"/>
          <w:sz w:val="20"/>
          <w:szCs w:val="20"/>
        </w:rPr>
        <w:t xml:space="preserve"> [2018] EWCA Civ 1067</w:t>
      </w:r>
    </w:p>
  </w:footnote>
  <w:footnote w:id="29">
    <w:p w14:paraId="20F11DC7" w14:textId="4B4235EB" w:rsidR="008D6A45" w:rsidRPr="008D6A45" w:rsidRDefault="008D6A45" w:rsidP="008D6A45">
      <w:pPr>
        <w:pStyle w:val="FootnoteText"/>
        <w:jc w:val="both"/>
        <w:rPr>
          <w:rFonts w:ascii="Times New Roman" w:hAnsi="Times New Roman" w:cs="Times New Roman"/>
          <w:sz w:val="20"/>
          <w:szCs w:val="20"/>
        </w:rPr>
      </w:pPr>
      <w:r w:rsidRPr="008D6A45">
        <w:rPr>
          <w:rStyle w:val="FootnoteReference"/>
          <w:rFonts w:ascii="Times New Roman" w:hAnsi="Times New Roman" w:cs="Times New Roman"/>
          <w:sz w:val="20"/>
          <w:szCs w:val="20"/>
        </w:rPr>
        <w:footnoteRef/>
      </w:r>
      <w:r w:rsidRPr="008D6A45">
        <w:rPr>
          <w:rFonts w:ascii="Times New Roman" w:hAnsi="Times New Roman" w:cs="Times New Roman"/>
          <w:sz w:val="20"/>
          <w:szCs w:val="20"/>
        </w:rPr>
        <w:t xml:space="preserve"> </w:t>
      </w:r>
      <w:r w:rsidRPr="008D6A45">
        <w:rPr>
          <w:rFonts w:ascii="Times New Roman" w:hAnsi="Times New Roman" w:cs="Times New Roman"/>
          <w:sz w:val="20"/>
          <w:szCs w:val="20"/>
          <w:lang w:val="en-US"/>
        </w:rPr>
        <w:t xml:space="preserve">Much the same has been argued in relation to a similar case of </w:t>
      </w:r>
      <w:r w:rsidRPr="008D6A45">
        <w:rPr>
          <w:rFonts w:ascii="Times New Roman" w:hAnsi="Times New Roman" w:cs="Times New Roman"/>
          <w:i/>
          <w:sz w:val="20"/>
          <w:szCs w:val="20"/>
          <w:lang w:val="en-US"/>
        </w:rPr>
        <w:t xml:space="preserve">Wye Valley NHS Trust </w:t>
      </w:r>
      <w:proofErr w:type="gramStart"/>
      <w:r w:rsidRPr="008D6A45">
        <w:rPr>
          <w:rFonts w:ascii="Times New Roman" w:hAnsi="Times New Roman" w:cs="Times New Roman"/>
          <w:i/>
          <w:sz w:val="20"/>
          <w:szCs w:val="20"/>
          <w:lang w:val="en-US"/>
        </w:rPr>
        <w:t>v</w:t>
      </w:r>
      <w:proofErr w:type="gramEnd"/>
      <w:r w:rsidRPr="008D6A45">
        <w:rPr>
          <w:rFonts w:ascii="Times New Roman" w:hAnsi="Times New Roman" w:cs="Times New Roman"/>
          <w:i/>
          <w:sz w:val="20"/>
          <w:szCs w:val="20"/>
          <w:lang w:val="en-US"/>
        </w:rPr>
        <w:t xml:space="preserve"> B </w:t>
      </w:r>
      <w:r w:rsidRPr="008D6A45">
        <w:rPr>
          <w:rFonts w:ascii="Times New Roman" w:hAnsi="Times New Roman" w:cs="Times New Roman"/>
          <w:sz w:val="20"/>
          <w:szCs w:val="20"/>
          <w:lang w:val="en-US"/>
        </w:rPr>
        <w:t xml:space="preserve">[2015] EWCOP 60 where the judge again sought to do the same regarding Mr B’s personality in that case (Series, 2016).  </w:t>
      </w:r>
    </w:p>
  </w:footnote>
  <w:footnote w:id="30">
    <w:p w14:paraId="22E3FAA6" w14:textId="50701A58" w:rsidR="002E3540" w:rsidRPr="002E3540" w:rsidRDefault="002E3540">
      <w:pPr>
        <w:pStyle w:val="FootnoteText"/>
        <w:rPr>
          <w:rFonts w:ascii="Times New Roman" w:hAnsi="Times New Roman" w:cs="Times New Roman"/>
          <w:sz w:val="20"/>
          <w:szCs w:val="20"/>
        </w:rPr>
      </w:pPr>
      <w:r w:rsidRPr="002E3540">
        <w:rPr>
          <w:rStyle w:val="FootnoteReference"/>
          <w:rFonts w:ascii="Times New Roman" w:hAnsi="Times New Roman" w:cs="Times New Roman"/>
          <w:sz w:val="20"/>
          <w:szCs w:val="20"/>
        </w:rPr>
        <w:footnoteRef/>
      </w:r>
      <w:r w:rsidRPr="002E3540">
        <w:rPr>
          <w:rFonts w:ascii="Times New Roman" w:hAnsi="Times New Roman" w:cs="Times New Roman"/>
          <w:sz w:val="20"/>
          <w:szCs w:val="20"/>
        </w:rPr>
        <w:t xml:space="preserve"> </w:t>
      </w:r>
      <w:r w:rsidRPr="002E3540">
        <w:rPr>
          <w:rFonts w:ascii="Times New Roman" w:hAnsi="Times New Roman" w:cs="Times New Roman"/>
          <w:sz w:val="20"/>
          <w:szCs w:val="20"/>
          <w:lang w:val="en-US"/>
        </w:rPr>
        <w:t>Save, perhaps, in Douglas Meyers’ case.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77F"/>
    <w:multiLevelType w:val="hybridMultilevel"/>
    <w:tmpl w:val="68D4FD8E"/>
    <w:lvl w:ilvl="0" w:tplc="4B6CC3C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14AB7"/>
    <w:multiLevelType w:val="hybridMultilevel"/>
    <w:tmpl w:val="4108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12988"/>
    <w:multiLevelType w:val="hybridMultilevel"/>
    <w:tmpl w:val="F838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24587"/>
    <w:multiLevelType w:val="hybridMultilevel"/>
    <w:tmpl w:val="A1A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242C7"/>
    <w:multiLevelType w:val="hybridMultilevel"/>
    <w:tmpl w:val="FCD6518C"/>
    <w:lvl w:ilvl="0" w:tplc="BA50486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84E4C"/>
    <w:multiLevelType w:val="hybridMultilevel"/>
    <w:tmpl w:val="E35A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43D70"/>
    <w:multiLevelType w:val="hybridMultilevel"/>
    <w:tmpl w:val="07DAB630"/>
    <w:lvl w:ilvl="0" w:tplc="927AF9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41D5B"/>
    <w:multiLevelType w:val="hybridMultilevel"/>
    <w:tmpl w:val="8CD64F94"/>
    <w:lvl w:ilvl="0" w:tplc="E3A27A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C2"/>
    <w:rsid w:val="000038C8"/>
    <w:rsid w:val="00004DF3"/>
    <w:rsid w:val="00005080"/>
    <w:rsid w:val="000055FD"/>
    <w:rsid w:val="000071CA"/>
    <w:rsid w:val="00011949"/>
    <w:rsid w:val="00011C09"/>
    <w:rsid w:val="000124CC"/>
    <w:rsid w:val="00015650"/>
    <w:rsid w:val="00017CC3"/>
    <w:rsid w:val="000234DD"/>
    <w:rsid w:val="00023A18"/>
    <w:rsid w:val="0002667A"/>
    <w:rsid w:val="00026CDC"/>
    <w:rsid w:val="00030BEC"/>
    <w:rsid w:val="00032644"/>
    <w:rsid w:val="00034B35"/>
    <w:rsid w:val="00034E66"/>
    <w:rsid w:val="000359F9"/>
    <w:rsid w:val="00036E78"/>
    <w:rsid w:val="00037E0F"/>
    <w:rsid w:val="0004117E"/>
    <w:rsid w:val="00041D1F"/>
    <w:rsid w:val="00044B8B"/>
    <w:rsid w:val="0004794C"/>
    <w:rsid w:val="000554C6"/>
    <w:rsid w:val="00060F9C"/>
    <w:rsid w:val="00063E39"/>
    <w:rsid w:val="00064BF5"/>
    <w:rsid w:val="000652FE"/>
    <w:rsid w:val="00066300"/>
    <w:rsid w:val="0006725E"/>
    <w:rsid w:val="00070F14"/>
    <w:rsid w:val="00072435"/>
    <w:rsid w:val="0007447A"/>
    <w:rsid w:val="00076203"/>
    <w:rsid w:val="0008121E"/>
    <w:rsid w:val="00090CDB"/>
    <w:rsid w:val="000A0175"/>
    <w:rsid w:val="000A2288"/>
    <w:rsid w:val="000A32AC"/>
    <w:rsid w:val="000A435C"/>
    <w:rsid w:val="000A54E6"/>
    <w:rsid w:val="000A7164"/>
    <w:rsid w:val="000A79E3"/>
    <w:rsid w:val="000B0679"/>
    <w:rsid w:val="000B077F"/>
    <w:rsid w:val="000B635C"/>
    <w:rsid w:val="000B6AE1"/>
    <w:rsid w:val="000B7C45"/>
    <w:rsid w:val="000C0741"/>
    <w:rsid w:val="000C3A63"/>
    <w:rsid w:val="000C5AAD"/>
    <w:rsid w:val="000C6F28"/>
    <w:rsid w:val="000D5405"/>
    <w:rsid w:val="000D6527"/>
    <w:rsid w:val="000D712D"/>
    <w:rsid w:val="000E3B23"/>
    <w:rsid w:val="000E4389"/>
    <w:rsid w:val="000E7945"/>
    <w:rsid w:val="000F3C05"/>
    <w:rsid w:val="000F4A54"/>
    <w:rsid w:val="000F599B"/>
    <w:rsid w:val="00102763"/>
    <w:rsid w:val="0012165C"/>
    <w:rsid w:val="00121C99"/>
    <w:rsid w:val="0012235D"/>
    <w:rsid w:val="00123559"/>
    <w:rsid w:val="00123C1D"/>
    <w:rsid w:val="00124688"/>
    <w:rsid w:val="0012754A"/>
    <w:rsid w:val="001306FA"/>
    <w:rsid w:val="00130964"/>
    <w:rsid w:val="00130FC8"/>
    <w:rsid w:val="00132D84"/>
    <w:rsid w:val="00134298"/>
    <w:rsid w:val="00136D4A"/>
    <w:rsid w:val="00137C0F"/>
    <w:rsid w:val="00155A46"/>
    <w:rsid w:val="0015651B"/>
    <w:rsid w:val="0016098F"/>
    <w:rsid w:val="00162041"/>
    <w:rsid w:val="001660BA"/>
    <w:rsid w:val="001664D7"/>
    <w:rsid w:val="00171723"/>
    <w:rsid w:val="0017338E"/>
    <w:rsid w:val="001739CE"/>
    <w:rsid w:val="0017462B"/>
    <w:rsid w:val="001760C0"/>
    <w:rsid w:val="00184F88"/>
    <w:rsid w:val="00186FD3"/>
    <w:rsid w:val="00190651"/>
    <w:rsid w:val="00192427"/>
    <w:rsid w:val="00193BF6"/>
    <w:rsid w:val="001966EF"/>
    <w:rsid w:val="001A20A8"/>
    <w:rsid w:val="001A2AFA"/>
    <w:rsid w:val="001A3626"/>
    <w:rsid w:val="001A5060"/>
    <w:rsid w:val="001A6B17"/>
    <w:rsid w:val="001B1156"/>
    <w:rsid w:val="001B3F07"/>
    <w:rsid w:val="001C2AA8"/>
    <w:rsid w:val="001C4819"/>
    <w:rsid w:val="001C7F02"/>
    <w:rsid w:val="001D0919"/>
    <w:rsid w:val="001D1505"/>
    <w:rsid w:val="001D7870"/>
    <w:rsid w:val="001D7BF1"/>
    <w:rsid w:val="001E06FB"/>
    <w:rsid w:val="001E1930"/>
    <w:rsid w:val="001E2728"/>
    <w:rsid w:val="001E2E1A"/>
    <w:rsid w:val="001E40F3"/>
    <w:rsid w:val="001E425E"/>
    <w:rsid w:val="001E639C"/>
    <w:rsid w:val="001F209A"/>
    <w:rsid w:val="001F56AA"/>
    <w:rsid w:val="001F592E"/>
    <w:rsid w:val="002008A4"/>
    <w:rsid w:val="00200FF5"/>
    <w:rsid w:val="00201D7F"/>
    <w:rsid w:val="00201F8D"/>
    <w:rsid w:val="00203137"/>
    <w:rsid w:val="0020458D"/>
    <w:rsid w:val="00207FFE"/>
    <w:rsid w:val="002129FE"/>
    <w:rsid w:val="002133B3"/>
    <w:rsid w:val="00216C85"/>
    <w:rsid w:val="0021748B"/>
    <w:rsid w:val="00217AF0"/>
    <w:rsid w:val="00236B71"/>
    <w:rsid w:val="002376B7"/>
    <w:rsid w:val="00240400"/>
    <w:rsid w:val="0024284D"/>
    <w:rsid w:val="00242F6B"/>
    <w:rsid w:val="002431A7"/>
    <w:rsid w:val="002503BD"/>
    <w:rsid w:val="00250CC2"/>
    <w:rsid w:val="00251F54"/>
    <w:rsid w:val="002532F2"/>
    <w:rsid w:val="00257F6B"/>
    <w:rsid w:val="00261509"/>
    <w:rsid w:val="00265FAB"/>
    <w:rsid w:val="002663FC"/>
    <w:rsid w:val="00276188"/>
    <w:rsid w:val="00276795"/>
    <w:rsid w:val="0027775D"/>
    <w:rsid w:val="0027789E"/>
    <w:rsid w:val="00277D30"/>
    <w:rsid w:val="0028000A"/>
    <w:rsid w:val="0028186C"/>
    <w:rsid w:val="00282A20"/>
    <w:rsid w:val="00282E61"/>
    <w:rsid w:val="00283442"/>
    <w:rsid w:val="00283729"/>
    <w:rsid w:val="002839C6"/>
    <w:rsid w:val="00286B1A"/>
    <w:rsid w:val="00290830"/>
    <w:rsid w:val="00296367"/>
    <w:rsid w:val="00297F32"/>
    <w:rsid w:val="002A31E9"/>
    <w:rsid w:val="002A3FCD"/>
    <w:rsid w:val="002A58AB"/>
    <w:rsid w:val="002A6F05"/>
    <w:rsid w:val="002A7061"/>
    <w:rsid w:val="002A7662"/>
    <w:rsid w:val="002B0790"/>
    <w:rsid w:val="002B49F5"/>
    <w:rsid w:val="002B4C26"/>
    <w:rsid w:val="002B6B63"/>
    <w:rsid w:val="002B6D15"/>
    <w:rsid w:val="002B6FE4"/>
    <w:rsid w:val="002C1410"/>
    <w:rsid w:val="002C192D"/>
    <w:rsid w:val="002C5E07"/>
    <w:rsid w:val="002C7564"/>
    <w:rsid w:val="002D31E1"/>
    <w:rsid w:val="002D519A"/>
    <w:rsid w:val="002E156E"/>
    <w:rsid w:val="002E3540"/>
    <w:rsid w:val="002E51A0"/>
    <w:rsid w:val="002E6FA2"/>
    <w:rsid w:val="002F106C"/>
    <w:rsid w:val="002F1304"/>
    <w:rsid w:val="002F30E1"/>
    <w:rsid w:val="002F4C82"/>
    <w:rsid w:val="00300320"/>
    <w:rsid w:val="00300BEB"/>
    <w:rsid w:val="00301A1A"/>
    <w:rsid w:val="00304251"/>
    <w:rsid w:val="003042A4"/>
    <w:rsid w:val="00305DAC"/>
    <w:rsid w:val="003074C3"/>
    <w:rsid w:val="003101AF"/>
    <w:rsid w:val="00314355"/>
    <w:rsid w:val="00315D58"/>
    <w:rsid w:val="003207F0"/>
    <w:rsid w:val="00320C05"/>
    <w:rsid w:val="00320CF6"/>
    <w:rsid w:val="00321847"/>
    <w:rsid w:val="003242E4"/>
    <w:rsid w:val="003263C2"/>
    <w:rsid w:val="003268D1"/>
    <w:rsid w:val="00327FF1"/>
    <w:rsid w:val="003300CB"/>
    <w:rsid w:val="00330F6C"/>
    <w:rsid w:val="00331D43"/>
    <w:rsid w:val="00332E99"/>
    <w:rsid w:val="003339ED"/>
    <w:rsid w:val="00334B50"/>
    <w:rsid w:val="00334D8A"/>
    <w:rsid w:val="00336BAB"/>
    <w:rsid w:val="00337EE0"/>
    <w:rsid w:val="003401EA"/>
    <w:rsid w:val="0034354C"/>
    <w:rsid w:val="003459BE"/>
    <w:rsid w:val="003465CE"/>
    <w:rsid w:val="003503E4"/>
    <w:rsid w:val="003509B3"/>
    <w:rsid w:val="003518A4"/>
    <w:rsid w:val="003532EC"/>
    <w:rsid w:val="00353B8A"/>
    <w:rsid w:val="0035574A"/>
    <w:rsid w:val="0035706F"/>
    <w:rsid w:val="00363C30"/>
    <w:rsid w:val="00364A59"/>
    <w:rsid w:val="00365CD6"/>
    <w:rsid w:val="00366546"/>
    <w:rsid w:val="00367126"/>
    <w:rsid w:val="00367D75"/>
    <w:rsid w:val="003723BA"/>
    <w:rsid w:val="003726B0"/>
    <w:rsid w:val="00372D5A"/>
    <w:rsid w:val="00375AA5"/>
    <w:rsid w:val="003770B2"/>
    <w:rsid w:val="003803CD"/>
    <w:rsid w:val="00381CD2"/>
    <w:rsid w:val="00385859"/>
    <w:rsid w:val="0038701C"/>
    <w:rsid w:val="003903F6"/>
    <w:rsid w:val="00391BCC"/>
    <w:rsid w:val="00392069"/>
    <w:rsid w:val="0039263E"/>
    <w:rsid w:val="00392E9E"/>
    <w:rsid w:val="00393C0F"/>
    <w:rsid w:val="00395857"/>
    <w:rsid w:val="003959E1"/>
    <w:rsid w:val="00397124"/>
    <w:rsid w:val="003A0915"/>
    <w:rsid w:val="003A6F8C"/>
    <w:rsid w:val="003A7899"/>
    <w:rsid w:val="003B4B23"/>
    <w:rsid w:val="003B6668"/>
    <w:rsid w:val="003B7033"/>
    <w:rsid w:val="003B7F80"/>
    <w:rsid w:val="003C0C14"/>
    <w:rsid w:val="003C4DD3"/>
    <w:rsid w:val="003D1F32"/>
    <w:rsid w:val="003D54B8"/>
    <w:rsid w:val="003D6A84"/>
    <w:rsid w:val="003D7AC2"/>
    <w:rsid w:val="003E0957"/>
    <w:rsid w:val="003E1486"/>
    <w:rsid w:val="003E2CE2"/>
    <w:rsid w:val="003E4830"/>
    <w:rsid w:val="003E4F01"/>
    <w:rsid w:val="003E6F23"/>
    <w:rsid w:val="003F216A"/>
    <w:rsid w:val="003F312A"/>
    <w:rsid w:val="003F364E"/>
    <w:rsid w:val="003F49E3"/>
    <w:rsid w:val="003F5BBB"/>
    <w:rsid w:val="003F6B5E"/>
    <w:rsid w:val="003F7D08"/>
    <w:rsid w:val="00412F92"/>
    <w:rsid w:val="004146C5"/>
    <w:rsid w:val="00415D84"/>
    <w:rsid w:val="00416712"/>
    <w:rsid w:val="00416E35"/>
    <w:rsid w:val="0042141A"/>
    <w:rsid w:val="00426173"/>
    <w:rsid w:val="004261A8"/>
    <w:rsid w:val="00430512"/>
    <w:rsid w:val="004318C2"/>
    <w:rsid w:val="00437879"/>
    <w:rsid w:val="0044027E"/>
    <w:rsid w:val="00441154"/>
    <w:rsid w:val="004412F3"/>
    <w:rsid w:val="00443DDF"/>
    <w:rsid w:val="00443F76"/>
    <w:rsid w:val="004443B8"/>
    <w:rsid w:val="00446475"/>
    <w:rsid w:val="004501A0"/>
    <w:rsid w:val="00450862"/>
    <w:rsid w:val="004545E6"/>
    <w:rsid w:val="00456FB5"/>
    <w:rsid w:val="004572FE"/>
    <w:rsid w:val="00463BD2"/>
    <w:rsid w:val="00467194"/>
    <w:rsid w:val="004671FB"/>
    <w:rsid w:val="00470831"/>
    <w:rsid w:val="004714A6"/>
    <w:rsid w:val="00474B94"/>
    <w:rsid w:val="004760FF"/>
    <w:rsid w:val="00483BCA"/>
    <w:rsid w:val="004853F4"/>
    <w:rsid w:val="0048562E"/>
    <w:rsid w:val="0049105E"/>
    <w:rsid w:val="00491647"/>
    <w:rsid w:val="004942C4"/>
    <w:rsid w:val="00495D0F"/>
    <w:rsid w:val="00496B20"/>
    <w:rsid w:val="004A19F0"/>
    <w:rsid w:val="004A3A0D"/>
    <w:rsid w:val="004A4FFB"/>
    <w:rsid w:val="004A5161"/>
    <w:rsid w:val="004A67DE"/>
    <w:rsid w:val="004A6CFA"/>
    <w:rsid w:val="004A74A8"/>
    <w:rsid w:val="004B3125"/>
    <w:rsid w:val="004B3647"/>
    <w:rsid w:val="004B3A79"/>
    <w:rsid w:val="004B475B"/>
    <w:rsid w:val="004B490E"/>
    <w:rsid w:val="004B54B8"/>
    <w:rsid w:val="004B5F93"/>
    <w:rsid w:val="004B723A"/>
    <w:rsid w:val="004C410D"/>
    <w:rsid w:val="004C424C"/>
    <w:rsid w:val="004C4839"/>
    <w:rsid w:val="004C500F"/>
    <w:rsid w:val="004C51B5"/>
    <w:rsid w:val="004C5D4B"/>
    <w:rsid w:val="004C621C"/>
    <w:rsid w:val="004D7E8C"/>
    <w:rsid w:val="004E181D"/>
    <w:rsid w:val="004E1DE5"/>
    <w:rsid w:val="004E3173"/>
    <w:rsid w:val="004E32FC"/>
    <w:rsid w:val="004E7219"/>
    <w:rsid w:val="004F38B3"/>
    <w:rsid w:val="004F449C"/>
    <w:rsid w:val="004F5EED"/>
    <w:rsid w:val="004F5F0B"/>
    <w:rsid w:val="004F71E7"/>
    <w:rsid w:val="00500636"/>
    <w:rsid w:val="00501074"/>
    <w:rsid w:val="00504E7F"/>
    <w:rsid w:val="00505045"/>
    <w:rsid w:val="00505348"/>
    <w:rsid w:val="0050587C"/>
    <w:rsid w:val="00505D72"/>
    <w:rsid w:val="00514DBA"/>
    <w:rsid w:val="0051781C"/>
    <w:rsid w:val="005222AA"/>
    <w:rsid w:val="00522FCE"/>
    <w:rsid w:val="00523E5C"/>
    <w:rsid w:val="00526DD7"/>
    <w:rsid w:val="005271E4"/>
    <w:rsid w:val="00527A65"/>
    <w:rsid w:val="005305A2"/>
    <w:rsid w:val="00533F37"/>
    <w:rsid w:val="00534281"/>
    <w:rsid w:val="005353F9"/>
    <w:rsid w:val="0053758C"/>
    <w:rsid w:val="005409F0"/>
    <w:rsid w:val="00542832"/>
    <w:rsid w:val="00542E02"/>
    <w:rsid w:val="00550876"/>
    <w:rsid w:val="00553C50"/>
    <w:rsid w:val="005542FC"/>
    <w:rsid w:val="00554DDD"/>
    <w:rsid w:val="00554F90"/>
    <w:rsid w:val="00555DBC"/>
    <w:rsid w:val="00556823"/>
    <w:rsid w:val="0056067A"/>
    <w:rsid w:val="005629D7"/>
    <w:rsid w:val="0056451A"/>
    <w:rsid w:val="00565E8C"/>
    <w:rsid w:val="0056723B"/>
    <w:rsid w:val="0056762A"/>
    <w:rsid w:val="0057589F"/>
    <w:rsid w:val="00577BAF"/>
    <w:rsid w:val="00580F92"/>
    <w:rsid w:val="00582380"/>
    <w:rsid w:val="00582D49"/>
    <w:rsid w:val="00593C52"/>
    <w:rsid w:val="00595CC9"/>
    <w:rsid w:val="005960A3"/>
    <w:rsid w:val="005968C6"/>
    <w:rsid w:val="0059746F"/>
    <w:rsid w:val="005A35C8"/>
    <w:rsid w:val="005A3CF4"/>
    <w:rsid w:val="005A5ECA"/>
    <w:rsid w:val="005A67EB"/>
    <w:rsid w:val="005A6FB5"/>
    <w:rsid w:val="005B0970"/>
    <w:rsid w:val="005B5805"/>
    <w:rsid w:val="005B69BB"/>
    <w:rsid w:val="005B7FAA"/>
    <w:rsid w:val="005C3111"/>
    <w:rsid w:val="005C5A77"/>
    <w:rsid w:val="005C716A"/>
    <w:rsid w:val="005C73A7"/>
    <w:rsid w:val="005C75A0"/>
    <w:rsid w:val="005D0100"/>
    <w:rsid w:val="005D1DB9"/>
    <w:rsid w:val="005D300D"/>
    <w:rsid w:val="005D4A1D"/>
    <w:rsid w:val="005D4DCF"/>
    <w:rsid w:val="005D5395"/>
    <w:rsid w:val="005D6642"/>
    <w:rsid w:val="005E13A4"/>
    <w:rsid w:val="005E33E8"/>
    <w:rsid w:val="005E3D45"/>
    <w:rsid w:val="005E4606"/>
    <w:rsid w:val="005E4982"/>
    <w:rsid w:val="005E5775"/>
    <w:rsid w:val="005E5DD8"/>
    <w:rsid w:val="005E5DDA"/>
    <w:rsid w:val="005E6312"/>
    <w:rsid w:val="005E7858"/>
    <w:rsid w:val="005F31BF"/>
    <w:rsid w:val="005F531B"/>
    <w:rsid w:val="005F6EC3"/>
    <w:rsid w:val="005F728B"/>
    <w:rsid w:val="005F7CE8"/>
    <w:rsid w:val="00602C3A"/>
    <w:rsid w:val="006032D0"/>
    <w:rsid w:val="00603FAC"/>
    <w:rsid w:val="00606343"/>
    <w:rsid w:val="00610416"/>
    <w:rsid w:val="0061383C"/>
    <w:rsid w:val="00614FD8"/>
    <w:rsid w:val="006152EE"/>
    <w:rsid w:val="00616562"/>
    <w:rsid w:val="00616720"/>
    <w:rsid w:val="0062106E"/>
    <w:rsid w:val="00621AB5"/>
    <w:rsid w:val="00622965"/>
    <w:rsid w:val="00622AB0"/>
    <w:rsid w:val="00623410"/>
    <w:rsid w:val="00623C6C"/>
    <w:rsid w:val="006259FD"/>
    <w:rsid w:val="00625EFC"/>
    <w:rsid w:val="006306E7"/>
    <w:rsid w:val="00634C8D"/>
    <w:rsid w:val="00641A14"/>
    <w:rsid w:val="00641F18"/>
    <w:rsid w:val="00642931"/>
    <w:rsid w:val="00643F32"/>
    <w:rsid w:val="00650240"/>
    <w:rsid w:val="006535B3"/>
    <w:rsid w:val="00656B01"/>
    <w:rsid w:val="006611C4"/>
    <w:rsid w:val="00661AE8"/>
    <w:rsid w:val="00662753"/>
    <w:rsid w:val="00663EE8"/>
    <w:rsid w:val="00664421"/>
    <w:rsid w:val="0066606F"/>
    <w:rsid w:val="006677EE"/>
    <w:rsid w:val="00667FA4"/>
    <w:rsid w:val="00670973"/>
    <w:rsid w:val="00670E94"/>
    <w:rsid w:val="006719AC"/>
    <w:rsid w:val="00673749"/>
    <w:rsid w:val="00674E84"/>
    <w:rsid w:val="00675DEA"/>
    <w:rsid w:val="006766E4"/>
    <w:rsid w:val="00677AFE"/>
    <w:rsid w:val="0068733C"/>
    <w:rsid w:val="00687C62"/>
    <w:rsid w:val="00693D29"/>
    <w:rsid w:val="006959C3"/>
    <w:rsid w:val="00695FC0"/>
    <w:rsid w:val="006961AF"/>
    <w:rsid w:val="00697D94"/>
    <w:rsid w:val="00697EED"/>
    <w:rsid w:val="006A27D0"/>
    <w:rsid w:val="006A2B25"/>
    <w:rsid w:val="006A319B"/>
    <w:rsid w:val="006A51C3"/>
    <w:rsid w:val="006B08BB"/>
    <w:rsid w:val="006B5028"/>
    <w:rsid w:val="006B5296"/>
    <w:rsid w:val="006B6094"/>
    <w:rsid w:val="006B6440"/>
    <w:rsid w:val="006B6A23"/>
    <w:rsid w:val="006C55B7"/>
    <w:rsid w:val="006C5D5B"/>
    <w:rsid w:val="006C6339"/>
    <w:rsid w:val="006C64EE"/>
    <w:rsid w:val="006D1DBA"/>
    <w:rsid w:val="006D3F0A"/>
    <w:rsid w:val="006D4243"/>
    <w:rsid w:val="006D58D9"/>
    <w:rsid w:val="006D7BB1"/>
    <w:rsid w:val="006E00B1"/>
    <w:rsid w:val="006E07E1"/>
    <w:rsid w:val="006E15A9"/>
    <w:rsid w:val="006E3458"/>
    <w:rsid w:val="006E3A65"/>
    <w:rsid w:val="006E4255"/>
    <w:rsid w:val="006E4823"/>
    <w:rsid w:val="006E4B9E"/>
    <w:rsid w:val="006E5445"/>
    <w:rsid w:val="006E5E43"/>
    <w:rsid w:val="006E6A41"/>
    <w:rsid w:val="006E77ED"/>
    <w:rsid w:val="006F3B1B"/>
    <w:rsid w:val="006F4416"/>
    <w:rsid w:val="00701267"/>
    <w:rsid w:val="00707849"/>
    <w:rsid w:val="007078AB"/>
    <w:rsid w:val="00707C5E"/>
    <w:rsid w:val="00710428"/>
    <w:rsid w:val="007161DC"/>
    <w:rsid w:val="0071756A"/>
    <w:rsid w:val="00724ED1"/>
    <w:rsid w:val="00725B45"/>
    <w:rsid w:val="00730F86"/>
    <w:rsid w:val="007314B1"/>
    <w:rsid w:val="0073250D"/>
    <w:rsid w:val="00732C1F"/>
    <w:rsid w:val="00734C37"/>
    <w:rsid w:val="00740A33"/>
    <w:rsid w:val="007458EE"/>
    <w:rsid w:val="00747526"/>
    <w:rsid w:val="0075018A"/>
    <w:rsid w:val="00753E03"/>
    <w:rsid w:val="00755E5C"/>
    <w:rsid w:val="00756641"/>
    <w:rsid w:val="00757FBF"/>
    <w:rsid w:val="00760C83"/>
    <w:rsid w:val="00761216"/>
    <w:rsid w:val="007631B3"/>
    <w:rsid w:val="007662A0"/>
    <w:rsid w:val="007730FD"/>
    <w:rsid w:val="0077486E"/>
    <w:rsid w:val="00775B47"/>
    <w:rsid w:val="00776987"/>
    <w:rsid w:val="007806EB"/>
    <w:rsid w:val="007823F3"/>
    <w:rsid w:val="00783910"/>
    <w:rsid w:val="007842AA"/>
    <w:rsid w:val="00784CB7"/>
    <w:rsid w:val="00787288"/>
    <w:rsid w:val="00792BB7"/>
    <w:rsid w:val="00794898"/>
    <w:rsid w:val="00796989"/>
    <w:rsid w:val="00797C22"/>
    <w:rsid w:val="007A03AE"/>
    <w:rsid w:val="007A1ABB"/>
    <w:rsid w:val="007A426B"/>
    <w:rsid w:val="007A5A8D"/>
    <w:rsid w:val="007C0D42"/>
    <w:rsid w:val="007C39E5"/>
    <w:rsid w:val="007C457E"/>
    <w:rsid w:val="007D29C1"/>
    <w:rsid w:val="007D2E61"/>
    <w:rsid w:val="007D4225"/>
    <w:rsid w:val="007D4458"/>
    <w:rsid w:val="007E07CB"/>
    <w:rsid w:val="007E0A6C"/>
    <w:rsid w:val="007E34DC"/>
    <w:rsid w:val="007E43EF"/>
    <w:rsid w:val="007E799B"/>
    <w:rsid w:val="007E79DD"/>
    <w:rsid w:val="007F14FF"/>
    <w:rsid w:val="007F69F1"/>
    <w:rsid w:val="007F72B6"/>
    <w:rsid w:val="008010EA"/>
    <w:rsid w:val="00802754"/>
    <w:rsid w:val="00802ADD"/>
    <w:rsid w:val="00807EFB"/>
    <w:rsid w:val="0081003F"/>
    <w:rsid w:val="0081162F"/>
    <w:rsid w:val="00812C6F"/>
    <w:rsid w:val="00812E5F"/>
    <w:rsid w:val="00820D65"/>
    <w:rsid w:val="008245C8"/>
    <w:rsid w:val="00825308"/>
    <w:rsid w:val="0082559D"/>
    <w:rsid w:val="00827882"/>
    <w:rsid w:val="00832A27"/>
    <w:rsid w:val="00835DF1"/>
    <w:rsid w:val="008377B1"/>
    <w:rsid w:val="0084228F"/>
    <w:rsid w:val="008445AE"/>
    <w:rsid w:val="008464B8"/>
    <w:rsid w:val="00847406"/>
    <w:rsid w:val="008510B8"/>
    <w:rsid w:val="008512CC"/>
    <w:rsid w:val="00851514"/>
    <w:rsid w:val="00854B9F"/>
    <w:rsid w:val="0085726A"/>
    <w:rsid w:val="00860D64"/>
    <w:rsid w:val="00861919"/>
    <w:rsid w:val="00861D15"/>
    <w:rsid w:val="00862EDB"/>
    <w:rsid w:val="00863818"/>
    <w:rsid w:val="00864409"/>
    <w:rsid w:val="00864E55"/>
    <w:rsid w:val="00870169"/>
    <w:rsid w:val="008706C9"/>
    <w:rsid w:val="00870804"/>
    <w:rsid w:val="008709D4"/>
    <w:rsid w:val="0087122E"/>
    <w:rsid w:val="008723F1"/>
    <w:rsid w:val="00874F41"/>
    <w:rsid w:val="00875D75"/>
    <w:rsid w:val="00877CF1"/>
    <w:rsid w:val="0088478F"/>
    <w:rsid w:val="00885439"/>
    <w:rsid w:val="00885F07"/>
    <w:rsid w:val="00890B87"/>
    <w:rsid w:val="00891965"/>
    <w:rsid w:val="00894443"/>
    <w:rsid w:val="008966D3"/>
    <w:rsid w:val="008975F5"/>
    <w:rsid w:val="008A257D"/>
    <w:rsid w:val="008A3B38"/>
    <w:rsid w:val="008A4D8B"/>
    <w:rsid w:val="008A4E1A"/>
    <w:rsid w:val="008B119D"/>
    <w:rsid w:val="008B351F"/>
    <w:rsid w:val="008B3AF8"/>
    <w:rsid w:val="008B670B"/>
    <w:rsid w:val="008B67C1"/>
    <w:rsid w:val="008C0359"/>
    <w:rsid w:val="008C06B9"/>
    <w:rsid w:val="008C2028"/>
    <w:rsid w:val="008C2E5A"/>
    <w:rsid w:val="008C3792"/>
    <w:rsid w:val="008C5E46"/>
    <w:rsid w:val="008D0502"/>
    <w:rsid w:val="008D48BA"/>
    <w:rsid w:val="008D4F87"/>
    <w:rsid w:val="008D4F9E"/>
    <w:rsid w:val="008D6A45"/>
    <w:rsid w:val="008E1277"/>
    <w:rsid w:val="008E151C"/>
    <w:rsid w:val="008E6DF8"/>
    <w:rsid w:val="008E74A5"/>
    <w:rsid w:val="008F129B"/>
    <w:rsid w:val="008F19E6"/>
    <w:rsid w:val="008F33E8"/>
    <w:rsid w:val="008F473D"/>
    <w:rsid w:val="008F4D22"/>
    <w:rsid w:val="00900053"/>
    <w:rsid w:val="0090121B"/>
    <w:rsid w:val="009018B4"/>
    <w:rsid w:val="00904566"/>
    <w:rsid w:val="0090577B"/>
    <w:rsid w:val="00911ADD"/>
    <w:rsid w:val="00912351"/>
    <w:rsid w:val="00922428"/>
    <w:rsid w:val="009224E3"/>
    <w:rsid w:val="00922B61"/>
    <w:rsid w:val="00925D7E"/>
    <w:rsid w:val="009268FA"/>
    <w:rsid w:val="00933DE0"/>
    <w:rsid w:val="0093406F"/>
    <w:rsid w:val="00935971"/>
    <w:rsid w:val="00936AC4"/>
    <w:rsid w:val="00941D3E"/>
    <w:rsid w:val="00945A16"/>
    <w:rsid w:val="00946503"/>
    <w:rsid w:val="00947FC9"/>
    <w:rsid w:val="00951277"/>
    <w:rsid w:val="0095488C"/>
    <w:rsid w:val="00954AE7"/>
    <w:rsid w:val="009556F3"/>
    <w:rsid w:val="00963EFE"/>
    <w:rsid w:val="00966153"/>
    <w:rsid w:val="00966181"/>
    <w:rsid w:val="009664F4"/>
    <w:rsid w:val="00966ADA"/>
    <w:rsid w:val="00966D0E"/>
    <w:rsid w:val="00967667"/>
    <w:rsid w:val="00967901"/>
    <w:rsid w:val="00967EDF"/>
    <w:rsid w:val="009700B8"/>
    <w:rsid w:val="00970EF3"/>
    <w:rsid w:val="00975935"/>
    <w:rsid w:val="00982198"/>
    <w:rsid w:val="009834BD"/>
    <w:rsid w:val="009843DF"/>
    <w:rsid w:val="00984EA6"/>
    <w:rsid w:val="00985908"/>
    <w:rsid w:val="00990D40"/>
    <w:rsid w:val="00991362"/>
    <w:rsid w:val="00992FE0"/>
    <w:rsid w:val="009954CD"/>
    <w:rsid w:val="00996536"/>
    <w:rsid w:val="009A370E"/>
    <w:rsid w:val="009A6176"/>
    <w:rsid w:val="009A7EAC"/>
    <w:rsid w:val="009B0A66"/>
    <w:rsid w:val="009B0EFF"/>
    <w:rsid w:val="009B245A"/>
    <w:rsid w:val="009B6043"/>
    <w:rsid w:val="009C037A"/>
    <w:rsid w:val="009C4AE3"/>
    <w:rsid w:val="009C6098"/>
    <w:rsid w:val="009C7073"/>
    <w:rsid w:val="009D0A97"/>
    <w:rsid w:val="009D2423"/>
    <w:rsid w:val="009D5424"/>
    <w:rsid w:val="009E0045"/>
    <w:rsid w:val="009E0C7B"/>
    <w:rsid w:val="009E2C59"/>
    <w:rsid w:val="009E4E3F"/>
    <w:rsid w:val="009E7CC8"/>
    <w:rsid w:val="009F23ED"/>
    <w:rsid w:val="009F4DD0"/>
    <w:rsid w:val="009F5A64"/>
    <w:rsid w:val="009F5C9F"/>
    <w:rsid w:val="009F71A7"/>
    <w:rsid w:val="009F7481"/>
    <w:rsid w:val="00A01568"/>
    <w:rsid w:val="00A022C8"/>
    <w:rsid w:val="00A037BC"/>
    <w:rsid w:val="00A043CA"/>
    <w:rsid w:val="00A055FA"/>
    <w:rsid w:val="00A06A58"/>
    <w:rsid w:val="00A06E20"/>
    <w:rsid w:val="00A12255"/>
    <w:rsid w:val="00A13DE3"/>
    <w:rsid w:val="00A16D73"/>
    <w:rsid w:val="00A170A7"/>
    <w:rsid w:val="00A20A1E"/>
    <w:rsid w:val="00A21365"/>
    <w:rsid w:val="00A23E3A"/>
    <w:rsid w:val="00A2459E"/>
    <w:rsid w:val="00A3192F"/>
    <w:rsid w:val="00A32B4E"/>
    <w:rsid w:val="00A35FC7"/>
    <w:rsid w:val="00A37B1F"/>
    <w:rsid w:val="00A41A21"/>
    <w:rsid w:val="00A42AB4"/>
    <w:rsid w:val="00A450B1"/>
    <w:rsid w:val="00A479AF"/>
    <w:rsid w:val="00A47B84"/>
    <w:rsid w:val="00A50827"/>
    <w:rsid w:val="00A50F54"/>
    <w:rsid w:val="00A51154"/>
    <w:rsid w:val="00A51BF4"/>
    <w:rsid w:val="00A5388A"/>
    <w:rsid w:val="00A55591"/>
    <w:rsid w:val="00A55BF6"/>
    <w:rsid w:val="00A55C27"/>
    <w:rsid w:val="00A5758C"/>
    <w:rsid w:val="00A5767D"/>
    <w:rsid w:val="00A62039"/>
    <w:rsid w:val="00A62343"/>
    <w:rsid w:val="00A636CB"/>
    <w:rsid w:val="00A639B8"/>
    <w:rsid w:val="00A71B9D"/>
    <w:rsid w:val="00A71ED5"/>
    <w:rsid w:val="00A73FDA"/>
    <w:rsid w:val="00A7684B"/>
    <w:rsid w:val="00A76B9C"/>
    <w:rsid w:val="00A77141"/>
    <w:rsid w:val="00A83F88"/>
    <w:rsid w:val="00A87159"/>
    <w:rsid w:val="00A90775"/>
    <w:rsid w:val="00A91773"/>
    <w:rsid w:val="00A91EB4"/>
    <w:rsid w:val="00A93D39"/>
    <w:rsid w:val="00A95587"/>
    <w:rsid w:val="00A97000"/>
    <w:rsid w:val="00A97BC0"/>
    <w:rsid w:val="00AA322C"/>
    <w:rsid w:val="00AA41A2"/>
    <w:rsid w:val="00AA4ECB"/>
    <w:rsid w:val="00AB1977"/>
    <w:rsid w:val="00AB1E93"/>
    <w:rsid w:val="00AB6F6F"/>
    <w:rsid w:val="00AB7D81"/>
    <w:rsid w:val="00AC048A"/>
    <w:rsid w:val="00AC09BB"/>
    <w:rsid w:val="00AC0FB3"/>
    <w:rsid w:val="00AC16F1"/>
    <w:rsid w:val="00AC1AD6"/>
    <w:rsid w:val="00AC36EC"/>
    <w:rsid w:val="00AC5507"/>
    <w:rsid w:val="00AC5A64"/>
    <w:rsid w:val="00AD0C97"/>
    <w:rsid w:val="00AD277A"/>
    <w:rsid w:val="00AD44FE"/>
    <w:rsid w:val="00AD5A60"/>
    <w:rsid w:val="00AE0995"/>
    <w:rsid w:val="00AE0DAF"/>
    <w:rsid w:val="00AE0DC8"/>
    <w:rsid w:val="00AE1838"/>
    <w:rsid w:val="00AE3AD2"/>
    <w:rsid w:val="00AE43FE"/>
    <w:rsid w:val="00AE59F0"/>
    <w:rsid w:val="00AE7C2E"/>
    <w:rsid w:val="00AF149F"/>
    <w:rsid w:val="00AF2614"/>
    <w:rsid w:val="00AF28BC"/>
    <w:rsid w:val="00B039DE"/>
    <w:rsid w:val="00B12C8C"/>
    <w:rsid w:val="00B14F79"/>
    <w:rsid w:val="00B15ED5"/>
    <w:rsid w:val="00B216AB"/>
    <w:rsid w:val="00B246B3"/>
    <w:rsid w:val="00B2503D"/>
    <w:rsid w:val="00B2555C"/>
    <w:rsid w:val="00B25B21"/>
    <w:rsid w:val="00B260AE"/>
    <w:rsid w:val="00B27345"/>
    <w:rsid w:val="00B3240B"/>
    <w:rsid w:val="00B341DD"/>
    <w:rsid w:val="00B34589"/>
    <w:rsid w:val="00B36018"/>
    <w:rsid w:val="00B36754"/>
    <w:rsid w:val="00B37874"/>
    <w:rsid w:val="00B37F83"/>
    <w:rsid w:val="00B4002E"/>
    <w:rsid w:val="00B46ECF"/>
    <w:rsid w:val="00B50095"/>
    <w:rsid w:val="00B51936"/>
    <w:rsid w:val="00B534CD"/>
    <w:rsid w:val="00B53F67"/>
    <w:rsid w:val="00B66F32"/>
    <w:rsid w:val="00B70FC7"/>
    <w:rsid w:val="00B73B72"/>
    <w:rsid w:val="00B74BF2"/>
    <w:rsid w:val="00B75FAC"/>
    <w:rsid w:val="00B81299"/>
    <w:rsid w:val="00B8420E"/>
    <w:rsid w:val="00B84600"/>
    <w:rsid w:val="00B84A84"/>
    <w:rsid w:val="00B854DA"/>
    <w:rsid w:val="00B86939"/>
    <w:rsid w:val="00B939D1"/>
    <w:rsid w:val="00B94A9F"/>
    <w:rsid w:val="00BA1241"/>
    <w:rsid w:val="00BA1FB2"/>
    <w:rsid w:val="00BA7E8E"/>
    <w:rsid w:val="00BB20F5"/>
    <w:rsid w:val="00BB291B"/>
    <w:rsid w:val="00BB30FA"/>
    <w:rsid w:val="00BB4532"/>
    <w:rsid w:val="00BB456D"/>
    <w:rsid w:val="00BB4C0D"/>
    <w:rsid w:val="00BC1E25"/>
    <w:rsid w:val="00BC5B43"/>
    <w:rsid w:val="00BC7794"/>
    <w:rsid w:val="00BD1920"/>
    <w:rsid w:val="00BD31E6"/>
    <w:rsid w:val="00BD3FD2"/>
    <w:rsid w:val="00BD51E8"/>
    <w:rsid w:val="00BD5D77"/>
    <w:rsid w:val="00BD641A"/>
    <w:rsid w:val="00BE07A0"/>
    <w:rsid w:val="00BE0D8D"/>
    <w:rsid w:val="00BE3EAE"/>
    <w:rsid w:val="00BE50D9"/>
    <w:rsid w:val="00BE55B1"/>
    <w:rsid w:val="00BE688D"/>
    <w:rsid w:val="00BE6BB9"/>
    <w:rsid w:val="00BF04F9"/>
    <w:rsid w:val="00BF246C"/>
    <w:rsid w:val="00BF2D54"/>
    <w:rsid w:val="00BF2F62"/>
    <w:rsid w:val="00C01266"/>
    <w:rsid w:val="00C02843"/>
    <w:rsid w:val="00C0338F"/>
    <w:rsid w:val="00C04DEA"/>
    <w:rsid w:val="00C04FE0"/>
    <w:rsid w:val="00C05720"/>
    <w:rsid w:val="00C11634"/>
    <w:rsid w:val="00C11A77"/>
    <w:rsid w:val="00C11D1C"/>
    <w:rsid w:val="00C12768"/>
    <w:rsid w:val="00C17C06"/>
    <w:rsid w:val="00C17F24"/>
    <w:rsid w:val="00C20441"/>
    <w:rsid w:val="00C214E8"/>
    <w:rsid w:val="00C23146"/>
    <w:rsid w:val="00C24566"/>
    <w:rsid w:val="00C24933"/>
    <w:rsid w:val="00C24F89"/>
    <w:rsid w:val="00C25A16"/>
    <w:rsid w:val="00C25C93"/>
    <w:rsid w:val="00C26C8A"/>
    <w:rsid w:val="00C304A3"/>
    <w:rsid w:val="00C30B17"/>
    <w:rsid w:val="00C311B3"/>
    <w:rsid w:val="00C3378D"/>
    <w:rsid w:val="00C34ACD"/>
    <w:rsid w:val="00C34DCC"/>
    <w:rsid w:val="00C425FD"/>
    <w:rsid w:val="00C43803"/>
    <w:rsid w:val="00C477CA"/>
    <w:rsid w:val="00C50C12"/>
    <w:rsid w:val="00C51462"/>
    <w:rsid w:val="00C514B8"/>
    <w:rsid w:val="00C640CC"/>
    <w:rsid w:val="00C64C59"/>
    <w:rsid w:val="00C67270"/>
    <w:rsid w:val="00C67322"/>
    <w:rsid w:val="00C67A30"/>
    <w:rsid w:val="00C72F3D"/>
    <w:rsid w:val="00C73843"/>
    <w:rsid w:val="00C74DC8"/>
    <w:rsid w:val="00C77EE7"/>
    <w:rsid w:val="00C81F21"/>
    <w:rsid w:val="00C82CC5"/>
    <w:rsid w:val="00C838DD"/>
    <w:rsid w:val="00C92215"/>
    <w:rsid w:val="00C92C5A"/>
    <w:rsid w:val="00CA17E9"/>
    <w:rsid w:val="00CA2A59"/>
    <w:rsid w:val="00CA7A57"/>
    <w:rsid w:val="00CB2FD5"/>
    <w:rsid w:val="00CB61A9"/>
    <w:rsid w:val="00CC0A87"/>
    <w:rsid w:val="00CD25CC"/>
    <w:rsid w:val="00CD2709"/>
    <w:rsid w:val="00CD3EE7"/>
    <w:rsid w:val="00CD4D18"/>
    <w:rsid w:val="00CD74E8"/>
    <w:rsid w:val="00CD7B20"/>
    <w:rsid w:val="00CE1B55"/>
    <w:rsid w:val="00CE1F81"/>
    <w:rsid w:val="00CF14A8"/>
    <w:rsid w:val="00CF1A02"/>
    <w:rsid w:val="00CF230B"/>
    <w:rsid w:val="00CF2917"/>
    <w:rsid w:val="00CF4130"/>
    <w:rsid w:val="00CF61DF"/>
    <w:rsid w:val="00D02DA1"/>
    <w:rsid w:val="00D12519"/>
    <w:rsid w:val="00D12942"/>
    <w:rsid w:val="00D12F16"/>
    <w:rsid w:val="00D1318F"/>
    <w:rsid w:val="00D13397"/>
    <w:rsid w:val="00D13C49"/>
    <w:rsid w:val="00D14EC7"/>
    <w:rsid w:val="00D15A14"/>
    <w:rsid w:val="00D17344"/>
    <w:rsid w:val="00D205D0"/>
    <w:rsid w:val="00D214CF"/>
    <w:rsid w:val="00D22DC3"/>
    <w:rsid w:val="00D2710A"/>
    <w:rsid w:val="00D3158B"/>
    <w:rsid w:val="00D32D66"/>
    <w:rsid w:val="00D33773"/>
    <w:rsid w:val="00D34570"/>
    <w:rsid w:val="00D40906"/>
    <w:rsid w:val="00D42F20"/>
    <w:rsid w:val="00D4318C"/>
    <w:rsid w:val="00D432A5"/>
    <w:rsid w:val="00D454CD"/>
    <w:rsid w:val="00D45AFD"/>
    <w:rsid w:val="00D461C3"/>
    <w:rsid w:val="00D46AD3"/>
    <w:rsid w:val="00D50B45"/>
    <w:rsid w:val="00D50D64"/>
    <w:rsid w:val="00D5274F"/>
    <w:rsid w:val="00D527B2"/>
    <w:rsid w:val="00D550AD"/>
    <w:rsid w:val="00D56565"/>
    <w:rsid w:val="00D6018F"/>
    <w:rsid w:val="00D63D1B"/>
    <w:rsid w:val="00D63FF1"/>
    <w:rsid w:val="00D660E5"/>
    <w:rsid w:val="00D66547"/>
    <w:rsid w:val="00D6737D"/>
    <w:rsid w:val="00D675F1"/>
    <w:rsid w:val="00D67934"/>
    <w:rsid w:val="00D7013C"/>
    <w:rsid w:val="00D714EC"/>
    <w:rsid w:val="00D71D4D"/>
    <w:rsid w:val="00D744C9"/>
    <w:rsid w:val="00D74A4F"/>
    <w:rsid w:val="00D74B7D"/>
    <w:rsid w:val="00D7536C"/>
    <w:rsid w:val="00D82C90"/>
    <w:rsid w:val="00D86A76"/>
    <w:rsid w:val="00D91FF6"/>
    <w:rsid w:val="00D92FC8"/>
    <w:rsid w:val="00D94042"/>
    <w:rsid w:val="00DB1AEF"/>
    <w:rsid w:val="00DB2A56"/>
    <w:rsid w:val="00DC1B82"/>
    <w:rsid w:val="00DC29D0"/>
    <w:rsid w:val="00DC2AC9"/>
    <w:rsid w:val="00DC4C67"/>
    <w:rsid w:val="00DD029C"/>
    <w:rsid w:val="00DD2EA8"/>
    <w:rsid w:val="00DD3A08"/>
    <w:rsid w:val="00DE0F3A"/>
    <w:rsid w:val="00DE201D"/>
    <w:rsid w:val="00DE5723"/>
    <w:rsid w:val="00DF1E92"/>
    <w:rsid w:val="00DF548E"/>
    <w:rsid w:val="00E009B3"/>
    <w:rsid w:val="00E01192"/>
    <w:rsid w:val="00E0153E"/>
    <w:rsid w:val="00E02EC0"/>
    <w:rsid w:val="00E04973"/>
    <w:rsid w:val="00E06BE5"/>
    <w:rsid w:val="00E10F82"/>
    <w:rsid w:val="00E15629"/>
    <w:rsid w:val="00E17158"/>
    <w:rsid w:val="00E250C8"/>
    <w:rsid w:val="00E301D4"/>
    <w:rsid w:val="00E314F3"/>
    <w:rsid w:val="00E32423"/>
    <w:rsid w:val="00E33653"/>
    <w:rsid w:val="00E33E2A"/>
    <w:rsid w:val="00E33F05"/>
    <w:rsid w:val="00E37C27"/>
    <w:rsid w:val="00E410DF"/>
    <w:rsid w:val="00E41FC9"/>
    <w:rsid w:val="00E4338F"/>
    <w:rsid w:val="00E44904"/>
    <w:rsid w:val="00E44CCF"/>
    <w:rsid w:val="00E5125F"/>
    <w:rsid w:val="00E53F63"/>
    <w:rsid w:val="00E61679"/>
    <w:rsid w:val="00E617B2"/>
    <w:rsid w:val="00E62E43"/>
    <w:rsid w:val="00E663B6"/>
    <w:rsid w:val="00E671BD"/>
    <w:rsid w:val="00E7199C"/>
    <w:rsid w:val="00E72341"/>
    <w:rsid w:val="00E73187"/>
    <w:rsid w:val="00E73C9C"/>
    <w:rsid w:val="00E74044"/>
    <w:rsid w:val="00E76007"/>
    <w:rsid w:val="00E80D05"/>
    <w:rsid w:val="00E81522"/>
    <w:rsid w:val="00E816AF"/>
    <w:rsid w:val="00E83413"/>
    <w:rsid w:val="00E8416A"/>
    <w:rsid w:val="00E846F8"/>
    <w:rsid w:val="00E87B5F"/>
    <w:rsid w:val="00E913A6"/>
    <w:rsid w:val="00E92639"/>
    <w:rsid w:val="00E96B02"/>
    <w:rsid w:val="00EA04EB"/>
    <w:rsid w:val="00EA0D38"/>
    <w:rsid w:val="00EA1415"/>
    <w:rsid w:val="00EA164E"/>
    <w:rsid w:val="00EA52A1"/>
    <w:rsid w:val="00EA7D84"/>
    <w:rsid w:val="00EB19ED"/>
    <w:rsid w:val="00EB28E3"/>
    <w:rsid w:val="00EB5365"/>
    <w:rsid w:val="00EB6BBB"/>
    <w:rsid w:val="00EC0A46"/>
    <w:rsid w:val="00EC0D52"/>
    <w:rsid w:val="00EC12AE"/>
    <w:rsid w:val="00EC3F35"/>
    <w:rsid w:val="00ED2687"/>
    <w:rsid w:val="00ED4370"/>
    <w:rsid w:val="00EE2055"/>
    <w:rsid w:val="00EE445C"/>
    <w:rsid w:val="00EE558B"/>
    <w:rsid w:val="00EF12A0"/>
    <w:rsid w:val="00EF12C8"/>
    <w:rsid w:val="00EF365A"/>
    <w:rsid w:val="00EF4056"/>
    <w:rsid w:val="00F06198"/>
    <w:rsid w:val="00F07275"/>
    <w:rsid w:val="00F10D31"/>
    <w:rsid w:val="00F116DA"/>
    <w:rsid w:val="00F14841"/>
    <w:rsid w:val="00F14C5C"/>
    <w:rsid w:val="00F15C24"/>
    <w:rsid w:val="00F1787D"/>
    <w:rsid w:val="00F22B53"/>
    <w:rsid w:val="00F246F3"/>
    <w:rsid w:val="00F2480F"/>
    <w:rsid w:val="00F25537"/>
    <w:rsid w:val="00F256EE"/>
    <w:rsid w:val="00F26B3C"/>
    <w:rsid w:val="00F36027"/>
    <w:rsid w:val="00F376A0"/>
    <w:rsid w:val="00F4161E"/>
    <w:rsid w:val="00F417F0"/>
    <w:rsid w:val="00F43A66"/>
    <w:rsid w:val="00F452E5"/>
    <w:rsid w:val="00F502C9"/>
    <w:rsid w:val="00F505CC"/>
    <w:rsid w:val="00F52C4B"/>
    <w:rsid w:val="00F55304"/>
    <w:rsid w:val="00F56BF4"/>
    <w:rsid w:val="00F615E8"/>
    <w:rsid w:val="00F61C3A"/>
    <w:rsid w:val="00F7402D"/>
    <w:rsid w:val="00F740C9"/>
    <w:rsid w:val="00F7651C"/>
    <w:rsid w:val="00F80FFD"/>
    <w:rsid w:val="00F87363"/>
    <w:rsid w:val="00F87B52"/>
    <w:rsid w:val="00F87EB0"/>
    <w:rsid w:val="00F92AE7"/>
    <w:rsid w:val="00F9562A"/>
    <w:rsid w:val="00F95B9C"/>
    <w:rsid w:val="00FA0155"/>
    <w:rsid w:val="00FA1024"/>
    <w:rsid w:val="00FA1826"/>
    <w:rsid w:val="00FA1B29"/>
    <w:rsid w:val="00FA3023"/>
    <w:rsid w:val="00FA34AB"/>
    <w:rsid w:val="00FA366F"/>
    <w:rsid w:val="00FA3B61"/>
    <w:rsid w:val="00FA5333"/>
    <w:rsid w:val="00FA5FC4"/>
    <w:rsid w:val="00FB255E"/>
    <w:rsid w:val="00FB262B"/>
    <w:rsid w:val="00FB346B"/>
    <w:rsid w:val="00FC111D"/>
    <w:rsid w:val="00FC27C8"/>
    <w:rsid w:val="00FC2DE6"/>
    <w:rsid w:val="00FC2EB2"/>
    <w:rsid w:val="00FC415A"/>
    <w:rsid w:val="00FC5907"/>
    <w:rsid w:val="00FC7380"/>
    <w:rsid w:val="00FD0D84"/>
    <w:rsid w:val="00FD3286"/>
    <w:rsid w:val="00FD403D"/>
    <w:rsid w:val="00FD48A5"/>
    <w:rsid w:val="00FD5DCD"/>
    <w:rsid w:val="00FD72D5"/>
    <w:rsid w:val="00FE0E5A"/>
    <w:rsid w:val="00FE246E"/>
    <w:rsid w:val="00FE33AD"/>
    <w:rsid w:val="00FE515B"/>
    <w:rsid w:val="00FE573F"/>
    <w:rsid w:val="00FF204D"/>
    <w:rsid w:val="00FF2424"/>
    <w:rsid w:val="00FF6AB3"/>
    <w:rsid w:val="00FF6AF4"/>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1A"/>
    <w:rPr>
      <w:lang w:val="en-GB"/>
    </w:rPr>
  </w:style>
  <w:style w:type="paragraph" w:styleId="Heading1">
    <w:name w:val="heading 1"/>
    <w:basedOn w:val="Normal"/>
    <w:next w:val="Normal"/>
    <w:link w:val="Heading1Char"/>
    <w:uiPriority w:val="9"/>
    <w:qFormat/>
    <w:rsid w:val="004D7E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D1D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C2"/>
    <w:pPr>
      <w:ind w:left="720"/>
      <w:contextualSpacing/>
    </w:pPr>
  </w:style>
  <w:style w:type="character" w:customStyle="1" w:styleId="Heading1Char">
    <w:name w:val="Heading 1 Char"/>
    <w:basedOn w:val="DefaultParagraphFont"/>
    <w:link w:val="Heading1"/>
    <w:uiPriority w:val="9"/>
    <w:rsid w:val="004D7E8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5D1DB9"/>
    <w:rPr>
      <w:rFonts w:asciiTheme="majorHAnsi" w:eastAsiaTheme="majorEastAsia" w:hAnsiTheme="majorHAnsi" w:cstheme="majorBidi"/>
      <w:color w:val="2E74B5" w:themeColor="accent1" w:themeShade="BF"/>
      <w:sz w:val="26"/>
      <w:szCs w:val="26"/>
      <w:lang w:val="en-GB"/>
    </w:rPr>
  </w:style>
  <w:style w:type="paragraph" w:styleId="FootnoteText">
    <w:name w:val="footnote text"/>
    <w:basedOn w:val="Normal"/>
    <w:link w:val="FootnoteTextChar"/>
    <w:uiPriority w:val="99"/>
    <w:unhideWhenUsed/>
    <w:rsid w:val="00365CD6"/>
  </w:style>
  <w:style w:type="character" w:customStyle="1" w:styleId="FootnoteTextChar">
    <w:name w:val="Footnote Text Char"/>
    <w:basedOn w:val="DefaultParagraphFont"/>
    <w:link w:val="FootnoteText"/>
    <w:uiPriority w:val="99"/>
    <w:rsid w:val="00365CD6"/>
    <w:rPr>
      <w:lang w:val="en-GB"/>
    </w:rPr>
  </w:style>
  <w:style w:type="character" w:styleId="FootnoteReference">
    <w:name w:val="footnote reference"/>
    <w:basedOn w:val="DefaultParagraphFont"/>
    <w:uiPriority w:val="99"/>
    <w:unhideWhenUsed/>
    <w:rsid w:val="00365CD6"/>
    <w:rPr>
      <w:vertAlign w:val="superscript"/>
    </w:rPr>
  </w:style>
  <w:style w:type="paragraph" w:styleId="Footer">
    <w:name w:val="footer"/>
    <w:basedOn w:val="Normal"/>
    <w:link w:val="FooterChar"/>
    <w:uiPriority w:val="99"/>
    <w:unhideWhenUsed/>
    <w:rsid w:val="00456FB5"/>
    <w:pPr>
      <w:tabs>
        <w:tab w:val="center" w:pos="4513"/>
        <w:tab w:val="right" w:pos="9026"/>
      </w:tabs>
    </w:pPr>
  </w:style>
  <w:style w:type="character" w:customStyle="1" w:styleId="FooterChar">
    <w:name w:val="Footer Char"/>
    <w:basedOn w:val="DefaultParagraphFont"/>
    <w:link w:val="Footer"/>
    <w:uiPriority w:val="99"/>
    <w:rsid w:val="00456FB5"/>
    <w:rPr>
      <w:lang w:val="en-GB"/>
    </w:rPr>
  </w:style>
  <w:style w:type="character" w:styleId="PageNumber">
    <w:name w:val="page number"/>
    <w:basedOn w:val="DefaultParagraphFont"/>
    <w:uiPriority w:val="99"/>
    <w:semiHidden/>
    <w:unhideWhenUsed/>
    <w:rsid w:val="00456FB5"/>
  </w:style>
  <w:style w:type="paragraph" w:styleId="Header">
    <w:name w:val="header"/>
    <w:basedOn w:val="Normal"/>
    <w:link w:val="HeaderChar"/>
    <w:uiPriority w:val="99"/>
    <w:unhideWhenUsed/>
    <w:rsid w:val="00456FB5"/>
    <w:pPr>
      <w:tabs>
        <w:tab w:val="center" w:pos="4513"/>
        <w:tab w:val="right" w:pos="9026"/>
      </w:tabs>
    </w:pPr>
  </w:style>
  <w:style w:type="character" w:customStyle="1" w:styleId="HeaderChar">
    <w:name w:val="Header Char"/>
    <w:basedOn w:val="DefaultParagraphFont"/>
    <w:link w:val="Header"/>
    <w:uiPriority w:val="99"/>
    <w:rsid w:val="00456FB5"/>
    <w:rPr>
      <w:lang w:val="en-GB"/>
    </w:rPr>
  </w:style>
  <w:style w:type="character" w:styleId="CommentReference">
    <w:name w:val="annotation reference"/>
    <w:basedOn w:val="DefaultParagraphFont"/>
    <w:uiPriority w:val="99"/>
    <w:semiHidden/>
    <w:unhideWhenUsed/>
    <w:rsid w:val="00D214CF"/>
    <w:rPr>
      <w:sz w:val="18"/>
      <w:szCs w:val="18"/>
    </w:rPr>
  </w:style>
  <w:style w:type="paragraph" w:styleId="CommentText">
    <w:name w:val="annotation text"/>
    <w:basedOn w:val="Normal"/>
    <w:link w:val="CommentTextChar"/>
    <w:uiPriority w:val="99"/>
    <w:unhideWhenUsed/>
    <w:rsid w:val="00D214CF"/>
  </w:style>
  <w:style w:type="character" w:customStyle="1" w:styleId="CommentTextChar">
    <w:name w:val="Comment Text Char"/>
    <w:basedOn w:val="DefaultParagraphFont"/>
    <w:link w:val="CommentText"/>
    <w:uiPriority w:val="99"/>
    <w:rsid w:val="00D214CF"/>
    <w:rPr>
      <w:lang w:val="en-GB"/>
    </w:rPr>
  </w:style>
  <w:style w:type="paragraph" w:styleId="CommentSubject">
    <w:name w:val="annotation subject"/>
    <w:basedOn w:val="CommentText"/>
    <w:next w:val="CommentText"/>
    <w:link w:val="CommentSubjectChar"/>
    <w:uiPriority w:val="99"/>
    <w:semiHidden/>
    <w:unhideWhenUsed/>
    <w:rsid w:val="00D214CF"/>
    <w:rPr>
      <w:b/>
      <w:bCs/>
      <w:sz w:val="20"/>
      <w:szCs w:val="20"/>
    </w:rPr>
  </w:style>
  <w:style w:type="character" w:customStyle="1" w:styleId="CommentSubjectChar">
    <w:name w:val="Comment Subject Char"/>
    <w:basedOn w:val="CommentTextChar"/>
    <w:link w:val="CommentSubject"/>
    <w:uiPriority w:val="99"/>
    <w:semiHidden/>
    <w:rsid w:val="00D214CF"/>
    <w:rPr>
      <w:b/>
      <w:bCs/>
      <w:sz w:val="20"/>
      <w:szCs w:val="20"/>
      <w:lang w:val="en-GB"/>
    </w:rPr>
  </w:style>
  <w:style w:type="paragraph" w:styleId="BalloonText">
    <w:name w:val="Balloon Text"/>
    <w:basedOn w:val="Normal"/>
    <w:link w:val="BalloonTextChar"/>
    <w:uiPriority w:val="99"/>
    <w:semiHidden/>
    <w:unhideWhenUsed/>
    <w:rsid w:val="00D214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4CF"/>
    <w:rPr>
      <w:rFonts w:ascii="Times New Roman" w:hAnsi="Times New Roman" w:cs="Times New Roman"/>
      <w:sz w:val="18"/>
      <w:szCs w:val="18"/>
      <w:lang w:val="en-GB"/>
    </w:rPr>
  </w:style>
  <w:style w:type="character" w:styleId="Hyperlink">
    <w:name w:val="Hyperlink"/>
    <w:basedOn w:val="DefaultParagraphFont"/>
    <w:uiPriority w:val="99"/>
    <w:unhideWhenUsed/>
    <w:rsid w:val="00A06E20"/>
    <w:rPr>
      <w:color w:val="0563C1" w:themeColor="hyperlink"/>
      <w:u w:val="single"/>
    </w:rPr>
  </w:style>
  <w:style w:type="character" w:styleId="Emphasis">
    <w:name w:val="Emphasis"/>
    <w:basedOn w:val="DefaultParagraphFont"/>
    <w:uiPriority w:val="20"/>
    <w:qFormat/>
    <w:rsid w:val="0012754A"/>
    <w:rPr>
      <w:i/>
      <w:iCs/>
    </w:rPr>
  </w:style>
  <w:style w:type="paragraph" w:styleId="NormalWeb">
    <w:name w:val="Normal (Web)"/>
    <w:basedOn w:val="Normal"/>
    <w:uiPriority w:val="99"/>
    <w:semiHidden/>
    <w:unhideWhenUsed/>
    <w:rsid w:val="00E33F05"/>
    <w:rPr>
      <w:rFonts w:ascii="Times New Roman" w:hAnsi="Times New Roman" w:cs="Times New Roman"/>
    </w:rPr>
  </w:style>
  <w:style w:type="paragraph" w:styleId="Revision">
    <w:name w:val="Revision"/>
    <w:hidden/>
    <w:uiPriority w:val="99"/>
    <w:semiHidden/>
    <w:rsid w:val="003509B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4151">
      <w:bodyDiv w:val="1"/>
      <w:marLeft w:val="0"/>
      <w:marRight w:val="0"/>
      <w:marTop w:val="0"/>
      <w:marBottom w:val="0"/>
      <w:divBdr>
        <w:top w:val="none" w:sz="0" w:space="0" w:color="auto"/>
        <w:left w:val="none" w:sz="0" w:space="0" w:color="auto"/>
        <w:bottom w:val="none" w:sz="0" w:space="0" w:color="auto"/>
        <w:right w:val="none" w:sz="0" w:space="0" w:color="auto"/>
      </w:divBdr>
    </w:div>
    <w:div w:id="72551870">
      <w:bodyDiv w:val="1"/>
      <w:marLeft w:val="0"/>
      <w:marRight w:val="0"/>
      <w:marTop w:val="0"/>
      <w:marBottom w:val="0"/>
      <w:divBdr>
        <w:top w:val="none" w:sz="0" w:space="0" w:color="auto"/>
        <w:left w:val="none" w:sz="0" w:space="0" w:color="auto"/>
        <w:bottom w:val="none" w:sz="0" w:space="0" w:color="auto"/>
        <w:right w:val="none" w:sz="0" w:space="0" w:color="auto"/>
      </w:divBdr>
    </w:div>
    <w:div w:id="73938699">
      <w:bodyDiv w:val="1"/>
      <w:marLeft w:val="0"/>
      <w:marRight w:val="0"/>
      <w:marTop w:val="0"/>
      <w:marBottom w:val="0"/>
      <w:divBdr>
        <w:top w:val="none" w:sz="0" w:space="0" w:color="auto"/>
        <w:left w:val="none" w:sz="0" w:space="0" w:color="auto"/>
        <w:bottom w:val="none" w:sz="0" w:space="0" w:color="auto"/>
        <w:right w:val="none" w:sz="0" w:space="0" w:color="auto"/>
      </w:divBdr>
    </w:div>
    <w:div w:id="119958056">
      <w:bodyDiv w:val="1"/>
      <w:marLeft w:val="0"/>
      <w:marRight w:val="0"/>
      <w:marTop w:val="0"/>
      <w:marBottom w:val="0"/>
      <w:divBdr>
        <w:top w:val="none" w:sz="0" w:space="0" w:color="auto"/>
        <w:left w:val="none" w:sz="0" w:space="0" w:color="auto"/>
        <w:bottom w:val="none" w:sz="0" w:space="0" w:color="auto"/>
        <w:right w:val="none" w:sz="0" w:space="0" w:color="auto"/>
      </w:divBdr>
    </w:div>
    <w:div w:id="123276627">
      <w:bodyDiv w:val="1"/>
      <w:marLeft w:val="0"/>
      <w:marRight w:val="0"/>
      <w:marTop w:val="0"/>
      <w:marBottom w:val="0"/>
      <w:divBdr>
        <w:top w:val="none" w:sz="0" w:space="0" w:color="auto"/>
        <w:left w:val="none" w:sz="0" w:space="0" w:color="auto"/>
        <w:bottom w:val="none" w:sz="0" w:space="0" w:color="auto"/>
        <w:right w:val="none" w:sz="0" w:space="0" w:color="auto"/>
      </w:divBdr>
    </w:div>
    <w:div w:id="160238990">
      <w:bodyDiv w:val="1"/>
      <w:marLeft w:val="0"/>
      <w:marRight w:val="0"/>
      <w:marTop w:val="0"/>
      <w:marBottom w:val="0"/>
      <w:divBdr>
        <w:top w:val="none" w:sz="0" w:space="0" w:color="auto"/>
        <w:left w:val="none" w:sz="0" w:space="0" w:color="auto"/>
        <w:bottom w:val="none" w:sz="0" w:space="0" w:color="auto"/>
        <w:right w:val="none" w:sz="0" w:space="0" w:color="auto"/>
      </w:divBdr>
    </w:div>
    <w:div w:id="179130792">
      <w:bodyDiv w:val="1"/>
      <w:marLeft w:val="0"/>
      <w:marRight w:val="0"/>
      <w:marTop w:val="0"/>
      <w:marBottom w:val="0"/>
      <w:divBdr>
        <w:top w:val="none" w:sz="0" w:space="0" w:color="auto"/>
        <w:left w:val="none" w:sz="0" w:space="0" w:color="auto"/>
        <w:bottom w:val="none" w:sz="0" w:space="0" w:color="auto"/>
        <w:right w:val="none" w:sz="0" w:space="0" w:color="auto"/>
      </w:divBdr>
    </w:div>
    <w:div w:id="192303328">
      <w:bodyDiv w:val="1"/>
      <w:marLeft w:val="0"/>
      <w:marRight w:val="0"/>
      <w:marTop w:val="0"/>
      <w:marBottom w:val="0"/>
      <w:divBdr>
        <w:top w:val="none" w:sz="0" w:space="0" w:color="auto"/>
        <w:left w:val="none" w:sz="0" w:space="0" w:color="auto"/>
        <w:bottom w:val="none" w:sz="0" w:space="0" w:color="auto"/>
        <w:right w:val="none" w:sz="0" w:space="0" w:color="auto"/>
      </w:divBdr>
    </w:div>
    <w:div w:id="207226893">
      <w:bodyDiv w:val="1"/>
      <w:marLeft w:val="0"/>
      <w:marRight w:val="0"/>
      <w:marTop w:val="0"/>
      <w:marBottom w:val="0"/>
      <w:divBdr>
        <w:top w:val="none" w:sz="0" w:space="0" w:color="auto"/>
        <w:left w:val="none" w:sz="0" w:space="0" w:color="auto"/>
        <w:bottom w:val="none" w:sz="0" w:space="0" w:color="auto"/>
        <w:right w:val="none" w:sz="0" w:space="0" w:color="auto"/>
      </w:divBdr>
    </w:div>
    <w:div w:id="228883787">
      <w:bodyDiv w:val="1"/>
      <w:marLeft w:val="0"/>
      <w:marRight w:val="0"/>
      <w:marTop w:val="0"/>
      <w:marBottom w:val="0"/>
      <w:divBdr>
        <w:top w:val="none" w:sz="0" w:space="0" w:color="auto"/>
        <w:left w:val="none" w:sz="0" w:space="0" w:color="auto"/>
        <w:bottom w:val="none" w:sz="0" w:space="0" w:color="auto"/>
        <w:right w:val="none" w:sz="0" w:space="0" w:color="auto"/>
      </w:divBdr>
    </w:div>
    <w:div w:id="237985156">
      <w:bodyDiv w:val="1"/>
      <w:marLeft w:val="0"/>
      <w:marRight w:val="0"/>
      <w:marTop w:val="0"/>
      <w:marBottom w:val="0"/>
      <w:divBdr>
        <w:top w:val="none" w:sz="0" w:space="0" w:color="auto"/>
        <w:left w:val="none" w:sz="0" w:space="0" w:color="auto"/>
        <w:bottom w:val="none" w:sz="0" w:space="0" w:color="auto"/>
        <w:right w:val="none" w:sz="0" w:space="0" w:color="auto"/>
      </w:divBdr>
    </w:div>
    <w:div w:id="278608621">
      <w:bodyDiv w:val="1"/>
      <w:marLeft w:val="0"/>
      <w:marRight w:val="0"/>
      <w:marTop w:val="0"/>
      <w:marBottom w:val="0"/>
      <w:divBdr>
        <w:top w:val="none" w:sz="0" w:space="0" w:color="auto"/>
        <w:left w:val="none" w:sz="0" w:space="0" w:color="auto"/>
        <w:bottom w:val="none" w:sz="0" w:space="0" w:color="auto"/>
        <w:right w:val="none" w:sz="0" w:space="0" w:color="auto"/>
      </w:divBdr>
    </w:div>
    <w:div w:id="359012118">
      <w:bodyDiv w:val="1"/>
      <w:marLeft w:val="0"/>
      <w:marRight w:val="0"/>
      <w:marTop w:val="0"/>
      <w:marBottom w:val="0"/>
      <w:divBdr>
        <w:top w:val="none" w:sz="0" w:space="0" w:color="auto"/>
        <w:left w:val="none" w:sz="0" w:space="0" w:color="auto"/>
        <w:bottom w:val="none" w:sz="0" w:space="0" w:color="auto"/>
        <w:right w:val="none" w:sz="0" w:space="0" w:color="auto"/>
      </w:divBdr>
    </w:div>
    <w:div w:id="404376563">
      <w:bodyDiv w:val="1"/>
      <w:marLeft w:val="0"/>
      <w:marRight w:val="0"/>
      <w:marTop w:val="0"/>
      <w:marBottom w:val="0"/>
      <w:divBdr>
        <w:top w:val="none" w:sz="0" w:space="0" w:color="auto"/>
        <w:left w:val="none" w:sz="0" w:space="0" w:color="auto"/>
        <w:bottom w:val="none" w:sz="0" w:space="0" w:color="auto"/>
        <w:right w:val="none" w:sz="0" w:space="0" w:color="auto"/>
      </w:divBdr>
    </w:div>
    <w:div w:id="412091750">
      <w:bodyDiv w:val="1"/>
      <w:marLeft w:val="0"/>
      <w:marRight w:val="0"/>
      <w:marTop w:val="0"/>
      <w:marBottom w:val="0"/>
      <w:divBdr>
        <w:top w:val="none" w:sz="0" w:space="0" w:color="auto"/>
        <w:left w:val="none" w:sz="0" w:space="0" w:color="auto"/>
        <w:bottom w:val="none" w:sz="0" w:space="0" w:color="auto"/>
        <w:right w:val="none" w:sz="0" w:space="0" w:color="auto"/>
      </w:divBdr>
    </w:div>
    <w:div w:id="425077857">
      <w:bodyDiv w:val="1"/>
      <w:marLeft w:val="0"/>
      <w:marRight w:val="0"/>
      <w:marTop w:val="0"/>
      <w:marBottom w:val="0"/>
      <w:divBdr>
        <w:top w:val="none" w:sz="0" w:space="0" w:color="auto"/>
        <w:left w:val="none" w:sz="0" w:space="0" w:color="auto"/>
        <w:bottom w:val="none" w:sz="0" w:space="0" w:color="auto"/>
        <w:right w:val="none" w:sz="0" w:space="0" w:color="auto"/>
      </w:divBdr>
    </w:div>
    <w:div w:id="454716284">
      <w:bodyDiv w:val="1"/>
      <w:marLeft w:val="0"/>
      <w:marRight w:val="0"/>
      <w:marTop w:val="0"/>
      <w:marBottom w:val="0"/>
      <w:divBdr>
        <w:top w:val="none" w:sz="0" w:space="0" w:color="auto"/>
        <w:left w:val="none" w:sz="0" w:space="0" w:color="auto"/>
        <w:bottom w:val="none" w:sz="0" w:space="0" w:color="auto"/>
        <w:right w:val="none" w:sz="0" w:space="0" w:color="auto"/>
      </w:divBdr>
    </w:div>
    <w:div w:id="487402516">
      <w:bodyDiv w:val="1"/>
      <w:marLeft w:val="0"/>
      <w:marRight w:val="0"/>
      <w:marTop w:val="0"/>
      <w:marBottom w:val="0"/>
      <w:divBdr>
        <w:top w:val="none" w:sz="0" w:space="0" w:color="auto"/>
        <w:left w:val="none" w:sz="0" w:space="0" w:color="auto"/>
        <w:bottom w:val="none" w:sz="0" w:space="0" w:color="auto"/>
        <w:right w:val="none" w:sz="0" w:space="0" w:color="auto"/>
      </w:divBdr>
    </w:div>
    <w:div w:id="523979426">
      <w:bodyDiv w:val="1"/>
      <w:marLeft w:val="0"/>
      <w:marRight w:val="0"/>
      <w:marTop w:val="0"/>
      <w:marBottom w:val="0"/>
      <w:divBdr>
        <w:top w:val="none" w:sz="0" w:space="0" w:color="auto"/>
        <w:left w:val="none" w:sz="0" w:space="0" w:color="auto"/>
        <w:bottom w:val="none" w:sz="0" w:space="0" w:color="auto"/>
        <w:right w:val="none" w:sz="0" w:space="0" w:color="auto"/>
      </w:divBdr>
    </w:div>
    <w:div w:id="554970793">
      <w:bodyDiv w:val="1"/>
      <w:marLeft w:val="0"/>
      <w:marRight w:val="0"/>
      <w:marTop w:val="0"/>
      <w:marBottom w:val="0"/>
      <w:divBdr>
        <w:top w:val="none" w:sz="0" w:space="0" w:color="auto"/>
        <w:left w:val="none" w:sz="0" w:space="0" w:color="auto"/>
        <w:bottom w:val="none" w:sz="0" w:space="0" w:color="auto"/>
        <w:right w:val="none" w:sz="0" w:space="0" w:color="auto"/>
      </w:divBdr>
    </w:div>
    <w:div w:id="557279814">
      <w:bodyDiv w:val="1"/>
      <w:marLeft w:val="0"/>
      <w:marRight w:val="0"/>
      <w:marTop w:val="0"/>
      <w:marBottom w:val="0"/>
      <w:divBdr>
        <w:top w:val="none" w:sz="0" w:space="0" w:color="auto"/>
        <w:left w:val="none" w:sz="0" w:space="0" w:color="auto"/>
        <w:bottom w:val="none" w:sz="0" w:space="0" w:color="auto"/>
        <w:right w:val="none" w:sz="0" w:space="0" w:color="auto"/>
      </w:divBdr>
    </w:div>
    <w:div w:id="557742619">
      <w:bodyDiv w:val="1"/>
      <w:marLeft w:val="0"/>
      <w:marRight w:val="0"/>
      <w:marTop w:val="0"/>
      <w:marBottom w:val="0"/>
      <w:divBdr>
        <w:top w:val="none" w:sz="0" w:space="0" w:color="auto"/>
        <w:left w:val="none" w:sz="0" w:space="0" w:color="auto"/>
        <w:bottom w:val="none" w:sz="0" w:space="0" w:color="auto"/>
        <w:right w:val="none" w:sz="0" w:space="0" w:color="auto"/>
      </w:divBdr>
    </w:div>
    <w:div w:id="565190103">
      <w:bodyDiv w:val="1"/>
      <w:marLeft w:val="0"/>
      <w:marRight w:val="0"/>
      <w:marTop w:val="0"/>
      <w:marBottom w:val="0"/>
      <w:divBdr>
        <w:top w:val="none" w:sz="0" w:space="0" w:color="auto"/>
        <w:left w:val="none" w:sz="0" w:space="0" w:color="auto"/>
        <w:bottom w:val="none" w:sz="0" w:space="0" w:color="auto"/>
        <w:right w:val="none" w:sz="0" w:space="0" w:color="auto"/>
      </w:divBdr>
    </w:div>
    <w:div w:id="585498752">
      <w:bodyDiv w:val="1"/>
      <w:marLeft w:val="0"/>
      <w:marRight w:val="0"/>
      <w:marTop w:val="0"/>
      <w:marBottom w:val="0"/>
      <w:divBdr>
        <w:top w:val="none" w:sz="0" w:space="0" w:color="auto"/>
        <w:left w:val="none" w:sz="0" w:space="0" w:color="auto"/>
        <w:bottom w:val="none" w:sz="0" w:space="0" w:color="auto"/>
        <w:right w:val="none" w:sz="0" w:space="0" w:color="auto"/>
      </w:divBdr>
    </w:div>
    <w:div w:id="596600858">
      <w:bodyDiv w:val="1"/>
      <w:marLeft w:val="0"/>
      <w:marRight w:val="0"/>
      <w:marTop w:val="0"/>
      <w:marBottom w:val="0"/>
      <w:divBdr>
        <w:top w:val="none" w:sz="0" w:space="0" w:color="auto"/>
        <w:left w:val="none" w:sz="0" w:space="0" w:color="auto"/>
        <w:bottom w:val="none" w:sz="0" w:space="0" w:color="auto"/>
        <w:right w:val="none" w:sz="0" w:space="0" w:color="auto"/>
      </w:divBdr>
    </w:div>
    <w:div w:id="620381784">
      <w:bodyDiv w:val="1"/>
      <w:marLeft w:val="0"/>
      <w:marRight w:val="0"/>
      <w:marTop w:val="0"/>
      <w:marBottom w:val="0"/>
      <w:divBdr>
        <w:top w:val="none" w:sz="0" w:space="0" w:color="auto"/>
        <w:left w:val="none" w:sz="0" w:space="0" w:color="auto"/>
        <w:bottom w:val="none" w:sz="0" w:space="0" w:color="auto"/>
        <w:right w:val="none" w:sz="0" w:space="0" w:color="auto"/>
      </w:divBdr>
    </w:div>
    <w:div w:id="671613040">
      <w:bodyDiv w:val="1"/>
      <w:marLeft w:val="0"/>
      <w:marRight w:val="0"/>
      <w:marTop w:val="0"/>
      <w:marBottom w:val="0"/>
      <w:divBdr>
        <w:top w:val="none" w:sz="0" w:space="0" w:color="auto"/>
        <w:left w:val="none" w:sz="0" w:space="0" w:color="auto"/>
        <w:bottom w:val="none" w:sz="0" w:space="0" w:color="auto"/>
        <w:right w:val="none" w:sz="0" w:space="0" w:color="auto"/>
      </w:divBdr>
    </w:div>
    <w:div w:id="679550038">
      <w:bodyDiv w:val="1"/>
      <w:marLeft w:val="0"/>
      <w:marRight w:val="0"/>
      <w:marTop w:val="0"/>
      <w:marBottom w:val="0"/>
      <w:divBdr>
        <w:top w:val="none" w:sz="0" w:space="0" w:color="auto"/>
        <w:left w:val="none" w:sz="0" w:space="0" w:color="auto"/>
        <w:bottom w:val="none" w:sz="0" w:space="0" w:color="auto"/>
        <w:right w:val="none" w:sz="0" w:space="0" w:color="auto"/>
      </w:divBdr>
    </w:div>
    <w:div w:id="690689886">
      <w:bodyDiv w:val="1"/>
      <w:marLeft w:val="0"/>
      <w:marRight w:val="0"/>
      <w:marTop w:val="0"/>
      <w:marBottom w:val="0"/>
      <w:divBdr>
        <w:top w:val="none" w:sz="0" w:space="0" w:color="auto"/>
        <w:left w:val="none" w:sz="0" w:space="0" w:color="auto"/>
        <w:bottom w:val="none" w:sz="0" w:space="0" w:color="auto"/>
        <w:right w:val="none" w:sz="0" w:space="0" w:color="auto"/>
      </w:divBdr>
    </w:div>
    <w:div w:id="742918383">
      <w:bodyDiv w:val="1"/>
      <w:marLeft w:val="0"/>
      <w:marRight w:val="0"/>
      <w:marTop w:val="0"/>
      <w:marBottom w:val="0"/>
      <w:divBdr>
        <w:top w:val="none" w:sz="0" w:space="0" w:color="auto"/>
        <w:left w:val="none" w:sz="0" w:space="0" w:color="auto"/>
        <w:bottom w:val="none" w:sz="0" w:space="0" w:color="auto"/>
        <w:right w:val="none" w:sz="0" w:space="0" w:color="auto"/>
      </w:divBdr>
    </w:div>
    <w:div w:id="747658557">
      <w:bodyDiv w:val="1"/>
      <w:marLeft w:val="0"/>
      <w:marRight w:val="0"/>
      <w:marTop w:val="0"/>
      <w:marBottom w:val="0"/>
      <w:divBdr>
        <w:top w:val="none" w:sz="0" w:space="0" w:color="auto"/>
        <w:left w:val="none" w:sz="0" w:space="0" w:color="auto"/>
        <w:bottom w:val="none" w:sz="0" w:space="0" w:color="auto"/>
        <w:right w:val="none" w:sz="0" w:space="0" w:color="auto"/>
      </w:divBdr>
    </w:div>
    <w:div w:id="758017213">
      <w:bodyDiv w:val="1"/>
      <w:marLeft w:val="0"/>
      <w:marRight w:val="0"/>
      <w:marTop w:val="0"/>
      <w:marBottom w:val="0"/>
      <w:divBdr>
        <w:top w:val="none" w:sz="0" w:space="0" w:color="auto"/>
        <w:left w:val="none" w:sz="0" w:space="0" w:color="auto"/>
        <w:bottom w:val="none" w:sz="0" w:space="0" w:color="auto"/>
        <w:right w:val="none" w:sz="0" w:space="0" w:color="auto"/>
      </w:divBdr>
    </w:div>
    <w:div w:id="792405071">
      <w:bodyDiv w:val="1"/>
      <w:marLeft w:val="0"/>
      <w:marRight w:val="0"/>
      <w:marTop w:val="0"/>
      <w:marBottom w:val="0"/>
      <w:divBdr>
        <w:top w:val="none" w:sz="0" w:space="0" w:color="auto"/>
        <w:left w:val="none" w:sz="0" w:space="0" w:color="auto"/>
        <w:bottom w:val="none" w:sz="0" w:space="0" w:color="auto"/>
        <w:right w:val="none" w:sz="0" w:space="0" w:color="auto"/>
      </w:divBdr>
    </w:div>
    <w:div w:id="838738011">
      <w:bodyDiv w:val="1"/>
      <w:marLeft w:val="0"/>
      <w:marRight w:val="0"/>
      <w:marTop w:val="0"/>
      <w:marBottom w:val="0"/>
      <w:divBdr>
        <w:top w:val="none" w:sz="0" w:space="0" w:color="auto"/>
        <w:left w:val="none" w:sz="0" w:space="0" w:color="auto"/>
        <w:bottom w:val="none" w:sz="0" w:space="0" w:color="auto"/>
        <w:right w:val="none" w:sz="0" w:space="0" w:color="auto"/>
      </w:divBdr>
    </w:div>
    <w:div w:id="846291669">
      <w:bodyDiv w:val="1"/>
      <w:marLeft w:val="0"/>
      <w:marRight w:val="0"/>
      <w:marTop w:val="0"/>
      <w:marBottom w:val="0"/>
      <w:divBdr>
        <w:top w:val="none" w:sz="0" w:space="0" w:color="auto"/>
        <w:left w:val="none" w:sz="0" w:space="0" w:color="auto"/>
        <w:bottom w:val="none" w:sz="0" w:space="0" w:color="auto"/>
        <w:right w:val="none" w:sz="0" w:space="0" w:color="auto"/>
      </w:divBdr>
    </w:div>
    <w:div w:id="874732191">
      <w:bodyDiv w:val="1"/>
      <w:marLeft w:val="0"/>
      <w:marRight w:val="0"/>
      <w:marTop w:val="0"/>
      <w:marBottom w:val="0"/>
      <w:divBdr>
        <w:top w:val="none" w:sz="0" w:space="0" w:color="auto"/>
        <w:left w:val="none" w:sz="0" w:space="0" w:color="auto"/>
        <w:bottom w:val="none" w:sz="0" w:space="0" w:color="auto"/>
        <w:right w:val="none" w:sz="0" w:space="0" w:color="auto"/>
      </w:divBdr>
    </w:div>
    <w:div w:id="885802667">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49702386">
      <w:bodyDiv w:val="1"/>
      <w:marLeft w:val="0"/>
      <w:marRight w:val="0"/>
      <w:marTop w:val="0"/>
      <w:marBottom w:val="0"/>
      <w:divBdr>
        <w:top w:val="none" w:sz="0" w:space="0" w:color="auto"/>
        <w:left w:val="none" w:sz="0" w:space="0" w:color="auto"/>
        <w:bottom w:val="none" w:sz="0" w:space="0" w:color="auto"/>
        <w:right w:val="none" w:sz="0" w:space="0" w:color="auto"/>
      </w:divBdr>
    </w:div>
    <w:div w:id="950360959">
      <w:bodyDiv w:val="1"/>
      <w:marLeft w:val="0"/>
      <w:marRight w:val="0"/>
      <w:marTop w:val="0"/>
      <w:marBottom w:val="0"/>
      <w:divBdr>
        <w:top w:val="none" w:sz="0" w:space="0" w:color="auto"/>
        <w:left w:val="none" w:sz="0" w:space="0" w:color="auto"/>
        <w:bottom w:val="none" w:sz="0" w:space="0" w:color="auto"/>
        <w:right w:val="none" w:sz="0" w:space="0" w:color="auto"/>
      </w:divBdr>
    </w:div>
    <w:div w:id="980041275">
      <w:bodyDiv w:val="1"/>
      <w:marLeft w:val="0"/>
      <w:marRight w:val="0"/>
      <w:marTop w:val="0"/>
      <w:marBottom w:val="0"/>
      <w:divBdr>
        <w:top w:val="none" w:sz="0" w:space="0" w:color="auto"/>
        <w:left w:val="none" w:sz="0" w:space="0" w:color="auto"/>
        <w:bottom w:val="none" w:sz="0" w:space="0" w:color="auto"/>
        <w:right w:val="none" w:sz="0" w:space="0" w:color="auto"/>
      </w:divBdr>
    </w:div>
    <w:div w:id="983121541">
      <w:bodyDiv w:val="1"/>
      <w:marLeft w:val="0"/>
      <w:marRight w:val="0"/>
      <w:marTop w:val="0"/>
      <w:marBottom w:val="0"/>
      <w:divBdr>
        <w:top w:val="none" w:sz="0" w:space="0" w:color="auto"/>
        <w:left w:val="none" w:sz="0" w:space="0" w:color="auto"/>
        <w:bottom w:val="none" w:sz="0" w:space="0" w:color="auto"/>
        <w:right w:val="none" w:sz="0" w:space="0" w:color="auto"/>
      </w:divBdr>
    </w:div>
    <w:div w:id="992414343">
      <w:bodyDiv w:val="1"/>
      <w:marLeft w:val="0"/>
      <w:marRight w:val="0"/>
      <w:marTop w:val="0"/>
      <w:marBottom w:val="0"/>
      <w:divBdr>
        <w:top w:val="none" w:sz="0" w:space="0" w:color="auto"/>
        <w:left w:val="none" w:sz="0" w:space="0" w:color="auto"/>
        <w:bottom w:val="none" w:sz="0" w:space="0" w:color="auto"/>
        <w:right w:val="none" w:sz="0" w:space="0" w:color="auto"/>
      </w:divBdr>
    </w:div>
    <w:div w:id="1017075851">
      <w:bodyDiv w:val="1"/>
      <w:marLeft w:val="0"/>
      <w:marRight w:val="0"/>
      <w:marTop w:val="0"/>
      <w:marBottom w:val="0"/>
      <w:divBdr>
        <w:top w:val="none" w:sz="0" w:space="0" w:color="auto"/>
        <w:left w:val="none" w:sz="0" w:space="0" w:color="auto"/>
        <w:bottom w:val="none" w:sz="0" w:space="0" w:color="auto"/>
        <w:right w:val="none" w:sz="0" w:space="0" w:color="auto"/>
      </w:divBdr>
    </w:div>
    <w:div w:id="1018041467">
      <w:bodyDiv w:val="1"/>
      <w:marLeft w:val="0"/>
      <w:marRight w:val="0"/>
      <w:marTop w:val="0"/>
      <w:marBottom w:val="0"/>
      <w:divBdr>
        <w:top w:val="none" w:sz="0" w:space="0" w:color="auto"/>
        <w:left w:val="none" w:sz="0" w:space="0" w:color="auto"/>
        <w:bottom w:val="none" w:sz="0" w:space="0" w:color="auto"/>
        <w:right w:val="none" w:sz="0" w:space="0" w:color="auto"/>
      </w:divBdr>
    </w:div>
    <w:div w:id="1059985417">
      <w:bodyDiv w:val="1"/>
      <w:marLeft w:val="0"/>
      <w:marRight w:val="0"/>
      <w:marTop w:val="0"/>
      <w:marBottom w:val="0"/>
      <w:divBdr>
        <w:top w:val="none" w:sz="0" w:space="0" w:color="auto"/>
        <w:left w:val="none" w:sz="0" w:space="0" w:color="auto"/>
        <w:bottom w:val="none" w:sz="0" w:space="0" w:color="auto"/>
        <w:right w:val="none" w:sz="0" w:space="0" w:color="auto"/>
      </w:divBdr>
    </w:div>
    <w:div w:id="1083137218">
      <w:bodyDiv w:val="1"/>
      <w:marLeft w:val="0"/>
      <w:marRight w:val="0"/>
      <w:marTop w:val="0"/>
      <w:marBottom w:val="0"/>
      <w:divBdr>
        <w:top w:val="none" w:sz="0" w:space="0" w:color="auto"/>
        <w:left w:val="none" w:sz="0" w:space="0" w:color="auto"/>
        <w:bottom w:val="none" w:sz="0" w:space="0" w:color="auto"/>
        <w:right w:val="none" w:sz="0" w:space="0" w:color="auto"/>
      </w:divBdr>
    </w:div>
    <w:div w:id="1090665580">
      <w:bodyDiv w:val="1"/>
      <w:marLeft w:val="0"/>
      <w:marRight w:val="0"/>
      <w:marTop w:val="0"/>
      <w:marBottom w:val="0"/>
      <w:divBdr>
        <w:top w:val="none" w:sz="0" w:space="0" w:color="auto"/>
        <w:left w:val="none" w:sz="0" w:space="0" w:color="auto"/>
        <w:bottom w:val="none" w:sz="0" w:space="0" w:color="auto"/>
        <w:right w:val="none" w:sz="0" w:space="0" w:color="auto"/>
      </w:divBdr>
    </w:div>
    <w:div w:id="1090928834">
      <w:bodyDiv w:val="1"/>
      <w:marLeft w:val="0"/>
      <w:marRight w:val="0"/>
      <w:marTop w:val="0"/>
      <w:marBottom w:val="0"/>
      <w:divBdr>
        <w:top w:val="none" w:sz="0" w:space="0" w:color="auto"/>
        <w:left w:val="none" w:sz="0" w:space="0" w:color="auto"/>
        <w:bottom w:val="none" w:sz="0" w:space="0" w:color="auto"/>
        <w:right w:val="none" w:sz="0" w:space="0" w:color="auto"/>
      </w:divBdr>
    </w:div>
    <w:div w:id="1096905970">
      <w:bodyDiv w:val="1"/>
      <w:marLeft w:val="0"/>
      <w:marRight w:val="0"/>
      <w:marTop w:val="0"/>
      <w:marBottom w:val="0"/>
      <w:divBdr>
        <w:top w:val="none" w:sz="0" w:space="0" w:color="auto"/>
        <w:left w:val="none" w:sz="0" w:space="0" w:color="auto"/>
        <w:bottom w:val="none" w:sz="0" w:space="0" w:color="auto"/>
        <w:right w:val="none" w:sz="0" w:space="0" w:color="auto"/>
      </w:divBdr>
    </w:div>
    <w:div w:id="1156922857">
      <w:bodyDiv w:val="1"/>
      <w:marLeft w:val="0"/>
      <w:marRight w:val="0"/>
      <w:marTop w:val="0"/>
      <w:marBottom w:val="0"/>
      <w:divBdr>
        <w:top w:val="none" w:sz="0" w:space="0" w:color="auto"/>
        <w:left w:val="none" w:sz="0" w:space="0" w:color="auto"/>
        <w:bottom w:val="none" w:sz="0" w:space="0" w:color="auto"/>
        <w:right w:val="none" w:sz="0" w:space="0" w:color="auto"/>
      </w:divBdr>
    </w:div>
    <w:div w:id="1189417577">
      <w:bodyDiv w:val="1"/>
      <w:marLeft w:val="0"/>
      <w:marRight w:val="0"/>
      <w:marTop w:val="0"/>
      <w:marBottom w:val="0"/>
      <w:divBdr>
        <w:top w:val="none" w:sz="0" w:space="0" w:color="auto"/>
        <w:left w:val="none" w:sz="0" w:space="0" w:color="auto"/>
        <w:bottom w:val="none" w:sz="0" w:space="0" w:color="auto"/>
        <w:right w:val="none" w:sz="0" w:space="0" w:color="auto"/>
      </w:divBdr>
    </w:div>
    <w:div w:id="1199585695">
      <w:bodyDiv w:val="1"/>
      <w:marLeft w:val="0"/>
      <w:marRight w:val="0"/>
      <w:marTop w:val="0"/>
      <w:marBottom w:val="0"/>
      <w:divBdr>
        <w:top w:val="none" w:sz="0" w:space="0" w:color="auto"/>
        <w:left w:val="none" w:sz="0" w:space="0" w:color="auto"/>
        <w:bottom w:val="none" w:sz="0" w:space="0" w:color="auto"/>
        <w:right w:val="none" w:sz="0" w:space="0" w:color="auto"/>
      </w:divBdr>
    </w:div>
    <w:div w:id="1230922476">
      <w:bodyDiv w:val="1"/>
      <w:marLeft w:val="0"/>
      <w:marRight w:val="0"/>
      <w:marTop w:val="0"/>
      <w:marBottom w:val="0"/>
      <w:divBdr>
        <w:top w:val="none" w:sz="0" w:space="0" w:color="auto"/>
        <w:left w:val="none" w:sz="0" w:space="0" w:color="auto"/>
        <w:bottom w:val="none" w:sz="0" w:space="0" w:color="auto"/>
        <w:right w:val="none" w:sz="0" w:space="0" w:color="auto"/>
      </w:divBdr>
    </w:div>
    <w:div w:id="1253394098">
      <w:bodyDiv w:val="1"/>
      <w:marLeft w:val="0"/>
      <w:marRight w:val="0"/>
      <w:marTop w:val="0"/>
      <w:marBottom w:val="0"/>
      <w:divBdr>
        <w:top w:val="none" w:sz="0" w:space="0" w:color="auto"/>
        <w:left w:val="none" w:sz="0" w:space="0" w:color="auto"/>
        <w:bottom w:val="none" w:sz="0" w:space="0" w:color="auto"/>
        <w:right w:val="none" w:sz="0" w:space="0" w:color="auto"/>
      </w:divBdr>
    </w:div>
    <w:div w:id="1278949780">
      <w:bodyDiv w:val="1"/>
      <w:marLeft w:val="0"/>
      <w:marRight w:val="0"/>
      <w:marTop w:val="0"/>
      <w:marBottom w:val="0"/>
      <w:divBdr>
        <w:top w:val="none" w:sz="0" w:space="0" w:color="auto"/>
        <w:left w:val="none" w:sz="0" w:space="0" w:color="auto"/>
        <w:bottom w:val="none" w:sz="0" w:space="0" w:color="auto"/>
        <w:right w:val="none" w:sz="0" w:space="0" w:color="auto"/>
      </w:divBdr>
    </w:div>
    <w:div w:id="1281500076">
      <w:bodyDiv w:val="1"/>
      <w:marLeft w:val="0"/>
      <w:marRight w:val="0"/>
      <w:marTop w:val="0"/>
      <w:marBottom w:val="0"/>
      <w:divBdr>
        <w:top w:val="none" w:sz="0" w:space="0" w:color="auto"/>
        <w:left w:val="none" w:sz="0" w:space="0" w:color="auto"/>
        <w:bottom w:val="none" w:sz="0" w:space="0" w:color="auto"/>
        <w:right w:val="none" w:sz="0" w:space="0" w:color="auto"/>
      </w:divBdr>
    </w:div>
    <w:div w:id="1283196127">
      <w:bodyDiv w:val="1"/>
      <w:marLeft w:val="0"/>
      <w:marRight w:val="0"/>
      <w:marTop w:val="0"/>
      <w:marBottom w:val="0"/>
      <w:divBdr>
        <w:top w:val="none" w:sz="0" w:space="0" w:color="auto"/>
        <w:left w:val="none" w:sz="0" w:space="0" w:color="auto"/>
        <w:bottom w:val="none" w:sz="0" w:space="0" w:color="auto"/>
        <w:right w:val="none" w:sz="0" w:space="0" w:color="auto"/>
      </w:divBdr>
    </w:div>
    <w:div w:id="1289580708">
      <w:bodyDiv w:val="1"/>
      <w:marLeft w:val="0"/>
      <w:marRight w:val="0"/>
      <w:marTop w:val="0"/>
      <w:marBottom w:val="0"/>
      <w:divBdr>
        <w:top w:val="none" w:sz="0" w:space="0" w:color="auto"/>
        <w:left w:val="none" w:sz="0" w:space="0" w:color="auto"/>
        <w:bottom w:val="none" w:sz="0" w:space="0" w:color="auto"/>
        <w:right w:val="none" w:sz="0" w:space="0" w:color="auto"/>
      </w:divBdr>
    </w:div>
    <w:div w:id="1292977490">
      <w:bodyDiv w:val="1"/>
      <w:marLeft w:val="0"/>
      <w:marRight w:val="0"/>
      <w:marTop w:val="0"/>
      <w:marBottom w:val="0"/>
      <w:divBdr>
        <w:top w:val="none" w:sz="0" w:space="0" w:color="auto"/>
        <w:left w:val="none" w:sz="0" w:space="0" w:color="auto"/>
        <w:bottom w:val="none" w:sz="0" w:space="0" w:color="auto"/>
        <w:right w:val="none" w:sz="0" w:space="0" w:color="auto"/>
      </w:divBdr>
    </w:div>
    <w:div w:id="1295023682">
      <w:bodyDiv w:val="1"/>
      <w:marLeft w:val="0"/>
      <w:marRight w:val="0"/>
      <w:marTop w:val="0"/>
      <w:marBottom w:val="0"/>
      <w:divBdr>
        <w:top w:val="none" w:sz="0" w:space="0" w:color="auto"/>
        <w:left w:val="none" w:sz="0" w:space="0" w:color="auto"/>
        <w:bottom w:val="none" w:sz="0" w:space="0" w:color="auto"/>
        <w:right w:val="none" w:sz="0" w:space="0" w:color="auto"/>
      </w:divBdr>
    </w:div>
    <w:div w:id="1310355204">
      <w:bodyDiv w:val="1"/>
      <w:marLeft w:val="0"/>
      <w:marRight w:val="0"/>
      <w:marTop w:val="0"/>
      <w:marBottom w:val="0"/>
      <w:divBdr>
        <w:top w:val="none" w:sz="0" w:space="0" w:color="auto"/>
        <w:left w:val="none" w:sz="0" w:space="0" w:color="auto"/>
        <w:bottom w:val="none" w:sz="0" w:space="0" w:color="auto"/>
        <w:right w:val="none" w:sz="0" w:space="0" w:color="auto"/>
      </w:divBdr>
    </w:div>
    <w:div w:id="1314723038">
      <w:bodyDiv w:val="1"/>
      <w:marLeft w:val="0"/>
      <w:marRight w:val="0"/>
      <w:marTop w:val="0"/>
      <w:marBottom w:val="0"/>
      <w:divBdr>
        <w:top w:val="none" w:sz="0" w:space="0" w:color="auto"/>
        <w:left w:val="none" w:sz="0" w:space="0" w:color="auto"/>
        <w:bottom w:val="none" w:sz="0" w:space="0" w:color="auto"/>
        <w:right w:val="none" w:sz="0" w:space="0" w:color="auto"/>
      </w:divBdr>
    </w:div>
    <w:div w:id="1352534740">
      <w:bodyDiv w:val="1"/>
      <w:marLeft w:val="0"/>
      <w:marRight w:val="0"/>
      <w:marTop w:val="0"/>
      <w:marBottom w:val="0"/>
      <w:divBdr>
        <w:top w:val="none" w:sz="0" w:space="0" w:color="auto"/>
        <w:left w:val="none" w:sz="0" w:space="0" w:color="auto"/>
        <w:bottom w:val="none" w:sz="0" w:space="0" w:color="auto"/>
        <w:right w:val="none" w:sz="0" w:space="0" w:color="auto"/>
      </w:divBdr>
    </w:div>
    <w:div w:id="1355418431">
      <w:bodyDiv w:val="1"/>
      <w:marLeft w:val="0"/>
      <w:marRight w:val="0"/>
      <w:marTop w:val="0"/>
      <w:marBottom w:val="0"/>
      <w:divBdr>
        <w:top w:val="none" w:sz="0" w:space="0" w:color="auto"/>
        <w:left w:val="none" w:sz="0" w:space="0" w:color="auto"/>
        <w:bottom w:val="none" w:sz="0" w:space="0" w:color="auto"/>
        <w:right w:val="none" w:sz="0" w:space="0" w:color="auto"/>
      </w:divBdr>
    </w:div>
    <w:div w:id="1373311445">
      <w:bodyDiv w:val="1"/>
      <w:marLeft w:val="0"/>
      <w:marRight w:val="0"/>
      <w:marTop w:val="0"/>
      <w:marBottom w:val="0"/>
      <w:divBdr>
        <w:top w:val="none" w:sz="0" w:space="0" w:color="auto"/>
        <w:left w:val="none" w:sz="0" w:space="0" w:color="auto"/>
        <w:bottom w:val="none" w:sz="0" w:space="0" w:color="auto"/>
        <w:right w:val="none" w:sz="0" w:space="0" w:color="auto"/>
      </w:divBdr>
    </w:div>
    <w:div w:id="1373461274">
      <w:bodyDiv w:val="1"/>
      <w:marLeft w:val="0"/>
      <w:marRight w:val="0"/>
      <w:marTop w:val="0"/>
      <w:marBottom w:val="0"/>
      <w:divBdr>
        <w:top w:val="none" w:sz="0" w:space="0" w:color="auto"/>
        <w:left w:val="none" w:sz="0" w:space="0" w:color="auto"/>
        <w:bottom w:val="none" w:sz="0" w:space="0" w:color="auto"/>
        <w:right w:val="none" w:sz="0" w:space="0" w:color="auto"/>
      </w:divBdr>
    </w:div>
    <w:div w:id="1467697075">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79960510">
      <w:bodyDiv w:val="1"/>
      <w:marLeft w:val="0"/>
      <w:marRight w:val="0"/>
      <w:marTop w:val="0"/>
      <w:marBottom w:val="0"/>
      <w:divBdr>
        <w:top w:val="none" w:sz="0" w:space="0" w:color="auto"/>
        <w:left w:val="none" w:sz="0" w:space="0" w:color="auto"/>
        <w:bottom w:val="none" w:sz="0" w:space="0" w:color="auto"/>
        <w:right w:val="none" w:sz="0" w:space="0" w:color="auto"/>
      </w:divBdr>
    </w:div>
    <w:div w:id="1663851889">
      <w:bodyDiv w:val="1"/>
      <w:marLeft w:val="0"/>
      <w:marRight w:val="0"/>
      <w:marTop w:val="0"/>
      <w:marBottom w:val="0"/>
      <w:divBdr>
        <w:top w:val="none" w:sz="0" w:space="0" w:color="auto"/>
        <w:left w:val="none" w:sz="0" w:space="0" w:color="auto"/>
        <w:bottom w:val="none" w:sz="0" w:space="0" w:color="auto"/>
        <w:right w:val="none" w:sz="0" w:space="0" w:color="auto"/>
      </w:divBdr>
    </w:div>
    <w:div w:id="1682849697">
      <w:bodyDiv w:val="1"/>
      <w:marLeft w:val="0"/>
      <w:marRight w:val="0"/>
      <w:marTop w:val="0"/>
      <w:marBottom w:val="0"/>
      <w:divBdr>
        <w:top w:val="none" w:sz="0" w:space="0" w:color="auto"/>
        <w:left w:val="none" w:sz="0" w:space="0" w:color="auto"/>
        <w:bottom w:val="none" w:sz="0" w:space="0" w:color="auto"/>
        <w:right w:val="none" w:sz="0" w:space="0" w:color="auto"/>
      </w:divBdr>
    </w:div>
    <w:div w:id="1689016400">
      <w:bodyDiv w:val="1"/>
      <w:marLeft w:val="0"/>
      <w:marRight w:val="0"/>
      <w:marTop w:val="0"/>
      <w:marBottom w:val="0"/>
      <w:divBdr>
        <w:top w:val="none" w:sz="0" w:space="0" w:color="auto"/>
        <w:left w:val="none" w:sz="0" w:space="0" w:color="auto"/>
        <w:bottom w:val="none" w:sz="0" w:space="0" w:color="auto"/>
        <w:right w:val="none" w:sz="0" w:space="0" w:color="auto"/>
      </w:divBdr>
    </w:div>
    <w:div w:id="1696149984">
      <w:bodyDiv w:val="1"/>
      <w:marLeft w:val="0"/>
      <w:marRight w:val="0"/>
      <w:marTop w:val="0"/>
      <w:marBottom w:val="0"/>
      <w:divBdr>
        <w:top w:val="none" w:sz="0" w:space="0" w:color="auto"/>
        <w:left w:val="none" w:sz="0" w:space="0" w:color="auto"/>
        <w:bottom w:val="none" w:sz="0" w:space="0" w:color="auto"/>
        <w:right w:val="none" w:sz="0" w:space="0" w:color="auto"/>
      </w:divBdr>
    </w:div>
    <w:div w:id="1734961606">
      <w:bodyDiv w:val="1"/>
      <w:marLeft w:val="0"/>
      <w:marRight w:val="0"/>
      <w:marTop w:val="0"/>
      <w:marBottom w:val="0"/>
      <w:divBdr>
        <w:top w:val="none" w:sz="0" w:space="0" w:color="auto"/>
        <w:left w:val="none" w:sz="0" w:space="0" w:color="auto"/>
        <w:bottom w:val="none" w:sz="0" w:space="0" w:color="auto"/>
        <w:right w:val="none" w:sz="0" w:space="0" w:color="auto"/>
      </w:divBdr>
    </w:div>
    <w:div w:id="1871259026">
      <w:bodyDiv w:val="1"/>
      <w:marLeft w:val="0"/>
      <w:marRight w:val="0"/>
      <w:marTop w:val="0"/>
      <w:marBottom w:val="0"/>
      <w:divBdr>
        <w:top w:val="none" w:sz="0" w:space="0" w:color="auto"/>
        <w:left w:val="none" w:sz="0" w:space="0" w:color="auto"/>
        <w:bottom w:val="none" w:sz="0" w:space="0" w:color="auto"/>
        <w:right w:val="none" w:sz="0" w:space="0" w:color="auto"/>
      </w:divBdr>
    </w:div>
    <w:div w:id="1907257327">
      <w:bodyDiv w:val="1"/>
      <w:marLeft w:val="0"/>
      <w:marRight w:val="0"/>
      <w:marTop w:val="0"/>
      <w:marBottom w:val="0"/>
      <w:divBdr>
        <w:top w:val="none" w:sz="0" w:space="0" w:color="auto"/>
        <w:left w:val="none" w:sz="0" w:space="0" w:color="auto"/>
        <w:bottom w:val="none" w:sz="0" w:space="0" w:color="auto"/>
        <w:right w:val="none" w:sz="0" w:space="0" w:color="auto"/>
      </w:divBdr>
    </w:div>
    <w:div w:id="1910650859">
      <w:bodyDiv w:val="1"/>
      <w:marLeft w:val="0"/>
      <w:marRight w:val="0"/>
      <w:marTop w:val="0"/>
      <w:marBottom w:val="0"/>
      <w:divBdr>
        <w:top w:val="none" w:sz="0" w:space="0" w:color="auto"/>
        <w:left w:val="none" w:sz="0" w:space="0" w:color="auto"/>
        <w:bottom w:val="none" w:sz="0" w:space="0" w:color="auto"/>
        <w:right w:val="none" w:sz="0" w:space="0" w:color="auto"/>
      </w:divBdr>
    </w:div>
    <w:div w:id="1925263978">
      <w:bodyDiv w:val="1"/>
      <w:marLeft w:val="0"/>
      <w:marRight w:val="0"/>
      <w:marTop w:val="0"/>
      <w:marBottom w:val="0"/>
      <w:divBdr>
        <w:top w:val="none" w:sz="0" w:space="0" w:color="auto"/>
        <w:left w:val="none" w:sz="0" w:space="0" w:color="auto"/>
        <w:bottom w:val="none" w:sz="0" w:space="0" w:color="auto"/>
        <w:right w:val="none" w:sz="0" w:space="0" w:color="auto"/>
      </w:divBdr>
    </w:div>
    <w:div w:id="1970817313">
      <w:bodyDiv w:val="1"/>
      <w:marLeft w:val="0"/>
      <w:marRight w:val="0"/>
      <w:marTop w:val="0"/>
      <w:marBottom w:val="0"/>
      <w:divBdr>
        <w:top w:val="none" w:sz="0" w:space="0" w:color="auto"/>
        <w:left w:val="none" w:sz="0" w:space="0" w:color="auto"/>
        <w:bottom w:val="none" w:sz="0" w:space="0" w:color="auto"/>
        <w:right w:val="none" w:sz="0" w:space="0" w:color="auto"/>
      </w:divBdr>
    </w:div>
    <w:div w:id="1971402661">
      <w:bodyDiv w:val="1"/>
      <w:marLeft w:val="0"/>
      <w:marRight w:val="0"/>
      <w:marTop w:val="0"/>
      <w:marBottom w:val="0"/>
      <w:divBdr>
        <w:top w:val="none" w:sz="0" w:space="0" w:color="auto"/>
        <w:left w:val="none" w:sz="0" w:space="0" w:color="auto"/>
        <w:bottom w:val="none" w:sz="0" w:space="0" w:color="auto"/>
        <w:right w:val="none" w:sz="0" w:space="0" w:color="auto"/>
      </w:divBdr>
    </w:div>
    <w:div w:id="2004120183">
      <w:bodyDiv w:val="1"/>
      <w:marLeft w:val="0"/>
      <w:marRight w:val="0"/>
      <w:marTop w:val="0"/>
      <w:marBottom w:val="0"/>
      <w:divBdr>
        <w:top w:val="none" w:sz="0" w:space="0" w:color="auto"/>
        <w:left w:val="none" w:sz="0" w:space="0" w:color="auto"/>
        <w:bottom w:val="none" w:sz="0" w:space="0" w:color="auto"/>
        <w:right w:val="none" w:sz="0" w:space="0" w:color="auto"/>
      </w:divBdr>
    </w:div>
    <w:div w:id="2046060700">
      <w:bodyDiv w:val="1"/>
      <w:marLeft w:val="0"/>
      <w:marRight w:val="0"/>
      <w:marTop w:val="0"/>
      <w:marBottom w:val="0"/>
      <w:divBdr>
        <w:top w:val="none" w:sz="0" w:space="0" w:color="auto"/>
        <w:left w:val="none" w:sz="0" w:space="0" w:color="auto"/>
        <w:bottom w:val="none" w:sz="0" w:space="0" w:color="auto"/>
        <w:right w:val="none" w:sz="0" w:space="0" w:color="auto"/>
      </w:divBdr>
    </w:div>
    <w:div w:id="2076463913">
      <w:bodyDiv w:val="1"/>
      <w:marLeft w:val="0"/>
      <w:marRight w:val="0"/>
      <w:marTop w:val="0"/>
      <w:marBottom w:val="0"/>
      <w:divBdr>
        <w:top w:val="none" w:sz="0" w:space="0" w:color="auto"/>
        <w:left w:val="none" w:sz="0" w:space="0" w:color="auto"/>
        <w:bottom w:val="none" w:sz="0" w:space="0" w:color="auto"/>
        <w:right w:val="none" w:sz="0" w:space="0" w:color="auto"/>
      </w:divBdr>
    </w:div>
    <w:div w:id="2082410219">
      <w:bodyDiv w:val="1"/>
      <w:marLeft w:val="0"/>
      <w:marRight w:val="0"/>
      <w:marTop w:val="0"/>
      <w:marBottom w:val="0"/>
      <w:divBdr>
        <w:top w:val="none" w:sz="0" w:space="0" w:color="auto"/>
        <w:left w:val="none" w:sz="0" w:space="0" w:color="auto"/>
        <w:bottom w:val="none" w:sz="0" w:space="0" w:color="auto"/>
        <w:right w:val="none" w:sz="0" w:space="0" w:color="auto"/>
      </w:divBdr>
    </w:div>
    <w:div w:id="2090036336">
      <w:bodyDiv w:val="1"/>
      <w:marLeft w:val="0"/>
      <w:marRight w:val="0"/>
      <w:marTop w:val="0"/>
      <w:marBottom w:val="0"/>
      <w:divBdr>
        <w:top w:val="none" w:sz="0" w:space="0" w:color="auto"/>
        <w:left w:val="none" w:sz="0" w:space="0" w:color="auto"/>
        <w:bottom w:val="none" w:sz="0" w:space="0" w:color="auto"/>
        <w:right w:val="none" w:sz="0" w:space="0" w:color="auto"/>
      </w:divBdr>
    </w:div>
    <w:div w:id="2108454656">
      <w:bodyDiv w:val="1"/>
      <w:marLeft w:val="0"/>
      <w:marRight w:val="0"/>
      <w:marTop w:val="0"/>
      <w:marBottom w:val="0"/>
      <w:divBdr>
        <w:top w:val="none" w:sz="0" w:space="0" w:color="auto"/>
        <w:left w:val="none" w:sz="0" w:space="0" w:color="auto"/>
        <w:bottom w:val="none" w:sz="0" w:space="0" w:color="auto"/>
        <w:right w:val="none" w:sz="0" w:space="0" w:color="auto"/>
      </w:divBdr>
    </w:div>
    <w:div w:id="2109814994">
      <w:bodyDiv w:val="1"/>
      <w:marLeft w:val="0"/>
      <w:marRight w:val="0"/>
      <w:marTop w:val="0"/>
      <w:marBottom w:val="0"/>
      <w:divBdr>
        <w:top w:val="none" w:sz="0" w:space="0" w:color="auto"/>
        <w:left w:val="none" w:sz="0" w:space="0" w:color="auto"/>
        <w:bottom w:val="none" w:sz="0" w:space="0" w:color="auto"/>
        <w:right w:val="none" w:sz="0" w:space="0" w:color="auto"/>
      </w:divBdr>
    </w:div>
    <w:div w:id="2117630218">
      <w:bodyDiv w:val="1"/>
      <w:marLeft w:val="0"/>
      <w:marRight w:val="0"/>
      <w:marTop w:val="0"/>
      <w:marBottom w:val="0"/>
      <w:divBdr>
        <w:top w:val="none" w:sz="0" w:space="0" w:color="auto"/>
        <w:left w:val="none" w:sz="0" w:space="0" w:color="auto"/>
        <w:bottom w:val="none" w:sz="0" w:space="0" w:color="auto"/>
        <w:right w:val="none" w:sz="0" w:space="0" w:color="auto"/>
      </w:divBdr>
    </w:div>
    <w:div w:id="2125035668">
      <w:bodyDiv w:val="1"/>
      <w:marLeft w:val="0"/>
      <w:marRight w:val="0"/>
      <w:marTop w:val="0"/>
      <w:marBottom w:val="0"/>
      <w:divBdr>
        <w:top w:val="none" w:sz="0" w:space="0" w:color="auto"/>
        <w:left w:val="none" w:sz="0" w:space="0" w:color="auto"/>
        <w:bottom w:val="none" w:sz="0" w:space="0" w:color="auto"/>
        <w:right w:val="none" w:sz="0" w:space="0" w:color="auto"/>
      </w:divBdr>
    </w:div>
    <w:div w:id="2139490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es.cardiff.ac.uk/wccop/files/2017/09/Series-Fennell-Doughty-2017-Statistical-overview-of-CoP.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1f2ca7mxjow42e65q49871m1-wpengine.netdna-ssl.com/wp-content/uploads/2019/03/March-2019-Compendium-Print-Version.pdf" TargetMode="External"/><Relationship Id="rId10" Type="http://schemas.openxmlformats.org/officeDocument/2006/relationships/hyperlink" Target="https://www.cps.gov.uk/thames-and-chiltern/news/woman-jailed-neglecting-her-mother-did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2DB247-E7D1-7F49-BBDF-A7EB0157C3FA}">
  <ds:schemaRefs>
    <ds:schemaRef ds:uri="http://schemas.openxmlformats.org/officeDocument/2006/bibliography"/>
  </ds:schemaRefs>
</ds:datastoreItem>
</file>

<file path=customXml/itemProps2.xml><?xml version="1.0" encoding="utf-8"?>
<ds:datastoreItem xmlns:ds="http://schemas.openxmlformats.org/officeDocument/2006/customXml" ds:itemID="{0550CF3D-2B67-484F-92BD-98DDBE9B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9904</Words>
  <Characters>56456</Characters>
  <Application>Microsoft Macintosh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Pritchard-Jones</dc:creator>
  <cp:lastModifiedBy>Laura Pritchard-Jones</cp:lastModifiedBy>
  <cp:revision>2</cp:revision>
  <dcterms:created xsi:type="dcterms:W3CDTF">2020-02-11T11:57:00Z</dcterms:created>
  <dcterms:modified xsi:type="dcterms:W3CDTF">2020-02-11T11:57:00Z</dcterms:modified>
</cp:coreProperties>
</file>