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6124F" w14:textId="77777777" w:rsidR="004330BF" w:rsidRDefault="004330BF" w:rsidP="004330BF">
      <w:pPr>
        <w:spacing w:line="480" w:lineRule="auto"/>
        <w:jc w:val="center"/>
        <w:rPr>
          <w:rFonts w:ascii="Garamond" w:hAnsi="Garamond" w:cs="Times New Roman"/>
          <w:b/>
          <w:lang w:val="en-US"/>
        </w:rPr>
      </w:pPr>
    </w:p>
    <w:p w14:paraId="1425F5A5" w14:textId="77777777" w:rsidR="004330BF" w:rsidRDefault="004330BF" w:rsidP="004330BF">
      <w:pPr>
        <w:spacing w:line="480" w:lineRule="auto"/>
        <w:jc w:val="center"/>
        <w:rPr>
          <w:rFonts w:ascii="Garamond" w:hAnsi="Garamond" w:cs="Times New Roman"/>
          <w:b/>
          <w:lang w:val="en-US"/>
        </w:rPr>
      </w:pPr>
    </w:p>
    <w:p w14:paraId="45D1245B" w14:textId="26787EDA" w:rsidR="004330BF" w:rsidRDefault="004330BF" w:rsidP="004330BF">
      <w:pPr>
        <w:spacing w:line="480" w:lineRule="auto"/>
        <w:jc w:val="center"/>
        <w:rPr>
          <w:rFonts w:ascii="Garamond" w:hAnsi="Garamond" w:cs="Times New Roman"/>
          <w:b/>
          <w:lang w:val="en-US"/>
        </w:rPr>
      </w:pPr>
    </w:p>
    <w:p w14:paraId="77A7292A" w14:textId="77777777" w:rsidR="004330BF" w:rsidRDefault="004330BF" w:rsidP="004330BF">
      <w:pPr>
        <w:spacing w:line="480" w:lineRule="auto"/>
        <w:jc w:val="center"/>
        <w:rPr>
          <w:rFonts w:ascii="Garamond" w:hAnsi="Garamond" w:cs="Times New Roman"/>
          <w:b/>
          <w:lang w:val="en-US"/>
        </w:rPr>
      </w:pPr>
    </w:p>
    <w:p w14:paraId="508E6065" w14:textId="24B58856" w:rsidR="004330BF" w:rsidRPr="004720CD" w:rsidRDefault="004330BF" w:rsidP="004330BF">
      <w:pPr>
        <w:spacing w:line="480" w:lineRule="auto"/>
        <w:jc w:val="center"/>
        <w:rPr>
          <w:rFonts w:ascii="Garamond" w:hAnsi="Garamond" w:cs="Times New Roman"/>
          <w:b/>
          <w:lang w:val="en-US"/>
        </w:rPr>
      </w:pPr>
      <w:r>
        <w:rPr>
          <w:rFonts w:ascii="Garamond" w:hAnsi="Garamond" w:cs="Times New Roman"/>
          <w:b/>
          <w:lang w:val="en-US"/>
        </w:rPr>
        <w:t>Making C</w:t>
      </w:r>
      <w:r w:rsidRPr="004720CD">
        <w:rPr>
          <w:rFonts w:ascii="Garamond" w:hAnsi="Garamond" w:cs="Times New Roman"/>
          <w:b/>
          <w:lang w:val="en-US"/>
        </w:rPr>
        <w:t xml:space="preserve">onnections: Social identification with </w:t>
      </w:r>
      <w:r>
        <w:rPr>
          <w:rFonts w:ascii="Garamond" w:hAnsi="Garamond" w:cs="Times New Roman"/>
          <w:b/>
          <w:lang w:val="en-US"/>
        </w:rPr>
        <w:t>New Treatment G</w:t>
      </w:r>
      <w:r w:rsidRPr="004720CD">
        <w:rPr>
          <w:rFonts w:ascii="Garamond" w:hAnsi="Garamond" w:cs="Times New Roman"/>
          <w:b/>
          <w:lang w:val="en-US"/>
        </w:rPr>
        <w:t xml:space="preserve">roups for </w:t>
      </w:r>
      <w:r>
        <w:rPr>
          <w:rFonts w:ascii="Garamond" w:hAnsi="Garamond" w:cs="Times New Roman"/>
          <w:b/>
          <w:lang w:val="en-US"/>
        </w:rPr>
        <w:t>Lifestyle M</w:t>
      </w:r>
      <w:r w:rsidRPr="004720CD">
        <w:rPr>
          <w:rFonts w:ascii="Garamond" w:hAnsi="Garamond" w:cs="Times New Roman"/>
          <w:b/>
          <w:lang w:val="en-US"/>
        </w:rPr>
        <w:t xml:space="preserve">anagement of </w:t>
      </w:r>
      <w:r>
        <w:rPr>
          <w:rFonts w:ascii="Garamond" w:hAnsi="Garamond" w:cs="Times New Roman"/>
          <w:b/>
          <w:lang w:val="en-US"/>
        </w:rPr>
        <w:t>Severe O</w:t>
      </w:r>
      <w:r w:rsidRPr="004720CD">
        <w:rPr>
          <w:rFonts w:ascii="Garamond" w:hAnsi="Garamond" w:cs="Times New Roman"/>
          <w:b/>
          <w:lang w:val="en-US"/>
        </w:rPr>
        <w:t>besity</w:t>
      </w:r>
    </w:p>
    <w:p w14:paraId="0114E9DF" w14:textId="77777777" w:rsidR="004330BF" w:rsidRPr="004720CD" w:rsidRDefault="004330BF" w:rsidP="004330BF">
      <w:pPr>
        <w:spacing w:line="480" w:lineRule="auto"/>
        <w:rPr>
          <w:rFonts w:ascii="Garamond" w:hAnsi="Garamond" w:cs="Times New Roman"/>
        </w:rPr>
      </w:pPr>
    </w:p>
    <w:p w14:paraId="1A5CC810" w14:textId="77777777" w:rsidR="004330BF" w:rsidRPr="004720CD" w:rsidRDefault="004330BF" w:rsidP="004330BF">
      <w:pPr>
        <w:spacing w:line="480" w:lineRule="auto"/>
        <w:rPr>
          <w:rFonts w:ascii="Garamond" w:hAnsi="Garamond" w:cs="Times New Roman"/>
        </w:rPr>
      </w:pPr>
    </w:p>
    <w:p w14:paraId="7473BC31" w14:textId="77777777" w:rsidR="004330BF" w:rsidRPr="004720CD" w:rsidRDefault="004330BF" w:rsidP="004330BF">
      <w:pPr>
        <w:spacing w:line="480" w:lineRule="auto"/>
        <w:jc w:val="center"/>
        <w:rPr>
          <w:rFonts w:ascii="Garamond" w:hAnsi="Garamond" w:cs="Times New Roman"/>
          <w:vertAlign w:val="superscript"/>
        </w:rPr>
      </w:pPr>
      <w:r w:rsidRPr="004720CD">
        <w:rPr>
          <w:rFonts w:ascii="Garamond" w:hAnsi="Garamond" w:cs="Times New Roman"/>
        </w:rPr>
        <w:t>Sammyh S. Khan</w:t>
      </w:r>
      <w:r w:rsidRPr="004720CD">
        <w:rPr>
          <w:rFonts w:ascii="Garamond" w:hAnsi="Garamond" w:cs="Times New Roman"/>
          <w:vertAlign w:val="superscript"/>
        </w:rPr>
        <w:t>1,2</w:t>
      </w:r>
      <w:r w:rsidRPr="004720CD">
        <w:rPr>
          <w:rFonts w:ascii="Garamond" w:hAnsi="Garamond" w:cs="Times New Roman"/>
        </w:rPr>
        <w:t>, Mark Tarrant</w:t>
      </w:r>
      <w:r w:rsidRPr="004720CD">
        <w:rPr>
          <w:rFonts w:ascii="Garamond" w:hAnsi="Garamond" w:cs="Times New Roman"/>
          <w:vertAlign w:val="superscript"/>
        </w:rPr>
        <w:t>1</w:t>
      </w:r>
      <w:r w:rsidRPr="004720CD">
        <w:rPr>
          <w:rFonts w:ascii="Garamond" w:hAnsi="Garamond" w:cs="Times New Roman"/>
        </w:rPr>
        <w:t>, Katarina Kos</w:t>
      </w:r>
      <w:r w:rsidRPr="004720CD">
        <w:rPr>
          <w:rFonts w:ascii="Garamond" w:hAnsi="Garamond" w:cs="Times New Roman"/>
          <w:vertAlign w:val="superscript"/>
        </w:rPr>
        <w:t>1,3</w:t>
      </w:r>
      <w:r w:rsidRPr="004720CD">
        <w:rPr>
          <w:rFonts w:ascii="Garamond" w:hAnsi="Garamond" w:cs="Times New Roman"/>
        </w:rPr>
        <w:t>, Mark Daly</w:t>
      </w:r>
      <w:r w:rsidRPr="004720CD">
        <w:rPr>
          <w:rFonts w:ascii="Garamond" w:hAnsi="Garamond" w:cs="Times New Roman"/>
          <w:vertAlign w:val="superscript"/>
        </w:rPr>
        <w:t>3</w:t>
      </w:r>
      <w:r w:rsidRPr="004720CD">
        <w:rPr>
          <w:rFonts w:ascii="Garamond" w:hAnsi="Garamond" w:cs="Times New Roman"/>
        </w:rPr>
        <w:t>, Chloe Gimbuta</w:t>
      </w:r>
      <w:r w:rsidRPr="004720CD">
        <w:rPr>
          <w:rFonts w:ascii="Garamond" w:hAnsi="Garamond" w:cs="Times New Roman"/>
          <w:vertAlign w:val="superscript"/>
        </w:rPr>
        <w:t>1</w:t>
      </w:r>
      <w:r w:rsidRPr="004720CD">
        <w:rPr>
          <w:rFonts w:ascii="Garamond" w:hAnsi="Garamond" w:cs="Times New Roman"/>
        </w:rPr>
        <w:t>,</w:t>
      </w:r>
      <w:r w:rsidRPr="004720CD">
        <w:rPr>
          <w:rFonts w:ascii="Garamond" w:hAnsi="Garamond" w:cs="Times New Roman"/>
          <w:vertAlign w:val="superscript"/>
        </w:rPr>
        <w:t xml:space="preserve"> </w:t>
      </w:r>
      <w:r w:rsidRPr="004720CD">
        <w:rPr>
          <w:rFonts w:ascii="Garamond" w:hAnsi="Garamond" w:cs="Times New Roman"/>
        </w:rPr>
        <w:t>Claire V. Farrow</w:t>
      </w:r>
      <w:r w:rsidRPr="004720CD">
        <w:rPr>
          <w:rFonts w:ascii="Garamond" w:hAnsi="Garamond" w:cs="Times New Roman"/>
          <w:vertAlign w:val="superscript"/>
        </w:rPr>
        <w:t>4</w:t>
      </w:r>
    </w:p>
    <w:p w14:paraId="170799DA" w14:textId="77777777" w:rsidR="004330BF" w:rsidRPr="004720CD" w:rsidRDefault="004330BF" w:rsidP="004330BF">
      <w:pPr>
        <w:spacing w:line="480" w:lineRule="auto"/>
        <w:jc w:val="center"/>
        <w:rPr>
          <w:rFonts w:ascii="Garamond" w:hAnsi="Garamond" w:cs="Times New Roman"/>
        </w:rPr>
      </w:pPr>
    </w:p>
    <w:p w14:paraId="19A60D99" w14:textId="77777777" w:rsidR="004330BF" w:rsidRPr="004720CD" w:rsidRDefault="004330BF" w:rsidP="004330BF">
      <w:pPr>
        <w:spacing w:line="480" w:lineRule="auto"/>
        <w:jc w:val="center"/>
        <w:outlineLvl w:val="0"/>
        <w:rPr>
          <w:rFonts w:ascii="Garamond" w:hAnsi="Garamond" w:cs="Times New Roman"/>
        </w:rPr>
      </w:pPr>
      <w:r w:rsidRPr="004720CD">
        <w:rPr>
          <w:rFonts w:ascii="Garamond" w:hAnsi="Garamond" w:cs="Times New Roman"/>
          <w:vertAlign w:val="superscript"/>
        </w:rPr>
        <w:t>1</w:t>
      </w:r>
      <w:r w:rsidRPr="004720CD">
        <w:rPr>
          <w:rFonts w:ascii="Garamond" w:hAnsi="Garamond" w:cs="Times New Roman"/>
        </w:rPr>
        <w:t>University of Exeter Medical School</w:t>
      </w:r>
    </w:p>
    <w:p w14:paraId="1264726A" w14:textId="77777777" w:rsidR="004330BF" w:rsidRPr="004720CD" w:rsidRDefault="004330BF" w:rsidP="004330BF">
      <w:pPr>
        <w:spacing w:line="480" w:lineRule="auto"/>
        <w:jc w:val="center"/>
        <w:outlineLvl w:val="0"/>
        <w:rPr>
          <w:rFonts w:ascii="Garamond" w:hAnsi="Garamond" w:cs="Times New Roman"/>
        </w:rPr>
      </w:pPr>
      <w:r w:rsidRPr="004720CD">
        <w:rPr>
          <w:rFonts w:ascii="Garamond" w:hAnsi="Garamond" w:cs="Times New Roman"/>
          <w:vertAlign w:val="superscript"/>
        </w:rPr>
        <w:t>2</w:t>
      </w:r>
      <w:r w:rsidRPr="004720CD">
        <w:rPr>
          <w:rFonts w:ascii="Garamond" w:hAnsi="Garamond" w:cs="Times New Roman"/>
        </w:rPr>
        <w:t xml:space="preserve">School of Psychology, Keele University </w:t>
      </w:r>
    </w:p>
    <w:p w14:paraId="3285F917" w14:textId="77777777" w:rsidR="004330BF" w:rsidRPr="004720CD" w:rsidRDefault="004330BF" w:rsidP="004330BF">
      <w:pPr>
        <w:spacing w:line="480" w:lineRule="auto"/>
        <w:jc w:val="center"/>
        <w:outlineLvl w:val="0"/>
        <w:rPr>
          <w:rFonts w:ascii="Garamond" w:hAnsi="Garamond" w:cs="Times New Roman"/>
        </w:rPr>
      </w:pPr>
      <w:r w:rsidRPr="004720CD">
        <w:rPr>
          <w:rFonts w:ascii="Garamond" w:hAnsi="Garamond" w:cs="Times New Roman"/>
          <w:vertAlign w:val="superscript"/>
        </w:rPr>
        <w:t>3</w:t>
      </w:r>
      <w:r w:rsidRPr="004720CD">
        <w:rPr>
          <w:rFonts w:ascii="Garamond" w:hAnsi="Garamond" w:cs="Times New Roman"/>
        </w:rPr>
        <w:t>Royal Devon and Exeter NHS Hospital Trust</w:t>
      </w:r>
    </w:p>
    <w:p w14:paraId="58B1C41E" w14:textId="77777777" w:rsidR="004330BF" w:rsidRPr="004720CD" w:rsidRDefault="004330BF" w:rsidP="004330BF">
      <w:pPr>
        <w:spacing w:line="480" w:lineRule="auto"/>
        <w:jc w:val="center"/>
        <w:outlineLvl w:val="0"/>
        <w:rPr>
          <w:rFonts w:ascii="Garamond" w:hAnsi="Garamond" w:cs="Times New Roman"/>
        </w:rPr>
      </w:pPr>
      <w:r w:rsidRPr="004720CD">
        <w:rPr>
          <w:rFonts w:ascii="Garamond" w:hAnsi="Garamond" w:cs="Times New Roman"/>
          <w:vertAlign w:val="superscript"/>
        </w:rPr>
        <w:t>4</w:t>
      </w:r>
      <w:r w:rsidRPr="004720CD">
        <w:rPr>
          <w:rFonts w:ascii="Garamond" w:hAnsi="Garamond" w:cs="Times New Roman"/>
        </w:rPr>
        <w:t>School of Life and Health Sciences, Aston University</w:t>
      </w:r>
    </w:p>
    <w:p w14:paraId="36BD87CB" w14:textId="77777777" w:rsidR="004330BF" w:rsidRPr="004720CD" w:rsidRDefault="004330BF" w:rsidP="004330BF">
      <w:pPr>
        <w:spacing w:line="480" w:lineRule="auto"/>
        <w:jc w:val="center"/>
        <w:outlineLvl w:val="0"/>
        <w:rPr>
          <w:rFonts w:ascii="Garamond" w:hAnsi="Garamond" w:cs="Times New Roman"/>
        </w:rPr>
      </w:pPr>
    </w:p>
    <w:p w14:paraId="200F48DF" w14:textId="77777777" w:rsidR="004330BF" w:rsidRPr="004720CD" w:rsidRDefault="004330BF" w:rsidP="004330BF">
      <w:pPr>
        <w:spacing w:line="480" w:lineRule="auto"/>
        <w:jc w:val="center"/>
        <w:outlineLvl w:val="0"/>
        <w:rPr>
          <w:rFonts w:ascii="Garamond" w:hAnsi="Garamond" w:cs="Times New Roman"/>
        </w:rPr>
      </w:pPr>
    </w:p>
    <w:p w14:paraId="056B497D" w14:textId="77777777" w:rsidR="004330BF" w:rsidRPr="004720CD" w:rsidRDefault="004330BF" w:rsidP="004330BF">
      <w:pPr>
        <w:spacing w:line="480" w:lineRule="auto"/>
        <w:outlineLvl w:val="0"/>
        <w:rPr>
          <w:rFonts w:ascii="Garamond" w:hAnsi="Garamond" w:cs="Times New Roman"/>
        </w:rPr>
      </w:pPr>
      <w:r w:rsidRPr="004720CD">
        <w:rPr>
          <w:rFonts w:ascii="Garamond" w:hAnsi="Garamond" w:cs="Times New Roman"/>
        </w:rPr>
        <w:t>Corresponding author: Mark Tarrant, University of Exeter Medical School, University of Exeter, Heavitree Road, Exeter, EX1 2LU, UK. Tel. +44(0)1392 725921; email: m.tarrant@exeter.ac.uk</w:t>
      </w:r>
    </w:p>
    <w:p w14:paraId="7FEEF5E8" w14:textId="77777777" w:rsidR="004330BF" w:rsidRPr="004720CD" w:rsidRDefault="004330BF" w:rsidP="004330BF">
      <w:pPr>
        <w:spacing w:line="480" w:lineRule="auto"/>
        <w:rPr>
          <w:rFonts w:ascii="Garamond" w:hAnsi="Garamond" w:cs="Times New Roman"/>
          <w:b/>
        </w:rPr>
      </w:pPr>
    </w:p>
    <w:p w14:paraId="0D5CB9A6" w14:textId="77777777" w:rsidR="004330BF" w:rsidRPr="004720CD" w:rsidRDefault="004330BF" w:rsidP="004330BF">
      <w:pPr>
        <w:spacing w:line="480" w:lineRule="auto"/>
        <w:outlineLvl w:val="0"/>
        <w:rPr>
          <w:rFonts w:ascii="Garamond" w:hAnsi="Garamond" w:cs="Times New Roman"/>
          <w:b/>
        </w:rPr>
      </w:pPr>
      <w:r w:rsidRPr="004720CD">
        <w:rPr>
          <w:rFonts w:ascii="Garamond" w:hAnsi="Garamond" w:cs="Times New Roman"/>
          <w:b/>
        </w:rPr>
        <w:t>Acknowledgements</w:t>
      </w:r>
    </w:p>
    <w:p w14:paraId="394ACC3A" w14:textId="77777777" w:rsidR="004330BF" w:rsidRPr="0075687D" w:rsidRDefault="004330BF" w:rsidP="004330BF">
      <w:pPr>
        <w:spacing w:line="480" w:lineRule="auto"/>
        <w:rPr>
          <w:rFonts w:ascii="Garamond" w:hAnsi="Garamond" w:cs="Times New Roman"/>
        </w:rPr>
      </w:pPr>
      <w:r w:rsidRPr="004720CD">
        <w:rPr>
          <w:rFonts w:ascii="Garamond" w:hAnsi="Garamond" w:cs="Times New Roman"/>
        </w:rPr>
        <w:t xml:space="preserve">This research was supported by a grant from Leverhulme Trust (RPG-368) awarded to Mark Tarrant, Claire Farrow, Katarina Kos and Mark Daly, and also </w:t>
      </w:r>
      <w:r w:rsidRPr="004720CD">
        <w:rPr>
          <w:rFonts w:ascii="Garamond" w:hAnsi="Garamond" w:cs="Times New Roman"/>
          <w:lang w:val="en-US"/>
        </w:rPr>
        <w:t xml:space="preserve">by the National Institute for Health Research (NIHR) </w:t>
      </w:r>
      <w:r w:rsidRPr="004720CD">
        <w:rPr>
          <w:rFonts w:ascii="Garamond" w:hAnsi="Garamond" w:cs="Times New Roman"/>
        </w:rPr>
        <w:t>Collaboration for Leadership in Applied Health Research and Care of the South West Peninsula (PenCLAHRC)</w:t>
      </w:r>
      <w:r w:rsidRPr="004720CD">
        <w:rPr>
          <w:rFonts w:ascii="Garamond" w:hAnsi="Garamond" w:cs="Times New Roman"/>
          <w:lang w:val="en-US"/>
        </w:rPr>
        <w:t>. The views expressed in this publication are those of the authors and not necessarily those of Leverhulme Trust, NIHR, PenCLAHRC, NHS, or the Department of Health</w:t>
      </w:r>
      <w:r w:rsidRPr="004720CD">
        <w:rPr>
          <w:rFonts w:ascii="Garamond" w:hAnsi="Garamond" w:cs="Times New Roman"/>
        </w:rPr>
        <w:t xml:space="preserve">. </w:t>
      </w:r>
    </w:p>
    <w:p w14:paraId="2D9E5ADA" w14:textId="23FF3E8F" w:rsidR="004330BF" w:rsidRPr="004330BF" w:rsidRDefault="004330BF" w:rsidP="004330BF">
      <w:pPr>
        <w:spacing w:line="480" w:lineRule="auto"/>
        <w:jc w:val="center"/>
        <w:rPr>
          <w:rFonts w:ascii="Garamond" w:eastAsia="Garamond" w:hAnsi="Garamond" w:cs="Garamond"/>
          <w:b/>
        </w:rPr>
      </w:pPr>
      <w:bookmarkStart w:id="0" w:name="_GoBack"/>
      <w:bookmarkEnd w:id="0"/>
      <w:r w:rsidRPr="004330BF">
        <w:rPr>
          <w:rFonts w:ascii="Garamond" w:eastAsia="Garamond" w:hAnsi="Garamond" w:cs="Garamond"/>
          <w:b/>
        </w:rPr>
        <w:lastRenderedPageBreak/>
        <w:t>Abstract</w:t>
      </w:r>
    </w:p>
    <w:p w14:paraId="46159C84" w14:textId="116D6A94" w:rsidR="00170563" w:rsidRPr="00157C7F" w:rsidRDefault="00663A4B">
      <w:pPr>
        <w:spacing w:line="480" w:lineRule="auto"/>
        <w:rPr>
          <w:rFonts w:ascii="Garamond" w:eastAsia="Garamond" w:hAnsi="Garamond" w:cs="Garamond"/>
        </w:rPr>
      </w:pPr>
      <w:r w:rsidRPr="00157C7F">
        <w:rPr>
          <w:rFonts w:ascii="Garamond" w:eastAsia="Garamond" w:hAnsi="Garamond" w:cs="Garamond"/>
        </w:rPr>
        <w:t xml:space="preserve">Groups are regularly used to deliver healthcare services, including the management of obesity, and there is growing evidence that patients’ experiences of such groups fundamentally shape treatment effects. This study investigated factors related to patients’ shared social identity formed within the context of a treatment group for the management of severe obesity.  A cross-sectional survey was administered to patients registered with a UK medical obesity service and enrolled on a group-based education and support programme.  Patients (N=78; </w:t>
      </w:r>
      <w:r w:rsidRPr="00157C7F">
        <w:rPr>
          <w:rFonts w:ascii="Garamond" w:eastAsia="Garamond" w:hAnsi="Garamond" w:cs="Garamond"/>
          <w:i/>
        </w:rPr>
        <w:t>M</w:t>
      </w:r>
      <w:r w:rsidRPr="00157C7F">
        <w:rPr>
          <w:rFonts w:ascii="Garamond" w:eastAsia="Garamond" w:hAnsi="Garamond" w:cs="Garamond"/>
          <w:i/>
          <w:vertAlign w:val="subscript"/>
        </w:rPr>
        <w:t>BMI</w:t>
      </w:r>
      <w:r w:rsidRPr="00157C7F">
        <w:rPr>
          <w:rFonts w:ascii="Garamond" w:eastAsia="Garamond" w:hAnsi="Garamond" w:cs="Garamond"/>
        </w:rPr>
        <w:t xml:space="preserve"> = 48 on entry to the service) completed measures of group demographics (e.g., group membership continuity) and psychosocial variables (e.g., past experiences of weight discrimination), and reported their social identification with the treatment group. The results showed that patients identified with the treatment group to the extent that there was continuity in membership across the programme and they perceived themselves more centrally in terms of their weight status. Weight centrality was negatively associated with external social support and positively associated with experiences of weight discrimination. Group continuity was positively correlated with session attendance frequency. Patients presenting to clinical treatment services with severe obesity often do so after sustained weight loss failure and exposure to negative societal experiences. This study highlights that providing a treatment environment wherein these experiences can be shared with other patients may provide common ground for development of a new, positive social identity that can structure programme engagement and progression.</w:t>
      </w:r>
    </w:p>
    <w:p w14:paraId="46225702" w14:textId="77777777" w:rsidR="00170563" w:rsidRPr="00157C7F" w:rsidRDefault="00170563">
      <w:pPr>
        <w:spacing w:line="480" w:lineRule="auto"/>
        <w:jc w:val="center"/>
        <w:rPr>
          <w:rFonts w:ascii="Garamond" w:eastAsia="Garamond" w:hAnsi="Garamond" w:cs="Garamond"/>
          <w:b/>
        </w:rPr>
      </w:pPr>
    </w:p>
    <w:p w14:paraId="2E70C683" w14:textId="77777777" w:rsidR="00170563" w:rsidRPr="00157C7F" w:rsidRDefault="00170563">
      <w:pPr>
        <w:spacing w:line="480" w:lineRule="auto"/>
        <w:jc w:val="center"/>
        <w:rPr>
          <w:rFonts w:ascii="Garamond" w:eastAsia="Garamond" w:hAnsi="Garamond" w:cs="Garamond"/>
          <w:b/>
        </w:rPr>
      </w:pPr>
    </w:p>
    <w:p w14:paraId="377C60D0" w14:textId="77777777" w:rsidR="00170563" w:rsidRPr="00157C7F" w:rsidRDefault="00170563">
      <w:pPr>
        <w:spacing w:line="480" w:lineRule="auto"/>
        <w:jc w:val="center"/>
        <w:rPr>
          <w:rFonts w:ascii="Garamond" w:eastAsia="Garamond" w:hAnsi="Garamond" w:cs="Garamond"/>
          <w:b/>
        </w:rPr>
      </w:pPr>
    </w:p>
    <w:p w14:paraId="399AE182" w14:textId="77777777" w:rsidR="00170563" w:rsidRPr="00157C7F" w:rsidRDefault="00170563">
      <w:pPr>
        <w:spacing w:line="480" w:lineRule="auto"/>
        <w:jc w:val="center"/>
        <w:rPr>
          <w:rFonts w:ascii="Garamond" w:eastAsia="Garamond" w:hAnsi="Garamond" w:cs="Garamond"/>
          <w:b/>
        </w:rPr>
      </w:pPr>
    </w:p>
    <w:p w14:paraId="05C9F8D2" w14:textId="77777777" w:rsidR="00170563" w:rsidRPr="00157C7F" w:rsidRDefault="00170563">
      <w:pPr>
        <w:spacing w:line="480" w:lineRule="auto"/>
        <w:jc w:val="center"/>
        <w:rPr>
          <w:rFonts w:ascii="Garamond" w:eastAsia="Garamond" w:hAnsi="Garamond" w:cs="Garamond"/>
          <w:b/>
        </w:rPr>
      </w:pPr>
    </w:p>
    <w:p w14:paraId="305B336F" w14:textId="77777777" w:rsidR="00170563" w:rsidRPr="00157C7F" w:rsidRDefault="00170563">
      <w:pPr>
        <w:spacing w:line="480" w:lineRule="auto"/>
        <w:jc w:val="center"/>
        <w:rPr>
          <w:rFonts w:ascii="Garamond" w:eastAsia="Garamond" w:hAnsi="Garamond" w:cs="Garamond"/>
          <w:b/>
        </w:rPr>
      </w:pPr>
    </w:p>
    <w:p w14:paraId="35D0E412" w14:textId="77777777" w:rsidR="00170563" w:rsidRPr="00157C7F" w:rsidRDefault="00170563">
      <w:pPr>
        <w:spacing w:line="480" w:lineRule="auto"/>
        <w:jc w:val="center"/>
        <w:rPr>
          <w:rFonts w:ascii="Garamond" w:eastAsia="Garamond" w:hAnsi="Garamond" w:cs="Garamond"/>
          <w:b/>
        </w:rPr>
      </w:pPr>
    </w:p>
    <w:p w14:paraId="1A45F155" w14:textId="77777777" w:rsidR="005B4584" w:rsidRDefault="005B4584">
      <w:pPr>
        <w:spacing w:line="480" w:lineRule="auto"/>
        <w:jc w:val="center"/>
        <w:rPr>
          <w:rFonts w:ascii="Garamond" w:eastAsia="Garamond" w:hAnsi="Garamond" w:cs="Garamond"/>
          <w:b/>
        </w:rPr>
      </w:pPr>
    </w:p>
    <w:p w14:paraId="5595F739" w14:textId="26F3761F" w:rsidR="005B4584" w:rsidRDefault="005B4584" w:rsidP="005B4584">
      <w:pPr>
        <w:spacing w:line="480" w:lineRule="auto"/>
        <w:jc w:val="center"/>
        <w:rPr>
          <w:rFonts w:ascii="Garamond" w:hAnsi="Garamond"/>
          <w:b/>
        </w:rPr>
      </w:pPr>
      <w:r w:rsidRPr="008E4B4E">
        <w:rPr>
          <w:rFonts w:ascii="Garamond" w:hAnsi="Garamond"/>
          <w:b/>
        </w:rPr>
        <w:lastRenderedPageBreak/>
        <w:t>Key Practitioner Message</w:t>
      </w:r>
      <w:r>
        <w:rPr>
          <w:rFonts w:ascii="Garamond" w:hAnsi="Garamond"/>
          <w:b/>
        </w:rPr>
        <w:t>s</w:t>
      </w:r>
    </w:p>
    <w:p w14:paraId="753A1A26" w14:textId="77777777" w:rsidR="005B4584" w:rsidRPr="008E4B4E" w:rsidRDefault="005B4584" w:rsidP="005B4584">
      <w:pPr>
        <w:spacing w:line="480" w:lineRule="auto"/>
        <w:rPr>
          <w:rFonts w:ascii="Garamond" w:hAnsi="Garamond"/>
        </w:rPr>
      </w:pPr>
      <w:r w:rsidRPr="008E4B4E">
        <w:rPr>
          <w:rFonts w:ascii="Garamond" w:hAnsi="Garamond"/>
          <w:lang w:val="en-US"/>
        </w:rPr>
        <w:t>1. Patients’ social identification with treatment groups can be a valuable resource for delivering intervention content. </w:t>
      </w:r>
    </w:p>
    <w:p w14:paraId="510A18D8" w14:textId="77777777" w:rsidR="005B4584" w:rsidRPr="008E4B4E" w:rsidRDefault="005B4584" w:rsidP="005B4584">
      <w:pPr>
        <w:spacing w:line="480" w:lineRule="auto"/>
        <w:rPr>
          <w:rFonts w:ascii="Garamond" w:hAnsi="Garamond"/>
        </w:rPr>
      </w:pPr>
      <w:r w:rsidRPr="008E4B4E">
        <w:rPr>
          <w:rFonts w:ascii="Garamond" w:hAnsi="Garamond"/>
          <w:lang w:val="en-US"/>
        </w:rPr>
        <w:t> </w:t>
      </w:r>
    </w:p>
    <w:p w14:paraId="0B67E5D2" w14:textId="77777777" w:rsidR="005B4584" w:rsidRPr="008E4B4E" w:rsidRDefault="005B4584" w:rsidP="005B4584">
      <w:pPr>
        <w:spacing w:line="480" w:lineRule="auto"/>
        <w:rPr>
          <w:rFonts w:ascii="Garamond" w:hAnsi="Garamond"/>
        </w:rPr>
      </w:pPr>
      <w:r w:rsidRPr="008E4B4E">
        <w:rPr>
          <w:rFonts w:ascii="Garamond" w:hAnsi="Garamond"/>
          <w:lang w:val="en-US"/>
        </w:rPr>
        <w:t>2. Structural features of the treatment group and psychosocial factors associated with patients’ past experiences may structure social identity development.</w:t>
      </w:r>
    </w:p>
    <w:p w14:paraId="2BE86A7A" w14:textId="77777777" w:rsidR="005B4584" w:rsidRPr="008E4B4E" w:rsidRDefault="005B4584" w:rsidP="005B4584">
      <w:pPr>
        <w:spacing w:line="480" w:lineRule="auto"/>
        <w:rPr>
          <w:rFonts w:ascii="Garamond" w:hAnsi="Garamond"/>
        </w:rPr>
      </w:pPr>
      <w:r w:rsidRPr="008E4B4E">
        <w:rPr>
          <w:rFonts w:ascii="Garamond" w:hAnsi="Garamond"/>
          <w:lang w:val="en-US"/>
        </w:rPr>
        <w:t> </w:t>
      </w:r>
    </w:p>
    <w:p w14:paraId="0E49A536" w14:textId="77777777" w:rsidR="005B4584" w:rsidRPr="008E4B4E" w:rsidRDefault="005B4584" w:rsidP="005B4584">
      <w:pPr>
        <w:spacing w:line="480" w:lineRule="auto"/>
        <w:rPr>
          <w:rFonts w:ascii="Garamond" w:hAnsi="Garamond"/>
        </w:rPr>
      </w:pPr>
      <w:r w:rsidRPr="008E4B4E">
        <w:rPr>
          <w:rFonts w:ascii="Garamond" w:hAnsi="Garamond"/>
          <w:lang w:val="en-US"/>
        </w:rPr>
        <w:t>3. Understanding these influences may allow practitioners to plan treatment programme content and positively shape patients’ emerging social identification with the treatment group.</w:t>
      </w:r>
    </w:p>
    <w:p w14:paraId="405CDA71" w14:textId="77777777" w:rsidR="005B4584" w:rsidRDefault="005B4584">
      <w:pPr>
        <w:spacing w:line="480" w:lineRule="auto"/>
        <w:jc w:val="center"/>
        <w:rPr>
          <w:rFonts w:ascii="Garamond" w:eastAsia="Garamond" w:hAnsi="Garamond" w:cs="Garamond"/>
          <w:b/>
        </w:rPr>
      </w:pPr>
    </w:p>
    <w:p w14:paraId="62F1A4F7" w14:textId="77777777" w:rsidR="005B4584" w:rsidRDefault="005B4584">
      <w:pPr>
        <w:spacing w:line="480" w:lineRule="auto"/>
        <w:jc w:val="center"/>
        <w:rPr>
          <w:rFonts w:ascii="Garamond" w:eastAsia="Garamond" w:hAnsi="Garamond" w:cs="Garamond"/>
          <w:b/>
        </w:rPr>
      </w:pPr>
    </w:p>
    <w:p w14:paraId="03B88097" w14:textId="77777777" w:rsidR="005B4584" w:rsidRDefault="005B4584">
      <w:pPr>
        <w:spacing w:line="480" w:lineRule="auto"/>
        <w:jc w:val="center"/>
        <w:rPr>
          <w:rFonts w:ascii="Garamond" w:eastAsia="Garamond" w:hAnsi="Garamond" w:cs="Garamond"/>
          <w:b/>
        </w:rPr>
      </w:pPr>
    </w:p>
    <w:p w14:paraId="0792BDE8" w14:textId="77777777" w:rsidR="005B4584" w:rsidRDefault="005B4584">
      <w:pPr>
        <w:spacing w:line="480" w:lineRule="auto"/>
        <w:jc w:val="center"/>
        <w:rPr>
          <w:rFonts w:ascii="Garamond" w:eastAsia="Garamond" w:hAnsi="Garamond" w:cs="Garamond"/>
          <w:b/>
        </w:rPr>
      </w:pPr>
    </w:p>
    <w:p w14:paraId="7B837CA6" w14:textId="77777777" w:rsidR="005B4584" w:rsidRDefault="005B4584">
      <w:pPr>
        <w:spacing w:line="480" w:lineRule="auto"/>
        <w:jc w:val="center"/>
        <w:rPr>
          <w:rFonts w:ascii="Garamond" w:eastAsia="Garamond" w:hAnsi="Garamond" w:cs="Garamond"/>
          <w:b/>
        </w:rPr>
      </w:pPr>
    </w:p>
    <w:p w14:paraId="3707695E" w14:textId="77777777" w:rsidR="005B4584" w:rsidRDefault="005B4584">
      <w:pPr>
        <w:spacing w:line="480" w:lineRule="auto"/>
        <w:jc w:val="center"/>
        <w:rPr>
          <w:rFonts w:ascii="Garamond" w:eastAsia="Garamond" w:hAnsi="Garamond" w:cs="Garamond"/>
          <w:b/>
        </w:rPr>
      </w:pPr>
    </w:p>
    <w:p w14:paraId="13EF7BA2" w14:textId="77777777" w:rsidR="005B4584" w:rsidRDefault="005B4584">
      <w:pPr>
        <w:spacing w:line="480" w:lineRule="auto"/>
        <w:jc w:val="center"/>
        <w:rPr>
          <w:rFonts w:ascii="Garamond" w:eastAsia="Garamond" w:hAnsi="Garamond" w:cs="Garamond"/>
          <w:b/>
        </w:rPr>
      </w:pPr>
    </w:p>
    <w:p w14:paraId="40999C31" w14:textId="77777777" w:rsidR="005B4584" w:rsidRDefault="005B4584">
      <w:pPr>
        <w:spacing w:line="480" w:lineRule="auto"/>
        <w:jc w:val="center"/>
        <w:rPr>
          <w:rFonts w:ascii="Garamond" w:eastAsia="Garamond" w:hAnsi="Garamond" w:cs="Garamond"/>
          <w:b/>
        </w:rPr>
      </w:pPr>
    </w:p>
    <w:p w14:paraId="1F297E14" w14:textId="77777777" w:rsidR="005B4584" w:rsidRDefault="005B4584">
      <w:pPr>
        <w:spacing w:line="480" w:lineRule="auto"/>
        <w:jc w:val="center"/>
        <w:rPr>
          <w:rFonts w:ascii="Garamond" w:eastAsia="Garamond" w:hAnsi="Garamond" w:cs="Garamond"/>
          <w:b/>
        </w:rPr>
      </w:pPr>
    </w:p>
    <w:p w14:paraId="49C988CA" w14:textId="77777777" w:rsidR="005B4584" w:rsidRDefault="005B4584">
      <w:pPr>
        <w:spacing w:line="480" w:lineRule="auto"/>
        <w:jc w:val="center"/>
        <w:rPr>
          <w:rFonts w:ascii="Garamond" w:eastAsia="Garamond" w:hAnsi="Garamond" w:cs="Garamond"/>
          <w:b/>
        </w:rPr>
      </w:pPr>
    </w:p>
    <w:p w14:paraId="74C07355" w14:textId="77777777" w:rsidR="005B4584" w:rsidRDefault="005B4584">
      <w:pPr>
        <w:spacing w:line="480" w:lineRule="auto"/>
        <w:jc w:val="center"/>
        <w:rPr>
          <w:rFonts w:ascii="Garamond" w:eastAsia="Garamond" w:hAnsi="Garamond" w:cs="Garamond"/>
          <w:b/>
        </w:rPr>
      </w:pPr>
    </w:p>
    <w:p w14:paraId="683E3C9D" w14:textId="77777777" w:rsidR="005B4584" w:rsidRDefault="005B4584">
      <w:pPr>
        <w:spacing w:line="480" w:lineRule="auto"/>
        <w:jc w:val="center"/>
        <w:rPr>
          <w:rFonts w:ascii="Garamond" w:eastAsia="Garamond" w:hAnsi="Garamond" w:cs="Garamond"/>
          <w:b/>
        </w:rPr>
      </w:pPr>
    </w:p>
    <w:p w14:paraId="4FFCA637" w14:textId="77777777" w:rsidR="005B4584" w:rsidRDefault="005B4584">
      <w:pPr>
        <w:spacing w:line="480" w:lineRule="auto"/>
        <w:jc w:val="center"/>
        <w:rPr>
          <w:rFonts w:ascii="Garamond" w:eastAsia="Garamond" w:hAnsi="Garamond" w:cs="Garamond"/>
          <w:b/>
        </w:rPr>
      </w:pPr>
    </w:p>
    <w:p w14:paraId="58F3BB07" w14:textId="77777777" w:rsidR="005B4584" w:rsidRDefault="005B4584">
      <w:pPr>
        <w:spacing w:line="480" w:lineRule="auto"/>
        <w:jc w:val="center"/>
        <w:rPr>
          <w:rFonts w:ascii="Garamond" w:eastAsia="Garamond" w:hAnsi="Garamond" w:cs="Garamond"/>
          <w:b/>
        </w:rPr>
      </w:pPr>
    </w:p>
    <w:p w14:paraId="7B381A49" w14:textId="77777777" w:rsidR="005B4584" w:rsidRDefault="005B4584">
      <w:pPr>
        <w:spacing w:line="480" w:lineRule="auto"/>
        <w:jc w:val="center"/>
        <w:rPr>
          <w:rFonts w:ascii="Garamond" w:eastAsia="Garamond" w:hAnsi="Garamond" w:cs="Garamond"/>
          <w:b/>
        </w:rPr>
      </w:pPr>
    </w:p>
    <w:p w14:paraId="1EA0690D" w14:textId="77777777" w:rsidR="005B4584" w:rsidRDefault="005B4584">
      <w:pPr>
        <w:spacing w:line="480" w:lineRule="auto"/>
        <w:jc w:val="center"/>
        <w:rPr>
          <w:rFonts w:ascii="Garamond" w:eastAsia="Garamond" w:hAnsi="Garamond" w:cs="Garamond"/>
          <w:b/>
        </w:rPr>
      </w:pPr>
    </w:p>
    <w:p w14:paraId="388018E5" w14:textId="77777777" w:rsidR="005B4584" w:rsidRDefault="005B4584">
      <w:pPr>
        <w:spacing w:line="480" w:lineRule="auto"/>
        <w:jc w:val="center"/>
        <w:rPr>
          <w:rFonts w:ascii="Garamond" w:eastAsia="Garamond" w:hAnsi="Garamond" w:cs="Garamond"/>
          <w:b/>
        </w:rPr>
      </w:pPr>
    </w:p>
    <w:p w14:paraId="29CA499A" w14:textId="3B232348" w:rsidR="00170563" w:rsidRPr="00157C7F" w:rsidRDefault="00663A4B">
      <w:pPr>
        <w:spacing w:line="480" w:lineRule="auto"/>
        <w:jc w:val="center"/>
        <w:rPr>
          <w:rFonts w:ascii="Garamond" w:eastAsia="Garamond" w:hAnsi="Garamond" w:cs="Garamond"/>
          <w:b/>
        </w:rPr>
      </w:pPr>
      <w:r w:rsidRPr="00157C7F">
        <w:rPr>
          <w:rFonts w:ascii="Garamond" w:eastAsia="Garamond" w:hAnsi="Garamond" w:cs="Garamond"/>
          <w:b/>
        </w:rPr>
        <w:lastRenderedPageBreak/>
        <w:t>Making Connections: Social Identification with New Treatment Groups for Lifestyle Management of Severe Obesity</w:t>
      </w:r>
    </w:p>
    <w:p w14:paraId="50766239" w14:textId="47515DCF" w:rsidR="00170563" w:rsidRPr="00157C7F" w:rsidRDefault="00663A4B">
      <w:pPr>
        <w:spacing w:line="480" w:lineRule="auto"/>
        <w:ind w:firstLine="720"/>
        <w:rPr>
          <w:rFonts w:ascii="Garamond" w:eastAsia="Garamond" w:hAnsi="Garamond" w:cs="Garamond"/>
        </w:rPr>
      </w:pPr>
      <w:r w:rsidRPr="00157C7F">
        <w:rPr>
          <w:rFonts w:ascii="Garamond" w:eastAsia="Gungsuh" w:hAnsi="Garamond" w:cs="Gungsuh"/>
        </w:rPr>
        <w:t>Compared to normal-weight populations, people with obesity (Body Mass Index (BMI) ≥ 30) report a range of physical (e.g., Type 2 diabetes, cardiovascular disease, stroke, cancer: Haslam &amp; James, 2005) and psychological (</w:t>
      </w:r>
      <w:r w:rsidR="00A42F93">
        <w:rPr>
          <w:rFonts w:ascii="Garamond" w:eastAsia="Gungsuh" w:hAnsi="Garamond" w:cs="Gungsuh"/>
        </w:rPr>
        <w:t xml:space="preserve">e.g., </w:t>
      </w:r>
      <w:r w:rsidR="002F08E4" w:rsidRPr="00157C7F">
        <w:rPr>
          <w:rFonts w:ascii="Garamond" w:eastAsia="Gungsuh" w:hAnsi="Garamond" w:cs="Gungsuh"/>
        </w:rPr>
        <w:t>anxiety</w:t>
      </w:r>
      <w:r w:rsidR="002F08E4">
        <w:rPr>
          <w:rFonts w:ascii="Garamond" w:eastAsia="Gungsuh" w:hAnsi="Garamond" w:cs="Gungsuh"/>
        </w:rPr>
        <w:t>,</w:t>
      </w:r>
      <w:r w:rsidR="002F08E4" w:rsidRPr="00157C7F">
        <w:rPr>
          <w:rFonts w:ascii="Garamond" w:eastAsia="Gungsuh" w:hAnsi="Garamond" w:cs="Gungsuh"/>
        </w:rPr>
        <w:t xml:space="preserve"> depression</w:t>
      </w:r>
      <w:r w:rsidRPr="00157C7F">
        <w:rPr>
          <w:rFonts w:ascii="Garamond" w:eastAsia="Gungsuh" w:hAnsi="Garamond" w:cs="Gungsuh"/>
        </w:rPr>
        <w:t>, low self-esteem, loneliness: Friedman et al., 2005; Kim, Oh, Yoon, Choi, &amp; Choe, 2007; Phelan et al., 2015) ill-health outcomes. Obesity is associated with an increase in all-cause mortality, even after controlling for risk factors such as smoking (</w:t>
      </w:r>
      <w:r w:rsidRPr="004F6B32">
        <w:rPr>
          <w:rFonts w:ascii="Garamond" w:eastAsia="Gungsuh" w:hAnsi="Garamond" w:cs="Gungsuh"/>
        </w:rPr>
        <w:t>Manson, 1990; Waaler, 1984). People with obesity can come to define themselves centrally in terms of their weight (</w:t>
      </w:r>
      <w:r w:rsidR="0037239A" w:rsidRPr="004F6B32">
        <w:rPr>
          <w:rFonts w:ascii="Garamond" w:eastAsia="Gungsuh" w:hAnsi="Garamond" w:cs="Gungsuh"/>
        </w:rPr>
        <w:t xml:space="preserve">Hunger, </w:t>
      </w:r>
      <w:r w:rsidRPr="004F6B32">
        <w:rPr>
          <w:rFonts w:ascii="Garamond" w:eastAsia="Gungsuh" w:hAnsi="Garamond" w:cs="Gungsuh"/>
        </w:rPr>
        <w:t>Major, Blodorn, &amp; Miller, 2015) and are often targets of discrimination and prejudicial attitudes that become internalised</w:t>
      </w:r>
      <w:r w:rsidRPr="00157C7F">
        <w:rPr>
          <w:rFonts w:ascii="Garamond" w:eastAsia="Gungsuh" w:hAnsi="Garamond" w:cs="Gungsuh"/>
        </w:rPr>
        <w:t xml:space="preserve"> and reinforce behavioural patterns contributing to the condition (Farrow &amp; Tarrant, 2009; Puhl, Moss-Racusin, &amp; Schwartz, 2007; Puhl &amp; Suh, 2015; Wang, Brownell, &amp; Wadden, 2004). The current research focused on the experiences of people with severe obesity—those with a BMI of 40 or higher—for whom the health risks are even higher (Finkelstein et al., 2012). In the US, obesity prevalence rates are predicted to increase over the next two decades by 3</w:t>
      </w:r>
      <w:r w:rsidR="009B427F">
        <w:rPr>
          <w:rFonts w:ascii="Garamond" w:eastAsia="Gungsuh" w:hAnsi="Garamond" w:cs="Gungsuh"/>
        </w:rPr>
        <w:t>4</w:t>
      </w:r>
      <w:r w:rsidRPr="00157C7F">
        <w:rPr>
          <w:rFonts w:ascii="Garamond" w:eastAsia="Gungsuh" w:hAnsi="Garamond" w:cs="Gungsuh"/>
        </w:rPr>
        <w:t>% to 42% overall, and severe obesit</w:t>
      </w:r>
      <w:r w:rsidR="001E5FC5">
        <w:rPr>
          <w:rFonts w:ascii="Garamond" w:eastAsia="Gungsuh" w:hAnsi="Garamond" w:cs="Gungsuh"/>
        </w:rPr>
        <w:t>y is expected to increase by 6</w:t>
      </w:r>
      <w:r w:rsidRPr="00157C7F">
        <w:rPr>
          <w:rFonts w:ascii="Garamond" w:eastAsia="Gungsuh" w:hAnsi="Garamond" w:cs="Gungsuh"/>
        </w:rPr>
        <w:t xml:space="preserve">% to 11% (Finkelstein et al., 2012). Comparable increases are forecast for other Western countries including the UK (NCD Risk Factor Collaboration, 2016). </w:t>
      </w:r>
    </w:p>
    <w:p w14:paraId="68A31745" w14:textId="4D8F9E9A" w:rsidR="00170563" w:rsidRPr="00157C7F" w:rsidRDefault="00663A4B">
      <w:pPr>
        <w:spacing w:line="480" w:lineRule="auto"/>
        <w:ind w:firstLine="720"/>
        <w:rPr>
          <w:rFonts w:ascii="Garamond" w:eastAsia="Garamond" w:hAnsi="Garamond" w:cs="Garamond"/>
        </w:rPr>
      </w:pPr>
      <w:r w:rsidRPr="00157C7F">
        <w:rPr>
          <w:rFonts w:ascii="Garamond" w:eastAsia="Garamond" w:hAnsi="Garamond" w:cs="Garamond"/>
        </w:rPr>
        <w:t xml:space="preserve">The study reported here reflected a rapidly growing interest in the potential health benefits of group-based interventions (and mechanisms within these: see Borek et al., 2018), and more broadly the documented links between social group membership and health (Haslam, Jetten, Cruwys, Dingle, &amp; Haslam, 2018; Jetten, Haslam, Haslam, &amp; Branscombe, 2009; Jetten, Haslam, &amp; Haslam, 2012; Khan et al., 2014, 2015). Replicated across different types of research designs (e.g., cross-sectional, longitudinal, experimental), social identification has been shown to be associated with improved health and wellbeing in a variety of group settings, including residential care (Gleibs et al., 2011), support groups for chronic conditions (e.g.,  Parkinson’s disease, multiple sclerosis; Abell, Baird, &amp; Chalmers, 2017; Wakefield, Bickley, </w:t>
      </w:r>
      <w:r w:rsidR="00A42F93">
        <w:rPr>
          <w:rFonts w:ascii="Garamond" w:eastAsia="Garamond" w:hAnsi="Garamond" w:cs="Garamond"/>
        </w:rPr>
        <w:t xml:space="preserve">&amp; </w:t>
      </w:r>
      <w:r w:rsidRPr="00157C7F">
        <w:rPr>
          <w:rFonts w:ascii="Garamond" w:eastAsia="Garamond" w:hAnsi="Garamond" w:cs="Garamond"/>
        </w:rPr>
        <w:t xml:space="preserve">Sani, 2013), and in groups for people </w:t>
      </w:r>
      <w:r w:rsidRPr="00157C7F">
        <w:rPr>
          <w:rFonts w:ascii="Garamond" w:eastAsia="Garamond" w:hAnsi="Garamond" w:cs="Garamond"/>
        </w:rPr>
        <w:lastRenderedPageBreak/>
        <w:t>experiencing symptoms of social isolation and affective disturbance (Haslam, Cruwys, Haslam, Dingle</w:t>
      </w:r>
      <w:r w:rsidR="00A42F93">
        <w:rPr>
          <w:rFonts w:ascii="Garamond" w:eastAsia="Garamond" w:hAnsi="Garamond" w:cs="Garamond"/>
        </w:rPr>
        <w:t>,</w:t>
      </w:r>
      <w:r w:rsidRPr="00157C7F">
        <w:rPr>
          <w:rFonts w:ascii="Garamond" w:eastAsia="Garamond" w:hAnsi="Garamond" w:cs="Garamond"/>
        </w:rPr>
        <w:t xml:space="preserve"> &amp; Chang, 2016). The psychological connections that shape social identification have also been found to positively influence wound healing (Robinson et al., 2017). </w:t>
      </w:r>
    </w:p>
    <w:p w14:paraId="53C0A7DA" w14:textId="77777777" w:rsidR="00170563" w:rsidRPr="00157C7F" w:rsidRDefault="00663A4B">
      <w:pPr>
        <w:spacing w:line="480" w:lineRule="auto"/>
        <w:ind w:firstLine="720"/>
        <w:rPr>
          <w:rFonts w:ascii="Garamond" w:eastAsia="Garamond" w:hAnsi="Garamond" w:cs="Garamond"/>
        </w:rPr>
      </w:pPr>
      <w:r w:rsidRPr="00157C7F">
        <w:rPr>
          <w:rFonts w:ascii="Garamond" w:eastAsia="Garamond" w:hAnsi="Garamond" w:cs="Garamond"/>
        </w:rPr>
        <w:t xml:space="preserve">Social group membership can thus be experienced as a supportive and empowering motivator of behaviours that promote (or undermine) physical and psychological health (e.g., Cameron et al., 2018; Ford, Scholz, &amp; Lu, 2015; Greenaway, Haslam, Cruwys, Branscombe, &amp; Ysseldyk, 2015; Walker, Longmire-Avital, &amp; Golub, 2015)—including behaviours that contribute to obesity (Cruwys, Platow, Rieger, Byrne, &amp; Haslam, 2016; Higgs, 2015; Oyserman, Fryberg, &amp; Yoder, 2007; Robinson, Fleming, &amp; Higgs, 2014). For example, Cruwys et al.’s (2016) Situated Identity Enactment Model (SIE) of eating behaviour highlights the important role of identity-based norms that structure group members’ health decision making in specific contexts. Similarly, Oyserman et al. (2007) demonstrated that for members of racial-ethnic minority groups in the US, health promotion behaviours such as eating nutritious food and exercising were </w:t>
      </w:r>
      <w:r w:rsidRPr="00157C7F">
        <w:rPr>
          <w:rFonts w:ascii="Garamond" w:eastAsia="Garamond" w:hAnsi="Garamond" w:cs="Garamond"/>
          <w:i/>
        </w:rPr>
        <w:t>not</w:t>
      </w:r>
      <w:r w:rsidRPr="00157C7F">
        <w:rPr>
          <w:rFonts w:ascii="Garamond" w:eastAsia="Garamond" w:hAnsi="Garamond" w:cs="Garamond"/>
        </w:rPr>
        <w:t xml:space="preserve"> regarded as ingroup defining, but instead were seen as behaviours normatively associated with White middle-class groups. Priming racial-ethnic identity increased participants’ sense of fatalism about their own health. </w:t>
      </w:r>
    </w:p>
    <w:p w14:paraId="20F444B7" w14:textId="7CF23ACD" w:rsidR="00170563" w:rsidRPr="00157C7F" w:rsidRDefault="00663A4B">
      <w:pPr>
        <w:spacing w:line="480" w:lineRule="auto"/>
        <w:ind w:firstLine="720"/>
        <w:rPr>
          <w:rFonts w:ascii="Garamond" w:eastAsia="Garamond" w:hAnsi="Garamond" w:cs="Garamond"/>
        </w:rPr>
      </w:pPr>
      <w:r w:rsidRPr="00157C7F">
        <w:rPr>
          <w:rFonts w:ascii="Garamond" w:eastAsia="Gungsuh" w:hAnsi="Garamond" w:cs="Gungsuh"/>
        </w:rPr>
        <w:t>Such findings may have implications for the design of weight loss programmes for obesity. Weight loss programmes, both for people at lower levels of obesity/overweight, and for those who have severe obesity, share a common focus on targeting change to lifestyle behaviours that contribute to weight gain. These programmes are often delivered in group settings (see Farrow, Tarrant, &amp; Khan, 2017), reflecting a wider (international) trend in the management of chronic health conditions (Booth, Cantrell, Preston, Chambers, &amp; Goyder, 2015; Greaves &amp; Campbell, 2007). For example, commercial weight loss programmes typically utilise group settings to support members to change lifestyle behaviours and promote normative contexts in which members can share information about healthy eating, exercise</w:t>
      </w:r>
      <w:r w:rsidR="00A42F93">
        <w:rPr>
          <w:rFonts w:ascii="Garamond" w:eastAsia="Gungsuh" w:hAnsi="Garamond" w:cs="Gungsuh"/>
        </w:rPr>
        <w:t>,</w:t>
      </w:r>
      <w:r w:rsidRPr="00157C7F">
        <w:rPr>
          <w:rFonts w:ascii="Garamond" w:eastAsia="Gungsuh" w:hAnsi="Garamond" w:cs="Gungsuh"/>
        </w:rPr>
        <w:t xml:space="preserve"> and diet (e.g., Madigan, Daley, Lewis, Jolly, &amp; Aveyward, 2014). Treatment groups for people with severe obesity, while often delivered in clinical settings, are similarly organised around the delivery of lifestyle</w:t>
      </w:r>
      <w:r w:rsidRPr="00157C7F">
        <w:rPr>
          <w:rFonts w:ascii="Gungsuh" w:eastAsia="Gungsuh" w:hAnsi="Gungsuh" w:cs="Gungsuh"/>
        </w:rPr>
        <w:t xml:space="preserve"> </w:t>
      </w:r>
      <w:r w:rsidRPr="00157C7F">
        <w:rPr>
          <w:rFonts w:ascii="Garamond" w:eastAsia="Gungsuh" w:hAnsi="Garamond" w:cs="Gungsuh"/>
        </w:rPr>
        <w:t xml:space="preserve">modification programmes comprising dietetic and </w:t>
      </w:r>
      <w:r w:rsidRPr="00157C7F">
        <w:rPr>
          <w:rFonts w:ascii="Garamond" w:eastAsia="Gungsuh" w:hAnsi="Garamond" w:cs="Gungsuh"/>
        </w:rPr>
        <w:lastRenderedPageBreak/>
        <w:t>physical activity education, advice</w:t>
      </w:r>
      <w:r w:rsidR="00A42F93">
        <w:rPr>
          <w:rFonts w:ascii="Garamond" w:eastAsia="Gungsuh" w:hAnsi="Garamond" w:cs="Gungsuh"/>
        </w:rPr>
        <w:t>,</w:t>
      </w:r>
      <w:r w:rsidRPr="00157C7F">
        <w:rPr>
          <w:rFonts w:ascii="Garamond" w:eastAsia="Gungsuh" w:hAnsi="Garamond" w:cs="Gungsuh"/>
        </w:rPr>
        <w:t xml:space="preserve"> and social support (Dietz et al., 2015; NICE, 2014). Recent evidence indicates some support for effectiveness of group-based behavioural interventions for overweight and obesity (BMI ≥ 25: Borek et al., 2018), although there is considerable variability in treatment approaches (Martin, Smith, Mason, &amp; Butt, 2012), and poor reporting of group-based health interventions has generally been noted (Borek, Abraham, Smith, Greaves, &amp; Tarrant, 2015; Hoddinott, Allan, Avenell</w:t>
      </w:r>
      <w:r w:rsidR="00A42F93">
        <w:rPr>
          <w:rFonts w:ascii="Garamond" w:eastAsia="Gungsuh" w:hAnsi="Garamond" w:cs="Gungsuh"/>
        </w:rPr>
        <w:t>,</w:t>
      </w:r>
      <w:r w:rsidRPr="00157C7F">
        <w:rPr>
          <w:rFonts w:ascii="Garamond" w:eastAsia="Gungsuh" w:hAnsi="Garamond" w:cs="Gungsuh"/>
        </w:rPr>
        <w:t xml:space="preserve"> &amp; Britten, 2010). </w:t>
      </w:r>
    </w:p>
    <w:p w14:paraId="55FCF73F" w14:textId="20023DB5" w:rsidR="00170563" w:rsidRPr="00157C7F" w:rsidRDefault="00663A4B">
      <w:pPr>
        <w:spacing w:line="480" w:lineRule="auto"/>
        <w:ind w:firstLine="720"/>
        <w:rPr>
          <w:rFonts w:ascii="Garamond" w:eastAsia="Garamond" w:hAnsi="Garamond" w:cs="Garamond"/>
          <w:b/>
        </w:rPr>
      </w:pPr>
      <w:r w:rsidRPr="00157C7F">
        <w:rPr>
          <w:rFonts w:ascii="Garamond" w:eastAsia="Garamond" w:hAnsi="Garamond" w:cs="Garamond"/>
        </w:rPr>
        <w:t>However, two recent studies highlight the potential health benefits of developing a positive social identity within treatment groups for obesity, and the benefits more generally of the theoretical framework provided by the social identity approach to health (Jetten et al., 2011). Tarrant</w:t>
      </w:r>
      <w:r w:rsidR="000033FD">
        <w:rPr>
          <w:rFonts w:ascii="Garamond" w:eastAsia="Garamond" w:hAnsi="Garamond" w:cs="Garamond"/>
        </w:rPr>
        <w:t xml:space="preserve"> et al.</w:t>
      </w:r>
      <w:r w:rsidRPr="00157C7F">
        <w:rPr>
          <w:rFonts w:ascii="Garamond" w:eastAsia="Garamond" w:hAnsi="Garamond" w:cs="Garamond"/>
        </w:rPr>
        <w:t xml:space="preserve"> (2017) conducted an interview study with patients enrolled on a group programme for severe obesity. Findings showed that establishing shared social identity with others in the treatment group structured patients’ engagement with programme materials and was regarded by them as fundamental to experiences of social support and group functioning, including progression through the programme. Although not specifically focused on social identity mechanisms, Nackers et al. (2015) found that conflict within treatment groups (which could indicate low levels of social identification) was associated with lower weight loss and patient adherence, and greater attrition from a weight management programme for obesity, compared to groups not in conflict. </w:t>
      </w:r>
    </w:p>
    <w:p w14:paraId="64A612C3" w14:textId="58A3EB78" w:rsidR="00170563" w:rsidRPr="00157C7F" w:rsidRDefault="00663A4B">
      <w:pPr>
        <w:spacing w:line="480" w:lineRule="auto"/>
        <w:ind w:firstLine="720"/>
        <w:rPr>
          <w:rFonts w:ascii="Garamond" w:eastAsia="Garamond" w:hAnsi="Garamond" w:cs="Garamond"/>
        </w:rPr>
      </w:pPr>
      <w:r w:rsidRPr="00157C7F">
        <w:rPr>
          <w:rFonts w:ascii="Garamond" w:eastAsia="Garamond" w:hAnsi="Garamond" w:cs="Garamond"/>
        </w:rPr>
        <w:t>Such evidence makes clear that the social identity that emerges in obesity treatment settings can motivate patients’ engagement with programme materials and have positive implications for health. However, this potential of group-based programmes for obesity to actively shape the social identities of individuals enrolled on them has not been considered in the design or delivery of interventions—a feature that may help explain the observed variability in treatment effectiveness (Borek et al., 201</w:t>
      </w:r>
      <w:r w:rsidR="004C24B9" w:rsidRPr="00157C7F">
        <w:rPr>
          <w:rFonts w:ascii="Garamond" w:eastAsia="Garamond" w:hAnsi="Garamond" w:cs="Garamond"/>
        </w:rPr>
        <w:t>9</w:t>
      </w:r>
      <w:r w:rsidRPr="00157C7F">
        <w:rPr>
          <w:rFonts w:ascii="Garamond" w:eastAsia="Garamond" w:hAnsi="Garamond" w:cs="Garamond"/>
        </w:rPr>
        <w:t xml:space="preserve">). In other words, despite considerable insights into the links between social group membership, social identity, and health outcomes, actually very little is known about the factors that contribute to the </w:t>
      </w:r>
      <w:r w:rsidRPr="00157C7F">
        <w:rPr>
          <w:rFonts w:ascii="Garamond" w:eastAsia="Garamond" w:hAnsi="Garamond" w:cs="Garamond"/>
          <w:i/>
        </w:rPr>
        <w:t>establishment</w:t>
      </w:r>
      <w:r w:rsidRPr="00157C7F">
        <w:rPr>
          <w:rFonts w:ascii="Garamond" w:eastAsia="Garamond" w:hAnsi="Garamond" w:cs="Garamond"/>
        </w:rPr>
        <w:t xml:space="preserve"> of new social identities in treatment settings—that is, how patients </w:t>
      </w:r>
      <w:r w:rsidRPr="00157C7F">
        <w:rPr>
          <w:rFonts w:ascii="Garamond" w:eastAsia="Garamond" w:hAnsi="Garamond" w:cs="Garamond"/>
        </w:rPr>
        <w:lastRenderedPageBreak/>
        <w:t>come to form psychological connections with each other in new treatment groups. The current study focused on this gap.</w:t>
      </w:r>
    </w:p>
    <w:p w14:paraId="522AABBD" w14:textId="77777777" w:rsidR="00170563" w:rsidRPr="00157C7F" w:rsidRDefault="00663A4B">
      <w:pPr>
        <w:spacing w:line="480" w:lineRule="auto"/>
        <w:ind w:firstLine="720"/>
        <w:rPr>
          <w:rFonts w:ascii="Garamond" w:eastAsia="Garamond" w:hAnsi="Garamond" w:cs="Garamond"/>
        </w:rPr>
      </w:pPr>
      <w:r w:rsidRPr="00157C7F">
        <w:rPr>
          <w:rFonts w:ascii="Garamond" w:eastAsia="Garamond" w:hAnsi="Garamond" w:cs="Garamond"/>
        </w:rPr>
        <w:t>We investigated factors that may shape patients’ sense of social identity as members</w:t>
      </w:r>
      <w:r w:rsidRPr="00157C7F">
        <w:rPr>
          <w:rFonts w:ascii="Garamond" w:eastAsia="Garamond" w:hAnsi="Garamond" w:cs="Garamond"/>
          <w:i/>
        </w:rPr>
        <w:t xml:space="preserve"> </w:t>
      </w:r>
      <w:r w:rsidRPr="00157C7F">
        <w:rPr>
          <w:rFonts w:ascii="Garamond" w:eastAsia="Garamond" w:hAnsi="Garamond" w:cs="Garamond"/>
        </w:rPr>
        <w:t xml:space="preserve">of a new treatment group for the lifestyle management of severe obesity. Like services for other chronic conditions, new patients on a group programme for the treatment of severe obesity are unlikely to be familiar with other group members and their identification with the group is likely to be low initially (see Tarrant et al., 2016). Some patients may develop psychological connections with other members with little active facilitation across a group treatment programme but, for others, connections may not emerge—a situation that could undermine health outcomes (e.g., Nackers et al., 2015). Indeed, evidence indicates </w:t>
      </w:r>
      <w:r w:rsidRPr="00157C7F">
        <w:rPr>
          <w:rFonts w:ascii="Garamond" w:eastAsia="Garamond" w:hAnsi="Garamond" w:cs="Garamond"/>
          <w:i/>
        </w:rPr>
        <w:t>variability</w:t>
      </w:r>
      <w:r w:rsidRPr="00157C7F">
        <w:rPr>
          <w:rFonts w:ascii="Garamond" w:eastAsia="Garamond" w:hAnsi="Garamond" w:cs="Garamond"/>
        </w:rPr>
        <w:t xml:space="preserve"> in group members’ levels of social identification with obesity treatment groups (Tarrant et al., 2017). Given the observed relationship between social identification and health (see Haslam et al., 2018), it seems clear that the full health potential of treatment groups will best be realised when as many group members as possible can be supported to socially identify with the group. Understanding factors associated with patients’ emerging social identity is therefore important and may offer insights into what facilitators of treatment groups (both for severe obesity and other health conditions) may attend to in this regard. The development of care guidelines for practitioners delivering obesity care is acknowledged as a necessary part of the global response to severe obesity (Dietz et al., 2015; Roberto et al., 2015). The current study aims to inform this long-term endeavour.</w:t>
      </w:r>
    </w:p>
    <w:p w14:paraId="735AEDB4" w14:textId="01EBDAE5" w:rsidR="004E6E69" w:rsidRDefault="000C60EB" w:rsidP="00D013E9">
      <w:pPr>
        <w:spacing w:line="480" w:lineRule="auto"/>
        <w:ind w:firstLine="720"/>
        <w:rPr>
          <w:rFonts w:ascii="Garamond" w:eastAsiaTheme="minorHAnsi" w:hAnsi="Garamond" w:cstheme="minorBidi"/>
          <w:lang w:val="en-US" w:eastAsia="en-US"/>
        </w:rPr>
      </w:pPr>
      <w:r w:rsidRPr="000C60EB">
        <w:rPr>
          <w:rFonts w:ascii="Garamond" w:eastAsiaTheme="minorHAnsi" w:hAnsi="Garamond" w:cstheme="minorBidi"/>
          <w:lang w:val="en-US" w:eastAsia="en-US"/>
        </w:rPr>
        <w:t xml:space="preserve">Several mechanisms have recently been proposed as potentially important to consider in the design of group-based health interventions (e.g., Borek et al., 2018). The </w:t>
      </w:r>
      <w:r w:rsidRPr="000C60EB">
        <w:rPr>
          <w:rFonts w:ascii="Garamond" w:eastAsiaTheme="minorHAnsi" w:hAnsi="Garamond" w:cstheme="minorBidi"/>
          <w:lang w:eastAsia="en-US"/>
        </w:rPr>
        <w:t>mechanisms of action in group-based interventions (MAGI) framework (Borek et al., 2018) describes several mechanisms which may impact on group processes (and social identity). S</w:t>
      </w:r>
      <w:r w:rsidRPr="000C60EB">
        <w:rPr>
          <w:rFonts w:ascii="Garamond" w:eastAsiaTheme="minorHAnsi" w:hAnsi="Garamond" w:cstheme="minorBidi"/>
          <w:lang w:val="en-US" w:eastAsia="en-US"/>
        </w:rPr>
        <w:t xml:space="preserve">ome of these mechanisms relate to the structural features of the group programme (e.g., programme content and delivery techniques) and others relate to the individual characteristics and experiences that group members bring with them to the group and which may structure their engagement and progression through a programme. </w:t>
      </w:r>
      <w:r w:rsidRPr="000C60EB">
        <w:rPr>
          <w:rFonts w:ascii="Garamond" w:eastAsiaTheme="minorHAnsi" w:hAnsi="Garamond" w:cstheme="minorBidi"/>
          <w:lang w:val="en-US" w:eastAsia="en-US"/>
        </w:rPr>
        <w:lastRenderedPageBreak/>
        <w:t xml:space="preserve">However, it is not yet known which such variables, if any, may structure group members’ emerging identification with the treatment group—either in the treatment of obesity or other chronic health conditions. </w:t>
      </w:r>
    </w:p>
    <w:p w14:paraId="00798FDE" w14:textId="417DECF2" w:rsidR="00A06CC6" w:rsidRDefault="004E6E69" w:rsidP="00A40BD2">
      <w:pPr>
        <w:spacing w:line="480" w:lineRule="auto"/>
        <w:ind w:firstLine="720"/>
        <w:rPr>
          <w:rFonts w:ascii="Garamond" w:hAnsi="Garamond"/>
        </w:rPr>
      </w:pPr>
      <w:r w:rsidRPr="000C60EB">
        <w:rPr>
          <w:rFonts w:ascii="Garamond" w:eastAsiaTheme="minorHAnsi" w:hAnsi="Garamond" w:cstheme="minorBidi"/>
          <w:lang w:eastAsia="en-US"/>
        </w:rPr>
        <w:t>As a first step towards addressing this issue, the current study administered a cross-sectional survey to patients enrolled on an obesity group programme in the UK</w:t>
      </w:r>
      <w:r w:rsidR="00C43DDC">
        <w:rPr>
          <w:rFonts w:ascii="Garamond" w:eastAsiaTheme="minorHAnsi" w:hAnsi="Garamond" w:cstheme="minorBidi"/>
          <w:lang w:eastAsia="en-US"/>
        </w:rPr>
        <w:t xml:space="preserve"> to explore </w:t>
      </w:r>
      <w:r w:rsidR="00822828">
        <w:rPr>
          <w:rFonts w:ascii="Garamond" w:eastAsiaTheme="minorHAnsi" w:hAnsi="Garamond" w:cstheme="minorBidi"/>
          <w:lang w:eastAsia="en-US"/>
        </w:rPr>
        <w:t xml:space="preserve">selected </w:t>
      </w:r>
      <w:r w:rsidR="00C43DDC">
        <w:rPr>
          <w:rFonts w:ascii="Garamond" w:eastAsiaTheme="minorHAnsi" w:hAnsi="Garamond" w:cstheme="minorBidi"/>
          <w:lang w:eastAsia="en-US"/>
        </w:rPr>
        <w:t>mechanisms identified by the MAGI framework</w:t>
      </w:r>
      <w:r w:rsidRPr="000C60EB">
        <w:rPr>
          <w:rFonts w:ascii="Garamond" w:eastAsiaTheme="minorHAnsi" w:hAnsi="Garamond" w:cstheme="minorBidi"/>
          <w:lang w:eastAsia="en-US"/>
        </w:rPr>
        <w:t xml:space="preserve">. </w:t>
      </w:r>
      <w:r>
        <w:rPr>
          <w:rFonts w:ascii="Garamond" w:eastAsiaTheme="minorHAnsi" w:hAnsi="Garamond" w:cstheme="minorBidi"/>
          <w:lang w:eastAsia="en-US"/>
        </w:rPr>
        <w:t xml:space="preserve"> </w:t>
      </w:r>
      <w:r w:rsidR="00C43DDC">
        <w:rPr>
          <w:rFonts w:ascii="Garamond" w:eastAsiaTheme="minorHAnsi" w:hAnsi="Garamond" w:cstheme="minorBidi"/>
          <w:lang w:eastAsia="en-US"/>
        </w:rPr>
        <w:t>Other than</w:t>
      </w:r>
      <w:r>
        <w:rPr>
          <w:rFonts w:ascii="Garamond" w:eastAsiaTheme="minorHAnsi" w:hAnsi="Garamond" w:cstheme="minorBidi"/>
          <w:lang w:val="en-US" w:eastAsia="en-US"/>
        </w:rPr>
        <w:t xml:space="preserve"> assessing patient (e.g., BMI) and group (e.g., continuity</w:t>
      </w:r>
      <w:r w:rsidRPr="000C60EB">
        <w:rPr>
          <w:rFonts w:ascii="Garamond" w:eastAsiaTheme="minorHAnsi" w:hAnsi="Garamond" w:cstheme="minorBidi"/>
          <w:lang w:eastAsia="en-US"/>
        </w:rPr>
        <w:t xml:space="preserve"> of group membership, attendance frequency</w:t>
      </w:r>
      <w:r>
        <w:rPr>
          <w:rFonts w:ascii="Garamond" w:eastAsiaTheme="minorHAnsi" w:hAnsi="Garamond" w:cstheme="minorBidi"/>
          <w:lang w:eastAsia="en-US"/>
        </w:rPr>
        <w:t>)</w:t>
      </w:r>
      <w:r>
        <w:rPr>
          <w:rFonts w:ascii="Garamond" w:eastAsiaTheme="minorHAnsi" w:hAnsi="Garamond" w:cstheme="minorBidi"/>
          <w:lang w:val="en-US" w:eastAsia="en-US"/>
        </w:rPr>
        <w:t xml:space="preserve"> demographics, the study </w:t>
      </w:r>
      <w:r w:rsidR="00822828">
        <w:rPr>
          <w:rFonts w:ascii="Garamond" w:eastAsiaTheme="minorHAnsi" w:hAnsi="Garamond" w:cstheme="minorBidi"/>
          <w:lang w:val="en-US" w:eastAsia="en-US"/>
        </w:rPr>
        <w:t xml:space="preserve">assessed psychosocial variables that primarily explored the </w:t>
      </w:r>
      <w:r w:rsidRPr="00D013E9">
        <w:rPr>
          <w:rFonts w:ascii="Garamond" w:eastAsiaTheme="minorHAnsi" w:hAnsi="Garamond" w:cstheme="minorBidi"/>
          <w:lang w:val="en-US" w:eastAsia="en-US"/>
        </w:rPr>
        <w:t>interaction between social relational experiences outside the obesity service and treatment gr</w:t>
      </w:r>
      <w:r>
        <w:rPr>
          <w:rFonts w:ascii="Garamond" w:eastAsiaTheme="minorHAnsi" w:hAnsi="Garamond" w:cstheme="minorBidi"/>
          <w:lang w:val="en-US" w:eastAsia="en-US"/>
        </w:rPr>
        <w:t xml:space="preserve">oup identification, </w:t>
      </w:r>
      <w:r w:rsidR="00C43DDC">
        <w:rPr>
          <w:rFonts w:ascii="Garamond" w:eastAsiaTheme="minorHAnsi" w:hAnsi="Garamond" w:cstheme="minorBidi"/>
          <w:lang w:val="en-US" w:eastAsia="en-US"/>
        </w:rPr>
        <w:t>including social support, multiple group membership, centrality of weight status, and experiences of weight based discrimination</w:t>
      </w:r>
      <w:r w:rsidR="00822828">
        <w:rPr>
          <w:rFonts w:ascii="Garamond" w:eastAsiaTheme="minorHAnsi" w:hAnsi="Garamond" w:cstheme="minorBidi"/>
          <w:lang w:val="en-US" w:eastAsia="en-US"/>
        </w:rPr>
        <w:t>.</w:t>
      </w:r>
      <w:r w:rsidR="00C43DDC">
        <w:rPr>
          <w:rFonts w:ascii="Garamond" w:eastAsiaTheme="minorHAnsi" w:hAnsi="Garamond" w:cstheme="minorBidi"/>
          <w:lang w:val="en-US" w:eastAsia="en-US"/>
        </w:rPr>
        <w:t xml:space="preserve"> </w:t>
      </w:r>
      <w:r w:rsidR="00E537F1">
        <w:rPr>
          <w:rFonts w:ascii="Garamond" w:eastAsiaTheme="minorHAnsi" w:hAnsi="Garamond" w:cstheme="minorBidi"/>
          <w:lang w:eastAsia="en-US"/>
        </w:rPr>
        <w:t xml:space="preserve">Social support may, on </w:t>
      </w:r>
      <w:r w:rsidR="000219B9">
        <w:rPr>
          <w:rFonts w:ascii="Garamond" w:eastAsiaTheme="minorHAnsi" w:hAnsi="Garamond" w:cstheme="minorBidi"/>
          <w:lang w:eastAsia="en-US"/>
        </w:rPr>
        <w:t>the one hand,</w:t>
      </w:r>
      <w:r w:rsidR="00822828">
        <w:rPr>
          <w:rFonts w:ascii="Garamond" w:eastAsiaTheme="minorHAnsi" w:hAnsi="Garamond" w:cstheme="minorBidi"/>
          <w:lang w:eastAsia="en-US"/>
        </w:rPr>
        <w:t xml:space="preserve"> </w:t>
      </w:r>
      <w:r w:rsidR="00822828" w:rsidRPr="004E6E69">
        <w:rPr>
          <w:rFonts w:ascii="Garamond" w:eastAsiaTheme="minorHAnsi" w:hAnsi="Garamond" w:cstheme="minorBidi"/>
          <w:lang w:eastAsia="en-US"/>
        </w:rPr>
        <w:t>serve to help patients to engage with the obesity treatment group and adopt the lifestyle changes that</w:t>
      </w:r>
      <w:r w:rsidR="000219B9">
        <w:rPr>
          <w:rFonts w:ascii="Garamond" w:eastAsiaTheme="minorHAnsi" w:hAnsi="Garamond" w:cstheme="minorBidi"/>
          <w:lang w:eastAsia="en-US"/>
        </w:rPr>
        <w:t xml:space="preserve"> it prescribes for weight loss. </w:t>
      </w:r>
      <w:r w:rsidR="00A40BD2" w:rsidRPr="00157C7F">
        <w:rPr>
          <w:rFonts w:ascii="Garamond" w:hAnsi="Garamond"/>
        </w:rPr>
        <w:t xml:space="preserve">On the other hand, unhealthy lifestyle choices are known to be embedded within social relations and identities even if </w:t>
      </w:r>
      <w:r w:rsidR="00A40BD2" w:rsidRPr="004F6B32">
        <w:rPr>
          <w:rFonts w:ascii="Garamond" w:hAnsi="Garamond"/>
        </w:rPr>
        <w:t>otherwise supportive (Oyserman, Fryberg, &amp; Yoder, 2007; Tarrant &amp; Butler, 2011),</w:t>
      </w:r>
      <w:r w:rsidR="00A40BD2" w:rsidRPr="00157C7F">
        <w:rPr>
          <w:rFonts w:ascii="Garamond" w:hAnsi="Garamond"/>
        </w:rPr>
        <w:t xml:space="preserve"> and may therefore undermine lifestyle changes promoted in the treatment group. </w:t>
      </w:r>
      <w:r w:rsidR="000219B9">
        <w:rPr>
          <w:rFonts w:ascii="Garamond" w:eastAsiaTheme="minorHAnsi" w:hAnsi="Garamond" w:cstheme="minorBidi"/>
          <w:lang w:eastAsia="en-US"/>
        </w:rPr>
        <w:t xml:space="preserve">Multiple group membership </w:t>
      </w:r>
      <w:r w:rsidR="00A06CC6">
        <w:rPr>
          <w:rFonts w:ascii="Garamond" w:eastAsiaTheme="minorHAnsi" w:hAnsi="Garamond" w:cstheme="minorBidi"/>
          <w:lang w:eastAsia="en-US"/>
        </w:rPr>
        <w:t>(</w:t>
      </w:r>
      <w:r w:rsidR="00A06CC6" w:rsidRPr="00F15490">
        <w:rPr>
          <w:rFonts w:ascii="Garamond" w:hAnsi="Garamond"/>
        </w:rPr>
        <w:t>Haslam</w:t>
      </w:r>
      <w:r w:rsidR="00A06CC6">
        <w:rPr>
          <w:rFonts w:ascii="Garamond" w:hAnsi="Garamond"/>
        </w:rPr>
        <w:t xml:space="preserve"> et al. (</w:t>
      </w:r>
      <w:r w:rsidR="00A06CC6" w:rsidRPr="00F15490">
        <w:rPr>
          <w:rFonts w:ascii="Garamond" w:hAnsi="Garamond"/>
        </w:rPr>
        <w:t>2008</w:t>
      </w:r>
      <w:r w:rsidR="00A06CC6">
        <w:rPr>
          <w:rFonts w:ascii="Garamond" w:hAnsi="Garamond"/>
        </w:rPr>
        <w:t xml:space="preserve">) </w:t>
      </w:r>
      <w:r w:rsidR="000219B9">
        <w:rPr>
          <w:rFonts w:ascii="Garamond" w:eastAsiaTheme="minorHAnsi" w:hAnsi="Garamond" w:cstheme="minorBidi"/>
          <w:lang w:eastAsia="en-US"/>
        </w:rPr>
        <w:t xml:space="preserve">presents </w:t>
      </w:r>
      <w:r w:rsidR="00A06CC6">
        <w:rPr>
          <w:rFonts w:ascii="Garamond" w:eastAsiaTheme="minorHAnsi" w:hAnsi="Garamond" w:cstheme="minorBidi"/>
          <w:lang w:eastAsia="en-US"/>
        </w:rPr>
        <w:t>another</w:t>
      </w:r>
      <w:r w:rsidR="000219B9">
        <w:rPr>
          <w:rFonts w:ascii="Garamond" w:eastAsiaTheme="minorHAnsi" w:hAnsi="Garamond" w:cstheme="minorBidi"/>
          <w:lang w:eastAsia="en-US"/>
        </w:rPr>
        <w:t xml:space="preserve"> </w:t>
      </w:r>
      <w:r w:rsidR="00E537F1">
        <w:rPr>
          <w:rFonts w:ascii="Garamond" w:eastAsiaTheme="minorHAnsi" w:hAnsi="Garamond" w:cstheme="minorBidi"/>
          <w:lang w:eastAsia="en-US"/>
        </w:rPr>
        <w:t>potential</w:t>
      </w:r>
      <w:r w:rsidR="00A06CC6">
        <w:rPr>
          <w:rFonts w:ascii="Garamond" w:eastAsiaTheme="minorHAnsi" w:hAnsi="Garamond" w:cstheme="minorBidi"/>
          <w:lang w:eastAsia="en-US"/>
        </w:rPr>
        <w:t xml:space="preserve"> </w:t>
      </w:r>
      <w:r w:rsidR="000219B9">
        <w:rPr>
          <w:rFonts w:ascii="Garamond" w:eastAsiaTheme="minorHAnsi" w:hAnsi="Garamond" w:cstheme="minorBidi"/>
          <w:lang w:eastAsia="en-US"/>
        </w:rPr>
        <w:t xml:space="preserve">paradox. </w:t>
      </w:r>
      <w:r w:rsidR="000219B9" w:rsidRPr="00822828">
        <w:rPr>
          <w:rFonts w:ascii="Garamond" w:eastAsiaTheme="minorHAnsi" w:hAnsi="Garamond" w:cstheme="minorBidi"/>
          <w:lang w:eastAsia="en-US"/>
        </w:rPr>
        <w:t xml:space="preserve">Patients who belong to, participate in, and identify with </w:t>
      </w:r>
      <w:r w:rsidR="000219B9" w:rsidRPr="000219B9">
        <w:rPr>
          <w:rFonts w:ascii="Garamond" w:eastAsiaTheme="minorHAnsi" w:hAnsi="Garamond" w:cstheme="minorBidi"/>
          <w:lang w:eastAsia="en-US"/>
        </w:rPr>
        <w:t>multiple groups may also be more likely to identify more strongly with new groups to which they find themselves belonging –</w:t>
      </w:r>
      <w:r w:rsidR="002C03A4">
        <w:rPr>
          <w:rFonts w:ascii="Garamond" w:eastAsiaTheme="minorHAnsi" w:hAnsi="Garamond" w:cstheme="minorBidi"/>
          <w:lang w:eastAsia="en-US"/>
        </w:rPr>
        <w:t xml:space="preserve"> in the current study</w:t>
      </w:r>
      <w:r w:rsidR="000219B9" w:rsidRPr="000219B9">
        <w:rPr>
          <w:rFonts w:ascii="Garamond" w:eastAsiaTheme="minorHAnsi" w:hAnsi="Garamond" w:cstheme="minorBidi"/>
          <w:lang w:eastAsia="en-US"/>
        </w:rPr>
        <w:t xml:space="preserve">, the obesity treatment group. </w:t>
      </w:r>
      <w:r w:rsidR="00A40BD2">
        <w:rPr>
          <w:rFonts w:ascii="Garamond" w:eastAsiaTheme="minorHAnsi" w:hAnsi="Garamond" w:cstheme="minorBidi"/>
          <w:lang w:eastAsia="en-US"/>
        </w:rPr>
        <w:t xml:space="preserve">However, </w:t>
      </w:r>
      <w:r w:rsidR="000219B9" w:rsidRPr="000219B9">
        <w:rPr>
          <w:rFonts w:ascii="Garamond" w:eastAsiaTheme="minorHAnsi" w:hAnsi="Garamond" w:cstheme="minorBidi"/>
          <w:lang w:eastAsia="en-US"/>
        </w:rPr>
        <w:t xml:space="preserve">it is also </w:t>
      </w:r>
      <w:r w:rsidR="000219B9" w:rsidRPr="000219B9">
        <w:rPr>
          <w:rFonts w:ascii="Garamond" w:hAnsi="Garamond"/>
        </w:rPr>
        <w:t>possible that patients</w:t>
      </w:r>
      <w:r w:rsidR="00A40BD2">
        <w:rPr>
          <w:rFonts w:ascii="Garamond" w:hAnsi="Garamond"/>
        </w:rPr>
        <w:t xml:space="preserve"> who already belong to and benefit from a greater</w:t>
      </w:r>
      <w:r w:rsidR="000219B9" w:rsidRPr="000219B9">
        <w:rPr>
          <w:rFonts w:ascii="Garamond" w:hAnsi="Garamond"/>
        </w:rPr>
        <w:t xml:space="preserve"> number of </w:t>
      </w:r>
      <w:r w:rsidR="00A40BD2">
        <w:rPr>
          <w:rFonts w:ascii="Garamond" w:hAnsi="Garamond"/>
        </w:rPr>
        <w:t xml:space="preserve">social group </w:t>
      </w:r>
      <w:r w:rsidR="000219B9" w:rsidRPr="000219B9">
        <w:rPr>
          <w:rFonts w:ascii="Garamond" w:hAnsi="Garamond"/>
        </w:rPr>
        <w:t xml:space="preserve">memberships </w:t>
      </w:r>
      <w:r w:rsidR="00E537F1">
        <w:rPr>
          <w:rFonts w:ascii="Garamond" w:hAnsi="Garamond"/>
        </w:rPr>
        <w:t>will be</w:t>
      </w:r>
      <w:r w:rsidR="000219B9" w:rsidRPr="000219B9">
        <w:rPr>
          <w:rFonts w:ascii="Garamond" w:hAnsi="Garamond"/>
        </w:rPr>
        <w:t xml:space="preserve"> less motivated to engage with new group memberships</w:t>
      </w:r>
      <w:r w:rsidR="000219B9">
        <w:rPr>
          <w:rFonts w:ascii="Garamond" w:hAnsi="Garamond"/>
        </w:rPr>
        <w:t>.</w:t>
      </w:r>
      <w:r w:rsidR="00A40BD2">
        <w:rPr>
          <w:rFonts w:ascii="Garamond" w:hAnsi="Garamond"/>
        </w:rPr>
        <w:t xml:space="preserve"> Furthermore, in </w:t>
      </w:r>
      <w:r w:rsidR="00A40BD2" w:rsidRPr="00A40BD2">
        <w:rPr>
          <w:rFonts w:ascii="Garamond" w:hAnsi="Garamond"/>
        </w:rPr>
        <w:t>an earlier qualitative study</w:t>
      </w:r>
      <w:r w:rsidR="00E537F1">
        <w:rPr>
          <w:rFonts w:ascii="Garamond" w:hAnsi="Garamond"/>
        </w:rPr>
        <w:t xml:space="preserve"> (Tarrant et al., 2017)</w:t>
      </w:r>
      <w:r w:rsidR="00A40BD2" w:rsidRPr="00A40BD2">
        <w:rPr>
          <w:rFonts w:ascii="Garamond" w:hAnsi="Garamond"/>
        </w:rPr>
        <w:t>, patients with visible obesity reported that the visible excess weight status of other patients in the obesity service, and their shared experiences of having excess weight, encouraged the formation of a shared social i</w:t>
      </w:r>
      <w:r w:rsidR="00E537F1">
        <w:rPr>
          <w:rFonts w:ascii="Garamond" w:hAnsi="Garamond"/>
        </w:rPr>
        <w:t xml:space="preserve">dentity. </w:t>
      </w:r>
      <w:r w:rsidR="00A06CC6">
        <w:rPr>
          <w:rFonts w:ascii="Garamond" w:hAnsi="Garamond"/>
        </w:rPr>
        <w:t>P</w:t>
      </w:r>
      <w:r w:rsidR="00A06CC6" w:rsidRPr="00A40BD2">
        <w:rPr>
          <w:rFonts w:ascii="Garamond" w:hAnsi="Garamond"/>
        </w:rPr>
        <w:t>atients</w:t>
      </w:r>
      <w:r w:rsidR="00A40BD2" w:rsidRPr="00A40BD2">
        <w:rPr>
          <w:rFonts w:ascii="Garamond" w:hAnsi="Garamond"/>
        </w:rPr>
        <w:t xml:space="preserve"> whose weight status</w:t>
      </w:r>
      <w:r w:rsidR="00A06CC6">
        <w:rPr>
          <w:rFonts w:ascii="Garamond" w:hAnsi="Garamond"/>
        </w:rPr>
        <w:t xml:space="preserve"> is</w:t>
      </w:r>
      <w:r w:rsidR="00A40BD2" w:rsidRPr="00A40BD2">
        <w:rPr>
          <w:rFonts w:ascii="Garamond" w:hAnsi="Garamond"/>
        </w:rPr>
        <w:t xml:space="preserve"> more central to their s</w:t>
      </w:r>
      <w:r w:rsidR="00A06CC6">
        <w:rPr>
          <w:rFonts w:ascii="Garamond" w:hAnsi="Garamond"/>
        </w:rPr>
        <w:t>elf-definition may therefore also be more likely identify</w:t>
      </w:r>
      <w:r w:rsidR="00A40BD2" w:rsidRPr="00A40BD2">
        <w:rPr>
          <w:rFonts w:ascii="Garamond" w:hAnsi="Garamond"/>
        </w:rPr>
        <w:t xml:space="preserve"> with the treatment group to a greater extent.</w:t>
      </w:r>
      <w:r w:rsidR="00A40BD2">
        <w:rPr>
          <w:rFonts w:ascii="Garamond" w:hAnsi="Garamond"/>
        </w:rPr>
        <w:t xml:space="preserve"> </w:t>
      </w:r>
      <w:r w:rsidR="00A06CC6">
        <w:rPr>
          <w:rFonts w:ascii="Garamond" w:hAnsi="Garamond"/>
        </w:rPr>
        <w:t>Moreover, p</w:t>
      </w:r>
      <w:r w:rsidR="00A06CC6" w:rsidRPr="00157C7F">
        <w:rPr>
          <w:rFonts w:ascii="Garamond" w:hAnsi="Garamond"/>
        </w:rPr>
        <w:t>erceived discrimination has been shown to increase identification with a stigmatised social identity</w:t>
      </w:r>
      <w:r w:rsidR="00A06CC6">
        <w:rPr>
          <w:rFonts w:ascii="Garamond" w:hAnsi="Garamond"/>
        </w:rPr>
        <w:t xml:space="preserve"> (</w:t>
      </w:r>
      <w:r w:rsidR="00A06CC6" w:rsidRPr="00F15490">
        <w:rPr>
          <w:rFonts w:ascii="Garamond" w:hAnsi="Garamond"/>
        </w:rPr>
        <w:t xml:space="preserve">Branscombe, Schmitt, </w:t>
      </w:r>
      <w:r w:rsidR="00A06CC6">
        <w:rPr>
          <w:rFonts w:ascii="Garamond" w:hAnsi="Garamond"/>
        </w:rPr>
        <w:t>and</w:t>
      </w:r>
      <w:r w:rsidR="00A06CC6" w:rsidRPr="00F15490">
        <w:rPr>
          <w:rFonts w:ascii="Garamond" w:hAnsi="Garamond"/>
        </w:rPr>
        <w:t xml:space="preserve"> Harvey</w:t>
      </w:r>
      <w:r w:rsidR="00A06CC6">
        <w:rPr>
          <w:rFonts w:ascii="Garamond" w:hAnsi="Garamond"/>
        </w:rPr>
        <w:t>, 1999)</w:t>
      </w:r>
      <w:r w:rsidR="00A06CC6" w:rsidRPr="00157C7F">
        <w:rPr>
          <w:rFonts w:ascii="Garamond" w:hAnsi="Garamond"/>
        </w:rPr>
        <w:t xml:space="preserve">. </w:t>
      </w:r>
      <w:r w:rsidR="00A06CC6" w:rsidRPr="00157C7F">
        <w:rPr>
          <w:rFonts w:ascii="Garamond" w:hAnsi="Garamond"/>
        </w:rPr>
        <w:lastRenderedPageBreak/>
        <w:t>Accordingly, patients who perceive they have previously experienced discrimination based</w:t>
      </w:r>
      <w:r w:rsidR="005B4584">
        <w:rPr>
          <w:rFonts w:ascii="Garamond" w:hAnsi="Garamond"/>
        </w:rPr>
        <w:t xml:space="preserve"> on their excess weight may be </w:t>
      </w:r>
      <w:r w:rsidR="00A06CC6" w:rsidRPr="00157C7F">
        <w:rPr>
          <w:rFonts w:ascii="Garamond" w:hAnsi="Garamond"/>
        </w:rPr>
        <w:t>more likely to self-define in terms of their weight status, and in turn identify to a greater extent with the obesity treatment group</w:t>
      </w:r>
      <w:r w:rsidR="00A06CC6">
        <w:rPr>
          <w:rFonts w:ascii="Garamond" w:hAnsi="Garamond"/>
        </w:rPr>
        <w:t xml:space="preserve">. </w:t>
      </w:r>
    </w:p>
    <w:p w14:paraId="5815384A" w14:textId="2D212F01" w:rsidR="00A40BD2" w:rsidRPr="000C60EB" w:rsidRDefault="00A40BD2" w:rsidP="00A40BD2">
      <w:pPr>
        <w:spacing w:line="480" w:lineRule="auto"/>
        <w:ind w:firstLine="720"/>
        <w:rPr>
          <w:rFonts w:ascii="Garamond" w:eastAsiaTheme="minorHAnsi" w:hAnsi="Garamond" w:cstheme="minorBidi"/>
          <w:lang w:eastAsia="en-US"/>
        </w:rPr>
      </w:pPr>
      <w:r w:rsidRPr="000C60EB">
        <w:rPr>
          <w:rFonts w:ascii="Garamond" w:eastAsiaTheme="minorHAnsi" w:hAnsi="Garamond" w:cstheme="minorBidi"/>
          <w:lang w:eastAsia="en-US"/>
        </w:rPr>
        <w:t xml:space="preserve">The study was designed to allow </w:t>
      </w:r>
      <w:r w:rsidR="001E5FC5">
        <w:rPr>
          <w:rFonts w:ascii="Garamond" w:eastAsiaTheme="minorHAnsi" w:hAnsi="Garamond" w:cstheme="minorBidi"/>
          <w:lang w:eastAsia="en-US"/>
        </w:rPr>
        <w:t xml:space="preserve">a </w:t>
      </w:r>
      <w:r w:rsidR="00162762">
        <w:rPr>
          <w:rFonts w:ascii="Garamond" w:eastAsiaTheme="minorHAnsi" w:hAnsi="Garamond" w:cstheme="minorBidi"/>
          <w:lang w:eastAsia="en-US"/>
        </w:rPr>
        <w:t>tentative yet integrative</w:t>
      </w:r>
      <w:r w:rsidR="00A06CC6">
        <w:rPr>
          <w:rFonts w:ascii="Garamond" w:eastAsiaTheme="minorHAnsi" w:hAnsi="Garamond" w:cstheme="minorBidi"/>
          <w:lang w:eastAsia="en-US"/>
        </w:rPr>
        <w:t xml:space="preserve"> </w:t>
      </w:r>
      <w:r w:rsidR="00A06CC6" w:rsidRPr="000C60EB">
        <w:rPr>
          <w:rFonts w:ascii="Garamond" w:eastAsiaTheme="minorHAnsi" w:hAnsi="Garamond" w:cstheme="minorBidi"/>
          <w:lang w:eastAsia="en-US"/>
        </w:rPr>
        <w:t>analysis</w:t>
      </w:r>
      <w:r w:rsidRPr="000C60EB">
        <w:rPr>
          <w:rFonts w:ascii="Garamond" w:eastAsiaTheme="minorHAnsi" w:hAnsi="Garamond" w:cstheme="minorBidi"/>
          <w:lang w:eastAsia="en-US"/>
        </w:rPr>
        <w:t xml:space="preserve"> of the relative contribution of these different variable sets to patients’ social identification with their obesity treatment group. Thus, the study research question was: to what extent do factors relating to group organisation and programme delivery and those relating to individual psychosocial experiences explain patients’ social identification with their obesity treatment group?</w:t>
      </w:r>
    </w:p>
    <w:p w14:paraId="353E28E4" w14:textId="397F20D0" w:rsidR="00A40BD2" w:rsidRDefault="00A40BD2" w:rsidP="000219B9">
      <w:pPr>
        <w:spacing w:line="480" w:lineRule="auto"/>
        <w:ind w:firstLine="720"/>
        <w:rPr>
          <w:rFonts w:ascii="Garamond" w:hAnsi="Garamond"/>
        </w:rPr>
      </w:pPr>
    </w:p>
    <w:p w14:paraId="4B3153EC" w14:textId="4A166FC0" w:rsidR="00170563" w:rsidRPr="00157C7F" w:rsidRDefault="00663A4B">
      <w:pPr>
        <w:spacing w:line="480" w:lineRule="auto"/>
        <w:jc w:val="center"/>
        <w:rPr>
          <w:rFonts w:ascii="Garamond" w:eastAsia="Garamond" w:hAnsi="Garamond" w:cs="Garamond"/>
          <w:b/>
        </w:rPr>
      </w:pPr>
      <w:r w:rsidRPr="00157C7F">
        <w:rPr>
          <w:rFonts w:ascii="Garamond" w:eastAsia="Garamond" w:hAnsi="Garamond" w:cs="Garamond"/>
          <w:b/>
        </w:rPr>
        <w:t>Method</w:t>
      </w:r>
    </w:p>
    <w:p w14:paraId="3E6D5249" w14:textId="77777777" w:rsidR="00170563" w:rsidRPr="00157C7F" w:rsidRDefault="00663A4B">
      <w:pPr>
        <w:spacing w:line="480" w:lineRule="auto"/>
        <w:rPr>
          <w:rFonts w:ascii="Garamond" w:eastAsia="Garamond" w:hAnsi="Garamond" w:cs="Garamond"/>
          <w:b/>
        </w:rPr>
      </w:pPr>
      <w:r w:rsidRPr="00157C7F">
        <w:rPr>
          <w:rFonts w:ascii="Garamond" w:eastAsia="Garamond" w:hAnsi="Garamond" w:cs="Garamond"/>
          <w:b/>
        </w:rPr>
        <w:t>Research Context and Group Programme</w:t>
      </w:r>
    </w:p>
    <w:p w14:paraId="02FA944A" w14:textId="6EBB9E07" w:rsidR="00170563" w:rsidRPr="00157C7F" w:rsidRDefault="00663A4B" w:rsidP="00BD1AD4">
      <w:pPr>
        <w:spacing w:line="480" w:lineRule="auto"/>
        <w:ind w:firstLine="720"/>
        <w:rPr>
          <w:rFonts w:ascii="Garamond" w:hAnsi="Garamond"/>
        </w:rPr>
      </w:pPr>
      <w:r w:rsidRPr="00157C7F">
        <w:rPr>
          <w:rFonts w:ascii="Garamond" w:eastAsia="Gungsuh" w:hAnsi="Garamond" w:cs="Gungsuh"/>
        </w:rPr>
        <w:t>Patients participating in the study were recruited from a medical obesity service running in South West UK and commissioned by the UK National Health Service (NHS); it is an established service from which patients may progress to other treatments such as bariatric surgery. Eligibility for admission to this service reflected National Institute for Health and Care Excellence (NICE) guidelines (NICE, 2014) in place at the time of the study and were: (1) BMI ≥ 40 kg/m</w:t>
      </w:r>
      <w:r w:rsidRPr="00157C7F">
        <w:rPr>
          <w:rFonts w:ascii="Garamond" w:eastAsia="Garamond" w:hAnsi="Garamond" w:cs="Garamond"/>
          <w:vertAlign w:val="superscript"/>
        </w:rPr>
        <w:t>2</w:t>
      </w:r>
      <w:r w:rsidRPr="00157C7F">
        <w:rPr>
          <w:rFonts w:ascii="Garamond" w:eastAsia="Gungsuh" w:hAnsi="Garamond" w:cs="Gungsuh"/>
        </w:rPr>
        <w:t>; or (2) BMI ≥ 35 kg/m</w:t>
      </w:r>
      <w:r w:rsidRPr="00157C7F">
        <w:rPr>
          <w:rFonts w:ascii="Garamond" w:eastAsia="Garamond" w:hAnsi="Garamond" w:cs="Garamond"/>
          <w:vertAlign w:val="superscript"/>
        </w:rPr>
        <w:t xml:space="preserve">2 </w:t>
      </w:r>
      <w:r w:rsidRPr="00157C7F">
        <w:rPr>
          <w:rFonts w:ascii="Garamond" w:eastAsia="Garamond" w:hAnsi="Garamond" w:cs="Garamond"/>
        </w:rPr>
        <w:t>with comorbidities (</w:t>
      </w:r>
      <w:r w:rsidR="0034670C">
        <w:rPr>
          <w:rFonts w:ascii="Garamond" w:eastAsia="Garamond" w:hAnsi="Garamond" w:cs="Garamond"/>
        </w:rPr>
        <w:t>T</w:t>
      </w:r>
      <w:r w:rsidRPr="00157C7F">
        <w:rPr>
          <w:rFonts w:ascii="Garamond" w:eastAsia="Garamond" w:hAnsi="Garamond" w:cs="Garamond"/>
        </w:rPr>
        <w:t>ype 2 diabetes, uncontrolled hypertension, hyperlipidaemia, sleep apnoea, and/or severe osteoarthritis). The group programme on which patients were enrolled comprised six sessions delivered across a six-month period</w:t>
      </w:r>
      <w:r w:rsidR="00CB07BB" w:rsidRPr="00157C7F">
        <w:rPr>
          <w:rFonts w:ascii="Garamond" w:eastAsia="Garamond" w:hAnsi="Garamond" w:cs="Garamond"/>
        </w:rPr>
        <w:t xml:space="preserve"> in a clinical</w:t>
      </w:r>
      <w:r w:rsidR="00FA3AAE" w:rsidRPr="00157C7F">
        <w:rPr>
          <w:rFonts w:ascii="Garamond" w:eastAsia="Garamond" w:hAnsi="Garamond" w:cs="Garamond"/>
        </w:rPr>
        <w:t xml:space="preserve"> hospital</w:t>
      </w:r>
      <w:r w:rsidR="00CB07BB" w:rsidRPr="00157C7F">
        <w:rPr>
          <w:rFonts w:ascii="Garamond" w:eastAsia="Garamond" w:hAnsi="Garamond" w:cs="Garamond"/>
        </w:rPr>
        <w:t xml:space="preserve"> setting</w:t>
      </w:r>
      <w:r w:rsidRPr="00157C7F">
        <w:rPr>
          <w:rFonts w:ascii="Garamond" w:eastAsia="Garamond" w:hAnsi="Garamond" w:cs="Garamond"/>
        </w:rPr>
        <w:t xml:space="preserve">. </w:t>
      </w:r>
      <w:r w:rsidR="00BE4832" w:rsidRPr="00157C7F">
        <w:rPr>
          <w:rFonts w:ascii="Garamond" w:hAnsi="Garamond"/>
        </w:rPr>
        <w:t>Patients had to engage with the programme</w:t>
      </w:r>
      <w:r w:rsidR="00A43103" w:rsidRPr="00157C7F">
        <w:rPr>
          <w:rFonts w:ascii="Garamond" w:hAnsi="Garamond"/>
        </w:rPr>
        <w:t xml:space="preserve"> but</w:t>
      </w:r>
      <w:r w:rsidR="00BE4832" w:rsidRPr="00157C7F">
        <w:rPr>
          <w:rFonts w:ascii="Garamond" w:hAnsi="Garamond"/>
        </w:rPr>
        <w:t xml:space="preserve"> </w:t>
      </w:r>
      <w:r w:rsidR="00A43103" w:rsidRPr="00157C7F">
        <w:rPr>
          <w:rFonts w:ascii="Garamond" w:hAnsi="Garamond"/>
        </w:rPr>
        <w:t>full attendance was not compulsory, and progression to surgery</w:t>
      </w:r>
      <w:r w:rsidR="00BD1AD4" w:rsidRPr="00157C7F">
        <w:rPr>
          <w:rFonts w:ascii="Garamond" w:hAnsi="Garamond"/>
        </w:rPr>
        <w:t xml:space="preserve"> or</w:t>
      </w:r>
      <w:r w:rsidR="00A43103" w:rsidRPr="00157C7F">
        <w:rPr>
          <w:rFonts w:ascii="Garamond" w:hAnsi="Garamond"/>
        </w:rPr>
        <w:t xml:space="preserve"> further services was determined by individual health </w:t>
      </w:r>
      <w:r w:rsidR="00BD1AD4" w:rsidRPr="00157C7F">
        <w:rPr>
          <w:rFonts w:ascii="Garamond" w:hAnsi="Garamond"/>
        </w:rPr>
        <w:t>needs and outcomes (including a achieving a weight loss of 5-10 of body weight).</w:t>
      </w:r>
      <w:r w:rsidR="00BE4832" w:rsidRPr="00157C7F">
        <w:rPr>
          <w:rFonts w:ascii="Garamond" w:hAnsi="Garamond"/>
        </w:rPr>
        <w:t xml:space="preserve"> </w:t>
      </w:r>
      <w:r w:rsidRPr="00157C7F">
        <w:rPr>
          <w:rFonts w:ascii="Garamond" w:eastAsia="Garamond" w:hAnsi="Garamond" w:cs="Garamond"/>
        </w:rPr>
        <w:t xml:space="preserve">Group size ranged from 4-12 patients, reflecting variability in patient attendance. Group sessions predominantly focused on dietary education and support and were led by a dietician experienced in group facilitation and motivational interviewing, supported in some sessions by a clinical psychologist. </w:t>
      </w:r>
      <w:r w:rsidR="00577EB1" w:rsidRPr="00157C7F">
        <w:rPr>
          <w:rFonts w:ascii="Garamond" w:eastAsia="Garamond" w:hAnsi="Garamond" w:cs="Garamond"/>
        </w:rPr>
        <w:t xml:space="preserve">Patients were not assigned to a specific group; multiple sessions ran every week and patients were able to attend sessions that could be fitted around </w:t>
      </w:r>
      <w:r w:rsidR="00577EB1" w:rsidRPr="00157C7F">
        <w:rPr>
          <w:rFonts w:ascii="Garamond" w:eastAsia="Garamond" w:hAnsi="Garamond" w:cs="Garamond"/>
        </w:rPr>
        <w:lastRenderedPageBreak/>
        <w:t xml:space="preserve">schedules and logistical constraints. </w:t>
      </w:r>
      <w:r w:rsidRPr="00157C7F">
        <w:rPr>
          <w:rFonts w:ascii="Garamond" w:eastAsia="Garamond" w:hAnsi="Garamond" w:cs="Garamond"/>
        </w:rPr>
        <w:t>At the end of the group programme, patients’ progress against programme objectives was assessed, following which they were considered for progression to further specialised interventions</w:t>
      </w:r>
      <w:r w:rsidR="00BE4832" w:rsidRPr="00157C7F">
        <w:rPr>
          <w:rFonts w:ascii="Garamond" w:hAnsi="Garamond"/>
        </w:rPr>
        <w:t xml:space="preserve">, </w:t>
      </w:r>
      <w:r w:rsidR="00A43103" w:rsidRPr="00157C7F">
        <w:rPr>
          <w:rFonts w:ascii="Garamond" w:hAnsi="Garamond"/>
        </w:rPr>
        <w:t>including surgery, and these were</w:t>
      </w:r>
      <w:r w:rsidR="00157C7F" w:rsidRPr="00157C7F">
        <w:rPr>
          <w:rFonts w:ascii="Garamond" w:hAnsi="Garamond"/>
        </w:rPr>
        <w:t xml:space="preserve"> generally</w:t>
      </w:r>
      <w:r w:rsidR="00A43103" w:rsidRPr="00157C7F">
        <w:rPr>
          <w:rFonts w:ascii="Garamond" w:hAnsi="Garamond"/>
        </w:rPr>
        <w:t xml:space="preserve"> supported through</w:t>
      </w:r>
      <w:r w:rsidR="00BE4832" w:rsidRPr="00157C7F">
        <w:rPr>
          <w:rFonts w:ascii="Garamond" w:hAnsi="Garamond"/>
        </w:rPr>
        <w:t xml:space="preserve"> one-to-one sessions with a dietician and/or clinical psychologist.</w:t>
      </w:r>
      <w:r w:rsidRPr="00157C7F">
        <w:rPr>
          <w:rFonts w:ascii="Garamond" w:eastAsia="Garamond" w:hAnsi="Garamond" w:cs="Garamond"/>
        </w:rPr>
        <w:t xml:space="preserve"> Locally available service evaluation data indicates patient improvements on a range of clinical outcomes across the group programme, including weight (BMI), eating patterns and concerns, an</w:t>
      </w:r>
      <w:r w:rsidR="00BE4832" w:rsidRPr="00157C7F">
        <w:rPr>
          <w:rFonts w:ascii="Garamond" w:eastAsia="Garamond" w:hAnsi="Garamond" w:cs="Garamond"/>
        </w:rPr>
        <w:t>d health-related quality of life</w:t>
      </w:r>
      <w:r w:rsidRPr="00157C7F">
        <w:rPr>
          <w:rStyle w:val="EndnoteReference"/>
          <w:rFonts w:ascii="Garamond" w:eastAsia="Garamond" w:hAnsi="Garamond" w:cs="Garamond"/>
        </w:rPr>
        <w:endnoteReference w:id="1"/>
      </w:r>
      <w:r w:rsidRPr="00157C7F">
        <w:rPr>
          <w:rFonts w:ascii="Garamond" w:eastAsia="Garamond" w:hAnsi="Garamond" w:cs="Garamond"/>
        </w:rPr>
        <w:t>. Ethical approval for the study was provided by the UK National Research Ethics Service (NRES ref: 13/SW/0050).</w:t>
      </w:r>
    </w:p>
    <w:p w14:paraId="62177F39" w14:textId="77777777" w:rsidR="00170563" w:rsidRPr="00157C7F" w:rsidRDefault="00663A4B">
      <w:pPr>
        <w:spacing w:line="480" w:lineRule="auto"/>
        <w:rPr>
          <w:rFonts w:ascii="Garamond" w:eastAsia="Garamond" w:hAnsi="Garamond" w:cs="Garamond"/>
          <w:b/>
        </w:rPr>
      </w:pPr>
      <w:r w:rsidRPr="00157C7F">
        <w:rPr>
          <w:rFonts w:ascii="Garamond" w:eastAsia="Garamond" w:hAnsi="Garamond" w:cs="Garamond"/>
          <w:b/>
        </w:rPr>
        <w:t>Study Sample and Procedure</w:t>
      </w:r>
    </w:p>
    <w:p w14:paraId="3A788B38" w14:textId="69F7F2E6" w:rsidR="00170563" w:rsidRPr="00157C7F" w:rsidRDefault="00663A4B">
      <w:pPr>
        <w:spacing w:line="480" w:lineRule="auto"/>
        <w:ind w:firstLine="720"/>
        <w:rPr>
          <w:rFonts w:ascii="Garamond" w:eastAsia="Garamond" w:hAnsi="Garamond" w:cs="Garamond"/>
        </w:rPr>
      </w:pPr>
      <w:r w:rsidRPr="00157C7F">
        <w:rPr>
          <w:rFonts w:ascii="Garamond" w:eastAsia="Garamond" w:hAnsi="Garamond" w:cs="Garamond"/>
        </w:rPr>
        <w:t>Study eligibility was open to all patients registered with the obesity service and enrolled on the group programme. Potential participants were introduced to the research by a member of the research team during a planned group session. Interested patients (N=101) were subsequently contacted individually and given furt</w:t>
      </w:r>
      <w:r w:rsidR="00BE4832" w:rsidRPr="00157C7F">
        <w:rPr>
          <w:rFonts w:ascii="Garamond" w:eastAsia="Garamond" w:hAnsi="Garamond" w:cs="Garamond"/>
        </w:rPr>
        <w:t xml:space="preserve">her information about the study. </w:t>
      </w:r>
      <w:r w:rsidR="00BE4832" w:rsidRPr="00157C7F">
        <w:rPr>
          <w:rFonts w:ascii="Garamond" w:hAnsi="Garamond"/>
        </w:rPr>
        <w:t xml:space="preserve">Written consent was obtained </w:t>
      </w:r>
      <w:r w:rsidR="00BD1AD4" w:rsidRPr="00157C7F">
        <w:rPr>
          <w:rFonts w:ascii="Garamond" w:hAnsi="Garamond"/>
        </w:rPr>
        <w:t xml:space="preserve">at least </w:t>
      </w:r>
      <w:r w:rsidR="00BE4832" w:rsidRPr="00157C7F">
        <w:rPr>
          <w:rFonts w:ascii="Garamond" w:hAnsi="Garamond"/>
        </w:rPr>
        <w:t xml:space="preserve">24 hours after patients had received the information sheet for the study: 78 of the 101 interested patients consented to participating in the study (57 females, 21 males; </w:t>
      </w:r>
      <w:r w:rsidR="00157C7F">
        <w:rPr>
          <w:rFonts w:ascii="Garamond" w:hAnsi="Garamond"/>
        </w:rPr>
        <w:t xml:space="preserve">average </w:t>
      </w:r>
      <w:r w:rsidR="00BE4832" w:rsidRPr="00157C7F">
        <w:rPr>
          <w:rFonts w:ascii="Garamond" w:hAnsi="Garamond"/>
        </w:rPr>
        <w:t xml:space="preserve">age = 51 years, </w:t>
      </w:r>
      <w:r w:rsidR="00BE4832" w:rsidRPr="00157C7F">
        <w:rPr>
          <w:rFonts w:ascii="Garamond" w:hAnsi="Garamond"/>
          <w:i/>
        </w:rPr>
        <w:t>SD</w:t>
      </w:r>
      <w:r w:rsidR="00BE4832" w:rsidRPr="00157C7F">
        <w:rPr>
          <w:rFonts w:ascii="Garamond" w:hAnsi="Garamond"/>
        </w:rPr>
        <w:t>=12 years; age range = 24-79 years).</w:t>
      </w:r>
      <w:r w:rsidRPr="00157C7F">
        <w:rPr>
          <w:rFonts w:ascii="Garamond" w:eastAsia="Garamond" w:hAnsi="Garamond" w:cs="Garamond"/>
        </w:rPr>
        <w:t xml:space="preserve"> Participating patients’ BMI at the time of admittance to the obesity service ranged from 35 to 64 kg/m</w:t>
      </w:r>
      <w:r w:rsidRPr="00157C7F">
        <w:rPr>
          <w:rFonts w:ascii="Garamond" w:eastAsia="Garamond" w:hAnsi="Garamond" w:cs="Garamond"/>
          <w:vertAlign w:val="superscript"/>
        </w:rPr>
        <w:t>2</w:t>
      </w:r>
      <w:r w:rsidRPr="00157C7F">
        <w:rPr>
          <w:rFonts w:ascii="Garamond" w:eastAsia="Garamond" w:hAnsi="Garamond" w:cs="Garamond"/>
        </w:rPr>
        <w:t xml:space="preserve"> (</w:t>
      </w:r>
      <w:r w:rsidRPr="00157C7F">
        <w:rPr>
          <w:rFonts w:ascii="Garamond" w:eastAsia="Garamond" w:hAnsi="Garamond" w:cs="Garamond"/>
          <w:i/>
        </w:rPr>
        <w:t>M</w:t>
      </w:r>
      <w:r w:rsidRPr="00157C7F">
        <w:rPr>
          <w:rFonts w:ascii="Garamond" w:eastAsia="Garamond" w:hAnsi="Garamond" w:cs="Garamond"/>
        </w:rPr>
        <w:t xml:space="preserve">=48, </w:t>
      </w:r>
      <w:r w:rsidRPr="00157C7F">
        <w:rPr>
          <w:rFonts w:ascii="Garamond" w:eastAsia="Garamond" w:hAnsi="Garamond" w:cs="Garamond"/>
          <w:i/>
        </w:rPr>
        <w:t>SD</w:t>
      </w:r>
      <w:r w:rsidRPr="00157C7F">
        <w:rPr>
          <w:rFonts w:ascii="Garamond" w:eastAsia="Garamond" w:hAnsi="Garamond" w:cs="Garamond"/>
        </w:rPr>
        <w:t xml:space="preserve">=6) and they had on average attended </w:t>
      </w:r>
      <w:r w:rsidR="00F47D5E">
        <w:rPr>
          <w:rFonts w:ascii="Garamond" w:eastAsia="Garamond" w:hAnsi="Garamond" w:cs="Garamond"/>
          <w:iCs/>
        </w:rPr>
        <w:t>four</w:t>
      </w:r>
      <w:r w:rsidRPr="00157C7F">
        <w:rPr>
          <w:rFonts w:ascii="Garamond" w:eastAsia="Garamond" w:hAnsi="Garamond" w:cs="Garamond"/>
        </w:rPr>
        <w:t xml:space="preserve"> (</w:t>
      </w:r>
      <w:r w:rsidRPr="00157C7F">
        <w:rPr>
          <w:rFonts w:ascii="Garamond" w:eastAsia="Garamond" w:hAnsi="Garamond" w:cs="Garamond"/>
          <w:i/>
        </w:rPr>
        <w:t>SD</w:t>
      </w:r>
      <w:r w:rsidRPr="00157C7F">
        <w:rPr>
          <w:rFonts w:ascii="Garamond" w:eastAsia="Garamond" w:hAnsi="Garamond" w:cs="Garamond"/>
        </w:rPr>
        <w:t>=2) group sessions at the time of survey administration</w:t>
      </w:r>
      <w:r w:rsidR="00157C7F">
        <w:rPr>
          <w:rStyle w:val="EndnoteReference"/>
          <w:rFonts w:ascii="Garamond" w:eastAsia="Garamond" w:hAnsi="Garamond" w:cs="Garamond"/>
        </w:rPr>
        <w:endnoteReference w:id="2"/>
      </w:r>
      <w:r w:rsidRPr="00157C7F">
        <w:rPr>
          <w:rFonts w:ascii="Garamond" w:eastAsia="Garamond" w:hAnsi="Garamond" w:cs="Garamond"/>
        </w:rPr>
        <w:t xml:space="preserve">. All participants chose to receive and return the survey by post. </w:t>
      </w:r>
    </w:p>
    <w:p w14:paraId="3D81C833" w14:textId="71DB3F30" w:rsidR="00170563" w:rsidRPr="00157C7F" w:rsidRDefault="00663A4B">
      <w:pPr>
        <w:spacing w:line="480" w:lineRule="auto"/>
        <w:rPr>
          <w:rFonts w:ascii="Garamond" w:eastAsia="Garamond" w:hAnsi="Garamond" w:cs="Garamond"/>
          <w:b/>
        </w:rPr>
      </w:pPr>
      <w:r w:rsidRPr="00157C7F">
        <w:rPr>
          <w:rFonts w:ascii="Garamond" w:eastAsia="Garamond" w:hAnsi="Garamond" w:cs="Garamond"/>
          <w:b/>
        </w:rPr>
        <w:t>Measures</w:t>
      </w:r>
    </w:p>
    <w:p w14:paraId="40F3B458" w14:textId="77777777" w:rsidR="00F47D5E" w:rsidRDefault="00BE4832" w:rsidP="00BE4832">
      <w:pPr>
        <w:spacing w:line="480" w:lineRule="auto"/>
        <w:ind w:firstLine="720"/>
        <w:rPr>
          <w:rFonts w:ascii="Garamond" w:eastAsiaTheme="minorHAnsi" w:hAnsi="Garamond" w:cstheme="minorBidi"/>
          <w:lang w:eastAsia="en-US"/>
        </w:rPr>
      </w:pPr>
      <w:r w:rsidRPr="00157C7F">
        <w:rPr>
          <w:rFonts w:ascii="Garamond" w:eastAsiaTheme="minorHAnsi" w:hAnsi="Garamond" w:cstheme="minorBidi"/>
          <w:i/>
          <w:lang w:eastAsia="en-US"/>
        </w:rPr>
        <w:t xml:space="preserve">Patient demographics </w:t>
      </w:r>
      <w:r w:rsidRPr="00157C7F">
        <w:rPr>
          <w:rFonts w:ascii="Garamond" w:eastAsiaTheme="minorHAnsi" w:hAnsi="Garamond" w:cstheme="minorBidi"/>
          <w:lang w:eastAsia="en-US"/>
        </w:rPr>
        <w:t>Age, gender</w:t>
      </w:r>
      <w:r w:rsidR="00F47D5E">
        <w:rPr>
          <w:rFonts w:ascii="Garamond" w:eastAsiaTheme="minorHAnsi" w:hAnsi="Garamond" w:cstheme="minorBidi"/>
          <w:lang w:eastAsia="en-US"/>
        </w:rPr>
        <w:t>,</w:t>
      </w:r>
      <w:r w:rsidRPr="00157C7F">
        <w:rPr>
          <w:rFonts w:ascii="Garamond" w:eastAsiaTheme="minorHAnsi" w:hAnsi="Garamond" w:cstheme="minorBidi"/>
          <w:lang w:eastAsia="en-US"/>
        </w:rPr>
        <w:t xml:space="preserve"> and weight data (BMI) were extracted from patient notes</w:t>
      </w:r>
      <w:r w:rsidR="00577EB1" w:rsidRPr="00157C7F">
        <w:rPr>
          <w:rFonts w:ascii="Garamond" w:eastAsiaTheme="minorHAnsi" w:hAnsi="Garamond" w:cstheme="minorBidi"/>
          <w:lang w:eastAsia="en-US"/>
        </w:rPr>
        <w:t xml:space="preserve"> recorded </w:t>
      </w:r>
      <w:r w:rsidR="005664DC" w:rsidRPr="00157C7F">
        <w:rPr>
          <w:rFonts w:ascii="Garamond" w:eastAsiaTheme="minorHAnsi" w:hAnsi="Garamond" w:cstheme="minorBidi"/>
          <w:lang w:eastAsia="en-US"/>
        </w:rPr>
        <w:t>as part of</w:t>
      </w:r>
      <w:r w:rsidR="00577EB1" w:rsidRPr="00157C7F">
        <w:rPr>
          <w:rFonts w:ascii="Garamond" w:eastAsiaTheme="minorHAnsi" w:hAnsi="Garamond" w:cstheme="minorBidi"/>
          <w:lang w:eastAsia="en-US"/>
        </w:rPr>
        <w:t xml:space="preserve"> the </w:t>
      </w:r>
      <w:r w:rsidR="005664DC" w:rsidRPr="00157C7F">
        <w:rPr>
          <w:rFonts w:ascii="Garamond" w:eastAsiaTheme="minorHAnsi" w:hAnsi="Garamond" w:cstheme="minorBidi"/>
          <w:lang w:eastAsia="en-US"/>
        </w:rPr>
        <w:t xml:space="preserve">obesity </w:t>
      </w:r>
      <w:r w:rsidR="00157C7F" w:rsidRPr="00157C7F">
        <w:rPr>
          <w:rFonts w:ascii="Garamond" w:eastAsiaTheme="minorHAnsi" w:hAnsi="Garamond" w:cstheme="minorBidi"/>
          <w:lang w:eastAsia="en-US"/>
        </w:rPr>
        <w:t xml:space="preserve">service. </w:t>
      </w:r>
    </w:p>
    <w:p w14:paraId="36EA12BC" w14:textId="4BDBA23C" w:rsidR="00BE4832" w:rsidRPr="00157C7F" w:rsidRDefault="00BE4832" w:rsidP="00BE4832">
      <w:pPr>
        <w:spacing w:line="480" w:lineRule="auto"/>
        <w:ind w:firstLine="720"/>
        <w:rPr>
          <w:rFonts w:ascii="Garamond" w:hAnsi="Garamond"/>
        </w:rPr>
      </w:pPr>
      <w:r w:rsidRPr="00157C7F">
        <w:rPr>
          <w:rFonts w:ascii="Garamond" w:hAnsi="Garamond"/>
          <w:i/>
        </w:rPr>
        <w:t xml:space="preserve">Group demographics </w:t>
      </w:r>
      <w:r w:rsidRPr="00157C7F">
        <w:rPr>
          <w:rFonts w:ascii="Garamond" w:hAnsi="Garamond"/>
        </w:rPr>
        <w:t xml:space="preserve">Patients indicated their perceptions of </w:t>
      </w:r>
      <w:r w:rsidRPr="00157C7F">
        <w:rPr>
          <w:rFonts w:ascii="Garamond" w:hAnsi="Garamond"/>
          <w:i/>
        </w:rPr>
        <w:t xml:space="preserve">group continuity </w:t>
      </w:r>
      <w:r w:rsidRPr="00157C7F">
        <w:rPr>
          <w:rFonts w:ascii="Garamond" w:hAnsi="Garamond"/>
        </w:rPr>
        <w:t>for the sessions they attended (i.e., whether their group comprised mostly the same or different patients at each session) using a 7-point scale (1 = “</w:t>
      </w:r>
      <w:r w:rsidRPr="00157C7F">
        <w:rPr>
          <w:rFonts w:ascii="Garamond" w:hAnsi="Garamond"/>
          <w:i/>
        </w:rPr>
        <w:t>mostly different people”</w:t>
      </w:r>
      <w:r w:rsidRPr="00157C7F">
        <w:rPr>
          <w:rFonts w:ascii="Garamond" w:hAnsi="Garamond"/>
        </w:rPr>
        <w:t>, 7 = “</w:t>
      </w:r>
      <w:r w:rsidRPr="00157C7F">
        <w:rPr>
          <w:rFonts w:ascii="Garamond" w:hAnsi="Garamond"/>
          <w:i/>
        </w:rPr>
        <w:t>mostly the same people”</w:t>
      </w:r>
      <w:r w:rsidRPr="00157C7F">
        <w:rPr>
          <w:rFonts w:ascii="Garamond" w:hAnsi="Garamond"/>
        </w:rPr>
        <w:t>). Give</w:t>
      </w:r>
      <w:r w:rsidR="00F47D5E">
        <w:rPr>
          <w:rFonts w:ascii="Garamond" w:hAnsi="Garamond"/>
        </w:rPr>
        <w:t>n</w:t>
      </w:r>
      <w:r w:rsidRPr="00157C7F">
        <w:rPr>
          <w:rFonts w:ascii="Garamond" w:hAnsi="Garamond"/>
        </w:rPr>
        <w:t xml:space="preserve"> that patients were recruited at different stages of the programmes, they were also asked to indicate the </w:t>
      </w:r>
      <w:r w:rsidRPr="00157C7F">
        <w:rPr>
          <w:rFonts w:ascii="Garamond" w:hAnsi="Garamond"/>
          <w:i/>
        </w:rPr>
        <w:t xml:space="preserve">number of group </w:t>
      </w:r>
      <w:r w:rsidRPr="00157C7F">
        <w:rPr>
          <w:rFonts w:ascii="Garamond" w:hAnsi="Garamond"/>
          <w:i/>
        </w:rPr>
        <w:lastRenderedPageBreak/>
        <w:t>sessions</w:t>
      </w:r>
      <w:r w:rsidRPr="00157C7F">
        <w:rPr>
          <w:rFonts w:ascii="Garamond" w:hAnsi="Garamond"/>
        </w:rPr>
        <w:t xml:space="preserve"> that they had attended at the time of completing the survey. Based on previous literature showing a positive association between group continuity and identification (Herrera, Sani, &amp; Bowe, 2011), we expected that patients who had attended a greater number of sessions</w:t>
      </w:r>
      <w:r w:rsidR="00BD1AD4" w:rsidRPr="00157C7F">
        <w:rPr>
          <w:rFonts w:ascii="Garamond" w:hAnsi="Garamond"/>
        </w:rPr>
        <w:t>, and</w:t>
      </w:r>
      <w:r w:rsidRPr="00157C7F">
        <w:rPr>
          <w:rFonts w:ascii="Garamond" w:hAnsi="Garamond"/>
        </w:rPr>
        <w:t xml:space="preserve"> with mostly the same people</w:t>
      </w:r>
      <w:r w:rsidR="00BD1AD4" w:rsidRPr="00157C7F">
        <w:rPr>
          <w:rFonts w:ascii="Garamond" w:hAnsi="Garamond"/>
        </w:rPr>
        <w:t xml:space="preserve">, </w:t>
      </w:r>
      <w:r w:rsidRPr="00157C7F">
        <w:rPr>
          <w:rFonts w:ascii="Garamond" w:hAnsi="Garamond"/>
        </w:rPr>
        <w:t>would identi</w:t>
      </w:r>
      <w:r w:rsidR="00F47D5E">
        <w:rPr>
          <w:rFonts w:ascii="Garamond" w:hAnsi="Garamond"/>
        </w:rPr>
        <w:t>f</w:t>
      </w:r>
      <w:r w:rsidRPr="00157C7F">
        <w:rPr>
          <w:rFonts w:ascii="Garamond" w:hAnsi="Garamond"/>
        </w:rPr>
        <w:t xml:space="preserve">y more strongly with the treatment group.  </w:t>
      </w:r>
    </w:p>
    <w:p w14:paraId="4CDD97B4" w14:textId="768D6B11" w:rsidR="00BE4832" w:rsidRPr="00157C7F" w:rsidRDefault="00BE4832" w:rsidP="00BE4832">
      <w:pPr>
        <w:spacing w:line="480" w:lineRule="auto"/>
        <w:ind w:firstLine="720"/>
        <w:rPr>
          <w:rFonts w:ascii="Garamond" w:hAnsi="Garamond"/>
        </w:rPr>
      </w:pPr>
      <w:r w:rsidRPr="00157C7F">
        <w:rPr>
          <w:rFonts w:ascii="Garamond" w:hAnsi="Garamond"/>
          <w:i/>
        </w:rPr>
        <w:t>Psychosocial variables</w:t>
      </w:r>
      <w:r w:rsidRPr="00157C7F">
        <w:t xml:space="preserve"> </w:t>
      </w:r>
      <w:r w:rsidRPr="00157C7F">
        <w:rPr>
          <w:rFonts w:ascii="Garamond" w:hAnsi="Garamond"/>
        </w:rPr>
        <w:t>were primarily assessed to gain an understanding of the nature of the interaction between social relation</w:t>
      </w:r>
      <w:r w:rsidR="00BD1AD4" w:rsidRPr="00157C7F">
        <w:rPr>
          <w:rFonts w:ascii="Garamond" w:hAnsi="Garamond"/>
        </w:rPr>
        <w:t xml:space="preserve">al experiences </w:t>
      </w:r>
      <w:r w:rsidRPr="00157C7F">
        <w:rPr>
          <w:rFonts w:ascii="Garamond" w:hAnsi="Garamond"/>
        </w:rPr>
        <w:t>outside the obesity service and treatment group identification.</w:t>
      </w:r>
      <w:r w:rsidRPr="00157C7F">
        <w:rPr>
          <w:rFonts w:ascii="Garamond" w:hAnsi="Garamond"/>
          <w:i/>
        </w:rPr>
        <w:t xml:space="preserve"> </w:t>
      </w:r>
      <w:r w:rsidRPr="00157C7F">
        <w:rPr>
          <w:rFonts w:ascii="Garamond" w:hAnsi="Garamond"/>
        </w:rPr>
        <w:t xml:space="preserve">Patients reported the degree to which they experienced </w:t>
      </w:r>
      <w:r w:rsidRPr="00157C7F">
        <w:rPr>
          <w:rFonts w:ascii="Garamond" w:hAnsi="Garamond"/>
          <w:i/>
        </w:rPr>
        <w:t xml:space="preserve">external social support </w:t>
      </w:r>
      <w:r w:rsidRPr="00157C7F">
        <w:rPr>
          <w:rFonts w:ascii="Garamond" w:hAnsi="Garamond"/>
        </w:rPr>
        <w:t xml:space="preserve">using the </w:t>
      </w:r>
      <w:r w:rsidRPr="00157C7F">
        <w:rPr>
          <w:rFonts w:ascii="Garamond" w:hAnsi="Garamond"/>
          <w:i/>
        </w:rPr>
        <w:t>Multidimensional Scale of Perceived Social</w:t>
      </w:r>
      <w:r w:rsidRPr="00157C7F">
        <w:rPr>
          <w:rFonts w:ascii="Garamond" w:hAnsi="Garamond"/>
        </w:rPr>
        <w:t xml:space="preserve"> </w:t>
      </w:r>
      <w:r w:rsidRPr="00157C7F">
        <w:rPr>
          <w:rFonts w:ascii="Garamond" w:hAnsi="Garamond"/>
          <w:i/>
        </w:rPr>
        <w:t>Support</w:t>
      </w:r>
      <w:r w:rsidRPr="00157C7F">
        <w:rPr>
          <w:rFonts w:ascii="Garamond" w:hAnsi="Garamond"/>
        </w:rPr>
        <w:t xml:space="preserve"> (MSPP: Zimet, Dahlem, Zimet</w:t>
      </w:r>
      <w:r w:rsidR="00F47D5E">
        <w:rPr>
          <w:rFonts w:ascii="Garamond" w:hAnsi="Garamond"/>
        </w:rPr>
        <w:t>,</w:t>
      </w:r>
      <w:r w:rsidRPr="00157C7F">
        <w:rPr>
          <w:rFonts w:ascii="Garamond" w:hAnsi="Garamond"/>
        </w:rPr>
        <w:t xml:space="preserve"> &amp; Farley, 1988). The 12-item scale assesses perceptions of social support from three sources outside of the obesity service: family, friends, and a significant other (sample item “</w:t>
      </w:r>
      <w:r w:rsidRPr="00157C7F">
        <w:rPr>
          <w:rFonts w:ascii="Garamond" w:hAnsi="Garamond"/>
          <w:i/>
        </w:rPr>
        <w:t>I can count on my friends when things go wrong</w:t>
      </w:r>
      <w:r w:rsidRPr="00157C7F">
        <w:rPr>
          <w:rFonts w:ascii="Garamond" w:hAnsi="Garamond"/>
        </w:rPr>
        <w:t>”; 1 = “</w:t>
      </w:r>
      <w:r w:rsidRPr="00157C7F">
        <w:rPr>
          <w:rFonts w:ascii="Garamond" w:hAnsi="Garamond"/>
          <w:i/>
        </w:rPr>
        <w:t>very strongly disagree</w:t>
      </w:r>
      <w:r w:rsidRPr="00157C7F">
        <w:rPr>
          <w:rFonts w:ascii="Garamond" w:hAnsi="Garamond"/>
        </w:rPr>
        <w:t>”, 7 = “</w:t>
      </w:r>
      <w:r w:rsidRPr="00157C7F">
        <w:rPr>
          <w:rFonts w:ascii="Garamond" w:hAnsi="Garamond"/>
          <w:i/>
        </w:rPr>
        <w:t>very strongly agree</w:t>
      </w:r>
      <w:r w:rsidRPr="00157C7F">
        <w:rPr>
          <w:rFonts w:ascii="Garamond" w:hAnsi="Garamond"/>
        </w:rPr>
        <w:t>”). Scale scores were averaged to create a total support</w:t>
      </w:r>
      <w:r w:rsidRPr="00157C7F">
        <w:rPr>
          <w:rFonts w:ascii="Garamond" w:hAnsi="Garamond"/>
          <w:i/>
        </w:rPr>
        <w:t xml:space="preserve"> </w:t>
      </w:r>
      <w:r w:rsidRPr="00157C7F">
        <w:rPr>
          <w:rFonts w:ascii="Garamond" w:hAnsi="Garamond"/>
        </w:rPr>
        <w:t xml:space="preserve">score, with higher scores indicating greater perceived support. The measure has been validated in a range of healthcare settings (see Lopez &amp; Cooper, 2011). </w:t>
      </w:r>
    </w:p>
    <w:p w14:paraId="6C11B353" w14:textId="2F594D03" w:rsidR="00BE4832" w:rsidRPr="00157C7F" w:rsidRDefault="00BE4832" w:rsidP="00BE4832">
      <w:pPr>
        <w:spacing w:line="480" w:lineRule="auto"/>
        <w:rPr>
          <w:rFonts w:ascii="Garamond" w:hAnsi="Garamond"/>
        </w:rPr>
      </w:pPr>
      <w:r w:rsidRPr="00157C7F">
        <w:rPr>
          <w:rFonts w:ascii="Garamond" w:hAnsi="Garamond"/>
          <w:b/>
        </w:rPr>
        <w:tab/>
      </w:r>
      <w:r w:rsidRPr="00157C7F">
        <w:rPr>
          <w:rFonts w:ascii="Garamond" w:hAnsi="Garamond"/>
        </w:rPr>
        <w:t xml:space="preserve">Membership of other social groups was recorded using the </w:t>
      </w:r>
      <w:r w:rsidRPr="00157C7F">
        <w:rPr>
          <w:rFonts w:ascii="Garamond" w:hAnsi="Garamond"/>
          <w:i/>
        </w:rPr>
        <w:t xml:space="preserve">multiple group membership </w:t>
      </w:r>
      <w:r w:rsidRPr="00157C7F">
        <w:rPr>
          <w:rFonts w:ascii="Garamond" w:hAnsi="Garamond"/>
        </w:rPr>
        <w:t>(MGM)</w:t>
      </w:r>
      <w:r w:rsidRPr="00157C7F">
        <w:rPr>
          <w:rFonts w:ascii="Garamond" w:hAnsi="Garamond"/>
          <w:i/>
        </w:rPr>
        <w:t xml:space="preserve"> </w:t>
      </w:r>
      <w:r w:rsidRPr="00157C7F">
        <w:rPr>
          <w:rFonts w:ascii="Garamond" w:hAnsi="Garamond"/>
        </w:rPr>
        <w:t>subscale</w:t>
      </w:r>
      <w:r w:rsidRPr="00157C7F">
        <w:rPr>
          <w:rFonts w:ascii="Garamond" w:hAnsi="Garamond"/>
          <w:i/>
        </w:rPr>
        <w:t xml:space="preserve"> </w:t>
      </w:r>
      <w:r w:rsidRPr="00157C7F">
        <w:rPr>
          <w:rFonts w:ascii="Garamond" w:hAnsi="Garamond"/>
        </w:rPr>
        <w:t>from Haslam et al. (2008). The MGM measure comprises four items assessing belongingness, participation, friendships</w:t>
      </w:r>
      <w:r w:rsidR="005C4241">
        <w:rPr>
          <w:rFonts w:ascii="Garamond" w:hAnsi="Garamond"/>
        </w:rPr>
        <w:t>,</w:t>
      </w:r>
      <w:r w:rsidRPr="00157C7F">
        <w:rPr>
          <w:rFonts w:ascii="Garamond" w:hAnsi="Garamond"/>
        </w:rPr>
        <w:t xml:space="preserve"> and ties in multiple groups outside the bariatric service (sample item: “</w:t>
      </w:r>
      <w:r w:rsidRPr="00157C7F">
        <w:rPr>
          <w:rFonts w:ascii="Garamond" w:hAnsi="Garamond"/>
          <w:i/>
        </w:rPr>
        <w:t>I join in the activities of lots of different groups outside</w:t>
      </w:r>
      <w:r w:rsidRPr="00157C7F">
        <w:rPr>
          <w:rFonts w:ascii="Garamond" w:hAnsi="Garamond"/>
        </w:rPr>
        <w:t xml:space="preserve"> [the obesity service]”; 1 = “</w:t>
      </w:r>
      <w:r w:rsidRPr="00157C7F">
        <w:rPr>
          <w:rFonts w:ascii="Garamond" w:hAnsi="Garamond"/>
          <w:i/>
        </w:rPr>
        <w:t>do not agree at all</w:t>
      </w:r>
      <w:r w:rsidRPr="00157C7F">
        <w:rPr>
          <w:rFonts w:ascii="Garamond" w:hAnsi="Garamond"/>
        </w:rPr>
        <w:t>”, 7 = “</w:t>
      </w:r>
      <w:r w:rsidRPr="00157C7F">
        <w:rPr>
          <w:rFonts w:ascii="Garamond" w:hAnsi="Garamond"/>
          <w:i/>
        </w:rPr>
        <w:t>very strongly agree</w:t>
      </w:r>
      <w:r w:rsidRPr="00157C7F">
        <w:rPr>
          <w:rFonts w:ascii="Garamond" w:hAnsi="Garamond"/>
        </w:rPr>
        <w:t>”). The scale has been validated in different healthcare settings (e.g., Jones et al., 2012; Jones &amp; Jetten, 2011). Scale items were averaged and higher scores indicated stronger ties to external groups.</w:t>
      </w:r>
    </w:p>
    <w:p w14:paraId="7E19564F" w14:textId="79491ADC" w:rsidR="00BE4832" w:rsidRPr="00157C7F" w:rsidRDefault="00BE4832" w:rsidP="00BE4832">
      <w:pPr>
        <w:spacing w:line="480" w:lineRule="auto"/>
        <w:ind w:firstLine="720"/>
        <w:rPr>
          <w:rFonts w:ascii="Garamond" w:hAnsi="Garamond"/>
        </w:rPr>
      </w:pPr>
      <w:r w:rsidRPr="00157C7F">
        <w:rPr>
          <w:rFonts w:ascii="Garamond" w:hAnsi="Garamond"/>
          <w:i/>
        </w:rPr>
        <w:t xml:space="preserve">Centrality of weight status </w:t>
      </w:r>
      <w:r w:rsidRPr="00157C7F">
        <w:rPr>
          <w:rFonts w:ascii="Garamond" w:hAnsi="Garamond"/>
        </w:rPr>
        <w:t>was assessed</w:t>
      </w:r>
      <w:r w:rsidRPr="00157C7F">
        <w:rPr>
          <w:rFonts w:ascii="Garamond" w:hAnsi="Garamond"/>
          <w:i/>
        </w:rPr>
        <w:t xml:space="preserve"> </w:t>
      </w:r>
      <w:r w:rsidRPr="00157C7F">
        <w:rPr>
          <w:rFonts w:ascii="Garamond" w:hAnsi="Garamond"/>
        </w:rPr>
        <w:t>using a 7-item scale adapted from Cameron (2004). Identity centrality is a dimension of social identity that reflects the psychological salience of a particular social category membership – in the current study as someone with excessive weight (sample item: “</w:t>
      </w:r>
      <w:r w:rsidRPr="00157C7F">
        <w:rPr>
          <w:rFonts w:ascii="Garamond" w:hAnsi="Garamond"/>
          <w:i/>
        </w:rPr>
        <w:t>I often think about the fact that I am a person with excessive weight</w:t>
      </w:r>
      <w:r w:rsidRPr="00157C7F">
        <w:rPr>
          <w:rFonts w:ascii="Garamond" w:hAnsi="Garamond"/>
        </w:rPr>
        <w:t>”; 1 = “</w:t>
      </w:r>
      <w:r w:rsidRPr="00157C7F">
        <w:rPr>
          <w:rFonts w:ascii="Garamond" w:hAnsi="Garamond"/>
          <w:i/>
        </w:rPr>
        <w:t>very strongly disagree</w:t>
      </w:r>
      <w:r w:rsidRPr="00157C7F">
        <w:rPr>
          <w:rFonts w:ascii="Garamond" w:hAnsi="Garamond"/>
        </w:rPr>
        <w:t>”, 7 = “</w:t>
      </w:r>
      <w:r w:rsidRPr="00157C7F">
        <w:rPr>
          <w:rFonts w:ascii="Garamond" w:hAnsi="Garamond"/>
          <w:i/>
        </w:rPr>
        <w:t>very strongly agree</w:t>
      </w:r>
      <w:r w:rsidR="006908D5">
        <w:rPr>
          <w:rFonts w:ascii="Garamond" w:hAnsi="Garamond"/>
        </w:rPr>
        <w:t xml:space="preserve">”). </w:t>
      </w:r>
      <w:r w:rsidRPr="00157C7F">
        <w:rPr>
          <w:rFonts w:ascii="Garamond" w:hAnsi="Garamond"/>
        </w:rPr>
        <w:t>Scale items were averaged and higher scores indicated greater identity centrality of excessive weight. The scale has been validated previously (Cameron, 2004).</w:t>
      </w:r>
    </w:p>
    <w:p w14:paraId="2D1108EA" w14:textId="11650137" w:rsidR="00BE4832" w:rsidRPr="00157C7F" w:rsidRDefault="00BE4832" w:rsidP="00BE4832">
      <w:pPr>
        <w:spacing w:line="480" w:lineRule="auto"/>
        <w:ind w:firstLine="720"/>
        <w:jc w:val="both"/>
        <w:rPr>
          <w:rFonts w:ascii="Garamond" w:hAnsi="Garamond"/>
          <w:lang w:val="en-US"/>
        </w:rPr>
      </w:pPr>
      <w:r w:rsidRPr="00157C7F">
        <w:rPr>
          <w:rFonts w:ascii="Garamond" w:hAnsi="Garamond"/>
        </w:rPr>
        <w:lastRenderedPageBreak/>
        <w:t xml:space="preserve">Patients also reported their experiences of discrimination due to weight status using a 6-item measure of </w:t>
      </w:r>
      <w:r w:rsidRPr="00157C7F">
        <w:rPr>
          <w:rFonts w:ascii="Garamond" w:hAnsi="Garamond"/>
          <w:i/>
        </w:rPr>
        <w:t>perceived discrimination</w:t>
      </w:r>
      <w:r w:rsidRPr="00157C7F">
        <w:rPr>
          <w:rFonts w:ascii="Garamond" w:hAnsi="Garamond"/>
        </w:rPr>
        <w:t xml:space="preserve"> adapted from Branscombe, Schmitt, and Harvey (1999). The scale asks about direct experiences of discrimination (e.g., “</w:t>
      </w:r>
      <w:r w:rsidRPr="00157C7F">
        <w:rPr>
          <w:rFonts w:ascii="Garamond" w:hAnsi="Garamond"/>
          <w:i/>
        </w:rPr>
        <w:t>I have personally been a victim of discrimination because of my weight and shape</w:t>
      </w:r>
      <w:r w:rsidRPr="00157C7F">
        <w:rPr>
          <w:rFonts w:ascii="Garamond" w:hAnsi="Garamond"/>
        </w:rPr>
        <w:t>”) and also indirect experiences of it (e.g., “</w:t>
      </w:r>
      <w:r w:rsidRPr="00157C7F">
        <w:rPr>
          <w:rFonts w:ascii="Garamond" w:hAnsi="Garamond"/>
          <w:i/>
        </w:rPr>
        <w:t>Prejudice against people with excessive weight has affected me personally</w:t>
      </w:r>
      <w:r w:rsidRPr="00157C7F">
        <w:rPr>
          <w:rFonts w:ascii="Garamond" w:hAnsi="Garamond"/>
        </w:rPr>
        <w:t>”: 1 = “</w:t>
      </w:r>
      <w:r w:rsidRPr="00157C7F">
        <w:rPr>
          <w:rFonts w:ascii="Garamond" w:hAnsi="Garamond"/>
          <w:i/>
        </w:rPr>
        <w:t>very strongly disagree</w:t>
      </w:r>
      <w:r w:rsidRPr="00157C7F">
        <w:rPr>
          <w:rFonts w:ascii="Garamond" w:hAnsi="Garamond"/>
        </w:rPr>
        <w:t>”, 7 = “</w:t>
      </w:r>
      <w:r w:rsidRPr="00157C7F">
        <w:rPr>
          <w:rFonts w:ascii="Garamond" w:hAnsi="Garamond"/>
          <w:i/>
        </w:rPr>
        <w:t>very strongly agree</w:t>
      </w:r>
      <w:r w:rsidRPr="00157C7F">
        <w:rPr>
          <w:rFonts w:ascii="Garamond" w:hAnsi="Garamond"/>
        </w:rPr>
        <w:t>”) and has been widely administered and validated in the social psychological literature (e.g., Schmitt, Branscombe, Postmes, &amp; Garcia, 2014). It has also been used in previous studies of weight bias (Farrow &amp; Tarrant, 2009). Scale items were averaged with higher scores indicating stronger perceptions of discrimination due to weight.</w:t>
      </w:r>
    </w:p>
    <w:p w14:paraId="018FC85C" w14:textId="6C9203AE" w:rsidR="00BE4832" w:rsidRPr="00157C7F" w:rsidRDefault="00BE4832" w:rsidP="00BE4832">
      <w:pPr>
        <w:spacing w:line="480" w:lineRule="auto"/>
        <w:ind w:firstLine="720"/>
        <w:rPr>
          <w:rFonts w:ascii="Garamond" w:hAnsi="Garamond"/>
        </w:rPr>
      </w:pPr>
      <w:r w:rsidRPr="00157C7F">
        <w:rPr>
          <w:rFonts w:ascii="Garamond" w:hAnsi="Garamond"/>
        </w:rPr>
        <w:t xml:space="preserve">Finally, patients reported their </w:t>
      </w:r>
      <w:r w:rsidRPr="00157C7F">
        <w:rPr>
          <w:rFonts w:ascii="Garamond" w:hAnsi="Garamond"/>
          <w:i/>
        </w:rPr>
        <w:t>social identification</w:t>
      </w:r>
      <w:r w:rsidRPr="00157C7F">
        <w:rPr>
          <w:rFonts w:ascii="Garamond" w:hAnsi="Garamond"/>
        </w:rPr>
        <w:t xml:space="preserve"> with the obesity treatment group using an 11-item scale (Doosje, Ellemers, &amp; Spears, 1995; Cameron, 2004). The items comprising the measures have been validated in a range of healthcare settings (e.g., Haslam, Haslam, Ysseldyk, McCloskey</w:t>
      </w:r>
      <w:r w:rsidR="005C4241">
        <w:rPr>
          <w:rFonts w:ascii="Garamond" w:hAnsi="Garamond"/>
        </w:rPr>
        <w:t>,</w:t>
      </w:r>
      <w:r w:rsidRPr="00157C7F">
        <w:rPr>
          <w:rFonts w:ascii="Garamond" w:hAnsi="Garamond"/>
        </w:rPr>
        <w:t xml:space="preserve"> &amp; Brown, 2014; Ysseldyk, Haslam, &amp; Haslam, 2013; sample item: “</w:t>
      </w:r>
      <w:r w:rsidRPr="00157C7F">
        <w:rPr>
          <w:rFonts w:ascii="Garamond" w:hAnsi="Garamond"/>
          <w:i/>
        </w:rPr>
        <w:t xml:space="preserve">I identify with other members in my group at </w:t>
      </w:r>
      <w:r w:rsidRPr="00157C7F">
        <w:rPr>
          <w:rFonts w:ascii="Garamond" w:hAnsi="Garamond"/>
        </w:rPr>
        <w:t>[the obesity service]”; 1 =</w:t>
      </w:r>
      <w:r w:rsidRPr="00157C7F">
        <w:rPr>
          <w:rFonts w:ascii="Garamond" w:hAnsi="Garamond"/>
          <w:i/>
        </w:rPr>
        <w:t xml:space="preserve"> </w:t>
      </w:r>
      <w:r w:rsidRPr="00157C7F">
        <w:rPr>
          <w:rFonts w:ascii="Garamond" w:hAnsi="Garamond"/>
        </w:rPr>
        <w:t>“</w:t>
      </w:r>
      <w:r w:rsidRPr="00157C7F">
        <w:rPr>
          <w:rFonts w:ascii="Garamond" w:hAnsi="Garamond"/>
          <w:i/>
        </w:rPr>
        <w:t>very strongly disagree</w:t>
      </w:r>
      <w:r w:rsidRPr="00157C7F">
        <w:rPr>
          <w:rFonts w:ascii="Garamond" w:hAnsi="Garamond"/>
        </w:rPr>
        <w:t>”, 7 = “</w:t>
      </w:r>
      <w:r w:rsidRPr="00157C7F">
        <w:rPr>
          <w:rFonts w:ascii="Garamond" w:hAnsi="Garamond"/>
          <w:i/>
        </w:rPr>
        <w:t>very strongly agree</w:t>
      </w:r>
      <w:r w:rsidRPr="00157C7F">
        <w:rPr>
          <w:rFonts w:ascii="Garamond" w:hAnsi="Garamond"/>
        </w:rPr>
        <w:t xml:space="preserve">”).  Scale items were averaged with higher scores indicating stronger social identification with the obesity group. It should be noted that a factor analysis (principal axis factoring, oblique rotation) was run to assess the discreteness of the items comprising the measures assessing </w:t>
      </w:r>
      <w:r w:rsidRPr="00157C7F">
        <w:rPr>
          <w:rFonts w:ascii="Garamond" w:hAnsi="Garamond"/>
          <w:i/>
        </w:rPr>
        <w:t>centrality of weight status</w:t>
      </w:r>
      <w:r w:rsidRPr="00157C7F">
        <w:rPr>
          <w:rFonts w:ascii="Garamond" w:hAnsi="Garamond"/>
        </w:rPr>
        <w:t xml:space="preserve"> and </w:t>
      </w:r>
      <w:r w:rsidRPr="00157C7F">
        <w:rPr>
          <w:rFonts w:ascii="Garamond" w:hAnsi="Garamond"/>
          <w:i/>
        </w:rPr>
        <w:t>social identification</w:t>
      </w:r>
      <w:r w:rsidRPr="00157C7F">
        <w:rPr>
          <w:rFonts w:ascii="Garamond" w:hAnsi="Garamond"/>
        </w:rPr>
        <w:t xml:space="preserve"> with the obesity treatment group. The analysis showed that the items loaded onto two distinct factor dimensions corresponding to the operationalisation of the measures, accounting for 40% of the total variance.</w:t>
      </w:r>
    </w:p>
    <w:p w14:paraId="0406329D" w14:textId="77777777" w:rsidR="00BE4832" w:rsidRPr="00157C7F" w:rsidRDefault="00BE4832" w:rsidP="00BE4832">
      <w:pPr>
        <w:spacing w:line="480" w:lineRule="auto"/>
        <w:ind w:firstLine="720"/>
        <w:rPr>
          <w:rFonts w:ascii="Garamond" w:hAnsi="Garamond"/>
        </w:rPr>
      </w:pPr>
      <w:r w:rsidRPr="00157C7F">
        <w:rPr>
          <w:rFonts w:ascii="Garamond" w:hAnsi="Garamond"/>
        </w:rPr>
        <w:t xml:space="preserve"> Means, standard deviations, and reliability (Cronbach’s) alphas for all measures are presented in Table 1. </w:t>
      </w:r>
    </w:p>
    <w:p w14:paraId="7CD0658F" w14:textId="77777777" w:rsidR="00170563" w:rsidRPr="00157C7F" w:rsidRDefault="00170563">
      <w:pPr>
        <w:spacing w:line="480" w:lineRule="auto"/>
        <w:rPr>
          <w:rFonts w:ascii="Garamond" w:eastAsia="Garamond" w:hAnsi="Garamond" w:cs="Garamond"/>
        </w:rPr>
      </w:pPr>
    </w:p>
    <w:sdt>
      <w:sdtPr>
        <w:tag w:val="goog_rdk_5"/>
        <w:id w:val="820312995"/>
      </w:sdtPr>
      <w:sdtEndPr/>
      <w:sdtContent>
        <w:p w14:paraId="61D510F2" w14:textId="77777777" w:rsidR="00170563" w:rsidRPr="00157C7F" w:rsidRDefault="00663A4B">
          <w:pPr>
            <w:spacing w:line="480" w:lineRule="auto"/>
            <w:jc w:val="center"/>
            <w:rPr>
              <w:rFonts w:ascii="Garamond" w:eastAsia="Garamond" w:hAnsi="Garamond" w:cs="Garamond"/>
              <w:b/>
            </w:rPr>
          </w:pPr>
          <w:r w:rsidRPr="00157C7F">
            <w:rPr>
              <w:rFonts w:ascii="Garamond" w:eastAsia="Garamond" w:hAnsi="Garamond" w:cs="Garamond"/>
              <w:b/>
            </w:rPr>
            <w:t>Results</w:t>
          </w:r>
        </w:p>
      </w:sdtContent>
    </w:sdt>
    <w:p w14:paraId="45F80761" w14:textId="77777777" w:rsidR="00BE4832" w:rsidRPr="00157C7F" w:rsidRDefault="00663A4B" w:rsidP="00BE4832">
      <w:pPr>
        <w:spacing w:line="480" w:lineRule="auto"/>
        <w:ind w:firstLine="720"/>
        <w:rPr>
          <w:rFonts w:ascii="Garamond" w:eastAsiaTheme="minorHAnsi" w:hAnsi="Garamond" w:cstheme="minorBidi"/>
          <w:lang w:eastAsia="en-US"/>
        </w:rPr>
      </w:pPr>
      <w:r w:rsidRPr="00157C7F">
        <w:rPr>
          <w:rFonts w:ascii="Garamond" w:eastAsia="Garamond" w:hAnsi="Garamond" w:cs="Garamond"/>
        </w:rPr>
        <w:t xml:space="preserve">Table 1 reports the bivariate correlations between the study variables. Post-hoc power calculations using G*Power (Faul, Erdfelder, Lang, &amp; Buchner, 2007) indicated that medium sized </w:t>
      </w:r>
      <w:r w:rsidRPr="00157C7F">
        <w:rPr>
          <w:rFonts w:ascii="Garamond" w:eastAsia="Garamond" w:hAnsi="Garamond" w:cs="Garamond"/>
        </w:rPr>
        <w:lastRenderedPageBreak/>
        <w:t xml:space="preserve">correlated coefficients (.03) would have high statistical power (.80) with the obtained sample. </w:t>
      </w:r>
      <w:r w:rsidR="00BE4832" w:rsidRPr="00157C7F">
        <w:rPr>
          <w:rFonts w:ascii="Garamond" w:eastAsiaTheme="minorHAnsi" w:hAnsi="Garamond" w:cstheme="minorBidi"/>
          <w:lang w:eastAsia="en-US"/>
        </w:rPr>
        <w:t xml:space="preserve">The statistical analyses were conducted in JASP </w:t>
      </w:r>
      <w:r w:rsidR="005664DC" w:rsidRPr="00157C7F">
        <w:rPr>
          <w:rFonts w:ascii="Garamond" w:eastAsiaTheme="minorHAnsi" w:hAnsi="Garamond" w:cstheme="minorBidi"/>
          <w:lang w:eastAsia="en-US"/>
        </w:rPr>
        <w:t xml:space="preserve">version 0.11.1 </w:t>
      </w:r>
      <w:r w:rsidR="00BE4832" w:rsidRPr="00157C7F">
        <w:rPr>
          <w:rFonts w:ascii="Garamond" w:eastAsiaTheme="minorHAnsi" w:hAnsi="Garamond" w:cstheme="minorBidi"/>
          <w:lang w:eastAsia="en-US"/>
        </w:rPr>
        <w:t>(JASP Team, 2019)</w:t>
      </w:r>
    </w:p>
    <w:p w14:paraId="573FEA8E" w14:textId="5D30BF21" w:rsidR="00170563" w:rsidRPr="00157C7F" w:rsidRDefault="00663A4B">
      <w:pPr>
        <w:spacing w:line="480" w:lineRule="auto"/>
        <w:ind w:firstLine="720"/>
        <w:rPr>
          <w:rFonts w:ascii="Garamond" w:eastAsia="Garamond" w:hAnsi="Garamond" w:cs="Garamond"/>
        </w:rPr>
      </w:pPr>
      <w:r w:rsidRPr="00157C7F">
        <w:rPr>
          <w:rFonts w:ascii="Garamond" w:eastAsia="Garamond" w:hAnsi="Garamond" w:cs="Garamond"/>
        </w:rPr>
        <w:t xml:space="preserve">Female patients had higher BMI and were younger, on average, than males. Age was positively associated with ties to multiple external groups and negatively associated with perceived weight discrimination. No other effects involving patient demographic variables were significant. The number of group sessions that patients attended was positively associated with perceptions of group continuity, with patients attending more sessions when the group had greater continuity of membership. Number of groups attended was also associated with external social support: patients tended to attend more group sessions when they experienced lower levels of support outside of the group. Centrality of weight status was negatively associated with multiple group memberships, with patients reporting greater centrality of excessive weight when they had weaker ties to other (external) social groups. Weight centrality was also associated with perceptions of discrimination, with greater salience of excessive weight reported at higher levels of weight discrimination. </w:t>
      </w:r>
      <w:r w:rsidRPr="00157C7F">
        <w:rPr>
          <w:rFonts w:ascii="Garamond" w:eastAsia="Garamond" w:hAnsi="Garamond" w:cs="Garamond"/>
          <w:i/>
        </w:rPr>
        <w:t>Social identification</w:t>
      </w:r>
      <w:r w:rsidRPr="00157C7F">
        <w:rPr>
          <w:rFonts w:ascii="Garamond" w:eastAsia="Garamond" w:hAnsi="Garamond" w:cs="Garamond"/>
        </w:rPr>
        <w:t xml:space="preserve"> with the obesity treatment group was positively associated with four variables: weight centrality, weight discrimination, multiple group membership</w:t>
      </w:r>
      <w:r w:rsidR="005C4241">
        <w:rPr>
          <w:rFonts w:ascii="Garamond" w:eastAsia="Garamond" w:hAnsi="Garamond" w:cs="Garamond"/>
        </w:rPr>
        <w:t>,</w:t>
      </w:r>
      <w:r w:rsidRPr="00157C7F">
        <w:rPr>
          <w:rFonts w:ascii="Garamond" w:eastAsia="Garamond" w:hAnsi="Garamond" w:cs="Garamond"/>
        </w:rPr>
        <w:t xml:space="preserve"> and group continuity. Thus, patients reporting higher levels of social identification tended to report greater centrality of weight status, stronger perceptions of weight discrimination, weaker ties to external social groups, and stronger perceptions of treatment group membership continuity. </w:t>
      </w:r>
    </w:p>
    <w:p w14:paraId="4A162D04" w14:textId="6E3C76BD" w:rsidR="00663A4B" w:rsidRPr="00157C7F" w:rsidRDefault="00663A4B" w:rsidP="00663A4B">
      <w:pPr>
        <w:spacing w:line="480" w:lineRule="auto"/>
        <w:rPr>
          <w:rFonts w:ascii="Garamond" w:eastAsiaTheme="minorHAnsi" w:hAnsi="Garamond" w:cstheme="minorBidi"/>
          <w:lang w:eastAsia="en-US"/>
        </w:rPr>
      </w:pPr>
      <w:r w:rsidRPr="00157C7F">
        <w:rPr>
          <w:rFonts w:ascii="Garamond" w:eastAsia="Garamond" w:hAnsi="Garamond" w:cs="Garamond"/>
        </w:rPr>
        <w:tab/>
      </w:r>
      <w:r w:rsidRPr="00157C7F">
        <w:rPr>
          <w:rFonts w:ascii="Garamond" w:eastAsiaTheme="minorHAnsi" w:hAnsi="Garamond" w:cstheme="minorBidi"/>
          <w:lang w:eastAsia="en-US"/>
        </w:rPr>
        <w:t>A linear regression with stepwise selection was performed to identify variables most predictive of social identification with the obesity treatment group; this selection procedure was preferred as it gives every variable equal consideration in terms of the unique variance that it predicts in the criterion variable. Social identification with the treatment group was specified as the criterion variable in the model and the remaining variables, including patient age, gender, BMI, group demographics</w:t>
      </w:r>
      <w:r w:rsidR="00DA36B2">
        <w:rPr>
          <w:rFonts w:ascii="Garamond" w:eastAsiaTheme="minorHAnsi" w:hAnsi="Garamond" w:cstheme="minorBidi"/>
          <w:lang w:eastAsia="en-US"/>
        </w:rPr>
        <w:t>,</w:t>
      </w:r>
      <w:r w:rsidRPr="00157C7F">
        <w:rPr>
          <w:rFonts w:ascii="Garamond" w:eastAsiaTheme="minorHAnsi" w:hAnsi="Garamond" w:cstheme="minorBidi"/>
          <w:lang w:eastAsia="en-US"/>
        </w:rPr>
        <w:t xml:space="preserve"> and psychosocial outcomes, were entered as predictor variables. The criterion for exclusion was a probability value below .05, and post-hoc power calculations using G*Power (Faul, Erdfelder, Lang, &amp; Buchner, 2007) indicated that predictors with medium effect sizes (.02) would </w:t>
      </w:r>
      <w:r w:rsidRPr="00157C7F">
        <w:rPr>
          <w:rFonts w:ascii="Garamond" w:eastAsiaTheme="minorHAnsi" w:hAnsi="Garamond" w:cstheme="minorBidi"/>
          <w:lang w:eastAsia="en-US"/>
        </w:rPr>
        <w:lastRenderedPageBreak/>
        <w:t xml:space="preserve">have high statistical power (.80) with this sample size. The results from the linear regression are presented in Table 2. </w:t>
      </w:r>
    </w:p>
    <w:p w14:paraId="4FC9CDB7" w14:textId="3376D5FE" w:rsidR="00663A4B" w:rsidRDefault="00663A4B" w:rsidP="00663A4B">
      <w:pPr>
        <w:spacing w:line="480" w:lineRule="auto"/>
        <w:ind w:firstLine="720"/>
        <w:rPr>
          <w:rFonts w:ascii="Garamond" w:eastAsiaTheme="minorHAnsi" w:hAnsi="Garamond" w:cstheme="minorBidi"/>
          <w:lang w:eastAsia="en-US"/>
        </w:rPr>
      </w:pPr>
      <w:r w:rsidRPr="00157C7F">
        <w:rPr>
          <w:rFonts w:ascii="Garamond" w:eastAsiaTheme="minorHAnsi" w:hAnsi="Garamond" w:cstheme="minorBidi"/>
          <w:lang w:eastAsia="en-US"/>
        </w:rPr>
        <w:t xml:space="preserve">Two significant models emerged explaining 25% of the variance in social identification with the treatment group (Model 1: </w:t>
      </w:r>
      <w:r w:rsidRPr="00157C7F">
        <w:rPr>
          <w:rFonts w:ascii="Garamond" w:eastAsiaTheme="minorHAnsi" w:hAnsi="Garamond" w:cstheme="minorBidi"/>
          <w:vertAlign w:val="superscript"/>
          <w:lang w:eastAsia="en-US"/>
        </w:rPr>
        <w:t>Adj</w:t>
      </w:r>
      <w:r w:rsidRPr="00157C7F">
        <w:rPr>
          <w:rFonts w:ascii="Garamond" w:eastAsiaTheme="minorHAnsi" w:hAnsi="Garamond" w:cstheme="minorBidi"/>
          <w:lang w:eastAsia="en-US"/>
        </w:rPr>
        <w:t xml:space="preserve">R² = .16; Model 2: </w:t>
      </w:r>
      <w:r w:rsidRPr="00157C7F">
        <w:rPr>
          <w:rFonts w:ascii="Garamond" w:eastAsiaTheme="minorHAnsi" w:hAnsi="Garamond" w:cstheme="minorBidi"/>
          <w:vertAlign w:val="superscript"/>
          <w:lang w:eastAsia="en-US"/>
        </w:rPr>
        <w:t>Adj</w:t>
      </w:r>
      <w:r w:rsidRPr="00157C7F">
        <w:rPr>
          <w:rFonts w:ascii="Garamond" w:eastAsiaTheme="minorHAnsi" w:hAnsi="Garamond" w:cstheme="minorBidi"/>
          <w:lang w:eastAsia="en-US"/>
        </w:rPr>
        <w:t>R² = .25). The first model contained one predictor variable, group continuity, whereas the second model contained group continuity and centrality of weight status. All remaining variables were excluded (</w:t>
      </w:r>
      <w:r w:rsidRPr="00157C7F">
        <w:rPr>
          <w:rFonts w:ascii="Garamond" w:eastAsiaTheme="minorHAnsi" w:hAnsi="Garamond" w:cstheme="minorBidi"/>
          <w:i/>
          <w:lang w:eastAsia="en-US"/>
        </w:rPr>
        <w:t xml:space="preserve">p </w:t>
      </w:r>
      <w:r w:rsidRPr="00157C7F">
        <w:rPr>
          <w:rFonts w:ascii="Garamond" w:eastAsiaTheme="minorHAnsi" w:hAnsi="Garamond" w:cstheme="minorBidi"/>
          <w:u w:val="single"/>
          <w:lang w:eastAsia="en-US"/>
        </w:rPr>
        <w:t>&gt;</w:t>
      </w:r>
      <w:r w:rsidRPr="00157C7F">
        <w:rPr>
          <w:rFonts w:ascii="Garamond" w:eastAsiaTheme="minorHAnsi" w:hAnsi="Garamond" w:cstheme="minorBidi"/>
          <w:lang w:eastAsia="en-US"/>
        </w:rPr>
        <w:t xml:space="preserve"> .16-.89) and there was no indication of multicollinearity in the two models. Thus, identification with the treatment group was highest: (i) to the extent that the membership of the group was more continuous, and (ii) when patients perceived themselves more centrally in terms of their overweight status.</w:t>
      </w:r>
    </w:p>
    <w:p w14:paraId="70FC3442" w14:textId="77777777" w:rsidR="00F74CFD" w:rsidRPr="00157C7F" w:rsidRDefault="00F74CFD" w:rsidP="00663A4B">
      <w:pPr>
        <w:spacing w:line="480" w:lineRule="auto"/>
        <w:ind w:firstLine="720"/>
        <w:rPr>
          <w:rFonts w:ascii="Garamond" w:eastAsiaTheme="minorHAnsi" w:hAnsi="Garamond" w:cstheme="minorBidi"/>
          <w:lang w:eastAsia="en-US"/>
        </w:rPr>
      </w:pPr>
    </w:p>
    <w:sdt>
      <w:sdtPr>
        <w:tag w:val="goog_rdk_6"/>
        <w:id w:val="-79752577"/>
      </w:sdtPr>
      <w:sdtEndPr/>
      <w:sdtContent>
        <w:p w14:paraId="0BE5C877" w14:textId="77777777" w:rsidR="00170563" w:rsidRPr="00157C7F" w:rsidRDefault="00663A4B">
          <w:pPr>
            <w:spacing w:line="480" w:lineRule="auto"/>
            <w:jc w:val="center"/>
            <w:rPr>
              <w:rFonts w:ascii="Garamond" w:eastAsia="Garamond" w:hAnsi="Garamond" w:cs="Garamond"/>
              <w:b/>
            </w:rPr>
          </w:pPr>
          <w:r w:rsidRPr="00157C7F">
            <w:rPr>
              <w:rFonts w:ascii="Garamond" w:eastAsia="Garamond" w:hAnsi="Garamond" w:cs="Garamond"/>
              <w:b/>
            </w:rPr>
            <w:t>Discussion</w:t>
          </w:r>
        </w:p>
      </w:sdtContent>
    </w:sdt>
    <w:p w14:paraId="09482EB0" w14:textId="3FCBBD88" w:rsidR="00170563" w:rsidRPr="00157C7F" w:rsidRDefault="00663A4B">
      <w:pPr>
        <w:spacing w:line="480" w:lineRule="auto"/>
        <w:ind w:firstLine="720"/>
        <w:rPr>
          <w:rFonts w:ascii="Garamond" w:eastAsia="Garamond" w:hAnsi="Garamond" w:cs="Garamond"/>
        </w:rPr>
      </w:pPr>
      <w:r w:rsidRPr="00157C7F">
        <w:rPr>
          <w:rFonts w:ascii="Garamond" w:eastAsia="Garamond" w:hAnsi="Garamond" w:cs="Garamond"/>
        </w:rPr>
        <w:t xml:space="preserve">Social identification has been established as an important mechanism through which the effects of group interventions operate, including in obesity care (Tarrant et al., 2017), and it is known to impact on a range of health outcomes across different contexts (e.g., Haslam et al., 2016). Tarrant et al.’s (2017) study of patients enrolled on a group programme for severe obesity showed how social identification structured patients’ progression through the programme, triggering provision and receipt of social support within the group and motivating behavioural change. Similarly, Nackers et al. (2015) showed that conflict between members of an obesity treatment group, which may signal an </w:t>
      </w:r>
      <w:r w:rsidRPr="00157C7F">
        <w:rPr>
          <w:rFonts w:ascii="Garamond" w:eastAsia="Garamond" w:hAnsi="Garamond" w:cs="Garamond"/>
          <w:i/>
        </w:rPr>
        <w:t>absence</w:t>
      </w:r>
      <w:r w:rsidRPr="00157C7F">
        <w:rPr>
          <w:rFonts w:ascii="Garamond" w:eastAsia="Garamond" w:hAnsi="Garamond" w:cs="Garamond"/>
        </w:rPr>
        <w:t xml:space="preserve"> of social identification</w:t>
      </w:r>
      <w:r w:rsidR="000C60EB">
        <w:rPr>
          <w:rFonts w:ascii="Garamond" w:eastAsia="Garamond" w:hAnsi="Garamond" w:cs="Garamond"/>
        </w:rPr>
        <w:t xml:space="preserve"> and lead to group schism (Sani, 2005)</w:t>
      </w:r>
      <w:r w:rsidRPr="00157C7F">
        <w:rPr>
          <w:rFonts w:ascii="Garamond" w:eastAsia="Garamond" w:hAnsi="Garamond" w:cs="Garamond"/>
        </w:rPr>
        <w:t xml:space="preserve">, predicted poorer health outcomes. Thus, while treatment groups for severe obesity are designed to address the complex physical and psychological health needs of patients (Dietz et al., 2015; NICE, 2014), it is likely that they will be most successful in this regard to the extent that patients joining them establish a positive social identity </w:t>
      </w:r>
      <w:r w:rsidRPr="00157C7F">
        <w:rPr>
          <w:rFonts w:ascii="Garamond" w:eastAsia="Garamond" w:hAnsi="Garamond" w:cs="Garamond"/>
          <w:i/>
        </w:rPr>
        <w:t>as group members</w:t>
      </w:r>
      <w:r w:rsidRPr="00157C7F">
        <w:rPr>
          <w:rFonts w:ascii="Garamond" w:eastAsia="Garamond" w:hAnsi="Garamond" w:cs="Garamond"/>
        </w:rPr>
        <w:t xml:space="preserve">. </w:t>
      </w:r>
    </w:p>
    <w:p w14:paraId="3133C4EB" w14:textId="1DF804C1" w:rsidR="00170563" w:rsidRPr="00157C7F" w:rsidRDefault="00663A4B">
      <w:pPr>
        <w:spacing w:line="480" w:lineRule="auto"/>
        <w:ind w:firstLine="720"/>
        <w:rPr>
          <w:rFonts w:ascii="Garamond" w:eastAsia="Garamond" w:hAnsi="Garamond" w:cs="Garamond"/>
        </w:rPr>
      </w:pPr>
      <w:r w:rsidRPr="00157C7F">
        <w:rPr>
          <w:rFonts w:ascii="Garamond" w:eastAsia="Garamond" w:hAnsi="Garamond" w:cs="Garamond"/>
        </w:rPr>
        <w:t xml:space="preserve">Little is known about factors that may predispose patients to develop new social identities in treatment group settings: what the mechanisms of social identity formation are. Yet, managing the emergence, and subsequent progression, of patients’ psychological connections with other members </w:t>
      </w:r>
      <w:r w:rsidRPr="00157C7F">
        <w:rPr>
          <w:rFonts w:ascii="Garamond" w:eastAsia="Garamond" w:hAnsi="Garamond" w:cs="Garamond"/>
        </w:rPr>
        <w:lastRenderedPageBreak/>
        <w:t xml:space="preserve">of treatment groups like the one studied here is likely to be critical to patient engagement with programme content—and ultimately contribute to programme </w:t>
      </w:r>
      <w:r w:rsidRPr="005C4241">
        <w:rPr>
          <w:rFonts w:ascii="Garamond" w:eastAsia="Garamond" w:hAnsi="Garamond" w:cs="Garamond"/>
        </w:rPr>
        <w:t>effectiveness</w:t>
      </w:r>
      <w:r w:rsidR="005C4241" w:rsidRPr="005C4241">
        <w:rPr>
          <w:rFonts w:ascii="Garamond" w:eastAsia="Garamond" w:hAnsi="Garamond" w:cs="Garamond"/>
        </w:rPr>
        <w:t xml:space="preserve"> </w:t>
      </w:r>
      <w:r w:rsidR="005C4241" w:rsidRPr="005C4241">
        <w:rPr>
          <w:rFonts w:ascii="Garamond" w:eastAsia="Garamond" w:hAnsi="Garamond" w:cs="Garamond"/>
          <w:iCs/>
        </w:rPr>
        <w:t>(Cruwys, Steffens, Haslam, et al., 2019; Swancutt, Tarrant, &amp; Pinkney, 2019)</w:t>
      </w:r>
      <w:r w:rsidRPr="005C4241">
        <w:rPr>
          <w:rFonts w:ascii="Garamond" w:eastAsia="Garamond" w:hAnsi="Garamond" w:cs="Garamond"/>
        </w:rPr>
        <w:t>.</w:t>
      </w:r>
      <w:r w:rsidRPr="00157C7F">
        <w:rPr>
          <w:rFonts w:ascii="Garamond" w:eastAsia="Garamond" w:hAnsi="Garamond" w:cs="Garamond"/>
        </w:rPr>
        <w:t xml:space="preserve"> The current study provides early evidence that two such factors may underpin the emergence of a positive social identity in clinical treatment settings. The first factor, group continuity, can be understood as a “design” factor in that it is something that can be controlled for at the programme outset (e.g., Borek et al., 2018). As well as potentially motivating programme attendance, having continuity in a group’s composition across programme sessions likely instils perceptions of patient familiarity and group homogeneity, which may smooth the way for within-group social interaction and sharing of experiences (e.g., Tarrant et al., 2016). Such social interaction, necessary to the formation of social identity, may be more inhibited in rolling (open) groups where there is lower continuity of membership across a programme.</w:t>
      </w:r>
      <w:r w:rsidR="00285A43" w:rsidRPr="00285A43">
        <w:rPr>
          <w:rFonts w:ascii="Garamond" w:eastAsia="Garamond" w:hAnsi="Garamond" w:cs="Garamond"/>
        </w:rPr>
        <w:t xml:space="preserve"> </w:t>
      </w:r>
      <w:r w:rsidR="00285A43">
        <w:rPr>
          <w:rFonts w:ascii="Garamond" w:eastAsia="Garamond" w:hAnsi="Garamond" w:cs="Garamond"/>
        </w:rPr>
        <w:t>Thus, in the context of clinical obesity services, where patients are unlikely to know other patients upon entry to the programme, ensuring continuity in group composition may be an especially important variable to control in order to support social identity development.</w:t>
      </w:r>
    </w:p>
    <w:p w14:paraId="2A1640F1" w14:textId="51EE8244" w:rsidR="00170563" w:rsidRPr="00157C7F" w:rsidRDefault="00663A4B">
      <w:pPr>
        <w:spacing w:line="480" w:lineRule="auto"/>
        <w:ind w:firstLine="720"/>
        <w:rPr>
          <w:rFonts w:ascii="Garamond" w:eastAsia="Garamond" w:hAnsi="Garamond" w:cs="Garamond"/>
        </w:rPr>
      </w:pPr>
      <w:r w:rsidRPr="00157C7F">
        <w:rPr>
          <w:rFonts w:ascii="Garamond" w:eastAsia="Garamond" w:hAnsi="Garamond" w:cs="Garamond"/>
        </w:rPr>
        <w:t xml:space="preserve">The second factor reflects the wider, societal experiences that patients bring with them to treatment groups, and in particular the extent to which patients see themselves in terms of their health condition. In the current study, centrality of weight status was positively associated with discrimination experiences: patients were more likely to see themselves centrally in terms of their excess weight when they experienced high levels of weight-based discrimination. Discrimination due to weight is routinely experienced by people with obesity (Puhl &amp; Heuer, 2009; Puhl &amp; Brownell, 2001), and research indicates that discrimination experiences can become internalised (Wang et al., 2004) and perpetuate maladaptive eating behaviours leading to weight gain (Puhl et al., 2007; Puhl &amp; Suh, 2015). Patients in the current study reported relatively high levels of discrimination overall (mean discrimination score of 4.55 on a 7-point scale). Notably, patients reporting higher levels of discrimination also tended to report weaker social group ties externally; and those with weaker group ties reported generally lower levels of social support outside of the treatment group. Together, these </w:t>
      </w:r>
      <w:r w:rsidRPr="00157C7F">
        <w:rPr>
          <w:rFonts w:ascii="Garamond" w:eastAsia="Garamond" w:hAnsi="Garamond" w:cs="Garamond"/>
        </w:rPr>
        <w:lastRenderedPageBreak/>
        <w:t>findings support the observation that weight stigma contributes to feelings of social exclusion among victims (Westermann, Rief, Euteneuer</w:t>
      </w:r>
      <w:r w:rsidR="00DA36B2">
        <w:rPr>
          <w:rFonts w:ascii="Garamond" w:eastAsia="Garamond" w:hAnsi="Garamond" w:cs="Garamond"/>
        </w:rPr>
        <w:t>,</w:t>
      </w:r>
      <w:r w:rsidRPr="00157C7F">
        <w:rPr>
          <w:rFonts w:ascii="Garamond" w:eastAsia="Garamond" w:hAnsi="Garamond" w:cs="Garamond"/>
        </w:rPr>
        <w:t xml:space="preserve"> &amp; Kohlmann, 2015) that may underpin centrality of self-perception in terms of weight. </w:t>
      </w:r>
    </w:p>
    <w:p w14:paraId="32C621A9" w14:textId="5EEB674A" w:rsidR="00170563" w:rsidRPr="00157C7F" w:rsidRDefault="00663A4B">
      <w:pPr>
        <w:spacing w:line="480" w:lineRule="auto"/>
        <w:ind w:firstLine="720"/>
        <w:rPr>
          <w:rFonts w:ascii="Garamond" w:eastAsia="Garamond" w:hAnsi="Garamond" w:cs="Garamond"/>
        </w:rPr>
      </w:pPr>
      <w:r w:rsidRPr="00157C7F">
        <w:rPr>
          <w:rFonts w:ascii="Garamond" w:eastAsia="Garamond" w:hAnsi="Garamond" w:cs="Garamond"/>
        </w:rPr>
        <w:t>It is useful to consider why centrality of weight status may be important to patients’ social identification with new treatment groups. The group programme examined here facilitated early social interaction between group members and, through this, an exploration of “patient stories” including the wider negative experiences of bias and social relations related to living with obesity. Patients in Tarrant et al.’s (2017) study, who identified with the treatment group, highlighted the value of discussing their experiences with other group members and coming to realise that these experiences were not individually unique but were in fact common within the group. Thus, despite their clear damaging psychological effects</w:t>
      </w:r>
      <w:r w:rsidR="000C60EB">
        <w:rPr>
          <w:rFonts w:ascii="Garamond" w:eastAsia="Garamond" w:hAnsi="Garamond" w:cs="Garamond"/>
        </w:rPr>
        <w:t xml:space="preserve"> at the individual level</w:t>
      </w:r>
      <w:r w:rsidRPr="00157C7F">
        <w:rPr>
          <w:rFonts w:ascii="Garamond" w:eastAsia="Garamond" w:hAnsi="Garamond" w:cs="Garamond"/>
        </w:rPr>
        <w:t>, and potential to reinforce negative behaviours contributing to further weight gain, weight bias and associated psychosocial outcomes may nonetheless provide essential common ground for new group members to start building a shared social identity in treatment settings. An early activity for obesity treatment groups therefore might be to prioritise a supportive culture of sharing between patients and exploration (and emphasis) of commonality in past experiences.</w:t>
      </w:r>
      <w:r w:rsidR="000C60EB" w:rsidRPr="000C60EB">
        <w:rPr>
          <w:rFonts w:ascii="Garamond" w:eastAsiaTheme="minorHAnsi" w:hAnsi="Garamond" w:cstheme="minorBidi"/>
          <w:lang w:eastAsia="en-US"/>
        </w:rPr>
        <w:t xml:space="preserve"> </w:t>
      </w:r>
      <w:r w:rsidR="000C60EB" w:rsidRPr="000C60EB">
        <w:rPr>
          <w:rFonts w:ascii="Garamond" w:eastAsia="Garamond" w:hAnsi="Garamond" w:cs="Garamond"/>
        </w:rPr>
        <w:t>At the same time, it is important to recognise the important role played by group facilitators in monitoring the progression of their groups in order to ensure that the sharing of potentially negative past experiences is used to nurture a group atmosphere in which positive change behaviours can be implemented, rather than serving to reinforce patients’ sense of isolation or wider (societal) rejection. In other words, group facilitators need to support the development of shared social identity amongst group members and then work with the group to help it clarify and achieve its behavioural goals (see Tarrant, Haslam, Carter, Calitri, &amp; Haslam, 2019).</w:t>
      </w:r>
    </w:p>
    <w:p w14:paraId="76062E80" w14:textId="77777777" w:rsidR="00170563" w:rsidRPr="00157C7F" w:rsidRDefault="00663A4B">
      <w:pPr>
        <w:spacing w:line="480" w:lineRule="auto"/>
        <w:rPr>
          <w:rFonts w:ascii="Garamond" w:eastAsia="Garamond" w:hAnsi="Garamond" w:cs="Garamond"/>
          <w:i/>
        </w:rPr>
      </w:pPr>
      <w:r w:rsidRPr="00157C7F">
        <w:rPr>
          <w:rFonts w:ascii="Garamond" w:eastAsia="Garamond" w:hAnsi="Garamond" w:cs="Garamond"/>
          <w:i/>
        </w:rPr>
        <w:t>Limitations</w:t>
      </w:r>
    </w:p>
    <w:p w14:paraId="084F41FB" w14:textId="02C1B6F9" w:rsidR="000C60EB" w:rsidRDefault="00663A4B" w:rsidP="000C60EB">
      <w:pPr>
        <w:spacing w:line="480" w:lineRule="auto"/>
        <w:ind w:firstLine="720"/>
        <w:rPr>
          <w:rFonts w:ascii="Garamond" w:hAnsi="Garamond"/>
        </w:rPr>
      </w:pPr>
      <w:r w:rsidRPr="00157C7F">
        <w:rPr>
          <w:rFonts w:ascii="Garamond" w:eastAsia="Garamond" w:hAnsi="Garamond" w:cs="Garamond"/>
        </w:rPr>
        <w:t xml:space="preserve">A limitation of the current research is its reliance on a cross-sectional design. Such a design prohibits conclusions about causal relationships between study variables: for example, we cannot say </w:t>
      </w:r>
      <w:r w:rsidRPr="00157C7F">
        <w:rPr>
          <w:rFonts w:ascii="Garamond" w:eastAsia="Garamond" w:hAnsi="Garamond" w:cs="Garamond"/>
        </w:rPr>
        <w:lastRenderedPageBreak/>
        <w:t>for certain whether weight centrality influences treatment group social identification or whether social identification with a treatment group influences perceptions of weight centrality. The relationship between these two constructs may in fact be bi-directional: weight centrality might be a necessary condition for social identification, but group members may also come to see themselves more in terms of their weight—at least initially—as a result of the processes (e.g., sharing of stigma experiences, social support) that underpin social identity formation in treatment group settings. Further, this relationship itself may change across the course of a group programme: while weight centrality might be important early in a programme as group members start to establish psychological connections, other factors might become more closely tied to social identification as patients progress through the programme, perhaps reflecting changes in their physical and psychological health and interaction with programme material.</w:t>
      </w:r>
      <w:r w:rsidR="000C60EB" w:rsidRPr="000C60EB">
        <w:rPr>
          <w:rFonts w:ascii="Garamond" w:hAnsi="Garamond"/>
        </w:rPr>
        <w:t xml:space="preserve"> </w:t>
      </w:r>
      <w:r w:rsidR="000C60EB">
        <w:rPr>
          <w:rFonts w:ascii="Garamond" w:hAnsi="Garamond"/>
        </w:rPr>
        <w:t xml:space="preserve">Relatedly, the current study did not assess the relationship between social identification and health-related outcomes targeted by group programmes in obesity services (e.g., weight loss, dietary behaviour change). While positive effects of participation in group programmes on such outcomes have been documented, a fuller test of the social identity approach to health would consider both how shared social identity is established </w:t>
      </w:r>
      <w:r w:rsidR="000C60EB" w:rsidRPr="00F05B2C">
        <w:rPr>
          <w:rFonts w:ascii="Garamond" w:hAnsi="Garamond"/>
          <w:i/>
        </w:rPr>
        <w:t xml:space="preserve">and </w:t>
      </w:r>
      <w:r w:rsidR="000C60EB">
        <w:rPr>
          <w:rFonts w:ascii="Garamond" w:hAnsi="Garamond"/>
        </w:rPr>
        <w:t xml:space="preserve">also the impact of that process on clinical outcomes within the same design. </w:t>
      </w:r>
    </w:p>
    <w:p w14:paraId="63A300B0" w14:textId="77777777" w:rsidR="000C60EB" w:rsidRDefault="000C60EB" w:rsidP="000C60EB">
      <w:pPr>
        <w:spacing w:line="480" w:lineRule="auto"/>
        <w:ind w:firstLine="720"/>
        <w:rPr>
          <w:rFonts w:ascii="Garamond" w:hAnsi="Garamond"/>
        </w:rPr>
      </w:pPr>
      <w:r>
        <w:rPr>
          <w:rFonts w:ascii="Garamond" w:hAnsi="Garamond"/>
        </w:rPr>
        <w:t xml:space="preserve">A second limitation of this study is its reliance on one sample of patients </w:t>
      </w:r>
      <w:r w:rsidRPr="00A460D8">
        <w:rPr>
          <w:rFonts w:ascii="Garamond" w:hAnsi="Garamond"/>
        </w:rPr>
        <w:t xml:space="preserve">from a single obesity service. </w:t>
      </w:r>
      <w:r>
        <w:rPr>
          <w:rFonts w:ascii="Garamond" w:hAnsi="Garamond"/>
        </w:rPr>
        <w:t xml:space="preserve">Variability exists between different obesity management services across the UK in the design and delivery of group programmes—for example in terms of group size, and session length (Swancutt et al., 2019). Such variability is rarely reported in research reports, or clinical service evaluations (Borek et al., 2015) but nonetheless may influence the development of patients’ social identification with treatment groups (for example, group size might undermine social identification in very large groups, especially if there are limited opportunities for social interaction between members). The recent development of frameworks for coding features of group intervention design and delivery could help identify other potential variables that may form the basis of future investigations into social identity development in treatment settings. For example, one such </w:t>
      </w:r>
      <w:r>
        <w:rPr>
          <w:rFonts w:ascii="Garamond" w:hAnsi="Garamond"/>
        </w:rPr>
        <w:lastRenderedPageBreak/>
        <w:t xml:space="preserve">framework, the mechanisms of action in group-based interventions (MAGI) framework (Borek et al., 2018), describes three sets of factors that potentially impact on group processes (including social identity): intervention design factors (e.g., group size, age and gender balance), facilitation techniques (e.g., for promoting patient interaction), and facilitator/participant characteristics (e.g., past experiences, prior knowledge). </w:t>
      </w:r>
    </w:p>
    <w:p w14:paraId="50BFAA33" w14:textId="77777777" w:rsidR="00170563" w:rsidRPr="00157C7F" w:rsidRDefault="00663A4B">
      <w:pPr>
        <w:spacing w:line="480" w:lineRule="auto"/>
        <w:ind w:firstLine="720"/>
        <w:rPr>
          <w:rFonts w:ascii="Garamond" w:eastAsia="Garamond" w:hAnsi="Garamond" w:cs="Garamond"/>
        </w:rPr>
      </w:pPr>
      <w:r w:rsidRPr="00157C7F">
        <w:rPr>
          <w:rFonts w:ascii="Garamond" w:eastAsia="Garamond" w:hAnsi="Garamond" w:cs="Garamond"/>
        </w:rPr>
        <w:t xml:space="preserve">Finally, it would be worth exploring the dynamics considered here in treatment settings for other health conditions. Discrimination and a lack of social connections are experiences not restricted to severe obesity but are seen in people with other health problems and similarly may relate to centrality beliefs. For example, there has been a growth in interest recently in the role of “recovery identities” in shaping health outcomes in treatment groups (e.g., for alcohol and substance use addiction: see Best, Beckwith, Haslam, Haslam, Jetten, Mawson, &amp; Lubman, 2016). By definition, such identities exist in contradistinction to other, previous, social identities (e.g., </w:t>
      </w:r>
      <w:r w:rsidRPr="00157C7F">
        <w:rPr>
          <w:rFonts w:ascii="Garamond" w:eastAsia="Garamond" w:hAnsi="Garamond" w:cs="Garamond"/>
          <w:i/>
        </w:rPr>
        <w:t>“addict”</w:t>
      </w:r>
      <w:r w:rsidRPr="00157C7F">
        <w:rPr>
          <w:rFonts w:ascii="Garamond" w:eastAsia="Garamond" w:hAnsi="Garamond" w:cs="Garamond"/>
        </w:rPr>
        <w:t>). While further research is required, it is possible that seeing oneself fundamentally in terms of the condition for which one is seeking treatment (</w:t>
      </w:r>
      <w:r w:rsidRPr="00157C7F">
        <w:rPr>
          <w:rFonts w:ascii="Garamond" w:eastAsia="Garamond" w:hAnsi="Garamond" w:cs="Garamond"/>
          <w:i/>
        </w:rPr>
        <w:t>as</w:t>
      </w:r>
      <w:r w:rsidRPr="00157C7F">
        <w:rPr>
          <w:rFonts w:ascii="Garamond" w:eastAsia="Garamond" w:hAnsi="Garamond" w:cs="Garamond"/>
        </w:rPr>
        <w:t xml:space="preserve"> an obese person, </w:t>
      </w:r>
      <w:r w:rsidRPr="00157C7F">
        <w:rPr>
          <w:rFonts w:ascii="Garamond" w:eastAsia="Garamond" w:hAnsi="Garamond" w:cs="Garamond"/>
          <w:i/>
        </w:rPr>
        <w:t>as</w:t>
      </w:r>
      <w:r w:rsidRPr="00157C7F">
        <w:rPr>
          <w:rFonts w:ascii="Garamond" w:eastAsia="Garamond" w:hAnsi="Garamond" w:cs="Garamond"/>
        </w:rPr>
        <w:t xml:space="preserve"> someone who has an addiction) may be a critical variable that opens up access to social identity-based behaviour change and recovery.</w:t>
      </w:r>
    </w:p>
    <w:p w14:paraId="63F14B9B" w14:textId="77777777" w:rsidR="00170563" w:rsidRPr="00157C7F" w:rsidRDefault="00663A4B">
      <w:pPr>
        <w:spacing w:line="480" w:lineRule="auto"/>
        <w:rPr>
          <w:rFonts w:ascii="Garamond" w:eastAsia="Garamond" w:hAnsi="Garamond" w:cs="Garamond"/>
          <w:i/>
        </w:rPr>
      </w:pPr>
      <w:r w:rsidRPr="00157C7F">
        <w:rPr>
          <w:rFonts w:ascii="Garamond" w:eastAsia="Garamond" w:hAnsi="Garamond" w:cs="Garamond"/>
          <w:i/>
        </w:rPr>
        <w:t>Conclusion</w:t>
      </w:r>
    </w:p>
    <w:p w14:paraId="3AEE546C" w14:textId="1834086C" w:rsidR="00170563" w:rsidRDefault="00663A4B">
      <w:pPr>
        <w:spacing w:line="480" w:lineRule="auto"/>
        <w:ind w:firstLine="720"/>
        <w:rPr>
          <w:rFonts w:ascii="Garamond" w:eastAsia="Garamond" w:hAnsi="Garamond" w:cs="Garamond"/>
        </w:rPr>
      </w:pPr>
      <w:r w:rsidRPr="00157C7F">
        <w:rPr>
          <w:rFonts w:ascii="Garamond" w:eastAsia="Garamond" w:hAnsi="Garamond" w:cs="Garamond"/>
        </w:rPr>
        <w:t>Patients presenting to treatment services with severe obesity often do so after a sustained period of failed weight loss attempts and frequent exposure to pervasive negative societal experiences. Understanding and working with these experiences is likely to be important to the emergence of</w:t>
      </w:r>
      <w:r w:rsidR="00DA36B2">
        <w:rPr>
          <w:rFonts w:ascii="Garamond" w:eastAsia="Garamond" w:hAnsi="Garamond" w:cs="Garamond"/>
        </w:rPr>
        <w:t xml:space="preserve"> a</w:t>
      </w:r>
      <w:r w:rsidRPr="00157C7F">
        <w:rPr>
          <w:rFonts w:ascii="Garamond" w:eastAsia="Garamond" w:hAnsi="Garamond" w:cs="Garamond"/>
        </w:rPr>
        <w:t xml:space="preserve"> new social identity within obesity treatment programmes and may underpin engagement with intervention content. While our investigation has focused on a group programme for the treatment of obesity specifically, we suggest that the mechanisms of social identity formation are likely to be similar in group programmes for other health conditions. Groups are increasingly used in the behavioural management of health, with group programmes existing for treatment of numerous conditions including diabetes, asthma, and cardiac rehabilitation (Greaves &amp; Campbell, </w:t>
      </w:r>
      <w:r w:rsidRPr="00157C7F">
        <w:rPr>
          <w:rFonts w:ascii="Garamond" w:eastAsia="Garamond" w:hAnsi="Garamond" w:cs="Garamond"/>
        </w:rPr>
        <w:lastRenderedPageBreak/>
        <w:t xml:space="preserve">2007), as well as in services for alcohol and substance abuse (e.g., Alcoholics Anonymous). In a similar way that simultaneously experiencing </w:t>
      </w:r>
      <w:r w:rsidRPr="00157C7F">
        <w:rPr>
          <w:rFonts w:ascii="Garamond" w:eastAsia="Garamond" w:hAnsi="Garamond" w:cs="Garamond"/>
          <w:i/>
        </w:rPr>
        <w:t>physical</w:t>
      </w:r>
      <w:r w:rsidRPr="00157C7F">
        <w:rPr>
          <w:rFonts w:ascii="Garamond" w:eastAsia="Garamond" w:hAnsi="Garamond" w:cs="Garamond"/>
        </w:rPr>
        <w:t xml:space="preserve"> pain can contribute to group bonding in novel groups (Bastian, Jetten, &amp; Ferris, 2014), we suggest that group-based health interventions organised around the shared “painful” </w:t>
      </w:r>
      <w:r w:rsidRPr="00157C7F">
        <w:rPr>
          <w:rFonts w:ascii="Garamond" w:eastAsia="Garamond" w:hAnsi="Garamond" w:cs="Garamond"/>
          <w:i/>
        </w:rPr>
        <w:t>psychosocial</w:t>
      </w:r>
      <w:r w:rsidRPr="00157C7F">
        <w:rPr>
          <w:rFonts w:ascii="Garamond" w:eastAsia="Garamond" w:hAnsi="Garamond" w:cs="Garamond"/>
        </w:rPr>
        <w:t xml:space="preserve"> experiences of patients can provide a basis for common ground and provide the “social glue” (Van Vught &amp; Hart, 2004) necessary for the successful delivery of health interventions.</w:t>
      </w:r>
    </w:p>
    <w:p w14:paraId="64298847" w14:textId="77777777" w:rsidR="00170563" w:rsidRDefault="00170563">
      <w:pPr>
        <w:spacing w:line="480" w:lineRule="auto"/>
        <w:rPr>
          <w:rFonts w:ascii="Garamond" w:eastAsia="Garamond" w:hAnsi="Garamond" w:cs="Garamond"/>
        </w:rPr>
      </w:pPr>
    </w:p>
    <w:p w14:paraId="285DEBDA" w14:textId="77777777" w:rsidR="00170563" w:rsidRDefault="00170563">
      <w:pPr>
        <w:jc w:val="center"/>
        <w:rPr>
          <w:rFonts w:ascii="Garamond" w:eastAsia="Garamond" w:hAnsi="Garamond" w:cs="Garamond"/>
        </w:rPr>
        <w:sectPr w:rsidR="00170563">
          <w:headerReference w:type="default" r:id="rId9"/>
          <w:footerReference w:type="even" r:id="rId10"/>
          <w:footerReference w:type="default" r:id="rId11"/>
          <w:pgSz w:w="11900" w:h="16840"/>
          <w:pgMar w:top="1440" w:right="992" w:bottom="1440" w:left="1440" w:header="709" w:footer="709" w:gutter="0"/>
          <w:pgNumType w:start="1"/>
          <w:cols w:space="720" w:equalWidth="0">
            <w:col w:w="9360"/>
          </w:cols>
        </w:sectPr>
      </w:pPr>
    </w:p>
    <w:p w14:paraId="54DF1B08" w14:textId="77777777" w:rsidR="004F6B32" w:rsidRPr="00165242" w:rsidRDefault="004F6B32" w:rsidP="004F6B32">
      <w:pPr>
        <w:spacing w:line="480" w:lineRule="auto"/>
        <w:jc w:val="center"/>
        <w:rPr>
          <w:rFonts w:ascii="Garamond" w:eastAsia="Garamond" w:hAnsi="Garamond" w:cs="Garamond"/>
          <w:b/>
          <w:color w:val="3366FF"/>
        </w:rPr>
      </w:pPr>
      <w:r w:rsidRPr="00165242">
        <w:rPr>
          <w:rFonts w:ascii="Garamond" w:eastAsia="Garamond" w:hAnsi="Garamond" w:cs="Garamond"/>
          <w:b/>
        </w:rPr>
        <w:lastRenderedPageBreak/>
        <w:t>References</w:t>
      </w:r>
    </w:p>
    <w:p w14:paraId="0E1CE02B"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Abell, R.V., Baird, A.D., &amp; Chalmers, K.A. (2017). Group singing and health-related quality of life in Parkinson's Disease. </w:t>
      </w:r>
      <w:r w:rsidRPr="00165242">
        <w:rPr>
          <w:rFonts w:ascii="Garamond" w:eastAsia="Garamond" w:hAnsi="Garamond" w:cs="Garamond"/>
          <w:i/>
        </w:rPr>
        <w:t>Health Psychology, 36</w:t>
      </w:r>
      <w:r w:rsidRPr="00165242">
        <w:rPr>
          <w:rFonts w:ascii="Garamond" w:eastAsia="Garamond" w:hAnsi="Garamond" w:cs="Garamond"/>
        </w:rPr>
        <w:t>, 55-64. https://doi.org/10.1037/hea0000412</w:t>
      </w:r>
    </w:p>
    <w:p w14:paraId="04D0986F"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Bastian, B., Jetten, J., &amp; Ferris, L. J. (2014). Pain as social glue: Shared pain increases cooperation. </w:t>
      </w:r>
      <w:r w:rsidRPr="00165242">
        <w:rPr>
          <w:rFonts w:ascii="Garamond" w:eastAsia="Garamond" w:hAnsi="Garamond" w:cs="Garamond"/>
          <w:i/>
        </w:rPr>
        <w:t>Psychological Science</w:t>
      </w:r>
      <w:r w:rsidRPr="00165242">
        <w:rPr>
          <w:rFonts w:ascii="Garamond" w:eastAsia="Garamond" w:hAnsi="Garamond" w:cs="Garamond"/>
        </w:rPr>
        <w:t xml:space="preserve">, </w:t>
      </w:r>
      <w:r w:rsidRPr="00165242">
        <w:rPr>
          <w:rFonts w:ascii="Garamond" w:eastAsia="Garamond" w:hAnsi="Garamond" w:cs="Garamond"/>
          <w:i/>
        </w:rPr>
        <w:t>25</w:t>
      </w:r>
      <w:r w:rsidRPr="00165242">
        <w:rPr>
          <w:rFonts w:ascii="Garamond" w:eastAsia="Garamond" w:hAnsi="Garamond" w:cs="Garamond"/>
        </w:rPr>
        <w:t>(11), 2079–2085. https://doi.org/10.1177/0956797614545886</w:t>
      </w:r>
    </w:p>
    <w:p w14:paraId="51748063" w14:textId="77777777" w:rsidR="004F6B32" w:rsidRPr="00165242" w:rsidRDefault="004F6B32" w:rsidP="004F6B32">
      <w:pPr>
        <w:spacing w:line="480" w:lineRule="auto"/>
        <w:ind w:left="720" w:hanging="720"/>
        <w:rPr>
          <w:rFonts w:ascii="Garamond" w:eastAsia="Garamond" w:hAnsi="Garamond" w:cs="Garamond"/>
        </w:rPr>
      </w:pPr>
      <w:r w:rsidRPr="00165242">
        <w:rPr>
          <w:rFonts w:ascii="Garamond" w:eastAsia="Garamond" w:hAnsi="Garamond" w:cs="Garamond"/>
        </w:rPr>
        <w:t xml:space="preserve">Best, D., Beckwith, M., Haslam, C., Haslam, S.A., Jetten, J., Mawson, E., &amp; Lubman, D. (2016). Overcoming alcohol and other drug addiction as a process of social identity transition: the social identity model of recovery (SIMOR). </w:t>
      </w:r>
      <w:r w:rsidRPr="00165242">
        <w:rPr>
          <w:rFonts w:ascii="Garamond" w:eastAsia="Garamond" w:hAnsi="Garamond" w:cs="Garamond"/>
          <w:i/>
        </w:rPr>
        <w:t>Addiction Research and Theory, 24(2)</w:t>
      </w:r>
      <w:r w:rsidRPr="00165242">
        <w:rPr>
          <w:rFonts w:ascii="Garamond" w:eastAsia="Garamond" w:hAnsi="Garamond" w:cs="Garamond"/>
        </w:rPr>
        <w:t>, 111-123. https://doi.org/10.3109/16066359.2015.1075980</w:t>
      </w:r>
    </w:p>
    <w:p w14:paraId="7D6E3A4A"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Booth, A., Cantrell, A., Preston, L., Chambers, D., &amp; Goyder, E. (2015). What is the evidence for the effectiveness, appropriateness and feasibility of group clinics for patients with chronic conditions? A systematic review. </w:t>
      </w:r>
      <w:r w:rsidRPr="00165242">
        <w:rPr>
          <w:rFonts w:ascii="Garamond" w:eastAsia="Garamond" w:hAnsi="Garamond" w:cs="Garamond"/>
          <w:i/>
        </w:rPr>
        <w:t>Health Services and Delivery Research</w:t>
      </w:r>
      <w:r w:rsidRPr="00165242">
        <w:rPr>
          <w:rFonts w:ascii="Garamond" w:eastAsia="Garamond" w:hAnsi="Garamond" w:cs="Garamond"/>
        </w:rPr>
        <w:t xml:space="preserve">, </w:t>
      </w:r>
      <w:r w:rsidRPr="00165242">
        <w:rPr>
          <w:rFonts w:ascii="Garamond" w:eastAsia="Garamond" w:hAnsi="Garamond" w:cs="Garamond"/>
          <w:i/>
        </w:rPr>
        <w:t>3</w:t>
      </w:r>
      <w:r w:rsidRPr="00165242">
        <w:rPr>
          <w:rFonts w:ascii="Garamond" w:eastAsia="Garamond" w:hAnsi="Garamond" w:cs="Garamond"/>
        </w:rPr>
        <w:t>(46): 1–173. https://doi.org/10.3310/hsdr03460</w:t>
      </w:r>
    </w:p>
    <w:p w14:paraId="08BF3168"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Borek, A. J., Abraham, C., Smith, J. R., Greaves, C. J., &amp; Tarrant, M. (2015). A checklist to improve reporting of group-based behaviour-change interventions. </w:t>
      </w:r>
      <w:r w:rsidRPr="00165242">
        <w:rPr>
          <w:rFonts w:ascii="Garamond" w:eastAsia="Garamond" w:hAnsi="Garamond" w:cs="Garamond"/>
          <w:i/>
        </w:rPr>
        <w:t>BMC Public Health</w:t>
      </w:r>
      <w:r w:rsidRPr="00165242">
        <w:rPr>
          <w:rFonts w:ascii="Garamond" w:eastAsia="Garamond" w:hAnsi="Garamond" w:cs="Garamond"/>
        </w:rPr>
        <w:t xml:space="preserve">, </w:t>
      </w:r>
      <w:r w:rsidRPr="00165242">
        <w:rPr>
          <w:rFonts w:ascii="Garamond" w:eastAsia="Garamond" w:hAnsi="Garamond" w:cs="Garamond"/>
          <w:i/>
        </w:rPr>
        <w:t>15</w:t>
      </w:r>
      <w:r w:rsidRPr="00165242">
        <w:rPr>
          <w:rFonts w:ascii="Garamond" w:eastAsia="Garamond" w:hAnsi="Garamond" w:cs="Garamond"/>
        </w:rPr>
        <w:t>, 963. https://doi.org/10.1186/s12889-015-2300-6</w:t>
      </w:r>
    </w:p>
    <w:p w14:paraId="29D71476" w14:textId="77777777" w:rsidR="004F6B32" w:rsidRPr="00165242" w:rsidRDefault="004F6B32" w:rsidP="004F6B32">
      <w:pPr>
        <w:spacing w:line="480" w:lineRule="auto"/>
        <w:ind w:left="567" w:hanging="567"/>
        <w:rPr>
          <w:rFonts w:ascii="Garamond" w:eastAsia="Times New Roman" w:hAnsi="Garamond" w:cs="Times New Roman"/>
        </w:rPr>
      </w:pPr>
      <w:r w:rsidRPr="00165242">
        <w:rPr>
          <w:rFonts w:ascii="Garamond" w:eastAsia="Times New Roman" w:hAnsi="Garamond" w:cs="Times New Roman"/>
        </w:rPr>
        <w:t>Borek, A. J., Abraham, Greaves, C. J., Gillison, F., Tarrant, M., Morgan-Trimmer, S., McCabe, R., &amp; Smith, J. R. (2018). Identifying change processes in group-based health behaviour-change interventions: development of the mechanisms of action in group-based interventions (MAGI) framework. </w:t>
      </w:r>
      <w:r w:rsidRPr="00165242">
        <w:rPr>
          <w:rFonts w:ascii="Garamond" w:eastAsia="Times New Roman" w:hAnsi="Garamond" w:cs="Times New Roman"/>
          <w:i/>
          <w:iCs/>
        </w:rPr>
        <w:t xml:space="preserve">Health Psychology Review, 13, </w:t>
      </w:r>
      <w:r w:rsidRPr="00165242">
        <w:rPr>
          <w:rFonts w:ascii="Garamond" w:eastAsia="Times New Roman" w:hAnsi="Garamond" w:cs="Times New Roman"/>
          <w:iCs/>
        </w:rPr>
        <w:t>227-247</w:t>
      </w:r>
      <w:r w:rsidRPr="00165242">
        <w:rPr>
          <w:rFonts w:ascii="Garamond" w:eastAsia="Times New Roman" w:hAnsi="Garamond" w:cs="Times New Roman"/>
        </w:rPr>
        <w:t>.</w:t>
      </w:r>
    </w:p>
    <w:p w14:paraId="3B38B6C1"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Branscombe, N. R., Schmitt, M. T., &amp; Harvey, R. D. (1999). Perceiving pervasive discrimination among African Americans: Implications for group identification and well-being. </w:t>
      </w:r>
      <w:r w:rsidRPr="00165242">
        <w:rPr>
          <w:rFonts w:ascii="Garamond" w:eastAsia="Garamond" w:hAnsi="Garamond" w:cs="Garamond"/>
          <w:i/>
        </w:rPr>
        <w:t>Journal of Personality &amp; Social Psychology</w:t>
      </w:r>
      <w:r w:rsidRPr="00165242">
        <w:rPr>
          <w:rFonts w:ascii="Garamond" w:eastAsia="Garamond" w:hAnsi="Garamond" w:cs="Garamond"/>
        </w:rPr>
        <w:t xml:space="preserve">, </w:t>
      </w:r>
      <w:r w:rsidRPr="00165242">
        <w:rPr>
          <w:rFonts w:ascii="Garamond" w:eastAsia="Garamond" w:hAnsi="Garamond" w:cs="Garamond"/>
          <w:i/>
        </w:rPr>
        <w:t>77</w:t>
      </w:r>
      <w:r w:rsidRPr="00165242">
        <w:rPr>
          <w:rFonts w:ascii="Garamond" w:eastAsia="Garamond" w:hAnsi="Garamond" w:cs="Garamond"/>
        </w:rPr>
        <w:t>, 135–149.</w:t>
      </w:r>
      <w:r w:rsidRPr="00165242">
        <w:rPr>
          <w:rFonts w:ascii="Garamond" w:hAnsi="Garamond"/>
        </w:rPr>
        <w:t xml:space="preserve"> </w:t>
      </w:r>
      <w:r w:rsidRPr="00165242">
        <w:rPr>
          <w:rFonts w:ascii="Garamond" w:eastAsia="Garamond" w:hAnsi="Garamond" w:cs="Garamond"/>
        </w:rPr>
        <w:t>http://doi.org/10.1037/0022-3514.77.1.135</w:t>
      </w:r>
    </w:p>
    <w:p w14:paraId="09C7D352"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Cameron, J. E. (2004). A three-factor model of social identity. </w:t>
      </w:r>
      <w:r w:rsidRPr="00165242">
        <w:rPr>
          <w:rFonts w:ascii="Garamond" w:eastAsia="Garamond" w:hAnsi="Garamond" w:cs="Garamond"/>
          <w:i/>
        </w:rPr>
        <w:t>Self and Identity</w:t>
      </w:r>
      <w:r w:rsidRPr="00165242">
        <w:rPr>
          <w:rFonts w:ascii="Garamond" w:eastAsia="Garamond" w:hAnsi="Garamond" w:cs="Garamond"/>
        </w:rPr>
        <w:t xml:space="preserve">, </w:t>
      </w:r>
      <w:r w:rsidRPr="00165242">
        <w:rPr>
          <w:rFonts w:ascii="Garamond" w:eastAsia="Garamond" w:hAnsi="Garamond" w:cs="Garamond"/>
          <w:i/>
        </w:rPr>
        <w:t>3</w:t>
      </w:r>
      <w:r w:rsidRPr="00165242">
        <w:rPr>
          <w:rFonts w:ascii="Garamond" w:eastAsia="Garamond" w:hAnsi="Garamond" w:cs="Garamond"/>
        </w:rPr>
        <w:t>(3), 239–262. https://doi.org/10.1080/13576500444000047</w:t>
      </w:r>
    </w:p>
    <w:p w14:paraId="5202B606"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lastRenderedPageBreak/>
        <w:t xml:space="preserve">Cameron, J. E., Voth, J., Jaglal, S. B., Guilcher, S. J. T., Hawker, G., &amp; Salbach, N. M. (2018). “In this together”: Social identification predicts health outcomes (via self-efficacy) in a chronic disease self-management program. </w:t>
      </w:r>
      <w:r w:rsidRPr="00165242">
        <w:rPr>
          <w:rFonts w:ascii="Garamond" w:eastAsia="Garamond" w:hAnsi="Garamond" w:cs="Garamond"/>
          <w:i/>
        </w:rPr>
        <w:t>Social Science &amp; Medicine (1982)</w:t>
      </w:r>
      <w:r w:rsidRPr="00165242">
        <w:rPr>
          <w:rFonts w:ascii="Garamond" w:eastAsia="Garamond" w:hAnsi="Garamond" w:cs="Garamond"/>
        </w:rPr>
        <w:t xml:space="preserve">, </w:t>
      </w:r>
      <w:r w:rsidRPr="00165242">
        <w:rPr>
          <w:rFonts w:ascii="Garamond" w:eastAsia="Garamond" w:hAnsi="Garamond" w:cs="Garamond"/>
          <w:i/>
        </w:rPr>
        <w:t>208</w:t>
      </w:r>
      <w:r w:rsidRPr="00165242">
        <w:rPr>
          <w:rFonts w:ascii="Garamond" w:eastAsia="Garamond" w:hAnsi="Garamond" w:cs="Garamond"/>
        </w:rPr>
        <w:t>, 172–179. https://doi.org/10.1016/j.socscimed.2018.03.007</w:t>
      </w:r>
    </w:p>
    <w:p w14:paraId="4D0DD7B9"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Cruwys, T., Platow, M. J., Rieger, E., Byrne, D. G., &amp; Haslam, S. A. (2016). The social psychology of disordered eating: The Situated Identity Enactment model. </w:t>
      </w:r>
      <w:r w:rsidRPr="00165242">
        <w:rPr>
          <w:rFonts w:ascii="Garamond" w:eastAsia="Garamond" w:hAnsi="Garamond" w:cs="Garamond"/>
          <w:i/>
        </w:rPr>
        <w:t>European Review of Social Psychology</w:t>
      </w:r>
      <w:r w:rsidRPr="00165242">
        <w:rPr>
          <w:rFonts w:ascii="Garamond" w:eastAsia="Garamond" w:hAnsi="Garamond" w:cs="Garamond"/>
        </w:rPr>
        <w:t xml:space="preserve">, </w:t>
      </w:r>
      <w:r w:rsidRPr="00165242">
        <w:rPr>
          <w:rFonts w:ascii="Garamond" w:eastAsia="Garamond" w:hAnsi="Garamond" w:cs="Garamond"/>
          <w:i/>
        </w:rPr>
        <w:t>27</w:t>
      </w:r>
      <w:r w:rsidRPr="00165242">
        <w:rPr>
          <w:rFonts w:ascii="Garamond" w:eastAsia="Garamond" w:hAnsi="Garamond" w:cs="Garamond"/>
        </w:rPr>
        <w:t>(1), 160–195. https://doi.org/10.1080/10463283.2016.1229891</w:t>
      </w:r>
    </w:p>
    <w:p w14:paraId="2719C25A" w14:textId="77777777" w:rsidR="004F6B32" w:rsidRPr="00165242" w:rsidRDefault="004F6B32" w:rsidP="004F6B32">
      <w:pPr>
        <w:spacing w:line="480" w:lineRule="auto"/>
        <w:ind w:left="567" w:hanging="567"/>
        <w:rPr>
          <w:rFonts w:ascii="Garamond" w:eastAsia="Times New Roman" w:hAnsi="Garamond" w:cs="Times New Roman"/>
        </w:rPr>
      </w:pPr>
      <w:r w:rsidRPr="00165242">
        <w:rPr>
          <w:rFonts w:ascii="Garamond" w:eastAsia="Times New Roman" w:hAnsi="Garamond" w:cs="Times New Roman"/>
        </w:rPr>
        <w:t xml:space="preserve">Cruwys, T., Steffens, N.K., Haslam, S.A.,, Haslam, C., Hornsey, M.J., McGarty, C., &amp; Skorich, D.P. (2019). Predictors of social identification in group therapy. </w:t>
      </w:r>
      <w:r w:rsidRPr="00165242">
        <w:rPr>
          <w:rFonts w:ascii="Garamond" w:eastAsia="Times New Roman" w:hAnsi="Garamond" w:cs="Times New Roman"/>
          <w:i/>
        </w:rPr>
        <w:t>Psychotherapy Research,</w:t>
      </w:r>
      <w:r w:rsidRPr="00165242">
        <w:rPr>
          <w:rFonts w:ascii="Garamond" w:eastAsia="Times New Roman" w:hAnsi="Garamond" w:cs="Times New Roman"/>
        </w:rPr>
        <w:t xml:space="preserve"> </w:t>
      </w:r>
      <w:r w:rsidRPr="00165242">
        <w:rPr>
          <w:rFonts w:ascii="Garamond" w:eastAsia="Times New Roman" w:hAnsi="Garamond"/>
        </w:rPr>
        <w:t xml:space="preserve">DOI: 10.1080/10503307.2019.1587193 </w:t>
      </w:r>
    </w:p>
    <w:p w14:paraId="2241D0FC"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Dietz, W. H., Baur, L. A., Hall, K., Puhl, R. M., Taveras, E. M., Uauy, R., &amp; Kopelman, P. (2015). Management of obesity: improvement of health-care training and systems for prevention and care. </w:t>
      </w:r>
      <w:r w:rsidRPr="00165242">
        <w:rPr>
          <w:rFonts w:ascii="Garamond" w:eastAsia="Garamond" w:hAnsi="Garamond" w:cs="Garamond"/>
          <w:i/>
        </w:rPr>
        <w:t>Lancet (London, England)</w:t>
      </w:r>
      <w:r w:rsidRPr="00165242">
        <w:rPr>
          <w:rFonts w:ascii="Garamond" w:eastAsia="Garamond" w:hAnsi="Garamond" w:cs="Garamond"/>
        </w:rPr>
        <w:t xml:space="preserve">, </w:t>
      </w:r>
      <w:r w:rsidRPr="00165242">
        <w:rPr>
          <w:rFonts w:ascii="Garamond" w:eastAsia="Garamond" w:hAnsi="Garamond" w:cs="Garamond"/>
          <w:i/>
        </w:rPr>
        <w:t>385</w:t>
      </w:r>
      <w:r w:rsidRPr="00165242">
        <w:rPr>
          <w:rFonts w:ascii="Garamond" w:eastAsia="Garamond" w:hAnsi="Garamond" w:cs="Garamond"/>
        </w:rPr>
        <w:t>(9986), 2521–2533. https://doi.org/10.1016/S0140-6736(14)61748-7</w:t>
      </w:r>
    </w:p>
    <w:p w14:paraId="51FB28AA" w14:textId="77777777" w:rsidR="004F6B32" w:rsidRPr="00165242" w:rsidRDefault="004F6B32" w:rsidP="004F6B32">
      <w:pPr>
        <w:spacing w:line="480" w:lineRule="auto"/>
        <w:ind w:left="720" w:hanging="720"/>
        <w:rPr>
          <w:rFonts w:ascii="Garamond" w:eastAsia="Garamond" w:hAnsi="Garamond" w:cs="Garamond"/>
        </w:rPr>
      </w:pPr>
      <w:r w:rsidRPr="00165242">
        <w:rPr>
          <w:rFonts w:ascii="Garamond" w:eastAsia="Garamond" w:hAnsi="Garamond" w:cs="Garamond"/>
        </w:rPr>
        <w:t xml:space="preserve">Doosje, B., Ellemers, N., &amp; Spears, R. (1995). Perceived intragroup variability as a function of group status and identification. </w:t>
      </w:r>
      <w:r w:rsidRPr="00165242">
        <w:rPr>
          <w:rFonts w:ascii="Garamond" w:eastAsia="Garamond" w:hAnsi="Garamond" w:cs="Garamond"/>
          <w:i/>
        </w:rPr>
        <w:t>Journal of Experimental Social Psychology</w:t>
      </w:r>
      <w:r w:rsidRPr="00165242">
        <w:rPr>
          <w:rFonts w:ascii="Garamond" w:eastAsia="Garamond" w:hAnsi="Garamond" w:cs="Garamond"/>
        </w:rPr>
        <w:t xml:space="preserve">, </w:t>
      </w:r>
      <w:r w:rsidRPr="00165242">
        <w:rPr>
          <w:rFonts w:ascii="Garamond" w:eastAsia="Garamond" w:hAnsi="Garamond" w:cs="Garamond"/>
          <w:i/>
        </w:rPr>
        <w:t>31</w:t>
      </w:r>
      <w:r w:rsidRPr="00165242">
        <w:rPr>
          <w:rFonts w:ascii="Garamond" w:eastAsia="Garamond" w:hAnsi="Garamond" w:cs="Garamond"/>
        </w:rPr>
        <w:t>(5), 410–436. https://doi.org/10.1006/jesp.1995.1018</w:t>
      </w:r>
    </w:p>
    <w:p w14:paraId="2B53E8C9"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Farrow, C. V., &amp; Tarrant, M. (2009). Weight-based discrimination, body dissatisfaction and emotional eating: the role of perceived social consensus. </w:t>
      </w:r>
      <w:r w:rsidRPr="00165242">
        <w:rPr>
          <w:rFonts w:ascii="Garamond" w:eastAsia="Garamond" w:hAnsi="Garamond" w:cs="Garamond"/>
          <w:i/>
        </w:rPr>
        <w:t>Psychology &amp; Health</w:t>
      </w:r>
      <w:r w:rsidRPr="00165242">
        <w:rPr>
          <w:rFonts w:ascii="Garamond" w:eastAsia="Garamond" w:hAnsi="Garamond" w:cs="Garamond"/>
        </w:rPr>
        <w:t xml:space="preserve">, </w:t>
      </w:r>
      <w:r w:rsidRPr="00165242">
        <w:rPr>
          <w:rFonts w:ascii="Garamond" w:eastAsia="Garamond" w:hAnsi="Garamond" w:cs="Garamond"/>
          <w:i/>
        </w:rPr>
        <w:t>24</w:t>
      </w:r>
      <w:r w:rsidRPr="00165242">
        <w:rPr>
          <w:rFonts w:ascii="Garamond" w:eastAsia="Garamond" w:hAnsi="Garamond" w:cs="Garamond"/>
        </w:rPr>
        <w:t>(9), 1021–1034. https://doi.org/10.1080/08870440802311348</w:t>
      </w:r>
    </w:p>
    <w:p w14:paraId="4D16377E"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Farrow, C. V., Tarrant, M., &amp; Khan, S. S. (2016). Using social identity to promote health: the impact of group memberships on health in the context of obesity. In S. A. Buckingham, &amp; D. Best (Eds.), </w:t>
      </w:r>
      <w:r w:rsidRPr="00165242">
        <w:rPr>
          <w:rFonts w:ascii="Garamond" w:eastAsia="Garamond" w:hAnsi="Garamond" w:cs="Garamond"/>
          <w:i/>
        </w:rPr>
        <w:t>Addiction, behavioural change and social identity: the path to resilience and recovery </w:t>
      </w:r>
      <w:r w:rsidRPr="00165242">
        <w:rPr>
          <w:rFonts w:ascii="Garamond" w:eastAsia="Garamond" w:hAnsi="Garamond" w:cs="Garamond"/>
        </w:rPr>
        <w:t>(pp. 52-70)</w:t>
      </w:r>
      <w:r w:rsidRPr="00165242">
        <w:rPr>
          <w:rFonts w:ascii="Garamond" w:eastAsia="Garamond" w:hAnsi="Garamond" w:cs="Garamond"/>
          <w:i/>
        </w:rPr>
        <w:t>.</w:t>
      </w:r>
      <w:r w:rsidRPr="00165242">
        <w:rPr>
          <w:rFonts w:ascii="Garamond" w:eastAsia="Garamond" w:hAnsi="Garamond" w:cs="Garamond"/>
        </w:rPr>
        <w:t xml:space="preserve"> Abingdon, UK: Routledge. https://doi.org/10.4324/9781315678207</w:t>
      </w:r>
    </w:p>
    <w:p w14:paraId="685BB9C2"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lastRenderedPageBreak/>
        <w:t xml:space="preserve">Faul, F., Erdfelder, E., Lang, A.-G., &amp; Buchner, A. (2007). G*Power 3: a flexible statistical power analysis program for the social, behavioral, and biomedical sciences. </w:t>
      </w:r>
      <w:r w:rsidRPr="00165242">
        <w:rPr>
          <w:rFonts w:ascii="Garamond" w:eastAsia="Garamond" w:hAnsi="Garamond" w:cs="Garamond"/>
          <w:i/>
        </w:rPr>
        <w:t>Behavior Research Methods</w:t>
      </w:r>
      <w:r w:rsidRPr="00165242">
        <w:rPr>
          <w:rFonts w:ascii="Garamond" w:eastAsia="Garamond" w:hAnsi="Garamond" w:cs="Garamond"/>
        </w:rPr>
        <w:t xml:space="preserve">, </w:t>
      </w:r>
      <w:r w:rsidRPr="00165242">
        <w:rPr>
          <w:rFonts w:ascii="Garamond" w:eastAsia="Garamond" w:hAnsi="Garamond" w:cs="Garamond"/>
          <w:i/>
        </w:rPr>
        <w:t>39</w:t>
      </w:r>
      <w:r w:rsidRPr="00165242">
        <w:rPr>
          <w:rFonts w:ascii="Garamond" w:eastAsia="Garamond" w:hAnsi="Garamond" w:cs="Garamond"/>
        </w:rPr>
        <w:t>(2), 175–191.</w:t>
      </w:r>
      <w:r w:rsidRPr="00165242">
        <w:rPr>
          <w:rFonts w:ascii="Garamond" w:eastAsia="Garamond" w:hAnsi="Garamond" w:cs="Garamond"/>
          <w:color w:val="545454"/>
        </w:rPr>
        <w:t xml:space="preserve"> </w:t>
      </w:r>
      <w:r w:rsidRPr="00165242">
        <w:rPr>
          <w:rFonts w:ascii="Garamond" w:eastAsia="Garamond" w:hAnsi="Garamond" w:cs="Garamond"/>
        </w:rPr>
        <w:t>https://doi.org/10.3758/BF03193146</w:t>
      </w:r>
    </w:p>
    <w:p w14:paraId="21F23147"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Finkelstein, E. A., Khavjou, O. A., Thompson, H., Trogdon, J. G., Pan, L., Sherry, B., &amp; Dietz, W. (2012). Obesity and severe obesity forecasts through 2030. </w:t>
      </w:r>
      <w:r w:rsidRPr="00165242">
        <w:rPr>
          <w:rFonts w:ascii="Garamond" w:eastAsia="Garamond" w:hAnsi="Garamond" w:cs="Garamond"/>
          <w:i/>
        </w:rPr>
        <w:t>American Journal of Preventive Medicine</w:t>
      </w:r>
      <w:r w:rsidRPr="00165242">
        <w:rPr>
          <w:rFonts w:ascii="Garamond" w:eastAsia="Garamond" w:hAnsi="Garamond" w:cs="Garamond"/>
        </w:rPr>
        <w:t xml:space="preserve">, </w:t>
      </w:r>
      <w:r w:rsidRPr="00165242">
        <w:rPr>
          <w:rFonts w:ascii="Garamond" w:eastAsia="Garamond" w:hAnsi="Garamond" w:cs="Garamond"/>
          <w:i/>
        </w:rPr>
        <w:t>42</w:t>
      </w:r>
      <w:r w:rsidRPr="00165242">
        <w:rPr>
          <w:rFonts w:ascii="Garamond" w:eastAsia="Garamond" w:hAnsi="Garamond" w:cs="Garamond"/>
        </w:rPr>
        <w:t>(6), 563–570. https://doi.org/10.1016/j.amepre.2011.10.026</w:t>
      </w:r>
    </w:p>
    <w:p w14:paraId="6359368D"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Ford, S., Scholz, B., &amp; Lu, V. N. (2015). Social shedding: Identification and health of men’s sheds users. </w:t>
      </w:r>
      <w:r w:rsidRPr="00165242">
        <w:rPr>
          <w:rFonts w:ascii="Garamond" w:eastAsia="Garamond" w:hAnsi="Garamond" w:cs="Garamond"/>
          <w:i/>
        </w:rPr>
        <w:t>Health Psychology</w:t>
      </w:r>
      <w:r w:rsidRPr="00165242">
        <w:rPr>
          <w:rFonts w:ascii="Garamond" w:eastAsia="Garamond" w:hAnsi="Garamond" w:cs="Garamond"/>
        </w:rPr>
        <w:t xml:space="preserve">, </w:t>
      </w:r>
      <w:r w:rsidRPr="00165242">
        <w:rPr>
          <w:rFonts w:ascii="Garamond" w:eastAsia="Garamond" w:hAnsi="Garamond" w:cs="Garamond"/>
          <w:i/>
        </w:rPr>
        <w:t>34</w:t>
      </w:r>
      <w:r w:rsidRPr="00165242">
        <w:rPr>
          <w:rFonts w:ascii="Garamond" w:eastAsia="Garamond" w:hAnsi="Garamond" w:cs="Garamond"/>
        </w:rPr>
        <w:t>(7), 775–778. https://doi.org/10.1037/hea0000171</w:t>
      </w:r>
    </w:p>
    <w:p w14:paraId="708E9D2E"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Friedman, K. E., Reichmann, S. K., Costanzo, P. R., Zelli, A., Ashmore, J. A., &amp; Musante, G. J. (2005). Weight stigmatization and ideological beliefs: Relation to psychological functioning in Obese adults. </w:t>
      </w:r>
      <w:r w:rsidRPr="00165242">
        <w:rPr>
          <w:rFonts w:ascii="Garamond" w:eastAsia="Garamond" w:hAnsi="Garamond" w:cs="Garamond"/>
          <w:i/>
        </w:rPr>
        <w:t>Obesity Research</w:t>
      </w:r>
      <w:r w:rsidRPr="00165242">
        <w:rPr>
          <w:rFonts w:ascii="Garamond" w:eastAsia="Garamond" w:hAnsi="Garamond" w:cs="Garamond"/>
        </w:rPr>
        <w:t xml:space="preserve">, </w:t>
      </w:r>
      <w:r w:rsidRPr="00165242">
        <w:rPr>
          <w:rFonts w:ascii="Garamond" w:eastAsia="Garamond" w:hAnsi="Garamond" w:cs="Garamond"/>
          <w:i/>
        </w:rPr>
        <w:t>13</w:t>
      </w:r>
      <w:r w:rsidRPr="00165242">
        <w:rPr>
          <w:rFonts w:ascii="Garamond" w:eastAsia="Garamond" w:hAnsi="Garamond" w:cs="Garamond"/>
        </w:rPr>
        <w:t>(5), 907–916. https://doi.org/10.1038/oby.2005.105</w:t>
      </w:r>
    </w:p>
    <w:p w14:paraId="2A30E560"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Gleibs, I. H., Haslam, C., Jones, J. M., Alexander Haslam, S., McNeill, J., &amp; Connolly, H. (2011). No country for old men? The role of a ‘Gentlemen’s Club’ in promoting social engagement and psychological well-being in residential care. </w:t>
      </w:r>
      <w:r w:rsidRPr="00165242">
        <w:rPr>
          <w:rFonts w:ascii="Garamond" w:eastAsia="Garamond" w:hAnsi="Garamond" w:cs="Garamond"/>
          <w:i/>
        </w:rPr>
        <w:t>Aging &amp; Mental Health</w:t>
      </w:r>
      <w:r w:rsidRPr="00165242">
        <w:rPr>
          <w:rFonts w:ascii="Garamond" w:eastAsia="Garamond" w:hAnsi="Garamond" w:cs="Garamond"/>
        </w:rPr>
        <w:t xml:space="preserve">, </w:t>
      </w:r>
      <w:r w:rsidRPr="00165242">
        <w:rPr>
          <w:rFonts w:ascii="Garamond" w:eastAsia="Garamond" w:hAnsi="Garamond" w:cs="Garamond"/>
          <w:i/>
        </w:rPr>
        <w:t>15</w:t>
      </w:r>
      <w:r w:rsidRPr="00165242">
        <w:rPr>
          <w:rFonts w:ascii="Garamond" w:eastAsia="Garamond" w:hAnsi="Garamond" w:cs="Garamond"/>
        </w:rPr>
        <w:t>(4), 456–466. https://doi.org/10.1080/13607863.2010.536137</w:t>
      </w:r>
    </w:p>
    <w:p w14:paraId="30DC4A80" w14:textId="77777777" w:rsidR="004F6B32" w:rsidRPr="00165242" w:rsidRDefault="004F6B32" w:rsidP="004F6B32">
      <w:pPr>
        <w:spacing w:line="480" w:lineRule="auto"/>
        <w:ind w:left="720" w:hanging="720"/>
        <w:rPr>
          <w:rFonts w:ascii="Garamond" w:eastAsia="Garamond" w:hAnsi="Garamond" w:cs="Garamond"/>
        </w:rPr>
      </w:pPr>
      <w:r w:rsidRPr="00165242">
        <w:rPr>
          <w:rFonts w:ascii="Garamond" w:eastAsia="Garamond" w:hAnsi="Garamond" w:cs="Garamond"/>
        </w:rPr>
        <w:t xml:space="preserve">Greaves, C. J., &amp; Campbell, J. L. (2007). Supporting self-care in general practice. </w:t>
      </w:r>
      <w:r w:rsidRPr="00165242">
        <w:rPr>
          <w:rFonts w:ascii="Garamond" w:eastAsia="Garamond" w:hAnsi="Garamond" w:cs="Garamond"/>
          <w:i/>
        </w:rPr>
        <w:t>British Journal of General Practice</w:t>
      </w:r>
      <w:r w:rsidRPr="00165242">
        <w:rPr>
          <w:rFonts w:ascii="Garamond" w:eastAsia="Garamond" w:hAnsi="Garamond" w:cs="Garamond"/>
        </w:rPr>
        <w:t xml:space="preserve">, </w:t>
      </w:r>
      <w:r w:rsidRPr="00165242">
        <w:rPr>
          <w:rFonts w:ascii="Garamond" w:eastAsia="Garamond" w:hAnsi="Garamond" w:cs="Garamond"/>
          <w:i/>
        </w:rPr>
        <w:t>57</w:t>
      </w:r>
      <w:r w:rsidRPr="00165242">
        <w:rPr>
          <w:rFonts w:ascii="Garamond" w:eastAsia="Garamond" w:hAnsi="Garamond" w:cs="Garamond"/>
        </w:rPr>
        <w:t xml:space="preserve">(543), 814–821. </w:t>
      </w:r>
    </w:p>
    <w:p w14:paraId="0E22D3F0" w14:textId="77777777" w:rsidR="004F6B32" w:rsidRPr="00165242" w:rsidRDefault="004F6B32" w:rsidP="004F6B32">
      <w:pPr>
        <w:spacing w:line="480" w:lineRule="auto"/>
        <w:ind w:left="720" w:hanging="720"/>
        <w:rPr>
          <w:rFonts w:ascii="Garamond" w:eastAsia="Garamond" w:hAnsi="Garamond" w:cs="Garamond"/>
        </w:rPr>
      </w:pPr>
      <w:r w:rsidRPr="00165242">
        <w:rPr>
          <w:rFonts w:ascii="Garamond" w:eastAsia="Garamond" w:hAnsi="Garamond" w:cs="Garamond"/>
        </w:rPr>
        <w:t xml:space="preserve">Greenaway, K. H., Haslam, S. A., Cruwys, T., Branscombe, N. R., Ysseldyk, R., &amp; Heldreth, C. (2015). From “we” to “me”: Group identification enhances perceived personal control with consequences for health and well-being. </w:t>
      </w:r>
      <w:r w:rsidRPr="00165242">
        <w:rPr>
          <w:rFonts w:ascii="Garamond" w:eastAsia="Garamond" w:hAnsi="Garamond" w:cs="Garamond"/>
          <w:i/>
        </w:rPr>
        <w:t>Journal of Personality and Social Psychology</w:t>
      </w:r>
      <w:r w:rsidRPr="00165242">
        <w:rPr>
          <w:rFonts w:ascii="Garamond" w:eastAsia="Garamond" w:hAnsi="Garamond" w:cs="Garamond"/>
        </w:rPr>
        <w:t xml:space="preserve">, </w:t>
      </w:r>
      <w:r w:rsidRPr="00165242">
        <w:rPr>
          <w:rFonts w:ascii="Garamond" w:eastAsia="Garamond" w:hAnsi="Garamond" w:cs="Garamond"/>
          <w:i/>
        </w:rPr>
        <w:t>109</w:t>
      </w:r>
      <w:r w:rsidRPr="00165242">
        <w:rPr>
          <w:rFonts w:ascii="Garamond" w:eastAsia="Garamond" w:hAnsi="Garamond" w:cs="Garamond"/>
        </w:rPr>
        <w:t>(1), 53–74. https://doi.org/10.1037/pspi0000019</w:t>
      </w:r>
    </w:p>
    <w:p w14:paraId="692963F2" w14:textId="77777777" w:rsidR="004F6B32" w:rsidRPr="00165242" w:rsidRDefault="004F6B32" w:rsidP="004F6B32">
      <w:pPr>
        <w:spacing w:line="480" w:lineRule="auto"/>
        <w:ind w:left="720" w:hanging="720"/>
        <w:rPr>
          <w:rFonts w:ascii="Garamond" w:eastAsia="Garamond" w:hAnsi="Garamond" w:cs="Garamond"/>
        </w:rPr>
      </w:pPr>
      <w:r w:rsidRPr="00165242">
        <w:rPr>
          <w:rFonts w:ascii="Garamond" w:eastAsia="Garamond" w:hAnsi="Garamond" w:cs="Garamond"/>
        </w:rPr>
        <w:t xml:space="preserve">Haslam, C., Cruwys, T., Haslam, S. A., Dingle, G., &amp; Chang, M. X.-L. (2016). Groups 4 Health: Evidence that a social-identity intervention that builds and strengthens social group membership improves mental health. </w:t>
      </w:r>
      <w:r w:rsidRPr="00165242">
        <w:rPr>
          <w:rFonts w:ascii="Garamond" w:eastAsia="Garamond" w:hAnsi="Garamond" w:cs="Garamond"/>
          <w:i/>
        </w:rPr>
        <w:t>Journal of Affective Disorders</w:t>
      </w:r>
      <w:r w:rsidRPr="00165242">
        <w:rPr>
          <w:rFonts w:ascii="Garamond" w:eastAsia="Garamond" w:hAnsi="Garamond" w:cs="Garamond"/>
        </w:rPr>
        <w:t xml:space="preserve">, </w:t>
      </w:r>
      <w:r w:rsidRPr="00165242">
        <w:rPr>
          <w:rFonts w:ascii="Garamond" w:eastAsia="Garamond" w:hAnsi="Garamond" w:cs="Garamond"/>
          <w:i/>
        </w:rPr>
        <w:t>194</w:t>
      </w:r>
      <w:r w:rsidRPr="00165242">
        <w:rPr>
          <w:rFonts w:ascii="Garamond" w:eastAsia="Garamond" w:hAnsi="Garamond" w:cs="Garamond"/>
        </w:rPr>
        <w:t>, 188–195. https://doi.org/10.1016/j.jad.2016.01.010</w:t>
      </w:r>
    </w:p>
    <w:p w14:paraId="73EC18DF" w14:textId="77777777" w:rsidR="004F6B32" w:rsidRPr="00165242" w:rsidRDefault="004F6B32" w:rsidP="004F6B32">
      <w:pPr>
        <w:spacing w:line="480" w:lineRule="auto"/>
        <w:ind w:left="720" w:hanging="720"/>
        <w:rPr>
          <w:rFonts w:ascii="Garamond" w:eastAsia="Garamond" w:hAnsi="Garamond" w:cs="Garamond"/>
        </w:rPr>
      </w:pPr>
      <w:r w:rsidRPr="00165242">
        <w:rPr>
          <w:rFonts w:ascii="Garamond" w:eastAsia="Garamond" w:hAnsi="Garamond" w:cs="Garamond"/>
        </w:rPr>
        <w:lastRenderedPageBreak/>
        <w:t xml:space="preserve">Haslam, C., Haslam, S. A., Ysseldyk, R., McCloskey, L.-G., Pfisterer, K., &amp; Brown, S. G. (2014). Social identification moderates cognitive health and well-being following story- and song-based reminiscence. </w:t>
      </w:r>
      <w:r w:rsidRPr="00165242">
        <w:rPr>
          <w:rFonts w:ascii="Garamond" w:eastAsia="Garamond" w:hAnsi="Garamond" w:cs="Garamond"/>
          <w:i/>
        </w:rPr>
        <w:t>Aging &amp; Mental Health</w:t>
      </w:r>
      <w:r w:rsidRPr="00165242">
        <w:rPr>
          <w:rFonts w:ascii="Garamond" w:eastAsia="Garamond" w:hAnsi="Garamond" w:cs="Garamond"/>
        </w:rPr>
        <w:t xml:space="preserve">, </w:t>
      </w:r>
      <w:r w:rsidRPr="00165242">
        <w:rPr>
          <w:rFonts w:ascii="Garamond" w:eastAsia="Garamond" w:hAnsi="Garamond" w:cs="Garamond"/>
          <w:i/>
        </w:rPr>
        <w:t>18</w:t>
      </w:r>
      <w:r w:rsidRPr="00165242">
        <w:rPr>
          <w:rFonts w:ascii="Garamond" w:eastAsia="Garamond" w:hAnsi="Garamond" w:cs="Garamond"/>
        </w:rPr>
        <w:t>(4), 425–434. https://doi.org/10.1080/13607863.2013.845871</w:t>
      </w:r>
    </w:p>
    <w:p w14:paraId="43831AAC"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Haslam, C., Holme, A., Haslam, S. A., Iyer, A., Jetten, J., &amp; Williams, W. H. (2008). Maintaining group memberships: social identity continuity predicts well-being after stroke. </w:t>
      </w:r>
      <w:r w:rsidRPr="00165242">
        <w:rPr>
          <w:rFonts w:ascii="Garamond" w:eastAsia="Garamond" w:hAnsi="Garamond" w:cs="Garamond"/>
          <w:i/>
        </w:rPr>
        <w:t>Neuropsychological Rehabilitation</w:t>
      </w:r>
      <w:r w:rsidRPr="00165242">
        <w:rPr>
          <w:rFonts w:ascii="Garamond" w:eastAsia="Garamond" w:hAnsi="Garamond" w:cs="Garamond"/>
        </w:rPr>
        <w:t xml:space="preserve">, </w:t>
      </w:r>
      <w:r w:rsidRPr="00165242">
        <w:rPr>
          <w:rFonts w:ascii="Garamond" w:eastAsia="Garamond" w:hAnsi="Garamond" w:cs="Garamond"/>
          <w:i/>
        </w:rPr>
        <w:t>18</w:t>
      </w:r>
      <w:r w:rsidRPr="00165242">
        <w:rPr>
          <w:rFonts w:ascii="Garamond" w:eastAsia="Garamond" w:hAnsi="Garamond" w:cs="Garamond"/>
        </w:rPr>
        <w:t>(5–6), 671–691. https://doi.org/10.1080/09602010701643449</w:t>
      </w:r>
    </w:p>
    <w:p w14:paraId="17A31579"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Haslam, C., Jetten, J., Cruwys, T., Dingle, G., &amp; Haslam, S.A. (2018). </w:t>
      </w:r>
      <w:r w:rsidRPr="00165242">
        <w:rPr>
          <w:rFonts w:ascii="Garamond" w:eastAsia="Garamond" w:hAnsi="Garamond" w:cs="Garamond"/>
          <w:i/>
        </w:rPr>
        <w:t>The new psychology of health</w:t>
      </w:r>
      <w:r w:rsidRPr="00165242">
        <w:rPr>
          <w:rFonts w:ascii="Garamond" w:eastAsia="Garamond" w:hAnsi="Garamond" w:cs="Garamond"/>
        </w:rPr>
        <w:t>. London: Routledge.</w:t>
      </w:r>
    </w:p>
    <w:p w14:paraId="667B8664" w14:textId="77777777" w:rsidR="004F6B32" w:rsidRPr="00165242" w:rsidRDefault="004F6B32" w:rsidP="004F6B32">
      <w:pPr>
        <w:spacing w:line="480" w:lineRule="auto"/>
        <w:ind w:left="720" w:hanging="720"/>
        <w:rPr>
          <w:rFonts w:ascii="Garamond" w:eastAsia="Garamond" w:hAnsi="Garamond" w:cs="Garamond"/>
        </w:rPr>
      </w:pPr>
      <w:r w:rsidRPr="00165242">
        <w:rPr>
          <w:rFonts w:ascii="Garamond" w:eastAsia="Garamond" w:hAnsi="Garamond" w:cs="Garamond"/>
        </w:rPr>
        <w:t xml:space="preserve">Haslam, D. W., &amp; James, W. P. T. (2005). Obesity. </w:t>
      </w:r>
      <w:r w:rsidRPr="00165242">
        <w:rPr>
          <w:rFonts w:ascii="Garamond" w:eastAsia="Garamond" w:hAnsi="Garamond" w:cs="Garamond"/>
          <w:i/>
        </w:rPr>
        <w:t>Lancet (London, England)</w:t>
      </w:r>
      <w:r w:rsidRPr="00165242">
        <w:rPr>
          <w:rFonts w:ascii="Garamond" w:eastAsia="Garamond" w:hAnsi="Garamond" w:cs="Garamond"/>
        </w:rPr>
        <w:t xml:space="preserve">, </w:t>
      </w:r>
      <w:r w:rsidRPr="00165242">
        <w:rPr>
          <w:rFonts w:ascii="Garamond" w:eastAsia="Garamond" w:hAnsi="Garamond" w:cs="Garamond"/>
          <w:i/>
        </w:rPr>
        <w:t>366</w:t>
      </w:r>
      <w:r w:rsidRPr="00165242">
        <w:rPr>
          <w:rFonts w:ascii="Garamond" w:eastAsia="Garamond" w:hAnsi="Garamond" w:cs="Garamond"/>
        </w:rPr>
        <w:t>(9492), 1197–1209. https://doi.org/10.1016/S0140-6736(05)67483-1</w:t>
      </w:r>
    </w:p>
    <w:p w14:paraId="2BDF9674"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Higgs, S. (2015). Social norms and their influence on eating behaviours. </w:t>
      </w:r>
      <w:r w:rsidRPr="00165242">
        <w:rPr>
          <w:rFonts w:ascii="Garamond" w:eastAsia="Garamond" w:hAnsi="Garamond" w:cs="Garamond"/>
          <w:i/>
        </w:rPr>
        <w:t>Appetite</w:t>
      </w:r>
      <w:r w:rsidRPr="00165242">
        <w:rPr>
          <w:rFonts w:ascii="Garamond" w:eastAsia="Garamond" w:hAnsi="Garamond" w:cs="Garamond"/>
        </w:rPr>
        <w:t xml:space="preserve">, </w:t>
      </w:r>
      <w:r w:rsidRPr="00165242">
        <w:rPr>
          <w:rFonts w:ascii="Garamond" w:eastAsia="Garamond" w:hAnsi="Garamond" w:cs="Garamond"/>
          <w:i/>
        </w:rPr>
        <w:t>86</w:t>
      </w:r>
      <w:r w:rsidRPr="00165242">
        <w:rPr>
          <w:rFonts w:ascii="Garamond" w:eastAsia="Garamond" w:hAnsi="Garamond" w:cs="Garamond"/>
        </w:rPr>
        <w:t>, 38–44. https://doi.org/10.1016/j.appet.2014.10.021</w:t>
      </w:r>
    </w:p>
    <w:p w14:paraId="3B9B97BD"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Hoddinott, P., Allan, K., Avenell, A., &amp; Britten, J. (2010). Group interventions to improve health outcomes: a framework for their design and delivery. </w:t>
      </w:r>
      <w:r w:rsidRPr="00165242">
        <w:rPr>
          <w:rFonts w:ascii="Garamond" w:eastAsia="Garamond" w:hAnsi="Garamond" w:cs="Garamond"/>
          <w:i/>
        </w:rPr>
        <w:t>BMC Public Health</w:t>
      </w:r>
      <w:r w:rsidRPr="00165242">
        <w:rPr>
          <w:rFonts w:ascii="Garamond" w:eastAsia="Garamond" w:hAnsi="Garamond" w:cs="Garamond"/>
        </w:rPr>
        <w:t xml:space="preserve">, </w:t>
      </w:r>
      <w:r w:rsidRPr="00165242">
        <w:rPr>
          <w:rFonts w:ascii="Garamond" w:eastAsia="Garamond" w:hAnsi="Garamond" w:cs="Garamond"/>
          <w:i/>
        </w:rPr>
        <w:t>10</w:t>
      </w:r>
      <w:r w:rsidRPr="00165242">
        <w:rPr>
          <w:rFonts w:ascii="Garamond" w:eastAsia="Garamond" w:hAnsi="Garamond" w:cs="Garamond"/>
        </w:rPr>
        <w:t>, 800. https://doi.org/10.1186/1471-2458-10-800</w:t>
      </w:r>
    </w:p>
    <w:p w14:paraId="5B18FEF5"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Hunger, J. M., Major, B., Blodorn, A., &amp;amp; Miller, C. T. (2015). Weighed down by stigma: How weight-based social identity threat contributes to weight gain and poor health. </w:t>
      </w:r>
      <w:r w:rsidRPr="00165242">
        <w:rPr>
          <w:rFonts w:ascii="Garamond" w:eastAsia="Garamond" w:hAnsi="Garamond" w:cs="Garamond"/>
          <w:i/>
        </w:rPr>
        <w:t>Social and Personality Psychology Compass</w:t>
      </w:r>
      <w:r w:rsidRPr="00165242">
        <w:rPr>
          <w:rFonts w:ascii="Garamond" w:eastAsia="Garamond" w:hAnsi="Garamond" w:cs="Garamond"/>
        </w:rPr>
        <w:t xml:space="preserve">, </w:t>
      </w:r>
      <w:r w:rsidRPr="00165242">
        <w:rPr>
          <w:rFonts w:ascii="Garamond" w:eastAsia="Garamond" w:hAnsi="Garamond" w:cs="Garamond"/>
          <w:i/>
        </w:rPr>
        <w:t>9</w:t>
      </w:r>
      <w:r w:rsidRPr="00165242">
        <w:rPr>
          <w:rFonts w:ascii="Garamond" w:eastAsia="Garamond" w:hAnsi="Garamond" w:cs="Garamond"/>
        </w:rPr>
        <w:t>(6), 255–268. https://doi.org/10.1111/spc3.12172</w:t>
      </w:r>
    </w:p>
    <w:p w14:paraId="68F9D9EA"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JASP Team (2019). JASP (Version 0.11.1)[Computer software].</w:t>
      </w:r>
    </w:p>
    <w:p w14:paraId="5429C8D6" w14:textId="77777777" w:rsidR="004F6B32" w:rsidRPr="00165242" w:rsidRDefault="004F6B32" w:rsidP="004F6B32">
      <w:pPr>
        <w:spacing w:line="480" w:lineRule="auto"/>
        <w:ind w:left="720" w:hanging="720"/>
        <w:rPr>
          <w:rFonts w:ascii="Garamond" w:eastAsia="Garamond" w:hAnsi="Garamond" w:cs="Garamond"/>
        </w:rPr>
      </w:pPr>
      <w:r w:rsidRPr="00165242">
        <w:rPr>
          <w:rFonts w:ascii="Garamond" w:eastAsia="Garamond" w:hAnsi="Garamond" w:cs="Garamond"/>
        </w:rPr>
        <w:t xml:space="preserve">Jetten, J., Haslam, C., &amp; Haslam, S. A. (Eds.). (2011). </w:t>
      </w:r>
      <w:r w:rsidRPr="00165242">
        <w:rPr>
          <w:rFonts w:ascii="Garamond" w:eastAsia="Garamond" w:hAnsi="Garamond" w:cs="Garamond"/>
          <w:i/>
        </w:rPr>
        <w:t>The social cure: Identity, health and well-being</w:t>
      </w:r>
      <w:r w:rsidRPr="00165242">
        <w:rPr>
          <w:rFonts w:ascii="Garamond" w:eastAsia="Garamond" w:hAnsi="Garamond" w:cs="Garamond"/>
        </w:rPr>
        <w:t xml:space="preserve"> (1</w:t>
      </w:r>
      <w:r w:rsidRPr="00165242">
        <w:rPr>
          <w:rFonts w:ascii="Garamond" w:eastAsia="Garamond" w:hAnsi="Garamond" w:cs="Garamond"/>
          <w:vertAlign w:val="superscript"/>
        </w:rPr>
        <w:t>st</w:t>
      </w:r>
      <w:r w:rsidRPr="00165242">
        <w:rPr>
          <w:rFonts w:ascii="Garamond" w:eastAsia="Garamond" w:hAnsi="Garamond" w:cs="Garamond"/>
        </w:rPr>
        <w:t xml:space="preserve"> Edition). Hove</w:t>
      </w:r>
      <w:r w:rsidRPr="00165242">
        <w:rPr>
          <w:rFonts w:ascii="Times New Roman" w:eastAsia="Times New Roman" w:hAnsi="Times New Roman" w:cs="Times New Roman"/>
        </w:rPr>
        <w:t> </w:t>
      </w:r>
      <w:r w:rsidRPr="00165242">
        <w:rPr>
          <w:rFonts w:ascii="Garamond" w:eastAsia="Garamond" w:hAnsi="Garamond" w:cs="Garamond"/>
        </w:rPr>
        <w:t>; New York: Psychology Press.</w:t>
      </w:r>
    </w:p>
    <w:p w14:paraId="620AA9FC"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Jetten, J., Haslam, C., Haslam, S. A., &amp; Branscombe, N. R. (2009). The social cure. Scientific American Mind, 20(5), 26–33. https://doi.org/10.1038/scientificamericanmind0909-26</w:t>
      </w:r>
    </w:p>
    <w:p w14:paraId="4E280622"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lastRenderedPageBreak/>
        <w:t xml:space="preserve">Jones, J. M., &amp; Jetten, J. (2011). Recovering from strain and enduring pain: Multiple group memberships promote resilience in the face of physical challenges. </w:t>
      </w:r>
      <w:r w:rsidRPr="00165242">
        <w:rPr>
          <w:rFonts w:ascii="Garamond" w:eastAsia="Garamond" w:hAnsi="Garamond" w:cs="Garamond"/>
          <w:i/>
        </w:rPr>
        <w:t>Social Psychological and Personality Science</w:t>
      </w:r>
      <w:r w:rsidRPr="00165242">
        <w:rPr>
          <w:rFonts w:ascii="Garamond" w:eastAsia="Garamond" w:hAnsi="Garamond" w:cs="Garamond"/>
        </w:rPr>
        <w:t xml:space="preserve">, </w:t>
      </w:r>
      <w:r w:rsidRPr="00165242">
        <w:rPr>
          <w:rFonts w:ascii="Garamond" w:eastAsia="Garamond" w:hAnsi="Garamond" w:cs="Garamond"/>
          <w:i/>
        </w:rPr>
        <w:t>2</w:t>
      </w:r>
      <w:r w:rsidRPr="00165242">
        <w:rPr>
          <w:rFonts w:ascii="Garamond" w:eastAsia="Garamond" w:hAnsi="Garamond" w:cs="Garamond"/>
        </w:rPr>
        <w:t>(3), 239–244. https://doi.org/10.1177/1948550610386806</w:t>
      </w:r>
    </w:p>
    <w:p w14:paraId="70801B2B"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Jones, J. M., Williams, W. H., Jetten, J., Haslam, S. A., Harris, A., &amp; Gleibs, I. H. (2012). The role of psychological symptoms and social group memberships in the development of post-traumatic stress after traumatic injury. </w:t>
      </w:r>
      <w:r w:rsidRPr="00165242">
        <w:rPr>
          <w:rFonts w:ascii="Garamond" w:eastAsia="Garamond" w:hAnsi="Garamond" w:cs="Garamond"/>
          <w:i/>
        </w:rPr>
        <w:t>British Journal of Health Psychology</w:t>
      </w:r>
      <w:r w:rsidRPr="00165242">
        <w:rPr>
          <w:rFonts w:ascii="Garamond" w:eastAsia="Garamond" w:hAnsi="Garamond" w:cs="Garamond"/>
        </w:rPr>
        <w:t xml:space="preserve">, </w:t>
      </w:r>
      <w:r w:rsidRPr="00165242">
        <w:rPr>
          <w:rFonts w:ascii="Garamond" w:eastAsia="Garamond" w:hAnsi="Garamond" w:cs="Garamond"/>
          <w:i/>
        </w:rPr>
        <w:t>17</w:t>
      </w:r>
      <w:r w:rsidRPr="00165242">
        <w:rPr>
          <w:rFonts w:ascii="Garamond" w:eastAsia="Garamond" w:hAnsi="Garamond" w:cs="Garamond"/>
        </w:rPr>
        <w:t>(4), 798–811. https://doi.org/10.1111/j.2044-8287.2012.02074.x</w:t>
      </w:r>
    </w:p>
    <w:p w14:paraId="7D9F3222" w14:textId="77777777" w:rsidR="004F6B32" w:rsidRPr="00165242" w:rsidRDefault="004F6B32" w:rsidP="004F6B32">
      <w:pPr>
        <w:spacing w:line="480" w:lineRule="auto"/>
        <w:ind w:left="720" w:hanging="720"/>
        <w:rPr>
          <w:rFonts w:ascii="Garamond" w:eastAsia="Garamond" w:hAnsi="Garamond" w:cs="Garamond"/>
        </w:rPr>
      </w:pPr>
      <w:r w:rsidRPr="00165242">
        <w:rPr>
          <w:rFonts w:ascii="Garamond" w:eastAsia="Garamond" w:hAnsi="Garamond" w:cs="Garamond"/>
        </w:rPr>
        <w:t xml:space="preserve">Khan, S. S., Hopkins, N., Reicher, S., Tewari, S., Srinivasan, N., &amp; Stevenson, C. (2015). Shared identity predicts enhanced health at a mass gathering. </w:t>
      </w:r>
      <w:r w:rsidRPr="00165242">
        <w:rPr>
          <w:rFonts w:ascii="Garamond" w:eastAsia="Garamond" w:hAnsi="Garamond" w:cs="Garamond"/>
          <w:i/>
        </w:rPr>
        <w:t>Group Processes &amp; Intergroup Relations</w:t>
      </w:r>
      <w:r w:rsidRPr="00165242">
        <w:rPr>
          <w:rFonts w:ascii="Garamond" w:eastAsia="Garamond" w:hAnsi="Garamond" w:cs="Garamond"/>
        </w:rPr>
        <w:t xml:space="preserve">, </w:t>
      </w:r>
      <w:r w:rsidRPr="00165242">
        <w:rPr>
          <w:rFonts w:ascii="Garamond" w:eastAsia="Garamond" w:hAnsi="Garamond" w:cs="Garamond"/>
          <w:i/>
        </w:rPr>
        <w:t>18</w:t>
      </w:r>
      <w:r w:rsidRPr="00165242">
        <w:rPr>
          <w:rFonts w:ascii="Garamond" w:eastAsia="Garamond" w:hAnsi="Garamond" w:cs="Garamond"/>
        </w:rPr>
        <w:t>(4), 504–522. https://doi.org/10.1177/1368430214556703</w:t>
      </w:r>
    </w:p>
    <w:p w14:paraId="5F5349BF" w14:textId="77777777" w:rsidR="004F6B32" w:rsidRPr="00165242" w:rsidRDefault="004F6B32" w:rsidP="004F6B32">
      <w:pPr>
        <w:spacing w:line="480" w:lineRule="auto"/>
        <w:ind w:left="720" w:hanging="720"/>
        <w:rPr>
          <w:rFonts w:ascii="Garamond" w:eastAsia="Garamond" w:hAnsi="Garamond" w:cs="Garamond"/>
        </w:rPr>
      </w:pPr>
      <w:r w:rsidRPr="00165242">
        <w:rPr>
          <w:rFonts w:ascii="Garamond" w:eastAsia="Garamond" w:hAnsi="Garamond" w:cs="Garamond"/>
        </w:rPr>
        <w:t xml:space="preserve">Khan, S. S., Hopkins, N., Tewari, S., Srinivasan, N., Reicher, S. D., &amp; Ozakinci, G. (2014). Efficacy and well-being in rural north India: The role of social identification with a large-scale community identity. </w:t>
      </w:r>
      <w:r w:rsidRPr="00165242">
        <w:rPr>
          <w:rFonts w:ascii="Garamond" w:eastAsia="Garamond" w:hAnsi="Garamond" w:cs="Garamond"/>
          <w:i/>
        </w:rPr>
        <w:t>European Journal of Social Psychology</w:t>
      </w:r>
      <w:r w:rsidRPr="00165242">
        <w:rPr>
          <w:rFonts w:ascii="Garamond" w:eastAsia="Garamond" w:hAnsi="Garamond" w:cs="Garamond"/>
        </w:rPr>
        <w:t xml:space="preserve">, </w:t>
      </w:r>
      <w:r w:rsidRPr="00165242">
        <w:rPr>
          <w:rFonts w:ascii="Garamond" w:eastAsia="Garamond" w:hAnsi="Garamond" w:cs="Garamond"/>
          <w:i/>
        </w:rPr>
        <w:t>44</w:t>
      </w:r>
      <w:r w:rsidRPr="00165242">
        <w:rPr>
          <w:rFonts w:ascii="Garamond" w:eastAsia="Garamond" w:hAnsi="Garamond" w:cs="Garamond"/>
        </w:rPr>
        <w:t>(7), 787–798. https://doi.org/10.1002/ejsp.2060</w:t>
      </w:r>
    </w:p>
    <w:p w14:paraId="194106EC"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Kim, J., Oh, D., Yoon, T., Choi, J., &amp; Choe, B. (2007). The impacts of obesity on psychological well-being: a cross-sectional study about depressive mood and quality of life. </w:t>
      </w:r>
      <w:r w:rsidRPr="00165242">
        <w:rPr>
          <w:rFonts w:ascii="Garamond" w:eastAsia="Garamond" w:hAnsi="Garamond" w:cs="Garamond"/>
          <w:i/>
        </w:rPr>
        <w:t>Journal of Preventive Medicine and Public Health</w:t>
      </w:r>
      <w:r w:rsidRPr="00165242">
        <w:rPr>
          <w:rFonts w:ascii="Garamond" w:eastAsia="Garamond" w:hAnsi="Garamond" w:cs="Garamond"/>
        </w:rPr>
        <w:t xml:space="preserve">, </w:t>
      </w:r>
      <w:r w:rsidRPr="00165242">
        <w:rPr>
          <w:rFonts w:ascii="Garamond" w:eastAsia="Garamond" w:hAnsi="Garamond" w:cs="Garamond"/>
          <w:i/>
        </w:rPr>
        <w:t>40</w:t>
      </w:r>
      <w:r w:rsidRPr="00165242">
        <w:rPr>
          <w:rFonts w:ascii="Garamond" w:eastAsia="Garamond" w:hAnsi="Garamond" w:cs="Garamond"/>
        </w:rPr>
        <w:t>(2), 191–195.</w:t>
      </w:r>
      <w:r w:rsidRPr="00165242">
        <w:rPr>
          <w:rFonts w:ascii="Garamond" w:eastAsia="Helvetica Neue" w:hAnsi="Garamond" w:cs="Helvetica Neue"/>
          <w:color w:val="494949"/>
        </w:rPr>
        <w:t xml:space="preserve"> </w:t>
      </w:r>
      <w:r w:rsidRPr="00165242">
        <w:rPr>
          <w:rFonts w:ascii="Garamond" w:eastAsia="Garamond" w:hAnsi="Garamond" w:cs="Garamond"/>
        </w:rPr>
        <w:t>https://doi.org/10.3961/jpmph.2007.40.2.191 </w:t>
      </w:r>
    </w:p>
    <w:p w14:paraId="6EB339BD"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López, M. &amp; Cooper, L. (2011). Social support measures review. Bethesda, MD: National Center for Latino Child and Family Research. </w:t>
      </w:r>
    </w:p>
    <w:p w14:paraId="6CBAF5BA"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Madigan, C. D., Daley, A. J., Lewis, A. L., Jolly, K., &amp; Aveyard, P. (2014). Which weight-loss programmes are as effective as Weight Watchers(R)?: non-inferiority analysis. </w:t>
      </w:r>
      <w:r w:rsidRPr="00165242">
        <w:rPr>
          <w:rFonts w:ascii="Garamond" w:eastAsia="Garamond" w:hAnsi="Garamond" w:cs="Garamond"/>
          <w:i/>
        </w:rPr>
        <w:t>The British Journal of General Practice</w:t>
      </w:r>
      <w:r w:rsidRPr="00165242">
        <w:rPr>
          <w:rFonts w:ascii="Garamond" w:eastAsia="Garamond" w:hAnsi="Garamond" w:cs="Garamond"/>
        </w:rPr>
        <w:t xml:space="preserve">, </w:t>
      </w:r>
      <w:r w:rsidRPr="00165242">
        <w:rPr>
          <w:rFonts w:ascii="Garamond" w:eastAsia="Garamond" w:hAnsi="Garamond" w:cs="Garamond"/>
          <w:i/>
        </w:rPr>
        <w:t>64</w:t>
      </w:r>
      <w:r w:rsidRPr="00165242">
        <w:rPr>
          <w:rFonts w:ascii="Garamond" w:eastAsia="Garamond" w:hAnsi="Garamond" w:cs="Garamond"/>
        </w:rPr>
        <w:t>(620), e128-136. https://doi.org/10.3399/bjgp14X677491</w:t>
      </w:r>
    </w:p>
    <w:p w14:paraId="5B71DA54"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Manson, J. E., Colditz, G. A., Stampfer, M. J., Willett, W. C., Rosner, B., Monson, R. R., … Hennekens, C. H. (1990). A prospective study of obesity and risk of coronary heart disease in women. </w:t>
      </w:r>
      <w:r w:rsidRPr="00165242">
        <w:rPr>
          <w:rFonts w:ascii="Garamond" w:eastAsia="Garamond" w:hAnsi="Garamond" w:cs="Garamond"/>
          <w:i/>
        </w:rPr>
        <w:t>The New England Journal of Medicine</w:t>
      </w:r>
      <w:r w:rsidRPr="00165242">
        <w:rPr>
          <w:rFonts w:ascii="Garamond" w:eastAsia="Garamond" w:hAnsi="Garamond" w:cs="Garamond"/>
        </w:rPr>
        <w:t xml:space="preserve">, </w:t>
      </w:r>
      <w:r w:rsidRPr="00165242">
        <w:rPr>
          <w:rFonts w:ascii="Garamond" w:eastAsia="Garamond" w:hAnsi="Garamond" w:cs="Garamond"/>
          <w:i/>
        </w:rPr>
        <w:t>322</w:t>
      </w:r>
      <w:r w:rsidRPr="00165242">
        <w:rPr>
          <w:rFonts w:ascii="Garamond" w:eastAsia="Garamond" w:hAnsi="Garamond" w:cs="Garamond"/>
        </w:rPr>
        <w:t>(13), 882–889. https://doi.org/10.1056/NEJM199003293221303</w:t>
      </w:r>
    </w:p>
    <w:p w14:paraId="39D1A8CD"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lastRenderedPageBreak/>
        <w:t xml:space="preserve">Martin, I. C., Smith, N. C., Mason, M., &amp; Butt, A. (2012). </w:t>
      </w:r>
      <w:r w:rsidRPr="00165242">
        <w:rPr>
          <w:rFonts w:ascii="Garamond" w:eastAsia="Garamond" w:hAnsi="Garamond" w:cs="Garamond"/>
          <w:i/>
        </w:rPr>
        <w:t>Too lean a service? A review of the care of patients who underwent bariatric surgery</w:t>
      </w:r>
      <w:r w:rsidRPr="00165242">
        <w:rPr>
          <w:rFonts w:ascii="Garamond" w:eastAsia="Garamond" w:hAnsi="Garamond" w:cs="Garamond"/>
        </w:rPr>
        <w:t>. London, UK: National Confidential Enquiry into Patient Outcome and Death. Retrieved from http://bit.ly/1ejSN9N</w:t>
      </w:r>
    </w:p>
    <w:p w14:paraId="3B45839C"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Nackers, L. M., Dubyak, P. J., Lu, X., Anton, S. D., Dutton, G. R., &amp; Perri, M. G. (2015). Group dynamics are associated with weight loss in the behavioral treatment of obesity. </w:t>
      </w:r>
      <w:r w:rsidRPr="00165242">
        <w:rPr>
          <w:rFonts w:ascii="Garamond" w:eastAsia="Garamond" w:hAnsi="Garamond" w:cs="Garamond"/>
          <w:i/>
        </w:rPr>
        <w:t>Obesity</w:t>
      </w:r>
      <w:r w:rsidRPr="00165242">
        <w:rPr>
          <w:rFonts w:ascii="Garamond" w:eastAsia="Garamond" w:hAnsi="Garamond" w:cs="Garamond"/>
        </w:rPr>
        <w:t xml:space="preserve">, </w:t>
      </w:r>
      <w:r w:rsidRPr="00165242">
        <w:rPr>
          <w:rFonts w:ascii="Garamond" w:eastAsia="Garamond" w:hAnsi="Garamond" w:cs="Garamond"/>
          <w:i/>
        </w:rPr>
        <w:t>23</w:t>
      </w:r>
      <w:r w:rsidRPr="00165242">
        <w:rPr>
          <w:rFonts w:ascii="Garamond" w:eastAsia="Garamond" w:hAnsi="Garamond" w:cs="Garamond"/>
        </w:rPr>
        <w:t>(8), 1563–1569. https://doi.org/10.1002/oby.21148</w:t>
      </w:r>
    </w:p>
    <w:p w14:paraId="74D6C7EB"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NCD Risk Factor Collaboration (2016). Trends in adult body-mass index in 200 countries from 1975 to 2014: a pooled analysis of 1698 population-based measurement studies with 19·2 million participants. </w:t>
      </w:r>
      <w:r w:rsidRPr="00165242">
        <w:rPr>
          <w:rFonts w:ascii="Garamond" w:eastAsia="Garamond" w:hAnsi="Garamond" w:cs="Garamond"/>
          <w:i/>
        </w:rPr>
        <w:t>The Lancet, 387</w:t>
      </w:r>
      <w:r w:rsidRPr="00165242">
        <w:rPr>
          <w:rFonts w:ascii="Garamond" w:eastAsia="Garamond" w:hAnsi="Garamond" w:cs="Garamond"/>
        </w:rPr>
        <w:t>, 1377-1396.</w:t>
      </w:r>
      <w:r w:rsidRPr="00165242">
        <w:rPr>
          <w:rFonts w:ascii="Garamond" w:hAnsi="Garamond"/>
        </w:rPr>
        <w:t xml:space="preserve"> </w:t>
      </w:r>
      <w:r w:rsidRPr="00165242">
        <w:rPr>
          <w:rFonts w:ascii="Garamond" w:eastAsia="Garamond" w:hAnsi="Garamond" w:cs="Garamond"/>
        </w:rPr>
        <w:t>https://doi.org/10.1016/S0140-6736(16)30054-X</w:t>
      </w:r>
    </w:p>
    <w:p w14:paraId="6EC070D0" w14:textId="77777777" w:rsidR="004F6B3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NICE (2014) Obesity: Identification, assessment and management of overweight and obesity in children, young people and adults (CG189). London, UK: Author. Retrieved from</w:t>
      </w:r>
      <w:r>
        <w:rPr>
          <w:rFonts w:ascii="Garamond" w:eastAsia="Garamond" w:hAnsi="Garamond" w:cs="Garamond"/>
        </w:rPr>
        <w:t xml:space="preserve"> </w:t>
      </w:r>
      <w:r w:rsidRPr="00325CAF">
        <w:rPr>
          <w:rFonts w:ascii="Garamond" w:eastAsia="Garamond" w:hAnsi="Garamond" w:cs="Garamond"/>
        </w:rPr>
        <w:t>www.nice.org.uk/guidance/cg189</w:t>
      </w:r>
    </w:p>
    <w:p w14:paraId="67B4D1DF" w14:textId="77777777" w:rsidR="004F6B32" w:rsidRPr="00165242" w:rsidRDefault="004F6B32" w:rsidP="004F6B32">
      <w:pPr>
        <w:spacing w:line="480" w:lineRule="auto"/>
        <w:ind w:left="567" w:hanging="567"/>
        <w:rPr>
          <w:rFonts w:ascii="Garamond" w:eastAsia="Garamond" w:hAnsi="Garamond" w:cs="Garamond"/>
        </w:rPr>
      </w:pPr>
      <w:r w:rsidRPr="00325CAF">
        <w:rPr>
          <w:rFonts w:ascii="Garamond" w:eastAsia="Garamond" w:hAnsi="Garamond" w:cs="Garamond"/>
        </w:rPr>
        <w:t>Oyserman, D., Fryberg, S. A., and Yoder, N. (2007). Identity-based motivation and health. </w:t>
      </w:r>
      <w:r w:rsidRPr="00325CAF">
        <w:rPr>
          <w:rFonts w:ascii="Garamond" w:eastAsia="Garamond" w:hAnsi="Garamond" w:cs="Garamond"/>
          <w:i/>
        </w:rPr>
        <w:t>Journal of Personality &amp; Social Psychology</w:t>
      </w:r>
      <w:r>
        <w:rPr>
          <w:rFonts w:ascii="Garamond" w:eastAsia="Garamond" w:hAnsi="Garamond" w:cs="Garamond"/>
        </w:rPr>
        <w:t xml:space="preserve">, </w:t>
      </w:r>
      <w:r w:rsidRPr="00325CAF">
        <w:rPr>
          <w:rFonts w:ascii="Garamond" w:eastAsia="Garamond" w:hAnsi="Garamond" w:cs="Garamond"/>
          <w:i/>
        </w:rPr>
        <w:t>93</w:t>
      </w:r>
      <w:r>
        <w:rPr>
          <w:rFonts w:ascii="Garamond" w:eastAsia="Garamond" w:hAnsi="Garamond" w:cs="Garamond"/>
        </w:rPr>
        <w:t xml:space="preserve">(6), </w:t>
      </w:r>
      <w:r w:rsidRPr="00325CAF">
        <w:rPr>
          <w:rFonts w:ascii="Garamond" w:eastAsia="Garamond" w:hAnsi="Garamond" w:cs="Garamond"/>
        </w:rPr>
        <w:t>1011</w:t>
      </w:r>
      <w:r>
        <w:rPr>
          <w:rFonts w:ascii="Garamond" w:eastAsia="Garamond" w:hAnsi="Garamond" w:cs="Garamond"/>
        </w:rPr>
        <w:t>-1027</w:t>
      </w:r>
      <w:r w:rsidRPr="00325CAF">
        <w:rPr>
          <w:rFonts w:ascii="Garamond" w:eastAsia="Garamond" w:hAnsi="Garamond" w:cs="Garamond"/>
        </w:rPr>
        <w:t>. doi: 10.1037/0022-3514.93.6.1011</w:t>
      </w:r>
    </w:p>
    <w:p w14:paraId="1EE45106"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Phelan, S. M., Burgess, D. J., Puhl, R., Dyrbye, L. N., Dovidio, J. F., Yeazel, M., … van Ryn, M. (2015). The adverse effect of weight stigma on the well-being of medical students with overweight or obesity: Findings from a national survey. </w:t>
      </w:r>
      <w:r w:rsidRPr="00165242">
        <w:rPr>
          <w:rFonts w:ascii="Garamond" w:eastAsia="Garamond" w:hAnsi="Garamond" w:cs="Garamond"/>
          <w:i/>
        </w:rPr>
        <w:t>Journal of General Internal Medicine</w:t>
      </w:r>
      <w:r w:rsidRPr="00165242">
        <w:rPr>
          <w:rFonts w:ascii="Garamond" w:eastAsia="Garamond" w:hAnsi="Garamond" w:cs="Garamond"/>
        </w:rPr>
        <w:t xml:space="preserve">, </w:t>
      </w:r>
      <w:r w:rsidRPr="00165242">
        <w:rPr>
          <w:rFonts w:ascii="Garamond" w:eastAsia="Garamond" w:hAnsi="Garamond" w:cs="Garamond"/>
          <w:i/>
        </w:rPr>
        <w:t>30</w:t>
      </w:r>
      <w:r w:rsidRPr="00165242">
        <w:rPr>
          <w:rFonts w:ascii="Garamond" w:eastAsia="Garamond" w:hAnsi="Garamond" w:cs="Garamond"/>
        </w:rPr>
        <w:t>(9), 1251–1258. https://doi.org/10.1007/s11606-015-3266-x</w:t>
      </w:r>
    </w:p>
    <w:p w14:paraId="38051412"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Puhl, R. M., &amp; Heuer, C. A. (2009). The stigma of obesity: A review and update. </w:t>
      </w:r>
      <w:r w:rsidRPr="00165242">
        <w:rPr>
          <w:rFonts w:ascii="Garamond" w:eastAsia="Garamond" w:hAnsi="Garamond" w:cs="Garamond"/>
          <w:i/>
        </w:rPr>
        <w:t>Obesity</w:t>
      </w:r>
      <w:r w:rsidRPr="00165242">
        <w:rPr>
          <w:rFonts w:ascii="Garamond" w:eastAsia="Garamond" w:hAnsi="Garamond" w:cs="Garamond"/>
        </w:rPr>
        <w:t xml:space="preserve">, </w:t>
      </w:r>
      <w:r w:rsidRPr="00165242">
        <w:rPr>
          <w:rFonts w:ascii="Garamond" w:eastAsia="Garamond" w:hAnsi="Garamond" w:cs="Garamond"/>
          <w:i/>
        </w:rPr>
        <w:t>17</w:t>
      </w:r>
      <w:r w:rsidRPr="00165242">
        <w:rPr>
          <w:rFonts w:ascii="Garamond" w:eastAsia="Garamond" w:hAnsi="Garamond" w:cs="Garamond"/>
        </w:rPr>
        <w:t>(5), 941–964. https://doi.org/10.1038/oby.2008.636</w:t>
      </w:r>
    </w:p>
    <w:p w14:paraId="35DFB58E"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Puhl, R. M., &amp; Suh, Y. (2015). Stigma and eating and weight disorders. </w:t>
      </w:r>
      <w:r w:rsidRPr="00165242">
        <w:rPr>
          <w:rFonts w:ascii="Garamond" w:eastAsia="Garamond" w:hAnsi="Garamond" w:cs="Garamond"/>
          <w:i/>
        </w:rPr>
        <w:t>Current Psychiatry Reports</w:t>
      </w:r>
      <w:r w:rsidRPr="00165242">
        <w:rPr>
          <w:rFonts w:ascii="Garamond" w:eastAsia="Garamond" w:hAnsi="Garamond" w:cs="Garamond"/>
        </w:rPr>
        <w:t xml:space="preserve">, </w:t>
      </w:r>
      <w:r w:rsidRPr="00165242">
        <w:rPr>
          <w:rFonts w:ascii="Garamond" w:eastAsia="Garamond" w:hAnsi="Garamond" w:cs="Garamond"/>
          <w:i/>
        </w:rPr>
        <w:t>17</w:t>
      </w:r>
      <w:r w:rsidRPr="00165242">
        <w:rPr>
          <w:rFonts w:ascii="Garamond" w:eastAsia="Garamond" w:hAnsi="Garamond" w:cs="Garamond"/>
        </w:rPr>
        <w:t>(3), 552. https://doi.org/10.1007/s11920-015-0552-6</w:t>
      </w:r>
    </w:p>
    <w:p w14:paraId="6244D935"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Puhl, R. M., Moss-Racusin, C. A., &amp; Schwartz, M. B. (2007). Internalization of weight bias: Implications for binge eating and emotional well-being. </w:t>
      </w:r>
      <w:r w:rsidRPr="00165242">
        <w:rPr>
          <w:rFonts w:ascii="Garamond" w:eastAsia="Garamond" w:hAnsi="Garamond" w:cs="Garamond"/>
          <w:i/>
        </w:rPr>
        <w:t>Obesity</w:t>
      </w:r>
      <w:r w:rsidRPr="00165242">
        <w:rPr>
          <w:rFonts w:ascii="Garamond" w:eastAsia="Garamond" w:hAnsi="Garamond" w:cs="Garamond"/>
        </w:rPr>
        <w:t xml:space="preserve">, </w:t>
      </w:r>
      <w:r w:rsidRPr="00165242">
        <w:rPr>
          <w:rFonts w:ascii="Garamond" w:eastAsia="Garamond" w:hAnsi="Garamond" w:cs="Garamond"/>
          <w:i/>
        </w:rPr>
        <w:t>15</w:t>
      </w:r>
      <w:r w:rsidRPr="00165242">
        <w:rPr>
          <w:rFonts w:ascii="Garamond" w:eastAsia="Garamond" w:hAnsi="Garamond" w:cs="Garamond"/>
        </w:rPr>
        <w:t>(1), 19–23. https://doi.org/10.1038/oby.2007.521</w:t>
      </w:r>
    </w:p>
    <w:p w14:paraId="064DB12E"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lastRenderedPageBreak/>
        <w:t xml:space="preserve">Puhl, R., &amp; Brownell, K. D. (2001). Bias, discrimination, and obesity. </w:t>
      </w:r>
      <w:r w:rsidRPr="00165242">
        <w:rPr>
          <w:rFonts w:ascii="Garamond" w:eastAsia="Garamond" w:hAnsi="Garamond" w:cs="Garamond"/>
          <w:i/>
        </w:rPr>
        <w:t>Obesity Research</w:t>
      </w:r>
      <w:r w:rsidRPr="00165242">
        <w:rPr>
          <w:rFonts w:ascii="Garamond" w:eastAsia="Garamond" w:hAnsi="Garamond" w:cs="Garamond"/>
        </w:rPr>
        <w:t xml:space="preserve">, </w:t>
      </w:r>
      <w:r w:rsidRPr="00165242">
        <w:rPr>
          <w:rFonts w:ascii="Garamond" w:eastAsia="Garamond" w:hAnsi="Garamond" w:cs="Garamond"/>
          <w:i/>
        </w:rPr>
        <w:t>9</w:t>
      </w:r>
      <w:r w:rsidRPr="00165242">
        <w:rPr>
          <w:rFonts w:ascii="Garamond" w:eastAsia="Garamond" w:hAnsi="Garamond" w:cs="Garamond"/>
        </w:rPr>
        <w:t>(12), 788–805. https://doi.org/10.1038/oby.2001.108</w:t>
      </w:r>
    </w:p>
    <w:p w14:paraId="6D92ECE7"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Roberto, C. A., Swinburn, B., Hawkes, C., Huang, T. T.-K., Costa, S. A., Ashe, M., … Brownell, K. D. (2015). Patchy progress on obesity prevention: emerging examples, entrenched barriers, and new thinking. </w:t>
      </w:r>
      <w:r w:rsidRPr="00165242">
        <w:rPr>
          <w:rFonts w:ascii="Garamond" w:eastAsia="Garamond" w:hAnsi="Garamond" w:cs="Garamond"/>
          <w:i/>
        </w:rPr>
        <w:t>The Lancet</w:t>
      </w:r>
      <w:r w:rsidRPr="00165242">
        <w:rPr>
          <w:rFonts w:ascii="Garamond" w:eastAsia="Garamond" w:hAnsi="Garamond" w:cs="Garamond"/>
        </w:rPr>
        <w:t xml:space="preserve">, </w:t>
      </w:r>
      <w:r w:rsidRPr="00165242">
        <w:rPr>
          <w:rFonts w:ascii="Garamond" w:eastAsia="Garamond" w:hAnsi="Garamond" w:cs="Garamond"/>
          <w:i/>
        </w:rPr>
        <w:t>385</w:t>
      </w:r>
      <w:r w:rsidRPr="00165242">
        <w:rPr>
          <w:rFonts w:ascii="Garamond" w:eastAsia="Garamond" w:hAnsi="Garamond" w:cs="Garamond"/>
        </w:rPr>
        <w:t>(9985), 2400–2409. https://doi.org/10.1016/S0140-6736(14)61744-X</w:t>
      </w:r>
    </w:p>
    <w:p w14:paraId="389746CA"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Robinson, E., Fleming, A., &amp; Higgs, S. (2014). Prompting healthier eating: testing the use of health and social norm based messages. </w:t>
      </w:r>
      <w:r w:rsidRPr="00165242">
        <w:rPr>
          <w:rFonts w:ascii="Garamond" w:eastAsia="Garamond" w:hAnsi="Garamond" w:cs="Garamond"/>
          <w:i/>
        </w:rPr>
        <w:t>Health Psychology</w:t>
      </w:r>
      <w:r w:rsidRPr="00165242">
        <w:rPr>
          <w:rFonts w:ascii="Garamond" w:eastAsia="Garamond" w:hAnsi="Garamond" w:cs="Garamond"/>
        </w:rPr>
        <w:t xml:space="preserve">, </w:t>
      </w:r>
      <w:r w:rsidRPr="00165242">
        <w:rPr>
          <w:rFonts w:ascii="Garamond" w:eastAsia="Garamond" w:hAnsi="Garamond" w:cs="Garamond"/>
          <w:i/>
        </w:rPr>
        <w:t>33</w:t>
      </w:r>
      <w:r w:rsidRPr="00165242">
        <w:rPr>
          <w:rFonts w:ascii="Garamond" w:eastAsia="Garamond" w:hAnsi="Garamond" w:cs="Garamond"/>
        </w:rPr>
        <w:t>(9), 1057–1064. https://doi.org/10.1037/a0034213</w:t>
      </w:r>
    </w:p>
    <w:p w14:paraId="1E838A60"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Robinson, H., Ravikulan, A., Nater, U.M., Skolunda, N., Jarrett, P., &amp; Broadbent, E. (2017). The role of social closeness during tape stripping to facilitate skin barrier recovery: Preliminary findings. </w:t>
      </w:r>
      <w:r w:rsidRPr="00165242">
        <w:rPr>
          <w:rFonts w:ascii="Garamond" w:eastAsia="Garamond" w:hAnsi="Garamond" w:cs="Garamond"/>
          <w:i/>
        </w:rPr>
        <w:t>Health Psychology, 36</w:t>
      </w:r>
      <w:r w:rsidRPr="00165242">
        <w:rPr>
          <w:rFonts w:ascii="Garamond" w:eastAsia="Garamond" w:hAnsi="Garamond" w:cs="Garamond"/>
        </w:rPr>
        <w:t>(7), 619-629. https://doi.org/10.1037/hea0000492</w:t>
      </w:r>
    </w:p>
    <w:p w14:paraId="37605A4B" w14:textId="77777777" w:rsidR="004F6B32" w:rsidRPr="00165242" w:rsidRDefault="004F6B32" w:rsidP="004F6B32">
      <w:pPr>
        <w:spacing w:line="480" w:lineRule="auto"/>
        <w:ind w:left="567" w:hanging="567"/>
        <w:rPr>
          <w:rFonts w:ascii="Garamond" w:eastAsia="Times New Roman" w:hAnsi="Garamond" w:cs="Times New Roman"/>
        </w:rPr>
      </w:pPr>
      <w:r w:rsidRPr="00165242">
        <w:rPr>
          <w:rFonts w:ascii="Garamond" w:eastAsia="Times New Roman" w:hAnsi="Garamond" w:cs="Times New Roman"/>
        </w:rPr>
        <w:t xml:space="preserve">Sani, F. (2005). When subgroups secede: Extending and refining the social psychological model of schism in groups. </w:t>
      </w:r>
      <w:r w:rsidRPr="00165242">
        <w:rPr>
          <w:rFonts w:ascii="Garamond" w:eastAsia="Times New Roman" w:hAnsi="Garamond" w:cs="Times New Roman"/>
          <w:i/>
          <w:iCs/>
        </w:rPr>
        <w:t>Personality and Social Psychology Bulletin</w:t>
      </w:r>
      <w:r w:rsidRPr="00165242">
        <w:rPr>
          <w:rFonts w:ascii="Garamond" w:eastAsia="Times New Roman" w:hAnsi="Garamond" w:cs="Times New Roman"/>
        </w:rPr>
        <w:t xml:space="preserve">, </w:t>
      </w:r>
      <w:r w:rsidRPr="00165242">
        <w:rPr>
          <w:rFonts w:ascii="Garamond" w:eastAsia="Times New Roman" w:hAnsi="Garamond" w:cs="Times New Roman"/>
          <w:i/>
          <w:iCs/>
        </w:rPr>
        <w:t>31</w:t>
      </w:r>
      <w:r w:rsidRPr="00165242">
        <w:rPr>
          <w:rFonts w:ascii="Garamond" w:eastAsia="Times New Roman" w:hAnsi="Garamond" w:cs="Times New Roman"/>
        </w:rPr>
        <w:t>, 1074-1086. doi: 10.1177/0146167204274092</w:t>
      </w:r>
    </w:p>
    <w:p w14:paraId="0674CBC9"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Schmitt, M. T., Branscombe, N. R., Postmes, T., &amp; Garcia, A. (2014). The consequences of perceived discrimination for psychological well-being: a meta-analytic review. </w:t>
      </w:r>
      <w:r w:rsidRPr="00165242">
        <w:rPr>
          <w:rFonts w:ascii="Garamond" w:eastAsia="Garamond" w:hAnsi="Garamond" w:cs="Garamond"/>
          <w:i/>
        </w:rPr>
        <w:t>Psychological Bulletin</w:t>
      </w:r>
      <w:r w:rsidRPr="00165242">
        <w:rPr>
          <w:rFonts w:ascii="Garamond" w:eastAsia="Garamond" w:hAnsi="Garamond" w:cs="Garamond"/>
        </w:rPr>
        <w:t xml:space="preserve">, </w:t>
      </w:r>
      <w:r w:rsidRPr="00165242">
        <w:rPr>
          <w:rFonts w:ascii="Garamond" w:eastAsia="Garamond" w:hAnsi="Garamond" w:cs="Garamond"/>
          <w:i/>
        </w:rPr>
        <w:t>140</w:t>
      </w:r>
      <w:r w:rsidRPr="00165242">
        <w:rPr>
          <w:rFonts w:ascii="Garamond" w:eastAsia="Garamond" w:hAnsi="Garamond" w:cs="Garamond"/>
        </w:rPr>
        <w:t>(4), 921–948. https://doi.org/10.1037/a0035754</w:t>
      </w:r>
    </w:p>
    <w:p w14:paraId="49BA9E02" w14:textId="77777777" w:rsidR="004F6B32" w:rsidRPr="00165242" w:rsidRDefault="004F6B32" w:rsidP="004F6B32">
      <w:pPr>
        <w:spacing w:line="480" w:lineRule="auto"/>
        <w:ind w:firstLine="567"/>
        <w:rPr>
          <w:rFonts w:ascii="Garamond" w:eastAsia="Times New Roman" w:hAnsi="Garamond" w:cs="Times New Roman"/>
        </w:rPr>
      </w:pPr>
      <w:r w:rsidRPr="00165242">
        <w:rPr>
          <w:rFonts w:ascii="Garamond" w:eastAsia="Times New Roman" w:hAnsi="Garamond" w:cs="Times New Roman"/>
        </w:rPr>
        <w:t>Swancutt, D., Tarrant, M., &amp; Pinkney, J. (2019). How group-based interventions can</w:t>
      </w:r>
    </w:p>
    <w:p w14:paraId="174C9137" w14:textId="77777777" w:rsidR="004F6B32" w:rsidRPr="00165242" w:rsidRDefault="004F6B32" w:rsidP="004F6B32">
      <w:pPr>
        <w:spacing w:line="480" w:lineRule="auto"/>
        <w:ind w:firstLine="567"/>
        <w:rPr>
          <w:rFonts w:ascii="Garamond" w:eastAsia="Times New Roman" w:hAnsi="Garamond" w:cs="Times New Roman"/>
        </w:rPr>
      </w:pPr>
      <w:r w:rsidRPr="00165242">
        <w:rPr>
          <w:rFonts w:ascii="Garamond" w:eastAsia="Times New Roman" w:hAnsi="Garamond" w:cs="Times New Roman"/>
        </w:rPr>
        <w:t xml:space="preserve">improve services for people with severe obesity. </w:t>
      </w:r>
      <w:r w:rsidRPr="00165242">
        <w:rPr>
          <w:rFonts w:ascii="Garamond" w:eastAsia="Times New Roman" w:hAnsi="Garamond" w:cs="Times New Roman"/>
          <w:i/>
        </w:rPr>
        <w:t xml:space="preserve">Current Obesity Reports, 8, </w:t>
      </w:r>
      <w:r w:rsidRPr="00165242">
        <w:rPr>
          <w:rFonts w:ascii="Garamond" w:eastAsia="Times New Roman" w:hAnsi="Garamond" w:cs="Times New Roman"/>
        </w:rPr>
        <w:t>333-339. doi:</w:t>
      </w:r>
    </w:p>
    <w:p w14:paraId="6F6BA054" w14:textId="77777777" w:rsidR="004F6B32" w:rsidRDefault="004F6B32" w:rsidP="004F6B32">
      <w:pPr>
        <w:spacing w:line="480" w:lineRule="auto"/>
        <w:ind w:firstLine="567"/>
        <w:rPr>
          <w:rFonts w:ascii="Garamond" w:eastAsia="Times New Roman" w:hAnsi="Garamond" w:cs="Times New Roman"/>
        </w:rPr>
      </w:pPr>
      <w:r w:rsidRPr="00165242">
        <w:rPr>
          <w:rFonts w:ascii="Garamond" w:eastAsia="Times New Roman" w:hAnsi="Garamond" w:cs="Times New Roman"/>
        </w:rPr>
        <w:t>10.1007/s13679-019-00348-y</w:t>
      </w:r>
    </w:p>
    <w:p w14:paraId="0EF29CF2" w14:textId="77777777" w:rsidR="004F6B32" w:rsidRPr="00165242" w:rsidRDefault="004F6B32" w:rsidP="004F6B32">
      <w:pPr>
        <w:spacing w:line="480" w:lineRule="auto"/>
        <w:ind w:left="720" w:hanging="720"/>
        <w:rPr>
          <w:rFonts w:ascii="Garamond" w:eastAsia="Times New Roman" w:hAnsi="Garamond" w:cs="Times New Roman"/>
        </w:rPr>
      </w:pPr>
      <w:r w:rsidRPr="00165242">
        <w:rPr>
          <w:rFonts w:ascii="Garamond" w:eastAsia="Times New Roman" w:hAnsi="Garamond" w:cs="Times New Roman"/>
        </w:rPr>
        <w:t xml:space="preserve">Tarrant, M., Butler, K. (2011). Effects of self-categorization on orientation towards health. British Journal of Social Psychology, </w:t>
      </w:r>
      <w:r w:rsidRPr="00165242">
        <w:rPr>
          <w:rFonts w:ascii="Garamond" w:eastAsia="Times New Roman" w:hAnsi="Garamond" w:cs="Times New Roman"/>
          <w:i/>
        </w:rPr>
        <w:t>50</w:t>
      </w:r>
      <w:r>
        <w:rPr>
          <w:rFonts w:ascii="Garamond" w:eastAsia="Times New Roman" w:hAnsi="Garamond" w:cs="Times New Roman"/>
        </w:rPr>
        <w:t xml:space="preserve"> (1)</w:t>
      </w:r>
      <w:r w:rsidRPr="00165242">
        <w:rPr>
          <w:rFonts w:ascii="Garamond" w:eastAsia="Times New Roman" w:hAnsi="Garamond" w:cs="Times New Roman"/>
        </w:rPr>
        <w:t>, 121-139</w:t>
      </w:r>
      <w:r>
        <w:rPr>
          <w:rFonts w:ascii="Garamond" w:eastAsia="Times New Roman" w:hAnsi="Garamond" w:cs="Times New Roman"/>
        </w:rPr>
        <w:t xml:space="preserve">. doi: </w:t>
      </w:r>
      <w:r w:rsidRPr="00165242">
        <w:rPr>
          <w:rFonts w:ascii="Garamond" w:eastAsia="Times New Roman" w:hAnsi="Garamond" w:cs="Times New Roman"/>
        </w:rPr>
        <w:t>10.1348/014466610X511645</w:t>
      </w:r>
    </w:p>
    <w:p w14:paraId="0C7BAF15" w14:textId="77777777" w:rsidR="004F6B32" w:rsidRPr="00165242" w:rsidRDefault="004F6B32" w:rsidP="004F6B32">
      <w:pPr>
        <w:spacing w:line="480" w:lineRule="auto"/>
        <w:ind w:left="567" w:hanging="567"/>
        <w:rPr>
          <w:rFonts w:ascii="Garamond" w:eastAsia="Times New Roman" w:hAnsi="Garamond" w:cs="Times New Roman"/>
        </w:rPr>
      </w:pPr>
      <w:r w:rsidRPr="00165242">
        <w:rPr>
          <w:rFonts w:ascii="Garamond" w:eastAsia="Times New Roman" w:hAnsi="Garamond" w:cs="Times New Roman"/>
        </w:rPr>
        <w:t xml:space="preserve">Tarrant, M., Haslam, C., Carter, M., Calitri, R., &amp; Haslam, S. A. (2019 forthcoming). Social identity interventions. In: M. S. Hagger, L. D. Cameron, K. Hamilton, N. Hankonen, &amp; T. Lintunen (Eds.). </w:t>
      </w:r>
      <w:r w:rsidRPr="00165242">
        <w:rPr>
          <w:rFonts w:ascii="Garamond" w:eastAsia="Times New Roman" w:hAnsi="Garamond" w:cs="Times New Roman"/>
          <w:i/>
        </w:rPr>
        <w:t>Handbook of Behavior Change</w:t>
      </w:r>
      <w:r w:rsidRPr="00165242">
        <w:rPr>
          <w:rFonts w:ascii="Garamond" w:eastAsia="Times New Roman" w:hAnsi="Garamond" w:cs="Times New Roman"/>
        </w:rPr>
        <w:t>. New York, NY: Cambridge University Press.</w:t>
      </w:r>
    </w:p>
    <w:p w14:paraId="7FF870D2"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lastRenderedPageBreak/>
        <w:t xml:space="preserve">Tarrant, M., Khan, S. S., Farrow, C. V., Shah, P., Daly, M., &amp; Kos, K. (2017). Patient experiences of a bariatric group programme for managing obesity: A qualitative interview study. </w:t>
      </w:r>
      <w:r w:rsidRPr="00165242">
        <w:rPr>
          <w:rFonts w:ascii="Garamond" w:eastAsia="Garamond" w:hAnsi="Garamond" w:cs="Garamond"/>
          <w:i/>
        </w:rPr>
        <w:t>British Journal of Health Psychology</w:t>
      </w:r>
      <w:r w:rsidRPr="00165242">
        <w:rPr>
          <w:rFonts w:ascii="Garamond" w:eastAsia="Garamond" w:hAnsi="Garamond" w:cs="Garamond"/>
        </w:rPr>
        <w:t xml:space="preserve">, </w:t>
      </w:r>
      <w:r w:rsidRPr="00165242">
        <w:rPr>
          <w:rFonts w:ascii="Garamond" w:eastAsia="Garamond" w:hAnsi="Garamond" w:cs="Garamond"/>
          <w:i/>
        </w:rPr>
        <w:t>22</w:t>
      </w:r>
      <w:r w:rsidRPr="00165242">
        <w:rPr>
          <w:rFonts w:ascii="Garamond" w:eastAsia="Garamond" w:hAnsi="Garamond" w:cs="Garamond"/>
        </w:rPr>
        <w:t>(1), 77–93. https://doi.org/10.1111/bjhp.12218</w:t>
      </w:r>
    </w:p>
    <w:p w14:paraId="790D3154"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Tarrant, M., Warmoth, K., Code, C., Dean, S., Goodwin, V. A., Stein, K., &amp; Sugavanam, T. (2016). Creating psychological connections between intervention recipients: development and focus group evaluation of a group singing session for people with aphasia. </w:t>
      </w:r>
      <w:r w:rsidRPr="00165242">
        <w:rPr>
          <w:rFonts w:ascii="Garamond" w:eastAsia="Garamond" w:hAnsi="Garamond" w:cs="Garamond"/>
          <w:i/>
        </w:rPr>
        <w:t>BMJ Open</w:t>
      </w:r>
      <w:r w:rsidRPr="00165242">
        <w:rPr>
          <w:rFonts w:ascii="Garamond" w:eastAsia="Garamond" w:hAnsi="Garamond" w:cs="Garamond"/>
        </w:rPr>
        <w:t xml:space="preserve">, </w:t>
      </w:r>
      <w:r w:rsidRPr="00165242">
        <w:rPr>
          <w:rFonts w:ascii="Garamond" w:eastAsia="Garamond" w:hAnsi="Garamond" w:cs="Garamond"/>
          <w:i/>
        </w:rPr>
        <w:t>6</w:t>
      </w:r>
      <w:r w:rsidRPr="00165242">
        <w:rPr>
          <w:rFonts w:ascii="Garamond" w:eastAsia="Garamond" w:hAnsi="Garamond" w:cs="Garamond"/>
        </w:rPr>
        <w:t>(2), e009652. https://doi.org/10.1136/bmjopen-2015-009652</w:t>
      </w:r>
    </w:p>
    <w:p w14:paraId="0A2A6C43"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Van Vugt, M., &amp; Hart, C. M. (2004). Social identity as social glue: the origins of group loyalty. </w:t>
      </w:r>
      <w:r w:rsidRPr="00165242">
        <w:rPr>
          <w:rFonts w:ascii="Garamond" w:eastAsia="Garamond" w:hAnsi="Garamond" w:cs="Garamond"/>
          <w:i/>
        </w:rPr>
        <w:t>Journal of Personality and Social Psychology</w:t>
      </w:r>
      <w:r w:rsidRPr="00165242">
        <w:rPr>
          <w:rFonts w:ascii="Garamond" w:eastAsia="Garamond" w:hAnsi="Garamond" w:cs="Garamond"/>
        </w:rPr>
        <w:t xml:space="preserve">, </w:t>
      </w:r>
      <w:r w:rsidRPr="00165242">
        <w:rPr>
          <w:rFonts w:ascii="Garamond" w:eastAsia="Garamond" w:hAnsi="Garamond" w:cs="Garamond"/>
          <w:i/>
        </w:rPr>
        <w:t>86</w:t>
      </w:r>
      <w:r w:rsidRPr="00165242">
        <w:rPr>
          <w:rFonts w:ascii="Garamond" w:eastAsia="Garamond" w:hAnsi="Garamond" w:cs="Garamond"/>
        </w:rPr>
        <w:t>(4), 585–598. https://doi.org/10.1037/0022-3514.86.4.585</w:t>
      </w:r>
    </w:p>
    <w:p w14:paraId="18880CDA"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Waaler, H. T. (1984). Height. Weight and mortality: The Norwegian experience. </w:t>
      </w:r>
      <w:r w:rsidRPr="00165242">
        <w:rPr>
          <w:rFonts w:ascii="Garamond" w:eastAsia="Garamond" w:hAnsi="Garamond" w:cs="Garamond"/>
          <w:i/>
        </w:rPr>
        <w:t>Acta Medica Scandinavica</w:t>
      </w:r>
      <w:r w:rsidRPr="00165242">
        <w:rPr>
          <w:rFonts w:ascii="Garamond" w:eastAsia="Garamond" w:hAnsi="Garamond" w:cs="Garamond"/>
        </w:rPr>
        <w:t xml:space="preserve">, </w:t>
      </w:r>
      <w:r w:rsidRPr="00165242">
        <w:rPr>
          <w:rFonts w:ascii="Garamond" w:eastAsia="Garamond" w:hAnsi="Garamond" w:cs="Garamond"/>
          <w:i/>
        </w:rPr>
        <w:t>215</w:t>
      </w:r>
      <w:r w:rsidRPr="00165242">
        <w:rPr>
          <w:rFonts w:ascii="Garamond" w:eastAsia="Garamond" w:hAnsi="Garamond" w:cs="Garamond"/>
        </w:rPr>
        <w:t>(S679), 1–56. https://doi.org/10.1111/j.0954-6820.1984.tb12901.x</w:t>
      </w:r>
    </w:p>
    <w:p w14:paraId="3661B7C0"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Wakefield, J. R. H., Bickley, S., &amp; Sani, F. (2013). The effects of identification with a support group on the mental health of people with multiple sclerosis. </w:t>
      </w:r>
      <w:r w:rsidRPr="00165242">
        <w:rPr>
          <w:rFonts w:ascii="Garamond" w:eastAsia="Garamond" w:hAnsi="Garamond" w:cs="Garamond"/>
          <w:i/>
        </w:rPr>
        <w:t>Journal of Psychosomatic Research</w:t>
      </w:r>
      <w:r w:rsidRPr="00165242">
        <w:rPr>
          <w:rFonts w:ascii="Garamond" w:eastAsia="Garamond" w:hAnsi="Garamond" w:cs="Garamond"/>
        </w:rPr>
        <w:t xml:space="preserve">, </w:t>
      </w:r>
      <w:r w:rsidRPr="00165242">
        <w:rPr>
          <w:rFonts w:ascii="Garamond" w:eastAsia="Garamond" w:hAnsi="Garamond" w:cs="Garamond"/>
          <w:i/>
        </w:rPr>
        <w:t>74</w:t>
      </w:r>
      <w:r w:rsidRPr="00165242">
        <w:rPr>
          <w:rFonts w:ascii="Garamond" w:eastAsia="Garamond" w:hAnsi="Garamond" w:cs="Garamond"/>
        </w:rPr>
        <w:t>(5), 420–426. https://doi.org/10.1016/j.jpsychores.2013.02.002</w:t>
      </w:r>
    </w:p>
    <w:p w14:paraId="5DD30F33"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Walker, J. J., Longmire-Avital, B., &amp; Golub, S. (2015). Racial and sexual identities as potential buffers to risky sexual behavior for Black gay and bisexual emerging adult men. </w:t>
      </w:r>
      <w:r w:rsidRPr="00165242">
        <w:rPr>
          <w:rFonts w:ascii="Garamond" w:eastAsia="Garamond" w:hAnsi="Garamond" w:cs="Garamond"/>
          <w:i/>
        </w:rPr>
        <w:t>Health Psychology</w:t>
      </w:r>
      <w:r w:rsidRPr="00165242">
        <w:rPr>
          <w:rFonts w:ascii="Garamond" w:eastAsia="Garamond" w:hAnsi="Garamond" w:cs="Garamond"/>
        </w:rPr>
        <w:t xml:space="preserve">, </w:t>
      </w:r>
      <w:r w:rsidRPr="00165242">
        <w:rPr>
          <w:rFonts w:ascii="Garamond" w:eastAsia="Garamond" w:hAnsi="Garamond" w:cs="Garamond"/>
          <w:i/>
        </w:rPr>
        <w:t>34</w:t>
      </w:r>
      <w:r w:rsidRPr="00165242">
        <w:rPr>
          <w:rFonts w:ascii="Garamond" w:eastAsia="Garamond" w:hAnsi="Garamond" w:cs="Garamond"/>
        </w:rPr>
        <w:t>(8), 841–846. https://doi.org/10.1037/hea0000187</w:t>
      </w:r>
    </w:p>
    <w:p w14:paraId="04FAF830"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Wang, S. S., Brownell, K. D., &amp; Wadden, T. A. (2004). The influence of the stigma of obesity on overweight individuals. </w:t>
      </w:r>
      <w:r w:rsidRPr="00165242">
        <w:rPr>
          <w:rFonts w:ascii="Garamond" w:eastAsia="Garamond" w:hAnsi="Garamond" w:cs="Garamond"/>
          <w:i/>
        </w:rPr>
        <w:t>International Journal of Obesity and Related Metabolic Disorders</w:t>
      </w:r>
      <w:r w:rsidRPr="00165242">
        <w:rPr>
          <w:rFonts w:ascii="Garamond" w:eastAsia="Garamond" w:hAnsi="Garamond" w:cs="Garamond"/>
        </w:rPr>
        <w:t xml:space="preserve">, </w:t>
      </w:r>
      <w:r w:rsidRPr="00165242">
        <w:rPr>
          <w:rFonts w:ascii="Garamond" w:eastAsia="Garamond" w:hAnsi="Garamond" w:cs="Garamond"/>
          <w:i/>
        </w:rPr>
        <w:t>28</w:t>
      </w:r>
      <w:r w:rsidRPr="00165242">
        <w:rPr>
          <w:rFonts w:ascii="Garamond" w:eastAsia="Garamond" w:hAnsi="Garamond" w:cs="Garamond"/>
        </w:rPr>
        <w:t>(10), 1333–1337. https://doi.org/10.1038/sj.ijo.0802730</w:t>
      </w:r>
    </w:p>
    <w:p w14:paraId="2B10090E"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t xml:space="preserve">Westermann, S., Rief, W., Euteneuer, F., &amp; Kohlmann, S. (2015). Social exclusion and shame in obesity. </w:t>
      </w:r>
      <w:r w:rsidRPr="00165242">
        <w:rPr>
          <w:rFonts w:ascii="Garamond" w:eastAsia="Garamond" w:hAnsi="Garamond" w:cs="Garamond"/>
          <w:i/>
        </w:rPr>
        <w:t>Eating Behaviors</w:t>
      </w:r>
      <w:r w:rsidRPr="00165242">
        <w:rPr>
          <w:rFonts w:ascii="Garamond" w:eastAsia="Garamond" w:hAnsi="Garamond" w:cs="Garamond"/>
        </w:rPr>
        <w:t xml:space="preserve">, </w:t>
      </w:r>
      <w:r w:rsidRPr="00165242">
        <w:rPr>
          <w:rFonts w:ascii="Garamond" w:eastAsia="Garamond" w:hAnsi="Garamond" w:cs="Garamond"/>
          <w:i/>
        </w:rPr>
        <w:t>17</w:t>
      </w:r>
      <w:r w:rsidRPr="00165242">
        <w:rPr>
          <w:rFonts w:ascii="Garamond" w:eastAsia="Garamond" w:hAnsi="Garamond" w:cs="Garamond"/>
        </w:rPr>
        <w:t>, 74–76. https://doi.org/10.1016/j.eatbeh.2015.01.001</w:t>
      </w:r>
    </w:p>
    <w:p w14:paraId="213819BB" w14:textId="77777777" w:rsidR="004F6B32" w:rsidRPr="00165242" w:rsidRDefault="004F6B32" w:rsidP="004F6B32">
      <w:pPr>
        <w:spacing w:line="480" w:lineRule="auto"/>
        <w:ind w:left="720" w:hanging="720"/>
        <w:rPr>
          <w:rFonts w:ascii="Garamond" w:eastAsia="Garamond" w:hAnsi="Garamond" w:cs="Garamond"/>
        </w:rPr>
      </w:pPr>
      <w:r w:rsidRPr="00165242">
        <w:rPr>
          <w:rFonts w:ascii="Garamond" w:eastAsia="Garamond" w:hAnsi="Garamond" w:cs="Garamond"/>
        </w:rPr>
        <w:t xml:space="preserve">Ysseldyk, R., Haslam, S. A., &amp; Haslam, C. (2013). Abide with me: religious group identification among older adults promotes health and well-being by maintaining multiple group memberships. </w:t>
      </w:r>
      <w:r w:rsidRPr="00165242">
        <w:rPr>
          <w:rFonts w:ascii="Garamond" w:eastAsia="Garamond" w:hAnsi="Garamond" w:cs="Garamond"/>
          <w:i/>
        </w:rPr>
        <w:t>Aging &amp; Mental Health</w:t>
      </w:r>
      <w:r w:rsidRPr="00165242">
        <w:rPr>
          <w:rFonts w:ascii="Garamond" w:eastAsia="Garamond" w:hAnsi="Garamond" w:cs="Garamond"/>
        </w:rPr>
        <w:t xml:space="preserve">, </w:t>
      </w:r>
      <w:r w:rsidRPr="00165242">
        <w:rPr>
          <w:rFonts w:ascii="Garamond" w:eastAsia="Garamond" w:hAnsi="Garamond" w:cs="Garamond"/>
          <w:i/>
        </w:rPr>
        <w:t>17</w:t>
      </w:r>
      <w:r w:rsidRPr="00165242">
        <w:rPr>
          <w:rFonts w:ascii="Garamond" w:eastAsia="Garamond" w:hAnsi="Garamond" w:cs="Garamond"/>
        </w:rPr>
        <w:t>(7), 869–879. https://doi.org/10.1080/13607863.2013.799120</w:t>
      </w:r>
    </w:p>
    <w:p w14:paraId="003FE4E4" w14:textId="77777777" w:rsidR="004F6B32" w:rsidRPr="00165242" w:rsidRDefault="004F6B32" w:rsidP="004F6B32">
      <w:pPr>
        <w:spacing w:line="480" w:lineRule="auto"/>
        <w:ind w:left="567" w:hanging="567"/>
        <w:rPr>
          <w:rFonts w:ascii="Garamond" w:eastAsia="Garamond" w:hAnsi="Garamond" w:cs="Garamond"/>
        </w:rPr>
      </w:pPr>
      <w:r w:rsidRPr="00165242">
        <w:rPr>
          <w:rFonts w:ascii="Garamond" w:eastAsia="Garamond" w:hAnsi="Garamond" w:cs="Garamond"/>
        </w:rPr>
        <w:lastRenderedPageBreak/>
        <w:t xml:space="preserve">Zimet, G. D., Dahlem, N. W., Zimet, S. G., &amp; Farley, G. K. (1988). The multidimensional scale of perceived social support. </w:t>
      </w:r>
      <w:r w:rsidRPr="00165242">
        <w:rPr>
          <w:rFonts w:ascii="Garamond" w:eastAsia="Garamond" w:hAnsi="Garamond" w:cs="Garamond"/>
          <w:i/>
        </w:rPr>
        <w:t>Journal of Personality Assessment</w:t>
      </w:r>
      <w:r w:rsidRPr="00165242">
        <w:rPr>
          <w:rFonts w:ascii="Garamond" w:eastAsia="Garamond" w:hAnsi="Garamond" w:cs="Garamond"/>
        </w:rPr>
        <w:t xml:space="preserve">, </w:t>
      </w:r>
      <w:r w:rsidRPr="00165242">
        <w:rPr>
          <w:rFonts w:ascii="Garamond" w:eastAsia="Garamond" w:hAnsi="Garamond" w:cs="Garamond"/>
          <w:i/>
        </w:rPr>
        <w:t>52</w:t>
      </w:r>
      <w:r w:rsidRPr="00165242">
        <w:rPr>
          <w:rFonts w:ascii="Garamond" w:eastAsia="Garamond" w:hAnsi="Garamond" w:cs="Garamond"/>
        </w:rPr>
        <w:t>(1), 30–41. https://doi.org/10.1207/s15327752jpa5201_2</w:t>
      </w:r>
    </w:p>
    <w:p w14:paraId="0443805A" w14:textId="77777777" w:rsidR="004F6B32" w:rsidRPr="004F6B32" w:rsidRDefault="004F6B32" w:rsidP="004F6B32">
      <w:pPr>
        <w:spacing w:line="480" w:lineRule="auto"/>
        <w:jc w:val="center"/>
        <w:rPr>
          <w:rFonts w:ascii="Garamond" w:eastAsia="Garamond" w:hAnsi="Garamond" w:cs="Garamond"/>
          <w:b/>
          <w:color w:val="3366FF"/>
        </w:rPr>
        <w:sectPr w:rsidR="004F6B32" w:rsidRPr="004F6B32">
          <w:pgSz w:w="11900" w:h="16840"/>
          <w:pgMar w:top="1440" w:right="1440" w:bottom="1440" w:left="992" w:header="709" w:footer="709" w:gutter="0"/>
          <w:cols w:space="720" w:equalWidth="0">
            <w:col w:w="9360"/>
          </w:cols>
        </w:sectPr>
      </w:pPr>
    </w:p>
    <w:tbl>
      <w:tblPr>
        <w:tblStyle w:val="TableGrid12"/>
        <w:tblpPr w:leftFromText="180" w:rightFromText="180" w:vertAnchor="text" w:horzAnchor="margin" w:tblpXSpec="center" w:tblpY="445"/>
        <w:tblW w:w="153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645"/>
        <w:gridCol w:w="1623"/>
        <w:gridCol w:w="1071"/>
        <w:gridCol w:w="1142"/>
        <w:gridCol w:w="1071"/>
        <w:gridCol w:w="1071"/>
        <w:gridCol w:w="1071"/>
        <w:gridCol w:w="1142"/>
        <w:gridCol w:w="1071"/>
        <w:gridCol w:w="1142"/>
        <w:gridCol w:w="1142"/>
      </w:tblGrid>
      <w:tr w:rsidR="00B91BA5" w:rsidRPr="00663A4B" w14:paraId="15B99647" w14:textId="77777777" w:rsidTr="00B91BA5">
        <w:trPr>
          <w:trHeight w:val="841"/>
        </w:trPr>
        <w:tc>
          <w:tcPr>
            <w:tcW w:w="3119" w:type="dxa"/>
            <w:tcBorders>
              <w:bottom w:val="single" w:sz="4" w:space="0" w:color="auto"/>
            </w:tcBorders>
            <w:vAlign w:val="center"/>
          </w:tcPr>
          <w:p w14:paraId="7298927D" w14:textId="77777777" w:rsidR="00B91BA5" w:rsidRPr="00663A4B" w:rsidRDefault="00B91BA5" w:rsidP="00B91BA5">
            <w:pPr>
              <w:jc w:val="center"/>
              <w:rPr>
                <w:rFonts w:ascii="Garamond" w:hAnsi="Garamond"/>
              </w:rPr>
            </w:pPr>
          </w:p>
        </w:tc>
        <w:tc>
          <w:tcPr>
            <w:tcW w:w="607" w:type="dxa"/>
            <w:tcBorders>
              <w:bottom w:val="single" w:sz="4" w:space="0" w:color="auto"/>
            </w:tcBorders>
            <w:vAlign w:val="center"/>
          </w:tcPr>
          <w:p w14:paraId="6238C71C" w14:textId="77777777" w:rsidR="00B91BA5" w:rsidRPr="00663A4B" w:rsidRDefault="00B91BA5" w:rsidP="00B91BA5">
            <w:pPr>
              <w:jc w:val="center"/>
              <w:rPr>
                <w:rFonts w:ascii="Garamond" w:hAnsi="Garamond"/>
              </w:rPr>
            </w:pPr>
            <w:r w:rsidRPr="00663A4B">
              <w:rPr>
                <w:rFonts w:ascii="Garamond" w:hAnsi="Garamond"/>
              </w:rPr>
              <w:t>α</w:t>
            </w:r>
          </w:p>
        </w:tc>
        <w:tc>
          <w:tcPr>
            <w:tcW w:w="1624" w:type="dxa"/>
            <w:tcBorders>
              <w:bottom w:val="single" w:sz="4" w:space="0" w:color="auto"/>
            </w:tcBorders>
            <w:vAlign w:val="center"/>
          </w:tcPr>
          <w:p w14:paraId="373B6732" w14:textId="77777777" w:rsidR="00B91BA5" w:rsidRPr="00663A4B" w:rsidRDefault="00B91BA5" w:rsidP="00B91BA5">
            <w:pPr>
              <w:jc w:val="center"/>
              <w:rPr>
                <w:rFonts w:ascii="Garamond" w:hAnsi="Garamond"/>
              </w:rPr>
            </w:pPr>
            <w:r w:rsidRPr="00663A4B">
              <w:rPr>
                <w:rFonts w:ascii="Garamond" w:hAnsi="Garamond"/>
              </w:rPr>
              <w:t>M (SD)</w:t>
            </w:r>
          </w:p>
        </w:tc>
        <w:tc>
          <w:tcPr>
            <w:tcW w:w="0" w:type="auto"/>
            <w:tcBorders>
              <w:bottom w:val="single" w:sz="4" w:space="0" w:color="auto"/>
            </w:tcBorders>
            <w:vAlign w:val="center"/>
          </w:tcPr>
          <w:p w14:paraId="7CF2C3D3" w14:textId="77777777" w:rsidR="00B91BA5" w:rsidRPr="00663A4B" w:rsidRDefault="00B91BA5" w:rsidP="00B91BA5">
            <w:pPr>
              <w:jc w:val="center"/>
              <w:rPr>
                <w:rFonts w:ascii="Garamond" w:hAnsi="Garamond"/>
              </w:rPr>
            </w:pPr>
            <w:r w:rsidRPr="00663A4B">
              <w:rPr>
                <w:rFonts w:ascii="Garamond" w:hAnsi="Garamond"/>
              </w:rPr>
              <w:t>2.</w:t>
            </w:r>
          </w:p>
        </w:tc>
        <w:tc>
          <w:tcPr>
            <w:tcW w:w="0" w:type="auto"/>
            <w:tcBorders>
              <w:bottom w:val="single" w:sz="4" w:space="0" w:color="auto"/>
            </w:tcBorders>
            <w:vAlign w:val="center"/>
          </w:tcPr>
          <w:p w14:paraId="084F6D9E" w14:textId="77777777" w:rsidR="00B91BA5" w:rsidRPr="00663A4B" w:rsidRDefault="00B91BA5" w:rsidP="00B91BA5">
            <w:pPr>
              <w:jc w:val="center"/>
              <w:rPr>
                <w:rFonts w:ascii="Garamond" w:hAnsi="Garamond"/>
              </w:rPr>
            </w:pPr>
            <w:r w:rsidRPr="00663A4B">
              <w:rPr>
                <w:rFonts w:ascii="Garamond" w:hAnsi="Garamond"/>
              </w:rPr>
              <w:t>3.</w:t>
            </w:r>
          </w:p>
        </w:tc>
        <w:tc>
          <w:tcPr>
            <w:tcW w:w="0" w:type="auto"/>
            <w:tcBorders>
              <w:bottom w:val="single" w:sz="4" w:space="0" w:color="auto"/>
            </w:tcBorders>
            <w:vAlign w:val="center"/>
          </w:tcPr>
          <w:p w14:paraId="6A2CF287" w14:textId="77777777" w:rsidR="00B91BA5" w:rsidRPr="00663A4B" w:rsidRDefault="00B91BA5" w:rsidP="00B91BA5">
            <w:pPr>
              <w:jc w:val="center"/>
              <w:rPr>
                <w:rFonts w:ascii="Garamond" w:hAnsi="Garamond"/>
                <w:lang w:val="en-US"/>
              </w:rPr>
            </w:pPr>
            <w:r w:rsidRPr="00663A4B">
              <w:rPr>
                <w:rFonts w:ascii="Garamond" w:hAnsi="Garamond"/>
                <w:lang w:val="en-US"/>
              </w:rPr>
              <w:t>4.</w:t>
            </w:r>
          </w:p>
        </w:tc>
        <w:tc>
          <w:tcPr>
            <w:tcW w:w="0" w:type="auto"/>
            <w:tcBorders>
              <w:bottom w:val="single" w:sz="4" w:space="0" w:color="auto"/>
            </w:tcBorders>
            <w:vAlign w:val="center"/>
          </w:tcPr>
          <w:p w14:paraId="596124B8" w14:textId="77777777" w:rsidR="00B91BA5" w:rsidRPr="00663A4B" w:rsidRDefault="00B91BA5" w:rsidP="00B91BA5">
            <w:pPr>
              <w:jc w:val="center"/>
              <w:rPr>
                <w:rFonts w:ascii="Garamond" w:hAnsi="Garamond"/>
              </w:rPr>
            </w:pPr>
          </w:p>
          <w:p w14:paraId="7ECA9476" w14:textId="77777777" w:rsidR="00B91BA5" w:rsidRPr="00663A4B" w:rsidRDefault="00B91BA5" w:rsidP="00B91BA5">
            <w:pPr>
              <w:jc w:val="center"/>
              <w:rPr>
                <w:rFonts w:ascii="Garamond" w:hAnsi="Garamond"/>
              </w:rPr>
            </w:pPr>
            <w:r w:rsidRPr="00663A4B">
              <w:rPr>
                <w:rFonts w:ascii="Garamond" w:hAnsi="Garamond"/>
              </w:rPr>
              <w:t>5.</w:t>
            </w:r>
          </w:p>
          <w:p w14:paraId="3CAE691B" w14:textId="77777777" w:rsidR="00B91BA5" w:rsidRPr="00663A4B" w:rsidRDefault="00B91BA5" w:rsidP="00B91BA5">
            <w:pPr>
              <w:jc w:val="center"/>
              <w:rPr>
                <w:rFonts w:ascii="Garamond" w:hAnsi="Garamond"/>
              </w:rPr>
            </w:pPr>
          </w:p>
        </w:tc>
        <w:tc>
          <w:tcPr>
            <w:tcW w:w="0" w:type="auto"/>
            <w:tcBorders>
              <w:bottom w:val="single" w:sz="4" w:space="0" w:color="auto"/>
            </w:tcBorders>
            <w:vAlign w:val="center"/>
          </w:tcPr>
          <w:p w14:paraId="0A02FC91" w14:textId="77777777" w:rsidR="00B91BA5" w:rsidRPr="00663A4B" w:rsidRDefault="00B91BA5" w:rsidP="00B91BA5">
            <w:pPr>
              <w:jc w:val="center"/>
              <w:rPr>
                <w:rFonts w:ascii="Garamond" w:hAnsi="Garamond"/>
              </w:rPr>
            </w:pPr>
            <w:r w:rsidRPr="00663A4B">
              <w:rPr>
                <w:rFonts w:ascii="Garamond" w:hAnsi="Garamond"/>
              </w:rPr>
              <w:t xml:space="preserve">6. </w:t>
            </w:r>
          </w:p>
        </w:tc>
        <w:tc>
          <w:tcPr>
            <w:tcW w:w="0" w:type="auto"/>
            <w:tcBorders>
              <w:bottom w:val="single" w:sz="4" w:space="0" w:color="auto"/>
            </w:tcBorders>
            <w:vAlign w:val="center"/>
          </w:tcPr>
          <w:p w14:paraId="2F9FEC4B" w14:textId="77777777" w:rsidR="00B91BA5" w:rsidRPr="00663A4B" w:rsidRDefault="00B91BA5" w:rsidP="00B91BA5">
            <w:pPr>
              <w:jc w:val="center"/>
              <w:rPr>
                <w:rFonts w:ascii="Garamond" w:hAnsi="Garamond"/>
              </w:rPr>
            </w:pPr>
            <w:r w:rsidRPr="00663A4B">
              <w:rPr>
                <w:rFonts w:ascii="Garamond" w:hAnsi="Garamond"/>
              </w:rPr>
              <w:t xml:space="preserve">7. </w:t>
            </w:r>
          </w:p>
        </w:tc>
        <w:tc>
          <w:tcPr>
            <w:tcW w:w="0" w:type="auto"/>
            <w:tcBorders>
              <w:bottom w:val="single" w:sz="4" w:space="0" w:color="auto"/>
            </w:tcBorders>
            <w:vAlign w:val="center"/>
          </w:tcPr>
          <w:p w14:paraId="2538B3C4" w14:textId="77777777" w:rsidR="00B91BA5" w:rsidRPr="00663A4B" w:rsidRDefault="00B91BA5" w:rsidP="00B91BA5">
            <w:pPr>
              <w:jc w:val="center"/>
              <w:rPr>
                <w:rFonts w:ascii="Garamond" w:hAnsi="Garamond"/>
              </w:rPr>
            </w:pPr>
            <w:r w:rsidRPr="00663A4B">
              <w:rPr>
                <w:rFonts w:ascii="Garamond" w:hAnsi="Garamond"/>
              </w:rPr>
              <w:t>8.</w:t>
            </w:r>
          </w:p>
        </w:tc>
        <w:tc>
          <w:tcPr>
            <w:tcW w:w="0" w:type="auto"/>
            <w:tcBorders>
              <w:bottom w:val="single" w:sz="4" w:space="0" w:color="auto"/>
            </w:tcBorders>
            <w:vAlign w:val="center"/>
          </w:tcPr>
          <w:p w14:paraId="0B553ABA" w14:textId="77777777" w:rsidR="00B91BA5" w:rsidRPr="00663A4B" w:rsidRDefault="00B91BA5" w:rsidP="00B91BA5">
            <w:pPr>
              <w:jc w:val="center"/>
              <w:rPr>
                <w:rFonts w:ascii="Garamond" w:hAnsi="Garamond"/>
              </w:rPr>
            </w:pPr>
            <w:r w:rsidRPr="00663A4B">
              <w:rPr>
                <w:rFonts w:ascii="Garamond" w:hAnsi="Garamond"/>
              </w:rPr>
              <w:t xml:space="preserve">9. </w:t>
            </w:r>
          </w:p>
        </w:tc>
        <w:tc>
          <w:tcPr>
            <w:tcW w:w="0" w:type="auto"/>
            <w:tcBorders>
              <w:bottom w:val="single" w:sz="4" w:space="0" w:color="auto"/>
            </w:tcBorders>
            <w:vAlign w:val="center"/>
          </w:tcPr>
          <w:p w14:paraId="5FBAA0D9" w14:textId="77777777" w:rsidR="00B91BA5" w:rsidRPr="00663A4B" w:rsidRDefault="00B91BA5" w:rsidP="00B91BA5">
            <w:pPr>
              <w:jc w:val="center"/>
              <w:rPr>
                <w:rFonts w:ascii="Garamond" w:hAnsi="Garamond"/>
              </w:rPr>
            </w:pPr>
            <w:r w:rsidRPr="00663A4B">
              <w:rPr>
                <w:rFonts w:ascii="Garamond" w:hAnsi="Garamond"/>
              </w:rPr>
              <w:t xml:space="preserve">10. </w:t>
            </w:r>
          </w:p>
        </w:tc>
      </w:tr>
      <w:tr w:rsidR="00B91BA5" w:rsidRPr="00663A4B" w14:paraId="711E2115" w14:textId="77777777" w:rsidTr="00B91BA5">
        <w:trPr>
          <w:trHeight w:val="258"/>
        </w:trPr>
        <w:tc>
          <w:tcPr>
            <w:tcW w:w="3119" w:type="dxa"/>
            <w:tcBorders>
              <w:top w:val="single" w:sz="4" w:space="0" w:color="auto"/>
            </w:tcBorders>
            <w:vAlign w:val="center"/>
          </w:tcPr>
          <w:p w14:paraId="0BC6D56C" w14:textId="77777777" w:rsidR="00B91BA5" w:rsidRPr="00663A4B" w:rsidRDefault="00B91BA5" w:rsidP="00B91BA5">
            <w:pPr>
              <w:rPr>
                <w:rFonts w:ascii="Garamond" w:hAnsi="Garamond"/>
              </w:rPr>
            </w:pPr>
          </w:p>
        </w:tc>
        <w:tc>
          <w:tcPr>
            <w:tcW w:w="607" w:type="dxa"/>
            <w:tcBorders>
              <w:top w:val="single" w:sz="4" w:space="0" w:color="auto"/>
            </w:tcBorders>
            <w:vAlign w:val="center"/>
          </w:tcPr>
          <w:p w14:paraId="65F6497A" w14:textId="77777777" w:rsidR="00B91BA5" w:rsidRPr="00663A4B" w:rsidRDefault="00B91BA5" w:rsidP="00B91BA5">
            <w:pPr>
              <w:jc w:val="center"/>
              <w:rPr>
                <w:rFonts w:ascii="Garamond" w:hAnsi="Garamond"/>
              </w:rPr>
            </w:pPr>
          </w:p>
        </w:tc>
        <w:tc>
          <w:tcPr>
            <w:tcW w:w="1624" w:type="dxa"/>
            <w:tcBorders>
              <w:top w:val="single" w:sz="4" w:space="0" w:color="auto"/>
            </w:tcBorders>
            <w:vAlign w:val="center"/>
          </w:tcPr>
          <w:p w14:paraId="346DC4D5" w14:textId="77777777" w:rsidR="00B91BA5" w:rsidRPr="00663A4B" w:rsidRDefault="00B91BA5" w:rsidP="00B91BA5">
            <w:pPr>
              <w:jc w:val="center"/>
              <w:rPr>
                <w:rFonts w:ascii="Garamond" w:hAnsi="Garamond"/>
              </w:rPr>
            </w:pPr>
          </w:p>
        </w:tc>
        <w:tc>
          <w:tcPr>
            <w:tcW w:w="0" w:type="auto"/>
            <w:tcBorders>
              <w:top w:val="single" w:sz="4" w:space="0" w:color="auto"/>
            </w:tcBorders>
            <w:vAlign w:val="center"/>
          </w:tcPr>
          <w:p w14:paraId="7224EE5A" w14:textId="77777777" w:rsidR="00B91BA5" w:rsidRPr="00663A4B" w:rsidRDefault="00B91BA5" w:rsidP="00B91BA5">
            <w:pPr>
              <w:jc w:val="center"/>
              <w:rPr>
                <w:rFonts w:ascii="Garamond" w:hAnsi="Garamond"/>
                <w:i/>
              </w:rPr>
            </w:pPr>
          </w:p>
        </w:tc>
        <w:tc>
          <w:tcPr>
            <w:tcW w:w="0" w:type="auto"/>
            <w:tcBorders>
              <w:top w:val="single" w:sz="4" w:space="0" w:color="auto"/>
            </w:tcBorders>
            <w:vAlign w:val="center"/>
          </w:tcPr>
          <w:p w14:paraId="0DD8DDC5" w14:textId="77777777" w:rsidR="00B91BA5" w:rsidRPr="00663A4B" w:rsidRDefault="00B91BA5" w:rsidP="00B91BA5">
            <w:pPr>
              <w:jc w:val="center"/>
              <w:rPr>
                <w:rFonts w:ascii="Garamond" w:hAnsi="Garamond"/>
                <w:i/>
              </w:rPr>
            </w:pPr>
          </w:p>
        </w:tc>
        <w:tc>
          <w:tcPr>
            <w:tcW w:w="0" w:type="auto"/>
            <w:tcBorders>
              <w:top w:val="single" w:sz="4" w:space="0" w:color="auto"/>
            </w:tcBorders>
            <w:vAlign w:val="center"/>
          </w:tcPr>
          <w:p w14:paraId="53C097C5" w14:textId="77777777" w:rsidR="00B91BA5" w:rsidRPr="00663A4B" w:rsidRDefault="00B91BA5" w:rsidP="00B91BA5">
            <w:pPr>
              <w:jc w:val="center"/>
              <w:rPr>
                <w:rFonts w:ascii="Garamond" w:hAnsi="Garamond"/>
                <w:i/>
              </w:rPr>
            </w:pPr>
          </w:p>
        </w:tc>
        <w:tc>
          <w:tcPr>
            <w:tcW w:w="0" w:type="auto"/>
            <w:tcBorders>
              <w:top w:val="single" w:sz="4" w:space="0" w:color="auto"/>
            </w:tcBorders>
            <w:vAlign w:val="center"/>
          </w:tcPr>
          <w:p w14:paraId="1E8B4C2A" w14:textId="77777777" w:rsidR="00B91BA5" w:rsidRPr="00663A4B" w:rsidRDefault="00B91BA5" w:rsidP="00B91BA5">
            <w:pPr>
              <w:jc w:val="center"/>
              <w:rPr>
                <w:rFonts w:ascii="Garamond" w:hAnsi="Garamond"/>
                <w:i/>
              </w:rPr>
            </w:pPr>
          </w:p>
        </w:tc>
        <w:tc>
          <w:tcPr>
            <w:tcW w:w="0" w:type="auto"/>
            <w:tcBorders>
              <w:top w:val="single" w:sz="4" w:space="0" w:color="auto"/>
            </w:tcBorders>
            <w:vAlign w:val="center"/>
          </w:tcPr>
          <w:p w14:paraId="60F5BACD" w14:textId="77777777" w:rsidR="00B91BA5" w:rsidRPr="00663A4B" w:rsidRDefault="00B91BA5" w:rsidP="00B91BA5">
            <w:pPr>
              <w:jc w:val="center"/>
              <w:rPr>
                <w:rFonts w:ascii="Garamond" w:hAnsi="Garamond"/>
                <w:i/>
              </w:rPr>
            </w:pPr>
          </w:p>
        </w:tc>
        <w:tc>
          <w:tcPr>
            <w:tcW w:w="0" w:type="auto"/>
            <w:tcBorders>
              <w:top w:val="single" w:sz="4" w:space="0" w:color="auto"/>
            </w:tcBorders>
            <w:vAlign w:val="center"/>
          </w:tcPr>
          <w:p w14:paraId="4E0C389E" w14:textId="77777777" w:rsidR="00B91BA5" w:rsidRPr="00663A4B" w:rsidRDefault="00B91BA5" w:rsidP="00B91BA5">
            <w:pPr>
              <w:jc w:val="center"/>
              <w:rPr>
                <w:rFonts w:ascii="Garamond" w:hAnsi="Garamond"/>
                <w:i/>
              </w:rPr>
            </w:pPr>
          </w:p>
        </w:tc>
        <w:tc>
          <w:tcPr>
            <w:tcW w:w="0" w:type="auto"/>
            <w:tcBorders>
              <w:top w:val="single" w:sz="4" w:space="0" w:color="auto"/>
            </w:tcBorders>
            <w:vAlign w:val="center"/>
          </w:tcPr>
          <w:p w14:paraId="45E4DFB0" w14:textId="77777777" w:rsidR="00B91BA5" w:rsidRPr="00663A4B" w:rsidRDefault="00B91BA5" w:rsidP="00B91BA5">
            <w:pPr>
              <w:jc w:val="center"/>
              <w:rPr>
                <w:rFonts w:ascii="Garamond" w:hAnsi="Garamond"/>
                <w:i/>
              </w:rPr>
            </w:pPr>
          </w:p>
        </w:tc>
        <w:tc>
          <w:tcPr>
            <w:tcW w:w="0" w:type="auto"/>
            <w:tcBorders>
              <w:top w:val="single" w:sz="4" w:space="0" w:color="auto"/>
            </w:tcBorders>
            <w:vAlign w:val="center"/>
          </w:tcPr>
          <w:p w14:paraId="7866380E" w14:textId="77777777" w:rsidR="00B91BA5" w:rsidRPr="00663A4B" w:rsidRDefault="00B91BA5" w:rsidP="00B91BA5">
            <w:pPr>
              <w:jc w:val="center"/>
              <w:rPr>
                <w:rFonts w:ascii="Garamond" w:hAnsi="Garamond"/>
                <w:i/>
              </w:rPr>
            </w:pPr>
          </w:p>
        </w:tc>
        <w:tc>
          <w:tcPr>
            <w:tcW w:w="0" w:type="auto"/>
            <w:tcBorders>
              <w:top w:val="single" w:sz="4" w:space="0" w:color="auto"/>
            </w:tcBorders>
            <w:vAlign w:val="center"/>
          </w:tcPr>
          <w:p w14:paraId="0481581E" w14:textId="77777777" w:rsidR="00B91BA5" w:rsidRPr="00663A4B" w:rsidRDefault="00B91BA5" w:rsidP="00B91BA5">
            <w:pPr>
              <w:jc w:val="center"/>
              <w:rPr>
                <w:rFonts w:ascii="Garamond" w:hAnsi="Garamond"/>
                <w:i/>
              </w:rPr>
            </w:pPr>
          </w:p>
        </w:tc>
      </w:tr>
      <w:tr w:rsidR="00B91BA5" w:rsidRPr="00663A4B" w14:paraId="39B4E7AA" w14:textId="77777777" w:rsidTr="00B91BA5">
        <w:tc>
          <w:tcPr>
            <w:tcW w:w="3119" w:type="dxa"/>
            <w:vAlign w:val="center"/>
          </w:tcPr>
          <w:p w14:paraId="2BE80696" w14:textId="77777777" w:rsidR="00B91BA5" w:rsidRPr="00663A4B" w:rsidRDefault="00B91BA5" w:rsidP="00B91BA5">
            <w:pPr>
              <w:numPr>
                <w:ilvl w:val="0"/>
                <w:numId w:val="1"/>
              </w:numPr>
              <w:ind w:left="318"/>
              <w:contextualSpacing/>
              <w:rPr>
                <w:rFonts w:ascii="Garamond" w:hAnsi="Garamond"/>
              </w:rPr>
            </w:pPr>
            <w:r w:rsidRPr="00663A4B">
              <w:rPr>
                <w:rFonts w:ascii="Garamond" w:hAnsi="Garamond"/>
              </w:rPr>
              <w:t>Age</w:t>
            </w:r>
          </w:p>
          <w:p w14:paraId="7F5167F4" w14:textId="77777777" w:rsidR="00B91BA5" w:rsidRPr="00663A4B" w:rsidRDefault="00B91BA5" w:rsidP="00B91BA5">
            <w:pPr>
              <w:ind w:left="318"/>
              <w:contextualSpacing/>
              <w:rPr>
                <w:rFonts w:ascii="Garamond" w:hAnsi="Garamond"/>
              </w:rPr>
            </w:pPr>
            <w:r w:rsidRPr="00663A4B">
              <w:rPr>
                <w:rFonts w:ascii="Garamond" w:hAnsi="Garamond"/>
              </w:rPr>
              <w:t>(95% UBCI/LBCI)</w:t>
            </w:r>
          </w:p>
        </w:tc>
        <w:tc>
          <w:tcPr>
            <w:tcW w:w="607" w:type="dxa"/>
            <w:vAlign w:val="center"/>
          </w:tcPr>
          <w:p w14:paraId="710DF612" w14:textId="77777777" w:rsidR="00B91BA5" w:rsidRPr="00B91BA5" w:rsidRDefault="00B91BA5" w:rsidP="00B91BA5">
            <w:pPr>
              <w:jc w:val="center"/>
              <w:rPr>
                <w:rFonts w:ascii="Garamond" w:hAnsi="Garamond"/>
              </w:rPr>
            </w:pPr>
            <w:r w:rsidRPr="00B91BA5">
              <w:rPr>
                <w:rFonts w:ascii="Garamond" w:hAnsi="Garamond"/>
              </w:rPr>
              <w:t>N/A</w:t>
            </w:r>
          </w:p>
        </w:tc>
        <w:tc>
          <w:tcPr>
            <w:tcW w:w="1624" w:type="dxa"/>
            <w:vAlign w:val="center"/>
          </w:tcPr>
          <w:p w14:paraId="3FA60940" w14:textId="77777777" w:rsidR="00B91BA5" w:rsidRPr="00B91BA5" w:rsidRDefault="00B91BA5" w:rsidP="00B91BA5">
            <w:pPr>
              <w:jc w:val="center"/>
              <w:rPr>
                <w:rFonts w:ascii="Garamond" w:hAnsi="Garamond"/>
              </w:rPr>
            </w:pPr>
            <w:r w:rsidRPr="00B91BA5">
              <w:rPr>
                <w:rFonts w:ascii="Garamond" w:hAnsi="Garamond"/>
              </w:rPr>
              <w:t xml:space="preserve">51 (12) </w:t>
            </w:r>
          </w:p>
        </w:tc>
        <w:tc>
          <w:tcPr>
            <w:tcW w:w="0" w:type="auto"/>
            <w:vAlign w:val="center"/>
          </w:tcPr>
          <w:p w14:paraId="5FBDA7B4" w14:textId="77777777" w:rsidR="00B91BA5" w:rsidRPr="00B91BA5" w:rsidRDefault="00B91BA5" w:rsidP="00B91BA5">
            <w:pPr>
              <w:jc w:val="center"/>
              <w:rPr>
                <w:rFonts w:ascii="Garamond" w:hAnsi="Garamond"/>
              </w:rPr>
            </w:pPr>
            <w:r w:rsidRPr="00B91BA5">
              <w:rPr>
                <w:rFonts w:ascii="Garamond" w:hAnsi="Garamond"/>
              </w:rPr>
              <w:t>-.42***</w:t>
            </w:r>
          </w:p>
          <w:p w14:paraId="09D77ADD" w14:textId="77777777" w:rsidR="00B91BA5" w:rsidRPr="00B91BA5" w:rsidRDefault="00B91BA5" w:rsidP="00B91BA5">
            <w:pPr>
              <w:jc w:val="center"/>
              <w:rPr>
                <w:rFonts w:ascii="Garamond" w:hAnsi="Garamond"/>
              </w:rPr>
            </w:pPr>
            <w:r w:rsidRPr="00B91BA5">
              <w:rPr>
                <w:rFonts w:ascii="Garamond" w:hAnsi="Garamond"/>
              </w:rPr>
              <w:t>(-.22/.59)</w:t>
            </w:r>
          </w:p>
        </w:tc>
        <w:tc>
          <w:tcPr>
            <w:tcW w:w="0" w:type="auto"/>
            <w:vAlign w:val="center"/>
          </w:tcPr>
          <w:p w14:paraId="2A9114ED" w14:textId="77777777" w:rsidR="00B91BA5" w:rsidRPr="00B91BA5" w:rsidRDefault="00B91BA5" w:rsidP="00B91BA5">
            <w:pPr>
              <w:jc w:val="center"/>
              <w:rPr>
                <w:rFonts w:ascii="Garamond" w:hAnsi="Garamond"/>
              </w:rPr>
            </w:pPr>
            <w:r w:rsidRPr="00B91BA5">
              <w:rPr>
                <w:rFonts w:ascii="Garamond" w:hAnsi="Garamond"/>
              </w:rPr>
              <w:t>-.19</w:t>
            </w:r>
          </w:p>
          <w:p w14:paraId="1ADC9B1F" w14:textId="77777777" w:rsidR="00B91BA5" w:rsidRPr="00B91BA5" w:rsidRDefault="00B91BA5" w:rsidP="00B91BA5">
            <w:pPr>
              <w:jc w:val="center"/>
              <w:rPr>
                <w:rFonts w:ascii="Garamond" w:hAnsi="Garamond"/>
              </w:rPr>
            </w:pPr>
            <w:r w:rsidRPr="00B91BA5">
              <w:rPr>
                <w:rFonts w:ascii="Garamond" w:hAnsi="Garamond"/>
              </w:rPr>
              <w:t>(-04/-.40)</w:t>
            </w:r>
          </w:p>
        </w:tc>
        <w:tc>
          <w:tcPr>
            <w:tcW w:w="0" w:type="auto"/>
            <w:vAlign w:val="center"/>
          </w:tcPr>
          <w:p w14:paraId="1C37B1A1" w14:textId="77777777" w:rsidR="00B91BA5" w:rsidRPr="00B91BA5" w:rsidRDefault="00B91BA5" w:rsidP="00B91BA5">
            <w:pPr>
              <w:jc w:val="center"/>
              <w:rPr>
                <w:rFonts w:ascii="Garamond" w:hAnsi="Garamond"/>
              </w:rPr>
            </w:pPr>
            <w:r w:rsidRPr="00B91BA5">
              <w:rPr>
                <w:rFonts w:ascii="Garamond" w:hAnsi="Garamond"/>
              </w:rPr>
              <w:t>-.11</w:t>
            </w:r>
          </w:p>
          <w:p w14:paraId="1FA63E43" w14:textId="77777777" w:rsidR="00B91BA5" w:rsidRPr="00B91BA5" w:rsidRDefault="00B91BA5" w:rsidP="00B91BA5">
            <w:pPr>
              <w:jc w:val="center"/>
              <w:rPr>
                <w:rFonts w:ascii="Garamond" w:hAnsi="Garamond"/>
              </w:rPr>
            </w:pPr>
            <w:r w:rsidRPr="00B91BA5">
              <w:rPr>
                <w:rFonts w:ascii="Garamond" w:hAnsi="Garamond"/>
              </w:rPr>
              <w:t>(.11/-.33)</w:t>
            </w:r>
          </w:p>
        </w:tc>
        <w:tc>
          <w:tcPr>
            <w:tcW w:w="0" w:type="auto"/>
            <w:vAlign w:val="center"/>
          </w:tcPr>
          <w:p w14:paraId="47AF62D6" w14:textId="77777777" w:rsidR="00B91BA5" w:rsidRPr="00B91BA5" w:rsidRDefault="00B91BA5" w:rsidP="00B91BA5">
            <w:pPr>
              <w:jc w:val="center"/>
              <w:rPr>
                <w:rFonts w:ascii="Garamond" w:hAnsi="Garamond"/>
              </w:rPr>
            </w:pPr>
            <w:r w:rsidRPr="00B91BA5">
              <w:rPr>
                <w:rFonts w:ascii="Garamond" w:hAnsi="Garamond"/>
              </w:rPr>
              <w:t>.04</w:t>
            </w:r>
          </w:p>
          <w:p w14:paraId="2E6F850F" w14:textId="77777777" w:rsidR="00B91BA5" w:rsidRPr="00B91BA5" w:rsidRDefault="00B91BA5" w:rsidP="00B91BA5">
            <w:pPr>
              <w:jc w:val="center"/>
              <w:rPr>
                <w:rFonts w:ascii="Garamond" w:hAnsi="Garamond"/>
              </w:rPr>
            </w:pPr>
            <w:r w:rsidRPr="00B91BA5">
              <w:rPr>
                <w:rFonts w:ascii="Garamond" w:hAnsi="Garamond"/>
              </w:rPr>
              <w:t>(.27/-.19)</w:t>
            </w:r>
          </w:p>
        </w:tc>
        <w:tc>
          <w:tcPr>
            <w:tcW w:w="0" w:type="auto"/>
            <w:vAlign w:val="center"/>
          </w:tcPr>
          <w:p w14:paraId="075057B6" w14:textId="77777777" w:rsidR="00B91BA5" w:rsidRPr="00B91BA5" w:rsidRDefault="00B91BA5" w:rsidP="00B91BA5">
            <w:pPr>
              <w:jc w:val="center"/>
              <w:rPr>
                <w:rFonts w:ascii="Garamond" w:hAnsi="Garamond"/>
              </w:rPr>
            </w:pPr>
            <w:r w:rsidRPr="00B91BA5">
              <w:rPr>
                <w:rFonts w:ascii="Garamond" w:hAnsi="Garamond"/>
              </w:rPr>
              <w:t>.01</w:t>
            </w:r>
          </w:p>
          <w:p w14:paraId="30418AA1" w14:textId="77777777" w:rsidR="00B91BA5" w:rsidRPr="00B91BA5" w:rsidRDefault="00B91BA5" w:rsidP="00B91BA5">
            <w:pPr>
              <w:jc w:val="center"/>
              <w:rPr>
                <w:rFonts w:ascii="Garamond" w:hAnsi="Garamond"/>
              </w:rPr>
            </w:pPr>
            <w:r w:rsidRPr="00B91BA5">
              <w:rPr>
                <w:rFonts w:ascii="Garamond" w:hAnsi="Garamond"/>
              </w:rPr>
              <w:t>(.24/-.21)</w:t>
            </w:r>
          </w:p>
        </w:tc>
        <w:tc>
          <w:tcPr>
            <w:tcW w:w="0" w:type="auto"/>
            <w:vAlign w:val="center"/>
          </w:tcPr>
          <w:p w14:paraId="5D700E17" w14:textId="77777777" w:rsidR="00B91BA5" w:rsidRPr="00B91BA5" w:rsidRDefault="00B91BA5" w:rsidP="00B91BA5">
            <w:pPr>
              <w:jc w:val="center"/>
              <w:rPr>
                <w:rFonts w:ascii="Garamond" w:hAnsi="Garamond"/>
              </w:rPr>
            </w:pPr>
            <w:r w:rsidRPr="00B91BA5">
              <w:rPr>
                <w:rFonts w:ascii="Garamond" w:hAnsi="Garamond"/>
              </w:rPr>
              <w:t>-.15</w:t>
            </w:r>
          </w:p>
          <w:p w14:paraId="2ED96CC3" w14:textId="77777777" w:rsidR="00B91BA5" w:rsidRPr="00B91BA5" w:rsidRDefault="00B91BA5" w:rsidP="00B91BA5">
            <w:pPr>
              <w:jc w:val="center"/>
              <w:rPr>
                <w:rFonts w:ascii="Garamond" w:hAnsi="Garamond"/>
              </w:rPr>
            </w:pPr>
            <w:r w:rsidRPr="00B91BA5">
              <w:rPr>
                <w:rFonts w:ascii="Garamond" w:hAnsi="Garamond"/>
              </w:rPr>
              <w:t>(.08/-.36)</w:t>
            </w:r>
          </w:p>
        </w:tc>
        <w:tc>
          <w:tcPr>
            <w:tcW w:w="0" w:type="auto"/>
            <w:vAlign w:val="center"/>
          </w:tcPr>
          <w:p w14:paraId="662E3799" w14:textId="77777777" w:rsidR="00B91BA5" w:rsidRPr="00B91BA5" w:rsidRDefault="00B91BA5" w:rsidP="00B91BA5">
            <w:pPr>
              <w:jc w:val="center"/>
              <w:rPr>
                <w:rFonts w:ascii="Garamond" w:hAnsi="Garamond"/>
              </w:rPr>
            </w:pPr>
            <w:r w:rsidRPr="00B91BA5">
              <w:rPr>
                <w:rFonts w:ascii="Garamond" w:hAnsi="Garamond"/>
              </w:rPr>
              <w:t>.23*</w:t>
            </w:r>
          </w:p>
          <w:p w14:paraId="1617E2B8" w14:textId="77777777" w:rsidR="00B91BA5" w:rsidRPr="00B91BA5" w:rsidRDefault="00B91BA5" w:rsidP="00B91BA5">
            <w:pPr>
              <w:jc w:val="center"/>
              <w:rPr>
                <w:rFonts w:ascii="Garamond" w:hAnsi="Garamond"/>
              </w:rPr>
            </w:pPr>
            <w:r w:rsidRPr="00B91BA5">
              <w:rPr>
                <w:rFonts w:ascii="Garamond" w:hAnsi="Garamond"/>
              </w:rPr>
              <w:t>(.43/.01)</w:t>
            </w:r>
          </w:p>
        </w:tc>
        <w:tc>
          <w:tcPr>
            <w:tcW w:w="0" w:type="auto"/>
            <w:vAlign w:val="center"/>
          </w:tcPr>
          <w:p w14:paraId="2D61632B" w14:textId="77777777" w:rsidR="00B91BA5" w:rsidRPr="00B91BA5" w:rsidRDefault="00B91BA5" w:rsidP="00B91BA5">
            <w:pPr>
              <w:jc w:val="center"/>
              <w:rPr>
                <w:rFonts w:ascii="Garamond" w:hAnsi="Garamond"/>
              </w:rPr>
            </w:pPr>
            <w:r w:rsidRPr="00B91BA5">
              <w:rPr>
                <w:rFonts w:ascii="Garamond" w:hAnsi="Garamond"/>
              </w:rPr>
              <w:t>-.36**</w:t>
            </w:r>
          </w:p>
          <w:p w14:paraId="0C26368D" w14:textId="77777777" w:rsidR="00B91BA5" w:rsidRPr="00B91BA5" w:rsidRDefault="00B91BA5" w:rsidP="00B91BA5">
            <w:pPr>
              <w:jc w:val="center"/>
              <w:rPr>
                <w:rFonts w:ascii="Garamond" w:hAnsi="Garamond"/>
              </w:rPr>
            </w:pPr>
            <w:r w:rsidRPr="00B91BA5">
              <w:rPr>
                <w:rFonts w:ascii="Garamond" w:hAnsi="Garamond"/>
              </w:rPr>
              <w:t>(-.01/-.54)</w:t>
            </w:r>
          </w:p>
        </w:tc>
        <w:tc>
          <w:tcPr>
            <w:tcW w:w="0" w:type="auto"/>
            <w:vAlign w:val="center"/>
          </w:tcPr>
          <w:p w14:paraId="31076F1A" w14:textId="77777777" w:rsidR="00B91BA5" w:rsidRPr="00B91BA5" w:rsidRDefault="00B91BA5" w:rsidP="00B91BA5">
            <w:pPr>
              <w:jc w:val="center"/>
              <w:rPr>
                <w:rFonts w:ascii="Garamond" w:hAnsi="Garamond"/>
              </w:rPr>
            </w:pPr>
            <w:r w:rsidRPr="00B91BA5">
              <w:rPr>
                <w:rFonts w:ascii="Garamond" w:hAnsi="Garamond"/>
              </w:rPr>
              <w:t>-.21</w:t>
            </w:r>
          </w:p>
          <w:p w14:paraId="053E14E9" w14:textId="77777777" w:rsidR="00B91BA5" w:rsidRPr="00B91BA5" w:rsidRDefault="00B91BA5" w:rsidP="00B91BA5">
            <w:pPr>
              <w:jc w:val="center"/>
              <w:rPr>
                <w:rFonts w:ascii="Garamond" w:hAnsi="Garamond"/>
              </w:rPr>
            </w:pPr>
            <w:r w:rsidRPr="00B91BA5">
              <w:rPr>
                <w:rFonts w:ascii="Garamond" w:hAnsi="Garamond"/>
              </w:rPr>
              <w:t>(.02/-.42)</w:t>
            </w:r>
          </w:p>
        </w:tc>
      </w:tr>
      <w:tr w:rsidR="00B91BA5" w:rsidRPr="00663A4B" w14:paraId="0C1DF65E" w14:textId="77777777" w:rsidTr="00B91BA5">
        <w:tc>
          <w:tcPr>
            <w:tcW w:w="3119" w:type="dxa"/>
            <w:vAlign w:val="center"/>
          </w:tcPr>
          <w:p w14:paraId="6C28475C" w14:textId="77777777" w:rsidR="00B91BA5" w:rsidRPr="00663A4B" w:rsidRDefault="00B91BA5" w:rsidP="00B91BA5">
            <w:pPr>
              <w:numPr>
                <w:ilvl w:val="0"/>
                <w:numId w:val="1"/>
              </w:numPr>
              <w:ind w:left="318"/>
              <w:contextualSpacing/>
              <w:rPr>
                <w:rFonts w:ascii="Garamond" w:hAnsi="Garamond"/>
              </w:rPr>
            </w:pPr>
            <w:r w:rsidRPr="00663A4B">
              <w:rPr>
                <w:rFonts w:ascii="Garamond" w:hAnsi="Garamond"/>
              </w:rPr>
              <w:t xml:space="preserve">Gender </w:t>
            </w:r>
          </w:p>
          <w:p w14:paraId="6046961F" w14:textId="77777777" w:rsidR="00B91BA5" w:rsidRPr="00663A4B" w:rsidRDefault="00B91BA5" w:rsidP="00B91BA5">
            <w:pPr>
              <w:ind w:left="318"/>
              <w:contextualSpacing/>
              <w:rPr>
                <w:rFonts w:ascii="Garamond" w:hAnsi="Garamond"/>
              </w:rPr>
            </w:pPr>
            <w:r w:rsidRPr="00663A4B">
              <w:rPr>
                <w:rFonts w:ascii="Garamond" w:hAnsi="Garamond"/>
              </w:rPr>
              <w:t>95% UBCI/LBCI</w:t>
            </w:r>
          </w:p>
        </w:tc>
        <w:tc>
          <w:tcPr>
            <w:tcW w:w="607" w:type="dxa"/>
            <w:vAlign w:val="center"/>
          </w:tcPr>
          <w:p w14:paraId="0EFA0D4A" w14:textId="77777777" w:rsidR="00B91BA5" w:rsidRPr="00B91BA5" w:rsidRDefault="00B91BA5" w:rsidP="00B91BA5">
            <w:pPr>
              <w:jc w:val="center"/>
              <w:rPr>
                <w:rFonts w:ascii="Garamond" w:hAnsi="Garamond"/>
              </w:rPr>
            </w:pPr>
            <w:r w:rsidRPr="00B91BA5">
              <w:rPr>
                <w:rFonts w:ascii="Garamond" w:hAnsi="Garamond"/>
              </w:rPr>
              <w:t>N/A</w:t>
            </w:r>
          </w:p>
        </w:tc>
        <w:tc>
          <w:tcPr>
            <w:tcW w:w="1624" w:type="dxa"/>
            <w:vAlign w:val="center"/>
          </w:tcPr>
          <w:p w14:paraId="29DC842F" w14:textId="77777777" w:rsidR="00B91BA5" w:rsidRPr="00B91BA5" w:rsidRDefault="00B91BA5" w:rsidP="00B91BA5">
            <w:pPr>
              <w:jc w:val="center"/>
              <w:rPr>
                <w:rFonts w:ascii="Garamond" w:hAnsi="Garamond"/>
              </w:rPr>
            </w:pPr>
            <w:r w:rsidRPr="00B91BA5">
              <w:rPr>
                <w:rFonts w:ascii="Garamond" w:hAnsi="Garamond"/>
              </w:rPr>
              <w:t>N/A</w:t>
            </w:r>
          </w:p>
        </w:tc>
        <w:tc>
          <w:tcPr>
            <w:tcW w:w="0" w:type="auto"/>
            <w:shd w:val="clear" w:color="auto" w:fill="000000" w:themeFill="text1"/>
            <w:vAlign w:val="center"/>
          </w:tcPr>
          <w:p w14:paraId="0BC7D0AD" w14:textId="77777777" w:rsidR="00B91BA5" w:rsidRPr="00B91BA5" w:rsidRDefault="00B91BA5" w:rsidP="00B91BA5">
            <w:pPr>
              <w:jc w:val="center"/>
              <w:rPr>
                <w:rFonts w:ascii="Garamond" w:hAnsi="Garamond"/>
              </w:rPr>
            </w:pPr>
          </w:p>
        </w:tc>
        <w:tc>
          <w:tcPr>
            <w:tcW w:w="0" w:type="auto"/>
            <w:vAlign w:val="center"/>
          </w:tcPr>
          <w:p w14:paraId="0B9D28E9" w14:textId="77777777" w:rsidR="00B91BA5" w:rsidRPr="00B91BA5" w:rsidRDefault="00B91BA5" w:rsidP="00B91BA5">
            <w:pPr>
              <w:jc w:val="center"/>
              <w:rPr>
                <w:rFonts w:ascii="Garamond" w:hAnsi="Garamond"/>
              </w:rPr>
            </w:pPr>
            <w:r w:rsidRPr="00B91BA5">
              <w:rPr>
                <w:rFonts w:ascii="Garamond" w:hAnsi="Garamond"/>
              </w:rPr>
              <w:t>.38**</w:t>
            </w:r>
          </w:p>
          <w:p w14:paraId="27371EA1" w14:textId="77777777" w:rsidR="00B91BA5" w:rsidRPr="00B91BA5" w:rsidRDefault="00B91BA5" w:rsidP="00B91BA5">
            <w:pPr>
              <w:jc w:val="center"/>
              <w:rPr>
                <w:rFonts w:ascii="Garamond" w:hAnsi="Garamond"/>
              </w:rPr>
            </w:pPr>
            <w:r w:rsidRPr="00B91BA5">
              <w:rPr>
                <w:rFonts w:ascii="Garamond" w:hAnsi="Garamond"/>
              </w:rPr>
              <w:t>(-.04/-.40)</w:t>
            </w:r>
          </w:p>
        </w:tc>
        <w:tc>
          <w:tcPr>
            <w:tcW w:w="0" w:type="auto"/>
            <w:vAlign w:val="center"/>
          </w:tcPr>
          <w:p w14:paraId="089ED1DF" w14:textId="77777777" w:rsidR="00B91BA5" w:rsidRPr="00B91BA5" w:rsidRDefault="00B91BA5" w:rsidP="00B91BA5">
            <w:pPr>
              <w:jc w:val="center"/>
              <w:rPr>
                <w:rFonts w:ascii="Garamond" w:hAnsi="Garamond"/>
              </w:rPr>
            </w:pPr>
            <w:r w:rsidRPr="00B91BA5">
              <w:rPr>
                <w:rFonts w:ascii="Garamond" w:hAnsi="Garamond"/>
              </w:rPr>
              <w:t>.01</w:t>
            </w:r>
          </w:p>
          <w:p w14:paraId="4FE60126" w14:textId="77777777" w:rsidR="00B91BA5" w:rsidRPr="00B91BA5" w:rsidRDefault="00B91BA5" w:rsidP="00B91BA5">
            <w:pPr>
              <w:jc w:val="center"/>
              <w:rPr>
                <w:rFonts w:ascii="Garamond" w:hAnsi="Garamond"/>
              </w:rPr>
            </w:pPr>
            <w:r w:rsidRPr="00B91BA5">
              <w:rPr>
                <w:rFonts w:ascii="Garamond" w:hAnsi="Garamond"/>
              </w:rPr>
              <w:t>(.24/-.21)</w:t>
            </w:r>
          </w:p>
        </w:tc>
        <w:tc>
          <w:tcPr>
            <w:tcW w:w="0" w:type="auto"/>
            <w:vAlign w:val="center"/>
          </w:tcPr>
          <w:p w14:paraId="45C6DDEE" w14:textId="77777777" w:rsidR="00B91BA5" w:rsidRPr="00B91BA5" w:rsidRDefault="00B91BA5" w:rsidP="00B91BA5">
            <w:pPr>
              <w:jc w:val="center"/>
              <w:rPr>
                <w:rFonts w:ascii="Garamond" w:hAnsi="Garamond"/>
              </w:rPr>
            </w:pPr>
            <w:r w:rsidRPr="00B91BA5">
              <w:rPr>
                <w:rFonts w:ascii="Garamond" w:hAnsi="Garamond"/>
              </w:rPr>
              <w:t>.02</w:t>
            </w:r>
          </w:p>
          <w:p w14:paraId="793CC61B" w14:textId="77777777" w:rsidR="00B91BA5" w:rsidRPr="00B91BA5" w:rsidRDefault="00B91BA5" w:rsidP="00B91BA5">
            <w:pPr>
              <w:jc w:val="center"/>
              <w:rPr>
                <w:rFonts w:ascii="Garamond" w:hAnsi="Garamond"/>
              </w:rPr>
            </w:pPr>
            <w:r w:rsidRPr="00B91BA5">
              <w:rPr>
                <w:rFonts w:ascii="Garamond" w:hAnsi="Garamond"/>
              </w:rPr>
              <w:t>(.25/-.22)</w:t>
            </w:r>
          </w:p>
        </w:tc>
        <w:tc>
          <w:tcPr>
            <w:tcW w:w="0" w:type="auto"/>
            <w:vAlign w:val="center"/>
          </w:tcPr>
          <w:p w14:paraId="2B88E110" w14:textId="77777777" w:rsidR="00B91BA5" w:rsidRPr="00B91BA5" w:rsidRDefault="00B91BA5" w:rsidP="00B91BA5">
            <w:pPr>
              <w:jc w:val="center"/>
              <w:rPr>
                <w:rFonts w:ascii="Garamond" w:hAnsi="Garamond"/>
              </w:rPr>
            </w:pPr>
            <w:r w:rsidRPr="00B91BA5">
              <w:rPr>
                <w:rFonts w:ascii="Garamond" w:hAnsi="Garamond"/>
              </w:rPr>
              <w:t>.12</w:t>
            </w:r>
          </w:p>
          <w:p w14:paraId="3D2EE1FA" w14:textId="77777777" w:rsidR="00B91BA5" w:rsidRPr="00B91BA5" w:rsidRDefault="00B91BA5" w:rsidP="00B91BA5">
            <w:pPr>
              <w:jc w:val="center"/>
              <w:rPr>
                <w:rFonts w:ascii="Garamond" w:hAnsi="Garamond"/>
              </w:rPr>
            </w:pPr>
            <w:r w:rsidRPr="00B91BA5">
              <w:rPr>
                <w:rFonts w:ascii="Garamond" w:hAnsi="Garamond"/>
              </w:rPr>
              <w:t>(.22/-.11)</w:t>
            </w:r>
          </w:p>
        </w:tc>
        <w:tc>
          <w:tcPr>
            <w:tcW w:w="0" w:type="auto"/>
            <w:vAlign w:val="center"/>
          </w:tcPr>
          <w:p w14:paraId="4AA01261" w14:textId="77777777" w:rsidR="00B91BA5" w:rsidRPr="00B91BA5" w:rsidRDefault="00B91BA5" w:rsidP="00B91BA5">
            <w:pPr>
              <w:jc w:val="center"/>
              <w:rPr>
                <w:rFonts w:ascii="Garamond" w:hAnsi="Garamond"/>
              </w:rPr>
            </w:pPr>
            <w:r w:rsidRPr="00B91BA5">
              <w:rPr>
                <w:rFonts w:ascii="Garamond" w:hAnsi="Garamond"/>
              </w:rPr>
              <w:t>-.01</w:t>
            </w:r>
          </w:p>
          <w:p w14:paraId="79EDF5EA" w14:textId="77777777" w:rsidR="00B91BA5" w:rsidRPr="00B91BA5" w:rsidRDefault="00B91BA5" w:rsidP="00B91BA5">
            <w:pPr>
              <w:jc w:val="center"/>
              <w:rPr>
                <w:rFonts w:ascii="Garamond" w:hAnsi="Garamond"/>
              </w:rPr>
            </w:pPr>
            <w:r w:rsidRPr="00B91BA5">
              <w:rPr>
                <w:rFonts w:ascii="Garamond" w:hAnsi="Garamond"/>
              </w:rPr>
              <w:t>(.21/-.23)</w:t>
            </w:r>
          </w:p>
        </w:tc>
        <w:tc>
          <w:tcPr>
            <w:tcW w:w="0" w:type="auto"/>
            <w:vAlign w:val="center"/>
          </w:tcPr>
          <w:p w14:paraId="39001AAE" w14:textId="77777777" w:rsidR="00B91BA5" w:rsidRPr="00B91BA5" w:rsidRDefault="00B91BA5" w:rsidP="00B91BA5">
            <w:pPr>
              <w:jc w:val="center"/>
              <w:rPr>
                <w:rFonts w:ascii="Garamond" w:hAnsi="Garamond"/>
              </w:rPr>
            </w:pPr>
            <w:r w:rsidRPr="00B91BA5">
              <w:rPr>
                <w:rFonts w:ascii="Garamond" w:hAnsi="Garamond"/>
              </w:rPr>
              <w:t>-.13</w:t>
            </w:r>
          </w:p>
          <w:p w14:paraId="540C44AD" w14:textId="77777777" w:rsidR="00B91BA5" w:rsidRPr="00B91BA5" w:rsidRDefault="00B91BA5" w:rsidP="00B91BA5">
            <w:pPr>
              <w:jc w:val="center"/>
              <w:rPr>
                <w:rFonts w:ascii="Garamond" w:hAnsi="Garamond"/>
              </w:rPr>
            </w:pPr>
            <w:r w:rsidRPr="00B91BA5">
              <w:rPr>
                <w:rFonts w:ascii="Garamond" w:hAnsi="Garamond"/>
              </w:rPr>
              <w:t>(.10/-.34)</w:t>
            </w:r>
          </w:p>
        </w:tc>
        <w:tc>
          <w:tcPr>
            <w:tcW w:w="0" w:type="auto"/>
            <w:vAlign w:val="center"/>
          </w:tcPr>
          <w:p w14:paraId="75B374EA" w14:textId="77777777" w:rsidR="00B91BA5" w:rsidRPr="00B91BA5" w:rsidRDefault="00B91BA5" w:rsidP="00B91BA5">
            <w:pPr>
              <w:jc w:val="center"/>
              <w:rPr>
                <w:rFonts w:ascii="Garamond" w:hAnsi="Garamond"/>
              </w:rPr>
            </w:pPr>
            <w:r w:rsidRPr="00B91BA5">
              <w:rPr>
                <w:rFonts w:ascii="Garamond" w:hAnsi="Garamond"/>
              </w:rPr>
              <w:t>.10</w:t>
            </w:r>
          </w:p>
          <w:p w14:paraId="00992D92" w14:textId="77777777" w:rsidR="00B91BA5" w:rsidRPr="00B91BA5" w:rsidRDefault="00B91BA5" w:rsidP="00B91BA5">
            <w:pPr>
              <w:jc w:val="center"/>
              <w:rPr>
                <w:rFonts w:ascii="Garamond" w:hAnsi="Garamond"/>
              </w:rPr>
            </w:pPr>
            <w:r w:rsidRPr="00B91BA5">
              <w:rPr>
                <w:rFonts w:ascii="Garamond" w:hAnsi="Garamond"/>
              </w:rPr>
              <w:t>(.32/-.12)</w:t>
            </w:r>
          </w:p>
        </w:tc>
        <w:tc>
          <w:tcPr>
            <w:tcW w:w="0" w:type="auto"/>
            <w:vAlign w:val="center"/>
          </w:tcPr>
          <w:p w14:paraId="0F75F78F" w14:textId="77777777" w:rsidR="00B91BA5" w:rsidRPr="00B91BA5" w:rsidRDefault="00B91BA5" w:rsidP="00B91BA5">
            <w:pPr>
              <w:jc w:val="center"/>
              <w:rPr>
                <w:rFonts w:ascii="Garamond" w:hAnsi="Garamond"/>
              </w:rPr>
            </w:pPr>
            <w:r w:rsidRPr="00B91BA5">
              <w:rPr>
                <w:rFonts w:ascii="Garamond" w:hAnsi="Garamond"/>
              </w:rPr>
              <w:t>.04</w:t>
            </w:r>
          </w:p>
          <w:p w14:paraId="3BA6E14C" w14:textId="77777777" w:rsidR="00B91BA5" w:rsidRPr="00B91BA5" w:rsidRDefault="00B91BA5" w:rsidP="00B91BA5">
            <w:pPr>
              <w:jc w:val="center"/>
              <w:rPr>
                <w:rFonts w:ascii="Garamond" w:hAnsi="Garamond"/>
              </w:rPr>
            </w:pPr>
            <w:r w:rsidRPr="00B91BA5">
              <w:rPr>
                <w:rFonts w:ascii="Garamond" w:hAnsi="Garamond"/>
              </w:rPr>
              <w:t>(.26/-.18)</w:t>
            </w:r>
          </w:p>
        </w:tc>
      </w:tr>
      <w:tr w:rsidR="00B91BA5" w:rsidRPr="00663A4B" w14:paraId="2150C4B7" w14:textId="77777777" w:rsidTr="00B91BA5">
        <w:tc>
          <w:tcPr>
            <w:tcW w:w="3119" w:type="dxa"/>
            <w:vAlign w:val="center"/>
          </w:tcPr>
          <w:p w14:paraId="74813688" w14:textId="77777777" w:rsidR="00B91BA5" w:rsidRPr="00663A4B" w:rsidRDefault="00B91BA5" w:rsidP="00B91BA5">
            <w:pPr>
              <w:numPr>
                <w:ilvl w:val="0"/>
                <w:numId w:val="1"/>
              </w:numPr>
              <w:ind w:left="318"/>
              <w:contextualSpacing/>
              <w:rPr>
                <w:rFonts w:ascii="Garamond" w:hAnsi="Garamond"/>
              </w:rPr>
            </w:pPr>
            <w:r w:rsidRPr="00663A4B">
              <w:rPr>
                <w:rFonts w:ascii="Garamond" w:hAnsi="Garamond"/>
              </w:rPr>
              <w:t>BMI</w:t>
            </w:r>
          </w:p>
          <w:p w14:paraId="1C15FD10" w14:textId="77777777" w:rsidR="00B91BA5" w:rsidRPr="00663A4B" w:rsidRDefault="00B91BA5" w:rsidP="00B91BA5">
            <w:pPr>
              <w:ind w:left="318"/>
              <w:contextualSpacing/>
              <w:rPr>
                <w:rFonts w:ascii="Garamond" w:hAnsi="Garamond"/>
              </w:rPr>
            </w:pPr>
            <w:r w:rsidRPr="00663A4B">
              <w:rPr>
                <w:rFonts w:ascii="Garamond" w:hAnsi="Garamond"/>
              </w:rPr>
              <w:t>95% UBCI/LBCI</w:t>
            </w:r>
          </w:p>
        </w:tc>
        <w:tc>
          <w:tcPr>
            <w:tcW w:w="607" w:type="dxa"/>
            <w:vAlign w:val="center"/>
          </w:tcPr>
          <w:p w14:paraId="129A19D2" w14:textId="77777777" w:rsidR="00B91BA5" w:rsidRPr="00B91BA5" w:rsidRDefault="00B91BA5" w:rsidP="00B91BA5">
            <w:pPr>
              <w:jc w:val="center"/>
              <w:rPr>
                <w:rFonts w:ascii="Garamond" w:hAnsi="Garamond"/>
              </w:rPr>
            </w:pPr>
            <w:r w:rsidRPr="00B91BA5">
              <w:rPr>
                <w:rFonts w:ascii="Garamond" w:hAnsi="Garamond"/>
              </w:rPr>
              <w:t>N/A</w:t>
            </w:r>
          </w:p>
        </w:tc>
        <w:tc>
          <w:tcPr>
            <w:tcW w:w="1624" w:type="dxa"/>
            <w:vAlign w:val="center"/>
          </w:tcPr>
          <w:p w14:paraId="3CDD39F2" w14:textId="77777777" w:rsidR="00B91BA5" w:rsidRPr="00B91BA5" w:rsidRDefault="00B91BA5" w:rsidP="00B91BA5">
            <w:pPr>
              <w:jc w:val="center"/>
              <w:rPr>
                <w:rFonts w:ascii="Garamond" w:hAnsi="Garamond"/>
              </w:rPr>
            </w:pPr>
            <w:r w:rsidRPr="00B91BA5">
              <w:rPr>
                <w:rFonts w:ascii="Garamond" w:hAnsi="Garamond"/>
              </w:rPr>
              <w:t>48 (6)</w:t>
            </w:r>
          </w:p>
        </w:tc>
        <w:tc>
          <w:tcPr>
            <w:tcW w:w="0" w:type="auto"/>
            <w:vAlign w:val="center"/>
          </w:tcPr>
          <w:p w14:paraId="0E04DCA6" w14:textId="77777777" w:rsidR="00B91BA5" w:rsidRPr="00B91BA5" w:rsidRDefault="00B91BA5" w:rsidP="00B91BA5">
            <w:pPr>
              <w:jc w:val="center"/>
              <w:rPr>
                <w:rFonts w:ascii="Garamond" w:hAnsi="Garamond"/>
              </w:rPr>
            </w:pPr>
          </w:p>
        </w:tc>
        <w:tc>
          <w:tcPr>
            <w:tcW w:w="0" w:type="auto"/>
            <w:shd w:val="clear" w:color="auto" w:fill="000000" w:themeFill="text1"/>
            <w:vAlign w:val="center"/>
          </w:tcPr>
          <w:p w14:paraId="6B9176B6" w14:textId="77777777" w:rsidR="00B91BA5" w:rsidRPr="00B91BA5" w:rsidRDefault="00B91BA5" w:rsidP="00B91BA5">
            <w:pPr>
              <w:jc w:val="center"/>
              <w:rPr>
                <w:rFonts w:ascii="Garamond" w:hAnsi="Garamond"/>
              </w:rPr>
            </w:pPr>
          </w:p>
        </w:tc>
        <w:tc>
          <w:tcPr>
            <w:tcW w:w="0" w:type="auto"/>
            <w:vAlign w:val="center"/>
          </w:tcPr>
          <w:p w14:paraId="46841CFA" w14:textId="77777777" w:rsidR="00B91BA5" w:rsidRPr="00B91BA5" w:rsidRDefault="00B91BA5" w:rsidP="00B91BA5">
            <w:pPr>
              <w:jc w:val="center"/>
              <w:rPr>
                <w:rFonts w:ascii="Garamond" w:hAnsi="Garamond"/>
              </w:rPr>
            </w:pPr>
            <w:r w:rsidRPr="00B91BA5">
              <w:rPr>
                <w:rFonts w:ascii="Garamond" w:hAnsi="Garamond"/>
              </w:rPr>
              <w:t>-.01</w:t>
            </w:r>
          </w:p>
          <w:p w14:paraId="55587C35" w14:textId="77777777" w:rsidR="00B91BA5" w:rsidRPr="00B91BA5" w:rsidRDefault="00B91BA5" w:rsidP="00B91BA5">
            <w:pPr>
              <w:jc w:val="center"/>
              <w:rPr>
                <w:rFonts w:ascii="Garamond" w:hAnsi="Garamond"/>
              </w:rPr>
            </w:pPr>
            <w:r w:rsidRPr="00B91BA5">
              <w:rPr>
                <w:rFonts w:ascii="Garamond" w:hAnsi="Garamond"/>
              </w:rPr>
              <w:t>(.21/-.24)</w:t>
            </w:r>
          </w:p>
        </w:tc>
        <w:tc>
          <w:tcPr>
            <w:tcW w:w="0" w:type="auto"/>
            <w:vAlign w:val="center"/>
          </w:tcPr>
          <w:p w14:paraId="3EA1F1D8" w14:textId="77777777" w:rsidR="00B91BA5" w:rsidRPr="00B91BA5" w:rsidRDefault="00B91BA5" w:rsidP="00B91BA5">
            <w:pPr>
              <w:jc w:val="center"/>
              <w:rPr>
                <w:rFonts w:ascii="Garamond" w:hAnsi="Garamond"/>
              </w:rPr>
            </w:pPr>
            <w:r w:rsidRPr="00B91BA5">
              <w:rPr>
                <w:rFonts w:ascii="Garamond" w:hAnsi="Garamond"/>
              </w:rPr>
              <w:t>.15</w:t>
            </w:r>
          </w:p>
          <w:p w14:paraId="65C7B738" w14:textId="77777777" w:rsidR="00B91BA5" w:rsidRPr="00B91BA5" w:rsidRDefault="00B91BA5" w:rsidP="00B91BA5">
            <w:pPr>
              <w:jc w:val="center"/>
              <w:rPr>
                <w:rFonts w:ascii="Garamond" w:hAnsi="Garamond"/>
              </w:rPr>
            </w:pPr>
            <w:r w:rsidRPr="00B91BA5">
              <w:rPr>
                <w:rFonts w:ascii="Garamond" w:hAnsi="Garamond"/>
              </w:rPr>
              <w:t>(.37/-.09)</w:t>
            </w:r>
          </w:p>
        </w:tc>
        <w:tc>
          <w:tcPr>
            <w:tcW w:w="0" w:type="auto"/>
            <w:vAlign w:val="center"/>
          </w:tcPr>
          <w:p w14:paraId="39CCD1AF" w14:textId="77777777" w:rsidR="00B91BA5" w:rsidRPr="00B91BA5" w:rsidRDefault="00B91BA5" w:rsidP="00B91BA5">
            <w:pPr>
              <w:jc w:val="center"/>
              <w:rPr>
                <w:rFonts w:ascii="Garamond" w:hAnsi="Garamond"/>
              </w:rPr>
            </w:pPr>
            <w:r w:rsidRPr="00B91BA5">
              <w:rPr>
                <w:rFonts w:ascii="Garamond" w:hAnsi="Garamond"/>
              </w:rPr>
              <w:t>.05</w:t>
            </w:r>
          </w:p>
          <w:p w14:paraId="01950776" w14:textId="77777777" w:rsidR="00B91BA5" w:rsidRPr="00B91BA5" w:rsidRDefault="00B91BA5" w:rsidP="00B91BA5">
            <w:pPr>
              <w:jc w:val="center"/>
              <w:rPr>
                <w:rFonts w:ascii="Garamond" w:hAnsi="Garamond"/>
              </w:rPr>
            </w:pPr>
            <w:r w:rsidRPr="00B91BA5">
              <w:rPr>
                <w:rFonts w:ascii="Garamond" w:hAnsi="Garamond"/>
              </w:rPr>
              <w:t>(.27/-.19)</w:t>
            </w:r>
          </w:p>
        </w:tc>
        <w:tc>
          <w:tcPr>
            <w:tcW w:w="0" w:type="auto"/>
            <w:vAlign w:val="center"/>
          </w:tcPr>
          <w:p w14:paraId="4D4BE806" w14:textId="77777777" w:rsidR="00B91BA5" w:rsidRPr="00B91BA5" w:rsidRDefault="00B91BA5" w:rsidP="00B91BA5">
            <w:pPr>
              <w:jc w:val="center"/>
              <w:rPr>
                <w:rFonts w:ascii="Garamond" w:hAnsi="Garamond"/>
              </w:rPr>
            </w:pPr>
            <w:r w:rsidRPr="00B91BA5">
              <w:rPr>
                <w:rFonts w:ascii="Garamond" w:hAnsi="Garamond"/>
              </w:rPr>
              <w:t>.10</w:t>
            </w:r>
          </w:p>
          <w:p w14:paraId="741103D2" w14:textId="77777777" w:rsidR="00B91BA5" w:rsidRPr="00B91BA5" w:rsidRDefault="00B91BA5" w:rsidP="00B91BA5">
            <w:pPr>
              <w:jc w:val="center"/>
              <w:rPr>
                <w:rFonts w:ascii="Garamond" w:hAnsi="Garamond"/>
              </w:rPr>
            </w:pPr>
            <w:r w:rsidRPr="00B91BA5">
              <w:rPr>
                <w:rFonts w:ascii="Garamond" w:hAnsi="Garamond"/>
              </w:rPr>
              <w:t>(.32/-.13)</w:t>
            </w:r>
          </w:p>
        </w:tc>
        <w:tc>
          <w:tcPr>
            <w:tcW w:w="0" w:type="auto"/>
            <w:vAlign w:val="center"/>
          </w:tcPr>
          <w:p w14:paraId="4BCC8C32" w14:textId="77777777" w:rsidR="00B91BA5" w:rsidRPr="00B91BA5" w:rsidRDefault="00B91BA5" w:rsidP="00B91BA5">
            <w:pPr>
              <w:jc w:val="center"/>
              <w:rPr>
                <w:rFonts w:ascii="Garamond" w:hAnsi="Garamond"/>
              </w:rPr>
            </w:pPr>
            <w:r w:rsidRPr="00B91BA5">
              <w:rPr>
                <w:rFonts w:ascii="Garamond" w:hAnsi="Garamond"/>
              </w:rPr>
              <w:t>-.11</w:t>
            </w:r>
          </w:p>
          <w:p w14:paraId="012B2C37" w14:textId="77777777" w:rsidR="00B91BA5" w:rsidRPr="00B91BA5" w:rsidRDefault="00B91BA5" w:rsidP="00B91BA5">
            <w:pPr>
              <w:jc w:val="center"/>
              <w:rPr>
                <w:rFonts w:ascii="Garamond" w:hAnsi="Garamond"/>
              </w:rPr>
            </w:pPr>
            <w:r w:rsidRPr="00B91BA5">
              <w:rPr>
                <w:rFonts w:ascii="Garamond" w:hAnsi="Garamond"/>
              </w:rPr>
              <w:t>(.12/-.33)</w:t>
            </w:r>
          </w:p>
        </w:tc>
        <w:tc>
          <w:tcPr>
            <w:tcW w:w="0" w:type="auto"/>
            <w:vAlign w:val="center"/>
          </w:tcPr>
          <w:p w14:paraId="704BE97B" w14:textId="77777777" w:rsidR="00B91BA5" w:rsidRPr="00B91BA5" w:rsidRDefault="00B91BA5" w:rsidP="00B91BA5">
            <w:pPr>
              <w:jc w:val="center"/>
              <w:rPr>
                <w:rFonts w:ascii="Garamond" w:hAnsi="Garamond"/>
              </w:rPr>
            </w:pPr>
            <w:r w:rsidRPr="00B91BA5">
              <w:rPr>
                <w:rFonts w:ascii="Garamond" w:hAnsi="Garamond"/>
              </w:rPr>
              <w:t>.23</w:t>
            </w:r>
          </w:p>
          <w:p w14:paraId="2B491A08" w14:textId="77777777" w:rsidR="00B91BA5" w:rsidRPr="00B91BA5" w:rsidRDefault="00B91BA5" w:rsidP="00B91BA5">
            <w:pPr>
              <w:jc w:val="center"/>
              <w:rPr>
                <w:rFonts w:ascii="Garamond" w:hAnsi="Garamond"/>
              </w:rPr>
            </w:pPr>
            <w:r w:rsidRPr="00B91BA5">
              <w:rPr>
                <w:rFonts w:ascii="Garamond" w:hAnsi="Garamond"/>
              </w:rPr>
              <w:t>(.43/-.00)</w:t>
            </w:r>
          </w:p>
        </w:tc>
        <w:tc>
          <w:tcPr>
            <w:tcW w:w="0" w:type="auto"/>
            <w:vAlign w:val="center"/>
          </w:tcPr>
          <w:p w14:paraId="2E787E26" w14:textId="77777777" w:rsidR="00B91BA5" w:rsidRPr="00B91BA5" w:rsidRDefault="00B91BA5" w:rsidP="00B91BA5">
            <w:pPr>
              <w:jc w:val="center"/>
              <w:rPr>
                <w:rFonts w:ascii="Garamond" w:hAnsi="Garamond"/>
              </w:rPr>
            </w:pPr>
            <w:r w:rsidRPr="00B91BA5">
              <w:rPr>
                <w:rFonts w:ascii="Garamond" w:hAnsi="Garamond"/>
              </w:rPr>
              <w:t>.08</w:t>
            </w:r>
          </w:p>
          <w:p w14:paraId="5F8C3817" w14:textId="77777777" w:rsidR="00B91BA5" w:rsidRPr="00B91BA5" w:rsidRDefault="00B91BA5" w:rsidP="00B91BA5">
            <w:pPr>
              <w:jc w:val="center"/>
              <w:rPr>
                <w:rFonts w:ascii="Garamond" w:hAnsi="Garamond"/>
              </w:rPr>
            </w:pPr>
            <w:r w:rsidRPr="00B91BA5">
              <w:rPr>
                <w:rFonts w:ascii="Garamond" w:hAnsi="Garamond"/>
              </w:rPr>
              <w:t>(.30/-.15)</w:t>
            </w:r>
          </w:p>
        </w:tc>
      </w:tr>
      <w:tr w:rsidR="00B91BA5" w:rsidRPr="00663A4B" w14:paraId="7B2DF9CF" w14:textId="77777777" w:rsidTr="00B91BA5">
        <w:tc>
          <w:tcPr>
            <w:tcW w:w="3119" w:type="dxa"/>
            <w:vAlign w:val="center"/>
          </w:tcPr>
          <w:p w14:paraId="32976BB6" w14:textId="77777777" w:rsidR="00B91BA5" w:rsidRPr="00663A4B" w:rsidRDefault="00B91BA5" w:rsidP="00B91BA5">
            <w:pPr>
              <w:numPr>
                <w:ilvl w:val="0"/>
                <w:numId w:val="1"/>
              </w:numPr>
              <w:ind w:left="318"/>
              <w:contextualSpacing/>
              <w:rPr>
                <w:rFonts w:ascii="Garamond" w:hAnsi="Garamond"/>
                <w:lang w:val="en-US"/>
              </w:rPr>
            </w:pPr>
            <w:r w:rsidRPr="00663A4B">
              <w:rPr>
                <w:rFonts w:ascii="Garamond" w:hAnsi="Garamond"/>
                <w:lang w:val="en-US"/>
              </w:rPr>
              <w:t>Social identification</w:t>
            </w:r>
          </w:p>
          <w:p w14:paraId="760BE6AD" w14:textId="77777777" w:rsidR="00B91BA5" w:rsidRPr="00663A4B" w:rsidRDefault="00B91BA5" w:rsidP="00B91BA5">
            <w:pPr>
              <w:ind w:left="318"/>
              <w:contextualSpacing/>
              <w:rPr>
                <w:rFonts w:ascii="Garamond" w:hAnsi="Garamond"/>
              </w:rPr>
            </w:pPr>
            <w:r w:rsidRPr="00663A4B">
              <w:rPr>
                <w:rFonts w:ascii="Garamond" w:hAnsi="Garamond"/>
              </w:rPr>
              <w:t>95% UBCI/LBCI</w:t>
            </w:r>
          </w:p>
        </w:tc>
        <w:tc>
          <w:tcPr>
            <w:tcW w:w="607" w:type="dxa"/>
            <w:vAlign w:val="center"/>
          </w:tcPr>
          <w:p w14:paraId="419D7894" w14:textId="77777777" w:rsidR="00B91BA5" w:rsidRPr="00B91BA5" w:rsidRDefault="00B91BA5" w:rsidP="00B91BA5">
            <w:pPr>
              <w:jc w:val="center"/>
              <w:rPr>
                <w:rFonts w:ascii="Garamond" w:hAnsi="Garamond"/>
              </w:rPr>
            </w:pPr>
            <w:r w:rsidRPr="00B91BA5">
              <w:rPr>
                <w:rFonts w:ascii="Garamond" w:hAnsi="Garamond"/>
              </w:rPr>
              <w:t>.85</w:t>
            </w:r>
          </w:p>
        </w:tc>
        <w:tc>
          <w:tcPr>
            <w:tcW w:w="1624" w:type="dxa"/>
            <w:vAlign w:val="center"/>
          </w:tcPr>
          <w:p w14:paraId="512797D0" w14:textId="77777777" w:rsidR="00B91BA5" w:rsidRPr="00B91BA5" w:rsidRDefault="00B91BA5" w:rsidP="00B91BA5">
            <w:pPr>
              <w:jc w:val="center"/>
              <w:rPr>
                <w:rFonts w:ascii="Garamond" w:hAnsi="Garamond"/>
              </w:rPr>
            </w:pPr>
            <w:r w:rsidRPr="00B91BA5">
              <w:rPr>
                <w:rFonts w:ascii="Garamond" w:hAnsi="Garamond"/>
              </w:rPr>
              <w:t>4.56 (1.90)</w:t>
            </w:r>
          </w:p>
        </w:tc>
        <w:tc>
          <w:tcPr>
            <w:tcW w:w="0" w:type="auto"/>
            <w:vAlign w:val="center"/>
          </w:tcPr>
          <w:p w14:paraId="76F7DC6D" w14:textId="77777777" w:rsidR="00B91BA5" w:rsidRPr="00B91BA5" w:rsidRDefault="00B91BA5" w:rsidP="00B91BA5">
            <w:pPr>
              <w:jc w:val="center"/>
              <w:rPr>
                <w:rFonts w:ascii="Garamond" w:hAnsi="Garamond"/>
              </w:rPr>
            </w:pPr>
          </w:p>
        </w:tc>
        <w:tc>
          <w:tcPr>
            <w:tcW w:w="0" w:type="auto"/>
            <w:vAlign w:val="center"/>
          </w:tcPr>
          <w:p w14:paraId="1DD047F2" w14:textId="77777777" w:rsidR="00B91BA5" w:rsidRPr="00B91BA5" w:rsidRDefault="00B91BA5" w:rsidP="00B91BA5">
            <w:pPr>
              <w:jc w:val="center"/>
              <w:rPr>
                <w:rFonts w:ascii="Garamond" w:hAnsi="Garamond"/>
              </w:rPr>
            </w:pPr>
          </w:p>
        </w:tc>
        <w:tc>
          <w:tcPr>
            <w:tcW w:w="0" w:type="auto"/>
            <w:shd w:val="clear" w:color="auto" w:fill="000000" w:themeFill="text1"/>
            <w:vAlign w:val="center"/>
          </w:tcPr>
          <w:p w14:paraId="5A64DC9D" w14:textId="77777777" w:rsidR="00B91BA5" w:rsidRPr="00B91BA5" w:rsidRDefault="00B91BA5" w:rsidP="00B91BA5">
            <w:pPr>
              <w:jc w:val="center"/>
              <w:rPr>
                <w:rFonts w:ascii="Garamond" w:hAnsi="Garamond"/>
              </w:rPr>
            </w:pPr>
          </w:p>
        </w:tc>
        <w:tc>
          <w:tcPr>
            <w:tcW w:w="0" w:type="auto"/>
            <w:vAlign w:val="center"/>
          </w:tcPr>
          <w:p w14:paraId="6A705ABC" w14:textId="77777777" w:rsidR="00B91BA5" w:rsidRPr="00B91BA5" w:rsidRDefault="00B91BA5" w:rsidP="00B91BA5">
            <w:pPr>
              <w:jc w:val="center"/>
              <w:rPr>
                <w:rFonts w:ascii="Garamond" w:hAnsi="Garamond"/>
              </w:rPr>
            </w:pPr>
            <w:r w:rsidRPr="00B91BA5">
              <w:rPr>
                <w:rFonts w:ascii="Garamond" w:hAnsi="Garamond"/>
              </w:rPr>
              <w:t>.10</w:t>
            </w:r>
          </w:p>
          <w:p w14:paraId="7355C71E" w14:textId="77777777" w:rsidR="00B91BA5" w:rsidRPr="00B91BA5" w:rsidRDefault="00B91BA5" w:rsidP="00B91BA5">
            <w:pPr>
              <w:jc w:val="center"/>
              <w:rPr>
                <w:rFonts w:ascii="Garamond" w:hAnsi="Garamond"/>
              </w:rPr>
            </w:pPr>
            <w:r w:rsidRPr="00B91BA5">
              <w:rPr>
                <w:rFonts w:ascii="Garamond" w:hAnsi="Garamond"/>
              </w:rPr>
              <w:t>(.33/-.14)</w:t>
            </w:r>
          </w:p>
        </w:tc>
        <w:tc>
          <w:tcPr>
            <w:tcW w:w="0" w:type="auto"/>
            <w:vAlign w:val="center"/>
          </w:tcPr>
          <w:p w14:paraId="3CC4CE86" w14:textId="77777777" w:rsidR="00B91BA5" w:rsidRPr="00B91BA5" w:rsidRDefault="00B91BA5" w:rsidP="00B91BA5">
            <w:pPr>
              <w:jc w:val="center"/>
              <w:rPr>
                <w:rFonts w:ascii="Garamond" w:hAnsi="Garamond"/>
              </w:rPr>
            </w:pPr>
            <w:r w:rsidRPr="00B91BA5">
              <w:rPr>
                <w:rFonts w:ascii="Garamond" w:hAnsi="Garamond"/>
              </w:rPr>
              <w:t>.37***</w:t>
            </w:r>
          </w:p>
          <w:p w14:paraId="6533B1A3" w14:textId="77777777" w:rsidR="00B91BA5" w:rsidRPr="00B91BA5" w:rsidRDefault="00B91BA5" w:rsidP="00B91BA5">
            <w:pPr>
              <w:jc w:val="center"/>
              <w:rPr>
                <w:rFonts w:ascii="Garamond" w:hAnsi="Garamond"/>
                <w:b/>
              </w:rPr>
            </w:pPr>
            <w:r w:rsidRPr="00B91BA5">
              <w:rPr>
                <w:rFonts w:ascii="Garamond" w:hAnsi="Garamond"/>
              </w:rPr>
              <w:t>(.55/.16)</w:t>
            </w:r>
          </w:p>
        </w:tc>
        <w:tc>
          <w:tcPr>
            <w:tcW w:w="0" w:type="auto"/>
            <w:vAlign w:val="center"/>
          </w:tcPr>
          <w:p w14:paraId="0B329495" w14:textId="77777777" w:rsidR="00B91BA5" w:rsidRPr="00B91BA5" w:rsidRDefault="00B91BA5" w:rsidP="00B91BA5">
            <w:pPr>
              <w:jc w:val="center"/>
              <w:rPr>
                <w:rFonts w:ascii="Garamond" w:hAnsi="Garamond"/>
              </w:rPr>
            </w:pPr>
            <w:r w:rsidRPr="00B91BA5">
              <w:rPr>
                <w:rFonts w:ascii="Garamond" w:hAnsi="Garamond"/>
              </w:rPr>
              <w:t>.14</w:t>
            </w:r>
          </w:p>
          <w:p w14:paraId="2E7ACDDB" w14:textId="77777777" w:rsidR="00B91BA5" w:rsidRPr="00B91BA5" w:rsidRDefault="00B91BA5" w:rsidP="00B91BA5">
            <w:pPr>
              <w:jc w:val="center"/>
              <w:rPr>
                <w:rFonts w:ascii="Garamond" w:hAnsi="Garamond"/>
              </w:rPr>
            </w:pPr>
            <w:r w:rsidRPr="00B91BA5">
              <w:rPr>
                <w:rFonts w:ascii="Garamond" w:hAnsi="Garamond"/>
              </w:rPr>
              <w:t>(.35/-.08)</w:t>
            </w:r>
          </w:p>
        </w:tc>
        <w:tc>
          <w:tcPr>
            <w:tcW w:w="0" w:type="auto"/>
            <w:vAlign w:val="center"/>
          </w:tcPr>
          <w:p w14:paraId="3838071A" w14:textId="77777777" w:rsidR="00B91BA5" w:rsidRPr="00B91BA5" w:rsidRDefault="00B91BA5" w:rsidP="00B91BA5">
            <w:pPr>
              <w:jc w:val="center"/>
              <w:rPr>
                <w:rFonts w:ascii="Garamond" w:hAnsi="Garamond"/>
              </w:rPr>
            </w:pPr>
            <w:r w:rsidRPr="00B91BA5">
              <w:rPr>
                <w:rFonts w:ascii="Garamond" w:hAnsi="Garamond"/>
              </w:rPr>
              <w:t>-.13</w:t>
            </w:r>
          </w:p>
          <w:p w14:paraId="5875414B" w14:textId="77777777" w:rsidR="00B91BA5" w:rsidRPr="00B91BA5" w:rsidRDefault="00B91BA5" w:rsidP="00B91BA5">
            <w:pPr>
              <w:jc w:val="center"/>
              <w:rPr>
                <w:rFonts w:ascii="Garamond" w:hAnsi="Garamond"/>
              </w:rPr>
            </w:pPr>
            <w:r w:rsidRPr="00B91BA5">
              <w:rPr>
                <w:rFonts w:ascii="Garamond" w:hAnsi="Garamond"/>
              </w:rPr>
              <w:t>(.10/-.34)</w:t>
            </w:r>
          </w:p>
        </w:tc>
        <w:tc>
          <w:tcPr>
            <w:tcW w:w="0" w:type="auto"/>
            <w:vAlign w:val="center"/>
          </w:tcPr>
          <w:p w14:paraId="2556B3B6" w14:textId="77777777" w:rsidR="00B91BA5" w:rsidRPr="00B91BA5" w:rsidRDefault="00B91BA5" w:rsidP="00B91BA5">
            <w:pPr>
              <w:jc w:val="center"/>
              <w:rPr>
                <w:rFonts w:ascii="Garamond" w:hAnsi="Garamond"/>
              </w:rPr>
            </w:pPr>
            <w:r w:rsidRPr="00B91BA5">
              <w:rPr>
                <w:rFonts w:ascii="Garamond" w:hAnsi="Garamond"/>
              </w:rPr>
              <w:t>.19</w:t>
            </w:r>
          </w:p>
          <w:p w14:paraId="0A392250" w14:textId="77777777" w:rsidR="00B91BA5" w:rsidRPr="00B91BA5" w:rsidRDefault="00B91BA5" w:rsidP="00B91BA5">
            <w:pPr>
              <w:jc w:val="center"/>
              <w:rPr>
                <w:rFonts w:ascii="Garamond" w:hAnsi="Garamond"/>
              </w:rPr>
            </w:pPr>
            <w:r w:rsidRPr="00B91BA5">
              <w:rPr>
                <w:rFonts w:ascii="Garamond" w:hAnsi="Garamond"/>
              </w:rPr>
              <w:t>(.40/-.04)</w:t>
            </w:r>
          </w:p>
        </w:tc>
        <w:tc>
          <w:tcPr>
            <w:tcW w:w="0" w:type="auto"/>
            <w:vAlign w:val="center"/>
          </w:tcPr>
          <w:p w14:paraId="4CE61EB2" w14:textId="77777777" w:rsidR="00B91BA5" w:rsidRPr="00B91BA5" w:rsidRDefault="00B91BA5" w:rsidP="00B91BA5">
            <w:pPr>
              <w:jc w:val="center"/>
              <w:rPr>
                <w:rFonts w:ascii="Garamond" w:hAnsi="Garamond"/>
              </w:rPr>
            </w:pPr>
            <w:r w:rsidRPr="00B91BA5">
              <w:rPr>
                <w:rFonts w:ascii="Garamond" w:hAnsi="Garamond"/>
              </w:rPr>
              <w:t>.37***</w:t>
            </w:r>
          </w:p>
          <w:p w14:paraId="33345F04" w14:textId="77777777" w:rsidR="00B91BA5" w:rsidRPr="00B91BA5" w:rsidRDefault="00B91BA5" w:rsidP="00B91BA5">
            <w:pPr>
              <w:jc w:val="center"/>
              <w:rPr>
                <w:rFonts w:ascii="Garamond" w:hAnsi="Garamond"/>
              </w:rPr>
            </w:pPr>
            <w:r w:rsidRPr="00B91BA5">
              <w:rPr>
                <w:rFonts w:ascii="Garamond" w:hAnsi="Garamond"/>
              </w:rPr>
              <w:t>(.55/.17)</w:t>
            </w:r>
          </w:p>
        </w:tc>
      </w:tr>
      <w:tr w:rsidR="00B91BA5" w:rsidRPr="00663A4B" w14:paraId="3B1458C3" w14:textId="77777777" w:rsidTr="00B91BA5">
        <w:tc>
          <w:tcPr>
            <w:tcW w:w="3119" w:type="dxa"/>
            <w:vAlign w:val="center"/>
          </w:tcPr>
          <w:p w14:paraId="2DD586D7" w14:textId="77777777" w:rsidR="00B91BA5" w:rsidRPr="00663A4B" w:rsidRDefault="00B91BA5" w:rsidP="00B91BA5">
            <w:pPr>
              <w:numPr>
                <w:ilvl w:val="0"/>
                <w:numId w:val="1"/>
              </w:numPr>
              <w:ind w:left="318"/>
              <w:contextualSpacing/>
              <w:rPr>
                <w:rFonts w:ascii="Garamond" w:hAnsi="Garamond"/>
              </w:rPr>
            </w:pPr>
            <w:r w:rsidRPr="00663A4B">
              <w:rPr>
                <w:rFonts w:ascii="Garamond" w:hAnsi="Garamond"/>
              </w:rPr>
              <w:t>Number of sessions attended</w:t>
            </w:r>
          </w:p>
          <w:p w14:paraId="73A2BDB2" w14:textId="77777777" w:rsidR="00B91BA5" w:rsidRPr="00663A4B" w:rsidRDefault="00B91BA5" w:rsidP="00B91BA5">
            <w:pPr>
              <w:ind w:left="318"/>
              <w:contextualSpacing/>
              <w:rPr>
                <w:rFonts w:ascii="Garamond" w:hAnsi="Garamond"/>
              </w:rPr>
            </w:pPr>
            <w:r w:rsidRPr="00663A4B">
              <w:rPr>
                <w:rFonts w:ascii="Garamond" w:hAnsi="Garamond"/>
              </w:rPr>
              <w:t>95% UBCI/LBCI</w:t>
            </w:r>
          </w:p>
        </w:tc>
        <w:tc>
          <w:tcPr>
            <w:tcW w:w="607" w:type="dxa"/>
            <w:vAlign w:val="center"/>
          </w:tcPr>
          <w:p w14:paraId="45543C77" w14:textId="77777777" w:rsidR="00B91BA5" w:rsidRPr="00B91BA5" w:rsidRDefault="00B91BA5" w:rsidP="00B91BA5">
            <w:pPr>
              <w:jc w:val="center"/>
              <w:rPr>
                <w:rFonts w:ascii="Garamond" w:hAnsi="Garamond"/>
              </w:rPr>
            </w:pPr>
            <w:r w:rsidRPr="00B91BA5">
              <w:rPr>
                <w:rFonts w:ascii="Garamond" w:hAnsi="Garamond"/>
              </w:rPr>
              <w:t>N/A</w:t>
            </w:r>
          </w:p>
        </w:tc>
        <w:tc>
          <w:tcPr>
            <w:tcW w:w="1624" w:type="dxa"/>
            <w:vAlign w:val="center"/>
          </w:tcPr>
          <w:p w14:paraId="4BA08329" w14:textId="77777777" w:rsidR="00B91BA5" w:rsidRPr="00B91BA5" w:rsidRDefault="00B91BA5" w:rsidP="00B91BA5">
            <w:pPr>
              <w:jc w:val="center"/>
              <w:rPr>
                <w:rFonts w:ascii="Garamond" w:hAnsi="Garamond"/>
              </w:rPr>
            </w:pPr>
            <w:r w:rsidRPr="00B91BA5">
              <w:rPr>
                <w:rFonts w:ascii="Garamond" w:hAnsi="Garamond"/>
              </w:rPr>
              <w:t>4 (2)</w:t>
            </w:r>
          </w:p>
        </w:tc>
        <w:tc>
          <w:tcPr>
            <w:tcW w:w="0" w:type="auto"/>
            <w:shd w:val="clear" w:color="auto" w:fill="auto"/>
            <w:vAlign w:val="center"/>
          </w:tcPr>
          <w:p w14:paraId="67D4A53E" w14:textId="77777777" w:rsidR="00B91BA5" w:rsidRPr="00B91BA5" w:rsidRDefault="00B91BA5" w:rsidP="00B91BA5">
            <w:pPr>
              <w:jc w:val="center"/>
              <w:rPr>
                <w:rFonts w:ascii="Garamond" w:hAnsi="Garamond"/>
              </w:rPr>
            </w:pPr>
          </w:p>
        </w:tc>
        <w:tc>
          <w:tcPr>
            <w:tcW w:w="0" w:type="auto"/>
            <w:shd w:val="clear" w:color="auto" w:fill="auto"/>
            <w:vAlign w:val="center"/>
          </w:tcPr>
          <w:p w14:paraId="63D42432" w14:textId="77777777" w:rsidR="00B91BA5" w:rsidRPr="00B91BA5" w:rsidRDefault="00B91BA5" w:rsidP="00B91BA5">
            <w:pPr>
              <w:jc w:val="center"/>
              <w:rPr>
                <w:rFonts w:ascii="Garamond" w:hAnsi="Garamond"/>
              </w:rPr>
            </w:pPr>
          </w:p>
        </w:tc>
        <w:tc>
          <w:tcPr>
            <w:tcW w:w="0" w:type="auto"/>
            <w:vAlign w:val="center"/>
          </w:tcPr>
          <w:p w14:paraId="5C7D88D9" w14:textId="77777777" w:rsidR="00B91BA5" w:rsidRPr="00B91BA5" w:rsidRDefault="00B91BA5" w:rsidP="00B91BA5">
            <w:pPr>
              <w:jc w:val="center"/>
              <w:rPr>
                <w:rFonts w:ascii="Garamond" w:hAnsi="Garamond"/>
              </w:rPr>
            </w:pPr>
          </w:p>
        </w:tc>
        <w:tc>
          <w:tcPr>
            <w:tcW w:w="0" w:type="auto"/>
            <w:shd w:val="clear" w:color="auto" w:fill="000000" w:themeFill="text1"/>
            <w:vAlign w:val="center"/>
          </w:tcPr>
          <w:p w14:paraId="56F7E23E" w14:textId="77777777" w:rsidR="00B91BA5" w:rsidRPr="00B91BA5" w:rsidRDefault="00B91BA5" w:rsidP="00B91BA5">
            <w:pPr>
              <w:jc w:val="center"/>
              <w:rPr>
                <w:rFonts w:ascii="Garamond" w:hAnsi="Garamond"/>
              </w:rPr>
            </w:pPr>
          </w:p>
        </w:tc>
        <w:tc>
          <w:tcPr>
            <w:tcW w:w="0" w:type="auto"/>
            <w:vAlign w:val="center"/>
          </w:tcPr>
          <w:p w14:paraId="7EAF5690" w14:textId="77777777" w:rsidR="00B91BA5" w:rsidRPr="00B91BA5" w:rsidRDefault="00B91BA5" w:rsidP="00B91BA5">
            <w:pPr>
              <w:jc w:val="center"/>
              <w:rPr>
                <w:rFonts w:ascii="Garamond" w:hAnsi="Garamond"/>
              </w:rPr>
            </w:pPr>
            <w:r w:rsidRPr="00B91BA5">
              <w:rPr>
                <w:rFonts w:ascii="Garamond" w:hAnsi="Garamond"/>
              </w:rPr>
              <w:t>.26*</w:t>
            </w:r>
          </w:p>
          <w:p w14:paraId="2798BDB0" w14:textId="77777777" w:rsidR="00B91BA5" w:rsidRPr="00B91BA5" w:rsidRDefault="00B91BA5" w:rsidP="00B91BA5">
            <w:pPr>
              <w:jc w:val="center"/>
              <w:rPr>
                <w:rFonts w:ascii="Garamond" w:hAnsi="Garamond"/>
              </w:rPr>
            </w:pPr>
            <w:r w:rsidRPr="00B91BA5">
              <w:rPr>
                <w:rFonts w:ascii="Garamond" w:hAnsi="Garamond"/>
              </w:rPr>
              <w:t>(.47/.03)</w:t>
            </w:r>
          </w:p>
        </w:tc>
        <w:tc>
          <w:tcPr>
            <w:tcW w:w="0" w:type="auto"/>
            <w:vAlign w:val="center"/>
          </w:tcPr>
          <w:p w14:paraId="29B1C7A7" w14:textId="77777777" w:rsidR="00B91BA5" w:rsidRPr="00B91BA5" w:rsidRDefault="00B91BA5" w:rsidP="00B91BA5">
            <w:pPr>
              <w:jc w:val="center"/>
              <w:rPr>
                <w:rFonts w:ascii="Garamond" w:hAnsi="Garamond"/>
              </w:rPr>
            </w:pPr>
            <w:r w:rsidRPr="00B91BA5">
              <w:rPr>
                <w:rFonts w:ascii="Garamond" w:hAnsi="Garamond"/>
              </w:rPr>
              <w:t>-.29*</w:t>
            </w:r>
          </w:p>
          <w:p w14:paraId="24452CC8" w14:textId="77777777" w:rsidR="00B91BA5" w:rsidRPr="00B91BA5" w:rsidRDefault="00B91BA5" w:rsidP="00B91BA5">
            <w:pPr>
              <w:jc w:val="center"/>
              <w:rPr>
                <w:rFonts w:ascii="Garamond" w:hAnsi="Garamond"/>
              </w:rPr>
            </w:pPr>
            <w:r w:rsidRPr="00B91BA5">
              <w:rPr>
                <w:rFonts w:ascii="Garamond" w:hAnsi="Garamond"/>
              </w:rPr>
              <w:t>(-.06/-.49)</w:t>
            </w:r>
          </w:p>
        </w:tc>
        <w:tc>
          <w:tcPr>
            <w:tcW w:w="0" w:type="auto"/>
            <w:vAlign w:val="center"/>
          </w:tcPr>
          <w:p w14:paraId="0CD3C9B4" w14:textId="77777777" w:rsidR="00B91BA5" w:rsidRPr="00B91BA5" w:rsidRDefault="00B91BA5" w:rsidP="00B91BA5">
            <w:pPr>
              <w:jc w:val="center"/>
              <w:rPr>
                <w:rFonts w:ascii="Garamond" w:hAnsi="Garamond"/>
              </w:rPr>
            </w:pPr>
            <w:r w:rsidRPr="00B91BA5">
              <w:rPr>
                <w:rFonts w:ascii="Garamond" w:hAnsi="Garamond"/>
              </w:rPr>
              <w:t>.02</w:t>
            </w:r>
          </w:p>
          <w:p w14:paraId="33EDB816" w14:textId="77777777" w:rsidR="00B91BA5" w:rsidRPr="00B91BA5" w:rsidRDefault="00B91BA5" w:rsidP="00B91BA5">
            <w:pPr>
              <w:jc w:val="center"/>
              <w:rPr>
                <w:rFonts w:ascii="Garamond" w:hAnsi="Garamond"/>
              </w:rPr>
            </w:pPr>
            <w:r w:rsidRPr="00B91BA5">
              <w:rPr>
                <w:rFonts w:ascii="Garamond" w:hAnsi="Garamond"/>
              </w:rPr>
              <w:t>(.21/-.26)</w:t>
            </w:r>
          </w:p>
        </w:tc>
        <w:tc>
          <w:tcPr>
            <w:tcW w:w="0" w:type="auto"/>
            <w:vAlign w:val="center"/>
          </w:tcPr>
          <w:p w14:paraId="41BBF896" w14:textId="77777777" w:rsidR="00B91BA5" w:rsidRPr="00B91BA5" w:rsidRDefault="00B91BA5" w:rsidP="00B91BA5">
            <w:pPr>
              <w:jc w:val="center"/>
              <w:rPr>
                <w:rFonts w:ascii="Garamond" w:hAnsi="Garamond"/>
              </w:rPr>
            </w:pPr>
            <w:r w:rsidRPr="00B91BA5">
              <w:rPr>
                <w:rFonts w:ascii="Garamond" w:hAnsi="Garamond"/>
              </w:rPr>
              <w:t>.04</w:t>
            </w:r>
          </w:p>
          <w:p w14:paraId="633C6F1A" w14:textId="77777777" w:rsidR="00B91BA5" w:rsidRPr="00B91BA5" w:rsidRDefault="00B91BA5" w:rsidP="00B91BA5">
            <w:pPr>
              <w:jc w:val="center"/>
            </w:pPr>
            <w:r w:rsidRPr="00B91BA5">
              <w:rPr>
                <w:rFonts w:ascii="Garamond" w:hAnsi="Garamond"/>
              </w:rPr>
              <w:t>(.27/-.20)</w:t>
            </w:r>
          </w:p>
        </w:tc>
        <w:tc>
          <w:tcPr>
            <w:tcW w:w="0" w:type="auto"/>
            <w:vAlign w:val="center"/>
          </w:tcPr>
          <w:p w14:paraId="207F25C5" w14:textId="77777777" w:rsidR="00B91BA5" w:rsidRPr="00B91BA5" w:rsidRDefault="00B91BA5" w:rsidP="00B91BA5">
            <w:pPr>
              <w:jc w:val="center"/>
              <w:rPr>
                <w:rFonts w:ascii="Garamond" w:hAnsi="Garamond"/>
              </w:rPr>
            </w:pPr>
            <w:r w:rsidRPr="00B91BA5">
              <w:rPr>
                <w:rFonts w:ascii="Garamond" w:hAnsi="Garamond"/>
              </w:rPr>
              <w:t>-.08</w:t>
            </w:r>
          </w:p>
          <w:p w14:paraId="48D8AA91" w14:textId="77777777" w:rsidR="00B91BA5" w:rsidRPr="00B91BA5" w:rsidRDefault="00B91BA5" w:rsidP="00B91BA5">
            <w:pPr>
              <w:jc w:val="center"/>
              <w:rPr>
                <w:rFonts w:ascii="Garamond" w:hAnsi="Garamond"/>
              </w:rPr>
            </w:pPr>
            <w:r w:rsidRPr="00B91BA5">
              <w:rPr>
                <w:rFonts w:ascii="Garamond" w:hAnsi="Garamond"/>
              </w:rPr>
              <w:t>(.16/-.31)</w:t>
            </w:r>
          </w:p>
        </w:tc>
      </w:tr>
      <w:tr w:rsidR="00B91BA5" w:rsidRPr="00663A4B" w14:paraId="517D524B" w14:textId="77777777" w:rsidTr="00B91BA5">
        <w:tc>
          <w:tcPr>
            <w:tcW w:w="3119" w:type="dxa"/>
            <w:vAlign w:val="center"/>
          </w:tcPr>
          <w:p w14:paraId="169E13BF" w14:textId="77777777" w:rsidR="00B91BA5" w:rsidRPr="00663A4B" w:rsidRDefault="00B91BA5" w:rsidP="00B91BA5">
            <w:pPr>
              <w:numPr>
                <w:ilvl w:val="0"/>
                <w:numId w:val="1"/>
              </w:numPr>
              <w:ind w:left="318"/>
              <w:contextualSpacing/>
              <w:rPr>
                <w:rFonts w:ascii="Garamond" w:hAnsi="Garamond"/>
              </w:rPr>
            </w:pPr>
            <w:r w:rsidRPr="00663A4B">
              <w:rPr>
                <w:rFonts w:ascii="Garamond" w:hAnsi="Garamond"/>
              </w:rPr>
              <w:t>Group continuity</w:t>
            </w:r>
          </w:p>
          <w:p w14:paraId="4968573C" w14:textId="77777777" w:rsidR="00B91BA5" w:rsidRPr="00663A4B" w:rsidRDefault="00B91BA5" w:rsidP="00B91BA5">
            <w:pPr>
              <w:ind w:left="318"/>
              <w:contextualSpacing/>
              <w:rPr>
                <w:rFonts w:ascii="Garamond" w:hAnsi="Garamond"/>
              </w:rPr>
            </w:pPr>
            <w:r w:rsidRPr="00663A4B">
              <w:rPr>
                <w:rFonts w:ascii="Garamond" w:hAnsi="Garamond"/>
              </w:rPr>
              <w:t>95% UBCI/LBCI</w:t>
            </w:r>
          </w:p>
        </w:tc>
        <w:tc>
          <w:tcPr>
            <w:tcW w:w="607" w:type="dxa"/>
            <w:vAlign w:val="center"/>
          </w:tcPr>
          <w:p w14:paraId="42E77243" w14:textId="77777777" w:rsidR="00B91BA5" w:rsidRPr="00B91BA5" w:rsidRDefault="00B91BA5" w:rsidP="00B91BA5">
            <w:pPr>
              <w:jc w:val="center"/>
              <w:rPr>
                <w:rFonts w:ascii="Garamond" w:hAnsi="Garamond"/>
              </w:rPr>
            </w:pPr>
            <w:r w:rsidRPr="00B91BA5">
              <w:rPr>
                <w:rFonts w:ascii="Garamond" w:hAnsi="Garamond"/>
              </w:rPr>
              <w:t>N/A</w:t>
            </w:r>
          </w:p>
        </w:tc>
        <w:tc>
          <w:tcPr>
            <w:tcW w:w="1624" w:type="dxa"/>
            <w:vAlign w:val="center"/>
          </w:tcPr>
          <w:p w14:paraId="44174989" w14:textId="77777777" w:rsidR="00B91BA5" w:rsidRPr="00B91BA5" w:rsidRDefault="00B91BA5" w:rsidP="00B91BA5">
            <w:pPr>
              <w:jc w:val="center"/>
              <w:rPr>
                <w:rFonts w:ascii="Garamond" w:hAnsi="Garamond"/>
              </w:rPr>
            </w:pPr>
            <w:r w:rsidRPr="00B91BA5">
              <w:rPr>
                <w:rFonts w:ascii="Garamond" w:hAnsi="Garamond"/>
              </w:rPr>
              <w:t>4.31 (1.97)</w:t>
            </w:r>
          </w:p>
        </w:tc>
        <w:tc>
          <w:tcPr>
            <w:tcW w:w="0" w:type="auto"/>
            <w:vAlign w:val="center"/>
          </w:tcPr>
          <w:p w14:paraId="4C6CD467" w14:textId="77777777" w:rsidR="00B91BA5" w:rsidRPr="00B91BA5" w:rsidRDefault="00B91BA5" w:rsidP="00B91BA5">
            <w:pPr>
              <w:jc w:val="center"/>
              <w:rPr>
                <w:rFonts w:ascii="Garamond" w:hAnsi="Garamond"/>
              </w:rPr>
            </w:pPr>
          </w:p>
        </w:tc>
        <w:tc>
          <w:tcPr>
            <w:tcW w:w="0" w:type="auto"/>
            <w:vAlign w:val="center"/>
          </w:tcPr>
          <w:p w14:paraId="061D3FC6" w14:textId="77777777" w:rsidR="00B91BA5" w:rsidRPr="00B91BA5" w:rsidRDefault="00B91BA5" w:rsidP="00B91BA5">
            <w:pPr>
              <w:jc w:val="center"/>
              <w:rPr>
                <w:rFonts w:ascii="Garamond" w:hAnsi="Garamond"/>
              </w:rPr>
            </w:pPr>
          </w:p>
        </w:tc>
        <w:tc>
          <w:tcPr>
            <w:tcW w:w="0" w:type="auto"/>
            <w:vAlign w:val="center"/>
          </w:tcPr>
          <w:p w14:paraId="2B2445EE" w14:textId="77777777" w:rsidR="00B91BA5" w:rsidRPr="00B91BA5" w:rsidRDefault="00B91BA5" w:rsidP="00B91BA5">
            <w:pPr>
              <w:jc w:val="center"/>
              <w:rPr>
                <w:rFonts w:ascii="Garamond" w:hAnsi="Garamond"/>
              </w:rPr>
            </w:pPr>
          </w:p>
        </w:tc>
        <w:tc>
          <w:tcPr>
            <w:tcW w:w="0" w:type="auto"/>
            <w:vAlign w:val="center"/>
          </w:tcPr>
          <w:p w14:paraId="299B7B60" w14:textId="77777777" w:rsidR="00B91BA5" w:rsidRPr="00B91BA5" w:rsidRDefault="00B91BA5" w:rsidP="00B91BA5">
            <w:pPr>
              <w:jc w:val="center"/>
              <w:rPr>
                <w:rFonts w:ascii="Garamond" w:hAnsi="Garamond"/>
              </w:rPr>
            </w:pPr>
          </w:p>
        </w:tc>
        <w:tc>
          <w:tcPr>
            <w:tcW w:w="0" w:type="auto"/>
            <w:shd w:val="clear" w:color="auto" w:fill="000000" w:themeFill="text1"/>
            <w:vAlign w:val="center"/>
          </w:tcPr>
          <w:p w14:paraId="4CD8E964" w14:textId="77777777" w:rsidR="00B91BA5" w:rsidRPr="00B91BA5" w:rsidRDefault="00B91BA5" w:rsidP="00B91BA5">
            <w:pPr>
              <w:jc w:val="center"/>
              <w:rPr>
                <w:rFonts w:ascii="Garamond" w:hAnsi="Garamond"/>
              </w:rPr>
            </w:pPr>
          </w:p>
        </w:tc>
        <w:tc>
          <w:tcPr>
            <w:tcW w:w="0" w:type="auto"/>
            <w:vAlign w:val="center"/>
          </w:tcPr>
          <w:p w14:paraId="387E812A" w14:textId="77777777" w:rsidR="00B91BA5" w:rsidRPr="00B91BA5" w:rsidRDefault="00B91BA5" w:rsidP="00B91BA5">
            <w:pPr>
              <w:jc w:val="center"/>
              <w:rPr>
                <w:rFonts w:ascii="Garamond" w:hAnsi="Garamond"/>
              </w:rPr>
            </w:pPr>
            <w:r w:rsidRPr="00B91BA5">
              <w:rPr>
                <w:rFonts w:ascii="Garamond" w:hAnsi="Garamond"/>
              </w:rPr>
              <w:t>.03</w:t>
            </w:r>
          </w:p>
          <w:p w14:paraId="682DE7F2" w14:textId="77777777" w:rsidR="00B91BA5" w:rsidRPr="00B91BA5" w:rsidRDefault="00B91BA5" w:rsidP="00B91BA5">
            <w:pPr>
              <w:jc w:val="center"/>
              <w:rPr>
                <w:rFonts w:ascii="Garamond" w:hAnsi="Garamond"/>
              </w:rPr>
            </w:pPr>
            <w:r w:rsidRPr="00B91BA5">
              <w:rPr>
                <w:rFonts w:ascii="Garamond" w:hAnsi="Garamond"/>
              </w:rPr>
              <w:t>(.22/-.11)</w:t>
            </w:r>
          </w:p>
        </w:tc>
        <w:tc>
          <w:tcPr>
            <w:tcW w:w="0" w:type="auto"/>
            <w:vAlign w:val="center"/>
          </w:tcPr>
          <w:p w14:paraId="442817E3" w14:textId="77777777" w:rsidR="00B91BA5" w:rsidRPr="00B91BA5" w:rsidRDefault="00B91BA5" w:rsidP="00B91BA5">
            <w:pPr>
              <w:jc w:val="center"/>
              <w:rPr>
                <w:rFonts w:ascii="Garamond" w:hAnsi="Garamond"/>
              </w:rPr>
            </w:pPr>
            <w:r w:rsidRPr="00B91BA5">
              <w:rPr>
                <w:rFonts w:ascii="Garamond" w:hAnsi="Garamond"/>
              </w:rPr>
              <w:t>-.06</w:t>
            </w:r>
          </w:p>
          <w:p w14:paraId="51294BA9" w14:textId="77777777" w:rsidR="00B91BA5" w:rsidRPr="00B91BA5" w:rsidRDefault="00B91BA5" w:rsidP="00B91BA5">
            <w:pPr>
              <w:jc w:val="center"/>
              <w:rPr>
                <w:rFonts w:ascii="Garamond" w:hAnsi="Garamond"/>
              </w:rPr>
            </w:pPr>
            <w:r w:rsidRPr="00B91BA5">
              <w:rPr>
                <w:rFonts w:ascii="Garamond" w:hAnsi="Garamond"/>
              </w:rPr>
              <w:t>(.17/-.28)</w:t>
            </w:r>
          </w:p>
        </w:tc>
        <w:tc>
          <w:tcPr>
            <w:tcW w:w="0" w:type="auto"/>
            <w:vAlign w:val="center"/>
          </w:tcPr>
          <w:p w14:paraId="38487753" w14:textId="77777777" w:rsidR="00B91BA5" w:rsidRPr="00B91BA5" w:rsidRDefault="00B91BA5" w:rsidP="00B91BA5">
            <w:pPr>
              <w:jc w:val="center"/>
              <w:rPr>
                <w:rFonts w:ascii="Garamond" w:hAnsi="Garamond"/>
              </w:rPr>
            </w:pPr>
            <w:r w:rsidRPr="00B91BA5">
              <w:rPr>
                <w:rFonts w:ascii="Garamond" w:hAnsi="Garamond"/>
              </w:rPr>
              <w:t>-.08</w:t>
            </w:r>
          </w:p>
          <w:p w14:paraId="4F167854" w14:textId="77777777" w:rsidR="00B91BA5" w:rsidRPr="00B91BA5" w:rsidRDefault="00B91BA5" w:rsidP="00B91BA5">
            <w:pPr>
              <w:jc w:val="center"/>
              <w:rPr>
                <w:rFonts w:ascii="Garamond" w:hAnsi="Garamond"/>
              </w:rPr>
            </w:pPr>
            <w:r w:rsidRPr="00B91BA5">
              <w:rPr>
                <w:rFonts w:ascii="Garamond" w:hAnsi="Garamond"/>
              </w:rPr>
              <w:t>(.16/-.30)</w:t>
            </w:r>
          </w:p>
        </w:tc>
        <w:tc>
          <w:tcPr>
            <w:tcW w:w="0" w:type="auto"/>
            <w:vAlign w:val="center"/>
          </w:tcPr>
          <w:p w14:paraId="2C130BCE" w14:textId="77777777" w:rsidR="00B91BA5" w:rsidRPr="00B91BA5" w:rsidRDefault="00B91BA5" w:rsidP="00B91BA5">
            <w:pPr>
              <w:jc w:val="center"/>
              <w:rPr>
                <w:rFonts w:ascii="Garamond" w:hAnsi="Garamond"/>
              </w:rPr>
            </w:pPr>
            <w:r w:rsidRPr="00B91BA5">
              <w:rPr>
                <w:rFonts w:ascii="Garamond" w:hAnsi="Garamond"/>
              </w:rPr>
              <w:t>.11</w:t>
            </w:r>
          </w:p>
          <w:p w14:paraId="71B896C7" w14:textId="77777777" w:rsidR="00B91BA5" w:rsidRPr="00B91BA5" w:rsidRDefault="00B91BA5" w:rsidP="00B91BA5">
            <w:pPr>
              <w:jc w:val="center"/>
              <w:rPr>
                <w:rFonts w:ascii="Garamond" w:hAnsi="Garamond"/>
              </w:rPr>
            </w:pPr>
            <w:r w:rsidRPr="00B91BA5">
              <w:rPr>
                <w:rFonts w:ascii="Garamond" w:hAnsi="Garamond"/>
              </w:rPr>
              <w:t>(.32/-.12)</w:t>
            </w:r>
          </w:p>
        </w:tc>
      </w:tr>
      <w:tr w:rsidR="00B91BA5" w:rsidRPr="00663A4B" w14:paraId="022AC05E" w14:textId="77777777" w:rsidTr="00B91BA5">
        <w:tc>
          <w:tcPr>
            <w:tcW w:w="3119" w:type="dxa"/>
            <w:vAlign w:val="center"/>
          </w:tcPr>
          <w:p w14:paraId="4FCAE6C7" w14:textId="77777777" w:rsidR="00B91BA5" w:rsidRPr="00663A4B" w:rsidRDefault="00B91BA5" w:rsidP="00B91BA5">
            <w:pPr>
              <w:numPr>
                <w:ilvl w:val="0"/>
                <w:numId w:val="1"/>
              </w:numPr>
              <w:ind w:left="318"/>
              <w:contextualSpacing/>
              <w:rPr>
                <w:rFonts w:ascii="Garamond" w:hAnsi="Garamond"/>
              </w:rPr>
            </w:pPr>
            <w:r w:rsidRPr="00663A4B">
              <w:rPr>
                <w:rFonts w:ascii="Garamond" w:hAnsi="Garamond"/>
              </w:rPr>
              <w:t>Social support</w:t>
            </w:r>
          </w:p>
          <w:p w14:paraId="360450D6" w14:textId="77777777" w:rsidR="00B91BA5" w:rsidRPr="00663A4B" w:rsidRDefault="00B91BA5" w:rsidP="00B91BA5">
            <w:pPr>
              <w:ind w:left="318"/>
              <w:contextualSpacing/>
              <w:rPr>
                <w:rFonts w:ascii="Garamond" w:hAnsi="Garamond"/>
              </w:rPr>
            </w:pPr>
            <w:r w:rsidRPr="00663A4B">
              <w:rPr>
                <w:rFonts w:ascii="Garamond" w:hAnsi="Garamond"/>
              </w:rPr>
              <w:t>95% UBCI/LBCI</w:t>
            </w:r>
          </w:p>
        </w:tc>
        <w:tc>
          <w:tcPr>
            <w:tcW w:w="607" w:type="dxa"/>
            <w:vAlign w:val="center"/>
          </w:tcPr>
          <w:p w14:paraId="5E9DF4D6" w14:textId="77777777" w:rsidR="00B91BA5" w:rsidRPr="00B91BA5" w:rsidRDefault="00B91BA5" w:rsidP="00B91BA5">
            <w:pPr>
              <w:jc w:val="center"/>
              <w:rPr>
                <w:rFonts w:ascii="Garamond" w:hAnsi="Garamond"/>
              </w:rPr>
            </w:pPr>
            <w:r w:rsidRPr="00B91BA5">
              <w:rPr>
                <w:rFonts w:ascii="Garamond" w:hAnsi="Garamond"/>
              </w:rPr>
              <w:t>.93</w:t>
            </w:r>
          </w:p>
        </w:tc>
        <w:tc>
          <w:tcPr>
            <w:tcW w:w="1624" w:type="dxa"/>
            <w:vAlign w:val="center"/>
          </w:tcPr>
          <w:p w14:paraId="6CC6A070" w14:textId="77777777" w:rsidR="00B91BA5" w:rsidRPr="00B91BA5" w:rsidRDefault="00B91BA5" w:rsidP="00B91BA5">
            <w:pPr>
              <w:jc w:val="center"/>
              <w:rPr>
                <w:rFonts w:ascii="Garamond" w:hAnsi="Garamond"/>
              </w:rPr>
            </w:pPr>
            <w:r w:rsidRPr="00B91BA5">
              <w:rPr>
                <w:rFonts w:ascii="Garamond" w:hAnsi="Garamond"/>
              </w:rPr>
              <w:t>5.57 (1.06)</w:t>
            </w:r>
          </w:p>
        </w:tc>
        <w:tc>
          <w:tcPr>
            <w:tcW w:w="0" w:type="auto"/>
            <w:vAlign w:val="center"/>
          </w:tcPr>
          <w:p w14:paraId="1B05DBB4" w14:textId="77777777" w:rsidR="00B91BA5" w:rsidRPr="00B91BA5" w:rsidRDefault="00B91BA5" w:rsidP="00B91BA5">
            <w:pPr>
              <w:jc w:val="center"/>
              <w:rPr>
                <w:rFonts w:ascii="Garamond" w:hAnsi="Garamond"/>
              </w:rPr>
            </w:pPr>
          </w:p>
        </w:tc>
        <w:tc>
          <w:tcPr>
            <w:tcW w:w="0" w:type="auto"/>
            <w:vAlign w:val="center"/>
          </w:tcPr>
          <w:p w14:paraId="4ACA5B56" w14:textId="77777777" w:rsidR="00B91BA5" w:rsidRPr="00B91BA5" w:rsidRDefault="00B91BA5" w:rsidP="00B91BA5">
            <w:pPr>
              <w:jc w:val="center"/>
              <w:rPr>
                <w:rFonts w:ascii="Garamond" w:hAnsi="Garamond"/>
              </w:rPr>
            </w:pPr>
          </w:p>
        </w:tc>
        <w:tc>
          <w:tcPr>
            <w:tcW w:w="0" w:type="auto"/>
            <w:vAlign w:val="center"/>
          </w:tcPr>
          <w:p w14:paraId="501ECF01" w14:textId="77777777" w:rsidR="00B91BA5" w:rsidRPr="00B91BA5" w:rsidRDefault="00B91BA5" w:rsidP="00B91BA5">
            <w:pPr>
              <w:jc w:val="center"/>
              <w:rPr>
                <w:rFonts w:ascii="Garamond" w:hAnsi="Garamond"/>
              </w:rPr>
            </w:pPr>
          </w:p>
        </w:tc>
        <w:tc>
          <w:tcPr>
            <w:tcW w:w="0" w:type="auto"/>
            <w:vAlign w:val="center"/>
          </w:tcPr>
          <w:p w14:paraId="48F82E42" w14:textId="77777777" w:rsidR="00B91BA5" w:rsidRPr="00B91BA5" w:rsidRDefault="00B91BA5" w:rsidP="00B91BA5">
            <w:pPr>
              <w:jc w:val="center"/>
              <w:rPr>
                <w:rFonts w:ascii="Garamond" w:hAnsi="Garamond"/>
              </w:rPr>
            </w:pPr>
          </w:p>
        </w:tc>
        <w:tc>
          <w:tcPr>
            <w:tcW w:w="0" w:type="auto"/>
            <w:vAlign w:val="center"/>
          </w:tcPr>
          <w:p w14:paraId="74136C18" w14:textId="77777777" w:rsidR="00B91BA5" w:rsidRPr="00B91BA5" w:rsidRDefault="00B91BA5" w:rsidP="00B91BA5">
            <w:pPr>
              <w:jc w:val="center"/>
              <w:rPr>
                <w:rFonts w:ascii="Garamond" w:hAnsi="Garamond"/>
              </w:rPr>
            </w:pPr>
          </w:p>
        </w:tc>
        <w:tc>
          <w:tcPr>
            <w:tcW w:w="0" w:type="auto"/>
            <w:shd w:val="clear" w:color="auto" w:fill="000000" w:themeFill="text1"/>
            <w:vAlign w:val="center"/>
          </w:tcPr>
          <w:p w14:paraId="2826D7EC" w14:textId="77777777" w:rsidR="00B91BA5" w:rsidRPr="00B91BA5" w:rsidRDefault="00B91BA5" w:rsidP="00B91BA5">
            <w:pPr>
              <w:jc w:val="center"/>
              <w:rPr>
                <w:rFonts w:ascii="Garamond" w:hAnsi="Garamond"/>
              </w:rPr>
            </w:pPr>
          </w:p>
        </w:tc>
        <w:tc>
          <w:tcPr>
            <w:tcW w:w="0" w:type="auto"/>
            <w:vAlign w:val="center"/>
          </w:tcPr>
          <w:p w14:paraId="75362E4E" w14:textId="77777777" w:rsidR="00B91BA5" w:rsidRPr="00B91BA5" w:rsidRDefault="00B91BA5" w:rsidP="00B91BA5">
            <w:pPr>
              <w:jc w:val="center"/>
              <w:rPr>
                <w:rFonts w:ascii="Garamond" w:hAnsi="Garamond"/>
              </w:rPr>
            </w:pPr>
            <w:r w:rsidRPr="00B91BA5">
              <w:rPr>
                <w:rFonts w:ascii="Garamond" w:hAnsi="Garamond"/>
              </w:rPr>
              <w:t>.23*</w:t>
            </w:r>
          </w:p>
          <w:p w14:paraId="3A9B61AB" w14:textId="77777777" w:rsidR="00B91BA5" w:rsidRPr="00B91BA5" w:rsidRDefault="00B91BA5" w:rsidP="00B91BA5">
            <w:pPr>
              <w:jc w:val="center"/>
              <w:rPr>
                <w:rFonts w:ascii="Garamond" w:hAnsi="Garamond"/>
              </w:rPr>
            </w:pPr>
            <w:r w:rsidRPr="00B91BA5">
              <w:rPr>
                <w:rFonts w:ascii="Garamond" w:hAnsi="Garamond"/>
              </w:rPr>
              <w:t>(.42/.01)</w:t>
            </w:r>
          </w:p>
        </w:tc>
        <w:tc>
          <w:tcPr>
            <w:tcW w:w="0" w:type="auto"/>
            <w:vAlign w:val="center"/>
          </w:tcPr>
          <w:p w14:paraId="75FEB65C" w14:textId="77777777" w:rsidR="00B91BA5" w:rsidRPr="00B91BA5" w:rsidRDefault="00B91BA5" w:rsidP="00B91BA5">
            <w:pPr>
              <w:jc w:val="center"/>
              <w:rPr>
                <w:rFonts w:ascii="Garamond" w:hAnsi="Garamond"/>
              </w:rPr>
            </w:pPr>
            <w:r w:rsidRPr="00B91BA5">
              <w:rPr>
                <w:rFonts w:ascii="Garamond" w:hAnsi="Garamond"/>
              </w:rPr>
              <w:t>.09</w:t>
            </w:r>
          </w:p>
          <w:p w14:paraId="47A6CE13" w14:textId="77777777" w:rsidR="00B91BA5" w:rsidRPr="00B91BA5" w:rsidRDefault="00B91BA5" w:rsidP="00B91BA5">
            <w:pPr>
              <w:jc w:val="center"/>
              <w:rPr>
                <w:rFonts w:ascii="Garamond" w:hAnsi="Garamond"/>
              </w:rPr>
            </w:pPr>
            <w:r w:rsidRPr="00B91BA5">
              <w:rPr>
                <w:rFonts w:ascii="Garamond" w:hAnsi="Garamond"/>
              </w:rPr>
              <w:t>(.31/-.14)</w:t>
            </w:r>
          </w:p>
        </w:tc>
        <w:tc>
          <w:tcPr>
            <w:tcW w:w="0" w:type="auto"/>
            <w:vAlign w:val="center"/>
          </w:tcPr>
          <w:p w14:paraId="653C830B" w14:textId="77777777" w:rsidR="00B91BA5" w:rsidRPr="00B91BA5" w:rsidRDefault="00B91BA5" w:rsidP="00B91BA5">
            <w:pPr>
              <w:jc w:val="center"/>
              <w:rPr>
                <w:rFonts w:ascii="Garamond" w:hAnsi="Garamond"/>
              </w:rPr>
            </w:pPr>
            <w:r w:rsidRPr="00B91BA5">
              <w:rPr>
                <w:rFonts w:ascii="Garamond" w:hAnsi="Garamond"/>
              </w:rPr>
              <w:t>-.16</w:t>
            </w:r>
          </w:p>
          <w:p w14:paraId="5D7C3C86" w14:textId="77777777" w:rsidR="00B91BA5" w:rsidRPr="00B91BA5" w:rsidRDefault="00B91BA5" w:rsidP="00B91BA5">
            <w:pPr>
              <w:jc w:val="center"/>
              <w:rPr>
                <w:rFonts w:ascii="Garamond" w:hAnsi="Garamond"/>
              </w:rPr>
            </w:pPr>
            <w:r w:rsidRPr="00B91BA5">
              <w:rPr>
                <w:rFonts w:ascii="Garamond" w:hAnsi="Garamond"/>
              </w:rPr>
              <w:t>(.06/-.37)</w:t>
            </w:r>
          </w:p>
        </w:tc>
      </w:tr>
      <w:tr w:rsidR="00B91BA5" w:rsidRPr="00663A4B" w14:paraId="7EFD5BA6" w14:textId="77777777" w:rsidTr="00B91BA5">
        <w:tc>
          <w:tcPr>
            <w:tcW w:w="3119" w:type="dxa"/>
            <w:vAlign w:val="center"/>
          </w:tcPr>
          <w:p w14:paraId="3D2287E7" w14:textId="77777777" w:rsidR="00B91BA5" w:rsidRPr="00663A4B" w:rsidRDefault="00B91BA5" w:rsidP="00B91BA5">
            <w:pPr>
              <w:numPr>
                <w:ilvl w:val="0"/>
                <w:numId w:val="1"/>
              </w:numPr>
              <w:ind w:left="318"/>
              <w:contextualSpacing/>
              <w:rPr>
                <w:rFonts w:ascii="Garamond" w:hAnsi="Garamond"/>
              </w:rPr>
            </w:pPr>
            <w:r w:rsidRPr="00663A4B">
              <w:rPr>
                <w:rFonts w:ascii="Garamond" w:hAnsi="Garamond"/>
              </w:rPr>
              <w:t>Multiple group membership</w:t>
            </w:r>
          </w:p>
          <w:p w14:paraId="70C473C5" w14:textId="77777777" w:rsidR="00B91BA5" w:rsidRPr="00663A4B" w:rsidRDefault="00B91BA5" w:rsidP="00B91BA5">
            <w:pPr>
              <w:ind w:left="318"/>
              <w:contextualSpacing/>
              <w:rPr>
                <w:rFonts w:ascii="Garamond" w:hAnsi="Garamond"/>
              </w:rPr>
            </w:pPr>
            <w:r w:rsidRPr="00663A4B">
              <w:rPr>
                <w:rFonts w:ascii="Garamond" w:hAnsi="Garamond"/>
              </w:rPr>
              <w:t>95% UBCI/LBCI</w:t>
            </w:r>
          </w:p>
        </w:tc>
        <w:tc>
          <w:tcPr>
            <w:tcW w:w="607" w:type="dxa"/>
            <w:vAlign w:val="center"/>
          </w:tcPr>
          <w:p w14:paraId="3B9A4F04" w14:textId="77777777" w:rsidR="00B91BA5" w:rsidRPr="00B91BA5" w:rsidRDefault="00B91BA5" w:rsidP="00B91BA5">
            <w:pPr>
              <w:jc w:val="center"/>
              <w:rPr>
                <w:rFonts w:ascii="Garamond" w:hAnsi="Garamond"/>
              </w:rPr>
            </w:pPr>
            <w:r w:rsidRPr="00B91BA5">
              <w:rPr>
                <w:rFonts w:ascii="Garamond" w:hAnsi="Garamond"/>
              </w:rPr>
              <w:t>.91</w:t>
            </w:r>
          </w:p>
        </w:tc>
        <w:tc>
          <w:tcPr>
            <w:tcW w:w="1624" w:type="dxa"/>
            <w:vAlign w:val="center"/>
          </w:tcPr>
          <w:p w14:paraId="29D62F6F" w14:textId="77777777" w:rsidR="00B91BA5" w:rsidRPr="00B91BA5" w:rsidRDefault="00B91BA5" w:rsidP="00B91BA5">
            <w:pPr>
              <w:jc w:val="center"/>
              <w:rPr>
                <w:rFonts w:ascii="Garamond" w:hAnsi="Garamond"/>
              </w:rPr>
            </w:pPr>
            <w:r w:rsidRPr="00B91BA5">
              <w:rPr>
                <w:rFonts w:ascii="Garamond" w:hAnsi="Garamond"/>
              </w:rPr>
              <w:t>2.80 (1.76)</w:t>
            </w:r>
          </w:p>
        </w:tc>
        <w:tc>
          <w:tcPr>
            <w:tcW w:w="0" w:type="auto"/>
            <w:vAlign w:val="center"/>
          </w:tcPr>
          <w:p w14:paraId="18E68D25" w14:textId="77777777" w:rsidR="00B91BA5" w:rsidRPr="00B91BA5" w:rsidRDefault="00B91BA5" w:rsidP="00B91BA5">
            <w:pPr>
              <w:jc w:val="center"/>
              <w:rPr>
                <w:rFonts w:ascii="Garamond" w:hAnsi="Garamond"/>
              </w:rPr>
            </w:pPr>
          </w:p>
        </w:tc>
        <w:tc>
          <w:tcPr>
            <w:tcW w:w="0" w:type="auto"/>
            <w:vAlign w:val="center"/>
          </w:tcPr>
          <w:p w14:paraId="5FC1736B" w14:textId="77777777" w:rsidR="00B91BA5" w:rsidRPr="00B91BA5" w:rsidRDefault="00B91BA5" w:rsidP="00B91BA5">
            <w:pPr>
              <w:jc w:val="center"/>
              <w:rPr>
                <w:rFonts w:ascii="Garamond" w:hAnsi="Garamond"/>
              </w:rPr>
            </w:pPr>
          </w:p>
        </w:tc>
        <w:tc>
          <w:tcPr>
            <w:tcW w:w="0" w:type="auto"/>
            <w:vAlign w:val="center"/>
          </w:tcPr>
          <w:p w14:paraId="1B75CBCE" w14:textId="77777777" w:rsidR="00B91BA5" w:rsidRPr="00B91BA5" w:rsidRDefault="00B91BA5" w:rsidP="00B91BA5">
            <w:pPr>
              <w:jc w:val="center"/>
              <w:rPr>
                <w:rFonts w:ascii="Garamond" w:hAnsi="Garamond"/>
              </w:rPr>
            </w:pPr>
          </w:p>
        </w:tc>
        <w:tc>
          <w:tcPr>
            <w:tcW w:w="0" w:type="auto"/>
            <w:vAlign w:val="center"/>
          </w:tcPr>
          <w:p w14:paraId="111861F3" w14:textId="77777777" w:rsidR="00B91BA5" w:rsidRPr="00B91BA5" w:rsidRDefault="00B91BA5" w:rsidP="00B91BA5">
            <w:pPr>
              <w:jc w:val="center"/>
              <w:rPr>
                <w:rFonts w:ascii="Garamond" w:hAnsi="Garamond"/>
              </w:rPr>
            </w:pPr>
          </w:p>
        </w:tc>
        <w:tc>
          <w:tcPr>
            <w:tcW w:w="0" w:type="auto"/>
            <w:vAlign w:val="center"/>
          </w:tcPr>
          <w:p w14:paraId="6F725F05" w14:textId="77777777" w:rsidR="00B91BA5" w:rsidRPr="00B91BA5" w:rsidRDefault="00B91BA5" w:rsidP="00B91BA5">
            <w:pPr>
              <w:jc w:val="center"/>
              <w:rPr>
                <w:rFonts w:ascii="Garamond" w:hAnsi="Garamond"/>
              </w:rPr>
            </w:pPr>
          </w:p>
        </w:tc>
        <w:tc>
          <w:tcPr>
            <w:tcW w:w="0" w:type="auto"/>
            <w:vAlign w:val="center"/>
          </w:tcPr>
          <w:p w14:paraId="11B4486B" w14:textId="77777777" w:rsidR="00B91BA5" w:rsidRPr="00B91BA5" w:rsidRDefault="00B91BA5" w:rsidP="00B91BA5">
            <w:pPr>
              <w:jc w:val="center"/>
              <w:rPr>
                <w:rFonts w:ascii="Garamond" w:hAnsi="Garamond"/>
              </w:rPr>
            </w:pPr>
          </w:p>
        </w:tc>
        <w:tc>
          <w:tcPr>
            <w:tcW w:w="0" w:type="auto"/>
            <w:shd w:val="clear" w:color="auto" w:fill="000000" w:themeFill="text1"/>
            <w:vAlign w:val="center"/>
          </w:tcPr>
          <w:p w14:paraId="4C4ADF40" w14:textId="77777777" w:rsidR="00B91BA5" w:rsidRPr="00B91BA5" w:rsidRDefault="00B91BA5" w:rsidP="00B91BA5">
            <w:pPr>
              <w:jc w:val="center"/>
              <w:rPr>
                <w:rFonts w:ascii="Garamond" w:hAnsi="Garamond"/>
              </w:rPr>
            </w:pPr>
          </w:p>
        </w:tc>
        <w:tc>
          <w:tcPr>
            <w:tcW w:w="0" w:type="auto"/>
            <w:vAlign w:val="center"/>
          </w:tcPr>
          <w:p w14:paraId="6F6384CC" w14:textId="77777777" w:rsidR="00B91BA5" w:rsidRPr="00B91BA5" w:rsidRDefault="00B91BA5" w:rsidP="00B91BA5">
            <w:pPr>
              <w:jc w:val="center"/>
              <w:rPr>
                <w:rFonts w:ascii="Garamond" w:hAnsi="Garamond"/>
              </w:rPr>
            </w:pPr>
            <w:r w:rsidRPr="00B91BA5">
              <w:rPr>
                <w:rFonts w:ascii="Garamond" w:hAnsi="Garamond"/>
              </w:rPr>
              <w:t>-.01</w:t>
            </w:r>
          </w:p>
          <w:p w14:paraId="57EA6B30" w14:textId="77777777" w:rsidR="00B91BA5" w:rsidRPr="00B91BA5" w:rsidRDefault="00B91BA5" w:rsidP="00B91BA5">
            <w:pPr>
              <w:jc w:val="center"/>
              <w:rPr>
                <w:rFonts w:ascii="Garamond" w:hAnsi="Garamond"/>
              </w:rPr>
            </w:pPr>
            <w:r w:rsidRPr="00B91BA5">
              <w:rPr>
                <w:rFonts w:ascii="Garamond" w:hAnsi="Garamond"/>
              </w:rPr>
              <w:t>(.22/-.23)</w:t>
            </w:r>
          </w:p>
        </w:tc>
        <w:tc>
          <w:tcPr>
            <w:tcW w:w="0" w:type="auto"/>
            <w:vAlign w:val="center"/>
          </w:tcPr>
          <w:p w14:paraId="571EEBA0" w14:textId="77777777" w:rsidR="00B91BA5" w:rsidRPr="00B91BA5" w:rsidRDefault="00B91BA5" w:rsidP="00B91BA5">
            <w:pPr>
              <w:jc w:val="center"/>
              <w:rPr>
                <w:rFonts w:ascii="Garamond" w:hAnsi="Garamond"/>
              </w:rPr>
            </w:pPr>
            <w:r w:rsidRPr="00B91BA5">
              <w:rPr>
                <w:rFonts w:ascii="Garamond" w:hAnsi="Garamond"/>
              </w:rPr>
              <w:t>-.24*</w:t>
            </w:r>
          </w:p>
          <w:p w14:paraId="58423523" w14:textId="77777777" w:rsidR="00B91BA5" w:rsidRPr="00B91BA5" w:rsidRDefault="00B91BA5" w:rsidP="00B91BA5">
            <w:pPr>
              <w:jc w:val="center"/>
              <w:rPr>
                <w:rFonts w:ascii="Garamond" w:hAnsi="Garamond"/>
              </w:rPr>
            </w:pPr>
            <w:r w:rsidRPr="00B91BA5">
              <w:rPr>
                <w:rFonts w:ascii="Garamond" w:hAnsi="Garamond"/>
              </w:rPr>
              <w:t>(-.02/-.44)</w:t>
            </w:r>
          </w:p>
        </w:tc>
      </w:tr>
      <w:tr w:rsidR="00B91BA5" w:rsidRPr="00663A4B" w14:paraId="6976CD48" w14:textId="77777777" w:rsidTr="00B91BA5">
        <w:tc>
          <w:tcPr>
            <w:tcW w:w="3119" w:type="dxa"/>
            <w:vAlign w:val="center"/>
          </w:tcPr>
          <w:p w14:paraId="58B1EAA3" w14:textId="77777777" w:rsidR="00B91BA5" w:rsidRPr="00663A4B" w:rsidRDefault="00B91BA5" w:rsidP="00B91BA5">
            <w:pPr>
              <w:numPr>
                <w:ilvl w:val="0"/>
                <w:numId w:val="1"/>
              </w:numPr>
              <w:ind w:left="318"/>
              <w:contextualSpacing/>
              <w:rPr>
                <w:rFonts w:ascii="Garamond" w:hAnsi="Garamond"/>
              </w:rPr>
            </w:pPr>
            <w:r w:rsidRPr="00663A4B">
              <w:rPr>
                <w:rFonts w:ascii="Garamond" w:hAnsi="Garamond"/>
              </w:rPr>
              <w:t>Perceived discrimination</w:t>
            </w:r>
          </w:p>
          <w:p w14:paraId="3C834874" w14:textId="77777777" w:rsidR="00B91BA5" w:rsidRPr="00663A4B" w:rsidRDefault="00B91BA5" w:rsidP="00B91BA5">
            <w:pPr>
              <w:ind w:left="318"/>
              <w:contextualSpacing/>
              <w:rPr>
                <w:rFonts w:ascii="Garamond" w:hAnsi="Garamond"/>
              </w:rPr>
            </w:pPr>
            <w:r w:rsidRPr="00663A4B">
              <w:rPr>
                <w:rFonts w:ascii="Garamond" w:hAnsi="Garamond"/>
              </w:rPr>
              <w:t>95% UBCI/LBCI</w:t>
            </w:r>
          </w:p>
        </w:tc>
        <w:tc>
          <w:tcPr>
            <w:tcW w:w="607" w:type="dxa"/>
            <w:vAlign w:val="center"/>
          </w:tcPr>
          <w:p w14:paraId="137F70CC" w14:textId="77777777" w:rsidR="00B91BA5" w:rsidRPr="00B91BA5" w:rsidRDefault="00B91BA5" w:rsidP="00B91BA5">
            <w:pPr>
              <w:jc w:val="center"/>
              <w:rPr>
                <w:rFonts w:ascii="Garamond" w:hAnsi="Garamond"/>
              </w:rPr>
            </w:pPr>
            <w:r w:rsidRPr="00B91BA5">
              <w:rPr>
                <w:rFonts w:ascii="Garamond" w:hAnsi="Garamond"/>
              </w:rPr>
              <w:t>.90</w:t>
            </w:r>
          </w:p>
        </w:tc>
        <w:tc>
          <w:tcPr>
            <w:tcW w:w="1624" w:type="dxa"/>
            <w:vAlign w:val="center"/>
          </w:tcPr>
          <w:p w14:paraId="1B16EFBE" w14:textId="77777777" w:rsidR="00B91BA5" w:rsidRPr="00B91BA5" w:rsidRDefault="00B91BA5" w:rsidP="00B91BA5">
            <w:pPr>
              <w:jc w:val="center"/>
              <w:rPr>
                <w:rFonts w:ascii="Garamond" w:hAnsi="Garamond"/>
              </w:rPr>
            </w:pPr>
            <w:r w:rsidRPr="00B91BA5">
              <w:rPr>
                <w:rFonts w:ascii="Garamond" w:hAnsi="Garamond"/>
              </w:rPr>
              <w:t>4.55 (1.54)</w:t>
            </w:r>
          </w:p>
        </w:tc>
        <w:tc>
          <w:tcPr>
            <w:tcW w:w="0" w:type="auto"/>
            <w:vAlign w:val="center"/>
          </w:tcPr>
          <w:p w14:paraId="59F81740" w14:textId="77777777" w:rsidR="00B91BA5" w:rsidRPr="00B91BA5" w:rsidRDefault="00B91BA5" w:rsidP="00B91BA5">
            <w:pPr>
              <w:jc w:val="center"/>
              <w:rPr>
                <w:rFonts w:ascii="Garamond" w:hAnsi="Garamond"/>
              </w:rPr>
            </w:pPr>
          </w:p>
        </w:tc>
        <w:tc>
          <w:tcPr>
            <w:tcW w:w="0" w:type="auto"/>
            <w:vAlign w:val="center"/>
          </w:tcPr>
          <w:p w14:paraId="1DA0DA2E" w14:textId="77777777" w:rsidR="00B91BA5" w:rsidRPr="00B91BA5" w:rsidRDefault="00B91BA5" w:rsidP="00B91BA5">
            <w:pPr>
              <w:jc w:val="center"/>
              <w:rPr>
                <w:rFonts w:ascii="Garamond" w:hAnsi="Garamond"/>
              </w:rPr>
            </w:pPr>
          </w:p>
        </w:tc>
        <w:tc>
          <w:tcPr>
            <w:tcW w:w="0" w:type="auto"/>
            <w:vAlign w:val="center"/>
          </w:tcPr>
          <w:p w14:paraId="3EDEC7B7" w14:textId="77777777" w:rsidR="00B91BA5" w:rsidRPr="00B91BA5" w:rsidRDefault="00B91BA5" w:rsidP="00B91BA5">
            <w:pPr>
              <w:jc w:val="center"/>
              <w:rPr>
                <w:rFonts w:ascii="Garamond" w:hAnsi="Garamond"/>
              </w:rPr>
            </w:pPr>
          </w:p>
        </w:tc>
        <w:tc>
          <w:tcPr>
            <w:tcW w:w="0" w:type="auto"/>
            <w:vAlign w:val="center"/>
          </w:tcPr>
          <w:p w14:paraId="03A08962" w14:textId="77777777" w:rsidR="00B91BA5" w:rsidRPr="00B91BA5" w:rsidRDefault="00B91BA5" w:rsidP="00B91BA5">
            <w:pPr>
              <w:jc w:val="center"/>
              <w:rPr>
                <w:rFonts w:ascii="Garamond" w:hAnsi="Garamond"/>
              </w:rPr>
            </w:pPr>
          </w:p>
        </w:tc>
        <w:tc>
          <w:tcPr>
            <w:tcW w:w="0" w:type="auto"/>
            <w:vAlign w:val="center"/>
          </w:tcPr>
          <w:p w14:paraId="40C3162B" w14:textId="77777777" w:rsidR="00B91BA5" w:rsidRPr="00B91BA5" w:rsidRDefault="00B91BA5" w:rsidP="00B91BA5">
            <w:pPr>
              <w:jc w:val="center"/>
              <w:rPr>
                <w:rFonts w:ascii="Garamond" w:hAnsi="Garamond"/>
              </w:rPr>
            </w:pPr>
          </w:p>
        </w:tc>
        <w:tc>
          <w:tcPr>
            <w:tcW w:w="0" w:type="auto"/>
            <w:vAlign w:val="center"/>
          </w:tcPr>
          <w:p w14:paraId="173657D9" w14:textId="77777777" w:rsidR="00B91BA5" w:rsidRPr="00B91BA5" w:rsidRDefault="00B91BA5" w:rsidP="00B91BA5">
            <w:pPr>
              <w:jc w:val="center"/>
              <w:rPr>
                <w:rFonts w:ascii="Garamond" w:hAnsi="Garamond"/>
              </w:rPr>
            </w:pPr>
          </w:p>
        </w:tc>
        <w:tc>
          <w:tcPr>
            <w:tcW w:w="0" w:type="auto"/>
            <w:vAlign w:val="center"/>
          </w:tcPr>
          <w:p w14:paraId="1AD4ECB6" w14:textId="77777777" w:rsidR="00B91BA5" w:rsidRPr="00B91BA5" w:rsidRDefault="00B91BA5" w:rsidP="00B91BA5">
            <w:pPr>
              <w:jc w:val="center"/>
              <w:rPr>
                <w:rFonts w:ascii="Garamond" w:hAnsi="Garamond"/>
              </w:rPr>
            </w:pPr>
          </w:p>
        </w:tc>
        <w:tc>
          <w:tcPr>
            <w:tcW w:w="0" w:type="auto"/>
            <w:shd w:val="clear" w:color="auto" w:fill="000000" w:themeFill="text1"/>
            <w:vAlign w:val="center"/>
          </w:tcPr>
          <w:p w14:paraId="7589C387" w14:textId="77777777" w:rsidR="00B91BA5" w:rsidRPr="00B91BA5" w:rsidRDefault="00B91BA5" w:rsidP="00B91BA5">
            <w:pPr>
              <w:jc w:val="center"/>
              <w:rPr>
                <w:rFonts w:ascii="Garamond" w:hAnsi="Garamond"/>
              </w:rPr>
            </w:pPr>
          </w:p>
        </w:tc>
        <w:tc>
          <w:tcPr>
            <w:tcW w:w="0" w:type="auto"/>
            <w:vAlign w:val="center"/>
          </w:tcPr>
          <w:p w14:paraId="411F01D6" w14:textId="77777777" w:rsidR="00B91BA5" w:rsidRPr="00B91BA5" w:rsidRDefault="00B91BA5" w:rsidP="00B91BA5">
            <w:pPr>
              <w:jc w:val="center"/>
              <w:rPr>
                <w:rFonts w:ascii="Garamond" w:hAnsi="Garamond"/>
              </w:rPr>
            </w:pPr>
            <w:r w:rsidRPr="00B91BA5">
              <w:rPr>
                <w:rFonts w:ascii="Garamond" w:hAnsi="Garamond"/>
              </w:rPr>
              <w:t>.49***</w:t>
            </w:r>
          </w:p>
          <w:p w14:paraId="5D9648E1" w14:textId="77777777" w:rsidR="00B91BA5" w:rsidRPr="00B91BA5" w:rsidRDefault="00B91BA5" w:rsidP="00B91BA5">
            <w:pPr>
              <w:jc w:val="center"/>
              <w:rPr>
                <w:rFonts w:ascii="Garamond" w:hAnsi="Garamond"/>
              </w:rPr>
            </w:pPr>
            <w:r w:rsidRPr="00B91BA5">
              <w:rPr>
                <w:rFonts w:ascii="Garamond" w:hAnsi="Garamond"/>
              </w:rPr>
              <w:t>(.64/.30)</w:t>
            </w:r>
          </w:p>
        </w:tc>
      </w:tr>
      <w:tr w:rsidR="00B91BA5" w:rsidRPr="00663A4B" w14:paraId="288D3BD3" w14:textId="77777777" w:rsidTr="00B91BA5">
        <w:tc>
          <w:tcPr>
            <w:tcW w:w="3119" w:type="dxa"/>
            <w:vAlign w:val="center"/>
          </w:tcPr>
          <w:p w14:paraId="0DAE326E" w14:textId="77777777" w:rsidR="00B91BA5" w:rsidRPr="00663A4B" w:rsidRDefault="00B91BA5" w:rsidP="00B91BA5">
            <w:pPr>
              <w:numPr>
                <w:ilvl w:val="0"/>
                <w:numId w:val="1"/>
              </w:numPr>
              <w:ind w:left="318"/>
              <w:contextualSpacing/>
              <w:rPr>
                <w:rFonts w:ascii="Garamond" w:hAnsi="Garamond"/>
              </w:rPr>
            </w:pPr>
            <w:r w:rsidRPr="00663A4B">
              <w:rPr>
                <w:rFonts w:ascii="Garamond" w:hAnsi="Garamond"/>
              </w:rPr>
              <w:t>Weight centrality</w:t>
            </w:r>
          </w:p>
          <w:p w14:paraId="6ED14F52" w14:textId="77777777" w:rsidR="00B91BA5" w:rsidRPr="00663A4B" w:rsidRDefault="00B91BA5" w:rsidP="00B91BA5">
            <w:pPr>
              <w:ind w:left="318"/>
              <w:contextualSpacing/>
              <w:rPr>
                <w:rFonts w:ascii="Garamond" w:hAnsi="Garamond"/>
              </w:rPr>
            </w:pPr>
            <w:r w:rsidRPr="00663A4B">
              <w:rPr>
                <w:rFonts w:ascii="Garamond" w:hAnsi="Garamond"/>
              </w:rPr>
              <w:t>95% UBCI/LBCI</w:t>
            </w:r>
          </w:p>
        </w:tc>
        <w:tc>
          <w:tcPr>
            <w:tcW w:w="607" w:type="dxa"/>
            <w:vAlign w:val="center"/>
          </w:tcPr>
          <w:p w14:paraId="6EDCE0D1" w14:textId="77777777" w:rsidR="00B91BA5" w:rsidRPr="00B91BA5" w:rsidRDefault="00B91BA5" w:rsidP="00B91BA5">
            <w:pPr>
              <w:jc w:val="center"/>
              <w:rPr>
                <w:rFonts w:ascii="Garamond" w:hAnsi="Garamond"/>
              </w:rPr>
            </w:pPr>
            <w:r w:rsidRPr="00B91BA5">
              <w:rPr>
                <w:rFonts w:ascii="Garamond" w:hAnsi="Garamond"/>
              </w:rPr>
              <w:t>.79</w:t>
            </w:r>
          </w:p>
        </w:tc>
        <w:tc>
          <w:tcPr>
            <w:tcW w:w="1624" w:type="dxa"/>
            <w:vAlign w:val="center"/>
          </w:tcPr>
          <w:p w14:paraId="2AA99EA6" w14:textId="77777777" w:rsidR="00B91BA5" w:rsidRPr="00B91BA5" w:rsidRDefault="00B91BA5" w:rsidP="00B91BA5">
            <w:pPr>
              <w:jc w:val="center"/>
              <w:rPr>
                <w:rFonts w:ascii="Garamond" w:hAnsi="Garamond"/>
              </w:rPr>
            </w:pPr>
            <w:r w:rsidRPr="00B91BA5">
              <w:rPr>
                <w:rFonts w:ascii="Garamond" w:hAnsi="Garamond"/>
              </w:rPr>
              <w:t>5.58 (1.13)</w:t>
            </w:r>
          </w:p>
        </w:tc>
        <w:tc>
          <w:tcPr>
            <w:tcW w:w="0" w:type="auto"/>
            <w:vAlign w:val="center"/>
          </w:tcPr>
          <w:p w14:paraId="48380F5C" w14:textId="77777777" w:rsidR="00B91BA5" w:rsidRPr="00B91BA5" w:rsidRDefault="00B91BA5" w:rsidP="00B91BA5">
            <w:pPr>
              <w:jc w:val="center"/>
              <w:rPr>
                <w:rFonts w:ascii="Garamond" w:hAnsi="Garamond"/>
              </w:rPr>
            </w:pPr>
          </w:p>
        </w:tc>
        <w:tc>
          <w:tcPr>
            <w:tcW w:w="0" w:type="auto"/>
            <w:vAlign w:val="center"/>
          </w:tcPr>
          <w:p w14:paraId="29B21A15" w14:textId="77777777" w:rsidR="00B91BA5" w:rsidRPr="00B91BA5" w:rsidRDefault="00B91BA5" w:rsidP="00B91BA5">
            <w:pPr>
              <w:jc w:val="center"/>
              <w:rPr>
                <w:rFonts w:ascii="Garamond" w:hAnsi="Garamond"/>
              </w:rPr>
            </w:pPr>
          </w:p>
        </w:tc>
        <w:tc>
          <w:tcPr>
            <w:tcW w:w="0" w:type="auto"/>
            <w:vAlign w:val="center"/>
          </w:tcPr>
          <w:p w14:paraId="309F736B" w14:textId="77777777" w:rsidR="00B91BA5" w:rsidRPr="00B91BA5" w:rsidRDefault="00B91BA5" w:rsidP="00B91BA5">
            <w:pPr>
              <w:jc w:val="center"/>
              <w:rPr>
                <w:rFonts w:ascii="Garamond" w:hAnsi="Garamond"/>
              </w:rPr>
            </w:pPr>
          </w:p>
        </w:tc>
        <w:tc>
          <w:tcPr>
            <w:tcW w:w="0" w:type="auto"/>
            <w:vAlign w:val="center"/>
          </w:tcPr>
          <w:p w14:paraId="701B96E7" w14:textId="77777777" w:rsidR="00B91BA5" w:rsidRPr="00B91BA5" w:rsidRDefault="00B91BA5" w:rsidP="00B91BA5">
            <w:pPr>
              <w:jc w:val="center"/>
              <w:rPr>
                <w:rFonts w:ascii="Garamond" w:hAnsi="Garamond"/>
              </w:rPr>
            </w:pPr>
          </w:p>
        </w:tc>
        <w:tc>
          <w:tcPr>
            <w:tcW w:w="0" w:type="auto"/>
            <w:vAlign w:val="center"/>
          </w:tcPr>
          <w:p w14:paraId="6D78FD3F" w14:textId="77777777" w:rsidR="00B91BA5" w:rsidRPr="00B91BA5" w:rsidRDefault="00B91BA5" w:rsidP="00B91BA5">
            <w:pPr>
              <w:jc w:val="center"/>
              <w:rPr>
                <w:rFonts w:ascii="Garamond" w:hAnsi="Garamond"/>
              </w:rPr>
            </w:pPr>
          </w:p>
        </w:tc>
        <w:tc>
          <w:tcPr>
            <w:tcW w:w="0" w:type="auto"/>
            <w:vAlign w:val="center"/>
          </w:tcPr>
          <w:p w14:paraId="5598584A" w14:textId="77777777" w:rsidR="00B91BA5" w:rsidRPr="00B91BA5" w:rsidRDefault="00B91BA5" w:rsidP="00B91BA5">
            <w:pPr>
              <w:jc w:val="center"/>
              <w:rPr>
                <w:rFonts w:ascii="Garamond" w:hAnsi="Garamond"/>
              </w:rPr>
            </w:pPr>
          </w:p>
        </w:tc>
        <w:tc>
          <w:tcPr>
            <w:tcW w:w="0" w:type="auto"/>
            <w:vAlign w:val="center"/>
          </w:tcPr>
          <w:p w14:paraId="507FF935" w14:textId="77777777" w:rsidR="00B91BA5" w:rsidRPr="00B91BA5" w:rsidRDefault="00B91BA5" w:rsidP="00B91BA5">
            <w:pPr>
              <w:jc w:val="center"/>
              <w:rPr>
                <w:rFonts w:ascii="Garamond" w:hAnsi="Garamond"/>
              </w:rPr>
            </w:pPr>
          </w:p>
        </w:tc>
        <w:tc>
          <w:tcPr>
            <w:tcW w:w="0" w:type="auto"/>
            <w:vAlign w:val="center"/>
          </w:tcPr>
          <w:p w14:paraId="5888366D" w14:textId="77777777" w:rsidR="00B91BA5" w:rsidRPr="00B91BA5" w:rsidRDefault="00B91BA5" w:rsidP="00B91BA5">
            <w:pPr>
              <w:jc w:val="center"/>
              <w:rPr>
                <w:rFonts w:ascii="Garamond" w:hAnsi="Garamond"/>
              </w:rPr>
            </w:pPr>
          </w:p>
        </w:tc>
        <w:tc>
          <w:tcPr>
            <w:tcW w:w="0" w:type="auto"/>
            <w:shd w:val="clear" w:color="auto" w:fill="000000" w:themeFill="text1"/>
            <w:vAlign w:val="center"/>
          </w:tcPr>
          <w:p w14:paraId="7C9CDB12" w14:textId="77777777" w:rsidR="00B91BA5" w:rsidRPr="00B91BA5" w:rsidRDefault="00B91BA5" w:rsidP="00B91BA5">
            <w:pPr>
              <w:jc w:val="center"/>
              <w:rPr>
                <w:rFonts w:ascii="Garamond" w:hAnsi="Garamond"/>
              </w:rPr>
            </w:pPr>
          </w:p>
        </w:tc>
      </w:tr>
      <w:tr w:rsidR="00B91BA5" w:rsidRPr="00663A4B" w14:paraId="5B2F111A" w14:textId="77777777" w:rsidTr="00B91BA5">
        <w:tc>
          <w:tcPr>
            <w:tcW w:w="3119" w:type="dxa"/>
            <w:vAlign w:val="center"/>
          </w:tcPr>
          <w:p w14:paraId="4D3CD1E9" w14:textId="77777777" w:rsidR="00B91BA5" w:rsidRPr="00663A4B" w:rsidRDefault="00B91BA5" w:rsidP="00B91BA5">
            <w:pPr>
              <w:jc w:val="center"/>
              <w:rPr>
                <w:rFonts w:ascii="Garamond" w:hAnsi="Garamond"/>
              </w:rPr>
            </w:pPr>
          </w:p>
        </w:tc>
        <w:tc>
          <w:tcPr>
            <w:tcW w:w="607" w:type="dxa"/>
            <w:vAlign w:val="center"/>
          </w:tcPr>
          <w:p w14:paraId="314DC3B1" w14:textId="77777777" w:rsidR="00B91BA5" w:rsidRPr="00663A4B" w:rsidRDefault="00B91BA5" w:rsidP="00B91BA5">
            <w:pPr>
              <w:jc w:val="center"/>
              <w:rPr>
                <w:rFonts w:ascii="Garamond" w:hAnsi="Garamond"/>
                <w:sz w:val="20"/>
                <w:szCs w:val="20"/>
              </w:rPr>
            </w:pPr>
          </w:p>
        </w:tc>
        <w:tc>
          <w:tcPr>
            <w:tcW w:w="1624" w:type="dxa"/>
            <w:vAlign w:val="center"/>
          </w:tcPr>
          <w:p w14:paraId="0F59344C" w14:textId="77777777" w:rsidR="00B91BA5" w:rsidRPr="00663A4B" w:rsidRDefault="00B91BA5" w:rsidP="00B91BA5">
            <w:pPr>
              <w:jc w:val="center"/>
              <w:rPr>
                <w:rFonts w:ascii="Garamond" w:hAnsi="Garamond"/>
                <w:sz w:val="20"/>
                <w:szCs w:val="20"/>
              </w:rPr>
            </w:pPr>
          </w:p>
        </w:tc>
        <w:tc>
          <w:tcPr>
            <w:tcW w:w="0" w:type="auto"/>
            <w:vAlign w:val="center"/>
          </w:tcPr>
          <w:p w14:paraId="6C37F6A9" w14:textId="77777777" w:rsidR="00B91BA5" w:rsidRPr="00B91BA5" w:rsidRDefault="00B91BA5" w:rsidP="00B91BA5">
            <w:pPr>
              <w:jc w:val="center"/>
              <w:rPr>
                <w:rFonts w:ascii="Garamond" w:hAnsi="Garamond"/>
              </w:rPr>
            </w:pPr>
          </w:p>
        </w:tc>
        <w:tc>
          <w:tcPr>
            <w:tcW w:w="0" w:type="auto"/>
            <w:vAlign w:val="center"/>
          </w:tcPr>
          <w:p w14:paraId="39FEB44C" w14:textId="77777777" w:rsidR="00B91BA5" w:rsidRPr="00B91BA5" w:rsidRDefault="00B91BA5" w:rsidP="00B91BA5">
            <w:pPr>
              <w:jc w:val="center"/>
              <w:rPr>
                <w:rFonts w:ascii="Garamond" w:hAnsi="Garamond"/>
              </w:rPr>
            </w:pPr>
          </w:p>
        </w:tc>
        <w:tc>
          <w:tcPr>
            <w:tcW w:w="0" w:type="auto"/>
            <w:vAlign w:val="center"/>
          </w:tcPr>
          <w:p w14:paraId="7B5787AB" w14:textId="77777777" w:rsidR="00B91BA5" w:rsidRPr="00B91BA5" w:rsidRDefault="00B91BA5" w:rsidP="00B91BA5">
            <w:pPr>
              <w:jc w:val="center"/>
              <w:rPr>
                <w:rFonts w:ascii="Garamond" w:hAnsi="Garamond"/>
              </w:rPr>
            </w:pPr>
          </w:p>
        </w:tc>
        <w:tc>
          <w:tcPr>
            <w:tcW w:w="0" w:type="auto"/>
            <w:vAlign w:val="center"/>
          </w:tcPr>
          <w:p w14:paraId="67FCB6EF" w14:textId="77777777" w:rsidR="00B91BA5" w:rsidRPr="00B91BA5" w:rsidRDefault="00B91BA5" w:rsidP="00B91BA5">
            <w:pPr>
              <w:jc w:val="center"/>
              <w:rPr>
                <w:rFonts w:ascii="Garamond" w:hAnsi="Garamond"/>
              </w:rPr>
            </w:pPr>
          </w:p>
        </w:tc>
        <w:tc>
          <w:tcPr>
            <w:tcW w:w="0" w:type="auto"/>
            <w:vAlign w:val="center"/>
          </w:tcPr>
          <w:p w14:paraId="6502ECED" w14:textId="77777777" w:rsidR="00B91BA5" w:rsidRPr="00B91BA5" w:rsidRDefault="00B91BA5" w:rsidP="00B91BA5">
            <w:pPr>
              <w:jc w:val="center"/>
              <w:rPr>
                <w:rFonts w:ascii="Garamond" w:hAnsi="Garamond"/>
              </w:rPr>
            </w:pPr>
          </w:p>
        </w:tc>
        <w:tc>
          <w:tcPr>
            <w:tcW w:w="0" w:type="auto"/>
            <w:vAlign w:val="center"/>
          </w:tcPr>
          <w:p w14:paraId="3C4834D6" w14:textId="77777777" w:rsidR="00B91BA5" w:rsidRPr="00B91BA5" w:rsidRDefault="00B91BA5" w:rsidP="00B91BA5">
            <w:pPr>
              <w:jc w:val="center"/>
              <w:rPr>
                <w:rFonts w:ascii="Garamond" w:hAnsi="Garamond"/>
              </w:rPr>
            </w:pPr>
          </w:p>
        </w:tc>
        <w:tc>
          <w:tcPr>
            <w:tcW w:w="0" w:type="auto"/>
            <w:vAlign w:val="center"/>
          </w:tcPr>
          <w:p w14:paraId="391FCF6F" w14:textId="77777777" w:rsidR="00B91BA5" w:rsidRPr="00B91BA5" w:rsidRDefault="00B91BA5" w:rsidP="00B91BA5">
            <w:pPr>
              <w:jc w:val="center"/>
              <w:rPr>
                <w:rFonts w:ascii="Garamond" w:hAnsi="Garamond"/>
              </w:rPr>
            </w:pPr>
          </w:p>
        </w:tc>
        <w:tc>
          <w:tcPr>
            <w:tcW w:w="0" w:type="auto"/>
            <w:vAlign w:val="center"/>
          </w:tcPr>
          <w:p w14:paraId="14659910" w14:textId="77777777" w:rsidR="00B91BA5" w:rsidRPr="00B91BA5" w:rsidRDefault="00B91BA5" w:rsidP="00B91BA5">
            <w:pPr>
              <w:jc w:val="center"/>
              <w:rPr>
                <w:rFonts w:ascii="Garamond" w:hAnsi="Garamond"/>
              </w:rPr>
            </w:pPr>
          </w:p>
        </w:tc>
        <w:tc>
          <w:tcPr>
            <w:tcW w:w="0" w:type="auto"/>
            <w:shd w:val="clear" w:color="auto" w:fill="FFFFFF" w:themeFill="background1"/>
            <w:vAlign w:val="center"/>
          </w:tcPr>
          <w:p w14:paraId="18ADB615" w14:textId="77777777" w:rsidR="00B91BA5" w:rsidRPr="00B91BA5" w:rsidRDefault="00B91BA5" w:rsidP="00B91BA5">
            <w:pPr>
              <w:jc w:val="center"/>
              <w:rPr>
                <w:rFonts w:ascii="Garamond" w:hAnsi="Garamond"/>
              </w:rPr>
            </w:pPr>
          </w:p>
        </w:tc>
      </w:tr>
    </w:tbl>
    <w:p w14:paraId="37B00B9B" w14:textId="77777777" w:rsidR="00663A4B" w:rsidRPr="00663A4B" w:rsidRDefault="00663A4B" w:rsidP="00663A4B">
      <w:pPr>
        <w:spacing w:line="480" w:lineRule="auto"/>
        <w:ind w:left="-709" w:right="-782"/>
        <w:rPr>
          <w:rFonts w:ascii="Garamond" w:eastAsiaTheme="minorHAnsi" w:hAnsi="Garamond" w:cstheme="minorBidi"/>
          <w:lang w:eastAsia="en-US"/>
        </w:rPr>
      </w:pPr>
      <w:r w:rsidRPr="00663A4B">
        <w:rPr>
          <w:rFonts w:ascii="Garamond" w:eastAsiaTheme="minorHAnsi" w:hAnsi="Garamond" w:cstheme="minorBidi"/>
          <w:lang w:eastAsia="en-US"/>
        </w:rPr>
        <w:t>Table 1: Bivariate correlations between study variables</w:t>
      </w:r>
    </w:p>
    <w:p w14:paraId="77BA0821" w14:textId="77777777" w:rsidR="00B91BA5" w:rsidRDefault="00B91BA5" w:rsidP="00B91BA5">
      <w:pPr>
        <w:ind w:left="-709" w:right="-782" w:firstLine="283"/>
        <w:rPr>
          <w:rFonts w:ascii="Garamond" w:eastAsia="Times New Roman" w:hAnsi="Garamond" w:cs="Times New Roman"/>
        </w:rPr>
      </w:pPr>
      <w:r w:rsidRPr="00663A4B">
        <w:rPr>
          <w:rFonts w:ascii="Garamond" w:eastAsia="Times New Roman" w:hAnsi="Garamond" w:cs="Times New Roman"/>
        </w:rPr>
        <w:t xml:space="preserve">* = </w:t>
      </w:r>
      <w:r w:rsidRPr="00663A4B">
        <w:rPr>
          <w:rFonts w:ascii="Garamond" w:eastAsia="Times New Roman" w:hAnsi="Garamond" w:cs="Times New Roman"/>
          <w:i/>
        </w:rPr>
        <w:t>p</w:t>
      </w:r>
      <w:r w:rsidRPr="00663A4B">
        <w:rPr>
          <w:rFonts w:ascii="Garamond" w:eastAsia="Times New Roman" w:hAnsi="Garamond" w:cs="Times New Roman"/>
        </w:rPr>
        <w:t xml:space="preserve"> &lt;.05; ** = </w:t>
      </w:r>
      <w:r w:rsidRPr="00663A4B">
        <w:rPr>
          <w:rFonts w:ascii="Garamond" w:eastAsia="Times New Roman" w:hAnsi="Garamond" w:cs="Times New Roman"/>
          <w:i/>
        </w:rPr>
        <w:t>p</w:t>
      </w:r>
      <w:r w:rsidRPr="00663A4B">
        <w:rPr>
          <w:rFonts w:ascii="Garamond" w:eastAsia="Times New Roman" w:hAnsi="Garamond" w:cs="Times New Roman"/>
        </w:rPr>
        <w:t xml:space="preserve"> &lt; .01; *** = </w:t>
      </w:r>
      <w:r w:rsidRPr="00663A4B">
        <w:rPr>
          <w:rFonts w:ascii="Garamond" w:eastAsia="Times New Roman" w:hAnsi="Garamond" w:cs="Times New Roman"/>
          <w:i/>
        </w:rPr>
        <w:t>p</w:t>
      </w:r>
      <w:r>
        <w:rPr>
          <w:rFonts w:ascii="Garamond" w:eastAsia="Times New Roman" w:hAnsi="Garamond" w:cs="Times New Roman"/>
        </w:rPr>
        <w:t xml:space="preserve"> &lt; .001</w:t>
      </w:r>
    </w:p>
    <w:p w14:paraId="36D6DD7D" w14:textId="77777777" w:rsidR="00B91BA5" w:rsidRPr="00663A4B" w:rsidRDefault="00B91BA5" w:rsidP="00B91BA5">
      <w:pPr>
        <w:ind w:left="-709" w:right="-782" w:firstLine="283"/>
        <w:rPr>
          <w:rFonts w:ascii="Garamond" w:eastAsia="Times New Roman" w:hAnsi="Garamond" w:cs="Times New Roman"/>
        </w:rPr>
      </w:pPr>
      <w:r w:rsidRPr="00663A4B">
        <w:rPr>
          <w:rFonts w:ascii="Garamond" w:hAnsi="Garamond"/>
          <w:lang w:eastAsia="en-US"/>
        </w:rPr>
        <w:t>Gender coding: Male = 1; Female = 2</w:t>
      </w:r>
      <w:r w:rsidRPr="00663A4B">
        <w:rPr>
          <w:rFonts w:ascii="Garamond" w:hAnsi="Garamond"/>
          <w:lang w:eastAsia="en-US"/>
        </w:rPr>
        <w:br/>
      </w:r>
    </w:p>
    <w:p w14:paraId="6BFBD5DB" w14:textId="77777777" w:rsidR="00663A4B" w:rsidRPr="00663A4B" w:rsidRDefault="00663A4B" w:rsidP="00663A4B">
      <w:pPr>
        <w:ind w:left="-709" w:right="-782"/>
        <w:rPr>
          <w:rFonts w:ascii="Garamond" w:eastAsia="Times New Roman" w:hAnsi="Garamond" w:cs="Times New Roman"/>
        </w:rPr>
      </w:pPr>
      <w:r>
        <w:rPr>
          <w:rFonts w:ascii="Garamond" w:eastAsia="Times New Roman" w:hAnsi="Garamond" w:cs="Times New Roman"/>
        </w:rPr>
        <w:t xml:space="preserve">                                                                                                             </w:t>
      </w:r>
    </w:p>
    <w:p w14:paraId="37481D68" w14:textId="77777777" w:rsidR="00663A4B" w:rsidRPr="00663A4B" w:rsidRDefault="00663A4B" w:rsidP="00663A4B">
      <w:pPr>
        <w:ind w:left="-709" w:right="-782"/>
        <w:rPr>
          <w:rFonts w:ascii="Garamond" w:eastAsia="Times New Roman" w:hAnsi="Garamond" w:cs="Times New Roman"/>
        </w:rPr>
      </w:pPr>
    </w:p>
    <w:p w14:paraId="649CF984" w14:textId="77777777" w:rsidR="00663A4B" w:rsidRPr="00663A4B" w:rsidRDefault="00663A4B" w:rsidP="00663A4B">
      <w:pPr>
        <w:ind w:left="-709" w:right="-782"/>
        <w:rPr>
          <w:rFonts w:ascii="Garamond" w:eastAsia="Times New Roman" w:hAnsi="Garamond" w:cs="Times New Roman"/>
        </w:rPr>
      </w:pPr>
    </w:p>
    <w:p w14:paraId="751D3BE1" w14:textId="77777777" w:rsidR="00663A4B" w:rsidRPr="00663A4B" w:rsidRDefault="00663A4B" w:rsidP="00663A4B">
      <w:pPr>
        <w:ind w:left="-709" w:right="-782"/>
        <w:rPr>
          <w:rFonts w:ascii="Garamond" w:eastAsia="Times New Roman" w:hAnsi="Garamond" w:cs="Times New Roman"/>
        </w:rPr>
      </w:pPr>
    </w:p>
    <w:p w14:paraId="7D8F1B66" w14:textId="77777777" w:rsidR="00663A4B" w:rsidRPr="00663A4B" w:rsidRDefault="00663A4B" w:rsidP="00663A4B">
      <w:pPr>
        <w:ind w:left="-709" w:right="-782"/>
        <w:rPr>
          <w:rFonts w:ascii="Garamond" w:eastAsia="Times New Roman" w:hAnsi="Garamond" w:cs="Times New Roman"/>
        </w:rPr>
      </w:pPr>
    </w:p>
    <w:p w14:paraId="761B1136" w14:textId="77777777" w:rsidR="00663A4B" w:rsidRPr="00663A4B" w:rsidRDefault="00B91BA5" w:rsidP="00B91BA5">
      <w:pPr>
        <w:rPr>
          <w:rFonts w:ascii="Garamond" w:eastAsia="Times New Roman" w:hAnsi="Garamond" w:cs="Times New Roman"/>
        </w:rPr>
      </w:pPr>
      <w:r w:rsidRPr="00663A4B">
        <w:rPr>
          <w:rFonts w:ascii="Garamond" w:eastAsia="Times New Roman" w:hAnsi="Garamond" w:cs="Times New Roman"/>
        </w:rPr>
        <w:lastRenderedPageBreak/>
        <w:t>Table 2: Linear regression with social identification with the treatme</w:t>
      </w:r>
      <w:r>
        <w:rPr>
          <w:rFonts w:ascii="Garamond" w:eastAsia="Times New Roman" w:hAnsi="Garamond" w:cs="Times New Roman"/>
        </w:rPr>
        <w:t>nt group specified as criterion variable</w:t>
      </w:r>
    </w:p>
    <w:tbl>
      <w:tblPr>
        <w:tblpPr w:leftFromText="180" w:rightFromText="180" w:vertAnchor="page" w:horzAnchor="margin" w:tblpY="2161"/>
        <w:tblW w:w="0" w:type="auto"/>
        <w:tblBorders>
          <w:top w:val="single" w:sz="4" w:space="0" w:color="auto"/>
          <w:bottom w:val="single" w:sz="4" w:space="0" w:color="auto"/>
        </w:tblBorders>
        <w:tblLook w:val="01E0" w:firstRow="1" w:lastRow="1" w:firstColumn="1" w:lastColumn="1" w:noHBand="0" w:noVBand="0"/>
      </w:tblPr>
      <w:tblGrid>
        <w:gridCol w:w="2710"/>
        <w:gridCol w:w="540"/>
        <w:gridCol w:w="478"/>
        <w:gridCol w:w="753"/>
        <w:gridCol w:w="643"/>
        <w:gridCol w:w="222"/>
        <w:gridCol w:w="471"/>
        <w:gridCol w:w="478"/>
        <w:gridCol w:w="659"/>
        <w:gridCol w:w="574"/>
        <w:gridCol w:w="1064"/>
        <w:gridCol w:w="574"/>
      </w:tblGrid>
      <w:tr w:rsidR="00B91BA5" w:rsidRPr="00663A4B" w14:paraId="16CDDAF0" w14:textId="77777777" w:rsidTr="00F67B10">
        <w:tc>
          <w:tcPr>
            <w:tcW w:w="0" w:type="auto"/>
            <w:shd w:val="clear" w:color="auto" w:fill="auto"/>
          </w:tcPr>
          <w:p w14:paraId="077039E2" w14:textId="77777777" w:rsidR="00B91BA5" w:rsidRPr="00663A4B" w:rsidRDefault="00B91BA5" w:rsidP="00F67B10">
            <w:pPr>
              <w:jc w:val="both"/>
              <w:rPr>
                <w:rFonts w:asciiTheme="minorHAnsi" w:eastAsiaTheme="minorHAnsi" w:hAnsiTheme="minorHAnsi" w:cstheme="minorBidi"/>
                <w:sz w:val="22"/>
                <w:szCs w:val="22"/>
                <w:u w:val="single"/>
                <w:lang w:val="en-US" w:eastAsia="en-US"/>
              </w:rPr>
            </w:pPr>
          </w:p>
        </w:tc>
        <w:tc>
          <w:tcPr>
            <w:tcW w:w="0" w:type="auto"/>
            <w:gridSpan w:val="3"/>
            <w:shd w:val="clear" w:color="auto" w:fill="auto"/>
          </w:tcPr>
          <w:p w14:paraId="776950EA" w14:textId="77777777" w:rsidR="00B91BA5" w:rsidRPr="00663A4B" w:rsidRDefault="00B91BA5" w:rsidP="00F67B10">
            <w:pPr>
              <w:jc w:val="both"/>
              <w:rPr>
                <w:rFonts w:asciiTheme="minorHAnsi" w:eastAsiaTheme="minorHAnsi" w:hAnsiTheme="minorHAnsi" w:cstheme="minorBidi"/>
                <w:sz w:val="22"/>
                <w:szCs w:val="22"/>
                <w:lang w:val="en-US" w:eastAsia="en-US"/>
              </w:rPr>
            </w:pPr>
          </w:p>
        </w:tc>
        <w:tc>
          <w:tcPr>
            <w:tcW w:w="0" w:type="auto"/>
          </w:tcPr>
          <w:p w14:paraId="1E521B98" w14:textId="77777777" w:rsidR="00B91BA5" w:rsidRPr="00663A4B" w:rsidRDefault="00B91BA5" w:rsidP="00F67B10">
            <w:pPr>
              <w:jc w:val="both"/>
              <w:rPr>
                <w:rFonts w:asciiTheme="minorHAnsi" w:eastAsiaTheme="minorHAnsi" w:hAnsiTheme="minorHAnsi" w:cstheme="minorBidi"/>
                <w:sz w:val="22"/>
                <w:szCs w:val="22"/>
                <w:lang w:val="en-US" w:eastAsia="en-US"/>
              </w:rPr>
            </w:pPr>
          </w:p>
        </w:tc>
        <w:tc>
          <w:tcPr>
            <w:tcW w:w="0" w:type="auto"/>
          </w:tcPr>
          <w:p w14:paraId="4EF94FFD" w14:textId="77777777" w:rsidR="00B91BA5" w:rsidRPr="00663A4B" w:rsidRDefault="00B91BA5" w:rsidP="00F67B10">
            <w:pPr>
              <w:jc w:val="both"/>
              <w:rPr>
                <w:rFonts w:asciiTheme="minorHAnsi" w:eastAsiaTheme="minorHAnsi" w:hAnsiTheme="minorHAnsi" w:cstheme="minorBidi"/>
                <w:sz w:val="22"/>
                <w:szCs w:val="22"/>
                <w:lang w:val="en-US" w:eastAsia="en-US"/>
              </w:rPr>
            </w:pPr>
          </w:p>
        </w:tc>
        <w:tc>
          <w:tcPr>
            <w:tcW w:w="0" w:type="auto"/>
            <w:gridSpan w:val="3"/>
            <w:shd w:val="clear" w:color="auto" w:fill="auto"/>
          </w:tcPr>
          <w:p w14:paraId="4D7E7879" w14:textId="77777777" w:rsidR="00B91BA5" w:rsidRPr="00663A4B" w:rsidRDefault="00B91BA5" w:rsidP="00F67B10">
            <w:pPr>
              <w:jc w:val="both"/>
              <w:rPr>
                <w:rFonts w:asciiTheme="minorHAnsi" w:eastAsiaTheme="minorHAnsi" w:hAnsiTheme="minorHAnsi" w:cstheme="minorBidi"/>
                <w:sz w:val="22"/>
                <w:szCs w:val="22"/>
                <w:lang w:val="en-US" w:eastAsia="en-US"/>
              </w:rPr>
            </w:pPr>
          </w:p>
        </w:tc>
        <w:tc>
          <w:tcPr>
            <w:tcW w:w="0" w:type="auto"/>
          </w:tcPr>
          <w:p w14:paraId="07E09273" w14:textId="77777777" w:rsidR="00B91BA5" w:rsidRPr="00663A4B" w:rsidRDefault="00B91BA5" w:rsidP="00F67B10">
            <w:pPr>
              <w:jc w:val="both"/>
              <w:rPr>
                <w:rFonts w:asciiTheme="minorHAnsi" w:eastAsiaTheme="minorHAnsi" w:hAnsiTheme="minorHAnsi" w:cstheme="minorBidi"/>
                <w:sz w:val="22"/>
                <w:szCs w:val="22"/>
                <w:lang w:val="en-US" w:eastAsia="en-US"/>
              </w:rPr>
            </w:pPr>
          </w:p>
        </w:tc>
        <w:tc>
          <w:tcPr>
            <w:tcW w:w="0" w:type="auto"/>
          </w:tcPr>
          <w:p w14:paraId="4D5F0D1C" w14:textId="77777777" w:rsidR="00B91BA5" w:rsidRPr="00663A4B" w:rsidRDefault="00B91BA5" w:rsidP="00F67B10">
            <w:pPr>
              <w:jc w:val="both"/>
              <w:rPr>
                <w:rFonts w:asciiTheme="minorHAnsi" w:eastAsiaTheme="minorHAnsi" w:hAnsiTheme="minorHAnsi" w:cstheme="minorBidi"/>
                <w:sz w:val="22"/>
                <w:szCs w:val="22"/>
                <w:lang w:val="en-US" w:eastAsia="en-US"/>
              </w:rPr>
            </w:pPr>
          </w:p>
        </w:tc>
        <w:tc>
          <w:tcPr>
            <w:tcW w:w="0" w:type="auto"/>
          </w:tcPr>
          <w:p w14:paraId="5286C203" w14:textId="77777777" w:rsidR="00B91BA5" w:rsidRPr="00663A4B" w:rsidRDefault="00B91BA5" w:rsidP="00F67B10">
            <w:pPr>
              <w:jc w:val="both"/>
              <w:rPr>
                <w:rFonts w:asciiTheme="minorHAnsi" w:eastAsiaTheme="minorHAnsi" w:hAnsiTheme="minorHAnsi" w:cstheme="minorBidi"/>
                <w:sz w:val="22"/>
                <w:szCs w:val="22"/>
                <w:lang w:val="en-US" w:eastAsia="en-US"/>
              </w:rPr>
            </w:pPr>
          </w:p>
        </w:tc>
      </w:tr>
      <w:tr w:rsidR="00B91BA5" w:rsidRPr="00663A4B" w14:paraId="21B0E9B2" w14:textId="77777777" w:rsidTr="00F67B10">
        <w:tc>
          <w:tcPr>
            <w:tcW w:w="0" w:type="auto"/>
            <w:shd w:val="clear" w:color="auto" w:fill="auto"/>
          </w:tcPr>
          <w:p w14:paraId="7254E79A" w14:textId="77777777" w:rsidR="00B91BA5" w:rsidRPr="00663A4B" w:rsidRDefault="00B91BA5" w:rsidP="00F67B10">
            <w:pPr>
              <w:jc w:val="both"/>
              <w:rPr>
                <w:rFonts w:ascii="Garamond" w:eastAsiaTheme="minorHAnsi" w:hAnsi="Garamond" w:cstheme="minorBidi"/>
                <w:sz w:val="22"/>
                <w:szCs w:val="22"/>
                <w:u w:val="single"/>
                <w:lang w:val="en-US" w:eastAsia="en-US"/>
              </w:rPr>
            </w:pPr>
            <w:r w:rsidRPr="00663A4B">
              <w:rPr>
                <w:rFonts w:ascii="Garamond" w:eastAsiaTheme="minorHAnsi" w:hAnsi="Garamond" w:cstheme="minorBidi"/>
                <w:sz w:val="22"/>
                <w:szCs w:val="22"/>
                <w:u w:val="single"/>
                <w:lang w:val="en-US" w:eastAsia="en-US"/>
              </w:rPr>
              <w:t>Model</w:t>
            </w:r>
          </w:p>
        </w:tc>
        <w:tc>
          <w:tcPr>
            <w:tcW w:w="0" w:type="auto"/>
            <w:gridSpan w:val="3"/>
            <w:shd w:val="clear" w:color="auto" w:fill="auto"/>
          </w:tcPr>
          <w:p w14:paraId="3E45E48C" w14:textId="77777777" w:rsidR="00B91BA5" w:rsidRPr="00663A4B" w:rsidRDefault="00B91BA5" w:rsidP="00F67B10">
            <w:pPr>
              <w:jc w:val="center"/>
              <w:rPr>
                <w:rFonts w:ascii="Garamond" w:eastAsiaTheme="minorHAnsi" w:hAnsi="Garamond" w:cstheme="minorBidi"/>
                <w:sz w:val="22"/>
                <w:szCs w:val="22"/>
                <w:u w:val="single"/>
                <w:lang w:val="en-US" w:eastAsia="en-US"/>
              </w:rPr>
            </w:pPr>
            <w:r w:rsidRPr="00663A4B">
              <w:rPr>
                <w:rFonts w:ascii="Garamond" w:eastAsiaTheme="minorHAnsi" w:hAnsi="Garamond" w:cstheme="minorBidi"/>
                <w:sz w:val="22"/>
                <w:szCs w:val="22"/>
                <w:u w:val="single"/>
                <w:lang w:val="en-US" w:eastAsia="en-US"/>
              </w:rPr>
              <w:t>Step 1</w:t>
            </w:r>
          </w:p>
        </w:tc>
        <w:tc>
          <w:tcPr>
            <w:tcW w:w="0" w:type="auto"/>
          </w:tcPr>
          <w:p w14:paraId="1A5DB464" w14:textId="77777777" w:rsidR="00B91BA5" w:rsidRPr="00663A4B" w:rsidRDefault="00B91BA5" w:rsidP="00F67B10">
            <w:pPr>
              <w:jc w:val="center"/>
              <w:rPr>
                <w:rFonts w:ascii="Garamond" w:eastAsiaTheme="minorHAnsi" w:hAnsi="Garamond" w:cstheme="minorBidi"/>
                <w:sz w:val="22"/>
                <w:szCs w:val="22"/>
                <w:u w:val="single"/>
                <w:lang w:val="en-US" w:eastAsia="en-US"/>
              </w:rPr>
            </w:pPr>
          </w:p>
        </w:tc>
        <w:tc>
          <w:tcPr>
            <w:tcW w:w="0" w:type="auto"/>
          </w:tcPr>
          <w:p w14:paraId="17DE1887" w14:textId="77777777" w:rsidR="00B91BA5" w:rsidRPr="00663A4B" w:rsidRDefault="00B91BA5" w:rsidP="00F67B10">
            <w:pPr>
              <w:jc w:val="center"/>
              <w:rPr>
                <w:rFonts w:ascii="Garamond" w:eastAsiaTheme="minorHAnsi" w:hAnsi="Garamond" w:cstheme="minorBidi"/>
                <w:sz w:val="22"/>
                <w:szCs w:val="22"/>
                <w:u w:val="single"/>
                <w:lang w:val="en-US" w:eastAsia="en-US"/>
              </w:rPr>
            </w:pPr>
          </w:p>
        </w:tc>
        <w:tc>
          <w:tcPr>
            <w:tcW w:w="0" w:type="auto"/>
            <w:gridSpan w:val="3"/>
            <w:shd w:val="clear" w:color="auto" w:fill="auto"/>
          </w:tcPr>
          <w:p w14:paraId="3E5FAF5C" w14:textId="77777777" w:rsidR="00B91BA5" w:rsidRPr="00663A4B" w:rsidRDefault="00B91BA5" w:rsidP="00F67B10">
            <w:pPr>
              <w:jc w:val="center"/>
              <w:rPr>
                <w:rFonts w:ascii="Garamond" w:eastAsiaTheme="minorHAnsi" w:hAnsi="Garamond" w:cstheme="minorBidi"/>
                <w:sz w:val="22"/>
                <w:szCs w:val="22"/>
                <w:u w:val="single"/>
                <w:lang w:val="en-US" w:eastAsia="en-US"/>
              </w:rPr>
            </w:pPr>
            <w:r w:rsidRPr="00663A4B">
              <w:rPr>
                <w:rFonts w:ascii="Garamond" w:eastAsiaTheme="minorHAnsi" w:hAnsi="Garamond" w:cstheme="minorBidi"/>
                <w:sz w:val="22"/>
                <w:szCs w:val="22"/>
                <w:u w:val="single"/>
                <w:lang w:val="en-US" w:eastAsia="en-US"/>
              </w:rPr>
              <w:t>Step 2</w:t>
            </w:r>
          </w:p>
        </w:tc>
        <w:tc>
          <w:tcPr>
            <w:tcW w:w="0" w:type="auto"/>
          </w:tcPr>
          <w:p w14:paraId="77D73EBA" w14:textId="77777777" w:rsidR="00B91BA5" w:rsidRPr="00663A4B" w:rsidRDefault="00B91BA5" w:rsidP="00F67B10">
            <w:pPr>
              <w:jc w:val="center"/>
              <w:rPr>
                <w:rFonts w:ascii="Garamond" w:eastAsiaTheme="minorHAnsi" w:hAnsi="Garamond" w:cstheme="minorBidi"/>
                <w:sz w:val="22"/>
                <w:szCs w:val="22"/>
                <w:u w:val="single"/>
                <w:lang w:val="en-US" w:eastAsia="en-US"/>
              </w:rPr>
            </w:pPr>
          </w:p>
        </w:tc>
        <w:tc>
          <w:tcPr>
            <w:tcW w:w="0" w:type="auto"/>
          </w:tcPr>
          <w:p w14:paraId="178E4B67" w14:textId="77777777" w:rsidR="00B91BA5" w:rsidRPr="00663A4B" w:rsidRDefault="00B91BA5" w:rsidP="00F67B10">
            <w:pPr>
              <w:jc w:val="center"/>
              <w:rPr>
                <w:rFonts w:ascii="Garamond" w:eastAsiaTheme="minorHAnsi" w:hAnsi="Garamond" w:cstheme="minorBidi"/>
                <w:sz w:val="22"/>
                <w:szCs w:val="22"/>
                <w:u w:val="single"/>
                <w:lang w:val="en-US" w:eastAsia="en-US"/>
              </w:rPr>
            </w:pPr>
            <w:r w:rsidRPr="00663A4B">
              <w:rPr>
                <w:rFonts w:ascii="Garamond" w:eastAsiaTheme="minorHAnsi" w:hAnsi="Garamond" w:cstheme="minorBidi"/>
                <w:sz w:val="22"/>
                <w:szCs w:val="22"/>
                <w:u w:val="single"/>
                <w:lang w:val="en-US" w:eastAsia="en-US"/>
              </w:rPr>
              <w:t>Tolerance</w:t>
            </w:r>
          </w:p>
        </w:tc>
        <w:tc>
          <w:tcPr>
            <w:tcW w:w="0" w:type="auto"/>
          </w:tcPr>
          <w:p w14:paraId="48EF5C33" w14:textId="77777777" w:rsidR="00B91BA5" w:rsidRPr="00663A4B" w:rsidRDefault="00B91BA5" w:rsidP="00F67B10">
            <w:pPr>
              <w:jc w:val="center"/>
              <w:rPr>
                <w:rFonts w:ascii="Garamond" w:eastAsiaTheme="minorHAnsi" w:hAnsi="Garamond" w:cstheme="minorBidi"/>
                <w:sz w:val="22"/>
                <w:szCs w:val="22"/>
                <w:u w:val="single"/>
                <w:lang w:val="en-US" w:eastAsia="en-US"/>
              </w:rPr>
            </w:pPr>
            <w:r w:rsidRPr="00663A4B">
              <w:rPr>
                <w:rFonts w:ascii="Garamond" w:eastAsiaTheme="minorHAnsi" w:hAnsi="Garamond" w:cstheme="minorBidi"/>
                <w:sz w:val="22"/>
                <w:szCs w:val="22"/>
                <w:u w:val="single"/>
                <w:lang w:val="en-US" w:eastAsia="en-US"/>
              </w:rPr>
              <w:t>VIF</w:t>
            </w:r>
          </w:p>
        </w:tc>
      </w:tr>
      <w:tr w:rsidR="00B91BA5" w:rsidRPr="00663A4B" w14:paraId="3078644C" w14:textId="77777777" w:rsidTr="00F67B10">
        <w:tc>
          <w:tcPr>
            <w:tcW w:w="0" w:type="auto"/>
            <w:tcBorders>
              <w:bottom w:val="single" w:sz="4" w:space="0" w:color="auto"/>
            </w:tcBorders>
            <w:shd w:val="clear" w:color="auto" w:fill="auto"/>
          </w:tcPr>
          <w:p w14:paraId="1B020AFD"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gridSpan w:val="3"/>
            <w:shd w:val="clear" w:color="auto" w:fill="auto"/>
          </w:tcPr>
          <w:p w14:paraId="386C3DAA"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Borders>
              <w:bottom w:val="single" w:sz="4" w:space="0" w:color="auto"/>
            </w:tcBorders>
          </w:tcPr>
          <w:p w14:paraId="2B866D9D"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Borders>
              <w:bottom w:val="single" w:sz="4" w:space="0" w:color="auto"/>
            </w:tcBorders>
          </w:tcPr>
          <w:p w14:paraId="5F27E51E"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gridSpan w:val="3"/>
            <w:shd w:val="clear" w:color="auto" w:fill="auto"/>
          </w:tcPr>
          <w:p w14:paraId="188D9BDF"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Borders>
              <w:bottom w:val="single" w:sz="4" w:space="0" w:color="auto"/>
            </w:tcBorders>
          </w:tcPr>
          <w:p w14:paraId="0BA18A0A"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Borders>
              <w:bottom w:val="single" w:sz="4" w:space="0" w:color="auto"/>
            </w:tcBorders>
          </w:tcPr>
          <w:p w14:paraId="4F3954CF"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Borders>
              <w:bottom w:val="single" w:sz="4" w:space="0" w:color="auto"/>
            </w:tcBorders>
          </w:tcPr>
          <w:p w14:paraId="6577655C" w14:textId="77777777" w:rsidR="00B91BA5" w:rsidRPr="00663A4B" w:rsidRDefault="00B91BA5" w:rsidP="00F67B10">
            <w:pPr>
              <w:jc w:val="both"/>
              <w:rPr>
                <w:rFonts w:ascii="Garamond" w:eastAsiaTheme="minorHAnsi" w:hAnsi="Garamond" w:cstheme="minorBidi"/>
                <w:sz w:val="22"/>
                <w:szCs w:val="22"/>
                <w:lang w:val="en-US" w:eastAsia="en-US"/>
              </w:rPr>
            </w:pPr>
          </w:p>
        </w:tc>
      </w:tr>
      <w:tr w:rsidR="00B91BA5" w:rsidRPr="00663A4B" w14:paraId="546BE692" w14:textId="77777777" w:rsidTr="00F67B10">
        <w:tc>
          <w:tcPr>
            <w:tcW w:w="0" w:type="auto"/>
            <w:tcBorders>
              <w:top w:val="single" w:sz="4" w:space="0" w:color="auto"/>
            </w:tcBorders>
            <w:shd w:val="clear" w:color="auto" w:fill="auto"/>
          </w:tcPr>
          <w:p w14:paraId="15AC8457"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vMerge w:val="restart"/>
            <w:tcBorders>
              <w:top w:val="single" w:sz="4" w:space="0" w:color="auto"/>
            </w:tcBorders>
            <w:shd w:val="clear" w:color="auto" w:fill="auto"/>
            <w:vAlign w:val="center"/>
          </w:tcPr>
          <w:p w14:paraId="165DB116" w14:textId="77777777" w:rsidR="00B91BA5" w:rsidRPr="00663A4B" w:rsidRDefault="00B91BA5" w:rsidP="00F67B10">
            <w:pPr>
              <w:jc w:val="center"/>
              <w:rPr>
                <w:rFonts w:ascii="Garamond" w:eastAsiaTheme="minorHAnsi" w:hAnsi="Garamond" w:cstheme="minorBidi"/>
                <w:i/>
                <w:sz w:val="22"/>
                <w:szCs w:val="22"/>
                <w:u w:val="single"/>
                <w:lang w:val="en-US" w:eastAsia="en-US"/>
              </w:rPr>
            </w:pPr>
            <w:r w:rsidRPr="00663A4B">
              <w:rPr>
                <w:rFonts w:ascii="Garamond" w:eastAsiaTheme="minorHAnsi" w:hAnsi="Garamond" w:cstheme="minorBidi"/>
                <w:i/>
                <w:sz w:val="22"/>
                <w:szCs w:val="22"/>
                <w:u w:val="single"/>
                <w:lang w:val="en-US" w:eastAsia="en-US"/>
              </w:rPr>
              <w:t>B</w:t>
            </w:r>
          </w:p>
        </w:tc>
        <w:tc>
          <w:tcPr>
            <w:tcW w:w="0" w:type="auto"/>
            <w:vMerge w:val="restart"/>
            <w:tcBorders>
              <w:top w:val="single" w:sz="4" w:space="0" w:color="auto"/>
            </w:tcBorders>
            <w:shd w:val="clear" w:color="auto" w:fill="auto"/>
            <w:vAlign w:val="center"/>
          </w:tcPr>
          <w:p w14:paraId="235F444E" w14:textId="77777777" w:rsidR="00B91BA5" w:rsidRPr="00663A4B" w:rsidRDefault="00B91BA5" w:rsidP="00F67B10">
            <w:pPr>
              <w:jc w:val="center"/>
              <w:rPr>
                <w:rFonts w:ascii="Garamond" w:eastAsiaTheme="minorHAnsi" w:hAnsi="Garamond" w:cstheme="minorBidi"/>
                <w:i/>
                <w:sz w:val="22"/>
                <w:szCs w:val="22"/>
                <w:u w:val="single"/>
                <w:lang w:val="en-US" w:eastAsia="en-US"/>
              </w:rPr>
            </w:pPr>
            <w:r w:rsidRPr="00663A4B">
              <w:rPr>
                <w:rFonts w:ascii="Garamond" w:eastAsiaTheme="minorHAnsi" w:hAnsi="Garamond" w:cstheme="minorBidi"/>
                <w:i/>
                <w:sz w:val="22"/>
                <w:szCs w:val="22"/>
                <w:u w:val="single"/>
                <w:lang w:val="en-US" w:eastAsia="en-US"/>
              </w:rPr>
              <w:t>SE</w:t>
            </w:r>
          </w:p>
        </w:tc>
        <w:tc>
          <w:tcPr>
            <w:tcW w:w="0" w:type="auto"/>
            <w:vMerge w:val="restart"/>
            <w:tcBorders>
              <w:top w:val="single" w:sz="4" w:space="0" w:color="auto"/>
            </w:tcBorders>
            <w:shd w:val="clear" w:color="auto" w:fill="auto"/>
            <w:vAlign w:val="center"/>
          </w:tcPr>
          <w:p w14:paraId="18CC175D" w14:textId="77777777" w:rsidR="00B91BA5" w:rsidRPr="00663A4B" w:rsidRDefault="00B91BA5" w:rsidP="00F67B10">
            <w:pPr>
              <w:jc w:val="center"/>
              <w:rPr>
                <w:rFonts w:ascii="Garamond" w:eastAsiaTheme="minorHAnsi" w:hAnsi="Garamond" w:cstheme="minorBidi"/>
                <w:i/>
                <w:sz w:val="22"/>
                <w:szCs w:val="22"/>
                <w:u w:val="single"/>
                <w:lang w:val="en-US" w:eastAsia="en-US"/>
              </w:rPr>
            </w:pPr>
            <w:r w:rsidRPr="00663A4B">
              <w:rPr>
                <w:rFonts w:ascii="Garamond" w:eastAsiaTheme="minorHAnsi" w:hAnsi="Garamond" w:cstheme="minorBidi"/>
                <w:i/>
                <w:sz w:val="22"/>
                <w:szCs w:val="22"/>
                <w:u w:val="single"/>
                <w:lang w:val="en-US" w:eastAsia="en-US"/>
              </w:rPr>
              <w:t>β</w:t>
            </w:r>
          </w:p>
        </w:tc>
        <w:tc>
          <w:tcPr>
            <w:tcW w:w="0" w:type="auto"/>
            <w:vMerge w:val="restart"/>
            <w:tcBorders>
              <w:top w:val="single" w:sz="4" w:space="0" w:color="auto"/>
            </w:tcBorders>
            <w:vAlign w:val="center"/>
          </w:tcPr>
          <w:p w14:paraId="68A91902" w14:textId="77777777" w:rsidR="00B91BA5" w:rsidRPr="00663A4B" w:rsidRDefault="00B91BA5" w:rsidP="00F67B10">
            <w:pPr>
              <w:jc w:val="center"/>
              <w:rPr>
                <w:rFonts w:ascii="Garamond" w:eastAsiaTheme="minorHAnsi" w:hAnsi="Garamond" w:cstheme="minorBidi"/>
                <w:i/>
                <w:sz w:val="22"/>
                <w:szCs w:val="22"/>
                <w:u w:val="single"/>
                <w:lang w:val="en-US" w:eastAsia="en-US"/>
              </w:rPr>
            </w:pPr>
            <w:r w:rsidRPr="00663A4B">
              <w:rPr>
                <w:rFonts w:ascii="Garamond" w:eastAsiaTheme="minorHAnsi" w:hAnsi="Garamond" w:cstheme="minorBidi"/>
                <w:i/>
                <w:sz w:val="22"/>
                <w:szCs w:val="22"/>
                <w:u w:val="single"/>
                <w:lang w:val="en-US" w:eastAsia="en-US"/>
              </w:rPr>
              <w:t>t</w:t>
            </w:r>
          </w:p>
        </w:tc>
        <w:tc>
          <w:tcPr>
            <w:tcW w:w="0" w:type="auto"/>
            <w:vMerge w:val="restart"/>
            <w:tcBorders>
              <w:top w:val="single" w:sz="4" w:space="0" w:color="auto"/>
            </w:tcBorders>
          </w:tcPr>
          <w:p w14:paraId="3A3153D8" w14:textId="77777777" w:rsidR="00B91BA5" w:rsidRPr="00663A4B" w:rsidRDefault="00B91BA5" w:rsidP="00F67B10">
            <w:pPr>
              <w:jc w:val="center"/>
              <w:rPr>
                <w:rFonts w:ascii="Garamond" w:eastAsiaTheme="minorHAnsi" w:hAnsi="Garamond" w:cstheme="minorBidi"/>
                <w:i/>
                <w:sz w:val="22"/>
                <w:szCs w:val="22"/>
                <w:u w:val="single"/>
                <w:lang w:val="en-US" w:eastAsia="en-US"/>
              </w:rPr>
            </w:pPr>
          </w:p>
        </w:tc>
        <w:tc>
          <w:tcPr>
            <w:tcW w:w="0" w:type="auto"/>
            <w:vMerge w:val="restart"/>
            <w:tcBorders>
              <w:top w:val="single" w:sz="4" w:space="0" w:color="auto"/>
            </w:tcBorders>
            <w:shd w:val="clear" w:color="auto" w:fill="auto"/>
            <w:vAlign w:val="center"/>
          </w:tcPr>
          <w:p w14:paraId="116A5173" w14:textId="77777777" w:rsidR="00B91BA5" w:rsidRPr="00663A4B" w:rsidRDefault="00B91BA5" w:rsidP="00F67B10">
            <w:pPr>
              <w:jc w:val="center"/>
              <w:rPr>
                <w:rFonts w:ascii="Garamond" w:eastAsiaTheme="minorHAnsi" w:hAnsi="Garamond" w:cstheme="minorBidi"/>
                <w:i/>
                <w:sz w:val="22"/>
                <w:szCs w:val="22"/>
                <w:u w:val="single"/>
                <w:lang w:val="en-US" w:eastAsia="en-US"/>
              </w:rPr>
            </w:pPr>
            <w:r w:rsidRPr="00663A4B">
              <w:rPr>
                <w:rFonts w:ascii="Garamond" w:eastAsiaTheme="minorHAnsi" w:hAnsi="Garamond" w:cstheme="minorBidi"/>
                <w:i/>
                <w:sz w:val="22"/>
                <w:szCs w:val="22"/>
                <w:u w:val="single"/>
                <w:lang w:val="en-US" w:eastAsia="en-US"/>
              </w:rPr>
              <w:t>B</w:t>
            </w:r>
          </w:p>
        </w:tc>
        <w:tc>
          <w:tcPr>
            <w:tcW w:w="0" w:type="auto"/>
            <w:vMerge w:val="restart"/>
            <w:tcBorders>
              <w:top w:val="single" w:sz="4" w:space="0" w:color="auto"/>
            </w:tcBorders>
            <w:shd w:val="clear" w:color="auto" w:fill="auto"/>
            <w:vAlign w:val="center"/>
          </w:tcPr>
          <w:p w14:paraId="36C3634C" w14:textId="77777777" w:rsidR="00B91BA5" w:rsidRPr="00663A4B" w:rsidRDefault="00B91BA5" w:rsidP="00F67B10">
            <w:pPr>
              <w:jc w:val="center"/>
              <w:rPr>
                <w:rFonts w:ascii="Garamond" w:eastAsiaTheme="minorHAnsi" w:hAnsi="Garamond" w:cstheme="minorBidi"/>
                <w:i/>
                <w:sz w:val="22"/>
                <w:szCs w:val="22"/>
                <w:u w:val="single"/>
                <w:lang w:val="en-US" w:eastAsia="en-US"/>
              </w:rPr>
            </w:pPr>
            <w:r w:rsidRPr="00663A4B">
              <w:rPr>
                <w:rFonts w:ascii="Garamond" w:eastAsiaTheme="minorHAnsi" w:hAnsi="Garamond" w:cstheme="minorBidi"/>
                <w:i/>
                <w:sz w:val="22"/>
                <w:szCs w:val="22"/>
                <w:u w:val="single"/>
                <w:lang w:val="en-US" w:eastAsia="en-US"/>
              </w:rPr>
              <w:t>SE</w:t>
            </w:r>
          </w:p>
        </w:tc>
        <w:tc>
          <w:tcPr>
            <w:tcW w:w="0" w:type="auto"/>
            <w:vMerge w:val="restart"/>
            <w:tcBorders>
              <w:top w:val="single" w:sz="4" w:space="0" w:color="auto"/>
            </w:tcBorders>
            <w:shd w:val="clear" w:color="auto" w:fill="auto"/>
            <w:vAlign w:val="center"/>
          </w:tcPr>
          <w:p w14:paraId="00C52F22" w14:textId="77777777" w:rsidR="00B91BA5" w:rsidRPr="00663A4B" w:rsidRDefault="00B91BA5" w:rsidP="00F67B10">
            <w:pPr>
              <w:jc w:val="center"/>
              <w:rPr>
                <w:rFonts w:ascii="Garamond" w:eastAsiaTheme="minorHAnsi" w:hAnsi="Garamond" w:cstheme="minorBidi"/>
                <w:i/>
                <w:sz w:val="22"/>
                <w:szCs w:val="22"/>
                <w:u w:val="single"/>
                <w:lang w:val="en-US" w:eastAsia="en-US"/>
              </w:rPr>
            </w:pPr>
            <w:r w:rsidRPr="00663A4B">
              <w:rPr>
                <w:rFonts w:ascii="Garamond" w:eastAsiaTheme="minorHAnsi" w:hAnsi="Garamond" w:cstheme="minorBidi"/>
                <w:i/>
                <w:sz w:val="22"/>
                <w:szCs w:val="22"/>
                <w:u w:val="single"/>
                <w:lang w:val="en-US" w:eastAsia="en-US"/>
              </w:rPr>
              <w:t>β</w:t>
            </w:r>
          </w:p>
        </w:tc>
        <w:tc>
          <w:tcPr>
            <w:tcW w:w="0" w:type="auto"/>
            <w:vMerge w:val="restart"/>
            <w:tcBorders>
              <w:top w:val="single" w:sz="4" w:space="0" w:color="auto"/>
            </w:tcBorders>
            <w:vAlign w:val="center"/>
          </w:tcPr>
          <w:p w14:paraId="27ADDAA2" w14:textId="77777777" w:rsidR="00B91BA5" w:rsidRPr="00663A4B" w:rsidRDefault="00B91BA5" w:rsidP="00F67B10">
            <w:pPr>
              <w:jc w:val="center"/>
              <w:rPr>
                <w:rFonts w:ascii="Garamond" w:eastAsiaTheme="minorHAnsi" w:hAnsi="Garamond" w:cstheme="minorBidi"/>
                <w:i/>
                <w:sz w:val="22"/>
                <w:szCs w:val="22"/>
                <w:u w:val="single"/>
                <w:lang w:val="en-US" w:eastAsia="en-US"/>
              </w:rPr>
            </w:pPr>
            <w:r w:rsidRPr="00663A4B">
              <w:rPr>
                <w:rFonts w:ascii="Garamond" w:eastAsiaTheme="minorHAnsi" w:hAnsi="Garamond" w:cstheme="minorBidi"/>
                <w:i/>
                <w:sz w:val="22"/>
                <w:szCs w:val="22"/>
                <w:u w:val="single"/>
                <w:lang w:val="en-US" w:eastAsia="en-US"/>
              </w:rPr>
              <w:t>t</w:t>
            </w:r>
          </w:p>
        </w:tc>
        <w:tc>
          <w:tcPr>
            <w:tcW w:w="0" w:type="auto"/>
            <w:tcBorders>
              <w:top w:val="single" w:sz="4" w:space="0" w:color="auto"/>
            </w:tcBorders>
          </w:tcPr>
          <w:p w14:paraId="53A943EE" w14:textId="77777777" w:rsidR="00B91BA5" w:rsidRPr="00663A4B" w:rsidRDefault="00B91BA5" w:rsidP="00F67B10">
            <w:pPr>
              <w:jc w:val="center"/>
              <w:rPr>
                <w:rFonts w:ascii="Garamond" w:eastAsiaTheme="minorHAnsi" w:hAnsi="Garamond" w:cstheme="minorBidi"/>
                <w:i/>
                <w:sz w:val="22"/>
                <w:szCs w:val="22"/>
                <w:u w:val="single"/>
                <w:lang w:val="en-US" w:eastAsia="en-US"/>
              </w:rPr>
            </w:pPr>
          </w:p>
        </w:tc>
        <w:tc>
          <w:tcPr>
            <w:tcW w:w="0" w:type="auto"/>
            <w:tcBorders>
              <w:top w:val="single" w:sz="4" w:space="0" w:color="auto"/>
            </w:tcBorders>
          </w:tcPr>
          <w:p w14:paraId="1F9FE6F4" w14:textId="77777777" w:rsidR="00B91BA5" w:rsidRPr="00663A4B" w:rsidRDefault="00B91BA5" w:rsidP="00F67B10">
            <w:pPr>
              <w:jc w:val="center"/>
              <w:rPr>
                <w:rFonts w:ascii="Garamond" w:eastAsiaTheme="minorHAnsi" w:hAnsi="Garamond" w:cstheme="minorBidi"/>
                <w:i/>
                <w:sz w:val="22"/>
                <w:szCs w:val="22"/>
                <w:u w:val="single"/>
                <w:lang w:val="en-US" w:eastAsia="en-US"/>
              </w:rPr>
            </w:pPr>
          </w:p>
        </w:tc>
      </w:tr>
      <w:tr w:rsidR="00B91BA5" w:rsidRPr="00663A4B" w14:paraId="37040156" w14:textId="77777777" w:rsidTr="00F67B10">
        <w:tc>
          <w:tcPr>
            <w:tcW w:w="0" w:type="auto"/>
            <w:shd w:val="clear" w:color="auto" w:fill="auto"/>
          </w:tcPr>
          <w:p w14:paraId="4A795744"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vMerge/>
            <w:shd w:val="clear" w:color="auto" w:fill="auto"/>
          </w:tcPr>
          <w:p w14:paraId="2C159895"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vMerge/>
            <w:shd w:val="clear" w:color="auto" w:fill="auto"/>
          </w:tcPr>
          <w:p w14:paraId="538B4D8A"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vMerge/>
            <w:shd w:val="clear" w:color="auto" w:fill="auto"/>
          </w:tcPr>
          <w:p w14:paraId="222A96EE"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vMerge/>
          </w:tcPr>
          <w:p w14:paraId="56ECDC3C"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vMerge/>
          </w:tcPr>
          <w:p w14:paraId="57C9D757"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vMerge/>
            <w:shd w:val="clear" w:color="auto" w:fill="auto"/>
          </w:tcPr>
          <w:p w14:paraId="755713DF"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vMerge/>
            <w:shd w:val="clear" w:color="auto" w:fill="auto"/>
          </w:tcPr>
          <w:p w14:paraId="28A2481A"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vMerge/>
            <w:shd w:val="clear" w:color="auto" w:fill="auto"/>
          </w:tcPr>
          <w:p w14:paraId="74B4CB1C"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vMerge/>
          </w:tcPr>
          <w:p w14:paraId="56E0DDD1"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0BAA8374"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2781BB87" w14:textId="77777777" w:rsidR="00B91BA5" w:rsidRPr="00663A4B" w:rsidRDefault="00B91BA5" w:rsidP="00F67B10">
            <w:pPr>
              <w:jc w:val="both"/>
              <w:rPr>
                <w:rFonts w:ascii="Garamond" w:eastAsiaTheme="minorHAnsi" w:hAnsi="Garamond" w:cstheme="minorBidi"/>
                <w:sz w:val="22"/>
                <w:szCs w:val="22"/>
                <w:lang w:val="en-US" w:eastAsia="en-US"/>
              </w:rPr>
            </w:pPr>
          </w:p>
        </w:tc>
      </w:tr>
      <w:tr w:rsidR="00B91BA5" w:rsidRPr="00663A4B" w14:paraId="0E842879" w14:textId="77777777" w:rsidTr="00F67B10">
        <w:tc>
          <w:tcPr>
            <w:tcW w:w="0" w:type="auto"/>
            <w:shd w:val="clear" w:color="auto" w:fill="auto"/>
          </w:tcPr>
          <w:p w14:paraId="2FB40B2C" w14:textId="77777777" w:rsidR="00B91BA5" w:rsidRPr="00663A4B" w:rsidRDefault="00B91BA5" w:rsidP="00F67B10">
            <w:pPr>
              <w:tabs>
                <w:tab w:val="left" w:pos="360"/>
              </w:tabs>
              <w:jc w:val="both"/>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 xml:space="preserve">1. Group Continuity </w:t>
            </w:r>
          </w:p>
        </w:tc>
        <w:tc>
          <w:tcPr>
            <w:tcW w:w="0" w:type="auto"/>
            <w:shd w:val="clear" w:color="auto" w:fill="auto"/>
          </w:tcPr>
          <w:p w14:paraId="291D630A"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 xml:space="preserve">.19    </w:t>
            </w:r>
          </w:p>
        </w:tc>
        <w:tc>
          <w:tcPr>
            <w:tcW w:w="0" w:type="auto"/>
            <w:shd w:val="clear" w:color="auto" w:fill="auto"/>
          </w:tcPr>
          <w:p w14:paraId="676D381E"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.06</w:t>
            </w:r>
          </w:p>
        </w:tc>
        <w:tc>
          <w:tcPr>
            <w:tcW w:w="0" w:type="auto"/>
            <w:shd w:val="clear" w:color="auto" w:fill="auto"/>
          </w:tcPr>
          <w:p w14:paraId="640ECDA8"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.42***</w:t>
            </w:r>
          </w:p>
        </w:tc>
        <w:tc>
          <w:tcPr>
            <w:tcW w:w="0" w:type="auto"/>
          </w:tcPr>
          <w:p w14:paraId="26F4A26A"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3.50</w:t>
            </w:r>
          </w:p>
        </w:tc>
        <w:tc>
          <w:tcPr>
            <w:tcW w:w="0" w:type="auto"/>
          </w:tcPr>
          <w:p w14:paraId="12078411"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shd w:val="clear" w:color="auto" w:fill="auto"/>
          </w:tcPr>
          <w:p w14:paraId="4562458F"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.17</w:t>
            </w:r>
          </w:p>
        </w:tc>
        <w:tc>
          <w:tcPr>
            <w:tcW w:w="0" w:type="auto"/>
            <w:shd w:val="clear" w:color="auto" w:fill="auto"/>
          </w:tcPr>
          <w:p w14:paraId="6613606E"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.05</w:t>
            </w:r>
          </w:p>
        </w:tc>
        <w:tc>
          <w:tcPr>
            <w:tcW w:w="0" w:type="auto"/>
            <w:shd w:val="clear" w:color="auto" w:fill="auto"/>
          </w:tcPr>
          <w:p w14:paraId="106741DE"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.37**</w:t>
            </w:r>
          </w:p>
        </w:tc>
        <w:tc>
          <w:tcPr>
            <w:tcW w:w="0" w:type="auto"/>
          </w:tcPr>
          <w:p w14:paraId="64569652"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3.24</w:t>
            </w:r>
          </w:p>
        </w:tc>
        <w:tc>
          <w:tcPr>
            <w:tcW w:w="0" w:type="auto"/>
          </w:tcPr>
          <w:p w14:paraId="68D1BC3A"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1.00</w:t>
            </w:r>
          </w:p>
        </w:tc>
        <w:tc>
          <w:tcPr>
            <w:tcW w:w="0" w:type="auto"/>
          </w:tcPr>
          <w:p w14:paraId="512EE140"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1.00</w:t>
            </w:r>
          </w:p>
        </w:tc>
      </w:tr>
      <w:tr w:rsidR="00B91BA5" w:rsidRPr="00663A4B" w14:paraId="1873ED37" w14:textId="77777777" w:rsidTr="00F67B10">
        <w:tc>
          <w:tcPr>
            <w:tcW w:w="0" w:type="auto"/>
            <w:shd w:val="clear" w:color="auto" w:fill="auto"/>
          </w:tcPr>
          <w:p w14:paraId="7F1163B9" w14:textId="77777777" w:rsidR="00B91BA5" w:rsidRPr="00663A4B" w:rsidRDefault="00B91BA5" w:rsidP="00F67B10">
            <w:pPr>
              <w:tabs>
                <w:tab w:val="left" w:pos="360"/>
              </w:tabs>
              <w:jc w:val="both"/>
              <w:rPr>
                <w:rFonts w:ascii="Garamond" w:eastAsiaTheme="minorHAnsi" w:hAnsi="Garamond" w:cstheme="minorBidi"/>
                <w:sz w:val="22"/>
                <w:szCs w:val="22"/>
                <w:lang w:val="en-US" w:eastAsia="en-US"/>
              </w:rPr>
            </w:pPr>
          </w:p>
        </w:tc>
        <w:tc>
          <w:tcPr>
            <w:tcW w:w="0" w:type="auto"/>
            <w:shd w:val="clear" w:color="auto" w:fill="auto"/>
          </w:tcPr>
          <w:p w14:paraId="592BB222"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shd w:val="clear" w:color="auto" w:fill="auto"/>
          </w:tcPr>
          <w:p w14:paraId="7C5D9AFD"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shd w:val="clear" w:color="auto" w:fill="auto"/>
          </w:tcPr>
          <w:p w14:paraId="2E0FD78B"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tcPr>
          <w:p w14:paraId="30CCBE3F"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tcPr>
          <w:p w14:paraId="39AB4D0E"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shd w:val="clear" w:color="auto" w:fill="auto"/>
          </w:tcPr>
          <w:p w14:paraId="7BB7E793"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shd w:val="clear" w:color="auto" w:fill="auto"/>
          </w:tcPr>
          <w:p w14:paraId="593BFC45"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shd w:val="clear" w:color="auto" w:fill="auto"/>
          </w:tcPr>
          <w:p w14:paraId="6D49C54C"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tcPr>
          <w:p w14:paraId="4222D378"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tcPr>
          <w:p w14:paraId="4D177AEF"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tcPr>
          <w:p w14:paraId="18D40296" w14:textId="77777777" w:rsidR="00B91BA5" w:rsidRPr="00663A4B" w:rsidRDefault="00B91BA5" w:rsidP="00F67B10">
            <w:pPr>
              <w:jc w:val="center"/>
              <w:rPr>
                <w:rFonts w:ascii="Garamond" w:eastAsiaTheme="minorHAnsi" w:hAnsi="Garamond" w:cstheme="minorBidi"/>
                <w:sz w:val="22"/>
                <w:szCs w:val="22"/>
                <w:lang w:val="en-US" w:eastAsia="en-US"/>
              </w:rPr>
            </w:pPr>
          </w:p>
        </w:tc>
      </w:tr>
      <w:tr w:rsidR="00B91BA5" w:rsidRPr="00663A4B" w14:paraId="338059E8" w14:textId="77777777" w:rsidTr="00F67B10">
        <w:tc>
          <w:tcPr>
            <w:tcW w:w="0" w:type="auto"/>
            <w:shd w:val="clear" w:color="auto" w:fill="auto"/>
          </w:tcPr>
          <w:p w14:paraId="32601DB7"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2C60BAF1"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15F071A4"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44445BFF"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0D8A210D"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0722BA48"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5A51055E"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7147BD3D"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6833C20C"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24A82DFD"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62F8FE67"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054497CD" w14:textId="77777777" w:rsidR="00B91BA5" w:rsidRPr="00663A4B" w:rsidRDefault="00B91BA5" w:rsidP="00F67B10">
            <w:pPr>
              <w:jc w:val="both"/>
              <w:rPr>
                <w:rFonts w:ascii="Garamond" w:eastAsiaTheme="minorHAnsi" w:hAnsi="Garamond" w:cstheme="minorBidi"/>
                <w:sz w:val="22"/>
                <w:szCs w:val="22"/>
                <w:lang w:val="en-US" w:eastAsia="en-US"/>
              </w:rPr>
            </w:pPr>
          </w:p>
        </w:tc>
      </w:tr>
      <w:tr w:rsidR="00B91BA5" w:rsidRPr="00663A4B" w14:paraId="1C86BA9E" w14:textId="77777777" w:rsidTr="00F67B10">
        <w:trPr>
          <w:trHeight w:val="293"/>
        </w:trPr>
        <w:tc>
          <w:tcPr>
            <w:tcW w:w="0" w:type="auto"/>
            <w:shd w:val="clear" w:color="auto" w:fill="auto"/>
          </w:tcPr>
          <w:p w14:paraId="5E05E93A" w14:textId="77777777" w:rsidR="00B91BA5" w:rsidRPr="00663A4B" w:rsidRDefault="00B91BA5" w:rsidP="00F67B10">
            <w:pPr>
              <w:jc w:val="both"/>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 xml:space="preserve">2. Group Continuity </w:t>
            </w:r>
          </w:p>
        </w:tc>
        <w:tc>
          <w:tcPr>
            <w:tcW w:w="0" w:type="auto"/>
            <w:shd w:val="clear" w:color="auto" w:fill="auto"/>
          </w:tcPr>
          <w:p w14:paraId="23D14F02"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2FD0B9A6"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756ED870"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3872374D"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10C04D22"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3C5BC1C1" w14:textId="77777777" w:rsidR="00B91BA5" w:rsidRPr="00663A4B" w:rsidRDefault="00B91BA5" w:rsidP="00F67B10">
            <w:pPr>
              <w:jc w:val="both"/>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.17</w:t>
            </w:r>
          </w:p>
        </w:tc>
        <w:tc>
          <w:tcPr>
            <w:tcW w:w="0" w:type="auto"/>
            <w:shd w:val="clear" w:color="auto" w:fill="auto"/>
          </w:tcPr>
          <w:p w14:paraId="2724EFFE" w14:textId="77777777" w:rsidR="00B91BA5" w:rsidRPr="00663A4B" w:rsidRDefault="00B91BA5" w:rsidP="00F67B10">
            <w:pPr>
              <w:jc w:val="both"/>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.05</w:t>
            </w:r>
          </w:p>
        </w:tc>
        <w:tc>
          <w:tcPr>
            <w:tcW w:w="0" w:type="auto"/>
            <w:shd w:val="clear" w:color="auto" w:fill="auto"/>
          </w:tcPr>
          <w:p w14:paraId="4F17A5CF" w14:textId="77777777" w:rsidR="00B91BA5" w:rsidRPr="00663A4B" w:rsidRDefault="00B91BA5" w:rsidP="00F67B10">
            <w:pPr>
              <w:jc w:val="both"/>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.37**</w:t>
            </w:r>
          </w:p>
        </w:tc>
        <w:tc>
          <w:tcPr>
            <w:tcW w:w="0" w:type="auto"/>
          </w:tcPr>
          <w:p w14:paraId="5940DB6D" w14:textId="77777777" w:rsidR="00B91BA5" w:rsidRPr="00663A4B" w:rsidRDefault="00B91BA5" w:rsidP="00F67B10">
            <w:pPr>
              <w:jc w:val="both"/>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2.24</w:t>
            </w:r>
          </w:p>
        </w:tc>
        <w:tc>
          <w:tcPr>
            <w:tcW w:w="0" w:type="auto"/>
          </w:tcPr>
          <w:p w14:paraId="282ECDA6"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.98</w:t>
            </w:r>
          </w:p>
        </w:tc>
        <w:tc>
          <w:tcPr>
            <w:tcW w:w="0" w:type="auto"/>
          </w:tcPr>
          <w:p w14:paraId="2694261C" w14:textId="77777777" w:rsidR="00B91BA5" w:rsidRPr="00663A4B" w:rsidRDefault="00B91BA5" w:rsidP="00F67B10">
            <w:pPr>
              <w:jc w:val="both"/>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1.02</w:t>
            </w:r>
          </w:p>
        </w:tc>
      </w:tr>
      <w:tr w:rsidR="00B91BA5" w:rsidRPr="00663A4B" w14:paraId="5BCEDB36" w14:textId="77777777" w:rsidTr="00F67B10">
        <w:tc>
          <w:tcPr>
            <w:tcW w:w="0" w:type="auto"/>
            <w:shd w:val="clear" w:color="auto" w:fill="auto"/>
          </w:tcPr>
          <w:p w14:paraId="77B20CF2" w14:textId="77777777" w:rsidR="00B91BA5" w:rsidRPr="00663A4B" w:rsidRDefault="00B91BA5" w:rsidP="00F67B10">
            <w:pPr>
              <w:jc w:val="both"/>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 xml:space="preserve">    Weight Centrality </w:t>
            </w:r>
          </w:p>
        </w:tc>
        <w:tc>
          <w:tcPr>
            <w:tcW w:w="0" w:type="auto"/>
            <w:shd w:val="clear" w:color="auto" w:fill="auto"/>
          </w:tcPr>
          <w:p w14:paraId="04A7A00C"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2DB390DA"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5CC8C047"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1C854FC4"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4151E23A"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7D60A49B" w14:textId="77777777" w:rsidR="00B91BA5" w:rsidRPr="00663A4B" w:rsidRDefault="00B91BA5" w:rsidP="00F67B10">
            <w:pPr>
              <w:jc w:val="both"/>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.24</w:t>
            </w:r>
          </w:p>
        </w:tc>
        <w:tc>
          <w:tcPr>
            <w:tcW w:w="0" w:type="auto"/>
            <w:shd w:val="clear" w:color="auto" w:fill="auto"/>
          </w:tcPr>
          <w:p w14:paraId="7F97D0D5" w14:textId="77777777" w:rsidR="00B91BA5" w:rsidRPr="00663A4B" w:rsidRDefault="00B91BA5" w:rsidP="00F67B10">
            <w:pPr>
              <w:jc w:val="both"/>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.09</w:t>
            </w:r>
          </w:p>
        </w:tc>
        <w:tc>
          <w:tcPr>
            <w:tcW w:w="0" w:type="auto"/>
            <w:shd w:val="clear" w:color="auto" w:fill="auto"/>
          </w:tcPr>
          <w:p w14:paraId="7E336566" w14:textId="77777777" w:rsidR="00B91BA5" w:rsidRPr="00663A4B" w:rsidRDefault="00B91BA5" w:rsidP="00F67B10">
            <w:pPr>
              <w:jc w:val="both"/>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.32**</w:t>
            </w:r>
          </w:p>
        </w:tc>
        <w:tc>
          <w:tcPr>
            <w:tcW w:w="0" w:type="auto"/>
          </w:tcPr>
          <w:p w14:paraId="14C5FB29" w14:textId="77777777" w:rsidR="00B91BA5" w:rsidRPr="00663A4B" w:rsidRDefault="00B91BA5" w:rsidP="00F67B10">
            <w:pPr>
              <w:jc w:val="both"/>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2.80</w:t>
            </w:r>
          </w:p>
        </w:tc>
        <w:tc>
          <w:tcPr>
            <w:tcW w:w="0" w:type="auto"/>
          </w:tcPr>
          <w:p w14:paraId="0A41062D"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.98</w:t>
            </w:r>
          </w:p>
        </w:tc>
        <w:tc>
          <w:tcPr>
            <w:tcW w:w="0" w:type="auto"/>
          </w:tcPr>
          <w:p w14:paraId="7B969B40" w14:textId="77777777" w:rsidR="00B91BA5" w:rsidRPr="00663A4B" w:rsidRDefault="00B91BA5" w:rsidP="00F67B10">
            <w:pPr>
              <w:jc w:val="both"/>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1.02</w:t>
            </w:r>
          </w:p>
        </w:tc>
      </w:tr>
      <w:tr w:rsidR="00B91BA5" w:rsidRPr="00663A4B" w14:paraId="3A080327" w14:textId="77777777" w:rsidTr="00F67B10">
        <w:tc>
          <w:tcPr>
            <w:tcW w:w="0" w:type="auto"/>
            <w:shd w:val="clear" w:color="auto" w:fill="auto"/>
          </w:tcPr>
          <w:p w14:paraId="29BC954A"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42B7F639"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266DC758"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5C853E41"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7EB221CB"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12C77551"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08EC4E9D"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6C909AA0"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0288D1CF"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55E5920B"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63209167"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7377125A" w14:textId="77777777" w:rsidR="00B91BA5" w:rsidRPr="00663A4B" w:rsidRDefault="00B91BA5" w:rsidP="00F67B10">
            <w:pPr>
              <w:jc w:val="both"/>
              <w:rPr>
                <w:rFonts w:ascii="Garamond" w:eastAsiaTheme="minorHAnsi" w:hAnsi="Garamond" w:cstheme="minorBidi"/>
                <w:sz w:val="22"/>
                <w:szCs w:val="22"/>
                <w:lang w:val="en-US" w:eastAsia="en-US"/>
              </w:rPr>
            </w:pPr>
          </w:p>
        </w:tc>
      </w:tr>
      <w:tr w:rsidR="00B91BA5" w:rsidRPr="00663A4B" w14:paraId="23516C85" w14:textId="77777777" w:rsidTr="00F67B10">
        <w:tc>
          <w:tcPr>
            <w:tcW w:w="0" w:type="auto"/>
            <w:shd w:val="clear" w:color="auto" w:fill="auto"/>
          </w:tcPr>
          <w:p w14:paraId="606DBDC4" w14:textId="77777777" w:rsidR="00B91BA5" w:rsidRPr="00663A4B" w:rsidRDefault="00B91BA5" w:rsidP="00F67B10">
            <w:pPr>
              <w:jc w:val="center"/>
              <w:rPr>
                <w:rFonts w:ascii="Garamond" w:eastAsiaTheme="minorHAnsi" w:hAnsi="Garamond" w:cstheme="minorBidi"/>
                <w:sz w:val="22"/>
                <w:szCs w:val="22"/>
                <w:u w:val="single"/>
                <w:lang w:val="en-US" w:eastAsia="en-US"/>
              </w:rPr>
            </w:pPr>
            <w:r w:rsidRPr="00663A4B">
              <w:rPr>
                <w:rFonts w:ascii="Garamond" w:eastAsiaTheme="minorHAnsi" w:hAnsi="Garamond" w:cstheme="minorBidi"/>
                <w:bCs/>
                <w:i/>
                <w:iCs/>
                <w:sz w:val="22"/>
                <w:szCs w:val="22"/>
                <w:u w:val="single"/>
                <w:lang w:val="en-US" w:eastAsia="en-US"/>
              </w:rPr>
              <w:t>R</w:t>
            </w:r>
            <w:r w:rsidRPr="00663A4B">
              <w:rPr>
                <w:rFonts w:ascii="Garamond" w:eastAsiaTheme="minorHAnsi" w:hAnsi="Garamond" w:cstheme="minorBidi"/>
                <w:bCs/>
                <w:i/>
                <w:iCs/>
                <w:sz w:val="22"/>
                <w:szCs w:val="22"/>
                <w:u w:val="single"/>
                <w:vertAlign w:val="superscript"/>
                <w:lang w:val="en-US" w:eastAsia="en-US"/>
              </w:rPr>
              <w:t>2</w:t>
            </w:r>
            <w:r w:rsidRPr="00663A4B">
              <w:rPr>
                <w:rFonts w:ascii="Garamond" w:eastAsiaTheme="minorHAnsi" w:hAnsi="Garamond" w:cstheme="minorBidi"/>
                <w:bCs/>
                <w:i/>
                <w:iCs/>
                <w:sz w:val="22"/>
                <w:szCs w:val="22"/>
                <w:u w:val="single"/>
                <w:vertAlign w:val="subscript"/>
                <w:lang w:val="en-US" w:eastAsia="en-US"/>
              </w:rPr>
              <w:t>adj</w:t>
            </w:r>
          </w:p>
        </w:tc>
        <w:tc>
          <w:tcPr>
            <w:tcW w:w="0" w:type="auto"/>
            <w:gridSpan w:val="4"/>
            <w:shd w:val="clear" w:color="auto" w:fill="auto"/>
          </w:tcPr>
          <w:p w14:paraId="6D15F6CB"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.16</w:t>
            </w:r>
          </w:p>
        </w:tc>
        <w:tc>
          <w:tcPr>
            <w:tcW w:w="0" w:type="auto"/>
          </w:tcPr>
          <w:p w14:paraId="7EA9CDD7"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gridSpan w:val="4"/>
            <w:shd w:val="clear" w:color="auto" w:fill="auto"/>
          </w:tcPr>
          <w:p w14:paraId="534ABA4C"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.25</w:t>
            </w:r>
          </w:p>
        </w:tc>
        <w:tc>
          <w:tcPr>
            <w:tcW w:w="0" w:type="auto"/>
          </w:tcPr>
          <w:p w14:paraId="74D9E5ED"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tcPr>
          <w:p w14:paraId="665699A6" w14:textId="77777777" w:rsidR="00B91BA5" w:rsidRPr="00663A4B" w:rsidRDefault="00B91BA5" w:rsidP="00F67B10">
            <w:pPr>
              <w:jc w:val="center"/>
              <w:rPr>
                <w:rFonts w:ascii="Garamond" w:eastAsiaTheme="minorHAnsi" w:hAnsi="Garamond" w:cstheme="minorBidi"/>
                <w:sz w:val="22"/>
                <w:szCs w:val="22"/>
                <w:lang w:val="en-US" w:eastAsia="en-US"/>
              </w:rPr>
            </w:pPr>
          </w:p>
        </w:tc>
      </w:tr>
      <w:tr w:rsidR="00B91BA5" w:rsidRPr="00663A4B" w14:paraId="506A14FC" w14:textId="77777777" w:rsidTr="00F67B10">
        <w:tc>
          <w:tcPr>
            <w:tcW w:w="0" w:type="auto"/>
            <w:shd w:val="clear" w:color="auto" w:fill="auto"/>
          </w:tcPr>
          <w:p w14:paraId="05BCDD6C" w14:textId="77777777" w:rsidR="00B91BA5" w:rsidRPr="00663A4B" w:rsidRDefault="00B91BA5" w:rsidP="00F67B10">
            <w:pPr>
              <w:jc w:val="center"/>
              <w:rPr>
                <w:rFonts w:ascii="Garamond" w:eastAsia="MS PGothic" w:hAnsi="Garamond" w:cstheme="minorBidi"/>
                <w:bCs/>
                <w:iCs/>
                <w:sz w:val="22"/>
                <w:szCs w:val="22"/>
                <w:u w:val="single"/>
                <w:lang w:val="en-US" w:eastAsia="en-US"/>
              </w:rPr>
            </w:pPr>
          </w:p>
        </w:tc>
        <w:tc>
          <w:tcPr>
            <w:tcW w:w="0" w:type="auto"/>
            <w:shd w:val="clear" w:color="auto" w:fill="auto"/>
          </w:tcPr>
          <w:p w14:paraId="39872711"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10F27ECF"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41F7978D"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527DD995"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41110F68"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4688E04C"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0C11A372"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1BB80C1B"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7EB52A6B"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07293712"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53326C1A" w14:textId="77777777" w:rsidR="00B91BA5" w:rsidRPr="00663A4B" w:rsidRDefault="00B91BA5" w:rsidP="00F67B10">
            <w:pPr>
              <w:jc w:val="both"/>
              <w:rPr>
                <w:rFonts w:ascii="Garamond" w:eastAsiaTheme="minorHAnsi" w:hAnsi="Garamond" w:cstheme="minorBidi"/>
                <w:sz w:val="22"/>
                <w:szCs w:val="22"/>
                <w:lang w:val="en-US" w:eastAsia="en-US"/>
              </w:rPr>
            </w:pPr>
          </w:p>
        </w:tc>
      </w:tr>
      <w:tr w:rsidR="00B91BA5" w:rsidRPr="00663A4B" w14:paraId="0EAE0206" w14:textId="77777777" w:rsidTr="00F67B10">
        <w:tc>
          <w:tcPr>
            <w:tcW w:w="0" w:type="auto"/>
            <w:shd w:val="clear" w:color="auto" w:fill="auto"/>
          </w:tcPr>
          <w:p w14:paraId="10B3E4D6" w14:textId="77777777" w:rsidR="00B91BA5" w:rsidRPr="00663A4B" w:rsidRDefault="00B91BA5" w:rsidP="00F67B10">
            <w:pPr>
              <w:jc w:val="center"/>
              <w:rPr>
                <w:rFonts w:ascii="Garamond" w:eastAsiaTheme="minorHAnsi" w:hAnsi="Garamond" w:cstheme="minorBidi"/>
                <w:i/>
                <w:sz w:val="22"/>
                <w:szCs w:val="22"/>
                <w:u w:val="single"/>
                <w:lang w:val="en-US" w:eastAsia="en-US"/>
              </w:rPr>
            </w:pPr>
            <w:r w:rsidRPr="00663A4B">
              <w:rPr>
                <w:rFonts w:ascii="Garamond" w:eastAsiaTheme="minorHAnsi" w:hAnsi="Garamond" w:cstheme="minorBidi"/>
                <w:i/>
                <w:color w:val="000000"/>
                <w:sz w:val="22"/>
                <w:szCs w:val="22"/>
                <w:u w:val="single"/>
                <w:lang w:val="en-US" w:eastAsia="en-US"/>
              </w:rPr>
              <w:t>∆</w:t>
            </w:r>
            <w:r w:rsidRPr="00663A4B">
              <w:rPr>
                <w:rFonts w:ascii="Garamond" w:eastAsia="MS PGothic" w:hAnsi="Garamond" w:cstheme="minorBidi"/>
                <w:bCs/>
                <w:i/>
                <w:iCs/>
                <w:sz w:val="22"/>
                <w:szCs w:val="22"/>
                <w:u w:val="single"/>
                <w:lang w:val="en-US" w:eastAsia="en-US"/>
              </w:rPr>
              <w:t>R²</w:t>
            </w:r>
          </w:p>
        </w:tc>
        <w:tc>
          <w:tcPr>
            <w:tcW w:w="0" w:type="auto"/>
            <w:gridSpan w:val="4"/>
            <w:shd w:val="clear" w:color="auto" w:fill="auto"/>
          </w:tcPr>
          <w:p w14:paraId="605E9EB0"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.17***</w:t>
            </w:r>
          </w:p>
        </w:tc>
        <w:tc>
          <w:tcPr>
            <w:tcW w:w="0" w:type="auto"/>
          </w:tcPr>
          <w:p w14:paraId="28FAA194"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gridSpan w:val="4"/>
            <w:shd w:val="clear" w:color="auto" w:fill="auto"/>
          </w:tcPr>
          <w:p w14:paraId="321563DD"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.10**</w:t>
            </w:r>
          </w:p>
        </w:tc>
        <w:tc>
          <w:tcPr>
            <w:tcW w:w="0" w:type="auto"/>
          </w:tcPr>
          <w:p w14:paraId="79A4D87E"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tcPr>
          <w:p w14:paraId="4412575A" w14:textId="77777777" w:rsidR="00B91BA5" w:rsidRPr="00663A4B" w:rsidRDefault="00B91BA5" w:rsidP="00F67B10">
            <w:pPr>
              <w:jc w:val="center"/>
              <w:rPr>
                <w:rFonts w:ascii="Garamond" w:eastAsiaTheme="minorHAnsi" w:hAnsi="Garamond" w:cstheme="minorBidi"/>
                <w:sz w:val="22"/>
                <w:szCs w:val="22"/>
                <w:lang w:val="en-US" w:eastAsia="en-US"/>
              </w:rPr>
            </w:pPr>
          </w:p>
        </w:tc>
      </w:tr>
      <w:tr w:rsidR="00B91BA5" w:rsidRPr="00663A4B" w14:paraId="63377874" w14:textId="77777777" w:rsidTr="00F67B10">
        <w:tc>
          <w:tcPr>
            <w:tcW w:w="0" w:type="auto"/>
            <w:shd w:val="clear" w:color="auto" w:fill="auto"/>
          </w:tcPr>
          <w:p w14:paraId="449049FD" w14:textId="77777777" w:rsidR="00B91BA5" w:rsidRPr="00663A4B" w:rsidRDefault="00B91BA5" w:rsidP="00F67B10">
            <w:pPr>
              <w:jc w:val="center"/>
              <w:rPr>
                <w:rFonts w:ascii="Garamond" w:eastAsia="MS PGothic" w:hAnsi="Garamond" w:cstheme="minorBidi"/>
                <w:bCs/>
                <w:iCs/>
                <w:sz w:val="22"/>
                <w:szCs w:val="22"/>
                <w:u w:val="single"/>
                <w:lang w:val="en-US" w:eastAsia="en-US"/>
              </w:rPr>
            </w:pPr>
          </w:p>
        </w:tc>
        <w:tc>
          <w:tcPr>
            <w:tcW w:w="0" w:type="auto"/>
            <w:shd w:val="clear" w:color="auto" w:fill="auto"/>
          </w:tcPr>
          <w:p w14:paraId="6E735662"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59C5E7E2"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185DB3BA"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5DC4AC41"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5D11109B"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72B6DFB9"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6CB1BF1B"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79FD553B"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06BBC454"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6C6782C9"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5A1142AB" w14:textId="77777777" w:rsidR="00B91BA5" w:rsidRPr="00663A4B" w:rsidRDefault="00B91BA5" w:rsidP="00F67B10">
            <w:pPr>
              <w:jc w:val="both"/>
              <w:rPr>
                <w:rFonts w:ascii="Garamond" w:eastAsiaTheme="minorHAnsi" w:hAnsi="Garamond" w:cstheme="minorBidi"/>
                <w:sz w:val="22"/>
                <w:szCs w:val="22"/>
                <w:lang w:val="en-US" w:eastAsia="en-US"/>
              </w:rPr>
            </w:pPr>
          </w:p>
        </w:tc>
      </w:tr>
      <w:tr w:rsidR="00B91BA5" w:rsidRPr="00663A4B" w14:paraId="01388BDE" w14:textId="77777777" w:rsidTr="00F67B10">
        <w:tc>
          <w:tcPr>
            <w:tcW w:w="0" w:type="auto"/>
            <w:shd w:val="clear" w:color="auto" w:fill="auto"/>
          </w:tcPr>
          <w:p w14:paraId="6214EE47" w14:textId="77777777" w:rsidR="00B91BA5" w:rsidRPr="00663A4B" w:rsidRDefault="00B91BA5" w:rsidP="00F67B10">
            <w:pPr>
              <w:jc w:val="center"/>
              <w:rPr>
                <w:rFonts w:ascii="Garamond" w:eastAsiaTheme="minorHAnsi" w:hAnsi="Garamond" w:cstheme="minorBidi"/>
                <w:sz w:val="22"/>
                <w:szCs w:val="22"/>
                <w:u w:val="single"/>
                <w:lang w:val="en-US" w:eastAsia="en-US"/>
              </w:rPr>
            </w:pPr>
            <w:r w:rsidRPr="00663A4B">
              <w:rPr>
                <w:rFonts w:ascii="Garamond" w:eastAsiaTheme="minorHAnsi" w:hAnsi="Garamond" w:cstheme="minorBidi"/>
                <w:sz w:val="22"/>
                <w:szCs w:val="22"/>
                <w:u w:val="single"/>
                <w:lang w:val="en-US" w:eastAsia="en-US"/>
              </w:rPr>
              <w:t>ANOVA</w:t>
            </w:r>
          </w:p>
        </w:tc>
        <w:tc>
          <w:tcPr>
            <w:tcW w:w="0" w:type="auto"/>
            <w:gridSpan w:val="4"/>
            <w:shd w:val="clear" w:color="auto" w:fill="auto"/>
          </w:tcPr>
          <w:p w14:paraId="58060876"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(1,58) 12.25***</w:t>
            </w:r>
          </w:p>
        </w:tc>
        <w:tc>
          <w:tcPr>
            <w:tcW w:w="0" w:type="auto"/>
          </w:tcPr>
          <w:p w14:paraId="7A7F7B91"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gridSpan w:val="4"/>
            <w:shd w:val="clear" w:color="auto" w:fill="auto"/>
          </w:tcPr>
          <w:p w14:paraId="07B46EAD"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 57) 10.75***</w:t>
            </w:r>
          </w:p>
        </w:tc>
        <w:tc>
          <w:tcPr>
            <w:tcW w:w="0" w:type="auto"/>
          </w:tcPr>
          <w:p w14:paraId="3006A636" w14:textId="77777777" w:rsidR="00B91BA5" w:rsidRPr="00663A4B" w:rsidRDefault="00B91BA5" w:rsidP="00F67B10">
            <w:pPr>
              <w:jc w:val="center"/>
              <w:rPr>
                <w:rFonts w:ascii="Garamond" w:eastAsiaTheme="minorHAnsi" w:hAnsi="Garamond" w:cstheme="minorBidi"/>
                <w:sz w:val="22"/>
                <w:szCs w:val="22"/>
                <w:lang w:val="en-US" w:eastAsia="en-US"/>
              </w:rPr>
            </w:pPr>
          </w:p>
        </w:tc>
        <w:tc>
          <w:tcPr>
            <w:tcW w:w="0" w:type="auto"/>
          </w:tcPr>
          <w:p w14:paraId="0A232469" w14:textId="77777777" w:rsidR="00B91BA5" w:rsidRPr="00663A4B" w:rsidRDefault="00B91BA5" w:rsidP="00F67B10">
            <w:pPr>
              <w:jc w:val="center"/>
              <w:rPr>
                <w:rFonts w:ascii="Garamond" w:eastAsiaTheme="minorHAnsi" w:hAnsi="Garamond" w:cstheme="minorBidi"/>
                <w:sz w:val="22"/>
                <w:szCs w:val="22"/>
                <w:lang w:val="en-US" w:eastAsia="en-US"/>
              </w:rPr>
            </w:pPr>
          </w:p>
        </w:tc>
      </w:tr>
      <w:tr w:rsidR="00B91BA5" w:rsidRPr="00663A4B" w14:paraId="7554DBB0" w14:textId="77777777" w:rsidTr="00F67B10">
        <w:tc>
          <w:tcPr>
            <w:tcW w:w="0" w:type="auto"/>
            <w:tcBorders>
              <w:bottom w:val="single" w:sz="4" w:space="0" w:color="auto"/>
            </w:tcBorders>
            <w:shd w:val="clear" w:color="auto" w:fill="auto"/>
          </w:tcPr>
          <w:p w14:paraId="715A6E34"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Borders>
              <w:bottom w:val="single" w:sz="4" w:space="0" w:color="auto"/>
            </w:tcBorders>
            <w:shd w:val="clear" w:color="auto" w:fill="auto"/>
          </w:tcPr>
          <w:p w14:paraId="3542C7B0"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Borders>
              <w:bottom w:val="single" w:sz="4" w:space="0" w:color="auto"/>
            </w:tcBorders>
            <w:shd w:val="clear" w:color="auto" w:fill="auto"/>
          </w:tcPr>
          <w:p w14:paraId="5DF3879F"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Borders>
              <w:bottom w:val="single" w:sz="4" w:space="0" w:color="auto"/>
            </w:tcBorders>
            <w:shd w:val="clear" w:color="auto" w:fill="auto"/>
          </w:tcPr>
          <w:p w14:paraId="62A6D30C"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Borders>
              <w:bottom w:val="single" w:sz="4" w:space="0" w:color="auto"/>
            </w:tcBorders>
          </w:tcPr>
          <w:p w14:paraId="34FB6FF7"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2D033332"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6ECFBE2F"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32BFF3AE"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08F4358D"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1BB725CF"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5C3249E5"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1049ABEA" w14:textId="77777777" w:rsidR="00B91BA5" w:rsidRPr="00663A4B" w:rsidRDefault="00B91BA5" w:rsidP="00F67B10">
            <w:pPr>
              <w:jc w:val="both"/>
              <w:rPr>
                <w:rFonts w:ascii="Garamond" w:eastAsiaTheme="minorHAnsi" w:hAnsi="Garamond" w:cstheme="minorBidi"/>
                <w:sz w:val="22"/>
                <w:szCs w:val="22"/>
                <w:lang w:val="en-US" w:eastAsia="en-US"/>
              </w:rPr>
            </w:pPr>
          </w:p>
        </w:tc>
      </w:tr>
      <w:tr w:rsidR="00B91BA5" w:rsidRPr="00663A4B" w14:paraId="75FDB5F9" w14:textId="77777777" w:rsidTr="00F67B10">
        <w:tc>
          <w:tcPr>
            <w:tcW w:w="0" w:type="auto"/>
            <w:shd w:val="clear" w:color="auto" w:fill="auto"/>
          </w:tcPr>
          <w:p w14:paraId="537CEB2B" w14:textId="77777777" w:rsidR="00B91BA5" w:rsidRPr="00663A4B" w:rsidRDefault="00B91BA5" w:rsidP="00F67B10">
            <w:pPr>
              <w:rPr>
                <w:rFonts w:ascii="Garamond" w:eastAsiaTheme="minorHAnsi" w:hAnsi="Garamond" w:cstheme="minorBidi"/>
                <w:sz w:val="22"/>
                <w:szCs w:val="22"/>
                <w:u w:val="single"/>
                <w:lang w:val="en-US" w:eastAsia="en-US"/>
              </w:rPr>
            </w:pPr>
            <w:r w:rsidRPr="00663A4B">
              <w:rPr>
                <w:rFonts w:ascii="Garamond" w:eastAsiaTheme="minorHAnsi" w:hAnsi="Garamond" w:cstheme="minorBidi"/>
                <w:sz w:val="22"/>
                <w:szCs w:val="22"/>
                <w:u w:val="single"/>
                <w:lang w:val="en-US" w:eastAsia="en-US"/>
              </w:rPr>
              <w:t>Excluded variables</w:t>
            </w:r>
          </w:p>
        </w:tc>
        <w:tc>
          <w:tcPr>
            <w:tcW w:w="0" w:type="auto"/>
            <w:shd w:val="clear" w:color="auto" w:fill="auto"/>
          </w:tcPr>
          <w:p w14:paraId="7A56B0C0"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6AC7B7AC"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0ADE407E"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0B5CD0C2"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02C151AF"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4D676AAF"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137499B1"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7B38C4CF"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4BE32B2A"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64FBCEBC"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2B36F264" w14:textId="77777777" w:rsidR="00B91BA5" w:rsidRPr="00663A4B" w:rsidRDefault="00B91BA5" w:rsidP="00F67B10">
            <w:pPr>
              <w:jc w:val="both"/>
              <w:rPr>
                <w:rFonts w:ascii="Garamond" w:eastAsiaTheme="minorHAnsi" w:hAnsi="Garamond" w:cstheme="minorBidi"/>
                <w:sz w:val="22"/>
                <w:szCs w:val="22"/>
                <w:lang w:val="en-US" w:eastAsia="en-US"/>
              </w:rPr>
            </w:pPr>
          </w:p>
        </w:tc>
      </w:tr>
      <w:tr w:rsidR="00B91BA5" w:rsidRPr="00663A4B" w14:paraId="61D8DC69" w14:textId="77777777" w:rsidTr="00F67B10">
        <w:tc>
          <w:tcPr>
            <w:tcW w:w="0" w:type="auto"/>
            <w:shd w:val="clear" w:color="auto" w:fill="auto"/>
          </w:tcPr>
          <w:p w14:paraId="213B14E2" w14:textId="77777777" w:rsidR="00B91BA5" w:rsidRPr="00663A4B" w:rsidRDefault="00B91BA5" w:rsidP="00F67B10">
            <w:pP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Age</w:t>
            </w:r>
          </w:p>
        </w:tc>
        <w:tc>
          <w:tcPr>
            <w:tcW w:w="0" w:type="auto"/>
            <w:shd w:val="clear" w:color="auto" w:fill="auto"/>
          </w:tcPr>
          <w:p w14:paraId="729CECA7"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-01</w:t>
            </w:r>
          </w:p>
        </w:tc>
        <w:tc>
          <w:tcPr>
            <w:tcW w:w="0" w:type="auto"/>
            <w:shd w:val="clear" w:color="auto" w:fill="auto"/>
          </w:tcPr>
          <w:p w14:paraId="092FB89C"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.01</w:t>
            </w:r>
          </w:p>
        </w:tc>
        <w:tc>
          <w:tcPr>
            <w:tcW w:w="0" w:type="auto"/>
            <w:shd w:val="clear" w:color="auto" w:fill="auto"/>
          </w:tcPr>
          <w:p w14:paraId="06C9E88E"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-.06</w:t>
            </w:r>
          </w:p>
        </w:tc>
        <w:tc>
          <w:tcPr>
            <w:tcW w:w="0" w:type="auto"/>
          </w:tcPr>
          <w:p w14:paraId="0AEB45B0"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-.40</w:t>
            </w:r>
          </w:p>
        </w:tc>
        <w:tc>
          <w:tcPr>
            <w:tcW w:w="0" w:type="auto"/>
          </w:tcPr>
          <w:p w14:paraId="7EDD29F4"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059F7E9D"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52C90202"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045EF0AE"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4943F08B"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4E6FDA37"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34134207" w14:textId="77777777" w:rsidR="00B91BA5" w:rsidRPr="00663A4B" w:rsidRDefault="00B91BA5" w:rsidP="00F67B10">
            <w:pPr>
              <w:jc w:val="both"/>
              <w:rPr>
                <w:rFonts w:ascii="Garamond" w:eastAsiaTheme="minorHAnsi" w:hAnsi="Garamond" w:cstheme="minorBidi"/>
                <w:sz w:val="22"/>
                <w:szCs w:val="22"/>
                <w:lang w:val="en-US" w:eastAsia="en-US"/>
              </w:rPr>
            </w:pPr>
          </w:p>
        </w:tc>
      </w:tr>
      <w:tr w:rsidR="00B91BA5" w:rsidRPr="00663A4B" w14:paraId="51DD4647" w14:textId="77777777" w:rsidTr="00F67B10">
        <w:tc>
          <w:tcPr>
            <w:tcW w:w="0" w:type="auto"/>
            <w:shd w:val="clear" w:color="auto" w:fill="auto"/>
          </w:tcPr>
          <w:p w14:paraId="578C8820" w14:textId="77777777" w:rsidR="00B91BA5" w:rsidRPr="00663A4B" w:rsidRDefault="00B91BA5" w:rsidP="00F67B10">
            <w:pP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Gender</w:t>
            </w:r>
          </w:p>
        </w:tc>
        <w:tc>
          <w:tcPr>
            <w:tcW w:w="0" w:type="auto"/>
            <w:shd w:val="clear" w:color="auto" w:fill="auto"/>
          </w:tcPr>
          <w:p w14:paraId="454F279D"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.04</w:t>
            </w:r>
          </w:p>
        </w:tc>
        <w:tc>
          <w:tcPr>
            <w:tcW w:w="0" w:type="auto"/>
            <w:shd w:val="clear" w:color="auto" w:fill="auto"/>
          </w:tcPr>
          <w:p w14:paraId="08AF92C5"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.27</w:t>
            </w:r>
          </w:p>
        </w:tc>
        <w:tc>
          <w:tcPr>
            <w:tcW w:w="0" w:type="auto"/>
            <w:shd w:val="clear" w:color="auto" w:fill="auto"/>
          </w:tcPr>
          <w:p w14:paraId="529E5626"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.02</w:t>
            </w:r>
          </w:p>
        </w:tc>
        <w:tc>
          <w:tcPr>
            <w:tcW w:w="0" w:type="auto"/>
          </w:tcPr>
          <w:p w14:paraId="1F5BCDB1"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.15</w:t>
            </w:r>
          </w:p>
        </w:tc>
        <w:tc>
          <w:tcPr>
            <w:tcW w:w="0" w:type="auto"/>
          </w:tcPr>
          <w:p w14:paraId="1FEEC9A2"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26BA0686"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4998FEC6"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0D72BF56"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0622EBB6"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04B951B4"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54801CCA" w14:textId="77777777" w:rsidR="00B91BA5" w:rsidRPr="00663A4B" w:rsidRDefault="00B91BA5" w:rsidP="00F67B10">
            <w:pPr>
              <w:jc w:val="both"/>
              <w:rPr>
                <w:rFonts w:ascii="Garamond" w:eastAsiaTheme="minorHAnsi" w:hAnsi="Garamond" w:cstheme="minorBidi"/>
                <w:sz w:val="22"/>
                <w:szCs w:val="22"/>
                <w:lang w:val="en-US" w:eastAsia="en-US"/>
              </w:rPr>
            </w:pPr>
          </w:p>
        </w:tc>
      </w:tr>
      <w:tr w:rsidR="00B91BA5" w:rsidRPr="00663A4B" w14:paraId="6240377A" w14:textId="77777777" w:rsidTr="00F67B10">
        <w:tc>
          <w:tcPr>
            <w:tcW w:w="0" w:type="auto"/>
            <w:shd w:val="clear" w:color="auto" w:fill="auto"/>
          </w:tcPr>
          <w:p w14:paraId="30DDE3EA" w14:textId="77777777" w:rsidR="00B91BA5" w:rsidRPr="00663A4B" w:rsidRDefault="00B91BA5" w:rsidP="00F67B10">
            <w:pP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BMI</w:t>
            </w:r>
          </w:p>
        </w:tc>
        <w:tc>
          <w:tcPr>
            <w:tcW w:w="0" w:type="auto"/>
            <w:shd w:val="clear" w:color="auto" w:fill="auto"/>
          </w:tcPr>
          <w:p w14:paraId="4B7D64D8"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.00</w:t>
            </w:r>
          </w:p>
        </w:tc>
        <w:tc>
          <w:tcPr>
            <w:tcW w:w="0" w:type="auto"/>
            <w:shd w:val="clear" w:color="auto" w:fill="auto"/>
          </w:tcPr>
          <w:p w14:paraId="24928E55"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.02</w:t>
            </w:r>
          </w:p>
        </w:tc>
        <w:tc>
          <w:tcPr>
            <w:tcW w:w="0" w:type="auto"/>
            <w:shd w:val="clear" w:color="auto" w:fill="auto"/>
          </w:tcPr>
          <w:p w14:paraId="256B20E2"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.02</w:t>
            </w:r>
          </w:p>
        </w:tc>
        <w:tc>
          <w:tcPr>
            <w:tcW w:w="0" w:type="auto"/>
          </w:tcPr>
          <w:p w14:paraId="19D934F4"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.14</w:t>
            </w:r>
          </w:p>
        </w:tc>
        <w:tc>
          <w:tcPr>
            <w:tcW w:w="0" w:type="auto"/>
          </w:tcPr>
          <w:p w14:paraId="3CD1269E"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3EC35B28"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678CEC9D"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245E3022"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4C694DCF"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7EDAE6A5"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2ECF5016" w14:textId="77777777" w:rsidR="00B91BA5" w:rsidRPr="00663A4B" w:rsidRDefault="00B91BA5" w:rsidP="00F67B10">
            <w:pPr>
              <w:jc w:val="both"/>
              <w:rPr>
                <w:rFonts w:ascii="Garamond" w:eastAsiaTheme="minorHAnsi" w:hAnsi="Garamond" w:cstheme="minorBidi"/>
                <w:sz w:val="22"/>
                <w:szCs w:val="22"/>
                <w:lang w:val="en-US" w:eastAsia="en-US"/>
              </w:rPr>
            </w:pPr>
          </w:p>
        </w:tc>
      </w:tr>
      <w:tr w:rsidR="00B91BA5" w:rsidRPr="00663A4B" w14:paraId="6563EDCB" w14:textId="77777777" w:rsidTr="00F67B10">
        <w:tc>
          <w:tcPr>
            <w:tcW w:w="0" w:type="auto"/>
            <w:shd w:val="clear" w:color="auto" w:fill="auto"/>
          </w:tcPr>
          <w:p w14:paraId="549D3B34" w14:textId="77777777" w:rsidR="00B91BA5" w:rsidRPr="00663A4B" w:rsidRDefault="00B91BA5" w:rsidP="00F67B10">
            <w:pP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Number of sessions attended</w:t>
            </w:r>
          </w:p>
        </w:tc>
        <w:tc>
          <w:tcPr>
            <w:tcW w:w="0" w:type="auto"/>
            <w:shd w:val="clear" w:color="auto" w:fill="auto"/>
          </w:tcPr>
          <w:p w14:paraId="2EF52BB5"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-.07</w:t>
            </w:r>
          </w:p>
        </w:tc>
        <w:tc>
          <w:tcPr>
            <w:tcW w:w="0" w:type="auto"/>
            <w:shd w:val="clear" w:color="auto" w:fill="auto"/>
          </w:tcPr>
          <w:p w14:paraId="0E9A9539"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.05</w:t>
            </w:r>
          </w:p>
        </w:tc>
        <w:tc>
          <w:tcPr>
            <w:tcW w:w="0" w:type="auto"/>
            <w:shd w:val="clear" w:color="auto" w:fill="auto"/>
          </w:tcPr>
          <w:p w14:paraId="5B5B76B5"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-.19</w:t>
            </w:r>
          </w:p>
        </w:tc>
        <w:tc>
          <w:tcPr>
            <w:tcW w:w="0" w:type="auto"/>
          </w:tcPr>
          <w:p w14:paraId="5EE5F723" w14:textId="77777777" w:rsidR="00B91BA5" w:rsidRPr="00663A4B" w:rsidRDefault="00B91BA5" w:rsidP="00F67B10">
            <w:pP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-1.43</w:t>
            </w:r>
          </w:p>
        </w:tc>
        <w:tc>
          <w:tcPr>
            <w:tcW w:w="0" w:type="auto"/>
          </w:tcPr>
          <w:p w14:paraId="3746DD72"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34AA2F30"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7FE116EE"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7939A823"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33F43456"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3A889731"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251D0560" w14:textId="77777777" w:rsidR="00B91BA5" w:rsidRPr="00663A4B" w:rsidRDefault="00B91BA5" w:rsidP="00F67B10">
            <w:pPr>
              <w:jc w:val="both"/>
              <w:rPr>
                <w:rFonts w:ascii="Garamond" w:eastAsiaTheme="minorHAnsi" w:hAnsi="Garamond" w:cstheme="minorBidi"/>
                <w:sz w:val="22"/>
                <w:szCs w:val="22"/>
                <w:lang w:val="en-US" w:eastAsia="en-US"/>
              </w:rPr>
            </w:pPr>
          </w:p>
        </w:tc>
      </w:tr>
      <w:tr w:rsidR="00B91BA5" w:rsidRPr="00663A4B" w14:paraId="108AE94D" w14:textId="77777777" w:rsidTr="00F67B10">
        <w:tc>
          <w:tcPr>
            <w:tcW w:w="0" w:type="auto"/>
            <w:shd w:val="clear" w:color="auto" w:fill="auto"/>
          </w:tcPr>
          <w:p w14:paraId="45A66E3F" w14:textId="77777777" w:rsidR="00B91BA5" w:rsidRPr="00663A4B" w:rsidRDefault="00B91BA5" w:rsidP="00F67B10">
            <w:pP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Social support</w:t>
            </w:r>
          </w:p>
        </w:tc>
        <w:tc>
          <w:tcPr>
            <w:tcW w:w="0" w:type="auto"/>
            <w:shd w:val="clear" w:color="auto" w:fill="auto"/>
          </w:tcPr>
          <w:p w14:paraId="1CE03723"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.14</w:t>
            </w:r>
          </w:p>
        </w:tc>
        <w:tc>
          <w:tcPr>
            <w:tcW w:w="0" w:type="auto"/>
            <w:shd w:val="clear" w:color="auto" w:fill="auto"/>
          </w:tcPr>
          <w:p w14:paraId="60B001CB"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.10</w:t>
            </w:r>
          </w:p>
        </w:tc>
        <w:tc>
          <w:tcPr>
            <w:tcW w:w="0" w:type="auto"/>
            <w:shd w:val="clear" w:color="auto" w:fill="auto"/>
          </w:tcPr>
          <w:p w14:paraId="5B41BEE8"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.18</w:t>
            </w:r>
          </w:p>
        </w:tc>
        <w:tc>
          <w:tcPr>
            <w:tcW w:w="0" w:type="auto"/>
          </w:tcPr>
          <w:p w14:paraId="0445B548"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1.45</w:t>
            </w:r>
          </w:p>
        </w:tc>
        <w:tc>
          <w:tcPr>
            <w:tcW w:w="0" w:type="auto"/>
          </w:tcPr>
          <w:p w14:paraId="01484D52"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4DCB052D"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009266A5"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0B7877F9"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279F4F7F"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25B9776B"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57270F83" w14:textId="77777777" w:rsidR="00B91BA5" w:rsidRPr="00663A4B" w:rsidRDefault="00B91BA5" w:rsidP="00F67B10">
            <w:pPr>
              <w:jc w:val="both"/>
              <w:rPr>
                <w:rFonts w:ascii="Garamond" w:eastAsiaTheme="minorHAnsi" w:hAnsi="Garamond" w:cstheme="minorBidi"/>
                <w:sz w:val="22"/>
                <w:szCs w:val="22"/>
                <w:lang w:val="en-US" w:eastAsia="en-US"/>
              </w:rPr>
            </w:pPr>
          </w:p>
        </w:tc>
      </w:tr>
      <w:tr w:rsidR="00B91BA5" w:rsidRPr="00663A4B" w14:paraId="19163FD6" w14:textId="77777777" w:rsidTr="00F67B10">
        <w:tc>
          <w:tcPr>
            <w:tcW w:w="0" w:type="auto"/>
            <w:shd w:val="clear" w:color="auto" w:fill="auto"/>
          </w:tcPr>
          <w:p w14:paraId="3C24DC88" w14:textId="77777777" w:rsidR="00B91BA5" w:rsidRPr="00663A4B" w:rsidRDefault="00B91BA5" w:rsidP="00F67B10">
            <w:pP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Multiple group membership</w:t>
            </w:r>
          </w:p>
        </w:tc>
        <w:tc>
          <w:tcPr>
            <w:tcW w:w="0" w:type="auto"/>
            <w:shd w:val="clear" w:color="auto" w:fill="auto"/>
          </w:tcPr>
          <w:p w14:paraId="6D2D11AA"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-.03</w:t>
            </w:r>
          </w:p>
        </w:tc>
        <w:tc>
          <w:tcPr>
            <w:tcW w:w="0" w:type="auto"/>
            <w:shd w:val="clear" w:color="auto" w:fill="auto"/>
          </w:tcPr>
          <w:p w14:paraId="750B92CD" w14:textId="77777777" w:rsidR="00B91BA5" w:rsidRPr="00663A4B" w:rsidRDefault="00B91BA5" w:rsidP="00F67B10">
            <w:pP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.09</w:t>
            </w:r>
          </w:p>
        </w:tc>
        <w:tc>
          <w:tcPr>
            <w:tcW w:w="0" w:type="auto"/>
            <w:shd w:val="clear" w:color="auto" w:fill="auto"/>
          </w:tcPr>
          <w:p w14:paraId="580BBFFA"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-.06</w:t>
            </w:r>
          </w:p>
        </w:tc>
        <w:tc>
          <w:tcPr>
            <w:tcW w:w="0" w:type="auto"/>
          </w:tcPr>
          <w:p w14:paraId="55D0BD40"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-.42</w:t>
            </w:r>
          </w:p>
        </w:tc>
        <w:tc>
          <w:tcPr>
            <w:tcW w:w="0" w:type="auto"/>
          </w:tcPr>
          <w:p w14:paraId="43F91B83"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46A15392"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360FDFDB"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1A0BA9E8"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4C81D87C"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2C5AF786"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38D6876D" w14:textId="77777777" w:rsidR="00B91BA5" w:rsidRPr="00663A4B" w:rsidRDefault="00B91BA5" w:rsidP="00F67B10">
            <w:pPr>
              <w:jc w:val="both"/>
              <w:rPr>
                <w:rFonts w:ascii="Garamond" w:eastAsiaTheme="minorHAnsi" w:hAnsi="Garamond" w:cstheme="minorBidi"/>
                <w:sz w:val="22"/>
                <w:szCs w:val="22"/>
                <w:lang w:val="en-US" w:eastAsia="en-US"/>
              </w:rPr>
            </w:pPr>
          </w:p>
        </w:tc>
      </w:tr>
      <w:tr w:rsidR="00B91BA5" w:rsidRPr="00663A4B" w14:paraId="4C9249F8" w14:textId="77777777" w:rsidTr="00F67B10">
        <w:tc>
          <w:tcPr>
            <w:tcW w:w="0" w:type="auto"/>
            <w:shd w:val="clear" w:color="auto" w:fill="auto"/>
          </w:tcPr>
          <w:p w14:paraId="059BA30D" w14:textId="77777777" w:rsidR="00B91BA5" w:rsidRPr="00663A4B" w:rsidRDefault="00B91BA5" w:rsidP="00F67B10">
            <w:pP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Perceived discrimination</w:t>
            </w:r>
          </w:p>
        </w:tc>
        <w:tc>
          <w:tcPr>
            <w:tcW w:w="0" w:type="auto"/>
            <w:shd w:val="clear" w:color="auto" w:fill="auto"/>
          </w:tcPr>
          <w:p w14:paraId="3ECAE6F1"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-.03</w:t>
            </w:r>
          </w:p>
        </w:tc>
        <w:tc>
          <w:tcPr>
            <w:tcW w:w="0" w:type="auto"/>
            <w:shd w:val="clear" w:color="auto" w:fill="auto"/>
          </w:tcPr>
          <w:p w14:paraId="090A6E64"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.09</w:t>
            </w:r>
          </w:p>
        </w:tc>
        <w:tc>
          <w:tcPr>
            <w:tcW w:w="0" w:type="auto"/>
            <w:shd w:val="clear" w:color="auto" w:fill="auto"/>
          </w:tcPr>
          <w:p w14:paraId="7039A6B3"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-.06</w:t>
            </w:r>
          </w:p>
        </w:tc>
        <w:tc>
          <w:tcPr>
            <w:tcW w:w="0" w:type="auto"/>
          </w:tcPr>
          <w:p w14:paraId="6EBD1FF4" w14:textId="77777777" w:rsidR="00B91BA5" w:rsidRPr="00663A4B" w:rsidRDefault="00B91BA5" w:rsidP="00F67B10">
            <w:pPr>
              <w:jc w:val="center"/>
              <w:rPr>
                <w:rFonts w:ascii="Garamond" w:eastAsiaTheme="minorHAnsi" w:hAnsi="Garamond" w:cstheme="minorBidi"/>
                <w:sz w:val="22"/>
                <w:szCs w:val="22"/>
                <w:lang w:val="en-US" w:eastAsia="en-US"/>
              </w:rPr>
            </w:pPr>
            <w:r w:rsidRPr="00663A4B">
              <w:rPr>
                <w:rFonts w:ascii="Garamond" w:eastAsiaTheme="minorHAnsi" w:hAnsi="Garamond" w:cstheme="minorBidi"/>
                <w:sz w:val="22"/>
                <w:szCs w:val="22"/>
                <w:lang w:val="en-US" w:eastAsia="en-US"/>
              </w:rPr>
              <w:t>-.36</w:t>
            </w:r>
          </w:p>
        </w:tc>
        <w:tc>
          <w:tcPr>
            <w:tcW w:w="0" w:type="auto"/>
          </w:tcPr>
          <w:p w14:paraId="687FC874"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0939EAE0"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0DF459F6"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shd w:val="clear" w:color="auto" w:fill="auto"/>
          </w:tcPr>
          <w:p w14:paraId="722BE9E3"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19B89A29"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59FED190" w14:textId="77777777" w:rsidR="00B91BA5" w:rsidRPr="00663A4B" w:rsidRDefault="00B91BA5" w:rsidP="00F67B10">
            <w:pPr>
              <w:jc w:val="both"/>
              <w:rPr>
                <w:rFonts w:ascii="Garamond" w:eastAsiaTheme="minorHAnsi" w:hAnsi="Garamond" w:cstheme="minorBidi"/>
                <w:sz w:val="22"/>
                <w:szCs w:val="22"/>
                <w:lang w:val="en-US" w:eastAsia="en-US"/>
              </w:rPr>
            </w:pPr>
          </w:p>
        </w:tc>
        <w:tc>
          <w:tcPr>
            <w:tcW w:w="0" w:type="auto"/>
          </w:tcPr>
          <w:p w14:paraId="1FBA63C5" w14:textId="77777777" w:rsidR="00B91BA5" w:rsidRPr="00663A4B" w:rsidRDefault="00B91BA5" w:rsidP="00F67B10">
            <w:pPr>
              <w:jc w:val="both"/>
              <w:rPr>
                <w:rFonts w:ascii="Garamond" w:eastAsiaTheme="minorHAnsi" w:hAnsi="Garamond" w:cstheme="minorBidi"/>
                <w:sz w:val="22"/>
                <w:szCs w:val="22"/>
                <w:lang w:val="en-US" w:eastAsia="en-US"/>
              </w:rPr>
            </w:pPr>
          </w:p>
        </w:tc>
      </w:tr>
    </w:tbl>
    <w:p w14:paraId="232C7AEC" w14:textId="77777777" w:rsidR="00663A4B" w:rsidRPr="00663A4B" w:rsidRDefault="00663A4B" w:rsidP="00663A4B">
      <w:pPr>
        <w:rPr>
          <w:rFonts w:ascii="Garamond" w:eastAsia="Times New Roman" w:hAnsi="Garamond" w:cs="Times New Roman"/>
        </w:rPr>
      </w:pPr>
      <w:r w:rsidRPr="00663A4B">
        <w:rPr>
          <w:rFonts w:ascii="Garamond" w:eastAsia="Times New Roman" w:hAnsi="Garamond" w:cs="Times New Roman"/>
        </w:rPr>
        <w:t xml:space="preserve">*= </w:t>
      </w:r>
      <w:r w:rsidRPr="00663A4B">
        <w:rPr>
          <w:rFonts w:ascii="Garamond" w:eastAsia="Times New Roman" w:hAnsi="Garamond" w:cs="Times New Roman"/>
          <w:i/>
        </w:rPr>
        <w:t>p</w:t>
      </w:r>
      <w:r w:rsidRPr="00663A4B">
        <w:rPr>
          <w:rFonts w:ascii="Garamond" w:eastAsia="Times New Roman" w:hAnsi="Garamond" w:cs="Times New Roman"/>
        </w:rPr>
        <w:t xml:space="preserve"> &lt;.05; ** = </w:t>
      </w:r>
      <w:r w:rsidRPr="00663A4B">
        <w:rPr>
          <w:rFonts w:ascii="Garamond" w:eastAsia="Times New Roman" w:hAnsi="Garamond" w:cs="Times New Roman"/>
          <w:i/>
        </w:rPr>
        <w:t>p</w:t>
      </w:r>
      <w:r w:rsidRPr="00663A4B">
        <w:rPr>
          <w:rFonts w:ascii="Garamond" w:eastAsia="Times New Roman" w:hAnsi="Garamond" w:cs="Times New Roman"/>
        </w:rPr>
        <w:t xml:space="preserve"> &lt; .01; *** = </w:t>
      </w:r>
      <w:r w:rsidRPr="00663A4B">
        <w:rPr>
          <w:rFonts w:ascii="Garamond" w:eastAsia="Times New Roman" w:hAnsi="Garamond" w:cs="Times New Roman"/>
          <w:i/>
        </w:rPr>
        <w:t>p</w:t>
      </w:r>
      <w:r w:rsidRPr="00663A4B">
        <w:rPr>
          <w:rFonts w:ascii="Garamond" w:eastAsia="Times New Roman" w:hAnsi="Garamond" w:cs="Times New Roman"/>
        </w:rPr>
        <w:t xml:space="preserve"> &lt; .001</w:t>
      </w:r>
    </w:p>
    <w:p w14:paraId="7C7482AD" w14:textId="77777777" w:rsidR="00663A4B" w:rsidRPr="00663A4B" w:rsidRDefault="00663A4B" w:rsidP="00663A4B">
      <w:pPr>
        <w:rPr>
          <w:rFonts w:ascii="Garamond" w:eastAsia="Times New Roman" w:hAnsi="Garamond" w:cs="Times New Roman"/>
        </w:rPr>
      </w:pPr>
      <w:r w:rsidRPr="00663A4B">
        <w:rPr>
          <w:rFonts w:ascii="Garamond" w:hAnsi="Garamond"/>
          <w:lang w:eastAsia="en-US"/>
        </w:rPr>
        <w:t>Gender coding: Male = 1; Female = 2</w:t>
      </w:r>
    </w:p>
    <w:p w14:paraId="1CC629FA" w14:textId="77777777" w:rsidR="00170563" w:rsidRDefault="00170563">
      <w:pPr>
        <w:rPr>
          <w:rFonts w:ascii="Garamond" w:eastAsia="Garamond" w:hAnsi="Garamond" w:cs="Garamond"/>
        </w:rPr>
      </w:pPr>
    </w:p>
    <w:p w14:paraId="79450A7F" w14:textId="77777777" w:rsidR="00170563" w:rsidRDefault="00170563">
      <w:pPr>
        <w:rPr>
          <w:rFonts w:ascii="Garamond" w:eastAsia="Garamond" w:hAnsi="Garamond" w:cs="Garamond"/>
        </w:rPr>
      </w:pPr>
    </w:p>
    <w:p w14:paraId="68B0B08E" w14:textId="77777777" w:rsidR="00663A4B" w:rsidRDefault="00663A4B">
      <w:pPr>
        <w:rPr>
          <w:rFonts w:ascii="Garamond" w:eastAsia="Garamond" w:hAnsi="Garamond" w:cs="Garamond"/>
        </w:rPr>
      </w:pPr>
    </w:p>
    <w:p w14:paraId="5D7232B1" w14:textId="77777777" w:rsidR="00663A4B" w:rsidRDefault="00663A4B">
      <w:pPr>
        <w:rPr>
          <w:rFonts w:ascii="Garamond" w:eastAsia="Garamond" w:hAnsi="Garamond" w:cs="Garamond"/>
        </w:rPr>
      </w:pPr>
    </w:p>
    <w:sectPr w:rsidR="00663A4B" w:rsidSect="00663A4B">
      <w:pgSz w:w="16840" w:h="11900" w:orient="landscape"/>
      <w:pgMar w:top="1440" w:right="1440" w:bottom="1440" w:left="992" w:header="709" w:footer="709" w:gutter="0"/>
      <w:cols w:space="720" w:equalWidth="0">
        <w:col w:w="9360"/>
      </w:cols>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7A7A19" w16cid:durableId="21EAAD96"/>
  <w16cid:commentId w16cid:paraId="2A250553" w16cid:durableId="21EAB981"/>
  <w16cid:commentId w16cid:paraId="0A5D0528" w16cid:durableId="21EAB9E2"/>
  <w16cid:commentId w16cid:paraId="5E25612D" w16cid:durableId="21EAB456"/>
  <w16cid:commentId w16cid:paraId="793F1E07" w16cid:durableId="21EAB2AF"/>
  <w16cid:commentId w16cid:paraId="70C37BC9" w16cid:durableId="21EAB2D8"/>
  <w16cid:commentId w16cid:paraId="38A40BEB" w16cid:durableId="21EAB646"/>
  <w16cid:commentId w16cid:paraId="06F61E19" w16cid:durableId="21EAAEA8"/>
  <w16cid:commentId w16cid:paraId="1844AB33" w16cid:durableId="21EAB4E9"/>
  <w16cid:commentId w16cid:paraId="4F3A38EB" w16cid:durableId="21EABB42"/>
  <w16cid:commentId w16cid:paraId="721B7667" w16cid:durableId="21EAB7A7"/>
  <w16cid:commentId w16cid:paraId="0ADBC1A0" w16cid:durableId="21EABA6D"/>
  <w16cid:commentId w16cid:paraId="73A7CDBF" w16cid:durableId="21EAB847"/>
  <w16cid:commentId w16cid:paraId="16D74AD9" w16cid:durableId="21EABB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2001C" w14:textId="77777777" w:rsidR="00247DD3" w:rsidRDefault="00247DD3">
      <w:r>
        <w:separator/>
      </w:r>
    </w:p>
  </w:endnote>
  <w:endnote w:type="continuationSeparator" w:id="0">
    <w:p w14:paraId="60842C8C" w14:textId="77777777" w:rsidR="00247DD3" w:rsidRDefault="00247DD3">
      <w:r>
        <w:continuationSeparator/>
      </w:r>
    </w:p>
  </w:endnote>
  <w:endnote w:id="1">
    <w:p w14:paraId="1AE556C2" w14:textId="77777777" w:rsidR="00663A4B" w:rsidRPr="00157C7F" w:rsidRDefault="00663A4B">
      <w:pPr>
        <w:pStyle w:val="EndnoteText"/>
        <w:rPr>
          <w:rFonts w:ascii="Garamond" w:hAnsi="Garamond"/>
          <w:sz w:val="24"/>
          <w:szCs w:val="24"/>
          <w:lang w:val="en-US"/>
        </w:rPr>
      </w:pPr>
      <w:r w:rsidRPr="00157C7F">
        <w:rPr>
          <w:rStyle w:val="EndnoteReference"/>
          <w:rFonts w:ascii="Garamond" w:hAnsi="Garamond"/>
          <w:sz w:val="24"/>
          <w:szCs w:val="24"/>
        </w:rPr>
        <w:endnoteRef/>
      </w:r>
      <w:r w:rsidRPr="00157C7F">
        <w:rPr>
          <w:rFonts w:ascii="Garamond" w:hAnsi="Garamond"/>
          <w:sz w:val="24"/>
          <w:szCs w:val="24"/>
        </w:rPr>
        <w:t xml:space="preserve"> Service evaluation summary report available on request from the authors.</w:t>
      </w:r>
    </w:p>
  </w:endnote>
  <w:endnote w:id="2">
    <w:p w14:paraId="0E665217" w14:textId="3BAEC12E" w:rsidR="00157C7F" w:rsidRPr="00157C7F" w:rsidRDefault="00157C7F">
      <w:pPr>
        <w:pStyle w:val="EndnoteText"/>
        <w:rPr>
          <w:rFonts w:ascii="Garamond" w:hAnsi="Garamond"/>
          <w:sz w:val="24"/>
          <w:szCs w:val="24"/>
          <w:lang w:val="en-US"/>
        </w:rPr>
      </w:pPr>
      <w:r w:rsidRPr="00157C7F">
        <w:rPr>
          <w:rStyle w:val="EndnoteReference"/>
          <w:rFonts w:ascii="Garamond" w:hAnsi="Garamond"/>
          <w:sz w:val="24"/>
          <w:szCs w:val="24"/>
        </w:rPr>
        <w:endnoteRef/>
      </w:r>
      <w:r w:rsidRPr="00157C7F">
        <w:rPr>
          <w:rFonts w:ascii="Garamond" w:hAnsi="Garamond"/>
          <w:sz w:val="24"/>
          <w:szCs w:val="24"/>
        </w:rPr>
        <w:t xml:space="preserve"> The age, gender, and BMI </w:t>
      </w:r>
      <w:r>
        <w:rPr>
          <w:rFonts w:ascii="Garamond" w:hAnsi="Garamond"/>
          <w:sz w:val="24"/>
          <w:szCs w:val="24"/>
        </w:rPr>
        <w:t>profile</w:t>
      </w:r>
      <w:r w:rsidRPr="00157C7F">
        <w:rPr>
          <w:rFonts w:ascii="Garamond" w:hAnsi="Garamond"/>
          <w:sz w:val="24"/>
          <w:szCs w:val="24"/>
        </w:rPr>
        <w:t xml:space="preserve"> of the study sample</w:t>
      </w:r>
      <w:r>
        <w:rPr>
          <w:rFonts w:ascii="Garamond" w:hAnsi="Garamond"/>
          <w:sz w:val="24"/>
          <w:szCs w:val="24"/>
        </w:rPr>
        <w:t xml:space="preserve"> is representative of that</w:t>
      </w:r>
      <w:r w:rsidRPr="00157C7F">
        <w:rPr>
          <w:rFonts w:ascii="Garamond" w:hAnsi="Garamond"/>
          <w:sz w:val="24"/>
          <w:szCs w:val="24"/>
        </w:rPr>
        <w:t xml:space="preserve"> of patients   registered onto the obesity service: average age = 48 years (SD = 13.7); 67% (versus 73%) females; average BMI = 46.9 kg/m2 (SD = </w:t>
      </w:r>
      <w:r w:rsidRPr="00157C7F">
        <w:rPr>
          <w:rFonts w:ascii="Garamond" w:hAnsi="Garamond"/>
          <w:color w:val="000000"/>
          <w:sz w:val="24"/>
          <w:szCs w:val="24"/>
          <w:shd w:val="clear" w:color="auto" w:fill="FFFFFF"/>
          <w:lang w:eastAsia="en-US"/>
        </w:rPr>
        <w:t>7.3 kg/m2).</w:t>
      </w:r>
      <w:r>
        <w:rPr>
          <w:b/>
          <w:color w:val="000000"/>
          <w:sz w:val="22"/>
          <w:szCs w:val="22"/>
          <w:shd w:val="clear" w:color="auto" w:fill="FFFFFF"/>
          <w:lang w:eastAsia="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ungsuh">
    <w:altName w:val="Malgun Gothic Semilight"/>
    <w:charset w:val="00"/>
    <w:family w:val="auto"/>
    <w:pitch w:val="default"/>
  </w:font>
  <w:font w:name="Helvetica Neue">
    <w:charset w:val="00"/>
    <w:family w:val="auto"/>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B09C" w14:textId="77777777" w:rsidR="00663A4B" w:rsidRDefault="00663A4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34040772" w14:textId="77777777" w:rsidR="00663A4B" w:rsidRDefault="00663A4B">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00FE5" w14:textId="5B3BF8D0" w:rsidR="00663A4B" w:rsidRDefault="00663A4B">
    <w:pPr>
      <w:pBdr>
        <w:top w:val="nil"/>
        <w:left w:val="nil"/>
        <w:bottom w:val="nil"/>
        <w:right w:val="nil"/>
        <w:between w:val="nil"/>
      </w:pBdr>
      <w:tabs>
        <w:tab w:val="center" w:pos="4513"/>
        <w:tab w:val="right" w:pos="9026"/>
      </w:tabs>
      <w:jc w:val="right"/>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4330BF">
      <w:rPr>
        <w:rFonts w:ascii="Garamond" w:eastAsia="Garamond" w:hAnsi="Garamond" w:cs="Garamond"/>
        <w:noProof/>
        <w:color w:val="000000"/>
      </w:rPr>
      <w:t>5</w:t>
    </w:r>
    <w:r>
      <w:rPr>
        <w:rFonts w:ascii="Garamond" w:eastAsia="Garamond" w:hAnsi="Garamond" w:cs="Garamond"/>
        <w:color w:val="000000"/>
      </w:rPr>
      <w:fldChar w:fldCharType="end"/>
    </w:r>
  </w:p>
  <w:p w14:paraId="41EEC944" w14:textId="77777777" w:rsidR="00663A4B" w:rsidRDefault="00663A4B">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11502" w14:textId="77777777" w:rsidR="00247DD3" w:rsidRDefault="00247DD3">
      <w:r>
        <w:separator/>
      </w:r>
    </w:p>
  </w:footnote>
  <w:footnote w:type="continuationSeparator" w:id="0">
    <w:p w14:paraId="39B39D4C" w14:textId="77777777" w:rsidR="00247DD3" w:rsidRDefault="0024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72360" w14:textId="77777777" w:rsidR="00663A4B" w:rsidRDefault="00663A4B">
    <w:pPr>
      <w:pBdr>
        <w:top w:val="nil"/>
        <w:left w:val="nil"/>
        <w:bottom w:val="nil"/>
        <w:right w:val="nil"/>
        <w:between w:val="nil"/>
      </w:pBdr>
      <w:tabs>
        <w:tab w:val="center" w:pos="4513"/>
        <w:tab w:val="right" w:pos="9026"/>
      </w:tabs>
      <w:rPr>
        <w:rFonts w:ascii="Garamond" w:eastAsia="Garamond" w:hAnsi="Garamond" w:cs="Garamond"/>
        <w:color w:val="000000"/>
      </w:rPr>
    </w:pPr>
    <w:r>
      <w:rPr>
        <w:rFonts w:ascii="Garamond" w:eastAsia="Garamond" w:hAnsi="Garamond" w:cs="Garamond"/>
        <w:color w:val="000000"/>
      </w:rPr>
      <w:t>SOCIAL IDENTIFICATION WITH NEW TREATMENT GROUPS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D54E5"/>
    <w:multiLevelType w:val="hybridMultilevel"/>
    <w:tmpl w:val="611491BE"/>
    <w:lvl w:ilvl="0" w:tplc="B8E6F34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3BkJDUwNzExNLCyUdpeDU4uLM/DyQAsNaAEjHfs8sAAAA"/>
  </w:docVars>
  <w:rsids>
    <w:rsidRoot w:val="00170563"/>
    <w:rsid w:val="000033FD"/>
    <w:rsid w:val="00013BBD"/>
    <w:rsid w:val="00017753"/>
    <w:rsid w:val="000219B9"/>
    <w:rsid w:val="00032983"/>
    <w:rsid w:val="000605EB"/>
    <w:rsid w:val="000611D5"/>
    <w:rsid w:val="00082B09"/>
    <w:rsid w:val="000C60EB"/>
    <w:rsid w:val="000D6180"/>
    <w:rsid w:val="00157C7F"/>
    <w:rsid w:val="00162762"/>
    <w:rsid w:val="00170563"/>
    <w:rsid w:val="001A1BF0"/>
    <w:rsid w:val="001E5FC5"/>
    <w:rsid w:val="00246C1E"/>
    <w:rsid w:val="00247DD3"/>
    <w:rsid w:val="002801B2"/>
    <w:rsid w:val="00285A43"/>
    <w:rsid w:val="002C03A4"/>
    <w:rsid w:val="002F08E4"/>
    <w:rsid w:val="0034670C"/>
    <w:rsid w:val="0037239A"/>
    <w:rsid w:val="003A0085"/>
    <w:rsid w:val="004330BF"/>
    <w:rsid w:val="004C24B9"/>
    <w:rsid w:val="004E6E69"/>
    <w:rsid w:val="004F6B32"/>
    <w:rsid w:val="005664DC"/>
    <w:rsid w:val="00577EB1"/>
    <w:rsid w:val="005B3068"/>
    <w:rsid w:val="005B4584"/>
    <w:rsid w:val="005C4241"/>
    <w:rsid w:val="00663A4B"/>
    <w:rsid w:val="006908D5"/>
    <w:rsid w:val="00822828"/>
    <w:rsid w:val="008E031F"/>
    <w:rsid w:val="009B427F"/>
    <w:rsid w:val="00A06CC6"/>
    <w:rsid w:val="00A40BD2"/>
    <w:rsid w:val="00A42F93"/>
    <w:rsid w:val="00A43103"/>
    <w:rsid w:val="00B40C5B"/>
    <w:rsid w:val="00B82690"/>
    <w:rsid w:val="00B84D80"/>
    <w:rsid w:val="00B91BA5"/>
    <w:rsid w:val="00BB336D"/>
    <w:rsid w:val="00BD1AD4"/>
    <w:rsid w:val="00BE4832"/>
    <w:rsid w:val="00C43DDC"/>
    <w:rsid w:val="00C83150"/>
    <w:rsid w:val="00CB07BB"/>
    <w:rsid w:val="00D013E9"/>
    <w:rsid w:val="00D46E60"/>
    <w:rsid w:val="00DA36B2"/>
    <w:rsid w:val="00E1559E"/>
    <w:rsid w:val="00E24A38"/>
    <w:rsid w:val="00E537F1"/>
    <w:rsid w:val="00F11528"/>
    <w:rsid w:val="00F47D5E"/>
    <w:rsid w:val="00F67B10"/>
    <w:rsid w:val="00F74CFD"/>
    <w:rsid w:val="00F93DDF"/>
    <w:rsid w:val="00FA3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596B"/>
  <w15:docId w15:val="{5E27E44C-0790-41D1-8B62-BF079448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63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557F2"/>
    <w:pPr>
      <w:ind w:left="720"/>
      <w:contextualSpacing/>
    </w:pPr>
  </w:style>
  <w:style w:type="paragraph" w:styleId="DocumentMap">
    <w:name w:val="Document Map"/>
    <w:basedOn w:val="Normal"/>
    <w:link w:val="DocumentMapChar"/>
    <w:uiPriority w:val="99"/>
    <w:semiHidden/>
    <w:unhideWhenUsed/>
    <w:rsid w:val="00D672BC"/>
    <w:rPr>
      <w:rFonts w:ascii="Times New Roman" w:hAnsi="Times New Roman" w:cs="Times New Roman"/>
    </w:rPr>
  </w:style>
  <w:style w:type="character" w:customStyle="1" w:styleId="DocumentMapChar">
    <w:name w:val="Document Map Char"/>
    <w:basedOn w:val="DefaultParagraphFont"/>
    <w:link w:val="DocumentMap"/>
    <w:uiPriority w:val="99"/>
    <w:semiHidden/>
    <w:rsid w:val="00D672BC"/>
    <w:rPr>
      <w:rFonts w:ascii="Times New Roman" w:hAnsi="Times New Roman" w:cs="Times New Roman"/>
    </w:rPr>
  </w:style>
  <w:style w:type="paragraph" w:styleId="Footer">
    <w:name w:val="footer"/>
    <w:basedOn w:val="Normal"/>
    <w:link w:val="FooterChar"/>
    <w:uiPriority w:val="99"/>
    <w:unhideWhenUsed/>
    <w:rsid w:val="00F13A9F"/>
    <w:pPr>
      <w:tabs>
        <w:tab w:val="center" w:pos="4513"/>
        <w:tab w:val="right" w:pos="9026"/>
      </w:tabs>
    </w:pPr>
  </w:style>
  <w:style w:type="character" w:customStyle="1" w:styleId="FooterChar">
    <w:name w:val="Footer Char"/>
    <w:basedOn w:val="DefaultParagraphFont"/>
    <w:link w:val="Footer"/>
    <w:uiPriority w:val="99"/>
    <w:rsid w:val="00F13A9F"/>
  </w:style>
  <w:style w:type="character" w:styleId="PageNumber">
    <w:name w:val="page number"/>
    <w:basedOn w:val="DefaultParagraphFont"/>
    <w:uiPriority w:val="99"/>
    <w:semiHidden/>
    <w:unhideWhenUsed/>
    <w:rsid w:val="00F13A9F"/>
  </w:style>
  <w:style w:type="character" w:styleId="Hyperlink">
    <w:name w:val="Hyperlink"/>
    <w:basedOn w:val="DefaultParagraphFont"/>
    <w:uiPriority w:val="99"/>
    <w:unhideWhenUsed/>
    <w:rsid w:val="00333147"/>
    <w:rPr>
      <w:color w:val="0563C1" w:themeColor="hyperlink"/>
      <w:u w:val="single"/>
    </w:rPr>
  </w:style>
  <w:style w:type="paragraph" w:styleId="FootnoteText">
    <w:name w:val="footnote text"/>
    <w:basedOn w:val="Normal"/>
    <w:link w:val="FootnoteTextChar"/>
    <w:uiPriority w:val="99"/>
    <w:unhideWhenUsed/>
    <w:rsid w:val="009B7199"/>
  </w:style>
  <w:style w:type="character" w:customStyle="1" w:styleId="FootnoteTextChar">
    <w:name w:val="Footnote Text Char"/>
    <w:basedOn w:val="DefaultParagraphFont"/>
    <w:link w:val="FootnoteText"/>
    <w:uiPriority w:val="99"/>
    <w:rsid w:val="009B7199"/>
  </w:style>
  <w:style w:type="character" w:styleId="FootnoteReference">
    <w:name w:val="footnote reference"/>
    <w:basedOn w:val="DefaultParagraphFont"/>
    <w:uiPriority w:val="99"/>
    <w:unhideWhenUsed/>
    <w:rsid w:val="009B7199"/>
    <w:rPr>
      <w:vertAlign w:val="superscript"/>
    </w:rPr>
  </w:style>
  <w:style w:type="character" w:styleId="FollowedHyperlink">
    <w:name w:val="FollowedHyperlink"/>
    <w:basedOn w:val="DefaultParagraphFont"/>
    <w:uiPriority w:val="99"/>
    <w:semiHidden/>
    <w:unhideWhenUsed/>
    <w:rsid w:val="00AC57AE"/>
    <w:rPr>
      <w:color w:val="954F72" w:themeColor="followedHyperlink"/>
      <w:u w:val="single"/>
    </w:rPr>
  </w:style>
  <w:style w:type="character" w:styleId="CommentReference">
    <w:name w:val="annotation reference"/>
    <w:basedOn w:val="DefaultParagraphFont"/>
    <w:uiPriority w:val="99"/>
    <w:semiHidden/>
    <w:unhideWhenUsed/>
    <w:rsid w:val="008027D5"/>
    <w:rPr>
      <w:sz w:val="16"/>
      <w:szCs w:val="16"/>
    </w:rPr>
  </w:style>
  <w:style w:type="paragraph" w:styleId="CommentText">
    <w:name w:val="annotation text"/>
    <w:basedOn w:val="Normal"/>
    <w:link w:val="CommentTextChar"/>
    <w:uiPriority w:val="99"/>
    <w:semiHidden/>
    <w:unhideWhenUsed/>
    <w:rsid w:val="008027D5"/>
    <w:rPr>
      <w:sz w:val="20"/>
      <w:szCs w:val="20"/>
    </w:rPr>
  </w:style>
  <w:style w:type="character" w:customStyle="1" w:styleId="CommentTextChar">
    <w:name w:val="Comment Text Char"/>
    <w:basedOn w:val="DefaultParagraphFont"/>
    <w:link w:val="CommentText"/>
    <w:uiPriority w:val="99"/>
    <w:semiHidden/>
    <w:rsid w:val="008027D5"/>
    <w:rPr>
      <w:sz w:val="20"/>
      <w:szCs w:val="20"/>
    </w:rPr>
  </w:style>
  <w:style w:type="paragraph" w:styleId="CommentSubject">
    <w:name w:val="annotation subject"/>
    <w:basedOn w:val="CommentText"/>
    <w:next w:val="CommentText"/>
    <w:link w:val="CommentSubjectChar"/>
    <w:uiPriority w:val="99"/>
    <w:semiHidden/>
    <w:unhideWhenUsed/>
    <w:rsid w:val="008027D5"/>
    <w:rPr>
      <w:b/>
      <w:bCs/>
    </w:rPr>
  </w:style>
  <w:style w:type="character" w:customStyle="1" w:styleId="CommentSubjectChar">
    <w:name w:val="Comment Subject Char"/>
    <w:basedOn w:val="CommentTextChar"/>
    <w:link w:val="CommentSubject"/>
    <w:uiPriority w:val="99"/>
    <w:semiHidden/>
    <w:rsid w:val="008027D5"/>
    <w:rPr>
      <w:b/>
      <w:bCs/>
      <w:sz w:val="20"/>
      <w:szCs w:val="20"/>
    </w:rPr>
  </w:style>
  <w:style w:type="paragraph" w:styleId="BalloonText">
    <w:name w:val="Balloon Text"/>
    <w:basedOn w:val="Normal"/>
    <w:link w:val="BalloonTextChar"/>
    <w:uiPriority w:val="99"/>
    <w:semiHidden/>
    <w:unhideWhenUsed/>
    <w:rsid w:val="008027D5"/>
    <w:rPr>
      <w:rFonts w:ascii="Tahoma" w:hAnsi="Tahoma" w:cs="Tahoma"/>
      <w:sz w:val="16"/>
      <w:szCs w:val="16"/>
    </w:rPr>
  </w:style>
  <w:style w:type="character" w:customStyle="1" w:styleId="BalloonTextChar">
    <w:name w:val="Balloon Text Char"/>
    <w:basedOn w:val="DefaultParagraphFont"/>
    <w:link w:val="BalloonText"/>
    <w:uiPriority w:val="99"/>
    <w:semiHidden/>
    <w:rsid w:val="008027D5"/>
    <w:rPr>
      <w:rFonts w:ascii="Tahoma" w:hAnsi="Tahoma" w:cs="Tahoma"/>
      <w:sz w:val="16"/>
      <w:szCs w:val="16"/>
    </w:rPr>
  </w:style>
  <w:style w:type="table" w:styleId="TableGrid">
    <w:name w:val="Table Grid"/>
    <w:basedOn w:val="TableNormal"/>
    <w:uiPriority w:val="59"/>
    <w:rsid w:val="006648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279A"/>
    <w:pPr>
      <w:spacing w:before="100" w:beforeAutospacing="1" w:after="100" w:afterAutospacing="1"/>
    </w:pPr>
    <w:rPr>
      <w:rFonts w:ascii="Times New Roman" w:hAnsi="Times New Roman" w:cs="Times New Roman"/>
    </w:rPr>
  </w:style>
  <w:style w:type="table" w:customStyle="1" w:styleId="TableGrid1">
    <w:name w:val="Table Grid1"/>
    <w:basedOn w:val="TableNormal"/>
    <w:next w:val="TableGrid"/>
    <w:uiPriority w:val="59"/>
    <w:rsid w:val="00634E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636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55FDE"/>
    <w:pPr>
      <w:tabs>
        <w:tab w:val="center" w:pos="4513"/>
        <w:tab w:val="right" w:pos="9026"/>
      </w:tabs>
    </w:pPr>
  </w:style>
  <w:style w:type="character" w:customStyle="1" w:styleId="HeaderChar">
    <w:name w:val="Header Char"/>
    <w:basedOn w:val="DefaultParagraphFont"/>
    <w:link w:val="Header"/>
    <w:uiPriority w:val="99"/>
    <w:rsid w:val="00255FDE"/>
  </w:style>
  <w:style w:type="paragraph" w:styleId="EndnoteText">
    <w:name w:val="endnote text"/>
    <w:basedOn w:val="Normal"/>
    <w:link w:val="EndnoteTextChar"/>
    <w:uiPriority w:val="99"/>
    <w:semiHidden/>
    <w:unhideWhenUsed/>
    <w:rsid w:val="00E553D8"/>
    <w:rPr>
      <w:sz w:val="20"/>
      <w:szCs w:val="20"/>
    </w:rPr>
  </w:style>
  <w:style w:type="character" w:customStyle="1" w:styleId="EndnoteTextChar">
    <w:name w:val="Endnote Text Char"/>
    <w:basedOn w:val="DefaultParagraphFont"/>
    <w:link w:val="EndnoteText"/>
    <w:uiPriority w:val="99"/>
    <w:semiHidden/>
    <w:rsid w:val="00E553D8"/>
    <w:rPr>
      <w:sz w:val="20"/>
      <w:szCs w:val="20"/>
    </w:rPr>
  </w:style>
  <w:style w:type="character" w:styleId="EndnoteReference">
    <w:name w:val="endnote reference"/>
    <w:basedOn w:val="DefaultParagraphFont"/>
    <w:uiPriority w:val="99"/>
    <w:semiHidden/>
    <w:unhideWhenUsed/>
    <w:rsid w:val="00E553D8"/>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rPr>
      <w:sz w:val="22"/>
      <w:szCs w:val="22"/>
    </w:rPr>
    <w:tblPr>
      <w:tblStyleRowBandSize w:val="1"/>
      <w:tblStyleColBandSize w:val="1"/>
    </w:tblPr>
  </w:style>
  <w:style w:type="table" w:customStyle="1" w:styleId="TableGrid11">
    <w:name w:val="Table Grid11"/>
    <w:basedOn w:val="TableNormal"/>
    <w:next w:val="TableGrid"/>
    <w:uiPriority w:val="59"/>
    <w:rsid w:val="00663A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63A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63A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K9suDebyaCxtrNRve89poNYzng==">AMUW2mWbWWB0zaQZrG3/v/SM6PcNUOqvq0pir+gKrUwzTfn7eQ4Ge6BsKSXY9eG1nAghNq5Q7IZpSt4UsFaLzHYCHqbhrHNW8pGasctDip/3eqJGoSdSF3Pul5rMv4FbJkwoFwEBeUPZs3km6CSyhYr0HfiSUMI/gPwjcZ1bEFAhNm8DPQoDAL+NoGECDV3ozVtSLBWVwf9JoZnTpcZRgNqmbQwo7La6goR6oKVaZRK8HFrF+7H1/FHUaj+PJfHxjO+wQAFX3fYRz9GzIpyFmzCK2KcQlQMDBh7aehj7+tbRrQ71GuOMamsruLy7niXb4xCWkD3Vv5axkXY0yCqbuOlNhXbTz5P+JrUKIGNXrq+bYYUPz1ZbBKsznKTgHibGvAENhR8hs9r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68398A-AB81-490F-8925-E848A090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31</Pages>
  <Words>8655</Words>
  <Characters>49339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Sammyh</cp:lastModifiedBy>
  <cp:revision>6</cp:revision>
  <dcterms:created xsi:type="dcterms:W3CDTF">2020-04-01T13:03:00Z</dcterms:created>
  <dcterms:modified xsi:type="dcterms:W3CDTF">2020-04-03T16:30:00Z</dcterms:modified>
</cp:coreProperties>
</file>