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47A9A" w14:textId="4ADC8CE8" w:rsidR="00844B50" w:rsidRPr="00B1362E" w:rsidRDefault="00B1362E" w:rsidP="00844B50">
      <w:pPr>
        <w:spacing w:after="120" w:line="360" w:lineRule="auto"/>
        <w:rPr>
          <w:rFonts w:ascii="Microsoft New Tai Lue" w:hAnsi="Microsoft New Tai Lue" w:cs="Microsoft New Tai Lue"/>
          <w:b/>
          <w:sz w:val="20"/>
          <w:szCs w:val="20"/>
        </w:rPr>
      </w:pPr>
      <w:r>
        <w:rPr>
          <w:rFonts w:ascii="Microsoft New Tai Lue" w:hAnsi="Microsoft New Tai Lue" w:cs="Microsoft New Tai Lue"/>
          <w:b/>
          <w:color w:val="222222"/>
          <w:sz w:val="20"/>
          <w:szCs w:val="20"/>
          <w:shd w:val="clear" w:color="auto" w:fill="FFFFFF"/>
        </w:rPr>
        <w:t>f</w:t>
      </w:r>
      <w:r w:rsidRPr="00B1362E">
        <w:rPr>
          <w:rFonts w:ascii="Microsoft New Tai Lue" w:hAnsi="Microsoft New Tai Lue" w:cs="Microsoft New Tai Lue"/>
          <w:b/>
          <w:color w:val="222222"/>
          <w:sz w:val="20"/>
          <w:szCs w:val="20"/>
          <w:shd w:val="clear" w:color="auto" w:fill="FFFFFF"/>
        </w:rPr>
        <w:t>rom the</w:t>
      </w:r>
      <w:r>
        <w:rPr>
          <w:rFonts w:ascii="Microsoft New Tai Lue" w:hAnsi="Microsoft New Tai Lue" w:cs="Microsoft New Tai Lue"/>
          <w:b/>
          <w:i/>
          <w:iCs/>
          <w:color w:val="222222"/>
          <w:sz w:val="20"/>
          <w:szCs w:val="20"/>
          <w:shd w:val="clear" w:color="auto" w:fill="FFFFFF"/>
        </w:rPr>
        <w:t xml:space="preserve"> </w:t>
      </w:r>
      <w:r w:rsidR="00844B50" w:rsidRPr="00B1362E">
        <w:rPr>
          <w:rFonts w:ascii="Microsoft New Tai Lue" w:hAnsi="Microsoft New Tai Lue" w:cs="Microsoft New Tai Lue"/>
          <w:b/>
          <w:i/>
          <w:iCs/>
          <w:color w:val="222222"/>
          <w:sz w:val="20"/>
          <w:szCs w:val="20"/>
          <w:shd w:val="clear" w:color="auto" w:fill="FFFFFF"/>
        </w:rPr>
        <w:t>Journal of Research Institute for the History of Global Arms Transfer</w:t>
      </w:r>
      <w:r w:rsidR="00844B50" w:rsidRPr="00B1362E">
        <w:rPr>
          <w:rFonts w:ascii="Microsoft New Tai Lue" w:hAnsi="Microsoft New Tai Lue" w:cs="Microsoft New Tai Lue"/>
          <w:b/>
          <w:color w:val="222222"/>
          <w:sz w:val="20"/>
          <w:szCs w:val="20"/>
          <w:shd w:val="clear" w:color="auto" w:fill="FFFFFF"/>
        </w:rPr>
        <w:t xml:space="preserve"> (2020)</w:t>
      </w:r>
      <w:r w:rsidR="00844B50" w:rsidRPr="00B1362E">
        <w:rPr>
          <w:rStyle w:val="FootnoteReference"/>
          <w:rFonts w:ascii="Microsoft New Tai Lue" w:hAnsi="Microsoft New Tai Lue" w:cs="Microsoft New Tai Lue"/>
          <w:b/>
          <w:color w:val="222222"/>
          <w:sz w:val="20"/>
          <w:szCs w:val="20"/>
          <w:shd w:val="clear" w:color="auto" w:fill="FFFFFF"/>
        </w:rPr>
        <w:footnoteReference w:id="1"/>
      </w:r>
    </w:p>
    <w:p w14:paraId="0C96EB89" w14:textId="77777777" w:rsidR="00752D0A" w:rsidRPr="00B1362E" w:rsidRDefault="00752D0A" w:rsidP="00752D0A">
      <w:pPr>
        <w:pStyle w:val="Heading2"/>
        <w:rPr>
          <w:rFonts w:ascii="Microsoft New Tai Lue" w:hAnsi="Microsoft New Tai Lue" w:cs="Microsoft New Tai Lue"/>
          <w:b/>
          <w:bCs/>
          <w:sz w:val="24"/>
          <w:szCs w:val="24"/>
        </w:rPr>
      </w:pPr>
    </w:p>
    <w:p w14:paraId="7EA5AAA2" w14:textId="44019AA8" w:rsidR="00752D0A" w:rsidRPr="00B1362E" w:rsidRDefault="00752D0A" w:rsidP="00752D0A">
      <w:pPr>
        <w:pStyle w:val="Heading2"/>
        <w:rPr>
          <w:rFonts w:ascii="Microsoft New Tai Lue" w:hAnsi="Microsoft New Tai Lue" w:cs="Microsoft New Tai Lue"/>
          <w:b/>
          <w:bCs/>
          <w:sz w:val="24"/>
          <w:szCs w:val="24"/>
        </w:rPr>
      </w:pPr>
      <w:r w:rsidRPr="00B1362E">
        <w:rPr>
          <w:rFonts w:ascii="Microsoft New Tai Lue" w:hAnsi="Microsoft New Tai Lue" w:cs="Microsoft New Tai Lue"/>
          <w:b/>
          <w:bCs/>
          <w:sz w:val="24"/>
          <w:szCs w:val="24"/>
        </w:rPr>
        <w:t>Summary</w:t>
      </w:r>
    </w:p>
    <w:p w14:paraId="604E46E1" w14:textId="77777777" w:rsidR="00B02D09" w:rsidRPr="00B1362E" w:rsidRDefault="00B02D09" w:rsidP="00B02D09">
      <w:pPr>
        <w:spacing w:after="120" w:line="360" w:lineRule="auto"/>
        <w:rPr>
          <w:rFonts w:ascii="Microsoft New Tai Lue" w:hAnsi="Microsoft New Tai Lue" w:cs="Microsoft New Tai Lue"/>
        </w:rPr>
      </w:pPr>
      <w:r w:rsidRPr="00B1362E">
        <w:rPr>
          <w:rFonts w:ascii="Microsoft New Tai Lue" w:hAnsi="Microsoft New Tai Lue" w:cs="Microsoft New Tai Lue"/>
        </w:rPr>
        <w:t xml:space="preserve">This article explores the </w:t>
      </w:r>
      <w:r w:rsidRPr="00B1362E">
        <w:rPr>
          <w:rFonts w:ascii="Microsoft New Tai Lue" w:hAnsi="Microsoft New Tai Lue" w:cs="Microsoft New Tai Lue"/>
          <w:color w:val="000000" w:themeColor="text1"/>
        </w:rPr>
        <w:t>distinctly legal vagueness that underpinned citizenship and subjecthood in the British empire in the early twentieth century, drawing specifically on examples from South Africa and Australia. Situating the administration of laws about citizenship within a global context, this offers a revision of the current scholarship on the global ‘</w:t>
      </w:r>
      <w:proofErr w:type="spellStart"/>
      <w:r w:rsidRPr="00B1362E">
        <w:rPr>
          <w:rFonts w:ascii="Microsoft New Tai Lue" w:hAnsi="Microsoft New Tai Lue" w:cs="Microsoft New Tai Lue"/>
          <w:color w:val="000000" w:themeColor="text1"/>
        </w:rPr>
        <w:t>color</w:t>
      </w:r>
      <w:proofErr w:type="spellEnd"/>
      <w:r w:rsidRPr="00B1362E">
        <w:rPr>
          <w:rFonts w:ascii="Microsoft New Tai Lue" w:hAnsi="Microsoft New Tai Lue" w:cs="Microsoft New Tai Lue"/>
          <w:color w:val="000000" w:themeColor="text1"/>
        </w:rPr>
        <w:t xml:space="preserve"> line’. </w:t>
      </w:r>
      <w:r w:rsidRPr="00B1362E">
        <w:rPr>
          <w:rFonts w:ascii="Microsoft New Tai Lue" w:hAnsi="Microsoft New Tai Lue" w:cs="Microsoft New Tai Lue"/>
          <w:color w:val="000000" w:themeColor="text1"/>
          <w:highlight w:val="white"/>
        </w:rPr>
        <w:t>The white ‘</w:t>
      </w:r>
      <w:proofErr w:type="spellStart"/>
      <w:r w:rsidRPr="00B1362E">
        <w:rPr>
          <w:rFonts w:ascii="Microsoft New Tai Lue" w:hAnsi="Microsoft New Tai Lue" w:cs="Microsoft New Tai Lue"/>
          <w:color w:val="000000" w:themeColor="text1"/>
          <w:highlight w:val="white"/>
        </w:rPr>
        <w:t>color</w:t>
      </w:r>
      <w:proofErr w:type="spellEnd"/>
      <w:r w:rsidRPr="00B1362E">
        <w:rPr>
          <w:rFonts w:ascii="Microsoft New Tai Lue" w:hAnsi="Microsoft New Tai Lue" w:cs="Microsoft New Tai Lue"/>
          <w:color w:val="000000" w:themeColor="text1"/>
          <w:highlight w:val="white"/>
        </w:rPr>
        <w:t xml:space="preserve"> line’ which developed within the British empire was less a shared legal system and more of a constant negotiation between different actors. </w:t>
      </w:r>
      <w:r w:rsidRPr="00B1362E">
        <w:rPr>
          <w:rFonts w:ascii="Microsoft New Tai Lue" w:hAnsi="Microsoft New Tai Lue" w:cs="Microsoft New Tai Lue"/>
          <w:color w:val="000000" w:themeColor="text1"/>
        </w:rPr>
        <w:t xml:space="preserve">Unlike other recent studies of citizenship and subjecthood, this is not an intellectual history. </w:t>
      </w:r>
      <w:r w:rsidRPr="00B1362E">
        <w:rPr>
          <w:rFonts w:ascii="Microsoft New Tai Lue" w:hAnsi="Microsoft New Tai Lue" w:cs="Microsoft New Tai Lue"/>
        </w:rPr>
        <w:t>This, instead, is a close scrutiny of bureaucratic decision-making precisely because the system which flourished under British rule was designed to accommodate colonial discrimination by encouraging legal vagueness and executive privilege, allowing considerable space for official and unofficial influence. By focusing on liminal groups (Jews in South Africa and women in Australia), it illuminates how a ‘British’ world was constructed, who was included and who excluded from this process, and how this process unfolded</w:t>
      </w:r>
      <w:r w:rsidRPr="00B1362E">
        <w:rPr>
          <w:rFonts w:ascii="Microsoft New Tai Lue" w:hAnsi="Microsoft New Tai Lue" w:cs="Microsoft New Tai Lue"/>
          <w:color w:val="000000" w:themeColor="text1"/>
        </w:rPr>
        <w:t xml:space="preserve">, </w:t>
      </w:r>
      <w:r w:rsidRPr="00B1362E">
        <w:rPr>
          <w:rFonts w:ascii="Microsoft New Tai Lue" w:hAnsi="Microsoft New Tai Lue" w:cs="Microsoft New Tai Lue"/>
        </w:rPr>
        <w:t>especially concerning issues of race and gender</w:t>
      </w:r>
      <w:r w:rsidRPr="00B1362E">
        <w:rPr>
          <w:rFonts w:ascii="Microsoft New Tai Lue" w:hAnsi="Microsoft New Tai Lue" w:cs="Microsoft New Tai Lue"/>
          <w:color w:val="000000" w:themeColor="text1"/>
        </w:rPr>
        <w:t>.</w:t>
      </w:r>
    </w:p>
    <w:p w14:paraId="70DF8B94" w14:textId="77777777" w:rsidR="0072706B" w:rsidRPr="00B1362E" w:rsidRDefault="0072706B" w:rsidP="0072706B">
      <w:pPr>
        <w:spacing w:after="120" w:line="360" w:lineRule="auto"/>
        <w:rPr>
          <w:rFonts w:ascii="Microsoft New Tai Lue" w:hAnsi="Microsoft New Tai Lue" w:cs="Microsoft New Tai Lue"/>
        </w:rPr>
      </w:pPr>
    </w:p>
    <w:p w14:paraId="0000001A" w14:textId="69E50C7F" w:rsidR="00794743" w:rsidRPr="00B1362E" w:rsidRDefault="006E0B52" w:rsidP="006C4E3E">
      <w:pPr>
        <w:pStyle w:val="Heading2"/>
        <w:spacing w:line="360" w:lineRule="auto"/>
        <w:rPr>
          <w:rFonts w:ascii="Microsoft New Tai Lue" w:hAnsi="Microsoft New Tai Lue" w:cs="Microsoft New Tai Lue"/>
          <w:b/>
          <w:bCs/>
          <w:sz w:val="24"/>
          <w:szCs w:val="24"/>
        </w:rPr>
      </w:pPr>
      <w:r w:rsidRPr="00B1362E">
        <w:rPr>
          <w:rFonts w:ascii="Microsoft New Tai Lue" w:hAnsi="Microsoft New Tai Lue" w:cs="Microsoft New Tai Lue"/>
          <w:b/>
          <w:bCs/>
          <w:sz w:val="24"/>
          <w:szCs w:val="24"/>
        </w:rPr>
        <w:t>Introduction</w:t>
      </w:r>
    </w:p>
    <w:p w14:paraId="2D7EE0ED" w14:textId="3193CFB4" w:rsidR="00001CEF" w:rsidRDefault="00001CEF" w:rsidP="007A72DB">
      <w:pPr>
        <w:spacing w:line="360" w:lineRule="auto"/>
        <w:rPr>
          <w:rFonts w:ascii="Microsoft New Tai Lue" w:hAnsi="Microsoft New Tai Lue" w:cs="Microsoft New Tai Lue"/>
          <w:color w:val="222222"/>
          <w:highlight w:val="white"/>
        </w:rPr>
      </w:pPr>
      <w:r w:rsidRPr="00B1362E">
        <w:rPr>
          <w:rFonts w:ascii="Microsoft New Tai Lue" w:hAnsi="Microsoft New Tai Lue" w:cs="Microsoft New Tai Lue"/>
        </w:rPr>
        <w:t>T</w:t>
      </w:r>
      <w:r w:rsidR="006E0B52" w:rsidRPr="00B1362E">
        <w:rPr>
          <w:rFonts w:ascii="Microsoft New Tai Lue" w:hAnsi="Microsoft New Tai Lue" w:cs="Microsoft New Tai Lue"/>
        </w:rPr>
        <w:t>he flow of people, ideas and go</w:t>
      </w:r>
      <w:r w:rsidR="006E0B52" w:rsidRPr="007A72DB">
        <w:rPr>
          <w:rFonts w:ascii="Microsoft New Tai Lue" w:hAnsi="Microsoft New Tai Lue" w:cs="Microsoft New Tai Lue"/>
        </w:rPr>
        <w:t xml:space="preserve">ods </w:t>
      </w:r>
      <w:r w:rsidRPr="007A72DB">
        <w:rPr>
          <w:rFonts w:ascii="Microsoft New Tai Lue" w:hAnsi="Microsoft New Tai Lue" w:cs="Microsoft New Tai Lue"/>
          <w:color w:val="222222"/>
          <w:highlight w:val="white"/>
        </w:rPr>
        <w:t>has been of central import in the scholarship of the British world</w:t>
      </w:r>
      <w:r w:rsidR="008C4018" w:rsidRPr="007A72DB">
        <w:rPr>
          <w:rFonts w:ascii="Microsoft New Tai Lue" w:hAnsi="Microsoft New Tai Lue" w:cs="Microsoft New Tai Lue"/>
        </w:rPr>
        <w:t xml:space="preserve">. </w:t>
      </w:r>
      <w:r>
        <w:rPr>
          <w:rFonts w:ascii="Microsoft New Tai Lue" w:hAnsi="Microsoft New Tai Lue" w:cs="Microsoft New Tai Lue"/>
        </w:rPr>
        <w:t>T</w:t>
      </w:r>
      <w:r w:rsidR="006E0B52" w:rsidRPr="007A72DB">
        <w:rPr>
          <w:rFonts w:ascii="Microsoft New Tai Lue" w:hAnsi="Microsoft New Tai Lue" w:cs="Microsoft New Tai Lue"/>
        </w:rPr>
        <w:t xml:space="preserve">he question of </w:t>
      </w:r>
      <w:r>
        <w:rPr>
          <w:rFonts w:ascii="Microsoft New Tai Lue" w:hAnsi="Microsoft New Tai Lue" w:cs="Microsoft New Tai Lue"/>
        </w:rPr>
        <w:t>what exactly was ‘British’ about a British world has remained elusive, however, as discussed by Andrew Dilley and myself elsewhere.</w:t>
      </w:r>
      <w:r w:rsidR="008C4018" w:rsidRPr="007A72DB">
        <w:rPr>
          <w:rStyle w:val="EndnoteReference"/>
          <w:rFonts w:ascii="Microsoft New Tai Lue" w:hAnsi="Microsoft New Tai Lue" w:cs="Microsoft New Tai Lue"/>
        </w:rPr>
        <w:endnoteReference w:id="1"/>
      </w:r>
      <w:r>
        <w:rPr>
          <w:rFonts w:ascii="Microsoft New Tai Lue" w:hAnsi="Microsoft New Tai Lue" w:cs="Microsoft New Tai Lue"/>
        </w:rPr>
        <w:t xml:space="preserve"> </w:t>
      </w:r>
      <w:r w:rsidR="006E0B52" w:rsidRPr="007A72DB">
        <w:rPr>
          <w:rFonts w:ascii="Microsoft New Tai Lue" w:hAnsi="Microsoft New Tai Lue" w:cs="Microsoft New Tai Lue"/>
          <w:color w:val="222222"/>
          <w:highlight w:val="white"/>
        </w:rPr>
        <w:lastRenderedPageBreak/>
        <w:t xml:space="preserve">Today, I want to explore </w:t>
      </w:r>
      <w:r>
        <w:rPr>
          <w:rFonts w:ascii="Microsoft New Tai Lue" w:hAnsi="Microsoft New Tai Lue" w:cs="Microsoft New Tai Lue"/>
          <w:color w:val="222222"/>
          <w:highlight w:val="white"/>
        </w:rPr>
        <w:t xml:space="preserve">the legal, social and racial issues surrounding citizenship in the empire, and how these worked in practice in order to better answer this question. </w:t>
      </w:r>
    </w:p>
    <w:p w14:paraId="45219B48" w14:textId="3D29F31B" w:rsidR="005E359B" w:rsidRDefault="005E359B" w:rsidP="007A72DB">
      <w:pPr>
        <w:spacing w:line="360" w:lineRule="auto"/>
        <w:rPr>
          <w:rFonts w:ascii="Microsoft New Tai Lue" w:hAnsi="Microsoft New Tai Lue" w:cs="Microsoft New Tai Lue"/>
          <w:color w:val="222222"/>
          <w:highlight w:val="white"/>
        </w:rPr>
      </w:pPr>
    </w:p>
    <w:p w14:paraId="3A78D230" w14:textId="77777777" w:rsidR="0072706B" w:rsidRPr="007A72DB" w:rsidRDefault="0072706B" w:rsidP="0072706B">
      <w:pPr>
        <w:spacing w:line="360" w:lineRule="auto"/>
        <w:rPr>
          <w:rFonts w:ascii="Microsoft New Tai Lue" w:hAnsi="Microsoft New Tai Lue" w:cs="Microsoft New Tai Lue"/>
          <w:color w:val="222222"/>
          <w:highlight w:val="white"/>
        </w:rPr>
      </w:pPr>
      <w:r w:rsidRPr="007A72DB">
        <w:rPr>
          <w:rFonts w:ascii="Microsoft New Tai Lue" w:hAnsi="Microsoft New Tai Lue" w:cs="Microsoft New Tai Lue"/>
          <w:color w:val="222222"/>
          <w:highlight w:val="white"/>
        </w:rPr>
        <w:t xml:space="preserve">This article examines this issue within two colonies: Australia and South Africa, exploring the degree to which the growing numbers of laws and bureaucracy meant to control migration and naturalisation shaped </w:t>
      </w:r>
      <w:r>
        <w:rPr>
          <w:rFonts w:ascii="Microsoft New Tai Lue" w:hAnsi="Microsoft New Tai Lue" w:cs="Microsoft New Tai Lue"/>
          <w:color w:val="222222"/>
          <w:highlight w:val="white"/>
        </w:rPr>
        <w:t>both the construction of a system of migration control, and how wider ideas of Britishness were constructed and imagined</w:t>
      </w:r>
      <w:r w:rsidRPr="007A72DB">
        <w:rPr>
          <w:rFonts w:ascii="Microsoft New Tai Lue" w:hAnsi="Microsoft New Tai Lue" w:cs="Microsoft New Tai Lue"/>
          <w:color w:val="222222"/>
          <w:highlight w:val="white"/>
        </w:rPr>
        <w:t xml:space="preserve">. This can help us better understand the power dynamics within empire, politically and socially, and the ways people imagined who belonged and who did not. </w:t>
      </w:r>
    </w:p>
    <w:p w14:paraId="0D6017AC" w14:textId="77777777" w:rsidR="0072706B" w:rsidRPr="007A72DB" w:rsidRDefault="0072706B" w:rsidP="007A72DB">
      <w:pPr>
        <w:spacing w:line="360" w:lineRule="auto"/>
        <w:rPr>
          <w:rFonts w:ascii="Microsoft New Tai Lue" w:hAnsi="Microsoft New Tai Lue" w:cs="Microsoft New Tai Lue"/>
          <w:color w:val="222222"/>
          <w:highlight w:val="white"/>
        </w:rPr>
      </w:pPr>
    </w:p>
    <w:p w14:paraId="51AA48F1" w14:textId="4AFAA553" w:rsidR="005E359B" w:rsidRPr="007A72DB" w:rsidRDefault="005E359B" w:rsidP="007A72DB">
      <w:pPr>
        <w:spacing w:line="360" w:lineRule="auto"/>
        <w:rPr>
          <w:rFonts w:ascii="Microsoft New Tai Lue" w:hAnsi="Microsoft New Tai Lue" w:cs="Microsoft New Tai Lue"/>
        </w:rPr>
      </w:pPr>
      <w:r w:rsidRPr="007A72DB">
        <w:rPr>
          <w:rFonts w:ascii="Microsoft New Tai Lue" w:hAnsi="Microsoft New Tai Lue" w:cs="Microsoft New Tai Lue"/>
          <w:color w:val="222222"/>
          <w:highlight w:val="white"/>
        </w:rPr>
        <w:t>I situate this research within recent scholarship portraying the global history of migration control, especially during the nineteenth and twentieth century ‘Age of Migration’.</w:t>
      </w:r>
      <w:r w:rsidRPr="007A72DB">
        <w:rPr>
          <w:rFonts w:ascii="Microsoft New Tai Lue" w:hAnsi="Microsoft New Tai Lue" w:cs="Microsoft New Tai Lue"/>
          <w:color w:val="222222"/>
          <w:highlight w:val="white"/>
          <w:vertAlign w:val="superscript"/>
        </w:rPr>
        <w:endnoteReference w:id="2"/>
      </w:r>
      <w:r w:rsidRPr="007A72DB">
        <w:rPr>
          <w:rFonts w:ascii="Microsoft New Tai Lue" w:hAnsi="Microsoft New Tai Lue" w:cs="Microsoft New Tai Lue"/>
          <w:color w:val="222222"/>
          <w:highlight w:val="white"/>
        </w:rPr>
        <w:t xml:space="preserve"> </w:t>
      </w:r>
      <w:r w:rsidR="006E0B52" w:rsidRPr="007A72DB">
        <w:rPr>
          <w:rFonts w:ascii="Microsoft New Tai Lue" w:hAnsi="Microsoft New Tai Lue" w:cs="Microsoft New Tai Lue"/>
          <w:color w:val="222222"/>
          <w:highlight w:val="white"/>
        </w:rPr>
        <w:t xml:space="preserve">Thanks to this </w:t>
      </w:r>
      <w:r w:rsidR="00D81B0D" w:rsidRPr="007A72DB">
        <w:rPr>
          <w:rFonts w:ascii="Microsoft New Tai Lue" w:hAnsi="Microsoft New Tai Lue" w:cs="Microsoft New Tai Lue"/>
          <w:color w:val="222222"/>
          <w:highlight w:val="white"/>
        </w:rPr>
        <w:t xml:space="preserve">recent </w:t>
      </w:r>
      <w:r w:rsidR="006E0B52" w:rsidRPr="007A72DB">
        <w:rPr>
          <w:rFonts w:ascii="Microsoft New Tai Lue" w:hAnsi="Microsoft New Tai Lue" w:cs="Microsoft New Tai Lue"/>
          <w:color w:val="222222"/>
          <w:highlight w:val="white"/>
        </w:rPr>
        <w:t xml:space="preserve">scholarship, </w:t>
      </w:r>
      <w:r w:rsidR="006E0B52" w:rsidRPr="007A72DB">
        <w:rPr>
          <w:rFonts w:ascii="Microsoft New Tai Lue" w:hAnsi="Microsoft New Tai Lue" w:cs="Microsoft New Tai Lue"/>
        </w:rPr>
        <w:t xml:space="preserve">it seems impossible to dispute now that the development of our modern system of migration control, and the international laws which frame it, was a global process, and the US, Canada, South Africa and Australia were key to its development. </w:t>
      </w:r>
    </w:p>
    <w:p w14:paraId="023F5A91" w14:textId="77777777" w:rsidR="005E359B" w:rsidRPr="007A72DB" w:rsidRDefault="005E359B" w:rsidP="007A72DB">
      <w:pPr>
        <w:spacing w:line="360" w:lineRule="auto"/>
        <w:rPr>
          <w:rFonts w:ascii="Microsoft New Tai Lue" w:hAnsi="Microsoft New Tai Lue" w:cs="Microsoft New Tai Lue"/>
        </w:rPr>
      </w:pPr>
    </w:p>
    <w:p w14:paraId="0000001F" w14:textId="55BE930C" w:rsidR="00794743" w:rsidRPr="007A72DB" w:rsidRDefault="006E0B52" w:rsidP="007A72DB">
      <w:pPr>
        <w:spacing w:line="360" w:lineRule="auto"/>
        <w:rPr>
          <w:rFonts w:ascii="Microsoft New Tai Lue" w:hAnsi="Microsoft New Tai Lue" w:cs="Microsoft New Tai Lue"/>
          <w:color w:val="222222"/>
          <w:highlight w:val="white"/>
        </w:rPr>
      </w:pPr>
      <w:r w:rsidRPr="007A72DB">
        <w:rPr>
          <w:rFonts w:ascii="Microsoft New Tai Lue" w:hAnsi="Microsoft New Tai Lue" w:cs="Microsoft New Tai Lue"/>
        </w:rPr>
        <w:t xml:space="preserve">As settler societies dependent on migration, they were at the forefront of wanting to regulate that migration, to be able to distinguish between good and bad migrants. The creation of this system has been famously called by Lake and Reynolds the ‘global </w:t>
      </w:r>
      <w:proofErr w:type="spellStart"/>
      <w:r w:rsidRPr="007A72DB">
        <w:rPr>
          <w:rFonts w:ascii="Microsoft New Tai Lue" w:hAnsi="Microsoft New Tai Lue" w:cs="Microsoft New Tai Lue"/>
        </w:rPr>
        <w:t>color</w:t>
      </w:r>
      <w:proofErr w:type="spellEnd"/>
      <w:r w:rsidRPr="007A72DB">
        <w:rPr>
          <w:rFonts w:ascii="Microsoft New Tai Lue" w:hAnsi="Microsoft New Tai Lue" w:cs="Microsoft New Tai Lue"/>
        </w:rPr>
        <w:t xml:space="preserve"> line’, set up by European settlers who wanted to exclude Asian migrants from ‘white’ colonies.</w:t>
      </w:r>
      <w:r w:rsidR="00403BAE" w:rsidRPr="007A72DB">
        <w:rPr>
          <w:rFonts w:ascii="Microsoft New Tai Lue" w:hAnsi="Microsoft New Tai Lue" w:cs="Microsoft New Tai Lue"/>
        </w:rPr>
        <w:t xml:space="preserve"> The ‘</w:t>
      </w:r>
      <w:proofErr w:type="spellStart"/>
      <w:r w:rsidR="00403BAE" w:rsidRPr="007A72DB">
        <w:rPr>
          <w:rFonts w:ascii="Microsoft New Tai Lue" w:hAnsi="Microsoft New Tai Lue" w:cs="Microsoft New Tai Lue"/>
        </w:rPr>
        <w:t>color</w:t>
      </w:r>
      <w:proofErr w:type="spellEnd"/>
      <w:r w:rsidR="00403BAE" w:rsidRPr="007A72DB">
        <w:rPr>
          <w:rFonts w:ascii="Microsoft New Tai Lue" w:hAnsi="Microsoft New Tai Lue" w:cs="Microsoft New Tai Lue"/>
        </w:rPr>
        <w:t xml:space="preserve"> line’ was the legislative framework created by white settler societies who wished to protect their privilege through excluding other ‘</w:t>
      </w:r>
      <w:proofErr w:type="spellStart"/>
      <w:r w:rsidR="00403BAE" w:rsidRPr="007A72DB">
        <w:rPr>
          <w:rFonts w:ascii="Microsoft New Tai Lue" w:hAnsi="Microsoft New Tai Lue" w:cs="Microsoft New Tai Lue"/>
        </w:rPr>
        <w:t>colors</w:t>
      </w:r>
      <w:proofErr w:type="spellEnd"/>
      <w:r w:rsidR="00403BAE" w:rsidRPr="007A72DB">
        <w:rPr>
          <w:rFonts w:ascii="Microsoft New Tai Lue" w:hAnsi="Microsoft New Tai Lue" w:cs="Microsoft New Tai Lue"/>
        </w:rPr>
        <w:t>’ of people (a commonplace colloquialism at the time for other races) from a range of rights, including migration, citizenship, and suffrage.</w:t>
      </w:r>
      <w:r w:rsidR="00047CA9" w:rsidRPr="007A72DB">
        <w:rPr>
          <w:rFonts w:ascii="Microsoft New Tai Lue" w:hAnsi="Microsoft New Tai Lue" w:cs="Microsoft New Tai Lue"/>
          <w:vertAlign w:val="superscript"/>
        </w:rPr>
        <w:endnoteReference w:id="3"/>
      </w:r>
      <w:r w:rsidR="00047CA9" w:rsidRPr="007A72DB">
        <w:rPr>
          <w:rFonts w:ascii="Microsoft New Tai Lue" w:hAnsi="Microsoft New Tai Lue" w:cs="Microsoft New Tai Lue"/>
        </w:rPr>
        <w:t xml:space="preserve"> </w:t>
      </w:r>
    </w:p>
    <w:p w14:paraId="00000020" w14:textId="77777777" w:rsidR="00794743" w:rsidRPr="007A72DB" w:rsidRDefault="00794743" w:rsidP="007A72DB">
      <w:pPr>
        <w:spacing w:line="360" w:lineRule="auto"/>
        <w:rPr>
          <w:rFonts w:ascii="Microsoft New Tai Lue" w:hAnsi="Microsoft New Tai Lue" w:cs="Microsoft New Tai Lue"/>
        </w:rPr>
      </w:pPr>
    </w:p>
    <w:p w14:paraId="00000021" w14:textId="366EBEFC" w:rsidR="00794743" w:rsidRPr="007A72DB" w:rsidRDefault="006E0B52" w:rsidP="007A72DB">
      <w:pPr>
        <w:spacing w:line="360" w:lineRule="auto"/>
        <w:rPr>
          <w:rFonts w:ascii="Microsoft New Tai Lue" w:hAnsi="Microsoft New Tai Lue" w:cs="Microsoft New Tai Lue"/>
          <w:vertAlign w:val="superscript"/>
        </w:rPr>
      </w:pPr>
      <w:r w:rsidRPr="007A72DB">
        <w:rPr>
          <w:rFonts w:ascii="Microsoft New Tai Lue" w:hAnsi="Microsoft New Tai Lue" w:cs="Microsoft New Tai Lue"/>
          <w:color w:val="222222"/>
          <w:highlight w:val="white"/>
        </w:rPr>
        <w:t xml:space="preserve">In showing us what these systems had in common, </w:t>
      </w:r>
      <w:r w:rsidR="00141034">
        <w:rPr>
          <w:rFonts w:ascii="Microsoft New Tai Lue" w:hAnsi="Microsoft New Tai Lue" w:cs="Microsoft New Tai Lue"/>
          <w:color w:val="222222"/>
          <w:highlight w:val="white"/>
        </w:rPr>
        <w:t>(namely a focus on white identity)</w:t>
      </w:r>
      <w:r w:rsidRPr="007A72DB">
        <w:rPr>
          <w:rFonts w:ascii="Microsoft New Tai Lue" w:hAnsi="Microsoft New Tai Lue" w:cs="Microsoft New Tai Lue"/>
          <w:color w:val="222222"/>
          <w:highlight w:val="white"/>
        </w:rPr>
        <w:t>, the significant differences in practice have become obscured.</w:t>
      </w:r>
      <w:r w:rsidR="00047CA9" w:rsidRPr="007A72DB">
        <w:rPr>
          <w:rFonts w:ascii="Microsoft New Tai Lue" w:hAnsi="Microsoft New Tai Lue" w:cs="Microsoft New Tai Lue"/>
          <w:color w:val="222222"/>
          <w:highlight w:val="white"/>
          <w:vertAlign w:val="superscript"/>
        </w:rPr>
        <w:endnoteReference w:id="4"/>
      </w:r>
      <w:r w:rsidR="00047CA9" w:rsidRPr="007A72DB">
        <w:rPr>
          <w:rFonts w:ascii="Microsoft New Tai Lue" w:hAnsi="Microsoft New Tai Lue" w:cs="Microsoft New Tai Lue"/>
          <w:color w:val="222222"/>
          <w:highlight w:val="white"/>
        </w:rPr>
        <w:t xml:space="preserve"> </w:t>
      </w:r>
      <w:r w:rsidRPr="007A72DB">
        <w:rPr>
          <w:rFonts w:ascii="Microsoft New Tai Lue" w:hAnsi="Microsoft New Tai Lue" w:cs="Microsoft New Tai Lue"/>
          <w:color w:val="222222"/>
          <w:highlight w:val="white"/>
        </w:rPr>
        <w:t xml:space="preserve">Laws can be </w:t>
      </w:r>
      <w:r w:rsidRPr="007A72DB">
        <w:rPr>
          <w:rFonts w:ascii="Microsoft New Tai Lue" w:hAnsi="Microsoft New Tai Lue" w:cs="Microsoft New Tai Lue"/>
          <w:color w:val="222222"/>
          <w:highlight w:val="white"/>
        </w:rPr>
        <w:lastRenderedPageBreak/>
        <w:t xml:space="preserve">interpreted in many different ways, however carefully worded. </w:t>
      </w:r>
      <w:r w:rsidRPr="007A72DB">
        <w:rPr>
          <w:rFonts w:ascii="Microsoft New Tai Lue" w:hAnsi="Microsoft New Tai Lue" w:cs="Microsoft New Tai Lue"/>
        </w:rPr>
        <w:t>Part of my argument today is that such a focus on a white settler colonial world of exclusion ignores this, and ignores the distinctive British legal system which encouraged vague legislation. Settler colonies were not sovereign like the US, and had a significantly different legal tradition. Adam McKeown has described a migration system in the US where specialists created ‘an orderly and impersonal procedure based on clearly stated law and scientific inquiry’ which was ‘applied equally to all migrants’, even if those laws were fundamentally racist, sexist and classist.</w:t>
      </w:r>
      <w:r w:rsidR="00047CA9" w:rsidRPr="007A72DB">
        <w:rPr>
          <w:rFonts w:ascii="Microsoft New Tai Lue" w:hAnsi="Microsoft New Tai Lue" w:cs="Microsoft New Tai Lue"/>
          <w:vertAlign w:val="superscript"/>
        </w:rPr>
        <w:endnoteReference w:id="5"/>
      </w:r>
      <w:r w:rsidR="00047CA9" w:rsidRPr="007A72DB">
        <w:rPr>
          <w:rFonts w:ascii="Microsoft New Tai Lue" w:hAnsi="Microsoft New Tai Lue" w:cs="Microsoft New Tai Lue"/>
          <w:vertAlign w:val="superscript"/>
        </w:rPr>
        <w:t xml:space="preserve"> </w:t>
      </w:r>
      <w:r w:rsidRPr="007A72DB">
        <w:rPr>
          <w:rFonts w:ascii="Microsoft New Tai Lue" w:hAnsi="Microsoft New Tai Lue" w:cs="Microsoft New Tai Lue"/>
          <w:vertAlign w:val="superscript"/>
        </w:rPr>
        <w:t xml:space="preserve"> </w:t>
      </w:r>
    </w:p>
    <w:p w14:paraId="00000022" w14:textId="77777777" w:rsidR="00794743" w:rsidRPr="007A72DB" w:rsidRDefault="00794743" w:rsidP="007A72DB">
      <w:pPr>
        <w:spacing w:line="360" w:lineRule="auto"/>
        <w:rPr>
          <w:rFonts w:ascii="Microsoft New Tai Lue" w:hAnsi="Microsoft New Tai Lue" w:cs="Microsoft New Tai Lue"/>
        </w:rPr>
      </w:pPr>
    </w:p>
    <w:p w14:paraId="00000023" w14:textId="69DA361F" w:rsidR="00794743" w:rsidRPr="007A72DB" w:rsidRDefault="006E0B52" w:rsidP="007A72DB">
      <w:pPr>
        <w:spacing w:line="360" w:lineRule="auto"/>
        <w:rPr>
          <w:rFonts w:ascii="Microsoft New Tai Lue" w:hAnsi="Microsoft New Tai Lue" w:cs="Microsoft New Tai Lue"/>
          <w:color w:val="222222"/>
          <w:highlight w:val="white"/>
        </w:rPr>
      </w:pPr>
      <w:r w:rsidRPr="007A72DB">
        <w:rPr>
          <w:rFonts w:ascii="Microsoft New Tai Lue" w:hAnsi="Microsoft New Tai Lue" w:cs="Microsoft New Tai Lue"/>
        </w:rPr>
        <w:t>In contrast, within the British system, ‘“much is left to tacit understanding.”’</w:t>
      </w:r>
      <w:r w:rsidR="00047CA9" w:rsidRPr="007A72DB">
        <w:rPr>
          <w:rFonts w:ascii="Microsoft New Tai Lue" w:hAnsi="Microsoft New Tai Lue" w:cs="Microsoft New Tai Lue"/>
          <w:vertAlign w:val="superscript"/>
        </w:rPr>
        <w:endnoteReference w:id="6"/>
      </w:r>
      <w:r w:rsidR="00047CA9" w:rsidRPr="007A72DB">
        <w:rPr>
          <w:rFonts w:ascii="Microsoft New Tai Lue" w:hAnsi="Microsoft New Tai Lue" w:cs="Microsoft New Tai Lue"/>
        </w:rPr>
        <w:t xml:space="preserve"> </w:t>
      </w:r>
      <w:r w:rsidRPr="007A72DB">
        <w:rPr>
          <w:rFonts w:ascii="Microsoft New Tai Lue" w:hAnsi="Microsoft New Tai Lue" w:cs="Microsoft New Tai Lue"/>
          <w:color w:val="222222"/>
          <w:highlight w:val="white"/>
        </w:rPr>
        <w:t>Most laws have evolved over hundreds of years and involve a variety of quite contradictory precedents.</w:t>
      </w:r>
      <w:r w:rsidR="00047CA9" w:rsidRPr="007A72DB">
        <w:rPr>
          <w:rFonts w:ascii="Microsoft New Tai Lue" w:hAnsi="Microsoft New Tai Lue" w:cs="Microsoft New Tai Lue"/>
          <w:color w:val="222222"/>
          <w:highlight w:val="white"/>
          <w:vertAlign w:val="superscript"/>
        </w:rPr>
        <w:endnoteReference w:id="7"/>
      </w:r>
      <w:r w:rsidR="00047CA9" w:rsidRPr="007A72DB">
        <w:rPr>
          <w:rFonts w:ascii="Microsoft New Tai Lue" w:hAnsi="Microsoft New Tai Lue" w:cs="Microsoft New Tai Lue"/>
          <w:color w:val="222222"/>
          <w:highlight w:val="white"/>
        </w:rPr>
        <w:t xml:space="preserve"> </w:t>
      </w:r>
      <w:r w:rsidRPr="007A72DB">
        <w:rPr>
          <w:rFonts w:ascii="Microsoft New Tai Lue" w:hAnsi="Microsoft New Tai Lue" w:cs="Microsoft New Tai Lue"/>
          <w:color w:val="222222"/>
          <w:highlight w:val="white"/>
        </w:rPr>
        <w:t xml:space="preserve">This vagueness has been particularly evident when it comes to any discussion of nationality: </w:t>
      </w:r>
      <w:r w:rsidR="00731418">
        <w:rPr>
          <w:rFonts w:ascii="Microsoft New Tai Lue" w:hAnsi="Microsoft New Tai Lue" w:cs="Microsoft New Tai Lue"/>
          <w:color w:val="222222"/>
          <w:highlight w:val="white"/>
        </w:rPr>
        <w:t>before</w:t>
      </w:r>
      <w:r w:rsidRPr="007A72DB">
        <w:rPr>
          <w:rFonts w:ascii="Microsoft New Tai Lue" w:hAnsi="Microsoft New Tai Lue" w:cs="Microsoft New Tai Lue"/>
          <w:color w:val="222222"/>
          <w:highlight w:val="white"/>
        </w:rPr>
        <w:t xml:space="preserve"> 1948, there was no such thing as British citizenship. This meant that many of the ways it was decided who was British legally depended on common law, court decisions, and the individual interpretations of officials at any given time. </w:t>
      </w:r>
      <w:r w:rsidRPr="007A72DB">
        <w:rPr>
          <w:rFonts w:ascii="Microsoft New Tai Lue" w:hAnsi="Microsoft New Tai Lue" w:cs="Microsoft New Tai Lue"/>
        </w:rPr>
        <w:t xml:space="preserve">Each part of the empire had their own legal precedent and their own naturalisation laws. Usually </w:t>
      </w:r>
      <w:r w:rsidRPr="007A72DB">
        <w:rPr>
          <w:rFonts w:ascii="Microsoft New Tai Lue" w:hAnsi="Microsoft New Tai Lue" w:cs="Microsoft New Tai Lue"/>
          <w:color w:val="222222"/>
          <w:highlight w:val="white"/>
        </w:rPr>
        <w:t>anyone born on British soil (including the colonies) was legally a subject of the Crown. The monarch would protect the subject in exchange for loyalty and possibl</w:t>
      </w:r>
      <w:r w:rsidR="001E035D" w:rsidRPr="007A72DB">
        <w:rPr>
          <w:rFonts w:ascii="Microsoft New Tai Lue" w:hAnsi="Microsoft New Tai Lue" w:cs="Microsoft New Tai Lue"/>
          <w:color w:val="222222"/>
          <w:highlight w:val="white"/>
        </w:rPr>
        <w:t>e</w:t>
      </w:r>
      <w:r w:rsidRPr="007A72DB">
        <w:rPr>
          <w:rFonts w:ascii="Microsoft New Tai Lue" w:hAnsi="Microsoft New Tai Lue" w:cs="Microsoft New Tai Lue"/>
          <w:color w:val="222222"/>
          <w:highlight w:val="white"/>
        </w:rPr>
        <w:t xml:space="preserve"> military service. </w:t>
      </w:r>
      <w:r w:rsidRPr="007A72DB">
        <w:rPr>
          <w:rFonts w:ascii="Microsoft New Tai Lue" w:hAnsi="Microsoft New Tai Lue" w:cs="Microsoft New Tai Lue"/>
        </w:rPr>
        <w:t>The only rights clearly defined for British subjects in Britain were the right to own land, inherit property, or sit in Parliament, but this really only affected the tiny number of subjects with property, and this did not automatically apply abroad</w:t>
      </w:r>
      <w:r w:rsidR="001E035D" w:rsidRPr="007A72DB">
        <w:rPr>
          <w:rFonts w:ascii="Microsoft New Tai Lue" w:hAnsi="Microsoft New Tai Lue" w:cs="Microsoft New Tai Lue"/>
        </w:rPr>
        <w:t xml:space="preserve"> or in the colonies</w:t>
      </w:r>
      <w:r w:rsidRPr="007A72DB">
        <w:rPr>
          <w:rFonts w:ascii="Microsoft New Tai Lue" w:hAnsi="Microsoft New Tai Lue" w:cs="Microsoft New Tai Lue"/>
        </w:rPr>
        <w:t xml:space="preserve">, where different laws </w:t>
      </w:r>
      <w:r w:rsidR="001E035D" w:rsidRPr="007A72DB">
        <w:rPr>
          <w:rFonts w:ascii="Microsoft New Tai Lue" w:hAnsi="Microsoft New Tai Lue" w:cs="Microsoft New Tai Lue"/>
        </w:rPr>
        <w:t>evolved</w:t>
      </w:r>
      <w:r w:rsidRPr="007A72DB">
        <w:rPr>
          <w:rFonts w:ascii="Microsoft New Tai Lue" w:hAnsi="Microsoft New Tai Lue" w:cs="Microsoft New Tai Lue"/>
        </w:rPr>
        <w:t xml:space="preserve">. </w:t>
      </w:r>
      <w:r w:rsidRPr="007A72DB">
        <w:rPr>
          <w:rFonts w:ascii="Microsoft New Tai Lue" w:hAnsi="Microsoft New Tai Lue" w:cs="Microsoft New Tai Lue"/>
          <w:color w:val="222222"/>
          <w:highlight w:val="white"/>
        </w:rPr>
        <w:t xml:space="preserve">Citizenship did not exist, although the term was used frequently by contemporaries. The British state was hardly recognised in this relationship. </w:t>
      </w:r>
    </w:p>
    <w:p w14:paraId="00000024" w14:textId="77777777" w:rsidR="00794743" w:rsidRPr="007A72DB" w:rsidRDefault="00794743" w:rsidP="007A72DB">
      <w:pPr>
        <w:spacing w:line="360" w:lineRule="auto"/>
        <w:rPr>
          <w:rFonts w:ascii="Microsoft New Tai Lue" w:hAnsi="Microsoft New Tai Lue" w:cs="Microsoft New Tai Lue"/>
        </w:rPr>
      </w:pPr>
    </w:p>
    <w:p w14:paraId="00000025" w14:textId="77777777" w:rsidR="00794743" w:rsidRPr="007A72DB" w:rsidRDefault="006E0B52" w:rsidP="007A72DB">
      <w:pPr>
        <w:spacing w:line="360" w:lineRule="auto"/>
        <w:rPr>
          <w:rFonts w:ascii="Microsoft New Tai Lue" w:hAnsi="Microsoft New Tai Lue" w:cs="Microsoft New Tai Lue"/>
        </w:rPr>
      </w:pPr>
      <w:r w:rsidRPr="007A72DB">
        <w:rPr>
          <w:rFonts w:ascii="Microsoft New Tai Lue" w:hAnsi="Microsoft New Tai Lue" w:cs="Microsoft New Tai Lue"/>
        </w:rPr>
        <w:t xml:space="preserve">Adding to this mix was the fact that all colonial governments had the centuries-old right to naturalise aliens within the colony. Subjecthood anywhere in the British empire was always about declaring allegiance to the Crown - so people were either born under the Crown, and so had a ‘natural’ duty of allegiance to the Crown, or they </w:t>
      </w:r>
      <w:r w:rsidRPr="007A72DB">
        <w:rPr>
          <w:rFonts w:ascii="Microsoft New Tai Lue" w:hAnsi="Microsoft New Tai Lue" w:cs="Microsoft New Tai Lue"/>
        </w:rPr>
        <w:lastRenderedPageBreak/>
        <w:t xml:space="preserve">could choose allegiance through the process of naturalisation. An alien migrant could be naturalised in Britain or in any colony, provided they met whatever local requirements existed, and local requirements varied considerably. For instance, in New Zealand, no residency was required before applying for naturalisation, while in Britain, an alien had to wait five years before applying. </w:t>
      </w:r>
    </w:p>
    <w:p w14:paraId="00000026" w14:textId="77777777" w:rsidR="00794743" w:rsidRPr="007A72DB" w:rsidRDefault="00794743" w:rsidP="007A72DB">
      <w:pPr>
        <w:spacing w:line="360" w:lineRule="auto"/>
        <w:rPr>
          <w:rFonts w:ascii="Microsoft New Tai Lue" w:hAnsi="Microsoft New Tai Lue" w:cs="Microsoft New Tai Lue"/>
        </w:rPr>
      </w:pPr>
    </w:p>
    <w:p w14:paraId="00000027" w14:textId="0A82E1B0" w:rsidR="00794743" w:rsidRPr="007A72DB" w:rsidRDefault="006E0B52" w:rsidP="007A72DB">
      <w:pPr>
        <w:spacing w:line="360" w:lineRule="auto"/>
        <w:rPr>
          <w:rFonts w:ascii="Microsoft New Tai Lue" w:hAnsi="Microsoft New Tai Lue" w:cs="Microsoft New Tai Lue"/>
        </w:rPr>
      </w:pPr>
      <w:r w:rsidRPr="007A72DB">
        <w:rPr>
          <w:rFonts w:ascii="Microsoft New Tai Lue" w:hAnsi="Microsoft New Tai Lue" w:cs="Microsoft New Tai Lue"/>
        </w:rPr>
        <w:t>Such legal vagueness and inconsistency caused little controversy until the early twentieth century</w:t>
      </w:r>
      <w:r w:rsidR="001E035D" w:rsidRPr="007A72DB">
        <w:rPr>
          <w:rFonts w:ascii="Microsoft New Tai Lue" w:hAnsi="Microsoft New Tai Lue" w:cs="Microsoft New Tai Lue"/>
        </w:rPr>
        <w:t xml:space="preserve">. As </w:t>
      </w:r>
      <w:r w:rsidRPr="007A72DB">
        <w:rPr>
          <w:rFonts w:ascii="Microsoft New Tai Lue" w:hAnsi="Microsoft New Tai Lue" w:cs="Microsoft New Tai Lue"/>
        </w:rPr>
        <w:t xml:space="preserve">universal suffrage and the welfare state spread, so the rights people associated (or wanted to link) with subjecthood became significant </w:t>
      </w:r>
      <w:r w:rsidR="001E035D" w:rsidRPr="007A72DB">
        <w:rPr>
          <w:rFonts w:ascii="Microsoft New Tai Lue" w:hAnsi="Microsoft New Tai Lue" w:cs="Microsoft New Tai Lue"/>
        </w:rPr>
        <w:t>areas</w:t>
      </w:r>
      <w:r w:rsidRPr="007A72DB">
        <w:rPr>
          <w:rFonts w:ascii="Microsoft New Tai Lue" w:hAnsi="Microsoft New Tai Lue" w:cs="Microsoft New Tai Lue"/>
        </w:rPr>
        <w:t xml:space="preserve"> for debate. This particularly focused on what the relationship should be between being a subject and having rights, such as the right to vote or move freely within the empire. As migration and communication increased, the disparate ways these issues were addressed in different places also became more evident.</w:t>
      </w:r>
      <w:r w:rsidR="00047CA9" w:rsidRPr="007A72DB">
        <w:rPr>
          <w:rFonts w:ascii="Microsoft New Tai Lue" w:hAnsi="Microsoft New Tai Lue" w:cs="Microsoft New Tai Lue"/>
          <w:vertAlign w:val="superscript"/>
        </w:rPr>
        <w:endnoteReference w:id="8"/>
      </w:r>
      <w:r w:rsidR="00047CA9" w:rsidRPr="007A72DB">
        <w:rPr>
          <w:rFonts w:ascii="Microsoft New Tai Lue" w:hAnsi="Microsoft New Tai Lue" w:cs="Microsoft New Tai Lue"/>
        </w:rPr>
        <w:t xml:space="preserve"> </w:t>
      </w:r>
      <w:r w:rsidRPr="007A72DB">
        <w:rPr>
          <w:rFonts w:ascii="Microsoft New Tai Lue" w:hAnsi="Microsoft New Tai Lue" w:cs="Microsoft New Tai Lue"/>
        </w:rPr>
        <w:t>Canada’s naturalisation act was unusual in specifically stating what rights were associated with local naturalisation (as in Britain, this largely related to property ownership and inheritance), but most other colonies had not directly addressed the matter at all, simply acting as if Britain’s legal system applied in their colony (even when this was not clear).</w:t>
      </w:r>
      <w:r w:rsidR="00047CA9" w:rsidRPr="007A72DB">
        <w:rPr>
          <w:rFonts w:ascii="Microsoft New Tai Lue" w:hAnsi="Microsoft New Tai Lue" w:cs="Microsoft New Tai Lue"/>
          <w:vertAlign w:val="superscript"/>
        </w:rPr>
        <w:endnoteReference w:id="9"/>
      </w:r>
      <w:r w:rsidR="00047CA9" w:rsidRPr="007A72DB">
        <w:rPr>
          <w:rFonts w:ascii="Microsoft New Tai Lue" w:hAnsi="Microsoft New Tai Lue" w:cs="Microsoft New Tai Lue"/>
        </w:rPr>
        <w:t xml:space="preserve"> </w:t>
      </w:r>
      <w:r w:rsidRPr="007A72DB">
        <w:rPr>
          <w:rFonts w:ascii="Microsoft New Tai Lue" w:hAnsi="Microsoft New Tai Lue" w:cs="Microsoft New Tai Lue"/>
        </w:rPr>
        <w:t>For instance, Australia’s Naturalization Act (1903) and Nationality Act (1920) did not specify how ‘natural born British subject’ was defined, nor did they make clear what the rights or duties were for any subjects, naturalised or ‘natural born’. Such ambiguities could lead to considerable differences in practice.</w:t>
      </w:r>
      <w:r w:rsidR="00047CA9" w:rsidRPr="007A72DB">
        <w:rPr>
          <w:rFonts w:ascii="Microsoft New Tai Lue" w:hAnsi="Microsoft New Tai Lue" w:cs="Microsoft New Tai Lue"/>
          <w:vertAlign w:val="superscript"/>
        </w:rPr>
        <w:endnoteReference w:id="10"/>
      </w:r>
      <w:r w:rsidR="00047CA9" w:rsidRPr="007A72DB">
        <w:rPr>
          <w:rFonts w:ascii="Microsoft New Tai Lue" w:hAnsi="Microsoft New Tai Lue" w:cs="Microsoft New Tai Lue"/>
        </w:rPr>
        <w:t xml:space="preserve"> </w:t>
      </w:r>
    </w:p>
    <w:p w14:paraId="00000028" w14:textId="77777777" w:rsidR="00794743" w:rsidRPr="007A72DB" w:rsidRDefault="00794743" w:rsidP="007A72DB">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spacing w:line="360" w:lineRule="auto"/>
        <w:rPr>
          <w:rFonts w:ascii="Microsoft New Tai Lue" w:hAnsi="Microsoft New Tai Lue" w:cs="Microsoft New Tai Lue"/>
        </w:rPr>
      </w:pPr>
    </w:p>
    <w:p w14:paraId="00000029" w14:textId="66BB75B2" w:rsidR="00794743" w:rsidRPr="007A72DB" w:rsidRDefault="006E0B52" w:rsidP="007A72DB">
      <w:pPr>
        <w:spacing w:line="360" w:lineRule="auto"/>
        <w:rPr>
          <w:rFonts w:ascii="Microsoft New Tai Lue" w:hAnsi="Microsoft New Tai Lue" w:cs="Microsoft New Tai Lue"/>
        </w:rPr>
      </w:pPr>
      <w:r w:rsidRPr="007A72DB">
        <w:rPr>
          <w:rFonts w:ascii="Microsoft New Tai Lue" w:hAnsi="Microsoft New Tai Lue" w:cs="Microsoft New Tai Lue"/>
        </w:rPr>
        <w:t>The general public most commonly assumed that subjecthood granted the right to travel anywhere unrestricted throughout the empire.</w:t>
      </w:r>
      <w:r w:rsidR="00047CA9" w:rsidRPr="007A72DB">
        <w:rPr>
          <w:rFonts w:ascii="Microsoft New Tai Lue" w:hAnsi="Microsoft New Tai Lue" w:cs="Microsoft New Tai Lue"/>
          <w:vertAlign w:val="superscript"/>
        </w:rPr>
        <w:endnoteReference w:id="11"/>
      </w:r>
      <w:r w:rsidR="00047CA9" w:rsidRPr="007A72DB">
        <w:rPr>
          <w:rFonts w:ascii="Microsoft New Tai Lue" w:hAnsi="Microsoft New Tai Lue" w:cs="Microsoft New Tai Lue"/>
        </w:rPr>
        <w:t xml:space="preserve"> </w:t>
      </w:r>
      <w:r w:rsidRPr="007A72DB">
        <w:rPr>
          <w:rFonts w:ascii="Microsoft New Tai Lue" w:hAnsi="Microsoft New Tai Lue" w:cs="Microsoft New Tai Lue"/>
        </w:rPr>
        <w:t>In practice, while British subjects were rarely prevented from entering Britain itself, British subjects were regularly prevented from travelling between different parts of the empire.</w:t>
      </w:r>
      <w:r w:rsidR="00047CA9" w:rsidRPr="007A72DB">
        <w:rPr>
          <w:rFonts w:ascii="Microsoft New Tai Lue" w:hAnsi="Microsoft New Tai Lue" w:cs="Microsoft New Tai Lue"/>
          <w:vertAlign w:val="superscript"/>
        </w:rPr>
        <w:endnoteReference w:id="12"/>
      </w:r>
      <w:r w:rsidR="00047CA9" w:rsidRPr="007A72DB">
        <w:rPr>
          <w:rFonts w:ascii="Microsoft New Tai Lue" w:hAnsi="Microsoft New Tai Lue" w:cs="Microsoft New Tai Lue"/>
        </w:rPr>
        <w:t xml:space="preserve"> </w:t>
      </w:r>
      <w:r w:rsidRPr="007A72DB">
        <w:rPr>
          <w:rFonts w:ascii="Microsoft New Tai Lue" w:hAnsi="Microsoft New Tai Lue" w:cs="Microsoft New Tai Lue"/>
        </w:rPr>
        <w:t xml:space="preserve">Indeed, while scholars have frequently depicted the rise of migration controls in the twentieth century as marking the death of laissez faire movements, recent revisionist scholars have recognised that such migratory openness was perhaps always more of </w:t>
      </w:r>
      <w:r w:rsidRPr="007A72DB">
        <w:rPr>
          <w:rFonts w:ascii="Microsoft New Tai Lue" w:hAnsi="Microsoft New Tai Lue" w:cs="Microsoft New Tai Lue"/>
        </w:rPr>
        <w:lastRenderedPageBreak/>
        <w:t>an idea than a practice.</w:t>
      </w:r>
      <w:r w:rsidR="00047CA9" w:rsidRPr="007A72DB">
        <w:rPr>
          <w:rFonts w:ascii="Microsoft New Tai Lue" w:hAnsi="Microsoft New Tai Lue" w:cs="Microsoft New Tai Lue"/>
          <w:vertAlign w:val="superscript"/>
        </w:rPr>
        <w:endnoteReference w:id="13"/>
      </w:r>
      <w:r w:rsidR="00047CA9" w:rsidRPr="007A72DB">
        <w:rPr>
          <w:rFonts w:ascii="Microsoft New Tai Lue" w:hAnsi="Microsoft New Tai Lue" w:cs="Microsoft New Tai Lue"/>
        </w:rPr>
        <w:t xml:space="preserve"> </w:t>
      </w:r>
      <w:r w:rsidR="001E035D" w:rsidRPr="007A72DB">
        <w:rPr>
          <w:rFonts w:ascii="Microsoft New Tai Lue" w:hAnsi="Microsoft New Tai Lue" w:cs="Microsoft New Tai Lue"/>
        </w:rPr>
        <w:t xml:space="preserve">To take an example from my own research in </w:t>
      </w:r>
      <w:r w:rsidRPr="007A72DB">
        <w:rPr>
          <w:rFonts w:ascii="Microsoft New Tai Lue" w:hAnsi="Microsoft New Tai Lue" w:cs="Microsoft New Tai Lue"/>
        </w:rPr>
        <w:t>South Africa, it was common for people naturalised in Britain to be excluded. In 1911, a ‘Mr and Mrs Otto were refused admission because Mr Otto was indisposed’, despite the fact that both had been ‘naturalized in England.’</w:t>
      </w:r>
      <w:r w:rsidR="00047CA9" w:rsidRPr="007A72DB">
        <w:rPr>
          <w:rFonts w:ascii="Microsoft New Tai Lue" w:hAnsi="Microsoft New Tai Lue" w:cs="Microsoft New Tai Lue"/>
          <w:vertAlign w:val="superscript"/>
        </w:rPr>
        <w:endnoteReference w:id="14"/>
      </w:r>
      <w:r w:rsidR="00047CA9" w:rsidRPr="007A72DB">
        <w:rPr>
          <w:rFonts w:ascii="Microsoft New Tai Lue" w:hAnsi="Microsoft New Tai Lue" w:cs="Microsoft New Tai Lue"/>
        </w:rPr>
        <w:t xml:space="preserve"> </w:t>
      </w:r>
      <w:r w:rsidRPr="007A72DB">
        <w:rPr>
          <w:rFonts w:ascii="Microsoft New Tai Lue" w:hAnsi="Microsoft New Tai Lue" w:cs="Microsoft New Tai Lue"/>
        </w:rPr>
        <w:t xml:space="preserve">In another case, a man naturalized in the neighbouring Transvaal found that his </w:t>
      </w:r>
      <w:r w:rsidR="001E035D" w:rsidRPr="007A72DB">
        <w:rPr>
          <w:rFonts w:ascii="Microsoft New Tai Lue" w:hAnsi="Microsoft New Tai Lue" w:cs="Microsoft New Tai Lue"/>
        </w:rPr>
        <w:t>eleven</w:t>
      </w:r>
      <w:r w:rsidRPr="007A72DB">
        <w:rPr>
          <w:rFonts w:ascii="Microsoft New Tai Lue" w:hAnsi="Microsoft New Tai Lue" w:cs="Microsoft New Tai Lue"/>
        </w:rPr>
        <w:t xml:space="preserve"> year old son was denied the right to pass through the Cape</w:t>
      </w:r>
      <w:r w:rsidR="00406683">
        <w:rPr>
          <w:rFonts w:ascii="Microsoft New Tai Lue" w:hAnsi="Microsoft New Tai Lue" w:cs="Microsoft New Tai Lue"/>
        </w:rPr>
        <w:t xml:space="preserve"> because </w:t>
      </w:r>
      <w:r w:rsidRPr="007A72DB">
        <w:rPr>
          <w:rFonts w:ascii="Microsoft New Tai Lue" w:hAnsi="Microsoft New Tai Lue" w:cs="Microsoft New Tai Lue"/>
        </w:rPr>
        <w:t>he had ‘a cut lip’.</w:t>
      </w:r>
      <w:r w:rsidR="00047CA9" w:rsidRPr="007A72DB">
        <w:rPr>
          <w:rFonts w:ascii="Microsoft New Tai Lue" w:hAnsi="Microsoft New Tai Lue" w:cs="Microsoft New Tai Lue"/>
          <w:vertAlign w:val="superscript"/>
        </w:rPr>
        <w:endnoteReference w:id="15"/>
      </w:r>
      <w:r w:rsidR="00047CA9" w:rsidRPr="007A72DB">
        <w:rPr>
          <w:rFonts w:ascii="Microsoft New Tai Lue" w:hAnsi="Microsoft New Tai Lue" w:cs="Microsoft New Tai Lue"/>
        </w:rPr>
        <w:t xml:space="preserve"> </w:t>
      </w:r>
      <w:r w:rsidRPr="007A72DB">
        <w:rPr>
          <w:rFonts w:ascii="Microsoft New Tai Lue" w:hAnsi="Microsoft New Tai Lue" w:cs="Microsoft New Tai Lue"/>
        </w:rPr>
        <w:t xml:space="preserve">This was despite Union in 1910, as a common law uniting the naturalisation policies of the separate South African parts was not agreed until 1913. Such cases reflect the lack of reciprocal recognition of naturalisation across the empire, as well as the </w:t>
      </w:r>
      <w:r w:rsidR="00DF6199" w:rsidRPr="007A72DB">
        <w:rPr>
          <w:rFonts w:ascii="Microsoft New Tai Lue" w:hAnsi="Microsoft New Tai Lue" w:cs="Microsoft New Tai Lue"/>
        </w:rPr>
        <w:t>anti-Semitism</w:t>
      </w:r>
      <w:r w:rsidRPr="007A72DB">
        <w:rPr>
          <w:rFonts w:ascii="Microsoft New Tai Lue" w:hAnsi="Microsoft New Tai Lue" w:cs="Microsoft New Tai Lue"/>
        </w:rPr>
        <w:t xml:space="preserve"> of the border system in the Cape at the time (I shall discuss this more </w:t>
      </w:r>
      <w:r w:rsidR="001E035D" w:rsidRPr="007A72DB">
        <w:rPr>
          <w:rFonts w:ascii="Microsoft New Tai Lue" w:hAnsi="Microsoft New Tai Lue" w:cs="Microsoft New Tai Lue"/>
        </w:rPr>
        <w:t>later</w:t>
      </w:r>
      <w:r w:rsidRPr="007A72DB">
        <w:rPr>
          <w:rFonts w:ascii="Microsoft New Tai Lue" w:hAnsi="Microsoft New Tai Lue" w:cs="Microsoft New Tai Lue"/>
        </w:rPr>
        <w:t xml:space="preserve">). </w:t>
      </w:r>
    </w:p>
    <w:p w14:paraId="0000002A" w14:textId="77777777" w:rsidR="00794743" w:rsidRPr="007A72DB" w:rsidRDefault="00794743" w:rsidP="007A72DB">
      <w:pPr>
        <w:spacing w:line="360" w:lineRule="auto"/>
        <w:rPr>
          <w:rFonts w:ascii="Microsoft New Tai Lue" w:hAnsi="Microsoft New Tai Lue" w:cs="Microsoft New Tai Lue"/>
        </w:rPr>
      </w:pPr>
    </w:p>
    <w:p w14:paraId="0000002B" w14:textId="25C74E32" w:rsidR="00794743" w:rsidRPr="007A72DB" w:rsidRDefault="006E0B52" w:rsidP="007A72DB">
      <w:pPr>
        <w:spacing w:line="360" w:lineRule="auto"/>
        <w:rPr>
          <w:rFonts w:ascii="Microsoft New Tai Lue" w:hAnsi="Microsoft New Tai Lue" w:cs="Microsoft New Tai Lue"/>
        </w:rPr>
      </w:pPr>
      <w:r w:rsidRPr="007A72DB">
        <w:rPr>
          <w:rFonts w:ascii="Microsoft New Tai Lue" w:hAnsi="Microsoft New Tai Lue" w:cs="Microsoft New Tai Lue"/>
        </w:rPr>
        <w:t>One significant problem with the naturalisation law which developed, and which these cases highlight, was the lack of clarity about whether an alien naturalised in one part of the empire was naturalised outside of that territory as well. A 1669 court case ruled that colonial law only applied within the colony, but various laws and rulings at different times reached different conclusions about whether British naturalisation law applied in the colonies.</w:t>
      </w:r>
      <w:r w:rsidR="00047CA9" w:rsidRPr="007A72DB">
        <w:rPr>
          <w:rFonts w:ascii="Microsoft New Tai Lue" w:hAnsi="Microsoft New Tai Lue" w:cs="Microsoft New Tai Lue"/>
          <w:vertAlign w:val="superscript"/>
        </w:rPr>
        <w:endnoteReference w:id="16"/>
      </w:r>
      <w:r w:rsidR="00047CA9" w:rsidRPr="007A72DB">
        <w:rPr>
          <w:rFonts w:ascii="Microsoft New Tai Lue" w:hAnsi="Microsoft New Tai Lue" w:cs="Microsoft New Tai Lue"/>
        </w:rPr>
        <w:t xml:space="preserve"> </w:t>
      </w:r>
      <w:r w:rsidRPr="007A72DB">
        <w:rPr>
          <w:rFonts w:ascii="Microsoft New Tai Lue" w:hAnsi="Microsoft New Tai Lue" w:cs="Microsoft New Tai Lue"/>
        </w:rPr>
        <w:t>Such vagueness meant that being ‘British’, even in a legal sense, meant very different things in different parts of the empire, and that decisions on specific cases often reflected broader social constructions of citizenship.</w:t>
      </w:r>
      <w:r w:rsidR="00047CA9" w:rsidRPr="007A72DB">
        <w:rPr>
          <w:rFonts w:ascii="Microsoft New Tai Lue" w:hAnsi="Microsoft New Tai Lue" w:cs="Microsoft New Tai Lue"/>
          <w:vertAlign w:val="superscript"/>
        </w:rPr>
        <w:endnoteReference w:id="17"/>
      </w:r>
      <w:r w:rsidR="00047CA9" w:rsidRPr="007A72DB">
        <w:rPr>
          <w:rFonts w:ascii="Microsoft New Tai Lue" w:hAnsi="Microsoft New Tai Lue" w:cs="Microsoft New Tai Lue"/>
        </w:rPr>
        <w:t xml:space="preserve"> </w:t>
      </w:r>
    </w:p>
    <w:p w14:paraId="0000002C" w14:textId="77777777" w:rsidR="00794743" w:rsidRPr="007A72DB" w:rsidRDefault="00794743" w:rsidP="007A72DB">
      <w:pPr>
        <w:spacing w:line="360" w:lineRule="auto"/>
        <w:rPr>
          <w:rFonts w:ascii="Microsoft New Tai Lue" w:hAnsi="Microsoft New Tai Lue" w:cs="Microsoft New Tai Lue"/>
          <w:color w:val="222222"/>
          <w:highlight w:val="white"/>
        </w:rPr>
      </w:pPr>
    </w:p>
    <w:p w14:paraId="511C2E98" w14:textId="792970EF" w:rsidR="006C4E3E" w:rsidRDefault="006E0B52" w:rsidP="007A72DB">
      <w:pPr>
        <w:spacing w:line="360" w:lineRule="auto"/>
        <w:rPr>
          <w:rFonts w:ascii="Microsoft New Tai Lue" w:hAnsi="Microsoft New Tai Lue" w:cs="Microsoft New Tai Lue"/>
          <w:color w:val="222222"/>
        </w:rPr>
      </w:pPr>
      <w:r w:rsidRPr="007A72DB">
        <w:rPr>
          <w:rFonts w:ascii="Microsoft New Tai Lue" w:hAnsi="Microsoft New Tai Lue" w:cs="Microsoft New Tai Lue"/>
          <w:color w:val="222222"/>
          <w:highlight w:val="white"/>
        </w:rPr>
        <w:t xml:space="preserve">I use </w:t>
      </w:r>
      <w:r w:rsidRPr="007A72DB">
        <w:rPr>
          <w:rFonts w:ascii="Microsoft New Tai Lue" w:hAnsi="Microsoft New Tai Lue" w:cs="Microsoft New Tai Lue"/>
          <w:color w:val="262626"/>
        </w:rPr>
        <w:t xml:space="preserve">Linda </w:t>
      </w:r>
      <w:proofErr w:type="spellStart"/>
      <w:r w:rsidRPr="007A72DB">
        <w:rPr>
          <w:rFonts w:ascii="Microsoft New Tai Lue" w:hAnsi="Microsoft New Tai Lue" w:cs="Microsoft New Tai Lue"/>
          <w:color w:val="262626"/>
        </w:rPr>
        <w:t>Bosniak’s</w:t>
      </w:r>
      <w:proofErr w:type="spellEnd"/>
      <w:r w:rsidRPr="007A72DB">
        <w:rPr>
          <w:rFonts w:ascii="Microsoft New Tai Lue" w:hAnsi="Microsoft New Tai Lue" w:cs="Microsoft New Tai Lue"/>
          <w:color w:val="262626"/>
        </w:rPr>
        <w:t xml:space="preserve"> formulation here, that citizenship needs to be thought of as several different things: a legal status, a system of rights and duties, and a form of group identity.</w:t>
      </w:r>
      <w:r w:rsidR="00047CA9" w:rsidRPr="007A72DB">
        <w:rPr>
          <w:rFonts w:ascii="Microsoft New Tai Lue" w:hAnsi="Microsoft New Tai Lue" w:cs="Microsoft New Tai Lue"/>
          <w:color w:val="262626"/>
          <w:vertAlign w:val="superscript"/>
        </w:rPr>
        <w:endnoteReference w:id="18"/>
      </w:r>
      <w:r w:rsidR="00047CA9" w:rsidRPr="007A72DB">
        <w:rPr>
          <w:rFonts w:ascii="Microsoft New Tai Lue" w:hAnsi="Microsoft New Tai Lue" w:cs="Microsoft New Tai Lue"/>
          <w:color w:val="262626"/>
        </w:rPr>
        <w:t xml:space="preserve"> </w:t>
      </w:r>
      <w:r w:rsidR="00406683">
        <w:rPr>
          <w:rFonts w:ascii="Microsoft New Tai Lue" w:hAnsi="Microsoft New Tai Lue" w:cs="Microsoft New Tai Lue"/>
          <w:color w:val="262626"/>
        </w:rPr>
        <w:t xml:space="preserve">It is also essential to understand this within the context of the growing historiography about the creation of ideas of Britishness in the eighteenth century onwards. Britain as a legal entity only existed from 1707, and people identified as British significantly later, most notably </w:t>
      </w:r>
      <w:r w:rsidR="006C4E3E" w:rsidRPr="00406683">
        <w:rPr>
          <w:rFonts w:ascii="Microsoft New Tai Lue" w:hAnsi="Microsoft New Tai Lue" w:cs="Microsoft New Tai Lue"/>
          <w:color w:val="222222"/>
        </w:rPr>
        <w:t xml:space="preserve">Linda Colley’s </w:t>
      </w:r>
      <w:r w:rsidR="006C4E3E" w:rsidRPr="00406683">
        <w:rPr>
          <w:rFonts w:ascii="Microsoft New Tai Lue" w:hAnsi="Microsoft New Tai Lue" w:cs="Microsoft New Tai Lue"/>
          <w:i/>
          <w:iCs/>
          <w:color w:val="222222"/>
        </w:rPr>
        <w:t>Britons</w:t>
      </w:r>
      <w:r w:rsidR="006C4E3E" w:rsidRPr="007A72DB">
        <w:rPr>
          <w:rFonts w:ascii="Microsoft New Tai Lue" w:hAnsi="Microsoft New Tai Lue" w:cs="Microsoft New Tai Lue"/>
          <w:color w:val="222222"/>
          <w:highlight w:val="white"/>
        </w:rPr>
        <w:t>.</w:t>
      </w:r>
      <w:r w:rsidR="006C4E3E" w:rsidRPr="007A72DB">
        <w:rPr>
          <w:rStyle w:val="EndnoteReference"/>
          <w:rFonts w:ascii="Microsoft New Tai Lue" w:hAnsi="Microsoft New Tai Lue" w:cs="Microsoft New Tai Lue"/>
          <w:color w:val="222222"/>
          <w:highlight w:val="white"/>
        </w:rPr>
        <w:endnoteReference w:id="19"/>
      </w:r>
      <w:r w:rsidR="006C4E3E" w:rsidRPr="007A72DB">
        <w:rPr>
          <w:rFonts w:ascii="Microsoft New Tai Lue" w:hAnsi="Microsoft New Tai Lue" w:cs="Microsoft New Tai Lue"/>
          <w:color w:val="222222"/>
          <w:highlight w:val="white"/>
        </w:rPr>
        <w:t xml:space="preserve"> </w:t>
      </w:r>
      <w:r w:rsidR="00590BBF">
        <w:rPr>
          <w:rFonts w:ascii="Microsoft New Tai Lue" w:hAnsi="Microsoft New Tai Lue" w:cs="Microsoft New Tai Lue"/>
          <w:color w:val="222222"/>
        </w:rPr>
        <w:t>Her reminder that, apart from the legal label of British, the public used and identified with the label in many different ways, and only gradually came to adopt it.</w:t>
      </w:r>
    </w:p>
    <w:p w14:paraId="45DE66E0" w14:textId="001D8881" w:rsidR="00D95CDF" w:rsidRDefault="00D95CDF" w:rsidP="007A72DB">
      <w:pPr>
        <w:spacing w:line="360" w:lineRule="auto"/>
        <w:rPr>
          <w:rFonts w:ascii="Microsoft New Tai Lue" w:hAnsi="Microsoft New Tai Lue" w:cs="Microsoft New Tai Lue"/>
          <w:color w:val="222222"/>
        </w:rPr>
      </w:pPr>
    </w:p>
    <w:p w14:paraId="080A6A46" w14:textId="7A98896A" w:rsidR="00D95CDF" w:rsidRPr="00D95CDF" w:rsidRDefault="00D95CDF" w:rsidP="007A72DB">
      <w:pPr>
        <w:spacing w:line="360" w:lineRule="auto"/>
        <w:rPr>
          <w:rFonts w:ascii="Microsoft New Tai Lue" w:hAnsi="Microsoft New Tai Lue" w:cs="Microsoft New Tai Lue"/>
          <w:color w:val="222222"/>
          <w:highlight w:val="white"/>
        </w:rPr>
      </w:pPr>
      <w:r w:rsidRPr="007A72DB">
        <w:rPr>
          <w:rFonts w:ascii="Microsoft New Tai Lue" w:hAnsi="Microsoft New Tai Lue" w:cs="Microsoft New Tai Lue"/>
        </w:rPr>
        <w:t>My research will show, when dealing with applicants for naturalisation, there was no clear definition of Britishness provided, but that the question implicitly pervaded decision-making. L</w:t>
      </w:r>
      <w:r w:rsidRPr="007A72DB">
        <w:rPr>
          <w:rFonts w:ascii="Microsoft New Tai Lue" w:hAnsi="Microsoft New Tai Lue" w:cs="Microsoft New Tai Lue"/>
          <w:color w:val="222222"/>
          <w:highlight w:val="white"/>
        </w:rPr>
        <w:t xml:space="preserve">ooking at the naturalisation of aliens within Britain’s settler colonies puts a spotlight on people whose position within a ‘British’ world was always marginal - if they were British, they would not have to be naturalised. Often their claims to whiteness, or to being desirable migrants, were also marginal - they were Germans, French and other Europeans on the whole, but there are also Japanese, Chinese, Egyptian, Lebanese, Syrian, Turkish, and Pacific Islanders within their ranks. It lays bare the liminal spaces of identity and belonging within settler societies and challenges the dominance of the </w:t>
      </w:r>
      <w:r w:rsidRPr="007A72DB">
        <w:rPr>
          <w:rFonts w:ascii="Microsoft New Tai Lue" w:hAnsi="Microsoft New Tai Lue" w:cs="Microsoft New Tai Lue"/>
          <w:i/>
          <w:color w:val="222222"/>
          <w:highlight w:val="white"/>
        </w:rPr>
        <w:t>British</w:t>
      </w:r>
      <w:r w:rsidRPr="007A72DB">
        <w:rPr>
          <w:rFonts w:ascii="Microsoft New Tai Lue" w:hAnsi="Microsoft New Tai Lue" w:cs="Microsoft New Tai Lue"/>
          <w:color w:val="222222"/>
          <w:highlight w:val="white"/>
        </w:rPr>
        <w:t xml:space="preserve"> migrant experience (e.g. migrants from Britain) within existing British world scholarship. </w:t>
      </w:r>
    </w:p>
    <w:p w14:paraId="04C3BCC8" w14:textId="642DE71F" w:rsidR="00590BBF" w:rsidRDefault="00590BBF" w:rsidP="007A72DB">
      <w:pPr>
        <w:spacing w:line="360" w:lineRule="auto"/>
        <w:rPr>
          <w:rFonts w:ascii="Microsoft New Tai Lue" w:hAnsi="Microsoft New Tai Lue" w:cs="Microsoft New Tai Lue"/>
          <w:color w:val="222222"/>
        </w:rPr>
      </w:pPr>
    </w:p>
    <w:p w14:paraId="0000002D" w14:textId="6762ABFC" w:rsidR="00794743" w:rsidRDefault="00590BBF" w:rsidP="007A72DB">
      <w:pPr>
        <w:spacing w:line="360" w:lineRule="auto"/>
        <w:rPr>
          <w:rFonts w:ascii="Microsoft New Tai Lue" w:hAnsi="Microsoft New Tai Lue" w:cs="Microsoft New Tai Lue"/>
        </w:rPr>
      </w:pPr>
      <w:r>
        <w:rPr>
          <w:rFonts w:ascii="Microsoft New Tai Lue" w:hAnsi="Microsoft New Tai Lue" w:cs="Microsoft New Tai Lue"/>
          <w:color w:val="222222"/>
        </w:rPr>
        <w:t xml:space="preserve">In the empire, the myriad identities of migrants and indigenous groups have complicated the political identification of residents even further, a situation exacerbated by a lack of clear constitution outlining who was and who was not British, nor how the label could be acquired or removed. </w:t>
      </w:r>
      <w:r w:rsidR="006E0B52" w:rsidRPr="007A72DB">
        <w:rPr>
          <w:rFonts w:ascii="Microsoft New Tai Lue" w:hAnsi="Microsoft New Tai Lue" w:cs="Microsoft New Tai Lue"/>
          <w:color w:val="262626"/>
        </w:rPr>
        <w:t xml:space="preserve">Naturalisation law and bureaucracy was meant to assign legal </w:t>
      </w:r>
      <w:r w:rsidRPr="007A72DB">
        <w:rPr>
          <w:rFonts w:ascii="Microsoft New Tai Lue" w:hAnsi="Microsoft New Tai Lue" w:cs="Microsoft New Tai Lue"/>
          <w:color w:val="262626"/>
        </w:rPr>
        <w:t>status,</w:t>
      </w:r>
      <w:r w:rsidR="006E0B52" w:rsidRPr="007A72DB">
        <w:rPr>
          <w:rFonts w:ascii="Microsoft New Tai Lue" w:hAnsi="Microsoft New Tai Lue" w:cs="Microsoft New Tai Lue"/>
          <w:color w:val="262626"/>
        </w:rPr>
        <w:t xml:space="preserve"> but it was also tied to different rights and duties (real and imaginary) and to broader ideas of race, class and other aspects of group identity. This tension did not lead to Britain or its colonies developing a </w:t>
      </w:r>
      <w:r w:rsidR="006E0B52" w:rsidRPr="007A72DB">
        <w:rPr>
          <w:rFonts w:ascii="Microsoft New Tai Lue" w:hAnsi="Microsoft New Tai Lue" w:cs="Microsoft New Tai Lue"/>
        </w:rPr>
        <w:t xml:space="preserve">legalistic bureaucratic machine, as has been described as developing in the US. Instead, because settler colonies wanted to exclude </w:t>
      </w:r>
      <w:proofErr w:type="gramStart"/>
      <w:r w:rsidR="006E0B52" w:rsidRPr="007A72DB">
        <w:rPr>
          <w:rFonts w:ascii="Microsoft New Tai Lue" w:hAnsi="Microsoft New Tai Lue" w:cs="Microsoft New Tai Lue"/>
        </w:rPr>
        <w:t>Asians</w:t>
      </w:r>
      <w:proofErr w:type="gramEnd"/>
      <w:r w:rsidR="006E0B52" w:rsidRPr="007A72DB">
        <w:rPr>
          <w:rFonts w:ascii="Microsoft New Tai Lue" w:hAnsi="Microsoft New Tai Lue" w:cs="Microsoft New Tai Lue"/>
        </w:rPr>
        <w:t xml:space="preserve"> but Britain did not want to sanction overt racism against Indians (who were British subjects) or against Japanese (who were allies), Britain encouraged a deliberate vagueness in legislation, perpetuating wider constitutional vagueness about citizenship, rather than clarifying it. </w:t>
      </w:r>
    </w:p>
    <w:p w14:paraId="4F6CBEC8" w14:textId="19DFEF80" w:rsidR="00A36DD6" w:rsidRDefault="00A36DD6" w:rsidP="007A72DB">
      <w:pPr>
        <w:spacing w:line="360" w:lineRule="auto"/>
        <w:rPr>
          <w:rFonts w:ascii="Microsoft New Tai Lue" w:hAnsi="Microsoft New Tai Lue" w:cs="Microsoft New Tai Lue"/>
        </w:rPr>
      </w:pPr>
    </w:p>
    <w:p w14:paraId="70B25C50" w14:textId="38296A49" w:rsidR="00A36DD6" w:rsidRPr="00A36DD6" w:rsidRDefault="00E77F6A" w:rsidP="00A36DD6">
      <w:pPr>
        <w:spacing w:after="120" w:line="360" w:lineRule="auto"/>
        <w:rPr>
          <w:rFonts w:ascii="Microsoft New Tai Lue" w:hAnsi="Microsoft New Tai Lue" w:cs="Microsoft New Tai Lue"/>
        </w:rPr>
      </w:pPr>
      <w:r>
        <w:rPr>
          <w:rFonts w:ascii="Microsoft New Tai Lue" w:hAnsi="Microsoft New Tai Lue" w:cs="Microsoft New Tai Lue"/>
        </w:rPr>
        <w:t xml:space="preserve">To take one example of how different conceptions of citizenship could affect what happened, consider the </w:t>
      </w:r>
      <w:r w:rsidR="00A36DD6" w:rsidRPr="00A36DD6">
        <w:rPr>
          <w:rFonts w:ascii="Microsoft New Tai Lue" w:hAnsi="Microsoft New Tai Lue" w:cs="Microsoft New Tai Lue"/>
        </w:rPr>
        <w:t xml:space="preserve">debates surrounding the writing of the Australian </w:t>
      </w:r>
      <w:r w:rsidR="00A36DD6" w:rsidRPr="00A36DD6">
        <w:rPr>
          <w:rFonts w:ascii="Microsoft New Tai Lue" w:hAnsi="Microsoft New Tai Lue" w:cs="Microsoft New Tai Lue"/>
        </w:rPr>
        <w:lastRenderedPageBreak/>
        <w:t>constitution</w:t>
      </w:r>
      <w:r>
        <w:rPr>
          <w:rFonts w:ascii="Microsoft New Tai Lue" w:hAnsi="Microsoft New Tai Lue" w:cs="Microsoft New Tai Lue"/>
        </w:rPr>
        <w:t>. There o</w:t>
      </w:r>
      <w:r w:rsidR="00A36DD6" w:rsidRPr="00A36DD6">
        <w:rPr>
          <w:rFonts w:ascii="Microsoft New Tai Lue" w:hAnsi="Microsoft New Tai Lue" w:cs="Microsoft New Tai Lue"/>
        </w:rPr>
        <w:t>n</w:t>
      </w:r>
      <w:r>
        <w:rPr>
          <w:rFonts w:ascii="Microsoft New Tai Lue" w:hAnsi="Microsoft New Tai Lue" w:cs="Microsoft New Tai Lue"/>
        </w:rPr>
        <w:t>e</w:t>
      </w:r>
      <w:r w:rsidR="00A36DD6" w:rsidRPr="00A36DD6">
        <w:rPr>
          <w:rFonts w:ascii="Microsoft New Tai Lue" w:hAnsi="Microsoft New Tai Lue" w:cs="Microsoft New Tai Lue"/>
        </w:rPr>
        <w:t xml:space="preserve"> attendee perfectly illustrates the ways that contemporaries used ‘subject’ and ‘citizen’ to mean many different things:</w:t>
      </w:r>
    </w:p>
    <w:p w14:paraId="058C6932" w14:textId="77777777" w:rsidR="00A36DD6" w:rsidRPr="00A36DD6" w:rsidRDefault="00A36DD6" w:rsidP="00A36DD6">
      <w:pPr>
        <w:spacing w:line="360" w:lineRule="auto"/>
        <w:ind w:left="720"/>
        <w:rPr>
          <w:rFonts w:ascii="Microsoft New Tai Lue" w:hAnsi="Microsoft New Tai Lue" w:cs="Microsoft New Tai Lue"/>
        </w:rPr>
      </w:pPr>
      <w:r w:rsidRPr="00A36DD6">
        <w:rPr>
          <w:rFonts w:ascii="Microsoft New Tai Lue" w:hAnsi="Microsoft New Tai Lue" w:cs="Microsoft New Tai Lue"/>
        </w:rPr>
        <w:t>‘it would simply be monstrous that those who were born in England should in any way be subjected to the slightest disabilities. It is impossible to contemplate the exclusion of natural born subjects of this character; but on the other hand, we must not forget that there are other native-born British subjects whom we are far from desiring to see come here in any considerable numbers’</w:t>
      </w:r>
      <w:r w:rsidRPr="00A36DD6">
        <w:rPr>
          <w:rFonts w:ascii="Microsoft New Tai Lue" w:hAnsi="Microsoft New Tai Lue" w:cs="Microsoft New Tai Lue"/>
          <w:vertAlign w:val="superscript"/>
        </w:rPr>
        <w:endnoteReference w:id="20"/>
      </w:r>
    </w:p>
    <w:p w14:paraId="76AC47A7" w14:textId="77777777" w:rsidR="00A36DD6" w:rsidRPr="00A36DD6" w:rsidRDefault="00A36DD6" w:rsidP="00A36DD6">
      <w:pPr>
        <w:spacing w:line="360" w:lineRule="auto"/>
        <w:rPr>
          <w:rFonts w:ascii="Microsoft New Tai Lue" w:hAnsi="Microsoft New Tai Lue" w:cs="Microsoft New Tai Lue"/>
        </w:rPr>
      </w:pPr>
    </w:p>
    <w:p w14:paraId="11E0DC55" w14:textId="5E8CC292" w:rsidR="00A36DD6" w:rsidRPr="00FA398C" w:rsidRDefault="00A36DD6" w:rsidP="007A72DB">
      <w:pPr>
        <w:spacing w:line="360" w:lineRule="auto"/>
        <w:rPr>
          <w:rFonts w:ascii="Microsoft New Tai Lue" w:hAnsi="Microsoft New Tai Lue" w:cs="Microsoft New Tai Lue"/>
          <w:color w:val="222222"/>
        </w:rPr>
      </w:pPr>
      <w:r w:rsidRPr="00A36DD6">
        <w:rPr>
          <w:rFonts w:ascii="Microsoft New Tai Lue" w:hAnsi="Microsoft New Tai Lue" w:cs="Microsoft New Tai Lue"/>
          <w:color w:val="222222"/>
        </w:rPr>
        <w:t xml:space="preserve">Here, distinctions were made between ‘natural-born’ subjects, described interestingly as ‘English’ and not ‘British’, and ‘native-born’ subjects who were technically British subjects but should not be allowed to migrate into the country. The example of Hong Kong ‘Chinamen’ and Indians were the most common in such debates; people who were technically British but somehow were not really British. It was exactly the difficulty in defining how to draw the line between the two that led Australian politicians to deliberately </w:t>
      </w:r>
      <w:r w:rsidRPr="00A36DD6">
        <w:rPr>
          <w:rFonts w:ascii="Microsoft New Tai Lue" w:hAnsi="Microsoft New Tai Lue" w:cs="Microsoft New Tai Lue"/>
          <w:i/>
          <w:color w:val="222222"/>
        </w:rPr>
        <w:t xml:space="preserve">not </w:t>
      </w:r>
      <w:r w:rsidRPr="00A36DD6">
        <w:rPr>
          <w:rFonts w:ascii="Microsoft New Tai Lue" w:hAnsi="Microsoft New Tai Lue" w:cs="Microsoft New Tai Lue"/>
          <w:color w:val="222222"/>
        </w:rPr>
        <w:t>define colonial citizenship in the final version of the Constitution, nor did the eventual 1903 Naturalisation Act (or subsequent acts) entirely clarify the matter. Instead, who was entitled to citizenship, as well as the rights and duties associated with citizenship, was left to inference by individual bureaucrats, government ministers, and occasional judicial review.</w:t>
      </w:r>
      <w:r w:rsidRPr="00A36DD6">
        <w:rPr>
          <w:rFonts w:ascii="Microsoft New Tai Lue" w:hAnsi="Microsoft New Tai Lue" w:cs="Microsoft New Tai Lue"/>
          <w:color w:val="222222"/>
          <w:vertAlign w:val="superscript"/>
        </w:rPr>
        <w:endnoteReference w:id="21"/>
      </w:r>
    </w:p>
    <w:p w14:paraId="0000002E" w14:textId="77777777" w:rsidR="00794743" w:rsidRPr="007A72DB" w:rsidRDefault="00794743" w:rsidP="007A72DB">
      <w:pPr>
        <w:spacing w:line="360" w:lineRule="auto"/>
        <w:rPr>
          <w:rFonts w:ascii="Microsoft New Tai Lue" w:hAnsi="Microsoft New Tai Lue" w:cs="Microsoft New Tai Lue"/>
        </w:rPr>
      </w:pPr>
    </w:p>
    <w:p w14:paraId="0000002F" w14:textId="59B7D4D7" w:rsidR="00794743" w:rsidRPr="007A72DB" w:rsidRDefault="006E0B52" w:rsidP="007A72DB">
      <w:pPr>
        <w:spacing w:line="360" w:lineRule="auto"/>
        <w:rPr>
          <w:rFonts w:ascii="Microsoft New Tai Lue" w:hAnsi="Microsoft New Tai Lue" w:cs="Microsoft New Tai Lue"/>
        </w:rPr>
      </w:pPr>
      <w:r w:rsidRPr="007A72DB">
        <w:rPr>
          <w:rFonts w:ascii="Microsoft New Tai Lue" w:hAnsi="Microsoft New Tai Lue" w:cs="Microsoft New Tai Lue"/>
        </w:rPr>
        <w:t xml:space="preserve">The most famous and arguably the most influential law to do this was </w:t>
      </w:r>
      <w:r w:rsidRPr="007A72DB">
        <w:rPr>
          <w:rFonts w:ascii="Microsoft New Tai Lue" w:hAnsi="Microsoft New Tai Lue" w:cs="Microsoft New Tai Lue"/>
          <w:color w:val="222222"/>
          <w:highlight w:val="white"/>
        </w:rPr>
        <w:t>Natal’s 1897 Immigration Restriction Act, more commonly known as the Natal Language Test. It allowed border officials to implement a literacy test in any European language to anyone arriving at a port. In other words, they could decide whether someone looked desirable and impose a literacy test if they wanted to keep the potential migrant out of the colony.</w:t>
      </w:r>
      <w:r w:rsidRPr="007A72DB">
        <w:rPr>
          <w:rFonts w:ascii="Microsoft New Tai Lue" w:hAnsi="Microsoft New Tai Lue" w:cs="Microsoft New Tai Lue"/>
        </w:rPr>
        <w:t xml:space="preserve"> At the 1897 Colonial Conference, Britain’s Secretary of State for the Colonies, Joseph Chamberlain, pushed this language test as an acceptable model of migration control. Although neither he nor the Natal governor (who devised it) </w:t>
      </w:r>
      <w:r w:rsidRPr="007A72DB">
        <w:rPr>
          <w:rFonts w:ascii="Microsoft New Tai Lue" w:hAnsi="Microsoft New Tai Lue" w:cs="Microsoft New Tai Lue"/>
        </w:rPr>
        <w:lastRenderedPageBreak/>
        <w:t>denied that it was formulated to keep out Asians, they could still deny accusations that it racially targeted them.</w:t>
      </w:r>
      <w:r w:rsidRPr="007A72DB">
        <w:rPr>
          <w:rFonts w:ascii="Microsoft New Tai Lue" w:hAnsi="Microsoft New Tai Lue" w:cs="Microsoft New Tai Lue"/>
          <w:vertAlign w:val="superscript"/>
        </w:rPr>
        <w:t xml:space="preserve"> </w:t>
      </w:r>
      <w:r w:rsidRPr="007A72DB">
        <w:rPr>
          <w:rFonts w:ascii="Microsoft New Tai Lue" w:hAnsi="Microsoft New Tai Lue" w:cs="Microsoft New Tai Lue"/>
        </w:rPr>
        <w:t>While this legislation was not universally popular, all of the settler colonies adopted versions of it.</w:t>
      </w:r>
      <w:r w:rsidR="00047CA9" w:rsidRPr="007A72DB">
        <w:rPr>
          <w:rFonts w:ascii="Microsoft New Tai Lue" w:hAnsi="Microsoft New Tai Lue" w:cs="Microsoft New Tai Lue"/>
          <w:vertAlign w:val="superscript"/>
        </w:rPr>
        <w:endnoteReference w:id="22"/>
      </w:r>
      <w:r w:rsidR="00047CA9" w:rsidRPr="007A72DB">
        <w:rPr>
          <w:rFonts w:ascii="Microsoft New Tai Lue" w:hAnsi="Microsoft New Tai Lue" w:cs="Microsoft New Tai Lue"/>
        </w:rPr>
        <w:t xml:space="preserve"> </w:t>
      </w:r>
      <w:r w:rsidRPr="007A72DB">
        <w:rPr>
          <w:rFonts w:ascii="Microsoft New Tai Lue" w:hAnsi="Microsoft New Tai Lue" w:cs="Microsoft New Tai Lue"/>
        </w:rPr>
        <w:t xml:space="preserve"> </w:t>
      </w:r>
    </w:p>
    <w:p w14:paraId="00000030" w14:textId="77777777" w:rsidR="00794743" w:rsidRPr="007A72DB" w:rsidRDefault="00794743" w:rsidP="007A72DB">
      <w:pPr>
        <w:widowControl w:val="0"/>
        <w:spacing w:line="360" w:lineRule="auto"/>
        <w:rPr>
          <w:rFonts w:ascii="Microsoft New Tai Lue" w:hAnsi="Microsoft New Tai Lue" w:cs="Microsoft New Tai Lue"/>
        </w:rPr>
      </w:pPr>
    </w:p>
    <w:p w14:paraId="00000031" w14:textId="065FE043" w:rsidR="00047CA9" w:rsidRPr="007A72DB" w:rsidRDefault="006E0B52" w:rsidP="007A72DB">
      <w:pPr>
        <w:spacing w:line="360" w:lineRule="auto"/>
        <w:rPr>
          <w:rFonts w:ascii="Microsoft New Tai Lue" w:hAnsi="Microsoft New Tai Lue" w:cs="Microsoft New Tai Lue"/>
        </w:rPr>
      </w:pPr>
      <w:r w:rsidRPr="007A72DB">
        <w:rPr>
          <w:rFonts w:ascii="Microsoft New Tai Lue" w:hAnsi="Microsoft New Tai Lue" w:cs="Microsoft New Tai Lue"/>
        </w:rPr>
        <w:t xml:space="preserve">Less analysed by scholars was a concession made by Chamberlain </w:t>
      </w:r>
      <w:r w:rsidR="001E035D" w:rsidRPr="007A72DB">
        <w:rPr>
          <w:rFonts w:ascii="Microsoft New Tai Lue" w:hAnsi="Microsoft New Tai Lue" w:cs="Microsoft New Tai Lue"/>
        </w:rPr>
        <w:t xml:space="preserve">at the same meeting, </w:t>
      </w:r>
      <w:r w:rsidRPr="007A72DB">
        <w:rPr>
          <w:rFonts w:ascii="Microsoft New Tai Lue" w:hAnsi="Microsoft New Tai Lue" w:cs="Microsoft New Tai Lue"/>
        </w:rPr>
        <w:t xml:space="preserve">concerning executive privilege. The New South Wales Prime Minister, George Reid, had asked whether </w:t>
      </w:r>
      <w:r w:rsidRPr="007A72DB">
        <w:rPr>
          <w:rFonts w:ascii="Microsoft New Tai Lue" w:hAnsi="Microsoft New Tai Lue" w:cs="Microsoft New Tai Lue"/>
          <w:highlight w:val="white"/>
        </w:rPr>
        <w:t>‘power should be given to the Governor in Council at any time to exclude any person or class of person… an executive power, which would be exercised with discretion</w:t>
      </w:r>
      <w:r w:rsidR="001E035D" w:rsidRPr="007A72DB">
        <w:rPr>
          <w:rFonts w:ascii="Microsoft New Tai Lue" w:hAnsi="Microsoft New Tai Lue" w:cs="Microsoft New Tai Lue"/>
          <w:highlight w:val="white"/>
        </w:rPr>
        <w:t>’</w:t>
      </w:r>
      <w:r w:rsidRPr="007A72DB">
        <w:rPr>
          <w:rFonts w:ascii="Microsoft New Tai Lue" w:hAnsi="Microsoft New Tai Lue" w:cs="Microsoft New Tai Lue"/>
          <w:highlight w:val="white"/>
        </w:rPr>
        <w:t>, and was specifically described as a kind of ‘common law.’</w:t>
      </w:r>
      <w:r w:rsidR="00047CA9" w:rsidRPr="007A72DB">
        <w:rPr>
          <w:rFonts w:ascii="Microsoft New Tai Lue" w:hAnsi="Microsoft New Tai Lue" w:cs="Microsoft New Tai Lue"/>
          <w:highlight w:val="white"/>
          <w:vertAlign w:val="superscript"/>
        </w:rPr>
        <w:endnoteReference w:id="23"/>
      </w:r>
      <w:r w:rsidR="00047CA9" w:rsidRPr="007A72DB">
        <w:rPr>
          <w:rFonts w:ascii="Microsoft New Tai Lue" w:hAnsi="Microsoft New Tai Lue" w:cs="Microsoft New Tai Lue"/>
          <w:highlight w:val="white"/>
        </w:rPr>
        <w:t xml:space="preserve"> </w:t>
      </w:r>
      <w:r w:rsidR="00FA398C">
        <w:rPr>
          <w:rFonts w:ascii="Microsoft New Tai Lue" w:hAnsi="Microsoft New Tai Lue" w:cs="Microsoft New Tai Lue"/>
          <w:highlight w:val="white"/>
        </w:rPr>
        <w:t xml:space="preserve">While </w:t>
      </w:r>
      <w:r w:rsidRPr="007A72DB">
        <w:rPr>
          <w:rFonts w:ascii="Microsoft New Tai Lue" w:hAnsi="Microsoft New Tai Lue" w:cs="Microsoft New Tai Lue"/>
          <w:highlight w:val="white"/>
        </w:rPr>
        <w:t xml:space="preserve">Chamberlain </w:t>
      </w:r>
      <w:r w:rsidR="00FA398C">
        <w:rPr>
          <w:rFonts w:ascii="Microsoft New Tai Lue" w:hAnsi="Microsoft New Tai Lue" w:cs="Microsoft New Tai Lue"/>
          <w:highlight w:val="white"/>
        </w:rPr>
        <w:t xml:space="preserve">showed reluctance at the time, subsequent </w:t>
      </w:r>
      <w:r w:rsidR="00FA398C" w:rsidRPr="007A72DB">
        <w:rPr>
          <w:rFonts w:ascii="Microsoft New Tai Lue" w:hAnsi="Microsoft New Tai Lue" w:cs="Microsoft New Tai Lue"/>
          <w:highlight w:val="white"/>
        </w:rPr>
        <w:t>colonial laws were allowed to contain clauses about executive privilege</w:t>
      </w:r>
      <w:r w:rsidR="00E77F6A">
        <w:rPr>
          <w:rFonts w:ascii="Microsoft New Tai Lue" w:hAnsi="Microsoft New Tai Lue" w:cs="Microsoft New Tai Lue"/>
          <w:highlight w:val="white"/>
        </w:rPr>
        <w:t xml:space="preserve">. This </w:t>
      </w:r>
      <w:r w:rsidR="00FA398C" w:rsidRPr="007A72DB">
        <w:rPr>
          <w:rFonts w:ascii="Microsoft New Tai Lue" w:hAnsi="Microsoft New Tai Lue" w:cs="Microsoft New Tai Lue"/>
          <w:highlight w:val="white"/>
        </w:rPr>
        <w:t>mean</w:t>
      </w:r>
      <w:r w:rsidR="00E77F6A">
        <w:rPr>
          <w:rFonts w:ascii="Microsoft New Tai Lue" w:hAnsi="Microsoft New Tai Lue" w:cs="Microsoft New Tai Lue"/>
          <w:highlight w:val="white"/>
        </w:rPr>
        <w:t>t</w:t>
      </w:r>
      <w:r w:rsidR="00FA398C" w:rsidRPr="007A72DB">
        <w:rPr>
          <w:rFonts w:ascii="Microsoft New Tai Lue" w:hAnsi="Microsoft New Tai Lue" w:cs="Microsoft New Tai Lue"/>
          <w:highlight w:val="white"/>
        </w:rPr>
        <w:t xml:space="preserve"> that the executive could always decide to grant or withhold naturalisation for anyone on any grounds, and did not have to provide a reason.</w:t>
      </w:r>
      <w:r w:rsidR="00E14CCB" w:rsidRPr="007A72DB">
        <w:rPr>
          <w:rStyle w:val="EndnoteReference"/>
          <w:rFonts w:ascii="Microsoft New Tai Lue" w:hAnsi="Microsoft New Tai Lue" w:cs="Microsoft New Tai Lue"/>
          <w:highlight w:val="white"/>
        </w:rPr>
        <w:endnoteReference w:id="24"/>
      </w:r>
      <w:r w:rsidRPr="007A72DB">
        <w:rPr>
          <w:rFonts w:ascii="Microsoft New Tai Lue" w:hAnsi="Microsoft New Tai Lue" w:cs="Microsoft New Tai Lue"/>
          <w:highlight w:val="white"/>
        </w:rPr>
        <w:t xml:space="preserve"> Naturalisation applicants </w:t>
      </w:r>
      <w:r w:rsidR="00E77F6A">
        <w:rPr>
          <w:rFonts w:ascii="Microsoft New Tai Lue" w:hAnsi="Microsoft New Tai Lue" w:cs="Microsoft New Tai Lue"/>
          <w:highlight w:val="white"/>
        </w:rPr>
        <w:t xml:space="preserve">in settler colonies </w:t>
      </w:r>
      <w:r w:rsidRPr="007A72DB">
        <w:rPr>
          <w:rFonts w:ascii="Microsoft New Tai Lue" w:hAnsi="Microsoft New Tai Lue" w:cs="Microsoft New Tai Lue"/>
          <w:highlight w:val="white"/>
        </w:rPr>
        <w:t>found it almost impossible to appeal any decisions as power rested with the executive, and no reason had to be given for refusal.</w:t>
      </w:r>
      <w:r w:rsidR="00047CA9" w:rsidRPr="007A72DB">
        <w:rPr>
          <w:rFonts w:ascii="Microsoft New Tai Lue" w:hAnsi="Microsoft New Tai Lue" w:cs="Microsoft New Tai Lue"/>
          <w:highlight w:val="white"/>
          <w:vertAlign w:val="superscript"/>
        </w:rPr>
        <w:endnoteReference w:id="25"/>
      </w:r>
    </w:p>
    <w:p w14:paraId="00000032" w14:textId="77777777" w:rsidR="00794743" w:rsidRPr="007A72DB" w:rsidRDefault="00794743" w:rsidP="007A72DB">
      <w:pPr>
        <w:widowControl w:val="0"/>
        <w:spacing w:line="360" w:lineRule="auto"/>
        <w:rPr>
          <w:rFonts w:ascii="Microsoft New Tai Lue" w:hAnsi="Microsoft New Tai Lue" w:cs="Microsoft New Tai Lue"/>
        </w:rPr>
      </w:pPr>
    </w:p>
    <w:p w14:paraId="00000033" w14:textId="405D44A6" w:rsidR="00794743" w:rsidRPr="007A72DB" w:rsidRDefault="006E0B52" w:rsidP="007A72DB">
      <w:pPr>
        <w:spacing w:line="360" w:lineRule="auto"/>
        <w:rPr>
          <w:rFonts w:ascii="Microsoft New Tai Lue" w:hAnsi="Microsoft New Tai Lue" w:cs="Microsoft New Tai Lue"/>
        </w:rPr>
      </w:pPr>
      <w:r w:rsidRPr="007A72DB">
        <w:rPr>
          <w:rFonts w:ascii="Microsoft New Tai Lue" w:hAnsi="Microsoft New Tai Lue" w:cs="Microsoft New Tai Lue"/>
        </w:rPr>
        <w:t>These types of laws, which put so much power in the hands of executive privilege and bureaucratic decision-making, shaped a distinctive migration system. Subsequent legislation embraced this method, and discriminated increasingly on the basis of ‘morality’, ‘health’, wealth, and other very flexible categories, often left to border officials to interpret.</w:t>
      </w:r>
      <w:r w:rsidR="00047CA9" w:rsidRPr="007A72DB">
        <w:rPr>
          <w:rFonts w:ascii="Microsoft New Tai Lue" w:hAnsi="Microsoft New Tai Lue" w:cs="Microsoft New Tai Lue"/>
          <w:color w:val="222222"/>
          <w:highlight w:val="white"/>
          <w:vertAlign w:val="superscript"/>
        </w:rPr>
        <w:endnoteReference w:id="26"/>
      </w:r>
      <w:r w:rsidR="00047CA9" w:rsidRPr="007A72DB">
        <w:rPr>
          <w:rFonts w:ascii="Microsoft New Tai Lue" w:hAnsi="Microsoft New Tai Lue" w:cs="Microsoft New Tai Lue"/>
        </w:rPr>
        <w:t xml:space="preserve"> </w:t>
      </w:r>
      <w:r w:rsidRPr="007A72DB">
        <w:rPr>
          <w:rFonts w:ascii="Microsoft New Tai Lue" w:hAnsi="Microsoft New Tai Lue" w:cs="Microsoft New Tai Lue"/>
        </w:rPr>
        <w:t xml:space="preserve">Vague legislation like this meant that Greater Britain could simultaneously promote their unity on migration matters, what </w:t>
      </w:r>
      <w:proofErr w:type="spellStart"/>
      <w:r w:rsidRPr="007A72DB">
        <w:rPr>
          <w:rFonts w:ascii="Microsoft New Tai Lue" w:hAnsi="Microsoft New Tai Lue" w:cs="Microsoft New Tai Lue"/>
        </w:rPr>
        <w:t>Ratiki</w:t>
      </w:r>
      <w:proofErr w:type="spellEnd"/>
      <w:r w:rsidRPr="007A72DB">
        <w:rPr>
          <w:rFonts w:ascii="Microsoft New Tai Lue" w:hAnsi="Microsoft New Tai Lue" w:cs="Microsoft New Tai Lue"/>
        </w:rPr>
        <w:t xml:space="preserve"> </w:t>
      </w:r>
      <w:proofErr w:type="spellStart"/>
      <w:r w:rsidR="00444F57" w:rsidRPr="007A72DB">
        <w:rPr>
          <w:rFonts w:ascii="Microsoft New Tai Lue" w:hAnsi="Microsoft New Tai Lue" w:cs="Microsoft New Tai Lue"/>
        </w:rPr>
        <w:t>Karatani</w:t>
      </w:r>
      <w:proofErr w:type="spellEnd"/>
      <w:r w:rsidR="00444F57" w:rsidRPr="007A72DB">
        <w:rPr>
          <w:rFonts w:ascii="Microsoft New Tai Lue" w:hAnsi="Microsoft New Tai Lue" w:cs="Microsoft New Tai Lue"/>
        </w:rPr>
        <w:t xml:space="preserve"> </w:t>
      </w:r>
      <w:r w:rsidRPr="007A72DB">
        <w:rPr>
          <w:rFonts w:ascii="Microsoft New Tai Lue" w:hAnsi="Microsoft New Tai Lue" w:cs="Microsoft New Tai Lue"/>
        </w:rPr>
        <w:t>has called the ‘common code’</w:t>
      </w:r>
      <w:r w:rsidR="00047CA9" w:rsidRPr="007A72DB">
        <w:rPr>
          <w:rFonts w:ascii="Microsoft New Tai Lue" w:hAnsi="Microsoft New Tai Lue" w:cs="Microsoft New Tai Lue"/>
          <w:vertAlign w:val="superscript"/>
        </w:rPr>
        <w:endnoteReference w:id="27"/>
      </w:r>
      <w:r w:rsidR="00047CA9" w:rsidRPr="007A72DB">
        <w:rPr>
          <w:rFonts w:ascii="Microsoft New Tai Lue" w:hAnsi="Microsoft New Tai Lue" w:cs="Microsoft New Tai Lue"/>
        </w:rPr>
        <w:t>,</w:t>
      </w:r>
      <w:r w:rsidRPr="007A72DB">
        <w:rPr>
          <w:rFonts w:ascii="Microsoft New Tai Lue" w:hAnsi="Microsoft New Tai Lue" w:cs="Microsoft New Tai Lue"/>
        </w:rPr>
        <w:t xml:space="preserve"> while excluding whomever they pleased.</w:t>
      </w:r>
      <w:r w:rsidR="00047CA9" w:rsidRPr="007A72DB">
        <w:rPr>
          <w:rFonts w:ascii="Microsoft New Tai Lue" w:hAnsi="Microsoft New Tai Lue" w:cs="Microsoft New Tai Lue"/>
          <w:vertAlign w:val="superscript"/>
        </w:rPr>
        <w:endnoteReference w:id="28"/>
      </w:r>
      <w:r w:rsidR="00047CA9" w:rsidRPr="007A72DB">
        <w:rPr>
          <w:rFonts w:ascii="Microsoft New Tai Lue" w:hAnsi="Microsoft New Tai Lue" w:cs="Microsoft New Tai Lue"/>
        </w:rPr>
        <w:t xml:space="preserve"> </w:t>
      </w:r>
      <w:r w:rsidRPr="007A72DB">
        <w:rPr>
          <w:rFonts w:ascii="Microsoft New Tai Lue" w:hAnsi="Microsoft New Tai Lue" w:cs="Microsoft New Tai Lue"/>
        </w:rPr>
        <w:t>This code, of course, operated differently in each colony, precisely because the ‘code’ that developed was developed to be vague.</w:t>
      </w:r>
      <w:r w:rsidR="00444F57" w:rsidRPr="007A72DB">
        <w:rPr>
          <w:rFonts w:ascii="Microsoft New Tai Lue" w:hAnsi="Microsoft New Tai Lue" w:cs="Microsoft New Tai Lue"/>
        </w:rPr>
        <w:t xml:space="preserve"> While important to recognise the overlapping push for a ‘global </w:t>
      </w:r>
      <w:proofErr w:type="spellStart"/>
      <w:r w:rsidR="00444F57" w:rsidRPr="007A72DB">
        <w:rPr>
          <w:rFonts w:ascii="Microsoft New Tai Lue" w:hAnsi="Microsoft New Tai Lue" w:cs="Microsoft New Tai Lue"/>
        </w:rPr>
        <w:t>color</w:t>
      </w:r>
      <w:proofErr w:type="spellEnd"/>
      <w:r w:rsidR="00444F57" w:rsidRPr="007A72DB">
        <w:rPr>
          <w:rFonts w:ascii="Microsoft New Tai Lue" w:hAnsi="Microsoft New Tai Lue" w:cs="Microsoft New Tai Lue"/>
        </w:rPr>
        <w:t xml:space="preserve"> line’, in practice, </w:t>
      </w:r>
      <w:r w:rsidR="00E77F6A">
        <w:rPr>
          <w:rFonts w:ascii="Microsoft New Tai Lue" w:hAnsi="Microsoft New Tai Lue" w:cs="Microsoft New Tai Lue"/>
        </w:rPr>
        <w:t>it is crucial to recognise how different such systems could actually work, and the ways this fed into wider debates about citizenship.</w:t>
      </w:r>
    </w:p>
    <w:p w14:paraId="00000034" w14:textId="77777777" w:rsidR="00794743" w:rsidRPr="007A72DB" w:rsidRDefault="00794743" w:rsidP="007A72DB">
      <w:pPr>
        <w:spacing w:line="360" w:lineRule="auto"/>
        <w:rPr>
          <w:rFonts w:ascii="Microsoft New Tai Lue" w:hAnsi="Microsoft New Tai Lue" w:cs="Microsoft New Tai Lue"/>
        </w:rPr>
      </w:pPr>
    </w:p>
    <w:p w14:paraId="00000035" w14:textId="77163204" w:rsidR="00047CA9" w:rsidRPr="007A72DB" w:rsidRDefault="006E0B52" w:rsidP="007A72DB">
      <w:pPr>
        <w:spacing w:line="360" w:lineRule="auto"/>
        <w:rPr>
          <w:rFonts w:ascii="Microsoft New Tai Lue" w:hAnsi="Microsoft New Tai Lue" w:cs="Microsoft New Tai Lue"/>
        </w:rPr>
      </w:pPr>
      <w:r w:rsidRPr="007A72DB">
        <w:rPr>
          <w:rFonts w:ascii="Microsoft New Tai Lue" w:hAnsi="Microsoft New Tai Lue" w:cs="Microsoft New Tai Lue"/>
        </w:rPr>
        <w:lastRenderedPageBreak/>
        <w:t>Even when governments attempted to be specific, the restrictions on explicit racism led to further confusion and inconsistency. For instance, in Australia, the Commonwealth Franchise Act of 1902 excluded any ‘aboriginal native of Australia, Asia, Africa, or the Island of the Pacific except New Zealand’ from ever voting, or applying for naturalisation.</w:t>
      </w:r>
      <w:r w:rsidR="00047CA9" w:rsidRPr="007A72DB">
        <w:rPr>
          <w:rFonts w:ascii="Microsoft New Tai Lue" w:hAnsi="Microsoft New Tai Lue" w:cs="Microsoft New Tai Lue"/>
          <w:vertAlign w:val="superscript"/>
        </w:rPr>
        <w:endnoteReference w:id="29"/>
      </w:r>
      <w:r w:rsidR="00047CA9" w:rsidRPr="007A72DB">
        <w:rPr>
          <w:rFonts w:ascii="Microsoft New Tai Lue" w:hAnsi="Microsoft New Tai Lue" w:cs="Microsoft New Tai Lue"/>
        </w:rPr>
        <w:t xml:space="preserve"> </w:t>
      </w:r>
      <w:r w:rsidRPr="007A72DB">
        <w:rPr>
          <w:rFonts w:ascii="Microsoft New Tai Lue" w:hAnsi="Microsoft New Tai Lue" w:cs="Microsoft New Tai Lue"/>
        </w:rPr>
        <w:t>They were not allowed to specify race, only geography, but this in turn led to endless debates about the boundaries of continents. Most famously, Turkey was divided by the Bosporus River, with residents to the West deemed acceptable European migrants and those to the East banned. Those in ‘Syria’, a generic name for the territory south of Turkey until somewhere around Jerusalem</w:t>
      </w:r>
      <w:r w:rsidR="00444F57" w:rsidRPr="007A72DB">
        <w:rPr>
          <w:rFonts w:ascii="Microsoft New Tai Lue" w:hAnsi="Microsoft New Tai Lue" w:cs="Microsoft New Tai Lue"/>
        </w:rPr>
        <w:t xml:space="preserve"> (the exact boundaries were inconsistently imagined by different people)</w:t>
      </w:r>
      <w:r w:rsidRPr="007A72DB">
        <w:rPr>
          <w:rFonts w:ascii="Microsoft New Tai Lue" w:hAnsi="Microsoft New Tai Lue" w:cs="Microsoft New Tai Lue"/>
        </w:rPr>
        <w:t>, were occasionally allowed in and even naturalised, but on other occasions they were labelled Asians or Africans and banned from migration and naturalisation accordingly.</w:t>
      </w:r>
      <w:r w:rsidR="00047CA9" w:rsidRPr="007A72DB">
        <w:rPr>
          <w:rFonts w:ascii="Microsoft New Tai Lue" w:hAnsi="Microsoft New Tai Lue" w:cs="Microsoft New Tai Lue"/>
          <w:vertAlign w:val="superscript"/>
        </w:rPr>
        <w:endnoteReference w:id="30"/>
      </w:r>
    </w:p>
    <w:p w14:paraId="00000036" w14:textId="2989B293" w:rsidR="00794743" w:rsidRPr="007A72DB" w:rsidRDefault="00794743" w:rsidP="007A72DB">
      <w:pPr>
        <w:spacing w:line="360" w:lineRule="auto"/>
        <w:rPr>
          <w:rFonts w:ascii="Microsoft New Tai Lue" w:hAnsi="Microsoft New Tai Lue" w:cs="Microsoft New Tai Lue"/>
        </w:rPr>
      </w:pPr>
    </w:p>
    <w:p w14:paraId="00000037" w14:textId="12F361E8" w:rsidR="00794743" w:rsidRPr="007A72DB" w:rsidRDefault="006E0B52" w:rsidP="007A72DB">
      <w:pPr>
        <w:spacing w:after="120" w:line="360" w:lineRule="auto"/>
        <w:rPr>
          <w:rFonts w:ascii="Microsoft New Tai Lue" w:hAnsi="Microsoft New Tai Lue" w:cs="Microsoft New Tai Lue"/>
        </w:rPr>
      </w:pPr>
      <w:r w:rsidRPr="007A72DB">
        <w:rPr>
          <w:rFonts w:ascii="Microsoft New Tai Lue" w:hAnsi="Microsoft New Tai Lue" w:cs="Microsoft New Tai Lue"/>
          <w:color w:val="222222"/>
          <w:highlight w:val="white"/>
        </w:rPr>
        <w:t>We need to understand then the white ‘</w:t>
      </w:r>
      <w:proofErr w:type="spellStart"/>
      <w:r w:rsidRPr="007A72DB">
        <w:rPr>
          <w:rFonts w:ascii="Microsoft New Tai Lue" w:hAnsi="Microsoft New Tai Lue" w:cs="Microsoft New Tai Lue"/>
          <w:color w:val="222222"/>
          <w:highlight w:val="white"/>
        </w:rPr>
        <w:t>color</w:t>
      </w:r>
      <w:proofErr w:type="spellEnd"/>
      <w:r w:rsidRPr="007A72DB">
        <w:rPr>
          <w:rFonts w:ascii="Microsoft New Tai Lue" w:hAnsi="Microsoft New Tai Lue" w:cs="Microsoft New Tai Lue"/>
          <w:color w:val="222222"/>
          <w:highlight w:val="white"/>
        </w:rPr>
        <w:t xml:space="preserve"> line’ which developed within the </w:t>
      </w:r>
      <w:r w:rsidR="00444F57" w:rsidRPr="007A72DB">
        <w:rPr>
          <w:rFonts w:ascii="Microsoft New Tai Lue" w:hAnsi="Microsoft New Tai Lue" w:cs="Microsoft New Tai Lue"/>
          <w:color w:val="222222"/>
          <w:highlight w:val="white"/>
        </w:rPr>
        <w:t xml:space="preserve">British </w:t>
      </w:r>
      <w:r w:rsidRPr="007A72DB">
        <w:rPr>
          <w:rFonts w:ascii="Microsoft New Tai Lue" w:hAnsi="Microsoft New Tai Lue" w:cs="Microsoft New Tai Lue"/>
          <w:color w:val="222222"/>
          <w:highlight w:val="white"/>
        </w:rPr>
        <w:t xml:space="preserve">empire as less a shared legal system and more of a constant negotiation between different actors.  Robin Cohen’s phrase, ‘frontier guards’, works well at helping conceptualise these actors as </w:t>
      </w:r>
      <w:r w:rsidRPr="007A72DB">
        <w:rPr>
          <w:rFonts w:ascii="Microsoft New Tai Lue" w:hAnsi="Microsoft New Tai Lue" w:cs="Microsoft New Tai Lue"/>
        </w:rPr>
        <w:t>any person or even a movement that seeks ‘to influence the ideological and legal parameters of nationality, citizenship and belonging’, to decide who to include and who to exclude.</w:t>
      </w:r>
      <w:r w:rsidR="00047CA9" w:rsidRPr="007A72DB">
        <w:rPr>
          <w:rFonts w:ascii="Microsoft New Tai Lue" w:hAnsi="Microsoft New Tai Lue" w:cs="Microsoft New Tai Lue"/>
          <w:highlight w:val="white"/>
          <w:vertAlign w:val="superscript"/>
        </w:rPr>
        <w:endnoteReference w:id="31"/>
      </w:r>
      <w:r w:rsidR="00047CA9" w:rsidRPr="007A72DB">
        <w:rPr>
          <w:rFonts w:ascii="Microsoft New Tai Lue" w:hAnsi="Microsoft New Tai Lue" w:cs="Microsoft New Tai Lue"/>
        </w:rPr>
        <w:t xml:space="preserve"> </w:t>
      </w:r>
      <w:r w:rsidRPr="007A72DB">
        <w:rPr>
          <w:rFonts w:ascii="Microsoft New Tai Lue" w:hAnsi="Microsoft New Tai Lue" w:cs="Microsoft New Tai Lue"/>
        </w:rPr>
        <w:t>Examining how such frontier guards imagined citizenship and administered the systems of naturalisation helps illuminate much about how contemporaries understood their world and their place in it</w:t>
      </w:r>
      <w:r w:rsidR="00444F57" w:rsidRPr="007A72DB">
        <w:rPr>
          <w:rFonts w:ascii="Microsoft New Tai Lue" w:hAnsi="Microsoft New Tai Lue" w:cs="Microsoft New Tai Lue"/>
        </w:rPr>
        <w:t>, and will make up the bulk of the rest of this article</w:t>
      </w:r>
      <w:r w:rsidRPr="007A72DB">
        <w:rPr>
          <w:rFonts w:ascii="Microsoft New Tai Lue" w:hAnsi="Microsoft New Tai Lue" w:cs="Microsoft New Tai Lue"/>
        </w:rPr>
        <w:t xml:space="preserve">. </w:t>
      </w:r>
    </w:p>
    <w:p w14:paraId="00000038" w14:textId="77777777" w:rsidR="00794743" w:rsidRPr="007A72DB" w:rsidRDefault="00794743" w:rsidP="007A72DB">
      <w:pPr>
        <w:spacing w:after="120" w:line="360" w:lineRule="auto"/>
        <w:rPr>
          <w:rFonts w:ascii="Microsoft New Tai Lue" w:hAnsi="Microsoft New Tai Lue" w:cs="Microsoft New Tai Lue"/>
        </w:rPr>
      </w:pPr>
    </w:p>
    <w:p w14:paraId="2BE5E23A" w14:textId="77777777" w:rsidR="00444F57" w:rsidRPr="007A72DB" w:rsidRDefault="006E0B52" w:rsidP="007A72DB">
      <w:pPr>
        <w:spacing w:after="120" w:line="360" w:lineRule="auto"/>
        <w:rPr>
          <w:rFonts w:ascii="Microsoft New Tai Lue" w:hAnsi="Microsoft New Tai Lue" w:cs="Microsoft New Tai Lue"/>
        </w:rPr>
      </w:pPr>
      <w:r w:rsidRPr="007A72DB">
        <w:rPr>
          <w:rFonts w:ascii="Microsoft New Tai Lue" w:hAnsi="Microsoft New Tai Lue" w:cs="Microsoft New Tai Lue"/>
        </w:rPr>
        <w:t>Unlike other recent studies of citizenship and subjecthood, this is not an intellectual history</w:t>
      </w:r>
      <w:r w:rsidR="00047CA9" w:rsidRPr="007A72DB">
        <w:rPr>
          <w:rFonts w:ascii="Microsoft New Tai Lue" w:hAnsi="Microsoft New Tai Lue" w:cs="Microsoft New Tai Lue"/>
          <w:vertAlign w:val="superscript"/>
        </w:rPr>
        <w:endnoteReference w:id="32"/>
      </w:r>
      <w:r w:rsidR="00047CA9" w:rsidRPr="007A72DB">
        <w:rPr>
          <w:rFonts w:ascii="Microsoft New Tai Lue" w:hAnsi="Microsoft New Tai Lue" w:cs="Microsoft New Tai Lue"/>
        </w:rPr>
        <w:t>.</w:t>
      </w:r>
      <w:r w:rsidRPr="007A72DB">
        <w:rPr>
          <w:rFonts w:ascii="Microsoft New Tai Lue" w:hAnsi="Microsoft New Tai Lue" w:cs="Microsoft New Tai Lue"/>
        </w:rPr>
        <w:t xml:space="preserve"> </w:t>
      </w:r>
      <w:r w:rsidR="00444F57" w:rsidRPr="007A72DB">
        <w:rPr>
          <w:rFonts w:ascii="Microsoft New Tai Lue" w:hAnsi="Microsoft New Tai Lue" w:cs="Microsoft New Tai Lue"/>
        </w:rPr>
        <w:t>The popular political and intellectual theories underpinning the global colour line do share many features, as several recent histories have emphasised.</w:t>
      </w:r>
      <w:r w:rsidR="00444F57" w:rsidRPr="007A72DB">
        <w:rPr>
          <w:rStyle w:val="EndnoteReference"/>
          <w:rFonts w:ascii="Microsoft New Tai Lue" w:hAnsi="Microsoft New Tai Lue" w:cs="Microsoft New Tai Lue"/>
        </w:rPr>
        <w:endnoteReference w:id="33"/>
      </w:r>
      <w:r w:rsidR="00444F57" w:rsidRPr="007A72DB">
        <w:rPr>
          <w:rFonts w:ascii="Microsoft New Tai Lue" w:hAnsi="Microsoft New Tai Lue" w:cs="Microsoft New Tai Lue"/>
        </w:rPr>
        <w:t xml:space="preserve"> T</w:t>
      </w:r>
      <w:r w:rsidRPr="007A72DB">
        <w:rPr>
          <w:rFonts w:ascii="Microsoft New Tai Lue" w:hAnsi="Microsoft New Tai Lue" w:cs="Microsoft New Tai Lue"/>
        </w:rPr>
        <w:t>his</w:t>
      </w:r>
      <w:r w:rsidR="00444F57" w:rsidRPr="007A72DB">
        <w:rPr>
          <w:rFonts w:ascii="Microsoft New Tai Lue" w:hAnsi="Microsoft New Tai Lue" w:cs="Microsoft New Tai Lue"/>
        </w:rPr>
        <w:t>, instead,</w:t>
      </w:r>
      <w:r w:rsidRPr="007A72DB">
        <w:rPr>
          <w:rFonts w:ascii="Microsoft New Tai Lue" w:hAnsi="Microsoft New Tai Lue" w:cs="Microsoft New Tai Lue"/>
        </w:rPr>
        <w:t xml:space="preserve"> is a close scrutiny of bureaucratic decision-making</w:t>
      </w:r>
      <w:r w:rsidR="00444F57" w:rsidRPr="007A72DB">
        <w:rPr>
          <w:rFonts w:ascii="Microsoft New Tai Lue" w:hAnsi="Microsoft New Tai Lue" w:cs="Microsoft New Tai Lue"/>
        </w:rPr>
        <w:t xml:space="preserve"> precisely because the British legislative vagueness was so important</w:t>
      </w:r>
      <w:r w:rsidRPr="007A72DB">
        <w:rPr>
          <w:rFonts w:ascii="Microsoft New Tai Lue" w:hAnsi="Microsoft New Tai Lue" w:cs="Microsoft New Tai Lue"/>
        </w:rPr>
        <w:t xml:space="preserve">. </w:t>
      </w:r>
    </w:p>
    <w:p w14:paraId="722AAC90" w14:textId="77777777" w:rsidR="00444F57" w:rsidRPr="007A72DB" w:rsidRDefault="00444F57" w:rsidP="007A72DB">
      <w:pPr>
        <w:spacing w:after="120" w:line="360" w:lineRule="auto"/>
        <w:rPr>
          <w:rFonts w:ascii="Microsoft New Tai Lue" w:hAnsi="Microsoft New Tai Lue" w:cs="Microsoft New Tai Lue"/>
        </w:rPr>
      </w:pPr>
    </w:p>
    <w:p w14:paraId="48BB013A" w14:textId="77777777" w:rsidR="00A13FDF" w:rsidRPr="007A72DB" w:rsidRDefault="006E0B52" w:rsidP="007A72DB">
      <w:pPr>
        <w:spacing w:after="120" w:line="360" w:lineRule="auto"/>
        <w:rPr>
          <w:rFonts w:ascii="Microsoft New Tai Lue" w:hAnsi="Microsoft New Tai Lue" w:cs="Microsoft New Tai Lue"/>
        </w:rPr>
      </w:pPr>
      <w:r w:rsidRPr="007A72DB">
        <w:rPr>
          <w:rFonts w:ascii="Microsoft New Tai Lue" w:hAnsi="Microsoft New Tai Lue" w:cs="Microsoft New Tai Lue"/>
        </w:rPr>
        <w:t xml:space="preserve">I have chosen South Africa and Australia </w:t>
      </w:r>
      <w:r w:rsidR="00444F57" w:rsidRPr="007A72DB">
        <w:rPr>
          <w:rFonts w:ascii="Microsoft New Tai Lue" w:hAnsi="Microsoft New Tai Lue" w:cs="Microsoft New Tai Lue"/>
        </w:rPr>
        <w:t xml:space="preserve">as case studies </w:t>
      </w:r>
      <w:r w:rsidRPr="007A72DB">
        <w:rPr>
          <w:rFonts w:ascii="Microsoft New Tai Lue" w:hAnsi="Microsoft New Tai Lue" w:cs="Microsoft New Tai Lue"/>
        </w:rPr>
        <w:t xml:space="preserve">for several reasons. They were important in shaping the ‘global </w:t>
      </w:r>
      <w:proofErr w:type="spellStart"/>
      <w:r w:rsidRPr="007A72DB">
        <w:rPr>
          <w:rFonts w:ascii="Microsoft New Tai Lue" w:hAnsi="Microsoft New Tai Lue" w:cs="Microsoft New Tai Lue"/>
        </w:rPr>
        <w:t>color</w:t>
      </w:r>
      <w:proofErr w:type="spellEnd"/>
      <w:r w:rsidRPr="007A72DB">
        <w:rPr>
          <w:rFonts w:ascii="Microsoft New Tai Lue" w:hAnsi="Microsoft New Tai Lue" w:cs="Microsoft New Tai Lue"/>
        </w:rPr>
        <w:t xml:space="preserve"> line’.</w:t>
      </w:r>
      <w:r w:rsidR="00047CA9" w:rsidRPr="007A72DB">
        <w:rPr>
          <w:rFonts w:ascii="Microsoft New Tai Lue" w:hAnsi="Microsoft New Tai Lue" w:cs="Microsoft New Tai Lue"/>
          <w:color w:val="222222"/>
          <w:highlight w:val="white"/>
          <w:vertAlign w:val="superscript"/>
        </w:rPr>
        <w:endnoteReference w:id="34"/>
      </w:r>
      <w:r w:rsidR="00047CA9" w:rsidRPr="007A72DB">
        <w:rPr>
          <w:rFonts w:ascii="Microsoft New Tai Lue" w:hAnsi="Microsoft New Tai Lue" w:cs="Microsoft New Tai Lue"/>
        </w:rPr>
        <w:t xml:space="preserve"> </w:t>
      </w:r>
      <w:r w:rsidRPr="007A72DB">
        <w:rPr>
          <w:rFonts w:ascii="Microsoft New Tai Lue" w:hAnsi="Microsoft New Tai Lue" w:cs="Microsoft New Tai Lue"/>
        </w:rPr>
        <w:t xml:space="preserve">Senior bureaucrats left private papers, which can be combined with very thorough official migration and naturalisation files to gain a much clearer sense of the negotiations which shaped migration in practice. </w:t>
      </w:r>
    </w:p>
    <w:p w14:paraId="0DB3AB75" w14:textId="77777777" w:rsidR="00A13FDF" w:rsidRPr="007A72DB" w:rsidRDefault="00A13FDF" w:rsidP="007A72DB">
      <w:pPr>
        <w:spacing w:after="120" w:line="360" w:lineRule="auto"/>
        <w:rPr>
          <w:rFonts w:ascii="Microsoft New Tai Lue" w:hAnsi="Microsoft New Tai Lue" w:cs="Microsoft New Tai Lue"/>
        </w:rPr>
      </w:pPr>
    </w:p>
    <w:p w14:paraId="00000039" w14:textId="551F70FD" w:rsidR="00794743" w:rsidRPr="007A72DB" w:rsidRDefault="006E0B52" w:rsidP="007A72DB">
      <w:pPr>
        <w:spacing w:after="120" w:line="360" w:lineRule="auto"/>
        <w:rPr>
          <w:rFonts w:ascii="Microsoft New Tai Lue" w:hAnsi="Microsoft New Tai Lue" w:cs="Microsoft New Tai Lue"/>
        </w:rPr>
      </w:pPr>
      <w:r w:rsidRPr="007A72DB">
        <w:rPr>
          <w:rFonts w:ascii="Microsoft New Tai Lue" w:hAnsi="Microsoft New Tai Lue" w:cs="Microsoft New Tai Lue"/>
        </w:rPr>
        <w:t>A similar process would probably be evident in Britain itself and would be of great interest but Britain has historically done a poor job of preserving records for migrant entry and naturalisation.</w:t>
      </w:r>
      <w:r w:rsidR="00047CA9" w:rsidRPr="007A72DB">
        <w:rPr>
          <w:rFonts w:ascii="Microsoft New Tai Lue" w:hAnsi="Microsoft New Tai Lue" w:cs="Microsoft New Tai Lue"/>
          <w:vertAlign w:val="superscript"/>
        </w:rPr>
        <w:endnoteReference w:id="35"/>
      </w:r>
      <w:r w:rsidR="00047CA9" w:rsidRPr="007A72DB">
        <w:rPr>
          <w:rFonts w:ascii="Microsoft New Tai Lue" w:hAnsi="Microsoft New Tai Lue" w:cs="Microsoft New Tai Lue"/>
        </w:rPr>
        <w:t xml:space="preserve"> </w:t>
      </w:r>
      <w:r w:rsidRPr="007A72DB">
        <w:rPr>
          <w:rFonts w:ascii="Microsoft New Tai Lue" w:hAnsi="Microsoft New Tai Lue" w:cs="Microsoft New Tai Lue"/>
        </w:rPr>
        <w:t xml:space="preserve">And </w:t>
      </w:r>
      <w:r w:rsidRPr="007A72DB">
        <w:rPr>
          <w:rFonts w:ascii="Microsoft New Tai Lue" w:hAnsi="Microsoft New Tai Lue" w:cs="Microsoft New Tai Lue"/>
          <w:highlight w:val="white"/>
        </w:rPr>
        <w:t>while this issue of naturalisation and law also fed into questions of legal sovereignty, and did affect the eventual development of separate citizenships (first in Canada in 1946) this is not my primary focus today.</w:t>
      </w:r>
      <w:r w:rsidR="00047CA9" w:rsidRPr="007A72DB">
        <w:rPr>
          <w:rFonts w:ascii="Microsoft New Tai Lue" w:hAnsi="Microsoft New Tai Lue" w:cs="Microsoft New Tai Lue"/>
          <w:highlight w:val="white"/>
          <w:vertAlign w:val="superscript"/>
        </w:rPr>
        <w:endnoteReference w:id="36"/>
      </w:r>
      <w:r w:rsidR="00047CA9" w:rsidRPr="007A72DB">
        <w:rPr>
          <w:rFonts w:ascii="Microsoft New Tai Lue" w:hAnsi="Microsoft New Tai Lue" w:cs="Microsoft New Tai Lue"/>
          <w:highlight w:val="white"/>
        </w:rPr>
        <w:t xml:space="preserve"> </w:t>
      </w:r>
      <w:r w:rsidRPr="007A72DB">
        <w:rPr>
          <w:rFonts w:ascii="Microsoft New Tai Lue" w:hAnsi="Microsoft New Tai Lue" w:cs="Microsoft New Tai Lue"/>
          <w:highlight w:val="white"/>
        </w:rPr>
        <w:t xml:space="preserve">Precisely because of the vagueness of the laws, it is clear that broader social ideas of citizenship bled into how laws were implemented, thus giving administrators and policy-makers as well as external agents the opportunity to influence who the state recognised as legal subjects, and who were granted rights. </w:t>
      </w:r>
    </w:p>
    <w:p w14:paraId="0000003F" w14:textId="77777777" w:rsidR="00794743" w:rsidRPr="007A72DB" w:rsidRDefault="00794743" w:rsidP="007A72DB">
      <w:pPr>
        <w:spacing w:line="360" w:lineRule="auto"/>
        <w:rPr>
          <w:rFonts w:ascii="Microsoft New Tai Lue" w:hAnsi="Microsoft New Tai Lue" w:cs="Microsoft New Tai Lue"/>
        </w:rPr>
      </w:pPr>
    </w:p>
    <w:p w14:paraId="00000042" w14:textId="3F1A3FC2" w:rsidR="00794743" w:rsidRPr="007A72DB" w:rsidRDefault="006E0B52" w:rsidP="007A72DB">
      <w:pPr>
        <w:spacing w:line="360" w:lineRule="auto"/>
        <w:rPr>
          <w:rFonts w:ascii="Microsoft New Tai Lue" w:hAnsi="Microsoft New Tai Lue" w:cs="Microsoft New Tai Lue"/>
          <w:color w:val="222222"/>
          <w:highlight w:val="white"/>
        </w:rPr>
      </w:pPr>
      <w:r w:rsidRPr="007A72DB">
        <w:rPr>
          <w:rFonts w:ascii="Microsoft New Tai Lue" w:hAnsi="Microsoft New Tai Lue" w:cs="Microsoft New Tai Lue"/>
          <w:color w:val="222222"/>
          <w:highlight w:val="white"/>
        </w:rPr>
        <w:t>You may notice</w:t>
      </w:r>
      <w:r w:rsidRPr="007A72DB">
        <w:rPr>
          <w:rFonts w:ascii="Microsoft New Tai Lue" w:hAnsi="Microsoft New Tai Lue" w:cs="Microsoft New Tai Lue"/>
        </w:rPr>
        <w:t xml:space="preserve"> some slippage between </w:t>
      </w:r>
      <w:r w:rsidRPr="007A72DB">
        <w:rPr>
          <w:rFonts w:ascii="Microsoft New Tai Lue" w:hAnsi="Microsoft New Tai Lue" w:cs="Microsoft New Tai Lue"/>
          <w:color w:val="222222"/>
          <w:highlight w:val="white"/>
        </w:rPr>
        <w:t xml:space="preserve">naturalisation and migration throughout this </w:t>
      </w:r>
      <w:r w:rsidR="00A13FDF" w:rsidRPr="007A72DB">
        <w:rPr>
          <w:rFonts w:ascii="Microsoft New Tai Lue" w:hAnsi="Microsoft New Tai Lue" w:cs="Microsoft New Tai Lue"/>
          <w:color w:val="222222"/>
          <w:highlight w:val="white"/>
        </w:rPr>
        <w:t>article</w:t>
      </w:r>
      <w:r w:rsidRPr="007A72DB">
        <w:rPr>
          <w:rFonts w:ascii="Microsoft New Tai Lue" w:hAnsi="Microsoft New Tai Lue" w:cs="Microsoft New Tai Lue"/>
          <w:color w:val="222222"/>
          <w:highlight w:val="white"/>
        </w:rPr>
        <w:t xml:space="preserve">; this is </w:t>
      </w:r>
      <w:r w:rsidRPr="007A72DB">
        <w:rPr>
          <w:rFonts w:ascii="Microsoft New Tai Lue" w:hAnsi="Microsoft New Tai Lue" w:cs="Microsoft New Tai Lue"/>
        </w:rPr>
        <w:t>because any focus on naturalisation laws must also take into account migration laws</w:t>
      </w:r>
      <w:r w:rsidRPr="007A72DB">
        <w:rPr>
          <w:rFonts w:ascii="Microsoft New Tai Lue" w:hAnsi="Microsoft New Tai Lue" w:cs="Microsoft New Tai Lue"/>
          <w:color w:val="222222"/>
          <w:highlight w:val="white"/>
        </w:rPr>
        <w:t xml:space="preserve">. In both Australia and South Africa (and throughout most of the world at the time), the same departments governed both initial migration and later naturalisation. These bureaucracies were primarily designed to enforce any exclusion at the port of entry (and in South Africa, there were </w:t>
      </w:r>
      <w:r w:rsidR="00417ADA">
        <w:rPr>
          <w:rFonts w:ascii="Microsoft New Tai Lue" w:hAnsi="Microsoft New Tai Lue" w:cs="Microsoft New Tai Lue"/>
          <w:color w:val="222222"/>
          <w:highlight w:val="white"/>
        </w:rPr>
        <w:t>virtually</w:t>
      </w:r>
      <w:r w:rsidRPr="007A72DB">
        <w:rPr>
          <w:rFonts w:ascii="Microsoft New Tai Lue" w:hAnsi="Microsoft New Tai Lue" w:cs="Microsoft New Tai Lue"/>
          <w:color w:val="222222"/>
          <w:highlight w:val="white"/>
        </w:rPr>
        <w:t xml:space="preserve"> no border checks on their land borders with other African colonies until the 1920s).</w:t>
      </w:r>
      <w:r w:rsidR="00047CA9" w:rsidRPr="007A72DB">
        <w:rPr>
          <w:rFonts w:ascii="Microsoft New Tai Lue" w:hAnsi="Microsoft New Tai Lue" w:cs="Microsoft New Tai Lue"/>
          <w:color w:val="222222"/>
          <w:highlight w:val="white"/>
          <w:vertAlign w:val="superscript"/>
        </w:rPr>
        <w:endnoteReference w:id="37"/>
      </w:r>
      <w:r w:rsidR="00047CA9" w:rsidRPr="007A72DB">
        <w:rPr>
          <w:rFonts w:ascii="Microsoft New Tai Lue" w:hAnsi="Microsoft New Tai Lue" w:cs="Microsoft New Tai Lue"/>
          <w:color w:val="222222"/>
          <w:highlight w:val="white"/>
        </w:rPr>
        <w:t xml:space="preserve"> </w:t>
      </w:r>
      <w:r w:rsidRPr="007A72DB">
        <w:rPr>
          <w:rFonts w:ascii="Microsoft New Tai Lue" w:hAnsi="Microsoft New Tai Lue" w:cs="Microsoft New Tai Lue"/>
          <w:color w:val="222222"/>
          <w:highlight w:val="white"/>
        </w:rPr>
        <w:t>Neither put much effort into recording or policing migrants once they had arrived within the country until after WWI. Passports were also quite rare until after WWI. For instance, the total number of passports issued to Australian women before 1914 appears to be less than 20.</w:t>
      </w:r>
      <w:r w:rsidR="00047CA9" w:rsidRPr="007A72DB">
        <w:rPr>
          <w:rFonts w:ascii="Microsoft New Tai Lue" w:hAnsi="Microsoft New Tai Lue" w:cs="Microsoft New Tai Lue"/>
          <w:color w:val="222222"/>
          <w:highlight w:val="white"/>
          <w:vertAlign w:val="superscript"/>
        </w:rPr>
        <w:endnoteReference w:id="38"/>
      </w:r>
      <w:r w:rsidR="00047CA9" w:rsidRPr="007A72DB">
        <w:rPr>
          <w:rFonts w:ascii="Microsoft New Tai Lue" w:hAnsi="Microsoft New Tai Lue" w:cs="Microsoft New Tai Lue"/>
          <w:color w:val="222222"/>
          <w:highlight w:val="white"/>
        </w:rPr>
        <w:t xml:space="preserve"> </w:t>
      </w:r>
      <w:r w:rsidRPr="007A72DB">
        <w:rPr>
          <w:rFonts w:ascii="Microsoft New Tai Lue" w:hAnsi="Microsoft New Tai Lue" w:cs="Microsoft New Tai Lue"/>
          <w:color w:val="222222"/>
          <w:highlight w:val="white"/>
        </w:rPr>
        <w:t xml:space="preserve">Fundamentally, while there was a recognition that naturalisation was quite </w:t>
      </w:r>
      <w:r w:rsidRPr="007A72DB">
        <w:rPr>
          <w:rFonts w:ascii="Microsoft New Tai Lue" w:hAnsi="Microsoft New Tai Lue" w:cs="Microsoft New Tai Lue"/>
          <w:color w:val="222222"/>
          <w:highlight w:val="white"/>
        </w:rPr>
        <w:lastRenderedPageBreak/>
        <w:t>important, and the laws often attracted considerable attention, the administration of those laws was almost always of secondary concern, and both administrations seem to have depended on external bodies (individuals, charities, even shipping companies), to help police the system, rather than doing much active policing themselves. This meant that the number of people who could shape the system was considerable.</w:t>
      </w:r>
    </w:p>
    <w:p w14:paraId="00000043" w14:textId="77777777" w:rsidR="00794743" w:rsidRPr="007A72DB" w:rsidRDefault="00794743" w:rsidP="007A72DB">
      <w:pPr>
        <w:spacing w:line="360" w:lineRule="auto"/>
        <w:rPr>
          <w:rFonts w:ascii="Microsoft New Tai Lue" w:hAnsi="Microsoft New Tai Lue" w:cs="Microsoft New Tai Lue"/>
          <w:color w:val="222222"/>
          <w:highlight w:val="white"/>
        </w:rPr>
      </w:pPr>
    </w:p>
    <w:p w14:paraId="00000046" w14:textId="4651D85F" w:rsidR="00794743" w:rsidRPr="00417ADA" w:rsidRDefault="00A13FDF" w:rsidP="00417ADA">
      <w:pPr>
        <w:pStyle w:val="Heading2"/>
        <w:spacing w:line="360" w:lineRule="auto"/>
        <w:jc w:val="center"/>
        <w:rPr>
          <w:rFonts w:ascii="Microsoft New Tai Lue" w:hAnsi="Microsoft New Tai Lue" w:cs="Microsoft New Tai Lue"/>
          <w:b/>
          <w:bCs/>
          <w:sz w:val="24"/>
          <w:szCs w:val="24"/>
        </w:rPr>
      </w:pPr>
      <w:bookmarkStart w:id="0" w:name="_nfa6wwrzv67r" w:colFirst="0" w:colLast="0"/>
      <w:bookmarkEnd w:id="0"/>
      <w:r w:rsidRPr="009E0E7D">
        <w:rPr>
          <w:rFonts w:ascii="Microsoft New Tai Lue" w:hAnsi="Microsoft New Tai Lue" w:cs="Microsoft New Tai Lue"/>
          <w:b/>
          <w:bCs/>
          <w:sz w:val="24"/>
          <w:szCs w:val="24"/>
        </w:rPr>
        <w:t>I</w:t>
      </w:r>
    </w:p>
    <w:p w14:paraId="00000047" w14:textId="77777777" w:rsidR="00794743" w:rsidRPr="007A72DB" w:rsidRDefault="006E0B52" w:rsidP="007A72DB">
      <w:pPr>
        <w:spacing w:line="360" w:lineRule="auto"/>
        <w:rPr>
          <w:rFonts w:ascii="Microsoft New Tai Lue" w:hAnsi="Microsoft New Tai Lue" w:cs="Microsoft New Tai Lue"/>
        </w:rPr>
      </w:pPr>
      <w:r w:rsidRPr="007A72DB">
        <w:rPr>
          <w:rFonts w:ascii="Microsoft New Tai Lue" w:hAnsi="Microsoft New Tai Lue" w:cs="Microsoft New Tai Lue"/>
          <w:color w:val="222222"/>
          <w:highlight w:val="white"/>
        </w:rPr>
        <w:t>In</w:t>
      </w:r>
      <w:r w:rsidRPr="007A72DB">
        <w:rPr>
          <w:rFonts w:ascii="Microsoft New Tai Lue" w:hAnsi="Microsoft New Tai Lue" w:cs="Microsoft New Tai Lue"/>
          <w:b/>
          <w:color w:val="222222"/>
          <w:highlight w:val="white"/>
        </w:rPr>
        <w:t xml:space="preserve"> </w:t>
      </w:r>
      <w:r w:rsidRPr="007A72DB">
        <w:rPr>
          <w:rFonts w:ascii="Microsoft New Tai Lue" w:hAnsi="Microsoft New Tai Lue" w:cs="Microsoft New Tai Lue"/>
          <w:color w:val="222222"/>
          <w:highlight w:val="white"/>
        </w:rPr>
        <w:t xml:space="preserve">South Africa, </w:t>
      </w:r>
      <w:r w:rsidRPr="007A72DB">
        <w:rPr>
          <w:rFonts w:ascii="Microsoft New Tai Lue" w:hAnsi="Microsoft New Tai Lue" w:cs="Microsoft New Tai Lue"/>
        </w:rPr>
        <w:t>I want to start with the colourful Clarence Wilfred Cousins (1872-1954), who ran</w:t>
      </w:r>
      <w:r w:rsidRPr="007A72DB">
        <w:rPr>
          <w:rFonts w:ascii="Microsoft New Tai Lue" w:hAnsi="Microsoft New Tai Lue" w:cs="Microsoft New Tai Lue"/>
          <w:highlight w:val="white"/>
        </w:rPr>
        <w:t xml:space="preserve"> the Cape migration office from 1905 until 1915, as Chief Immigration Officer, before being appointed the Union’s head of migration until 1922. In addition to official records, he left extensive letters and diaries, and even a memoir. </w:t>
      </w:r>
    </w:p>
    <w:p w14:paraId="00000048" w14:textId="77777777" w:rsidR="00794743" w:rsidRPr="007A72DB" w:rsidRDefault="00794743" w:rsidP="007A72DB">
      <w:pPr>
        <w:spacing w:after="120" w:line="360" w:lineRule="auto"/>
        <w:rPr>
          <w:rFonts w:ascii="Microsoft New Tai Lue" w:hAnsi="Microsoft New Tai Lue" w:cs="Microsoft New Tai Lue"/>
        </w:rPr>
      </w:pPr>
    </w:p>
    <w:p w14:paraId="00000049" w14:textId="78750871" w:rsidR="00794743" w:rsidRPr="007A72DB" w:rsidRDefault="006E0B52" w:rsidP="007A72DB">
      <w:pPr>
        <w:spacing w:after="120" w:line="360" w:lineRule="auto"/>
        <w:rPr>
          <w:rFonts w:ascii="Microsoft New Tai Lue" w:hAnsi="Microsoft New Tai Lue" w:cs="Microsoft New Tai Lue"/>
        </w:rPr>
      </w:pPr>
      <w:r w:rsidRPr="007A72DB">
        <w:rPr>
          <w:rFonts w:ascii="Microsoft New Tai Lue" w:hAnsi="Microsoft New Tai Lue" w:cs="Microsoft New Tai Lue"/>
        </w:rPr>
        <w:t>Cousins’ chief responsibility was to create a paperwork system</w:t>
      </w:r>
      <w:r w:rsidR="00A13FDF" w:rsidRPr="007A72DB">
        <w:rPr>
          <w:rFonts w:ascii="Microsoft New Tai Lue" w:hAnsi="Microsoft New Tai Lue" w:cs="Microsoft New Tai Lue"/>
        </w:rPr>
        <w:t xml:space="preserve"> for processing all migrants</w:t>
      </w:r>
      <w:r w:rsidRPr="007A72DB">
        <w:rPr>
          <w:rFonts w:ascii="Microsoft New Tai Lue" w:hAnsi="Microsoft New Tai Lue" w:cs="Microsoft New Tai Lue"/>
        </w:rPr>
        <w:t xml:space="preserve"> and to train and supervise his staff. This included the implementation of the language test, and a range of other laws and regulations. The </w:t>
      </w:r>
      <w:r w:rsidR="00417ADA">
        <w:rPr>
          <w:rFonts w:ascii="Microsoft New Tai Lue" w:hAnsi="Microsoft New Tai Lue" w:cs="Microsoft New Tai Lue"/>
        </w:rPr>
        <w:t xml:space="preserve">Cape </w:t>
      </w:r>
      <w:r w:rsidRPr="007A72DB">
        <w:rPr>
          <w:rFonts w:ascii="Microsoft New Tai Lue" w:hAnsi="Microsoft New Tai Lue" w:cs="Microsoft New Tai Lue"/>
        </w:rPr>
        <w:t>1906 Migration Act, for instance, banned anyone suffering from one of a range of medical or pseudo-medical conditions, including ‘idiots’.</w:t>
      </w:r>
      <w:r w:rsidR="00047CA9" w:rsidRPr="007A72DB">
        <w:rPr>
          <w:rFonts w:ascii="Microsoft New Tai Lue" w:hAnsi="Microsoft New Tai Lue" w:cs="Microsoft New Tai Lue"/>
          <w:vertAlign w:val="superscript"/>
        </w:rPr>
        <w:endnoteReference w:id="39"/>
      </w:r>
      <w:r w:rsidR="00047CA9" w:rsidRPr="007A72DB">
        <w:rPr>
          <w:rFonts w:ascii="Microsoft New Tai Lue" w:hAnsi="Microsoft New Tai Lue" w:cs="Microsoft New Tai Lue"/>
        </w:rPr>
        <w:t xml:space="preserve"> </w:t>
      </w:r>
      <w:r w:rsidRPr="007A72DB">
        <w:rPr>
          <w:rFonts w:ascii="Microsoft New Tai Lue" w:hAnsi="Microsoft New Tai Lue" w:cs="Microsoft New Tai Lue"/>
        </w:rPr>
        <w:t xml:space="preserve">Similarly, when South Africa passed its first national Immigration Exclusion Act in 1913, it banned the ‘diseased’ and ‘disabled’, and could also exclude anyone on ‘economic grounds’ and ‘habits of life’. These terms were kept deliberately vague by the government to ensure (successfully) that Britain did not </w:t>
      </w:r>
      <w:r w:rsidR="00A13FDF" w:rsidRPr="007A72DB">
        <w:rPr>
          <w:rFonts w:ascii="Microsoft New Tai Lue" w:hAnsi="Microsoft New Tai Lue" w:cs="Microsoft New Tai Lue"/>
        </w:rPr>
        <w:t>interfere,</w:t>
      </w:r>
      <w:r w:rsidRPr="007A72DB">
        <w:rPr>
          <w:rFonts w:ascii="Microsoft New Tai Lue" w:hAnsi="Microsoft New Tai Lue" w:cs="Microsoft New Tai Lue"/>
        </w:rPr>
        <w:t xml:space="preserve"> and anyone could be excluded</w:t>
      </w:r>
      <w:r w:rsidR="00A13FDF" w:rsidRPr="007A72DB">
        <w:rPr>
          <w:rFonts w:ascii="Microsoft New Tai Lue" w:hAnsi="Microsoft New Tai Lue" w:cs="Microsoft New Tai Lue"/>
        </w:rPr>
        <w:t xml:space="preserve"> in practice</w:t>
      </w:r>
      <w:r w:rsidRPr="007A72DB">
        <w:rPr>
          <w:rFonts w:ascii="Microsoft New Tai Lue" w:hAnsi="Microsoft New Tai Lue" w:cs="Microsoft New Tai Lue"/>
        </w:rPr>
        <w:t>.</w:t>
      </w:r>
      <w:r w:rsidR="00047CA9" w:rsidRPr="007A72DB">
        <w:rPr>
          <w:rFonts w:ascii="Microsoft New Tai Lue" w:hAnsi="Microsoft New Tai Lue" w:cs="Microsoft New Tai Lue"/>
          <w:vertAlign w:val="superscript"/>
        </w:rPr>
        <w:endnoteReference w:id="40"/>
      </w:r>
      <w:r w:rsidR="00047CA9" w:rsidRPr="007A72DB">
        <w:rPr>
          <w:rFonts w:ascii="Microsoft New Tai Lue" w:hAnsi="Microsoft New Tai Lue" w:cs="Microsoft New Tai Lue"/>
          <w:vertAlign w:val="superscript"/>
        </w:rPr>
        <w:t xml:space="preserve"> </w:t>
      </w:r>
    </w:p>
    <w:p w14:paraId="0000004A" w14:textId="77777777" w:rsidR="00794743" w:rsidRPr="007A72DB" w:rsidRDefault="00794743" w:rsidP="007A72DB">
      <w:pPr>
        <w:spacing w:after="120" w:line="360" w:lineRule="auto"/>
        <w:jc w:val="both"/>
        <w:rPr>
          <w:rFonts w:ascii="Microsoft New Tai Lue" w:hAnsi="Microsoft New Tai Lue" w:cs="Microsoft New Tai Lue"/>
        </w:rPr>
      </w:pPr>
    </w:p>
    <w:p w14:paraId="0000004B" w14:textId="07ED2507" w:rsidR="00794743" w:rsidRPr="007A72DB" w:rsidRDefault="001B4AAB" w:rsidP="007A72DB">
      <w:pPr>
        <w:spacing w:after="120" w:line="360" w:lineRule="auto"/>
        <w:jc w:val="both"/>
        <w:rPr>
          <w:rFonts w:ascii="Microsoft New Tai Lue" w:hAnsi="Microsoft New Tai Lue" w:cs="Microsoft New Tai Lue"/>
        </w:rPr>
      </w:pPr>
      <w:r w:rsidRPr="007A72DB">
        <w:rPr>
          <w:rFonts w:ascii="Microsoft New Tai Lue" w:hAnsi="Microsoft New Tai Lue" w:cs="Microsoft New Tai Lue"/>
        </w:rPr>
        <w:t xml:space="preserve">Politicians in South Africa perfected such vague legislation, and Cousins clearly embraced the power this gave him personally. </w:t>
      </w:r>
      <w:r w:rsidR="006E0B52" w:rsidRPr="007A72DB">
        <w:rPr>
          <w:rFonts w:ascii="Microsoft New Tai Lue" w:hAnsi="Microsoft New Tai Lue" w:cs="Microsoft New Tai Lue"/>
        </w:rPr>
        <w:t xml:space="preserve">Cousins </w:t>
      </w:r>
      <w:r w:rsidRPr="007A72DB">
        <w:rPr>
          <w:rFonts w:ascii="Microsoft New Tai Lue" w:hAnsi="Microsoft New Tai Lue" w:cs="Microsoft New Tai Lue"/>
        </w:rPr>
        <w:t xml:space="preserve">wrote extensively about his work in a private diary and long letters to family, making it </w:t>
      </w:r>
      <w:r w:rsidR="006E0B52" w:rsidRPr="007A72DB">
        <w:rPr>
          <w:rFonts w:ascii="Microsoft New Tai Lue" w:hAnsi="Microsoft New Tai Lue" w:cs="Microsoft New Tai Lue"/>
        </w:rPr>
        <w:t xml:space="preserve">clear that his personal identity was linked to his migration work, </w:t>
      </w:r>
      <w:r w:rsidR="00417ADA">
        <w:rPr>
          <w:rFonts w:ascii="Microsoft New Tai Lue" w:hAnsi="Microsoft New Tai Lue" w:cs="Microsoft New Tai Lue"/>
        </w:rPr>
        <w:t>(</w:t>
      </w:r>
      <w:r w:rsidR="006E0B52" w:rsidRPr="007A72DB">
        <w:rPr>
          <w:rFonts w:ascii="Microsoft New Tai Lue" w:hAnsi="Microsoft New Tai Lue" w:cs="Microsoft New Tai Lue"/>
        </w:rPr>
        <w:t>although it is worth noting that this rarely accompanied any statements about Britishness or South Africanness</w:t>
      </w:r>
      <w:r w:rsidR="00417ADA">
        <w:rPr>
          <w:rFonts w:ascii="Microsoft New Tai Lue" w:hAnsi="Microsoft New Tai Lue" w:cs="Microsoft New Tai Lue"/>
        </w:rPr>
        <w:t>)</w:t>
      </w:r>
      <w:r w:rsidR="006E0B52" w:rsidRPr="007A72DB">
        <w:rPr>
          <w:rFonts w:ascii="Microsoft New Tai Lue" w:hAnsi="Microsoft New Tai Lue" w:cs="Microsoft New Tai Lue"/>
        </w:rPr>
        <w:t>.</w:t>
      </w:r>
      <w:r w:rsidRPr="007A72DB">
        <w:rPr>
          <w:rFonts w:ascii="Microsoft New Tai Lue" w:hAnsi="Microsoft New Tai Lue" w:cs="Microsoft New Tai Lue"/>
        </w:rPr>
        <w:t xml:space="preserve"> H</w:t>
      </w:r>
      <w:r w:rsidR="006E0B52" w:rsidRPr="007A72DB">
        <w:rPr>
          <w:rFonts w:ascii="Microsoft New Tai Lue" w:hAnsi="Microsoft New Tai Lue" w:cs="Microsoft New Tai Lue"/>
        </w:rPr>
        <w:t xml:space="preserve">e </w:t>
      </w:r>
      <w:r w:rsidR="00417ADA">
        <w:rPr>
          <w:rFonts w:ascii="Microsoft New Tai Lue" w:hAnsi="Microsoft New Tai Lue" w:cs="Microsoft New Tai Lue"/>
        </w:rPr>
        <w:t xml:space="preserve">frequently </w:t>
      </w:r>
      <w:r w:rsidR="006E0B52" w:rsidRPr="007A72DB">
        <w:rPr>
          <w:rFonts w:ascii="Microsoft New Tai Lue" w:hAnsi="Microsoft New Tai Lue" w:cs="Microsoft New Tai Lue"/>
        </w:rPr>
        <w:lastRenderedPageBreak/>
        <w:t>frame</w:t>
      </w:r>
      <w:r w:rsidR="00417ADA">
        <w:rPr>
          <w:rFonts w:ascii="Microsoft New Tai Lue" w:hAnsi="Microsoft New Tai Lue" w:cs="Microsoft New Tai Lue"/>
        </w:rPr>
        <w:t>d</w:t>
      </w:r>
      <w:r w:rsidR="006E0B52" w:rsidRPr="007A72DB">
        <w:rPr>
          <w:rFonts w:ascii="Microsoft New Tai Lue" w:hAnsi="Microsoft New Tai Lue" w:cs="Microsoft New Tai Lue"/>
        </w:rPr>
        <w:t xml:space="preserve"> his work, and his own identity, as being a ‘custodian of the gate’ for white colonials. In this respect, i</w:t>
      </w:r>
      <w:r w:rsidR="006E0B52" w:rsidRPr="007A72DB">
        <w:rPr>
          <w:rFonts w:ascii="Microsoft New Tai Lue" w:hAnsi="Microsoft New Tai Lue" w:cs="Microsoft New Tai Lue"/>
          <w:color w:val="222222"/>
          <w:highlight w:val="white"/>
        </w:rPr>
        <w:t xml:space="preserve">t is worth noting that he was himself an immigrant: born in Madagascar in 1872 to a missionary father (employed by the London Missionary Society) and educated in Oxford before attending the university, where he studied modern history. His career hopes were dashed, however, when due to family finances, he had to find work before completing his degree. Like many before him, the colonies offered a solution, </w:t>
      </w:r>
      <w:r w:rsidR="00795CF7" w:rsidRPr="007A72DB">
        <w:rPr>
          <w:rFonts w:ascii="Microsoft New Tai Lue" w:hAnsi="Microsoft New Tai Lue" w:cs="Microsoft New Tai Lue"/>
          <w:color w:val="222222"/>
          <w:highlight w:val="white"/>
        </w:rPr>
        <w:t>and he arrived in</w:t>
      </w:r>
      <w:r w:rsidR="006E0B52" w:rsidRPr="007A72DB">
        <w:rPr>
          <w:rFonts w:ascii="Microsoft New Tai Lue" w:hAnsi="Microsoft New Tai Lue" w:cs="Microsoft New Tai Lue"/>
          <w:color w:val="222222"/>
          <w:highlight w:val="white"/>
        </w:rPr>
        <w:t xml:space="preserve"> Cape Town in 1896, where he worked in a variety of government departments before running the Migration Office.</w:t>
      </w:r>
      <w:r w:rsidR="00047CA9" w:rsidRPr="007A72DB">
        <w:rPr>
          <w:rFonts w:ascii="Microsoft New Tai Lue" w:hAnsi="Microsoft New Tai Lue" w:cs="Microsoft New Tai Lue"/>
          <w:color w:val="222222"/>
          <w:highlight w:val="white"/>
          <w:vertAlign w:val="superscript"/>
        </w:rPr>
        <w:endnoteReference w:id="41"/>
      </w:r>
      <w:r w:rsidR="00047CA9" w:rsidRPr="007A72DB">
        <w:rPr>
          <w:rFonts w:ascii="Microsoft New Tai Lue" w:hAnsi="Microsoft New Tai Lue" w:cs="Microsoft New Tai Lue"/>
          <w:color w:val="222222"/>
          <w:highlight w:val="white"/>
        </w:rPr>
        <w:t xml:space="preserve"> </w:t>
      </w:r>
    </w:p>
    <w:p w14:paraId="0000004C" w14:textId="77777777" w:rsidR="00794743" w:rsidRPr="007A72DB" w:rsidRDefault="00794743" w:rsidP="007A72DB">
      <w:pPr>
        <w:spacing w:before="300" w:after="120" w:line="360" w:lineRule="auto"/>
        <w:jc w:val="both"/>
        <w:rPr>
          <w:rFonts w:ascii="Microsoft New Tai Lue" w:hAnsi="Microsoft New Tai Lue" w:cs="Microsoft New Tai Lue"/>
        </w:rPr>
      </w:pPr>
    </w:p>
    <w:p w14:paraId="7F71B076" w14:textId="2100CF42" w:rsidR="00795CF7" w:rsidRPr="007A72DB" w:rsidRDefault="006E0B52" w:rsidP="007A72DB">
      <w:pPr>
        <w:spacing w:before="300" w:after="120" w:line="360" w:lineRule="auto"/>
        <w:jc w:val="both"/>
        <w:rPr>
          <w:rFonts w:ascii="Microsoft New Tai Lue" w:hAnsi="Microsoft New Tai Lue" w:cs="Microsoft New Tai Lue"/>
        </w:rPr>
      </w:pPr>
      <w:proofErr w:type="spellStart"/>
      <w:r w:rsidRPr="007A72DB">
        <w:rPr>
          <w:rFonts w:ascii="Microsoft New Tai Lue" w:hAnsi="Microsoft New Tai Lue" w:cs="Microsoft New Tai Lue"/>
        </w:rPr>
        <w:t>Cousins’s</w:t>
      </w:r>
      <w:proofErr w:type="spellEnd"/>
      <w:r w:rsidRPr="007A72DB">
        <w:rPr>
          <w:rFonts w:ascii="Microsoft New Tai Lue" w:hAnsi="Microsoft New Tai Lue" w:cs="Microsoft New Tai Lue"/>
        </w:rPr>
        <w:t xml:space="preserve"> writings reveal two overriding concerns: keeping out ‘Orientals’ (a group which included Chinese, Indians, and Jews, but apparently not Japanese), and helping young ‘English’ women. When a woman arrived to join a husband who had deserted her and landed in jail, he considered excluding them as undesirable</w:t>
      </w:r>
      <w:r w:rsidR="00795CF7" w:rsidRPr="007A72DB">
        <w:rPr>
          <w:rFonts w:ascii="Microsoft New Tai Lue" w:hAnsi="Microsoft New Tai Lue" w:cs="Microsoft New Tai Lue"/>
        </w:rPr>
        <w:t xml:space="preserve"> migrants</w:t>
      </w:r>
      <w:r w:rsidRPr="007A72DB">
        <w:rPr>
          <w:rFonts w:ascii="Microsoft New Tai Lue" w:hAnsi="Microsoft New Tai Lue" w:cs="Microsoft New Tai Lue"/>
        </w:rPr>
        <w:t>, but decided that, as they were English, he would ‘</w:t>
      </w:r>
      <w:proofErr w:type="spellStart"/>
      <w:r w:rsidRPr="007A72DB">
        <w:rPr>
          <w:rFonts w:ascii="Microsoft New Tai Lue" w:hAnsi="Microsoft New Tai Lue" w:cs="Microsoft New Tai Lue"/>
        </w:rPr>
        <w:t>giv</w:t>
      </w:r>
      <w:proofErr w:type="spellEnd"/>
      <w:r w:rsidRPr="007A72DB">
        <w:rPr>
          <w:rFonts w:ascii="Microsoft New Tai Lue" w:hAnsi="Microsoft New Tai Lue" w:cs="Microsoft New Tai Lue"/>
        </w:rPr>
        <w:t>[e] them every chance’.</w:t>
      </w:r>
      <w:r w:rsidR="00047CA9" w:rsidRPr="007A72DB">
        <w:rPr>
          <w:rFonts w:ascii="Microsoft New Tai Lue" w:hAnsi="Microsoft New Tai Lue" w:cs="Microsoft New Tai Lue"/>
          <w:vertAlign w:val="superscript"/>
        </w:rPr>
        <w:endnoteReference w:id="42"/>
      </w:r>
      <w:r w:rsidR="00047CA9" w:rsidRPr="007A72DB">
        <w:rPr>
          <w:rFonts w:ascii="Microsoft New Tai Lue" w:hAnsi="Microsoft New Tai Lue" w:cs="Microsoft New Tai Lue"/>
        </w:rPr>
        <w:t xml:space="preserve"> </w:t>
      </w:r>
      <w:r w:rsidRPr="007A72DB">
        <w:rPr>
          <w:rFonts w:ascii="Microsoft New Tai Lue" w:hAnsi="Microsoft New Tai Lue" w:cs="Microsoft New Tai Lue"/>
        </w:rPr>
        <w:t xml:space="preserve">On another occasion during the war, a young English girl, ‘clearly a nice girl, well-educated, and a lady’ arrived in Cape Town, sent by her mother to marry a local man, but Cousins suspected something closer to white slavery (although that term was </w:t>
      </w:r>
      <w:r w:rsidR="00795CF7" w:rsidRPr="007A72DB">
        <w:rPr>
          <w:rFonts w:ascii="Microsoft New Tai Lue" w:hAnsi="Microsoft New Tai Lue" w:cs="Microsoft New Tai Lue"/>
        </w:rPr>
        <w:t>not</w:t>
      </w:r>
      <w:r w:rsidRPr="007A72DB">
        <w:rPr>
          <w:rFonts w:ascii="Microsoft New Tai Lue" w:hAnsi="Microsoft New Tai Lue" w:cs="Microsoft New Tai Lue"/>
        </w:rPr>
        <w:t xml:space="preserve"> used by him). The man who came to collect her produced a letter from the mother, giving permission for her daughter marrying ‘“any of your old pals” as long as he had plenty of money and would be kind to the girl.’ This put Cousins in a dilemma. The letter from the mother seemed to make everything legal, but it also seemed to indicate human trafficking, a child sold by her own mother and sent alone to South Africa for, at best, marriage, and, at worst, prostitution. He eventually persuaded her to travel back to her mother in England. Although he was concerned about her fate with her ‘horrid mother’, it was the best he could do, and he used considerable time and effort, and some of his own money, helping the girl ‘escape’ her fate in South Africa.</w:t>
      </w:r>
      <w:r w:rsidR="00047CA9" w:rsidRPr="007A72DB">
        <w:rPr>
          <w:rFonts w:ascii="Microsoft New Tai Lue" w:hAnsi="Microsoft New Tai Lue" w:cs="Microsoft New Tai Lue"/>
          <w:vertAlign w:val="superscript"/>
        </w:rPr>
        <w:endnoteReference w:id="43"/>
      </w:r>
      <w:r w:rsidR="00047CA9" w:rsidRPr="007A72DB">
        <w:rPr>
          <w:rFonts w:ascii="Microsoft New Tai Lue" w:hAnsi="Microsoft New Tai Lue" w:cs="Microsoft New Tai Lue"/>
        </w:rPr>
        <w:t xml:space="preserve"> </w:t>
      </w:r>
      <w:r w:rsidRPr="007A72DB">
        <w:rPr>
          <w:rFonts w:ascii="Microsoft New Tai Lue" w:hAnsi="Microsoft New Tai Lue" w:cs="Microsoft New Tai Lue"/>
        </w:rPr>
        <w:t xml:space="preserve">She was not an unusual case, with his letters and diaries full of cases of </w:t>
      </w:r>
      <w:r w:rsidRPr="007A72DB">
        <w:rPr>
          <w:rFonts w:ascii="Microsoft New Tai Lue" w:hAnsi="Microsoft New Tai Lue" w:cs="Microsoft New Tai Lue"/>
          <w:color w:val="222222"/>
          <w:highlight w:val="white"/>
        </w:rPr>
        <w:t xml:space="preserve">young ‘English’ women in distress and </w:t>
      </w:r>
      <w:r w:rsidRPr="007A72DB">
        <w:rPr>
          <w:rFonts w:ascii="Microsoft New Tai Lue" w:hAnsi="Microsoft New Tai Lue" w:cs="Microsoft New Tai Lue"/>
          <w:color w:val="222222"/>
          <w:highlight w:val="white"/>
        </w:rPr>
        <w:lastRenderedPageBreak/>
        <w:t>his own efforts to save them.</w:t>
      </w:r>
      <w:r w:rsidR="00047CA9" w:rsidRPr="007A72DB">
        <w:rPr>
          <w:rFonts w:ascii="Microsoft New Tai Lue" w:hAnsi="Microsoft New Tai Lue" w:cs="Microsoft New Tai Lue"/>
          <w:color w:val="222222"/>
          <w:highlight w:val="white"/>
          <w:vertAlign w:val="superscript"/>
        </w:rPr>
        <w:endnoteReference w:id="44"/>
      </w:r>
      <w:r w:rsidR="00795CF7" w:rsidRPr="007A72DB">
        <w:rPr>
          <w:rFonts w:ascii="Microsoft New Tai Lue" w:hAnsi="Microsoft New Tai Lue" w:cs="Microsoft New Tai Lue"/>
        </w:rPr>
        <w:t xml:space="preserve"> </w:t>
      </w:r>
      <w:r w:rsidRPr="007A72DB">
        <w:rPr>
          <w:rFonts w:ascii="Microsoft New Tai Lue" w:hAnsi="Microsoft New Tai Lue" w:cs="Microsoft New Tai Lue"/>
        </w:rPr>
        <w:t>Th</w:t>
      </w:r>
      <w:r w:rsidR="00795CF7" w:rsidRPr="007A72DB">
        <w:rPr>
          <w:rFonts w:ascii="Microsoft New Tai Lue" w:hAnsi="Microsoft New Tai Lue" w:cs="Microsoft New Tai Lue"/>
        </w:rPr>
        <w:t>e</w:t>
      </w:r>
      <w:r w:rsidRPr="007A72DB">
        <w:rPr>
          <w:rFonts w:ascii="Microsoft New Tai Lue" w:hAnsi="Microsoft New Tai Lue" w:cs="Microsoft New Tai Lue"/>
        </w:rPr>
        <w:t xml:space="preserve"> growing administrative body, overseen by Cousins spent </w:t>
      </w:r>
      <w:r w:rsidR="00795CF7" w:rsidRPr="007A72DB">
        <w:rPr>
          <w:rFonts w:ascii="Microsoft New Tai Lue" w:hAnsi="Microsoft New Tai Lue" w:cs="Microsoft New Tai Lue"/>
        </w:rPr>
        <w:t>considerably</w:t>
      </w:r>
      <w:r w:rsidRPr="007A72DB">
        <w:rPr>
          <w:rFonts w:ascii="Microsoft New Tai Lue" w:hAnsi="Microsoft New Tai Lue" w:cs="Microsoft New Tai Lue"/>
        </w:rPr>
        <w:t xml:space="preserve"> energy protecting such women and excluding ‘undesirables’. </w:t>
      </w:r>
    </w:p>
    <w:p w14:paraId="541173E3" w14:textId="77777777" w:rsidR="00795CF7" w:rsidRPr="007A72DB" w:rsidRDefault="00795CF7" w:rsidP="007A72DB">
      <w:pPr>
        <w:spacing w:after="120" w:line="360" w:lineRule="auto"/>
        <w:rPr>
          <w:rFonts w:ascii="Microsoft New Tai Lue" w:hAnsi="Microsoft New Tai Lue" w:cs="Microsoft New Tai Lue"/>
        </w:rPr>
      </w:pPr>
    </w:p>
    <w:p w14:paraId="0000004F" w14:textId="478BAA4F" w:rsidR="00794743" w:rsidRPr="007A72DB" w:rsidRDefault="006E0B52" w:rsidP="007A72DB">
      <w:pPr>
        <w:spacing w:after="120" w:line="360" w:lineRule="auto"/>
        <w:rPr>
          <w:rFonts w:ascii="Microsoft New Tai Lue" w:hAnsi="Microsoft New Tai Lue" w:cs="Microsoft New Tai Lue"/>
        </w:rPr>
      </w:pPr>
      <w:r w:rsidRPr="007A72DB">
        <w:rPr>
          <w:rFonts w:ascii="Microsoft New Tai Lue" w:hAnsi="Microsoft New Tai Lue" w:cs="Microsoft New Tai Lue"/>
        </w:rPr>
        <w:t xml:space="preserve">One of the notable features of Cousins’ oversight was his faith, not in documentation, but in the ability to ‘see’ whether migrants were desirable. Cousins was frequently explicit in explaining how personal encounters were more important than the actual paperwork: </w:t>
      </w:r>
    </w:p>
    <w:p w14:paraId="00000050" w14:textId="0DAD38FF" w:rsidR="00794743" w:rsidRPr="007A72DB" w:rsidRDefault="006E0B52" w:rsidP="007A72DB">
      <w:pPr>
        <w:spacing w:after="120" w:line="360" w:lineRule="auto"/>
        <w:ind w:left="720"/>
        <w:rPr>
          <w:rFonts w:ascii="Microsoft New Tai Lue" w:hAnsi="Microsoft New Tai Lue" w:cs="Microsoft New Tai Lue"/>
        </w:rPr>
      </w:pPr>
      <w:r w:rsidRPr="007A72DB">
        <w:rPr>
          <w:rFonts w:ascii="Microsoft New Tai Lue" w:hAnsi="Microsoft New Tai Lue" w:cs="Microsoft New Tai Lue"/>
        </w:rPr>
        <w:t>‘There are of course other things to look for than signatures to declarations or answers to stated questions. The experienced officer has for example to possess an instinct of all sorts of possible disqualifications which the passenger’s papers will not reveal.’</w:t>
      </w:r>
      <w:r w:rsidR="00047CA9" w:rsidRPr="007A72DB">
        <w:rPr>
          <w:rFonts w:ascii="Microsoft New Tai Lue" w:hAnsi="Microsoft New Tai Lue" w:cs="Microsoft New Tai Lue"/>
          <w:vertAlign w:val="superscript"/>
        </w:rPr>
        <w:endnoteReference w:id="45"/>
      </w:r>
      <w:r w:rsidR="00047CA9" w:rsidRPr="007A72DB">
        <w:rPr>
          <w:rFonts w:ascii="Microsoft New Tai Lue" w:hAnsi="Microsoft New Tai Lue" w:cs="Microsoft New Tai Lue"/>
        </w:rPr>
        <w:t xml:space="preserve"> </w:t>
      </w:r>
    </w:p>
    <w:p w14:paraId="00000051" w14:textId="77777777" w:rsidR="00794743" w:rsidRPr="007A72DB" w:rsidRDefault="00794743" w:rsidP="007A72DB">
      <w:pPr>
        <w:spacing w:after="120" w:line="360" w:lineRule="auto"/>
        <w:rPr>
          <w:rFonts w:ascii="Microsoft New Tai Lue" w:hAnsi="Microsoft New Tai Lue" w:cs="Microsoft New Tai Lue"/>
        </w:rPr>
      </w:pPr>
    </w:p>
    <w:p w14:paraId="00000052" w14:textId="2818DB49" w:rsidR="00794743" w:rsidRPr="007A72DB" w:rsidRDefault="006E0B52" w:rsidP="007A72DB">
      <w:pPr>
        <w:spacing w:after="120" w:line="360" w:lineRule="auto"/>
        <w:rPr>
          <w:rFonts w:ascii="Microsoft New Tai Lue" w:hAnsi="Microsoft New Tai Lue" w:cs="Microsoft New Tai Lue"/>
        </w:rPr>
      </w:pPr>
      <w:r w:rsidRPr="007A72DB">
        <w:rPr>
          <w:rFonts w:ascii="Microsoft New Tai Lue" w:hAnsi="Microsoft New Tai Lue" w:cs="Microsoft New Tai Lue"/>
        </w:rPr>
        <w:t>He noted with approval when an Immigration Officer detained ‘a young London Jew’ because he ‘did not like the look of him’.</w:t>
      </w:r>
      <w:r w:rsidR="00047CA9" w:rsidRPr="007A72DB">
        <w:rPr>
          <w:rFonts w:ascii="Microsoft New Tai Lue" w:hAnsi="Microsoft New Tai Lue" w:cs="Microsoft New Tai Lue"/>
          <w:vertAlign w:val="superscript"/>
        </w:rPr>
        <w:endnoteReference w:id="46"/>
      </w:r>
      <w:r w:rsidR="00047CA9" w:rsidRPr="007A72DB">
        <w:rPr>
          <w:rFonts w:ascii="Microsoft New Tai Lue" w:hAnsi="Microsoft New Tai Lue" w:cs="Microsoft New Tai Lue"/>
        </w:rPr>
        <w:t xml:space="preserve"> </w:t>
      </w:r>
      <w:r w:rsidRPr="007A72DB">
        <w:rPr>
          <w:rFonts w:ascii="Microsoft New Tai Lue" w:hAnsi="Microsoft New Tai Lue" w:cs="Microsoft New Tai Lue"/>
        </w:rPr>
        <w:t xml:space="preserve">The law and Cousins both encouraged migration decisions based on the ‘look’ of arrivals. If they saw someone they thought ‘looked’ wrong, they were encouraged to use the laws creatively, as described earlier concerning naturalised British Jews. </w:t>
      </w:r>
      <w:r w:rsidR="00434977" w:rsidRPr="007A72DB">
        <w:rPr>
          <w:rFonts w:ascii="Microsoft New Tai Lue" w:hAnsi="Microsoft New Tai Lue" w:cs="Microsoft New Tai Lue"/>
        </w:rPr>
        <w:t>Conversely, if he liked the look of English girls, he helped them.</w:t>
      </w:r>
    </w:p>
    <w:p w14:paraId="00000053" w14:textId="77777777" w:rsidR="00794743" w:rsidRPr="007A72DB" w:rsidRDefault="00794743" w:rsidP="007A72DB">
      <w:pPr>
        <w:spacing w:after="120" w:line="360" w:lineRule="auto"/>
        <w:rPr>
          <w:rFonts w:ascii="Microsoft New Tai Lue" w:hAnsi="Microsoft New Tai Lue" w:cs="Microsoft New Tai Lue"/>
        </w:rPr>
      </w:pPr>
    </w:p>
    <w:p w14:paraId="00000054" w14:textId="04F31FA4" w:rsidR="00794743" w:rsidRPr="007A72DB" w:rsidRDefault="006E0B52" w:rsidP="007A72DB">
      <w:pPr>
        <w:spacing w:after="120" w:line="360" w:lineRule="auto"/>
        <w:jc w:val="both"/>
        <w:rPr>
          <w:rFonts w:ascii="Microsoft New Tai Lue" w:hAnsi="Microsoft New Tai Lue" w:cs="Microsoft New Tai Lue"/>
        </w:rPr>
      </w:pPr>
      <w:r w:rsidRPr="007A72DB">
        <w:rPr>
          <w:rFonts w:ascii="Microsoft New Tai Lue" w:hAnsi="Microsoft New Tai Lue" w:cs="Microsoft New Tai Lue"/>
        </w:rPr>
        <w:t xml:space="preserve">It is worth emphasising here, however, </w:t>
      </w:r>
      <w:r w:rsidR="00434977" w:rsidRPr="007A72DB">
        <w:rPr>
          <w:rFonts w:ascii="Microsoft New Tai Lue" w:hAnsi="Microsoft New Tai Lue" w:cs="Microsoft New Tai Lue"/>
        </w:rPr>
        <w:t>the</w:t>
      </w:r>
      <w:r w:rsidRPr="007A72DB">
        <w:rPr>
          <w:rFonts w:ascii="Microsoft New Tai Lue" w:hAnsi="Microsoft New Tai Lue" w:cs="Microsoft New Tai Lue"/>
        </w:rPr>
        <w:t xml:space="preserve"> constant negotiation between different actors. While the law gave Cousins the power to </w:t>
      </w:r>
      <w:r w:rsidR="00434977" w:rsidRPr="007A72DB">
        <w:rPr>
          <w:rFonts w:ascii="Microsoft New Tai Lue" w:hAnsi="Microsoft New Tai Lue" w:cs="Microsoft New Tai Lue"/>
        </w:rPr>
        <w:t>enforce his</w:t>
      </w:r>
      <w:r w:rsidRPr="007A72DB">
        <w:rPr>
          <w:rFonts w:ascii="Microsoft New Tai Lue" w:hAnsi="Microsoft New Tai Lue" w:cs="Microsoft New Tai Lue"/>
        </w:rPr>
        <w:t xml:space="preserve"> </w:t>
      </w:r>
      <w:r w:rsidR="00434977" w:rsidRPr="007A72DB">
        <w:rPr>
          <w:rFonts w:ascii="Microsoft New Tai Lue" w:hAnsi="Microsoft New Tai Lue" w:cs="Microsoft New Tai Lue"/>
        </w:rPr>
        <w:t>anti-Semitic</w:t>
      </w:r>
      <w:r w:rsidRPr="007A72DB">
        <w:rPr>
          <w:rFonts w:ascii="Microsoft New Tai Lue" w:hAnsi="Microsoft New Tai Lue" w:cs="Microsoft New Tai Lue"/>
        </w:rPr>
        <w:t xml:space="preserve"> exclusionary </w:t>
      </w:r>
      <w:r w:rsidR="00434977" w:rsidRPr="007A72DB">
        <w:rPr>
          <w:rFonts w:ascii="Microsoft New Tai Lue" w:hAnsi="Microsoft New Tai Lue" w:cs="Microsoft New Tai Lue"/>
        </w:rPr>
        <w:t>desires</w:t>
      </w:r>
      <w:r w:rsidRPr="007A72DB">
        <w:rPr>
          <w:rFonts w:ascii="Microsoft New Tai Lue" w:hAnsi="Microsoft New Tai Lue" w:cs="Microsoft New Tai Lue"/>
        </w:rPr>
        <w:t>,</w:t>
      </w:r>
      <w:r w:rsidR="00047CA9" w:rsidRPr="007A72DB">
        <w:rPr>
          <w:rFonts w:ascii="Microsoft New Tai Lue" w:hAnsi="Microsoft New Tai Lue" w:cs="Microsoft New Tai Lue"/>
          <w:vertAlign w:val="superscript"/>
        </w:rPr>
        <w:endnoteReference w:id="47"/>
      </w:r>
      <w:r w:rsidR="00047CA9" w:rsidRPr="007A72DB">
        <w:rPr>
          <w:rFonts w:ascii="Microsoft New Tai Lue" w:hAnsi="Microsoft New Tai Lue" w:cs="Microsoft New Tai Lue"/>
        </w:rPr>
        <w:t xml:space="preserve"> </w:t>
      </w:r>
      <w:r w:rsidRPr="007A72DB">
        <w:rPr>
          <w:rFonts w:ascii="Microsoft New Tai Lue" w:hAnsi="Microsoft New Tai Lue" w:cs="Microsoft New Tai Lue"/>
        </w:rPr>
        <w:t xml:space="preserve">the vague </w:t>
      </w:r>
      <w:r w:rsidR="001D053A">
        <w:rPr>
          <w:rFonts w:ascii="Microsoft New Tai Lue" w:hAnsi="Microsoft New Tai Lue" w:cs="Microsoft New Tai Lue"/>
        </w:rPr>
        <w:t>laws</w:t>
      </w:r>
      <w:r w:rsidRPr="007A72DB">
        <w:rPr>
          <w:rFonts w:ascii="Microsoft New Tai Lue" w:hAnsi="Microsoft New Tai Lue" w:cs="Microsoft New Tai Lue"/>
        </w:rPr>
        <w:t xml:space="preserve"> and executive power </w:t>
      </w:r>
      <w:r w:rsidR="001D053A">
        <w:rPr>
          <w:rFonts w:ascii="Microsoft New Tai Lue" w:hAnsi="Microsoft New Tai Lue" w:cs="Microsoft New Tai Lue"/>
        </w:rPr>
        <w:t xml:space="preserve">built into those laws </w:t>
      </w:r>
      <w:r w:rsidRPr="007A72DB">
        <w:rPr>
          <w:rFonts w:ascii="Microsoft New Tai Lue" w:hAnsi="Microsoft New Tai Lue" w:cs="Microsoft New Tai Lue"/>
        </w:rPr>
        <w:t>meant others could also influence decision-making. One such person was Morris Alexander (1877–1946),</w:t>
      </w:r>
      <w:r w:rsidRPr="007A72DB">
        <w:rPr>
          <w:rFonts w:ascii="Microsoft New Tai Lue" w:hAnsi="Microsoft New Tai Lue" w:cs="Microsoft New Tai Lue"/>
          <w:b/>
        </w:rPr>
        <w:t xml:space="preserve"> </w:t>
      </w:r>
      <w:r w:rsidRPr="007A72DB">
        <w:rPr>
          <w:rFonts w:ascii="Microsoft New Tai Lue" w:hAnsi="Microsoft New Tai Lue" w:cs="Microsoft New Tai Lue"/>
        </w:rPr>
        <w:t xml:space="preserve">a Jewish lawyer and member of Parliament. He frequently was the lawyer for Jews and Indians who wished to appeal migration decisions in </w:t>
      </w:r>
      <w:proofErr w:type="gramStart"/>
      <w:r w:rsidRPr="007A72DB">
        <w:rPr>
          <w:rFonts w:ascii="Microsoft New Tai Lue" w:hAnsi="Microsoft New Tai Lue" w:cs="Microsoft New Tai Lue"/>
        </w:rPr>
        <w:t>court, and</w:t>
      </w:r>
      <w:proofErr w:type="gramEnd"/>
      <w:r w:rsidRPr="007A72DB">
        <w:rPr>
          <w:rFonts w:ascii="Microsoft New Tai Lue" w:hAnsi="Microsoft New Tai Lue" w:cs="Microsoft New Tai Lue"/>
        </w:rPr>
        <w:t xml:space="preserve"> was an outspoken champion of racial equality in South Africa. In 1904, he co-founded a charity which sought to regulate and protect Jewish migrants, the Cape Jewish Board of Deputies, </w:t>
      </w:r>
      <w:r w:rsidRPr="007A72DB">
        <w:rPr>
          <w:rFonts w:ascii="Microsoft New Tai Lue" w:hAnsi="Microsoft New Tai Lue" w:cs="Microsoft New Tai Lue"/>
        </w:rPr>
        <w:lastRenderedPageBreak/>
        <w:t>which became nationally amalgamated in 1912. He left meticulous records of everything he did.</w:t>
      </w:r>
      <w:r w:rsidR="00047CA9" w:rsidRPr="007A72DB">
        <w:rPr>
          <w:rFonts w:ascii="Microsoft New Tai Lue" w:hAnsi="Microsoft New Tai Lue" w:cs="Microsoft New Tai Lue"/>
          <w:vertAlign w:val="superscript"/>
        </w:rPr>
        <w:endnoteReference w:id="48"/>
      </w:r>
      <w:r w:rsidR="00047CA9" w:rsidRPr="007A72DB">
        <w:rPr>
          <w:rFonts w:ascii="Microsoft New Tai Lue" w:hAnsi="Microsoft New Tai Lue" w:cs="Microsoft New Tai Lue"/>
        </w:rPr>
        <w:t xml:space="preserve"> </w:t>
      </w:r>
    </w:p>
    <w:p w14:paraId="00000055" w14:textId="77777777" w:rsidR="00794743" w:rsidRPr="007A72DB" w:rsidRDefault="00794743" w:rsidP="007A72DB">
      <w:pPr>
        <w:spacing w:after="120" w:line="360" w:lineRule="auto"/>
        <w:ind w:left="720"/>
        <w:jc w:val="both"/>
        <w:rPr>
          <w:rFonts w:ascii="Microsoft New Tai Lue" w:hAnsi="Microsoft New Tai Lue" w:cs="Microsoft New Tai Lue"/>
        </w:rPr>
      </w:pPr>
    </w:p>
    <w:p w14:paraId="00000056" w14:textId="3AA4B4DD" w:rsidR="00794743" w:rsidRPr="007A72DB" w:rsidRDefault="006E0B52" w:rsidP="007A72DB">
      <w:pPr>
        <w:spacing w:after="120" w:line="360" w:lineRule="auto"/>
        <w:jc w:val="both"/>
        <w:rPr>
          <w:rFonts w:ascii="Microsoft New Tai Lue" w:hAnsi="Microsoft New Tai Lue" w:cs="Microsoft New Tai Lue"/>
        </w:rPr>
      </w:pPr>
      <w:r w:rsidRPr="007A72DB">
        <w:rPr>
          <w:rFonts w:ascii="Microsoft New Tai Lue" w:hAnsi="Microsoft New Tai Lue" w:cs="Microsoft New Tai Lue"/>
        </w:rPr>
        <w:t xml:space="preserve">Now I want to draw attention to notes Alexander made during seven visits between June and October 1911, when he watched border officials at work on behalf of the Board. In Alexander’s notebook, he documented 26 cases of suspicious rejections of Jews, almost all on medical grounds. In one case, ‘a Mr Kaplan and his three children, already resident in [a] Johannesburg suburb, were refused entry because ‘one eye of one child was defective.’ On the same ship, ‘Mrs </w:t>
      </w:r>
      <w:proofErr w:type="spellStart"/>
      <w:r w:rsidRPr="007A72DB">
        <w:rPr>
          <w:rFonts w:ascii="Microsoft New Tai Lue" w:hAnsi="Microsoft New Tai Lue" w:cs="Microsoft New Tai Lue"/>
        </w:rPr>
        <w:t>Omdur</w:t>
      </w:r>
      <w:proofErr w:type="spellEnd"/>
      <w:r w:rsidRPr="007A72DB">
        <w:rPr>
          <w:rFonts w:ascii="Microsoft New Tai Lue" w:hAnsi="Microsoft New Tai Lue" w:cs="Microsoft New Tai Lue"/>
        </w:rPr>
        <w:t xml:space="preserve"> &amp; four children were stopped, because the one child appeared to be a little pale.’</w:t>
      </w:r>
      <w:r w:rsidR="00047CA9" w:rsidRPr="007A72DB">
        <w:rPr>
          <w:rFonts w:ascii="Microsoft New Tai Lue" w:hAnsi="Microsoft New Tai Lue" w:cs="Microsoft New Tai Lue"/>
          <w:vertAlign w:val="superscript"/>
        </w:rPr>
        <w:endnoteReference w:id="49"/>
      </w:r>
      <w:r w:rsidR="00047CA9" w:rsidRPr="007A72DB">
        <w:rPr>
          <w:rFonts w:ascii="Microsoft New Tai Lue" w:hAnsi="Microsoft New Tai Lue" w:cs="Microsoft New Tai Lue"/>
        </w:rPr>
        <w:t xml:space="preserve"> </w:t>
      </w:r>
      <w:r w:rsidRPr="007A72DB">
        <w:rPr>
          <w:rFonts w:ascii="Microsoft New Tai Lue" w:hAnsi="Microsoft New Tai Lue" w:cs="Microsoft New Tai Lue"/>
        </w:rPr>
        <w:t>Others were turned away on different days for being ‘unclean’, ‘a dwarf’, or being ‘pale’ or ‘sickly’.</w:t>
      </w:r>
      <w:r w:rsidR="00047CA9" w:rsidRPr="007A72DB">
        <w:rPr>
          <w:rFonts w:ascii="Microsoft New Tai Lue" w:hAnsi="Microsoft New Tai Lue" w:cs="Microsoft New Tai Lue"/>
          <w:vertAlign w:val="superscript"/>
        </w:rPr>
        <w:endnoteReference w:id="50"/>
      </w:r>
      <w:r w:rsidR="00047CA9" w:rsidRPr="007A72DB">
        <w:rPr>
          <w:rFonts w:ascii="Microsoft New Tai Lue" w:hAnsi="Microsoft New Tai Lue" w:cs="Microsoft New Tai Lue"/>
        </w:rPr>
        <w:t xml:space="preserve"> </w:t>
      </w:r>
      <w:r w:rsidRPr="007A72DB">
        <w:rPr>
          <w:rFonts w:ascii="Microsoft New Tai Lue" w:hAnsi="Microsoft New Tai Lue" w:cs="Microsoft New Tai Lue"/>
        </w:rPr>
        <w:t xml:space="preserve">Many of these refusals on health grounds appear specious, or at least vague. Such were the </w:t>
      </w:r>
      <w:proofErr w:type="gramStart"/>
      <w:r w:rsidRPr="007A72DB">
        <w:rPr>
          <w:rFonts w:ascii="Microsoft New Tai Lue" w:hAnsi="Microsoft New Tai Lue" w:cs="Microsoft New Tai Lue"/>
        </w:rPr>
        <w:t>concerns,</w:t>
      </w:r>
      <w:proofErr w:type="gramEnd"/>
      <w:r w:rsidRPr="007A72DB">
        <w:rPr>
          <w:rFonts w:ascii="Microsoft New Tai Lue" w:hAnsi="Microsoft New Tai Lue" w:cs="Microsoft New Tai Lue"/>
        </w:rPr>
        <w:t xml:space="preserve"> the South African Jewish Board of Deputies </w:t>
      </w:r>
      <w:r w:rsidR="00157F7C" w:rsidRPr="007A72DB">
        <w:rPr>
          <w:rFonts w:ascii="Microsoft New Tai Lue" w:hAnsi="Microsoft New Tai Lue" w:cs="Microsoft New Tai Lue"/>
        </w:rPr>
        <w:t xml:space="preserve">subsequently </w:t>
      </w:r>
      <w:r w:rsidRPr="007A72DB">
        <w:rPr>
          <w:rFonts w:ascii="Microsoft New Tai Lue" w:hAnsi="Microsoft New Tai Lue" w:cs="Microsoft New Tai Lue"/>
        </w:rPr>
        <w:t>employed a medical man to greet each ship and monitor refusals.</w:t>
      </w:r>
      <w:r w:rsidR="00047CA9" w:rsidRPr="007A72DB">
        <w:rPr>
          <w:rFonts w:ascii="Microsoft New Tai Lue" w:hAnsi="Microsoft New Tai Lue" w:cs="Microsoft New Tai Lue"/>
          <w:vertAlign w:val="superscript"/>
        </w:rPr>
        <w:endnoteReference w:id="51"/>
      </w:r>
      <w:r w:rsidR="00047CA9" w:rsidRPr="007A72DB">
        <w:rPr>
          <w:rFonts w:ascii="Microsoft New Tai Lue" w:hAnsi="Microsoft New Tai Lue" w:cs="Microsoft New Tai Lue"/>
        </w:rPr>
        <w:t xml:space="preserve"> </w:t>
      </w:r>
    </w:p>
    <w:p w14:paraId="00000057" w14:textId="77777777" w:rsidR="00794743" w:rsidRPr="007A72DB" w:rsidRDefault="00794743" w:rsidP="007A72DB">
      <w:pPr>
        <w:spacing w:after="120" w:line="360" w:lineRule="auto"/>
        <w:rPr>
          <w:rFonts w:ascii="Microsoft New Tai Lue" w:hAnsi="Microsoft New Tai Lue" w:cs="Microsoft New Tai Lue"/>
        </w:rPr>
      </w:pPr>
    </w:p>
    <w:p w14:paraId="00000058" w14:textId="7E1185C8" w:rsidR="00047CA9" w:rsidRPr="007A72DB" w:rsidRDefault="006E0B52" w:rsidP="007A72DB">
      <w:pPr>
        <w:spacing w:after="120" w:line="360" w:lineRule="auto"/>
        <w:jc w:val="both"/>
        <w:rPr>
          <w:rFonts w:ascii="Microsoft New Tai Lue" w:hAnsi="Microsoft New Tai Lue" w:cs="Microsoft New Tai Lue"/>
        </w:rPr>
      </w:pPr>
      <w:r w:rsidRPr="007A72DB">
        <w:rPr>
          <w:rFonts w:ascii="Microsoft New Tai Lue" w:hAnsi="Microsoft New Tai Lue" w:cs="Microsoft New Tai Lue"/>
        </w:rPr>
        <w:t>The observational role of Alexander and his charity, however, does not just confirm discrimination by Cousins and the border officials under him. It was worth employing a medical man because they had personal networks which could be utilised to go over the head of Cousins and his staff. While it is difficult to identify specific cases where official decisions were reversed because of external pressure, Cousins complained regularly in his diary that Jews contacted his minister to exert such pressure.</w:t>
      </w:r>
      <w:r w:rsidR="00047CA9" w:rsidRPr="007A72DB">
        <w:rPr>
          <w:rFonts w:ascii="Microsoft New Tai Lue" w:hAnsi="Microsoft New Tai Lue" w:cs="Microsoft New Tai Lue"/>
          <w:vertAlign w:val="superscript"/>
        </w:rPr>
        <w:endnoteReference w:id="52"/>
      </w:r>
      <w:r w:rsidR="00047CA9" w:rsidRPr="007A72DB">
        <w:rPr>
          <w:rFonts w:ascii="Microsoft New Tai Lue" w:hAnsi="Microsoft New Tai Lue" w:cs="Microsoft New Tai Lue"/>
        </w:rPr>
        <w:t xml:space="preserve"> </w:t>
      </w:r>
      <w:r w:rsidRPr="007A72DB">
        <w:rPr>
          <w:rFonts w:ascii="Microsoft New Tai Lue" w:hAnsi="Microsoft New Tai Lue" w:cs="Microsoft New Tai Lue"/>
        </w:rPr>
        <w:t>The South African Board of Jewish Refugees claimed to engineer such changes of mind on multiple occasions.</w:t>
      </w:r>
      <w:r w:rsidR="00047CA9" w:rsidRPr="007A72DB">
        <w:rPr>
          <w:rFonts w:ascii="Microsoft New Tai Lue" w:hAnsi="Microsoft New Tai Lue" w:cs="Microsoft New Tai Lue"/>
          <w:vertAlign w:val="superscript"/>
        </w:rPr>
        <w:endnoteReference w:id="53"/>
      </w:r>
      <w:r w:rsidR="00047CA9" w:rsidRPr="007A72DB">
        <w:rPr>
          <w:rFonts w:ascii="Microsoft New Tai Lue" w:hAnsi="Microsoft New Tai Lue" w:cs="Microsoft New Tai Lue"/>
        </w:rPr>
        <w:t xml:space="preserve"> </w:t>
      </w:r>
      <w:r w:rsidRPr="007A72DB">
        <w:rPr>
          <w:rFonts w:ascii="Microsoft New Tai Lue" w:hAnsi="Microsoft New Tai Lue" w:cs="Microsoft New Tai Lue"/>
        </w:rPr>
        <w:t>By the time of Union, the Board worked closely together with authorities to protect and police the Jewish community.</w:t>
      </w:r>
      <w:r w:rsidR="00047CA9" w:rsidRPr="007A72DB">
        <w:rPr>
          <w:rFonts w:ascii="Microsoft New Tai Lue" w:hAnsi="Microsoft New Tai Lue" w:cs="Microsoft New Tai Lue"/>
          <w:vertAlign w:val="superscript"/>
        </w:rPr>
        <w:endnoteReference w:id="54"/>
      </w:r>
      <w:r w:rsidR="00047CA9" w:rsidRPr="007A72DB">
        <w:rPr>
          <w:rFonts w:ascii="Microsoft New Tai Lue" w:hAnsi="Microsoft New Tai Lue" w:cs="Microsoft New Tai Lue"/>
        </w:rPr>
        <w:t xml:space="preserve"> </w:t>
      </w:r>
      <w:r w:rsidRPr="007A72DB">
        <w:rPr>
          <w:rFonts w:ascii="Microsoft New Tai Lue" w:hAnsi="Microsoft New Tai Lue" w:cs="Microsoft New Tai Lue"/>
        </w:rPr>
        <w:t>This cooperation reflected the fact that both Indian and Jewish populations accepted that it was ‘undesirable’ to have unregulated migration and took on elements of self-policing as a way to protect existing residents from racism.</w:t>
      </w:r>
      <w:r w:rsidR="00047CA9" w:rsidRPr="007A72DB">
        <w:rPr>
          <w:rFonts w:ascii="Microsoft New Tai Lue" w:hAnsi="Microsoft New Tai Lue" w:cs="Microsoft New Tai Lue"/>
          <w:vertAlign w:val="superscript"/>
        </w:rPr>
        <w:endnoteReference w:id="55"/>
      </w:r>
      <w:r w:rsidR="00047CA9" w:rsidRPr="007A72DB">
        <w:rPr>
          <w:rFonts w:ascii="Microsoft New Tai Lue" w:hAnsi="Microsoft New Tai Lue" w:cs="Microsoft New Tai Lue"/>
        </w:rPr>
        <w:t xml:space="preserve"> </w:t>
      </w:r>
      <w:r w:rsidRPr="007A72DB">
        <w:rPr>
          <w:rFonts w:ascii="Microsoft New Tai Lue" w:hAnsi="Microsoft New Tai Lue" w:cs="Microsoft New Tai Lue"/>
        </w:rPr>
        <w:t xml:space="preserve">The Board did this in a far more semi-official capacity than Indians did, possibly reflecting their greater integration within the wider white </w:t>
      </w:r>
      <w:r w:rsidRPr="007A72DB">
        <w:rPr>
          <w:rFonts w:ascii="Microsoft New Tai Lue" w:hAnsi="Microsoft New Tai Lue" w:cs="Microsoft New Tai Lue"/>
        </w:rPr>
        <w:lastRenderedPageBreak/>
        <w:t xml:space="preserve">settler society (however much people like Cousins wished to exclude them from the category of white). According to Alexander’s memoir, this close relationship went back to 1904, </w:t>
      </w:r>
      <w:r w:rsidR="00157F7C" w:rsidRPr="007A72DB">
        <w:rPr>
          <w:rFonts w:ascii="Microsoft New Tai Lue" w:hAnsi="Microsoft New Tai Lue" w:cs="Microsoft New Tai Lue"/>
        </w:rPr>
        <w:t>(</w:t>
      </w:r>
      <w:r w:rsidRPr="007A72DB">
        <w:rPr>
          <w:rFonts w:ascii="Microsoft New Tai Lue" w:hAnsi="Microsoft New Tai Lue" w:cs="Microsoft New Tai Lue"/>
        </w:rPr>
        <w:t>before Cousins was even hired</w:t>
      </w:r>
      <w:r w:rsidR="00157F7C" w:rsidRPr="007A72DB">
        <w:rPr>
          <w:rFonts w:ascii="Microsoft New Tai Lue" w:hAnsi="Microsoft New Tai Lue" w:cs="Microsoft New Tai Lue"/>
        </w:rPr>
        <w:t>)</w:t>
      </w:r>
      <w:r w:rsidRPr="007A72DB">
        <w:rPr>
          <w:rFonts w:ascii="Microsoft New Tai Lue" w:hAnsi="Microsoft New Tai Lue" w:cs="Microsoft New Tai Lue"/>
        </w:rPr>
        <w:t>, at the behest of the Colonial Secretary, Colonel Crewe. It is worth noting that when the Board was launched in the same year, their guest speaker was Alfred Milner, the Governor.</w:t>
      </w:r>
      <w:r w:rsidR="00047CA9" w:rsidRPr="007A72DB">
        <w:rPr>
          <w:rFonts w:ascii="Microsoft New Tai Lue" w:hAnsi="Microsoft New Tai Lue" w:cs="Microsoft New Tai Lue"/>
          <w:vertAlign w:val="superscript"/>
        </w:rPr>
        <w:endnoteReference w:id="56"/>
      </w:r>
      <w:r w:rsidR="00047CA9" w:rsidRPr="007A72DB">
        <w:rPr>
          <w:rFonts w:ascii="Microsoft New Tai Lue" w:hAnsi="Microsoft New Tai Lue" w:cs="Microsoft New Tai Lue"/>
        </w:rPr>
        <w:t xml:space="preserve"> </w:t>
      </w:r>
      <w:r w:rsidRPr="007A72DB">
        <w:rPr>
          <w:rFonts w:ascii="Microsoft New Tai Lue" w:hAnsi="Microsoft New Tai Lue" w:cs="Microsoft New Tai Lue"/>
        </w:rPr>
        <w:t>Those connections meant they could go over Cousin’s head concerning admission at the ports, and once they had entered the colony, the Board had a virtual monopoly on deciding which Jews to support through the naturalisation process.</w:t>
      </w:r>
      <w:r w:rsidR="00047CA9" w:rsidRPr="007A72DB">
        <w:rPr>
          <w:rFonts w:ascii="Microsoft New Tai Lue" w:hAnsi="Microsoft New Tai Lue" w:cs="Microsoft New Tai Lue"/>
          <w:vertAlign w:val="superscript"/>
        </w:rPr>
        <w:endnoteReference w:id="57"/>
      </w:r>
      <w:r w:rsidR="00047CA9" w:rsidRPr="007A72DB">
        <w:rPr>
          <w:rFonts w:ascii="Microsoft New Tai Lue" w:hAnsi="Microsoft New Tai Lue" w:cs="Microsoft New Tai Lue"/>
        </w:rPr>
        <w:t xml:space="preserve"> </w:t>
      </w:r>
    </w:p>
    <w:p w14:paraId="00000059" w14:textId="77777777" w:rsidR="00794743" w:rsidRPr="007A72DB" w:rsidRDefault="00794743" w:rsidP="007A72DB">
      <w:pPr>
        <w:spacing w:after="120" w:line="360" w:lineRule="auto"/>
        <w:jc w:val="both"/>
        <w:rPr>
          <w:rFonts w:ascii="Microsoft New Tai Lue" w:hAnsi="Microsoft New Tai Lue" w:cs="Microsoft New Tai Lue"/>
        </w:rPr>
      </w:pPr>
    </w:p>
    <w:p w14:paraId="0000005A" w14:textId="7F4AF292" w:rsidR="00794743" w:rsidRPr="007A72DB" w:rsidRDefault="006E0B52" w:rsidP="007A72DB">
      <w:pPr>
        <w:spacing w:after="120" w:line="360" w:lineRule="auto"/>
        <w:jc w:val="both"/>
        <w:rPr>
          <w:rFonts w:ascii="Microsoft New Tai Lue" w:hAnsi="Microsoft New Tai Lue" w:cs="Microsoft New Tai Lue"/>
        </w:rPr>
      </w:pPr>
      <w:r w:rsidRPr="007A72DB">
        <w:rPr>
          <w:rFonts w:ascii="Microsoft New Tai Lue" w:hAnsi="Microsoft New Tai Lue" w:cs="Microsoft New Tai Lue"/>
        </w:rPr>
        <w:t>So, here we have a legal system deliberately designed to be vague, allowing frontier guards (official and semi-official) to discriminate with regards to naturalisation and migration policy. Cousins hated Jews and sought to exclude them, but the Board proved largely effective in circumnavigating his power by forming semi-official partnerships with more senior government figures. It is also worth noting that Alexander, when fighting for the rights of Indians, Chinese, and Africans, proved far less effective, earning his label as the champion of lost causes.</w:t>
      </w:r>
      <w:r w:rsidR="00157F7C" w:rsidRPr="007A72DB">
        <w:rPr>
          <w:rFonts w:ascii="Microsoft New Tai Lue" w:hAnsi="Microsoft New Tai Lue" w:cs="Microsoft New Tai Lue"/>
        </w:rPr>
        <w:t xml:space="preserve"> The Board was able to wield such political power primarily because, as middle class men, they shared many of the same social and economic links, and ‘shared interests and values, including empire loyalism and racial prejudice’ with other powerful members of settler society, a social position which excluded other groups championed by Alexander.</w:t>
      </w:r>
      <w:r w:rsidR="00157F7C" w:rsidRPr="007A72DB">
        <w:rPr>
          <w:rFonts w:ascii="Microsoft New Tai Lue" w:hAnsi="Microsoft New Tai Lue" w:cs="Microsoft New Tai Lue"/>
          <w:vertAlign w:val="superscript"/>
        </w:rPr>
        <w:endnoteReference w:id="58"/>
      </w:r>
    </w:p>
    <w:p w14:paraId="0000005B" w14:textId="77777777" w:rsidR="00794743" w:rsidRPr="007A72DB" w:rsidRDefault="00794743" w:rsidP="007A72DB">
      <w:pPr>
        <w:spacing w:after="120" w:line="360" w:lineRule="auto"/>
        <w:jc w:val="both"/>
        <w:rPr>
          <w:rFonts w:ascii="Microsoft New Tai Lue" w:hAnsi="Microsoft New Tai Lue" w:cs="Microsoft New Tai Lue"/>
        </w:rPr>
      </w:pPr>
    </w:p>
    <w:p w14:paraId="0000005C" w14:textId="02184607" w:rsidR="00794743" w:rsidRPr="007A72DB" w:rsidRDefault="006E0B52" w:rsidP="007A72DB">
      <w:pPr>
        <w:spacing w:after="120" w:line="360" w:lineRule="auto"/>
        <w:jc w:val="both"/>
        <w:rPr>
          <w:rFonts w:ascii="Microsoft New Tai Lue" w:hAnsi="Microsoft New Tai Lue" w:cs="Microsoft New Tai Lue"/>
        </w:rPr>
      </w:pPr>
      <w:r w:rsidRPr="007A72DB">
        <w:rPr>
          <w:rFonts w:ascii="Microsoft New Tai Lue" w:hAnsi="Microsoft New Tai Lue" w:cs="Microsoft New Tai Lue"/>
        </w:rPr>
        <w:t>While explicit references to Britishness were rare, the question of belonging and nationhood were implicit throughout</w:t>
      </w:r>
      <w:r w:rsidR="001D053A">
        <w:rPr>
          <w:rFonts w:ascii="Microsoft New Tai Lue" w:hAnsi="Microsoft New Tai Lue" w:cs="Microsoft New Tai Lue"/>
        </w:rPr>
        <w:t xml:space="preserve"> Cousins’ and Alexander’s work</w:t>
      </w:r>
      <w:r w:rsidRPr="007A72DB">
        <w:rPr>
          <w:rFonts w:ascii="Microsoft New Tai Lue" w:hAnsi="Microsoft New Tai Lue" w:cs="Microsoft New Tai Lue"/>
        </w:rPr>
        <w:t xml:space="preserve">. </w:t>
      </w:r>
      <w:r w:rsidR="0062219D">
        <w:rPr>
          <w:rFonts w:ascii="Microsoft New Tai Lue" w:hAnsi="Microsoft New Tai Lue" w:cs="Microsoft New Tai Lue"/>
        </w:rPr>
        <w:t>Indians, Chinese, and Jews</w:t>
      </w:r>
      <w:r w:rsidRPr="007A72DB">
        <w:rPr>
          <w:rFonts w:ascii="Microsoft New Tai Lue" w:hAnsi="Microsoft New Tai Lue" w:cs="Microsoft New Tai Lue"/>
        </w:rPr>
        <w:t xml:space="preserve">, from Cousins’ perspective, were eternally sojourners and eternally dishonest, while English women needed rescuing by an English man. On the other hand, Alexander clearly believed strongly in ‘British ideals’, constantly referring to them in his various fights for the rights of British subjects in South Africa. Despite being a lawyer, he constantly appealed to inclusive, largely mythic, cultural ideas of the rights and </w:t>
      </w:r>
      <w:r w:rsidRPr="007A72DB">
        <w:rPr>
          <w:rFonts w:ascii="Microsoft New Tai Lue" w:hAnsi="Microsoft New Tai Lue" w:cs="Microsoft New Tai Lue"/>
        </w:rPr>
        <w:lastRenderedPageBreak/>
        <w:t>duties of British citizenship. His memoir</w:t>
      </w:r>
      <w:r w:rsidR="005A508E" w:rsidRPr="007A72DB">
        <w:rPr>
          <w:rFonts w:ascii="Microsoft New Tai Lue" w:hAnsi="Microsoft New Tai Lue" w:cs="Microsoft New Tai Lue"/>
        </w:rPr>
        <w:t>, completed and published by his wife after his death,</w:t>
      </w:r>
      <w:r w:rsidRPr="007A72DB">
        <w:rPr>
          <w:rFonts w:ascii="Microsoft New Tai Lue" w:hAnsi="Microsoft New Tai Lue" w:cs="Microsoft New Tai Lue"/>
        </w:rPr>
        <w:t xml:space="preserve"> explained that he saw naturalisation as a particularly important part of this process</w:t>
      </w:r>
      <w:r w:rsidR="005A508E" w:rsidRPr="007A72DB">
        <w:rPr>
          <w:rFonts w:ascii="Microsoft New Tai Lue" w:hAnsi="Microsoft New Tai Lue" w:cs="Microsoft New Tai Lue"/>
        </w:rPr>
        <w:t>. He</w:t>
      </w:r>
    </w:p>
    <w:p w14:paraId="0000005D" w14:textId="12CFF2AE" w:rsidR="00047CA9" w:rsidRPr="007A72DB" w:rsidRDefault="006E0B52" w:rsidP="007A72DB">
      <w:pPr>
        <w:spacing w:after="120" w:line="360" w:lineRule="auto"/>
        <w:ind w:left="720"/>
        <w:rPr>
          <w:rFonts w:ascii="Microsoft New Tai Lue" w:hAnsi="Microsoft New Tai Lue" w:cs="Microsoft New Tai Lue"/>
        </w:rPr>
      </w:pPr>
      <w:r w:rsidRPr="007A72DB">
        <w:rPr>
          <w:rFonts w:ascii="Microsoft New Tai Lue" w:hAnsi="Microsoft New Tai Lue" w:cs="Microsoft New Tai Lue"/>
        </w:rPr>
        <w:t>'held the conviction… that it was the duty of everyone eligible for naturalization to become naturalized and to accept the responsibilities of citizenship. He believed that naturalization was a vital step towards identification with the immigrant's new country, and that it brought with it a new dignity and status, as well as a feeling of security.'</w:t>
      </w:r>
      <w:r w:rsidR="00047CA9" w:rsidRPr="007A72DB">
        <w:rPr>
          <w:rFonts w:ascii="Microsoft New Tai Lue" w:hAnsi="Microsoft New Tai Lue" w:cs="Microsoft New Tai Lue"/>
          <w:vertAlign w:val="superscript"/>
        </w:rPr>
        <w:endnoteReference w:id="59"/>
      </w:r>
    </w:p>
    <w:p w14:paraId="0000005E" w14:textId="77777777" w:rsidR="00794743" w:rsidRPr="007A72DB" w:rsidRDefault="00794743" w:rsidP="007A72DB">
      <w:pPr>
        <w:spacing w:after="120" w:line="360" w:lineRule="auto"/>
        <w:ind w:left="720"/>
        <w:rPr>
          <w:rFonts w:ascii="Microsoft New Tai Lue" w:hAnsi="Microsoft New Tai Lue" w:cs="Microsoft New Tai Lue"/>
        </w:rPr>
      </w:pPr>
    </w:p>
    <w:p w14:paraId="0000005F" w14:textId="7A16827F" w:rsidR="00794743" w:rsidRPr="007A72DB" w:rsidRDefault="006E0B52" w:rsidP="007A72DB">
      <w:pPr>
        <w:spacing w:before="300" w:after="120" w:line="360" w:lineRule="auto"/>
        <w:jc w:val="both"/>
        <w:rPr>
          <w:rFonts w:ascii="Microsoft New Tai Lue" w:hAnsi="Microsoft New Tai Lue" w:cs="Microsoft New Tai Lue"/>
        </w:rPr>
      </w:pPr>
      <w:r w:rsidRPr="007A72DB">
        <w:rPr>
          <w:rFonts w:ascii="Microsoft New Tai Lue" w:hAnsi="Microsoft New Tai Lue" w:cs="Microsoft New Tai Lue"/>
        </w:rPr>
        <w:t>Such imaginings of naturalisation had little to do with the specific laws in place, nothing to do with subjecthood to a Crown, or loyalty to Britain or South Africa. Yet these demonstrate competing ideas of group identity, civic responsibility, and race, all bound by the imagined rights and duties of citizenship.</w:t>
      </w:r>
      <w:r w:rsidR="005A508E" w:rsidRPr="007A72DB">
        <w:rPr>
          <w:rFonts w:ascii="Microsoft New Tai Lue" w:hAnsi="Microsoft New Tai Lue" w:cs="Microsoft New Tai Lue"/>
        </w:rPr>
        <w:t xml:space="preserve"> And vague legislation ensured that imagined rights and belongings could prove significant</w:t>
      </w:r>
      <w:r w:rsidR="001D053A">
        <w:rPr>
          <w:rFonts w:ascii="Microsoft New Tai Lue" w:hAnsi="Microsoft New Tai Lue" w:cs="Microsoft New Tai Lue"/>
        </w:rPr>
        <w:t xml:space="preserve"> in shaping what actually happened in practice, who was included and who excluded.</w:t>
      </w:r>
    </w:p>
    <w:p w14:paraId="00000060" w14:textId="2B0F1DE8" w:rsidR="00794743" w:rsidRPr="009E0E7D" w:rsidRDefault="004D50F1" w:rsidP="007A72DB">
      <w:pPr>
        <w:pStyle w:val="Heading2"/>
        <w:spacing w:line="360" w:lineRule="auto"/>
        <w:jc w:val="center"/>
        <w:rPr>
          <w:rFonts w:ascii="Microsoft New Tai Lue" w:hAnsi="Microsoft New Tai Lue" w:cs="Microsoft New Tai Lue"/>
          <w:b/>
          <w:bCs/>
          <w:sz w:val="24"/>
          <w:szCs w:val="24"/>
        </w:rPr>
      </w:pPr>
      <w:bookmarkStart w:id="1" w:name="_4sji08ovlbcp" w:colFirst="0" w:colLast="0"/>
      <w:bookmarkEnd w:id="1"/>
      <w:r w:rsidRPr="009E0E7D">
        <w:rPr>
          <w:rFonts w:ascii="Microsoft New Tai Lue" w:hAnsi="Microsoft New Tai Lue" w:cs="Microsoft New Tai Lue"/>
          <w:b/>
          <w:bCs/>
          <w:sz w:val="24"/>
          <w:szCs w:val="24"/>
        </w:rPr>
        <w:t>I</w:t>
      </w:r>
      <w:r w:rsidR="001D053A">
        <w:rPr>
          <w:rFonts w:ascii="Microsoft New Tai Lue" w:hAnsi="Microsoft New Tai Lue" w:cs="Microsoft New Tai Lue"/>
          <w:b/>
          <w:bCs/>
          <w:sz w:val="24"/>
          <w:szCs w:val="24"/>
        </w:rPr>
        <w:t>I</w:t>
      </w:r>
    </w:p>
    <w:p w14:paraId="00000061" w14:textId="62185538" w:rsidR="00794743" w:rsidRPr="007A72DB" w:rsidRDefault="006E0B52" w:rsidP="007A72DB">
      <w:pPr>
        <w:spacing w:line="360" w:lineRule="auto"/>
        <w:rPr>
          <w:rFonts w:ascii="Microsoft New Tai Lue" w:hAnsi="Microsoft New Tai Lue" w:cs="Microsoft New Tai Lue"/>
        </w:rPr>
      </w:pPr>
      <w:r w:rsidRPr="007A72DB">
        <w:rPr>
          <w:rFonts w:ascii="Microsoft New Tai Lue" w:hAnsi="Microsoft New Tai Lue" w:cs="Microsoft New Tai Lue"/>
          <w:color w:val="222222"/>
          <w:highlight w:val="white"/>
        </w:rPr>
        <w:t>I do not plan to now offer a direct comparison with Australia. Rather, I want to show how similar laws were implemented in Australia</w:t>
      </w:r>
      <w:r w:rsidR="00A44068">
        <w:rPr>
          <w:rFonts w:ascii="Microsoft New Tai Lue" w:hAnsi="Microsoft New Tai Lue" w:cs="Microsoft New Tai Lue"/>
          <w:color w:val="222222"/>
          <w:highlight w:val="white"/>
        </w:rPr>
        <w:t xml:space="preserve">. </w:t>
      </w:r>
      <w:proofErr w:type="gramStart"/>
      <w:r w:rsidR="00A44068">
        <w:rPr>
          <w:rFonts w:ascii="Microsoft New Tai Lue" w:hAnsi="Microsoft New Tai Lue" w:cs="Microsoft New Tai Lue"/>
          <w:color w:val="222222"/>
          <w:highlight w:val="white"/>
        </w:rPr>
        <w:t>S</w:t>
      </w:r>
      <w:r w:rsidRPr="007A72DB">
        <w:rPr>
          <w:rFonts w:ascii="Microsoft New Tai Lue" w:hAnsi="Microsoft New Tai Lue" w:cs="Microsoft New Tai Lue"/>
          <w:color w:val="222222"/>
          <w:highlight w:val="white"/>
        </w:rPr>
        <w:t>pecifically</w:t>
      </w:r>
      <w:proofErr w:type="gramEnd"/>
      <w:r w:rsidRPr="007A72DB">
        <w:rPr>
          <w:rFonts w:ascii="Microsoft New Tai Lue" w:hAnsi="Microsoft New Tai Lue" w:cs="Microsoft New Tai Lue"/>
          <w:color w:val="222222"/>
          <w:highlight w:val="white"/>
        </w:rPr>
        <w:t xml:space="preserve"> I want to show how a very different personality running Australia’s system sought to develop a more legalistic and consistent approach (perhaps more like in the US), but ultimately he oversaw a system riddled with inconsistencies because of the legal and constitutional situation within the empire. </w:t>
      </w:r>
      <w:r w:rsidR="00A44068">
        <w:rPr>
          <w:rFonts w:ascii="Microsoft New Tai Lue" w:hAnsi="Microsoft New Tai Lue" w:cs="Microsoft New Tai Lue"/>
          <w:color w:val="222222"/>
        </w:rPr>
        <w:t xml:space="preserve">In short, in South Africa the vagueness was embraced, while Australian bureaucrats tried to pretend the laws were clear, fair, and consistent (even when privately acknowledging that they were not). </w:t>
      </w:r>
    </w:p>
    <w:p w14:paraId="00000062" w14:textId="77777777" w:rsidR="00794743" w:rsidRPr="007A72DB" w:rsidRDefault="00794743" w:rsidP="007A72DB">
      <w:pPr>
        <w:spacing w:line="360" w:lineRule="auto"/>
        <w:rPr>
          <w:rFonts w:ascii="Microsoft New Tai Lue" w:hAnsi="Microsoft New Tai Lue" w:cs="Microsoft New Tai Lue"/>
        </w:rPr>
      </w:pPr>
    </w:p>
    <w:p w14:paraId="00000063" w14:textId="612FC9AE" w:rsidR="00794743" w:rsidRPr="007A72DB" w:rsidRDefault="006E0B52" w:rsidP="007A72DB">
      <w:pPr>
        <w:spacing w:line="360" w:lineRule="auto"/>
        <w:rPr>
          <w:rFonts w:ascii="Microsoft New Tai Lue" w:hAnsi="Microsoft New Tai Lue" w:cs="Microsoft New Tai Lue"/>
          <w:color w:val="222222"/>
          <w:highlight w:val="white"/>
        </w:rPr>
      </w:pPr>
      <w:proofErr w:type="spellStart"/>
      <w:r w:rsidRPr="007A72DB">
        <w:rPr>
          <w:rFonts w:ascii="Microsoft New Tai Lue" w:hAnsi="Microsoft New Tai Lue" w:cs="Microsoft New Tai Lue"/>
        </w:rPr>
        <w:t>T</w:t>
      </w:r>
      <w:proofErr w:type="spellEnd"/>
      <w:r w:rsidRPr="007A72DB">
        <w:rPr>
          <w:rFonts w:ascii="Microsoft New Tai Lue" w:hAnsi="Microsoft New Tai Lue" w:cs="Microsoft New Tai Lue"/>
        </w:rPr>
        <w:t xml:space="preserve">he head of migration control from Federation in 1901 until 1916 was </w:t>
      </w:r>
      <w:r w:rsidRPr="007A72DB">
        <w:rPr>
          <w:rFonts w:ascii="Microsoft New Tai Lue" w:hAnsi="Microsoft New Tai Lue" w:cs="Microsoft New Tai Lue"/>
          <w:color w:val="222222"/>
          <w:highlight w:val="white"/>
        </w:rPr>
        <w:t xml:space="preserve">Atlee Hunt, an Australian-born and educated lawyer. While policing the border was Cousin’s whole </w:t>
      </w:r>
      <w:r w:rsidRPr="007A72DB">
        <w:rPr>
          <w:rFonts w:ascii="Microsoft New Tai Lue" w:hAnsi="Microsoft New Tai Lue" w:cs="Microsoft New Tai Lue"/>
          <w:color w:val="222222"/>
          <w:highlight w:val="white"/>
        </w:rPr>
        <w:lastRenderedPageBreak/>
        <w:t>life, for Hunt, overseeing migration and naturalisation matters was a small part of his job</w:t>
      </w:r>
      <w:r w:rsidR="00305257">
        <w:rPr>
          <w:rFonts w:ascii="Microsoft New Tai Lue" w:hAnsi="Microsoft New Tai Lue" w:cs="Microsoft New Tai Lue"/>
          <w:color w:val="222222"/>
          <w:highlight w:val="white"/>
        </w:rPr>
        <w:t>. As head of the Department of External Affairs (DEA), his job</w:t>
      </w:r>
      <w:r w:rsidRPr="007A72DB">
        <w:rPr>
          <w:rFonts w:ascii="Microsoft New Tai Lue" w:hAnsi="Microsoft New Tai Lue" w:cs="Microsoft New Tai Lue"/>
          <w:color w:val="222222"/>
          <w:highlight w:val="white"/>
        </w:rPr>
        <w:t xml:space="preserve"> included all broadly imperial or foreign policy matters</w:t>
      </w:r>
      <w:r w:rsidR="00FF77CB" w:rsidRPr="007A72DB">
        <w:rPr>
          <w:rFonts w:ascii="Microsoft New Tai Lue" w:hAnsi="Microsoft New Tai Lue" w:cs="Microsoft New Tai Lue"/>
          <w:color w:val="222222"/>
        </w:rPr>
        <w:t xml:space="preserve"> for the federal government</w:t>
      </w:r>
      <w:r w:rsidRPr="007A72DB">
        <w:rPr>
          <w:rFonts w:ascii="Microsoft New Tai Lue" w:hAnsi="Microsoft New Tai Lue" w:cs="Microsoft New Tai Lue"/>
        </w:rPr>
        <w:t>.</w:t>
      </w:r>
      <w:r w:rsidR="00047CA9" w:rsidRPr="007A72DB">
        <w:rPr>
          <w:rFonts w:ascii="Microsoft New Tai Lue" w:hAnsi="Microsoft New Tai Lue" w:cs="Microsoft New Tai Lue"/>
          <w:vertAlign w:val="superscript"/>
        </w:rPr>
        <w:endnoteReference w:id="60"/>
      </w:r>
      <w:r w:rsidR="00047CA9" w:rsidRPr="007A72DB">
        <w:rPr>
          <w:rFonts w:ascii="Microsoft New Tai Lue" w:hAnsi="Microsoft New Tai Lue" w:cs="Microsoft New Tai Lue"/>
        </w:rPr>
        <w:t xml:space="preserve"> </w:t>
      </w:r>
      <w:r w:rsidRPr="007A72DB">
        <w:rPr>
          <w:rFonts w:ascii="Microsoft New Tai Lue" w:hAnsi="Microsoft New Tai Lue" w:cs="Microsoft New Tai Lue"/>
        </w:rPr>
        <w:t xml:space="preserve"> He took a less personal interest  (perhaps he was simply more secure in his place within Australian society) and seems to have adopted a much more conservative attitude towards using his powers. When confronted with a specific question about when to administer the language test to white passengers, for instance, he encouraged far less personal discrimination than Cousins had done: the test, he said, should only be applied if there was ‘some specific reason… known to [the] officer why that course should be adopted’ and made little effort to single out Jews or other groups (although he did tell border officials to always be suspicious of Chinese people’s paperwork).</w:t>
      </w:r>
      <w:r w:rsidR="00047CA9" w:rsidRPr="007A72DB">
        <w:rPr>
          <w:rFonts w:ascii="Microsoft New Tai Lue" w:hAnsi="Microsoft New Tai Lue" w:cs="Microsoft New Tai Lue"/>
          <w:vertAlign w:val="superscript"/>
        </w:rPr>
        <w:endnoteReference w:id="61"/>
      </w:r>
      <w:r w:rsidR="00047CA9" w:rsidRPr="007A72DB">
        <w:rPr>
          <w:rFonts w:ascii="Microsoft New Tai Lue" w:hAnsi="Microsoft New Tai Lue" w:cs="Microsoft New Tai Lue"/>
        </w:rPr>
        <w:t xml:space="preserve"> </w:t>
      </w:r>
      <w:r w:rsidRPr="007A72DB">
        <w:rPr>
          <w:rFonts w:ascii="Microsoft New Tai Lue" w:hAnsi="Microsoft New Tai Lue" w:cs="Microsoft New Tai Lue"/>
        </w:rPr>
        <w:t xml:space="preserve">On another occasion, </w:t>
      </w:r>
      <w:r w:rsidRPr="007A72DB">
        <w:rPr>
          <w:rFonts w:ascii="Microsoft New Tai Lue" w:hAnsi="Microsoft New Tai Lue" w:cs="Microsoft New Tai Lue"/>
          <w:color w:val="222222"/>
          <w:highlight w:val="white"/>
        </w:rPr>
        <w:t>he expressed a liking for Japanese officials in Australia, but still refused to interfere in granting their wives visas, as he could have done. He explained:</w:t>
      </w:r>
    </w:p>
    <w:p w14:paraId="00000064" w14:textId="0D3775E2" w:rsidR="00047CA9" w:rsidRPr="007A72DB" w:rsidRDefault="006E0B52" w:rsidP="007A72DB">
      <w:pPr>
        <w:shd w:val="clear" w:color="auto" w:fill="FFFFFF"/>
        <w:spacing w:after="160" w:line="360" w:lineRule="auto"/>
        <w:ind w:left="720"/>
        <w:rPr>
          <w:rFonts w:ascii="Microsoft New Tai Lue" w:hAnsi="Microsoft New Tai Lue" w:cs="Microsoft New Tai Lue"/>
          <w:color w:val="222222"/>
          <w:highlight w:val="white"/>
        </w:rPr>
      </w:pPr>
      <w:r w:rsidRPr="007A72DB">
        <w:rPr>
          <w:rFonts w:ascii="Microsoft New Tai Lue" w:hAnsi="Microsoft New Tai Lue" w:cs="Microsoft New Tai Lue"/>
          <w:color w:val="333333"/>
        </w:rPr>
        <w:t>‘I do not intend to discuss whether or not we ought to wish to have these people here or not. My own view is that the law is a necessity of our very existence, but whether or not I concur in it is beside the question. The fact remains that the object of the law is to exclude certain classes of people from Australia, and eventually, by refusing to admit any more, to entirely free Australia from them.’</w:t>
      </w:r>
      <w:r w:rsidR="00047CA9" w:rsidRPr="007A72DB">
        <w:rPr>
          <w:rFonts w:ascii="Microsoft New Tai Lue" w:hAnsi="Microsoft New Tai Lue" w:cs="Microsoft New Tai Lue"/>
          <w:color w:val="333333"/>
          <w:vertAlign w:val="superscript"/>
        </w:rPr>
        <w:endnoteReference w:id="62"/>
      </w:r>
    </w:p>
    <w:p w14:paraId="00000065" w14:textId="77777777" w:rsidR="00794743" w:rsidRPr="007A72DB" w:rsidRDefault="00794743" w:rsidP="007A72DB">
      <w:pPr>
        <w:spacing w:line="360" w:lineRule="auto"/>
        <w:rPr>
          <w:rFonts w:ascii="Microsoft New Tai Lue" w:hAnsi="Microsoft New Tai Lue" w:cs="Microsoft New Tai Lue"/>
          <w:color w:val="222222"/>
          <w:highlight w:val="white"/>
        </w:rPr>
      </w:pPr>
    </w:p>
    <w:p w14:paraId="00000066" w14:textId="44A7D597" w:rsidR="00794743" w:rsidRPr="007A72DB" w:rsidRDefault="006E0B52" w:rsidP="007A72DB">
      <w:pPr>
        <w:spacing w:line="360" w:lineRule="auto"/>
        <w:rPr>
          <w:rFonts w:ascii="Microsoft New Tai Lue" w:hAnsi="Microsoft New Tai Lue" w:cs="Microsoft New Tai Lue"/>
          <w:color w:val="222222"/>
          <w:highlight w:val="white"/>
        </w:rPr>
      </w:pPr>
      <w:r w:rsidRPr="007A72DB">
        <w:rPr>
          <w:rFonts w:ascii="Microsoft New Tai Lue" w:hAnsi="Microsoft New Tai Lue" w:cs="Microsoft New Tai Lue"/>
          <w:color w:val="222222"/>
          <w:highlight w:val="white"/>
        </w:rPr>
        <w:t xml:space="preserve">Elsewhere, when discussing the thorny matter of German naturalisation during the First World War, he described his oversight of naturalisation to </w:t>
      </w:r>
      <w:r w:rsidRPr="007A72DB">
        <w:rPr>
          <w:rFonts w:ascii="Microsoft New Tai Lue" w:hAnsi="Microsoft New Tai Lue" w:cs="Microsoft New Tai Lue"/>
          <w:color w:val="262626"/>
          <w:highlight w:val="white"/>
        </w:rPr>
        <w:t>include ‘a general obligation to see that the terms of the law are faithfully carried out’, so did not think it would be fair to deprive already-naturalised Germans of that status.</w:t>
      </w:r>
      <w:r w:rsidR="00047CA9" w:rsidRPr="007A72DB">
        <w:rPr>
          <w:rFonts w:ascii="Microsoft New Tai Lue" w:hAnsi="Microsoft New Tai Lue" w:cs="Microsoft New Tai Lue"/>
          <w:color w:val="262626"/>
          <w:highlight w:val="white"/>
          <w:vertAlign w:val="superscript"/>
        </w:rPr>
        <w:endnoteReference w:id="63"/>
      </w:r>
      <w:r w:rsidR="00047CA9" w:rsidRPr="007A72DB">
        <w:rPr>
          <w:rFonts w:ascii="Microsoft New Tai Lue" w:hAnsi="Microsoft New Tai Lue" w:cs="Microsoft New Tai Lue"/>
          <w:color w:val="262626"/>
          <w:highlight w:val="white"/>
        </w:rPr>
        <w:t xml:space="preserve"> </w:t>
      </w:r>
      <w:r w:rsidRPr="007A72DB">
        <w:rPr>
          <w:rFonts w:ascii="Microsoft New Tai Lue" w:hAnsi="Microsoft New Tai Lue" w:cs="Microsoft New Tai Lue"/>
          <w:color w:val="222222"/>
          <w:highlight w:val="white"/>
        </w:rPr>
        <w:t xml:space="preserve">In other words, he supported Asian exclusion and was suspicious of German-born migrants (regardless of whether they had been naturalised) but, unlike Cousins, did not think his personal views on the matter should interfere with the administration of the law. </w:t>
      </w:r>
    </w:p>
    <w:p w14:paraId="00000067" w14:textId="77777777" w:rsidR="00794743" w:rsidRPr="007A72DB" w:rsidRDefault="00794743" w:rsidP="007A72DB">
      <w:pPr>
        <w:spacing w:line="360" w:lineRule="auto"/>
        <w:rPr>
          <w:rFonts w:ascii="Microsoft New Tai Lue" w:hAnsi="Microsoft New Tai Lue" w:cs="Microsoft New Tai Lue"/>
          <w:color w:val="222222"/>
          <w:highlight w:val="white"/>
        </w:rPr>
      </w:pPr>
    </w:p>
    <w:p w14:paraId="00000068" w14:textId="70D18457" w:rsidR="00794743" w:rsidRPr="007A72DB" w:rsidRDefault="006E0B52" w:rsidP="007A72DB">
      <w:pPr>
        <w:spacing w:line="360" w:lineRule="auto"/>
        <w:rPr>
          <w:rFonts w:ascii="Microsoft New Tai Lue" w:hAnsi="Microsoft New Tai Lue" w:cs="Microsoft New Tai Lue"/>
        </w:rPr>
      </w:pPr>
      <w:r w:rsidRPr="007A72DB">
        <w:rPr>
          <w:rFonts w:ascii="Microsoft New Tai Lue" w:hAnsi="Microsoft New Tai Lue" w:cs="Microsoft New Tai Lue"/>
          <w:color w:val="262626"/>
          <w:highlight w:val="white"/>
        </w:rPr>
        <w:lastRenderedPageBreak/>
        <w:t xml:space="preserve">This does not mean that discrimination did not occur, but that it was less systematic, lacking direction from </w:t>
      </w:r>
      <w:r w:rsidR="00F644EB">
        <w:rPr>
          <w:rFonts w:ascii="Microsoft New Tai Lue" w:hAnsi="Microsoft New Tai Lue" w:cs="Microsoft New Tai Lue"/>
          <w:color w:val="262626"/>
          <w:highlight w:val="white"/>
        </w:rPr>
        <w:t xml:space="preserve">a senior </w:t>
      </w:r>
      <w:r w:rsidRPr="007A72DB">
        <w:rPr>
          <w:rFonts w:ascii="Microsoft New Tai Lue" w:hAnsi="Microsoft New Tai Lue" w:cs="Microsoft New Tai Lue"/>
          <w:color w:val="262626"/>
          <w:highlight w:val="white"/>
        </w:rPr>
        <w:t xml:space="preserve">bureaucrat. Discrimination was especially evident when laws were vague (such as where the boundaries between Europe and Asia were). </w:t>
      </w:r>
      <w:r w:rsidR="00F644EB">
        <w:rPr>
          <w:rFonts w:ascii="Microsoft New Tai Lue" w:hAnsi="Microsoft New Tai Lue" w:cs="Microsoft New Tai Lue"/>
          <w:color w:val="262626"/>
          <w:highlight w:val="white"/>
        </w:rPr>
        <w:t>W</w:t>
      </w:r>
      <w:r w:rsidRPr="007A72DB">
        <w:rPr>
          <w:rFonts w:ascii="Microsoft New Tai Lue" w:hAnsi="Microsoft New Tai Lue" w:cs="Microsoft New Tai Lue"/>
          <w:color w:val="262626"/>
          <w:highlight w:val="white"/>
        </w:rPr>
        <w:t xml:space="preserve">omen in Australia </w:t>
      </w:r>
      <w:r w:rsidR="00FF77CB" w:rsidRPr="007A72DB">
        <w:rPr>
          <w:rFonts w:ascii="Microsoft New Tai Lue" w:hAnsi="Microsoft New Tai Lue" w:cs="Microsoft New Tai Lue"/>
          <w:color w:val="262626"/>
          <w:highlight w:val="white"/>
        </w:rPr>
        <w:t>became</w:t>
      </w:r>
      <w:r w:rsidRPr="007A72DB">
        <w:rPr>
          <w:rFonts w:ascii="Microsoft New Tai Lue" w:hAnsi="Microsoft New Tai Lue" w:cs="Microsoft New Tai Lue"/>
          <w:color w:val="262626"/>
          <w:highlight w:val="white"/>
        </w:rPr>
        <w:t xml:space="preserve"> a particular source of inconsistency, because naturalisation laws </w:t>
      </w:r>
      <w:r w:rsidRPr="007A72DB">
        <w:rPr>
          <w:rFonts w:ascii="Microsoft New Tai Lue" w:hAnsi="Microsoft New Tai Lue" w:cs="Microsoft New Tai Lue"/>
        </w:rPr>
        <w:t xml:space="preserve">and the forms used for applicants assumed applicants were male. This meant that the forms opened up a variety of problems for both women filling in the forms and bureaucrats processing them. </w:t>
      </w:r>
    </w:p>
    <w:p w14:paraId="00000069" w14:textId="77777777" w:rsidR="00794743" w:rsidRPr="007A72DB" w:rsidRDefault="00794743" w:rsidP="007A72DB">
      <w:pPr>
        <w:spacing w:line="360" w:lineRule="auto"/>
        <w:rPr>
          <w:rFonts w:ascii="Microsoft New Tai Lue" w:hAnsi="Microsoft New Tai Lue" w:cs="Microsoft New Tai Lue"/>
        </w:rPr>
      </w:pPr>
    </w:p>
    <w:p w14:paraId="0000006A" w14:textId="4E731352" w:rsidR="00794743" w:rsidRPr="007A72DB" w:rsidRDefault="006E0B52" w:rsidP="007A72DB">
      <w:pPr>
        <w:spacing w:line="360" w:lineRule="auto"/>
        <w:rPr>
          <w:rFonts w:ascii="Microsoft New Tai Lue" w:hAnsi="Microsoft New Tai Lue" w:cs="Microsoft New Tai Lue"/>
        </w:rPr>
      </w:pPr>
      <w:r w:rsidRPr="007A72DB">
        <w:rPr>
          <w:rFonts w:ascii="Microsoft New Tai Lue" w:hAnsi="Microsoft New Tai Lue" w:cs="Microsoft New Tai Lue"/>
        </w:rPr>
        <w:t xml:space="preserve">If we look at the plight of married women, the problems become </w:t>
      </w:r>
      <w:r w:rsidR="00F644EB">
        <w:rPr>
          <w:rFonts w:ascii="Microsoft New Tai Lue" w:hAnsi="Microsoft New Tai Lue" w:cs="Microsoft New Tai Lue"/>
        </w:rPr>
        <w:t>especially pronounced</w:t>
      </w:r>
      <w:r w:rsidRPr="007A72DB">
        <w:rPr>
          <w:rFonts w:ascii="Microsoft New Tai Lue" w:hAnsi="Microsoft New Tai Lue" w:cs="Microsoft New Tai Lue"/>
        </w:rPr>
        <w:t>. In most countries around the world between roughly 1850 and 1945, a woman’s nationality depended entirely on her husband’s nationality. Married women were almost universally no longer citizens in their own country if they married an alien, and usually automatically adopted the nationality of their husband.</w:t>
      </w:r>
      <w:r w:rsidR="00047CA9" w:rsidRPr="007A72DB">
        <w:rPr>
          <w:rFonts w:ascii="Microsoft New Tai Lue" w:hAnsi="Microsoft New Tai Lue" w:cs="Microsoft New Tai Lue"/>
          <w:vertAlign w:val="superscript"/>
        </w:rPr>
        <w:endnoteReference w:id="64"/>
      </w:r>
      <w:r w:rsidR="00047CA9" w:rsidRPr="007A72DB">
        <w:rPr>
          <w:rFonts w:ascii="Microsoft New Tai Lue" w:hAnsi="Microsoft New Tai Lue" w:cs="Microsoft New Tai Lue"/>
        </w:rPr>
        <w:t xml:space="preserve"> </w:t>
      </w:r>
      <w:r w:rsidRPr="007A72DB">
        <w:rPr>
          <w:rFonts w:ascii="Microsoft New Tai Lue" w:hAnsi="Microsoft New Tai Lue" w:cs="Microsoft New Tai Lue"/>
        </w:rPr>
        <w:t>For instance, a British woman marrying a Japanese man would find herself no longer British, but Japanese.</w:t>
      </w:r>
      <w:r w:rsidR="00047CA9" w:rsidRPr="007A72DB">
        <w:rPr>
          <w:rFonts w:ascii="Microsoft New Tai Lue" w:hAnsi="Microsoft New Tai Lue" w:cs="Microsoft New Tai Lue"/>
          <w:vertAlign w:val="superscript"/>
        </w:rPr>
        <w:endnoteReference w:id="65"/>
      </w:r>
      <w:r w:rsidR="00047CA9" w:rsidRPr="007A72DB">
        <w:rPr>
          <w:rFonts w:ascii="Microsoft New Tai Lue" w:hAnsi="Microsoft New Tai Lue" w:cs="Microsoft New Tai Lue"/>
        </w:rPr>
        <w:t xml:space="preserve"> </w:t>
      </w:r>
      <w:r w:rsidRPr="007A72DB">
        <w:rPr>
          <w:rFonts w:ascii="Microsoft New Tai Lue" w:hAnsi="Microsoft New Tai Lue" w:cs="Microsoft New Tai Lue"/>
        </w:rPr>
        <w:t xml:space="preserve">(Censuses often adopted a similar recording mechanism, so that, when ‘race’ was recorded, wives were recorded as belonging to the same race as their husband.) Married women could not apply for naturalisation at all </w:t>
      </w:r>
      <w:r w:rsidR="00F644EB">
        <w:rPr>
          <w:rFonts w:ascii="Microsoft New Tai Lue" w:hAnsi="Microsoft New Tai Lue" w:cs="Microsoft New Tai Lue"/>
        </w:rPr>
        <w:t>under</w:t>
      </w:r>
      <w:r w:rsidRPr="007A72DB">
        <w:rPr>
          <w:rFonts w:ascii="Microsoft New Tai Lue" w:hAnsi="Microsoft New Tai Lue" w:cs="Microsoft New Tai Lue"/>
        </w:rPr>
        <w:t xml:space="preserve"> British law. Both the 1870 and 1914 British Nationality Acts stated that people suffering from a ‘disability’ could not be naturalised; ‘disability’ included ‘married women, infants, lunatics, and idiots’.</w:t>
      </w:r>
      <w:r w:rsidR="00047CA9" w:rsidRPr="007A72DB">
        <w:rPr>
          <w:rFonts w:ascii="Microsoft New Tai Lue" w:hAnsi="Microsoft New Tai Lue" w:cs="Microsoft New Tai Lue"/>
          <w:vertAlign w:val="superscript"/>
        </w:rPr>
        <w:endnoteReference w:id="66"/>
      </w:r>
      <w:r w:rsidR="00047CA9" w:rsidRPr="007A72DB">
        <w:rPr>
          <w:rFonts w:ascii="Microsoft New Tai Lue" w:hAnsi="Microsoft New Tai Lue" w:cs="Microsoft New Tai Lue"/>
        </w:rPr>
        <w:t xml:space="preserve"> </w:t>
      </w:r>
      <w:r w:rsidRPr="007A72DB">
        <w:rPr>
          <w:rFonts w:ascii="Microsoft New Tai Lue" w:hAnsi="Microsoft New Tai Lue" w:cs="Microsoft New Tai Lue"/>
        </w:rPr>
        <w:t>Historians have generally assumed that this meant no married women could have applied successfully in Australia</w:t>
      </w:r>
      <w:r w:rsidR="00FF77CB" w:rsidRPr="007A72DB">
        <w:rPr>
          <w:rFonts w:ascii="Microsoft New Tai Lue" w:hAnsi="Microsoft New Tai Lue" w:cs="Microsoft New Tai Lue"/>
        </w:rPr>
        <w:t xml:space="preserve"> or anywhere else in the empire</w:t>
      </w:r>
      <w:r w:rsidRPr="007A72DB">
        <w:rPr>
          <w:rFonts w:ascii="Microsoft New Tai Lue" w:hAnsi="Microsoft New Tai Lue" w:cs="Microsoft New Tai Lue"/>
        </w:rPr>
        <w:t>.</w:t>
      </w:r>
      <w:r w:rsidR="00047CA9" w:rsidRPr="007A72DB">
        <w:rPr>
          <w:rFonts w:ascii="Microsoft New Tai Lue" w:hAnsi="Microsoft New Tai Lue" w:cs="Microsoft New Tai Lue"/>
          <w:color w:val="262626"/>
          <w:vertAlign w:val="superscript"/>
        </w:rPr>
        <w:endnoteReference w:id="67"/>
      </w:r>
      <w:r w:rsidR="00047CA9" w:rsidRPr="007A72DB">
        <w:rPr>
          <w:rFonts w:ascii="Microsoft New Tai Lue" w:hAnsi="Microsoft New Tai Lue" w:cs="Microsoft New Tai Lue"/>
          <w:color w:val="262626"/>
        </w:rPr>
        <w:t xml:space="preserve"> </w:t>
      </w:r>
      <w:r w:rsidRPr="007A72DB">
        <w:rPr>
          <w:rFonts w:ascii="Microsoft New Tai Lue" w:hAnsi="Microsoft New Tai Lue" w:cs="Microsoft New Tai Lue"/>
          <w:color w:val="262626"/>
        </w:rPr>
        <w:t>However,</w:t>
      </w:r>
      <w:r w:rsidRPr="007A72DB">
        <w:rPr>
          <w:rFonts w:ascii="Microsoft New Tai Lue" w:hAnsi="Microsoft New Tai Lue" w:cs="Microsoft New Tai Lue"/>
        </w:rPr>
        <w:t xml:space="preserve"> my current research shows that approximately 45% of all applicants </w:t>
      </w:r>
      <w:r w:rsidR="00FF77CB" w:rsidRPr="007A72DB">
        <w:rPr>
          <w:rFonts w:ascii="Microsoft New Tai Lue" w:hAnsi="Microsoft New Tai Lue" w:cs="Microsoft New Tai Lue"/>
        </w:rPr>
        <w:t xml:space="preserve">in Australia </w:t>
      </w:r>
      <w:r w:rsidRPr="007A72DB">
        <w:rPr>
          <w:rFonts w:ascii="Microsoft New Tai Lue" w:hAnsi="Microsoft New Tai Lue" w:cs="Microsoft New Tai Lue"/>
        </w:rPr>
        <w:t>were married women, and only a small handful had their applications rejected.</w:t>
      </w:r>
      <w:r w:rsidR="00047CA9" w:rsidRPr="007A72DB">
        <w:rPr>
          <w:rFonts w:ascii="Microsoft New Tai Lue" w:hAnsi="Microsoft New Tai Lue" w:cs="Microsoft New Tai Lue"/>
          <w:vertAlign w:val="superscript"/>
        </w:rPr>
        <w:endnoteReference w:id="68"/>
      </w:r>
      <w:r w:rsidR="00047CA9" w:rsidRPr="007A72DB">
        <w:rPr>
          <w:rFonts w:ascii="Microsoft New Tai Lue" w:hAnsi="Microsoft New Tai Lue" w:cs="Microsoft New Tai Lue"/>
        </w:rPr>
        <w:t xml:space="preserve"> </w:t>
      </w:r>
    </w:p>
    <w:p w14:paraId="0000006B" w14:textId="77777777" w:rsidR="00794743" w:rsidRPr="007A72DB" w:rsidRDefault="00794743" w:rsidP="007A72DB">
      <w:pPr>
        <w:spacing w:line="360" w:lineRule="auto"/>
        <w:rPr>
          <w:rFonts w:ascii="Microsoft New Tai Lue" w:hAnsi="Microsoft New Tai Lue" w:cs="Microsoft New Tai Lue"/>
        </w:rPr>
      </w:pPr>
    </w:p>
    <w:p w14:paraId="0000006C" w14:textId="638297B9" w:rsidR="00794743" w:rsidRPr="007A72DB" w:rsidRDefault="006E0B52" w:rsidP="007A72DB">
      <w:pPr>
        <w:spacing w:line="360" w:lineRule="auto"/>
        <w:rPr>
          <w:rFonts w:ascii="Microsoft New Tai Lue" w:hAnsi="Microsoft New Tai Lue" w:cs="Microsoft New Tai Lue"/>
        </w:rPr>
      </w:pPr>
      <w:r w:rsidRPr="007A72DB">
        <w:rPr>
          <w:rFonts w:ascii="Microsoft New Tai Lue" w:hAnsi="Microsoft New Tai Lue" w:cs="Microsoft New Tai Lue"/>
        </w:rPr>
        <w:t>The reasons for this are complicated. Until 1911, there was no dedicated space on the form to list a spouse or children, so sometimes administrators made women fill out forms for themselves at the same time as their husbands applied, while on other occasions women were told they did not need to do this.</w:t>
      </w:r>
      <w:r w:rsidR="00047CA9" w:rsidRPr="007A72DB">
        <w:rPr>
          <w:rFonts w:ascii="Microsoft New Tai Lue" w:hAnsi="Microsoft New Tai Lue" w:cs="Microsoft New Tai Lue"/>
          <w:vertAlign w:val="superscript"/>
        </w:rPr>
        <w:endnoteReference w:id="69"/>
      </w:r>
      <w:r w:rsidR="00047CA9" w:rsidRPr="007A72DB">
        <w:rPr>
          <w:rFonts w:ascii="Microsoft New Tai Lue" w:hAnsi="Microsoft New Tai Lue" w:cs="Microsoft New Tai Lue"/>
        </w:rPr>
        <w:t xml:space="preserve"> </w:t>
      </w:r>
      <w:r w:rsidRPr="007A72DB">
        <w:rPr>
          <w:rFonts w:ascii="Microsoft New Tai Lue" w:hAnsi="Microsoft New Tai Lue" w:cs="Microsoft New Tai Lue"/>
        </w:rPr>
        <w:t xml:space="preserve">In some cases, </w:t>
      </w:r>
      <w:r w:rsidRPr="007A72DB">
        <w:rPr>
          <w:rFonts w:ascii="Microsoft New Tai Lue" w:hAnsi="Microsoft New Tai Lue" w:cs="Microsoft New Tai Lue"/>
        </w:rPr>
        <w:lastRenderedPageBreak/>
        <w:t>administrators knew that the husband had previously been rejected in his own right, but the wife was still successful.</w:t>
      </w:r>
      <w:r w:rsidR="00047CA9" w:rsidRPr="007A72DB">
        <w:rPr>
          <w:rFonts w:ascii="Microsoft New Tai Lue" w:hAnsi="Microsoft New Tai Lue" w:cs="Microsoft New Tai Lue"/>
          <w:vertAlign w:val="superscript"/>
        </w:rPr>
        <w:endnoteReference w:id="70"/>
      </w:r>
      <w:r w:rsidR="00047CA9" w:rsidRPr="007A72DB">
        <w:rPr>
          <w:rFonts w:ascii="Microsoft New Tai Lue" w:hAnsi="Microsoft New Tai Lue" w:cs="Microsoft New Tai Lue"/>
        </w:rPr>
        <w:t xml:space="preserve"> </w:t>
      </w:r>
      <w:r w:rsidRPr="007A72DB">
        <w:rPr>
          <w:rFonts w:ascii="Microsoft New Tai Lue" w:hAnsi="Microsoft New Tai Lue" w:cs="Microsoft New Tai Lue"/>
        </w:rPr>
        <w:t>In a few cases, administrators were clearly sympathetic to cases of desertion.</w:t>
      </w:r>
      <w:r w:rsidR="00047CA9" w:rsidRPr="007A72DB">
        <w:rPr>
          <w:rFonts w:ascii="Microsoft New Tai Lue" w:hAnsi="Microsoft New Tai Lue" w:cs="Microsoft New Tai Lue"/>
          <w:vertAlign w:val="superscript"/>
        </w:rPr>
        <w:endnoteReference w:id="71"/>
      </w:r>
      <w:r w:rsidR="00047CA9" w:rsidRPr="007A72DB">
        <w:rPr>
          <w:rFonts w:ascii="Microsoft New Tai Lue" w:hAnsi="Microsoft New Tai Lue" w:cs="Microsoft New Tai Lue"/>
        </w:rPr>
        <w:t xml:space="preserve"> </w:t>
      </w:r>
      <w:r w:rsidRPr="007A72DB">
        <w:rPr>
          <w:rFonts w:ascii="Microsoft New Tai Lue" w:hAnsi="Microsoft New Tai Lue" w:cs="Microsoft New Tai Lue"/>
        </w:rPr>
        <w:t xml:space="preserve">Most frequently, officials did not even ask why a married woman was applying, or the status of her husband. </w:t>
      </w:r>
    </w:p>
    <w:p w14:paraId="0000006D" w14:textId="5E4EF20D" w:rsidR="00794743" w:rsidRPr="007A72DB" w:rsidRDefault="00794743" w:rsidP="007A72DB">
      <w:pPr>
        <w:spacing w:line="360" w:lineRule="auto"/>
        <w:rPr>
          <w:rFonts w:ascii="Microsoft New Tai Lue" w:hAnsi="Microsoft New Tai Lue" w:cs="Microsoft New Tai Lue"/>
        </w:rPr>
      </w:pPr>
    </w:p>
    <w:p w14:paraId="0000006F" w14:textId="5C44AEBF" w:rsidR="00794743" w:rsidRPr="007A72DB" w:rsidRDefault="00E91612" w:rsidP="007A72DB">
      <w:pPr>
        <w:spacing w:line="360" w:lineRule="auto"/>
        <w:rPr>
          <w:rFonts w:ascii="Microsoft New Tai Lue" w:hAnsi="Microsoft New Tai Lue" w:cs="Microsoft New Tai Lue"/>
        </w:rPr>
      </w:pPr>
      <w:r w:rsidRPr="007A72DB">
        <w:rPr>
          <w:rFonts w:ascii="Microsoft New Tai Lue" w:hAnsi="Microsoft New Tai Lue" w:cs="Microsoft New Tai Lue"/>
        </w:rPr>
        <w:t xml:space="preserve">The success of these women was not merely a matter of bureaucratic incompetence or indifference. </w:t>
      </w:r>
      <w:r w:rsidR="006E0B52" w:rsidRPr="007A72DB">
        <w:rPr>
          <w:rFonts w:ascii="Microsoft New Tai Lue" w:hAnsi="Microsoft New Tai Lue" w:cs="Microsoft New Tai Lue"/>
        </w:rPr>
        <w:t xml:space="preserve">In one </w:t>
      </w:r>
      <w:r w:rsidR="00F644EB">
        <w:rPr>
          <w:rFonts w:ascii="Microsoft New Tai Lue" w:hAnsi="Microsoft New Tai Lue" w:cs="Microsoft New Tai Lue"/>
        </w:rPr>
        <w:t xml:space="preserve">1910 </w:t>
      </w:r>
      <w:r w:rsidR="006E0B52" w:rsidRPr="007A72DB">
        <w:rPr>
          <w:rFonts w:ascii="Microsoft New Tai Lue" w:hAnsi="Microsoft New Tai Lue" w:cs="Microsoft New Tai Lue"/>
        </w:rPr>
        <w:t xml:space="preserve">case, the applicant, Alice </w:t>
      </w:r>
      <w:proofErr w:type="spellStart"/>
      <w:r w:rsidR="006E0B52" w:rsidRPr="007A72DB">
        <w:rPr>
          <w:rFonts w:ascii="Microsoft New Tai Lue" w:hAnsi="Microsoft New Tai Lue" w:cs="Microsoft New Tai Lue"/>
        </w:rPr>
        <w:t>Shong</w:t>
      </w:r>
      <w:proofErr w:type="spellEnd"/>
      <w:r w:rsidR="006E0B52" w:rsidRPr="007A72DB">
        <w:rPr>
          <w:rFonts w:ascii="Microsoft New Tai Lue" w:hAnsi="Microsoft New Tai Lue" w:cs="Microsoft New Tai Lue"/>
        </w:rPr>
        <w:t xml:space="preserve"> Kew Wong Sing, was born in Gympie, Queensland, to a Chinese father and ‘English’ mother, and had subsequently married a Chinese man who was ineligible to apply. </w:t>
      </w:r>
      <w:r w:rsidR="00F644EB">
        <w:rPr>
          <w:rFonts w:ascii="Microsoft New Tai Lue" w:hAnsi="Microsoft New Tai Lue" w:cs="Microsoft New Tai Lue"/>
        </w:rPr>
        <w:t>She was applying because a</w:t>
      </w:r>
      <w:r w:rsidR="00F644EB" w:rsidRPr="007A72DB">
        <w:rPr>
          <w:rFonts w:ascii="Microsoft New Tai Lue" w:hAnsi="Microsoft New Tai Lue" w:cs="Microsoft New Tai Lue"/>
        </w:rPr>
        <w:t xml:space="preserve"> local bank had insisted </w:t>
      </w:r>
      <w:r w:rsidR="00F644EB">
        <w:rPr>
          <w:rFonts w:ascii="Microsoft New Tai Lue" w:hAnsi="Microsoft New Tai Lue" w:cs="Microsoft New Tai Lue"/>
        </w:rPr>
        <w:t xml:space="preserve">that she had to be </w:t>
      </w:r>
      <w:r w:rsidR="00F644EB" w:rsidRPr="007A72DB">
        <w:rPr>
          <w:rFonts w:ascii="Microsoft New Tai Lue" w:hAnsi="Microsoft New Tai Lue" w:cs="Microsoft New Tai Lue"/>
        </w:rPr>
        <w:t>naturalised before taking out a mortgage.</w:t>
      </w:r>
      <w:r w:rsidR="00F644EB" w:rsidRPr="007A72DB">
        <w:rPr>
          <w:rFonts w:ascii="Microsoft New Tai Lue" w:hAnsi="Microsoft New Tai Lue" w:cs="Microsoft New Tai Lue"/>
          <w:vertAlign w:val="superscript"/>
        </w:rPr>
        <w:endnoteReference w:id="72"/>
      </w:r>
      <w:r w:rsidR="00F644EB" w:rsidRPr="007A72DB">
        <w:rPr>
          <w:rFonts w:ascii="Microsoft New Tai Lue" w:hAnsi="Microsoft New Tai Lue" w:cs="Microsoft New Tai Lue"/>
        </w:rPr>
        <w:t xml:space="preserve"> </w:t>
      </w:r>
      <w:r w:rsidR="006E0B52" w:rsidRPr="007A72DB">
        <w:rPr>
          <w:rFonts w:ascii="Microsoft New Tai Lue" w:hAnsi="Microsoft New Tai Lue" w:cs="Microsoft New Tai Lue"/>
        </w:rPr>
        <w:t xml:space="preserve">Despite her appearing to be exactly the sort of person not desired in Australia, (in fact someone pencilled ‘Chinese’ at the top of her application, showing how they identified her), she was successful. The files do not make it entirely clear why, but in her case, and several subsequent cases, especially involving women married to ‘enemy aliens’ during the War, being born in Australia (regardless of parentage), and being the mother of children born in Australia, seems to have been powerful factors in shaping </w:t>
      </w:r>
      <w:r w:rsidRPr="007A72DB">
        <w:rPr>
          <w:rFonts w:ascii="Microsoft New Tai Lue" w:hAnsi="Microsoft New Tai Lue" w:cs="Microsoft New Tai Lue"/>
        </w:rPr>
        <w:t>their</w:t>
      </w:r>
      <w:r w:rsidR="006E0B52" w:rsidRPr="007A72DB">
        <w:rPr>
          <w:rFonts w:ascii="Microsoft New Tai Lue" w:hAnsi="Microsoft New Tai Lue" w:cs="Microsoft New Tai Lue"/>
        </w:rPr>
        <w:t xml:space="preserve"> inclusion into the body politic. It is worth remembering that, theoretically, this certificate of naturalisation gave her access to the vote, to maternity cover and old age pension, and, of course, to securing a mortgage and an inheritance which she would otherwise be denied (at least in Australia; remember that naturalisation guaranteed no rights outside of Australia).</w:t>
      </w:r>
      <w:r w:rsidR="00047CA9" w:rsidRPr="007A72DB">
        <w:rPr>
          <w:rFonts w:ascii="Microsoft New Tai Lue" w:hAnsi="Microsoft New Tai Lue" w:cs="Microsoft New Tai Lue"/>
          <w:vertAlign w:val="superscript"/>
        </w:rPr>
        <w:endnoteReference w:id="73"/>
      </w:r>
      <w:r w:rsidR="00047CA9" w:rsidRPr="007A72DB">
        <w:rPr>
          <w:rFonts w:ascii="Microsoft New Tai Lue" w:hAnsi="Microsoft New Tai Lue" w:cs="Microsoft New Tai Lue"/>
        </w:rPr>
        <w:t xml:space="preserve"> </w:t>
      </w:r>
      <w:r w:rsidR="006E0B52" w:rsidRPr="007A72DB">
        <w:rPr>
          <w:rFonts w:ascii="Microsoft New Tai Lue" w:hAnsi="Microsoft New Tai Lue" w:cs="Microsoft New Tai Lue"/>
        </w:rPr>
        <w:t>Perhaps, while her husband was forever Chinese, her life in Australia, and her role as a woman and a mother, and her own ‘English’ mother, meant that state agents thought of her as both less threatening and as more easily absorbed, or even conquered, by the dominant British culture of Australia.</w:t>
      </w:r>
      <w:r w:rsidR="00047CA9" w:rsidRPr="007A72DB">
        <w:rPr>
          <w:rFonts w:ascii="Microsoft New Tai Lue" w:hAnsi="Microsoft New Tai Lue" w:cs="Microsoft New Tai Lue"/>
          <w:vertAlign w:val="superscript"/>
        </w:rPr>
        <w:endnoteReference w:id="74"/>
      </w:r>
      <w:r w:rsidR="00047CA9" w:rsidRPr="007A72DB">
        <w:rPr>
          <w:rFonts w:ascii="Microsoft New Tai Lue" w:hAnsi="Microsoft New Tai Lue" w:cs="Microsoft New Tai Lue"/>
        </w:rPr>
        <w:t xml:space="preserve"> </w:t>
      </w:r>
      <w:r w:rsidR="006E0B52" w:rsidRPr="007A72DB">
        <w:rPr>
          <w:rFonts w:ascii="Microsoft New Tai Lue" w:hAnsi="Microsoft New Tai Lue" w:cs="Microsoft New Tai Lue"/>
        </w:rPr>
        <w:t>Many German women granted naturalisation during World War One through executive power were able to do so by emphasising their position as mothers of Australian children, who in turn were contributing to the war effort, an appeal authorities did not accept from fathers.</w:t>
      </w:r>
      <w:r w:rsidR="00047CA9" w:rsidRPr="007A72DB">
        <w:rPr>
          <w:rFonts w:ascii="Microsoft New Tai Lue" w:hAnsi="Microsoft New Tai Lue" w:cs="Microsoft New Tai Lue"/>
          <w:vertAlign w:val="superscript"/>
        </w:rPr>
        <w:endnoteReference w:id="75"/>
      </w:r>
      <w:r w:rsidR="00047CA9" w:rsidRPr="007A72DB">
        <w:rPr>
          <w:rFonts w:ascii="Microsoft New Tai Lue" w:hAnsi="Microsoft New Tai Lue" w:cs="Microsoft New Tai Lue"/>
        </w:rPr>
        <w:t xml:space="preserve"> </w:t>
      </w:r>
      <w:r w:rsidR="006E0B52" w:rsidRPr="007A72DB">
        <w:rPr>
          <w:rFonts w:ascii="Microsoft New Tai Lue" w:hAnsi="Microsoft New Tai Lue" w:cs="Microsoft New Tai Lue"/>
          <w:color w:val="262626"/>
        </w:rPr>
        <w:t xml:space="preserve">It certainly appears that, probably due to gender considerations, female </w:t>
      </w:r>
      <w:r w:rsidR="006E0B52" w:rsidRPr="007A72DB">
        <w:rPr>
          <w:rFonts w:ascii="Microsoft New Tai Lue" w:hAnsi="Microsoft New Tai Lue" w:cs="Microsoft New Tai Lue"/>
          <w:color w:val="262626"/>
        </w:rPr>
        <w:lastRenderedPageBreak/>
        <w:t xml:space="preserve">applicants were simply not scrutinised </w:t>
      </w:r>
      <w:r w:rsidRPr="007A72DB">
        <w:rPr>
          <w:rFonts w:ascii="Microsoft New Tai Lue" w:hAnsi="Microsoft New Tai Lue" w:cs="Microsoft New Tai Lue"/>
          <w:color w:val="262626"/>
        </w:rPr>
        <w:t>as</w:t>
      </w:r>
      <w:r w:rsidR="006E0B52" w:rsidRPr="007A72DB">
        <w:rPr>
          <w:rFonts w:ascii="Microsoft New Tai Lue" w:hAnsi="Microsoft New Tai Lue" w:cs="Microsoft New Tai Lue"/>
          <w:color w:val="262626"/>
        </w:rPr>
        <w:t xml:space="preserve"> closely as male applicants, what </w:t>
      </w:r>
      <w:r w:rsidR="006E0B52" w:rsidRPr="007A72DB">
        <w:rPr>
          <w:rFonts w:ascii="Microsoft New Tai Lue" w:hAnsi="Microsoft New Tai Lue" w:cs="Microsoft New Tai Lue"/>
        </w:rPr>
        <w:t xml:space="preserve">Michelle </w:t>
      </w:r>
      <w:proofErr w:type="spellStart"/>
      <w:r w:rsidR="006E0B52" w:rsidRPr="007A72DB">
        <w:rPr>
          <w:rFonts w:ascii="Microsoft New Tai Lue" w:hAnsi="Microsoft New Tai Lue" w:cs="Microsoft New Tai Lue"/>
        </w:rPr>
        <w:t>Langfield</w:t>
      </w:r>
      <w:proofErr w:type="spellEnd"/>
      <w:r w:rsidR="006E0B52" w:rsidRPr="007A72DB">
        <w:rPr>
          <w:rFonts w:ascii="Microsoft New Tai Lue" w:hAnsi="Microsoft New Tai Lue" w:cs="Microsoft New Tai Lue"/>
        </w:rPr>
        <w:t xml:space="preserve"> has referred to as the ‘differential treatment of men and women’ embedded within Australia’s migration system.</w:t>
      </w:r>
      <w:r w:rsidR="00047CA9" w:rsidRPr="007A72DB">
        <w:rPr>
          <w:rFonts w:ascii="Microsoft New Tai Lue" w:hAnsi="Microsoft New Tai Lue" w:cs="Microsoft New Tai Lue"/>
          <w:vertAlign w:val="superscript"/>
        </w:rPr>
        <w:endnoteReference w:id="76"/>
      </w:r>
      <w:r w:rsidR="00047CA9" w:rsidRPr="007A72DB">
        <w:rPr>
          <w:rFonts w:ascii="Microsoft New Tai Lue" w:hAnsi="Microsoft New Tai Lue" w:cs="Microsoft New Tai Lue"/>
        </w:rPr>
        <w:t xml:space="preserve"> </w:t>
      </w:r>
      <w:r w:rsidR="00DA4DD3">
        <w:rPr>
          <w:rFonts w:ascii="Microsoft New Tai Lue" w:hAnsi="Microsoft New Tai Lue" w:cs="Microsoft New Tai Lue"/>
        </w:rPr>
        <w:t>This ‘differential treatment’ was not always reflected in specific legislation, but because laws were written by men for men, the application to women led to further confusion. The vagueness of legislation also meant that the system encouraged what we would now call unconscious bias in making decisions. Women were seen as less threatening and less important, and so received less scrutiny.</w:t>
      </w:r>
    </w:p>
    <w:p w14:paraId="6BBFE56D" w14:textId="77777777" w:rsidR="00DA4DD3" w:rsidRDefault="00DA4DD3" w:rsidP="007A72DB">
      <w:pPr>
        <w:spacing w:line="360" w:lineRule="auto"/>
        <w:rPr>
          <w:rFonts w:ascii="Microsoft New Tai Lue" w:hAnsi="Microsoft New Tai Lue" w:cs="Microsoft New Tai Lue"/>
        </w:rPr>
      </w:pPr>
    </w:p>
    <w:p w14:paraId="00000070" w14:textId="6D30EC4F" w:rsidR="00047CA9" w:rsidRPr="007A72DB" w:rsidRDefault="006E0B52" w:rsidP="007A72DB">
      <w:pPr>
        <w:spacing w:line="360" w:lineRule="auto"/>
        <w:rPr>
          <w:rFonts w:ascii="Microsoft New Tai Lue" w:hAnsi="Microsoft New Tai Lue" w:cs="Microsoft New Tai Lue"/>
          <w:color w:val="262626"/>
        </w:rPr>
      </w:pPr>
      <w:r w:rsidRPr="007A72DB">
        <w:rPr>
          <w:rFonts w:ascii="Microsoft New Tai Lue" w:hAnsi="Microsoft New Tai Lue" w:cs="Microsoft New Tai Lue"/>
          <w:color w:val="262626"/>
        </w:rPr>
        <w:t xml:space="preserve">Both ministers </w:t>
      </w:r>
      <w:r w:rsidR="00DA4DD3">
        <w:rPr>
          <w:rFonts w:ascii="Microsoft New Tai Lue" w:hAnsi="Microsoft New Tai Lue" w:cs="Microsoft New Tai Lue"/>
          <w:color w:val="262626"/>
        </w:rPr>
        <w:t xml:space="preserve">overseeing the DEA </w:t>
      </w:r>
      <w:r w:rsidRPr="007A72DB">
        <w:rPr>
          <w:rFonts w:ascii="Microsoft New Tai Lue" w:hAnsi="Microsoft New Tai Lue" w:cs="Microsoft New Tai Lue"/>
          <w:color w:val="262626"/>
        </w:rPr>
        <w:t xml:space="preserve">and Attorney Generals changed rapidly during this period, with it rare for one to be in place for even two years. Their interpretations of the laws varied </w:t>
      </w:r>
      <w:proofErr w:type="gramStart"/>
      <w:r w:rsidRPr="007A72DB">
        <w:rPr>
          <w:rFonts w:ascii="Microsoft New Tai Lue" w:hAnsi="Microsoft New Tai Lue" w:cs="Microsoft New Tai Lue"/>
          <w:color w:val="262626"/>
        </w:rPr>
        <w:t>considerably</w:t>
      </w:r>
      <w:proofErr w:type="gramEnd"/>
      <w:r w:rsidRPr="007A72DB">
        <w:rPr>
          <w:rFonts w:ascii="Microsoft New Tai Lue" w:hAnsi="Microsoft New Tai Lue" w:cs="Microsoft New Tai Lue"/>
          <w:color w:val="262626"/>
        </w:rPr>
        <w:t xml:space="preserve"> and their rulings were not always widely disseminated. To take one example, in 1904, R. R. </w:t>
      </w:r>
      <w:proofErr w:type="spellStart"/>
      <w:r w:rsidRPr="007A72DB">
        <w:rPr>
          <w:rFonts w:ascii="Microsoft New Tai Lue" w:hAnsi="Microsoft New Tai Lue" w:cs="Microsoft New Tai Lue"/>
          <w:color w:val="262626"/>
        </w:rPr>
        <w:t>Janan</w:t>
      </w:r>
      <w:proofErr w:type="spellEnd"/>
      <w:r w:rsidRPr="007A72DB">
        <w:rPr>
          <w:rFonts w:ascii="Microsoft New Tai Lue" w:hAnsi="Microsoft New Tai Lue" w:cs="Microsoft New Tai Lue"/>
          <w:color w:val="262626"/>
        </w:rPr>
        <w:t xml:space="preserve"> gave the opinion that: </w:t>
      </w:r>
      <w:r w:rsidRPr="007A72DB">
        <w:rPr>
          <w:rFonts w:ascii="Microsoft New Tai Lue" w:hAnsi="Microsoft New Tai Lue" w:cs="Microsoft New Tai Lue"/>
          <w:color w:val="418AB3"/>
        </w:rPr>
        <w:t xml:space="preserve"> </w:t>
      </w:r>
      <w:r w:rsidRPr="007A72DB">
        <w:rPr>
          <w:rFonts w:ascii="Microsoft New Tai Lue" w:hAnsi="Microsoft New Tai Lue" w:cs="Microsoft New Tai Lue"/>
          <w:color w:val="262626"/>
        </w:rPr>
        <w:t>‘Not being either natural-born or naturalized under the Act, she [a married woman] is not a “British Subject”, and is eligible under section 5’ to apply for naturalisation, a ruling confirmed in 1910 by a different Attorney General.</w:t>
      </w:r>
      <w:r w:rsidR="00047CA9" w:rsidRPr="007A72DB">
        <w:rPr>
          <w:rFonts w:ascii="Microsoft New Tai Lue" w:hAnsi="Microsoft New Tai Lue" w:cs="Microsoft New Tai Lue"/>
          <w:color w:val="262626"/>
          <w:vertAlign w:val="superscript"/>
        </w:rPr>
        <w:endnoteReference w:id="77"/>
      </w:r>
      <w:r w:rsidR="00047CA9" w:rsidRPr="007A72DB">
        <w:rPr>
          <w:rFonts w:ascii="Microsoft New Tai Lue" w:hAnsi="Microsoft New Tai Lue" w:cs="Microsoft New Tai Lue"/>
          <w:color w:val="262626"/>
        </w:rPr>
        <w:t xml:space="preserve"> </w:t>
      </w:r>
      <w:r w:rsidRPr="007A72DB">
        <w:rPr>
          <w:rFonts w:ascii="Microsoft New Tai Lue" w:hAnsi="Microsoft New Tai Lue" w:cs="Microsoft New Tai Lue"/>
          <w:color w:val="262626"/>
        </w:rPr>
        <w:t>In 1906, however, Isaac A</w:t>
      </w:r>
      <w:r w:rsidR="00E91612" w:rsidRPr="007A72DB">
        <w:rPr>
          <w:rFonts w:ascii="Microsoft New Tai Lue" w:hAnsi="Microsoft New Tai Lue" w:cs="Microsoft New Tai Lue"/>
          <w:color w:val="262626"/>
        </w:rPr>
        <w:t>.</w:t>
      </w:r>
      <w:r w:rsidRPr="007A72DB">
        <w:rPr>
          <w:rFonts w:ascii="Microsoft New Tai Lue" w:hAnsi="Microsoft New Tai Lue" w:cs="Microsoft New Tai Lue"/>
          <w:color w:val="262626"/>
        </w:rPr>
        <w:t xml:space="preserve"> Isaacs, the then Attorney General, gave a completely different ruling, that marriage itself could not take away a woman’s ‘British nationality’, seeming to draw on older ideas of the inalienable status of subjecthood. Under his interpretation, British female subjects who married aliens did not need to apply for naturalisation at all, and  ‘should be given the benefit of the doubt, and be enrolled as an elector.’</w:t>
      </w:r>
      <w:r w:rsidR="00047CA9" w:rsidRPr="007A72DB">
        <w:rPr>
          <w:rFonts w:ascii="Microsoft New Tai Lue" w:hAnsi="Microsoft New Tai Lue" w:cs="Microsoft New Tai Lue"/>
          <w:color w:val="262626"/>
          <w:vertAlign w:val="superscript"/>
        </w:rPr>
        <w:endnoteReference w:id="78"/>
      </w:r>
      <w:r w:rsidR="00047CA9" w:rsidRPr="007A72DB">
        <w:rPr>
          <w:rFonts w:ascii="Microsoft New Tai Lue" w:hAnsi="Microsoft New Tai Lue" w:cs="Microsoft New Tai Lue"/>
          <w:color w:val="262626"/>
        </w:rPr>
        <w:t xml:space="preserve"> </w:t>
      </w:r>
      <w:r w:rsidRPr="007A72DB">
        <w:rPr>
          <w:rFonts w:ascii="Microsoft New Tai Lue" w:hAnsi="Microsoft New Tai Lue" w:cs="Microsoft New Tai Lue"/>
          <w:color w:val="262626"/>
        </w:rPr>
        <w:t xml:space="preserve">He drew not just on British traditions of subjecthood but also on the </w:t>
      </w:r>
      <w:r w:rsidRPr="007A72DB">
        <w:rPr>
          <w:rFonts w:ascii="Microsoft New Tai Lue" w:hAnsi="Microsoft New Tai Lue" w:cs="Microsoft New Tai Lue"/>
          <w:i/>
          <w:color w:val="262626"/>
        </w:rPr>
        <w:t xml:space="preserve">intention </w:t>
      </w:r>
      <w:r w:rsidRPr="007A72DB">
        <w:rPr>
          <w:rFonts w:ascii="Microsoft New Tai Lue" w:hAnsi="Microsoft New Tai Lue" w:cs="Microsoft New Tai Lue"/>
          <w:color w:val="262626"/>
        </w:rPr>
        <w:t>of Australian constitution writers who had not included a clause about women and nationality.</w:t>
      </w:r>
      <w:r w:rsidR="00047CA9" w:rsidRPr="007A72DB">
        <w:rPr>
          <w:rFonts w:ascii="Microsoft New Tai Lue" w:hAnsi="Microsoft New Tai Lue" w:cs="Microsoft New Tai Lue"/>
          <w:color w:val="262626"/>
          <w:vertAlign w:val="superscript"/>
        </w:rPr>
        <w:endnoteReference w:id="79"/>
      </w:r>
    </w:p>
    <w:p w14:paraId="00000071" w14:textId="77777777" w:rsidR="00794743" w:rsidRPr="007A72DB" w:rsidRDefault="00794743" w:rsidP="007A72DB">
      <w:pPr>
        <w:spacing w:line="360" w:lineRule="auto"/>
        <w:rPr>
          <w:rFonts w:ascii="Microsoft New Tai Lue" w:hAnsi="Microsoft New Tai Lue" w:cs="Microsoft New Tai Lue"/>
          <w:color w:val="262626"/>
        </w:rPr>
      </w:pPr>
    </w:p>
    <w:p w14:paraId="00000072" w14:textId="6E4D7A7F" w:rsidR="00794743" w:rsidRPr="007A72DB" w:rsidRDefault="006E0B52" w:rsidP="007A72DB">
      <w:pPr>
        <w:spacing w:line="360" w:lineRule="auto"/>
        <w:rPr>
          <w:rFonts w:ascii="Microsoft New Tai Lue" w:hAnsi="Microsoft New Tai Lue" w:cs="Microsoft New Tai Lue"/>
          <w:color w:val="262626"/>
        </w:rPr>
      </w:pPr>
      <w:r w:rsidRPr="007A72DB">
        <w:rPr>
          <w:rFonts w:ascii="Microsoft New Tai Lue" w:hAnsi="Microsoft New Tai Lue" w:cs="Microsoft New Tai Lue"/>
          <w:color w:val="262626"/>
        </w:rPr>
        <w:t xml:space="preserve">These legal Opinions were never </w:t>
      </w:r>
      <w:r w:rsidR="000C53BE" w:rsidRPr="007A72DB">
        <w:rPr>
          <w:rFonts w:ascii="Microsoft New Tai Lue" w:hAnsi="Microsoft New Tai Lue" w:cs="Microsoft New Tai Lue"/>
          <w:color w:val="262626"/>
        </w:rPr>
        <w:t xml:space="preserve">publicly </w:t>
      </w:r>
      <w:r w:rsidR="0024506A">
        <w:rPr>
          <w:rFonts w:ascii="Microsoft New Tai Lue" w:hAnsi="Microsoft New Tai Lue" w:cs="Microsoft New Tai Lue"/>
          <w:color w:val="262626"/>
        </w:rPr>
        <w:t>a</w:t>
      </w:r>
      <w:r w:rsidRPr="007A72DB">
        <w:rPr>
          <w:rFonts w:ascii="Microsoft New Tai Lue" w:hAnsi="Microsoft New Tai Lue" w:cs="Microsoft New Tai Lue"/>
          <w:color w:val="262626"/>
        </w:rPr>
        <w:t xml:space="preserve">dvertised by the government and seem to have been adopted haphazardly by various electoral officials and migration and nationality officials. Married women were never told they could apply for naturalisation. Indeed, other scholars have written about how women’s groups championed the denaturalisation of British women who married aliens during this </w:t>
      </w:r>
      <w:r w:rsidRPr="007A72DB">
        <w:rPr>
          <w:rFonts w:ascii="Microsoft New Tai Lue" w:hAnsi="Microsoft New Tai Lue" w:cs="Microsoft New Tai Lue"/>
          <w:color w:val="262626"/>
        </w:rPr>
        <w:lastRenderedPageBreak/>
        <w:t>period</w:t>
      </w:r>
      <w:r w:rsidR="0024506A">
        <w:rPr>
          <w:rFonts w:ascii="Microsoft New Tai Lue" w:hAnsi="Microsoft New Tai Lue" w:cs="Microsoft New Tai Lue"/>
          <w:color w:val="262626"/>
        </w:rPr>
        <w:t>.</w:t>
      </w:r>
      <w:r w:rsidR="0024506A" w:rsidRPr="007A72DB">
        <w:rPr>
          <w:rFonts w:ascii="Microsoft New Tai Lue" w:hAnsi="Microsoft New Tai Lue" w:cs="Microsoft New Tai Lue"/>
          <w:color w:val="262626"/>
          <w:vertAlign w:val="superscript"/>
        </w:rPr>
        <w:endnoteReference w:id="80"/>
      </w:r>
      <w:r w:rsidR="000C53BE" w:rsidRPr="007A72DB">
        <w:rPr>
          <w:rFonts w:ascii="Microsoft New Tai Lue" w:hAnsi="Microsoft New Tai Lue" w:cs="Microsoft New Tai Lue"/>
          <w:color w:val="262626"/>
        </w:rPr>
        <w:t xml:space="preserve"> </w:t>
      </w:r>
      <w:r w:rsidR="0024506A">
        <w:rPr>
          <w:rFonts w:ascii="Microsoft New Tai Lue" w:hAnsi="Microsoft New Tai Lue" w:cs="Microsoft New Tai Lue"/>
          <w:color w:val="262626"/>
        </w:rPr>
        <w:t xml:space="preserve">Both contemporaries and this subsequent scholarship have </w:t>
      </w:r>
      <w:proofErr w:type="spellStart"/>
      <w:r w:rsidR="0024506A">
        <w:rPr>
          <w:rFonts w:ascii="Microsoft New Tai Lue" w:hAnsi="Microsoft New Tai Lue" w:cs="Microsoft New Tai Lue"/>
          <w:color w:val="262626"/>
        </w:rPr>
        <w:t xml:space="preserve">been </w:t>
      </w:r>
      <w:proofErr w:type="spellEnd"/>
      <w:r w:rsidR="000C53BE" w:rsidRPr="007A72DB">
        <w:rPr>
          <w:rFonts w:ascii="Microsoft New Tai Lue" w:hAnsi="Microsoft New Tai Lue" w:cs="Microsoft New Tai Lue"/>
          <w:color w:val="262626"/>
        </w:rPr>
        <w:t>seemingly unaware of how easy being re-naturalised was</w:t>
      </w:r>
      <w:r w:rsidR="0024506A">
        <w:rPr>
          <w:rFonts w:ascii="Microsoft New Tai Lue" w:hAnsi="Microsoft New Tai Lue" w:cs="Microsoft New Tai Lue"/>
          <w:color w:val="262626"/>
        </w:rPr>
        <w:t>.</w:t>
      </w:r>
      <w:r w:rsidR="00047CA9" w:rsidRPr="007A72DB">
        <w:rPr>
          <w:rFonts w:ascii="Microsoft New Tai Lue" w:hAnsi="Microsoft New Tai Lue" w:cs="Microsoft New Tai Lue"/>
          <w:color w:val="262626"/>
        </w:rPr>
        <w:t xml:space="preserve"> </w:t>
      </w:r>
      <w:r w:rsidRPr="007A72DB">
        <w:rPr>
          <w:rFonts w:ascii="Microsoft New Tai Lue" w:hAnsi="Microsoft New Tai Lue" w:cs="Microsoft New Tai Lue"/>
          <w:color w:val="262626"/>
        </w:rPr>
        <w:t xml:space="preserve">Still, in practice, if a woman applied in Australia, whether married or not, she was usually successful until 1916. </w:t>
      </w:r>
    </w:p>
    <w:p w14:paraId="00000073" w14:textId="77777777" w:rsidR="00794743" w:rsidRPr="007A72DB" w:rsidRDefault="00794743" w:rsidP="007A72DB">
      <w:pPr>
        <w:spacing w:line="360" w:lineRule="auto"/>
        <w:rPr>
          <w:rFonts w:ascii="Microsoft New Tai Lue" w:hAnsi="Microsoft New Tai Lue" w:cs="Microsoft New Tai Lue"/>
          <w:color w:val="262626"/>
        </w:rPr>
      </w:pPr>
    </w:p>
    <w:p w14:paraId="00000074" w14:textId="4161D3E1" w:rsidR="00794743" w:rsidRPr="007A72DB" w:rsidRDefault="006E0B52" w:rsidP="007A72DB">
      <w:pPr>
        <w:spacing w:line="360" w:lineRule="auto"/>
        <w:rPr>
          <w:rFonts w:ascii="Microsoft New Tai Lue" w:hAnsi="Microsoft New Tai Lue" w:cs="Microsoft New Tai Lue"/>
          <w:color w:val="262626"/>
        </w:rPr>
      </w:pPr>
      <w:r w:rsidRPr="007A72DB">
        <w:rPr>
          <w:rFonts w:ascii="Microsoft New Tai Lue" w:hAnsi="Microsoft New Tai Lue" w:cs="Microsoft New Tai Lue"/>
          <w:color w:val="262626"/>
        </w:rPr>
        <w:t xml:space="preserve">This changed after a revealing exchange between Hunt, a </w:t>
      </w:r>
      <w:r w:rsidR="000C53BE" w:rsidRPr="007A72DB">
        <w:rPr>
          <w:rFonts w:ascii="Microsoft New Tai Lue" w:hAnsi="Microsoft New Tai Lue" w:cs="Microsoft New Tai Lue"/>
          <w:color w:val="262626"/>
        </w:rPr>
        <w:t>law professor</w:t>
      </w:r>
      <w:r w:rsidRPr="007A72DB">
        <w:rPr>
          <w:rFonts w:ascii="Microsoft New Tai Lue" w:hAnsi="Microsoft New Tai Lue" w:cs="Microsoft New Tai Lue"/>
          <w:color w:val="262626"/>
        </w:rPr>
        <w:t xml:space="preserve"> friend of his, the Australian Prime Minister, the Australian Attorney General, and the Colonial Office in London. Starting in 1913, and again in 1914, 1915, and 1916, the Colonial Office wrote to Hunt to complain that married women should not be naturalised, as they were prohibited by British law. Never mind that the Home Office and Foreign Office kept telling the Colonial Office that it was not clear that British naturalisation law applied in the colonies, or what the relationship between its law and colonial law was. </w:t>
      </w:r>
      <w:r w:rsidR="000C53BE" w:rsidRPr="007A72DB">
        <w:rPr>
          <w:rFonts w:ascii="Microsoft New Tai Lue" w:hAnsi="Microsoft New Tai Lue" w:cs="Microsoft New Tai Lue"/>
          <w:color w:val="262626"/>
        </w:rPr>
        <w:t>Despite this, the</w:t>
      </w:r>
      <w:r w:rsidRPr="007A72DB">
        <w:rPr>
          <w:rFonts w:ascii="Microsoft New Tai Lue" w:hAnsi="Microsoft New Tai Lue" w:cs="Microsoft New Tai Lue"/>
          <w:color w:val="262626"/>
        </w:rPr>
        <w:t xml:space="preserve"> Colonial Office also complained that Australia’s failure to charge a fee was another case of serious inconsistency within the empire, at a time when various imperial conferences were promising to try to move towards common naturalisation laws. This then led to a rather heated debate over sovereignty that was only quietly resolved in 1916 when Australia agreed to stop naturalising married women, in an apparent nod to the ‘common code’ they were supposed to strive to achieve.</w:t>
      </w:r>
      <w:r w:rsidR="00047CA9" w:rsidRPr="007A72DB">
        <w:rPr>
          <w:rFonts w:ascii="Microsoft New Tai Lue" w:hAnsi="Microsoft New Tai Lue" w:cs="Microsoft New Tai Lue"/>
          <w:color w:val="262626"/>
          <w:vertAlign w:val="superscript"/>
        </w:rPr>
        <w:endnoteReference w:id="81"/>
      </w:r>
      <w:r w:rsidR="00047CA9" w:rsidRPr="007A72DB">
        <w:rPr>
          <w:rFonts w:ascii="Microsoft New Tai Lue" w:hAnsi="Microsoft New Tai Lue" w:cs="Microsoft New Tai Lue"/>
          <w:color w:val="262626"/>
        </w:rPr>
        <w:t xml:space="preserve"> </w:t>
      </w:r>
      <w:r w:rsidRPr="007A72DB">
        <w:rPr>
          <w:rFonts w:ascii="Microsoft New Tai Lue" w:hAnsi="Microsoft New Tai Lue" w:cs="Microsoft New Tai Lue"/>
          <w:color w:val="262626"/>
        </w:rPr>
        <w:t>These inconsistencies in Australia reflect some of the unintended consequences of legal vagueness, a vagueness which allowed positive discrimination on behalf of women until executive privilege led the minister to remove this right from married women in 1916. Pointedly, this was done without accepting the Colonial Office claim that British naturalisation law trumped Australian law and involved no actual change in naturalisation law.</w:t>
      </w:r>
    </w:p>
    <w:p w14:paraId="00000075" w14:textId="77777777" w:rsidR="00794743" w:rsidRPr="007A72DB" w:rsidRDefault="00794743" w:rsidP="007A72DB">
      <w:pPr>
        <w:spacing w:line="360" w:lineRule="auto"/>
        <w:rPr>
          <w:rFonts w:ascii="Microsoft New Tai Lue" w:hAnsi="Microsoft New Tai Lue" w:cs="Microsoft New Tai Lue"/>
          <w:color w:val="262626"/>
        </w:rPr>
      </w:pPr>
    </w:p>
    <w:p w14:paraId="00000076" w14:textId="12B18E17" w:rsidR="00794743" w:rsidRPr="007A72DB" w:rsidRDefault="006E0B52" w:rsidP="007A72DB">
      <w:pPr>
        <w:spacing w:line="360" w:lineRule="auto"/>
        <w:rPr>
          <w:rFonts w:ascii="Microsoft New Tai Lue" w:hAnsi="Microsoft New Tai Lue" w:cs="Microsoft New Tai Lue"/>
        </w:rPr>
      </w:pPr>
      <w:r w:rsidRPr="007A72DB">
        <w:rPr>
          <w:rFonts w:ascii="Microsoft New Tai Lue" w:hAnsi="Microsoft New Tai Lue" w:cs="Microsoft New Tai Lue"/>
        </w:rPr>
        <w:t xml:space="preserve">It also reveals how social construction of citizenship meant women born in Australia, regardless of her parentage, received favourable treatment, and that a form of positive discrimination operated for women. This was never an intention of Hunt or others working with him. That women seem to have been allowed a far more racially inclusive version of subjecthood </w:t>
      </w:r>
      <w:r w:rsidR="00E56C30">
        <w:rPr>
          <w:rFonts w:ascii="Microsoft New Tai Lue" w:hAnsi="Microsoft New Tai Lue" w:cs="Microsoft New Tai Lue"/>
        </w:rPr>
        <w:t xml:space="preserve">than men </w:t>
      </w:r>
      <w:proofErr w:type="gramStart"/>
      <w:r w:rsidRPr="007A72DB">
        <w:rPr>
          <w:rFonts w:ascii="Microsoft New Tai Lue" w:hAnsi="Microsoft New Tai Lue" w:cs="Microsoft New Tai Lue"/>
        </w:rPr>
        <w:t>is</w:t>
      </w:r>
      <w:proofErr w:type="gramEnd"/>
      <w:r w:rsidRPr="007A72DB">
        <w:rPr>
          <w:rFonts w:ascii="Microsoft New Tai Lue" w:hAnsi="Microsoft New Tai Lue" w:cs="Microsoft New Tai Lue"/>
        </w:rPr>
        <w:t xml:space="preserve"> all the more surprising in this context, </w:t>
      </w:r>
      <w:r w:rsidRPr="007A72DB">
        <w:rPr>
          <w:rFonts w:ascii="Microsoft New Tai Lue" w:hAnsi="Microsoft New Tai Lue" w:cs="Microsoft New Tai Lue"/>
        </w:rPr>
        <w:lastRenderedPageBreak/>
        <w:t xml:space="preserve">given wider popular concerns about eugenics and miscegenation. Perhaps in a society which so often lacked female migrants, any married woman bearing children </w:t>
      </w:r>
      <w:r w:rsidR="00D176CC" w:rsidRPr="007A72DB">
        <w:rPr>
          <w:rFonts w:ascii="Microsoft New Tai Lue" w:hAnsi="Microsoft New Tai Lue" w:cs="Microsoft New Tai Lue"/>
        </w:rPr>
        <w:t xml:space="preserve">in Australia </w:t>
      </w:r>
      <w:r w:rsidRPr="007A72DB">
        <w:rPr>
          <w:rFonts w:ascii="Microsoft New Tai Lue" w:hAnsi="Microsoft New Tai Lue" w:cs="Microsoft New Tai Lue"/>
        </w:rPr>
        <w:t>was a good migrant.</w:t>
      </w:r>
      <w:r w:rsidR="00E56C30">
        <w:rPr>
          <w:rStyle w:val="EndnoteReference"/>
          <w:rFonts w:ascii="Microsoft New Tai Lue" w:hAnsi="Microsoft New Tai Lue" w:cs="Microsoft New Tai Lue"/>
        </w:rPr>
        <w:endnoteReference w:id="82"/>
      </w:r>
      <w:r w:rsidRPr="007A72DB">
        <w:rPr>
          <w:rFonts w:ascii="Microsoft New Tai Lue" w:hAnsi="Microsoft New Tai Lue" w:cs="Microsoft New Tai Lue"/>
        </w:rPr>
        <w:t xml:space="preserve"> </w:t>
      </w:r>
    </w:p>
    <w:p w14:paraId="00000077" w14:textId="77777777" w:rsidR="00794743" w:rsidRPr="007A72DB" w:rsidRDefault="006E0B52" w:rsidP="007A72DB">
      <w:pPr>
        <w:spacing w:line="360" w:lineRule="auto"/>
        <w:rPr>
          <w:rFonts w:ascii="Microsoft New Tai Lue" w:hAnsi="Microsoft New Tai Lue" w:cs="Microsoft New Tai Lue"/>
        </w:rPr>
      </w:pPr>
      <w:r w:rsidRPr="007A72DB">
        <w:rPr>
          <w:rFonts w:ascii="Microsoft New Tai Lue" w:hAnsi="Microsoft New Tai Lue" w:cs="Microsoft New Tai Lue"/>
          <w:highlight w:val="white"/>
        </w:rPr>
        <w:t xml:space="preserve"> </w:t>
      </w:r>
    </w:p>
    <w:p w14:paraId="00000078" w14:textId="77777777" w:rsidR="00794743" w:rsidRPr="009E0E7D" w:rsidRDefault="006E0B52" w:rsidP="007A72DB">
      <w:pPr>
        <w:pStyle w:val="Heading2"/>
        <w:spacing w:line="360" w:lineRule="auto"/>
        <w:rPr>
          <w:rFonts w:ascii="Microsoft New Tai Lue" w:hAnsi="Microsoft New Tai Lue" w:cs="Microsoft New Tai Lue"/>
          <w:b/>
          <w:bCs/>
          <w:color w:val="222222"/>
          <w:sz w:val="24"/>
          <w:szCs w:val="24"/>
          <w:highlight w:val="white"/>
        </w:rPr>
      </w:pPr>
      <w:bookmarkStart w:id="2" w:name="_f047jjqz3cyi" w:colFirst="0" w:colLast="0"/>
      <w:bookmarkEnd w:id="2"/>
      <w:r w:rsidRPr="009E0E7D">
        <w:rPr>
          <w:rFonts w:ascii="Microsoft New Tai Lue" w:hAnsi="Microsoft New Tai Lue" w:cs="Microsoft New Tai Lue"/>
          <w:b/>
          <w:bCs/>
          <w:sz w:val="24"/>
          <w:szCs w:val="24"/>
        </w:rPr>
        <w:t>Conclusion</w:t>
      </w:r>
    </w:p>
    <w:p w14:paraId="00000079" w14:textId="77777777" w:rsidR="00794743" w:rsidRPr="007A72DB" w:rsidRDefault="006E0B52" w:rsidP="007A72DB">
      <w:pPr>
        <w:spacing w:line="360" w:lineRule="auto"/>
        <w:rPr>
          <w:rFonts w:ascii="Microsoft New Tai Lue" w:hAnsi="Microsoft New Tai Lue" w:cs="Microsoft New Tai Lue"/>
        </w:rPr>
      </w:pPr>
      <w:r w:rsidRPr="007A72DB">
        <w:rPr>
          <w:rFonts w:ascii="Microsoft New Tai Lue" w:hAnsi="Microsoft New Tai Lue" w:cs="Microsoft New Tai Lue"/>
          <w:color w:val="222222"/>
          <w:highlight w:val="white"/>
        </w:rPr>
        <w:t xml:space="preserve">These case studies show how the issue of naturalisation in the early twentieth century reflects the complex ways in which citizenship and subjecthood were constructed, problematised, and reconfigured. Because of the specific British legal and constitutional context, how these things were imagined really mattered. </w:t>
      </w:r>
      <w:r w:rsidRPr="007A72DB">
        <w:rPr>
          <w:rFonts w:ascii="Microsoft New Tai Lue" w:hAnsi="Microsoft New Tai Lue" w:cs="Microsoft New Tai Lue"/>
        </w:rPr>
        <w:t xml:space="preserve">It is perhaps unsurprising that the people most susceptible to discriminatory practices under the naturalisation laws which existed in the empire were people whose claim to whiteness or Europeanness were debatable (such as Russian Jews or Syrians), or women, since the system was designed largely to accommodate men. The vague laws were fostered, not just to accommodate colonial racism, but were part of a much longer legal and constitutional tradition within Britain and its empire. </w:t>
      </w:r>
    </w:p>
    <w:p w14:paraId="0000007A" w14:textId="77777777" w:rsidR="00794743" w:rsidRPr="007A72DB" w:rsidRDefault="00794743" w:rsidP="007A72DB">
      <w:pPr>
        <w:spacing w:line="360" w:lineRule="auto"/>
        <w:rPr>
          <w:rFonts w:ascii="Microsoft New Tai Lue" w:hAnsi="Microsoft New Tai Lue" w:cs="Microsoft New Tai Lue"/>
        </w:rPr>
      </w:pPr>
    </w:p>
    <w:p w14:paraId="0000007B" w14:textId="2492C0C2" w:rsidR="00794743" w:rsidRPr="007A72DB" w:rsidRDefault="006E0B52" w:rsidP="007A72DB">
      <w:pPr>
        <w:spacing w:line="360" w:lineRule="auto"/>
        <w:rPr>
          <w:rFonts w:ascii="Microsoft New Tai Lue" w:hAnsi="Microsoft New Tai Lue" w:cs="Microsoft New Tai Lue"/>
        </w:rPr>
      </w:pPr>
      <w:r w:rsidRPr="007A72DB">
        <w:rPr>
          <w:rFonts w:ascii="Microsoft New Tai Lue" w:hAnsi="Microsoft New Tai Lue" w:cs="Microsoft New Tai Lue"/>
        </w:rPr>
        <w:t>As settler colonies introduced new rights and duties, connected at least tenuously to local citizenship, citizenship became highly contentious (and, while I have not had space to discuss it here, more desirable for migrants themselves</w:t>
      </w:r>
      <w:r w:rsidR="00047CA9" w:rsidRPr="007A72DB">
        <w:rPr>
          <w:rFonts w:ascii="Microsoft New Tai Lue" w:hAnsi="Microsoft New Tai Lue" w:cs="Microsoft New Tai Lue"/>
          <w:color w:val="222222"/>
          <w:highlight w:val="white"/>
          <w:vertAlign w:val="superscript"/>
        </w:rPr>
        <w:endnoteReference w:id="83"/>
      </w:r>
      <w:r w:rsidR="00047CA9" w:rsidRPr="007A72DB">
        <w:rPr>
          <w:rFonts w:ascii="Microsoft New Tai Lue" w:hAnsi="Microsoft New Tai Lue" w:cs="Microsoft New Tai Lue"/>
        </w:rPr>
        <w:t>)</w:t>
      </w:r>
      <w:r w:rsidRPr="007A72DB">
        <w:rPr>
          <w:rFonts w:ascii="Microsoft New Tai Lue" w:hAnsi="Microsoft New Tai Lue" w:cs="Microsoft New Tai Lue"/>
        </w:rPr>
        <w:t xml:space="preserve">. </w:t>
      </w:r>
      <w:r w:rsidRPr="007A72DB">
        <w:rPr>
          <w:rFonts w:ascii="Microsoft New Tai Lue" w:hAnsi="Microsoft New Tai Lue" w:cs="Microsoft New Tai Lue"/>
          <w:color w:val="262626"/>
        </w:rPr>
        <w:t>W</w:t>
      </w:r>
      <w:r w:rsidRPr="007A72DB">
        <w:rPr>
          <w:rFonts w:ascii="Microsoft New Tai Lue" w:hAnsi="Microsoft New Tai Lue" w:cs="Microsoft New Tai Lue"/>
          <w:color w:val="222222"/>
          <w:highlight w:val="white"/>
        </w:rPr>
        <w:t xml:space="preserve">ho was entitled to legal citizenship, as well as the rights and duties associated with citizenship, were left to individual bureaucrats, government ministers, the odd external agents like the Jewish Board of Deputies, and occasional judicial </w:t>
      </w:r>
      <w:proofErr w:type="gramStart"/>
      <w:r w:rsidRPr="007A72DB">
        <w:rPr>
          <w:rFonts w:ascii="Microsoft New Tai Lue" w:hAnsi="Microsoft New Tai Lue" w:cs="Microsoft New Tai Lue"/>
          <w:color w:val="222222"/>
          <w:highlight w:val="white"/>
        </w:rPr>
        <w:t>review.</w:t>
      </w:r>
      <w:proofErr w:type="gramEnd"/>
      <w:r w:rsidRPr="007A72DB">
        <w:rPr>
          <w:rFonts w:ascii="Microsoft New Tai Lue" w:hAnsi="Microsoft New Tai Lue" w:cs="Microsoft New Tai Lue"/>
          <w:color w:val="222222"/>
          <w:highlight w:val="white"/>
        </w:rPr>
        <w:t xml:space="preserve"> </w:t>
      </w:r>
      <w:r w:rsidRPr="007A72DB">
        <w:rPr>
          <w:rFonts w:ascii="Microsoft New Tai Lue" w:hAnsi="Microsoft New Tai Lue" w:cs="Microsoft New Tai Lue"/>
        </w:rPr>
        <w:t xml:space="preserve">A ‘common code’ was never possible, but Greater Britain was united in having systems that relied on the personal judgements and prejudices (conscious and unconscious), from a variety of official and unofficial border agents. </w:t>
      </w:r>
    </w:p>
    <w:p w14:paraId="0000007C" w14:textId="77777777" w:rsidR="00794743" w:rsidRPr="007A72DB" w:rsidRDefault="00794743" w:rsidP="007A72DB">
      <w:pPr>
        <w:spacing w:line="360" w:lineRule="auto"/>
        <w:rPr>
          <w:rFonts w:ascii="Microsoft New Tai Lue" w:hAnsi="Microsoft New Tai Lue" w:cs="Microsoft New Tai Lue"/>
        </w:rPr>
      </w:pPr>
    </w:p>
    <w:p w14:paraId="0000007D" w14:textId="77777777" w:rsidR="00794743" w:rsidRPr="007A72DB" w:rsidRDefault="006E0B52" w:rsidP="007A72DB">
      <w:pPr>
        <w:spacing w:line="360" w:lineRule="auto"/>
        <w:rPr>
          <w:rFonts w:ascii="Microsoft New Tai Lue" w:hAnsi="Microsoft New Tai Lue" w:cs="Microsoft New Tai Lue"/>
        </w:rPr>
      </w:pPr>
      <w:r w:rsidRPr="007A72DB">
        <w:rPr>
          <w:rFonts w:ascii="Microsoft New Tai Lue" w:hAnsi="Microsoft New Tai Lue" w:cs="Microsoft New Tai Lue"/>
        </w:rPr>
        <w:t xml:space="preserve">This was a distinctly British system, one which has to be distinguished from other legal systems at the time, such as that which developed in the United States. While </w:t>
      </w:r>
      <w:r w:rsidRPr="007A72DB">
        <w:rPr>
          <w:rFonts w:ascii="Microsoft New Tai Lue" w:hAnsi="Microsoft New Tai Lue" w:cs="Microsoft New Tai Lue"/>
        </w:rPr>
        <w:lastRenderedPageBreak/>
        <w:t xml:space="preserve">the language of whiteness and focus on Asian exclusion were common issues in all of these settler societies, the legal and unwritten constitutional boundaries of the British empire ultimately did matter when it came to citizenship. That citizenship did not actually exist, that this was an exercise of contemporary imagination as legal interpretation, does not diminish the import of considering these local examples and how they fit within the imperial and global dimensions of citizenship and migration control in the early twentieth century. </w:t>
      </w:r>
    </w:p>
    <w:p w14:paraId="0000007E" w14:textId="77777777" w:rsidR="00794743" w:rsidRPr="007A72DB" w:rsidRDefault="00794743" w:rsidP="007A72DB">
      <w:pPr>
        <w:spacing w:line="360" w:lineRule="auto"/>
        <w:rPr>
          <w:rFonts w:ascii="Microsoft New Tai Lue" w:hAnsi="Microsoft New Tai Lue" w:cs="Microsoft New Tai Lue"/>
        </w:rPr>
      </w:pPr>
    </w:p>
    <w:p w14:paraId="0000007F" w14:textId="4922BD97" w:rsidR="00794743" w:rsidRPr="007A72DB" w:rsidRDefault="006E0B52" w:rsidP="007A72DB">
      <w:pPr>
        <w:spacing w:line="360" w:lineRule="auto"/>
        <w:rPr>
          <w:rFonts w:ascii="Microsoft New Tai Lue" w:hAnsi="Microsoft New Tai Lue" w:cs="Microsoft New Tai Lue"/>
          <w:color w:val="222222"/>
          <w:highlight w:val="white"/>
        </w:rPr>
      </w:pPr>
      <w:r w:rsidRPr="007A72DB">
        <w:rPr>
          <w:rFonts w:ascii="Microsoft New Tai Lue" w:hAnsi="Microsoft New Tai Lue" w:cs="Microsoft New Tai Lue"/>
          <w:color w:val="222222"/>
          <w:highlight w:val="white"/>
        </w:rPr>
        <w:t>Examining South Africa and Australia together can also help scholars better understand the global system of migration control which developed, and which still exists. While the more overtly racist and sexist discriminatory laws of the past have disappeared, the discretionary powers given to border officials are still largely in place. Once we realise that the ‘</w:t>
      </w:r>
      <w:proofErr w:type="spellStart"/>
      <w:r w:rsidRPr="007A72DB">
        <w:rPr>
          <w:rFonts w:ascii="Microsoft New Tai Lue" w:hAnsi="Microsoft New Tai Lue" w:cs="Microsoft New Tai Lue"/>
          <w:color w:val="222222"/>
          <w:highlight w:val="white"/>
        </w:rPr>
        <w:t>color</w:t>
      </w:r>
      <w:proofErr w:type="spellEnd"/>
      <w:r w:rsidRPr="007A72DB">
        <w:rPr>
          <w:rFonts w:ascii="Microsoft New Tai Lue" w:hAnsi="Microsoft New Tai Lue" w:cs="Microsoft New Tai Lue"/>
          <w:color w:val="222222"/>
          <w:highlight w:val="white"/>
        </w:rPr>
        <w:t xml:space="preserve"> line’ which developed in the late nineteenth and early twentieth centuries </w:t>
      </w:r>
      <w:proofErr w:type="gramStart"/>
      <w:r w:rsidRPr="007A72DB">
        <w:rPr>
          <w:rFonts w:ascii="Microsoft New Tai Lue" w:hAnsi="Microsoft New Tai Lue" w:cs="Microsoft New Tai Lue"/>
          <w:color w:val="222222"/>
          <w:highlight w:val="white"/>
        </w:rPr>
        <w:t>was</w:t>
      </w:r>
      <w:proofErr w:type="gramEnd"/>
      <w:r w:rsidRPr="007A72DB">
        <w:rPr>
          <w:rFonts w:ascii="Microsoft New Tai Lue" w:hAnsi="Microsoft New Tai Lue" w:cs="Microsoft New Tai Lue"/>
          <w:color w:val="222222"/>
          <w:highlight w:val="white"/>
        </w:rPr>
        <w:t xml:space="preserve"> less a system of laws and more of a constant negotiation between different actors, we can begin to recognise that such a system still exists and is still open to manipulation and discrimination. And while we may never have a definitive answer to the question of how British the British world was, the vague legal underpinnings of nationhood, citizenship and naturalisation were decidedly British. In many former colonies and in Britain itself, those vague legal underpinnings remain.</w:t>
      </w:r>
    </w:p>
    <w:sectPr w:rsidR="00794743" w:rsidRPr="007A72DB">
      <w:headerReference w:type="default" r:id="rId8"/>
      <w:footerReference w:type="default" r:id="rId9"/>
      <w:endnotePr>
        <w:numFmt w:val="decimal"/>
      </w:endnotePr>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B46398" w14:textId="77777777" w:rsidR="008306FC" w:rsidRDefault="008306FC">
      <w:r>
        <w:separator/>
      </w:r>
    </w:p>
  </w:endnote>
  <w:endnote w:type="continuationSeparator" w:id="0">
    <w:p w14:paraId="5C76DF92" w14:textId="77777777" w:rsidR="008306FC" w:rsidRDefault="008306FC">
      <w:r>
        <w:continuationSeparator/>
      </w:r>
    </w:p>
  </w:endnote>
  <w:endnote w:id="1">
    <w:p w14:paraId="7F75BABD" w14:textId="5370360D" w:rsidR="00AE7548" w:rsidRPr="00944557" w:rsidRDefault="00AE7548" w:rsidP="00944557">
      <w:pPr>
        <w:rPr>
          <w:rFonts w:ascii="Arial" w:hAnsi="Arial" w:cs="Arial"/>
          <w:sz w:val="20"/>
          <w:szCs w:val="20"/>
        </w:rPr>
      </w:pPr>
      <w:r w:rsidRPr="00944557">
        <w:rPr>
          <w:rStyle w:val="EndnoteReference"/>
          <w:rFonts w:ascii="Arial" w:hAnsi="Arial" w:cs="Arial"/>
          <w:sz w:val="20"/>
          <w:szCs w:val="20"/>
        </w:rPr>
        <w:endnoteRef/>
      </w:r>
      <w:r w:rsidRPr="00944557">
        <w:rPr>
          <w:rFonts w:ascii="Arial" w:hAnsi="Arial" w:cs="Arial"/>
          <w:sz w:val="20"/>
          <w:szCs w:val="20"/>
        </w:rPr>
        <w:t xml:space="preserve"> Bright</w:t>
      </w:r>
      <w:r w:rsidR="00046835">
        <w:rPr>
          <w:rFonts w:ascii="Arial" w:hAnsi="Arial" w:cs="Arial"/>
          <w:sz w:val="20"/>
          <w:szCs w:val="20"/>
        </w:rPr>
        <w:t xml:space="preserve"> </w:t>
      </w:r>
      <w:r w:rsidRPr="00944557">
        <w:rPr>
          <w:rFonts w:ascii="Arial" w:hAnsi="Arial" w:cs="Arial"/>
          <w:sz w:val="20"/>
          <w:szCs w:val="20"/>
        </w:rPr>
        <w:t xml:space="preserve">and Dilley, </w:t>
      </w:r>
      <w:r w:rsidR="00944557" w:rsidRPr="00944557">
        <w:rPr>
          <w:rFonts w:ascii="Arial" w:hAnsi="Arial" w:cs="Arial"/>
          <w:color w:val="000000"/>
          <w:sz w:val="20"/>
          <w:szCs w:val="20"/>
        </w:rPr>
        <w:t>‘After the British World’,</w:t>
      </w:r>
      <w:r w:rsidR="00944557" w:rsidRPr="00944557">
        <w:rPr>
          <w:rFonts w:ascii="Arial" w:hAnsi="Arial" w:cs="Arial"/>
          <w:color w:val="000000"/>
          <w:sz w:val="20"/>
          <w:szCs w:val="20"/>
        </w:rPr>
        <w:t xml:space="preserve"> </w:t>
      </w:r>
      <w:r w:rsidR="00046835">
        <w:rPr>
          <w:rFonts w:ascii="Arial" w:hAnsi="Arial" w:cs="Arial"/>
          <w:color w:val="000000"/>
          <w:sz w:val="20"/>
          <w:szCs w:val="20"/>
        </w:rPr>
        <w:t>p.</w:t>
      </w:r>
      <w:r w:rsidR="00944557" w:rsidRPr="00944557">
        <w:rPr>
          <w:rFonts w:ascii="Arial" w:hAnsi="Arial" w:cs="Arial"/>
          <w:color w:val="000000"/>
          <w:sz w:val="20"/>
          <w:szCs w:val="20"/>
        </w:rPr>
        <w:t>547-568</w:t>
      </w:r>
      <w:r w:rsidR="00944557" w:rsidRPr="00944557">
        <w:rPr>
          <w:rFonts w:ascii="Arial" w:hAnsi="Arial" w:cs="Arial"/>
          <w:color w:val="000000"/>
          <w:sz w:val="20"/>
          <w:szCs w:val="20"/>
        </w:rPr>
        <w:t>.</w:t>
      </w:r>
    </w:p>
  </w:endnote>
  <w:endnote w:id="2">
    <w:p w14:paraId="70E44C88" w14:textId="77777777" w:rsidR="00AE7548" w:rsidRPr="003D07A0" w:rsidRDefault="00AE7548" w:rsidP="005E359B">
      <w:pPr>
        <w:rPr>
          <w:rFonts w:ascii="Arial" w:eastAsia="Calibri" w:hAnsi="Arial" w:cs="Arial"/>
          <w:sz w:val="20"/>
          <w:szCs w:val="20"/>
        </w:rPr>
      </w:pPr>
      <w:r w:rsidRPr="003D07A0">
        <w:rPr>
          <w:rFonts w:ascii="Arial" w:hAnsi="Arial" w:cs="Arial"/>
          <w:sz w:val="20"/>
          <w:szCs w:val="20"/>
          <w:vertAlign w:val="superscript"/>
        </w:rPr>
        <w:endnoteRef/>
      </w:r>
      <w:r w:rsidRPr="003D07A0">
        <w:rPr>
          <w:rFonts w:ascii="Arial" w:eastAsia="Calibri" w:hAnsi="Arial" w:cs="Arial"/>
          <w:sz w:val="20"/>
          <w:szCs w:val="20"/>
        </w:rPr>
        <w:t xml:space="preserve"> </w:t>
      </w:r>
      <w:proofErr w:type="spellStart"/>
      <w:r w:rsidRPr="003D07A0">
        <w:rPr>
          <w:rFonts w:ascii="Arial" w:eastAsia="Calibri" w:hAnsi="Arial" w:cs="Arial"/>
          <w:sz w:val="20"/>
          <w:szCs w:val="20"/>
        </w:rPr>
        <w:t>Torpey</w:t>
      </w:r>
      <w:proofErr w:type="spellEnd"/>
      <w:r w:rsidRPr="003D07A0">
        <w:rPr>
          <w:rFonts w:ascii="Arial" w:eastAsia="Calibri" w:hAnsi="Arial" w:cs="Arial"/>
          <w:sz w:val="20"/>
          <w:szCs w:val="20"/>
        </w:rPr>
        <w:t xml:space="preserve">, </w:t>
      </w:r>
      <w:r w:rsidRPr="003D07A0">
        <w:rPr>
          <w:rFonts w:ascii="Arial" w:eastAsia="Calibri" w:hAnsi="Arial" w:cs="Arial"/>
          <w:i/>
          <w:sz w:val="20"/>
          <w:szCs w:val="20"/>
          <w:highlight w:val="white"/>
        </w:rPr>
        <w:t>The invention of the passport</w:t>
      </w:r>
      <w:r w:rsidRPr="003D07A0">
        <w:rPr>
          <w:rFonts w:ascii="Arial" w:eastAsia="Calibri" w:hAnsi="Arial" w:cs="Arial"/>
          <w:sz w:val="20"/>
          <w:szCs w:val="20"/>
        </w:rPr>
        <w:t xml:space="preserve">; </w:t>
      </w:r>
      <w:proofErr w:type="spellStart"/>
      <w:r w:rsidRPr="003D07A0">
        <w:rPr>
          <w:rFonts w:ascii="Arial" w:eastAsia="Calibri" w:hAnsi="Arial" w:cs="Arial"/>
          <w:sz w:val="20"/>
          <w:szCs w:val="20"/>
        </w:rPr>
        <w:t>Doulman</w:t>
      </w:r>
      <w:proofErr w:type="spellEnd"/>
      <w:r w:rsidRPr="003D07A0">
        <w:rPr>
          <w:rFonts w:ascii="Arial" w:eastAsia="Calibri" w:hAnsi="Arial" w:cs="Arial"/>
          <w:sz w:val="20"/>
          <w:szCs w:val="20"/>
        </w:rPr>
        <w:t xml:space="preserve"> and Lee, </w:t>
      </w:r>
      <w:r w:rsidRPr="003D07A0">
        <w:rPr>
          <w:rFonts w:ascii="Arial" w:eastAsia="Calibri" w:hAnsi="Arial" w:cs="Arial"/>
          <w:i/>
          <w:sz w:val="20"/>
          <w:szCs w:val="20"/>
        </w:rPr>
        <w:t>Every Assistance &amp; Protection</w:t>
      </w:r>
      <w:r w:rsidRPr="003D07A0">
        <w:rPr>
          <w:rFonts w:ascii="Arial" w:eastAsia="Calibri" w:hAnsi="Arial" w:cs="Arial"/>
          <w:sz w:val="20"/>
          <w:szCs w:val="20"/>
        </w:rPr>
        <w:t xml:space="preserve">; Singha, ‘The Great War and a “Proper” Passport for the Colony; Stepan, </w:t>
      </w:r>
      <w:r w:rsidRPr="003D07A0">
        <w:rPr>
          <w:rFonts w:ascii="Arial" w:eastAsia="Calibri" w:hAnsi="Arial" w:cs="Arial"/>
          <w:i/>
          <w:sz w:val="20"/>
          <w:szCs w:val="20"/>
        </w:rPr>
        <w:t>'The Hour of Eugenics'</w:t>
      </w:r>
      <w:r w:rsidRPr="003D07A0">
        <w:rPr>
          <w:rFonts w:ascii="Arial" w:eastAsia="Calibri" w:hAnsi="Arial" w:cs="Arial"/>
          <w:sz w:val="20"/>
          <w:szCs w:val="20"/>
        </w:rPr>
        <w:t xml:space="preserve">; Kraut, </w:t>
      </w:r>
      <w:r w:rsidRPr="003D07A0">
        <w:rPr>
          <w:rFonts w:ascii="Arial" w:eastAsia="Calibri" w:hAnsi="Arial" w:cs="Arial"/>
          <w:i/>
          <w:sz w:val="20"/>
          <w:szCs w:val="20"/>
        </w:rPr>
        <w:t xml:space="preserve">Silent Travellers; </w:t>
      </w:r>
      <w:proofErr w:type="spellStart"/>
      <w:r w:rsidRPr="003D07A0">
        <w:rPr>
          <w:rFonts w:ascii="Arial" w:eastAsia="Calibri" w:hAnsi="Arial" w:cs="Arial"/>
          <w:sz w:val="20"/>
          <w:szCs w:val="20"/>
        </w:rPr>
        <w:t>Donnan</w:t>
      </w:r>
      <w:proofErr w:type="spellEnd"/>
      <w:r w:rsidRPr="003D07A0">
        <w:rPr>
          <w:rFonts w:ascii="Arial" w:eastAsia="Calibri" w:hAnsi="Arial" w:cs="Arial"/>
          <w:sz w:val="20"/>
          <w:szCs w:val="20"/>
        </w:rPr>
        <w:t xml:space="preserve"> and Wilson, </w:t>
      </w:r>
      <w:r w:rsidRPr="003D07A0">
        <w:rPr>
          <w:rFonts w:ascii="Arial" w:eastAsia="Calibri" w:hAnsi="Arial" w:cs="Arial"/>
          <w:i/>
          <w:sz w:val="20"/>
          <w:szCs w:val="20"/>
        </w:rPr>
        <w:t xml:space="preserve">Border Identities; </w:t>
      </w:r>
      <w:r w:rsidRPr="003D07A0">
        <w:rPr>
          <w:rFonts w:ascii="Arial" w:eastAsia="Calibri" w:hAnsi="Arial" w:cs="Arial"/>
          <w:sz w:val="20"/>
          <w:szCs w:val="20"/>
        </w:rPr>
        <w:t xml:space="preserve">Caplan and </w:t>
      </w:r>
      <w:proofErr w:type="spellStart"/>
      <w:r w:rsidRPr="003D07A0">
        <w:rPr>
          <w:rFonts w:ascii="Arial" w:eastAsia="Calibri" w:hAnsi="Arial" w:cs="Arial"/>
          <w:sz w:val="20"/>
          <w:szCs w:val="20"/>
        </w:rPr>
        <w:t>Torpey</w:t>
      </w:r>
      <w:proofErr w:type="spellEnd"/>
      <w:r w:rsidRPr="003D07A0">
        <w:rPr>
          <w:rFonts w:ascii="Arial" w:eastAsia="Calibri" w:hAnsi="Arial" w:cs="Arial"/>
          <w:sz w:val="20"/>
          <w:szCs w:val="20"/>
        </w:rPr>
        <w:t xml:space="preserve"> (eds.), </w:t>
      </w:r>
      <w:r w:rsidRPr="003D07A0">
        <w:rPr>
          <w:rFonts w:ascii="Arial" w:eastAsia="Calibri" w:hAnsi="Arial" w:cs="Arial"/>
          <w:i/>
          <w:sz w:val="20"/>
          <w:szCs w:val="20"/>
        </w:rPr>
        <w:t>Documenting Individual Identity</w:t>
      </w:r>
      <w:r w:rsidRPr="003D07A0">
        <w:rPr>
          <w:rFonts w:ascii="Arial" w:eastAsia="Calibri" w:hAnsi="Arial" w:cs="Arial"/>
          <w:sz w:val="20"/>
          <w:szCs w:val="20"/>
        </w:rPr>
        <w:t xml:space="preserve">; Fairchild, </w:t>
      </w:r>
      <w:r w:rsidRPr="003D07A0">
        <w:rPr>
          <w:rFonts w:ascii="Arial" w:eastAsia="Calibri" w:hAnsi="Arial" w:cs="Arial"/>
          <w:i/>
          <w:sz w:val="20"/>
          <w:szCs w:val="20"/>
        </w:rPr>
        <w:t>Science at the Borders</w:t>
      </w:r>
      <w:r w:rsidRPr="003D07A0">
        <w:rPr>
          <w:rFonts w:ascii="Arial" w:eastAsia="Calibri" w:hAnsi="Arial" w:cs="Arial"/>
          <w:sz w:val="20"/>
          <w:szCs w:val="20"/>
        </w:rPr>
        <w:t xml:space="preserve">; McKeown, </w:t>
      </w:r>
      <w:r w:rsidRPr="003D07A0">
        <w:rPr>
          <w:rFonts w:ascii="Arial" w:eastAsia="Calibri" w:hAnsi="Arial" w:cs="Arial"/>
          <w:i/>
          <w:sz w:val="20"/>
          <w:szCs w:val="20"/>
        </w:rPr>
        <w:t>Melancholy Order</w:t>
      </w:r>
      <w:r w:rsidRPr="003D07A0">
        <w:rPr>
          <w:rFonts w:ascii="Arial" w:eastAsia="Calibri" w:hAnsi="Arial" w:cs="Arial"/>
          <w:sz w:val="20"/>
          <w:szCs w:val="20"/>
        </w:rPr>
        <w:t xml:space="preserve">; Lake and Reynolds, </w:t>
      </w:r>
      <w:r w:rsidRPr="003D07A0">
        <w:rPr>
          <w:rFonts w:ascii="Arial" w:eastAsia="Calibri" w:hAnsi="Arial" w:cs="Arial"/>
          <w:i/>
          <w:sz w:val="20"/>
          <w:szCs w:val="20"/>
        </w:rPr>
        <w:t>Drawing the Global Colour Line</w:t>
      </w:r>
      <w:r w:rsidRPr="003D07A0">
        <w:rPr>
          <w:rFonts w:ascii="Arial" w:eastAsia="Calibri" w:hAnsi="Arial" w:cs="Arial"/>
          <w:sz w:val="20"/>
          <w:szCs w:val="20"/>
        </w:rPr>
        <w:t xml:space="preserve">; Castles and Miller, </w:t>
      </w:r>
      <w:r w:rsidRPr="003D07A0">
        <w:rPr>
          <w:rFonts w:ascii="Arial" w:eastAsia="Calibri" w:hAnsi="Arial" w:cs="Arial"/>
          <w:i/>
          <w:sz w:val="20"/>
          <w:szCs w:val="20"/>
        </w:rPr>
        <w:t>The Age of Migration:</w:t>
      </w:r>
      <w:r w:rsidRPr="003D07A0">
        <w:rPr>
          <w:rFonts w:ascii="Arial" w:eastAsia="Calibri" w:hAnsi="Arial" w:cs="Arial"/>
          <w:sz w:val="20"/>
          <w:szCs w:val="20"/>
        </w:rPr>
        <w:t xml:space="preserve"> </w:t>
      </w:r>
      <w:r w:rsidRPr="003D07A0">
        <w:rPr>
          <w:rFonts w:ascii="Arial" w:eastAsia="Calibri" w:hAnsi="Arial" w:cs="Arial"/>
          <w:sz w:val="20"/>
          <w:szCs w:val="20"/>
          <w:highlight w:val="white"/>
        </w:rPr>
        <w:t xml:space="preserve">Robertson, </w:t>
      </w:r>
      <w:r w:rsidRPr="003D07A0">
        <w:rPr>
          <w:rFonts w:ascii="Arial" w:eastAsia="Calibri" w:hAnsi="Arial" w:cs="Arial"/>
          <w:i/>
          <w:sz w:val="20"/>
          <w:szCs w:val="20"/>
          <w:highlight w:val="white"/>
        </w:rPr>
        <w:t>Passport in America</w:t>
      </w:r>
      <w:r w:rsidRPr="003D07A0">
        <w:rPr>
          <w:rFonts w:ascii="Arial" w:eastAsia="Calibri" w:hAnsi="Arial" w:cs="Arial"/>
          <w:i/>
          <w:sz w:val="20"/>
          <w:szCs w:val="20"/>
        </w:rPr>
        <w:t xml:space="preserve">; </w:t>
      </w:r>
      <w:r w:rsidRPr="003D07A0">
        <w:rPr>
          <w:rFonts w:ascii="Arial" w:eastAsia="Calibri" w:hAnsi="Arial" w:cs="Arial"/>
          <w:sz w:val="20"/>
          <w:szCs w:val="20"/>
        </w:rPr>
        <w:t xml:space="preserve">Breckenridge and </w:t>
      </w:r>
      <w:proofErr w:type="spellStart"/>
      <w:r w:rsidRPr="003D07A0">
        <w:rPr>
          <w:rFonts w:ascii="Arial" w:eastAsia="Calibri" w:hAnsi="Arial" w:cs="Arial"/>
          <w:sz w:val="20"/>
          <w:szCs w:val="20"/>
        </w:rPr>
        <w:t>Szreter</w:t>
      </w:r>
      <w:proofErr w:type="spellEnd"/>
      <w:r w:rsidRPr="003D07A0">
        <w:rPr>
          <w:rFonts w:ascii="Arial" w:eastAsia="Calibri" w:hAnsi="Arial" w:cs="Arial"/>
          <w:sz w:val="20"/>
          <w:szCs w:val="20"/>
        </w:rPr>
        <w:t xml:space="preserve"> (eds.) </w:t>
      </w:r>
      <w:r w:rsidRPr="003D07A0">
        <w:rPr>
          <w:rFonts w:ascii="Arial" w:eastAsia="Calibri" w:hAnsi="Arial" w:cs="Arial"/>
          <w:i/>
          <w:sz w:val="20"/>
          <w:szCs w:val="20"/>
        </w:rPr>
        <w:t xml:space="preserve">Recognition and Registration; </w:t>
      </w:r>
      <w:r w:rsidRPr="003D07A0">
        <w:rPr>
          <w:rFonts w:ascii="Arial" w:eastAsia="Calibri" w:hAnsi="Arial" w:cs="Arial"/>
          <w:sz w:val="20"/>
          <w:szCs w:val="20"/>
        </w:rPr>
        <w:t xml:space="preserve">Bashford (ed.), </w:t>
      </w:r>
      <w:r w:rsidRPr="003D07A0">
        <w:rPr>
          <w:rFonts w:ascii="Arial" w:eastAsia="Calibri" w:hAnsi="Arial" w:cs="Arial"/>
          <w:i/>
          <w:sz w:val="20"/>
          <w:szCs w:val="20"/>
        </w:rPr>
        <w:t>Medicine at the Border</w:t>
      </w:r>
      <w:r w:rsidRPr="003D07A0">
        <w:rPr>
          <w:rFonts w:ascii="Arial" w:eastAsia="Calibri" w:hAnsi="Arial" w:cs="Arial"/>
          <w:sz w:val="20"/>
          <w:szCs w:val="20"/>
        </w:rPr>
        <w:t xml:space="preserve">; Taylor, ‘Immigration, Statecraft and Public Health’. </w:t>
      </w:r>
    </w:p>
  </w:endnote>
  <w:endnote w:id="3">
    <w:p w14:paraId="00000082" w14:textId="44874862" w:rsidR="00AE7548" w:rsidRPr="003D07A0" w:rsidRDefault="00AE7548">
      <w:pPr>
        <w:rPr>
          <w:rFonts w:ascii="Arial" w:eastAsia="Calibri" w:hAnsi="Arial" w:cs="Arial"/>
          <w:sz w:val="20"/>
          <w:szCs w:val="20"/>
        </w:rPr>
      </w:pPr>
      <w:r w:rsidRPr="003D07A0">
        <w:rPr>
          <w:rFonts w:ascii="Arial" w:hAnsi="Arial" w:cs="Arial"/>
          <w:sz w:val="20"/>
          <w:szCs w:val="20"/>
          <w:vertAlign w:val="superscript"/>
        </w:rPr>
        <w:endnoteRef/>
      </w:r>
      <w:r w:rsidRPr="003D07A0">
        <w:rPr>
          <w:rFonts w:ascii="Arial" w:hAnsi="Arial" w:cs="Arial"/>
          <w:sz w:val="20"/>
          <w:szCs w:val="20"/>
        </w:rPr>
        <w:t xml:space="preserve"> </w:t>
      </w:r>
      <w:r w:rsidRPr="003D07A0">
        <w:rPr>
          <w:rFonts w:ascii="Arial" w:eastAsia="Calibri" w:hAnsi="Arial" w:cs="Arial"/>
          <w:sz w:val="20"/>
          <w:szCs w:val="20"/>
        </w:rPr>
        <w:t xml:space="preserve">Lake and Reynolds, </w:t>
      </w:r>
      <w:r w:rsidRPr="003D07A0">
        <w:rPr>
          <w:rFonts w:ascii="Arial" w:eastAsia="Calibri" w:hAnsi="Arial" w:cs="Arial"/>
          <w:i/>
          <w:sz w:val="20"/>
          <w:szCs w:val="20"/>
        </w:rPr>
        <w:t>Drawing the Global Colour Line</w:t>
      </w:r>
      <w:r w:rsidRPr="003D07A0">
        <w:rPr>
          <w:rFonts w:ascii="Arial" w:eastAsia="Calibri" w:hAnsi="Arial" w:cs="Arial"/>
          <w:sz w:val="20"/>
          <w:szCs w:val="20"/>
        </w:rPr>
        <w:t xml:space="preserve">. They borrowed this term from W. E. B. Du </w:t>
      </w:r>
      <w:proofErr w:type="spellStart"/>
      <w:r w:rsidRPr="003D07A0">
        <w:rPr>
          <w:rFonts w:ascii="Arial" w:eastAsia="Calibri" w:hAnsi="Arial" w:cs="Arial"/>
          <w:sz w:val="20"/>
          <w:szCs w:val="20"/>
        </w:rPr>
        <w:t>Bois</w:t>
      </w:r>
      <w:proofErr w:type="spellEnd"/>
      <w:r w:rsidRPr="003D07A0">
        <w:rPr>
          <w:rFonts w:ascii="Arial" w:eastAsia="Calibri" w:hAnsi="Arial" w:cs="Arial"/>
          <w:sz w:val="20"/>
          <w:szCs w:val="20"/>
        </w:rPr>
        <w:t xml:space="preserve">, </w:t>
      </w:r>
      <w:r w:rsidRPr="003D07A0">
        <w:rPr>
          <w:rFonts w:ascii="Arial" w:eastAsia="Calibri" w:hAnsi="Arial" w:cs="Arial"/>
          <w:i/>
          <w:sz w:val="20"/>
          <w:szCs w:val="20"/>
        </w:rPr>
        <w:t xml:space="preserve">The Souls of Black Folk </w:t>
      </w:r>
      <w:r w:rsidRPr="003D07A0">
        <w:rPr>
          <w:rFonts w:ascii="Arial" w:eastAsia="Calibri" w:hAnsi="Arial" w:cs="Arial"/>
          <w:sz w:val="20"/>
          <w:szCs w:val="20"/>
        </w:rPr>
        <w:t>(1903).</w:t>
      </w:r>
    </w:p>
  </w:endnote>
  <w:endnote w:id="4">
    <w:p w14:paraId="000000AD" w14:textId="6674C737" w:rsidR="00AE7548" w:rsidRPr="003D07A0" w:rsidRDefault="00AE7548">
      <w:pPr>
        <w:rPr>
          <w:rFonts w:ascii="Arial" w:eastAsia="Calibri" w:hAnsi="Arial" w:cs="Arial"/>
          <w:sz w:val="20"/>
          <w:szCs w:val="20"/>
        </w:rPr>
      </w:pPr>
      <w:r w:rsidRPr="003D07A0">
        <w:rPr>
          <w:rFonts w:ascii="Arial" w:hAnsi="Arial" w:cs="Arial"/>
          <w:sz w:val="20"/>
          <w:szCs w:val="20"/>
          <w:vertAlign w:val="superscript"/>
        </w:rPr>
        <w:endnoteRef/>
      </w:r>
      <w:r w:rsidRPr="003D07A0">
        <w:rPr>
          <w:rFonts w:ascii="Arial" w:hAnsi="Arial" w:cs="Arial"/>
          <w:sz w:val="20"/>
          <w:szCs w:val="20"/>
        </w:rPr>
        <w:t xml:space="preserve"> </w:t>
      </w:r>
      <w:r w:rsidRPr="003D07A0">
        <w:rPr>
          <w:rFonts w:ascii="Arial" w:eastAsia="Calibri" w:hAnsi="Arial" w:cs="Arial"/>
          <w:color w:val="222222"/>
          <w:sz w:val="20"/>
          <w:szCs w:val="20"/>
          <w:highlight w:val="white"/>
        </w:rPr>
        <w:t>Bright, ‘A “great deal of discrimination is necessary”’; Bashford and Gilchrist, ‘The Colonial History of the 1905 Aliens Act’.</w:t>
      </w:r>
    </w:p>
  </w:endnote>
  <w:endnote w:id="5">
    <w:p w14:paraId="000000AE" w14:textId="75407D1A" w:rsidR="00AE7548" w:rsidRPr="003D07A0" w:rsidRDefault="00AE7548">
      <w:pPr>
        <w:rPr>
          <w:rFonts w:ascii="Arial" w:eastAsia="Calibri" w:hAnsi="Arial" w:cs="Arial"/>
          <w:sz w:val="20"/>
          <w:szCs w:val="20"/>
        </w:rPr>
      </w:pPr>
      <w:r w:rsidRPr="003D07A0">
        <w:rPr>
          <w:rFonts w:ascii="Arial" w:hAnsi="Arial" w:cs="Arial"/>
          <w:sz w:val="20"/>
          <w:szCs w:val="20"/>
          <w:vertAlign w:val="superscript"/>
        </w:rPr>
        <w:endnoteRef/>
      </w:r>
      <w:r w:rsidRPr="003D07A0">
        <w:rPr>
          <w:rFonts w:ascii="Arial" w:eastAsia="Calibri" w:hAnsi="Arial" w:cs="Arial"/>
          <w:sz w:val="20"/>
          <w:szCs w:val="20"/>
        </w:rPr>
        <w:t xml:space="preserve"> McKeown, ‘Ritualization and regulation’, p.399; </w:t>
      </w:r>
      <w:r w:rsidRPr="003D07A0">
        <w:rPr>
          <w:rFonts w:ascii="Arial" w:eastAsia="Calibri" w:hAnsi="Arial" w:cs="Arial"/>
          <w:color w:val="222222"/>
          <w:sz w:val="20"/>
          <w:szCs w:val="20"/>
          <w:highlight w:val="white"/>
        </w:rPr>
        <w:t xml:space="preserve">McKeown, </w:t>
      </w:r>
      <w:r w:rsidRPr="003D07A0">
        <w:rPr>
          <w:rFonts w:ascii="Arial" w:eastAsia="Calibri" w:hAnsi="Arial" w:cs="Arial"/>
          <w:i/>
          <w:color w:val="222222"/>
          <w:sz w:val="20"/>
          <w:szCs w:val="20"/>
          <w:highlight w:val="white"/>
        </w:rPr>
        <w:t>Melancholy Order</w:t>
      </w:r>
      <w:r w:rsidRPr="003D07A0">
        <w:rPr>
          <w:rFonts w:ascii="Arial" w:eastAsia="Calibri" w:hAnsi="Arial" w:cs="Arial"/>
          <w:color w:val="222222"/>
          <w:sz w:val="20"/>
          <w:szCs w:val="20"/>
          <w:highlight w:val="white"/>
        </w:rPr>
        <w:t>, p.</w:t>
      </w:r>
      <w:r w:rsidRPr="003D07A0">
        <w:rPr>
          <w:rFonts w:ascii="Arial" w:eastAsia="Calibri" w:hAnsi="Arial" w:cs="Arial"/>
          <w:sz w:val="20"/>
          <w:szCs w:val="20"/>
        </w:rPr>
        <w:t>268–291.</w:t>
      </w:r>
    </w:p>
  </w:endnote>
  <w:endnote w:id="6">
    <w:p w14:paraId="000000AF" w14:textId="1A624E6A" w:rsidR="00AE7548" w:rsidRPr="003D07A0" w:rsidRDefault="00AE7548">
      <w:pPr>
        <w:rPr>
          <w:rFonts w:ascii="Arial" w:eastAsia="Calibri" w:hAnsi="Arial" w:cs="Arial"/>
          <w:sz w:val="20"/>
          <w:szCs w:val="20"/>
        </w:rPr>
      </w:pPr>
      <w:r w:rsidRPr="003D07A0">
        <w:rPr>
          <w:rFonts w:ascii="Arial" w:hAnsi="Arial" w:cs="Arial"/>
          <w:sz w:val="20"/>
          <w:szCs w:val="20"/>
          <w:vertAlign w:val="superscript"/>
        </w:rPr>
        <w:endnoteRef/>
      </w:r>
      <w:r w:rsidRPr="003D07A0">
        <w:rPr>
          <w:rFonts w:ascii="Arial" w:eastAsia="Calibri" w:hAnsi="Arial" w:cs="Arial"/>
          <w:sz w:val="20"/>
          <w:szCs w:val="20"/>
        </w:rPr>
        <w:t xml:space="preserve"> Henry Sidgwick, </w:t>
      </w:r>
      <w:r w:rsidRPr="003D07A0">
        <w:rPr>
          <w:rFonts w:ascii="Arial" w:eastAsia="Calibri" w:hAnsi="Arial" w:cs="Arial"/>
          <w:i/>
          <w:sz w:val="20"/>
          <w:szCs w:val="20"/>
        </w:rPr>
        <w:t xml:space="preserve">Elements of Politics </w:t>
      </w:r>
      <w:r w:rsidRPr="003D07A0">
        <w:rPr>
          <w:rFonts w:ascii="Arial" w:eastAsia="Calibri" w:hAnsi="Arial" w:cs="Arial"/>
          <w:sz w:val="20"/>
          <w:szCs w:val="20"/>
        </w:rPr>
        <w:t xml:space="preserve">(1891), p.548, quoted in Bell, </w:t>
      </w:r>
      <w:r w:rsidRPr="003D07A0">
        <w:rPr>
          <w:rFonts w:ascii="Arial" w:eastAsia="Calibri" w:hAnsi="Arial" w:cs="Arial"/>
          <w:i/>
          <w:sz w:val="20"/>
          <w:szCs w:val="20"/>
        </w:rPr>
        <w:t>The Idea of Greater Britain</w:t>
      </w:r>
      <w:r w:rsidRPr="003D07A0">
        <w:rPr>
          <w:rFonts w:ascii="Arial" w:eastAsia="Calibri" w:hAnsi="Arial" w:cs="Arial"/>
          <w:sz w:val="20"/>
          <w:szCs w:val="20"/>
        </w:rPr>
        <w:t>, p.103.</w:t>
      </w:r>
    </w:p>
  </w:endnote>
  <w:endnote w:id="7">
    <w:p w14:paraId="00000084" w14:textId="1C354C25" w:rsidR="00AE7548" w:rsidRPr="003D07A0" w:rsidRDefault="00AE7548">
      <w:pPr>
        <w:rPr>
          <w:rFonts w:ascii="Arial" w:eastAsia="Calibri" w:hAnsi="Arial" w:cs="Arial"/>
          <w:sz w:val="20"/>
          <w:szCs w:val="20"/>
        </w:rPr>
      </w:pPr>
      <w:r w:rsidRPr="003D07A0">
        <w:rPr>
          <w:rFonts w:ascii="Arial" w:hAnsi="Arial" w:cs="Arial"/>
          <w:sz w:val="20"/>
          <w:szCs w:val="20"/>
          <w:vertAlign w:val="superscript"/>
        </w:rPr>
        <w:endnoteRef/>
      </w:r>
      <w:r w:rsidRPr="003D07A0">
        <w:rPr>
          <w:rFonts w:ascii="Arial" w:hAnsi="Arial" w:cs="Arial"/>
          <w:sz w:val="20"/>
          <w:szCs w:val="20"/>
        </w:rPr>
        <w:t xml:space="preserve"> </w:t>
      </w:r>
      <w:r w:rsidRPr="003D07A0">
        <w:rPr>
          <w:rFonts w:ascii="Arial" w:eastAsia="Calibri" w:hAnsi="Arial" w:cs="Arial"/>
          <w:sz w:val="20"/>
          <w:szCs w:val="20"/>
        </w:rPr>
        <w:t xml:space="preserve">The best overview of the laws and precedents affecting naturalisation can be found in </w:t>
      </w:r>
      <w:proofErr w:type="spellStart"/>
      <w:r w:rsidRPr="003D07A0">
        <w:rPr>
          <w:rFonts w:ascii="Arial" w:eastAsia="Calibri" w:hAnsi="Arial" w:cs="Arial"/>
          <w:color w:val="3A3A3A"/>
          <w:sz w:val="20"/>
          <w:szCs w:val="20"/>
          <w:highlight w:val="white"/>
        </w:rPr>
        <w:t>Karatani</w:t>
      </w:r>
      <w:proofErr w:type="spellEnd"/>
      <w:r w:rsidRPr="003D07A0">
        <w:rPr>
          <w:rFonts w:ascii="Arial" w:eastAsia="Calibri" w:hAnsi="Arial" w:cs="Arial"/>
          <w:color w:val="3A3A3A"/>
          <w:sz w:val="20"/>
          <w:szCs w:val="20"/>
          <w:highlight w:val="white"/>
        </w:rPr>
        <w:t xml:space="preserve">, </w:t>
      </w:r>
      <w:r w:rsidRPr="003D07A0">
        <w:rPr>
          <w:rFonts w:ascii="Arial" w:eastAsia="Calibri" w:hAnsi="Arial" w:cs="Arial"/>
          <w:i/>
          <w:color w:val="3A3A3A"/>
          <w:sz w:val="20"/>
          <w:szCs w:val="20"/>
          <w:highlight w:val="white"/>
        </w:rPr>
        <w:t>Defining British Citizenship</w:t>
      </w:r>
      <w:r w:rsidRPr="003D07A0">
        <w:rPr>
          <w:rFonts w:ascii="Arial" w:eastAsia="Calibri" w:hAnsi="Arial" w:cs="Arial"/>
          <w:color w:val="3A3A3A"/>
          <w:sz w:val="20"/>
          <w:szCs w:val="20"/>
          <w:highlight w:val="white"/>
        </w:rPr>
        <w:t xml:space="preserve">. See also </w:t>
      </w:r>
      <w:proofErr w:type="spellStart"/>
      <w:r w:rsidRPr="003D07A0">
        <w:rPr>
          <w:rFonts w:ascii="Arial" w:eastAsia="Calibri" w:hAnsi="Arial" w:cs="Arial"/>
          <w:sz w:val="20"/>
          <w:szCs w:val="20"/>
        </w:rPr>
        <w:t>Dummet</w:t>
      </w:r>
      <w:proofErr w:type="spellEnd"/>
      <w:r w:rsidRPr="003D07A0">
        <w:rPr>
          <w:rFonts w:ascii="Arial" w:eastAsia="Calibri" w:hAnsi="Arial" w:cs="Arial"/>
          <w:sz w:val="20"/>
          <w:szCs w:val="20"/>
        </w:rPr>
        <w:t xml:space="preserve"> and Nicol, </w:t>
      </w:r>
      <w:r w:rsidRPr="003D07A0">
        <w:rPr>
          <w:rFonts w:ascii="Arial" w:eastAsia="Calibri" w:hAnsi="Arial" w:cs="Arial"/>
          <w:i/>
          <w:sz w:val="20"/>
          <w:szCs w:val="20"/>
        </w:rPr>
        <w:t>Subjects, Citizens, Aliens and Others</w:t>
      </w:r>
      <w:r w:rsidRPr="003D07A0">
        <w:rPr>
          <w:rFonts w:ascii="Arial" w:eastAsia="Calibri" w:hAnsi="Arial" w:cs="Arial"/>
          <w:sz w:val="20"/>
          <w:szCs w:val="20"/>
        </w:rPr>
        <w:t xml:space="preserve">, p.3-4,59; </w:t>
      </w:r>
      <w:proofErr w:type="spellStart"/>
      <w:r w:rsidRPr="003D07A0">
        <w:rPr>
          <w:rFonts w:ascii="Arial" w:eastAsia="Calibri" w:hAnsi="Arial" w:cs="Arial"/>
          <w:color w:val="3A3A3A"/>
          <w:sz w:val="20"/>
          <w:szCs w:val="20"/>
          <w:highlight w:val="white"/>
        </w:rPr>
        <w:t>Dummett</w:t>
      </w:r>
      <w:proofErr w:type="spellEnd"/>
      <w:r w:rsidRPr="003D07A0">
        <w:rPr>
          <w:rFonts w:ascii="Arial" w:eastAsia="Calibri" w:hAnsi="Arial" w:cs="Arial"/>
          <w:color w:val="3A3A3A"/>
          <w:sz w:val="20"/>
          <w:szCs w:val="20"/>
          <w:highlight w:val="white"/>
        </w:rPr>
        <w:t xml:space="preserve">, ‘The Acquisition of British Citizenship’, p.75; </w:t>
      </w:r>
      <w:r w:rsidRPr="003D07A0">
        <w:rPr>
          <w:rFonts w:ascii="Arial" w:eastAsia="Calibri" w:hAnsi="Arial" w:cs="Arial"/>
          <w:sz w:val="20"/>
          <w:szCs w:val="20"/>
        </w:rPr>
        <w:t xml:space="preserve">Clarke, ‘Citizenship and Naturalization’, p.320; Muller, ‘Bonds of Belonging’, p.32; Anderson, “Britons Abroad, Aliens at Home’; Baldwin, “Subject to Empire’, 522–56; </w:t>
      </w:r>
      <w:proofErr w:type="spellStart"/>
      <w:r w:rsidRPr="003D07A0">
        <w:rPr>
          <w:rFonts w:ascii="Arial" w:eastAsia="Calibri" w:hAnsi="Arial" w:cs="Arial"/>
          <w:sz w:val="20"/>
          <w:szCs w:val="20"/>
        </w:rPr>
        <w:t>Fahrmeir</w:t>
      </w:r>
      <w:proofErr w:type="spellEnd"/>
      <w:r w:rsidRPr="003D07A0">
        <w:rPr>
          <w:rFonts w:ascii="Arial" w:eastAsia="Calibri" w:hAnsi="Arial" w:cs="Arial"/>
          <w:sz w:val="20"/>
          <w:szCs w:val="20"/>
        </w:rPr>
        <w:t xml:space="preserve">, </w:t>
      </w:r>
      <w:r w:rsidRPr="003D07A0">
        <w:rPr>
          <w:rFonts w:ascii="Arial" w:eastAsia="Calibri" w:hAnsi="Arial" w:cs="Arial"/>
          <w:i/>
          <w:sz w:val="20"/>
          <w:szCs w:val="20"/>
        </w:rPr>
        <w:t>Citizens and Aliens</w:t>
      </w:r>
      <w:r w:rsidRPr="003D07A0">
        <w:rPr>
          <w:rFonts w:ascii="Arial" w:eastAsia="Calibri" w:hAnsi="Arial" w:cs="Arial"/>
          <w:sz w:val="20"/>
          <w:szCs w:val="20"/>
        </w:rPr>
        <w:t xml:space="preserve">; </w:t>
      </w:r>
      <w:proofErr w:type="spellStart"/>
      <w:r w:rsidRPr="003D07A0">
        <w:rPr>
          <w:rFonts w:ascii="Arial" w:eastAsia="Calibri" w:hAnsi="Arial" w:cs="Arial"/>
          <w:sz w:val="20"/>
          <w:szCs w:val="20"/>
        </w:rPr>
        <w:t>Kettner</w:t>
      </w:r>
      <w:proofErr w:type="spellEnd"/>
      <w:r w:rsidRPr="003D07A0">
        <w:rPr>
          <w:rFonts w:ascii="Arial" w:eastAsia="Calibri" w:hAnsi="Arial" w:cs="Arial"/>
          <w:sz w:val="20"/>
          <w:szCs w:val="20"/>
        </w:rPr>
        <w:t xml:space="preserve">, </w:t>
      </w:r>
      <w:r w:rsidRPr="003D07A0">
        <w:rPr>
          <w:rFonts w:ascii="Arial" w:eastAsia="Calibri" w:hAnsi="Arial" w:cs="Arial"/>
          <w:i/>
          <w:sz w:val="20"/>
          <w:szCs w:val="20"/>
        </w:rPr>
        <w:t xml:space="preserve">The Development of American Citizenship; </w:t>
      </w:r>
      <w:r w:rsidRPr="003D07A0">
        <w:rPr>
          <w:rFonts w:ascii="Arial" w:eastAsia="Calibri" w:hAnsi="Arial" w:cs="Arial"/>
          <w:sz w:val="20"/>
          <w:szCs w:val="20"/>
        </w:rPr>
        <w:t xml:space="preserve">Kim, </w:t>
      </w:r>
      <w:r w:rsidRPr="003D07A0">
        <w:rPr>
          <w:rFonts w:ascii="Arial" w:eastAsia="Calibri" w:hAnsi="Arial" w:cs="Arial"/>
          <w:i/>
          <w:sz w:val="20"/>
          <w:szCs w:val="20"/>
        </w:rPr>
        <w:t>Aliens in Medieval Law</w:t>
      </w:r>
      <w:r w:rsidRPr="003D07A0">
        <w:rPr>
          <w:rFonts w:ascii="Arial" w:eastAsia="Calibri" w:hAnsi="Arial" w:cs="Arial"/>
          <w:sz w:val="20"/>
          <w:szCs w:val="20"/>
        </w:rPr>
        <w:t>; Sen, “Imperial Subjects on Trial’, p.532–55.</w:t>
      </w:r>
    </w:p>
  </w:endnote>
  <w:endnote w:id="8">
    <w:p w14:paraId="000000B3" w14:textId="7354EB57" w:rsidR="00AE7548" w:rsidRPr="003D07A0" w:rsidRDefault="00AE7548">
      <w:pPr>
        <w:rPr>
          <w:rFonts w:ascii="Arial" w:eastAsia="Calibri" w:hAnsi="Arial" w:cs="Arial"/>
          <w:sz w:val="20"/>
          <w:szCs w:val="20"/>
        </w:rPr>
      </w:pPr>
      <w:r w:rsidRPr="003D07A0">
        <w:rPr>
          <w:rFonts w:ascii="Arial" w:hAnsi="Arial" w:cs="Arial"/>
          <w:sz w:val="20"/>
          <w:szCs w:val="20"/>
          <w:vertAlign w:val="superscript"/>
        </w:rPr>
        <w:endnoteRef/>
      </w:r>
      <w:r w:rsidRPr="003D07A0">
        <w:rPr>
          <w:rFonts w:ascii="Arial" w:eastAsia="Calibri" w:hAnsi="Arial" w:cs="Arial"/>
          <w:sz w:val="20"/>
          <w:szCs w:val="20"/>
        </w:rPr>
        <w:t xml:space="preserve"> British Parliamentary Papers, Cd 3524, Papers laid before the Conference, Enclosure 4 in No. 1, M. D. Chalmers, Law of Aliens and Naturalization Bill, Memorandum, November 1902, p.142,146.</w:t>
      </w:r>
    </w:p>
  </w:endnote>
  <w:endnote w:id="9">
    <w:p w14:paraId="000000B4" w14:textId="43B6F5F8" w:rsidR="00AE7548" w:rsidRPr="003D07A0" w:rsidRDefault="00AE7548">
      <w:pPr>
        <w:rPr>
          <w:rFonts w:ascii="Arial" w:eastAsia="Calibri" w:hAnsi="Arial" w:cs="Arial"/>
          <w:sz w:val="20"/>
          <w:szCs w:val="20"/>
        </w:rPr>
      </w:pPr>
      <w:r w:rsidRPr="003D07A0">
        <w:rPr>
          <w:rFonts w:ascii="Arial" w:hAnsi="Arial" w:cs="Arial"/>
          <w:sz w:val="20"/>
          <w:szCs w:val="20"/>
          <w:vertAlign w:val="superscript"/>
        </w:rPr>
        <w:endnoteRef/>
      </w:r>
      <w:r w:rsidRPr="003D07A0">
        <w:rPr>
          <w:rFonts w:ascii="Arial" w:eastAsia="Calibri" w:hAnsi="Arial" w:cs="Arial"/>
          <w:sz w:val="20"/>
          <w:szCs w:val="20"/>
        </w:rPr>
        <w:t xml:space="preserve"> </w:t>
      </w:r>
      <w:proofErr w:type="spellStart"/>
      <w:r w:rsidRPr="003D07A0">
        <w:rPr>
          <w:rFonts w:ascii="Arial" w:eastAsia="Calibri" w:hAnsi="Arial" w:cs="Arial"/>
          <w:sz w:val="20"/>
          <w:szCs w:val="20"/>
        </w:rPr>
        <w:t>Dummet</w:t>
      </w:r>
      <w:proofErr w:type="spellEnd"/>
      <w:r w:rsidRPr="003D07A0">
        <w:rPr>
          <w:rFonts w:ascii="Arial" w:eastAsia="Calibri" w:hAnsi="Arial" w:cs="Arial"/>
          <w:sz w:val="20"/>
          <w:szCs w:val="20"/>
        </w:rPr>
        <w:t xml:space="preserve"> and Nicol, </w:t>
      </w:r>
      <w:r w:rsidRPr="003D07A0">
        <w:rPr>
          <w:rFonts w:ascii="Arial" w:eastAsia="Calibri" w:hAnsi="Arial" w:cs="Arial"/>
          <w:i/>
          <w:sz w:val="20"/>
          <w:szCs w:val="20"/>
        </w:rPr>
        <w:t>Subjects, Citizens, Aliens and Others</w:t>
      </w:r>
      <w:r w:rsidRPr="003D07A0">
        <w:rPr>
          <w:rFonts w:ascii="Arial" w:eastAsia="Calibri" w:hAnsi="Arial" w:cs="Arial"/>
          <w:sz w:val="20"/>
          <w:szCs w:val="20"/>
        </w:rPr>
        <w:t>, p.76.</w:t>
      </w:r>
    </w:p>
  </w:endnote>
  <w:endnote w:id="10">
    <w:p w14:paraId="000000B5" w14:textId="0BDF7123" w:rsidR="00AE7548" w:rsidRPr="003D07A0" w:rsidRDefault="00AE7548">
      <w:pPr>
        <w:rPr>
          <w:rFonts w:ascii="Arial" w:eastAsia="Calibri" w:hAnsi="Arial" w:cs="Arial"/>
          <w:sz w:val="20"/>
          <w:szCs w:val="20"/>
        </w:rPr>
      </w:pPr>
      <w:r w:rsidRPr="003D07A0">
        <w:rPr>
          <w:rFonts w:ascii="Arial" w:hAnsi="Arial" w:cs="Arial"/>
          <w:sz w:val="20"/>
          <w:szCs w:val="20"/>
          <w:vertAlign w:val="superscript"/>
        </w:rPr>
        <w:endnoteRef/>
      </w:r>
      <w:r w:rsidRPr="003D07A0">
        <w:rPr>
          <w:rFonts w:ascii="Arial" w:eastAsia="Calibri" w:hAnsi="Arial" w:cs="Arial"/>
          <w:sz w:val="20"/>
          <w:szCs w:val="20"/>
        </w:rPr>
        <w:t xml:space="preserve"> See Rubenstein</w:t>
      </w:r>
      <w:r>
        <w:rPr>
          <w:rFonts w:ascii="Arial" w:eastAsia="Calibri" w:hAnsi="Arial" w:cs="Arial"/>
          <w:sz w:val="20"/>
          <w:szCs w:val="20"/>
        </w:rPr>
        <w:t xml:space="preserve"> </w:t>
      </w:r>
      <w:r w:rsidRPr="003D07A0">
        <w:rPr>
          <w:rFonts w:ascii="Arial" w:eastAsia="Calibri" w:hAnsi="Arial" w:cs="Arial"/>
          <w:sz w:val="20"/>
          <w:szCs w:val="20"/>
        </w:rPr>
        <w:t xml:space="preserve">with Field, </w:t>
      </w:r>
      <w:r w:rsidRPr="003D07A0">
        <w:rPr>
          <w:rFonts w:ascii="Arial" w:eastAsia="Calibri" w:hAnsi="Arial" w:cs="Arial"/>
          <w:i/>
          <w:sz w:val="20"/>
          <w:szCs w:val="20"/>
        </w:rPr>
        <w:t>Australian Citizenship Law in Context</w:t>
      </w:r>
      <w:r w:rsidRPr="003D07A0">
        <w:rPr>
          <w:rFonts w:ascii="Arial" w:eastAsia="Calibri" w:hAnsi="Arial" w:cs="Arial"/>
          <w:sz w:val="20"/>
          <w:szCs w:val="20"/>
        </w:rPr>
        <w:t xml:space="preserve">; Davidson, </w:t>
      </w:r>
      <w:r w:rsidRPr="003D07A0">
        <w:rPr>
          <w:rFonts w:ascii="Arial" w:eastAsia="Calibri" w:hAnsi="Arial" w:cs="Arial"/>
          <w:i/>
          <w:sz w:val="20"/>
          <w:szCs w:val="20"/>
        </w:rPr>
        <w:t>From Subject to Citizen</w:t>
      </w:r>
      <w:r w:rsidRPr="003D07A0">
        <w:rPr>
          <w:rFonts w:ascii="Arial" w:eastAsia="Calibri" w:hAnsi="Arial" w:cs="Arial"/>
          <w:sz w:val="20"/>
          <w:szCs w:val="20"/>
        </w:rPr>
        <w:t xml:space="preserve">; Chesterman and Galligan, </w:t>
      </w:r>
      <w:r w:rsidRPr="003D07A0">
        <w:rPr>
          <w:rFonts w:ascii="Arial" w:eastAsia="Calibri" w:hAnsi="Arial" w:cs="Arial"/>
          <w:i/>
          <w:sz w:val="20"/>
          <w:szCs w:val="20"/>
        </w:rPr>
        <w:t>Citizens without Rights</w:t>
      </w:r>
      <w:r w:rsidRPr="003D07A0">
        <w:rPr>
          <w:rFonts w:ascii="Arial" w:eastAsia="Calibri" w:hAnsi="Arial" w:cs="Arial"/>
          <w:sz w:val="20"/>
          <w:szCs w:val="20"/>
        </w:rPr>
        <w:t>; Chesterman, ‘Natural-Born Subjects?’, p.30-39.</w:t>
      </w:r>
    </w:p>
  </w:endnote>
  <w:endnote w:id="11">
    <w:p w14:paraId="000000B6" w14:textId="322BC5EF" w:rsidR="00AE7548" w:rsidRPr="003D07A0" w:rsidRDefault="00AE7548">
      <w:pPr>
        <w:rPr>
          <w:rFonts w:ascii="Arial" w:eastAsia="Calibri" w:hAnsi="Arial" w:cs="Arial"/>
          <w:sz w:val="20"/>
          <w:szCs w:val="20"/>
        </w:rPr>
      </w:pPr>
      <w:r w:rsidRPr="003D07A0">
        <w:rPr>
          <w:rFonts w:ascii="Arial" w:hAnsi="Arial" w:cs="Arial"/>
          <w:sz w:val="20"/>
          <w:szCs w:val="20"/>
          <w:vertAlign w:val="superscript"/>
        </w:rPr>
        <w:endnoteRef/>
      </w:r>
      <w:r w:rsidRPr="003D07A0">
        <w:rPr>
          <w:rFonts w:ascii="Arial" w:eastAsia="Calibri" w:hAnsi="Arial" w:cs="Arial"/>
          <w:sz w:val="20"/>
          <w:szCs w:val="20"/>
        </w:rPr>
        <w:t xml:space="preserve"> British Parliamentary Papers, Cd 3524, Papers laid before the Conference. Enclosure 4 in No. 1, M. D. Chalmers, Law of Aliens and Naturalization Bill, Memorandum, November 1902, p.143; see also </w:t>
      </w:r>
      <w:proofErr w:type="spellStart"/>
      <w:r w:rsidRPr="003D07A0">
        <w:rPr>
          <w:rFonts w:ascii="Arial" w:eastAsia="Calibri" w:hAnsi="Arial" w:cs="Arial"/>
          <w:sz w:val="20"/>
          <w:szCs w:val="20"/>
        </w:rPr>
        <w:t>Haycract</w:t>
      </w:r>
      <w:proofErr w:type="spellEnd"/>
      <w:r w:rsidRPr="003D07A0">
        <w:rPr>
          <w:rFonts w:ascii="Arial" w:eastAsia="Calibri" w:hAnsi="Arial" w:cs="Arial"/>
          <w:sz w:val="20"/>
          <w:szCs w:val="20"/>
        </w:rPr>
        <w:t xml:space="preserve">, ‘Alien Legislation and the Prerogative of the Crown’, </w:t>
      </w:r>
      <w:r w:rsidRPr="003D07A0">
        <w:rPr>
          <w:rFonts w:ascii="Arial" w:eastAsia="Calibri" w:hAnsi="Arial" w:cs="Arial"/>
          <w:i/>
          <w:sz w:val="20"/>
          <w:szCs w:val="20"/>
        </w:rPr>
        <w:t xml:space="preserve">Law Quarterly Review </w:t>
      </w:r>
      <w:r w:rsidRPr="003D07A0">
        <w:rPr>
          <w:rFonts w:ascii="Arial" w:eastAsia="Calibri" w:hAnsi="Arial" w:cs="Arial"/>
          <w:sz w:val="20"/>
          <w:szCs w:val="20"/>
        </w:rPr>
        <w:t>(1897), 165-86; Cd.1742, Royal Commission on Alien Immigration, Report, p.35-6.</w:t>
      </w:r>
    </w:p>
  </w:endnote>
  <w:endnote w:id="12">
    <w:p w14:paraId="000000CF" w14:textId="3C68A3D6" w:rsidR="00AE7548" w:rsidRPr="003D07A0" w:rsidRDefault="00AE7548">
      <w:pPr>
        <w:rPr>
          <w:rFonts w:ascii="Arial" w:eastAsia="Calibri" w:hAnsi="Arial" w:cs="Arial"/>
          <w:sz w:val="20"/>
          <w:szCs w:val="20"/>
        </w:rPr>
      </w:pPr>
      <w:r w:rsidRPr="003D07A0">
        <w:rPr>
          <w:rFonts w:ascii="Arial" w:hAnsi="Arial" w:cs="Arial"/>
          <w:sz w:val="20"/>
          <w:szCs w:val="20"/>
          <w:vertAlign w:val="superscript"/>
        </w:rPr>
        <w:endnoteRef/>
      </w:r>
      <w:r w:rsidRPr="003D07A0">
        <w:rPr>
          <w:rFonts w:ascii="Arial" w:hAnsi="Arial" w:cs="Arial"/>
          <w:sz w:val="20"/>
          <w:szCs w:val="20"/>
        </w:rPr>
        <w:t xml:space="preserve"> </w:t>
      </w:r>
      <w:r w:rsidRPr="003D07A0">
        <w:rPr>
          <w:rFonts w:ascii="Arial" w:eastAsia="Calibri" w:hAnsi="Arial" w:cs="Arial"/>
          <w:sz w:val="20"/>
          <w:szCs w:val="20"/>
        </w:rPr>
        <w:t xml:space="preserve">There were exceptions to this rule, however. See the restrictions placed on West African men married to British women in the twentieth century in Ray, </w:t>
      </w:r>
      <w:r w:rsidRPr="003D07A0">
        <w:rPr>
          <w:rFonts w:ascii="Arial" w:eastAsia="Calibri" w:hAnsi="Arial" w:cs="Arial"/>
          <w:i/>
          <w:sz w:val="20"/>
          <w:szCs w:val="20"/>
        </w:rPr>
        <w:t xml:space="preserve">Crossing the </w:t>
      </w:r>
      <w:proofErr w:type="spellStart"/>
      <w:r w:rsidRPr="003D07A0">
        <w:rPr>
          <w:rFonts w:ascii="Arial" w:eastAsia="Calibri" w:hAnsi="Arial" w:cs="Arial"/>
          <w:i/>
          <w:sz w:val="20"/>
          <w:szCs w:val="20"/>
        </w:rPr>
        <w:t>Color</w:t>
      </w:r>
      <w:proofErr w:type="spellEnd"/>
      <w:r w:rsidRPr="003D07A0">
        <w:rPr>
          <w:rFonts w:ascii="Arial" w:eastAsia="Calibri" w:hAnsi="Arial" w:cs="Arial"/>
          <w:i/>
          <w:sz w:val="20"/>
          <w:szCs w:val="20"/>
        </w:rPr>
        <w:t xml:space="preserve"> Line</w:t>
      </w:r>
      <w:r w:rsidRPr="003D07A0">
        <w:rPr>
          <w:rFonts w:ascii="Arial" w:eastAsia="Calibri" w:hAnsi="Arial" w:cs="Arial"/>
          <w:sz w:val="20"/>
          <w:szCs w:val="20"/>
        </w:rPr>
        <w:t>.</w:t>
      </w:r>
    </w:p>
  </w:endnote>
  <w:endnote w:id="13">
    <w:p w14:paraId="000000B7" w14:textId="50A14E7D" w:rsidR="00AE7548" w:rsidRPr="003D07A0" w:rsidRDefault="00AE7548">
      <w:pPr>
        <w:rPr>
          <w:rFonts w:ascii="Arial" w:eastAsia="Calibri" w:hAnsi="Arial" w:cs="Arial"/>
          <w:sz w:val="20"/>
          <w:szCs w:val="20"/>
        </w:rPr>
      </w:pPr>
      <w:r w:rsidRPr="003D07A0">
        <w:rPr>
          <w:rFonts w:ascii="Arial" w:hAnsi="Arial" w:cs="Arial"/>
          <w:sz w:val="20"/>
          <w:szCs w:val="20"/>
          <w:vertAlign w:val="superscript"/>
        </w:rPr>
        <w:endnoteRef/>
      </w:r>
      <w:r w:rsidRPr="003D07A0">
        <w:rPr>
          <w:rFonts w:ascii="Arial" w:eastAsia="Calibri" w:hAnsi="Arial" w:cs="Arial"/>
          <w:sz w:val="20"/>
          <w:szCs w:val="20"/>
        </w:rPr>
        <w:t xml:space="preserve"> </w:t>
      </w:r>
      <w:proofErr w:type="spellStart"/>
      <w:r w:rsidRPr="003D07A0">
        <w:rPr>
          <w:rFonts w:ascii="Arial" w:eastAsia="Calibri" w:hAnsi="Arial" w:cs="Arial"/>
          <w:sz w:val="20"/>
          <w:szCs w:val="20"/>
        </w:rPr>
        <w:t>Fahrmeir</w:t>
      </w:r>
      <w:proofErr w:type="spellEnd"/>
      <w:r w:rsidRPr="003D07A0">
        <w:rPr>
          <w:rFonts w:ascii="Arial" w:eastAsia="Calibri" w:hAnsi="Arial" w:cs="Arial"/>
          <w:sz w:val="20"/>
          <w:szCs w:val="20"/>
        </w:rPr>
        <w:t xml:space="preserve">, </w:t>
      </w:r>
      <w:r w:rsidRPr="003D07A0">
        <w:rPr>
          <w:rFonts w:ascii="Arial" w:eastAsia="Calibri" w:hAnsi="Arial" w:cs="Arial"/>
          <w:i/>
          <w:sz w:val="20"/>
          <w:szCs w:val="20"/>
        </w:rPr>
        <w:t xml:space="preserve">Citizens and Aliens, </w:t>
      </w:r>
      <w:r w:rsidRPr="003D07A0">
        <w:rPr>
          <w:rFonts w:ascii="Arial" w:eastAsia="Calibri" w:hAnsi="Arial" w:cs="Arial"/>
          <w:iCs/>
          <w:sz w:val="20"/>
          <w:szCs w:val="20"/>
        </w:rPr>
        <w:t>p.</w:t>
      </w:r>
      <w:r w:rsidRPr="003D07A0">
        <w:rPr>
          <w:rFonts w:ascii="Arial" w:eastAsia="Calibri" w:hAnsi="Arial" w:cs="Arial"/>
          <w:sz w:val="20"/>
          <w:szCs w:val="20"/>
        </w:rPr>
        <w:t xml:space="preserve">3; Maclean, ‘Examinations, access, and inequity within the empire’, p.115; </w:t>
      </w:r>
      <w:proofErr w:type="spellStart"/>
      <w:r w:rsidRPr="003D07A0">
        <w:rPr>
          <w:rFonts w:ascii="Arial" w:eastAsia="Calibri" w:hAnsi="Arial" w:cs="Arial"/>
          <w:sz w:val="20"/>
          <w:szCs w:val="20"/>
        </w:rPr>
        <w:t>Gammerl</w:t>
      </w:r>
      <w:proofErr w:type="spellEnd"/>
      <w:r w:rsidRPr="003D07A0">
        <w:rPr>
          <w:rFonts w:ascii="Arial" w:eastAsia="Calibri" w:hAnsi="Arial" w:cs="Arial"/>
          <w:sz w:val="20"/>
          <w:szCs w:val="20"/>
        </w:rPr>
        <w:t>, ‘Subjects, citizens and others’, p.523-549.</w:t>
      </w:r>
    </w:p>
  </w:endnote>
  <w:endnote w:id="14">
    <w:p w14:paraId="000000B8" w14:textId="3844DE6A" w:rsidR="00AE7548" w:rsidRPr="003D07A0" w:rsidRDefault="00AE7548">
      <w:pPr>
        <w:rPr>
          <w:rFonts w:ascii="Arial" w:eastAsia="Calibri" w:hAnsi="Arial" w:cs="Arial"/>
          <w:sz w:val="20"/>
          <w:szCs w:val="20"/>
        </w:rPr>
      </w:pPr>
      <w:r w:rsidRPr="003D07A0">
        <w:rPr>
          <w:rFonts w:ascii="Arial" w:hAnsi="Arial" w:cs="Arial"/>
          <w:sz w:val="20"/>
          <w:szCs w:val="20"/>
          <w:vertAlign w:val="superscript"/>
        </w:rPr>
        <w:endnoteRef/>
      </w:r>
      <w:r w:rsidRPr="003D07A0">
        <w:rPr>
          <w:rFonts w:ascii="Arial" w:hAnsi="Arial" w:cs="Arial"/>
          <w:sz w:val="20"/>
          <w:szCs w:val="20"/>
        </w:rPr>
        <w:t xml:space="preserve"> </w:t>
      </w:r>
      <w:r w:rsidRPr="003D07A0">
        <w:rPr>
          <w:rFonts w:ascii="Arial" w:eastAsia="Calibri" w:hAnsi="Arial" w:cs="Arial"/>
          <w:sz w:val="20"/>
          <w:szCs w:val="20"/>
        </w:rPr>
        <w:t>UCT, BC 160, Morris Alexander Papers, ‘Immigration’, 5 August 1911, passenger from “Bon Louis”.</w:t>
      </w:r>
    </w:p>
  </w:endnote>
  <w:endnote w:id="15">
    <w:p w14:paraId="000000B9" w14:textId="2CE698F0" w:rsidR="00AE7548" w:rsidRPr="001E035D" w:rsidRDefault="00AE7548">
      <w:pPr>
        <w:rPr>
          <w:rFonts w:ascii="Arial" w:eastAsia="Calibri" w:hAnsi="Arial" w:cs="Arial"/>
          <w:sz w:val="20"/>
          <w:szCs w:val="20"/>
        </w:rPr>
      </w:pPr>
      <w:r w:rsidRPr="003D07A0">
        <w:rPr>
          <w:rFonts w:ascii="Arial" w:hAnsi="Arial" w:cs="Arial"/>
          <w:sz w:val="20"/>
          <w:szCs w:val="20"/>
          <w:vertAlign w:val="superscript"/>
        </w:rPr>
        <w:endnoteRef/>
      </w:r>
      <w:r w:rsidRPr="003D07A0">
        <w:rPr>
          <w:rFonts w:ascii="Arial" w:hAnsi="Arial" w:cs="Arial"/>
          <w:sz w:val="20"/>
          <w:szCs w:val="20"/>
        </w:rPr>
        <w:t xml:space="preserve"> </w:t>
      </w:r>
      <w:r w:rsidRPr="003D07A0">
        <w:rPr>
          <w:rFonts w:ascii="Arial" w:eastAsia="Calibri" w:hAnsi="Arial" w:cs="Arial"/>
          <w:sz w:val="20"/>
          <w:szCs w:val="20"/>
        </w:rPr>
        <w:t xml:space="preserve">UCT, </w:t>
      </w:r>
      <w:r w:rsidRPr="001E035D">
        <w:rPr>
          <w:rFonts w:ascii="Arial" w:eastAsia="Calibri" w:hAnsi="Arial" w:cs="Arial"/>
          <w:sz w:val="20"/>
          <w:szCs w:val="20"/>
        </w:rPr>
        <w:t xml:space="preserve">BC 160, Morris Alexander Papers, 3.D63/499, 10d: ‘the </w:t>
      </w:r>
      <w:proofErr w:type="spellStart"/>
      <w:r w:rsidRPr="001E035D">
        <w:rPr>
          <w:rFonts w:ascii="Arial" w:eastAsia="Calibri" w:hAnsi="Arial" w:cs="Arial"/>
          <w:sz w:val="20"/>
          <w:szCs w:val="20"/>
        </w:rPr>
        <w:t>Trintapel</w:t>
      </w:r>
      <w:proofErr w:type="spellEnd"/>
      <w:r w:rsidRPr="001E035D">
        <w:rPr>
          <w:rFonts w:ascii="Arial" w:eastAsia="Calibri" w:hAnsi="Arial" w:cs="Arial"/>
          <w:sz w:val="20"/>
          <w:szCs w:val="20"/>
        </w:rPr>
        <w:t xml:space="preserve">[?] Castle 20 Aug.1911’; </w:t>
      </w:r>
      <w:r w:rsidRPr="001E035D">
        <w:rPr>
          <w:rFonts w:ascii="Arial" w:hAnsi="Arial" w:cs="Arial"/>
          <w:sz w:val="20"/>
          <w:szCs w:val="20"/>
        </w:rPr>
        <w:t>pencilled above ‘cut’ is ‘split’.</w:t>
      </w:r>
    </w:p>
  </w:endnote>
  <w:endnote w:id="16">
    <w:p w14:paraId="000000BA" w14:textId="3E157FF0" w:rsidR="00AE7548" w:rsidRPr="003D07A0" w:rsidRDefault="00AE7548">
      <w:pPr>
        <w:rPr>
          <w:rFonts w:ascii="Arial" w:eastAsia="Calibri" w:hAnsi="Arial" w:cs="Arial"/>
          <w:sz w:val="20"/>
          <w:szCs w:val="20"/>
        </w:rPr>
      </w:pPr>
      <w:r w:rsidRPr="001E035D">
        <w:rPr>
          <w:rFonts w:ascii="Arial" w:hAnsi="Arial" w:cs="Arial"/>
          <w:sz w:val="20"/>
          <w:szCs w:val="20"/>
          <w:vertAlign w:val="superscript"/>
        </w:rPr>
        <w:endnoteRef/>
      </w:r>
      <w:r w:rsidRPr="001E035D">
        <w:rPr>
          <w:rFonts w:ascii="Arial" w:eastAsia="Calibri" w:hAnsi="Arial" w:cs="Arial"/>
          <w:sz w:val="20"/>
          <w:szCs w:val="20"/>
        </w:rPr>
        <w:t xml:space="preserve"> </w:t>
      </w:r>
      <w:r w:rsidRPr="001E035D">
        <w:rPr>
          <w:rFonts w:ascii="Arial" w:eastAsia="Calibri" w:hAnsi="Arial" w:cs="Arial"/>
          <w:i/>
          <w:sz w:val="20"/>
          <w:szCs w:val="20"/>
        </w:rPr>
        <w:t>Craw v Ramey</w:t>
      </w:r>
      <w:r w:rsidRPr="001E035D">
        <w:rPr>
          <w:rFonts w:ascii="Arial" w:eastAsia="Calibri" w:hAnsi="Arial" w:cs="Arial"/>
          <w:sz w:val="20"/>
          <w:szCs w:val="20"/>
        </w:rPr>
        <w:t xml:space="preserve"> (1669), Vaugh. 274</w:t>
      </w:r>
      <w:r w:rsidRPr="003D07A0">
        <w:rPr>
          <w:rFonts w:ascii="Arial" w:eastAsia="Calibri" w:hAnsi="Arial" w:cs="Arial"/>
          <w:sz w:val="20"/>
          <w:szCs w:val="20"/>
        </w:rPr>
        <w:t xml:space="preserve">, 124, E. R. 1072, quoted in </w:t>
      </w:r>
      <w:proofErr w:type="spellStart"/>
      <w:r w:rsidRPr="003D07A0">
        <w:rPr>
          <w:rFonts w:ascii="Arial" w:eastAsia="Calibri" w:hAnsi="Arial" w:cs="Arial"/>
          <w:sz w:val="20"/>
          <w:szCs w:val="20"/>
        </w:rPr>
        <w:t>Dummet</w:t>
      </w:r>
      <w:proofErr w:type="spellEnd"/>
      <w:r w:rsidRPr="003D07A0">
        <w:rPr>
          <w:rFonts w:ascii="Arial" w:eastAsia="Calibri" w:hAnsi="Arial" w:cs="Arial"/>
          <w:sz w:val="20"/>
          <w:szCs w:val="20"/>
        </w:rPr>
        <w:t xml:space="preserve"> and Nicol, </w:t>
      </w:r>
      <w:r w:rsidRPr="003D07A0">
        <w:rPr>
          <w:rFonts w:ascii="Arial" w:eastAsia="Calibri" w:hAnsi="Arial" w:cs="Arial"/>
          <w:i/>
          <w:sz w:val="20"/>
          <w:szCs w:val="20"/>
        </w:rPr>
        <w:t>Subjects, Citizens, Aliens and Others,</w:t>
      </w:r>
      <w:r w:rsidRPr="003D07A0">
        <w:rPr>
          <w:rFonts w:ascii="Arial" w:eastAsia="Calibri" w:hAnsi="Arial" w:cs="Arial"/>
          <w:sz w:val="20"/>
          <w:szCs w:val="20"/>
        </w:rPr>
        <w:t xml:space="preserve"> p.76; The British National Archives (TNA), HO 45/10489/112229: Aliens, Bills and Acts, Naturalisation: Under Sec of State, F</w:t>
      </w:r>
      <w:r>
        <w:rPr>
          <w:rFonts w:ascii="Arial" w:eastAsia="Calibri" w:hAnsi="Arial" w:cs="Arial"/>
          <w:sz w:val="20"/>
          <w:szCs w:val="20"/>
        </w:rPr>
        <w:t xml:space="preserve">oreign </w:t>
      </w:r>
      <w:r w:rsidRPr="003D07A0">
        <w:rPr>
          <w:rFonts w:ascii="Arial" w:eastAsia="Calibri" w:hAnsi="Arial" w:cs="Arial"/>
          <w:sz w:val="20"/>
          <w:szCs w:val="20"/>
        </w:rPr>
        <w:t>O</w:t>
      </w:r>
      <w:r>
        <w:rPr>
          <w:rFonts w:ascii="Arial" w:eastAsia="Calibri" w:hAnsi="Arial" w:cs="Arial"/>
          <w:sz w:val="20"/>
          <w:szCs w:val="20"/>
        </w:rPr>
        <w:t>ffice</w:t>
      </w:r>
      <w:r w:rsidRPr="003D07A0">
        <w:rPr>
          <w:rFonts w:ascii="Arial" w:eastAsia="Calibri" w:hAnsi="Arial" w:cs="Arial"/>
          <w:sz w:val="20"/>
          <w:szCs w:val="20"/>
        </w:rPr>
        <w:t>, to Under Sect of State, C</w:t>
      </w:r>
      <w:r>
        <w:rPr>
          <w:rFonts w:ascii="Arial" w:eastAsia="Calibri" w:hAnsi="Arial" w:cs="Arial"/>
          <w:sz w:val="20"/>
          <w:szCs w:val="20"/>
        </w:rPr>
        <w:t xml:space="preserve">olonial </w:t>
      </w:r>
      <w:r w:rsidRPr="003D07A0">
        <w:rPr>
          <w:rFonts w:ascii="Arial" w:eastAsia="Calibri" w:hAnsi="Arial" w:cs="Arial"/>
          <w:sz w:val="20"/>
          <w:szCs w:val="20"/>
        </w:rPr>
        <w:t>O</w:t>
      </w:r>
      <w:r>
        <w:rPr>
          <w:rFonts w:ascii="Arial" w:eastAsia="Calibri" w:hAnsi="Arial" w:cs="Arial"/>
          <w:sz w:val="20"/>
          <w:szCs w:val="20"/>
        </w:rPr>
        <w:t>ffice</w:t>
      </w:r>
      <w:r w:rsidRPr="003D07A0">
        <w:rPr>
          <w:rFonts w:ascii="Arial" w:eastAsia="Calibri" w:hAnsi="Arial" w:cs="Arial"/>
          <w:sz w:val="20"/>
          <w:szCs w:val="20"/>
        </w:rPr>
        <w:t xml:space="preserve">, 2 October 1903. See also </w:t>
      </w:r>
      <w:proofErr w:type="spellStart"/>
      <w:r w:rsidRPr="003D07A0">
        <w:rPr>
          <w:rFonts w:ascii="Arial" w:eastAsia="Calibri" w:hAnsi="Arial" w:cs="Arial"/>
          <w:i/>
          <w:iCs/>
          <w:sz w:val="20"/>
          <w:szCs w:val="20"/>
        </w:rPr>
        <w:t>Markwald</w:t>
      </w:r>
      <w:proofErr w:type="spellEnd"/>
      <w:r w:rsidRPr="003D07A0">
        <w:rPr>
          <w:rFonts w:ascii="Arial" w:eastAsia="Calibri" w:hAnsi="Arial" w:cs="Arial"/>
          <w:i/>
          <w:iCs/>
          <w:sz w:val="20"/>
          <w:szCs w:val="20"/>
        </w:rPr>
        <w:t xml:space="preserve"> v. Attorney-General,</w:t>
      </w:r>
      <w:r w:rsidRPr="003D07A0">
        <w:rPr>
          <w:rFonts w:ascii="Arial" w:eastAsia="Calibri" w:hAnsi="Arial" w:cs="Arial"/>
          <w:sz w:val="20"/>
          <w:szCs w:val="20"/>
        </w:rPr>
        <w:t xml:space="preserve"> Chancery Division, 1920, Vol. 1, p.348 and 370, quoted in John Chesterman, ‘Natural-Born Subjects?’, p.33; Clarke, ‘Citizenship and Naturalization’, </w:t>
      </w:r>
      <w:r w:rsidRPr="003D07A0">
        <w:rPr>
          <w:rFonts w:ascii="Arial" w:eastAsia="Calibri" w:hAnsi="Arial" w:cs="Arial"/>
          <w:iCs/>
          <w:sz w:val="20"/>
          <w:szCs w:val="20"/>
        </w:rPr>
        <w:t>p.</w:t>
      </w:r>
      <w:r w:rsidRPr="003D07A0">
        <w:rPr>
          <w:rFonts w:ascii="Arial" w:eastAsia="Calibri" w:hAnsi="Arial" w:cs="Arial"/>
          <w:sz w:val="20"/>
          <w:szCs w:val="20"/>
        </w:rPr>
        <w:t>321.</w:t>
      </w:r>
    </w:p>
  </w:endnote>
  <w:endnote w:id="17">
    <w:p w14:paraId="000000BB" w14:textId="7D077CAD" w:rsidR="00AE7548" w:rsidRPr="003D07A0" w:rsidRDefault="00AE7548">
      <w:pPr>
        <w:rPr>
          <w:rFonts w:ascii="Arial" w:eastAsia="Calibri" w:hAnsi="Arial" w:cs="Arial"/>
          <w:sz w:val="20"/>
          <w:szCs w:val="20"/>
        </w:rPr>
      </w:pPr>
      <w:r w:rsidRPr="003D07A0">
        <w:rPr>
          <w:rFonts w:ascii="Arial" w:hAnsi="Arial" w:cs="Arial"/>
          <w:sz w:val="20"/>
          <w:szCs w:val="20"/>
          <w:vertAlign w:val="superscript"/>
        </w:rPr>
        <w:endnoteRef/>
      </w:r>
      <w:r w:rsidRPr="003D07A0">
        <w:rPr>
          <w:rFonts w:ascii="Arial" w:eastAsia="Calibri" w:hAnsi="Arial" w:cs="Arial"/>
          <w:sz w:val="20"/>
          <w:szCs w:val="20"/>
        </w:rPr>
        <w:t xml:space="preserve"> Muller, ‘Bonds of Belonging’, p.53.</w:t>
      </w:r>
    </w:p>
  </w:endnote>
  <w:endnote w:id="18">
    <w:p w14:paraId="000000BC" w14:textId="7640FD14" w:rsidR="00AE7548" w:rsidRPr="003D07A0" w:rsidRDefault="00AE7548">
      <w:pPr>
        <w:rPr>
          <w:rFonts w:ascii="Arial" w:eastAsia="Calibri" w:hAnsi="Arial" w:cs="Arial"/>
          <w:sz w:val="20"/>
          <w:szCs w:val="20"/>
        </w:rPr>
      </w:pPr>
      <w:r w:rsidRPr="003D07A0">
        <w:rPr>
          <w:rFonts w:ascii="Arial" w:hAnsi="Arial" w:cs="Arial"/>
          <w:sz w:val="20"/>
          <w:szCs w:val="20"/>
          <w:vertAlign w:val="superscript"/>
        </w:rPr>
        <w:endnoteRef/>
      </w:r>
      <w:r w:rsidRPr="003D07A0">
        <w:rPr>
          <w:rFonts w:ascii="Arial" w:eastAsia="Calibri" w:hAnsi="Arial" w:cs="Arial"/>
          <w:sz w:val="20"/>
          <w:szCs w:val="20"/>
        </w:rPr>
        <w:t xml:space="preserve"> </w:t>
      </w:r>
      <w:proofErr w:type="spellStart"/>
      <w:r w:rsidRPr="003D07A0">
        <w:rPr>
          <w:rFonts w:ascii="Arial" w:eastAsia="Calibri" w:hAnsi="Arial" w:cs="Arial"/>
          <w:sz w:val="20"/>
          <w:szCs w:val="20"/>
        </w:rPr>
        <w:t>Bosniak</w:t>
      </w:r>
      <w:proofErr w:type="spellEnd"/>
      <w:r w:rsidRPr="003D07A0">
        <w:rPr>
          <w:rFonts w:ascii="Arial" w:eastAsia="Calibri" w:hAnsi="Arial" w:cs="Arial"/>
          <w:sz w:val="20"/>
          <w:szCs w:val="20"/>
        </w:rPr>
        <w:t xml:space="preserve">, ‘Citizenship Denationalized’. </w:t>
      </w:r>
      <w:r w:rsidRPr="003D07A0">
        <w:rPr>
          <w:rFonts w:ascii="Arial" w:eastAsia="Calibri" w:hAnsi="Arial" w:cs="Arial"/>
          <w:color w:val="262626"/>
          <w:sz w:val="20"/>
          <w:szCs w:val="20"/>
        </w:rPr>
        <w:t>Psychologists have differentiated further by pointing out that group identity and individual identity may overlap</w:t>
      </w:r>
      <w:r>
        <w:rPr>
          <w:rFonts w:ascii="Arial" w:eastAsia="Calibri" w:hAnsi="Arial" w:cs="Arial"/>
          <w:color w:val="262626"/>
          <w:sz w:val="20"/>
          <w:szCs w:val="20"/>
        </w:rPr>
        <w:t>,</w:t>
      </w:r>
      <w:r w:rsidRPr="003D07A0">
        <w:rPr>
          <w:rFonts w:ascii="Arial" w:eastAsia="Calibri" w:hAnsi="Arial" w:cs="Arial"/>
          <w:color w:val="262626"/>
          <w:sz w:val="20"/>
          <w:szCs w:val="20"/>
        </w:rPr>
        <w:t xml:space="preserve"> or even contradict, and are not necessarily the same thing. </w:t>
      </w:r>
      <w:r w:rsidRPr="003D07A0">
        <w:rPr>
          <w:rFonts w:ascii="Arial" w:eastAsia="Calibri" w:hAnsi="Arial" w:cs="Arial"/>
          <w:sz w:val="20"/>
          <w:szCs w:val="20"/>
        </w:rPr>
        <w:t xml:space="preserve">See Condor, ‘Towards a Social Psychology of Citizenship?’; Rubenstein with Field, </w:t>
      </w:r>
      <w:r w:rsidRPr="003D07A0">
        <w:rPr>
          <w:rFonts w:ascii="Arial" w:eastAsia="Calibri" w:hAnsi="Arial" w:cs="Arial"/>
          <w:i/>
          <w:sz w:val="20"/>
          <w:szCs w:val="20"/>
        </w:rPr>
        <w:t>Australian Citizenship Law</w:t>
      </w:r>
      <w:r w:rsidRPr="003D07A0">
        <w:rPr>
          <w:rFonts w:ascii="Arial" w:eastAsia="Calibri" w:hAnsi="Arial" w:cs="Arial"/>
          <w:sz w:val="20"/>
          <w:szCs w:val="20"/>
        </w:rPr>
        <w:t>.</w:t>
      </w:r>
    </w:p>
  </w:endnote>
  <w:endnote w:id="19">
    <w:p w14:paraId="752C6279" w14:textId="77777777" w:rsidR="00AE7548" w:rsidRPr="003D07A0" w:rsidRDefault="00AE7548" w:rsidP="006C4E3E">
      <w:pPr>
        <w:rPr>
          <w:rFonts w:ascii="Arial" w:hAnsi="Arial" w:cs="Arial"/>
          <w:sz w:val="20"/>
          <w:szCs w:val="20"/>
        </w:rPr>
      </w:pPr>
      <w:r w:rsidRPr="003D07A0">
        <w:rPr>
          <w:rStyle w:val="EndnoteReference"/>
          <w:rFonts w:ascii="Arial" w:hAnsi="Arial" w:cs="Arial"/>
          <w:sz w:val="20"/>
          <w:szCs w:val="20"/>
        </w:rPr>
        <w:endnoteRef/>
      </w:r>
      <w:r w:rsidRPr="003D07A0">
        <w:rPr>
          <w:rFonts w:ascii="Arial" w:hAnsi="Arial" w:cs="Arial"/>
          <w:sz w:val="20"/>
          <w:szCs w:val="20"/>
        </w:rPr>
        <w:t xml:space="preserve"> </w:t>
      </w:r>
      <w:r w:rsidRPr="003D07A0">
        <w:rPr>
          <w:rFonts w:ascii="Arial" w:hAnsi="Arial" w:cs="Arial"/>
          <w:color w:val="000000" w:themeColor="text1"/>
          <w:sz w:val="20"/>
          <w:szCs w:val="20"/>
        </w:rPr>
        <w:t xml:space="preserve">Linda Colley, </w:t>
      </w:r>
      <w:r w:rsidRPr="003D07A0">
        <w:rPr>
          <w:rFonts w:ascii="Arial" w:hAnsi="Arial" w:cs="Arial"/>
          <w:i/>
          <w:iCs/>
          <w:color w:val="000000" w:themeColor="text1"/>
          <w:sz w:val="20"/>
          <w:szCs w:val="20"/>
          <w:shd w:val="clear" w:color="auto" w:fill="FFFFFF"/>
        </w:rPr>
        <w:t>Britons</w:t>
      </w:r>
      <w:r w:rsidRPr="003D07A0">
        <w:rPr>
          <w:rFonts w:ascii="Arial" w:hAnsi="Arial" w:cs="Arial"/>
          <w:color w:val="000000" w:themeColor="text1"/>
          <w:sz w:val="20"/>
          <w:szCs w:val="20"/>
        </w:rPr>
        <w:t>.</w:t>
      </w:r>
    </w:p>
  </w:endnote>
  <w:endnote w:id="20">
    <w:p w14:paraId="7074EDA7" w14:textId="77777777" w:rsidR="00AE7548" w:rsidRPr="003D07A0" w:rsidRDefault="00AE7548" w:rsidP="00A36DD6">
      <w:pPr>
        <w:rPr>
          <w:rFonts w:ascii="Arial" w:hAnsi="Arial" w:cs="Arial"/>
          <w:sz w:val="20"/>
          <w:szCs w:val="20"/>
        </w:rPr>
      </w:pPr>
      <w:r w:rsidRPr="003D07A0">
        <w:rPr>
          <w:rFonts w:ascii="Arial" w:hAnsi="Arial" w:cs="Arial"/>
          <w:sz w:val="20"/>
          <w:szCs w:val="20"/>
          <w:vertAlign w:val="superscript"/>
        </w:rPr>
        <w:endnoteRef/>
      </w:r>
      <w:r w:rsidRPr="003D07A0">
        <w:rPr>
          <w:rFonts w:ascii="Arial" w:hAnsi="Arial" w:cs="Arial"/>
          <w:sz w:val="20"/>
          <w:szCs w:val="20"/>
        </w:rPr>
        <w:t xml:space="preserve"> </w:t>
      </w:r>
      <w:r>
        <w:rPr>
          <w:rFonts w:ascii="Arial" w:hAnsi="Arial" w:cs="Arial"/>
          <w:sz w:val="20"/>
          <w:szCs w:val="20"/>
        </w:rPr>
        <w:t xml:space="preserve">Australian </w:t>
      </w:r>
      <w:r w:rsidRPr="003D07A0">
        <w:rPr>
          <w:rFonts w:ascii="Arial" w:eastAsia="Calibri" w:hAnsi="Arial" w:cs="Arial"/>
          <w:i/>
          <w:sz w:val="20"/>
          <w:szCs w:val="20"/>
        </w:rPr>
        <w:t xml:space="preserve">Record of the Debates of the Convention </w:t>
      </w:r>
      <w:r w:rsidRPr="003D07A0">
        <w:rPr>
          <w:rFonts w:ascii="Arial" w:eastAsia="Calibri" w:hAnsi="Arial" w:cs="Arial"/>
          <w:sz w:val="20"/>
          <w:szCs w:val="20"/>
        </w:rPr>
        <w:t xml:space="preserve">(Melbourne, 1898), vol V, p.1760, quoted in Rubenstein with Field, </w:t>
      </w:r>
      <w:r w:rsidRPr="003D07A0">
        <w:rPr>
          <w:rFonts w:ascii="Arial" w:eastAsia="Calibri" w:hAnsi="Arial" w:cs="Arial"/>
          <w:i/>
          <w:sz w:val="20"/>
          <w:szCs w:val="20"/>
        </w:rPr>
        <w:t>Australian Citizenship Law</w:t>
      </w:r>
      <w:r>
        <w:rPr>
          <w:rFonts w:ascii="Arial" w:eastAsia="Calibri" w:hAnsi="Arial" w:cs="Arial"/>
          <w:sz w:val="20"/>
          <w:szCs w:val="20"/>
        </w:rPr>
        <w:t>,</w:t>
      </w:r>
      <w:r w:rsidRPr="003D07A0">
        <w:rPr>
          <w:rFonts w:ascii="Arial" w:eastAsia="Calibri" w:hAnsi="Arial" w:cs="Arial"/>
          <w:sz w:val="20"/>
          <w:szCs w:val="20"/>
        </w:rPr>
        <w:t xml:space="preserve"> p.52.</w:t>
      </w:r>
    </w:p>
  </w:endnote>
  <w:endnote w:id="21">
    <w:p w14:paraId="50CE23FE" w14:textId="77777777" w:rsidR="00AE7548" w:rsidRPr="003D07A0" w:rsidRDefault="00AE7548" w:rsidP="00A36DD6">
      <w:pPr>
        <w:rPr>
          <w:rFonts w:ascii="Arial" w:eastAsia="Calibri" w:hAnsi="Arial" w:cs="Arial"/>
          <w:sz w:val="20"/>
          <w:szCs w:val="20"/>
        </w:rPr>
      </w:pPr>
      <w:r w:rsidRPr="003D07A0">
        <w:rPr>
          <w:rFonts w:ascii="Arial" w:hAnsi="Arial" w:cs="Arial"/>
          <w:sz w:val="20"/>
          <w:szCs w:val="20"/>
          <w:vertAlign w:val="superscript"/>
        </w:rPr>
        <w:endnoteRef/>
      </w:r>
      <w:r w:rsidRPr="003D07A0">
        <w:rPr>
          <w:rFonts w:ascii="Arial" w:hAnsi="Arial" w:cs="Arial"/>
          <w:sz w:val="20"/>
          <w:szCs w:val="20"/>
        </w:rPr>
        <w:t xml:space="preserve"> </w:t>
      </w:r>
      <w:r w:rsidRPr="003D07A0">
        <w:rPr>
          <w:rFonts w:ascii="Arial" w:eastAsia="Calibri" w:hAnsi="Arial" w:cs="Arial"/>
          <w:sz w:val="20"/>
          <w:szCs w:val="20"/>
        </w:rPr>
        <w:t xml:space="preserve">For a full breakdown of these early debates, see Rubenstein with Field, </w:t>
      </w:r>
      <w:r w:rsidRPr="003D07A0">
        <w:rPr>
          <w:rFonts w:ascii="Arial" w:eastAsia="Calibri" w:hAnsi="Arial" w:cs="Arial"/>
          <w:i/>
          <w:sz w:val="20"/>
          <w:szCs w:val="20"/>
        </w:rPr>
        <w:t>Australian Citizenship Law</w:t>
      </w:r>
      <w:r w:rsidRPr="003D07A0">
        <w:rPr>
          <w:rFonts w:ascii="Arial" w:eastAsia="Calibri" w:hAnsi="Arial" w:cs="Arial"/>
          <w:sz w:val="20"/>
          <w:szCs w:val="20"/>
        </w:rPr>
        <w:t>,</w:t>
      </w:r>
      <w:r>
        <w:rPr>
          <w:rFonts w:ascii="Arial" w:eastAsia="Calibri" w:hAnsi="Arial" w:cs="Arial"/>
          <w:sz w:val="20"/>
          <w:szCs w:val="20"/>
        </w:rPr>
        <w:t xml:space="preserve"> </w:t>
      </w:r>
      <w:r w:rsidRPr="003D07A0">
        <w:rPr>
          <w:rFonts w:ascii="Arial" w:eastAsia="Calibri" w:hAnsi="Arial" w:cs="Arial"/>
          <w:sz w:val="20"/>
          <w:szCs w:val="20"/>
        </w:rPr>
        <w:t>esp. p.50-54. She has argued that this lack of definition remains today in Australia, meaning the rights and duties associated with it are equally unclear in the most recent Australian Citizenship Act (2007).</w:t>
      </w:r>
    </w:p>
  </w:endnote>
  <w:endnote w:id="22">
    <w:p w14:paraId="000000BD" w14:textId="08559AF7" w:rsidR="00AE7548" w:rsidRPr="003D07A0" w:rsidRDefault="00AE7548">
      <w:pPr>
        <w:rPr>
          <w:rFonts w:ascii="Arial" w:eastAsia="Calibri" w:hAnsi="Arial" w:cs="Arial"/>
          <w:sz w:val="20"/>
          <w:szCs w:val="20"/>
        </w:rPr>
      </w:pPr>
      <w:r w:rsidRPr="003D07A0">
        <w:rPr>
          <w:rFonts w:ascii="Arial" w:hAnsi="Arial" w:cs="Arial"/>
          <w:sz w:val="20"/>
          <w:szCs w:val="20"/>
          <w:vertAlign w:val="superscript"/>
        </w:rPr>
        <w:endnoteRef/>
      </w:r>
      <w:r w:rsidRPr="003D07A0">
        <w:rPr>
          <w:rFonts w:ascii="Arial" w:eastAsia="Calibri" w:hAnsi="Arial" w:cs="Arial"/>
          <w:sz w:val="20"/>
          <w:szCs w:val="20"/>
        </w:rPr>
        <w:t xml:space="preserve"> See Bright, ‘Asian Migration and the British World, 1850-1914’, </w:t>
      </w:r>
      <w:r>
        <w:rPr>
          <w:rFonts w:ascii="Arial" w:eastAsia="Calibri" w:hAnsi="Arial" w:cs="Arial"/>
          <w:sz w:val="20"/>
          <w:szCs w:val="20"/>
        </w:rPr>
        <w:t>p.</w:t>
      </w:r>
      <w:r w:rsidRPr="003D07A0">
        <w:rPr>
          <w:rFonts w:ascii="Arial" w:eastAsia="Calibri" w:hAnsi="Arial" w:cs="Arial"/>
          <w:sz w:val="20"/>
          <w:szCs w:val="20"/>
        </w:rPr>
        <w:t xml:space="preserve">128-149; </w:t>
      </w:r>
      <w:proofErr w:type="spellStart"/>
      <w:r w:rsidRPr="003D07A0">
        <w:rPr>
          <w:rFonts w:ascii="Arial" w:eastAsia="Calibri" w:hAnsi="Arial" w:cs="Arial"/>
          <w:sz w:val="20"/>
          <w:szCs w:val="20"/>
        </w:rPr>
        <w:t>Huttenback</w:t>
      </w:r>
      <w:proofErr w:type="spellEnd"/>
      <w:r w:rsidRPr="003D07A0">
        <w:rPr>
          <w:rFonts w:ascii="Arial" w:eastAsia="Calibri" w:hAnsi="Arial" w:cs="Arial"/>
          <w:sz w:val="20"/>
          <w:szCs w:val="20"/>
        </w:rPr>
        <w:t>, ‘The British Empire as a “White Man’s Country”</w:t>
      </w:r>
      <w:r>
        <w:rPr>
          <w:rFonts w:ascii="Arial" w:eastAsia="Calibri" w:hAnsi="Arial" w:cs="Arial"/>
          <w:sz w:val="20"/>
          <w:szCs w:val="20"/>
        </w:rPr>
        <w:t>, p.</w:t>
      </w:r>
      <w:r w:rsidRPr="003D07A0">
        <w:rPr>
          <w:rFonts w:ascii="Arial" w:eastAsia="Calibri" w:hAnsi="Arial" w:cs="Arial"/>
          <w:sz w:val="20"/>
          <w:szCs w:val="20"/>
        </w:rPr>
        <w:t>111; Lake, ‘Translating needs into rights</w:t>
      </w:r>
      <w:r>
        <w:rPr>
          <w:rFonts w:ascii="Arial" w:eastAsia="Calibri" w:hAnsi="Arial" w:cs="Arial"/>
          <w:sz w:val="20"/>
          <w:szCs w:val="20"/>
        </w:rPr>
        <w:t xml:space="preserve">’, </w:t>
      </w:r>
      <w:r w:rsidRPr="003D07A0">
        <w:rPr>
          <w:rFonts w:ascii="Arial" w:eastAsia="Calibri" w:hAnsi="Arial" w:cs="Arial"/>
          <w:sz w:val="20"/>
          <w:szCs w:val="20"/>
        </w:rPr>
        <w:t>p.203.</w:t>
      </w:r>
    </w:p>
  </w:endnote>
  <w:endnote w:id="23">
    <w:p w14:paraId="000000BE" w14:textId="1D572DCC" w:rsidR="00AE7548" w:rsidRPr="003D07A0" w:rsidRDefault="00AE7548">
      <w:pPr>
        <w:rPr>
          <w:rFonts w:ascii="Arial" w:eastAsia="Calibri" w:hAnsi="Arial" w:cs="Arial"/>
          <w:sz w:val="20"/>
          <w:szCs w:val="20"/>
        </w:rPr>
      </w:pPr>
      <w:r w:rsidRPr="003D07A0">
        <w:rPr>
          <w:rFonts w:ascii="Arial" w:hAnsi="Arial" w:cs="Arial"/>
          <w:sz w:val="20"/>
          <w:szCs w:val="20"/>
          <w:vertAlign w:val="superscript"/>
        </w:rPr>
        <w:endnoteRef/>
      </w:r>
      <w:r w:rsidRPr="003D07A0">
        <w:rPr>
          <w:rFonts w:ascii="Arial" w:hAnsi="Arial" w:cs="Arial"/>
          <w:sz w:val="20"/>
          <w:szCs w:val="20"/>
        </w:rPr>
        <w:t xml:space="preserve"> </w:t>
      </w:r>
      <w:r w:rsidRPr="003D07A0">
        <w:rPr>
          <w:rFonts w:ascii="Arial" w:eastAsia="Calibri" w:hAnsi="Arial" w:cs="Arial"/>
          <w:sz w:val="20"/>
          <w:szCs w:val="20"/>
        </w:rPr>
        <w:t xml:space="preserve">UK Parliamentary Papers, Cd8596, 1897 Colonial Conference, London Proceedings, p.139. </w:t>
      </w:r>
    </w:p>
  </w:endnote>
  <w:endnote w:id="24">
    <w:p w14:paraId="2818C34B" w14:textId="7DC46E62" w:rsidR="00AE7548" w:rsidRDefault="00AE7548">
      <w:pPr>
        <w:pStyle w:val="EndnoteText"/>
      </w:pPr>
      <w:r>
        <w:rPr>
          <w:rStyle w:val="EndnoteReference"/>
        </w:rPr>
        <w:endnoteRef/>
      </w:r>
      <w:r>
        <w:t xml:space="preserve"> </w:t>
      </w:r>
      <w:r w:rsidRPr="003D07A0">
        <w:rPr>
          <w:rFonts w:ascii="Arial" w:eastAsia="Calibri" w:hAnsi="Arial" w:cs="Arial"/>
        </w:rPr>
        <w:t>UK Parliamentary Papers, Cd8596, 1897 Colonial Conference, London Proceedings, p.</w:t>
      </w:r>
      <w:r>
        <w:rPr>
          <w:rFonts w:eastAsia="Calibri"/>
        </w:rPr>
        <w:t xml:space="preserve">140. </w:t>
      </w:r>
    </w:p>
  </w:endnote>
  <w:endnote w:id="25">
    <w:p w14:paraId="000000C0" w14:textId="53066BA0" w:rsidR="00AE7548" w:rsidRPr="003D07A0" w:rsidRDefault="00AE7548">
      <w:pPr>
        <w:rPr>
          <w:rFonts w:ascii="Arial" w:eastAsia="Calibri" w:hAnsi="Arial" w:cs="Arial"/>
          <w:color w:val="000000" w:themeColor="text1"/>
          <w:sz w:val="20"/>
          <w:szCs w:val="20"/>
        </w:rPr>
      </w:pPr>
      <w:r w:rsidRPr="003D07A0">
        <w:rPr>
          <w:rFonts w:ascii="Arial" w:hAnsi="Arial" w:cs="Arial"/>
          <w:sz w:val="20"/>
          <w:szCs w:val="20"/>
          <w:vertAlign w:val="superscript"/>
        </w:rPr>
        <w:endnoteRef/>
      </w:r>
      <w:r w:rsidRPr="003D07A0">
        <w:rPr>
          <w:rFonts w:ascii="Arial" w:hAnsi="Arial" w:cs="Arial"/>
          <w:sz w:val="20"/>
          <w:szCs w:val="20"/>
        </w:rPr>
        <w:t xml:space="preserve"> </w:t>
      </w:r>
      <w:r w:rsidRPr="003D07A0">
        <w:rPr>
          <w:rFonts w:ascii="Arial" w:eastAsia="Calibri" w:hAnsi="Arial" w:cs="Arial"/>
          <w:sz w:val="20"/>
          <w:szCs w:val="20"/>
        </w:rPr>
        <w:t>For example</w:t>
      </w:r>
      <w:r w:rsidRPr="003D07A0">
        <w:rPr>
          <w:rFonts w:ascii="Arial" w:eastAsia="Calibri" w:hAnsi="Arial" w:cs="Arial"/>
          <w:color w:val="000000" w:themeColor="text1"/>
          <w:sz w:val="20"/>
          <w:szCs w:val="20"/>
        </w:rPr>
        <w:t xml:space="preserve">, </w:t>
      </w:r>
      <w:r>
        <w:rPr>
          <w:rFonts w:ascii="Arial" w:eastAsia="Calibri" w:hAnsi="Arial" w:cs="Arial"/>
          <w:color w:val="000000" w:themeColor="text1"/>
          <w:sz w:val="20"/>
          <w:szCs w:val="20"/>
        </w:rPr>
        <w:t>the</w:t>
      </w:r>
      <w:r w:rsidRPr="003D07A0">
        <w:rPr>
          <w:rFonts w:ascii="Arial" w:eastAsia="Calibri" w:hAnsi="Arial" w:cs="Arial"/>
          <w:color w:val="000000" w:themeColor="text1"/>
          <w:sz w:val="20"/>
          <w:szCs w:val="20"/>
        </w:rPr>
        <w:t xml:space="preserve"> Australia</w:t>
      </w:r>
      <w:r>
        <w:rPr>
          <w:rFonts w:ascii="Arial" w:eastAsia="Calibri" w:hAnsi="Arial" w:cs="Arial"/>
          <w:color w:val="000000" w:themeColor="text1"/>
          <w:sz w:val="20"/>
          <w:szCs w:val="20"/>
        </w:rPr>
        <w:t xml:space="preserve">n </w:t>
      </w:r>
      <w:r w:rsidRPr="003D07A0">
        <w:rPr>
          <w:rFonts w:ascii="Arial" w:eastAsia="Calibri" w:hAnsi="Arial" w:cs="Arial"/>
          <w:color w:val="000000" w:themeColor="text1"/>
          <w:sz w:val="20"/>
          <w:szCs w:val="20"/>
        </w:rPr>
        <w:t xml:space="preserve">Naturalisation Act (1903), Section 7: ‘The Governor-General in Council, if satisfied with the evidence adduced, shall consider the application, and may, with or without assigning any reason, in his </w:t>
      </w:r>
      <w:r w:rsidRPr="00FA398C">
        <w:rPr>
          <w:rFonts w:ascii="Arial" w:eastAsia="Calibri" w:hAnsi="Arial" w:cs="Arial"/>
          <w:color w:val="000000" w:themeColor="text1"/>
          <w:sz w:val="20"/>
          <w:szCs w:val="20"/>
        </w:rPr>
        <w:t xml:space="preserve">discretion grant or withhold a certificate of naturalization, as he thinks most conducive to the public good.’ </w:t>
      </w:r>
      <w:r>
        <w:rPr>
          <w:rFonts w:ascii="Arial" w:eastAsia="Calibri" w:hAnsi="Arial" w:cs="Arial"/>
          <w:sz w:val="20"/>
          <w:szCs w:val="20"/>
        </w:rPr>
        <w:t xml:space="preserve">Conversely, executive privilege was used </w:t>
      </w:r>
      <w:r w:rsidRPr="00FA398C">
        <w:rPr>
          <w:rFonts w:ascii="Arial" w:eastAsia="Calibri" w:hAnsi="Arial" w:cs="Arial"/>
          <w:sz w:val="20"/>
          <w:szCs w:val="20"/>
        </w:rPr>
        <w:t>frequently during the First World War in Australia</w:t>
      </w:r>
      <w:r>
        <w:rPr>
          <w:rFonts w:ascii="Arial" w:eastAsia="Calibri" w:hAnsi="Arial" w:cs="Arial"/>
          <w:sz w:val="20"/>
          <w:szCs w:val="20"/>
        </w:rPr>
        <w:t xml:space="preserve"> to grant German women naturalisation, despite ’enemy aliens’ being banned from applying</w:t>
      </w:r>
      <w:r w:rsidRPr="00FA398C">
        <w:rPr>
          <w:rFonts w:ascii="Arial" w:eastAsia="Calibri" w:hAnsi="Arial" w:cs="Arial"/>
          <w:sz w:val="20"/>
          <w:szCs w:val="20"/>
        </w:rPr>
        <w:t>. See Bright, ‘</w:t>
      </w:r>
      <w:r w:rsidRPr="00FA398C">
        <w:rPr>
          <w:rFonts w:ascii="Arial" w:hAnsi="Arial" w:cs="Arial"/>
          <w:sz w:val="20"/>
          <w:szCs w:val="20"/>
        </w:rPr>
        <w:t>Women's naturalisation in Australia during World War I’, forthcoming.</w:t>
      </w:r>
    </w:p>
  </w:endnote>
  <w:endnote w:id="26">
    <w:p w14:paraId="000000C1" w14:textId="6831704B" w:rsidR="00AE7548" w:rsidRPr="003D07A0" w:rsidRDefault="00AE7548">
      <w:pPr>
        <w:rPr>
          <w:rFonts w:ascii="Arial" w:eastAsia="Calibri" w:hAnsi="Arial" w:cs="Arial"/>
          <w:sz w:val="20"/>
          <w:szCs w:val="20"/>
        </w:rPr>
      </w:pPr>
      <w:r w:rsidRPr="003D07A0">
        <w:rPr>
          <w:rFonts w:ascii="Arial" w:hAnsi="Arial" w:cs="Arial"/>
          <w:color w:val="000000" w:themeColor="text1"/>
          <w:sz w:val="20"/>
          <w:szCs w:val="20"/>
          <w:vertAlign w:val="superscript"/>
        </w:rPr>
        <w:endnoteRef/>
      </w:r>
      <w:r w:rsidRPr="003D07A0">
        <w:rPr>
          <w:rFonts w:ascii="Arial" w:hAnsi="Arial" w:cs="Arial"/>
          <w:color w:val="000000" w:themeColor="text1"/>
          <w:sz w:val="20"/>
          <w:szCs w:val="20"/>
        </w:rPr>
        <w:t xml:space="preserve"> </w:t>
      </w:r>
      <w:proofErr w:type="spellStart"/>
      <w:r w:rsidRPr="003D07A0">
        <w:rPr>
          <w:rFonts w:ascii="Arial" w:eastAsia="Calibri" w:hAnsi="Arial" w:cs="Arial"/>
          <w:color w:val="000000" w:themeColor="text1"/>
          <w:sz w:val="20"/>
          <w:szCs w:val="20"/>
          <w:highlight w:val="white"/>
        </w:rPr>
        <w:t>Huttenback</w:t>
      </w:r>
      <w:proofErr w:type="spellEnd"/>
      <w:r w:rsidRPr="003D07A0">
        <w:rPr>
          <w:rFonts w:ascii="Arial" w:eastAsia="Calibri" w:hAnsi="Arial" w:cs="Arial"/>
          <w:color w:val="000000" w:themeColor="text1"/>
          <w:sz w:val="20"/>
          <w:szCs w:val="20"/>
          <w:highlight w:val="white"/>
        </w:rPr>
        <w:t xml:space="preserve">, </w:t>
      </w:r>
      <w:r w:rsidRPr="003D07A0">
        <w:rPr>
          <w:rFonts w:ascii="Arial" w:eastAsia="Calibri" w:hAnsi="Arial" w:cs="Arial"/>
          <w:i/>
          <w:color w:val="000000" w:themeColor="text1"/>
          <w:sz w:val="20"/>
          <w:szCs w:val="20"/>
          <w:highlight w:val="white"/>
        </w:rPr>
        <w:t>Racism and empire</w:t>
      </w:r>
      <w:r w:rsidRPr="003D07A0">
        <w:rPr>
          <w:rFonts w:ascii="Arial" w:eastAsia="Calibri" w:hAnsi="Arial" w:cs="Arial"/>
          <w:color w:val="000000" w:themeColor="text1"/>
          <w:sz w:val="20"/>
          <w:szCs w:val="20"/>
          <w:highlight w:val="white"/>
        </w:rPr>
        <w:t xml:space="preserve">; </w:t>
      </w:r>
      <w:r w:rsidRPr="003D07A0">
        <w:rPr>
          <w:rFonts w:ascii="Arial" w:eastAsia="Calibri" w:hAnsi="Arial" w:cs="Arial"/>
          <w:sz w:val="20"/>
          <w:szCs w:val="20"/>
          <w:highlight w:val="white"/>
        </w:rPr>
        <w:t xml:space="preserve">Martens, </w:t>
      </w:r>
      <w:r w:rsidRPr="003D07A0">
        <w:rPr>
          <w:rFonts w:ascii="Arial" w:eastAsia="Calibri" w:hAnsi="Arial" w:cs="Arial"/>
          <w:i/>
          <w:sz w:val="20"/>
          <w:szCs w:val="20"/>
          <w:highlight w:val="white"/>
        </w:rPr>
        <w:t>Empire and Asian Migration</w:t>
      </w:r>
      <w:r w:rsidRPr="003D07A0">
        <w:rPr>
          <w:rFonts w:ascii="Arial" w:eastAsia="Calibri" w:hAnsi="Arial" w:cs="Arial"/>
          <w:sz w:val="20"/>
          <w:szCs w:val="20"/>
          <w:highlight w:val="white"/>
        </w:rPr>
        <w:t xml:space="preserve">; Lake and Reynolds, </w:t>
      </w:r>
      <w:r>
        <w:rPr>
          <w:rFonts w:ascii="Arial" w:eastAsia="Calibri" w:hAnsi="Arial" w:cs="Arial"/>
          <w:i/>
          <w:iCs/>
          <w:sz w:val="20"/>
          <w:szCs w:val="20"/>
          <w:highlight w:val="white"/>
        </w:rPr>
        <w:t xml:space="preserve">Drawing a Global </w:t>
      </w:r>
      <w:proofErr w:type="spellStart"/>
      <w:r>
        <w:rPr>
          <w:rFonts w:ascii="Arial" w:eastAsia="Calibri" w:hAnsi="Arial" w:cs="Arial"/>
          <w:i/>
          <w:iCs/>
          <w:sz w:val="20"/>
          <w:szCs w:val="20"/>
          <w:highlight w:val="white"/>
        </w:rPr>
        <w:t>Color</w:t>
      </w:r>
      <w:proofErr w:type="spellEnd"/>
      <w:r>
        <w:rPr>
          <w:rFonts w:ascii="Arial" w:eastAsia="Calibri" w:hAnsi="Arial" w:cs="Arial"/>
          <w:i/>
          <w:iCs/>
          <w:sz w:val="20"/>
          <w:szCs w:val="20"/>
          <w:highlight w:val="white"/>
        </w:rPr>
        <w:t xml:space="preserve"> Line, </w:t>
      </w:r>
      <w:r w:rsidRPr="003D07A0">
        <w:rPr>
          <w:rFonts w:ascii="Arial" w:eastAsia="Calibri" w:hAnsi="Arial" w:cs="Arial"/>
          <w:sz w:val="20"/>
          <w:szCs w:val="20"/>
          <w:highlight w:val="white"/>
        </w:rPr>
        <w:t xml:space="preserve">p.125–132; McKeown, </w:t>
      </w:r>
      <w:r w:rsidRPr="003D07A0">
        <w:rPr>
          <w:rFonts w:ascii="Arial" w:eastAsia="Calibri" w:hAnsi="Arial" w:cs="Arial"/>
          <w:i/>
          <w:sz w:val="20"/>
          <w:szCs w:val="20"/>
          <w:highlight w:val="white"/>
        </w:rPr>
        <w:t>Melancholy order</w:t>
      </w:r>
      <w:r w:rsidRPr="003D07A0">
        <w:rPr>
          <w:rFonts w:ascii="Arial" w:eastAsia="Calibri" w:hAnsi="Arial" w:cs="Arial"/>
          <w:sz w:val="20"/>
          <w:szCs w:val="20"/>
          <w:highlight w:val="white"/>
        </w:rPr>
        <w:t xml:space="preserve">, p.185–214. </w:t>
      </w:r>
      <w:r w:rsidRPr="003D07A0">
        <w:rPr>
          <w:rFonts w:ascii="Arial" w:eastAsia="Calibri" w:hAnsi="Arial" w:cs="Arial"/>
          <w:sz w:val="20"/>
          <w:szCs w:val="20"/>
        </w:rPr>
        <w:t xml:space="preserve">Britain referenced this legislation when passing their own first migration control legislation in 1905; see Bashford and Gilchrist, ‘The Colonial History of the 1905 Aliens Act’, </w:t>
      </w:r>
      <w:r>
        <w:rPr>
          <w:rFonts w:ascii="Arial" w:eastAsia="Calibri" w:hAnsi="Arial" w:cs="Arial"/>
          <w:iCs/>
          <w:sz w:val="20"/>
          <w:szCs w:val="20"/>
        </w:rPr>
        <w:t>p.</w:t>
      </w:r>
      <w:r w:rsidRPr="003D07A0">
        <w:rPr>
          <w:rFonts w:ascii="Arial" w:eastAsia="Calibri" w:hAnsi="Arial" w:cs="Arial"/>
          <w:sz w:val="20"/>
          <w:szCs w:val="20"/>
        </w:rPr>
        <w:t xml:space="preserve">409-437; </w:t>
      </w:r>
      <w:r>
        <w:rPr>
          <w:rFonts w:ascii="Arial" w:eastAsia="Calibri" w:hAnsi="Arial" w:cs="Arial"/>
          <w:sz w:val="20"/>
          <w:szCs w:val="20"/>
        </w:rPr>
        <w:t xml:space="preserve">TNA, </w:t>
      </w:r>
      <w:r w:rsidRPr="003D07A0">
        <w:rPr>
          <w:rFonts w:ascii="Arial" w:eastAsia="Calibri" w:hAnsi="Arial" w:cs="Arial"/>
          <w:sz w:val="20"/>
          <w:szCs w:val="20"/>
        </w:rPr>
        <w:t xml:space="preserve">HO 45/10489/112229/18: </w:t>
      </w:r>
      <w:r>
        <w:rPr>
          <w:rFonts w:ascii="Arial" w:eastAsia="Calibri" w:hAnsi="Arial" w:cs="Arial"/>
          <w:sz w:val="20"/>
          <w:szCs w:val="20"/>
        </w:rPr>
        <w:t xml:space="preserve">Aliens, Bills and Acts, Naturalisation, </w:t>
      </w:r>
      <w:r w:rsidRPr="003D07A0">
        <w:rPr>
          <w:rFonts w:ascii="Arial" w:eastAsia="Calibri" w:hAnsi="Arial" w:cs="Arial"/>
          <w:sz w:val="20"/>
          <w:szCs w:val="20"/>
        </w:rPr>
        <w:t>Elgin Circular to self-governing colonies, 14 December 1906.</w:t>
      </w:r>
    </w:p>
  </w:endnote>
  <w:endnote w:id="27">
    <w:p w14:paraId="000000C2" w14:textId="4BADDD57" w:rsidR="00AE7548" w:rsidRPr="003D07A0" w:rsidRDefault="00AE7548">
      <w:pPr>
        <w:rPr>
          <w:rFonts w:ascii="Arial" w:eastAsia="Calibri" w:hAnsi="Arial" w:cs="Arial"/>
          <w:sz w:val="20"/>
          <w:szCs w:val="20"/>
        </w:rPr>
      </w:pPr>
      <w:r w:rsidRPr="003D07A0">
        <w:rPr>
          <w:rFonts w:ascii="Arial" w:hAnsi="Arial" w:cs="Arial"/>
          <w:sz w:val="20"/>
          <w:szCs w:val="20"/>
          <w:vertAlign w:val="superscript"/>
        </w:rPr>
        <w:endnoteRef/>
      </w:r>
      <w:r w:rsidRPr="003D07A0">
        <w:rPr>
          <w:rFonts w:ascii="Arial" w:hAnsi="Arial" w:cs="Arial"/>
          <w:sz w:val="20"/>
          <w:szCs w:val="20"/>
        </w:rPr>
        <w:t xml:space="preserve"> </w:t>
      </w:r>
      <w:proofErr w:type="spellStart"/>
      <w:r w:rsidRPr="003D07A0">
        <w:rPr>
          <w:rFonts w:ascii="Arial" w:eastAsia="Calibri" w:hAnsi="Arial" w:cs="Arial"/>
          <w:sz w:val="20"/>
          <w:szCs w:val="20"/>
          <w:highlight w:val="white"/>
        </w:rPr>
        <w:t>Karatani</w:t>
      </w:r>
      <w:proofErr w:type="spellEnd"/>
      <w:r w:rsidRPr="003D07A0">
        <w:rPr>
          <w:rFonts w:ascii="Arial" w:eastAsia="Calibri" w:hAnsi="Arial" w:cs="Arial"/>
          <w:sz w:val="20"/>
          <w:szCs w:val="20"/>
          <w:highlight w:val="white"/>
        </w:rPr>
        <w:t xml:space="preserve">, </w:t>
      </w:r>
      <w:r w:rsidRPr="003D07A0">
        <w:rPr>
          <w:rFonts w:ascii="Arial" w:eastAsia="Calibri" w:hAnsi="Arial" w:cs="Arial"/>
          <w:i/>
          <w:sz w:val="20"/>
          <w:szCs w:val="20"/>
          <w:highlight w:val="white"/>
        </w:rPr>
        <w:t>Defining British Citizenship</w:t>
      </w:r>
      <w:r w:rsidRPr="003D07A0">
        <w:rPr>
          <w:rFonts w:ascii="Arial" w:eastAsia="Calibri" w:hAnsi="Arial" w:cs="Arial"/>
          <w:sz w:val="20"/>
          <w:szCs w:val="20"/>
          <w:highlight w:val="white"/>
        </w:rPr>
        <w:t>, p.70-83.</w:t>
      </w:r>
    </w:p>
  </w:endnote>
  <w:endnote w:id="28">
    <w:p w14:paraId="000000C3" w14:textId="290B8118" w:rsidR="00AE7548" w:rsidRPr="003D07A0" w:rsidRDefault="00AE7548">
      <w:pPr>
        <w:rPr>
          <w:rFonts w:ascii="Arial" w:eastAsia="Calibri" w:hAnsi="Arial" w:cs="Arial"/>
          <w:sz w:val="20"/>
          <w:szCs w:val="20"/>
        </w:rPr>
      </w:pPr>
      <w:r w:rsidRPr="003D07A0">
        <w:rPr>
          <w:rFonts w:ascii="Arial" w:hAnsi="Arial" w:cs="Arial"/>
          <w:sz w:val="20"/>
          <w:szCs w:val="20"/>
          <w:vertAlign w:val="superscript"/>
        </w:rPr>
        <w:endnoteRef/>
      </w:r>
      <w:r w:rsidRPr="003D07A0">
        <w:rPr>
          <w:rFonts w:ascii="Arial" w:eastAsia="Calibri" w:hAnsi="Arial" w:cs="Arial"/>
          <w:sz w:val="20"/>
          <w:szCs w:val="20"/>
        </w:rPr>
        <w:t xml:space="preserve"> </w:t>
      </w:r>
      <w:r w:rsidRPr="003D07A0">
        <w:rPr>
          <w:rFonts w:ascii="Arial" w:eastAsia="Calibri" w:hAnsi="Arial" w:cs="Arial"/>
          <w:color w:val="222222"/>
          <w:sz w:val="20"/>
          <w:szCs w:val="20"/>
          <w:highlight w:val="white"/>
        </w:rPr>
        <w:t>Bright, ‘A “great deal of discrimination is necessary”’</w:t>
      </w:r>
      <w:r w:rsidRPr="003D07A0">
        <w:rPr>
          <w:rFonts w:ascii="Arial" w:eastAsia="Calibri" w:hAnsi="Arial" w:cs="Arial"/>
          <w:sz w:val="20"/>
          <w:szCs w:val="20"/>
        </w:rPr>
        <w:t>.</w:t>
      </w:r>
    </w:p>
  </w:endnote>
  <w:endnote w:id="29">
    <w:p w14:paraId="000000CD" w14:textId="10C56A90" w:rsidR="00AE7548" w:rsidRPr="000D1640" w:rsidRDefault="00AE7548">
      <w:pPr>
        <w:rPr>
          <w:rFonts w:ascii="Arial" w:eastAsia="Calibri" w:hAnsi="Arial" w:cs="Arial"/>
          <w:color w:val="000000" w:themeColor="text1"/>
          <w:sz w:val="20"/>
          <w:szCs w:val="20"/>
        </w:rPr>
      </w:pPr>
      <w:r w:rsidRPr="003D07A0">
        <w:rPr>
          <w:rFonts w:ascii="Arial" w:hAnsi="Arial" w:cs="Arial"/>
          <w:sz w:val="20"/>
          <w:szCs w:val="20"/>
          <w:vertAlign w:val="superscript"/>
        </w:rPr>
        <w:endnoteRef/>
      </w:r>
      <w:r w:rsidRPr="003D07A0">
        <w:rPr>
          <w:rFonts w:ascii="Arial" w:hAnsi="Arial" w:cs="Arial"/>
          <w:sz w:val="20"/>
          <w:szCs w:val="20"/>
        </w:rPr>
        <w:t xml:space="preserve"> </w:t>
      </w:r>
      <w:r>
        <w:rPr>
          <w:rFonts w:ascii="Arial" w:hAnsi="Arial" w:cs="Arial"/>
          <w:sz w:val="20"/>
          <w:szCs w:val="20"/>
        </w:rPr>
        <w:t xml:space="preserve">TNA </w:t>
      </w:r>
      <w:r w:rsidRPr="003D07A0">
        <w:rPr>
          <w:rFonts w:ascii="Arial" w:eastAsia="Calibri" w:hAnsi="Arial" w:cs="Arial"/>
          <w:sz w:val="20"/>
          <w:szCs w:val="20"/>
        </w:rPr>
        <w:t>CO 885/19/7: Sir Charles Prestwood Lucas</w:t>
      </w:r>
      <w:r>
        <w:rPr>
          <w:rFonts w:ascii="Arial" w:eastAsia="Calibri" w:hAnsi="Arial" w:cs="Arial"/>
          <w:sz w:val="20"/>
          <w:szCs w:val="20"/>
        </w:rPr>
        <w:t xml:space="preserve">, </w:t>
      </w:r>
      <w:r w:rsidRPr="003D07A0">
        <w:rPr>
          <w:rFonts w:ascii="Arial" w:eastAsia="Calibri" w:hAnsi="Arial" w:cs="Arial"/>
          <w:sz w:val="20"/>
          <w:szCs w:val="20"/>
        </w:rPr>
        <w:t xml:space="preserve">'Native races in the British empire. Memorandum.' This deals with the position and rights of the indigenous populations of Crown colonies, self-governing colonies and protectorates, 31 December </w:t>
      </w:r>
      <w:r w:rsidRPr="003D07A0">
        <w:rPr>
          <w:rFonts w:ascii="Arial" w:eastAsia="Calibri" w:hAnsi="Arial" w:cs="Arial"/>
          <w:sz w:val="20"/>
          <w:szCs w:val="20"/>
          <w:highlight w:val="white"/>
        </w:rPr>
        <w:t xml:space="preserve">1907, p.2. See also </w:t>
      </w:r>
      <w:r w:rsidRPr="003D07A0">
        <w:rPr>
          <w:rFonts w:ascii="Arial" w:eastAsia="Calibri" w:hAnsi="Arial" w:cs="Arial"/>
          <w:sz w:val="20"/>
          <w:szCs w:val="20"/>
        </w:rPr>
        <w:t>Chesterman, ‘Natural-Born Subjects?</w:t>
      </w:r>
      <w:r>
        <w:rPr>
          <w:rFonts w:ascii="Arial" w:eastAsia="Calibri" w:hAnsi="Arial" w:cs="Arial"/>
          <w:sz w:val="20"/>
          <w:szCs w:val="20"/>
        </w:rPr>
        <w:t>’ p.</w:t>
      </w:r>
      <w:r w:rsidRPr="003D07A0">
        <w:rPr>
          <w:rFonts w:ascii="Arial" w:eastAsia="Calibri" w:hAnsi="Arial" w:cs="Arial"/>
          <w:sz w:val="20"/>
          <w:szCs w:val="20"/>
        </w:rPr>
        <w:t>32.</w:t>
      </w:r>
    </w:p>
  </w:endnote>
  <w:endnote w:id="30">
    <w:p w14:paraId="000000CE" w14:textId="04E70D7A" w:rsidR="00AE7548" w:rsidRPr="000D1640" w:rsidRDefault="00AE7548">
      <w:pPr>
        <w:rPr>
          <w:rFonts w:ascii="Arial" w:eastAsia="Calibri" w:hAnsi="Arial" w:cs="Arial"/>
          <w:color w:val="000000" w:themeColor="text1"/>
          <w:sz w:val="20"/>
          <w:szCs w:val="20"/>
        </w:rPr>
      </w:pPr>
      <w:r w:rsidRPr="000D1640">
        <w:rPr>
          <w:rFonts w:ascii="Arial" w:hAnsi="Arial" w:cs="Arial"/>
          <w:color w:val="000000" w:themeColor="text1"/>
          <w:sz w:val="20"/>
          <w:szCs w:val="20"/>
          <w:vertAlign w:val="superscript"/>
        </w:rPr>
        <w:endnoteRef/>
      </w:r>
      <w:r w:rsidRPr="000D1640">
        <w:rPr>
          <w:rFonts w:ascii="Arial" w:eastAsia="Calibri" w:hAnsi="Arial" w:cs="Arial"/>
          <w:color w:val="000000" w:themeColor="text1"/>
          <w:sz w:val="20"/>
          <w:szCs w:val="20"/>
        </w:rPr>
        <w:t xml:space="preserve"> See, for instance, </w:t>
      </w:r>
      <w:r>
        <w:rPr>
          <w:rFonts w:ascii="Arial" w:eastAsia="Calibri" w:hAnsi="Arial" w:cs="Arial"/>
          <w:color w:val="000000" w:themeColor="text1"/>
          <w:sz w:val="20"/>
          <w:szCs w:val="20"/>
        </w:rPr>
        <w:t>N</w:t>
      </w:r>
      <w:r w:rsidRPr="0088041A">
        <w:rPr>
          <w:rFonts w:ascii="Arial" w:eastAsia="Calibri" w:hAnsi="Arial" w:cs="Arial"/>
          <w:sz w:val="20"/>
          <w:szCs w:val="20"/>
        </w:rPr>
        <w:t>ational Archives of Australia (NAA)</w:t>
      </w:r>
      <w:r w:rsidRPr="000D1640">
        <w:rPr>
          <w:rFonts w:ascii="Arial" w:eastAsia="Calibri" w:hAnsi="Arial" w:cs="Arial"/>
          <w:color w:val="000000" w:themeColor="text1"/>
          <w:sz w:val="20"/>
          <w:szCs w:val="20"/>
        </w:rPr>
        <w:t xml:space="preserve">: A1, 1904/9135, M. </w:t>
      </w:r>
      <w:proofErr w:type="spellStart"/>
      <w:r w:rsidRPr="000D1640">
        <w:rPr>
          <w:rFonts w:ascii="Arial" w:eastAsia="Calibri" w:hAnsi="Arial" w:cs="Arial"/>
          <w:color w:val="000000" w:themeColor="text1"/>
          <w:sz w:val="20"/>
          <w:szCs w:val="20"/>
        </w:rPr>
        <w:t>Betro</w:t>
      </w:r>
      <w:proofErr w:type="spellEnd"/>
      <w:r w:rsidRPr="000D1640">
        <w:rPr>
          <w:rFonts w:ascii="Arial" w:eastAsia="Calibri" w:hAnsi="Arial" w:cs="Arial"/>
          <w:color w:val="000000" w:themeColor="text1"/>
          <w:sz w:val="20"/>
          <w:szCs w:val="20"/>
        </w:rPr>
        <w:t xml:space="preserve"> (1904); A1, 1912/18004, Salma </w:t>
      </w:r>
      <w:proofErr w:type="spellStart"/>
      <w:r w:rsidRPr="000D1640">
        <w:rPr>
          <w:rFonts w:ascii="Arial" w:eastAsia="Calibri" w:hAnsi="Arial" w:cs="Arial"/>
          <w:color w:val="000000" w:themeColor="text1"/>
          <w:sz w:val="20"/>
          <w:szCs w:val="20"/>
        </w:rPr>
        <w:t>Betros</w:t>
      </w:r>
      <w:proofErr w:type="spellEnd"/>
      <w:r w:rsidRPr="000D1640">
        <w:rPr>
          <w:rFonts w:ascii="Arial" w:eastAsia="Calibri" w:hAnsi="Arial" w:cs="Arial"/>
          <w:color w:val="000000" w:themeColor="text1"/>
          <w:sz w:val="20"/>
          <w:szCs w:val="20"/>
        </w:rPr>
        <w:t xml:space="preserve"> (1905); ST1233/1/0, N6777, Rachel Nasser (1916-28); ST1233/1, N2930, Mrs Freda Abraham (1916-25); A1, 1906/6969, Revocation of certain Naturalization Certificates, Confidential letter, Atlee Hunt to P. J. McDermott, Under Secretary, Chief Secretary’s Office, Brisbane, 22 May 1905, p.35-6.</w:t>
      </w:r>
    </w:p>
  </w:endnote>
  <w:endnote w:id="31">
    <w:p w14:paraId="000000C4" w14:textId="61892D60" w:rsidR="00AE7548" w:rsidRPr="000D1640" w:rsidRDefault="00AE7548">
      <w:pPr>
        <w:rPr>
          <w:rFonts w:ascii="Arial" w:eastAsia="Calibri" w:hAnsi="Arial" w:cs="Arial"/>
          <w:color w:val="000000" w:themeColor="text1"/>
          <w:sz w:val="20"/>
          <w:szCs w:val="20"/>
        </w:rPr>
      </w:pPr>
      <w:r w:rsidRPr="000D1640">
        <w:rPr>
          <w:rFonts w:ascii="Arial" w:hAnsi="Arial" w:cs="Arial"/>
          <w:color w:val="000000" w:themeColor="text1"/>
          <w:sz w:val="20"/>
          <w:szCs w:val="20"/>
          <w:vertAlign w:val="superscript"/>
        </w:rPr>
        <w:endnoteRef/>
      </w:r>
      <w:r w:rsidRPr="000D1640">
        <w:rPr>
          <w:rFonts w:ascii="Arial" w:hAnsi="Arial" w:cs="Arial"/>
          <w:color w:val="000000" w:themeColor="text1"/>
          <w:sz w:val="20"/>
          <w:szCs w:val="20"/>
        </w:rPr>
        <w:t xml:space="preserve"> </w:t>
      </w:r>
      <w:r w:rsidRPr="000D1640">
        <w:rPr>
          <w:rFonts w:ascii="Arial" w:eastAsia="Calibri" w:hAnsi="Arial" w:cs="Arial"/>
          <w:color w:val="000000" w:themeColor="text1"/>
          <w:sz w:val="20"/>
          <w:szCs w:val="20"/>
        </w:rPr>
        <w:t xml:space="preserve">Cohen, </w:t>
      </w:r>
      <w:r w:rsidRPr="000D1640">
        <w:rPr>
          <w:rFonts w:ascii="Arial" w:eastAsia="Calibri" w:hAnsi="Arial" w:cs="Arial"/>
          <w:i/>
          <w:color w:val="000000" w:themeColor="text1"/>
          <w:sz w:val="20"/>
          <w:szCs w:val="20"/>
        </w:rPr>
        <w:t xml:space="preserve">Frontiers of Identity, </w:t>
      </w:r>
      <w:r w:rsidRPr="000D1640">
        <w:rPr>
          <w:rFonts w:ascii="Arial" w:eastAsia="Calibri" w:hAnsi="Arial" w:cs="Arial"/>
          <w:color w:val="000000" w:themeColor="text1"/>
          <w:sz w:val="20"/>
          <w:szCs w:val="20"/>
        </w:rPr>
        <w:t>p.2.</w:t>
      </w:r>
    </w:p>
  </w:endnote>
  <w:endnote w:id="32">
    <w:p w14:paraId="000000C9" w14:textId="5CAF34C1" w:rsidR="00AE7548" w:rsidRPr="000D1640" w:rsidRDefault="00AE7548">
      <w:pPr>
        <w:rPr>
          <w:rFonts w:ascii="Arial" w:eastAsia="Calibri" w:hAnsi="Arial" w:cs="Arial"/>
          <w:color w:val="000000" w:themeColor="text1"/>
          <w:sz w:val="20"/>
          <w:szCs w:val="20"/>
        </w:rPr>
      </w:pPr>
      <w:r w:rsidRPr="000D1640">
        <w:rPr>
          <w:rFonts w:ascii="Arial" w:hAnsi="Arial" w:cs="Arial"/>
          <w:color w:val="000000" w:themeColor="text1"/>
          <w:sz w:val="20"/>
          <w:szCs w:val="20"/>
          <w:vertAlign w:val="superscript"/>
        </w:rPr>
        <w:endnoteRef/>
      </w:r>
      <w:r w:rsidRPr="000D1640">
        <w:rPr>
          <w:rFonts w:ascii="Arial" w:hAnsi="Arial" w:cs="Arial"/>
          <w:color w:val="000000" w:themeColor="text1"/>
          <w:sz w:val="20"/>
          <w:szCs w:val="20"/>
        </w:rPr>
        <w:t xml:space="preserve"> </w:t>
      </w:r>
      <w:r w:rsidRPr="000D1640">
        <w:rPr>
          <w:rFonts w:ascii="Arial" w:eastAsia="Calibri" w:hAnsi="Arial" w:cs="Arial"/>
          <w:color w:val="000000" w:themeColor="text1"/>
          <w:sz w:val="20"/>
          <w:szCs w:val="20"/>
        </w:rPr>
        <w:t xml:space="preserve">Bell, </w:t>
      </w:r>
      <w:r w:rsidRPr="000D1640">
        <w:rPr>
          <w:rFonts w:ascii="Arial" w:eastAsia="Calibri" w:hAnsi="Arial" w:cs="Arial"/>
          <w:i/>
          <w:color w:val="000000" w:themeColor="text1"/>
          <w:sz w:val="20"/>
          <w:szCs w:val="20"/>
        </w:rPr>
        <w:t>The Idea of Greater Britain</w:t>
      </w:r>
      <w:r w:rsidRPr="000D1640">
        <w:rPr>
          <w:rFonts w:ascii="Arial" w:eastAsia="Calibri" w:hAnsi="Arial" w:cs="Arial"/>
          <w:color w:val="000000" w:themeColor="text1"/>
          <w:sz w:val="20"/>
          <w:szCs w:val="20"/>
        </w:rPr>
        <w:t xml:space="preserve">; </w:t>
      </w:r>
      <w:proofErr w:type="spellStart"/>
      <w:r w:rsidRPr="000D1640">
        <w:rPr>
          <w:rFonts w:ascii="Arial" w:eastAsia="Calibri" w:hAnsi="Arial" w:cs="Arial"/>
          <w:color w:val="000000" w:themeColor="text1"/>
          <w:sz w:val="20"/>
          <w:szCs w:val="20"/>
        </w:rPr>
        <w:t>Behm</w:t>
      </w:r>
      <w:proofErr w:type="spellEnd"/>
      <w:r w:rsidRPr="000D1640">
        <w:rPr>
          <w:rFonts w:ascii="Arial" w:eastAsia="Calibri" w:hAnsi="Arial" w:cs="Arial"/>
          <w:color w:val="000000" w:themeColor="text1"/>
          <w:sz w:val="20"/>
          <w:szCs w:val="20"/>
        </w:rPr>
        <w:t xml:space="preserve">, </w:t>
      </w:r>
      <w:r w:rsidRPr="000D1640">
        <w:rPr>
          <w:rFonts w:ascii="Arial" w:eastAsia="Calibri" w:hAnsi="Arial" w:cs="Arial"/>
          <w:i/>
          <w:color w:val="000000" w:themeColor="text1"/>
          <w:sz w:val="20"/>
          <w:szCs w:val="20"/>
          <w:highlight w:val="white"/>
        </w:rPr>
        <w:t>Imperial History and the Global Politics of Exclusion</w:t>
      </w:r>
      <w:r w:rsidRPr="000D1640">
        <w:rPr>
          <w:rFonts w:ascii="Arial" w:eastAsia="Calibri" w:hAnsi="Arial" w:cs="Arial"/>
          <w:color w:val="000000" w:themeColor="text1"/>
          <w:sz w:val="20"/>
          <w:szCs w:val="20"/>
          <w:highlight w:val="white"/>
        </w:rPr>
        <w:t xml:space="preserve">; Gorman, </w:t>
      </w:r>
      <w:r w:rsidRPr="000D1640">
        <w:rPr>
          <w:rFonts w:ascii="Arial" w:eastAsia="Calibri" w:hAnsi="Arial" w:cs="Arial"/>
          <w:i/>
          <w:color w:val="000000" w:themeColor="text1"/>
          <w:sz w:val="20"/>
          <w:szCs w:val="20"/>
          <w:highlight w:val="white"/>
        </w:rPr>
        <w:t>Imperial Citizenship</w:t>
      </w:r>
      <w:r w:rsidRPr="000D1640">
        <w:rPr>
          <w:rFonts w:ascii="Arial" w:eastAsia="Calibri" w:hAnsi="Arial" w:cs="Arial"/>
          <w:color w:val="000000" w:themeColor="text1"/>
          <w:sz w:val="20"/>
          <w:szCs w:val="20"/>
          <w:highlight w:val="white"/>
        </w:rPr>
        <w:t>.</w:t>
      </w:r>
    </w:p>
  </w:endnote>
  <w:endnote w:id="33">
    <w:p w14:paraId="13905695" w14:textId="082944F5" w:rsidR="00AE7548" w:rsidRPr="000D1640" w:rsidRDefault="00AE7548">
      <w:pPr>
        <w:pStyle w:val="EndnoteText"/>
        <w:rPr>
          <w:color w:val="000000" w:themeColor="text1"/>
        </w:rPr>
      </w:pPr>
      <w:r w:rsidRPr="000D1640">
        <w:rPr>
          <w:rStyle w:val="EndnoteReference"/>
          <w:color w:val="000000" w:themeColor="text1"/>
        </w:rPr>
        <w:endnoteRef/>
      </w:r>
      <w:r w:rsidRPr="000D1640">
        <w:rPr>
          <w:color w:val="000000" w:themeColor="text1"/>
        </w:rPr>
        <w:t xml:space="preserve"> See endnote 3.</w:t>
      </w:r>
    </w:p>
  </w:endnote>
  <w:endnote w:id="34">
    <w:p w14:paraId="000000C8" w14:textId="1C8E6140" w:rsidR="00AE7548" w:rsidRPr="003D07A0" w:rsidRDefault="00AE7548">
      <w:pPr>
        <w:rPr>
          <w:rFonts w:ascii="Arial" w:eastAsia="Calibri" w:hAnsi="Arial" w:cs="Arial"/>
          <w:sz w:val="20"/>
          <w:szCs w:val="20"/>
        </w:rPr>
      </w:pPr>
      <w:r w:rsidRPr="000D1640">
        <w:rPr>
          <w:rFonts w:ascii="Arial" w:hAnsi="Arial" w:cs="Arial"/>
          <w:color w:val="000000" w:themeColor="text1"/>
          <w:sz w:val="20"/>
          <w:szCs w:val="20"/>
          <w:vertAlign w:val="superscript"/>
        </w:rPr>
        <w:endnoteRef/>
      </w:r>
      <w:r w:rsidRPr="000D1640">
        <w:rPr>
          <w:rFonts w:ascii="Arial" w:eastAsia="Calibri" w:hAnsi="Arial" w:cs="Arial"/>
          <w:color w:val="000000" w:themeColor="text1"/>
          <w:sz w:val="20"/>
          <w:szCs w:val="20"/>
        </w:rPr>
        <w:t xml:space="preserve"> </w:t>
      </w:r>
      <w:r w:rsidRPr="000D1640">
        <w:rPr>
          <w:rFonts w:ascii="Arial" w:eastAsia="Calibri" w:hAnsi="Arial" w:cs="Arial"/>
          <w:color w:val="000000" w:themeColor="text1"/>
          <w:sz w:val="20"/>
          <w:szCs w:val="20"/>
          <w:highlight w:val="white"/>
        </w:rPr>
        <w:t xml:space="preserve">Castles and Miller, </w:t>
      </w:r>
      <w:r w:rsidRPr="000D1640">
        <w:rPr>
          <w:rFonts w:ascii="Arial" w:eastAsia="Calibri" w:hAnsi="Arial" w:cs="Arial"/>
          <w:i/>
          <w:color w:val="000000" w:themeColor="text1"/>
          <w:sz w:val="20"/>
          <w:szCs w:val="20"/>
          <w:highlight w:val="white"/>
        </w:rPr>
        <w:t>The Age of Migration</w:t>
      </w:r>
      <w:r w:rsidRPr="000D1640">
        <w:rPr>
          <w:rFonts w:ascii="Arial" w:eastAsia="Calibri" w:hAnsi="Arial" w:cs="Arial"/>
          <w:color w:val="000000" w:themeColor="text1"/>
          <w:sz w:val="20"/>
          <w:szCs w:val="20"/>
          <w:highlight w:val="white"/>
        </w:rPr>
        <w:t xml:space="preserve">; Caplan and </w:t>
      </w:r>
      <w:proofErr w:type="spellStart"/>
      <w:r w:rsidRPr="000D1640">
        <w:rPr>
          <w:rFonts w:ascii="Arial" w:eastAsia="Calibri" w:hAnsi="Arial" w:cs="Arial"/>
          <w:color w:val="000000" w:themeColor="text1"/>
          <w:sz w:val="20"/>
          <w:szCs w:val="20"/>
          <w:highlight w:val="white"/>
        </w:rPr>
        <w:t>Torpey</w:t>
      </w:r>
      <w:proofErr w:type="spellEnd"/>
      <w:r w:rsidRPr="000D1640">
        <w:rPr>
          <w:rFonts w:ascii="Arial" w:eastAsia="Calibri" w:hAnsi="Arial" w:cs="Arial"/>
          <w:color w:val="000000" w:themeColor="text1"/>
          <w:sz w:val="20"/>
          <w:szCs w:val="20"/>
          <w:highlight w:val="white"/>
        </w:rPr>
        <w:t xml:space="preserve"> (eds.), </w:t>
      </w:r>
      <w:r w:rsidRPr="000D1640">
        <w:rPr>
          <w:rFonts w:ascii="Arial" w:eastAsia="Calibri" w:hAnsi="Arial" w:cs="Arial"/>
          <w:i/>
          <w:color w:val="000000" w:themeColor="text1"/>
          <w:sz w:val="20"/>
          <w:szCs w:val="20"/>
          <w:highlight w:val="white"/>
        </w:rPr>
        <w:t>Documenting Individual Identity</w:t>
      </w:r>
      <w:r w:rsidRPr="000D1640">
        <w:rPr>
          <w:rFonts w:ascii="Arial" w:eastAsia="Calibri" w:hAnsi="Arial" w:cs="Arial"/>
          <w:color w:val="000000" w:themeColor="text1"/>
          <w:sz w:val="20"/>
          <w:szCs w:val="20"/>
          <w:highlight w:val="white"/>
        </w:rPr>
        <w:t xml:space="preserve">; Lake and Reynolds, </w:t>
      </w:r>
      <w:r w:rsidRPr="003D07A0">
        <w:rPr>
          <w:rFonts w:ascii="Arial" w:eastAsia="Calibri" w:hAnsi="Arial" w:cs="Arial"/>
          <w:i/>
          <w:color w:val="222222"/>
          <w:sz w:val="20"/>
          <w:szCs w:val="20"/>
          <w:highlight w:val="white"/>
        </w:rPr>
        <w:t>Drawing the Global Colour Line</w:t>
      </w:r>
      <w:r w:rsidRPr="003D07A0">
        <w:rPr>
          <w:rFonts w:ascii="Arial" w:eastAsia="Calibri" w:hAnsi="Arial" w:cs="Arial"/>
          <w:color w:val="222222"/>
          <w:sz w:val="20"/>
          <w:szCs w:val="20"/>
          <w:highlight w:val="white"/>
        </w:rPr>
        <w:t>.</w:t>
      </w:r>
    </w:p>
  </w:endnote>
  <w:endnote w:id="35">
    <w:p w14:paraId="000000CA" w14:textId="25054F5E" w:rsidR="00AE7548" w:rsidRPr="003D07A0" w:rsidRDefault="00AE7548">
      <w:pPr>
        <w:rPr>
          <w:rFonts w:ascii="Arial" w:hAnsi="Arial" w:cs="Arial"/>
          <w:sz w:val="20"/>
          <w:szCs w:val="20"/>
        </w:rPr>
      </w:pPr>
      <w:r w:rsidRPr="003D07A0">
        <w:rPr>
          <w:rFonts w:ascii="Arial" w:hAnsi="Arial" w:cs="Arial"/>
          <w:sz w:val="20"/>
          <w:szCs w:val="20"/>
          <w:vertAlign w:val="superscript"/>
        </w:rPr>
        <w:endnoteRef/>
      </w:r>
      <w:r w:rsidRPr="003D07A0">
        <w:rPr>
          <w:rFonts w:ascii="Arial" w:hAnsi="Arial" w:cs="Arial"/>
          <w:sz w:val="20"/>
          <w:szCs w:val="20"/>
        </w:rPr>
        <w:t xml:space="preserve"> </w:t>
      </w:r>
      <w:proofErr w:type="spellStart"/>
      <w:r w:rsidRPr="003D07A0">
        <w:rPr>
          <w:rFonts w:ascii="Arial" w:eastAsia="Calibri" w:hAnsi="Arial" w:cs="Arial"/>
          <w:sz w:val="20"/>
          <w:szCs w:val="20"/>
        </w:rPr>
        <w:t>Gammerl</w:t>
      </w:r>
      <w:proofErr w:type="spellEnd"/>
      <w:r w:rsidRPr="003D07A0">
        <w:rPr>
          <w:rFonts w:ascii="Arial" w:eastAsia="Calibri" w:hAnsi="Arial" w:cs="Arial"/>
          <w:sz w:val="20"/>
          <w:szCs w:val="20"/>
        </w:rPr>
        <w:t>, ‘Subjects, citizens and others</w:t>
      </w:r>
      <w:r>
        <w:rPr>
          <w:rFonts w:ascii="Arial" w:eastAsia="Calibri" w:hAnsi="Arial" w:cs="Arial"/>
          <w:sz w:val="20"/>
          <w:szCs w:val="20"/>
        </w:rPr>
        <w:t>’, p.</w:t>
      </w:r>
      <w:r w:rsidRPr="003D07A0">
        <w:rPr>
          <w:rFonts w:ascii="Arial" w:eastAsia="Calibri" w:hAnsi="Arial" w:cs="Arial"/>
          <w:sz w:val="20"/>
          <w:szCs w:val="20"/>
        </w:rPr>
        <w:t>532,</w:t>
      </w:r>
      <w:r>
        <w:rPr>
          <w:rFonts w:ascii="Arial" w:eastAsia="Calibri" w:hAnsi="Arial" w:cs="Arial"/>
          <w:sz w:val="20"/>
          <w:szCs w:val="20"/>
        </w:rPr>
        <w:t xml:space="preserve"> </w:t>
      </w:r>
      <w:r w:rsidRPr="003D07A0">
        <w:rPr>
          <w:rFonts w:ascii="Arial" w:eastAsia="Calibri" w:hAnsi="Arial" w:cs="Arial"/>
          <w:sz w:val="20"/>
          <w:szCs w:val="20"/>
        </w:rPr>
        <w:t xml:space="preserve">542; </w:t>
      </w:r>
      <w:proofErr w:type="spellStart"/>
      <w:r w:rsidRPr="003D07A0">
        <w:rPr>
          <w:rFonts w:ascii="Arial" w:eastAsia="Calibri" w:hAnsi="Arial" w:cs="Arial"/>
          <w:sz w:val="20"/>
          <w:szCs w:val="20"/>
        </w:rPr>
        <w:t>Farhrmeir</w:t>
      </w:r>
      <w:proofErr w:type="spellEnd"/>
      <w:r w:rsidRPr="003D07A0">
        <w:rPr>
          <w:rFonts w:ascii="Arial" w:eastAsia="Calibri" w:hAnsi="Arial" w:cs="Arial"/>
          <w:sz w:val="20"/>
          <w:szCs w:val="20"/>
        </w:rPr>
        <w:t xml:space="preserve">, </w:t>
      </w:r>
      <w:r w:rsidRPr="003D07A0">
        <w:rPr>
          <w:rFonts w:ascii="Arial" w:eastAsia="Calibri" w:hAnsi="Arial" w:cs="Arial"/>
          <w:i/>
          <w:sz w:val="20"/>
          <w:szCs w:val="20"/>
        </w:rPr>
        <w:t>Citizens and Aliens</w:t>
      </w:r>
      <w:r>
        <w:rPr>
          <w:rFonts w:ascii="Arial" w:eastAsia="Calibri" w:hAnsi="Arial" w:cs="Arial"/>
          <w:i/>
          <w:sz w:val="20"/>
          <w:szCs w:val="20"/>
        </w:rPr>
        <w:t xml:space="preserve">, </w:t>
      </w:r>
      <w:r w:rsidRPr="003D07A0">
        <w:rPr>
          <w:rFonts w:ascii="Arial" w:eastAsia="Calibri" w:hAnsi="Arial" w:cs="Arial"/>
          <w:sz w:val="20"/>
          <w:szCs w:val="20"/>
        </w:rPr>
        <w:t>p.93.</w:t>
      </w:r>
    </w:p>
  </w:endnote>
  <w:endnote w:id="36">
    <w:p w14:paraId="000000CB" w14:textId="0EECBDE0" w:rsidR="00AE7548" w:rsidRPr="003D07A0" w:rsidRDefault="00AE7548">
      <w:pPr>
        <w:rPr>
          <w:rFonts w:ascii="Arial" w:eastAsia="Calibri" w:hAnsi="Arial" w:cs="Arial"/>
          <w:sz w:val="20"/>
          <w:szCs w:val="20"/>
        </w:rPr>
      </w:pPr>
      <w:r w:rsidRPr="003D07A0">
        <w:rPr>
          <w:rFonts w:ascii="Arial" w:hAnsi="Arial" w:cs="Arial"/>
          <w:sz w:val="20"/>
          <w:szCs w:val="20"/>
          <w:vertAlign w:val="superscript"/>
        </w:rPr>
        <w:endnoteRef/>
      </w:r>
      <w:r w:rsidRPr="003D07A0">
        <w:rPr>
          <w:rFonts w:ascii="Arial" w:hAnsi="Arial" w:cs="Arial"/>
          <w:sz w:val="20"/>
          <w:szCs w:val="20"/>
        </w:rPr>
        <w:t xml:space="preserve"> </w:t>
      </w:r>
      <w:proofErr w:type="spellStart"/>
      <w:r w:rsidRPr="003D07A0">
        <w:rPr>
          <w:rFonts w:ascii="Arial" w:eastAsia="Calibri" w:hAnsi="Arial" w:cs="Arial"/>
          <w:sz w:val="20"/>
          <w:szCs w:val="20"/>
        </w:rPr>
        <w:t>Karatani</w:t>
      </w:r>
      <w:proofErr w:type="spellEnd"/>
      <w:r w:rsidRPr="003D07A0">
        <w:rPr>
          <w:rFonts w:ascii="Arial" w:eastAsia="Calibri" w:hAnsi="Arial" w:cs="Arial"/>
          <w:sz w:val="20"/>
          <w:szCs w:val="20"/>
        </w:rPr>
        <w:t xml:space="preserve">, </w:t>
      </w:r>
      <w:r w:rsidRPr="003D07A0">
        <w:rPr>
          <w:rFonts w:ascii="Arial" w:eastAsia="Calibri" w:hAnsi="Arial" w:cs="Arial"/>
          <w:i/>
          <w:sz w:val="20"/>
          <w:szCs w:val="20"/>
          <w:highlight w:val="white"/>
        </w:rPr>
        <w:t>Defining British Citizenship</w:t>
      </w:r>
      <w:r>
        <w:rPr>
          <w:rFonts w:ascii="Arial" w:eastAsia="Calibri" w:hAnsi="Arial" w:cs="Arial"/>
          <w:i/>
          <w:sz w:val="20"/>
          <w:szCs w:val="20"/>
          <w:highlight w:val="white"/>
        </w:rPr>
        <w:t xml:space="preserve">, </w:t>
      </w:r>
      <w:r w:rsidRPr="003D07A0">
        <w:rPr>
          <w:rFonts w:ascii="Arial" w:eastAsia="Calibri" w:hAnsi="Arial" w:cs="Arial"/>
          <w:sz w:val="20"/>
          <w:szCs w:val="20"/>
        </w:rPr>
        <w:t>p.40.</w:t>
      </w:r>
    </w:p>
  </w:endnote>
  <w:endnote w:id="37">
    <w:p w14:paraId="000000D0" w14:textId="669B9D32" w:rsidR="00AE7548" w:rsidRPr="003D07A0" w:rsidRDefault="00AE7548">
      <w:pPr>
        <w:rPr>
          <w:rFonts w:ascii="Arial" w:eastAsia="Calibri" w:hAnsi="Arial" w:cs="Arial"/>
          <w:sz w:val="20"/>
          <w:szCs w:val="20"/>
        </w:rPr>
      </w:pPr>
      <w:r w:rsidRPr="003D07A0">
        <w:rPr>
          <w:rFonts w:ascii="Arial" w:hAnsi="Arial" w:cs="Arial"/>
          <w:sz w:val="20"/>
          <w:szCs w:val="20"/>
          <w:vertAlign w:val="superscript"/>
        </w:rPr>
        <w:endnoteRef/>
      </w:r>
      <w:r w:rsidRPr="003D07A0">
        <w:rPr>
          <w:rFonts w:ascii="Arial" w:hAnsi="Arial" w:cs="Arial"/>
          <w:sz w:val="20"/>
          <w:szCs w:val="20"/>
        </w:rPr>
        <w:t xml:space="preserve"> </w:t>
      </w:r>
      <w:r w:rsidRPr="003D07A0">
        <w:rPr>
          <w:rFonts w:ascii="Arial" w:eastAsia="Calibri" w:hAnsi="Arial" w:cs="Arial"/>
          <w:sz w:val="20"/>
          <w:szCs w:val="20"/>
        </w:rPr>
        <w:t xml:space="preserve">See </w:t>
      </w:r>
      <w:proofErr w:type="spellStart"/>
      <w:r w:rsidRPr="003D07A0">
        <w:rPr>
          <w:rFonts w:ascii="Arial" w:eastAsia="Calibri" w:hAnsi="Arial" w:cs="Arial"/>
          <w:sz w:val="20"/>
          <w:szCs w:val="20"/>
        </w:rPr>
        <w:t>Hyslop</w:t>
      </w:r>
      <w:proofErr w:type="spellEnd"/>
      <w:r w:rsidRPr="003D07A0">
        <w:rPr>
          <w:rFonts w:ascii="Arial" w:eastAsia="Calibri" w:hAnsi="Arial" w:cs="Arial"/>
          <w:sz w:val="20"/>
          <w:szCs w:val="20"/>
        </w:rPr>
        <w:t>, ‘Oceanic mobility and settler-colonial power</w:t>
      </w:r>
      <w:r>
        <w:rPr>
          <w:rFonts w:ascii="Arial" w:eastAsia="Calibri" w:hAnsi="Arial" w:cs="Arial"/>
          <w:sz w:val="20"/>
          <w:szCs w:val="20"/>
        </w:rPr>
        <w:t>’, p.</w:t>
      </w:r>
      <w:r w:rsidRPr="003D07A0">
        <w:rPr>
          <w:rFonts w:ascii="Arial" w:eastAsia="Calibri" w:hAnsi="Arial" w:cs="Arial"/>
          <w:sz w:val="20"/>
          <w:szCs w:val="20"/>
        </w:rPr>
        <w:t>248-267; MacDonald, Colonial Trespassers in the Making of South Africa’s International Borders.</w:t>
      </w:r>
    </w:p>
  </w:endnote>
  <w:endnote w:id="38">
    <w:p w14:paraId="000000B2" w14:textId="77777777" w:rsidR="00AE7548" w:rsidRPr="003D07A0" w:rsidRDefault="00AE7548">
      <w:pPr>
        <w:rPr>
          <w:rFonts w:ascii="Arial" w:eastAsia="Calibri" w:hAnsi="Arial" w:cs="Arial"/>
          <w:sz w:val="20"/>
          <w:szCs w:val="20"/>
        </w:rPr>
      </w:pPr>
      <w:r w:rsidRPr="003D07A0">
        <w:rPr>
          <w:rFonts w:ascii="Arial" w:hAnsi="Arial" w:cs="Arial"/>
          <w:sz w:val="20"/>
          <w:szCs w:val="20"/>
          <w:vertAlign w:val="superscript"/>
        </w:rPr>
        <w:endnoteRef/>
      </w:r>
      <w:r w:rsidRPr="003D07A0">
        <w:rPr>
          <w:rFonts w:ascii="Arial" w:hAnsi="Arial" w:cs="Arial"/>
          <w:sz w:val="20"/>
          <w:szCs w:val="20"/>
        </w:rPr>
        <w:t xml:space="preserve"> </w:t>
      </w:r>
      <w:r w:rsidRPr="003D07A0">
        <w:rPr>
          <w:rFonts w:ascii="Arial" w:eastAsia="Calibri" w:hAnsi="Arial" w:cs="Arial"/>
          <w:sz w:val="20"/>
          <w:szCs w:val="20"/>
        </w:rPr>
        <w:t>According to a search in the NAA database for passport applications from females, July 2019.</w:t>
      </w:r>
    </w:p>
  </w:endnote>
  <w:endnote w:id="39">
    <w:p w14:paraId="00000094" w14:textId="0DB547FC" w:rsidR="00AE7548" w:rsidRPr="003D07A0" w:rsidRDefault="00AE7548">
      <w:pPr>
        <w:rPr>
          <w:rFonts w:ascii="Arial" w:eastAsia="Calibri" w:hAnsi="Arial" w:cs="Arial"/>
          <w:sz w:val="20"/>
          <w:szCs w:val="20"/>
        </w:rPr>
      </w:pPr>
      <w:r w:rsidRPr="003D07A0">
        <w:rPr>
          <w:rFonts w:ascii="Arial" w:hAnsi="Arial" w:cs="Arial"/>
          <w:sz w:val="20"/>
          <w:szCs w:val="20"/>
          <w:vertAlign w:val="superscript"/>
        </w:rPr>
        <w:endnoteRef/>
      </w:r>
      <w:r w:rsidRPr="003D07A0">
        <w:rPr>
          <w:rFonts w:ascii="Arial" w:hAnsi="Arial" w:cs="Arial"/>
          <w:sz w:val="20"/>
          <w:szCs w:val="20"/>
        </w:rPr>
        <w:t xml:space="preserve"> </w:t>
      </w:r>
      <w:r w:rsidRPr="003D07A0">
        <w:rPr>
          <w:rFonts w:ascii="Arial" w:eastAsia="Calibri" w:hAnsi="Arial" w:cs="Arial"/>
          <w:sz w:val="20"/>
          <w:szCs w:val="20"/>
        </w:rPr>
        <w:t xml:space="preserve">See the </w:t>
      </w:r>
      <w:r w:rsidRPr="003D07A0">
        <w:rPr>
          <w:rFonts w:ascii="Arial" w:eastAsia="Calibri" w:hAnsi="Arial" w:cs="Arial"/>
          <w:i/>
          <w:sz w:val="20"/>
          <w:szCs w:val="20"/>
        </w:rPr>
        <w:t xml:space="preserve">Annual Reports of the Immigration Restriction Department in the Cape </w:t>
      </w:r>
      <w:r w:rsidRPr="003D07A0">
        <w:rPr>
          <w:rFonts w:ascii="Arial" w:eastAsia="Calibri" w:hAnsi="Arial" w:cs="Arial"/>
          <w:sz w:val="20"/>
          <w:szCs w:val="20"/>
        </w:rPr>
        <w:t xml:space="preserve">(1902–9); </w:t>
      </w:r>
      <w:proofErr w:type="spellStart"/>
      <w:r w:rsidRPr="003D07A0">
        <w:rPr>
          <w:rFonts w:ascii="Arial" w:eastAsia="Calibri" w:hAnsi="Arial" w:cs="Arial"/>
          <w:sz w:val="20"/>
          <w:szCs w:val="20"/>
        </w:rPr>
        <w:t>Dhupelia-Mesthrie</w:t>
      </w:r>
      <w:proofErr w:type="spellEnd"/>
      <w:r w:rsidRPr="003D07A0">
        <w:rPr>
          <w:rFonts w:ascii="Arial" w:eastAsia="Calibri" w:hAnsi="Arial" w:cs="Arial"/>
          <w:sz w:val="20"/>
          <w:szCs w:val="20"/>
        </w:rPr>
        <w:t>, ‘The form, the permit and the photograph</w:t>
      </w:r>
      <w:r>
        <w:rPr>
          <w:rFonts w:ascii="Arial" w:eastAsia="Calibri" w:hAnsi="Arial" w:cs="Arial"/>
          <w:sz w:val="20"/>
          <w:szCs w:val="20"/>
        </w:rPr>
        <w:t>’, p.</w:t>
      </w:r>
      <w:r w:rsidRPr="003D07A0">
        <w:rPr>
          <w:rFonts w:ascii="Arial" w:eastAsia="Calibri" w:hAnsi="Arial" w:cs="Arial"/>
          <w:sz w:val="20"/>
          <w:szCs w:val="20"/>
        </w:rPr>
        <w:t>7 for detailed residency requirements, and how it was used to exclude Indians.</w:t>
      </w:r>
    </w:p>
  </w:endnote>
  <w:endnote w:id="40">
    <w:p w14:paraId="00000095" w14:textId="5F3BC95E" w:rsidR="00AE7548" w:rsidRPr="003D07A0" w:rsidRDefault="00AE7548">
      <w:pPr>
        <w:rPr>
          <w:rFonts w:ascii="Arial" w:eastAsia="Calibri" w:hAnsi="Arial" w:cs="Arial"/>
          <w:sz w:val="20"/>
          <w:szCs w:val="20"/>
        </w:rPr>
      </w:pPr>
      <w:r w:rsidRPr="003D07A0">
        <w:rPr>
          <w:rFonts w:ascii="Arial" w:hAnsi="Arial" w:cs="Arial"/>
          <w:sz w:val="20"/>
          <w:szCs w:val="20"/>
          <w:vertAlign w:val="superscript"/>
        </w:rPr>
        <w:endnoteRef/>
      </w:r>
      <w:r w:rsidRPr="003D07A0">
        <w:rPr>
          <w:rFonts w:ascii="Arial" w:hAnsi="Arial" w:cs="Arial"/>
          <w:sz w:val="20"/>
          <w:szCs w:val="20"/>
        </w:rPr>
        <w:t xml:space="preserve"> </w:t>
      </w:r>
      <w:proofErr w:type="spellStart"/>
      <w:r w:rsidRPr="003D07A0">
        <w:rPr>
          <w:rFonts w:ascii="Arial" w:eastAsia="Calibri" w:hAnsi="Arial" w:cs="Arial"/>
          <w:sz w:val="20"/>
          <w:szCs w:val="20"/>
        </w:rPr>
        <w:t>Peberdy</w:t>
      </w:r>
      <w:proofErr w:type="spellEnd"/>
      <w:r w:rsidRPr="003D07A0">
        <w:rPr>
          <w:rFonts w:ascii="Arial" w:eastAsia="Calibri" w:hAnsi="Arial" w:cs="Arial"/>
          <w:sz w:val="20"/>
          <w:szCs w:val="20"/>
        </w:rPr>
        <w:t xml:space="preserve">, </w:t>
      </w:r>
      <w:r w:rsidRPr="003D07A0">
        <w:rPr>
          <w:rFonts w:ascii="Arial" w:eastAsia="Calibri" w:hAnsi="Arial" w:cs="Arial"/>
          <w:i/>
          <w:sz w:val="20"/>
          <w:szCs w:val="20"/>
        </w:rPr>
        <w:t>Selecting immigrants</w:t>
      </w:r>
      <w:r w:rsidRPr="003D07A0">
        <w:rPr>
          <w:rFonts w:ascii="Arial" w:eastAsia="Calibri" w:hAnsi="Arial" w:cs="Arial"/>
          <w:sz w:val="20"/>
          <w:szCs w:val="20"/>
        </w:rPr>
        <w:t xml:space="preserve">, </w:t>
      </w:r>
      <w:r>
        <w:rPr>
          <w:rFonts w:ascii="Arial" w:eastAsia="Calibri" w:hAnsi="Arial" w:cs="Arial"/>
          <w:sz w:val="20"/>
          <w:szCs w:val="20"/>
        </w:rPr>
        <w:t>p.</w:t>
      </w:r>
      <w:r w:rsidRPr="003D07A0">
        <w:rPr>
          <w:rFonts w:ascii="Arial" w:eastAsia="Calibri" w:hAnsi="Arial" w:cs="Arial"/>
          <w:sz w:val="20"/>
          <w:szCs w:val="20"/>
        </w:rPr>
        <w:t xml:space="preserve">39, 47, 51; </w:t>
      </w:r>
      <w:proofErr w:type="spellStart"/>
      <w:r w:rsidRPr="003D07A0">
        <w:rPr>
          <w:rFonts w:ascii="Arial" w:eastAsia="Calibri" w:hAnsi="Arial" w:cs="Arial"/>
          <w:sz w:val="20"/>
          <w:szCs w:val="20"/>
        </w:rPr>
        <w:t>Saron</w:t>
      </w:r>
      <w:proofErr w:type="spellEnd"/>
      <w:r w:rsidRPr="003D07A0">
        <w:rPr>
          <w:rFonts w:ascii="Arial" w:eastAsia="Calibri" w:hAnsi="Arial" w:cs="Arial"/>
          <w:sz w:val="20"/>
          <w:szCs w:val="20"/>
        </w:rPr>
        <w:t xml:space="preserve">, ‘Jewish immigration’, </w:t>
      </w:r>
      <w:r>
        <w:rPr>
          <w:rFonts w:ascii="Arial" w:eastAsia="Calibri" w:hAnsi="Arial" w:cs="Arial"/>
          <w:sz w:val="20"/>
          <w:szCs w:val="20"/>
        </w:rPr>
        <w:t>p.</w:t>
      </w:r>
      <w:r w:rsidRPr="003D07A0">
        <w:rPr>
          <w:rFonts w:ascii="Arial" w:eastAsia="Calibri" w:hAnsi="Arial" w:cs="Arial"/>
          <w:sz w:val="20"/>
          <w:szCs w:val="20"/>
        </w:rPr>
        <w:t xml:space="preserve">101–2. </w:t>
      </w:r>
    </w:p>
  </w:endnote>
  <w:endnote w:id="41">
    <w:p w14:paraId="00000096" w14:textId="72C2AD6E" w:rsidR="00AE7548" w:rsidRPr="003D07A0" w:rsidRDefault="00AE7548">
      <w:pPr>
        <w:rPr>
          <w:rFonts w:ascii="Arial" w:eastAsia="Calibri" w:hAnsi="Arial" w:cs="Arial"/>
          <w:sz w:val="20"/>
          <w:szCs w:val="20"/>
        </w:rPr>
      </w:pPr>
      <w:r w:rsidRPr="003D07A0">
        <w:rPr>
          <w:rFonts w:ascii="Arial" w:hAnsi="Arial" w:cs="Arial"/>
          <w:sz w:val="20"/>
          <w:szCs w:val="20"/>
          <w:vertAlign w:val="superscript"/>
        </w:rPr>
        <w:endnoteRef/>
      </w:r>
      <w:r w:rsidRPr="003D07A0">
        <w:rPr>
          <w:rFonts w:ascii="Arial" w:hAnsi="Arial" w:cs="Arial"/>
          <w:sz w:val="20"/>
          <w:szCs w:val="20"/>
        </w:rPr>
        <w:t xml:space="preserve"> </w:t>
      </w:r>
      <w:r>
        <w:rPr>
          <w:rFonts w:ascii="Arial" w:hAnsi="Arial" w:cs="Arial"/>
          <w:sz w:val="20"/>
          <w:szCs w:val="20"/>
        </w:rPr>
        <w:t>University of Cape Town Archives (</w:t>
      </w:r>
      <w:r w:rsidRPr="003D07A0">
        <w:rPr>
          <w:rFonts w:ascii="Arial" w:eastAsia="Calibri" w:hAnsi="Arial" w:cs="Arial"/>
          <w:sz w:val="20"/>
          <w:szCs w:val="20"/>
        </w:rPr>
        <w:t>UCT</w:t>
      </w:r>
      <w:r>
        <w:rPr>
          <w:rFonts w:ascii="Arial" w:eastAsia="Calibri" w:hAnsi="Arial" w:cs="Arial"/>
          <w:sz w:val="20"/>
          <w:szCs w:val="20"/>
        </w:rPr>
        <w:t>)</w:t>
      </w:r>
      <w:r w:rsidRPr="003D07A0">
        <w:rPr>
          <w:rFonts w:ascii="Arial" w:eastAsia="Calibri" w:hAnsi="Arial" w:cs="Arial"/>
          <w:sz w:val="20"/>
          <w:szCs w:val="20"/>
        </w:rPr>
        <w:t>, BC1154, C</w:t>
      </w:r>
      <w:r>
        <w:rPr>
          <w:rFonts w:ascii="Arial" w:eastAsia="Calibri" w:hAnsi="Arial" w:cs="Arial"/>
          <w:sz w:val="20"/>
          <w:szCs w:val="20"/>
        </w:rPr>
        <w:t>.</w:t>
      </w:r>
      <w:r w:rsidRPr="003D07A0">
        <w:rPr>
          <w:rFonts w:ascii="Arial" w:eastAsia="Calibri" w:hAnsi="Arial" w:cs="Arial"/>
          <w:sz w:val="20"/>
          <w:szCs w:val="20"/>
        </w:rPr>
        <w:t xml:space="preserve"> W</w:t>
      </w:r>
      <w:r>
        <w:rPr>
          <w:rFonts w:ascii="Arial" w:eastAsia="Calibri" w:hAnsi="Arial" w:cs="Arial"/>
          <w:sz w:val="20"/>
          <w:szCs w:val="20"/>
        </w:rPr>
        <w:t>.</w:t>
      </w:r>
      <w:r w:rsidRPr="003D07A0">
        <w:rPr>
          <w:rFonts w:ascii="Arial" w:eastAsia="Calibri" w:hAnsi="Arial" w:cs="Arial"/>
          <w:sz w:val="20"/>
          <w:szCs w:val="20"/>
        </w:rPr>
        <w:t xml:space="preserve"> Cousins Papers, E4.</w:t>
      </w:r>
    </w:p>
  </w:endnote>
  <w:endnote w:id="42">
    <w:p w14:paraId="00000097" w14:textId="1AB0EEB6" w:rsidR="00AE7548" w:rsidRPr="003D07A0" w:rsidRDefault="00AE7548">
      <w:pPr>
        <w:rPr>
          <w:rFonts w:ascii="Arial" w:eastAsia="Calibri" w:hAnsi="Arial" w:cs="Arial"/>
          <w:sz w:val="20"/>
          <w:szCs w:val="20"/>
        </w:rPr>
      </w:pPr>
      <w:r w:rsidRPr="003D07A0">
        <w:rPr>
          <w:rFonts w:ascii="Arial" w:hAnsi="Arial" w:cs="Arial"/>
          <w:sz w:val="20"/>
          <w:szCs w:val="20"/>
          <w:vertAlign w:val="superscript"/>
        </w:rPr>
        <w:endnoteRef/>
      </w:r>
      <w:r w:rsidRPr="003D07A0">
        <w:rPr>
          <w:rFonts w:ascii="Arial" w:eastAsia="Calibri" w:hAnsi="Arial" w:cs="Arial"/>
          <w:sz w:val="20"/>
          <w:szCs w:val="20"/>
        </w:rPr>
        <w:t xml:space="preserve"> UCT, BC</w:t>
      </w:r>
      <w:r>
        <w:rPr>
          <w:rFonts w:ascii="Arial" w:eastAsia="Calibri" w:hAnsi="Arial" w:cs="Arial"/>
          <w:sz w:val="20"/>
          <w:szCs w:val="20"/>
        </w:rPr>
        <w:t xml:space="preserve"> </w:t>
      </w:r>
      <w:r w:rsidRPr="003D07A0">
        <w:rPr>
          <w:rFonts w:ascii="Arial" w:eastAsia="Calibri" w:hAnsi="Arial" w:cs="Arial"/>
          <w:sz w:val="20"/>
          <w:szCs w:val="20"/>
        </w:rPr>
        <w:t>1154, Cousins Papers, A4.1.3, Diary, 29</w:t>
      </w:r>
      <w:r>
        <w:rPr>
          <w:rFonts w:ascii="Arial" w:eastAsia="Calibri" w:hAnsi="Arial" w:cs="Arial"/>
          <w:sz w:val="20"/>
          <w:szCs w:val="20"/>
        </w:rPr>
        <w:t xml:space="preserve"> April 19</w:t>
      </w:r>
      <w:r w:rsidRPr="003D07A0">
        <w:rPr>
          <w:rFonts w:ascii="Arial" w:eastAsia="Calibri" w:hAnsi="Arial" w:cs="Arial"/>
          <w:sz w:val="20"/>
          <w:szCs w:val="20"/>
        </w:rPr>
        <w:t>13.</w:t>
      </w:r>
    </w:p>
  </w:endnote>
  <w:endnote w:id="43">
    <w:p w14:paraId="00000098" w14:textId="10C28387" w:rsidR="00AE7548" w:rsidRPr="003D07A0" w:rsidRDefault="00AE7548">
      <w:pPr>
        <w:rPr>
          <w:rFonts w:ascii="Arial" w:eastAsia="Calibri" w:hAnsi="Arial" w:cs="Arial"/>
          <w:sz w:val="20"/>
          <w:szCs w:val="20"/>
        </w:rPr>
      </w:pPr>
      <w:r w:rsidRPr="003D07A0">
        <w:rPr>
          <w:rFonts w:ascii="Arial" w:hAnsi="Arial" w:cs="Arial"/>
          <w:sz w:val="20"/>
          <w:szCs w:val="20"/>
          <w:vertAlign w:val="superscript"/>
        </w:rPr>
        <w:endnoteRef/>
      </w:r>
      <w:r w:rsidRPr="003D07A0">
        <w:rPr>
          <w:rFonts w:ascii="Arial" w:hAnsi="Arial" w:cs="Arial"/>
          <w:sz w:val="20"/>
          <w:szCs w:val="20"/>
        </w:rPr>
        <w:t xml:space="preserve"> </w:t>
      </w:r>
      <w:r w:rsidRPr="003D07A0">
        <w:rPr>
          <w:rFonts w:ascii="Arial" w:eastAsia="Calibri" w:hAnsi="Arial" w:cs="Arial"/>
          <w:sz w:val="20"/>
          <w:szCs w:val="20"/>
        </w:rPr>
        <w:t>UCT, BC</w:t>
      </w:r>
      <w:r>
        <w:rPr>
          <w:rFonts w:ascii="Arial" w:eastAsia="Calibri" w:hAnsi="Arial" w:cs="Arial"/>
          <w:sz w:val="20"/>
          <w:szCs w:val="20"/>
        </w:rPr>
        <w:t xml:space="preserve"> </w:t>
      </w:r>
      <w:r w:rsidRPr="003D07A0">
        <w:rPr>
          <w:rFonts w:ascii="Arial" w:eastAsia="Calibri" w:hAnsi="Arial" w:cs="Arial"/>
          <w:sz w:val="20"/>
          <w:szCs w:val="20"/>
        </w:rPr>
        <w:t>1154, Cousins Papers, B1.3, Monthly Family Letter from Cousins to England, 20 December 1914; see also 198-9, 1 November 1914; 278-9, 14 December 1914; A4.1.2, Diary, 5 August 1912; A4.1.3, Diary, 19 March 1913</w:t>
      </w:r>
      <w:r>
        <w:rPr>
          <w:rFonts w:ascii="Arial" w:eastAsia="Calibri" w:hAnsi="Arial" w:cs="Arial"/>
          <w:sz w:val="20"/>
          <w:szCs w:val="20"/>
        </w:rPr>
        <w:t xml:space="preserve"> and</w:t>
      </w:r>
      <w:r w:rsidRPr="003D07A0">
        <w:rPr>
          <w:rFonts w:ascii="Arial" w:eastAsia="Calibri" w:hAnsi="Arial" w:cs="Arial"/>
          <w:sz w:val="20"/>
          <w:szCs w:val="20"/>
        </w:rPr>
        <w:t xml:space="preserve"> 21 October 1913 (2).</w:t>
      </w:r>
    </w:p>
  </w:endnote>
  <w:endnote w:id="44">
    <w:p w14:paraId="000000D1" w14:textId="39642FB7" w:rsidR="00AE7548" w:rsidRPr="003D07A0" w:rsidRDefault="00AE7548">
      <w:pPr>
        <w:rPr>
          <w:rFonts w:ascii="Arial" w:eastAsia="Calibri" w:hAnsi="Arial" w:cs="Arial"/>
          <w:sz w:val="20"/>
          <w:szCs w:val="20"/>
        </w:rPr>
      </w:pPr>
      <w:r w:rsidRPr="003D07A0">
        <w:rPr>
          <w:rFonts w:ascii="Arial" w:hAnsi="Arial" w:cs="Arial"/>
          <w:sz w:val="20"/>
          <w:szCs w:val="20"/>
          <w:vertAlign w:val="superscript"/>
        </w:rPr>
        <w:endnoteRef/>
      </w:r>
      <w:r w:rsidRPr="003D07A0">
        <w:rPr>
          <w:rFonts w:ascii="Arial" w:eastAsia="Calibri" w:hAnsi="Arial" w:cs="Arial"/>
          <w:sz w:val="20"/>
          <w:szCs w:val="20"/>
        </w:rPr>
        <w:t xml:space="preserve"> See </w:t>
      </w:r>
      <w:r w:rsidRPr="003D07A0">
        <w:rPr>
          <w:rFonts w:ascii="Arial" w:eastAsia="Calibri" w:hAnsi="Arial" w:cs="Arial"/>
          <w:color w:val="222222"/>
          <w:sz w:val="20"/>
          <w:szCs w:val="20"/>
          <w:highlight w:val="white"/>
        </w:rPr>
        <w:t>Bright, ‘A “great deal of discrimination is necessary”’</w:t>
      </w:r>
      <w:r>
        <w:rPr>
          <w:rFonts w:ascii="Arial" w:eastAsia="Calibri" w:hAnsi="Arial" w:cs="Arial"/>
          <w:color w:val="222222"/>
          <w:sz w:val="20"/>
          <w:szCs w:val="20"/>
        </w:rPr>
        <w:t>.</w:t>
      </w:r>
    </w:p>
  </w:endnote>
  <w:endnote w:id="45">
    <w:p w14:paraId="00000099" w14:textId="113C897E" w:rsidR="00AE7548" w:rsidRPr="003D07A0" w:rsidRDefault="00AE7548">
      <w:pPr>
        <w:rPr>
          <w:rFonts w:ascii="Arial" w:eastAsia="Calibri" w:hAnsi="Arial" w:cs="Arial"/>
          <w:sz w:val="20"/>
          <w:szCs w:val="20"/>
        </w:rPr>
      </w:pPr>
      <w:r w:rsidRPr="003D07A0">
        <w:rPr>
          <w:rFonts w:ascii="Arial" w:hAnsi="Arial" w:cs="Arial"/>
          <w:sz w:val="20"/>
          <w:szCs w:val="20"/>
          <w:vertAlign w:val="superscript"/>
        </w:rPr>
        <w:endnoteRef/>
      </w:r>
      <w:r w:rsidRPr="003D07A0">
        <w:rPr>
          <w:rFonts w:ascii="Arial" w:hAnsi="Arial" w:cs="Arial"/>
          <w:sz w:val="20"/>
          <w:szCs w:val="20"/>
        </w:rPr>
        <w:t xml:space="preserve"> </w:t>
      </w:r>
      <w:r w:rsidRPr="003D07A0">
        <w:rPr>
          <w:rFonts w:ascii="Arial" w:eastAsia="Calibri" w:hAnsi="Arial" w:cs="Arial"/>
          <w:sz w:val="20"/>
          <w:szCs w:val="20"/>
        </w:rPr>
        <w:t>UCT, BC</w:t>
      </w:r>
      <w:r>
        <w:rPr>
          <w:rFonts w:ascii="Arial" w:eastAsia="Calibri" w:hAnsi="Arial" w:cs="Arial"/>
          <w:sz w:val="20"/>
          <w:szCs w:val="20"/>
        </w:rPr>
        <w:t xml:space="preserve"> </w:t>
      </w:r>
      <w:r w:rsidRPr="003D07A0">
        <w:rPr>
          <w:rFonts w:ascii="Arial" w:eastAsia="Calibri" w:hAnsi="Arial" w:cs="Arial"/>
          <w:sz w:val="20"/>
          <w:szCs w:val="20"/>
        </w:rPr>
        <w:t xml:space="preserve">1154, Cousins Papers, SC 16 – 1908, Report of the Select Committee on Asiatic Grievances (1908), p.111, quoted in </w:t>
      </w:r>
      <w:proofErr w:type="spellStart"/>
      <w:r w:rsidRPr="003D07A0">
        <w:rPr>
          <w:rFonts w:ascii="Arial" w:eastAsia="Calibri" w:hAnsi="Arial" w:cs="Arial"/>
          <w:sz w:val="20"/>
          <w:szCs w:val="20"/>
        </w:rPr>
        <w:t>Dhupelia-Mesthrie</w:t>
      </w:r>
      <w:proofErr w:type="spellEnd"/>
      <w:r w:rsidRPr="003D07A0">
        <w:rPr>
          <w:rFonts w:ascii="Arial" w:eastAsia="Calibri" w:hAnsi="Arial" w:cs="Arial"/>
          <w:sz w:val="20"/>
          <w:szCs w:val="20"/>
        </w:rPr>
        <w:t xml:space="preserve">, ‘False fathers’, </w:t>
      </w:r>
      <w:r>
        <w:rPr>
          <w:rFonts w:ascii="Arial" w:eastAsia="Calibri" w:hAnsi="Arial" w:cs="Arial"/>
          <w:sz w:val="20"/>
          <w:szCs w:val="20"/>
        </w:rPr>
        <w:t>p.</w:t>
      </w:r>
      <w:r w:rsidRPr="003D07A0">
        <w:rPr>
          <w:rFonts w:ascii="Arial" w:eastAsia="Calibri" w:hAnsi="Arial" w:cs="Arial"/>
          <w:sz w:val="20"/>
          <w:szCs w:val="20"/>
        </w:rPr>
        <w:t xml:space="preserve">108. </w:t>
      </w:r>
    </w:p>
  </w:endnote>
  <w:endnote w:id="46">
    <w:p w14:paraId="0000009A" w14:textId="5A736A22" w:rsidR="00AE7548" w:rsidRPr="003D07A0" w:rsidRDefault="00AE7548">
      <w:pPr>
        <w:rPr>
          <w:rFonts w:ascii="Arial" w:eastAsia="Calibri" w:hAnsi="Arial" w:cs="Arial"/>
          <w:sz w:val="20"/>
          <w:szCs w:val="20"/>
        </w:rPr>
      </w:pPr>
      <w:r w:rsidRPr="003D07A0">
        <w:rPr>
          <w:rFonts w:ascii="Arial" w:hAnsi="Arial" w:cs="Arial"/>
          <w:sz w:val="20"/>
          <w:szCs w:val="20"/>
          <w:vertAlign w:val="superscript"/>
        </w:rPr>
        <w:endnoteRef/>
      </w:r>
      <w:r w:rsidRPr="003D07A0">
        <w:rPr>
          <w:rFonts w:ascii="Arial" w:hAnsi="Arial" w:cs="Arial"/>
          <w:sz w:val="20"/>
          <w:szCs w:val="20"/>
        </w:rPr>
        <w:t xml:space="preserve"> </w:t>
      </w:r>
      <w:r w:rsidRPr="003D07A0">
        <w:rPr>
          <w:rFonts w:ascii="Arial" w:eastAsia="Calibri" w:hAnsi="Arial" w:cs="Arial"/>
          <w:sz w:val="20"/>
          <w:szCs w:val="20"/>
        </w:rPr>
        <w:t>UCT, BC</w:t>
      </w:r>
      <w:r>
        <w:rPr>
          <w:rFonts w:ascii="Arial" w:eastAsia="Calibri" w:hAnsi="Arial" w:cs="Arial"/>
          <w:sz w:val="20"/>
          <w:szCs w:val="20"/>
        </w:rPr>
        <w:t xml:space="preserve"> </w:t>
      </w:r>
      <w:r w:rsidRPr="003D07A0">
        <w:rPr>
          <w:rFonts w:ascii="Arial" w:eastAsia="Calibri" w:hAnsi="Arial" w:cs="Arial"/>
          <w:sz w:val="20"/>
          <w:szCs w:val="20"/>
        </w:rPr>
        <w:t xml:space="preserve">1154, Cousins Papers, A4.1.3, Diary, 21 October 1913. </w:t>
      </w:r>
    </w:p>
  </w:endnote>
  <w:endnote w:id="47">
    <w:p w14:paraId="0000009F" w14:textId="5D07C671" w:rsidR="00AE7548" w:rsidRPr="003D07A0" w:rsidRDefault="00AE7548">
      <w:pPr>
        <w:rPr>
          <w:rFonts w:ascii="Arial" w:eastAsia="Calibri" w:hAnsi="Arial" w:cs="Arial"/>
          <w:sz w:val="20"/>
          <w:szCs w:val="20"/>
        </w:rPr>
      </w:pPr>
      <w:r w:rsidRPr="003D07A0">
        <w:rPr>
          <w:rFonts w:ascii="Arial" w:hAnsi="Arial" w:cs="Arial"/>
          <w:sz w:val="20"/>
          <w:szCs w:val="20"/>
          <w:vertAlign w:val="superscript"/>
        </w:rPr>
        <w:endnoteRef/>
      </w:r>
      <w:r w:rsidRPr="003D07A0">
        <w:rPr>
          <w:rFonts w:ascii="Arial" w:eastAsia="Calibri" w:hAnsi="Arial" w:cs="Arial"/>
          <w:sz w:val="20"/>
          <w:szCs w:val="20"/>
        </w:rPr>
        <w:t xml:space="preserve"> </w:t>
      </w:r>
      <w:proofErr w:type="spellStart"/>
      <w:r w:rsidRPr="003D07A0">
        <w:rPr>
          <w:rFonts w:ascii="Arial" w:eastAsia="Calibri" w:hAnsi="Arial" w:cs="Arial"/>
          <w:sz w:val="20"/>
          <w:szCs w:val="20"/>
        </w:rPr>
        <w:t>Peberdy</w:t>
      </w:r>
      <w:proofErr w:type="spellEnd"/>
      <w:r w:rsidRPr="003D07A0">
        <w:rPr>
          <w:rFonts w:ascii="Arial" w:eastAsia="Calibri" w:hAnsi="Arial" w:cs="Arial"/>
          <w:sz w:val="20"/>
          <w:szCs w:val="20"/>
        </w:rPr>
        <w:t xml:space="preserve">, </w:t>
      </w:r>
      <w:r w:rsidRPr="003D07A0">
        <w:rPr>
          <w:rFonts w:ascii="Arial" w:eastAsia="Calibri" w:hAnsi="Arial" w:cs="Arial"/>
          <w:i/>
          <w:sz w:val="20"/>
          <w:szCs w:val="20"/>
        </w:rPr>
        <w:t xml:space="preserve">Selecting immigrants, </w:t>
      </w:r>
      <w:r w:rsidRPr="003D07A0">
        <w:rPr>
          <w:rFonts w:ascii="Arial" w:eastAsia="Calibri" w:hAnsi="Arial" w:cs="Arial"/>
          <w:sz w:val="20"/>
          <w:szCs w:val="20"/>
        </w:rPr>
        <w:t>p.4,28. For more on ‘contagion’ and migration, See works by Alison Bashford.</w:t>
      </w:r>
    </w:p>
  </w:endnote>
  <w:endnote w:id="48">
    <w:p w14:paraId="0000008D" w14:textId="2A1C922F" w:rsidR="00AE7548" w:rsidRPr="003D07A0" w:rsidRDefault="00AE7548">
      <w:pPr>
        <w:rPr>
          <w:rFonts w:ascii="Arial" w:eastAsia="Calibri" w:hAnsi="Arial" w:cs="Arial"/>
          <w:sz w:val="20"/>
          <w:szCs w:val="20"/>
        </w:rPr>
      </w:pPr>
      <w:r w:rsidRPr="003D07A0">
        <w:rPr>
          <w:rFonts w:ascii="Arial" w:hAnsi="Arial" w:cs="Arial"/>
          <w:sz w:val="20"/>
          <w:szCs w:val="20"/>
          <w:vertAlign w:val="superscript"/>
        </w:rPr>
        <w:endnoteRef/>
      </w:r>
      <w:r w:rsidRPr="003D07A0">
        <w:rPr>
          <w:rFonts w:ascii="Arial" w:hAnsi="Arial" w:cs="Arial"/>
          <w:sz w:val="20"/>
          <w:szCs w:val="20"/>
        </w:rPr>
        <w:t xml:space="preserve"> </w:t>
      </w:r>
      <w:proofErr w:type="spellStart"/>
      <w:r w:rsidRPr="003D07A0">
        <w:rPr>
          <w:rFonts w:ascii="Arial" w:eastAsia="Calibri" w:hAnsi="Arial" w:cs="Arial"/>
          <w:sz w:val="20"/>
          <w:szCs w:val="20"/>
        </w:rPr>
        <w:t>Saron</w:t>
      </w:r>
      <w:proofErr w:type="spellEnd"/>
      <w:r w:rsidRPr="003D07A0">
        <w:rPr>
          <w:rFonts w:ascii="Arial" w:eastAsia="Calibri" w:hAnsi="Arial" w:cs="Arial"/>
          <w:sz w:val="20"/>
          <w:szCs w:val="20"/>
        </w:rPr>
        <w:t xml:space="preserve">, </w:t>
      </w:r>
      <w:r w:rsidRPr="003D07A0">
        <w:rPr>
          <w:rFonts w:ascii="Arial" w:eastAsia="Calibri" w:hAnsi="Arial" w:cs="Arial"/>
          <w:i/>
          <w:sz w:val="20"/>
          <w:szCs w:val="20"/>
        </w:rPr>
        <w:t>Morris Alexander</w:t>
      </w:r>
      <w:r w:rsidRPr="003D07A0">
        <w:rPr>
          <w:rFonts w:ascii="Arial" w:eastAsia="Calibri" w:hAnsi="Arial" w:cs="Arial"/>
          <w:sz w:val="20"/>
          <w:szCs w:val="20"/>
        </w:rPr>
        <w:t xml:space="preserve">; Alexander, </w:t>
      </w:r>
      <w:r w:rsidRPr="003D07A0">
        <w:rPr>
          <w:rFonts w:ascii="Arial" w:eastAsia="Calibri" w:hAnsi="Arial" w:cs="Arial"/>
          <w:i/>
          <w:sz w:val="20"/>
          <w:szCs w:val="20"/>
        </w:rPr>
        <w:t>Morris Alexander</w:t>
      </w:r>
      <w:r>
        <w:rPr>
          <w:rFonts w:ascii="Arial" w:eastAsia="Calibri" w:hAnsi="Arial" w:cs="Arial"/>
          <w:sz w:val="20"/>
          <w:szCs w:val="20"/>
        </w:rPr>
        <w:t>;</w:t>
      </w:r>
      <w:r w:rsidRPr="003D07A0">
        <w:rPr>
          <w:rFonts w:ascii="Arial" w:eastAsia="Calibri" w:hAnsi="Arial" w:cs="Arial"/>
          <w:sz w:val="20"/>
          <w:szCs w:val="20"/>
        </w:rPr>
        <w:t xml:space="preserve"> Mendelsohn and </w:t>
      </w:r>
      <w:proofErr w:type="spellStart"/>
      <w:r w:rsidRPr="003D07A0">
        <w:rPr>
          <w:rFonts w:ascii="Arial" w:eastAsia="Calibri" w:hAnsi="Arial" w:cs="Arial"/>
          <w:sz w:val="20"/>
          <w:szCs w:val="20"/>
        </w:rPr>
        <w:t>Shain</w:t>
      </w:r>
      <w:proofErr w:type="spellEnd"/>
      <w:r w:rsidRPr="003D07A0">
        <w:rPr>
          <w:rFonts w:ascii="Arial" w:eastAsia="Calibri" w:hAnsi="Arial" w:cs="Arial"/>
          <w:sz w:val="20"/>
          <w:szCs w:val="20"/>
        </w:rPr>
        <w:t xml:space="preserve">, </w:t>
      </w:r>
      <w:r w:rsidRPr="003D07A0">
        <w:rPr>
          <w:rFonts w:ascii="Arial" w:eastAsia="Calibri" w:hAnsi="Arial" w:cs="Arial"/>
          <w:i/>
          <w:sz w:val="20"/>
          <w:szCs w:val="20"/>
        </w:rPr>
        <w:t>The Jews in South Africa</w:t>
      </w:r>
      <w:r w:rsidRPr="003D07A0">
        <w:rPr>
          <w:rFonts w:ascii="Arial" w:eastAsia="Calibri" w:hAnsi="Arial" w:cs="Arial"/>
          <w:sz w:val="20"/>
          <w:szCs w:val="20"/>
        </w:rPr>
        <w:t>.</w:t>
      </w:r>
    </w:p>
  </w:endnote>
  <w:endnote w:id="49">
    <w:p w14:paraId="00000085" w14:textId="3AFAD9A0" w:rsidR="00AE7548" w:rsidRPr="003D07A0" w:rsidRDefault="00AE7548">
      <w:pPr>
        <w:rPr>
          <w:rFonts w:ascii="Arial" w:eastAsia="Calibri" w:hAnsi="Arial" w:cs="Arial"/>
          <w:sz w:val="20"/>
          <w:szCs w:val="20"/>
        </w:rPr>
      </w:pPr>
      <w:r w:rsidRPr="003D07A0">
        <w:rPr>
          <w:rFonts w:ascii="Arial" w:hAnsi="Arial" w:cs="Arial"/>
          <w:sz w:val="20"/>
          <w:szCs w:val="20"/>
          <w:vertAlign w:val="superscript"/>
        </w:rPr>
        <w:endnoteRef/>
      </w:r>
      <w:r w:rsidRPr="003D07A0">
        <w:rPr>
          <w:rFonts w:ascii="Arial" w:eastAsia="Calibri" w:hAnsi="Arial" w:cs="Arial"/>
          <w:sz w:val="20"/>
          <w:szCs w:val="20"/>
        </w:rPr>
        <w:t xml:space="preserve"> UCT, BC 160, Morris Alexander Papers, D63/499, 10d – ‘Immigration’ booklet, 5 August 1911, passenger from “Bon Louis”.</w:t>
      </w:r>
    </w:p>
  </w:endnote>
  <w:endnote w:id="50">
    <w:p w14:paraId="00000086" w14:textId="77777777" w:rsidR="00AE7548" w:rsidRPr="003D07A0" w:rsidRDefault="00AE7548">
      <w:pPr>
        <w:rPr>
          <w:rFonts w:ascii="Arial" w:eastAsia="Calibri" w:hAnsi="Arial" w:cs="Arial"/>
          <w:sz w:val="20"/>
          <w:szCs w:val="20"/>
        </w:rPr>
      </w:pPr>
      <w:r w:rsidRPr="003D07A0">
        <w:rPr>
          <w:rFonts w:ascii="Arial" w:hAnsi="Arial" w:cs="Arial"/>
          <w:sz w:val="20"/>
          <w:szCs w:val="20"/>
          <w:vertAlign w:val="superscript"/>
        </w:rPr>
        <w:endnoteRef/>
      </w:r>
      <w:r w:rsidRPr="003D07A0">
        <w:rPr>
          <w:rFonts w:ascii="Arial" w:hAnsi="Arial" w:cs="Arial"/>
          <w:sz w:val="20"/>
          <w:szCs w:val="20"/>
        </w:rPr>
        <w:t xml:space="preserve"> </w:t>
      </w:r>
      <w:r w:rsidRPr="003D07A0">
        <w:rPr>
          <w:rFonts w:ascii="Arial" w:eastAsia="Calibri" w:hAnsi="Arial" w:cs="Arial"/>
          <w:sz w:val="20"/>
          <w:szCs w:val="20"/>
        </w:rPr>
        <w:t>UCT, BC 160, Morris Alexander Papers, 3.D63/499, 10d – ‘Immigration’ booklet. See especially 20 August 1911, passenger from ‘</w:t>
      </w:r>
      <w:proofErr w:type="spellStart"/>
      <w:r w:rsidRPr="003D07A0">
        <w:rPr>
          <w:rFonts w:ascii="Arial" w:eastAsia="Calibri" w:hAnsi="Arial" w:cs="Arial"/>
          <w:sz w:val="20"/>
          <w:szCs w:val="20"/>
        </w:rPr>
        <w:t>Trintapel</w:t>
      </w:r>
      <w:proofErr w:type="spellEnd"/>
      <w:r w:rsidRPr="003D07A0">
        <w:rPr>
          <w:rFonts w:ascii="Arial" w:eastAsia="Calibri" w:hAnsi="Arial" w:cs="Arial"/>
          <w:sz w:val="20"/>
          <w:szCs w:val="20"/>
        </w:rPr>
        <w:t>[?] Castle’; Per Garth Castle, 11 September 1911. See also UCT BC  1154, Cousins Papers, A4.1.3, Diary, 19 March 1913.</w:t>
      </w:r>
    </w:p>
  </w:endnote>
  <w:endnote w:id="51">
    <w:p w14:paraId="00000087" w14:textId="3D6AF692" w:rsidR="00AE7548" w:rsidRPr="003D07A0" w:rsidRDefault="00AE7548">
      <w:pPr>
        <w:rPr>
          <w:rFonts w:ascii="Arial" w:eastAsia="Calibri" w:hAnsi="Arial" w:cs="Arial"/>
          <w:sz w:val="20"/>
          <w:szCs w:val="20"/>
        </w:rPr>
      </w:pPr>
      <w:r w:rsidRPr="003D07A0">
        <w:rPr>
          <w:rFonts w:ascii="Arial" w:hAnsi="Arial" w:cs="Arial"/>
          <w:sz w:val="20"/>
          <w:szCs w:val="20"/>
          <w:vertAlign w:val="superscript"/>
        </w:rPr>
        <w:endnoteRef/>
      </w:r>
      <w:r w:rsidRPr="003D07A0">
        <w:rPr>
          <w:rFonts w:ascii="Arial" w:hAnsi="Arial" w:cs="Arial"/>
          <w:sz w:val="20"/>
          <w:szCs w:val="20"/>
        </w:rPr>
        <w:t xml:space="preserve"> </w:t>
      </w:r>
      <w:r w:rsidRPr="009F686A">
        <w:rPr>
          <w:rFonts w:ascii="Arial" w:eastAsia="Calibri" w:hAnsi="Arial" w:cs="Arial"/>
          <w:sz w:val="20"/>
          <w:szCs w:val="20"/>
        </w:rPr>
        <w:t xml:space="preserve">See Rabinowitz, ‘From the Morris Alexander “Immigration” Notebook, 1911’. </w:t>
      </w:r>
      <w:r w:rsidRPr="009F686A">
        <w:rPr>
          <w:rFonts w:ascii="Arial" w:hAnsi="Arial" w:cs="Arial"/>
          <w:sz w:val="20"/>
          <w:szCs w:val="20"/>
        </w:rPr>
        <w:t xml:space="preserve">The office ran from 1914-15, closed due to </w:t>
      </w:r>
      <w:proofErr w:type="spellStart"/>
      <w:r w:rsidRPr="009F686A">
        <w:rPr>
          <w:rFonts w:ascii="Arial" w:hAnsi="Arial" w:cs="Arial"/>
          <w:sz w:val="20"/>
          <w:szCs w:val="20"/>
        </w:rPr>
        <w:t>the</w:t>
      </w:r>
      <w:proofErr w:type="spellEnd"/>
      <w:r w:rsidRPr="009F686A">
        <w:rPr>
          <w:rFonts w:ascii="Arial" w:hAnsi="Arial" w:cs="Arial"/>
          <w:sz w:val="20"/>
          <w:szCs w:val="20"/>
        </w:rPr>
        <w:t xml:space="preserve"> war, and reopened again in 1923 through the 1930s</w:t>
      </w:r>
      <w:r w:rsidRPr="009F686A">
        <w:rPr>
          <w:rFonts w:ascii="Arial" w:eastAsia="Calibri" w:hAnsi="Arial" w:cs="Arial"/>
          <w:sz w:val="20"/>
          <w:szCs w:val="20"/>
        </w:rPr>
        <w:t xml:space="preserve"> as a growing number of Eastern European Jews arrived.</w:t>
      </w:r>
      <w:r>
        <w:rPr>
          <w:rFonts w:ascii="Arial" w:eastAsia="Calibri" w:hAnsi="Arial" w:cs="Arial"/>
          <w:sz w:val="20"/>
          <w:szCs w:val="20"/>
        </w:rPr>
        <w:t xml:space="preserve"> </w:t>
      </w:r>
    </w:p>
  </w:endnote>
  <w:endnote w:id="52">
    <w:p w14:paraId="00000088" w14:textId="56E79D54" w:rsidR="00AE7548" w:rsidRPr="003D07A0" w:rsidRDefault="00AE7548">
      <w:pPr>
        <w:rPr>
          <w:rFonts w:ascii="Arial" w:eastAsia="Calibri" w:hAnsi="Arial" w:cs="Arial"/>
          <w:sz w:val="20"/>
          <w:szCs w:val="20"/>
        </w:rPr>
      </w:pPr>
      <w:r w:rsidRPr="003D07A0">
        <w:rPr>
          <w:rFonts w:ascii="Arial" w:hAnsi="Arial" w:cs="Arial"/>
          <w:sz w:val="20"/>
          <w:szCs w:val="20"/>
          <w:vertAlign w:val="superscript"/>
        </w:rPr>
        <w:endnoteRef/>
      </w:r>
      <w:r w:rsidRPr="003D07A0">
        <w:rPr>
          <w:rFonts w:ascii="Arial" w:hAnsi="Arial" w:cs="Arial"/>
          <w:sz w:val="20"/>
          <w:szCs w:val="20"/>
        </w:rPr>
        <w:t xml:space="preserve"> </w:t>
      </w:r>
      <w:r w:rsidRPr="003D07A0">
        <w:rPr>
          <w:rFonts w:ascii="Arial" w:eastAsia="Calibri" w:hAnsi="Arial" w:cs="Arial"/>
          <w:sz w:val="20"/>
          <w:szCs w:val="20"/>
        </w:rPr>
        <w:t>See, for instance, UCT, BC 1154, Cousins Papers, A4.1.3, Diary, 19 March 1913.</w:t>
      </w:r>
    </w:p>
  </w:endnote>
  <w:endnote w:id="53">
    <w:p w14:paraId="0000008C" w14:textId="01384B69" w:rsidR="00AE7548" w:rsidRPr="003D07A0" w:rsidRDefault="00AE7548">
      <w:pPr>
        <w:rPr>
          <w:rFonts w:ascii="Arial" w:eastAsia="Calibri" w:hAnsi="Arial" w:cs="Arial"/>
          <w:sz w:val="20"/>
          <w:szCs w:val="20"/>
        </w:rPr>
      </w:pPr>
      <w:r w:rsidRPr="003D07A0">
        <w:rPr>
          <w:rFonts w:ascii="Arial" w:hAnsi="Arial" w:cs="Arial"/>
          <w:sz w:val="20"/>
          <w:szCs w:val="20"/>
          <w:vertAlign w:val="superscript"/>
        </w:rPr>
        <w:endnoteRef/>
      </w:r>
      <w:r w:rsidRPr="003D07A0">
        <w:rPr>
          <w:rFonts w:ascii="Arial" w:hAnsi="Arial" w:cs="Arial"/>
          <w:sz w:val="20"/>
          <w:szCs w:val="20"/>
        </w:rPr>
        <w:t xml:space="preserve"> </w:t>
      </w:r>
      <w:proofErr w:type="spellStart"/>
      <w:r w:rsidRPr="003D07A0">
        <w:rPr>
          <w:rFonts w:ascii="Arial" w:eastAsia="Calibri" w:hAnsi="Arial" w:cs="Arial"/>
          <w:sz w:val="20"/>
          <w:szCs w:val="20"/>
        </w:rPr>
        <w:t>Saron</w:t>
      </w:r>
      <w:proofErr w:type="spellEnd"/>
      <w:r w:rsidRPr="003D07A0">
        <w:rPr>
          <w:rFonts w:ascii="Arial" w:eastAsia="Calibri" w:hAnsi="Arial" w:cs="Arial"/>
          <w:sz w:val="20"/>
          <w:szCs w:val="20"/>
        </w:rPr>
        <w:t xml:space="preserve">, </w:t>
      </w:r>
      <w:r w:rsidRPr="003D07A0">
        <w:rPr>
          <w:rFonts w:ascii="Arial" w:eastAsia="Calibri" w:hAnsi="Arial" w:cs="Arial"/>
          <w:i/>
          <w:sz w:val="20"/>
          <w:szCs w:val="20"/>
        </w:rPr>
        <w:t>Morris Alexander</w:t>
      </w:r>
      <w:r>
        <w:rPr>
          <w:rFonts w:ascii="Arial" w:eastAsia="Calibri" w:hAnsi="Arial" w:cs="Arial"/>
          <w:i/>
          <w:sz w:val="20"/>
          <w:szCs w:val="20"/>
        </w:rPr>
        <w:t xml:space="preserve">, </w:t>
      </w:r>
      <w:r w:rsidRPr="003D07A0">
        <w:rPr>
          <w:rFonts w:ascii="Arial" w:eastAsia="Calibri" w:hAnsi="Arial" w:cs="Arial"/>
          <w:sz w:val="20"/>
          <w:szCs w:val="20"/>
        </w:rPr>
        <w:t xml:space="preserve">p.21. Some oral history suggests other prominent Cape Town Jews engaged in similar activities. See </w:t>
      </w:r>
      <w:proofErr w:type="spellStart"/>
      <w:r w:rsidRPr="003D07A0">
        <w:rPr>
          <w:rFonts w:ascii="Arial" w:eastAsia="Calibri" w:hAnsi="Arial" w:cs="Arial"/>
          <w:sz w:val="20"/>
          <w:szCs w:val="20"/>
        </w:rPr>
        <w:t>Schrire</w:t>
      </w:r>
      <w:proofErr w:type="spellEnd"/>
      <w:r w:rsidRPr="003D07A0">
        <w:rPr>
          <w:rFonts w:ascii="Arial" w:eastAsia="Calibri" w:hAnsi="Arial" w:cs="Arial"/>
          <w:sz w:val="20"/>
          <w:szCs w:val="20"/>
        </w:rPr>
        <w:t xml:space="preserve">, </w:t>
      </w:r>
      <w:r w:rsidRPr="003D07A0">
        <w:rPr>
          <w:rFonts w:ascii="Arial" w:eastAsia="Calibri" w:hAnsi="Arial" w:cs="Arial"/>
          <w:i/>
          <w:sz w:val="20"/>
          <w:szCs w:val="20"/>
        </w:rPr>
        <w:t xml:space="preserve">From Eastern Europe to South Africa, </w:t>
      </w:r>
      <w:r w:rsidRPr="003D07A0">
        <w:rPr>
          <w:rFonts w:ascii="Arial" w:eastAsia="Calibri" w:hAnsi="Arial" w:cs="Arial"/>
          <w:sz w:val="20"/>
          <w:szCs w:val="20"/>
        </w:rPr>
        <w:t xml:space="preserve">p.33–34; </w:t>
      </w:r>
      <w:proofErr w:type="spellStart"/>
      <w:r w:rsidRPr="003D07A0">
        <w:rPr>
          <w:rFonts w:ascii="Arial" w:eastAsia="Calibri" w:hAnsi="Arial" w:cs="Arial"/>
          <w:sz w:val="20"/>
          <w:szCs w:val="20"/>
        </w:rPr>
        <w:t>Saron</w:t>
      </w:r>
      <w:proofErr w:type="spellEnd"/>
      <w:r w:rsidRPr="003D07A0">
        <w:rPr>
          <w:rFonts w:ascii="Arial" w:eastAsia="Calibri" w:hAnsi="Arial" w:cs="Arial"/>
          <w:sz w:val="20"/>
          <w:szCs w:val="20"/>
        </w:rPr>
        <w:t>, 'Jewish Immigration', p.101.  This is part of ongoing research into the Board’s archival records and those of official migration and naturalisation records.</w:t>
      </w:r>
    </w:p>
  </w:endnote>
  <w:endnote w:id="54">
    <w:p w14:paraId="168253BD" w14:textId="664352B0" w:rsidR="004B0E7E" w:rsidRPr="009907DC" w:rsidRDefault="00AE7548">
      <w:pPr>
        <w:rPr>
          <w:rFonts w:ascii="Arial" w:hAnsi="Arial" w:cs="Arial"/>
          <w:color w:val="000000"/>
          <w:sz w:val="20"/>
          <w:szCs w:val="20"/>
          <w:shd w:val="clear" w:color="auto" w:fill="FFFFFF"/>
        </w:rPr>
      </w:pPr>
      <w:r w:rsidRPr="00AE7548">
        <w:rPr>
          <w:rFonts w:ascii="Arial" w:hAnsi="Arial" w:cs="Arial"/>
          <w:sz w:val="20"/>
          <w:szCs w:val="20"/>
          <w:vertAlign w:val="superscript"/>
        </w:rPr>
        <w:endnoteRef/>
      </w:r>
      <w:r w:rsidRPr="00AE7548">
        <w:rPr>
          <w:rFonts w:ascii="Arial" w:hAnsi="Arial" w:cs="Arial"/>
          <w:sz w:val="20"/>
          <w:szCs w:val="20"/>
        </w:rPr>
        <w:t xml:space="preserve"> </w:t>
      </w:r>
      <w:r w:rsidRPr="009907DC">
        <w:rPr>
          <w:rFonts w:ascii="Arial" w:eastAsia="Calibri" w:hAnsi="Arial" w:cs="Arial"/>
          <w:sz w:val="20"/>
          <w:szCs w:val="20"/>
        </w:rPr>
        <w:t xml:space="preserve">Mendelsohn and </w:t>
      </w:r>
      <w:proofErr w:type="spellStart"/>
      <w:r w:rsidRPr="009907DC">
        <w:rPr>
          <w:rFonts w:ascii="Arial" w:eastAsia="Calibri" w:hAnsi="Arial" w:cs="Arial"/>
          <w:sz w:val="20"/>
          <w:szCs w:val="20"/>
        </w:rPr>
        <w:t>Shain</w:t>
      </w:r>
      <w:proofErr w:type="spellEnd"/>
      <w:r w:rsidRPr="009907DC">
        <w:rPr>
          <w:rFonts w:ascii="Arial" w:eastAsia="Calibri" w:hAnsi="Arial" w:cs="Arial"/>
          <w:sz w:val="20"/>
          <w:szCs w:val="20"/>
        </w:rPr>
        <w:t xml:space="preserve">, </w:t>
      </w:r>
      <w:r w:rsidRPr="009907DC">
        <w:rPr>
          <w:rFonts w:ascii="Arial" w:eastAsia="Calibri" w:hAnsi="Arial" w:cs="Arial"/>
          <w:i/>
          <w:sz w:val="20"/>
          <w:szCs w:val="20"/>
        </w:rPr>
        <w:t xml:space="preserve">The Jews in South Africa, </w:t>
      </w:r>
      <w:r w:rsidRPr="009907DC">
        <w:rPr>
          <w:rFonts w:ascii="Arial" w:eastAsia="Calibri" w:hAnsi="Arial" w:cs="Arial"/>
          <w:sz w:val="20"/>
          <w:szCs w:val="20"/>
        </w:rPr>
        <w:t xml:space="preserve">p.65; </w:t>
      </w:r>
      <w:r w:rsidR="00264439" w:rsidRPr="009907DC">
        <w:rPr>
          <w:rFonts w:ascii="Arial" w:hAnsi="Arial" w:cs="Arial"/>
          <w:color w:val="000000" w:themeColor="text1"/>
          <w:sz w:val="20"/>
          <w:szCs w:val="20"/>
        </w:rPr>
        <w:t>Cape Town Archives Repository (KAB)</w:t>
      </w:r>
      <w:r w:rsidR="00264439" w:rsidRPr="009907DC">
        <w:rPr>
          <w:rFonts w:ascii="Arial" w:hAnsi="Arial" w:cs="Arial"/>
          <w:color w:val="000000" w:themeColor="text1"/>
          <w:sz w:val="20"/>
          <w:szCs w:val="20"/>
        </w:rPr>
        <w:t xml:space="preserve">: </w:t>
      </w:r>
      <w:r w:rsidRPr="009907DC">
        <w:rPr>
          <w:rFonts w:ascii="Arial" w:hAnsi="Arial" w:cs="Arial"/>
          <w:color w:val="000000"/>
          <w:sz w:val="20"/>
          <w:szCs w:val="20"/>
          <w:shd w:val="clear" w:color="auto" w:fill="FFFFFF"/>
        </w:rPr>
        <w:t>GH, 23/79,</w:t>
      </w:r>
      <w:r w:rsidR="00264439" w:rsidRPr="009907DC">
        <w:rPr>
          <w:rFonts w:ascii="Arial" w:hAnsi="Arial" w:cs="Arial"/>
          <w:color w:val="000000"/>
          <w:sz w:val="20"/>
          <w:szCs w:val="20"/>
          <w:shd w:val="clear" w:color="auto" w:fill="FFFFFF"/>
        </w:rPr>
        <w:t xml:space="preserve"> </w:t>
      </w:r>
      <w:r w:rsidRPr="009907DC">
        <w:rPr>
          <w:rFonts w:ascii="Arial" w:hAnsi="Arial" w:cs="Arial"/>
          <w:color w:val="000000"/>
          <w:sz w:val="20"/>
          <w:szCs w:val="20"/>
          <w:shd w:val="clear" w:color="auto" w:fill="FFFFFF"/>
        </w:rPr>
        <w:t>127</w:t>
      </w:r>
      <w:r w:rsidR="00264439" w:rsidRPr="009907DC">
        <w:rPr>
          <w:rFonts w:ascii="Arial" w:hAnsi="Arial" w:cs="Arial"/>
          <w:color w:val="000000"/>
          <w:sz w:val="20"/>
          <w:szCs w:val="20"/>
          <w:shd w:val="clear" w:color="auto" w:fill="FFFFFF"/>
        </w:rPr>
        <w:t xml:space="preserve">, application for admission to the Cape Colony from Mr. Von Sever, A Russian Jew; </w:t>
      </w:r>
      <w:r w:rsidR="00264439" w:rsidRPr="009907DC">
        <w:rPr>
          <w:rFonts w:ascii="Arial" w:eastAsia="Calibri" w:hAnsi="Arial" w:cs="Arial"/>
          <w:sz w:val="20"/>
          <w:szCs w:val="20"/>
        </w:rPr>
        <w:t xml:space="preserve">Transvaal </w:t>
      </w:r>
      <w:r w:rsidR="00264439" w:rsidRPr="009907DC">
        <w:rPr>
          <w:rFonts w:ascii="Arial" w:hAnsi="Arial" w:cs="Arial"/>
          <w:color w:val="000000" w:themeColor="text1"/>
          <w:sz w:val="20"/>
          <w:szCs w:val="20"/>
        </w:rPr>
        <w:t>National Archives Repository (TAB)</w:t>
      </w:r>
      <w:r w:rsidR="00264439" w:rsidRPr="009907DC">
        <w:rPr>
          <w:rFonts w:ascii="Arial" w:hAnsi="Arial" w:cs="Arial"/>
          <w:color w:val="000000" w:themeColor="text1"/>
          <w:sz w:val="20"/>
          <w:szCs w:val="20"/>
        </w:rPr>
        <w:t xml:space="preserve">, </w:t>
      </w:r>
      <w:r w:rsidRPr="009907DC">
        <w:rPr>
          <w:rFonts w:ascii="Arial" w:hAnsi="Arial" w:cs="Arial"/>
          <w:color w:val="000000"/>
          <w:sz w:val="20"/>
          <w:szCs w:val="20"/>
        </w:rPr>
        <w:t>PS</w:t>
      </w:r>
      <w:r w:rsidR="00264439" w:rsidRPr="009907DC">
        <w:rPr>
          <w:rFonts w:ascii="Arial" w:hAnsi="Arial" w:cs="Arial"/>
          <w:color w:val="000000"/>
          <w:sz w:val="20"/>
          <w:szCs w:val="20"/>
        </w:rPr>
        <w:t xml:space="preserve">Y, </w:t>
      </w:r>
      <w:r w:rsidRPr="009907DC">
        <w:rPr>
          <w:rFonts w:ascii="Arial" w:hAnsi="Arial" w:cs="Arial"/>
          <w:color w:val="000000"/>
          <w:sz w:val="20"/>
          <w:szCs w:val="20"/>
        </w:rPr>
        <w:t>52</w:t>
      </w:r>
      <w:r w:rsidR="00264439" w:rsidRPr="009907DC">
        <w:rPr>
          <w:rFonts w:ascii="Arial" w:hAnsi="Arial" w:cs="Arial"/>
          <w:color w:val="000000"/>
          <w:sz w:val="20"/>
          <w:szCs w:val="20"/>
        </w:rPr>
        <w:t xml:space="preserve">, </w:t>
      </w:r>
      <w:r w:rsidRPr="009907DC">
        <w:rPr>
          <w:rFonts w:ascii="Arial" w:hAnsi="Arial" w:cs="Arial"/>
          <w:color w:val="000000"/>
          <w:sz w:val="20"/>
          <w:szCs w:val="20"/>
        </w:rPr>
        <w:t>J7/00</w:t>
      </w:r>
      <w:r w:rsidR="00264439" w:rsidRPr="009907DC">
        <w:rPr>
          <w:rFonts w:ascii="Arial" w:hAnsi="Arial" w:cs="Arial"/>
          <w:color w:val="000000"/>
          <w:sz w:val="20"/>
          <w:szCs w:val="20"/>
        </w:rPr>
        <w:t xml:space="preserve">, </w:t>
      </w:r>
      <w:r w:rsidRPr="009907DC">
        <w:rPr>
          <w:rFonts w:ascii="Arial" w:hAnsi="Arial" w:cs="Arial"/>
          <w:color w:val="000000"/>
          <w:sz w:val="20"/>
          <w:szCs w:val="20"/>
          <w:shd w:val="clear" w:color="auto" w:fill="FFFFFF"/>
        </w:rPr>
        <w:t>1900</w:t>
      </w:r>
      <w:r w:rsidR="00264439" w:rsidRPr="009907DC">
        <w:rPr>
          <w:rFonts w:ascii="Arial" w:hAnsi="Arial" w:cs="Arial"/>
          <w:color w:val="000000"/>
          <w:sz w:val="20"/>
          <w:szCs w:val="20"/>
          <w:shd w:val="clear" w:color="auto" w:fill="FFFFFF"/>
        </w:rPr>
        <w:t xml:space="preserve">, political secretary to military governor: </w:t>
      </w:r>
      <w:r w:rsidR="009907DC" w:rsidRPr="009907DC">
        <w:rPr>
          <w:rFonts w:ascii="Arial" w:hAnsi="Arial" w:cs="Arial"/>
          <w:color w:val="000000"/>
          <w:sz w:val="20"/>
          <w:szCs w:val="20"/>
          <w:shd w:val="clear" w:color="auto" w:fill="FFFFFF"/>
        </w:rPr>
        <w:t>u</w:t>
      </w:r>
      <w:r w:rsidR="00264439" w:rsidRPr="009907DC">
        <w:rPr>
          <w:rFonts w:ascii="Arial" w:hAnsi="Arial" w:cs="Arial"/>
          <w:color w:val="000000"/>
          <w:sz w:val="20"/>
          <w:szCs w:val="20"/>
          <w:shd w:val="clear" w:color="auto" w:fill="FFFFFF"/>
        </w:rPr>
        <w:t xml:space="preserve">ndesirables Jews </w:t>
      </w:r>
      <w:r w:rsidR="009907DC" w:rsidRPr="009907DC">
        <w:rPr>
          <w:rFonts w:ascii="Arial" w:hAnsi="Arial" w:cs="Arial"/>
          <w:color w:val="000000"/>
          <w:sz w:val="20"/>
          <w:szCs w:val="20"/>
          <w:shd w:val="clear" w:color="auto" w:fill="FFFFFF"/>
        </w:rPr>
        <w:t>n</w:t>
      </w:r>
      <w:r w:rsidR="00264439" w:rsidRPr="009907DC">
        <w:rPr>
          <w:rFonts w:ascii="Arial" w:hAnsi="Arial" w:cs="Arial"/>
          <w:color w:val="000000"/>
          <w:sz w:val="20"/>
          <w:szCs w:val="20"/>
          <w:shd w:val="clear" w:color="auto" w:fill="FFFFFF"/>
        </w:rPr>
        <w:t xml:space="preserve">ot to be </w:t>
      </w:r>
      <w:r w:rsidR="009907DC" w:rsidRPr="009907DC">
        <w:rPr>
          <w:rFonts w:ascii="Arial" w:hAnsi="Arial" w:cs="Arial"/>
          <w:color w:val="000000"/>
          <w:sz w:val="20"/>
          <w:szCs w:val="20"/>
          <w:shd w:val="clear" w:color="auto" w:fill="FFFFFF"/>
        </w:rPr>
        <w:t>c</w:t>
      </w:r>
      <w:r w:rsidR="00264439" w:rsidRPr="009907DC">
        <w:rPr>
          <w:rFonts w:ascii="Arial" w:hAnsi="Arial" w:cs="Arial"/>
          <w:color w:val="000000"/>
          <w:sz w:val="20"/>
          <w:szCs w:val="20"/>
          <w:shd w:val="clear" w:color="auto" w:fill="FFFFFF"/>
        </w:rPr>
        <w:t xml:space="preserve">ounted as </w:t>
      </w:r>
      <w:r w:rsidR="009907DC" w:rsidRPr="009907DC">
        <w:rPr>
          <w:rFonts w:ascii="Arial" w:hAnsi="Arial" w:cs="Arial"/>
          <w:color w:val="000000"/>
          <w:sz w:val="20"/>
          <w:szCs w:val="20"/>
          <w:shd w:val="clear" w:color="auto" w:fill="FFFFFF"/>
        </w:rPr>
        <w:t>c</w:t>
      </w:r>
      <w:r w:rsidR="00264439" w:rsidRPr="009907DC">
        <w:rPr>
          <w:rFonts w:ascii="Arial" w:hAnsi="Arial" w:cs="Arial"/>
          <w:color w:val="000000"/>
          <w:sz w:val="20"/>
          <w:szCs w:val="20"/>
          <w:shd w:val="clear" w:color="auto" w:fill="FFFFFF"/>
        </w:rPr>
        <w:t xml:space="preserve">lass </w:t>
      </w:r>
      <w:r w:rsidR="009907DC" w:rsidRPr="009907DC">
        <w:rPr>
          <w:rFonts w:ascii="Arial" w:hAnsi="Arial" w:cs="Arial"/>
          <w:color w:val="000000"/>
          <w:sz w:val="20"/>
          <w:szCs w:val="20"/>
          <w:shd w:val="clear" w:color="auto" w:fill="FFFFFF"/>
        </w:rPr>
        <w:t>u</w:t>
      </w:r>
      <w:r w:rsidR="00264439" w:rsidRPr="009907DC">
        <w:rPr>
          <w:rFonts w:ascii="Arial" w:hAnsi="Arial" w:cs="Arial"/>
          <w:color w:val="000000"/>
          <w:sz w:val="20"/>
          <w:szCs w:val="20"/>
          <w:shd w:val="clear" w:color="auto" w:fill="FFFFFF"/>
        </w:rPr>
        <w:t xml:space="preserve">ndesirables; TAB, </w:t>
      </w:r>
      <w:r w:rsidRPr="009907DC">
        <w:rPr>
          <w:rFonts w:ascii="Arial" w:hAnsi="Arial" w:cs="Arial"/>
          <w:color w:val="000000"/>
          <w:sz w:val="20"/>
          <w:szCs w:val="20"/>
        </w:rPr>
        <w:t>GOV</w:t>
      </w:r>
      <w:r w:rsidR="00264439" w:rsidRPr="009907DC">
        <w:rPr>
          <w:rFonts w:ascii="Arial" w:hAnsi="Arial" w:cs="Arial"/>
          <w:color w:val="000000"/>
          <w:sz w:val="20"/>
          <w:szCs w:val="20"/>
        </w:rPr>
        <w:t xml:space="preserve">, </w:t>
      </w:r>
      <w:r w:rsidRPr="009907DC">
        <w:rPr>
          <w:rFonts w:ascii="Arial" w:hAnsi="Arial" w:cs="Arial"/>
          <w:color w:val="000000"/>
          <w:sz w:val="20"/>
          <w:szCs w:val="20"/>
        </w:rPr>
        <w:t>636</w:t>
      </w:r>
      <w:r w:rsidR="00264439" w:rsidRPr="009907DC">
        <w:rPr>
          <w:rFonts w:ascii="Arial" w:hAnsi="Arial" w:cs="Arial"/>
          <w:color w:val="000000"/>
          <w:sz w:val="20"/>
          <w:szCs w:val="20"/>
        </w:rPr>
        <w:t>,</w:t>
      </w:r>
      <w:r w:rsidRPr="009907DC">
        <w:rPr>
          <w:rFonts w:ascii="Arial" w:hAnsi="Arial" w:cs="Arial"/>
          <w:color w:val="000000"/>
          <w:sz w:val="20"/>
          <w:szCs w:val="20"/>
        </w:rPr>
        <w:t xml:space="preserve"> </w:t>
      </w:r>
      <w:r w:rsidRPr="009907DC">
        <w:rPr>
          <w:rFonts w:ascii="Arial" w:hAnsi="Arial" w:cs="Arial"/>
          <w:color w:val="000000"/>
          <w:sz w:val="20"/>
          <w:szCs w:val="20"/>
          <w:shd w:val="clear" w:color="auto" w:fill="FFFFFF"/>
        </w:rPr>
        <w:t>PS 6/04</w:t>
      </w:r>
      <w:r w:rsidR="00264439" w:rsidRPr="009907DC">
        <w:rPr>
          <w:rFonts w:ascii="Arial" w:hAnsi="Arial" w:cs="Arial"/>
          <w:color w:val="000000"/>
          <w:sz w:val="20"/>
          <w:szCs w:val="20"/>
          <w:shd w:val="clear" w:color="auto" w:fill="FFFFFF"/>
        </w:rPr>
        <w:t xml:space="preserve">, Jewish Board of Deputies (1904); </w:t>
      </w:r>
      <w:r w:rsidR="00264439" w:rsidRPr="009907DC">
        <w:rPr>
          <w:rFonts w:ascii="Arial" w:hAnsi="Arial" w:cs="Arial"/>
          <w:color w:val="000000"/>
          <w:sz w:val="20"/>
          <w:szCs w:val="20"/>
          <w:shd w:val="clear" w:color="auto" w:fill="FFFFFF"/>
        </w:rPr>
        <w:t xml:space="preserve">TAB, </w:t>
      </w:r>
      <w:r w:rsidR="00264439" w:rsidRPr="009907DC">
        <w:rPr>
          <w:rFonts w:ascii="Arial" w:hAnsi="Arial" w:cs="Arial"/>
          <w:color w:val="000000"/>
          <w:sz w:val="20"/>
          <w:szCs w:val="20"/>
        </w:rPr>
        <w:t>GOV,</w:t>
      </w:r>
      <w:r w:rsidR="00264439" w:rsidRPr="009907DC">
        <w:rPr>
          <w:rFonts w:ascii="Arial" w:hAnsi="Arial" w:cs="Arial"/>
          <w:color w:val="000000"/>
          <w:sz w:val="20"/>
          <w:szCs w:val="20"/>
        </w:rPr>
        <w:t xml:space="preserve"> 803, PS </w:t>
      </w:r>
      <w:r w:rsidR="00264439" w:rsidRPr="009907DC">
        <w:rPr>
          <w:rFonts w:ascii="Arial" w:hAnsi="Arial" w:cs="Arial"/>
          <w:color w:val="000000"/>
          <w:sz w:val="20"/>
          <w:szCs w:val="20"/>
          <w:shd w:val="clear" w:color="auto" w:fill="FFFFFF"/>
        </w:rPr>
        <w:t>7/19/05</w:t>
      </w:r>
      <w:r w:rsidR="00264439" w:rsidRPr="009907DC">
        <w:rPr>
          <w:rFonts w:ascii="Arial" w:hAnsi="Arial" w:cs="Arial"/>
          <w:color w:val="000000"/>
          <w:sz w:val="20"/>
          <w:szCs w:val="20"/>
          <w:shd w:val="clear" w:color="auto" w:fill="FFFFFF"/>
        </w:rPr>
        <w:t xml:space="preserve">, </w:t>
      </w:r>
      <w:r w:rsidR="00264439" w:rsidRPr="009907DC">
        <w:rPr>
          <w:rFonts w:ascii="Arial" w:hAnsi="Arial" w:cs="Arial"/>
          <w:color w:val="000000"/>
          <w:sz w:val="20"/>
          <w:szCs w:val="20"/>
          <w:shd w:val="clear" w:color="auto" w:fill="FFFFFF"/>
        </w:rPr>
        <w:t>Jewish Board of Deputies (190</w:t>
      </w:r>
      <w:r w:rsidR="00264439" w:rsidRPr="009907DC">
        <w:rPr>
          <w:rFonts w:ascii="Arial" w:hAnsi="Arial" w:cs="Arial"/>
          <w:color w:val="000000"/>
          <w:sz w:val="20"/>
          <w:szCs w:val="20"/>
          <w:shd w:val="clear" w:color="auto" w:fill="FFFFFF"/>
        </w:rPr>
        <w:t>5</w:t>
      </w:r>
      <w:r w:rsidR="00264439" w:rsidRPr="009907DC">
        <w:rPr>
          <w:rFonts w:ascii="Arial" w:hAnsi="Arial" w:cs="Arial"/>
          <w:color w:val="000000"/>
          <w:sz w:val="20"/>
          <w:szCs w:val="20"/>
          <w:shd w:val="clear" w:color="auto" w:fill="FFFFFF"/>
        </w:rPr>
        <w:t>)</w:t>
      </w:r>
      <w:r w:rsidR="00264439" w:rsidRPr="009907DC">
        <w:rPr>
          <w:rFonts w:ascii="Arial" w:hAnsi="Arial" w:cs="Arial"/>
          <w:color w:val="000000"/>
          <w:sz w:val="20"/>
          <w:szCs w:val="20"/>
          <w:shd w:val="clear" w:color="auto" w:fill="FFFFFF"/>
        </w:rPr>
        <w:t>;</w:t>
      </w:r>
      <w:r w:rsidR="00DD2D51" w:rsidRPr="009907DC">
        <w:rPr>
          <w:rFonts w:ascii="Arial" w:hAnsi="Arial" w:cs="Arial"/>
          <w:color w:val="000000"/>
          <w:sz w:val="20"/>
          <w:szCs w:val="20"/>
          <w:shd w:val="clear" w:color="auto" w:fill="FFFFFF"/>
        </w:rPr>
        <w:t xml:space="preserve"> </w:t>
      </w:r>
      <w:r w:rsidR="00DD2D51" w:rsidRPr="009907DC">
        <w:rPr>
          <w:rFonts w:ascii="Arial" w:hAnsi="Arial" w:cs="Arial"/>
          <w:color w:val="000000" w:themeColor="text1"/>
          <w:sz w:val="20"/>
          <w:szCs w:val="20"/>
        </w:rPr>
        <w:t>Pietermaritzburg Archives Repository (NAB)</w:t>
      </w:r>
      <w:r w:rsidR="006C539D" w:rsidRPr="009907DC">
        <w:rPr>
          <w:rFonts w:ascii="Arial" w:hAnsi="Arial" w:cs="Arial"/>
          <w:color w:val="000000" w:themeColor="text1"/>
          <w:sz w:val="20"/>
          <w:szCs w:val="20"/>
        </w:rPr>
        <w:t xml:space="preserve">, </w:t>
      </w:r>
      <w:r w:rsidRPr="009907DC">
        <w:rPr>
          <w:rFonts w:ascii="Arial" w:hAnsi="Arial" w:cs="Arial"/>
          <w:color w:val="000000"/>
          <w:sz w:val="20"/>
          <w:szCs w:val="20"/>
        </w:rPr>
        <w:t>CSO</w:t>
      </w:r>
      <w:r w:rsidR="00DD2D51" w:rsidRPr="009907DC">
        <w:rPr>
          <w:rFonts w:ascii="Arial" w:hAnsi="Arial" w:cs="Arial"/>
          <w:color w:val="000000"/>
          <w:sz w:val="20"/>
          <w:szCs w:val="20"/>
        </w:rPr>
        <w:t xml:space="preserve">, </w:t>
      </w:r>
      <w:r w:rsidRPr="009907DC">
        <w:rPr>
          <w:rFonts w:ascii="Arial" w:hAnsi="Arial" w:cs="Arial"/>
          <w:color w:val="000000"/>
          <w:sz w:val="20"/>
          <w:szCs w:val="20"/>
        </w:rPr>
        <w:t>1727</w:t>
      </w:r>
      <w:r w:rsidR="00DD2D51" w:rsidRPr="009907DC">
        <w:rPr>
          <w:rFonts w:ascii="Arial" w:hAnsi="Arial" w:cs="Arial"/>
          <w:color w:val="000000"/>
          <w:sz w:val="20"/>
          <w:szCs w:val="20"/>
        </w:rPr>
        <w:t>,</w:t>
      </w:r>
      <w:r w:rsidRPr="009907DC">
        <w:rPr>
          <w:rFonts w:ascii="Arial" w:hAnsi="Arial" w:cs="Arial"/>
          <w:color w:val="000000"/>
          <w:sz w:val="20"/>
          <w:szCs w:val="20"/>
        </w:rPr>
        <w:t xml:space="preserve"> </w:t>
      </w:r>
      <w:r w:rsidRPr="009907DC">
        <w:rPr>
          <w:rFonts w:ascii="Arial" w:hAnsi="Arial" w:cs="Arial"/>
          <w:color w:val="000000"/>
          <w:sz w:val="20"/>
          <w:szCs w:val="20"/>
          <w:shd w:val="clear" w:color="auto" w:fill="FFFFFF"/>
        </w:rPr>
        <w:t>1903/2494</w:t>
      </w:r>
      <w:r w:rsidR="00DD2D51" w:rsidRPr="009907DC">
        <w:rPr>
          <w:rFonts w:ascii="Arial" w:hAnsi="Arial" w:cs="Arial"/>
          <w:color w:val="000000"/>
          <w:sz w:val="20"/>
          <w:szCs w:val="20"/>
          <w:shd w:val="clear" w:color="auto" w:fill="FFFFFF"/>
        </w:rPr>
        <w:t>,</w:t>
      </w:r>
      <w:r w:rsidRPr="009907DC">
        <w:rPr>
          <w:rFonts w:ascii="Arial" w:hAnsi="Arial" w:cs="Arial"/>
          <w:color w:val="000000"/>
          <w:sz w:val="20"/>
          <w:szCs w:val="20"/>
          <w:shd w:val="clear" w:color="auto" w:fill="FFFFFF"/>
        </w:rPr>
        <w:t xml:space="preserve"> R</w:t>
      </w:r>
      <w:r w:rsidR="00DD2D51" w:rsidRPr="009907DC">
        <w:rPr>
          <w:rFonts w:ascii="Arial" w:hAnsi="Arial" w:cs="Arial"/>
          <w:color w:val="000000"/>
          <w:sz w:val="20"/>
          <w:szCs w:val="20"/>
          <w:shd w:val="clear" w:color="auto" w:fill="FFFFFF"/>
        </w:rPr>
        <w:t>.</w:t>
      </w:r>
      <w:r w:rsidRPr="009907DC">
        <w:rPr>
          <w:rFonts w:ascii="Arial" w:hAnsi="Arial" w:cs="Arial"/>
          <w:color w:val="000000"/>
          <w:sz w:val="20"/>
          <w:szCs w:val="20"/>
          <w:shd w:val="clear" w:color="auto" w:fill="FFFFFF"/>
        </w:rPr>
        <w:t xml:space="preserve"> L</w:t>
      </w:r>
      <w:r w:rsidR="006C539D" w:rsidRPr="009907DC">
        <w:rPr>
          <w:rFonts w:ascii="Arial" w:hAnsi="Arial" w:cs="Arial"/>
          <w:color w:val="000000"/>
          <w:sz w:val="20"/>
          <w:szCs w:val="20"/>
          <w:shd w:val="clear" w:color="auto" w:fill="FFFFFF"/>
        </w:rPr>
        <w:t xml:space="preserve">evisohn, </w:t>
      </w:r>
      <w:proofErr w:type="spellStart"/>
      <w:r w:rsidR="006C539D" w:rsidRPr="009907DC">
        <w:rPr>
          <w:rFonts w:ascii="Arial" w:hAnsi="Arial" w:cs="Arial"/>
          <w:color w:val="000000"/>
          <w:sz w:val="20"/>
          <w:szCs w:val="20"/>
          <w:shd w:val="clear" w:color="auto" w:fill="FFFFFF"/>
        </w:rPr>
        <w:t>Honourary</w:t>
      </w:r>
      <w:proofErr w:type="spellEnd"/>
      <w:r w:rsidR="006C539D" w:rsidRPr="009907DC">
        <w:rPr>
          <w:rFonts w:ascii="Arial" w:hAnsi="Arial" w:cs="Arial"/>
          <w:color w:val="000000"/>
          <w:sz w:val="20"/>
          <w:szCs w:val="20"/>
          <w:shd w:val="clear" w:color="auto" w:fill="FFFFFF"/>
        </w:rPr>
        <w:t xml:space="preserve"> Secretary, Durban Hebrew Congregation, </w:t>
      </w:r>
      <w:proofErr w:type="spellStart"/>
      <w:r w:rsidR="006C539D" w:rsidRPr="009907DC">
        <w:rPr>
          <w:rFonts w:ascii="Arial" w:hAnsi="Arial" w:cs="Arial"/>
          <w:color w:val="000000"/>
          <w:sz w:val="20"/>
          <w:szCs w:val="20"/>
          <w:shd w:val="clear" w:color="auto" w:fill="FFFFFF"/>
        </w:rPr>
        <w:t>Durgan</w:t>
      </w:r>
      <w:proofErr w:type="spellEnd"/>
      <w:r w:rsidR="006C539D" w:rsidRPr="009907DC">
        <w:rPr>
          <w:rFonts w:ascii="Arial" w:hAnsi="Arial" w:cs="Arial"/>
          <w:color w:val="000000"/>
          <w:sz w:val="20"/>
          <w:szCs w:val="20"/>
          <w:shd w:val="clear" w:color="auto" w:fill="FFFFFF"/>
        </w:rPr>
        <w:t xml:space="preserve">, Relative to the Landing of Person of the Jewish Persuasion at Durban; </w:t>
      </w:r>
      <w:r w:rsidRPr="009907DC">
        <w:rPr>
          <w:rFonts w:ascii="Arial" w:hAnsi="Arial" w:cs="Arial"/>
          <w:color w:val="000000"/>
          <w:sz w:val="20"/>
          <w:szCs w:val="20"/>
        </w:rPr>
        <w:t>NAB</w:t>
      </w:r>
      <w:r w:rsidR="002A667A" w:rsidRPr="009907DC">
        <w:rPr>
          <w:rFonts w:ascii="Arial" w:hAnsi="Arial" w:cs="Arial"/>
          <w:color w:val="000000"/>
          <w:sz w:val="20"/>
          <w:szCs w:val="20"/>
        </w:rPr>
        <w:t xml:space="preserve">, </w:t>
      </w:r>
      <w:r w:rsidRPr="009907DC">
        <w:rPr>
          <w:rFonts w:ascii="Arial" w:hAnsi="Arial" w:cs="Arial"/>
          <w:color w:val="000000"/>
          <w:sz w:val="20"/>
          <w:szCs w:val="20"/>
        </w:rPr>
        <w:t>IRD</w:t>
      </w:r>
      <w:r w:rsidR="002A667A" w:rsidRPr="009907DC">
        <w:rPr>
          <w:rFonts w:ascii="Arial" w:hAnsi="Arial" w:cs="Arial"/>
          <w:color w:val="000000"/>
          <w:sz w:val="20"/>
          <w:szCs w:val="20"/>
        </w:rPr>
        <w:t xml:space="preserve">, </w:t>
      </w:r>
      <w:r w:rsidRPr="009907DC">
        <w:rPr>
          <w:rFonts w:ascii="Arial" w:hAnsi="Arial" w:cs="Arial"/>
          <w:color w:val="000000"/>
          <w:sz w:val="20"/>
          <w:szCs w:val="20"/>
        </w:rPr>
        <w:t xml:space="preserve">19 </w:t>
      </w:r>
      <w:r w:rsidRPr="009907DC">
        <w:rPr>
          <w:rFonts w:ascii="Arial" w:hAnsi="Arial" w:cs="Arial"/>
          <w:color w:val="000000"/>
          <w:sz w:val="20"/>
          <w:szCs w:val="20"/>
          <w:shd w:val="clear" w:color="auto" w:fill="FFFFFF"/>
        </w:rPr>
        <w:t>IRD</w:t>
      </w:r>
      <w:r w:rsidR="002A667A" w:rsidRPr="009907DC">
        <w:rPr>
          <w:rFonts w:ascii="Arial" w:hAnsi="Arial" w:cs="Arial"/>
          <w:color w:val="000000"/>
          <w:sz w:val="20"/>
          <w:szCs w:val="20"/>
          <w:shd w:val="clear" w:color="auto" w:fill="FFFFFF"/>
        </w:rPr>
        <w:t>,</w:t>
      </w:r>
      <w:r w:rsidRPr="009907DC">
        <w:rPr>
          <w:rFonts w:ascii="Arial" w:hAnsi="Arial" w:cs="Arial"/>
          <w:color w:val="000000"/>
          <w:sz w:val="20"/>
          <w:szCs w:val="20"/>
          <w:shd w:val="clear" w:color="auto" w:fill="FFFFFF"/>
        </w:rPr>
        <w:t xml:space="preserve"> 688/1903</w:t>
      </w:r>
      <w:r w:rsidR="002A667A" w:rsidRPr="009907DC">
        <w:rPr>
          <w:rFonts w:ascii="Arial" w:hAnsi="Arial" w:cs="Arial"/>
          <w:color w:val="000000"/>
          <w:sz w:val="20"/>
          <w:szCs w:val="20"/>
          <w:shd w:val="clear" w:color="auto" w:fill="FFFFFF"/>
        </w:rPr>
        <w:t xml:space="preserve">, Colonial Secretary: Deputation from Jewish Community; </w:t>
      </w:r>
      <w:r w:rsidRPr="009907DC">
        <w:rPr>
          <w:rFonts w:ascii="Arial" w:hAnsi="Arial" w:cs="Arial"/>
          <w:color w:val="000000"/>
          <w:sz w:val="20"/>
          <w:szCs w:val="20"/>
        </w:rPr>
        <w:t>NAB</w:t>
      </w:r>
      <w:r w:rsidR="002A667A" w:rsidRPr="009907DC">
        <w:rPr>
          <w:rFonts w:ascii="Arial" w:hAnsi="Arial" w:cs="Arial"/>
          <w:color w:val="000000"/>
          <w:sz w:val="20"/>
          <w:szCs w:val="20"/>
        </w:rPr>
        <w:t xml:space="preserve">, </w:t>
      </w:r>
      <w:r w:rsidRPr="009907DC">
        <w:rPr>
          <w:rFonts w:ascii="Arial" w:hAnsi="Arial" w:cs="Arial"/>
          <w:color w:val="000000"/>
          <w:sz w:val="20"/>
          <w:szCs w:val="20"/>
        </w:rPr>
        <w:t>IRD</w:t>
      </w:r>
      <w:r w:rsidR="002A667A" w:rsidRPr="009907DC">
        <w:rPr>
          <w:rFonts w:ascii="Arial" w:hAnsi="Arial" w:cs="Arial"/>
          <w:color w:val="000000"/>
          <w:sz w:val="20"/>
          <w:szCs w:val="20"/>
        </w:rPr>
        <w:t xml:space="preserve">, </w:t>
      </w:r>
      <w:r w:rsidRPr="009907DC">
        <w:rPr>
          <w:rFonts w:ascii="Arial" w:hAnsi="Arial" w:cs="Arial"/>
          <w:color w:val="000000"/>
          <w:sz w:val="20"/>
          <w:szCs w:val="20"/>
        </w:rPr>
        <w:t>LEER</w:t>
      </w:r>
      <w:r w:rsidR="002A667A" w:rsidRPr="009907DC">
        <w:rPr>
          <w:rFonts w:ascii="Arial" w:hAnsi="Arial" w:cs="Arial"/>
          <w:color w:val="000000"/>
          <w:sz w:val="20"/>
          <w:szCs w:val="20"/>
        </w:rPr>
        <w:t xml:space="preserve">, </w:t>
      </w:r>
      <w:r w:rsidRPr="009907DC">
        <w:rPr>
          <w:rFonts w:ascii="Arial" w:hAnsi="Arial" w:cs="Arial"/>
          <w:color w:val="000000"/>
          <w:sz w:val="20"/>
          <w:szCs w:val="20"/>
        </w:rPr>
        <w:t xml:space="preserve">91 </w:t>
      </w:r>
      <w:r w:rsidRPr="009907DC">
        <w:rPr>
          <w:rFonts w:ascii="Arial" w:hAnsi="Arial" w:cs="Arial"/>
          <w:color w:val="000000"/>
          <w:sz w:val="20"/>
          <w:szCs w:val="20"/>
          <w:shd w:val="clear" w:color="auto" w:fill="FFFFFF"/>
        </w:rPr>
        <w:t>IRD</w:t>
      </w:r>
      <w:r w:rsidR="002A667A" w:rsidRPr="009907DC">
        <w:rPr>
          <w:rFonts w:ascii="Arial" w:hAnsi="Arial" w:cs="Arial"/>
          <w:color w:val="000000"/>
          <w:sz w:val="20"/>
          <w:szCs w:val="20"/>
          <w:shd w:val="clear" w:color="auto" w:fill="FFFFFF"/>
        </w:rPr>
        <w:t>,</w:t>
      </w:r>
      <w:r w:rsidRPr="009907DC">
        <w:rPr>
          <w:rFonts w:ascii="Arial" w:hAnsi="Arial" w:cs="Arial"/>
          <w:color w:val="000000"/>
          <w:sz w:val="20"/>
          <w:szCs w:val="20"/>
          <w:shd w:val="clear" w:color="auto" w:fill="FFFFFF"/>
        </w:rPr>
        <w:t xml:space="preserve"> 708/1911</w:t>
      </w:r>
      <w:r w:rsidR="002A667A" w:rsidRPr="009907DC">
        <w:rPr>
          <w:rFonts w:ascii="Arial" w:hAnsi="Arial" w:cs="Arial"/>
          <w:color w:val="000000"/>
          <w:sz w:val="20"/>
          <w:szCs w:val="20"/>
          <w:shd w:val="clear" w:color="auto" w:fill="FFFFFF"/>
        </w:rPr>
        <w:t xml:space="preserve">, Private Secretary, Minister of the Interior, Pretoria, correspondence with </w:t>
      </w:r>
      <w:proofErr w:type="spellStart"/>
      <w:r w:rsidR="002A667A" w:rsidRPr="009907DC">
        <w:rPr>
          <w:rFonts w:ascii="Arial" w:hAnsi="Arial" w:cs="Arial"/>
          <w:color w:val="000000"/>
          <w:sz w:val="20"/>
          <w:szCs w:val="20"/>
          <w:shd w:val="clear" w:color="auto" w:fill="FFFFFF"/>
        </w:rPr>
        <w:t>Sigried</w:t>
      </w:r>
      <w:proofErr w:type="spellEnd"/>
      <w:r w:rsidR="002A667A" w:rsidRPr="009907DC">
        <w:rPr>
          <w:rFonts w:ascii="Arial" w:hAnsi="Arial" w:cs="Arial"/>
          <w:color w:val="000000"/>
          <w:sz w:val="20"/>
          <w:szCs w:val="20"/>
          <w:shd w:val="clear" w:color="auto" w:fill="FFFFFF"/>
        </w:rPr>
        <w:t xml:space="preserve"> </w:t>
      </w:r>
      <w:proofErr w:type="spellStart"/>
      <w:r w:rsidR="002A667A" w:rsidRPr="009907DC">
        <w:rPr>
          <w:rFonts w:ascii="Arial" w:hAnsi="Arial" w:cs="Arial"/>
          <w:color w:val="000000"/>
          <w:sz w:val="20"/>
          <w:szCs w:val="20"/>
          <w:shd w:val="clear" w:color="auto" w:fill="FFFFFF"/>
        </w:rPr>
        <w:t>Raphaely</w:t>
      </w:r>
      <w:proofErr w:type="spellEnd"/>
      <w:r w:rsidR="002A667A" w:rsidRPr="009907DC">
        <w:rPr>
          <w:rFonts w:ascii="Arial" w:hAnsi="Arial" w:cs="Arial"/>
          <w:color w:val="000000"/>
          <w:sz w:val="20"/>
          <w:szCs w:val="20"/>
          <w:shd w:val="clear" w:color="auto" w:fill="FFFFFF"/>
        </w:rPr>
        <w:t xml:space="preserve">, President of Jewish Board of Deputies; </w:t>
      </w:r>
      <w:r w:rsidR="0043474D" w:rsidRPr="009907DC">
        <w:rPr>
          <w:rFonts w:ascii="Arial" w:hAnsi="Arial" w:cs="Arial"/>
          <w:color w:val="000000" w:themeColor="text1"/>
          <w:sz w:val="20"/>
          <w:szCs w:val="20"/>
        </w:rPr>
        <w:t>South African National Archives Repository (SAB)</w:t>
      </w:r>
      <w:r w:rsidR="0043474D" w:rsidRPr="009907DC">
        <w:rPr>
          <w:rFonts w:ascii="Arial" w:hAnsi="Arial" w:cs="Arial"/>
          <w:color w:val="000000" w:themeColor="text1"/>
          <w:sz w:val="20"/>
          <w:szCs w:val="20"/>
        </w:rPr>
        <w:t xml:space="preserve">, </w:t>
      </w:r>
      <w:r w:rsidRPr="009907DC">
        <w:rPr>
          <w:rFonts w:ascii="Arial" w:hAnsi="Arial" w:cs="Arial"/>
          <w:color w:val="000000"/>
          <w:sz w:val="20"/>
          <w:szCs w:val="20"/>
        </w:rPr>
        <w:t>GG</w:t>
      </w:r>
      <w:r w:rsidR="0043474D" w:rsidRPr="009907DC">
        <w:rPr>
          <w:rFonts w:ascii="Arial" w:hAnsi="Arial" w:cs="Arial"/>
          <w:color w:val="000000"/>
          <w:sz w:val="20"/>
          <w:szCs w:val="20"/>
        </w:rPr>
        <w:t xml:space="preserve">, </w:t>
      </w:r>
      <w:r w:rsidRPr="009907DC">
        <w:rPr>
          <w:rFonts w:ascii="Arial" w:hAnsi="Arial" w:cs="Arial"/>
          <w:color w:val="000000"/>
          <w:sz w:val="20"/>
          <w:szCs w:val="20"/>
        </w:rPr>
        <w:t>1306</w:t>
      </w:r>
      <w:r w:rsidR="0043474D" w:rsidRPr="009907DC">
        <w:rPr>
          <w:rFonts w:ascii="Arial" w:hAnsi="Arial" w:cs="Arial"/>
          <w:color w:val="000000"/>
          <w:sz w:val="20"/>
          <w:szCs w:val="20"/>
        </w:rPr>
        <w:t xml:space="preserve">, </w:t>
      </w:r>
      <w:r w:rsidRPr="009907DC">
        <w:rPr>
          <w:rFonts w:ascii="Arial" w:hAnsi="Arial" w:cs="Arial"/>
          <w:color w:val="000000"/>
          <w:sz w:val="20"/>
          <w:szCs w:val="20"/>
          <w:shd w:val="clear" w:color="auto" w:fill="FFFFFF"/>
        </w:rPr>
        <w:t>36/26</w:t>
      </w:r>
      <w:r w:rsidR="0043474D" w:rsidRPr="009907DC">
        <w:rPr>
          <w:rFonts w:ascii="Arial" w:hAnsi="Arial" w:cs="Arial"/>
          <w:color w:val="000000"/>
          <w:sz w:val="20"/>
          <w:szCs w:val="20"/>
          <w:shd w:val="clear" w:color="auto" w:fill="FFFFFF"/>
        </w:rPr>
        <w:t xml:space="preserve">, Exclusion of Certain Russo-Jewish Immigrants from the Union of South Africa; </w:t>
      </w:r>
      <w:r w:rsidRPr="009907DC">
        <w:rPr>
          <w:rFonts w:ascii="Arial" w:hAnsi="Arial" w:cs="Arial"/>
          <w:color w:val="000000"/>
          <w:sz w:val="20"/>
          <w:szCs w:val="20"/>
        </w:rPr>
        <w:t>SAB</w:t>
      </w:r>
      <w:r w:rsidR="0043474D" w:rsidRPr="009907DC">
        <w:rPr>
          <w:rFonts w:ascii="Arial" w:hAnsi="Arial" w:cs="Arial"/>
          <w:color w:val="000000"/>
          <w:sz w:val="20"/>
          <w:szCs w:val="20"/>
        </w:rPr>
        <w:t>,</w:t>
      </w:r>
      <w:r w:rsidRPr="009907DC">
        <w:rPr>
          <w:rFonts w:ascii="Arial" w:hAnsi="Arial" w:cs="Arial"/>
          <w:color w:val="000000"/>
          <w:sz w:val="20"/>
          <w:szCs w:val="20"/>
        </w:rPr>
        <w:t xml:space="preserve"> PM</w:t>
      </w:r>
      <w:r w:rsidR="0043474D" w:rsidRPr="009907DC">
        <w:rPr>
          <w:rFonts w:ascii="Arial" w:hAnsi="Arial" w:cs="Arial"/>
          <w:color w:val="000000"/>
          <w:sz w:val="20"/>
          <w:szCs w:val="20"/>
        </w:rPr>
        <w:t>,</w:t>
      </w:r>
      <w:r w:rsidRPr="009907DC">
        <w:rPr>
          <w:rFonts w:ascii="Arial" w:hAnsi="Arial" w:cs="Arial"/>
          <w:color w:val="000000"/>
          <w:sz w:val="20"/>
          <w:szCs w:val="20"/>
        </w:rPr>
        <w:t xml:space="preserve"> </w:t>
      </w:r>
      <w:r w:rsidRPr="009907DC">
        <w:rPr>
          <w:rFonts w:ascii="Arial" w:hAnsi="Arial" w:cs="Arial"/>
          <w:color w:val="000000"/>
          <w:sz w:val="20"/>
          <w:szCs w:val="20"/>
          <w:shd w:val="clear" w:color="auto" w:fill="FFFFFF"/>
        </w:rPr>
        <w:t>1/1/237</w:t>
      </w:r>
      <w:r w:rsidR="0043474D" w:rsidRPr="009907DC">
        <w:rPr>
          <w:rFonts w:ascii="Arial" w:hAnsi="Arial" w:cs="Arial"/>
          <w:color w:val="000000"/>
          <w:sz w:val="20"/>
          <w:szCs w:val="20"/>
          <w:shd w:val="clear" w:color="auto" w:fill="FFFFFF"/>
        </w:rPr>
        <w:t>,</w:t>
      </w:r>
      <w:r w:rsidRPr="009907DC">
        <w:rPr>
          <w:rFonts w:ascii="Arial" w:hAnsi="Arial" w:cs="Arial"/>
          <w:color w:val="000000"/>
          <w:sz w:val="20"/>
          <w:szCs w:val="20"/>
          <w:shd w:val="clear" w:color="auto" w:fill="FFFFFF"/>
        </w:rPr>
        <w:t xml:space="preserve"> PM110/2/1913</w:t>
      </w:r>
      <w:r w:rsidR="0043474D" w:rsidRPr="009907DC">
        <w:rPr>
          <w:rFonts w:ascii="Arial" w:hAnsi="Arial" w:cs="Arial"/>
          <w:color w:val="000000"/>
          <w:sz w:val="20"/>
          <w:szCs w:val="20"/>
          <w:shd w:val="clear" w:color="auto" w:fill="FFFFFF"/>
        </w:rPr>
        <w:t xml:space="preserve">, Immigration: Jewish Board of Deputies; </w:t>
      </w:r>
      <w:r w:rsidRPr="009907DC">
        <w:rPr>
          <w:rFonts w:ascii="Arial" w:hAnsi="Arial" w:cs="Arial"/>
          <w:color w:val="000000"/>
          <w:sz w:val="20"/>
          <w:szCs w:val="20"/>
          <w:shd w:val="clear" w:color="auto" w:fill="FFFFFF"/>
        </w:rPr>
        <w:t xml:space="preserve"> </w:t>
      </w:r>
      <w:r w:rsidRPr="009907DC">
        <w:rPr>
          <w:rFonts w:ascii="Arial" w:hAnsi="Arial" w:cs="Arial"/>
          <w:color w:val="000000"/>
          <w:sz w:val="20"/>
          <w:szCs w:val="20"/>
        </w:rPr>
        <w:t>SAB</w:t>
      </w:r>
      <w:r w:rsidR="005B638D" w:rsidRPr="009907DC">
        <w:rPr>
          <w:rFonts w:ascii="Arial" w:hAnsi="Arial" w:cs="Arial"/>
          <w:color w:val="000000"/>
          <w:sz w:val="20"/>
          <w:szCs w:val="20"/>
        </w:rPr>
        <w:t>,</w:t>
      </w:r>
      <w:r w:rsidRPr="009907DC">
        <w:rPr>
          <w:rFonts w:ascii="Arial" w:hAnsi="Arial" w:cs="Arial"/>
          <w:color w:val="000000"/>
          <w:sz w:val="20"/>
          <w:szCs w:val="20"/>
        </w:rPr>
        <w:t xml:space="preserve"> GG</w:t>
      </w:r>
      <w:r w:rsidR="005B638D" w:rsidRPr="009907DC">
        <w:rPr>
          <w:rFonts w:ascii="Arial" w:hAnsi="Arial" w:cs="Arial"/>
          <w:color w:val="000000"/>
          <w:sz w:val="20"/>
          <w:szCs w:val="20"/>
        </w:rPr>
        <w:t>,</w:t>
      </w:r>
      <w:r w:rsidRPr="009907DC">
        <w:rPr>
          <w:rFonts w:ascii="Arial" w:hAnsi="Arial" w:cs="Arial"/>
          <w:color w:val="000000"/>
          <w:sz w:val="20"/>
          <w:szCs w:val="20"/>
        </w:rPr>
        <w:t xml:space="preserve"> 170</w:t>
      </w:r>
      <w:r w:rsidR="005B638D" w:rsidRPr="009907DC">
        <w:rPr>
          <w:rFonts w:ascii="Arial" w:hAnsi="Arial" w:cs="Arial"/>
          <w:color w:val="000000"/>
          <w:sz w:val="20"/>
          <w:szCs w:val="20"/>
        </w:rPr>
        <w:t>,</w:t>
      </w:r>
      <w:r w:rsidRPr="009907DC">
        <w:rPr>
          <w:rFonts w:ascii="Arial" w:hAnsi="Arial" w:cs="Arial"/>
          <w:color w:val="000000"/>
          <w:sz w:val="20"/>
          <w:szCs w:val="20"/>
        </w:rPr>
        <w:t xml:space="preserve"> </w:t>
      </w:r>
      <w:r w:rsidRPr="009907DC">
        <w:rPr>
          <w:rFonts w:ascii="Arial" w:hAnsi="Arial" w:cs="Arial"/>
          <w:color w:val="000000"/>
          <w:sz w:val="20"/>
          <w:szCs w:val="20"/>
          <w:shd w:val="clear" w:color="auto" w:fill="FFFFFF"/>
        </w:rPr>
        <w:t>3/3360</w:t>
      </w:r>
      <w:r w:rsidR="005B638D" w:rsidRPr="009907DC">
        <w:rPr>
          <w:rFonts w:ascii="Arial" w:hAnsi="Arial" w:cs="Arial"/>
          <w:color w:val="000000"/>
          <w:sz w:val="20"/>
          <w:szCs w:val="20"/>
          <w:shd w:val="clear" w:color="auto" w:fill="FFFFFF"/>
        </w:rPr>
        <w:t xml:space="preserve">, Defines SA Jewish Board of Deputies, Stating Objects, Forwards Report from 14 April – 31 March 1919; </w:t>
      </w:r>
      <w:r w:rsidRPr="009907DC">
        <w:rPr>
          <w:rFonts w:ascii="Arial" w:hAnsi="Arial" w:cs="Arial"/>
          <w:color w:val="000000"/>
          <w:sz w:val="20"/>
          <w:szCs w:val="20"/>
        </w:rPr>
        <w:t>SAB</w:t>
      </w:r>
      <w:r w:rsidR="005B638D" w:rsidRPr="009907DC">
        <w:rPr>
          <w:rFonts w:ascii="Arial" w:hAnsi="Arial" w:cs="Arial"/>
          <w:color w:val="000000"/>
          <w:sz w:val="20"/>
          <w:szCs w:val="20"/>
        </w:rPr>
        <w:t>,</w:t>
      </w:r>
      <w:r w:rsidRPr="009907DC">
        <w:rPr>
          <w:rFonts w:ascii="Arial" w:hAnsi="Arial" w:cs="Arial"/>
          <w:color w:val="000000"/>
          <w:sz w:val="20"/>
          <w:szCs w:val="20"/>
        </w:rPr>
        <w:t xml:space="preserve"> GG</w:t>
      </w:r>
      <w:r w:rsidR="005B638D" w:rsidRPr="009907DC">
        <w:rPr>
          <w:rFonts w:ascii="Arial" w:hAnsi="Arial" w:cs="Arial"/>
          <w:color w:val="000000"/>
          <w:sz w:val="20"/>
          <w:szCs w:val="20"/>
        </w:rPr>
        <w:t>,</w:t>
      </w:r>
      <w:r w:rsidRPr="009907DC">
        <w:rPr>
          <w:rFonts w:ascii="Arial" w:hAnsi="Arial" w:cs="Arial"/>
          <w:color w:val="000000"/>
          <w:sz w:val="20"/>
          <w:szCs w:val="20"/>
        </w:rPr>
        <w:t xml:space="preserve"> 960 </w:t>
      </w:r>
      <w:r w:rsidRPr="009907DC">
        <w:rPr>
          <w:rFonts w:ascii="Arial" w:hAnsi="Arial" w:cs="Arial"/>
          <w:color w:val="000000"/>
          <w:sz w:val="20"/>
          <w:szCs w:val="20"/>
          <w:shd w:val="clear" w:color="auto" w:fill="FFFFFF"/>
        </w:rPr>
        <w:t>19/417</w:t>
      </w:r>
      <w:r w:rsidR="005B638D" w:rsidRPr="009907DC">
        <w:rPr>
          <w:rFonts w:ascii="Arial" w:hAnsi="Arial" w:cs="Arial"/>
          <w:color w:val="000000"/>
          <w:sz w:val="20"/>
          <w:szCs w:val="20"/>
          <w:shd w:val="clear" w:color="auto" w:fill="FFFFFF"/>
        </w:rPr>
        <w:t xml:space="preserve">, Governor-General: </w:t>
      </w:r>
      <w:r w:rsidR="0055470C" w:rsidRPr="009907DC">
        <w:rPr>
          <w:rFonts w:ascii="Arial" w:hAnsi="Arial" w:cs="Arial"/>
          <w:color w:val="000000"/>
          <w:sz w:val="20"/>
          <w:szCs w:val="20"/>
          <w:shd w:val="clear" w:color="auto" w:fill="FFFFFF"/>
        </w:rPr>
        <w:t>Resolution of Loyalty Passed by South African Hewish Board of Deputies (1920)</w:t>
      </w:r>
      <w:r w:rsidR="004B0E7E" w:rsidRPr="009907DC">
        <w:rPr>
          <w:rFonts w:ascii="Arial" w:hAnsi="Arial" w:cs="Arial"/>
          <w:color w:val="000000"/>
          <w:sz w:val="20"/>
          <w:szCs w:val="20"/>
          <w:shd w:val="clear" w:color="auto" w:fill="FFFFFF"/>
        </w:rPr>
        <w:t>.</w:t>
      </w:r>
    </w:p>
  </w:endnote>
  <w:endnote w:id="55">
    <w:p w14:paraId="0000008E" w14:textId="51067B9A" w:rsidR="00AE7548" w:rsidRPr="003D07A0" w:rsidRDefault="00AE7548">
      <w:pPr>
        <w:rPr>
          <w:rFonts w:ascii="Arial" w:eastAsia="Calibri" w:hAnsi="Arial" w:cs="Arial"/>
          <w:sz w:val="20"/>
          <w:szCs w:val="20"/>
        </w:rPr>
      </w:pPr>
      <w:r w:rsidRPr="003D07A0">
        <w:rPr>
          <w:rFonts w:ascii="Arial" w:hAnsi="Arial" w:cs="Arial"/>
          <w:sz w:val="20"/>
          <w:szCs w:val="20"/>
          <w:vertAlign w:val="superscript"/>
        </w:rPr>
        <w:endnoteRef/>
      </w:r>
      <w:r w:rsidRPr="003D07A0">
        <w:rPr>
          <w:rFonts w:ascii="Arial" w:eastAsia="Calibri" w:hAnsi="Arial" w:cs="Arial"/>
          <w:sz w:val="20"/>
          <w:szCs w:val="20"/>
        </w:rPr>
        <w:t xml:space="preserve"> See </w:t>
      </w:r>
      <w:r w:rsidRPr="003D07A0">
        <w:rPr>
          <w:rFonts w:ascii="Arial" w:eastAsia="Calibri" w:hAnsi="Arial" w:cs="Arial"/>
          <w:i/>
          <w:sz w:val="20"/>
          <w:szCs w:val="20"/>
        </w:rPr>
        <w:t xml:space="preserve">Indian Opinion </w:t>
      </w:r>
      <w:r w:rsidRPr="003D07A0">
        <w:rPr>
          <w:rFonts w:ascii="Arial" w:eastAsia="Calibri" w:hAnsi="Arial" w:cs="Arial"/>
          <w:sz w:val="20"/>
          <w:szCs w:val="20"/>
        </w:rPr>
        <w:t xml:space="preserve">throughout the early 1900s; </w:t>
      </w:r>
      <w:proofErr w:type="spellStart"/>
      <w:r w:rsidRPr="003D07A0">
        <w:rPr>
          <w:rFonts w:ascii="Arial" w:eastAsia="Calibri" w:hAnsi="Arial" w:cs="Arial"/>
          <w:sz w:val="20"/>
          <w:szCs w:val="20"/>
        </w:rPr>
        <w:t>Saron</w:t>
      </w:r>
      <w:proofErr w:type="spellEnd"/>
      <w:r w:rsidRPr="003D07A0">
        <w:rPr>
          <w:rFonts w:ascii="Arial" w:eastAsia="Calibri" w:hAnsi="Arial" w:cs="Arial"/>
          <w:sz w:val="20"/>
          <w:szCs w:val="20"/>
        </w:rPr>
        <w:t>, ‘Jewish Immigration</w:t>
      </w:r>
      <w:r>
        <w:rPr>
          <w:rFonts w:ascii="Arial" w:eastAsia="Calibri" w:hAnsi="Arial" w:cs="Arial"/>
          <w:sz w:val="20"/>
          <w:szCs w:val="20"/>
        </w:rPr>
        <w:t>’, p.</w:t>
      </w:r>
      <w:r w:rsidRPr="003D07A0">
        <w:rPr>
          <w:rFonts w:ascii="Arial" w:eastAsia="Calibri" w:hAnsi="Arial" w:cs="Arial"/>
          <w:sz w:val="20"/>
          <w:szCs w:val="20"/>
        </w:rPr>
        <w:t xml:space="preserve">104; Mendelsohn and </w:t>
      </w:r>
      <w:proofErr w:type="spellStart"/>
      <w:r w:rsidRPr="003D07A0">
        <w:rPr>
          <w:rFonts w:ascii="Arial" w:eastAsia="Calibri" w:hAnsi="Arial" w:cs="Arial"/>
          <w:sz w:val="20"/>
          <w:szCs w:val="20"/>
        </w:rPr>
        <w:t>Shain</w:t>
      </w:r>
      <w:proofErr w:type="spellEnd"/>
      <w:r w:rsidRPr="003D07A0">
        <w:rPr>
          <w:rFonts w:ascii="Arial" w:eastAsia="Calibri" w:hAnsi="Arial" w:cs="Arial"/>
          <w:sz w:val="20"/>
          <w:szCs w:val="20"/>
        </w:rPr>
        <w:t xml:space="preserve">, </w:t>
      </w:r>
      <w:r w:rsidRPr="003D07A0">
        <w:rPr>
          <w:rFonts w:ascii="Arial" w:eastAsia="Calibri" w:hAnsi="Arial" w:cs="Arial"/>
          <w:i/>
          <w:sz w:val="20"/>
          <w:szCs w:val="20"/>
        </w:rPr>
        <w:t>The Jews in South Africa</w:t>
      </w:r>
      <w:r>
        <w:rPr>
          <w:rFonts w:ascii="Arial" w:eastAsia="Calibri" w:hAnsi="Arial" w:cs="Arial"/>
          <w:i/>
          <w:sz w:val="20"/>
          <w:szCs w:val="20"/>
        </w:rPr>
        <w:t xml:space="preserve">, </w:t>
      </w:r>
      <w:r w:rsidRPr="003D07A0">
        <w:rPr>
          <w:rFonts w:ascii="Arial" w:eastAsia="Calibri" w:hAnsi="Arial" w:cs="Arial"/>
          <w:sz w:val="20"/>
          <w:szCs w:val="20"/>
        </w:rPr>
        <w:t>p.44.</w:t>
      </w:r>
    </w:p>
  </w:endnote>
  <w:endnote w:id="56">
    <w:p w14:paraId="0000008F" w14:textId="7C1FD097" w:rsidR="00AE7548" w:rsidRPr="003D07A0" w:rsidRDefault="00AE7548">
      <w:pPr>
        <w:rPr>
          <w:rFonts w:ascii="Arial" w:eastAsia="Calibri" w:hAnsi="Arial" w:cs="Arial"/>
          <w:sz w:val="20"/>
          <w:szCs w:val="20"/>
        </w:rPr>
      </w:pPr>
      <w:r w:rsidRPr="003D07A0">
        <w:rPr>
          <w:rFonts w:ascii="Arial" w:hAnsi="Arial" w:cs="Arial"/>
          <w:sz w:val="20"/>
          <w:szCs w:val="20"/>
          <w:vertAlign w:val="superscript"/>
        </w:rPr>
        <w:endnoteRef/>
      </w:r>
      <w:r w:rsidRPr="003D07A0">
        <w:rPr>
          <w:rFonts w:ascii="Arial" w:hAnsi="Arial" w:cs="Arial"/>
          <w:sz w:val="20"/>
          <w:szCs w:val="20"/>
        </w:rPr>
        <w:t xml:space="preserve"> </w:t>
      </w:r>
      <w:r w:rsidRPr="003D07A0">
        <w:rPr>
          <w:rFonts w:ascii="Arial" w:eastAsia="Calibri" w:hAnsi="Arial" w:cs="Arial"/>
          <w:sz w:val="20"/>
          <w:szCs w:val="20"/>
        </w:rPr>
        <w:t xml:space="preserve">Alexander, </w:t>
      </w:r>
      <w:r w:rsidRPr="003D07A0">
        <w:rPr>
          <w:rFonts w:ascii="Arial" w:eastAsia="Calibri" w:hAnsi="Arial" w:cs="Arial"/>
          <w:i/>
          <w:sz w:val="20"/>
          <w:szCs w:val="20"/>
        </w:rPr>
        <w:t xml:space="preserve">Morris Alexander, </w:t>
      </w:r>
      <w:r w:rsidRPr="003D07A0">
        <w:rPr>
          <w:rFonts w:ascii="Arial" w:eastAsia="Calibri" w:hAnsi="Arial" w:cs="Arial"/>
          <w:sz w:val="20"/>
          <w:szCs w:val="20"/>
        </w:rPr>
        <w:t>p.31.</w:t>
      </w:r>
    </w:p>
  </w:endnote>
  <w:endnote w:id="57">
    <w:p w14:paraId="00000090" w14:textId="3CB4F4F0" w:rsidR="00AE7548" w:rsidRPr="003D07A0" w:rsidRDefault="00AE7548">
      <w:pPr>
        <w:rPr>
          <w:rFonts w:ascii="Arial" w:eastAsia="Calibri" w:hAnsi="Arial" w:cs="Arial"/>
          <w:sz w:val="20"/>
          <w:szCs w:val="20"/>
        </w:rPr>
      </w:pPr>
      <w:r w:rsidRPr="003D07A0">
        <w:rPr>
          <w:rFonts w:ascii="Arial" w:hAnsi="Arial" w:cs="Arial"/>
          <w:sz w:val="20"/>
          <w:szCs w:val="20"/>
          <w:vertAlign w:val="superscript"/>
        </w:rPr>
        <w:endnoteRef/>
      </w:r>
      <w:r w:rsidRPr="003D07A0">
        <w:rPr>
          <w:rFonts w:ascii="Arial" w:eastAsia="Calibri" w:hAnsi="Arial" w:cs="Arial"/>
          <w:sz w:val="20"/>
          <w:szCs w:val="20"/>
        </w:rPr>
        <w:t xml:space="preserve"> Alexander, </w:t>
      </w:r>
      <w:r w:rsidRPr="003D07A0">
        <w:rPr>
          <w:rFonts w:ascii="Arial" w:eastAsia="Calibri" w:hAnsi="Arial" w:cs="Arial"/>
          <w:i/>
          <w:sz w:val="20"/>
          <w:szCs w:val="20"/>
        </w:rPr>
        <w:t xml:space="preserve">Morris Alexander, </w:t>
      </w:r>
      <w:r w:rsidRPr="003D07A0">
        <w:rPr>
          <w:rFonts w:ascii="Arial" w:eastAsia="Calibri" w:hAnsi="Arial" w:cs="Arial"/>
          <w:sz w:val="20"/>
          <w:szCs w:val="20"/>
        </w:rPr>
        <w:t xml:space="preserve">p.32; The South African Jewish Board of Deputies Report, 1912-14, quoted in </w:t>
      </w:r>
      <w:proofErr w:type="spellStart"/>
      <w:r w:rsidRPr="003D07A0">
        <w:rPr>
          <w:rFonts w:ascii="Arial" w:eastAsia="Calibri" w:hAnsi="Arial" w:cs="Arial"/>
          <w:sz w:val="20"/>
          <w:szCs w:val="20"/>
        </w:rPr>
        <w:t>Saron</w:t>
      </w:r>
      <w:proofErr w:type="spellEnd"/>
      <w:r w:rsidRPr="003D07A0">
        <w:rPr>
          <w:rFonts w:ascii="Arial" w:eastAsia="Calibri" w:hAnsi="Arial" w:cs="Arial"/>
          <w:sz w:val="20"/>
          <w:szCs w:val="20"/>
        </w:rPr>
        <w:t>, 'Jewish Immigration</w:t>
      </w:r>
      <w:r>
        <w:rPr>
          <w:rFonts w:ascii="Arial" w:eastAsia="Calibri" w:hAnsi="Arial" w:cs="Arial"/>
          <w:sz w:val="20"/>
          <w:szCs w:val="20"/>
        </w:rPr>
        <w:t>’,</w:t>
      </w:r>
      <w:r w:rsidRPr="003D07A0">
        <w:rPr>
          <w:rFonts w:ascii="Arial" w:eastAsia="Calibri" w:hAnsi="Arial" w:cs="Arial"/>
          <w:sz w:val="20"/>
          <w:szCs w:val="20"/>
        </w:rPr>
        <w:t xml:space="preserve"> p.104; Mendelsohn and </w:t>
      </w:r>
      <w:proofErr w:type="spellStart"/>
      <w:r w:rsidRPr="003D07A0">
        <w:rPr>
          <w:rFonts w:ascii="Arial" w:eastAsia="Calibri" w:hAnsi="Arial" w:cs="Arial"/>
          <w:sz w:val="20"/>
          <w:szCs w:val="20"/>
        </w:rPr>
        <w:t>Shain</w:t>
      </w:r>
      <w:proofErr w:type="spellEnd"/>
      <w:r w:rsidRPr="003D07A0">
        <w:rPr>
          <w:rFonts w:ascii="Arial" w:eastAsia="Calibri" w:hAnsi="Arial" w:cs="Arial"/>
          <w:sz w:val="20"/>
          <w:szCs w:val="20"/>
        </w:rPr>
        <w:t xml:space="preserve">, </w:t>
      </w:r>
      <w:r w:rsidRPr="003D07A0">
        <w:rPr>
          <w:rFonts w:ascii="Arial" w:eastAsia="Calibri" w:hAnsi="Arial" w:cs="Arial"/>
          <w:i/>
          <w:sz w:val="20"/>
          <w:szCs w:val="20"/>
        </w:rPr>
        <w:t>The Jews in South Africa</w:t>
      </w:r>
      <w:r>
        <w:rPr>
          <w:rFonts w:ascii="Arial" w:eastAsia="Calibri" w:hAnsi="Arial" w:cs="Arial"/>
          <w:i/>
          <w:sz w:val="20"/>
          <w:szCs w:val="20"/>
        </w:rPr>
        <w:t xml:space="preserve">, </w:t>
      </w:r>
      <w:r w:rsidRPr="003D07A0">
        <w:rPr>
          <w:rFonts w:ascii="Arial" w:eastAsia="Calibri" w:hAnsi="Arial" w:cs="Arial"/>
          <w:sz w:val="20"/>
          <w:szCs w:val="20"/>
        </w:rPr>
        <w:t>p.60.</w:t>
      </w:r>
    </w:p>
  </w:endnote>
  <w:endnote w:id="58">
    <w:p w14:paraId="62B1E9F2" w14:textId="77777777" w:rsidR="00AE7548" w:rsidRPr="003D07A0" w:rsidRDefault="00AE7548" w:rsidP="00157F7C">
      <w:pPr>
        <w:rPr>
          <w:rFonts w:ascii="Arial" w:eastAsia="Calibri" w:hAnsi="Arial" w:cs="Arial"/>
          <w:sz w:val="20"/>
          <w:szCs w:val="20"/>
        </w:rPr>
      </w:pPr>
      <w:r w:rsidRPr="003D07A0">
        <w:rPr>
          <w:rFonts w:ascii="Arial" w:hAnsi="Arial" w:cs="Arial"/>
          <w:sz w:val="20"/>
          <w:szCs w:val="20"/>
          <w:vertAlign w:val="superscript"/>
        </w:rPr>
        <w:endnoteRef/>
      </w:r>
      <w:r w:rsidRPr="003D07A0">
        <w:rPr>
          <w:rFonts w:ascii="Arial" w:hAnsi="Arial" w:cs="Arial"/>
          <w:sz w:val="20"/>
          <w:szCs w:val="20"/>
        </w:rPr>
        <w:t xml:space="preserve"> </w:t>
      </w:r>
      <w:r w:rsidRPr="003D07A0">
        <w:rPr>
          <w:rFonts w:ascii="Arial" w:eastAsia="Calibri" w:hAnsi="Arial" w:cs="Arial"/>
          <w:sz w:val="20"/>
          <w:szCs w:val="20"/>
        </w:rPr>
        <w:t xml:space="preserve">Mendelsohn and </w:t>
      </w:r>
      <w:proofErr w:type="spellStart"/>
      <w:r w:rsidRPr="003D07A0">
        <w:rPr>
          <w:rFonts w:ascii="Arial" w:eastAsia="Calibri" w:hAnsi="Arial" w:cs="Arial"/>
          <w:sz w:val="20"/>
          <w:szCs w:val="20"/>
        </w:rPr>
        <w:t>Shain</w:t>
      </w:r>
      <w:proofErr w:type="spellEnd"/>
      <w:r w:rsidRPr="003D07A0">
        <w:rPr>
          <w:rFonts w:ascii="Arial" w:eastAsia="Calibri" w:hAnsi="Arial" w:cs="Arial"/>
          <w:sz w:val="20"/>
          <w:szCs w:val="20"/>
        </w:rPr>
        <w:t xml:space="preserve">, </w:t>
      </w:r>
      <w:r w:rsidRPr="003D07A0">
        <w:rPr>
          <w:rFonts w:ascii="Arial" w:eastAsia="Calibri" w:hAnsi="Arial" w:cs="Arial"/>
          <w:i/>
          <w:sz w:val="20"/>
          <w:szCs w:val="20"/>
        </w:rPr>
        <w:t>The Jews in South Africa</w:t>
      </w:r>
      <w:r>
        <w:rPr>
          <w:rFonts w:ascii="Arial" w:eastAsia="Calibri" w:hAnsi="Arial" w:cs="Arial"/>
          <w:i/>
          <w:sz w:val="20"/>
          <w:szCs w:val="20"/>
        </w:rPr>
        <w:t xml:space="preserve">, </w:t>
      </w:r>
      <w:r w:rsidRPr="003D07A0">
        <w:rPr>
          <w:rFonts w:ascii="Arial" w:eastAsia="Calibri" w:hAnsi="Arial" w:cs="Arial"/>
          <w:sz w:val="20"/>
          <w:szCs w:val="20"/>
        </w:rPr>
        <w:t>p.65.</w:t>
      </w:r>
    </w:p>
  </w:endnote>
  <w:endnote w:id="59">
    <w:p w14:paraId="0000009C" w14:textId="0184CD7F" w:rsidR="00AE7548" w:rsidRPr="003D07A0" w:rsidRDefault="00AE7548">
      <w:pPr>
        <w:rPr>
          <w:rFonts w:ascii="Arial" w:eastAsia="Calibri" w:hAnsi="Arial" w:cs="Arial"/>
          <w:sz w:val="20"/>
          <w:szCs w:val="20"/>
        </w:rPr>
      </w:pPr>
      <w:r w:rsidRPr="003D07A0">
        <w:rPr>
          <w:rFonts w:ascii="Arial" w:hAnsi="Arial" w:cs="Arial"/>
          <w:sz w:val="20"/>
          <w:szCs w:val="20"/>
          <w:vertAlign w:val="superscript"/>
        </w:rPr>
        <w:endnoteRef/>
      </w:r>
      <w:r w:rsidRPr="003D07A0">
        <w:rPr>
          <w:rFonts w:ascii="Arial" w:hAnsi="Arial" w:cs="Arial"/>
          <w:sz w:val="20"/>
          <w:szCs w:val="20"/>
        </w:rPr>
        <w:t xml:space="preserve"> </w:t>
      </w:r>
      <w:r w:rsidRPr="003D07A0">
        <w:rPr>
          <w:rFonts w:ascii="Arial" w:eastAsia="Calibri" w:hAnsi="Arial" w:cs="Arial"/>
          <w:sz w:val="20"/>
          <w:szCs w:val="20"/>
        </w:rPr>
        <w:t xml:space="preserve">Alexander, </w:t>
      </w:r>
      <w:r w:rsidRPr="003D07A0">
        <w:rPr>
          <w:rFonts w:ascii="Arial" w:eastAsia="Calibri" w:hAnsi="Arial" w:cs="Arial"/>
          <w:i/>
          <w:sz w:val="20"/>
          <w:szCs w:val="20"/>
        </w:rPr>
        <w:t xml:space="preserve">Morris Alexander, </w:t>
      </w:r>
      <w:r w:rsidRPr="003D07A0">
        <w:rPr>
          <w:rFonts w:ascii="Arial" w:eastAsia="Calibri" w:hAnsi="Arial" w:cs="Arial"/>
          <w:sz w:val="20"/>
          <w:szCs w:val="20"/>
        </w:rPr>
        <w:t>p.32.</w:t>
      </w:r>
    </w:p>
  </w:endnote>
  <w:endnote w:id="60">
    <w:p w14:paraId="00000092" w14:textId="05FDAC91" w:rsidR="00AE7548" w:rsidRPr="003D07A0" w:rsidRDefault="00AE7548">
      <w:pPr>
        <w:rPr>
          <w:rFonts w:ascii="Arial" w:eastAsia="Calibri" w:hAnsi="Arial" w:cs="Arial"/>
          <w:sz w:val="20"/>
          <w:szCs w:val="20"/>
        </w:rPr>
      </w:pPr>
      <w:r w:rsidRPr="003D07A0">
        <w:rPr>
          <w:rFonts w:ascii="Arial" w:hAnsi="Arial" w:cs="Arial"/>
          <w:sz w:val="20"/>
          <w:szCs w:val="20"/>
          <w:vertAlign w:val="superscript"/>
        </w:rPr>
        <w:endnoteRef/>
      </w:r>
      <w:r w:rsidRPr="003D07A0">
        <w:rPr>
          <w:rFonts w:ascii="Arial" w:eastAsia="Calibri" w:hAnsi="Arial" w:cs="Arial"/>
          <w:sz w:val="20"/>
          <w:szCs w:val="20"/>
        </w:rPr>
        <w:t xml:space="preserve"> National Archives of Australia (NAA): A1, 1903/2284, Nature of work carried on by External Affairs Department, report by Secretary, Atlee Hunt, 23 April 1903.</w:t>
      </w:r>
    </w:p>
  </w:endnote>
  <w:endnote w:id="61">
    <w:p w14:paraId="00000089" w14:textId="56CC0673" w:rsidR="00AE7548" w:rsidRPr="00C5737E" w:rsidRDefault="00AE7548">
      <w:pPr>
        <w:rPr>
          <w:rFonts w:ascii="Arial" w:eastAsia="Calibri" w:hAnsi="Arial" w:cs="Arial"/>
          <w:color w:val="000000" w:themeColor="text1"/>
          <w:sz w:val="20"/>
          <w:szCs w:val="20"/>
        </w:rPr>
      </w:pPr>
      <w:r w:rsidRPr="003D07A0">
        <w:rPr>
          <w:rFonts w:ascii="Arial" w:hAnsi="Arial" w:cs="Arial"/>
          <w:sz w:val="20"/>
          <w:szCs w:val="20"/>
          <w:vertAlign w:val="superscript"/>
        </w:rPr>
        <w:endnoteRef/>
      </w:r>
      <w:r w:rsidRPr="003D07A0">
        <w:rPr>
          <w:rFonts w:ascii="Arial" w:eastAsia="Calibri" w:hAnsi="Arial" w:cs="Arial"/>
          <w:sz w:val="20"/>
          <w:szCs w:val="20"/>
        </w:rPr>
        <w:t xml:space="preserve"> NAA: J3116, 14, Alien Immigration – correspondence relating to arrival of SS Duke of Argyll, 25 January 1902 and an inquiry from a Customs Officer as to whether the Education Test is to apply to Europeans [White Aliens]. See also Atlee Hunt Papers, National Library of Australia, Series 14</w:t>
      </w:r>
      <w:r>
        <w:rPr>
          <w:rFonts w:ascii="Arial" w:eastAsia="Calibri" w:hAnsi="Arial" w:cs="Arial"/>
          <w:sz w:val="20"/>
          <w:szCs w:val="20"/>
        </w:rPr>
        <w:t xml:space="preserve">, </w:t>
      </w:r>
      <w:r w:rsidRPr="003D07A0">
        <w:rPr>
          <w:rFonts w:ascii="Arial" w:eastAsia="Calibri" w:hAnsi="Arial" w:cs="Arial"/>
          <w:sz w:val="20"/>
          <w:szCs w:val="20"/>
        </w:rPr>
        <w:t xml:space="preserve">MS </w:t>
      </w:r>
      <w:r w:rsidRPr="00C5737E">
        <w:rPr>
          <w:rFonts w:ascii="Arial" w:eastAsia="Calibri" w:hAnsi="Arial" w:cs="Arial"/>
          <w:color w:val="000000" w:themeColor="text1"/>
          <w:sz w:val="20"/>
          <w:szCs w:val="20"/>
        </w:rPr>
        <w:t>52/822, Hunt to Collins, 1 May 1912; MS 52/840, Collins to Hunt, 22 August 1912; MS 52/14/846.</w:t>
      </w:r>
    </w:p>
  </w:endnote>
  <w:endnote w:id="62">
    <w:p w14:paraId="0000008A" w14:textId="3CB6F383" w:rsidR="00AE7548" w:rsidRPr="00C5737E" w:rsidRDefault="00AE7548">
      <w:pPr>
        <w:rPr>
          <w:rFonts w:ascii="Arial" w:eastAsia="Calibri" w:hAnsi="Arial" w:cs="Arial"/>
          <w:color w:val="000000" w:themeColor="text1"/>
          <w:sz w:val="20"/>
          <w:szCs w:val="20"/>
        </w:rPr>
      </w:pPr>
      <w:r w:rsidRPr="00C5737E">
        <w:rPr>
          <w:rFonts w:ascii="Arial" w:hAnsi="Arial" w:cs="Arial"/>
          <w:color w:val="000000" w:themeColor="text1"/>
          <w:sz w:val="20"/>
          <w:szCs w:val="20"/>
          <w:vertAlign w:val="superscript"/>
        </w:rPr>
        <w:endnoteRef/>
      </w:r>
      <w:r w:rsidRPr="00C5737E">
        <w:rPr>
          <w:rFonts w:ascii="Arial" w:hAnsi="Arial" w:cs="Arial"/>
          <w:color w:val="000000" w:themeColor="text1"/>
          <w:sz w:val="20"/>
          <w:szCs w:val="20"/>
        </w:rPr>
        <w:t xml:space="preserve"> </w:t>
      </w:r>
      <w:r w:rsidRPr="00C5737E">
        <w:rPr>
          <w:rFonts w:ascii="Arial" w:eastAsia="Calibri" w:hAnsi="Arial" w:cs="Arial"/>
          <w:color w:val="000000" w:themeColor="text1"/>
          <w:sz w:val="20"/>
          <w:szCs w:val="20"/>
        </w:rPr>
        <w:t xml:space="preserve">Atlee Hunt Papers, MS 52/1313, Hunt to F. W. </w:t>
      </w:r>
      <w:proofErr w:type="spellStart"/>
      <w:r w:rsidRPr="00C5737E">
        <w:rPr>
          <w:rFonts w:ascii="Arial" w:eastAsia="Calibri" w:hAnsi="Arial" w:cs="Arial"/>
          <w:color w:val="000000" w:themeColor="text1"/>
          <w:sz w:val="20"/>
          <w:szCs w:val="20"/>
        </w:rPr>
        <w:t>Foxall</w:t>
      </w:r>
      <w:proofErr w:type="spellEnd"/>
      <w:r w:rsidRPr="00C5737E">
        <w:rPr>
          <w:rFonts w:ascii="Arial" w:eastAsia="Calibri" w:hAnsi="Arial" w:cs="Arial"/>
          <w:color w:val="000000" w:themeColor="text1"/>
          <w:sz w:val="20"/>
          <w:szCs w:val="20"/>
        </w:rPr>
        <w:t xml:space="preserve"> </w:t>
      </w:r>
      <w:proofErr w:type="spellStart"/>
      <w:r w:rsidRPr="00C5737E">
        <w:rPr>
          <w:rFonts w:ascii="Arial" w:eastAsia="Calibri" w:hAnsi="Arial" w:cs="Arial"/>
          <w:color w:val="000000" w:themeColor="text1"/>
          <w:sz w:val="20"/>
          <w:szCs w:val="20"/>
        </w:rPr>
        <w:t>Esq.</w:t>
      </w:r>
      <w:proofErr w:type="spellEnd"/>
      <w:r w:rsidRPr="00C5737E">
        <w:rPr>
          <w:rFonts w:ascii="Arial" w:eastAsia="Calibri" w:hAnsi="Arial" w:cs="Arial"/>
          <w:color w:val="000000" w:themeColor="text1"/>
          <w:sz w:val="20"/>
          <w:szCs w:val="20"/>
        </w:rPr>
        <w:t>, Japanese Consulate General, Sydney, 8 December 1908.</w:t>
      </w:r>
    </w:p>
  </w:endnote>
  <w:endnote w:id="63">
    <w:p w14:paraId="0000009E" w14:textId="3AF9C8BF" w:rsidR="00AE7548" w:rsidRPr="003D07A0" w:rsidRDefault="00AE7548">
      <w:pPr>
        <w:rPr>
          <w:rFonts w:ascii="Arial" w:eastAsia="Calibri" w:hAnsi="Arial" w:cs="Arial"/>
          <w:sz w:val="20"/>
          <w:szCs w:val="20"/>
        </w:rPr>
      </w:pPr>
      <w:r w:rsidRPr="00C5737E">
        <w:rPr>
          <w:rFonts w:ascii="Arial" w:hAnsi="Arial" w:cs="Arial"/>
          <w:color w:val="000000" w:themeColor="text1"/>
          <w:sz w:val="20"/>
          <w:szCs w:val="20"/>
          <w:vertAlign w:val="superscript"/>
        </w:rPr>
        <w:endnoteRef/>
      </w:r>
      <w:r w:rsidRPr="00C5737E">
        <w:rPr>
          <w:rFonts w:ascii="Arial" w:eastAsia="Calibri" w:hAnsi="Arial" w:cs="Arial"/>
          <w:color w:val="000000" w:themeColor="text1"/>
          <w:sz w:val="20"/>
          <w:szCs w:val="20"/>
        </w:rPr>
        <w:t xml:space="preserve"> </w:t>
      </w:r>
      <w:r w:rsidRPr="003D07A0">
        <w:rPr>
          <w:rFonts w:ascii="Arial" w:eastAsia="Calibri" w:hAnsi="Arial" w:cs="Arial"/>
          <w:sz w:val="20"/>
          <w:szCs w:val="20"/>
        </w:rPr>
        <w:t xml:space="preserve">Atlee Hunt Papers, </w:t>
      </w:r>
      <w:r w:rsidRPr="00C5737E">
        <w:rPr>
          <w:rFonts w:ascii="Arial" w:eastAsia="Calibri" w:hAnsi="Arial" w:cs="Arial"/>
          <w:color w:val="000000" w:themeColor="text1"/>
          <w:sz w:val="20"/>
          <w:szCs w:val="20"/>
          <w:highlight w:val="white"/>
        </w:rPr>
        <w:t>MS52</w:t>
      </w:r>
      <w:r w:rsidRPr="003D07A0">
        <w:rPr>
          <w:rFonts w:ascii="Arial" w:eastAsia="Calibri" w:hAnsi="Arial" w:cs="Arial"/>
          <w:sz w:val="20"/>
          <w:szCs w:val="20"/>
          <w:highlight w:val="white"/>
        </w:rPr>
        <w:t>/1517, Hunt to Mahon, 19 January 1916.</w:t>
      </w:r>
    </w:p>
  </w:endnote>
  <w:endnote w:id="64">
    <w:p w14:paraId="0000008B" w14:textId="5A6DD98E" w:rsidR="00AE7548" w:rsidRPr="003D07A0" w:rsidRDefault="00AE7548">
      <w:pPr>
        <w:rPr>
          <w:rFonts w:ascii="Arial" w:eastAsia="Calibri" w:hAnsi="Arial" w:cs="Arial"/>
          <w:sz w:val="20"/>
          <w:szCs w:val="20"/>
        </w:rPr>
      </w:pPr>
      <w:r w:rsidRPr="003D07A0">
        <w:rPr>
          <w:rFonts w:ascii="Arial" w:hAnsi="Arial" w:cs="Arial"/>
          <w:sz w:val="20"/>
          <w:szCs w:val="20"/>
          <w:vertAlign w:val="superscript"/>
        </w:rPr>
        <w:endnoteRef/>
      </w:r>
      <w:r w:rsidRPr="003D07A0">
        <w:rPr>
          <w:rFonts w:ascii="Arial" w:hAnsi="Arial" w:cs="Arial"/>
          <w:sz w:val="20"/>
          <w:szCs w:val="20"/>
        </w:rPr>
        <w:t xml:space="preserve"> </w:t>
      </w:r>
      <w:r w:rsidRPr="003D07A0">
        <w:rPr>
          <w:rFonts w:ascii="Arial" w:eastAsia="Calibri" w:hAnsi="Arial" w:cs="Arial"/>
          <w:sz w:val="20"/>
          <w:szCs w:val="20"/>
        </w:rPr>
        <w:t xml:space="preserve">Irving, </w:t>
      </w:r>
      <w:r w:rsidRPr="003D07A0">
        <w:rPr>
          <w:rFonts w:ascii="Arial" w:eastAsia="Calibri" w:hAnsi="Arial" w:cs="Arial"/>
          <w:i/>
          <w:sz w:val="20"/>
          <w:szCs w:val="20"/>
        </w:rPr>
        <w:t>Citizenship, Alienage, and the Modern Constitutional State</w:t>
      </w:r>
      <w:r w:rsidRPr="003D07A0">
        <w:rPr>
          <w:rFonts w:ascii="Arial" w:eastAsia="Calibri" w:hAnsi="Arial" w:cs="Arial"/>
          <w:sz w:val="20"/>
          <w:szCs w:val="20"/>
        </w:rPr>
        <w:t>.</w:t>
      </w:r>
    </w:p>
  </w:endnote>
  <w:endnote w:id="65">
    <w:p w14:paraId="000000D2" w14:textId="3FDBD559" w:rsidR="00AE7548" w:rsidRPr="003D07A0" w:rsidRDefault="00AE7548">
      <w:pPr>
        <w:rPr>
          <w:rFonts w:ascii="Arial" w:eastAsia="Calibri" w:hAnsi="Arial" w:cs="Arial"/>
          <w:sz w:val="20"/>
          <w:szCs w:val="20"/>
        </w:rPr>
      </w:pPr>
      <w:r w:rsidRPr="003D07A0">
        <w:rPr>
          <w:rFonts w:ascii="Arial" w:hAnsi="Arial" w:cs="Arial"/>
          <w:sz w:val="20"/>
          <w:szCs w:val="20"/>
          <w:vertAlign w:val="superscript"/>
        </w:rPr>
        <w:endnoteRef/>
      </w:r>
      <w:r w:rsidRPr="003D07A0">
        <w:rPr>
          <w:rFonts w:ascii="Arial" w:eastAsia="Calibri" w:hAnsi="Arial" w:cs="Arial"/>
          <w:sz w:val="20"/>
          <w:szCs w:val="20"/>
        </w:rPr>
        <w:t xml:space="preserve"> A Japanese woman marrying an alien would only lose her nationality if she acquired her husband’s nationality, according to the Japanese Law of 1899. See Irving, p</w:t>
      </w:r>
      <w:r w:rsidRPr="00C5737E">
        <w:rPr>
          <w:rFonts w:ascii="Arial" w:eastAsia="Calibri" w:hAnsi="Arial" w:cs="Arial"/>
          <w:i/>
          <w:sz w:val="20"/>
          <w:szCs w:val="20"/>
        </w:rPr>
        <w:t xml:space="preserve"> </w:t>
      </w:r>
      <w:r w:rsidRPr="003D07A0">
        <w:rPr>
          <w:rFonts w:ascii="Arial" w:eastAsia="Calibri" w:hAnsi="Arial" w:cs="Arial"/>
          <w:i/>
          <w:sz w:val="20"/>
          <w:szCs w:val="20"/>
        </w:rPr>
        <w:t>Citizenship, Alienage, and the Modern Constitutional State</w:t>
      </w:r>
      <w:r>
        <w:rPr>
          <w:rFonts w:ascii="Arial" w:eastAsia="Calibri" w:hAnsi="Arial" w:cs="Arial"/>
          <w:i/>
          <w:sz w:val="20"/>
          <w:szCs w:val="20"/>
        </w:rPr>
        <w:t>,</w:t>
      </w:r>
      <w:r>
        <w:rPr>
          <w:rFonts w:ascii="Arial" w:eastAsia="Calibri" w:hAnsi="Arial" w:cs="Arial"/>
          <w:sz w:val="20"/>
          <w:szCs w:val="20"/>
        </w:rPr>
        <w:t xml:space="preserve"> p.</w:t>
      </w:r>
      <w:r w:rsidRPr="003D07A0">
        <w:rPr>
          <w:rFonts w:ascii="Arial" w:eastAsia="Calibri" w:hAnsi="Arial" w:cs="Arial"/>
          <w:sz w:val="20"/>
          <w:szCs w:val="20"/>
        </w:rPr>
        <w:t>109.</w:t>
      </w:r>
    </w:p>
  </w:endnote>
  <w:endnote w:id="66">
    <w:p w14:paraId="000000A3" w14:textId="76EE8457" w:rsidR="00AE7548" w:rsidRPr="003D07A0" w:rsidRDefault="00AE7548">
      <w:pPr>
        <w:rPr>
          <w:rFonts w:ascii="Arial" w:eastAsia="Calibri" w:hAnsi="Arial" w:cs="Arial"/>
          <w:sz w:val="20"/>
          <w:szCs w:val="20"/>
        </w:rPr>
      </w:pPr>
      <w:r w:rsidRPr="003D07A0">
        <w:rPr>
          <w:rFonts w:ascii="Arial" w:hAnsi="Arial" w:cs="Arial"/>
          <w:sz w:val="20"/>
          <w:szCs w:val="20"/>
          <w:vertAlign w:val="superscript"/>
        </w:rPr>
        <w:endnoteRef/>
      </w:r>
      <w:r w:rsidRPr="003D07A0">
        <w:rPr>
          <w:rFonts w:ascii="Arial" w:hAnsi="Arial" w:cs="Arial"/>
          <w:sz w:val="20"/>
          <w:szCs w:val="20"/>
        </w:rPr>
        <w:t xml:space="preserve"> </w:t>
      </w:r>
      <w:r w:rsidRPr="003D07A0">
        <w:rPr>
          <w:rFonts w:ascii="Arial" w:eastAsia="Calibri" w:hAnsi="Arial" w:cs="Arial"/>
          <w:sz w:val="20"/>
          <w:szCs w:val="20"/>
        </w:rPr>
        <w:t xml:space="preserve">Section 17 (1870): </w:t>
      </w:r>
      <w:proofErr w:type="gramStart"/>
      <w:r w:rsidRPr="003D07A0">
        <w:rPr>
          <w:rFonts w:ascii="Arial" w:eastAsia="Calibri" w:hAnsi="Arial" w:cs="Arial"/>
          <w:sz w:val="20"/>
          <w:szCs w:val="20"/>
        </w:rPr>
        <w:t>‘”Disability</w:t>
      </w:r>
      <w:proofErr w:type="gramEnd"/>
      <w:r w:rsidRPr="003D07A0">
        <w:rPr>
          <w:rFonts w:ascii="Arial" w:eastAsia="Calibri" w:hAnsi="Arial" w:cs="Arial"/>
          <w:sz w:val="20"/>
          <w:szCs w:val="20"/>
        </w:rPr>
        <w:t xml:space="preserve">” shall mean the status of being an infant, lunatic, idiot, or </w:t>
      </w:r>
      <w:r w:rsidRPr="00247297">
        <w:rPr>
          <w:rFonts w:ascii="Arial" w:eastAsia="Calibri" w:hAnsi="Arial" w:cs="Arial"/>
          <w:sz w:val="20"/>
          <w:szCs w:val="20"/>
        </w:rPr>
        <w:t>married woman’</w:t>
      </w:r>
      <w:r w:rsidRPr="003D07A0">
        <w:rPr>
          <w:rFonts w:ascii="Arial" w:eastAsia="Calibri" w:hAnsi="Arial" w:cs="Arial"/>
          <w:sz w:val="20"/>
          <w:szCs w:val="20"/>
        </w:rPr>
        <w:t xml:space="preserve">; Section 27 (1914): ‘The expression "disability" means the status of being a </w:t>
      </w:r>
      <w:r w:rsidRPr="00247297">
        <w:rPr>
          <w:rFonts w:ascii="Arial" w:eastAsia="Calibri" w:hAnsi="Arial" w:cs="Arial"/>
          <w:sz w:val="20"/>
          <w:szCs w:val="20"/>
        </w:rPr>
        <w:t>married woman</w:t>
      </w:r>
      <w:r w:rsidRPr="003D07A0">
        <w:rPr>
          <w:rFonts w:ascii="Arial" w:eastAsia="Calibri" w:hAnsi="Arial" w:cs="Arial"/>
          <w:sz w:val="20"/>
          <w:szCs w:val="20"/>
        </w:rPr>
        <w:t xml:space="preserve">, or a minor, lunatic, or idiot’. See Helen Irving, </w:t>
      </w:r>
      <w:r w:rsidRPr="003D07A0">
        <w:rPr>
          <w:rFonts w:ascii="Arial" w:eastAsia="Calibri" w:hAnsi="Arial" w:cs="Arial"/>
          <w:i/>
          <w:sz w:val="20"/>
          <w:szCs w:val="20"/>
        </w:rPr>
        <w:t>Citizenship, Alienage, and the Modern Constitutional State</w:t>
      </w:r>
      <w:r w:rsidRPr="003D07A0">
        <w:rPr>
          <w:rFonts w:ascii="Arial" w:eastAsia="Calibri" w:hAnsi="Arial" w:cs="Arial"/>
          <w:sz w:val="20"/>
          <w:szCs w:val="20"/>
        </w:rPr>
        <w:t xml:space="preserve">; Baldwin, </w:t>
      </w:r>
      <w:r>
        <w:rPr>
          <w:rFonts w:ascii="Arial" w:eastAsia="Calibri" w:hAnsi="Arial" w:cs="Arial"/>
          <w:sz w:val="20"/>
          <w:szCs w:val="20"/>
        </w:rPr>
        <w:t>‘</w:t>
      </w:r>
      <w:r w:rsidRPr="003D07A0">
        <w:rPr>
          <w:rFonts w:ascii="Arial" w:eastAsia="Calibri" w:hAnsi="Arial" w:cs="Arial"/>
          <w:sz w:val="20"/>
          <w:szCs w:val="20"/>
        </w:rPr>
        <w:t>Subject to Empire</w:t>
      </w:r>
      <w:r>
        <w:rPr>
          <w:rFonts w:ascii="Arial" w:eastAsia="Calibri" w:hAnsi="Arial" w:cs="Arial"/>
          <w:sz w:val="20"/>
          <w:szCs w:val="20"/>
        </w:rPr>
        <w:t>’, p.</w:t>
      </w:r>
      <w:r w:rsidRPr="003D07A0">
        <w:rPr>
          <w:rFonts w:ascii="Arial" w:eastAsia="Calibri" w:hAnsi="Arial" w:cs="Arial"/>
          <w:sz w:val="20"/>
          <w:szCs w:val="20"/>
        </w:rPr>
        <w:t>522-556.</w:t>
      </w:r>
    </w:p>
  </w:endnote>
  <w:endnote w:id="67">
    <w:p w14:paraId="000000A4" w14:textId="6414D1C5" w:rsidR="00AE7548" w:rsidRPr="003D07A0" w:rsidRDefault="00AE7548">
      <w:pPr>
        <w:rPr>
          <w:rFonts w:ascii="Arial" w:eastAsia="Calibri" w:hAnsi="Arial" w:cs="Arial"/>
          <w:sz w:val="20"/>
          <w:szCs w:val="20"/>
        </w:rPr>
      </w:pPr>
      <w:r w:rsidRPr="003D07A0">
        <w:rPr>
          <w:rFonts w:ascii="Arial" w:hAnsi="Arial" w:cs="Arial"/>
          <w:sz w:val="20"/>
          <w:szCs w:val="20"/>
          <w:vertAlign w:val="superscript"/>
        </w:rPr>
        <w:endnoteRef/>
      </w:r>
      <w:r w:rsidRPr="003D07A0">
        <w:rPr>
          <w:rFonts w:ascii="Arial" w:hAnsi="Arial" w:cs="Arial"/>
          <w:sz w:val="20"/>
          <w:szCs w:val="20"/>
        </w:rPr>
        <w:t xml:space="preserve"> </w:t>
      </w:r>
      <w:r w:rsidRPr="003D07A0">
        <w:rPr>
          <w:rFonts w:ascii="Arial" w:eastAsia="Calibri" w:hAnsi="Arial" w:cs="Arial"/>
          <w:sz w:val="20"/>
          <w:szCs w:val="20"/>
        </w:rPr>
        <w:t>From Dutton, ‘Women - Citizenship in Australia</w:t>
      </w:r>
      <w:r>
        <w:rPr>
          <w:rFonts w:ascii="Arial" w:eastAsia="Calibri" w:hAnsi="Arial" w:cs="Arial"/>
          <w:sz w:val="20"/>
          <w:szCs w:val="20"/>
        </w:rPr>
        <w:t>’</w:t>
      </w:r>
      <w:r w:rsidRPr="003D07A0">
        <w:rPr>
          <w:rFonts w:ascii="Arial" w:eastAsia="Calibri" w:hAnsi="Arial" w:cs="Arial"/>
          <w:sz w:val="20"/>
          <w:szCs w:val="20"/>
        </w:rPr>
        <w:t>. The Naturalization Act of 1903, section 9: ‘A woman who, not being a British subject, marries a British subject, shall in the Commonwealth be deemed to be thereby naturalized, and have the same rights powers and privileges, and be subject to the same obligations, as a person who has obtained a certificate of naturalization.’</w:t>
      </w:r>
    </w:p>
  </w:endnote>
  <w:endnote w:id="68">
    <w:p w14:paraId="000000A0" w14:textId="2BB7ED65" w:rsidR="00AE7548" w:rsidRPr="003D07A0" w:rsidRDefault="00AE7548">
      <w:pPr>
        <w:rPr>
          <w:rFonts w:ascii="Arial" w:eastAsia="Calibri" w:hAnsi="Arial" w:cs="Arial"/>
          <w:sz w:val="20"/>
          <w:szCs w:val="20"/>
        </w:rPr>
      </w:pPr>
      <w:r w:rsidRPr="003D07A0">
        <w:rPr>
          <w:rFonts w:ascii="Arial" w:hAnsi="Arial" w:cs="Arial"/>
          <w:sz w:val="20"/>
          <w:szCs w:val="20"/>
          <w:vertAlign w:val="superscript"/>
        </w:rPr>
        <w:endnoteRef/>
      </w:r>
      <w:r w:rsidRPr="003D07A0">
        <w:rPr>
          <w:rFonts w:ascii="Arial" w:hAnsi="Arial" w:cs="Arial"/>
          <w:sz w:val="20"/>
          <w:szCs w:val="20"/>
        </w:rPr>
        <w:t xml:space="preserve"> </w:t>
      </w:r>
      <w:r w:rsidRPr="003D07A0">
        <w:rPr>
          <w:rFonts w:ascii="Arial" w:eastAsia="Calibri" w:hAnsi="Arial" w:cs="Arial"/>
          <w:sz w:val="20"/>
          <w:szCs w:val="20"/>
        </w:rPr>
        <w:t xml:space="preserve">Based on all </w:t>
      </w:r>
      <w:r>
        <w:rPr>
          <w:rFonts w:ascii="Arial" w:eastAsia="Calibri" w:hAnsi="Arial" w:cs="Arial"/>
          <w:sz w:val="20"/>
          <w:szCs w:val="20"/>
        </w:rPr>
        <w:t xml:space="preserve">digitised </w:t>
      </w:r>
      <w:r w:rsidRPr="003D07A0">
        <w:rPr>
          <w:rFonts w:ascii="Arial" w:eastAsia="Calibri" w:hAnsi="Arial" w:cs="Arial"/>
          <w:sz w:val="20"/>
          <w:szCs w:val="20"/>
        </w:rPr>
        <w:t xml:space="preserve">NAA applications from females between 1901 and 1909, as of 13 November 2019. The database, once completed, will be freely available online at </w:t>
      </w:r>
      <w:hyperlink r:id="rId1">
        <w:r w:rsidRPr="003D07A0">
          <w:rPr>
            <w:rFonts w:ascii="Arial" w:eastAsia="Calibri" w:hAnsi="Arial" w:cs="Arial"/>
            <w:color w:val="1155CC"/>
            <w:sz w:val="20"/>
            <w:szCs w:val="20"/>
            <w:u w:val="single"/>
          </w:rPr>
          <w:t>https://naturalisation.online/database/</w:t>
        </w:r>
      </w:hyperlink>
      <w:r w:rsidRPr="003D07A0">
        <w:rPr>
          <w:rFonts w:ascii="Arial" w:eastAsia="Calibri" w:hAnsi="Arial" w:cs="Arial"/>
          <w:sz w:val="20"/>
          <w:szCs w:val="20"/>
        </w:rPr>
        <w:t>.</w:t>
      </w:r>
    </w:p>
  </w:endnote>
  <w:endnote w:id="69">
    <w:p w14:paraId="000000A2" w14:textId="222437B2" w:rsidR="00AE7548" w:rsidRPr="003D07A0" w:rsidRDefault="00AE7548">
      <w:pPr>
        <w:rPr>
          <w:rFonts w:ascii="Arial" w:eastAsia="Calibri" w:hAnsi="Arial" w:cs="Arial"/>
          <w:sz w:val="20"/>
          <w:szCs w:val="20"/>
        </w:rPr>
      </w:pPr>
      <w:r w:rsidRPr="003D07A0">
        <w:rPr>
          <w:rFonts w:ascii="Arial" w:hAnsi="Arial" w:cs="Arial"/>
          <w:sz w:val="20"/>
          <w:szCs w:val="20"/>
          <w:vertAlign w:val="superscript"/>
        </w:rPr>
        <w:endnoteRef/>
      </w:r>
      <w:r w:rsidRPr="003D07A0">
        <w:rPr>
          <w:rFonts w:ascii="Arial" w:eastAsia="Calibri" w:hAnsi="Arial" w:cs="Arial"/>
          <w:sz w:val="20"/>
          <w:szCs w:val="20"/>
        </w:rPr>
        <w:t xml:space="preserve"> See, for instance, NAA: A1, 1912/6502, </w:t>
      </w:r>
      <w:proofErr w:type="spellStart"/>
      <w:r w:rsidRPr="003D07A0">
        <w:rPr>
          <w:rFonts w:ascii="Arial" w:eastAsia="Calibri" w:hAnsi="Arial" w:cs="Arial"/>
          <w:sz w:val="20"/>
          <w:szCs w:val="20"/>
        </w:rPr>
        <w:t>Margaretha</w:t>
      </w:r>
      <w:proofErr w:type="spellEnd"/>
      <w:r w:rsidRPr="003D07A0">
        <w:rPr>
          <w:rFonts w:ascii="Arial" w:eastAsia="Calibri" w:hAnsi="Arial" w:cs="Arial"/>
          <w:sz w:val="20"/>
          <w:szCs w:val="20"/>
        </w:rPr>
        <w:t xml:space="preserve"> Klose (1908); NAA: A1, 1905/83, Carolina </w:t>
      </w:r>
      <w:proofErr w:type="spellStart"/>
      <w:r w:rsidRPr="003D07A0">
        <w:rPr>
          <w:rFonts w:ascii="Arial" w:eastAsia="Calibri" w:hAnsi="Arial" w:cs="Arial"/>
          <w:sz w:val="20"/>
          <w:szCs w:val="20"/>
        </w:rPr>
        <w:t>Rurade</w:t>
      </w:r>
      <w:proofErr w:type="spellEnd"/>
      <w:r w:rsidRPr="003D07A0">
        <w:rPr>
          <w:rFonts w:ascii="Arial" w:eastAsia="Calibri" w:hAnsi="Arial" w:cs="Arial"/>
          <w:sz w:val="20"/>
          <w:szCs w:val="20"/>
        </w:rPr>
        <w:t xml:space="preserve"> (1905); NAA: A1, 1904/321, Gertie </w:t>
      </w:r>
      <w:proofErr w:type="spellStart"/>
      <w:r w:rsidRPr="003D07A0">
        <w:rPr>
          <w:rFonts w:ascii="Arial" w:eastAsia="Calibri" w:hAnsi="Arial" w:cs="Arial"/>
          <w:sz w:val="20"/>
          <w:szCs w:val="20"/>
        </w:rPr>
        <w:t>Wolper</w:t>
      </w:r>
      <w:proofErr w:type="spellEnd"/>
      <w:r w:rsidRPr="003D07A0">
        <w:rPr>
          <w:rFonts w:ascii="Arial" w:eastAsia="Calibri" w:hAnsi="Arial" w:cs="Arial"/>
          <w:sz w:val="20"/>
          <w:szCs w:val="20"/>
        </w:rPr>
        <w:t xml:space="preserve"> (1904). This was still a problem concerning women and children in 1939: NAA: A406, E1947/10, J</w:t>
      </w:r>
      <w:r>
        <w:rPr>
          <w:rFonts w:ascii="Arial" w:eastAsia="Calibri" w:hAnsi="Arial" w:cs="Arial"/>
          <w:sz w:val="20"/>
          <w:szCs w:val="20"/>
        </w:rPr>
        <w:t>.</w:t>
      </w:r>
      <w:r w:rsidRPr="003D07A0">
        <w:rPr>
          <w:rFonts w:ascii="Arial" w:eastAsia="Calibri" w:hAnsi="Arial" w:cs="Arial"/>
          <w:sz w:val="20"/>
          <w:szCs w:val="20"/>
        </w:rPr>
        <w:t xml:space="preserve"> E</w:t>
      </w:r>
      <w:r>
        <w:rPr>
          <w:rFonts w:ascii="Arial" w:eastAsia="Calibri" w:hAnsi="Arial" w:cs="Arial"/>
          <w:sz w:val="20"/>
          <w:szCs w:val="20"/>
        </w:rPr>
        <w:t>.</w:t>
      </w:r>
      <w:r w:rsidRPr="003D07A0">
        <w:rPr>
          <w:rFonts w:ascii="Arial" w:eastAsia="Calibri" w:hAnsi="Arial" w:cs="Arial"/>
          <w:sz w:val="20"/>
          <w:szCs w:val="20"/>
        </w:rPr>
        <w:t xml:space="preserve"> Stewart, Commonwealth Electoral Officer, Queensland, Memorandum, 13 December 1939.</w:t>
      </w:r>
    </w:p>
  </w:endnote>
  <w:endnote w:id="70">
    <w:p w14:paraId="000000C5" w14:textId="77777777" w:rsidR="00AE7548" w:rsidRPr="003D07A0" w:rsidRDefault="00AE7548">
      <w:pPr>
        <w:rPr>
          <w:rFonts w:ascii="Arial" w:hAnsi="Arial" w:cs="Arial"/>
          <w:sz w:val="20"/>
          <w:szCs w:val="20"/>
        </w:rPr>
      </w:pPr>
      <w:r w:rsidRPr="003D07A0">
        <w:rPr>
          <w:rFonts w:ascii="Arial" w:hAnsi="Arial" w:cs="Arial"/>
          <w:sz w:val="20"/>
          <w:szCs w:val="20"/>
          <w:vertAlign w:val="superscript"/>
        </w:rPr>
        <w:endnoteRef/>
      </w:r>
      <w:r w:rsidRPr="003D07A0">
        <w:rPr>
          <w:rFonts w:ascii="Arial" w:hAnsi="Arial" w:cs="Arial"/>
          <w:sz w:val="20"/>
          <w:szCs w:val="20"/>
        </w:rPr>
        <w:t xml:space="preserve"> </w:t>
      </w:r>
      <w:r w:rsidRPr="003D07A0">
        <w:rPr>
          <w:rFonts w:ascii="Arial" w:eastAsia="Calibri" w:hAnsi="Arial" w:cs="Arial"/>
          <w:sz w:val="20"/>
          <w:szCs w:val="20"/>
        </w:rPr>
        <w:t>NAA: A1, 1904/9341, Mary Joseph (1904).</w:t>
      </w:r>
    </w:p>
  </w:endnote>
  <w:endnote w:id="71">
    <w:p w14:paraId="000000CC" w14:textId="77777777" w:rsidR="00AE7548" w:rsidRPr="003D07A0" w:rsidRDefault="00AE7548">
      <w:pPr>
        <w:rPr>
          <w:rFonts w:ascii="Arial" w:eastAsia="Calibri" w:hAnsi="Arial" w:cs="Arial"/>
          <w:sz w:val="20"/>
          <w:szCs w:val="20"/>
        </w:rPr>
      </w:pPr>
      <w:r w:rsidRPr="003D07A0">
        <w:rPr>
          <w:rFonts w:ascii="Arial" w:hAnsi="Arial" w:cs="Arial"/>
          <w:sz w:val="20"/>
          <w:szCs w:val="20"/>
          <w:vertAlign w:val="superscript"/>
        </w:rPr>
        <w:endnoteRef/>
      </w:r>
      <w:r w:rsidRPr="003D07A0">
        <w:rPr>
          <w:rFonts w:ascii="Arial" w:hAnsi="Arial" w:cs="Arial"/>
          <w:sz w:val="20"/>
          <w:szCs w:val="20"/>
        </w:rPr>
        <w:t xml:space="preserve"> </w:t>
      </w:r>
      <w:r w:rsidRPr="003D07A0">
        <w:rPr>
          <w:rFonts w:ascii="Arial" w:eastAsia="Calibri" w:hAnsi="Arial" w:cs="Arial"/>
          <w:color w:val="262626"/>
          <w:sz w:val="20"/>
          <w:szCs w:val="20"/>
        </w:rPr>
        <w:t xml:space="preserve">NAA: A1, 1904/5299, Rose </w:t>
      </w:r>
      <w:proofErr w:type="spellStart"/>
      <w:r w:rsidRPr="003D07A0">
        <w:rPr>
          <w:rFonts w:ascii="Arial" w:eastAsia="Calibri" w:hAnsi="Arial" w:cs="Arial"/>
          <w:color w:val="262626"/>
          <w:sz w:val="20"/>
          <w:szCs w:val="20"/>
        </w:rPr>
        <w:t>Lestrem</w:t>
      </w:r>
      <w:proofErr w:type="spellEnd"/>
      <w:r w:rsidRPr="003D07A0">
        <w:rPr>
          <w:rFonts w:ascii="Arial" w:eastAsia="Calibri" w:hAnsi="Arial" w:cs="Arial"/>
          <w:color w:val="262626"/>
          <w:sz w:val="20"/>
          <w:szCs w:val="20"/>
        </w:rPr>
        <w:t xml:space="preserve"> (1904).</w:t>
      </w:r>
    </w:p>
  </w:endnote>
  <w:endnote w:id="72">
    <w:p w14:paraId="60C06EC0" w14:textId="1B634CAB" w:rsidR="00AE7548" w:rsidRPr="003D07A0" w:rsidRDefault="00AE7548" w:rsidP="00F644EB">
      <w:pPr>
        <w:rPr>
          <w:rFonts w:ascii="Arial" w:eastAsia="Calibri" w:hAnsi="Arial" w:cs="Arial"/>
          <w:sz w:val="20"/>
          <w:szCs w:val="20"/>
        </w:rPr>
      </w:pPr>
      <w:r w:rsidRPr="003D07A0">
        <w:rPr>
          <w:rFonts w:ascii="Arial" w:hAnsi="Arial" w:cs="Arial"/>
          <w:sz w:val="20"/>
          <w:szCs w:val="20"/>
          <w:vertAlign w:val="superscript"/>
        </w:rPr>
        <w:endnoteRef/>
      </w:r>
      <w:r w:rsidRPr="003D07A0">
        <w:rPr>
          <w:rFonts w:ascii="Arial" w:eastAsia="Calibri" w:hAnsi="Arial" w:cs="Arial"/>
          <w:sz w:val="20"/>
          <w:szCs w:val="20"/>
        </w:rPr>
        <w:t xml:space="preserve"> </w:t>
      </w:r>
      <w:r w:rsidRPr="003D07A0">
        <w:rPr>
          <w:rFonts w:ascii="Arial" w:eastAsia="Calibri" w:hAnsi="Arial" w:cs="Arial"/>
          <w:sz w:val="20"/>
          <w:szCs w:val="20"/>
          <w:highlight w:val="white"/>
        </w:rPr>
        <w:t xml:space="preserve">NAA: A63, A1910/4814, </w:t>
      </w:r>
      <w:r w:rsidRPr="003D07A0">
        <w:rPr>
          <w:rFonts w:ascii="Arial" w:eastAsia="Calibri" w:hAnsi="Arial" w:cs="Arial"/>
          <w:sz w:val="20"/>
          <w:szCs w:val="20"/>
        </w:rPr>
        <w:t xml:space="preserve">Alice </w:t>
      </w:r>
      <w:proofErr w:type="spellStart"/>
      <w:r w:rsidRPr="003D07A0">
        <w:rPr>
          <w:rFonts w:ascii="Arial" w:eastAsia="Calibri" w:hAnsi="Arial" w:cs="Arial"/>
          <w:sz w:val="20"/>
          <w:szCs w:val="20"/>
        </w:rPr>
        <w:t>Shong</w:t>
      </w:r>
      <w:proofErr w:type="spellEnd"/>
      <w:r w:rsidRPr="003D07A0">
        <w:rPr>
          <w:rFonts w:ascii="Arial" w:eastAsia="Calibri" w:hAnsi="Arial" w:cs="Arial"/>
          <w:sz w:val="20"/>
          <w:szCs w:val="20"/>
        </w:rPr>
        <w:t xml:space="preserve"> Kew Wong Sing (1910); </w:t>
      </w:r>
      <w:r>
        <w:rPr>
          <w:rFonts w:ascii="Arial" w:eastAsia="Calibri" w:hAnsi="Arial" w:cs="Arial"/>
          <w:sz w:val="20"/>
          <w:szCs w:val="20"/>
        </w:rPr>
        <w:t xml:space="preserve">See a similar example at </w:t>
      </w:r>
      <w:hyperlink r:id="rId2">
        <w:r w:rsidRPr="003D07A0">
          <w:rPr>
            <w:rFonts w:ascii="Arial" w:eastAsia="Calibri" w:hAnsi="Arial" w:cs="Arial"/>
            <w:sz w:val="20"/>
            <w:szCs w:val="20"/>
            <w:highlight w:val="white"/>
          </w:rPr>
          <w:t>NAA: A1, 1908/6179</w:t>
        </w:r>
      </w:hyperlink>
      <w:r w:rsidRPr="003D07A0">
        <w:rPr>
          <w:rFonts w:ascii="Arial" w:eastAsia="Calibri" w:hAnsi="Arial" w:cs="Arial"/>
          <w:sz w:val="20"/>
          <w:szCs w:val="20"/>
        </w:rPr>
        <w:t xml:space="preserve">, Sarah Jane Karl, nee Wilson (1908). </w:t>
      </w:r>
    </w:p>
  </w:endnote>
  <w:endnote w:id="73">
    <w:p w14:paraId="000000AA" w14:textId="77777777" w:rsidR="00AE7548" w:rsidRPr="003D07A0" w:rsidRDefault="00AE7548">
      <w:pPr>
        <w:rPr>
          <w:rFonts w:ascii="Arial" w:eastAsia="Calibri" w:hAnsi="Arial" w:cs="Arial"/>
          <w:sz w:val="20"/>
          <w:szCs w:val="20"/>
        </w:rPr>
      </w:pPr>
      <w:r w:rsidRPr="003D07A0">
        <w:rPr>
          <w:rFonts w:ascii="Arial" w:hAnsi="Arial" w:cs="Arial"/>
          <w:sz w:val="20"/>
          <w:szCs w:val="20"/>
          <w:vertAlign w:val="superscript"/>
        </w:rPr>
        <w:endnoteRef/>
      </w:r>
      <w:r w:rsidRPr="003D07A0">
        <w:rPr>
          <w:rFonts w:ascii="Arial" w:hAnsi="Arial" w:cs="Arial"/>
          <w:sz w:val="20"/>
          <w:szCs w:val="20"/>
        </w:rPr>
        <w:t xml:space="preserve"> </w:t>
      </w:r>
      <w:r w:rsidRPr="003D07A0">
        <w:rPr>
          <w:rFonts w:ascii="Arial" w:eastAsia="Calibri" w:hAnsi="Arial" w:cs="Arial"/>
          <w:sz w:val="20"/>
          <w:szCs w:val="20"/>
          <w:highlight w:val="white"/>
        </w:rPr>
        <w:t xml:space="preserve">NAA: A63, A1910/4814, </w:t>
      </w:r>
      <w:r w:rsidRPr="003D07A0">
        <w:rPr>
          <w:rFonts w:ascii="Arial" w:eastAsia="Calibri" w:hAnsi="Arial" w:cs="Arial"/>
          <w:sz w:val="20"/>
          <w:szCs w:val="20"/>
        </w:rPr>
        <w:t xml:space="preserve">Alice </w:t>
      </w:r>
      <w:proofErr w:type="spellStart"/>
      <w:r w:rsidRPr="003D07A0">
        <w:rPr>
          <w:rFonts w:ascii="Arial" w:eastAsia="Calibri" w:hAnsi="Arial" w:cs="Arial"/>
          <w:sz w:val="20"/>
          <w:szCs w:val="20"/>
        </w:rPr>
        <w:t>Shong</w:t>
      </w:r>
      <w:proofErr w:type="spellEnd"/>
      <w:r w:rsidRPr="003D07A0">
        <w:rPr>
          <w:rFonts w:ascii="Arial" w:eastAsia="Calibri" w:hAnsi="Arial" w:cs="Arial"/>
          <w:sz w:val="20"/>
          <w:szCs w:val="20"/>
        </w:rPr>
        <w:t xml:space="preserve"> Kew Wong Sing (1910).</w:t>
      </w:r>
    </w:p>
  </w:endnote>
  <w:endnote w:id="74">
    <w:p w14:paraId="000000AB" w14:textId="5006FD22" w:rsidR="00AE7548" w:rsidRPr="00917497" w:rsidRDefault="00AE7548">
      <w:pPr>
        <w:rPr>
          <w:rFonts w:ascii="Arial" w:hAnsi="Arial" w:cs="Arial"/>
          <w:sz w:val="20"/>
          <w:szCs w:val="20"/>
        </w:rPr>
      </w:pPr>
      <w:r w:rsidRPr="003D07A0">
        <w:rPr>
          <w:rFonts w:ascii="Arial" w:hAnsi="Arial" w:cs="Arial"/>
          <w:sz w:val="20"/>
          <w:szCs w:val="20"/>
          <w:vertAlign w:val="superscript"/>
        </w:rPr>
        <w:endnoteRef/>
      </w:r>
      <w:r w:rsidRPr="003D07A0">
        <w:rPr>
          <w:rFonts w:ascii="Arial" w:hAnsi="Arial" w:cs="Arial"/>
          <w:sz w:val="20"/>
          <w:szCs w:val="20"/>
        </w:rPr>
        <w:t xml:space="preserve"> </w:t>
      </w:r>
      <w:r w:rsidRPr="00917497">
        <w:rPr>
          <w:rFonts w:ascii="Arial" w:eastAsia="Calibri" w:hAnsi="Arial" w:cs="Arial"/>
          <w:sz w:val="20"/>
          <w:szCs w:val="20"/>
        </w:rPr>
        <w:t>See other examples from World War one, such as the files for Mrs</w:t>
      </w:r>
      <w:r w:rsidR="00305257">
        <w:rPr>
          <w:rFonts w:ascii="Arial" w:eastAsia="Calibri" w:hAnsi="Arial" w:cs="Arial"/>
          <w:sz w:val="20"/>
          <w:szCs w:val="20"/>
        </w:rPr>
        <w:t>.</w:t>
      </w:r>
      <w:r w:rsidRPr="00917497">
        <w:rPr>
          <w:rFonts w:ascii="Arial" w:eastAsia="Calibri" w:hAnsi="Arial" w:cs="Arial"/>
          <w:sz w:val="20"/>
          <w:szCs w:val="20"/>
        </w:rPr>
        <w:t xml:space="preserve"> </w:t>
      </w:r>
      <w:proofErr w:type="spellStart"/>
      <w:r w:rsidRPr="00917497">
        <w:rPr>
          <w:rFonts w:ascii="Arial" w:eastAsia="Calibri" w:hAnsi="Arial" w:cs="Arial"/>
          <w:sz w:val="20"/>
          <w:szCs w:val="20"/>
        </w:rPr>
        <w:t>Fauvette</w:t>
      </w:r>
      <w:proofErr w:type="spellEnd"/>
      <w:r w:rsidRPr="00917497">
        <w:rPr>
          <w:rFonts w:ascii="Arial" w:eastAsia="Calibri" w:hAnsi="Arial" w:cs="Arial"/>
          <w:sz w:val="20"/>
          <w:szCs w:val="20"/>
        </w:rPr>
        <w:t xml:space="preserve"> </w:t>
      </w:r>
      <w:proofErr w:type="spellStart"/>
      <w:r w:rsidRPr="00917497">
        <w:rPr>
          <w:rFonts w:ascii="Arial" w:eastAsia="Calibri" w:hAnsi="Arial" w:cs="Arial"/>
          <w:sz w:val="20"/>
          <w:szCs w:val="20"/>
        </w:rPr>
        <w:t>Erdos</w:t>
      </w:r>
      <w:proofErr w:type="spellEnd"/>
      <w:r w:rsidRPr="00917497">
        <w:rPr>
          <w:rFonts w:ascii="Arial" w:eastAsia="Calibri" w:hAnsi="Arial" w:cs="Arial"/>
          <w:sz w:val="20"/>
          <w:szCs w:val="20"/>
        </w:rPr>
        <w:t xml:space="preserve">, </w:t>
      </w:r>
      <w:r w:rsidRPr="00917497">
        <w:rPr>
          <w:rFonts w:ascii="Arial" w:eastAsia="Calibri" w:hAnsi="Arial" w:cs="Arial"/>
          <w:sz w:val="20"/>
          <w:szCs w:val="20"/>
          <w:highlight w:val="white"/>
        </w:rPr>
        <w:t xml:space="preserve">born to Portuguese parents in Tasmania, and married to an Austro-Hungarian, described by her lawyers ‘as British as anyone in character, sympathy and feeling’. NAA: A11803, 1914/89/84, correspondence concerning Mrs </w:t>
      </w:r>
      <w:proofErr w:type="spellStart"/>
      <w:r w:rsidRPr="00917497">
        <w:rPr>
          <w:rFonts w:ascii="Arial" w:eastAsia="Calibri" w:hAnsi="Arial" w:cs="Arial"/>
          <w:sz w:val="20"/>
          <w:szCs w:val="20"/>
          <w:highlight w:val="white"/>
        </w:rPr>
        <w:t>Fauvette</w:t>
      </w:r>
      <w:proofErr w:type="spellEnd"/>
      <w:r w:rsidRPr="00917497">
        <w:rPr>
          <w:rFonts w:ascii="Arial" w:eastAsia="Calibri" w:hAnsi="Arial" w:cs="Arial"/>
          <w:sz w:val="20"/>
          <w:szCs w:val="20"/>
          <w:highlight w:val="white"/>
        </w:rPr>
        <w:t xml:space="preserve"> </w:t>
      </w:r>
      <w:proofErr w:type="spellStart"/>
      <w:r w:rsidRPr="00917497">
        <w:rPr>
          <w:rFonts w:ascii="Arial" w:eastAsia="Calibri" w:hAnsi="Arial" w:cs="Arial"/>
          <w:sz w:val="20"/>
          <w:szCs w:val="20"/>
          <w:highlight w:val="white"/>
        </w:rPr>
        <w:t>Erdos</w:t>
      </w:r>
      <w:proofErr w:type="spellEnd"/>
      <w:r w:rsidR="00305257">
        <w:rPr>
          <w:rFonts w:ascii="Arial" w:eastAsia="Calibri" w:hAnsi="Arial" w:cs="Arial"/>
          <w:sz w:val="20"/>
          <w:szCs w:val="20"/>
          <w:highlight w:val="white"/>
        </w:rPr>
        <w:t xml:space="preserve">; </w:t>
      </w:r>
      <w:r w:rsidRPr="00917497">
        <w:rPr>
          <w:rFonts w:ascii="Arial" w:eastAsia="Calibri" w:hAnsi="Arial" w:cs="Arial"/>
          <w:sz w:val="20"/>
          <w:szCs w:val="20"/>
          <w:highlight w:val="white"/>
        </w:rPr>
        <w:t xml:space="preserve">NAA: A1, 1916/12834, </w:t>
      </w:r>
      <w:proofErr w:type="spellStart"/>
      <w:r w:rsidRPr="00917497">
        <w:rPr>
          <w:rFonts w:ascii="Arial" w:eastAsia="Calibri" w:hAnsi="Arial" w:cs="Arial"/>
          <w:sz w:val="20"/>
          <w:szCs w:val="20"/>
          <w:highlight w:val="white"/>
        </w:rPr>
        <w:t>Fauvette</w:t>
      </w:r>
      <w:proofErr w:type="spellEnd"/>
      <w:r w:rsidRPr="00917497">
        <w:rPr>
          <w:rFonts w:ascii="Arial" w:eastAsia="Calibri" w:hAnsi="Arial" w:cs="Arial"/>
          <w:sz w:val="20"/>
          <w:szCs w:val="20"/>
          <w:highlight w:val="white"/>
        </w:rPr>
        <w:t xml:space="preserve"> </w:t>
      </w:r>
      <w:proofErr w:type="spellStart"/>
      <w:r w:rsidRPr="00917497">
        <w:rPr>
          <w:rFonts w:ascii="Arial" w:eastAsia="Calibri" w:hAnsi="Arial" w:cs="Arial"/>
          <w:sz w:val="20"/>
          <w:szCs w:val="20"/>
          <w:highlight w:val="white"/>
        </w:rPr>
        <w:t>Erdos</w:t>
      </w:r>
      <w:proofErr w:type="spellEnd"/>
      <w:r w:rsidRPr="00917497">
        <w:rPr>
          <w:rFonts w:ascii="Arial" w:eastAsia="Calibri" w:hAnsi="Arial" w:cs="Arial"/>
          <w:sz w:val="20"/>
          <w:szCs w:val="20"/>
          <w:highlight w:val="white"/>
        </w:rPr>
        <w:t xml:space="preserve">; NAA: A401, </w:t>
      </w:r>
      <w:proofErr w:type="spellStart"/>
      <w:r w:rsidRPr="00917497">
        <w:rPr>
          <w:rFonts w:ascii="Arial" w:eastAsia="Calibri" w:hAnsi="Arial" w:cs="Arial"/>
          <w:sz w:val="20"/>
          <w:szCs w:val="20"/>
          <w:highlight w:val="white"/>
        </w:rPr>
        <w:t>Erdos</w:t>
      </w:r>
      <w:proofErr w:type="spellEnd"/>
      <w:r w:rsidRPr="00917497">
        <w:rPr>
          <w:rFonts w:ascii="Arial" w:eastAsia="Calibri" w:hAnsi="Arial" w:cs="Arial"/>
          <w:sz w:val="20"/>
          <w:szCs w:val="20"/>
          <w:highlight w:val="white"/>
        </w:rPr>
        <w:t>.</w:t>
      </w:r>
      <w:r w:rsidRPr="00917497">
        <w:rPr>
          <w:rFonts w:ascii="Arial" w:eastAsia="Calibri" w:hAnsi="Arial" w:cs="Arial"/>
          <w:sz w:val="20"/>
          <w:szCs w:val="20"/>
        </w:rPr>
        <w:t xml:space="preserve"> Further discussion of women’s applications during World War 1 can be found in Bright, ‘</w:t>
      </w:r>
      <w:r w:rsidRPr="00917497">
        <w:rPr>
          <w:rFonts w:ascii="Arial" w:hAnsi="Arial" w:cs="Arial"/>
          <w:sz w:val="20"/>
          <w:szCs w:val="20"/>
        </w:rPr>
        <w:t>Women's naturalisation in Australia during World War I’, forthcoming.</w:t>
      </w:r>
    </w:p>
  </w:endnote>
  <w:endnote w:id="75">
    <w:p w14:paraId="000000AC" w14:textId="3976C1BE" w:rsidR="00AE7548" w:rsidRPr="003D07A0" w:rsidRDefault="00AE7548">
      <w:pPr>
        <w:rPr>
          <w:rFonts w:ascii="Arial" w:eastAsia="Calibri" w:hAnsi="Arial" w:cs="Arial"/>
          <w:sz w:val="20"/>
          <w:szCs w:val="20"/>
        </w:rPr>
      </w:pPr>
      <w:r w:rsidRPr="003D07A0">
        <w:rPr>
          <w:rFonts w:ascii="Arial" w:hAnsi="Arial" w:cs="Arial"/>
          <w:sz w:val="20"/>
          <w:szCs w:val="20"/>
          <w:vertAlign w:val="superscript"/>
        </w:rPr>
        <w:endnoteRef/>
      </w:r>
      <w:r w:rsidRPr="003D07A0">
        <w:rPr>
          <w:rFonts w:ascii="Arial" w:hAnsi="Arial" w:cs="Arial"/>
          <w:sz w:val="20"/>
          <w:szCs w:val="20"/>
        </w:rPr>
        <w:t xml:space="preserve"> </w:t>
      </w:r>
      <w:r w:rsidRPr="003D07A0">
        <w:rPr>
          <w:rFonts w:ascii="Arial" w:eastAsia="Calibri" w:hAnsi="Arial" w:cs="Arial"/>
          <w:sz w:val="20"/>
          <w:szCs w:val="20"/>
        </w:rPr>
        <w:t>See NAA: A1, 1917/14627, Schedule Showing Names of Germans Applying for Naturalization (Approved by Minister), p.7-14.</w:t>
      </w:r>
    </w:p>
  </w:endnote>
  <w:endnote w:id="76">
    <w:p w14:paraId="000000C6" w14:textId="2C73B9BE" w:rsidR="00AE7548" w:rsidRPr="003D07A0" w:rsidRDefault="00AE7548">
      <w:pPr>
        <w:rPr>
          <w:rFonts w:ascii="Arial" w:eastAsia="Calibri" w:hAnsi="Arial" w:cs="Arial"/>
          <w:sz w:val="20"/>
          <w:szCs w:val="20"/>
        </w:rPr>
      </w:pPr>
      <w:r w:rsidRPr="003D07A0">
        <w:rPr>
          <w:rFonts w:ascii="Arial" w:hAnsi="Arial" w:cs="Arial"/>
          <w:sz w:val="20"/>
          <w:szCs w:val="20"/>
          <w:vertAlign w:val="superscript"/>
        </w:rPr>
        <w:endnoteRef/>
      </w:r>
      <w:r w:rsidRPr="003D07A0">
        <w:rPr>
          <w:rFonts w:ascii="Arial" w:hAnsi="Arial" w:cs="Arial"/>
          <w:sz w:val="20"/>
          <w:szCs w:val="20"/>
        </w:rPr>
        <w:t xml:space="preserve"> </w:t>
      </w:r>
      <w:proofErr w:type="spellStart"/>
      <w:r w:rsidRPr="003D07A0">
        <w:rPr>
          <w:rFonts w:ascii="Arial" w:eastAsia="Calibri" w:hAnsi="Arial" w:cs="Arial"/>
          <w:sz w:val="20"/>
          <w:szCs w:val="20"/>
        </w:rPr>
        <w:t>Langfield</w:t>
      </w:r>
      <w:proofErr w:type="spellEnd"/>
      <w:r w:rsidRPr="003D07A0">
        <w:rPr>
          <w:rFonts w:ascii="Arial" w:eastAsia="Calibri" w:hAnsi="Arial" w:cs="Arial"/>
          <w:sz w:val="20"/>
          <w:szCs w:val="20"/>
        </w:rPr>
        <w:t>, ‘Gender Blind?</w:t>
      </w:r>
      <w:r>
        <w:rPr>
          <w:rFonts w:ascii="Arial" w:eastAsia="Calibri" w:hAnsi="Arial" w:cs="Arial"/>
          <w:sz w:val="20"/>
          <w:szCs w:val="20"/>
        </w:rPr>
        <w:t>’, p.</w:t>
      </w:r>
      <w:r w:rsidRPr="003D07A0">
        <w:rPr>
          <w:rFonts w:ascii="Arial" w:eastAsia="Calibri" w:hAnsi="Arial" w:cs="Arial"/>
          <w:sz w:val="20"/>
          <w:szCs w:val="20"/>
        </w:rPr>
        <w:t>143.</w:t>
      </w:r>
    </w:p>
  </w:endnote>
  <w:endnote w:id="77">
    <w:p w14:paraId="000000A6" w14:textId="5A43CA0F" w:rsidR="00AE7548" w:rsidRPr="003D07A0" w:rsidRDefault="00AE7548">
      <w:pPr>
        <w:rPr>
          <w:rFonts w:ascii="Arial" w:eastAsia="Calibri" w:hAnsi="Arial" w:cs="Arial"/>
          <w:sz w:val="20"/>
          <w:szCs w:val="20"/>
        </w:rPr>
      </w:pPr>
      <w:r w:rsidRPr="003D07A0">
        <w:rPr>
          <w:rFonts w:ascii="Arial" w:hAnsi="Arial" w:cs="Arial"/>
          <w:sz w:val="20"/>
          <w:szCs w:val="20"/>
          <w:vertAlign w:val="superscript"/>
        </w:rPr>
        <w:endnoteRef/>
      </w:r>
      <w:r w:rsidRPr="003D07A0">
        <w:rPr>
          <w:rFonts w:ascii="Arial" w:hAnsi="Arial" w:cs="Arial"/>
          <w:sz w:val="20"/>
          <w:szCs w:val="20"/>
        </w:rPr>
        <w:t xml:space="preserve"> </w:t>
      </w:r>
      <w:r w:rsidRPr="003D07A0">
        <w:rPr>
          <w:rFonts w:ascii="Arial" w:eastAsia="Calibri" w:hAnsi="Arial" w:cs="Arial"/>
          <w:sz w:val="20"/>
          <w:szCs w:val="20"/>
        </w:rPr>
        <w:t xml:space="preserve">NAA: A1, 1904/7646, Naturalization of Married Women in NSW, Opinion from the Attorney General, 29 August 1904, p.2-3. Confirmed </w:t>
      </w:r>
      <w:r>
        <w:rPr>
          <w:rFonts w:ascii="Arial" w:eastAsia="Calibri" w:hAnsi="Arial" w:cs="Arial"/>
          <w:sz w:val="20"/>
          <w:szCs w:val="20"/>
        </w:rPr>
        <w:t>in</w:t>
      </w:r>
      <w:r w:rsidRPr="003D07A0">
        <w:rPr>
          <w:rFonts w:ascii="Arial" w:eastAsia="Calibri" w:hAnsi="Arial" w:cs="Arial"/>
          <w:sz w:val="20"/>
          <w:szCs w:val="20"/>
        </w:rPr>
        <w:t xml:space="preserve"> A63</w:t>
      </w:r>
      <w:r>
        <w:rPr>
          <w:rFonts w:ascii="Arial" w:eastAsia="Calibri" w:hAnsi="Arial" w:cs="Arial"/>
          <w:sz w:val="20"/>
          <w:szCs w:val="20"/>
        </w:rPr>
        <w:t>,</w:t>
      </w:r>
      <w:r w:rsidRPr="003D07A0">
        <w:rPr>
          <w:rFonts w:ascii="Arial" w:eastAsia="Calibri" w:hAnsi="Arial" w:cs="Arial"/>
          <w:sz w:val="20"/>
          <w:szCs w:val="20"/>
        </w:rPr>
        <w:t xml:space="preserve"> A1910/7244</w:t>
      </w:r>
      <w:r>
        <w:rPr>
          <w:rFonts w:ascii="Arial" w:eastAsia="Calibri" w:hAnsi="Arial" w:cs="Arial"/>
          <w:sz w:val="20"/>
          <w:szCs w:val="20"/>
        </w:rPr>
        <w:t>,</w:t>
      </w:r>
      <w:r w:rsidRPr="003D07A0">
        <w:rPr>
          <w:rFonts w:ascii="Arial" w:eastAsia="Calibri" w:hAnsi="Arial" w:cs="Arial"/>
          <w:sz w:val="20"/>
          <w:szCs w:val="20"/>
        </w:rPr>
        <w:tab/>
        <w:t xml:space="preserve">Naturalization British Women married to aliens, C. Hughes, Attorney-General, Opinion: Eligibility of a British Born Woman Who Has Married an Alien to Apply for a Certificate of Naturalization, to DEA, 7 November 1910. </w:t>
      </w:r>
    </w:p>
  </w:endnote>
  <w:endnote w:id="78">
    <w:p w14:paraId="000000A5" w14:textId="7066A559" w:rsidR="00AE7548" w:rsidRPr="003D07A0" w:rsidRDefault="00AE7548">
      <w:pPr>
        <w:rPr>
          <w:rFonts w:ascii="Arial" w:eastAsia="Calibri" w:hAnsi="Arial" w:cs="Arial"/>
          <w:sz w:val="20"/>
          <w:szCs w:val="20"/>
        </w:rPr>
      </w:pPr>
      <w:r w:rsidRPr="003D07A0">
        <w:rPr>
          <w:rFonts w:ascii="Arial" w:hAnsi="Arial" w:cs="Arial"/>
          <w:sz w:val="20"/>
          <w:szCs w:val="20"/>
          <w:vertAlign w:val="superscript"/>
        </w:rPr>
        <w:endnoteRef/>
      </w:r>
      <w:r w:rsidRPr="003D07A0">
        <w:rPr>
          <w:rFonts w:ascii="Arial" w:hAnsi="Arial" w:cs="Arial"/>
          <w:sz w:val="20"/>
          <w:szCs w:val="20"/>
        </w:rPr>
        <w:t xml:space="preserve"> </w:t>
      </w:r>
      <w:r w:rsidRPr="003D07A0">
        <w:rPr>
          <w:rFonts w:ascii="Arial" w:eastAsia="Calibri" w:hAnsi="Arial" w:cs="Arial"/>
          <w:sz w:val="20"/>
          <w:szCs w:val="20"/>
        </w:rPr>
        <w:t>NAA: A63, A1910/7244, Isaac A</w:t>
      </w:r>
      <w:r>
        <w:rPr>
          <w:rFonts w:ascii="Arial" w:eastAsia="Calibri" w:hAnsi="Arial" w:cs="Arial"/>
          <w:sz w:val="20"/>
          <w:szCs w:val="20"/>
        </w:rPr>
        <w:t>.</w:t>
      </w:r>
      <w:r w:rsidRPr="003D07A0">
        <w:rPr>
          <w:rFonts w:ascii="Arial" w:eastAsia="Calibri" w:hAnsi="Arial" w:cs="Arial"/>
          <w:sz w:val="20"/>
          <w:szCs w:val="20"/>
        </w:rPr>
        <w:t xml:space="preserve"> Isaacs, Attorney General, Opinion: Franchise - British W</w:t>
      </w:r>
      <w:r>
        <w:rPr>
          <w:rFonts w:ascii="Arial" w:eastAsia="Calibri" w:hAnsi="Arial" w:cs="Arial"/>
          <w:sz w:val="20"/>
          <w:szCs w:val="20"/>
        </w:rPr>
        <w:t>o</w:t>
      </w:r>
      <w:r w:rsidRPr="003D07A0">
        <w:rPr>
          <w:rFonts w:ascii="Arial" w:eastAsia="Calibri" w:hAnsi="Arial" w:cs="Arial"/>
          <w:sz w:val="20"/>
          <w:szCs w:val="20"/>
        </w:rPr>
        <w:t>man Married to an Alien: Naturalization Act 1905, 29 March 1906.</w:t>
      </w:r>
    </w:p>
  </w:endnote>
  <w:endnote w:id="79">
    <w:p w14:paraId="000000A7" w14:textId="77777777" w:rsidR="00AE7548" w:rsidRPr="003D07A0" w:rsidRDefault="00AE7548">
      <w:pPr>
        <w:rPr>
          <w:rFonts w:ascii="Arial" w:eastAsia="Calibri" w:hAnsi="Arial" w:cs="Arial"/>
          <w:sz w:val="20"/>
          <w:szCs w:val="20"/>
        </w:rPr>
      </w:pPr>
      <w:r w:rsidRPr="003D07A0">
        <w:rPr>
          <w:rFonts w:ascii="Arial" w:hAnsi="Arial" w:cs="Arial"/>
          <w:sz w:val="20"/>
          <w:szCs w:val="20"/>
          <w:vertAlign w:val="superscript"/>
        </w:rPr>
        <w:endnoteRef/>
      </w:r>
      <w:r w:rsidRPr="003D07A0">
        <w:rPr>
          <w:rFonts w:ascii="Arial" w:hAnsi="Arial" w:cs="Arial"/>
          <w:sz w:val="20"/>
          <w:szCs w:val="20"/>
        </w:rPr>
        <w:t xml:space="preserve"> </w:t>
      </w:r>
      <w:r w:rsidRPr="003D07A0">
        <w:rPr>
          <w:rFonts w:ascii="Arial" w:eastAsia="Calibri" w:hAnsi="Arial" w:cs="Arial"/>
          <w:sz w:val="20"/>
          <w:szCs w:val="20"/>
        </w:rPr>
        <w:t>He referenced Australia Parliamentary Debates (1903) Vol.14, p.2200.</w:t>
      </w:r>
    </w:p>
  </w:endnote>
  <w:endnote w:id="80">
    <w:p w14:paraId="10CCC228" w14:textId="77777777" w:rsidR="00AE7548" w:rsidRPr="003D07A0" w:rsidRDefault="00AE7548" w:rsidP="0024506A">
      <w:pPr>
        <w:rPr>
          <w:rFonts w:ascii="Arial" w:hAnsi="Arial" w:cs="Arial"/>
          <w:sz w:val="20"/>
          <w:szCs w:val="20"/>
        </w:rPr>
      </w:pPr>
      <w:r w:rsidRPr="003D07A0">
        <w:rPr>
          <w:rFonts w:ascii="Arial" w:hAnsi="Arial" w:cs="Arial"/>
          <w:sz w:val="20"/>
          <w:szCs w:val="20"/>
          <w:vertAlign w:val="superscript"/>
        </w:rPr>
        <w:endnoteRef/>
      </w:r>
      <w:r w:rsidRPr="003D07A0">
        <w:rPr>
          <w:rFonts w:ascii="Arial" w:hAnsi="Arial" w:cs="Arial"/>
          <w:sz w:val="20"/>
          <w:szCs w:val="20"/>
        </w:rPr>
        <w:t xml:space="preserve"> </w:t>
      </w:r>
      <w:r w:rsidRPr="003D07A0">
        <w:rPr>
          <w:rFonts w:ascii="Arial" w:eastAsia="Calibri" w:hAnsi="Arial" w:cs="Arial"/>
          <w:color w:val="262626"/>
          <w:sz w:val="20"/>
          <w:szCs w:val="20"/>
        </w:rPr>
        <w:t xml:space="preserve">See Irving, </w:t>
      </w:r>
      <w:r w:rsidRPr="003D07A0">
        <w:rPr>
          <w:rFonts w:ascii="Arial" w:eastAsia="Calibri" w:hAnsi="Arial" w:cs="Arial"/>
          <w:i/>
          <w:color w:val="262626"/>
          <w:sz w:val="20"/>
          <w:szCs w:val="20"/>
        </w:rPr>
        <w:t>Citizenship, Alienage, and the Modern Constitutional State</w:t>
      </w:r>
      <w:r>
        <w:rPr>
          <w:rFonts w:ascii="Arial" w:eastAsia="Calibri" w:hAnsi="Arial" w:cs="Arial"/>
          <w:i/>
          <w:color w:val="262626"/>
          <w:sz w:val="20"/>
          <w:szCs w:val="20"/>
        </w:rPr>
        <w:t xml:space="preserve">; </w:t>
      </w:r>
      <w:r w:rsidRPr="003D07A0">
        <w:rPr>
          <w:rFonts w:ascii="Arial" w:eastAsia="Calibri" w:hAnsi="Arial" w:cs="Arial"/>
          <w:color w:val="262626"/>
          <w:sz w:val="20"/>
          <w:szCs w:val="20"/>
        </w:rPr>
        <w:t xml:space="preserve">Baldwin, </w:t>
      </w:r>
      <w:r>
        <w:rPr>
          <w:rFonts w:ascii="Arial" w:eastAsia="Calibri" w:hAnsi="Arial" w:cs="Arial"/>
          <w:color w:val="262626"/>
          <w:sz w:val="20"/>
          <w:szCs w:val="20"/>
        </w:rPr>
        <w:t>‘</w:t>
      </w:r>
      <w:r w:rsidRPr="003D07A0">
        <w:rPr>
          <w:rFonts w:ascii="Arial" w:eastAsia="Calibri" w:hAnsi="Arial" w:cs="Arial"/>
          <w:color w:val="262626"/>
          <w:sz w:val="20"/>
          <w:szCs w:val="20"/>
        </w:rPr>
        <w:t>Subject to Empire</w:t>
      </w:r>
      <w:r>
        <w:rPr>
          <w:rFonts w:ascii="Arial" w:eastAsia="Calibri" w:hAnsi="Arial" w:cs="Arial"/>
          <w:color w:val="262626"/>
          <w:sz w:val="20"/>
          <w:szCs w:val="20"/>
        </w:rPr>
        <w:t>’, p.</w:t>
      </w:r>
      <w:r w:rsidRPr="003D07A0">
        <w:rPr>
          <w:rFonts w:ascii="Arial" w:eastAsia="Calibri" w:hAnsi="Arial" w:cs="Arial"/>
          <w:color w:val="262626"/>
          <w:sz w:val="20"/>
          <w:szCs w:val="20"/>
        </w:rPr>
        <w:t>522-556.</w:t>
      </w:r>
    </w:p>
  </w:endnote>
  <w:endnote w:id="81">
    <w:p w14:paraId="000000A9" w14:textId="6308ADF5" w:rsidR="00AE7548" w:rsidRPr="003D07A0" w:rsidRDefault="00AE7548">
      <w:pPr>
        <w:rPr>
          <w:rFonts w:ascii="Arial" w:eastAsia="Calibri" w:hAnsi="Arial" w:cs="Arial"/>
          <w:sz w:val="20"/>
          <w:szCs w:val="20"/>
        </w:rPr>
      </w:pPr>
      <w:r w:rsidRPr="003D07A0">
        <w:rPr>
          <w:rFonts w:ascii="Arial" w:hAnsi="Arial" w:cs="Arial"/>
          <w:sz w:val="20"/>
          <w:szCs w:val="20"/>
          <w:vertAlign w:val="superscript"/>
        </w:rPr>
        <w:endnoteRef/>
      </w:r>
      <w:r w:rsidRPr="003D07A0">
        <w:rPr>
          <w:rFonts w:ascii="Arial" w:hAnsi="Arial" w:cs="Arial"/>
          <w:sz w:val="20"/>
          <w:szCs w:val="20"/>
        </w:rPr>
        <w:t xml:space="preserve"> </w:t>
      </w:r>
      <w:r w:rsidRPr="003D07A0">
        <w:rPr>
          <w:rFonts w:ascii="Arial" w:eastAsia="Calibri" w:hAnsi="Arial" w:cs="Arial"/>
          <w:sz w:val="20"/>
          <w:szCs w:val="20"/>
        </w:rPr>
        <w:t>NAA: A1, 1914/20769, Atlee Hunt to Prime Minister’s Secretary, 5 August 1914, p.27-8; Colonial Office to Hunt, 18 July 1913; NAA: A435, 1944/4/4347, Attorney-General’s Opinion, Eligibility of the Wives of Aliens for Naturalization,  31 May 1916; Hunt Papers</w:t>
      </w:r>
      <w:r>
        <w:rPr>
          <w:rFonts w:ascii="Arial" w:eastAsia="Calibri" w:hAnsi="Arial" w:cs="Arial"/>
          <w:sz w:val="20"/>
          <w:szCs w:val="20"/>
        </w:rPr>
        <w:t>,</w:t>
      </w:r>
      <w:r w:rsidRPr="003D07A0">
        <w:rPr>
          <w:rFonts w:ascii="Arial" w:eastAsia="Calibri" w:hAnsi="Arial" w:cs="Arial"/>
          <w:sz w:val="20"/>
          <w:szCs w:val="20"/>
        </w:rPr>
        <w:t xml:space="preserve"> MS 52/1536, Hunt to Harrison Moore, 17 March 1916; NAA: A2863, 1917/25, Naturalization Act - No. 25, 1917</w:t>
      </w:r>
      <w:r>
        <w:rPr>
          <w:rFonts w:ascii="Arial" w:eastAsia="Calibri" w:hAnsi="Arial" w:cs="Arial"/>
          <w:sz w:val="20"/>
          <w:szCs w:val="20"/>
        </w:rPr>
        <w:t xml:space="preserve">, </w:t>
      </w:r>
      <w:r w:rsidRPr="003D07A0">
        <w:rPr>
          <w:rFonts w:ascii="Arial" w:eastAsia="Calibri" w:hAnsi="Arial" w:cs="Arial"/>
          <w:sz w:val="20"/>
          <w:szCs w:val="20"/>
        </w:rPr>
        <w:t xml:space="preserve">p.8, handwritten </w:t>
      </w:r>
      <w:r>
        <w:rPr>
          <w:rFonts w:ascii="Arial" w:eastAsia="Calibri" w:hAnsi="Arial" w:cs="Arial"/>
          <w:sz w:val="20"/>
          <w:szCs w:val="20"/>
        </w:rPr>
        <w:t xml:space="preserve">note </w:t>
      </w:r>
      <w:r w:rsidRPr="003D07A0">
        <w:rPr>
          <w:rFonts w:ascii="Arial" w:eastAsia="Calibri" w:hAnsi="Arial" w:cs="Arial"/>
          <w:sz w:val="20"/>
          <w:szCs w:val="20"/>
        </w:rPr>
        <w:t xml:space="preserve">by S. Mahon, 18 April 1916. </w:t>
      </w:r>
    </w:p>
  </w:endnote>
  <w:endnote w:id="82">
    <w:p w14:paraId="40A4CF17" w14:textId="72EF679C" w:rsidR="00AE7548" w:rsidRDefault="00AE7548">
      <w:pPr>
        <w:pStyle w:val="EndnoteText"/>
      </w:pPr>
      <w:r>
        <w:rPr>
          <w:rStyle w:val="EndnoteReference"/>
        </w:rPr>
        <w:endnoteRef/>
      </w:r>
      <w:r>
        <w:t xml:space="preserve"> This remains the subject of ongoing research, and will appear in a forthcoming book, </w:t>
      </w:r>
      <w:r w:rsidRPr="00E56C30">
        <w:rPr>
          <w:i/>
          <w:iCs/>
        </w:rPr>
        <w:t>The Good Migrant: Naturalisation, Race and Gender in South Africa and Australi</w:t>
      </w:r>
      <w:r>
        <w:rPr>
          <w:i/>
          <w:iCs/>
        </w:rPr>
        <w:t>a in the Early Twentieth Century</w:t>
      </w:r>
      <w:r>
        <w:t xml:space="preserve">. </w:t>
      </w:r>
    </w:p>
  </w:endnote>
  <w:endnote w:id="83">
    <w:p w14:paraId="000000C7" w14:textId="70411124" w:rsidR="00AE7548" w:rsidRPr="003D07A0" w:rsidRDefault="00AE7548">
      <w:pPr>
        <w:rPr>
          <w:rFonts w:ascii="Arial" w:eastAsia="Calibri" w:hAnsi="Arial" w:cs="Arial"/>
          <w:sz w:val="20"/>
          <w:szCs w:val="20"/>
          <w:highlight w:val="white"/>
        </w:rPr>
      </w:pPr>
      <w:r w:rsidRPr="003D07A0">
        <w:rPr>
          <w:rFonts w:ascii="Arial" w:hAnsi="Arial" w:cs="Arial"/>
          <w:sz w:val="20"/>
          <w:szCs w:val="20"/>
          <w:vertAlign w:val="superscript"/>
        </w:rPr>
        <w:endnoteRef/>
      </w:r>
      <w:r w:rsidRPr="003D07A0">
        <w:rPr>
          <w:rFonts w:ascii="Arial" w:hAnsi="Arial" w:cs="Arial"/>
          <w:sz w:val="20"/>
          <w:szCs w:val="20"/>
        </w:rPr>
        <w:t xml:space="preserve"> </w:t>
      </w:r>
      <w:r w:rsidRPr="003D07A0">
        <w:rPr>
          <w:rFonts w:ascii="Arial" w:eastAsia="Calibri" w:hAnsi="Arial" w:cs="Arial"/>
          <w:sz w:val="20"/>
          <w:szCs w:val="20"/>
          <w:highlight w:val="white"/>
        </w:rPr>
        <w:t>Fortier, ‘What’s the big deal?</w:t>
      </w:r>
      <w:r>
        <w:rPr>
          <w:rFonts w:ascii="Arial" w:eastAsia="Calibri" w:hAnsi="Arial" w:cs="Arial"/>
          <w:sz w:val="20"/>
          <w:szCs w:val="20"/>
          <w:highlight w:val="white"/>
        </w:rPr>
        <w:t>’, p.</w:t>
      </w:r>
      <w:r w:rsidRPr="003D07A0">
        <w:rPr>
          <w:rFonts w:ascii="Arial" w:eastAsia="Calibri" w:hAnsi="Arial" w:cs="Arial"/>
          <w:sz w:val="20"/>
          <w:szCs w:val="20"/>
          <w:highlight w:val="white"/>
        </w:rPr>
        <w:t>697-711.</w:t>
      </w:r>
    </w:p>
    <w:p w14:paraId="1FB707EA" w14:textId="4BB7533B" w:rsidR="00AE7548" w:rsidRPr="003D07A0" w:rsidRDefault="00AE7548">
      <w:pPr>
        <w:rPr>
          <w:rFonts w:ascii="Arial" w:eastAsia="Calibri" w:hAnsi="Arial" w:cs="Arial"/>
          <w:sz w:val="20"/>
          <w:szCs w:val="20"/>
          <w:highlight w:val="white"/>
        </w:rPr>
      </w:pPr>
    </w:p>
    <w:p w14:paraId="5300D340" w14:textId="61B52FC4" w:rsidR="00AE7548" w:rsidRPr="003D07A0" w:rsidRDefault="00AE7548">
      <w:pPr>
        <w:rPr>
          <w:rFonts w:ascii="Arial" w:eastAsia="Calibri" w:hAnsi="Arial" w:cs="Arial"/>
          <w:sz w:val="20"/>
          <w:szCs w:val="20"/>
          <w:highlight w:val="white"/>
        </w:rPr>
      </w:pPr>
    </w:p>
    <w:p w14:paraId="7EF65328" w14:textId="17B2AB8F" w:rsidR="00AE7548" w:rsidRPr="00511C3A" w:rsidRDefault="00AE7548" w:rsidP="00D53556">
      <w:pPr>
        <w:pStyle w:val="Heading2"/>
        <w:rPr>
          <w:b/>
          <w:bCs/>
          <w:sz w:val="24"/>
          <w:szCs w:val="24"/>
          <w:highlight w:val="white"/>
        </w:rPr>
      </w:pPr>
      <w:r w:rsidRPr="00511C3A">
        <w:rPr>
          <w:b/>
          <w:bCs/>
          <w:sz w:val="24"/>
          <w:szCs w:val="24"/>
          <w:highlight w:val="white"/>
        </w:rPr>
        <w:t>REFERENCES</w:t>
      </w:r>
    </w:p>
    <w:p w14:paraId="5D6AE470" w14:textId="129B0EE1" w:rsidR="00AE7548" w:rsidRPr="003D07A0" w:rsidRDefault="00AE7548" w:rsidP="00F86BAB">
      <w:pPr>
        <w:rPr>
          <w:rFonts w:ascii="Arial" w:eastAsia="Calibri" w:hAnsi="Arial" w:cs="Arial"/>
          <w:sz w:val="20"/>
          <w:szCs w:val="20"/>
        </w:rPr>
      </w:pPr>
      <w:r w:rsidRPr="003D07A0">
        <w:rPr>
          <w:rFonts w:ascii="Arial" w:eastAsia="Calibri" w:hAnsi="Arial" w:cs="Arial"/>
          <w:sz w:val="20"/>
          <w:szCs w:val="20"/>
        </w:rPr>
        <w:t xml:space="preserve">Alexander, Enid, </w:t>
      </w:r>
      <w:r w:rsidRPr="003D07A0">
        <w:rPr>
          <w:rFonts w:ascii="Arial" w:eastAsia="Calibri" w:hAnsi="Arial" w:cs="Arial"/>
          <w:i/>
          <w:sz w:val="20"/>
          <w:szCs w:val="20"/>
        </w:rPr>
        <w:t>Morris Alexander, A Biography</w:t>
      </w:r>
      <w:r w:rsidRPr="003D07A0">
        <w:rPr>
          <w:rFonts w:ascii="Arial" w:eastAsia="Calibri" w:hAnsi="Arial" w:cs="Arial"/>
          <w:sz w:val="20"/>
          <w:szCs w:val="20"/>
        </w:rPr>
        <w:t xml:space="preserve"> (</w:t>
      </w:r>
      <w:proofErr w:type="spellStart"/>
      <w:r w:rsidRPr="003D07A0">
        <w:rPr>
          <w:rFonts w:ascii="Arial" w:eastAsia="Calibri" w:hAnsi="Arial" w:cs="Arial"/>
          <w:sz w:val="20"/>
          <w:szCs w:val="20"/>
        </w:rPr>
        <w:t>Wynburg</w:t>
      </w:r>
      <w:proofErr w:type="spellEnd"/>
      <w:r w:rsidRPr="003D07A0">
        <w:rPr>
          <w:rFonts w:ascii="Arial" w:eastAsia="Calibri" w:hAnsi="Arial" w:cs="Arial"/>
          <w:sz w:val="20"/>
          <w:szCs w:val="20"/>
        </w:rPr>
        <w:t>, Cape, 1953).</w:t>
      </w:r>
    </w:p>
    <w:p w14:paraId="674BAE4E" w14:textId="77777777" w:rsidR="00AE7548" w:rsidRPr="003D07A0" w:rsidRDefault="00AE7548" w:rsidP="00916554">
      <w:pPr>
        <w:rPr>
          <w:rFonts w:ascii="Arial" w:hAnsi="Arial" w:cs="Arial"/>
          <w:sz w:val="20"/>
          <w:szCs w:val="20"/>
        </w:rPr>
      </w:pPr>
    </w:p>
    <w:p w14:paraId="52C2242D" w14:textId="7B4A2A74" w:rsidR="00AE7548" w:rsidRPr="003D07A0" w:rsidRDefault="00AE7548" w:rsidP="00916554">
      <w:pPr>
        <w:rPr>
          <w:rFonts w:ascii="Arial" w:hAnsi="Arial" w:cs="Arial"/>
          <w:sz w:val="20"/>
          <w:szCs w:val="20"/>
        </w:rPr>
      </w:pPr>
      <w:r w:rsidRPr="003D07A0">
        <w:rPr>
          <w:rFonts w:ascii="Arial" w:hAnsi="Arial" w:cs="Arial"/>
          <w:sz w:val="20"/>
          <w:szCs w:val="20"/>
        </w:rPr>
        <w:t>Anderson, Caitlin, Britons Abroad, Aliens at Home: Nationality Law and Policy in Britain, 1815–1870 (PhD diss., University of Cambridge, 2004).</w:t>
      </w:r>
    </w:p>
    <w:p w14:paraId="6C896384" w14:textId="6DBBAF31" w:rsidR="00AE7548" w:rsidRPr="003D07A0" w:rsidRDefault="00AE7548" w:rsidP="00916554">
      <w:pPr>
        <w:rPr>
          <w:rFonts w:ascii="Arial" w:hAnsi="Arial" w:cs="Arial"/>
          <w:sz w:val="20"/>
          <w:szCs w:val="20"/>
        </w:rPr>
      </w:pPr>
    </w:p>
    <w:p w14:paraId="17FBEADC" w14:textId="77777777" w:rsidR="00BF4E4B" w:rsidRPr="0088041A" w:rsidRDefault="00BF4E4B" w:rsidP="00BF4E4B">
      <w:pPr>
        <w:rPr>
          <w:rFonts w:ascii="Arial" w:eastAsia="Calibri" w:hAnsi="Arial" w:cs="Arial"/>
          <w:sz w:val="20"/>
          <w:szCs w:val="20"/>
        </w:rPr>
      </w:pPr>
      <w:r w:rsidRPr="0088041A">
        <w:rPr>
          <w:rFonts w:ascii="Arial" w:eastAsia="Calibri" w:hAnsi="Arial" w:cs="Arial"/>
          <w:i/>
          <w:sz w:val="20"/>
          <w:szCs w:val="20"/>
        </w:rPr>
        <w:t xml:space="preserve">Annual Reports of the Immigration Restriction Department in the Cape </w:t>
      </w:r>
      <w:r w:rsidRPr="0088041A">
        <w:rPr>
          <w:rFonts w:ascii="Arial" w:eastAsia="Calibri" w:hAnsi="Arial" w:cs="Arial"/>
          <w:sz w:val="20"/>
          <w:szCs w:val="20"/>
        </w:rPr>
        <w:t>(1902–9)</w:t>
      </w:r>
    </w:p>
    <w:p w14:paraId="41313646" w14:textId="77777777" w:rsidR="00BF4E4B" w:rsidRDefault="00BF4E4B" w:rsidP="00916554">
      <w:pPr>
        <w:rPr>
          <w:rFonts w:ascii="Arial" w:hAnsi="Arial" w:cs="Arial"/>
          <w:sz w:val="20"/>
          <w:szCs w:val="20"/>
        </w:rPr>
      </w:pPr>
    </w:p>
    <w:p w14:paraId="543CEEE6" w14:textId="003D0D3B" w:rsidR="00AE7548" w:rsidRPr="003D07A0" w:rsidRDefault="00AE7548" w:rsidP="00916554">
      <w:pPr>
        <w:rPr>
          <w:rFonts w:ascii="Arial" w:hAnsi="Arial" w:cs="Arial"/>
          <w:sz w:val="20"/>
          <w:szCs w:val="20"/>
        </w:rPr>
      </w:pPr>
      <w:r w:rsidRPr="003D07A0">
        <w:rPr>
          <w:rFonts w:ascii="Arial" w:hAnsi="Arial" w:cs="Arial"/>
          <w:sz w:val="20"/>
          <w:szCs w:val="20"/>
        </w:rPr>
        <w:t xml:space="preserve">Baldwin, M. Page, ‘Subject to Empire: Married Women and the British Nationality and Status of Aliens Act,’ </w:t>
      </w:r>
      <w:r w:rsidRPr="003D07A0">
        <w:rPr>
          <w:rFonts w:ascii="Arial" w:hAnsi="Arial" w:cs="Arial"/>
          <w:i/>
          <w:sz w:val="20"/>
          <w:szCs w:val="20"/>
        </w:rPr>
        <w:t>Journal of British Studies,</w:t>
      </w:r>
      <w:r w:rsidRPr="003D07A0">
        <w:rPr>
          <w:rFonts w:ascii="Arial" w:hAnsi="Arial" w:cs="Arial"/>
          <w:sz w:val="20"/>
          <w:szCs w:val="20"/>
        </w:rPr>
        <w:t xml:space="preserve"> 40, no. 4 (October 2001), p.522–56.</w:t>
      </w:r>
    </w:p>
    <w:p w14:paraId="58FBE662" w14:textId="77777777" w:rsidR="00AE7548" w:rsidRPr="003D07A0" w:rsidRDefault="00AE7548" w:rsidP="00156236">
      <w:pPr>
        <w:rPr>
          <w:rFonts w:ascii="Arial" w:eastAsia="Calibri" w:hAnsi="Arial" w:cs="Arial"/>
          <w:sz w:val="20"/>
          <w:szCs w:val="20"/>
        </w:rPr>
      </w:pPr>
    </w:p>
    <w:p w14:paraId="01CF2CDE" w14:textId="0D7B947B" w:rsidR="00AE7548" w:rsidRPr="003D07A0" w:rsidRDefault="00AE7548" w:rsidP="00156236">
      <w:pPr>
        <w:rPr>
          <w:rFonts w:ascii="Arial" w:eastAsia="Calibri" w:hAnsi="Arial" w:cs="Arial"/>
          <w:sz w:val="20"/>
          <w:szCs w:val="20"/>
        </w:rPr>
      </w:pPr>
      <w:r w:rsidRPr="003D07A0">
        <w:rPr>
          <w:rFonts w:ascii="Arial" w:eastAsia="Calibri" w:hAnsi="Arial" w:cs="Arial"/>
          <w:sz w:val="20"/>
          <w:szCs w:val="20"/>
        </w:rPr>
        <w:t xml:space="preserve">Bashford, Alison (ed.), </w:t>
      </w:r>
      <w:r w:rsidRPr="003D07A0">
        <w:rPr>
          <w:rFonts w:ascii="Arial" w:eastAsia="Calibri" w:hAnsi="Arial" w:cs="Arial"/>
          <w:i/>
          <w:sz w:val="20"/>
          <w:szCs w:val="20"/>
        </w:rPr>
        <w:t>Medicine at the Border: Disease, Globalization and Security, 1850 to the Present</w:t>
      </w:r>
      <w:r w:rsidRPr="003D07A0">
        <w:rPr>
          <w:rFonts w:ascii="Arial" w:eastAsia="Calibri" w:hAnsi="Arial" w:cs="Arial"/>
          <w:sz w:val="20"/>
          <w:szCs w:val="20"/>
        </w:rPr>
        <w:t xml:space="preserve"> (Basingstoke, 2014).</w:t>
      </w:r>
    </w:p>
    <w:p w14:paraId="24ACA440" w14:textId="77777777" w:rsidR="00AE7548" w:rsidRPr="003D07A0" w:rsidRDefault="00AE7548" w:rsidP="00156236">
      <w:pPr>
        <w:rPr>
          <w:rFonts w:ascii="Arial" w:eastAsia="Calibri" w:hAnsi="Arial" w:cs="Arial"/>
          <w:sz w:val="20"/>
          <w:szCs w:val="20"/>
        </w:rPr>
      </w:pPr>
    </w:p>
    <w:p w14:paraId="1902F784" w14:textId="54D9D2AB" w:rsidR="00AE7548" w:rsidRPr="003D07A0" w:rsidRDefault="00AE7548" w:rsidP="00156236">
      <w:pPr>
        <w:rPr>
          <w:rFonts w:ascii="Arial" w:eastAsia="Calibri" w:hAnsi="Arial" w:cs="Arial"/>
          <w:color w:val="222222"/>
          <w:sz w:val="20"/>
          <w:szCs w:val="20"/>
        </w:rPr>
      </w:pPr>
      <w:r w:rsidRPr="003D07A0">
        <w:rPr>
          <w:rFonts w:ascii="Arial" w:eastAsia="Calibri" w:hAnsi="Arial" w:cs="Arial"/>
          <w:color w:val="222222"/>
          <w:sz w:val="20"/>
          <w:szCs w:val="20"/>
          <w:highlight w:val="white"/>
        </w:rPr>
        <w:t xml:space="preserve">Bashford, Alison, and Gilchrist, Catie, ‘The Colonial History of the 1905 Aliens Act’, </w:t>
      </w:r>
      <w:r w:rsidRPr="003D07A0">
        <w:rPr>
          <w:rFonts w:ascii="Arial" w:eastAsia="Calibri" w:hAnsi="Arial" w:cs="Arial"/>
          <w:i/>
          <w:color w:val="222222"/>
          <w:sz w:val="20"/>
          <w:szCs w:val="20"/>
          <w:highlight w:val="white"/>
        </w:rPr>
        <w:t>The Journal of Imperial and Commonwealth History</w:t>
      </w:r>
      <w:r w:rsidRPr="003D07A0">
        <w:rPr>
          <w:rFonts w:ascii="Arial" w:eastAsia="Calibri" w:hAnsi="Arial" w:cs="Arial"/>
          <w:color w:val="222222"/>
          <w:sz w:val="20"/>
          <w:szCs w:val="20"/>
          <w:highlight w:val="white"/>
        </w:rPr>
        <w:t>, 40, no. 3 (2012), p.409-437</w:t>
      </w:r>
      <w:r w:rsidRPr="003D07A0">
        <w:rPr>
          <w:rFonts w:ascii="Arial" w:eastAsia="Calibri" w:hAnsi="Arial" w:cs="Arial"/>
          <w:color w:val="222222"/>
          <w:sz w:val="20"/>
          <w:szCs w:val="20"/>
        </w:rPr>
        <w:t>.</w:t>
      </w:r>
    </w:p>
    <w:p w14:paraId="6F76BAE8" w14:textId="38ED4660" w:rsidR="00AE7548" w:rsidRPr="003D07A0" w:rsidRDefault="00AE7548" w:rsidP="00156236">
      <w:pPr>
        <w:rPr>
          <w:rFonts w:ascii="Arial" w:eastAsia="Calibri" w:hAnsi="Arial" w:cs="Arial"/>
          <w:color w:val="222222"/>
          <w:sz w:val="20"/>
          <w:szCs w:val="20"/>
        </w:rPr>
      </w:pPr>
    </w:p>
    <w:p w14:paraId="63D92909" w14:textId="1055AD47" w:rsidR="00AE7548" w:rsidRPr="003D07A0" w:rsidRDefault="00AE7548" w:rsidP="00727969">
      <w:pPr>
        <w:rPr>
          <w:rFonts w:ascii="Arial" w:eastAsia="Calibri" w:hAnsi="Arial" w:cs="Arial"/>
          <w:color w:val="3A3A3A"/>
          <w:sz w:val="20"/>
          <w:szCs w:val="20"/>
          <w:highlight w:val="white"/>
        </w:rPr>
      </w:pPr>
      <w:proofErr w:type="spellStart"/>
      <w:r w:rsidRPr="003D07A0">
        <w:rPr>
          <w:rFonts w:ascii="Arial" w:eastAsia="Calibri" w:hAnsi="Arial" w:cs="Arial"/>
          <w:sz w:val="20"/>
          <w:szCs w:val="20"/>
        </w:rPr>
        <w:t>Behm</w:t>
      </w:r>
      <w:proofErr w:type="spellEnd"/>
      <w:r w:rsidRPr="003D07A0">
        <w:rPr>
          <w:rFonts w:ascii="Arial" w:eastAsia="Calibri" w:hAnsi="Arial" w:cs="Arial"/>
          <w:sz w:val="20"/>
          <w:szCs w:val="20"/>
        </w:rPr>
        <w:t xml:space="preserve">, Amanda, </w:t>
      </w:r>
      <w:r w:rsidRPr="003D07A0">
        <w:rPr>
          <w:rFonts w:ascii="Arial" w:eastAsia="Calibri" w:hAnsi="Arial" w:cs="Arial"/>
          <w:i/>
          <w:color w:val="3A3A3A"/>
          <w:sz w:val="20"/>
          <w:szCs w:val="20"/>
          <w:highlight w:val="white"/>
        </w:rPr>
        <w:t xml:space="preserve">Imperial History and the Global Politics of Exclusion </w:t>
      </w:r>
      <w:r w:rsidRPr="003D07A0">
        <w:rPr>
          <w:rFonts w:ascii="Arial" w:eastAsia="Calibri" w:hAnsi="Arial" w:cs="Arial"/>
          <w:iCs/>
          <w:color w:val="3A3A3A"/>
          <w:sz w:val="20"/>
          <w:szCs w:val="20"/>
          <w:highlight w:val="white"/>
        </w:rPr>
        <w:t>(</w:t>
      </w:r>
      <w:r w:rsidRPr="003D07A0">
        <w:rPr>
          <w:rFonts w:ascii="Arial" w:eastAsia="Calibri" w:hAnsi="Arial" w:cs="Arial"/>
          <w:color w:val="3A3A3A"/>
          <w:sz w:val="20"/>
          <w:szCs w:val="20"/>
          <w:highlight w:val="white"/>
        </w:rPr>
        <w:t>London, 2017).</w:t>
      </w:r>
    </w:p>
    <w:p w14:paraId="7E60D505" w14:textId="77777777" w:rsidR="00AE7548" w:rsidRPr="003D07A0" w:rsidRDefault="00AE7548" w:rsidP="00727969">
      <w:pPr>
        <w:rPr>
          <w:rFonts w:ascii="Arial" w:eastAsia="Calibri" w:hAnsi="Arial" w:cs="Arial"/>
          <w:sz w:val="20"/>
          <w:szCs w:val="20"/>
        </w:rPr>
      </w:pPr>
    </w:p>
    <w:p w14:paraId="5C2135E1" w14:textId="3BE9409F" w:rsidR="00AE7548" w:rsidRPr="003D07A0" w:rsidRDefault="00AE7548" w:rsidP="00727969">
      <w:pPr>
        <w:rPr>
          <w:rFonts w:ascii="Arial" w:eastAsia="Calibri" w:hAnsi="Arial" w:cs="Arial"/>
          <w:sz w:val="20"/>
          <w:szCs w:val="20"/>
        </w:rPr>
      </w:pPr>
      <w:r w:rsidRPr="003D07A0">
        <w:rPr>
          <w:rFonts w:ascii="Arial" w:eastAsia="Calibri" w:hAnsi="Arial" w:cs="Arial"/>
          <w:sz w:val="20"/>
          <w:szCs w:val="20"/>
        </w:rPr>
        <w:t xml:space="preserve">Bell, Duncan, </w:t>
      </w:r>
      <w:r w:rsidRPr="003D07A0">
        <w:rPr>
          <w:rFonts w:ascii="Arial" w:eastAsia="Calibri" w:hAnsi="Arial" w:cs="Arial"/>
          <w:i/>
          <w:sz w:val="20"/>
          <w:szCs w:val="20"/>
        </w:rPr>
        <w:t xml:space="preserve">The Idea of Greater Britain: Empire and the Future of World Order, 1860-1900 </w:t>
      </w:r>
      <w:r w:rsidRPr="003D07A0">
        <w:rPr>
          <w:rFonts w:ascii="Arial" w:eastAsia="Calibri" w:hAnsi="Arial" w:cs="Arial"/>
          <w:sz w:val="20"/>
          <w:szCs w:val="20"/>
        </w:rPr>
        <w:t>(Oxford, 2007).</w:t>
      </w:r>
    </w:p>
    <w:p w14:paraId="01B1A087" w14:textId="6539F9BC" w:rsidR="00AE7548" w:rsidRPr="003D07A0" w:rsidRDefault="00AE7548" w:rsidP="00156236">
      <w:pPr>
        <w:rPr>
          <w:rFonts w:ascii="Arial" w:eastAsia="Calibri" w:hAnsi="Arial" w:cs="Arial"/>
          <w:color w:val="222222"/>
          <w:sz w:val="20"/>
          <w:szCs w:val="20"/>
        </w:rPr>
      </w:pPr>
    </w:p>
    <w:p w14:paraId="25E7388E" w14:textId="04EE3EF8" w:rsidR="00AE7548" w:rsidRPr="003D07A0" w:rsidRDefault="00AE7548" w:rsidP="00156236">
      <w:pPr>
        <w:rPr>
          <w:rFonts w:ascii="Arial" w:eastAsia="Calibri" w:hAnsi="Arial" w:cs="Arial"/>
          <w:sz w:val="20"/>
          <w:szCs w:val="20"/>
        </w:rPr>
      </w:pPr>
      <w:proofErr w:type="spellStart"/>
      <w:r w:rsidRPr="003D07A0">
        <w:rPr>
          <w:rFonts w:ascii="Arial" w:eastAsia="Calibri" w:hAnsi="Arial" w:cs="Arial"/>
          <w:sz w:val="20"/>
          <w:szCs w:val="20"/>
        </w:rPr>
        <w:t>Bosniak</w:t>
      </w:r>
      <w:proofErr w:type="spellEnd"/>
      <w:r w:rsidRPr="003D07A0">
        <w:rPr>
          <w:rFonts w:ascii="Arial" w:eastAsia="Calibri" w:hAnsi="Arial" w:cs="Arial"/>
          <w:sz w:val="20"/>
          <w:szCs w:val="20"/>
        </w:rPr>
        <w:t xml:space="preserve">, Linda, ‘Citizenship Denationalized’, </w:t>
      </w:r>
      <w:r w:rsidRPr="003D07A0">
        <w:rPr>
          <w:rFonts w:ascii="Arial" w:eastAsia="Calibri" w:hAnsi="Arial" w:cs="Arial"/>
          <w:i/>
          <w:sz w:val="20"/>
          <w:szCs w:val="20"/>
        </w:rPr>
        <w:t>Indiana Journal of Global Law Studies</w:t>
      </w:r>
      <w:r w:rsidRPr="003D07A0">
        <w:rPr>
          <w:rFonts w:ascii="Arial" w:eastAsia="Calibri" w:hAnsi="Arial" w:cs="Arial"/>
          <w:sz w:val="20"/>
          <w:szCs w:val="20"/>
        </w:rPr>
        <w:t>, 7, no.</w:t>
      </w:r>
      <w:r>
        <w:rPr>
          <w:rFonts w:ascii="Arial" w:eastAsia="Calibri" w:hAnsi="Arial" w:cs="Arial"/>
          <w:sz w:val="20"/>
          <w:szCs w:val="20"/>
        </w:rPr>
        <w:t xml:space="preserve"> </w:t>
      </w:r>
      <w:r w:rsidRPr="003D07A0">
        <w:rPr>
          <w:rFonts w:ascii="Arial" w:eastAsia="Calibri" w:hAnsi="Arial" w:cs="Arial"/>
          <w:sz w:val="20"/>
          <w:szCs w:val="20"/>
        </w:rPr>
        <w:t>2 (2000), p.447-509.</w:t>
      </w:r>
    </w:p>
    <w:p w14:paraId="6C25D0FB" w14:textId="77777777" w:rsidR="00AE7548" w:rsidRPr="003D07A0" w:rsidRDefault="00AE7548" w:rsidP="00156236">
      <w:pPr>
        <w:rPr>
          <w:rFonts w:ascii="Arial" w:eastAsia="Calibri" w:hAnsi="Arial" w:cs="Arial"/>
          <w:sz w:val="20"/>
          <w:szCs w:val="20"/>
        </w:rPr>
      </w:pPr>
    </w:p>
    <w:p w14:paraId="4554110F" w14:textId="7DDEA934" w:rsidR="00AE7548" w:rsidRDefault="00AE7548" w:rsidP="0076359C">
      <w:pPr>
        <w:rPr>
          <w:rFonts w:ascii="Arial" w:eastAsia="Calibri" w:hAnsi="Arial" w:cs="Arial"/>
          <w:color w:val="222222"/>
          <w:sz w:val="20"/>
          <w:szCs w:val="20"/>
          <w:highlight w:val="white"/>
        </w:rPr>
      </w:pPr>
      <w:r w:rsidRPr="003D07A0">
        <w:rPr>
          <w:rFonts w:ascii="Arial" w:eastAsia="Calibri" w:hAnsi="Arial" w:cs="Arial"/>
          <w:color w:val="222222"/>
          <w:sz w:val="20"/>
          <w:szCs w:val="20"/>
          <w:highlight w:val="white"/>
        </w:rPr>
        <w:t xml:space="preserve">Bright, Rachel, ‘A “great deal of discrimination is necessary in administering the law”: Frontier Guards and Migration Control in early twentieth century South Africa’, </w:t>
      </w:r>
      <w:r w:rsidRPr="003D07A0">
        <w:rPr>
          <w:rFonts w:ascii="Arial" w:eastAsia="Calibri" w:hAnsi="Arial" w:cs="Arial"/>
          <w:i/>
          <w:color w:val="222222"/>
          <w:sz w:val="20"/>
          <w:szCs w:val="20"/>
          <w:highlight w:val="white"/>
        </w:rPr>
        <w:t>Journal of Migration History</w:t>
      </w:r>
      <w:r w:rsidRPr="003D07A0">
        <w:rPr>
          <w:rFonts w:ascii="Arial" w:eastAsia="Calibri" w:hAnsi="Arial" w:cs="Arial"/>
          <w:iCs/>
          <w:color w:val="222222"/>
          <w:sz w:val="20"/>
          <w:szCs w:val="20"/>
          <w:highlight w:val="white"/>
        </w:rPr>
        <w:t>, 4, no.</w:t>
      </w:r>
      <w:r>
        <w:rPr>
          <w:rFonts w:ascii="Arial" w:eastAsia="Calibri" w:hAnsi="Arial" w:cs="Arial"/>
          <w:iCs/>
          <w:color w:val="222222"/>
          <w:sz w:val="20"/>
          <w:szCs w:val="20"/>
          <w:highlight w:val="white"/>
        </w:rPr>
        <w:t xml:space="preserve"> </w:t>
      </w:r>
      <w:r w:rsidRPr="003D07A0">
        <w:rPr>
          <w:rFonts w:ascii="Arial" w:eastAsia="Calibri" w:hAnsi="Arial" w:cs="Arial"/>
          <w:iCs/>
          <w:color w:val="222222"/>
          <w:sz w:val="20"/>
          <w:szCs w:val="20"/>
          <w:highlight w:val="white"/>
        </w:rPr>
        <w:t>1</w:t>
      </w:r>
      <w:r w:rsidRPr="003D07A0">
        <w:rPr>
          <w:rFonts w:ascii="Arial" w:eastAsia="Calibri" w:hAnsi="Arial" w:cs="Arial"/>
          <w:color w:val="222222"/>
          <w:sz w:val="20"/>
          <w:szCs w:val="20"/>
          <w:highlight w:val="white"/>
        </w:rPr>
        <w:t xml:space="preserve"> (2018), p.27-53.</w:t>
      </w:r>
    </w:p>
    <w:p w14:paraId="620E21A1" w14:textId="532D1380" w:rsidR="009564A9" w:rsidRDefault="009564A9" w:rsidP="0076359C">
      <w:pPr>
        <w:rPr>
          <w:rFonts w:ascii="Arial" w:eastAsia="Calibri" w:hAnsi="Arial" w:cs="Arial"/>
          <w:color w:val="222222"/>
          <w:sz w:val="20"/>
          <w:szCs w:val="20"/>
          <w:highlight w:val="white"/>
        </w:rPr>
      </w:pPr>
    </w:p>
    <w:p w14:paraId="0351F291" w14:textId="50497018" w:rsidR="009564A9" w:rsidRPr="003D07A0" w:rsidRDefault="009564A9" w:rsidP="0076359C">
      <w:pPr>
        <w:rPr>
          <w:rFonts w:ascii="Arial" w:eastAsia="Calibri" w:hAnsi="Arial" w:cs="Arial"/>
          <w:color w:val="222222"/>
          <w:sz w:val="20"/>
          <w:szCs w:val="20"/>
          <w:highlight w:val="white"/>
        </w:rPr>
      </w:pPr>
      <w:r w:rsidRPr="00944557">
        <w:rPr>
          <w:rFonts w:ascii="Arial" w:hAnsi="Arial" w:cs="Arial"/>
          <w:sz w:val="20"/>
          <w:szCs w:val="20"/>
        </w:rPr>
        <w:t xml:space="preserve">Bright, Rachel and Dilley, Andrew, </w:t>
      </w:r>
      <w:r w:rsidRPr="00944557">
        <w:rPr>
          <w:rFonts w:ascii="Arial" w:hAnsi="Arial" w:cs="Arial"/>
          <w:color w:val="000000"/>
          <w:sz w:val="20"/>
          <w:szCs w:val="20"/>
        </w:rPr>
        <w:t xml:space="preserve">‘After the British World’, </w:t>
      </w:r>
      <w:r w:rsidRPr="00944557">
        <w:rPr>
          <w:rFonts w:ascii="Arial" w:hAnsi="Arial" w:cs="Arial"/>
          <w:i/>
          <w:iCs/>
          <w:color w:val="000000"/>
          <w:sz w:val="20"/>
          <w:szCs w:val="20"/>
        </w:rPr>
        <w:t xml:space="preserve">The Historical Journal, </w:t>
      </w:r>
      <w:r w:rsidRPr="00944557">
        <w:rPr>
          <w:rFonts w:ascii="Arial" w:hAnsi="Arial" w:cs="Arial"/>
          <w:color w:val="000000"/>
          <w:sz w:val="20"/>
          <w:szCs w:val="20"/>
        </w:rPr>
        <w:t xml:space="preserve">60, </w:t>
      </w:r>
      <w:r>
        <w:rPr>
          <w:rFonts w:ascii="Arial" w:hAnsi="Arial" w:cs="Arial"/>
          <w:color w:val="000000"/>
          <w:sz w:val="20"/>
          <w:szCs w:val="20"/>
        </w:rPr>
        <w:t>n</w:t>
      </w:r>
      <w:r w:rsidRPr="00944557">
        <w:rPr>
          <w:rFonts w:ascii="Arial" w:hAnsi="Arial" w:cs="Arial"/>
          <w:color w:val="000000"/>
          <w:sz w:val="20"/>
          <w:szCs w:val="20"/>
        </w:rPr>
        <w:t xml:space="preserve">o. 2 (2017), </w:t>
      </w:r>
      <w:r>
        <w:rPr>
          <w:rFonts w:ascii="Arial" w:hAnsi="Arial" w:cs="Arial"/>
          <w:color w:val="000000"/>
          <w:sz w:val="20"/>
          <w:szCs w:val="20"/>
        </w:rPr>
        <w:t>p.</w:t>
      </w:r>
      <w:r w:rsidRPr="00944557">
        <w:rPr>
          <w:rFonts w:ascii="Arial" w:hAnsi="Arial" w:cs="Arial"/>
          <w:color w:val="000000"/>
          <w:sz w:val="20"/>
          <w:szCs w:val="20"/>
        </w:rPr>
        <w:t>547-568.</w:t>
      </w:r>
    </w:p>
    <w:p w14:paraId="19767A24" w14:textId="71387C3C" w:rsidR="00AE7548" w:rsidRPr="003D07A0" w:rsidRDefault="00AE7548" w:rsidP="0076359C">
      <w:pPr>
        <w:rPr>
          <w:rFonts w:ascii="Arial" w:eastAsia="Calibri" w:hAnsi="Arial" w:cs="Arial"/>
          <w:color w:val="222222"/>
          <w:sz w:val="20"/>
          <w:szCs w:val="20"/>
          <w:highlight w:val="white"/>
        </w:rPr>
      </w:pPr>
    </w:p>
    <w:p w14:paraId="1F02FCBD" w14:textId="1BF35A96" w:rsidR="00AE7548" w:rsidRDefault="00AE7548" w:rsidP="0076359C">
      <w:pPr>
        <w:rPr>
          <w:rFonts w:ascii="Arial" w:eastAsia="Calibri" w:hAnsi="Arial" w:cs="Arial"/>
          <w:sz w:val="20"/>
          <w:szCs w:val="20"/>
        </w:rPr>
      </w:pPr>
      <w:r w:rsidRPr="003D07A0">
        <w:rPr>
          <w:rFonts w:ascii="Arial" w:eastAsia="Calibri" w:hAnsi="Arial" w:cs="Arial"/>
          <w:sz w:val="20"/>
          <w:szCs w:val="20"/>
        </w:rPr>
        <w:t xml:space="preserve">Bright, Rachel, ‘Asian Migration and the British World, 1850-1914’, in K. </w:t>
      </w:r>
      <w:proofErr w:type="spellStart"/>
      <w:r w:rsidRPr="003D07A0">
        <w:rPr>
          <w:rFonts w:ascii="Arial" w:eastAsia="Calibri" w:hAnsi="Arial" w:cs="Arial"/>
          <w:sz w:val="20"/>
          <w:szCs w:val="20"/>
        </w:rPr>
        <w:t>Fedorowich</w:t>
      </w:r>
      <w:proofErr w:type="spellEnd"/>
      <w:r w:rsidRPr="003D07A0">
        <w:rPr>
          <w:rFonts w:ascii="Arial" w:eastAsia="Calibri" w:hAnsi="Arial" w:cs="Arial"/>
          <w:sz w:val="20"/>
          <w:szCs w:val="20"/>
        </w:rPr>
        <w:t xml:space="preserve"> and A. Thompson (eds.), </w:t>
      </w:r>
      <w:r w:rsidRPr="003D07A0">
        <w:rPr>
          <w:rFonts w:ascii="Arial" w:eastAsia="Calibri" w:hAnsi="Arial" w:cs="Arial"/>
          <w:i/>
          <w:sz w:val="20"/>
          <w:szCs w:val="20"/>
        </w:rPr>
        <w:t>Empire, Identity and Migration in the British World</w:t>
      </w:r>
      <w:r w:rsidRPr="003D07A0">
        <w:rPr>
          <w:rFonts w:ascii="Arial" w:eastAsia="Calibri" w:hAnsi="Arial" w:cs="Arial"/>
          <w:sz w:val="20"/>
          <w:szCs w:val="20"/>
        </w:rPr>
        <w:t xml:space="preserve"> (Manchester, 2013), p.128-149.</w:t>
      </w:r>
    </w:p>
    <w:p w14:paraId="61E6E7AF" w14:textId="72531171" w:rsidR="00AE7548" w:rsidRDefault="00AE7548" w:rsidP="0076359C">
      <w:pPr>
        <w:rPr>
          <w:rFonts w:ascii="Arial" w:eastAsia="Calibri" w:hAnsi="Arial" w:cs="Arial"/>
          <w:sz w:val="20"/>
          <w:szCs w:val="20"/>
        </w:rPr>
      </w:pPr>
    </w:p>
    <w:p w14:paraId="77D11954" w14:textId="0D1E3ECD" w:rsidR="00AE7548" w:rsidRPr="003D07A0" w:rsidRDefault="00AE7548" w:rsidP="0076359C">
      <w:pPr>
        <w:rPr>
          <w:rFonts w:ascii="Arial" w:eastAsia="Calibri" w:hAnsi="Arial" w:cs="Arial"/>
          <w:sz w:val="20"/>
          <w:szCs w:val="20"/>
        </w:rPr>
      </w:pPr>
      <w:r w:rsidRPr="00917497">
        <w:rPr>
          <w:rFonts w:ascii="Arial" w:eastAsia="Calibri" w:hAnsi="Arial" w:cs="Arial"/>
          <w:sz w:val="20"/>
          <w:szCs w:val="20"/>
        </w:rPr>
        <w:t>Bright, ‘</w:t>
      </w:r>
      <w:r>
        <w:rPr>
          <w:rFonts w:ascii="Arial" w:eastAsia="Calibri" w:hAnsi="Arial" w:cs="Arial"/>
          <w:sz w:val="20"/>
          <w:szCs w:val="20"/>
        </w:rPr>
        <w:t xml:space="preserve">Rachel, </w:t>
      </w:r>
      <w:r w:rsidRPr="00917497">
        <w:rPr>
          <w:rFonts w:ascii="Arial" w:hAnsi="Arial" w:cs="Arial"/>
          <w:sz w:val="20"/>
          <w:szCs w:val="20"/>
        </w:rPr>
        <w:t xml:space="preserve">Women's naturalisation in Australia during World War I’, </w:t>
      </w:r>
      <w:r w:rsidRPr="006B46C8">
        <w:rPr>
          <w:rFonts w:ascii="Arial" w:hAnsi="Arial" w:cs="Arial"/>
          <w:i/>
          <w:iCs/>
          <w:sz w:val="20"/>
          <w:szCs w:val="20"/>
        </w:rPr>
        <w:t>Journal of Ethnic and Migration Studies</w:t>
      </w:r>
      <w:r w:rsidRPr="00917497">
        <w:rPr>
          <w:rFonts w:ascii="Arial" w:hAnsi="Arial" w:cs="Arial"/>
          <w:sz w:val="20"/>
          <w:szCs w:val="20"/>
        </w:rPr>
        <w:t>, forthcoming.</w:t>
      </w:r>
    </w:p>
    <w:p w14:paraId="50F44050" w14:textId="77777777" w:rsidR="00AE7548" w:rsidRPr="003D07A0" w:rsidRDefault="00AE7548" w:rsidP="00156236">
      <w:pPr>
        <w:rPr>
          <w:rFonts w:ascii="Arial" w:eastAsia="Calibri" w:hAnsi="Arial" w:cs="Arial"/>
          <w:sz w:val="20"/>
          <w:szCs w:val="20"/>
        </w:rPr>
      </w:pPr>
    </w:p>
    <w:p w14:paraId="17A442E6" w14:textId="6758B3BD" w:rsidR="00AE7548" w:rsidRPr="003D07A0" w:rsidRDefault="00AE7548" w:rsidP="00156236">
      <w:pPr>
        <w:rPr>
          <w:rFonts w:ascii="Arial" w:eastAsia="Calibri" w:hAnsi="Arial" w:cs="Arial"/>
          <w:sz w:val="20"/>
          <w:szCs w:val="20"/>
        </w:rPr>
      </w:pPr>
      <w:r w:rsidRPr="003D07A0">
        <w:rPr>
          <w:rFonts w:ascii="Arial" w:eastAsia="Calibri" w:hAnsi="Arial" w:cs="Arial"/>
          <w:sz w:val="20"/>
          <w:szCs w:val="20"/>
        </w:rPr>
        <w:t xml:space="preserve">Breckenridge, K., and </w:t>
      </w:r>
      <w:proofErr w:type="spellStart"/>
      <w:r w:rsidRPr="003D07A0">
        <w:rPr>
          <w:rFonts w:ascii="Arial" w:eastAsia="Calibri" w:hAnsi="Arial" w:cs="Arial"/>
          <w:sz w:val="20"/>
          <w:szCs w:val="20"/>
        </w:rPr>
        <w:t>Szreter</w:t>
      </w:r>
      <w:proofErr w:type="spellEnd"/>
      <w:r w:rsidRPr="003D07A0">
        <w:rPr>
          <w:rFonts w:ascii="Arial" w:eastAsia="Calibri" w:hAnsi="Arial" w:cs="Arial"/>
          <w:sz w:val="20"/>
          <w:szCs w:val="20"/>
        </w:rPr>
        <w:t xml:space="preserve">, S. (eds.) </w:t>
      </w:r>
      <w:r w:rsidRPr="003D07A0">
        <w:rPr>
          <w:rFonts w:ascii="Arial" w:eastAsia="Calibri" w:hAnsi="Arial" w:cs="Arial"/>
          <w:i/>
          <w:sz w:val="20"/>
          <w:szCs w:val="20"/>
        </w:rPr>
        <w:t xml:space="preserve">Recognition and Registration: Documenting the Person in World History </w:t>
      </w:r>
      <w:r w:rsidRPr="003D07A0">
        <w:rPr>
          <w:rFonts w:ascii="Arial" w:eastAsia="Calibri" w:hAnsi="Arial" w:cs="Arial"/>
          <w:sz w:val="20"/>
          <w:szCs w:val="20"/>
        </w:rPr>
        <w:t>(Oxford, 2012).</w:t>
      </w:r>
    </w:p>
    <w:p w14:paraId="790A351B" w14:textId="77777777" w:rsidR="00AE7548" w:rsidRPr="003D07A0" w:rsidRDefault="00AE7548" w:rsidP="00156236">
      <w:pPr>
        <w:rPr>
          <w:rFonts w:ascii="Arial" w:eastAsia="Calibri" w:hAnsi="Arial" w:cs="Arial"/>
          <w:sz w:val="20"/>
          <w:szCs w:val="20"/>
        </w:rPr>
      </w:pPr>
    </w:p>
    <w:p w14:paraId="2EB53CE0" w14:textId="79ED2647" w:rsidR="00BF4E4B" w:rsidRDefault="00BF4E4B" w:rsidP="00BF4E4B">
      <w:pPr>
        <w:rPr>
          <w:rFonts w:ascii="Arial" w:eastAsia="Calibri" w:hAnsi="Arial" w:cs="Arial"/>
          <w:sz w:val="20"/>
          <w:szCs w:val="20"/>
        </w:rPr>
      </w:pPr>
      <w:r w:rsidRPr="00921944">
        <w:rPr>
          <w:rFonts w:ascii="Arial" w:hAnsi="Arial" w:cs="Arial"/>
          <w:color w:val="000000" w:themeColor="text1"/>
          <w:sz w:val="20"/>
          <w:szCs w:val="20"/>
        </w:rPr>
        <w:t>Cape Town Archives Repository</w:t>
      </w:r>
      <w:r>
        <w:rPr>
          <w:rFonts w:ascii="Arial" w:hAnsi="Arial" w:cs="Arial"/>
          <w:color w:val="000000" w:themeColor="text1"/>
          <w:sz w:val="20"/>
          <w:szCs w:val="20"/>
        </w:rPr>
        <w:t xml:space="preserve"> (</w:t>
      </w:r>
      <w:r w:rsidRPr="00921944">
        <w:rPr>
          <w:rFonts w:ascii="Arial" w:hAnsi="Arial" w:cs="Arial"/>
          <w:color w:val="000000" w:themeColor="text1"/>
          <w:sz w:val="20"/>
          <w:szCs w:val="20"/>
        </w:rPr>
        <w:t>KAB</w:t>
      </w:r>
      <w:r>
        <w:rPr>
          <w:rFonts w:ascii="Arial" w:hAnsi="Arial" w:cs="Arial"/>
          <w:color w:val="000000" w:themeColor="text1"/>
          <w:sz w:val="20"/>
          <w:szCs w:val="20"/>
        </w:rPr>
        <w:t>)</w:t>
      </w:r>
      <w:r>
        <w:rPr>
          <w:rFonts w:ascii="Arial" w:hAnsi="Arial" w:cs="Arial"/>
          <w:color w:val="000000" w:themeColor="text1"/>
          <w:sz w:val="20"/>
          <w:szCs w:val="20"/>
        </w:rPr>
        <w:t>.</w:t>
      </w:r>
    </w:p>
    <w:p w14:paraId="6E397E75" w14:textId="77777777" w:rsidR="00BF4E4B" w:rsidRDefault="00BF4E4B" w:rsidP="00156236">
      <w:pPr>
        <w:rPr>
          <w:rFonts w:ascii="Arial" w:eastAsia="Calibri" w:hAnsi="Arial" w:cs="Arial"/>
          <w:sz w:val="20"/>
          <w:szCs w:val="20"/>
        </w:rPr>
      </w:pPr>
    </w:p>
    <w:p w14:paraId="57BB86B7" w14:textId="287366BF" w:rsidR="00AE7548" w:rsidRPr="003D07A0" w:rsidRDefault="00AE7548" w:rsidP="00156236">
      <w:pPr>
        <w:rPr>
          <w:rFonts w:ascii="Arial" w:eastAsia="Calibri" w:hAnsi="Arial" w:cs="Arial"/>
          <w:sz w:val="20"/>
          <w:szCs w:val="20"/>
        </w:rPr>
      </w:pPr>
      <w:r w:rsidRPr="003D07A0">
        <w:rPr>
          <w:rFonts w:ascii="Arial" w:eastAsia="Calibri" w:hAnsi="Arial" w:cs="Arial"/>
          <w:sz w:val="20"/>
          <w:szCs w:val="20"/>
        </w:rPr>
        <w:t xml:space="preserve">Caplan, J.  and </w:t>
      </w:r>
      <w:proofErr w:type="spellStart"/>
      <w:r w:rsidRPr="003D07A0">
        <w:rPr>
          <w:rFonts w:ascii="Arial" w:eastAsia="Calibri" w:hAnsi="Arial" w:cs="Arial"/>
          <w:sz w:val="20"/>
          <w:szCs w:val="20"/>
        </w:rPr>
        <w:t>Torpey</w:t>
      </w:r>
      <w:proofErr w:type="spellEnd"/>
      <w:r w:rsidRPr="003D07A0">
        <w:rPr>
          <w:rFonts w:ascii="Arial" w:eastAsia="Calibri" w:hAnsi="Arial" w:cs="Arial"/>
          <w:sz w:val="20"/>
          <w:szCs w:val="20"/>
        </w:rPr>
        <w:t xml:space="preserve">, J. (eds.), </w:t>
      </w:r>
      <w:r w:rsidRPr="003D07A0">
        <w:rPr>
          <w:rFonts w:ascii="Arial" w:eastAsia="Calibri" w:hAnsi="Arial" w:cs="Arial"/>
          <w:i/>
          <w:sz w:val="20"/>
          <w:szCs w:val="20"/>
        </w:rPr>
        <w:t xml:space="preserve">Documenting Individual Identity: The Development of State Practices in the Modern World </w:t>
      </w:r>
      <w:r w:rsidRPr="003D07A0">
        <w:rPr>
          <w:rFonts w:ascii="Arial" w:eastAsia="Calibri" w:hAnsi="Arial" w:cs="Arial"/>
          <w:sz w:val="20"/>
          <w:szCs w:val="20"/>
        </w:rPr>
        <w:t>(Oxford, 2001).</w:t>
      </w:r>
    </w:p>
    <w:p w14:paraId="7546A7FF" w14:textId="77777777" w:rsidR="00AE7548" w:rsidRPr="003D07A0" w:rsidRDefault="00AE7548" w:rsidP="00E13B1A">
      <w:pPr>
        <w:rPr>
          <w:rFonts w:ascii="Arial" w:hAnsi="Arial" w:cs="Arial"/>
          <w:color w:val="000000" w:themeColor="text1"/>
          <w:sz w:val="20"/>
          <w:szCs w:val="20"/>
        </w:rPr>
      </w:pPr>
    </w:p>
    <w:p w14:paraId="21EA1592" w14:textId="11FCE7C4" w:rsidR="00AE7548" w:rsidRPr="003D07A0" w:rsidRDefault="00AE7548" w:rsidP="00156236">
      <w:pPr>
        <w:rPr>
          <w:rFonts w:ascii="Arial" w:eastAsia="Calibri" w:hAnsi="Arial" w:cs="Arial"/>
          <w:sz w:val="20"/>
          <w:szCs w:val="20"/>
        </w:rPr>
      </w:pPr>
      <w:r w:rsidRPr="003D07A0">
        <w:rPr>
          <w:rFonts w:ascii="Arial" w:eastAsia="Calibri" w:hAnsi="Arial" w:cs="Arial"/>
          <w:sz w:val="20"/>
          <w:szCs w:val="20"/>
        </w:rPr>
        <w:t xml:space="preserve">Castles, S. and Miller, J., </w:t>
      </w:r>
      <w:r w:rsidRPr="003D07A0">
        <w:rPr>
          <w:rFonts w:ascii="Arial" w:eastAsia="Calibri" w:hAnsi="Arial" w:cs="Arial"/>
          <w:i/>
          <w:sz w:val="20"/>
          <w:szCs w:val="20"/>
        </w:rPr>
        <w:t xml:space="preserve">The Age of Migration: international population movements in the modern world </w:t>
      </w:r>
      <w:r w:rsidRPr="003D07A0">
        <w:rPr>
          <w:rFonts w:ascii="Arial" w:eastAsia="Calibri" w:hAnsi="Arial" w:cs="Arial"/>
          <w:sz w:val="20"/>
          <w:szCs w:val="20"/>
        </w:rPr>
        <w:t>(Basingstoke, 2008).</w:t>
      </w:r>
    </w:p>
    <w:p w14:paraId="2E5414FC" w14:textId="6AB5D129" w:rsidR="00AE7548" w:rsidRPr="003D07A0" w:rsidRDefault="00AE7548" w:rsidP="00156236">
      <w:pPr>
        <w:rPr>
          <w:rFonts w:ascii="Arial" w:eastAsia="Calibri" w:hAnsi="Arial" w:cs="Arial"/>
          <w:sz w:val="20"/>
          <w:szCs w:val="20"/>
        </w:rPr>
      </w:pPr>
    </w:p>
    <w:p w14:paraId="3B590D3D" w14:textId="77777777" w:rsidR="00AE7548" w:rsidRPr="003D07A0" w:rsidRDefault="00AE7548" w:rsidP="00E24FA9">
      <w:pPr>
        <w:rPr>
          <w:rFonts w:ascii="Arial" w:eastAsia="Calibri" w:hAnsi="Arial" w:cs="Arial"/>
          <w:sz w:val="20"/>
          <w:szCs w:val="20"/>
        </w:rPr>
      </w:pPr>
      <w:r w:rsidRPr="003D07A0">
        <w:rPr>
          <w:rFonts w:ascii="Arial" w:eastAsia="Calibri" w:hAnsi="Arial" w:cs="Arial"/>
          <w:sz w:val="20"/>
          <w:szCs w:val="20"/>
        </w:rPr>
        <w:t xml:space="preserve">Chesterman, John, and Galligan, Brian, </w:t>
      </w:r>
      <w:r w:rsidRPr="003D07A0">
        <w:rPr>
          <w:rFonts w:ascii="Arial" w:eastAsia="Calibri" w:hAnsi="Arial" w:cs="Arial"/>
          <w:i/>
          <w:sz w:val="20"/>
          <w:szCs w:val="20"/>
        </w:rPr>
        <w:t xml:space="preserve">Citizens without Rights: Aborigines and Australian Citizenship </w:t>
      </w:r>
      <w:r w:rsidRPr="003D07A0">
        <w:rPr>
          <w:rFonts w:ascii="Arial" w:eastAsia="Calibri" w:hAnsi="Arial" w:cs="Arial"/>
          <w:sz w:val="20"/>
          <w:szCs w:val="20"/>
        </w:rPr>
        <w:t>(Cambridge, 1997).</w:t>
      </w:r>
    </w:p>
    <w:p w14:paraId="625DB6B3" w14:textId="77777777" w:rsidR="00AE7548" w:rsidRPr="003D07A0" w:rsidRDefault="00AE7548" w:rsidP="00E24FA9">
      <w:pPr>
        <w:rPr>
          <w:rFonts w:ascii="Arial" w:eastAsia="Calibri" w:hAnsi="Arial" w:cs="Arial"/>
          <w:sz w:val="20"/>
          <w:szCs w:val="20"/>
        </w:rPr>
      </w:pPr>
    </w:p>
    <w:p w14:paraId="33349854" w14:textId="6A8FEF5E" w:rsidR="00AE7548" w:rsidRPr="003D07A0" w:rsidRDefault="00AE7548" w:rsidP="00156236">
      <w:pPr>
        <w:rPr>
          <w:rFonts w:ascii="Arial" w:eastAsia="Calibri" w:hAnsi="Arial" w:cs="Arial"/>
          <w:sz w:val="20"/>
          <w:szCs w:val="20"/>
        </w:rPr>
      </w:pPr>
      <w:r w:rsidRPr="003D07A0">
        <w:rPr>
          <w:rFonts w:ascii="Arial" w:eastAsia="Calibri" w:hAnsi="Arial" w:cs="Arial"/>
          <w:sz w:val="20"/>
          <w:szCs w:val="20"/>
        </w:rPr>
        <w:t xml:space="preserve">Chesterman, John, ‘Natural-Born Subjects? Race and British Subjecthood in Australia’, </w:t>
      </w:r>
      <w:r w:rsidRPr="003D07A0">
        <w:rPr>
          <w:rFonts w:ascii="Arial" w:eastAsia="Calibri" w:hAnsi="Arial" w:cs="Arial"/>
          <w:i/>
          <w:sz w:val="20"/>
          <w:szCs w:val="20"/>
        </w:rPr>
        <w:t>Australian Journal of Politics and History</w:t>
      </w:r>
      <w:r w:rsidRPr="003D07A0">
        <w:rPr>
          <w:rFonts w:ascii="Arial" w:eastAsia="Calibri" w:hAnsi="Arial" w:cs="Arial"/>
          <w:sz w:val="20"/>
          <w:szCs w:val="20"/>
        </w:rPr>
        <w:t>, 51, no. 1 (2005), p.30-39.</w:t>
      </w:r>
    </w:p>
    <w:p w14:paraId="7F71FA34" w14:textId="77777777" w:rsidR="00AE7548" w:rsidRPr="003D07A0" w:rsidRDefault="00AE7548" w:rsidP="0049097E">
      <w:pPr>
        <w:rPr>
          <w:rFonts w:ascii="Arial" w:eastAsia="Calibri" w:hAnsi="Arial" w:cs="Arial"/>
          <w:sz w:val="20"/>
          <w:szCs w:val="20"/>
        </w:rPr>
      </w:pPr>
    </w:p>
    <w:p w14:paraId="5298A8C8" w14:textId="2B01D0D6" w:rsidR="00AE7548" w:rsidRDefault="00AE7548" w:rsidP="0049097E">
      <w:pPr>
        <w:rPr>
          <w:rFonts w:ascii="Arial" w:eastAsia="Calibri" w:hAnsi="Arial" w:cs="Arial"/>
          <w:sz w:val="20"/>
          <w:szCs w:val="20"/>
        </w:rPr>
      </w:pPr>
      <w:r w:rsidRPr="003D07A0">
        <w:rPr>
          <w:rFonts w:ascii="Arial" w:eastAsia="Calibri" w:hAnsi="Arial" w:cs="Arial"/>
          <w:sz w:val="20"/>
          <w:szCs w:val="20"/>
        </w:rPr>
        <w:t xml:space="preserve">Clarke, A. H., ‘Citizenship and Naturalization’, </w:t>
      </w:r>
      <w:r w:rsidRPr="003D07A0">
        <w:rPr>
          <w:rFonts w:ascii="Arial" w:eastAsia="Calibri" w:hAnsi="Arial" w:cs="Arial"/>
          <w:i/>
          <w:sz w:val="20"/>
          <w:szCs w:val="20"/>
        </w:rPr>
        <w:t>The Canadian Law Times</w:t>
      </w:r>
      <w:r w:rsidRPr="003D07A0">
        <w:rPr>
          <w:rFonts w:ascii="Arial" w:eastAsia="Calibri" w:hAnsi="Arial" w:cs="Arial"/>
          <w:sz w:val="20"/>
          <w:szCs w:val="20"/>
        </w:rPr>
        <w:t>, 35 (1915), p.317-323.</w:t>
      </w:r>
    </w:p>
    <w:p w14:paraId="7FB56240" w14:textId="6C874083" w:rsidR="00AE7548" w:rsidRDefault="00AE7548" w:rsidP="0049097E">
      <w:pPr>
        <w:rPr>
          <w:rFonts w:ascii="Arial" w:eastAsia="Calibri" w:hAnsi="Arial" w:cs="Arial"/>
          <w:sz w:val="20"/>
          <w:szCs w:val="20"/>
        </w:rPr>
      </w:pPr>
    </w:p>
    <w:p w14:paraId="7F6BE840" w14:textId="6A66411C" w:rsidR="00AE7548" w:rsidRPr="002F61A5" w:rsidRDefault="00AE7548" w:rsidP="002F61A5">
      <w:pPr>
        <w:rPr>
          <w:color w:val="000000" w:themeColor="text1"/>
          <w:sz w:val="20"/>
          <w:szCs w:val="20"/>
        </w:rPr>
      </w:pPr>
      <w:r w:rsidRPr="002F61A5">
        <w:rPr>
          <w:rFonts w:ascii="Arial" w:eastAsia="Calibri" w:hAnsi="Arial" w:cs="Arial"/>
          <w:color w:val="000000" w:themeColor="text1"/>
          <w:sz w:val="20"/>
          <w:szCs w:val="20"/>
        </w:rPr>
        <w:t xml:space="preserve">Cohen, Robin, </w:t>
      </w:r>
      <w:r w:rsidRPr="002F61A5">
        <w:rPr>
          <w:rStyle w:val="Emphasis"/>
          <w:rFonts w:ascii="Arial" w:hAnsi="Arial" w:cs="Arial"/>
          <w:color w:val="000000" w:themeColor="text1"/>
          <w:sz w:val="20"/>
          <w:szCs w:val="20"/>
          <w:shd w:val="clear" w:color="auto" w:fill="FFFFFF"/>
        </w:rPr>
        <w:t>Frontiers</w:t>
      </w:r>
      <w:r w:rsidRPr="002F61A5">
        <w:rPr>
          <w:rFonts w:ascii="Arial" w:hAnsi="Arial" w:cs="Arial"/>
          <w:color w:val="000000" w:themeColor="text1"/>
          <w:sz w:val="20"/>
          <w:szCs w:val="20"/>
          <w:shd w:val="clear" w:color="auto" w:fill="FFFFFF"/>
        </w:rPr>
        <w:t> </w:t>
      </w:r>
      <w:r w:rsidRPr="002F61A5">
        <w:rPr>
          <w:rFonts w:ascii="Arial" w:hAnsi="Arial" w:cs="Arial"/>
          <w:i/>
          <w:iCs/>
          <w:color w:val="000000" w:themeColor="text1"/>
          <w:sz w:val="20"/>
          <w:szCs w:val="20"/>
          <w:shd w:val="clear" w:color="auto" w:fill="FFFFFF"/>
        </w:rPr>
        <w:t>of Identity: The British and the Others</w:t>
      </w:r>
      <w:r w:rsidRPr="002F61A5">
        <w:rPr>
          <w:rFonts w:ascii="Arial" w:hAnsi="Arial" w:cs="Arial"/>
          <w:color w:val="000000" w:themeColor="text1"/>
          <w:sz w:val="20"/>
          <w:szCs w:val="20"/>
          <w:shd w:val="clear" w:color="auto" w:fill="FFFFFF"/>
        </w:rPr>
        <w:t xml:space="preserve"> (London, 1994)</w:t>
      </w:r>
    </w:p>
    <w:p w14:paraId="2FE86466" w14:textId="77777777" w:rsidR="00AE7548" w:rsidRPr="003D07A0" w:rsidRDefault="00AE7548" w:rsidP="00E13B1A">
      <w:pPr>
        <w:rPr>
          <w:rFonts w:ascii="Arial" w:hAnsi="Arial" w:cs="Arial"/>
          <w:color w:val="000000" w:themeColor="text1"/>
          <w:sz w:val="20"/>
          <w:szCs w:val="20"/>
        </w:rPr>
      </w:pPr>
    </w:p>
    <w:p w14:paraId="65B1E4EE" w14:textId="7167A316" w:rsidR="00AE7548" w:rsidRPr="003D07A0" w:rsidRDefault="00AE7548" w:rsidP="00E13B1A">
      <w:pPr>
        <w:rPr>
          <w:rFonts w:ascii="Arial" w:hAnsi="Arial" w:cs="Arial"/>
          <w:color w:val="000000" w:themeColor="text1"/>
          <w:sz w:val="20"/>
          <w:szCs w:val="20"/>
        </w:rPr>
      </w:pPr>
      <w:r w:rsidRPr="003D07A0">
        <w:rPr>
          <w:rFonts w:ascii="Arial" w:hAnsi="Arial" w:cs="Arial"/>
          <w:color w:val="000000" w:themeColor="text1"/>
          <w:sz w:val="20"/>
          <w:szCs w:val="20"/>
        </w:rPr>
        <w:t xml:space="preserve">Colley, Linda, </w:t>
      </w:r>
      <w:r w:rsidRPr="003D07A0">
        <w:rPr>
          <w:rFonts w:ascii="Arial" w:hAnsi="Arial" w:cs="Arial"/>
          <w:i/>
          <w:iCs/>
          <w:color w:val="000000" w:themeColor="text1"/>
          <w:sz w:val="20"/>
          <w:szCs w:val="20"/>
          <w:shd w:val="clear" w:color="auto" w:fill="FFFFFF"/>
        </w:rPr>
        <w:t>Britons: Forging the Nation 1707–1837</w:t>
      </w:r>
      <w:r w:rsidRPr="003D07A0">
        <w:rPr>
          <w:rFonts w:ascii="Arial" w:hAnsi="Arial" w:cs="Arial"/>
          <w:color w:val="000000" w:themeColor="text1"/>
          <w:sz w:val="20"/>
          <w:szCs w:val="20"/>
          <w:shd w:val="clear" w:color="auto" w:fill="FFFFFF"/>
        </w:rPr>
        <w:t xml:space="preserve"> (London, 1992, revised ed. 2009).</w:t>
      </w:r>
    </w:p>
    <w:p w14:paraId="3DCCF70B" w14:textId="77777777" w:rsidR="00AE7548" w:rsidRPr="003D07A0" w:rsidRDefault="00AE7548" w:rsidP="00156236">
      <w:pPr>
        <w:rPr>
          <w:rFonts w:ascii="Arial" w:eastAsia="Calibri" w:hAnsi="Arial" w:cs="Arial"/>
          <w:sz w:val="20"/>
          <w:szCs w:val="20"/>
        </w:rPr>
      </w:pPr>
    </w:p>
    <w:p w14:paraId="4008BDC2" w14:textId="3A8B8292" w:rsidR="00AE7548" w:rsidRPr="003D07A0" w:rsidRDefault="00AE7548" w:rsidP="00E06626">
      <w:pPr>
        <w:rPr>
          <w:rFonts w:ascii="Arial" w:eastAsia="Calibri" w:hAnsi="Arial" w:cs="Arial"/>
          <w:sz w:val="20"/>
          <w:szCs w:val="20"/>
        </w:rPr>
      </w:pPr>
      <w:r w:rsidRPr="003D07A0">
        <w:rPr>
          <w:rFonts w:ascii="Arial" w:eastAsia="Calibri" w:hAnsi="Arial" w:cs="Arial"/>
          <w:sz w:val="20"/>
          <w:szCs w:val="20"/>
        </w:rPr>
        <w:t xml:space="preserve">Condor, Susan, ‘Towards a Social Psychology of Citizenship? Introduction to the Special Issue’, </w:t>
      </w:r>
      <w:r w:rsidRPr="003D07A0">
        <w:rPr>
          <w:rFonts w:ascii="Arial" w:eastAsia="Calibri" w:hAnsi="Arial" w:cs="Arial"/>
          <w:i/>
          <w:sz w:val="20"/>
          <w:szCs w:val="20"/>
        </w:rPr>
        <w:t>Journal of Community and Applied Social Psychology</w:t>
      </w:r>
      <w:r w:rsidRPr="003D07A0">
        <w:rPr>
          <w:rFonts w:ascii="Arial" w:eastAsia="Calibri" w:hAnsi="Arial" w:cs="Arial"/>
          <w:sz w:val="20"/>
          <w:szCs w:val="20"/>
        </w:rPr>
        <w:t>, 21 (2011), p.193-201.</w:t>
      </w:r>
    </w:p>
    <w:p w14:paraId="054EEDE3" w14:textId="77777777" w:rsidR="00AE7548" w:rsidRPr="003D07A0" w:rsidRDefault="00AE7548" w:rsidP="008B611A">
      <w:pPr>
        <w:rPr>
          <w:rFonts w:ascii="Arial" w:eastAsia="Calibri" w:hAnsi="Arial" w:cs="Arial"/>
          <w:sz w:val="20"/>
          <w:szCs w:val="20"/>
        </w:rPr>
      </w:pPr>
    </w:p>
    <w:p w14:paraId="5A8B5887" w14:textId="3A20544D" w:rsidR="00AE7548" w:rsidRPr="00AC352E" w:rsidRDefault="00AE7548" w:rsidP="008B611A">
      <w:pPr>
        <w:rPr>
          <w:rFonts w:ascii="Arial" w:eastAsia="Calibri" w:hAnsi="Arial" w:cs="Arial"/>
          <w:color w:val="000000" w:themeColor="text1"/>
          <w:sz w:val="20"/>
          <w:szCs w:val="20"/>
        </w:rPr>
      </w:pPr>
      <w:r w:rsidRPr="003D07A0">
        <w:rPr>
          <w:rFonts w:ascii="Arial" w:eastAsia="Calibri" w:hAnsi="Arial" w:cs="Arial"/>
          <w:sz w:val="20"/>
          <w:szCs w:val="20"/>
        </w:rPr>
        <w:t xml:space="preserve">Davidson, Alastair, </w:t>
      </w:r>
      <w:r w:rsidRPr="003D07A0">
        <w:rPr>
          <w:rFonts w:ascii="Arial" w:eastAsia="Calibri" w:hAnsi="Arial" w:cs="Arial"/>
          <w:i/>
          <w:sz w:val="20"/>
          <w:szCs w:val="20"/>
        </w:rPr>
        <w:t xml:space="preserve">From Subject to Citizen: Australian Citizenship in the Twentieth Century </w:t>
      </w:r>
      <w:r w:rsidRPr="003D07A0">
        <w:rPr>
          <w:rFonts w:ascii="Arial" w:eastAsia="Calibri" w:hAnsi="Arial" w:cs="Arial"/>
          <w:sz w:val="20"/>
          <w:szCs w:val="20"/>
        </w:rPr>
        <w:t>(</w:t>
      </w:r>
      <w:r w:rsidRPr="00AC352E">
        <w:rPr>
          <w:rFonts w:ascii="Arial" w:eastAsia="Calibri" w:hAnsi="Arial" w:cs="Arial"/>
          <w:color w:val="000000" w:themeColor="text1"/>
          <w:sz w:val="20"/>
          <w:szCs w:val="20"/>
        </w:rPr>
        <w:t>Cambridge, 1997).</w:t>
      </w:r>
    </w:p>
    <w:p w14:paraId="4AC74ABF" w14:textId="77777777" w:rsidR="00AE7548" w:rsidRPr="00AC352E" w:rsidRDefault="00AE7548" w:rsidP="00156236">
      <w:pPr>
        <w:rPr>
          <w:rFonts w:ascii="Arial" w:eastAsia="Calibri" w:hAnsi="Arial" w:cs="Arial"/>
          <w:color w:val="000000" w:themeColor="text1"/>
          <w:sz w:val="20"/>
          <w:szCs w:val="20"/>
        </w:rPr>
      </w:pPr>
    </w:p>
    <w:p w14:paraId="7D675FA8" w14:textId="7DF24E2B" w:rsidR="00AE7548" w:rsidRPr="00AC352E" w:rsidRDefault="00AE7548" w:rsidP="00DA71CE">
      <w:pPr>
        <w:rPr>
          <w:rFonts w:ascii="Arial" w:eastAsia="Calibri" w:hAnsi="Arial" w:cs="Arial"/>
          <w:color w:val="000000" w:themeColor="text1"/>
          <w:sz w:val="20"/>
          <w:szCs w:val="20"/>
        </w:rPr>
      </w:pPr>
      <w:proofErr w:type="spellStart"/>
      <w:r w:rsidRPr="00AC352E">
        <w:rPr>
          <w:rFonts w:ascii="Arial" w:eastAsia="Calibri" w:hAnsi="Arial" w:cs="Arial"/>
          <w:color w:val="000000" w:themeColor="text1"/>
          <w:sz w:val="20"/>
          <w:szCs w:val="20"/>
        </w:rPr>
        <w:t>Dhupelia-Mesthrie</w:t>
      </w:r>
      <w:proofErr w:type="spellEnd"/>
      <w:r w:rsidRPr="00AC352E">
        <w:rPr>
          <w:rFonts w:ascii="Arial" w:eastAsia="Calibri" w:hAnsi="Arial" w:cs="Arial"/>
          <w:color w:val="000000" w:themeColor="text1"/>
          <w:sz w:val="20"/>
          <w:szCs w:val="20"/>
        </w:rPr>
        <w:t xml:space="preserve">, Uma, ‘The form, the permit and the photograph: An archive of mobility between South Africa and India’, </w:t>
      </w:r>
      <w:r w:rsidRPr="00AC352E">
        <w:rPr>
          <w:rFonts w:ascii="Arial" w:eastAsia="Calibri" w:hAnsi="Arial" w:cs="Arial"/>
          <w:i/>
          <w:color w:val="000000" w:themeColor="text1"/>
          <w:sz w:val="20"/>
          <w:szCs w:val="20"/>
        </w:rPr>
        <w:t xml:space="preserve">Journal of Asian and African Studies </w:t>
      </w:r>
      <w:r w:rsidRPr="00AC352E">
        <w:rPr>
          <w:rFonts w:ascii="Arial" w:eastAsia="Calibri" w:hAnsi="Arial" w:cs="Arial"/>
          <w:color w:val="000000" w:themeColor="text1"/>
          <w:sz w:val="20"/>
          <w:szCs w:val="20"/>
        </w:rPr>
        <w:t>46, no. 6 (2011) 1–13.</w:t>
      </w:r>
    </w:p>
    <w:p w14:paraId="53ADB0D2" w14:textId="49654307" w:rsidR="00AE7548" w:rsidRPr="00AC352E" w:rsidRDefault="00AE7548" w:rsidP="00DA71CE">
      <w:pPr>
        <w:rPr>
          <w:rFonts w:ascii="Arial" w:eastAsia="Calibri" w:hAnsi="Arial" w:cs="Arial"/>
          <w:color w:val="000000" w:themeColor="text1"/>
          <w:sz w:val="20"/>
          <w:szCs w:val="20"/>
        </w:rPr>
      </w:pPr>
    </w:p>
    <w:p w14:paraId="0ED64691" w14:textId="6EF6FBF5" w:rsidR="00AC352E" w:rsidRPr="00AC352E" w:rsidRDefault="00AE7548" w:rsidP="00AC352E">
      <w:pPr>
        <w:rPr>
          <w:rFonts w:ascii="Arial" w:eastAsia="Calibri" w:hAnsi="Arial" w:cs="Arial"/>
          <w:color w:val="000000" w:themeColor="text1"/>
          <w:sz w:val="20"/>
          <w:szCs w:val="20"/>
        </w:rPr>
      </w:pPr>
      <w:proofErr w:type="spellStart"/>
      <w:r w:rsidRPr="00AC352E">
        <w:rPr>
          <w:rFonts w:ascii="Arial" w:eastAsia="Calibri" w:hAnsi="Arial" w:cs="Arial"/>
          <w:color w:val="000000" w:themeColor="text1"/>
          <w:sz w:val="20"/>
          <w:szCs w:val="20"/>
        </w:rPr>
        <w:t>Dhupelia-Mesthrie</w:t>
      </w:r>
      <w:proofErr w:type="spellEnd"/>
      <w:r w:rsidRPr="00AC352E">
        <w:rPr>
          <w:rFonts w:ascii="Arial" w:eastAsia="Calibri" w:hAnsi="Arial" w:cs="Arial"/>
          <w:color w:val="000000" w:themeColor="text1"/>
          <w:sz w:val="20"/>
          <w:szCs w:val="20"/>
        </w:rPr>
        <w:t xml:space="preserve">, Uma, </w:t>
      </w:r>
      <w:r w:rsidR="00AC352E" w:rsidRPr="00AC352E">
        <w:rPr>
          <w:rFonts w:ascii="Arial" w:eastAsia="Calibri" w:hAnsi="Arial" w:cs="Arial"/>
          <w:color w:val="000000" w:themeColor="text1"/>
          <w:sz w:val="20"/>
          <w:szCs w:val="20"/>
        </w:rPr>
        <w:t>‘</w:t>
      </w:r>
      <w:r w:rsidR="00AC352E" w:rsidRPr="00AC352E">
        <w:rPr>
          <w:rFonts w:ascii="Arial" w:hAnsi="Arial" w:cs="Arial"/>
          <w:color w:val="000000" w:themeColor="text1"/>
          <w:sz w:val="20"/>
          <w:szCs w:val="20"/>
          <w:shd w:val="clear" w:color="auto" w:fill="FFFFFF"/>
        </w:rPr>
        <w:t xml:space="preserve">False Fathers and False Sons: Immigration Officials in Cape Town, Documents and Verifying Minor Sons from India in the First Half </w:t>
      </w:r>
      <w:r w:rsidR="00AC352E" w:rsidRPr="00AC352E">
        <w:rPr>
          <w:rFonts w:ascii="Arial" w:hAnsi="Arial" w:cs="Arial"/>
          <w:color w:val="000000" w:themeColor="text1"/>
          <w:sz w:val="20"/>
          <w:szCs w:val="20"/>
          <w:shd w:val="clear" w:color="auto" w:fill="FFFFFF"/>
        </w:rPr>
        <w:t>o</w:t>
      </w:r>
      <w:r w:rsidR="00AC352E" w:rsidRPr="00AC352E">
        <w:rPr>
          <w:rFonts w:ascii="Arial" w:hAnsi="Arial" w:cs="Arial"/>
          <w:color w:val="000000" w:themeColor="text1"/>
          <w:sz w:val="20"/>
          <w:szCs w:val="20"/>
          <w:shd w:val="clear" w:color="auto" w:fill="FFFFFF"/>
        </w:rPr>
        <w:t>f the Twentieth Century.” </w:t>
      </w:r>
      <w:r w:rsidR="00AC352E" w:rsidRPr="00AC352E">
        <w:rPr>
          <w:rFonts w:ascii="Arial" w:hAnsi="Arial" w:cs="Arial"/>
          <w:i/>
          <w:iCs/>
          <w:color w:val="000000" w:themeColor="text1"/>
          <w:sz w:val="20"/>
          <w:szCs w:val="20"/>
          <w:shd w:val="clear" w:color="auto" w:fill="FFFFFF"/>
        </w:rPr>
        <w:t>Kronos</w:t>
      </w:r>
      <w:r w:rsidR="00AC352E" w:rsidRPr="00AC352E">
        <w:rPr>
          <w:rFonts w:ascii="Arial" w:hAnsi="Arial" w:cs="Arial"/>
          <w:color w:val="000000" w:themeColor="text1"/>
          <w:sz w:val="20"/>
          <w:szCs w:val="20"/>
          <w:shd w:val="clear" w:color="auto" w:fill="FFFFFF"/>
        </w:rPr>
        <w:t>, no. 40</w:t>
      </w:r>
      <w:r w:rsidR="00AC352E" w:rsidRPr="00AC352E">
        <w:rPr>
          <w:rFonts w:ascii="Arial" w:hAnsi="Arial" w:cs="Arial"/>
          <w:color w:val="000000" w:themeColor="text1"/>
          <w:sz w:val="20"/>
          <w:szCs w:val="20"/>
          <w:shd w:val="clear" w:color="auto" w:fill="FFFFFF"/>
        </w:rPr>
        <w:t xml:space="preserve"> (</w:t>
      </w:r>
      <w:r w:rsidR="00AC352E" w:rsidRPr="00AC352E">
        <w:rPr>
          <w:rFonts w:ascii="Arial" w:hAnsi="Arial" w:cs="Arial"/>
          <w:color w:val="000000" w:themeColor="text1"/>
          <w:sz w:val="20"/>
          <w:szCs w:val="20"/>
          <w:shd w:val="clear" w:color="auto" w:fill="FFFFFF"/>
        </w:rPr>
        <w:t>2014</w:t>
      </w:r>
      <w:r w:rsidR="00AC352E" w:rsidRPr="00AC352E">
        <w:rPr>
          <w:rFonts w:ascii="Arial" w:hAnsi="Arial" w:cs="Arial"/>
          <w:color w:val="000000" w:themeColor="text1"/>
          <w:sz w:val="20"/>
          <w:szCs w:val="20"/>
          <w:shd w:val="clear" w:color="auto" w:fill="FFFFFF"/>
        </w:rPr>
        <w:t>)</w:t>
      </w:r>
      <w:r w:rsidR="00AC352E" w:rsidRPr="00AC352E">
        <w:rPr>
          <w:rFonts w:ascii="Arial" w:hAnsi="Arial" w:cs="Arial"/>
          <w:color w:val="000000" w:themeColor="text1"/>
          <w:sz w:val="20"/>
          <w:szCs w:val="20"/>
          <w:shd w:val="clear" w:color="auto" w:fill="FFFFFF"/>
        </w:rPr>
        <w:t>, p.99–132.</w:t>
      </w:r>
    </w:p>
    <w:p w14:paraId="1C7CDE43" w14:textId="77777777" w:rsidR="00AE7548" w:rsidRPr="00AC352E" w:rsidRDefault="00AE7548" w:rsidP="00156236">
      <w:pPr>
        <w:rPr>
          <w:rFonts w:ascii="Arial" w:eastAsia="Calibri" w:hAnsi="Arial" w:cs="Arial"/>
          <w:color w:val="000000" w:themeColor="text1"/>
          <w:sz w:val="20"/>
          <w:szCs w:val="20"/>
        </w:rPr>
      </w:pPr>
    </w:p>
    <w:p w14:paraId="601CB4D5" w14:textId="00537359" w:rsidR="00AE7548" w:rsidRPr="003D07A0" w:rsidRDefault="00AE7548" w:rsidP="00156236">
      <w:pPr>
        <w:rPr>
          <w:rFonts w:ascii="Arial" w:eastAsia="Calibri" w:hAnsi="Arial" w:cs="Arial"/>
          <w:sz w:val="20"/>
          <w:szCs w:val="20"/>
        </w:rPr>
      </w:pPr>
      <w:proofErr w:type="spellStart"/>
      <w:r w:rsidRPr="00AC352E">
        <w:rPr>
          <w:rFonts w:ascii="Arial" w:eastAsia="Calibri" w:hAnsi="Arial" w:cs="Arial"/>
          <w:color w:val="000000" w:themeColor="text1"/>
          <w:sz w:val="20"/>
          <w:szCs w:val="20"/>
        </w:rPr>
        <w:t>Donnan</w:t>
      </w:r>
      <w:proofErr w:type="spellEnd"/>
      <w:r w:rsidRPr="00AC352E">
        <w:rPr>
          <w:rFonts w:ascii="Arial" w:eastAsia="Calibri" w:hAnsi="Arial" w:cs="Arial"/>
          <w:color w:val="000000" w:themeColor="text1"/>
          <w:sz w:val="20"/>
          <w:szCs w:val="20"/>
        </w:rPr>
        <w:t xml:space="preserve">, H., and Wilson, T. M., </w:t>
      </w:r>
      <w:r w:rsidRPr="00AC352E">
        <w:rPr>
          <w:rFonts w:ascii="Arial" w:eastAsia="Calibri" w:hAnsi="Arial" w:cs="Arial"/>
          <w:i/>
          <w:color w:val="000000" w:themeColor="text1"/>
          <w:sz w:val="20"/>
          <w:szCs w:val="20"/>
        </w:rPr>
        <w:t xml:space="preserve">Border Identities: nation and state at international frontiers </w:t>
      </w:r>
      <w:r w:rsidRPr="00AC352E">
        <w:rPr>
          <w:rFonts w:ascii="Arial" w:eastAsia="Calibri" w:hAnsi="Arial" w:cs="Arial"/>
          <w:color w:val="000000" w:themeColor="text1"/>
          <w:sz w:val="20"/>
          <w:szCs w:val="20"/>
        </w:rPr>
        <w:t xml:space="preserve">(Cambridge, </w:t>
      </w:r>
      <w:r w:rsidRPr="003D07A0">
        <w:rPr>
          <w:rFonts w:ascii="Arial" w:eastAsia="Calibri" w:hAnsi="Arial" w:cs="Arial"/>
          <w:sz w:val="20"/>
          <w:szCs w:val="20"/>
        </w:rPr>
        <w:t>1998).</w:t>
      </w:r>
    </w:p>
    <w:p w14:paraId="27937C85" w14:textId="77777777" w:rsidR="00AE7548" w:rsidRPr="003D07A0" w:rsidRDefault="00AE7548" w:rsidP="00293669">
      <w:pPr>
        <w:rPr>
          <w:rFonts w:ascii="Arial" w:eastAsia="Calibri" w:hAnsi="Arial" w:cs="Arial"/>
          <w:sz w:val="20"/>
          <w:szCs w:val="20"/>
        </w:rPr>
      </w:pPr>
    </w:p>
    <w:p w14:paraId="668D141B" w14:textId="6A928A8C" w:rsidR="00AE7548" w:rsidRPr="003D07A0" w:rsidRDefault="00AE7548" w:rsidP="00293669">
      <w:pPr>
        <w:rPr>
          <w:rFonts w:ascii="Arial" w:eastAsia="Calibri" w:hAnsi="Arial" w:cs="Arial"/>
          <w:sz w:val="20"/>
          <w:szCs w:val="20"/>
        </w:rPr>
      </w:pPr>
      <w:proofErr w:type="spellStart"/>
      <w:r w:rsidRPr="003D07A0">
        <w:rPr>
          <w:rFonts w:ascii="Arial" w:eastAsia="Calibri" w:hAnsi="Arial" w:cs="Arial"/>
          <w:sz w:val="20"/>
          <w:szCs w:val="20"/>
        </w:rPr>
        <w:t>Doulman</w:t>
      </w:r>
      <w:proofErr w:type="spellEnd"/>
      <w:r w:rsidRPr="003D07A0">
        <w:rPr>
          <w:rFonts w:ascii="Arial" w:eastAsia="Calibri" w:hAnsi="Arial" w:cs="Arial"/>
          <w:sz w:val="20"/>
          <w:szCs w:val="20"/>
        </w:rPr>
        <w:t xml:space="preserve">, Jane, and Lee, David, </w:t>
      </w:r>
      <w:r w:rsidRPr="003D07A0">
        <w:rPr>
          <w:rFonts w:ascii="Arial" w:eastAsia="Calibri" w:hAnsi="Arial" w:cs="Arial"/>
          <w:i/>
          <w:sz w:val="20"/>
          <w:szCs w:val="20"/>
        </w:rPr>
        <w:t>Every Assistance &amp; Protection: A History of the Australian Passport</w:t>
      </w:r>
      <w:r w:rsidRPr="003D07A0">
        <w:rPr>
          <w:rFonts w:ascii="Arial" w:eastAsia="Calibri" w:hAnsi="Arial" w:cs="Arial"/>
          <w:sz w:val="20"/>
          <w:szCs w:val="20"/>
        </w:rPr>
        <w:t xml:space="preserve"> (</w:t>
      </w:r>
      <w:r w:rsidRPr="003D07A0">
        <w:rPr>
          <w:rFonts w:ascii="Arial" w:hAnsi="Arial" w:cs="Arial"/>
          <w:color w:val="000000"/>
          <w:sz w:val="20"/>
          <w:szCs w:val="20"/>
          <w:shd w:val="clear" w:color="auto" w:fill="FFFFFF"/>
        </w:rPr>
        <w:t>Leichhardt, NSW</w:t>
      </w:r>
      <w:r w:rsidRPr="003D07A0">
        <w:rPr>
          <w:rFonts w:ascii="Arial" w:eastAsia="Calibri" w:hAnsi="Arial" w:cs="Arial"/>
          <w:sz w:val="20"/>
          <w:szCs w:val="20"/>
        </w:rPr>
        <w:t>, 2008).</w:t>
      </w:r>
    </w:p>
    <w:p w14:paraId="12DA0B32" w14:textId="51EC2F5E" w:rsidR="00AE7548" w:rsidRPr="00C8745C" w:rsidRDefault="00AE7548" w:rsidP="00293669">
      <w:pPr>
        <w:rPr>
          <w:rFonts w:ascii="Arial" w:eastAsia="Calibri" w:hAnsi="Arial" w:cs="Arial"/>
          <w:color w:val="000000" w:themeColor="text1"/>
          <w:sz w:val="20"/>
          <w:szCs w:val="20"/>
        </w:rPr>
      </w:pPr>
    </w:p>
    <w:p w14:paraId="5F1351F7" w14:textId="77777777" w:rsidR="00AE7548" w:rsidRPr="00C8745C" w:rsidRDefault="00AE7548" w:rsidP="00016976">
      <w:pPr>
        <w:rPr>
          <w:rFonts w:ascii="Arial" w:eastAsia="Calibri" w:hAnsi="Arial" w:cs="Arial"/>
          <w:color w:val="000000" w:themeColor="text1"/>
          <w:sz w:val="20"/>
          <w:szCs w:val="20"/>
        </w:rPr>
      </w:pPr>
      <w:proofErr w:type="spellStart"/>
      <w:r w:rsidRPr="00C8745C">
        <w:rPr>
          <w:rFonts w:ascii="Arial" w:eastAsia="Calibri" w:hAnsi="Arial" w:cs="Arial"/>
          <w:color w:val="000000" w:themeColor="text1"/>
          <w:sz w:val="20"/>
          <w:szCs w:val="20"/>
        </w:rPr>
        <w:t>Dummett</w:t>
      </w:r>
      <w:proofErr w:type="spellEnd"/>
      <w:r w:rsidRPr="00C8745C">
        <w:rPr>
          <w:rFonts w:ascii="Arial" w:eastAsia="Calibri" w:hAnsi="Arial" w:cs="Arial"/>
          <w:color w:val="000000" w:themeColor="text1"/>
          <w:sz w:val="20"/>
          <w:szCs w:val="20"/>
        </w:rPr>
        <w:t xml:space="preserve">, Anna, and Nicol, Andrew, </w:t>
      </w:r>
      <w:r w:rsidRPr="00C8745C">
        <w:rPr>
          <w:rFonts w:ascii="Arial" w:eastAsia="Calibri" w:hAnsi="Arial" w:cs="Arial"/>
          <w:i/>
          <w:color w:val="000000" w:themeColor="text1"/>
          <w:sz w:val="20"/>
          <w:szCs w:val="20"/>
        </w:rPr>
        <w:t xml:space="preserve">Subjects, Citizens, Aliens and Others: Nationality and Immigration Law </w:t>
      </w:r>
      <w:r w:rsidRPr="00C8745C">
        <w:rPr>
          <w:rFonts w:ascii="Arial" w:eastAsia="Calibri" w:hAnsi="Arial" w:cs="Arial"/>
          <w:color w:val="000000" w:themeColor="text1"/>
          <w:sz w:val="20"/>
          <w:szCs w:val="20"/>
        </w:rPr>
        <w:t>(London, 1990).</w:t>
      </w:r>
    </w:p>
    <w:p w14:paraId="033C5271" w14:textId="77777777" w:rsidR="00AE7548" w:rsidRPr="00C8745C" w:rsidRDefault="00AE7548" w:rsidP="00016976">
      <w:pPr>
        <w:rPr>
          <w:rFonts w:ascii="Arial" w:eastAsia="Calibri" w:hAnsi="Arial" w:cs="Arial"/>
          <w:color w:val="000000" w:themeColor="text1"/>
          <w:sz w:val="20"/>
          <w:szCs w:val="20"/>
        </w:rPr>
      </w:pPr>
    </w:p>
    <w:p w14:paraId="3C336722" w14:textId="77777777" w:rsidR="00AE7548" w:rsidRPr="00C8745C" w:rsidRDefault="00AE7548" w:rsidP="00016976">
      <w:pPr>
        <w:rPr>
          <w:rFonts w:ascii="Arial" w:eastAsia="Calibri" w:hAnsi="Arial" w:cs="Arial"/>
          <w:color w:val="000000" w:themeColor="text1"/>
          <w:sz w:val="20"/>
          <w:szCs w:val="20"/>
        </w:rPr>
      </w:pPr>
      <w:proofErr w:type="spellStart"/>
      <w:r w:rsidRPr="00C8745C">
        <w:rPr>
          <w:rFonts w:ascii="Arial" w:eastAsia="Calibri" w:hAnsi="Arial" w:cs="Arial"/>
          <w:color w:val="000000" w:themeColor="text1"/>
          <w:sz w:val="20"/>
          <w:szCs w:val="20"/>
        </w:rPr>
        <w:t>Dummett</w:t>
      </w:r>
      <w:proofErr w:type="spellEnd"/>
      <w:r w:rsidRPr="00C8745C">
        <w:rPr>
          <w:rFonts w:ascii="Arial" w:eastAsia="Calibri" w:hAnsi="Arial" w:cs="Arial"/>
          <w:color w:val="000000" w:themeColor="text1"/>
          <w:sz w:val="20"/>
          <w:szCs w:val="20"/>
        </w:rPr>
        <w:t>, Anna, ‘</w:t>
      </w:r>
      <w:r w:rsidRPr="00C8745C">
        <w:rPr>
          <w:rFonts w:ascii="Arial" w:eastAsia="Calibri" w:hAnsi="Arial" w:cs="Arial"/>
          <w:color w:val="000000" w:themeColor="text1"/>
          <w:sz w:val="20"/>
          <w:szCs w:val="20"/>
          <w:highlight w:val="white"/>
        </w:rPr>
        <w:t xml:space="preserve">The Acquisition of British Citizenship: From Imperial Traditions to National Definitions’, in Rainer </w:t>
      </w:r>
      <w:proofErr w:type="spellStart"/>
      <w:r w:rsidRPr="00C8745C">
        <w:rPr>
          <w:rFonts w:ascii="Arial" w:eastAsia="Calibri" w:hAnsi="Arial" w:cs="Arial"/>
          <w:color w:val="000000" w:themeColor="text1"/>
          <w:sz w:val="20"/>
          <w:szCs w:val="20"/>
          <w:highlight w:val="white"/>
        </w:rPr>
        <w:t>Baubock</w:t>
      </w:r>
      <w:proofErr w:type="spellEnd"/>
      <w:r w:rsidRPr="00C8745C">
        <w:rPr>
          <w:rFonts w:ascii="Arial" w:eastAsia="Calibri" w:hAnsi="Arial" w:cs="Arial"/>
          <w:color w:val="000000" w:themeColor="text1"/>
          <w:sz w:val="20"/>
          <w:szCs w:val="20"/>
          <w:highlight w:val="white"/>
        </w:rPr>
        <w:t xml:space="preserve"> (ed.), </w:t>
      </w:r>
      <w:r w:rsidRPr="00C8745C">
        <w:rPr>
          <w:rFonts w:ascii="Arial" w:eastAsia="Calibri" w:hAnsi="Arial" w:cs="Arial"/>
          <w:i/>
          <w:color w:val="000000" w:themeColor="text1"/>
          <w:sz w:val="20"/>
          <w:szCs w:val="20"/>
          <w:highlight w:val="white"/>
        </w:rPr>
        <w:t xml:space="preserve">From Aliens to Citizens: Redefining the Status of Immigrants in Europe </w:t>
      </w:r>
      <w:r w:rsidRPr="00C8745C">
        <w:rPr>
          <w:rFonts w:ascii="Arial" w:eastAsia="Calibri" w:hAnsi="Arial" w:cs="Arial"/>
          <w:color w:val="000000" w:themeColor="text1"/>
          <w:sz w:val="20"/>
          <w:szCs w:val="20"/>
          <w:highlight w:val="white"/>
        </w:rPr>
        <w:t>(Aldershot, 1994)</w:t>
      </w:r>
      <w:r w:rsidRPr="00C8745C">
        <w:rPr>
          <w:rFonts w:ascii="Arial" w:eastAsia="Calibri" w:hAnsi="Arial" w:cs="Arial"/>
          <w:color w:val="000000" w:themeColor="text1"/>
          <w:sz w:val="20"/>
          <w:szCs w:val="20"/>
        </w:rPr>
        <w:t>.</w:t>
      </w:r>
    </w:p>
    <w:p w14:paraId="39E9ED77" w14:textId="6CECA1CB" w:rsidR="00AE7548" w:rsidRPr="00C8745C" w:rsidRDefault="00AE7548" w:rsidP="00916554">
      <w:pPr>
        <w:rPr>
          <w:rFonts w:ascii="Arial" w:hAnsi="Arial" w:cs="Arial"/>
          <w:color w:val="000000" w:themeColor="text1"/>
          <w:sz w:val="20"/>
          <w:szCs w:val="20"/>
        </w:rPr>
      </w:pPr>
    </w:p>
    <w:p w14:paraId="17ACF949" w14:textId="7141B689" w:rsidR="00AE7548" w:rsidRPr="003D07A0" w:rsidRDefault="00AE7548" w:rsidP="00DA71CE">
      <w:pPr>
        <w:rPr>
          <w:rFonts w:ascii="Arial" w:eastAsia="Calibri" w:hAnsi="Arial" w:cs="Arial"/>
          <w:sz w:val="20"/>
          <w:szCs w:val="20"/>
        </w:rPr>
      </w:pPr>
      <w:r w:rsidRPr="00C8745C">
        <w:rPr>
          <w:rFonts w:ascii="Arial" w:eastAsia="Calibri" w:hAnsi="Arial" w:cs="Arial"/>
          <w:color w:val="000000" w:themeColor="text1"/>
          <w:sz w:val="20"/>
          <w:szCs w:val="20"/>
        </w:rPr>
        <w:t>Dutton, David, ‘Women - Citizenship in Australia:  A Guide to Commonwealth Government Records’,</w:t>
      </w:r>
      <w:hyperlink r:id="rId3">
        <w:r w:rsidRPr="00C8745C">
          <w:rPr>
            <w:rFonts w:ascii="Arial" w:eastAsia="Calibri" w:hAnsi="Arial" w:cs="Arial"/>
            <w:color w:val="000000" w:themeColor="text1"/>
            <w:sz w:val="20"/>
            <w:szCs w:val="20"/>
            <w:u w:val="single"/>
          </w:rPr>
          <w:t xml:space="preserve"> http://</w:t>
        </w:r>
        <w:r w:rsidRPr="00C8745C">
          <w:rPr>
            <w:rFonts w:ascii="Arial" w:eastAsia="Calibri" w:hAnsi="Arial" w:cs="Arial"/>
            <w:color w:val="000000" w:themeColor="text1"/>
            <w:sz w:val="20"/>
            <w:szCs w:val="20"/>
            <w:u w:val="single"/>
          </w:rPr>
          <w:t>g</w:t>
        </w:r>
        <w:r w:rsidRPr="00C8745C">
          <w:rPr>
            <w:rFonts w:ascii="Arial" w:eastAsia="Calibri" w:hAnsi="Arial" w:cs="Arial"/>
            <w:color w:val="000000" w:themeColor="text1"/>
            <w:sz w:val="20"/>
            <w:szCs w:val="20"/>
            <w:u w:val="single"/>
          </w:rPr>
          <w:t>uides.naa.gov.au/citizenship/chapter3/women.aspx</w:t>
        </w:r>
      </w:hyperlink>
      <w:r w:rsidRPr="003D07A0">
        <w:rPr>
          <w:rFonts w:ascii="Arial" w:eastAsia="Calibri" w:hAnsi="Arial" w:cs="Arial"/>
          <w:sz w:val="20"/>
          <w:szCs w:val="20"/>
        </w:rPr>
        <w:t xml:space="preserve"> [last accessed 27 March 2018]. </w:t>
      </w:r>
    </w:p>
    <w:p w14:paraId="4D07CDAD" w14:textId="77777777" w:rsidR="00AE7548" w:rsidRPr="003D07A0" w:rsidRDefault="00AE7548" w:rsidP="00916554">
      <w:pPr>
        <w:rPr>
          <w:rFonts w:ascii="Arial" w:hAnsi="Arial" w:cs="Arial"/>
          <w:sz w:val="20"/>
          <w:szCs w:val="20"/>
        </w:rPr>
      </w:pPr>
    </w:p>
    <w:p w14:paraId="3DAAB788" w14:textId="594FAA2F" w:rsidR="00AE7548" w:rsidRPr="003D07A0" w:rsidRDefault="00AE7548" w:rsidP="004474A0">
      <w:pPr>
        <w:rPr>
          <w:rFonts w:ascii="Arial" w:eastAsia="Calibri" w:hAnsi="Arial" w:cs="Arial"/>
          <w:sz w:val="20"/>
          <w:szCs w:val="20"/>
        </w:rPr>
      </w:pPr>
      <w:proofErr w:type="spellStart"/>
      <w:r w:rsidRPr="003D07A0">
        <w:rPr>
          <w:rFonts w:ascii="Arial" w:eastAsia="Calibri" w:hAnsi="Arial" w:cs="Arial"/>
          <w:sz w:val="20"/>
          <w:szCs w:val="20"/>
        </w:rPr>
        <w:t>Fahrmeir</w:t>
      </w:r>
      <w:proofErr w:type="spellEnd"/>
      <w:r w:rsidRPr="003D07A0">
        <w:rPr>
          <w:rFonts w:ascii="Arial" w:eastAsia="Calibri" w:hAnsi="Arial" w:cs="Arial"/>
          <w:sz w:val="20"/>
          <w:szCs w:val="20"/>
        </w:rPr>
        <w:t xml:space="preserve">, Andreas, </w:t>
      </w:r>
      <w:r w:rsidRPr="003D07A0">
        <w:rPr>
          <w:rFonts w:ascii="Arial" w:eastAsia="Calibri" w:hAnsi="Arial" w:cs="Arial"/>
          <w:i/>
          <w:sz w:val="20"/>
          <w:szCs w:val="20"/>
        </w:rPr>
        <w:t>Citizens and Aliens, Foreigners and the Law in Britain and the German States 1789-1870</w:t>
      </w:r>
      <w:r w:rsidRPr="003D07A0">
        <w:rPr>
          <w:rFonts w:ascii="Arial" w:eastAsia="Calibri" w:hAnsi="Arial" w:cs="Arial"/>
          <w:sz w:val="20"/>
          <w:szCs w:val="20"/>
        </w:rPr>
        <w:t xml:space="preserve"> (Oxford, 2000).</w:t>
      </w:r>
    </w:p>
    <w:p w14:paraId="33F0AB26" w14:textId="77777777" w:rsidR="00AE7548" w:rsidRPr="003D07A0" w:rsidRDefault="00AE7548" w:rsidP="00156236">
      <w:pPr>
        <w:rPr>
          <w:rFonts w:ascii="Arial" w:eastAsia="Calibri" w:hAnsi="Arial" w:cs="Arial"/>
          <w:sz w:val="20"/>
          <w:szCs w:val="20"/>
        </w:rPr>
      </w:pPr>
    </w:p>
    <w:p w14:paraId="6CE1F772" w14:textId="679FCCB7" w:rsidR="00AE7548" w:rsidRPr="003D07A0" w:rsidRDefault="00AE7548" w:rsidP="00156236">
      <w:pPr>
        <w:rPr>
          <w:rFonts w:ascii="Arial" w:eastAsia="Calibri" w:hAnsi="Arial" w:cs="Arial"/>
          <w:sz w:val="20"/>
          <w:szCs w:val="20"/>
        </w:rPr>
      </w:pPr>
      <w:r w:rsidRPr="003D07A0">
        <w:rPr>
          <w:rFonts w:ascii="Arial" w:eastAsia="Calibri" w:hAnsi="Arial" w:cs="Arial"/>
          <w:sz w:val="20"/>
          <w:szCs w:val="20"/>
        </w:rPr>
        <w:t xml:space="preserve">Fairchild, Amy, </w:t>
      </w:r>
      <w:r w:rsidRPr="003D07A0">
        <w:rPr>
          <w:rFonts w:ascii="Arial" w:eastAsia="Calibri" w:hAnsi="Arial" w:cs="Arial"/>
          <w:i/>
          <w:sz w:val="20"/>
          <w:szCs w:val="20"/>
        </w:rPr>
        <w:t xml:space="preserve">Science at the Borders: Immigration, Medical Inspection and the Shaping of the Modern Industrial Labour Force </w:t>
      </w:r>
      <w:r w:rsidRPr="003D07A0">
        <w:rPr>
          <w:rFonts w:ascii="Arial" w:eastAsia="Calibri" w:hAnsi="Arial" w:cs="Arial"/>
          <w:sz w:val="20"/>
          <w:szCs w:val="20"/>
        </w:rPr>
        <w:t>(Baltimore, MD, 2003).</w:t>
      </w:r>
    </w:p>
    <w:p w14:paraId="7338A3A4" w14:textId="77777777" w:rsidR="00AE7548" w:rsidRPr="003D07A0" w:rsidRDefault="00AE7548" w:rsidP="00E13B1A">
      <w:pPr>
        <w:rPr>
          <w:rFonts w:ascii="Arial" w:eastAsia="Calibri" w:hAnsi="Arial" w:cs="Arial"/>
          <w:sz w:val="20"/>
          <w:szCs w:val="20"/>
          <w:highlight w:val="white"/>
        </w:rPr>
      </w:pPr>
    </w:p>
    <w:p w14:paraId="532BC371" w14:textId="1D116718" w:rsidR="00AE7548" w:rsidRPr="003D07A0" w:rsidRDefault="00AE7548" w:rsidP="00E13B1A">
      <w:pPr>
        <w:rPr>
          <w:rFonts w:ascii="Arial" w:eastAsia="Calibri" w:hAnsi="Arial" w:cs="Arial"/>
          <w:sz w:val="20"/>
          <w:szCs w:val="20"/>
        </w:rPr>
      </w:pPr>
      <w:r w:rsidRPr="003D07A0">
        <w:rPr>
          <w:rFonts w:ascii="Arial" w:eastAsia="Calibri" w:hAnsi="Arial" w:cs="Arial"/>
          <w:sz w:val="20"/>
          <w:szCs w:val="20"/>
          <w:highlight w:val="white"/>
        </w:rPr>
        <w:t xml:space="preserve">Fortier, Anne-Marie, ‘What’s the big </w:t>
      </w:r>
      <w:proofErr w:type="gramStart"/>
      <w:r w:rsidRPr="003D07A0">
        <w:rPr>
          <w:rFonts w:ascii="Arial" w:eastAsia="Calibri" w:hAnsi="Arial" w:cs="Arial"/>
          <w:sz w:val="20"/>
          <w:szCs w:val="20"/>
          <w:highlight w:val="white"/>
        </w:rPr>
        <w:t>deal?:</w:t>
      </w:r>
      <w:proofErr w:type="gramEnd"/>
      <w:r w:rsidRPr="003D07A0">
        <w:rPr>
          <w:rFonts w:ascii="Arial" w:eastAsia="Calibri" w:hAnsi="Arial" w:cs="Arial"/>
          <w:sz w:val="20"/>
          <w:szCs w:val="20"/>
          <w:highlight w:val="white"/>
        </w:rPr>
        <w:t xml:space="preserve"> naturalisation and the politics of desire’, </w:t>
      </w:r>
      <w:r w:rsidRPr="003D07A0">
        <w:rPr>
          <w:rFonts w:ascii="Arial" w:eastAsia="Calibri" w:hAnsi="Arial" w:cs="Arial"/>
          <w:i/>
          <w:sz w:val="20"/>
          <w:szCs w:val="20"/>
          <w:highlight w:val="white"/>
        </w:rPr>
        <w:t>Citizenship Studies</w:t>
      </w:r>
      <w:r w:rsidRPr="003D07A0">
        <w:rPr>
          <w:rFonts w:ascii="Arial" w:eastAsia="Calibri" w:hAnsi="Arial" w:cs="Arial"/>
          <w:sz w:val="20"/>
          <w:szCs w:val="20"/>
          <w:highlight w:val="white"/>
        </w:rPr>
        <w:t>, 17, no. 6-7 (2013), p.697-711.</w:t>
      </w:r>
    </w:p>
    <w:p w14:paraId="1E700C55" w14:textId="4B95EDC6" w:rsidR="00AE7548" w:rsidRPr="003D07A0" w:rsidRDefault="00AE7548" w:rsidP="00E13B1A">
      <w:pPr>
        <w:rPr>
          <w:rFonts w:ascii="Arial" w:eastAsia="Calibri" w:hAnsi="Arial" w:cs="Arial"/>
          <w:sz w:val="20"/>
          <w:szCs w:val="20"/>
        </w:rPr>
      </w:pPr>
    </w:p>
    <w:p w14:paraId="275522DC" w14:textId="04B9FDB9" w:rsidR="00AE7548" w:rsidRPr="003D07A0" w:rsidRDefault="00AE7548" w:rsidP="009D033A">
      <w:pPr>
        <w:rPr>
          <w:rFonts w:ascii="Arial" w:eastAsia="Calibri" w:hAnsi="Arial" w:cs="Arial"/>
          <w:sz w:val="20"/>
          <w:szCs w:val="20"/>
        </w:rPr>
      </w:pPr>
      <w:proofErr w:type="spellStart"/>
      <w:r w:rsidRPr="003D07A0">
        <w:rPr>
          <w:rFonts w:ascii="Arial" w:eastAsia="Calibri" w:hAnsi="Arial" w:cs="Arial"/>
          <w:sz w:val="20"/>
          <w:szCs w:val="20"/>
        </w:rPr>
        <w:t>Gammerl</w:t>
      </w:r>
      <w:proofErr w:type="spellEnd"/>
      <w:r w:rsidRPr="003D07A0">
        <w:rPr>
          <w:rFonts w:ascii="Arial" w:eastAsia="Calibri" w:hAnsi="Arial" w:cs="Arial"/>
          <w:sz w:val="20"/>
          <w:szCs w:val="20"/>
        </w:rPr>
        <w:t xml:space="preserve">, Benno, ‘Subjects, citizens and others: the handling of ethnic differences in the British and the Habsburg Empires (late nineteenth and early twentieth century)’, </w:t>
      </w:r>
      <w:r w:rsidRPr="003D07A0">
        <w:rPr>
          <w:rFonts w:ascii="Arial" w:eastAsia="Calibri" w:hAnsi="Arial" w:cs="Arial"/>
          <w:i/>
          <w:sz w:val="20"/>
          <w:szCs w:val="20"/>
        </w:rPr>
        <w:t xml:space="preserve">European Review of History: Revue </w:t>
      </w:r>
      <w:proofErr w:type="spellStart"/>
      <w:r w:rsidRPr="003D07A0">
        <w:rPr>
          <w:rFonts w:ascii="Arial" w:eastAsia="Calibri" w:hAnsi="Arial" w:cs="Arial"/>
          <w:i/>
          <w:sz w:val="20"/>
          <w:szCs w:val="20"/>
        </w:rPr>
        <w:t>européene</w:t>
      </w:r>
      <w:proofErr w:type="spellEnd"/>
      <w:r w:rsidRPr="003D07A0">
        <w:rPr>
          <w:rFonts w:ascii="Arial" w:eastAsia="Calibri" w:hAnsi="Arial" w:cs="Arial"/>
          <w:i/>
          <w:sz w:val="20"/>
          <w:szCs w:val="20"/>
        </w:rPr>
        <w:t xml:space="preserve"> </w:t>
      </w:r>
      <w:proofErr w:type="spellStart"/>
      <w:r w:rsidRPr="003D07A0">
        <w:rPr>
          <w:rFonts w:ascii="Arial" w:eastAsia="Calibri" w:hAnsi="Arial" w:cs="Arial"/>
          <w:i/>
          <w:sz w:val="20"/>
          <w:szCs w:val="20"/>
        </w:rPr>
        <w:t>d’histoire</w:t>
      </w:r>
      <w:proofErr w:type="spellEnd"/>
      <w:r w:rsidRPr="003D07A0">
        <w:rPr>
          <w:rFonts w:ascii="Arial" w:eastAsia="Calibri" w:hAnsi="Arial" w:cs="Arial"/>
          <w:i/>
          <w:sz w:val="20"/>
          <w:szCs w:val="20"/>
        </w:rPr>
        <w:t xml:space="preserve">, </w:t>
      </w:r>
      <w:r w:rsidRPr="003D07A0">
        <w:rPr>
          <w:rFonts w:ascii="Arial" w:eastAsia="Calibri" w:hAnsi="Arial" w:cs="Arial"/>
          <w:sz w:val="20"/>
          <w:szCs w:val="20"/>
        </w:rPr>
        <w:t>16, no. 4 (2009), p.523-549.</w:t>
      </w:r>
    </w:p>
    <w:p w14:paraId="6E476245" w14:textId="12EF833A" w:rsidR="00AE7548" w:rsidRPr="00C8745C" w:rsidRDefault="00AE7548" w:rsidP="009D033A">
      <w:pPr>
        <w:rPr>
          <w:rFonts w:ascii="Arial" w:eastAsia="Calibri" w:hAnsi="Arial" w:cs="Arial"/>
          <w:color w:val="000000" w:themeColor="text1"/>
          <w:sz w:val="20"/>
          <w:szCs w:val="20"/>
        </w:rPr>
      </w:pPr>
    </w:p>
    <w:p w14:paraId="0DB1F977" w14:textId="2C3AE703" w:rsidR="00AE7548" w:rsidRPr="00C8745C" w:rsidRDefault="00AE7548" w:rsidP="0067705F">
      <w:pPr>
        <w:rPr>
          <w:rFonts w:ascii="Arial" w:eastAsia="Calibri" w:hAnsi="Arial" w:cs="Arial"/>
          <w:color w:val="000000" w:themeColor="text1"/>
          <w:sz w:val="20"/>
          <w:szCs w:val="20"/>
        </w:rPr>
      </w:pPr>
      <w:r w:rsidRPr="00C8745C">
        <w:rPr>
          <w:rFonts w:ascii="Arial" w:eastAsia="Calibri" w:hAnsi="Arial" w:cs="Arial"/>
          <w:color w:val="000000" w:themeColor="text1"/>
          <w:sz w:val="20"/>
          <w:szCs w:val="20"/>
          <w:highlight w:val="white"/>
        </w:rPr>
        <w:t xml:space="preserve">Gorman, Daniel, </w:t>
      </w:r>
      <w:r w:rsidRPr="00C8745C">
        <w:rPr>
          <w:rFonts w:ascii="Arial" w:eastAsia="Calibri" w:hAnsi="Arial" w:cs="Arial"/>
          <w:i/>
          <w:color w:val="000000" w:themeColor="text1"/>
          <w:sz w:val="20"/>
          <w:szCs w:val="20"/>
          <w:highlight w:val="white"/>
        </w:rPr>
        <w:t xml:space="preserve">Imperial Citizenship: Empire and the Question of Belonging </w:t>
      </w:r>
      <w:r w:rsidRPr="00C8745C">
        <w:rPr>
          <w:rFonts w:ascii="Arial" w:eastAsia="Calibri" w:hAnsi="Arial" w:cs="Arial"/>
          <w:color w:val="000000" w:themeColor="text1"/>
          <w:sz w:val="20"/>
          <w:szCs w:val="20"/>
          <w:highlight w:val="white"/>
        </w:rPr>
        <w:t>(Manchester, 2006).</w:t>
      </w:r>
    </w:p>
    <w:p w14:paraId="0989FCC0" w14:textId="77777777" w:rsidR="00AE7548" w:rsidRPr="003D07A0" w:rsidRDefault="00AE7548" w:rsidP="009D033A">
      <w:pPr>
        <w:rPr>
          <w:rFonts w:ascii="Arial" w:eastAsia="Calibri" w:hAnsi="Arial" w:cs="Arial"/>
          <w:sz w:val="20"/>
          <w:szCs w:val="20"/>
        </w:rPr>
      </w:pPr>
    </w:p>
    <w:p w14:paraId="35DA01D3" w14:textId="09105F83" w:rsidR="00AE7548" w:rsidRPr="003D07A0" w:rsidRDefault="00AE7548" w:rsidP="00BB0D64">
      <w:pPr>
        <w:rPr>
          <w:rFonts w:ascii="Arial" w:eastAsia="Calibri" w:hAnsi="Arial" w:cs="Arial"/>
          <w:sz w:val="20"/>
          <w:szCs w:val="20"/>
        </w:rPr>
      </w:pPr>
      <w:proofErr w:type="spellStart"/>
      <w:r w:rsidRPr="003D07A0">
        <w:rPr>
          <w:rFonts w:ascii="Arial" w:eastAsia="Calibri" w:hAnsi="Arial" w:cs="Arial"/>
          <w:sz w:val="20"/>
          <w:szCs w:val="20"/>
        </w:rPr>
        <w:t>Huttenback</w:t>
      </w:r>
      <w:proofErr w:type="spellEnd"/>
      <w:r w:rsidRPr="003D07A0">
        <w:rPr>
          <w:rFonts w:ascii="Arial" w:eastAsia="Calibri" w:hAnsi="Arial" w:cs="Arial"/>
          <w:sz w:val="20"/>
          <w:szCs w:val="20"/>
        </w:rPr>
        <w:t xml:space="preserve">, Robert, ‘The British Empire as a “White Man’s Country” – Racial Attitudes and Immigration Legislation in the Colonies of White Settlement’, </w:t>
      </w:r>
      <w:r w:rsidRPr="003D07A0">
        <w:rPr>
          <w:rFonts w:ascii="Arial" w:eastAsia="Calibri" w:hAnsi="Arial" w:cs="Arial"/>
          <w:i/>
          <w:sz w:val="20"/>
          <w:szCs w:val="20"/>
        </w:rPr>
        <w:t>Journal of British Studies</w:t>
      </w:r>
      <w:r w:rsidRPr="003D07A0">
        <w:rPr>
          <w:rFonts w:ascii="Arial" w:eastAsia="Calibri" w:hAnsi="Arial" w:cs="Arial"/>
          <w:sz w:val="20"/>
          <w:szCs w:val="20"/>
        </w:rPr>
        <w:t>, 13, no. 1 (1973), p.108-37.</w:t>
      </w:r>
    </w:p>
    <w:p w14:paraId="542CDF55" w14:textId="5880A94D" w:rsidR="00AE7548" w:rsidRPr="003D07A0" w:rsidRDefault="00AE7548" w:rsidP="00BB0D64">
      <w:pPr>
        <w:rPr>
          <w:rFonts w:ascii="Arial" w:eastAsia="Calibri" w:hAnsi="Arial" w:cs="Arial"/>
          <w:sz w:val="20"/>
          <w:szCs w:val="20"/>
        </w:rPr>
      </w:pPr>
    </w:p>
    <w:p w14:paraId="5AEBDE9D" w14:textId="36E0F6FE" w:rsidR="00AE7548" w:rsidRPr="003D07A0" w:rsidRDefault="00AE7548" w:rsidP="00BB0D64">
      <w:pPr>
        <w:rPr>
          <w:rFonts w:ascii="Arial" w:eastAsia="Calibri" w:hAnsi="Arial" w:cs="Arial"/>
          <w:color w:val="000000" w:themeColor="text1"/>
          <w:sz w:val="20"/>
          <w:szCs w:val="20"/>
        </w:rPr>
      </w:pPr>
      <w:proofErr w:type="spellStart"/>
      <w:r w:rsidRPr="003D07A0">
        <w:rPr>
          <w:rFonts w:ascii="Arial" w:eastAsia="Calibri" w:hAnsi="Arial" w:cs="Arial"/>
          <w:color w:val="000000" w:themeColor="text1"/>
          <w:sz w:val="20"/>
          <w:szCs w:val="20"/>
        </w:rPr>
        <w:t>Huttenback</w:t>
      </w:r>
      <w:proofErr w:type="spellEnd"/>
      <w:r w:rsidRPr="003D07A0">
        <w:rPr>
          <w:rFonts w:ascii="Arial" w:eastAsia="Calibri" w:hAnsi="Arial" w:cs="Arial"/>
          <w:color w:val="000000" w:themeColor="text1"/>
          <w:sz w:val="20"/>
          <w:szCs w:val="20"/>
        </w:rPr>
        <w:t xml:space="preserve">, Robert, </w:t>
      </w:r>
      <w:r w:rsidRPr="003D07A0">
        <w:rPr>
          <w:rStyle w:val="Emphasis"/>
          <w:rFonts w:ascii="Arial" w:hAnsi="Arial" w:cs="Arial"/>
          <w:color w:val="000000" w:themeColor="text1"/>
          <w:sz w:val="20"/>
          <w:szCs w:val="20"/>
          <w:shd w:val="clear" w:color="auto" w:fill="FFFFFF"/>
        </w:rPr>
        <w:t>Racism and Empire</w:t>
      </w:r>
      <w:r w:rsidRPr="003D07A0">
        <w:rPr>
          <w:rFonts w:ascii="Arial" w:hAnsi="Arial" w:cs="Arial"/>
          <w:color w:val="000000" w:themeColor="text1"/>
          <w:sz w:val="20"/>
          <w:szCs w:val="20"/>
          <w:shd w:val="clear" w:color="auto" w:fill="FFFFFF"/>
        </w:rPr>
        <w:t>: White Settlers and Coloured Immigrants in the British Self-Governing Colonies, 1830-1910 (Ithaca, 1976).</w:t>
      </w:r>
    </w:p>
    <w:p w14:paraId="4CDF840F" w14:textId="77777777" w:rsidR="00AE7548" w:rsidRPr="003D07A0" w:rsidRDefault="00AE7548" w:rsidP="009D033A">
      <w:pPr>
        <w:rPr>
          <w:rFonts w:ascii="Arial" w:eastAsia="Calibri" w:hAnsi="Arial" w:cs="Arial"/>
          <w:sz w:val="20"/>
          <w:szCs w:val="20"/>
        </w:rPr>
      </w:pPr>
    </w:p>
    <w:p w14:paraId="52BA9537" w14:textId="669DD853" w:rsidR="00AE7548" w:rsidRPr="003D07A0" w:rsidRDefault="00AE7548" w:rsidP="000C571A">
      <w:pPr>
        <w:rPr>
          <w:rFonts w:ascii="Arial" w:eastAsia="Calibri" w:hAnsi="Arial" w:cs="Arial"/>
          <w:sz w:val="20"/>
          <w:szCs w:val="20"/>
        </w:rPr>
      </w:pPr>
      <w:proofErr w:type="spellStart"/>
      <w:r w:rsidRPr="003D07A0">
        <w:rPr>
          <w:rFonts w:ascii="Arial" w:eastAsia="Calibri" w:hAnsi="Arial" w:cs="Arial"/>
          <w:sz w:val="20"/>
          <w:szCs w:val="20"/>
        </w:rPr>
        <w:t>Hyslop</w:t>
      </w:r>
      <w:proofErr w:type="spellEnd"/>
      <w:r w:rsidRPr="003D07A0">
        <w:rPr>
          <w:rFonts w:ascii="Arial" w:eastAsia="Calibri" w:hAnsi="Arial" w:cs="Arial"/>
          <w:sz w:val="20"/>
          <w:szCs w:val="20"/>
        </w:rPr>
        <w:t xml:space="preserve">, Jonathan, ‘Oceanic mobility and settler-colonial power: policing the global maritime labour force in Durban harbour c.1890-1910’, </w:t>
      </w:r>
      <w:r w:rsidRPr="003D07A0">
        <w:rPr>
          <w:rFonts w:ascii="Arial" w:eastAsia="Calibri" w:hAnsi="Arial" w:cs="Arial"/>
          <w:i/>
          <w:sz w:val="20"/>
          <w:szCs w:val="20"/>
        </w:rPr>
        <w:t xml:space="preserve">Journal of Transport History, </w:t>
      </w:r>
      <w:r w:rsidRPr="003D07A0">
        <w:rPr>
          <w:rFonts w:ascii="Arial" w:eastAsia="Calibri" w:hAnsi="Arial" w:cs="Arial"/>
          <w:sz w:val="20"/>
          <w:szCs w:val="20"/>
        </w:rPr>
        <w:t>36, no.</w:t>
      </w:r>
      <w:r>
        <w:rPr>
          <w:rFonts w:ascii="Arial" w:eastAsia="Calibri" w:hAnsi="Arial" w:cs="Arial"/>
          <w:sz w:val="20"/>
          <w:szCs w:val="20"/>
        </w:rPr>
        <w:t xml:space="preserve"> </w:t>
      </w:r>
      <w:r w:rsidRPr="003D07A0">
        <w:rPr>
          <w:rFonts w:ascii="Arial" w:eastAsia="Calibri" w:hAnsi="Arial" w:cs="Arial"/>
          <w:sz w:val="20"/>
          <w:szCs w:val="20"/>
        </w:rPr>
        <w:t>2 (2015), p.248-267.</w:t>
      </w:r>
    </w:p>
    <w:p w14:paraId="6A0592CD" w14:textId="72DDAE5E" w:rsidR="00AE7548" w:rsidRPr="003D07A0" w:rsidRDefault="00AE7548" w:rsidP="000C571A">
      <w:pPr>
        <w:rPr>
          <w:rFonts w:ascii="Arial" w:eastAsia="Calibri" w:hAnsi="Arial" w:cs="Arial"/>
          <w:sz w:val="20"/>
          <w:szCs w:val="20"/>
        </w:rPr>
      </w:pPr>
    </w:p>
    <w:p w14:paraId="3D773B91" w14:textId="7A563474" w:rsidR="00AE7548" w:rsidRPr="003D07A0" w:rsidRDefault="00AE7548" w:rsidP="000C571A">
      <w:pPr>
        <w:rPr>
          <w:rFonts w:ascii="Arial" w:eastAsia="Calibri" w:hAnsi="Arial" w:cs="Arial"/>
          <w:sz w:val="20"/>
          <w:szCs w:val="20"/>
        </w:rPr>
      </w:pPr>
      <w:r w:rsidRPr="003D07A0">
        <w:rPr>
          <w:rFonts w:ascii="Arial" w:eastAsia="Calibri" w:hAnsi="Arial" w:cs="Arial"/>
          <w:sz w:val="20"/>
          <w:szCs w:val="20"/>
        </w:rPr>
        <w:t xml:space="preserve">Irving, Helen, </w:t>
      </w:r>
      <w:r w:rsidRPr="003D07A0">
        <w:rPr>
          <w:rFonts w:ascii="Arial" w:eastAsia="Calibri" w:hAnsi="Arial" w:cs="Arial"/>
          <w:i/>
          <w:sz w:val="20"/>
          <w:szCs w:val="20"/>
        </w:rPr>
        <w:t xml:space="preserve">Citizenship, Alienage, and the Modern Constitutional State: A Gendered History </w:t>
      </w:r>
      <w:r w:rsidRPr="003D07A0">
        <w:rPr>
          <w:rFonts w:ascii="Arial" w:eastAsia="Calibri" w:hAnsi="Arial" w:cs="Arial"/>
          <w:sz w:val="20"/>
          <w:szCs w:val="20"/>
        </w:rPr>
        <w:t>(Cambridge, 2016).</w:t>
      </w:r>
    </w:p>
    <w:p w14:paraId="4E55F591" w14:textId="77777777" w:rsidR="00AE7548" w:rsidRPr="003D07A0" w:rsidRDefault="00AE7548" w:rsidP="00DA5466">
      <w:pPr>
        <w:rPr>
          <w:rFonts w:ascii="Arial" w:eastAsia="Calibri" w:hAnsi="Arial" w:cs="Arial"/>
          <w:sz w:val="20"/>
          <w:szCs w:val="20"/>
          <w:highlight w:val="white"/>
        </w:rPr>
      </w:pPr>
    </w:p>
    <w:p w14:paraId="3FCE1FB4" w14:textId="4A94ED07" w:rsidR="00AE7548" w:rsidRPr="003D07A0" w:rsidRDefault="00AE7548" w:rsidP="00DA5466">
      <w:pPr>
        <w:rPr>
          <w:rFonts w:ascii="Arial" w:hAnsi="Arial" w:cs="Arial"/>
          <w:sz w:val="20"/>
          <w:szCs w:val="20"/>
        </w:rPr>
      </w:pPr>
      <w:proofErr w:type="spellStart"/>
      <w:r w:rsidRPr="003D07A0">
        <w:rPr>
          <w:rFonts w:ascii="Arial" w:eastAsia="Calibri" w:hAnsi="Arial" w:cs="Arial"/>
          <w:sz w:val="20"/>
          <w:szCs w:val="20"/>
          <w:highlight w:val="white"/>
        </w:rPr>
        <w:t>Karatani</w:t>
      </w:r>
      <w:proofErr w:type="spellEnd"/>
      <w:r w:rsidRPr="003D07A0">
        <w:rPr>
          <w:rFonts w:ascii="Arial" w:eastAsia="Calibri" w:hAnsi="Arial" w:cs="Arial"/>
          <w:sz w:val="20"/>
          <w:szCs w:val="20"/>
          <w:highlight w:val="white"/>
        </w:rPr>
        <w:t xml:space="preserve">, Rieko, </w:t>
      </w:r>
      <w:r w:rsidRPr="003D07A0">
        <w:rPr>
          <w:rFonts w:ascii="Arial" w:eastAsia="Calibri" w:hAnsi="Arial" w:cs="Arial"/>
          <w:i/>
          <w:sz w:val="20"/>
          <w:szCs w:val="20"/>
          <w:highlight w:val="white"/>
        </w:rPr>
        <w:t>Defining British Citizenship: Empire, Commonwealth and Modern Britain</w:t>
      </w:r>
      <w:r w:rsidRPr="003D07A0">
        <w:rPr>
          <w:rFonts w:ascii="Arial" w:eastAsia="Calibri" w:hAnsi="Arial" w:cs="Arial"/>
          <w:sz w:val="20"/>
          <w:szCs w:val="20"/>
          <w:highlight w:val="white"/>
        </w:rPr>
        <w:t xml:space="preserve"> (London, 2003).</w:t>
      </w:r>
      <w:r w:rsidRPr="003D07A0">
        <w:rPr>
          <w:rFonts w:ascii="Arial" w:hAnsi="Arial" w:cs="Arial"/>
          <w:sz w:val="20"/>
          <w:szCs w:val="20"/>
          <w:highlight w:val="white"/>
        </w:rPr>
        <w:t xml:space="preserve"> </w:t>
      </w:r>
    </w:p>
    <w:p w14:paraId="5994E2D0" w14:textId="77777777" w:rsidR="00AE7548" w:rsidRPr="003D07A0" w:rsidRDefault="00AE7548" w:rsidP="004329D1">
      <w:pPr>
        <w:rPr>
          <w:rFonts w:ascii="Arial" w:hAnsi="Arial" w:cs="Arial"/>
          <w:sz w:val="20"/>
          <w:szCs w:val="20"/>
        </w:rPr>
      </w:pPr>
    </w:p>
    <w:p w14:paraId="4D10AB3F" w14:textId="6B4BE4C9" w:rsidR="00AE7548" w:rsidRPr="003D07A0" w:rsidRDefault="00AE7548" w:rsidP="004329D1">
      <w:pPr>
        <w:rPr>
          <w:rFonts w:ascii="Arial" w:hAnsi="Arial" w:cs="Arial"/>
          <w:sz w:val="20"/>
          <w:szCs w:val="20"/>
        </w:rPr>
      </w:pPr>
      <w:proofErr w:type="spellStart"/>
      <w:r w:rsidRPr="003D07A0">
        <w:rPr>
          <w:rFonts w:ascii="Arial" w:hAnsi="Arial" w:cs="Arial"/>
          <w:sz w:val="20"/>
          <w:szCs w:val="20"/>
        </w:rPr>
        <w:t>Kettner</w:t>
      </w:r>
      <w:proofErr w:type="spellEnd"/>
      <w:r w:rsidRPr="003D07A0">
        <w:rPr>
          <w:rFonts w:ascii="Arial" w:hAnsi="Arial" w:cs="Arial"/>
          <w:sz w:val="20"/>
          <w:szCs w:val="20"/>
        </w:rPr>
        <w:t xml:space="preserve">, James, </w:t>
      </w:r>
      <w:r w:rsidRPr="003D07A0">
        <w:rPr>
          <w:rFonts w:ascii="Arial" w:hAnsi="Arial" w:cs="Arial"/>
          <w:i/>
          <w:sz w:val="20"/>
          <w:szCs w:val="20"/>
        </w:rPr>
        <w:t>The Development of American Citizenship, 1608–1870</w:t>
      </w:r>
      <w:r w:rsidRPr="003D07A0">
        <w:rPr>
          <w:rFonts w:ascii="Arial" w:hAnsi="Arial" w:cs="Arial"/>
          <w:sz w:val="20"/>
          <w:szCs w:val="20"/>
        </w:rPr>
        <w:t xml:space="preserve"> (Chapel Hill, 1978).</w:t>
      </w:r>
    </w:p>
    <w:p w14:paraId="1C6A4E4C" w14:textId="354A8D61" w:rsidR="00AE7548" w:rsidRPr="003D07A0" w:rsidRDefault="00AE7548" w:rsidP="004329D1">
      <w:pPr>
        <w:rPr>
          <w:rFonts w:ascii="Arial" w:hAnsi="Arial" w:cs="Arial"/>
          <w:sz w:val="20"/>
          <w:szCs w:val="20"/>
        </w:rPr>
      </w:pPr>
    </w:p>
    <w:p w14:paraId="081E9EEE" w14:textId="0477946D" w:rsidR="00AE7548" w:rsidRPr="003D07A0" w:rsidRDefault="00AE7548" w:rsidP="004329D1">
      <w:pPr>
        <w:rPr>
          <w:rFonts w:ascii="Arial" w:hAnsi="Arial" w:cs="Arial"/>
          <w:sz w:val="20"/>
          <w:szCs w:val="20"/>
        </w:rPr>
      </w:pPr>
      <w:r w:rsidRPr="003D07A0">
        <w:rPr>
          <w:rFonts w:ascii="Arial" w:hAnsi="Arial" w:cs="Arial"/>
          <w:sz w:val="20"/>
          <w:szCs w:val="20"/>
        </w:rPr>
        <w:t xml:space="preserve">Kim, </w:t>
      </w:r>
      <w:proofErr w:type="spellStart"/>
      <w:r w:rsidRPr="003D07A0">
        <w:rPr>
          <w:rFonts w:ascii="Arial" w:hAnsi="Arial" w:cs="Arial"/>
          <w:sz w:val="20"/>
          <w:szCs w:val="20"/>
        </w:rPr>
        <w:t>Keechang</w:t>
      </w:r>
      <w:proofErr w:type="spellEnd"/>
      <w:r w:rsidRPr="003D07A0">
        <w:rPr>
          <w:rFonts w:ascii="Arial" w:hAnsi="Arial" w:cs="Arial"/>
          <w:sz w:val="20"/>
          <w:szCs w:val="20"/>
        </w:rPr>
        <w:t xml:space="preserve">, </w:t>
      </w:r>
      <w:r w:rsidRPr="003D07A0">
        <w:rPr>
          <w:rFonts w:ascii="Arial" w:hAnsi="Arial" w:cs="Arial"/>
          <w:i/>
          <w:sz w:val="20"/>
          <w:szCs w:val="20"/>
        </w:rPr>
        <w:t>Aliens in Medieval Law: The Origins of Modern Citizenship</w:t>
      </w:r>
      <w:r w:rsidRPr="003D07A0">
        <w:rPr>
          <w:rFonts w:ascii="Arial" w:hAnsi="Arial" w:cs="Arial"/>
          <w:sz w:val="20"/>
          <w:szCs w:val="20"/>
        </w:rPr>
        <w:t xml:space="preserve"> (Cambridge, 2000).</w:t>
      </w:r>
    </w:p>
    <w:p w14:paraId="12150FED" w14:textId="77777777" w:rsidR="00AE7548" w:rsidRPr="003D07A0" w:rsidRDefault="00AE7548" w:rsidP="00156236">
      <w:pPr>
        <w:rPr>
          <w:rFonts w:ascii="Arial" w:eastAsia="Calibri" w:hAnsi="Arial" w:cs="Arial"/>
          <w:sz w:val="20"/>
          <w:szCs w:val="20"/>
        </w:rPr>
      </w:pPr>
    </w:p>
    <w:p w14:paraId="72F535EB" w14:textId="0E55F141" w:rsidR="00AE7548" w:rsidRPr="003D07A0" w:rsidRDefault="00AE7548" w:rsidP="00156236">
      <w:pPr>
        <w:rPr>
          <w:rFonts w:ascii="Arial" w:eastAsia="Calibri" w:hAnsi="Arial" w:cs="Arial"/>
          <w:sz w:val="20"/>
          <w:szCs w:val="20"/>
        </w:rPr>
      </w:pPr>
      <w:r w:rsidRPr="003D07A0">
        <w:rPr>
          <w:rFonts w:ascii="Arial" w:eastAsia="Calibri" w:hAnsi="Arial" w:cs="Arial"/>
          <w:sz w:val="20"/>
          <w:szCs w:val="20"/>
        </w:rPr>
        <w:t xml:space="preserve">Kraut, Alan M., </w:t>
      </w:r>
      <w:r w:rsidRPr="003D07A0">
        <w:rPr>
          <w:rFonts w:ascii="Arial" w:eastAsia="Calibri" w:hAnsi="Arial" w:cs="Arial"/>
          <w:i/>
          <w:sz w:val="20"/>
          <w:szCs w:val="20"/>
        </w:rPr>
        <w:t xml:space="preserve">Silent Travellers: Germs, Genes and the ‘Immigrant Menace’ </w:t>
      </w:r>
      <w:r w:rsidRPr="003D07A0">
        <w:rPr>
          <w:rFonts w:ascii="Arial" w:eastAsia="Calibri" w:hAnsi="Arial" w:cs="Arial"/>
          <w:sz w:val="20"/>
          <w:szCs w:val="20"/>
        </w:rPr>
        <w:t>(Baltimore, MD, 1994).</w:t>
      </w:r>
    </w:p>
    <w:p w14:paraId="3FA33356" w14:textId="77777777" w:rsidR="00AE7548" w:rsidRPr="003D07A0" w:rsidRDefault="00AE7548" w:rsidP="00E13B1A">
      <w:pPr>
        <w:rPr>
          <w:rFonts w:ascii="Arial" w:eastAsia="Calibri" w:hAnsi="Arial" w:cs="Arial"/>
          <w:sz w:val="20"/>
          <w:szCs w:val="20"/>
        </w:rPr>
      </w:pPr>
    </w:p>
    <w:p w14:paraId="0483B903" w14:textId="1082F861" w:rsidR="00AE7548" w:rsidRPr="003D07A0" w:rsidRDefault="00AE7548" w:rsidP="00156236">
      <w:pPr>
        <w:rPr>
          <w:rFonts w:ascii="Arial" w:eastAsia="Calibri" w:hAnsi="Arial" w:cs="Arial"/>
          <w:sz w:val="20"/>
          <w:szCs w:val="20"/>
        </w:rPr>
      </w:pPr>
      <w:r w:rsidRPr="003D07A0">
        <w:rPr>
          <w:rFonts w:ascii="Arial" w:eastAsia="Calibri" w:hAnsi="Arial" w:cs="Arial"/>
          <w:sz w:val="20"/>
          <w:szCs w:val="20"/>
        </w:rPr>
        <w:t xml:space="preserve">Lake, M. and Reynolds, H., </w:t>
      </w:r>
      <w:r w:rsidRPr="003D07A0">
        <w:rPr>
          <w:rFonts w:ascii="Arial" w:eastAsia="Calibri" w:hAnsi="Arial" w:cs="Arial"/>
          <w:i/>
          <w:sz w:val="20"/>
          <w:szCs w:val="20"/>
        </w:rPr>
        <w:t xml:space="preserve">Drawing the Global Colour Line: White Men’s Countries and the International Challenge of Racial Equality </w:t>
      </w:r>
      <w:r w:rsidRPr="003D07A0">
        <w:rPr>
          <w:rFonts w:ascii="Arial" w:eastAsia="Calibri" w:hAnsi="Arial" w:cs="Arial"/>
          <w:sz w:val="20"/>
          <w:szCs w:val="20"/>
        </w:rPr>
        <w:t>(Cambridge, 2008).</w:t>
      </w:r>
    </w:p>
    <w:p w14:paraId="0B7F56AA" w14:textId="2F2C7ECB" w:rsidR="00AE7548" w:rsidRPr="003D07A0" w:rsidRDefault="00AE7548" w:rsidP="00156236">
      <w:pPr>
        <w:rPr>
          <w:rFonts w:ascii="Arial" w:eastAsia="Calibri" w:hAnsi="Arial" w:cs="Arial"/>
          <w:sz w:val="20"/>
          <w:szCs w:val="20"/>
        </w:rPr>
      </w:pPr>
    </w:p>
    <w:p w14:paraId="5908ECB7" w14:textId="48862B52" w:rsidR="00AE7548" w:rsidRPr="003D07A0" w:rsidRDefault="00AE7548" w:rsidP="00156236">
      <w:pPr>
        <w:rPr>
          <w:rFonts w:ascii="Arial" w:eastAsia="Calibri" w:hAnsi="Arial" w:cs="Arial"/>
          <w:sz w:val="20"/>
          <w:szCs w:val="20"/>
        </w:rPr>
      </w:pPr>
      <w:r w:rsidRPr="003D07A0">
        <w:rPr>
          <w:rFonts w:ascii="Arial" w:eastAsia="Calibri" w:hAnsi="Arial" w:cs="Arial"/>
          <w:sz w:val="20"/>
          <w:szCs w:val="20"/>
        </w:rPr>
        <w:t xml:space="preserve">Lake, Marilyn, ‘Translating needs into rights: the discursive imperative of the Australian white man, 1901-30’, in Stefan </w:t>
      </w:r>
      <w:proofErr w:type="spellStart"/>
      <w:r w:rsidRPr="003D07A0">
        <w:rPr>
          <w:rFonts w:ascii="Arial" w:eastAsia="Calibri" w:hAnsi="Arial" w:cs="Arial"/>
          <w:sz w:val="20"/>
          <w:szCs w:val="20"/>
        </w:rPr>
        <w:t>Dudink</w:t>
      </w:r>
      <w:proofErr w:type="spellEnd"/>
      <w:r w:rsidRPr="003D07A0">
        <w:rPr>
          <w:rFonts w:ascii="Arial" w:eastAsia="Calibri" w:hAnsi="Arial" w:cs="Arial"/>
          <w:sz w:val="20"/>
          <w:szCs w:val="20"/>
        </w:rPr>
        <w:t xml:space="preserve">, Karen Hagemann and John Tosh (eds.), </w:t>
      </w:r>
      <w:r w:rsidRPr="003D07A0">
        <w:rPr>
          <w:rFonts w:ascii="Arial" w:eastAsia="Calibri" w:hAnsi="Arial" w:cs="Arial"/>
          <w:i/>
          <w:sz w:val="20"/>
          <w:szCs w:val="20"/>
        </w:rPr>
        <w:t>Masculinities in Politics and War: Gendering Modern History</w:t>
      </w:r>
      <w:r w:rsidRPr="003D07A0">
        <w:rPr>
          <w:rFonts w:ascii="Arial" w:eastAsia="Calibri" w:hAnsi="Arial" w:cs="Arial"/>
          <w:sz w:val="20"/>
          <w:szCs w:val="20"/>
        </w:rPr>
        <w:t xml:space="preserve"> (Manchester, 2004), p.199-219.</w:t>
      </w:r>
    </w:p>
    <w:p w14:paraId="5E38CE3E" w14:textId="444D0F1E" w:rsidR="00AE7548" w:rsidRPr="003D07A0" w:rsidRDefault="00AE7548" w:rsidP="00156236">
      <w:pPr>
        <w:rPr>
          <w:rFonts w:ascii="Arial" w:eastAsia="Calibri" w:hAnsi="Arial" w:cs="Arial"/>
          <w:sz w:val="20"/>
          <w:szCs w:val="20"/>
        </w:rPr>
      </w:pPr>
    </w:p>
    <w:p w14:paraId="5B49CFA2" w14:textId="705658D6" w:rsidR="00AE7548" w:rsidRPr="003D07A0" w:rsidRDefault="00AE7548" w:rsidP="00156236">
      <w:pPr>
        <w:rPr>
          <w:rFonts w:ascii="Arial" w:eastAsia="Calibri" w:hAnsi="Arial" w:cs="Arial"/>
          <w:sz w:val="20"/>
          <w:szCs w:val="20"/>
        </w:rPr>
      </w:pPr>
      <w:proofErr w:type="spellStart"/>
      <w:r w:rsidRPr="003D07A0">
        <w:rPr>
          <w:rFonts w:ascii="Arial" w:eastAsia="Calibri" w:hAnsi="Arial" w:cs="Arial"/>
          <w:sz w:val="20"/>
          <w:szCs w:val="20"/>
        </w:rPr>
        <w:t>Langfield</w:t>
      </w:r>
      <w:proofErr w:type="spellEnd"/>
      <w:r w:rsidRPr="003D07A0">
        <w:rPr>
          <w:rFonts w:ascii="Arial" w:eastAsia="Calibri" w:hAnsi="Arial" w:cs="Arial"/>
          <w:sz w:val="20"/>
          <w:szCs w:val="20"/>
        </w:rPr>
        <w:t xml:space="preserve">, Michèle, ‘Gender Blind? Australian Immigration Policy and Practice, 1901-1930’, </w:t>
      </w:r>
      <w:r w:rsidRPr="003D07A0">
        <w:rPr>
          <w:rFonts w:ascii="Arial" w:eastAsia="Calibri" w:hAnsi="Arial" w:cs="Arial"/>
          <w:i/>
          <w:sz w:val="20"/>
          <w:szCs w:val="20"/>
        </w:rPr>
        <w:t>Journal of Australian Studies</w:t>
      </w:r>
      <w:r w:rsidRPr="003D07A0">
        <w:rPr>
          <w:rFonts w:ascii="Arial" w:eastAsia="Calibri" w:hAnsi="Arial" w:cs="Arial"/>
          <w:sz w:val="20"/>
          <w:szCs w:val="20"/>
        </w:rPr>
        <w:t>, 27, no. 79 (2009), p.143-152.</w:t>
      </w:r>
    </w:p>
    <w:p w14:paraId="3E5929CE" w14:textId="7DA5985A" w:rsidR="00AE7548" w:rsidRPr="003D07A0" w:rsidRDefault="00AE7548" w:rsidP="00156236">
      <w:pPr>
        <w:rPr>
          <w:rFonts w:ascii="Arial" w:eastAsia="Calibri" w:hAnsi="Arial" w:cs="Arial"/>
          <w:sz w:val="20"/>
          <w:szCs w:val="20"/>
        </w:rPr>
      </w:pPr>
    </w:p>
    <w:p w14:paraId="7FCE1EBC" w14:textId="263B147F" w:rsidR="00AE7548" w:rsidRPr="003D07A0" w:rsidRDefault="00AE7548" w:rsidP="000C571A">
      <w:pPr>
        <w:rPr>
          <w:rFonts w:ascii="Arial" w:eastAsia="Calibri" w:hAnsi="Arial" w:cs="Arial"/>
          <w:sz w:val="20"/>
          <w:szCs w:val="20"/>
        </w:rPr>
      </w:pPr>
      <w:r w:rsidRPr="003D07A0">
        <w:rPr>
          <w:rFonts w:ascii="Arial" w:eastAsia="Calibri" w:hAnsi="Arial" w:cs="Arial"/>
          <w:sz w:val="20"/>
          <w:szCs w:val="20"/>
        </w:rPr>
        <w:t>MacDonald, Andrew, Colonial Trespassers in the Making of South Africa’s International Borders, 1900 to c.1950, (PhD Thesis, Cambridge University, 2012).</w:t>
      </w:r>
    </w:p>
    <w:p w14:paraId="51B3F516" w14:textId="77777777" w:rsidR="00AE7548" w:rsidRPr="003D07A0" w:rsidRDefault="00AE7548" w:rsidP="009A4BE2">
      <w:pPr>
        <w:rPr>
          <w:rFonts w:ascii="Arial" w:eastAsia="Calibri" w:hAnsi="Arial" w:cs="Arial"/>
          <w:sz w:val="20"/>
          <w:szCs w:val="20"/>
        </w:rPr>
      </w:pPr>
    </w:p>
    <w:p w14:paraId="32B906C0" w14:textId="1B24F656" w:rsidR="00AE7548" w:rsidRPr="00407DA2" w:rsidRDefault="00AE7548" w:rsidP="009A4BE2">
      <w:pPr>
        <w:rPr>
          <w:rFonts w:ascii="Arial" w:eastAsia="Calibri" w:hAnsi="Arial" w:cs="Arial"/>
          <w:color w:val="000000" w:themeColor="text1"/>
          <w:sz w:val="20"/>
          <w:szCs w:val="20"/>
        </w:rPr>
      </w:pPr>
      <w:r w:rsidRPr="003D07A0">
        <w:rPr>
          <w:rFonts w:ascii="Arial" w:eastAsia="Calibri" w:hAnsi="Arial" w:cs="Arial"/>
          <w:sz w:val="20"/>
          <w:szCs w:val="20"/>
        </w:rPr>
        <w:t xml:space="preserve">Maclean, Kama, ‘Examinations, access, and inequity within the empire: Britain, Australia and India, </w:t>
      </w:r>
      <w:r w:rsidRPr="00407DA2">
        <w:rPr>
          <w:rFonts w:ascii="Arial" w:eastAsia="Calibri" w:hAnsi="Arial" w:cs="Arial"/>
          <w:color w:val="000000" w:themeColor="text1"/>
          <w:sz w:val="20"/>
          <w:szCs w:val="20"/>
        </w:rPr>
        <w:t xml:space="preserve">1890-1910’, </w:t>
      </w:r>
      <w:r w:rsidRPr="00407DA2">
        <w:rPr>
          <w:rFonts w:ascii="Arial" w:eastAsia="Calibri" w:hAnsi="Arial" w:cs="Arial"/>
          <w:i/>
          <w:color w:val="000000" w:themeColor="text1"/>
          <w:sz w:val="20"/>
          <w:szCs w:val="20"/>
        </w:rPr>
        <w:t>Postcolonial Studies</w:t>
      </w:r>
      <w:r w:rsidRPr="00407DA2">
        <w:rPr>
          <w:rFonts w:ascii="Arial" w:eastAsia="Calibri" w:hAnsi="Arial" w:cs="Arial"/>
          <w:color w:val="000000" w:themeColor="text1"/>
          <w:sz w:val="20"/>
          <w:szCs w:val="20"/>
        </w:rPr>
        <w:t>, 18, no. 2 (2015), p.115-132.</w:t>
      </w:r>
    </w:p>
    <w:p w14:paraId="5A20DB75" w14:textId="77777777" w:rsidR="00AE7548" w:rsidRPr="00407DA2" w:rsidRDefault="00AE7548" w:rsidP="00016976">
      <w:pPr>
        <w:rPr>
          <w:rFonts w:ascii="Arial" w:eastAsia="Calibri" w:hAnsi="Arial" w:cs="Arial"/>
          <w:color w:val="000000" w:themeColor="text1"/>
          <w:sz w:val="20"/>
          <w:szCs w:val="20"/>
        </w:rPr>
      </w:pPr>
    </w:p>
    <w:p w14:paraId="4C6DAC0D" w14:textId="6F96B549" w:rsidR="00407DA2" w:rsidRPr="00407DA2" w:rsidRDefault="00AE7548" w:rsidP="00407DA2">
      <w:pPr>
        <w:rPr>
          <w:color w:val="000000" w:themeColor="text1"/>
          <w:sz w:val="20"/>
          <w:szCs w:val="20"/>
        </w:rPr>
      </w:pPr>
      <w:r w:rsidRPr="00407DA2">
        <w:rPr>
          <w:rFonts w:ascii="Arial" w:eastAsia="Calibri" w:hAnsi="Arial" w:cs="Arial"/>
          <w:color w:val="000000" w:themeColor="text1"/>
          <w:sz w:val="20"/>
          <w:szCs w:val="20"/>
        </w:rPr>
        <w:t xml:space="preserve">Martens, </w:t>
      </w:r>
      <w:r w:rsidR="00407DA2" w:rsidRPr="00407DA2">
        <w:rPr>
          <w:rFonts w:ascii="Arial" w:eastAsia="Calibri" w:hAnsi="Arial" w:cs="Arial"/>
          <w:color w:val="000000" w:themeColor="text1"/>
          <w:sz w:val="20"/>
          <w:szCs w:val="20"/>
        </w:rPr>
        <w:t xml:space="preserve">Jeremy, </w:t>
      </w:r>
      <w:r w:rsidRPr="00407DA2">
        <w:rPr>
          <w:rFonts w:ascii="Arial" w:eastAsia="Calibri" w:hAnsi="Arial" w:cs="Arial"/>
          <w:i/>
          <w:color w:val="000000" w:themeColor="text1"/>
          <w:sz w:val="20"/>
          <w:szCs w:val="20"/>
        </w:rPr>
        <w:t>Empire and Asian Migration</w:t>
      </w:r>
      <w:r w:rsidR="00407DA2" w:rsidRPr="00407DA2">
        <w:rPr>
          <w:rFonts w:ascii="Arial" w:hAnsi="Arial" w:cs="Arial"/>
          <w:i/>
          <w:color w:val="000000" w:themeColor="text1"/>
          <w:sz w:val="20"/>
          <w:szCs w:val="20"/>
          <w:shd w:val="clear" w:color="auto" w:fill="FFFFFF"/>
        </w:rPr>
        <w:t>: Sovereignty, Immigration Restriction and Protest in the British Settler Colonies, 1888–1907</w:t>
      </w:r>
      <w:r w:rsidR="00407DA2" w:rsidRPr="00407DA2">
        <w:rPr>
          <w:rFonts w:ascii="Arial" w:hAnsi="Arial" w:cs="Arial"/>
          <w:color w:val="000000" w:themeColor="text1"/>
          <w:sz w:val="20"/>
          <w:szCs w:val="20"/>
          <w:shd w:val="clear" w:color="auto" w:fill="FFFFFF"/>
        </w:rPr>
        <w:t xml:space="preserve"> (</w:t>
      </w:r>
      <w:r w:rsidR="00500914">
        <w:rPr>
          <w:rFonts w:ascii="Arial" w:hAnsi="Arial" w:cs="Arial"/>
          <w:color w:val="000000" w:themeColor="text1"/>
          <w:sz w:val="20"/>
          <w:szCs w:val="20"/>
          <w:shd w:val="clear" w:color="auto" w:fill="FFFFFF"/>
        </w:rPr>
        <w:t xml:space="preserve">Perth, </w:t>
      </w:r>
      <w:r w:rsidR="00407DA2" w:rsidRPr="00407DA2">
        <w:rPr>
          <w:rFonts w:ascii="Arial" w:hAnsi="Arial" w:cs="Arial"/>
          <w:color w:val="000000" w:themeColor="text1"/>
          <w:sz w:val="20"/>
          <w:szCs w:val="20"/>
          <w:shd w:val="clear" w:color="auto" w:fill="FFFFFF"/>
        </w:rPr>
        <w:t>2019)</w:t>
      </w:r>
    </w:p>
    <w:p w14:paraId="1D33CCC5" w14:textId="77777777" w:rsidR="00AE7548" w:rsidRPr="00407DA2" w:rsidRDefault="00AE7548" w:rsidP="00016976">
      <w:pPr>
        <w:rPr>
          <w:rFonts w:ascii="Arial" w:eastAsia="Calibri" w:hAnsi="Arial" w:cs="Arial"/>
          <w:color w:val="000000" w:themeColor="text1"/>
          <w:sz w:val="20"/>
          <w:szCs w:val="20"/>
        </w:rPr>
      </w:pPr>
    </w:p>
    <w:p w14:paraId="31D1B48B" w14:textId="34C24DEA" w:rsidR="00AE7548" w:rsidRPr="003D07A0" w:rsidRDefault="00AE7548" w:rsidP="00016976">
      <w:pPr>
        <w:rPr>
          <w:rFonts w:ascii="Arial" w:eastAsia="Calibri" w:hAnsi="Arial" w:cs="Arial"/>
          <w:sz w:val="20"/>
          <w:szCs w:val="20"/>
        </w:rPr>
      </w:pPr>
      <w:r w:rsidRPr="00407DA2">
        <w:rPr>
          <w:rFonts w:ascii="Arial" w:eastAsia="Calibri" w:hAnsi="Arial" w:cs="Arial"/>
          <w:color w:val="000000" w:themeColor="text1"/>
          <w:sz w:val="20"/>
          <w:szCs w:val="20"/>
        </w:rPr>
        <w:t>McKeown</w:t>
      </w:r>
      <w:r w:rsidRPr="003D07A0">
        <w:rPr>
          <w:rFonts w:ascii="Arial" w:eastAsia="Calibri" w:hAnsi="Arial" w:cs="Arial"/>
          <w:sz w:val="20"/>
          <w:szCs w:val="20"/>
        </w:rPr>
        <w:t xml:space="preserve">, A. M., ‘Ritualization and regulation: The enforcement of Chinese Exclusion in the United States and China’, </w:t>
      </w:r>
      <w:r w:rsidRPr="003D07A0">
        <w:rPr>
          <w:rFonts w:ascii="Arial" w:eastAsia="Calibri" w:hAnsi="Arial" w:cs="Arial"/>
          <w:i/>
          <w:sz w:val="20"/>
          <w:szCs w:val="20"/>
        </w:rPr>
        <w:t xml:space="preserve">American Historical Review, </w:t>
      </w:r>
      <w:r w:rsidRPr="003D07A0">
        <w:rPr>
          <w:rFonts w:ascii="Arial" w:eastAsia="Calibri" w:hAnsi="Arial" w:cs="Arial"/>
          <w:sz w:val="20"/>
          <w:szCs w:val="20"/>
        </w:rPr>
        <w:t>108, no. 2 (2003), p.377–403.</w:t>
      </w:r>
    </w:p>
    <w:p w14:paraId="55081974" w14:textId="77777777" w:rsidR="00AE7548" w:rsidRPr="003D07A0" w:rsidRDefault="00AE7548" w:rsidP="00016976">
      <w:pPr>
        <w:rPr>
          <w:rFonts w:ascii="Arial" w:eastAsia="Calibri" w:hAnsi="Arial" w:cs="Arial"/>
          <w:sz w:val="20"/>
          <w:szCs w:val="20"/>
        </w:rPr>
      </w:pPr>
    </w:p>
    <w:p w14:paraId="26C3E70C" w14:textId="2BDC8A8B" w:rsidR="00AE7548" w:rsidRPr="003D07A0" w:rsidRDefault="00AE7548" w:rsidP="00016976">
      <w:pPr>
        <w:rPr>
          <w:rFonts w:ascii="Arial" w:eastAsia="Calibri" w:hAnsi="Arial" w:cs="Arial"/>
          <w:sz w:val="20"/>
          <w:szCs w:val="20"/>
        </w:rPr>
      </w:pPr>
      <w:r w:rsidRPr="003D07A0">
        <w:rPr>
          <w:rFonts w:ascii="Arial" w:eastAsia="Calibri" w:hAnsi="Arial" w:cs="Arial"/>
          <w:sz w:val="20"/>
          <w:szCs w:val="20"/>
        </w:rPr>
        <w:t xml:space="preserve">McKeown, A. M., </w:t>
      </w:r>
      <w:r w:rsidRPr="003D07A0">
        <w:rPr>
          <w:rFonts w:ascii="Arial" w:eastAsia="Calibri" w:hAnsi="Arial" w:cs="Arial"/>
          <w:i/>
          <w:color w:val="222222"/>
          <w:sz w:val="20"/>
          <w:szCs w:val="20"/>
          <w:highlight w:val="white"/>
        </w:rPr>
        <w:t xml:space="preserve">Melancholy Order: Asian Migration and the Globalization of Borders </w:t>
      </w:r>
      <w:r w:rsidRPr="003D07A0">
        <w:rPr>
          <w:rFonts w:ascii="Arial" w:eastAsia="Calibri" w:hAnsi="Arial" w:cs="Arial"/>
          <w:color w:val="222222"/>
          <w:sz w:val="20"/>
          <w:szCs w:val="20"/>
          <w:highlight w:val="white"/>
        </w:rPr>
        <w:t>(New York, 2008)</w:t>
      </w:r>
      <w:r w:rsidRPr="003D07A0">
        <w:rPr>
          <w:rFonts w:ascii="Arial" w:eastAsia="Calibri" w:hAnsi="Arial" w:cs="Arial"/>
          <w:sz w:val="20"/>
          <w:szCs w:val="20"/>
        </w:rPr>
        <w:t>.</w:t>
      </w:r>
    </w:p>
    <w:p w14:paraId="46BBCCF7" w14:textId="77777777" w:rsidR="00AE7548" w:rsidRPr="003D07A0" w:rsidRDefault="00AE7548" w:rsidP="00016976">
      <w:pPr>
        <w:rPr>
          <w:rFonts w:ascii="Arial" w:eastAsia="Calibri" w:hAnsi="Arial" w:cs="Arial"/>
          <w:sz w:val="20"/>
          <w:szCs w:val="20"/>
        </w:rPr>
      </w:pPr>
    </w:p>
    <w:p w14:paraId="69081E06" w14:textId="7D4BFAD9" w:rsidR="00AE7548" w:rsidRPr="003D07A0" w:rsidRDefault="00AE7548" w:rsidP="00F86BAB">
      <w:pPr>
        <w:rPr>
          <w:rFonts w:ascii="Arial" w:eastAsia="Calibri" w:hAnsi="Arial" w:cs="Arial"/>
          <w:sz w:val="20"/>
          <w:szCs w:val="20"/>
        </w:rPr>
      </w:pPr>
      <w:r w:rsidRPr="003D07A0">
        <w:rPr>
          <w:rFonts w:ascii="Arial" w:eastAsia="Calibri" w:hAnsi="Arial" w:cs="Arial"/>
          <w:sz w:val="20"/>
          <w:szCs w:val="20"/>
        </w:rPr>
        <w:t xml:space="preserve">Mendelsohn, Richard, and </w:t>
      </w:r>
      <w:proofErr w:type="spellStart"/>
      <w:r w:rsidRPr="003D07A0">
        <w:rPr>
          <w:rFonts w:ascii="Arial" w:eastAsia="Calibri" w:hAnsi="Arial" w:cs="Arial"/>
          <w:sz w:val="20"/>
          <w:szCs w:val="20"/>
        </w:rPr>
        <w:t>Shain</w:t>
      </w:r>
      <w:proofErr w:type="spellEnd"/>
      <w:r w:rsidRPr="003D07A0">
        <w:rPr>
          <w:rFonts w:ascii="Arial" w:eastAsia="Calibri" w:hAnsi="Arial" w:cs="Arial"/>
          <w:sz w:val="20"/>
          <w:szCs w:val="20"/>
        </w:rPr>
        <w:t xml:space="preserve">, Milton, </w:t>
      </w:r>
      <w:r w:rsidRPr="003D07A0">
        <w:rPr>
          <w:rFonts w:ascii="Arial" w:eastAsia="Calibri" w:hAnsi="Arial" w:cs="Arial"/>
          <w:i/>
          <w:sz w:val="20"/>
          <w:szCs w:val="20"/>
        </w:rPr>
        <w:t>The Jews in South Africa: An Illustrated History</w:t>
      </w:r>
      <w:r w:rsidRPr="003D07A0">
        <w:rPr>
          <w:rFonts w:ascii="Arial" w:eastAsia="Calibri" w:hAnsi="Arial" w:cs="Arial"/>
          <w:sz w:val="20"/>
          <w:szCs w:val="20"/>
        </w:rPr>
        <w:t xml:space="preserve"> (</w:t>
      </w:r>
      <w:proofErr w:type="spellStart"/>
      <w:r w:rsidRPr="003D07A0">
        <w:rPr>
          <w:rFonts w:ascii="Arial" w:eastAsia="Calibri" w:hAnsi="Arial" w:cs="Arial"/>
          <w:sz w:val="20"/>
          <w:szCs w:val="20"/>
        </w:rPr>
        <w:t>Jeppestown</w:t>
      </w:r>
      <w:proofErr w:type="spellEnd"/>
      <w:r w:rsidRPr="003D07A0">
        <w:rPr>
          <w:rFonts w:ascii="Arial" w:eastAsia="Calibri" w:hAnsi="Arial" w:cs="Arial"/>
          <w:sz w:val="20"/>
          <w:szCs w:val="20"/>
        </w:rPr>
        <w:t>, 2008).</w:t>
      </w:r>
    </w:p>
    <w:p w14:paraId="572CB427" w14:textId="77777777" w:rsidR="00AE7548" w:rsidRPr="003D07A0" w:rsidRDefault="00AE7548" w:rsidP="00916554">
      <w:pPr>
        <w:rPr>
          <w:rFonts w:ascii="Arial" w:hAnsi="Arial" w:cs="Arial"/>
          <w:sz w:val="20"/>
          <w:szCs w:val="20"/>
        </w:rPr>
      </w:pPr>
    </w:p>
    <w:p w14:paraId="4091B3F1" w14:textId="1CB24E50" w:rsidR="00AE7548" w:rsidRDefault="00AE7548" w:rsidP="00916554">
      <w:pPr>
        <w:rPr>
          <w:rFonts w:ascii="Arial" w:hAnsi="Arial" w:cs="Arial"/>
          <w:sz w:val="20"/>
          <w:szCs w:val="20"/>
        </w:rPr>
      </w:pPr>
      <w:r w:rsidRPr="003D07A0">
        <w:rPr>
          <w:rFonts w:ascii="Arial" w:hAnsi="Arial" w:cs="Arial"/>
          <w:sz w:val="20"/>
          <w:szCs w:val="20"/>
        </w:rPr>
        <w:t xml:space="preserve">Muller, Hannah Weiss, ‘Bonds of Belonging: Subjecthood and the British Empire’, </w:t>
      </w:r>
      <w:r w:rsidRPr="003D07A0">
        <w:rPr>
          <w:rFonts w:ascii="Arial" w:hAnsi="Arial" w:cs="Arial"/>
          <w:i/>
          <w:sz w:val="20"/>
          <w:szCs w:val="20"/>
        </w:rPr>
        <w:t>Journal of British Studies,</w:t>
      </w:r>
      <w:r w:rsidRPr="003D07A0">
        <w:rPr>
          <w:rFonts w:ascii="Arial" w:hAnsi="Arial" w:cs="Arial"/>
          <w:sz w:val="20"/>
          <w:szCs w:val="20"/>
        </w:rPr>
        <w:t xml:space="preserve"> 53 (January 2014), p.29-58.</w:t>
      </w:r>
    </w:p>
    <w:p w14:paraId="7F7305B6" w14:textId="7AAF0F39" w:rsidR="00BF4E4B" w:rsidRDefault="00BF4E4B" w:rsidP="00916554">
      <w:pPr>
        <w:rPr>
          <w:rFonts w:ascii="Arial" w:hAnsi="Arial" w:cs="Arial"/>
          <w:sz w:val="20"/>
          <w:szCs w:val="20"/>
        </w:rPr>
      </w:pPr>
    </w:p>
    <w:p w14:paraId="68019A02" w14:textId="77777777" w:rsidR="00BF4E4B" w:rsidRPr="0088041A" w:rsidRDefault="00BF4E4B" w:rsidP="00BF4E4B">
      <w:pPr>
        <w:rPr>
          <w:rFonts w:ascii="Arial" w:eastAsia="Calibri" w:hAnsi="Arial" w:cs="Arial"/>
          <w:sz w:val="20"/>
          <w:szCs w:val="20"/>
        </w:rPr>
      </w:pPr>
      <w:r w:rsidRPr="0088041A">
        <w:rPr>
          <w:rFonts w:ascii="Arial" w:eastAsia="Calibri" w:hAnsi="Arial" w:cs="Arial"/>
          <w:sz w:val="20"/>
          <w:szCs w:val="20"/>
        </w:rPr>
        <w:t>National Archives of Australia (NAA): A1, ST1233, J3116, A406, A63, A435</w:t>
      </w:r>
      <w:r>
        <w:rPr>
          <w:rFonts w:ascii="Arial" w:eastAsia="Calibri" w:hAnsi="Arial" w:cs="Arial"/>
          <w:sz w:val="20"/>
          <w:szCs w:val="20"/>
        </w:rPr>
        <w:t>.</w:t>
      </w:r>
      <w:r w:rsidRPr="0088041A">
        <w:rPr>
          <w:rFonts w:ascii="Arial" w:eastAsia="Calibri" w:hAnsi="Arial" w:cs="Arial"/>
          <w:sz w:val="20"/>
          <w:szCs w:val="20"/>
        </w:rPr>
        <w:t xml:space="preserve"> </w:t>
      </w:r>
    </w:p>
    <w:p w14:paraId="207E3411" w14:textId="77777777" w:rsidR="00BF4E4B" w:rsidRPr="0088041A" w:rsidRDefault="00BF4E4B" w:rsidP="00BF4E4B">
      <w:pPr>
        <w:rPr>
          <w:rFonts w:ascii="Arial" w:eastAsia="Calibri" w:hAnsi="Arial" w:cs="Arial"/>
          <w:sz w:val="20"/>
          <w:szCs w:val="20"/>
        </w:rPr>
      </w:pPr>
    </w:p>
    <w:p w14:paraId="28E80481" w14:textId="41BEF8D9" w:rsidR="00BF4E4B" w:rsidRPr="003D07A0" w:rsidRDefault="00BF4E4B" w:rsidP="00BF4E4B">
      <w:pPr>
        <w:rPr>
          <w:rFonts w:ascii="Arial" w:hAnsi="Arial" w:cs="Arial"/>
          <w:sz w:val="20"/>
          <w:szCs w:val="20"/>
        </w:rPr>
      </w:pPr>
      <w:r w:rsidRPr="0088041A">
        <w:rPr>
          <w:rFonts w:ascii="Arial" w:eastAsia="Calibri" w:hAnsi="Arial" w:cs="Arial"/>
          <w:sz w:val="20"/>
          <w:szCs w:val="20"/>
        </w:rPr>
        <w:t>National Library</w:t>
      </w:r>
      <w:r>
        <w:rPr>
          <w:rFonts w:ascii="Arial" w:eastAsia="Calibri" w:hAnsi="Arial" w:cs="Arial"/>
          <w:sz w:val="20"/>
          <w:szCs w:val="20"/>
        </w:rPr>
        <w:t xml:space="preserve"> of </w:t>
      </w:r>
      <w:r w:rsidRPr="0088041A">
        <w:rPr>
          <w:rFonts w:ascii="Arial" w:eastAsia="Calibri" w:hAnsi="Arial" w:cs="Arial"/>
          <w:sz w:val="20"/>
          <w:szCs w:val="20"/>
        </w:rPr>
        <w:t>Australia, MS 52</w:t>
      </w:r>
      <w:r>
        <w:rPr>
          <w:rFonts w:ascii="Arial" w:eastAsia="Calibri" w:hAnsi="Arial" w:cs="Arial"/>
          <w:sz w:val="20"/>
          <w:szCs w:val="20"/>
        </w:rPr>
        <w:t>:</w:t>
      </w:r>
      <w:r w:rsidRPr="0088041A">
        <w:rPr>
          <w:rFonts w:ascii="Arial" w:eastAsia="Calibri" w:hAnsi="Arial" w:cs="Arial"/>
          <w:sz w:val="20"/>
          <w:szCs w:val="20"/>
        </w:rPr>
        <w:t xml:space="preserve"> Atlee Hunt Papers.</w:t>
      </w:r>
    </w:p>
    <w:p w14:paraId="11D470A6" w14:textId="1DF244E8" w:rsidR="00AE7548" w:rsidRPr="003D07A0" w:rsidRDefault="00AE7548" w:rsidP="00916554">
      <w:pPr>
        <w:rPr>
          <w:rFonts w:ascii="Arial" w:hAnsi="Arial" w:cs="Arial"/>
          <w:i/>
          <w:iCs/>
          <w:sz w:val="20"/>
          <w:szCs w:val="20"/>
        </w:rPr>
      </w:pPr>
    </w:p>
    <w:p w14:paraId="5B8071AB" w14:textId="3318990C" w:rsidR="00AE7548" w:rsidRDefault="00AE7548" w:rsidP="00EF611B">
      <w:pPr>
        <w:rPr>
          <w:rFonts w:ascii="Arial" w:hAnsi="Arial" w:cs="Arial"/>
          <w:color w:val="000000" w:themeColor="text1"/>
          <w:sz w:val="20"/>
          <w:szCs w:val="20"/>
        </w:rPr>
      </w:pPr>
      <w:proofErr w:type="spellStart"/>
      <w:r w:rsidRPr="003D07A0">
        <w:rPr>
          <w:rFonts w:ascii="Arial" w:eastAsia="Calibri" w:hAnsi="Arial" w:cs="Arial"/>
          <w:color w:val="000000" w:themeColor="text1"/>
          <w:sz w:val="20"/>
          <w:szCs w:val="20"/>
        </w:rPr>
        <w:t>Peberdy</w:t>
      </w:r>
      <w:proofErr w:type="spellEnd"/>
      <w:r w:rsidRPr="003D07A0">
        <w:rPr>
          <w:rFonts w:ascii="Arial" w:eastAsia="Calibri" w:hAnsi="Arial" w:cs="Arial"/>
          <w:color w:val="000000" w:themeColor="text1"/>
          <w:sz w:val="20"/>
          <w:szCs w:val="20"/>
        </w:rPr>
        <w:t>, Sally,</w:t>
      </w:r>
      <w:r w:rsidRPr="003D07A0">
        <w:rPr>
          <w:rFonts w:ascii="Arial" w:eastAsia="Calibri" w:hAnsi="Arial" w:cs="Arial"/>
          <w:i/>
          <w:iCs/>
          <w:color w:val="000000" w:themeColor="text1"/>
          <w:sz w:val="20"/>
          <w:szCs w:val="20"/>
        </w:rPr>
        <w:t xml:space="preserve"> </w:t>
      </w:r>
      <w:r w:rsidRPr="003D07A0">
        <w:rPr>
          <w:rFonts w:ascii="Arial" w:hAnsi="Arial" w:cs="Arial"/>
          <w:i/>
          <w:iCs/>
          <w:color w:val="000000" w:themeColor="text1"/>
          <w:sz w:val="20"/>
          <w:szCs w:val="20"/>
          <w:shd w:val="clear" w:color="auto" w:fill="FFFFFF"/>
        </w:rPr>
        <w:t>Selecting Immigrants: National Identity and South Africa's Immigration Policies, 1910-2005</w:t>
      </w:r>
      <w:r w:rsidRPr="003D07A0">
        <w:rPr>
          <w:rFonts w:ascii="Arial" w:hAnsi="Arial" w:cs="Arial"/>
          <w:color w:val="000000" w:themeColor="text1"/>
          <w:sz w:val="20"/>
          <w:szCs w:val="20"/>
        </w:rPr>
        <w:t xml:space="preserve"> (Johannesburg, 2009).</w:t>
      </w:r>
    </w:p>
    <w:p w14:paraId="51B44204" w14:textId="0B55796F" w:rsidR="00BF4E4B" w:rsidRDefault="00BF4E4B" w:rsidP="00EF611B">
      <w:pPr>
        <w:rPr>
          <w:rFonts w:ascii="Arial" w:hAnsi="Arial" w:cs="Arial"/>
          <w:color w:val="000000" w:themeColor="text1"/>
          <w:sz w:val="20"/>
          <w:szCs w:val="20"/>
        </w:rPr>
      </w:pPr>
    </w:p>
    <w:p w14:paraId="692052F7" w14:textId="48B3FFB5" w:rsidR="00BF4E4B" w:rsidRPr="00BF4E4B" w:rsidRDefault="00BF4E4B" w:rsidP="00EF611B">
      <w:pPr>
        <w:rPr>
          <w:rFonts w:ascii="Arial" w:eastAsia="Calibri" w:hAnsi="Arial" w:cs="Arial"/>
          <w:sz w:val="20"/>
          <w:szCs w:val="20"/>
        </w:rPr>
      </w:pPr>
      <w:r w:rsidRPr="00921944">
        <w:rPr>
          <w:rFonts w:ascii="Arial" w:hAnsi="Arial" w:cs="Arial"/>
          <w:color w:val="000000" w:themeColor="text1"/>
          <w:sz w:val="20"/>
          <w:szCs w:val="20"/>
        </w:rPr>
        <w:t>Pietermaritzburg Archives Repository</w:t>
      </w:r>
      <w:r>
        <w:rPr>
          <w:rFonts w:ascii="Arial" w:hAnsi="Arial" w:cs="Arial"/>
          <w:color w:val="000000" w:themeColor="text1"/>
          <w:sz w:val="20"/>
          <w:szCs w:val="20"/>
        </w:rPr>
        <w:t xml:space="preserve"> (</w:t>
      </w:r>
      <w:r w:rsidRPr="00921944">
        <w:rPr>
          <w:rFonts w:ascii="Arial" w:hAnsi="Arial" w:cs="Arial"/>
          <w:color w:val="000000" w:themeColor="text1"/>
          <w:sz w:val="20"/>
          <w:szCs w:val="20"/>
        </w:rPr>
        <w:t>NAB</w:t>
      </w:r>
      <w:r>
        <w:rPr>
          <w:rFonts w:ascii="Arial" w:hAnsi="Arial" w:cs="Arial"/>
          <w:color w:val="000000" w:themeColor="text1"/>
          <w:sz w:val="20"/>
          <w:szCs w:val="20"/>
        </w:rPr>
        <w:t>)</w:t>
      </w:r>
      <w:r>
        <w:rPr>
          <w:rFonts w:ascii="Arial" w:eastAsia="Calibri" w:hAnsi="Arial" w:cs="Arial"/>
          <w:sz w:val="20"/>
          <w:szCs w:val="20"/>
        </w:rPr>
        <w:t>.</w:t>
      </w:r>
    </w:p>
    <w:p w14:paraId="6B413B6D" w14:textId="77777777" w:rsidR="00AE7548" w:rsidRPr="003D07A0" w:rsidRDefault="00AE7548" w:rsidP="00156236">
      <w:pPr>
        <w:rPr>
          <w:rFonts w:ascii="Arial" w:eastAsia="Calibri" w:hAnsi="Arial" w:cs="Arial"/>
          <w:sz w:val="20"/>
          <w:szCs w:val="20"/>
        </w:rPr>
      </w:pPr>
    </w:p>
    <w:p w14:paraId="23259686" w14:textId="0788631F" w:rsidR="00AE7548" w:rsidRPr="003D07A0" w:rsidRDefault="00AE7548" w:rsidP="000C2CAC">
      <w:pPr>
        <w:rPr>
          <w:rFonts w:ascii="Arial" w:eastAsia="Calibri" w:hAnsi="Arial" w:cs="Arial"/>
          <w:sz w:val="20"/>
          <w:szCs w:val="20"/>
        </w:rPr>
      </w:pPr>
      <w:r w:rsidRPr="003D07A0">
        <w:rPr>
          <w:rFonts w:ascii="Arial" w:eastAsia="Calibri" w:hAnsi="Arial" w:cs="Arial"/>
          <w:sz w:val="20"/>
          <w:szCs w:val="20"/>
        </w:rPr>
        <w:t xml:space="preserve">Rabinowitz, Ann, ‘From the Morris Alexander “Immigration” Notebook, 1911’, Southern Africa Jewish Genealogy </w:t>
      </w:r>
      <w:proofErr w:type="spellStart"/>
      <w:r w:rsidRPr="003D07A0">
        <w:rPr>
          <w:rFonts w:ascii="Arial" w:eastAsia="Calibri" w:hAnsi="Arial" w:cs="Arial"/>
          <w:sz w:val="20"/>
          <w:szCs w:val="20"/>
        </w:rPr>
        <w:t>sa</w:t>
      </w:r>
      <w:proofErr w:type="spellEnd"/>
      <w:r w:rsidRPr="003D07A0">
        <w:rPr>
          <w:rFonts w:ascii="Arial" w:eastAsia="Calibri" w:hAnsi="Arial" w:cs="Arial"/>
          <w:sz w:val="20"/>
          <w:szCs w:val="20"/>
        </w:rPr>
        <w:t xml:space="preserve">-sig, 14 July 1997, </w:t>
      </w:r>
      <w:hyperlink r:id="rId4">
        <w:r w:rsidRPr="003D07A0">
          <w:rPr>
            <w:rFonts w:ascii="Arial" w:eastAsia="Calibri" w:hAnsi="Arial" w:cs="Arial"/>
            <w:color w:val="1155CC"/>
            <w:sz w:val="20"/>
            <w:szCs w:val="20"/>
            <w:u w:val="single"/>
          </w:rPr>
          <w:t>http://www.jewishgen.org/SAfrica/alexander-immig.htm</w:t>
        </w:r>
      </w:hyperlink>
      <w:r w:rsidRPr="003D07A0">
        <w:rPr>
          <w:rFonts w:ascii="Arial" w:eastAsia="Calibri" w:hAnsi="Arial" w:cs="Arial"/>
          <w:sz w:val="20"/>
          <w:szCs w:val="20"/>
        </w:rPr>
        <w:t xml:space="preserve">, last accessed: 4 July 2016. </w:t>
      </w:r>
    </w:p>
    <w:p w14:paraId="7EFF4C78" w14:textId="77777777" w:rsidR="00AE7548" w:rsidRPr="003D07A0" w:rsidRDefault="00AE7548" w:rsidP="004474A0">
      <w:pPr>
        <w:rPr>
          <w:rFonts w:ascii="Arial" w:eastAsia="Calibri" w:hAnsi="Arial" w:cs="Arial"/>
          <w:sz w:val="20"/>
          <w:szCs w:val="20"/>
        </w:rPr>
      </w:pPr>
    </w:p>
    <w:p w14:paraId="243F536D" w14:textId="5D7224EC" w:rsidR="00AE7548" w:rsidRPr="003D07A0" w:rsidRDefault="00AE7548" w:rsidP="004474A0">
      <w:pPr>
        <w:rPr>
          <w:rFonts w:ascii="Arial" w:eastAsia="Calibri" w:hAnsi="Arial" w:cs="Arial"/>
          <w:sz w:val="20"/>
          <w:szCs w:val="20"/>
        </w:rPr>
      </w:pPr>
      <w:r w:rsidRPr="003D07A0">
        <w:rPr>
          <w:rFonts w:ascii="Arial" w:eastAsia="Calibri" w:hAnsi="Arial" w:cs="Arial"/>
          <w:sz w:val="20"/>
          <w:szCs w:val="20"/>
        </w:rPr>
        <w:t xml:space="preserve">Ray, Carina E., </w:t>
      </w:r>
      <w:r w:rsidRPr="003D07A0">
        <w:rPr>
          <w:rFonts w:ascii="Arial" w:eastAsia="Calibri" w:hAnsi="Arial" w:cs="Arial"/>
          <w:i/>
          <w:sz w:val="20"/>
          <w:szCs w:val="20"/>
        </w:rPr>
        <w:t xml:space="preserve">Crossing the </w:t>
      </w:r>
      <w:proofErr w:type="spellStart"/>
      <w:r w:rsidRPr="003D07A0">
        <w:rPr>
          <w:rFonts w:ascii="Arial" w:eastAsia="Calibri" w:hAnsi="Arial" w:cs="Arial"/>
          <w:i/>
          <w:sz w:val="20"/>
          <w:szCs w:val="20"/>
        </w:rPr>
        <w:t>Color</w:t>
      </w:r>
      <w:proofErr w:type="spellEnd"/>
      <w:r w:rsidRPr="003D07A0">
        <w:rPr>
          <w:rFonts w:ascii="Arial" w:eastAsia="Calibri" w:hAnsi="Arial" w:cs="Arial"/>
          <w:i/>
          <w:sz w:val="20"/>
          <w:szCs w:val="20"/>
        </w:rPr>
        <w:t xml:space="preserve"> Line: Race, Sex and the Contested Politics of Colonialism in Ghana</w:t>
      </w:r>
      <w:r w:rsidRPr="003D07A0">
        <w:rPr>
          <w:rFonts w:ascii="Arial" w:eastAsia="Calibri" w:hAnsi="Arial" w:cs="Arial"/>
          <w:sz w:val="20"/>
          <w:szCs w:val="20"/>
        </w:rPr>
        <w:t xml:space="preserve"> (Athens, OH, 2015).</w:t>
      </w:r>
    </w:p>
    <w:p w14:paraId="6371EA88" w14:textId="77777777" w:rsidR="00AE7548" w:rsidRPr="003D07A0" w:rsidRDefault="00AE7548" w:rsidP="00156236">
      <w:pPr>
        <w:rPr>
          <w:rFonts w:ascii="Arial" w:eastAsia="Calibri" w:hAnsi="Arial" w:cs="Arial"/>
          <w:sz w:val="20"/>
          <w:szCs w:val="20"/>
          <w:highlight w:val="white"/>
        </w:rPr>
      </w:pPr>
    </w:p>
    <w:p w14:paraId="1D43883A" w14:textId="71B90E99" w:rsidR="00AE7548" w:rsidRPr="003D07A0" w:rsidRDefault="00AE7548" w:rsidP="00156236">
      <w:pPr>
        <w:rPr>
          <w:rFonts w:ascii="Arial" w:eastAsia="Calibri" w:hAnsi="Arial" w:cs="Arial"/>
          <w:sz w:val="20"/>
          <w:szCs w:val="20"/>
        </w:rPr>
      </w:pPr>
      <w:r w:rsidRPr="003D07A0">
        <w:rPr>
          <w:rFonts w:ascii="Arial" w:eastAsia="Calibri" w:hAnsi="Arial" w:cs="Arial"/>
          <w:sz w:val="20"/>
          <w:szCs w:val="20"/>
          <w:highlight w:val="white"/>
        </w:rPr>
        <w:t xml:space="preserve">Robertson, </w:t>
      </w:r>
      <w:r w:rsidRPr="003D07A0">
        <w:rPr>
          <w:rFonts w:ascii="Arial" w:eastAsia="Calibri" w:hAnsi="Arial" w:cs="Arial"/>
          <w:sz w:val="20"/>
          <w:szCs w:val="20"/>
        </w:rPr>
        <w:t xml:space="preserve">Craig, </w:t>
      </w:r>
      <w:r w:rsidRPr="003D07A0">
        <w:rPr>
          <w:rFonts w:ascii="Arial" w:eastAsia="Calibri" w:hAnsi="Arial" w:cs="Arial"/>
          <w:i/>
          <w:sz w:val="20"/>
          <w:szCs w:val="20"/>
          <w:highlight w:val="white"/>
        </w:rPr>
        <w:t>Passport in America: The History of a Document</w:t>
      </w:r>
      <w:r w:rsidRPr="003D07A0">
        <w:rPr>
          <w:rFonts w:ascii="Arial" w:eastAsia="Calibri" w:hAnsi="Arial" w:cs="Arial"/>
          <w:sz w:val="20"/>
          <w:szCs w:val="20"/>
          <w:highlight w:val="white"/>
        </w:rPr>
        <w:t xml:space="preserve"> (Oxford, 2010)</w:t>
      </w:r>
      <w:r w:rsidRPr="003D07A0">
        <w:rPr>
          <w:rFonts w:ascii="Arial" w:eastAsia="Calibri" w:hAnsi="Arial" w:cs="Arial"/>
          <w:sz w:val="20"/>
          <w:szCs w:val="20"/>
        </w:rPr>
        <w:t>.</w:t>
      </w:r>
    </w:p>
    <w:p w14:paraId="40B5E5F4" w14:textId="77777777" w:rsidR="00AE7548" w:rsidRPr="003D07A0" w:rsidRDefault="00AE7548" w:rsidP="00293669">
      <w:pPr>
        <w:rPr>
          <w:rFonts w:ascii="Arial" w:eastAsia="Calibri" w:hAnsi="Arial" w:cs="Arial"/>
          <w:sz w:val="20"/>
          <w:szCs w:val="20"/>
        </w:rPr>
      </w:pPr>
    </w:p>
    <w:p w14:paraId="5E58D914" w14:textId="4BC4AB0A" w:rsidR="00AE7548" w:rsidRPr="003D07A0" w:rsidRDefault="00AE7548" w:rsidP="00793E87">
      <w:pPr>
        <w:rPr>
          <w:rFonts w:ascii="Arial" w:eastAsia="Calibri" w:hAnsi="Arial" w:cs="Arial"/>
          <w:sz w:val="20"/>
          <w:szCs w:val="20"/>
        </w:rPr>
      </w:pPr>
      <w:r w:rsidRPr="003D07A0">
        <w:rPr>
          <w:rFonts w:ascii="Arial" w:eastAsia="Calibri" w:hAnsi="Arial" w:cs="Arial"/>
          <w:sz w:val="20"/>
          <w:szCs w:val="20"/>
        </w:rPr>
        <w:t>Rubenstein, Kim, with Field,</w:t>
      </w:r>
      <w:r w:rsidRPr="00C8745C">
        <w:rPr>
          <w:rFonts w:ascii="Arial" w:eastAsia="Calibri" w:hAnsi="Arial" w:cs="Arial"/>
          <w:sz w:val="20"/>
          <w:szCs w:val="20"/>
        </w:rPr>
        <w:t xml:space="preserve"> </w:t>
      </w:r>
      <w:r w:rsidRPr="003D07A0">
        <w:rPr>
          <w:rFonts w:ascii="Arial" w:eastAsia="Calibri" w:hAnsi="Arial" w:cs="Arial"/>
          <w:sz w:val="20"/>
          <w:szCs w:val="20"/>
        </w:rPr>
        <w:t>Jacqueline</w:t>
      </w:r>
      <w:r>
        <w:rPr>
          <w:rFonts w:ascii="Arial" w:eastAsia="Calibri" w:hAnsi="Arial" w:cs="Arial"/>
          <w:sz w:val="20"/>
          <w:szCs w:val="20"/>
        </w:rPr>
        <w:t>,</w:t>
      </w:r>
      <w:r w:rsidRPr="003D07A0">
        <w:rPr>
          <w:rFonts w:ascii="Arial" w:eastAsia="Calibri" w:hAnsi="Arial" w:cs="Arial"/>
          <w:i/>
          <w:sz w:val="20"/>
          <w:szCs w:val="20"/>
        </w:rPr>
        <w:t xml:space="preserve"> Australian Citizenship Law in Context </w:t>
      </w:r>
      <w:r w:rsidRPr="003D07A0">
        <w:rPr>
          <w:rFonts w:ascii="Arial" w:eastAsia="Calibri" w:hAnsi="Arial" w:cs="Arial"/>
          <w:sz w:val="20"/>
          <w:szCs w:val="20"/>
        </w:rPr>
        <w:t xml:space="preserve">(Sydney, 2002, 2nd ed. 2017). </w:t>
      </w:r>
    </w:p>
    <w:p w14:paraId="4C2A2378" w14:textId="77777777" w:rsidR="00AE7548" w:rsidRPr="003D07A0" w:rsidRDefault="00AE7548" w:rsidP="004329D1">
      <w:pPr>
        <w:rPr>
          <w:rFonts w:ascii="Arial" w:hAnsi="Arial" w:cs="Arial"/>
          <w:sz w:val="20"/>
          <w:szCs w:val="20"/>
        </w:rPr>
      </w:pPr>
    </w:p>
    <w:p w14:paraId="0886FD1A" w14:textId="197545B0" w:rsidR="00AE7548" w:rsidRPr="003D07A0" w:rsidRDefault="00AE7548" w:rsidP="00F86BAB">
      <w:pPr>
        <w:rPr>
          <w:rFonts w:ascii="Arial" w:eastAsia="Calibri" w:hAnsi="Arial" w:cs="Arial"/>
          <w:sz w:val="20"/>
          <w:szCs w:val="20"/>
        </w:rPr>
      </w:pPr>
      <w:proofErr w:type="spellStart"/>
      <w:r w:rsidRPr="003D07A0">
        <w:rPr>
          <w:rFonts w:ascii="Arial" w:eastAsia="Calibri" w:hAnsi="Arial" w:cs="Arial"/>
          <w:sz w:val="20"/>
          <w:szCs w:val="20"/>
        </w:rPr>
        <w:t>Saron</w:t>
      </w:r>
      <w:proofErr w:type="spellEnd"/>
      <w:r w:rsidRPr="003D07A0">
        <w:rPr>
          <w:rFonts w:ascii="Arial" w:eastAsia="Calibri" w:hAnsi="Arial" w:cs="Arial"/>
          <w:sz w:val="20"/>
          <w:szCs w:val="20"/>
        </w:rPr>
        <w:t xml:space="preserve">, Gustav, </w:t>
      </w:r>
      <w:r w:rsidRPr="003D07A0">
        <w:rPr>
          <w:rFonts w:ascii="Arial" w:eastAsia="Calibri" w:hAnsi="Arial" w:cs="Arial"/>
          <w:i/>
          <w:sz w:val="20"/>
          <w:szCs w:val="20"/>
        </w:rPr>
        <w:t>Morris Alexander: Parliamentarian and Jewish Leader</w:t>
      </w:r>
      <w:r w:rsidRPr="003D07A0">
        <w:rPr>
          <w:rFonts w:ascii="Arial" w:eastAsia="Calibri" w:hAnsi="Arial" w:cs="Arial"/>
          <w:sz w:val="20"/>
          <w:szCs w:val="20"/>
        </w:rPr>
        <w:t xml:space="preserve">: </w:t>
      </w:r>
      <w:r w:rsidRPr="003D07A0">
        <w:rPr>
          <w:rFonts w:ascii="Arial" w:eastAsia="Calibri" w:hAnsi="Arial" w:cs="Arial"/>
          <w:i/>
          <w:sz w:val="20"/>
          <w:szCs w:val="20"/>
        </w:rPr>
        <w:t>A Memorial Lecture on the 20</w:t>
      </w:r>
      <w:r w:rsidRPr="003D07A0">
        <w:rPr>
          <w:rFonts w:ascii="Arial" w:eastAsia="Calibri" w:hAnsi="Arial" w:cs="Arial"/>
          <w:i/>
          <w:sz w:val="20"/>
          <w:szCs w:val="20"/>
          <w:vertAlign w:val="superscript"/>
        </w:rPr>
        <w:t>th</w:t>
      </w:r>
      <w:r w:rsidRPr="003D07A0">
        <w:rPr>
          <w:rFonts w:ascii="Arial" w:eastAsia="Calibri" w:hAnsi="Arial" w:cs="Arial"/>
          <w:i/>
          <w:sz w:val="20"/>
          <w:szCs w:val="20"/>
        </w:rPr>
        <w:t xml:space="preserve"> anniversary of his death</w:t>
      </w:r>
      <w:r w:rsidRPr="003D07A0">
        <w:rPr>
          <w:rFonts w:ascii="Arial" w:eastAsia="Calibri" w:hAnsi="Arial" w:cs="Arial"/>
          <w:sz w:val="20"/>
          <w:szCs w:val="20"/>
        </w:rPr>
        <w:t xml:space="preserve"> (Johannesburg, 1966).</w:t>
      </w:r>
    </w:p>
    <w:p w14:paraId="232D50DB" w14:textId="77777777" w:rsidR="00AE7548" w:rsidRPr="003D07A0" w:rsidRDefault="00AE7548" w:rsidP="007C10C3">
      <w:pPr>
        <w:rPr>
          <w:rFonts w:ascii="Arial" w:eastAsia="Calibri" w:hAnsi="Arial" w:cs="Arial"/>
          <w:sz w:val="20"/>
          <w:szCs w:val="20"/>
        </w:rPr>
      </w:pPr>
    </w:p>
    <w:p w14:paraId="1FACE919" w14:textId="0700FB3E" w:rsidR="00AE7548" w:rsidRPr="003D07A0" w:rsidRDefault="00AE7548" w:rsidP="007C10C3">
      <w:pPr>
        <w:rPr>
          <w:rFonts w:ascii="Arial" w:eastAsia="Calibri" w:hAnsi="Arial" w:cs="Arial"/>
          <w:sz w:val="20"/>
          <w:szCs w:val="20"/>
        </w:rPr>
      </w:pPr>
      <w:proofErr w:type="spellStart"/>
      <w:r w:rsidRPr="003D07A0">
        <w:rPr>
          <w:rFonts w:ascii="Arial" w:eastAsia="Calibri" w:hAnsi="Arial" w:cs="Arial"/>
          <w:sz w:val="20"/>
          <w:szCs w:val="20"/>
        </w:rPr>
        <w:t>Saron</w:t>
      </w:r>
      <w:proofErr w:type="spellEnd"/>
      <w:r w:rsidRPr="003D07A0">
        <w:rPr>
          <w:rFonts w:ascii="Arial" w:eastAsia="Calibri" w:hAnsi="Arial" w:cs="Arial"/>
          <w:sz w:val="20"/>
          <w:szCs w:val="20"/>
        </w:rPr>
        <w:t xml:space="preserve">, Gustav, 'Jewish Immigration, 1880-1913', in Gustav </w:t>
      </w:r>
      <w:proofErr w:type="spellStart"/>
      <w:r w:rsidRPr="003D07A0">
        <w:rPr>
          <w:rFonts w:ascii="Arial" w:eastAsia="Calibri" w:hAnsi="Arial" w:cs="Arial"/>
          <w:sz w:val="20"/>
          <w:szCs w:val="20"/>
        </w:rPr>
        <w:t>Saron</w:t>
      </w:r>
      <w:proofErr w:type="spellEnd"/>
      <w:r w:rsidRPr="003D07A0">
        <w:rPr>
          <w:rFonts w:ascii="Arial" w:eastAsia="Calibri" w:hAnsi="Arial" w:cs="Arial"/>
          <w:sz w:val="20"/>
          <w:szCs w:val="20"/>
        </w:rPr>
        <w:t xml:space="preserve"> and Louis </w:t>
      </w:r>
      <w:proofErr w:type="spellStart"/>
      <w:r w:rsidRPr="003D07A0">
        <w:rPr>
          <w:rFonts w:ascii="Arial" w:eastAsia="Calibri" w:hAnsi="Arial" w:cs="Arial"/>
          <w:sz w:val="20"/>
          <w:szCs w:val="20"/>
        </w:rPr>
        <w:t>Hotz</w:t>
      </w:r>
      <w:proofErr w:type="spellEnd"/>
      <w:r w:rsidRPr="003D07A0">
        <w:rPr>
          <w:rFonts w:ascii="Arial" w:eastAsia="Calibri" w:hAnsi="Arial" w:cs="Arial"/>
          <w:sz w:val="20"/>
          <w:szCs w:val="20"/>
        </w:rPr>
        <w:t xml:space="preserve"> (eds.), </w:t>
      </w:r>
      <w:r w:rsidRPr="003D07A0">
        <w:rPr>
          <w:rFonts w:ascii="Arial" w:eastAsia="Calibri" w:hAnsi="Arial" w:cs="Arial"/>
          <w:i/>
          <w:sz w:val="20"/>
          <w:szCs w:val="20"/>
        </w:rPr>
        <w:t>The Jews in South Africa, A History</w:t>
      </w:r>
      <w:r w:rsidRPr="003D07A0">
        <w:rPr>
          <w:rFonts w:ascii="Arial" w:eastAsia="Calibri" w:hAnsi="Arial" w:cs="Arial"/>
          <w:sz w:val="20"/>
          <w:szCs w:val="20"/>
        </w:rPr>
        <w:t xml:space="preserve"> (London, 1955), p.85-104.</w:t>
      </w:r>
    </w:p>
    <w:p w14:paraId="45E2B783" w14:textId="77777777" w:rsidR="00AE7548" w:rsidRPr="003D07A0" w:rsidRDefault="00AE7548" w:rsidP="00F86BAB">
      <w:pPr>
        <w:rPr>
          <w:rFonts w:ascii="Arial" w:eastAsia="Calibri" w:hAnsi="Arial" w:cs="Arial"/>
          <w:sz w:val="20"/>
          <w:szCs w:val="20"/>
        </w:rPr>
      </w:pPr>
    </w:p>
    <w:p w14:paraId="2E7DBC6D" w14:textId="3AA6E679" w:rsidR="00AE7548" w:rsidRPr="003D07A0" w:rsidRDefault="00AE7548" w:rsidP="007C10C3">
      <w:pPr>
        <w:rPr>
          <w:rFonts w:ascii="Arial" w:eastAsia="Calibri" w:hAnsi="Arial" w:cs="Arial"/>
          <w:sz w:val="20"/>
          <w:szCs w:val="20"/>
        </w:rPr>
      </w:pPr>
      <w:proofErr w:type="spellStart"/>
      <w:r w:rsidRPr="003D07A0">
        <w:rPr>
          <w:rFonts w:ascii="Arial" w:eastAsia="Calibri" w:hAnsi="Arial" w:cs="Arial"/>
          <w:sz w:val="20"/>
          <w:szCs w:val="20"/>
        </w:rPr>
        <w:t>Schrire</w:t>
      </w:r>
      <w:proofErr w:type="spellEnd"/>
      <w:r w:rsidRPr="003D07A0">
        <w:rPr>
          <w:rFonts w:ascii="Arial" w:eastAsia="Calibri" w:hAnsi="Arial" w:cs="Arial"/>
          <w:sz w:val="20"/>
          <w:szCs w:val="20"/>
        </w:rPr>
        <w:t xml:space="preserve">, Gwynne, </w:t>
      </w:r>
      <w:r w:rsidRPr="003D07A0">
        <w:rPr>
          <w:rFonts w:ascii="Arial" w:eastAsia="Calibri" w:hAnsi="Arial" w:cs="Arial"/>
          <w:i/>
          <w:sz w:val="20"/>
          <w:szCs w:val="20"/>
        </w:rPr>
        <w:t xml:space="preserve">From Eastern Europe to South Africa, memories of an epic journey, 1880– 1937 </w:t>
      </w:r>
      <w:r w:rsidRPr="003D07A0">
        <w:rPr>
          <w:rFonts w:ascii="Arial" w:eastAsia="Calibri" w:hAnsi="Arial" w:cs="Arial"/>
          <w:sz w:val="20"/>
          <w:szCs w:val="20"/>
        </w:rPr>
        <w:t xml:space="preserve">(Cape Town, 2007). </w:t>
      </w:r>
    </w:p>
    <w:p w14:paraId="13D25EAE" w14:textId="77777777" w:rsidR="00AE7548" w:rsidRPr="003D07A0" w:rsidRDefault="00AE7548" w:rsidP="004329D1">
      <w:pPr>
        <w:rPr>
          <w:rFonts w:ascii="Arial" w:hAnsi="Arial" w:cs="Arial"/>
          <w:sz w:val="20"/>
          <w:szCs w:val="20"/>
        </w:rPr>
      </w:pPr>
    </w:p>
    <w:p w14:paraId="6D6C9216" w14:textId="1C463C82" w:rsidR="00AE7548" w:rsidRPr="003D07A0" w:rsidRDefault="00AE7548" w:rsidP="004329D1">
      <w:pPr>
        <w:rPr>
          <w:rFonts w:ascii="Arial" w:hAnsi="Arial" w:cs="Arial"/>
          <w:sz w:val="20"/>
          <w:szCs w:val="20"/>
        </w:rPr>
      </w:pPr>
      <w:r w:rsidRPr="003D07A0">
        <w:rPr>
          <w:rFonts w:ascii="Arial" w:hAnsi="Arial" w:cs="Arial"/>
          <w:sz w:val="20"/>
          <w:szCs w:val="20"/>
        </w:rPr>
        <w:t xml:space="preserve">Sen, </w:t>
      </w:r>
      <w:proofErr w:type="spellStart"/>
      <w:r w:rsidRPr="003D07A0">
        <w:rPr>
          <w:rFonts w:ascii="Arial" w:hAnsi="Arial" w:cs="Arial"/>
          <w:sz w:val="20"/>
          <w:szCs w:val="20"/>
        </w:rPr>
        <w:t>Sudipta</w:t>
      </w:r>
      <w:proofErr w:type="spellEnd"/>
      <w:r w:rsidRPr="003D07A0">
        <w:rPr>
          <w:rFonts w:ascii="Arial" w:hAnsi="Arial" w:cs="Arial"/>
          <w:sz w:val="20"/>
          <w:szCs w:val="20"/>
        </w:rPr>
        <w:t xml:space="preserve">, ‘Imperial Subjects on Trial: On the Legal Identity of Britons in Late Eighteenth-Century India,’ </w:t>
      </w:r>
      <w:r w:rsidRPr="003D07A0">
        <w:rPr>
          <w:rFonts w:ascii="Arial" w:hAnsi="Arial" w:cs="Arial"/>
          <w:i/>
          <w:sz w:val="20"/>
          <w:szCs w:val="20"/>
        </w:rPr>
        <w:t>Journal of British Studies,</w:t>
      </w:r>
      <w:r w:rsidRPr="003D07A0">
        <w:rPr>
          <w:rFonts w:ascii="Arial" w:hAnsi="Arial" w:cs="Arial"/>
          <w:sz w:val="20"/>
          <w:szCs w:val="20"/>
        </w:rPr>
        <w:t xml:space="preserve"> 45, no. 3 (July 2006), p.532–55.</w:t>
      </w:r>
    </w:p>
    <w:p w14:paraId="4CCCF1FF" w14:textId="77777777" w:rsidR="00AE7548" w:rsidRPr="003D07A0" w:rsidRDefault="00AE7548" w:rsidP="00293669">
      <w:pPr>
        <w:rPr>
          <w:rFonts w:ascii="Arial" w:eastAsia="Calibri" w:hAnsi="Arial" w:cs="Arial"/>
          <w:sz w:val="20"/>
          <w:szCs w:val="20"/>
        </w:rPr>
      </w:pPr>
    </w:p>
    <w:p w14:paraId="7ADC4FE9" w14:textId="7E4E48A7" w:rsidR="00AE7548" w:rsidRPr="003D07A0" w:rsidRDefault="00AE7548" w:rsidP="00293669">
      <w:pPr>
        <w:rPr>
          <w:rFonts w:ascii="Arial" w:hAnsi="Arial" w:cs="Arial"/>
          <w:sz w:val="20"/>
          <w:szCs w:val="20"/>
        </w:rPr>
      </w:pPr>
      <w:r w:rsidRPr="003D07A0">
        <w:rPr>
          <w:rFonts w:ascii="Arial" w:eastAsia="Calibri" w:hAnsi="Arial" w:cs="Arial"/>
          <w:sz w:val="20"/>
          <w:szCs w:val="20"/>
        </w:rPr>
        <w:t xml:space="preserve">Singha, Radhika, ‘The Great War and a “Proper” Passport for the Colony: Border-Crossing in British India, c.1882-1922’, </w:t>
      </w:r>
      <w:r w:rsidRPr="003D07A0">
        <w:rPr>
          <w:rFonts w:ascii="Arial" w:eastAsia="Calibri" w:hAnsi="Arial" w:cs="Arial"/>
          <w:i/>
          <w:sz w:val="20"/>
          <w:szCs w:val="20"/>
        </w:rPr>
        <w:t>The Indian Economic and Social History Review</w:t>
      </w:r>
      <w:r w:rsidRPr="003D07A0">
        <w:rPr>
          <w:rFonts w:ascii="Arial" w:eastAsia="Calibri" w:hAnsi="Arial" w:cs="Arial"/>
          <w:sz w:val="20"/>
          <w:szCs w:val="20"/>
        </w:rPr>
        <w:t>, 50, no. 3 (2013), p.</w:t>
      </w:r>
      <w:r w:rsidRPr="003D07A0">
        <w:rPr>
          <w:rFonts w:ascii="Arial" w:hAnsi="Arial" w:cs="Arial"/>
          <w:color w:val="333333"/>
          <w:sz w:val="20"/>
          <w:szCs w:val="20"/>
          <w:shd w:val="clear" w:color="auto" w:fill="FFFFFF"/>
        </w:rPr>
        <w:t>289–315.</w:t>
      </w:r>
    </w:p>
    <w:p w14:paraId="33029FE9" w14:textId="77777777" w:rsidR="00AE7548" w:rsidRPr="003D07A0" w:rsidRDefault="00AE7548" w:rsidP="00E13B1A">
      <w:pPr>
        <w:rPr>
          <w:rFonts w:ascii="Arial" w:eastAsia="Calibri" w:hAnsi="Arial" w:cs="Arial"/>
          <w:sz w:val="20"/>
          <w:szCs w:val="20"/>
        </w:rPr>
      </w:pPr>
    </w:p>
    <w:p w14:paraId="024C7890" w14:textId="3084406A" w:rsidR="00BF4E4B" w:rsidRDefault="00BF4E4B" w:rsidP="00BF4E4B">
      <w:pPr>
        <w:rPr>
          <w:rFonts w:ascii="Arial" w:eastAsia="Calibri" w:hAnsi="Arial" w:cs="Arial"/>
          <w:sz w:val="20"/>
          <w:szCs w:val="20"/>
        </w:rPr>
      </w:pPr>
      <w:r>
        <w:rPr>
          <w:rFonts w:ascii="Arial" w:hAnsi="Arial" w:cs="Arial"/>
          <w:color w:val="000000" w:themeColor="text1"/>
          <w:sz w:val="20"/>
          <w:szCs w:val="20"/>
        </w:rPr>
        <w:t xml:space="preserve">South African </w:t>
      </w:r>
      <w:r w:rsidRPr="00921944">
        <w:rPr>
          <w:rFonts w:ascii="Arial" w:hAnsi="Arial" w:cs="Arial"/>
          <w:color w:val="000000" w:themeColor="text1"/>
          <w:sz w:val="20"/>
          <w:szCs w:val="20"/>
        </w:rPr>
        <w:t xml:space="preserve">National Archives Repository </w:t>
      </w:r>
      <w:r>
        <w:rPr>
          <w:rFonts w:ascii="Arial" w:hAnsi="Arial" w:cs="Arial"/>
          <w:color w:val="000000" w:themeColor="text1"/>
          <w:sz w:val="20"/>
          <w:szCs w:val="20"/>
        </w:rPr>
        <w:t>(</w:t>
      </w:r>
      <w:r w:rsidRPr="00921944">
        <w:rPr>
          <w:rFonts w:ascii="Arial" w:hAnsi="Arial" w:cs="Arial"/>
          <w:color w:val="000000" w:themeColor="text1"/>
          <w:sz w:val="20"/>
          <w:szCs w:val="20"/>
        </w:rPr>
        <w:t>SAB</w:t>
      </w:r>
      <w:r>
        <w:rPr>
          <w:rFonts w:ascii="Arial" w:hAnsi="Arial" w:cs="Arial"/>
          <w:color w:val="000000" w:themeColor="text1"/>
          <w:sz w:val="20"/>
          <w:szCs w:val="20"/>
        </w:rPr>
        <w:t>)</w:t>
      </w:r>
      <w:r>
        <w:rPr>
          <w:rFonts w:ascii="Arial" w:hAnsi="Arial" w:cs="Arial"/>
          <w:color w:val="000000" w:themeColor="text1"/>
          <w:sz w:val="20"/>
          <w:szCs w:val="20"/>
        </w:rPr>
        <w:t>.</w:t>
      </w:r>
    </w:p>
    <w:p w14:paraId="149DBC46" w14:textId="77777777" w:rsidR="00BF4E4B" w:rsidRDefault="00BF4E4B" w:rsidP="00156236">
      <w:pPr>
        <w:rPr>
          <w:rFonts w:ascii="Arial" w:eastAsia="Calibri" w:hAnsi="Arial" w:cs="Arial"/>
          <w:sz w:val="20"/>
          <w:szCs w:val="20"/>
        </w:rPr>
      </w:pPr>
    </w:p>
    <w:p w14:paraId="4C67A176" w14:textId="7600B7F2" w:rsidR="00AE7548" w:rsidRPr="003D07A0" w:rsidRDefault="00AE7548" w:rsidP="00156236">
      <w:pPr>
        <w:rPr>
          <w:rFonts w:ascii="Arial" w:eastAsia="Calibri" w:hAnsi="Arial" w:cs="Arial"/>
          <w:sz w:val="20"/>
          <w:szCs w:val="20"/>
        </w:rPr>
      </w:pPr>
      <w:r w:rsidRPr="003D07A0">
        <w:rPr>
          <w:rFonts w:ascii="Arial" w:eastAsia="Calibri" w:hAnsi="Arial" w:cs="Arial"/>
          <w:sz w:val="20"/>
          <w:szCs w:val="20"/>
        </w:rPr>
        <w:t xml:space="preserve">Stepan, Nancy, </w:t>
      </w:r>
      <w:r w:rsidRPr="003D07A0">
        <w:rPr>
          <w:rFonts w:ascii="Arial" w:eastAsia="Calibri" w:hAnsi="Arial" w:cs="Arial"/>
          <w:i/>
          <w:sz w:val="20"/>
          <w:szCs w:val="20"/>
        </w:rPr>
        <w:t>'The Hour of Eugenics': Race, Gender and Nation in Latin America</w:t>
      </w:r>
      <w:r w:rsidRPr="003D07A0">
        <w:rPr>
          <w:rFonts w:ascii="Arial" w:eastAsia="Calibri" w:hAnsi="Arial" w:cs="Arial"/>
          <w:sz w:val="20"/>
          <w:szCs w:val="20"/>
        </w:rPr>
        <w:t xml:space="preserve"> (London, 1991).</w:t>
      </w:r>
    </w:p>
    <w:p w14:paraId="5D34C49D" w14:textId="77777777" w:rsidR="00AE7548" w:rsidRPr="003D07A0" w:rsidRDefault="00AE7548" w:rsidP="00E13B1A">
      <w:pPr>
        <w:rPr>
          <w:rFonts w:ascii="Arial" w:eastAsia="Calibri" w:hAnsi="Arial" w:cs="Arial"/>
          <w:sz w:val="20"/>
          <w:szCs w:val="20"/>
        </w:rPr>
      </w:pPr>
    </w:p>
    <w:p w14:paraId="38D23394" w14:textId="5080C6DC" w:rsidR="00AE7548" w:rsidRPr="003D07A0" w:rsidRDefault="00AE7548" w:rsidP="00156236">
      <w:pPr>
        <w:rPr>
          <w:rFonts w:ascii="Arial" w:eastAsia="Calibri" w:hAnsi="Arial" w:cs="Arial"/>
          <w:sz w:val="20"/>
          <w:szCs w:val="20"/>
        </w:rPr>
      </w:pPr>
      <w:r w:rsidRPr="003D07A0">
        <w:rPr>
          <w:rFonts w:ascii="Arial" w:eastAsia="Calibri" w:hAnsi="Arial" w:cs="Arial"/>
          <w:sz w:val="20"/>
          <w:szCs w:val="20"/>
        </w:rPr>
        <w:t xml:space="preserve">Taylor, Becky, ‘Immigration, Statecraft and Public Health: The 1920 Aliens Order, Medical Examinations and the Limitations of the State in England’, </w:t>
      </w:r>
      <w:r w:rsidRPr="003D07A0">
        <w:rPr>
          <w:rFonts w:ascii="Arial" w:eastAsia="Calibri" w:hAnsi="Arial" w:cs="Arial"/>
          <w:i/>
          <w:sz w:val="20"/>
          <w:szCs w:val="20"/>
        </w:rPr>
        <w:t>Social History of Medicine</w:t>
      </w:r>
      <w:r w:rsidRPr="003D07A0">
        <w:rPr>
          <w:rFonts w:ascii="Arial" w:eastAsia="Calibri" w:hAnsi="Arial" w:cs="Arial"/>
          <w:sz w:val="20"/>
          <w:szCs w:val="20"/>
        </w:rPr>
        <w:t>, 29. No.</w:t>
      </w:r>
      <w:r>
        <w:rPr>
          <w:rFonts w:ascii="Arial" w:eastAsia="Calibri" w:hAnsi="Arial" w:cs="Arial"/>
          <w:sz w:val="20"/>
          <w:szCs w:val="20"/>
        </w:rPr>
        <w:t xml:space="preserve"> </w:t>
      </w:r>
      <w:r w:rsidRPr="003D07A0">
        <w:rPr>
          <w:rFonts w:ascii="Arial" w:eastAsia="Calibri" w:hAnsi="Arial" w:cs="Arial"/>
          <w:sz w:val="20"/>
          <w:szCs w:val="20"/>
        </w:rPr>
        <w:t>3 (2016), p.512-533</w:t>
      </w:r>
    </w:p>
    <w:p w14:paraId="742B3662" w14:textId="77777777" w:rsidR="00AE7548" w:rsidRPr="003D07A0" w:rsidRDefault="00AE7548" w:rsidP="00E13B1A">
      <w:pPr>
        <w:rPr>
          <w:rFonts w:ascii="Arial" w:eastAsia="Calibri" w:hAnsi="Arial" w:cs="Arial"/>
          <w:sz w:val="20"/>
          <w:szCs w:val="20"/>
        </w:rPr>
      </w:pPr>
    </w:p>
    <w:p w14:paraId="4E5BB711" w14:textId="77777777" w:rsidR="00BF4E4B" w:rsidRPr="0088041A" w:rsidRDefault="00BF4E4B" w:rsidP="00BF4E4B">
      <w:pPr>
        <w:rPr>
          <w:rFonts w:ascii="Arial" w:eastAsia="Calibri" w:hAnsi="Arial" w:cs="Arial"/>
          <w:sz w:val="20"/>
          <w:szCs w:val="20"/>
        </w:rPr>
      </w:pPr>
      <w:r w:rsidRPr="0088041A">
        <w:rPr>
          <w:rFonts w:ascii="Arial" w:eastAsia="Calibri" w:hAnsi="Arial" w:cs="Arial"/>
          <w:sz w:val="20"/>
          <w:szCs w:val="20"/>
        </w:rPr>
        <w:t xml:space="preserve">The British National Archives (TNA), Home Office and Colonial Office naturalisation files. </w:t>
      </w:r>
    </w:p>
    <w:p w14:paraId="785E226D" w14:textId="77777777" w:rsidR="00BF4E4B" w:rsidRDefault="00BF4E4B" w:rsidP="00E13B1A">
      <w:pPr>
        <w:rPr>
          <w:rFonts w:ascii="Arial" w:eastAsia="Calibri" w:hAnsi="Arial" w:cs="Arial"/>
          <w:sz w:val="20"/>
          <w:szCs w:val="20"/>
        </w:rPr>
      </w:pPr>
    </w:p>
    <w:p w14:paraId="4629B419" w14:textId="593DE95F" w:rsidR="00AE7548" w:rsidRDefault="00AE7548" w:rsidP="00E13B1A">
      <w:pPr>
        <w:rPr>
          <w:rFonts w:ascii="Arial" w:eastAsia="Calibri" w:hAnsi="Arial" w:cs="Arial"/>
          <w:sz w:val="20"/>
          <w:szCs w:val="20"/>
        </w:rPr>
      </w:pPr>
      <w:proofErr w:type="spellStart"/>
      <w:r w:rsidRPr="003D07A0">
        <w:rPr>
          <w:rFonts w:ascii="Arial" w:eastAsia="Calibri" w:hAnsi="Arial" w:cs="Arial"/>
          <w:sz w:val="20"/>
          <w:szCs w:val="20"/>
        </w:rPr>
        <w:t>Torpey</w:t>
      </w:r>
      <w:proofErr w:type="spellEnd"/>
      <w:r w:rsidRPr="003D07A0">
        <w:rPr>
          <w:rFonts w:ascii="Arial" w:eastAsia="Calibri" w:hAnsi="Arial" w:cs="Arial"/>
          <w:sz w:val="20"/>
          <w:szCs w:val="20"/>
        </w:rPr>
        <w:t xml:space="preserve">, John, </w:t>
      </w:r>
      <w:r w:rsidRPr="003D07A0">
        <w:rPr>
          <w:rFonts w:ascii="Arial" w:eastAsia="Calibri" w:hAnsi="Arial" w:cs="Arial"/>
          <w:i/>
          <w:sz w:val="20"/>
          <w:szCs w:val="20"/>
          <w:highlight w:val="white"/>
        </w:rPr>
        <w:t>The invention of the passport. Surveillance, Citizenship and the State</w:t>
      </w:r>
      <w:r w:rsidRPr="003D07A0">
        <w:rPr>
          <w:rFonts w:ascii="Arial" w:eastAsia="Calibri" w:hAnsi="Arial" w:cs="Arial"/>
          <w:sz w:val="20"/>
          <w:szCs w:val="20"/>
          <w:highlight w:val="white"/>
        </w:rPr>
        <w:t xml:space="preserve"> (Cambridge, 2000)</w:t>
      </w:r>
      <w:r w:rsidRPr="003D07A0">
        <w:rPr>
          <w:rFonts w:ascii="Arial" w:eastAsia="Calibri" w:hAnsi="Arial" w:cs="Arial"/>
          <w:sz w:val="20"/>
          <w:szCs w:val="20"/>
        </w:rPr>
        <w:t>.</w:t>
      </w:r>
    </w:p>
    <w:p w14:paraId="372ED760" w14:textId="1B094D00" w:rsidR="00BF4E4B" w:rsidRDefault="00BF4E4B" w:rsidP="00E13B1A">
      <w:pPr>
        <w:rPr>
          <w:rFonts w:ascii="Arial" w:eastAsia="Calibri" w:hAnsi="Arial" w:cs="Arial"/>
          <w:sz w:val="20"/>
          <w:szCs w:val="20"/>
        </w:rPr>
      </w:pPr>
    </w:p>
    <w:p w14:paraId="4EDBCBA5" w14:textId="3BC73E56" w:rsidR="00BF4E4B" w:rsidRPr="003D07A0" w:rsidRDefault="00BF4E4B" w:rsidP="00E13B1A">
      <w:pPr>
        <w:rPr>
          <w:rFonts w:ascii="Arial" w:eastAsia="Calibri" w:hAnsi="Arial" w:cs="Arial"/>
          <w:sz w:val="20"/>
          <w:szCs w:val="20"/>
        </w:rPr>
      </w:pPr>
      <w:r>
        <w:rPr>
          <w:rFonts w:ascii="Arial" w:eastAsia="Calibri" w:hAnsi="Arial" w:cs="Arial"/>
          <w:sz w:val="20"/>
          <w:szCs w:val="20"/>
        </w:rPr>
        <w:t xml:space="preserve">Transvaal </w:t>
      </w:r>
      <w:r w:rsidRPr="00921944">
        <w:rPr>
          <w:rFonts w:ascii="Arial" w:hAnsi="Arial" w:cs="Arial"/>
          <w:color w:val="000000" w:themeColor="text1"/>
          <w:sz w:val="20"/>
          <w:szCs w:val="20"/>
        </w:rPr>
        <w:t xml:space="preserve">National Archives Repository </w:t>
      </w:r>
      <w:r>
        <w:rPr>
          <w:rFonts w:ascii="Arial" w:hAnsi="Arial" w:cs="Arial"/>
          <w:color w:val="000000" w:themeColor="text1"/>
          <w:sz w:val="20"/>
          <w:szCs w:val="20"/>
        </w:rPr>
        <w:t>(</w:t>
      </w:r>
      <w:r w:rsidRPr="00921944">
        <w:rPr>
          <w:rFonts w:ascii="Arial" w:hAnsi="Arial" w:cs="Arial"/>
          <w:color w:val="000000" w:themeColor="text1"/>
          <w:sz w:val="20"/>
          <w:szCs w:val="20"/>
        </w:rPr>
        <w:t>TAB</w:t>
      </w:r>
      <w:r>
        <w:rPr>
          <w:rFonts w:ascii="Arial" w:hAnsi="Arial" w:cs="Arial"/>
          <w:color w:val="000000" w:themeColor="text1"/>
          <w:sz w:val="20"/>
          <w:szCs w:val="20"/>
        </w:rPr>
        <w:t>)</w:t>
      </w:r>
      <w:r>
        <w:rPr>
          <w:rFonts w:ascii="Arial" w:eastAsia="Calibri" w:hAnsi="Arial" w:cs="Arial"/>
          <w:sz w:val="20"/>
          <w:szCs w:val="20"/>
        </w:rPr>
        <w:t>.</w:t>
      </w:r>
    </w:p>
    <w:p w14:paraId="767D88E2" w14:textId="0F5D8244" w:rsidR="00AE7548" w:rsidRDefault="00AE7548" w:rsidP="006E0B52">
      <w:pPr>
        <w:rPr>
          <w:rFonts w:ascii="Arial" w:hAnsi="Arial" w:cs="Arial"/>
          <w:sz w:val="20"/>
          <w:szCs w:val="20"/>
        </w:rPr>
      </w:pPr>
    </w:p>
    <w:p w14:paraId="4FD1C3D0" w14:textId="37BD85AC" w:rsidR="00BF4E4B" w:rsidRDefault="00BF4E4B" w:rsidP="00BF4E4B">
      <w:pPr>
        <w:rPr>
          <w:rFonts w:ascii="Arial" w:eastAsia="Calibri" w:hAnsi="Arial" w:cs="Arial"/>
          <w:sz w:val="20"/>
          <w:szCs w:val="20"/>
        </w:rPr>
      </w:pPr>
      <w:r w:rsidRPr="0088041A">
        <w:rPr>
          <w:rFonts w:ascii="Arial" w:eastAsia="Calibri" w:hAnsi="Arial" w:cs="Arial"/>
          <w:sz w:val="20"/>
          <w:szCs w:val="20"/>
        </w:rPr>
        <w:t xml:space="preserve">UK Parliamentary Papers, Cd.1742 (Royal Commission on Alien Immigration), Cd 3524 (1907 conference), Cd 8596 (1897 Colonial Conference). </w:t>
      </w:r>
    </w:p>
    <w:p w14:paraId="7CBDE4BB" w14:textId="1BFCE48E" w:rsidR="00BF4E4B" w:rsidRDefault="00BF4E4B" w:rsidP="00BF4E4B">
      <w:pPr>
        <w:rPr>
          <w:rFonts w:ascii="Arial" w:eastAsia="Calibri" w:hAnsi="Arial" w:cs="Arial"/>
          <w:sz w:val="20"/>
          <w:szCs w:val="20"/>
        </w:rPr>
      </w:pPr>
    </w:p>
    <w:p w14:paraId="4BC5E7E6" w14:textId="5A4B19E8" w:rsidR="00BF4E4B" w:rsidRPr="0088041A" w:rsidRDefault="00BF4E4B" w:rsidP="00BF4E4B">
      <w:pPr>
        <w:rPr>
          <w:rFonts w:ascii="Arial" w:eastAsia="Calibri" w:hAnsi="Arial" w:cs="Arial"/>
          <w:sz w:val="20"/>
          <w:szCs w:val="20"/>
        </w:rPr>
      </w:pPr>
      <w:r w:rsidRPr="0088041A">
        <w:rPr>
          <w:rFonts w:ascii="Arial" w:eastAsia="Calibri" w:hAnsi="Arial" w:cs="Arial"/>
          <w:sz w:val="20"/>
          <w:szCs w:val="20"/>
        </w:rPr>
        <w:t>University of Cape Town Archives (UCT), BC 1154</w:t>
      </w:r>
      <w:r>
        <w:rPr>
          <w:rFonts w:ascii="Arial" w:eastAsia="Calibri" w:hAnsi="Arial" w:cs="Arial"/>
          <w:sz w:val="20"/>
          <w:szCs w:val="20"/>
        </w:rPr>
        <w:t>:</w:t>
      </w:r>
      <w:r w:rsidRPr="0088041A">
        <w:rPr>
          <w:rFonts w:ascii="Arial" w:eastAsia="Calibri" w:hAnsi="Arial" w:cs="Arial"/>
          <w:sz w:val="20"/>
          <w:szCs w:val="20"/>
        </w:rPr>
        <w:t xml:space="preserve"> C W Cousins Papers.</w:t>
      </w:r>
    </w:p>
    <w:p w14:paraId="025E3641" w14:textId="77777777" w:rsidR="00BF4E4B" w:rsidRPr="0088041A" w:rsidRDefault="00BF4E4B" w:rsidP="00BF4E4B">
      <w:pPr>
        <w:rPr>
          <w:rFonts w:ascii="Arial" w:eastAsia="Calibri" w:hAnsi="Arial" w:cs="Arial"/>
          <w:sz w:val="20"/>
          <w:szCs w:val="20"/>
        </w:rPr>
      </w:pPr>
    </w:p>
    <w:p w14:paraId="4A09D2F5" w14:textId="51619A90" w:rsidR="00921944" w:rsidRDefault="00BF4E4B" w:rsidP="00E13B1A">
      <w:pPr>
        <w:rPr>
          <w:rFonts w:ascii="Arial" w:eastAsia="Calibri" w:hAnsi="Arial" w:cs="Arial"/>
          <w:sz w:val="20"/>
          <w:szCs w:val="20"/>
        </w:rPr>
      </w:pPr>
      <w:r w:rsidRPr="0088041A">
        <w:rPr>
          <w:rFonts w:ascii="Arial" w:eastAsia="Calibri" w:hAnsi="Arial" w:cs="Arial"/>
          <w:sz w:val="20"/>
          <w:szCs w:val="20"/>
        </w:rPr>
        <w:t>University of Cape Town Archives (UCT), BC 160</w:t>
      </w:r>
      <w:r>
        <w:rPr>
          <w:rFonts w:ascii="Arial" w:eastAsia="Calibri" w:hAnsi="Arial" w:cs="Arial"/>
          <w:sz w:val="20"/>
          <w:szCs w:val="20"/>
        </w:rPr>
        <w:t>:</w:t>
      </w:r>
      <w:r w:rsidRPr="0088041A">
        <w:rPr>
          <w:rFonts w:ascii="Arial" w:eastAsia="Calibri" w:hAnsi="Arial" w:cs="Arial"/>
          <w:sz w:val="20"/>
          <w:szCs w:val="20"/>
        </w:rPr>
        <w:t xml:space="preserve"> Morris Alexander Papers.</w:t>
      </w:r>
    </w:p>
    <w:p w14:paraId="53086BB0" w14:textId="246A4A54" w:rsidR="00AE7548" w:rsidRPr="003D07A0" w:rsidRDefault="00AE7548">
      <w:pPr>
        <w:rPr>
          <w:rFonts w:ascii="Arial" w:eastAsia="Calibri" w:hAnsi="Arial" w:cs="Arial"/>
          <w:sz w:val="20"/>
          <w:szCs w:val="20"/>
        </w:rPr>
      </w:pPr>
      <w:r w:rsidRPr="003D07A0">
        <w:rPr>
          <w:rFonts w:ascii="Arial" w:eastAsia="Calibri" w:hAnsi="Arial" w:cs="Arial"/>
          <w:sz w:val="20"/>
          <w:szCs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80" w14:textId="1EB0A7AE" w:rsidR="00AE7548" w:rsidRDefault="00AE7548">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332410" w14:textId="77777777" w:rsidR="008306FC" w:rsidRDefault="008306FC">
      <w:r>
        <w:separator/>
      </w:r>
    </w:p>
  </w:footnote>
  <w:footnote w:type="continuationSeparator" w:id="0">
    <w:p w14:paraId="70DF3531" w14:textId="77777777" w:rsidR="008306FC" w:rsidRDefault="008306FC">
      <w:r>
        <w:continuationSeparator/>
      </w:r>
    </w:p>
  </w:footnote>
  <w:footnote w:id="1">
    <w:p w14:paraId="1A47E99A" w14:textId="426A2614" w:rsidR="00844B50" w:rsidRPr="00844B50" w:rsidRDefault="00844B50" w:rsidP="00844B50">
      <w:pPr>
        <w:rPr>
          <w:rFonts w:ascii="Arial" w:hAnsi="Arial" w:cs="Arial"/>
          <w:sz w:val="20"/>
          <w:szCs w:val="20"/>
        </w:rPr>
      </w:pPr>
      <w:r w:rsidRPr="00844B50">
        <w:rPr>
          <w:rStyle w:val="FootnoteReference"/>
          <w:rFonts w:ascii="Arial" w:hAnsi="Arial" w:cs="Arial"/>
          <w:sz w:val="20"/>
          <w:szCs w:val="20"/>
        </w:rPr>
        <w:footnoteRef/>
      </w:r>
      <w:r w:rsidRPr="00844B50">
        <w:rPr>
          <w:rFonts w:ascii="Arial" w:hAnsi="Arial" w:cs="Arial"/>
          <w:sz w:val="20"/>
          <w:szCs w:val="20"/>
        </w:rPr>
        <w:t xml:space="preserve"> </w:t>
      </w:r>
      <w:r w:rsidRPr="00844B50">
        <w:rPr>
          <w:rFonts w:ascii="Arial" w:hAnsi="Arial" w:cs="Arial"/>
          <w:color w:val="000000"/>
          <w:sz w:val="20"/>
          <w:szCs w:val="20"/>
        </w:rPr>
        <w:t xml:space="preserve">Invited article based on my keynote speech at the British World conference, Meiji University, Tokyo, November 2019. It will be published in English </w:t>
      </w:r>
      <w:r w:rsidRPr="00844B50">
        <w:rPr>
          <w:rFonts w:ascii="Arial" w:hAnsi="Arial" w:cs="Arial"/>
          <w:color w:val="000000"/>
          <w:sz w:val="20"/>
          <w:szCs w:val="20"/>
        </w:rPr>
        <w:t xml:space="preserve">in the </w:t>
      </w:r>
      <w:r w:rsidRPr="00844B50">
        <w:rPr>
          <w:rFonts w:ascii="Arial" w:hAnsi="Arial" w:cs="Arial"/>
          <w:i/>
          <w:iCs/>
          <w:color w:val="222222"/>
          <w:sz w:val="20"/>
          <w:szCs w:val="20"/>
          <w:shd w:val="clear" w:color="auto" w:fill="FFFFFF"/>
        </w:rPr>
        <w:t>Journal of Research Institute for the History of Global Arms Transfer</w:t>
      </w:r>
      <w:r w:rsidRPr="00844B50">
        <w:rPr>
          <w:rFonts w:ascii="Arial" w:hAnsi="Arial" w:cs="Arial"/>
          <w:color w:val="000000"/>
          <w:sz w:val="20"/>
          <w:szCs w:val="20"/>
        </w:rPr>
        <w:t xml:space="preserve"> </w:t>
      </w:r>
      <w:r w:rsidR="008F2D03">
        <w:rPr>
          <w:rFonts w:ascii="Arial" w:hAnsi="Arial" w:cs="Arial"/>
          <w:color w:val="000000"/>
          <w:sz w:val="20"/>
          <w:szCs w:val="20"/>
        </w:rPr>
        <w:t xml:space="preserve">as part of a special issue </w:t>
      </w:r>
      <w:r w:rsidRPr="00844B50">
        <w:rPr>
          <w:rFonts w:ascii="Arial" w:hAnsi="Arial" w:cs="Arial"/>
          <w:color w:val="000000"/>
          <w:sz w:val="20"/>
          <w:szCs w:val="20"/>
        </w:rPr>
        <w:t xml:space="preserve">and </w:t>
      </w:r>
      <w:r w:rsidR="008F2D03">
        <w:rPr>
          <w:rFonts w:ascii="Arial" w:hAnsi="Arial" w:cs="Arial"/>
          <w:color w:val="000000"/>
          <w:sz w:val="20"/>
          <w:szCs w:val="20"/>
        </w:rPr>
        <w:t>is being</w:t>
      </w:r>
      <w:r w:rsidRPr="00844B50">
        <w:rPr>
          <w:rFonts w:ascii="Arial" w:hAnsi="Arial" w:cs="Arial"/>
          <w:color w:val="000000"/>
          <w:sz w:val="20"/>
          <w:szCs w:val="20"/>
        </w:rPr>
        <w:t xml:space="preserve"> translated into </w:t>
      </w:r>
      <w:r w:rsidRPr="00844B50">
        <w:rPr>
          <w:rFonts w:ascii="Arial" w:hAnsi="Arial" w:cs="Arial"/>
          <w:color w:val="000000"/>
          <w:sz w:val="20"/>
          <w:szCs w:val="20"/>
        </w:rPr>
        <w:t>Japanese</w:t>
      </w:r>
      <w:r w:rsidRPr="00844B50">
        <w:rPr>
          <w:rFonts w:ascii="Arial" w:hAnsi="Arial" w:cs="Arial"/>
          <w:color w:val="000000"/>
          <w:sz w:val="20"/>
          <w:szCs w:val="20"/>
        </w:rPr>
        <w:t xml:space="preserve"> for a book</w:t>
      </w:r>
      <w:r w:rsidR="008F2D03">
        <w:rPr>
          <w:rFonts w:ascii="Arial" w:hAnsi="Arial" w:cs="Arial"/>
          <w:color w:val="000000"/>
          <w:sz w:val="20"/>
          <w:szCs w:val="20"/>
        </w:rPr>
        <w:t xml:space="preserve"> about the British World</w:t>
      </w:r>
      <w:r w:rsidRPr="00844B50">
        <w:rPr>
          <w:rFonts w:ascii="Arial" w:hAnsi="Arial" w:cs="Arial"/>
          <w:color w:val="000000"/>
          <w:sz w:val="20"/>
          <w:szCs w:val="20"/>
        </w:rPr>
        <w:t>, to be published in 2023</w:t>
      </w:r>
      <w:r w:rsidRPr="00844B50">
        <w:rPr>
          <w:rFonts w:ascii="Arial" w:hAnsi="Arial" w:cs="Arial"/>
          <w:color w:val="000000"/>
          <w:sz w:val="20"/>
          <w:szCs w:val="20"/>
        </w:rPr>
        <w:t>.</w:t>
      </w:r>
      <w:r w:rsidRPr="00844B50">
        <w:rPr>
          <w:rFonts w:ascii="Arial" w:hAnsi="Arial" w:cs="Arial"/>
          <w:color w:val="000000"/>
          <w:sz w:val="20"/>
          <w:szCs w:val="20"/>
        </w:rPr>
        <w:t xml:space="preserve"> Thank you in particular to Felicity Barnes, Andrew Dilley, and especially </w:t>
      </w:r>
      <w:proofErr w:type="spellStart"/>
      <w:r w:rsidRPr="00844B50">
        <w:rPr>
          <w:rFonts w:ascii="Arial" w:hAnsi="Arial" w:cs="Arial"/>
          <w:color w:val="000000"/>
          <w:sz w:val="20"/>
          <w:szCs w:val="20"/>
        </w:rPr>
        <w:t>Mahito</w:t>
      </w:r>
      <w:proofErr w:type="spellEnd"/>
      <w:r w:rsidRPr="00844B50">
        <w:rPr>
          <w:rFonts w:ascii="Arial" w:hAnsi="Arial" w:cs="Arial"/>
          <w:color w:val="000000"/>
          <w:sz w:val="20"/>
          <w:szCs w:val="20"/>
        </w:rPr>
        <w:t xml:space="preserve"> </w:t>
      </w:r>
      <w:r w:rsidRPr="00844B50">
        <w:rPr>
          <w:rFonts w:ascii="Arial" w:hAnsi="Arial" w:cs="Arial"/>
          <w:sz w:val="20"/>
          <w:szCs w:val="20"/>
        </w:rPr>
        <w:t>T</w:t>
      </w:r>
      <w:r w:rsidRPr="00844B50">
        <w:rPr>
          <w:rFonts w:ascii="Arial" w:hAnsi="Arial" w:cs="Arial"/>
          <w:sz w:val="20"/>
          <w:szCs w:val="20"/>
        </w:rPr>
        <w:t>akeuchi</w:t>
      </w:r>
      <w:r w:rsidRPr="00844B50">
        <w:rPr>
          <w:rFonts w:ascii="Arial" w:hAnsi="Arial" w:cs="Arial"/>
          <w:sz w:val="20"/>
          <w:szCs w:val="20"/>
        </w:rPr>
        <w:t xml:space="preserve"> for organising this.</w:t>
      </w:r>
    </w:p>
    <w:p w14:paraId="43791A80" w14:textId="53D96A79" w:rsidR="00844B50" w:rsidRPr="00844B50" w:rsidRDefault="00844B50" w:rsidP="00844B50">
      <w:pPr>
        <w:spacing w:after="120" w:line="360" w:lineRule="auto"/>
        <w:rPr>
          <w:rFonts w:ascii="Microsoft New Tai Lue" w:hAnsi="Microsoft New Tai Lue" w:cs="Microsoft New Tai Lue"/>
          <w: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9D" w14:textId="5C4D9219" w:rsidR="00AE7548" w:rsidRPr="00B1362E" w:rsidRDefault="00B1362E" w:rsidP="00B1362E">
    <w:pPr>
      <w:spacing w:after="120" w:line="360" w:lineRule="auto"/>
      <w:rPr>
        <w:rFonts w:ascii="Microsoft New Tai Lue" w:hAnsi="Microsoft New Tai Lue" w:cs="Microsoft New Tai Lue"/>
        <w:b/>
        <w:sz w:val="20"/>
        <w:szCs w:val="20"/>
      </w:rPr>
    </w:pPr>
    <w:r w:rsidRPr="00B1362E">
      <w:rPr>
        <w:rFonts w:ascii="Microsoft New Tai Lue" w:hAnsi="Microsoft New Tai Lue" w:cs="Microsoft New Tai Lue"/>
        <w:b/>
        <w:sz w:val="20"/>
        <w:szCs w:val="20"/>
      </w:rPr>
      <w:t>Rachel K. Bright</w:t>
    </w:r>
    <w:r w:rsidRPr="00B1362E">
      <w:rPr>
        <w:rFonts w:ascii="Microsoft New Tai Lue" w:hAnsi="Microsoft New Tai Lue" w:cs="Microsoft New Tai Lue"/>
        <w:b/>
        <w:sz w:val="20"/>
        <w:szCs w:val="20"/>
      </w:rPr>
      <w:t xml:space="preserve">, </w:t>
    </w:r>
    <w:r w:rsidRPr="00B1362E">
      <w:rPr>
        <w:rFonts w:ascii="Microsoft New Tai Lue" w:hAnsi="Microsoft New Tai Lue" w:cs="Microsoft New Tai Lue"/>
        <w:b/>
        <w:sz w:val="20"/>
        <w:szCs w:val="20"/>
      </w:rPr>
      <w:t xml:space="preserve">‘Migration, naturalisation, and the ‘British’ world, </w:t>
    </w:r>
    <w:r w:rsidRPr="00B1362E">
      <w:rPr>
        <w:rFonts w:ascii="Microsoft New Tai Lue" w:hAnsi="Microsoft New Tai Lue" w:cs="Microsoft New Tai Lue"/>
        <w:b/>
        <w:i/>
        <w:sz w:val="20"/>
        <w:szCs w:val="20"/>
      </w:rPr>
      <w:t>c.</w:t>
    </w:r>
    <w:r w:rsidRPr="00B1362E">
      <w:rPr>
        <w:rFonts w:ascii="Microsoft New Tai Lue" w:hAnsi="Microsoft New Tai Lue" w:cs="Microsoft New Tai Lue"/>
        <w:b/>
        <w:sz w:val="20"/>
        <w:szCs w:val="20"/>
      </w:rPr>
      <w:t>1900-1920’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255AD"/>
    <w:multiLevelType w:val="multilevel"/>
    <w:tmpl w:val="2586D12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D06CE"/>
    <w:multiLevelType w:val="multilevel"/>
    <w:tmpl w:val="62FE29D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C544B9"/>
    <w:multiLevelType w:val="multilevel"/>
    <w:tmpl w:val="85FA43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1D422A"/>
    <w:multiLevelType w:val="multilevel"/>
    <w:tmpl w:val="1284AD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DB3CF1"/>
    <w:multiLevelType w:val="multilevel"/>
    <w:tmpl w:val="3500B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F04E3D"/>
    <w:multiLevelType w:val="multilevel"/>
    <w:tmpl w:val="72EAE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9E7AD9"/>
    <w:multiLevelType w:val="multilevel"/>
    <w:tmpl w:val="4316F6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6C56AC"/>
    <w:multiLevelType w:val="multilevel"/>
    <w:tmpl w:val="9CFE2E8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E64EEC"/>
    <w:multiLevelType w:val="multilevel"/>
    <w:tmpl w:val="F6B660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A31C77"/>
    <w:multiLevelType w:val="multilevel"/>
    <w:tmpl w:val="768678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E20D41"/>
    <w:multiLevelType w:val="multilevel"/>
    <w:tmpl w:val="685860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4D0C67"/>
    <w:multiLevelType w:val="multilevel"/>
    <w:tmpl w:val="F20E8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5F18A8"/>
    <w:multiLevelType w:val="multilevel"/>
    <w:tmpl w:val="4B58BCD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416536"/>
    <w:multiLevelType w:val="multilevel"/>
    <w:tmpl w:val="0AF6F0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9C610C"/>
    <w:multiLevelType w:val="hybridMultilevel"/>
    <w:tmpl w:val="C1707A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B53473"/>
    <w:multiLevelType w:val="multilevel"/>
    <w:tmpl w:val="BADE5B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257E6C"/>
    <w:multiLevelType w:val="multilevel"/>
    <w:tmpl w:val="AAA629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951A5A"/>
    <w:multiLevelType w:val="hybridMultilevel"/>
    <w:tmpl w:val="492C75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9D1710"/>
    <w:multiLevelType w:val="multilevel"/>
    <w:tmpl w:val="F87EB59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784240"/>
    <w:multiLevelType w:val="multilevel"/>
    <w:tmpl w:val="90860B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71022F"/>
    <w:multiLevelType w:val="multilevel"/>
    <w:tmpl w:val="FBD0FE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83F33C7"/>
    <w:multiLevelType w:val="multilevel"/>
    <w:tmpl w:val="3E128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ADF6956"/>
    <w:multiLevelType w:val="multilevel"/>
    <w:tmpl w:val="B22A93E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BC56C03"/>
    <w:multiLevelType w:val="multilevel"/>
    <w:tmpl w:val="D80A954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2C32FB4"/>
    <w:multiLevelType w:val="multilevel"/>
    <w:tmpl w:val="7C7075B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39A63CB"/>
    <w:multiLevelType w:val="multilevel"/>
    <w:tmpl w:val="65C49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E352DE"/>
    <w:multiLevelType w:val="multilevel"/>
    <w:tmpl w:val="A58C5C6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A3F448A"/>
    <w:multiLevelType w:val="multilevel"/>
    <w:tmpl w:val="6478D3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BB9599C"/>
    <w:multiLevelType w:val="multilevel"/>
    <w:tmpl w:val="0A547C8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9540EC"/>
    <w:multiLevelType w:val="multilevel"/>
    <w:tmpl w:val="A3CC62F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3054A90"/>
    <w:multiLevelType w:val="multilevel"/>
    <w:tmpl w:val="73A893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61552CA"/>
    <w:multiLevelType w:val="multilevel"/>
    <w:tmpl w:val="B9CE920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8107F4"/>
    <w:multiLevelType w:val="multilevel"/>
    <w:tmpl w:val="8AA6AAC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A991E69"/>
    <w:multiLevelType w:val="hybridMultilevel"/>
    <w:tmpl w:val="70EC764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C9F3313"/>
    <w:multiLevelType w:val="multilevel"/>
    <w:tmpl w:val="37A667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3"/>
  </w:num>
  <w:num w:numId="2">
    <w:abstractNumId w:val="14"/>
  </w:num>
  <w:num w:numId="3">
    <w:abstractNumId w:val="11"/>
  </w:num>
  <w:num w:numId="4">
    <w:abstractNumId w:val="4"/>
  </w:num>
  <w:num w:numId="5">
    <w:abstractNumId w:val="21"/>
  </w:num>
  <w:num w:numId="6">
    <w:abstractNumId w:val="34"/>
    <w:lvlOverride w:ilvl="0">
      <w:lvl w:ilvl="0">
        <w:numFmt w:val="decimal"/>
        <w:lvlText w:val="%1."/>
        <w:lvlJc w:val="left"/>
      </w:lvl>
    </w:lvlOverride>
  </w:num>
  <w:num w:numId="7">
    <w:abstractNumId w:val="3"/>
    <w:lvlOverride w:ilvl="0">
      <w:lvl w:ilvl="0">
        <w:numFmt w:val="decimal"/>
        <w:lvlText w:val="%1."/>
        <w:lvlJc w:val="left"/>
      </w:lvl>
    </w:lvlOverride>
  </w:num>
  <w:num w:numId="8">
    <w:abstractNumId w:val="10"/>
    <w:lvlOverride w:ilvl="0">
      <w:lvl w:ilvl="0">
        <w:numFmt w:val="decimal"/>
        <w:lvlText w:val="%1."/>
        <w:lvlJc w:val="left"/>
      </w:lvl>
    </w:lvlOverride>
  </w:num>
  <w:num w:numId="9">
    <w:abstractNumId w:val="5"/>
  </w:num>
  <w:num w:numId="10">
    <w:abstractNumId w:val="13"/>
    <w:lvlOverride w:ilvl="0">
      <w:lvl w:ilvl="0">
        <w:numFmt w:val="decimal"/>
        <w:lvlText w:val="%1."/>
        <w:lvlJc w:val="left"/>
      </w:lvl>
    </w:lvlOverride>
  </w:num>
  <w:num w:numId="11">
    <w:abstractNumId w:val="6"/>
    <w:lvlOverride w:ilvl="0">
      <w:lvl w:ilvl="0">
        <w:numFmt w:val="decimal"/>
        <w:lvlText w:val="%1."/>
        <w:lvlJc w:val="left"/>
      </w:lvl>
    </w:lvlOverride>
  </w:num>
  <w:num w:numId="12">
    <w:abstractNumId w:val="2"/>
    <w:lvlOverride w:ilvl="0">
      <w:lvl w:ilvl="0">
        <w:numFmt w:val="decimal"/>
        <w:lvlText w:val="%1."/>
        <w:lvlJc w:val="left"/>
      </w:lvl>
    </w:lvlOverride>
  </w:num>
  <w:num w:numId="13">
    <w:abstractNumId w:val="16"/>
    <w:lvlOverride w:ilvl="0">
      <w:lvl w:ilvl="0">
        <w:numFmt w:val="decimal"/>
        <w:lvlText w:val="%1."/>
        <w:lvlJc w:val="left"/>
      </w:lvl>
    </w:lvlOverride>
  </w:num>
  <w:num w:numId="14">
    <w:abstractNumId w:val="9"/>
    <w:lvlOverride w:ilvl="0">
      <w:lvl w:ilvl="0">
        <w:numFmt w:val="decimal"/>
        <w:lvlText w:val="%1."/>
        <w:lvlJc w:val="left"/>
      </w:lvl>
    </w:lvlOverride>
  </w:num>
  <w:num w:numId="15">
    <w:abstractNumId w:val="27"/>
    <w:lvlOverride w:ilvl="0">
      <w:lvl w:ilvl="0">
        <w:numFmt w:val="decimal"/>
        <w:lvlText w:val="%1."/>
        <w:lvlJc w:val="left"/>
      </w:lvl>
    </w:lvlOverride>
  </w:num>
  <w:num w:numId="16">
    <w:abstractNumId w:val="1"/>
    <w:lvlOverride w:ilvl="0">
      <w:lvl w:ilvl="0">
        <w:numFmt w:val="decimal"/>
        <w:lvlText w:val="%1."/>
        <w:lvlJc w:val="left"/>
      </w:lvl>
    </w:lvlOverride>
  </w:num>
  <w:num w:numId="17">
    <w:abstractNumId w:val="28"/>
    <w:lvlOverride w:ilvl="0">
      <w:lvl w:ilvl="0">
        <w:numFmt w:val="decimal"/>
        <w:lvlText w:val="%1."/>
        <w:lvlJc w:val="left"/>
      </w:lvl>
    </w:lvlOverride>
  </w:num>
  <w:num w:numId="18">
    <w:abstractNumId w:val="29"/>
    <w:lvlOverride w:ilvl="0">
      <w:lvl w:ilvl="0">
        <w:numFmt w:val="decimal"/>
        <w:lvlText w:val="%1."/>
        <w:lvlJc w:val="left"/>
      </w:lvl>
    </w:lvlOverride>
  </w:num>
  <w:num w:numId="19">
    <w:abstractNumId w:val="22"/>
    <w:lvlOverride w:ilvl="0">
      <w:lvl w:ilvl="0">
        <w:numFmt w:val="decimal"/>
        <w:lvlText w:val="%1."/>
        <w:lvlJc w:val="left"/>
      </w:lvl>
    </w:lvlOverride>
  </w:num>
  <w:num w:numId="20">
    <w:abstractNumId w:val="24"/>
    <w:lvlOverride w:ilvl="0">
      <w:lvl w:ilvl="0">
        <w:numFmt w:val="decimal"/>
        <w:lvlText w:val="%1."/>
        <w:lvlJc w:val="left"/>
      </w:lvl>
    </w:lvlOverride>
  </w:num>
  <w:num w:numId="21">
    <w:abstractNumId w:val="23"/>
    <w:lvlOverride w:ilvl="0">
      <w:lvl w:ilvl="0">
        <w:numFmt w:val="decimal"/>
        <w:lvlText w:val="%1."/>
        <w:lvlJc w:val="left"/>
      </w:lvl>
    </w:lvlOverride>
  </w:num>
  <w:num w:numId="22">
    <w:abstractNumId w:val="17"/>
  </w:num>
  <w:num w:numId="23">
    <w:abstractNumId w:val="25"/>
  </w:num>
  <w:num w:numId="24">
    <w:abstractNumId w:val="8"/>
    <w:lvlOverride w:ilvl="0">
      <w:lvl w:ilvl="0">
        <w:numFmt w:val="decimal"/>
        <w:lvlText w:val="%1."/>
        <w:lvlJc w:val="left"/>
      </w:lvl>
    </w:lvlOverride>
  </w:num>
  <w:num w:numId="25">
    <w:abstractNumId w:val="20"/>
    <w:lvlOverride w:ilvl="0">
      <w:lvl w:ilvl="0">
        <w:numFmt w:val="decimal"/>
        <w:lvlText w:val="%1."/>
        <w:lvlJc w:val="left"/>
      </w:lvl>
    </w:lvlOverride>
  </w:num>
  <w:num w:numId="26">
    <w:abstractNumId w:val="30"/>
    <w:lvlOverride w:ilvl="0">
      <w:lvl w:ilvl="0">
        <w:numFmt w:val="decimal"/>
        <w:lvlText w:val="%1."/>
        <w:lvlJc w:val="left"/>
      </w:lvl>
    </w:lvlOverride>
  </w:num>
  <w:num w:numId="27">
    <w:abstractNumId w:val="19"/>
    <w:lvlOverride w:ilvl="0">
      <w:lvl w:ilvl="0">
        <w:numFmt w:val="decimal"/>
        <w:lvlText w:val="%1."/>
        <w:lvlJc w:val="left"/>
      </w:lvl>
    </w:lvlOverride>
  </w:num>
  <w:num w:numId="28">
    <w:abstractNumId w:val="15"/>
    <w:lvlOverride w:ilvl="0">
      <w:lvl w:ilvl="0">
        <w:numFmt w:val="decimal"/>
        <w:lvlText w:val="%1."/>
        <w:lvlJc w:val="left"/>
      </w:lvl>
    </w:lvlOverride>
  </w:num>
  <w:num w:numId="29">
    <w:abstractNumId w:val="0"/>
    <w:lvlOverride w:ilvl="0">
      <w:lvl w:ilvl="0">
        <w:numFmt w:val="decimal"/>
        <w:lvlText w:val="%1."/>
        <w:lvlJc w:val="left"/>
      </w:lvl>
    </w:lvlOverride>
  </w:num>
  <w:num w:numId="30">
    <w:abstractNumId w:val="31"/>
    <w:lvlOverride w:ilvl="0">
      <w:lvl w:ilvl="0">
        <w:numFmt w:val="decimal"/>
        <w:lvlText w:val="%1."/>
        <w:lvlJc w:val="left"/>
      </w:lvl>
    </w:lvlOverride>
  </w:num>
  <w:num w:numId="31">
    <w:abstractNumId w:val="12"/>
    <w:lvlOverride w:ilvl="0">
      <w:lvl w:ilvl="0">
        <w:numFmt w:val="decimal"/>
        <w:lvlText w:val="%1."/>
        <w:lvlJc w:val="left"/>
      </w:lvl>
    </w:lvlOverride>
  </w:num>
  <w:num w:numId="32">
    <w:abstractNumId w:val="32"/>
    <w:lvlOverride w:ilvl="0">
      <w:lvl w:ilvl="0">
        <w:numFmt w:val="decimal"/>
        <w:lvlText w:val="%1."/>
        <w:lvlJc w:val="left"/>
      </w:lvl>
    </w:lvlOverride>
  </w:num>
  <w:num w:numId="33">
    <w:abstractNumId w:val="18"/>
    <w:lvlOverride w:ilvl="0">
      <w:lvl w:ilvl="0">
        <w:numFmt w:val="decimal"/>
        <w:lvlText w:val="%1."/>
        <w:lvlJc w:val="left"/>
      </w:lvl>
    </w:lvlOverride>
  </w:num>
  <w:num w:numId="34">
    <w:abstractNumId w:val="7"/>
    <w:lvlOverride w:ilvl="0">
      <w:lvl w:ilvl="0">
        <w:numFmt w:val="decimal"/>
        <w:lvlText w:val="%1."/>
        <w:lvlJc w:val="left"/>
      </w:lvl>
    </w:lvlOverride>
  </w:num>
  <w:num w:numId="35">
    <w:abstractNumId w:val="26"/>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743"/>
    <w:rsid w:val="00001CEF"/>
    <w:rsid w:val="00016976"/>
    <w:rsid w:val="00046835"/>
    <w:rsid w:val="00047CA9"/>
    <w:rsid w:val="000C2CAC"/>
    <w:rsid w:val="000C53BE"/>
    <w:rsid w:val="000C571A"/>
    <w:rsid w:val="000D1640"/>
    <w:rsid w:val="000F6EDE"/>
    <w:rsid w:val="00133B90"/>
    <w:rsid w:val="00141034"/>
    <w:rsid w:val="00156236"/>
    <w:rsid w:val="00157F7C"/>
    <w:rsid w:val="0017344B"/>
    <w:rsid w:val="001A6FA9"/>
    <w:rsid w:val="001B4AAB"/>
    <w:rsid w:val="001D053A"/>
    <w:rsid w:val="001E035D"/>
    <w:rsid w:val="0024506A"/>
    <w:rsid w:val="00247297"/>
    <w:rsid w:val="00264439"/>
    <w:rsid w:val="00293669"/>
    <w:rsid w:val="00297A97"/>
    <w:rsid w:val="002A667A"/>
    <w:rsid w:val="002B5BBF"/>
    <w:rsid w:val="002F61A5"/>
    <w:rsid w:val="00305257"/>
    <w:rsid w:val="00321D65"/>
    <w:rsid w:val="00325387"/>
    <w:rsid w:val="00365C05"/>
    <w:rsid w:val="003A709C"/>
    <w:rsid w:val="003D07A0"/>
    <w:rsid w:val="00403BAE"/>
    <w:rsid w:val="00406683"/>
    <w:rsid w:val="00407DA2"/>
    <w:rsid w:val="00415350"/>
    <w:rsid w:val="00417ADA"/>
    <w:rsid w:val="004329D1"/>
    <w:rsid w:val="0043474D"/>
    <w:rsid w:val="00434977"/>
    <w:rsid w:val="00444F57"/>
    <w:rsid w:val="004474A0"/>
    <w:rsid w:val="0049097E"/>
    <w:rsid w:val="004B0E7E"/>
    <w:rsid w:val="004B2FBB"/>
    <w:rsid w:val="004D50F1"/>
    <w:rsid w:val="00500914"/>
    <w:rsid w:val="00511C3A"/>
    <w:rsid w:val="00515E22"/>
    <w:rsid w:val="0055470C"/>
    <w:rsid w:val="0056512F"/>
    <w:rsid w:val="00567A68"/>
    <w:rsid w:val="00590BBF"/>
    <w:rsid w:val="005A508E"/>
    <w:rsid w:val="005B638D"/>
    <w:rsid w:val="005E359B"/>
    <w:rsid w:val="0062219D"/>
    <w:rsid w:val="00663CEB"/>
    <w:rsid w:val="0067705F"/>
    <w:rsid w:val="006B46C8"/>
    <w:rsid w:val="006C4E3E"/>
    <w:rsid w:val="006C539D"/>
    <w:rsid w:val="006E0B52"/>
    <w:rsid w:val="0072706B"/>
    <w:rsid w:val="00727969"/>
    <w:rsid w:val="00731418"/>
    <w:rsid w:val="007434A1"/>
    <w:rsid w:val="00752D0A"/>
    <w:rsid w:val="0076359C"/>
    <w:rsid w:val="00793E87"/>
    <w:rsid w:val="00794743"/>
    <w:rsid w:val="00795CF7"/>
    <w:rsid w:val="007A72DB"/>
    <w:rsid w:val="007C10C3"/>
    <w:rsid w:val="007D059D"/>
    <w:rsid w:val="008306FC"/>
    <w:rsid w:val="008430ED"/>
    <w:rsid w:val="00844B50"/>
    <w:rsid w:val="0088041A"/>
    <w:rsid w:val="008B611A"/>
    <w:rsid w:val="008C4018"/>
    <w:rsid w:val="008D4F9A"/>
    <w:rsid w:val="008D69B9"/>
    <w:rsid w:val="008F2D03"/>
    <w:rsid w:val="008F4E7B"/>
    <w:rsid w:val="00916554"/>
    <w:rsid w:val="00917497"/>
    <w:rsid w:val="00921944"/>
    <w:rsid w:val="00944557"/>
    <w:rsid w:val="009564A9"/>
    <w:rsid w:val="009907DC"/>
    <w:rsid w:val="00992BB8"/>
    <w:rsid w:val="009A4BE2"/>
    <w:rsid w:val="009D033A"/>
    <w:rsid w:val="009E0E7D"/>
    <w:rsid w:val="009F686A"/>
    <w:rsid w:val="00A13FDF"/>
    <w:rsid w:val="00A36DD6"/>
    <w:rsid w:val="00A44068"/>
    <w:rsid w:val="00A72A50"/>
    <w:rsid w:val="00A75F79"/>
    <w:rsid w:val="00AC352E"/>
    <w:rsid w:val="00AE38C7"/>
    <w:rsid w:val="00AE7548"/>
    <w:rsid w:val="00B02D09"/>
    <w:rsid w:val="00B049D4"/>
    <w:rsid w:val="00B1362E"/>
    <w:rsid w:val="00B21229"/>
    <w:rsid w:val="00B32199"/>
    <w:rsid w:val="00B86EEC"/>
    <w:rsid w:val="00BA1ACD"/>
    <w:rsid w:val="00BB0D64"/>
    <w:rsid w:val="00BB45FA"/>
    <w:rsid w:val="00BC0F14"/>
    <w:rsid w:val="00BC74E9"/>
    <w:rsid w:val="00BE60C3"/>
    <w:rsid w:val="00BF4E4B"/>
    <w:rsid w:val="00C5737E"/>
    <w:rsid w:val="00C8745C"/>
    <w:rsid w:val="00C95F62"/>
    <w:rsid w:val="00CF72DE"/>
    <w:rsid w:val="00D176CC"/>
    <w:rsid w:val="00D53556"/>
    <w:rsid w:val="00D53A48"/>
    <w:rsid w:val="00D80262"/>
    <w:rsid w:val="00D81B0D"/>
    <w:rsid w:val="00D95CDF"/>
    <w:rsid w:val="00DA4DD3"/>
    <w:rsid w:val="00DA5466"/>
    <w:rsid w:val="00DA5673"/>
    <w:rsid w:val="00DA59E0"/>
    <w:rsid w:val="00DA71CE"/>
    <w:rsid w:val="00DD2D51"/>
    <w:rsid w:val="00DF6199"/>
    <w:rsid w:val="00E06626"/>
    <w:rsid w:val="00E13B1A"/>
    <w:rsid w:val="00E14CCB"/>
    <w:rsid w:val="00E24FA9"/>
    <w:rsid w:val="00E56C30"/>
    <w:rsid w:val="00E77F6A"/>
    <w:rsid w:val="00E84C20"/>
    <w:rsid w:val="00E91612"/>
    <w:rsid w:val="00EA07EA"/>
    <w:rsid w:val="00EE5A74"/>
    <w:rsid w:val="00EF611B"/>
    <w:rsid w:val="00F47F24"/>
    <w:rsid w:val="00F644EB"/>
    <w:rsid w:val="00F86BAB"/>
    <w:rsid w:val="00F949F7"/>
    <w:rsid w:val="00FA398C"/>
    <w:rsid w:val="00FC1D7A"/>
    <w:rsid w:val="00FF703A"/>
    <w:rsid w:val="00FF77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D8B16"/>
  <w15:docId w15:val="{0E6C5102-1C2A-E347-8EF4-8AE5DC1C4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557"/>
    <w:pPr>
      <w:spacing w:line="240" w:lineRule="auto"/>
    </w:pPr>
    <w:rPr>
      <w:rFonts w:ascii="Times New Roman" w:eastAsia="Times New Roman" w:hAnsi="Times New Roman" w:cs="Times New Roman"/>
      <w:sz w:val="24"/>
      <w:szCs w:val="24"/>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FootnoteText">
    <w:name w:val="footnote text"/>
    <w:basedOn w:val="Normal"/>
    <w:link w:val="FootnoteTextChar"/>
    <w:uiPriority w:val="99"/>
    <w:semiHidden/>
    <w:unhideWhenUsed/>
    <w:rsid w:val="00047CA9"/>
    <w:rPr>
      <w:sz w:val="20"/>
      <w:szCs w:val="20"/>
    </w:rPr>
  </w:style>
  <w:style w:type="character" w:customStyle="1" w:styleId="FootnoteTextChar">
    <w:name w:val="Footnote Text Char"/>
    <w:basedOn w:val="DefaultParagraphFont"/>
    <w:link w:val="FootnoteText"/>
    <w:uiPriority w:val="99"/>
    <w:semiHidden/>
    <w:rsid w:val="00047CA9"/>
    <w:rPr>
      <w:sz w:val="20"/>
      <w:szCs w:val="20"/>
    </w:rPr>
  </w:style>
  <w:style w:type="paragraph" w:styleId="EndnoteText">
    <w:name w:val="endnote text"/>
    <w:basedOn w:val="Normal"/>
    <w:link w:val="EndnoteTextChar"/>
    <w:uiPriority w:val="99"/>
    <w:semiHidden/>
    <w:unhideWhenUsed/>
    <w:rsid w:val="00047CA9"/>
    <w:rPr>
      <w:sz w:val="20"/>
      <w:szCs w:val="20"/>
    </w:rPr>
  </w:style>
  <w:style w:type="character" w:customStyle="1" w:styleId="EndnoteTextChar">
    <w:name w:val="Endnote Text Char"/>
    <w:basedOn w:val="DefaultParagraphFont"/>
    <w:link w:val="EndnoteText"/>
    <w:uiPriority w:val="99"/>
    <w:semiHidden/>
    <w:rsid w:val="00047CA9"/>
    <w:rPr>
      <w:sz w:val="20"/>
      <w:szCs w:val="20"/>
    </w:rPr>
  </w:style>
  <w:style w:type="character" w:styleId="FootnoteReference">
    <w:name w:val="footnote reference"/>
    <w:basedOn w:val="DefaultParagraphFont"/>
    <w:uiPriority w:val="99"/>
    <w:semiHidden/>
    <w:unhideWhenUsed/>
    <w:rsid w:val="00047CA9"/>
    <w:rPr>
      <w:vertAlign w:val="superscript"/>
    </w:rPr>
  </w:style>
  <w:style w:type="character" w:styleId="EndnoteReference">
    <w:name w:val="endnote reference"/>
    <w:basedOn w:val="DefaultParagraphFont"/>
    <w:uiPriority w:val="99"/>
    <w:semiHidden/>
    <w:unhideWhenUsed/>
    <w:rsid w:val="00047CA9"/>
    <w:rPr>
      <w:vertAlign w:val="superscript"/>
    </w:rPr>
  </w:style>
  <w:style w:type="character" w:styleId="Emphasis">
    <w:name w:val="Emphasis"/>
    <w:basedOn w:val="DefaultParagraphFont"/>
    <w:uiPriority w:val="20"/>
    <w:qFormat/>
    <w:rsid w:val="00C95F62"/>
    <w:rPr>
      <w:i/>
      <w:iCs/>
    </w:rPr>
  </w:style>
  <w:style w:type="paragraph" w:styleId="ListParagraph">
    <w:name w:val="List Paragraph"/>
    <w:basedOn w:val="Normal"/>
    <w:uiPriority w:val="34"/>
    <w:qFormat/>
    <w:rsid w:val="006E0B52"/>
    <w:pPr>
      <w:ind w:left="720"/>
      <w:contextualSpacing/>
    </w:pPr>
  </w:style>
  <w:style w:type="paragraph" w:styleId="NormalWeb">
    <w:name w:val="Normal (Web)"/>
    <w:basedOn w:val="Normal"/>
    <w:uiPriority w:val="99"/>
    <w:unhideWhenUsed/>
    <w:rsid w:val="00AE7548"/>
    <w:pPr>
      <w:spacing w:before="100" w:beforeAutospacing="1" w:after="100" w:afterAutospacing="1"/>
    </w:pPr>
  </w:style>
  <w:style w:type="character" w:styleId="Hyperlink">
    <w:name w:val="Hyperlink"/>
    <w:basedOn w:val="DefaultParagraphFont"/>
    <w:uiPriority w:val="99"/>
    <w:semiHidden/>
    <w:unhideWhenUsed/>
    <w:rsid w:val="00AE7548"/>
    <w:rPr>
      <w:color w:val="0000FF"/>
      <w:u w:val="single"/>
    </w:rPr>
  </w:style>
  <w:style w:type="paragraph" w:styleId="Header">
    <w:name w:val="header"/>
    <w:basedOn w:val="Normal"/>
    <w:link w:val="HeaderChar"/>
    <w:uiPriority w:val="99"/>
    <w:unhideWhenUsed/>
    <w:rsid w:val="00B1362E"/>
    <w:pPr>
      <w:tabs>
        <w:tab w:val="center" w:pos="4680"/>
        <w:tab w:val="right" w:pos="9360"/>
      </w:tabs>
    </w:pPr>
  </w:style>
  <w:style w:type="character" w:customStyle="1" w:styleId="HeaderChar">
    <w:name w:val="Header Char"/>
    <w:basedOn w:val="DefaultParagraphFont"/>
    <w:link w:val="Header"/>
    <w:uiPriority w:val="99"/>
    <w:rsid w:val="00B1362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1362E"/>
    <w:pPr>
      <w:tabs>
        <w:tab w:val="center" w:pos="4680"/>
        <w:tab w:val="right" w:pos="9360"/>
      </w:tabs>
    </w:pPr>
  </w:style>
  <w:style w:type="character" w:customStyle="1" w:styleId="FooterChar">
    <w:name w:val="Footer Char"/>
    <w:basedOn w:val="DefaultParagraphFont"/>
    <w:link w:val="Footer"/>
    <w:uiPriority w:val="99"/>
    <w:rsid w:val="00B1362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119108">
      <w:bodyDiv w:val="1"/>
      <w:marLeft w:val="0"/>
      <w:marRight w:val="0"/>
      <w:marTop w:val="0"/>
      <w:marBottom w:val="0"/>
      <w:divBdr>
        <w:top w:val="none" w:sz="0" w:space="0" w:color="auto"/>
        <w:left w:val="none" w:sz="0" w:space="0" w:color="auto"/>
        <w:bottom w:val="none" w:sz="0" w:space="0" w:color="auto"/>
        <w:right w:val="none" w:sz="0" w:space="0" w:color="auto"/>
      </w:divBdr>
    </w:div>
    <w:div w:id="140316447">
      <w:bodyDiv w:val="1"/>
      <w:marLeft w:val="0"/>
      <w:marRight w:val="0"/>
      <w:marTop w:val="0"/>
      <w:marBottom w:val="0"/>
      <w:divBdr>
        <w:top w:val="none" w:sz="0" w:space="0" w:color="auto"/>
        <w:left w:val="none" w:sz="0" w:space="0" w:color="auto"/>
        <w:bottom w:val="none" w:sz="0" w:space="0" w:color="auto"/>
        <w:right w:val="none" w:sz="0" w:space="0" w:color="auto"/>
      </w:divBdr>
    </w:div>
    <w:div w:id="240719824">
      <w:bodyDiv w:val="1"/>
      <w:marLeft w:val="0"/>
      <w:marRight w:val="0"/>
      <w:marTop w:val="0"/>
      <w:marBottom w:val="0"/>
      <w:divBdr>
        <w:top w:val="none" w:sz="0" w:space="0" w:color="auto"/>
        <w:left w:val="none" w:sz="0" w:space="0" w:color="auto"/>
        <w:bottom w:val="none" w:sz="0" w:space="0" w:color="auto"/>
        <w:right w:val="none" w:sz="0" w:space="0" w:color="auto"/>
      </w:divBdr>
    </w:div>
    <w:div w:id="388847892">
      <w:bodyDiv w:val="1"/>
      <w:marLeft w:val="0"/>
      <w:marRight w:val="0"/>
      <w:marTop w:val="0"/>
      <w:marBottom w:val="0"/>
      <w:divBdr>
        <w:top w:val="none" w:sz="0" w:space="0" w:color="auto"/>
        <w:left w:val="none" w:sz="0" w:space="0" w:color="auto"/>
        <w:bottom w:val="none" w:sz="0" w:space="0" w:color="auto"/>
        <w:right w:val="none" w:sz="0" w:space="0" w:color="auto"/>
      </w:divBdr>
    </w:div>
    <w:div w:id="487787157">
      <w:bodyDiv w:val="1"/>
      <w:marLeft w:val="0"/>
      <w:marRight w:val="0"/>
      <w:marTop w:val="0"/>
      <w:marBottom w:val="0"/>
      <w:divBdr>
        <w:top w:val="none" w:sz="0" w:space="0" w:color="auto"/>
        <w:left w:val="none" w:sz="0" w:space="0" w:color="auto"/>
        <w:bottom w:val="none" w:sz="0" w:space="0" w:color="auto"/>
        <w:right w:val="none" w:sz="0" w:space="0" w:color="auto"/>
      </w:divBdr>
    </w:div>
    <w:div w:id="525751749">
      <w:bodyDiv w:val="1"/>
      <w:marLeft w:val="0"/>
      <w:marRight w:val="0"/>
      <w:marTop w:val="0"/>
      <w:marBottom w:val="0"/>
      <w:divBdr>
        <w:top w:val="none" w:sz="0" w:space="0" w:color="auto"/>
        <w:left w:val="none" w:sz="0" w:space="0" w:color="auto"/>
        <w:bottom w:val="none" w:sz="0" w:space="0" w:color="auto"/>
        <w:right w:val="none" w:sz="0" w:space="0" w:color="auto"/>
      </w:divBdr>
    </w:div>
    <w:div w:id="574046352">
      <w:bodyDiv w:val="1"/>
      <w:marLeft w:val="0"/>
      <w:marRight w:val="0"/>
      <w:marTop w:val="0"/>
      <w:marBottom w:val="0"/>
      <w:divBdr>
        <w:top w:val="none" w:sz="0" w:space="0" w:color="auto"/>
        <w:left w:val="none" w:sz="0" w:space="0" w:color="auto"/>
        <w:bottom w:val="none" w:sz="0" w:space="0" w:color="auto"/>
        <w:right w:val="none" w:sz="0" w:space="0" w:color="auto"/>
      </w:divBdr>
    </w:div>
    <w:div w:id="681585130">
      <w:bodyDiv w:val="1"/>
      <w:marLeft w:val="0"/>
      <w:marRight w:val="0"/>
      <w:marTop w:val="0"/>
      <w:marBottom w:val="0"/>
      <w:divBdr>
        <w:top w:val="none" w:sz="0" w:space="0" w:color="auto"/>
        <w:left w:val="none" w:sz="0" w:space="0" w:color="auto"/>
        <w:bottom w:val="none" w:sz="0" w:space="0" w:color="auto"/>
        <w:right w:val="none" w:sz="0" w:space="0" w:color="auto"/>
      </w:divBdr>
    </w:div>
    <w:div w:id="848760485">
      <w:bodyDiv w:val="1"/>
      <w:marLeft w:val="0"/>
      <w:marRight w:val="0"/>
      <w:marTop w:val="0"/>
      <w:marBottom w:val="0"/>
      <w:divBdr>
        <w:top w:val="none" w:sz="0" w:space="0" w:color="auto"/>
        <w:left w:val="none" w:sz="0" w:space="0" w:color="auto"/>
        <w:bottom w:val="none" w:sz="0" w:space="0" w:color="auto"/>
        <w:right w:val="none" w:sz="0" w:space="0" w:color="auto"/>
      </w:divBdr>
    </w:div>
    <w:div w:id="854462828">
      <w:bodyDiv w:val="1"/>
      <w:marLeft w:val="0"/>
      <w:marRight w:val="0"/>
      <w:marTop w:val="0"/>
      <w:marBottom w:val="0"/>
      <w:divBdr>
        <w:top w:val="none" w:sz="0" w:space="0" w:color="auto"/>
        <w:left w:val="none" w:sz="0" w:space="0" w:color="auto"/>
        <w:bottom w:val="none" w:sz="0" w:space="0" w:color="auto"/>
        <w:right w:val="none" w:sz="0" w:space="0" w:color="auto"/>
      </w:divBdr>
    </w:div>
    <w:div w:id="908228971">
      <w:bodyDiv w:val="1"/>
      <w:marLeft w:val="0"/>
      <w:marRight w:val="0"/>
      <w:marTop w:val="0"/>
      <w:marBottom w:val="0"/>
      <w:divBdr>
        <w:top w:val="none" w:sz="0" w:space="0" w:color="auto"/>
        <w:left w:val="none" w:sz="0" w:space="0" w:color="auto"/>
        <w:bottom w:val="none" w:sz="0" w:space="0" w:color="auto"/>
        <w:right w:val="none" w:sz="0" w:space="0" w:color="auto"/>
      </w:divBdr>
    </w:div>
    <w:div w:id="990985325">
      <w:bodyDiv w:val="1"/>
      <w:marLeft w:val="0"/>
      <w:marRight w:val="0"/>
      <w:marTop w:val="0"/>
      <w:marBottom w:val="0"/>
      <w:divBdr>
        <w:top w:val="none" w:sz="0" w:space="0" w:color="auto"/>
        <w:left w:val="none" w:sz="0" w:space="0" w:color="auto"/>
        <w:bottom w:val="none" w:sz="0" w:space="0" w:color="auto"/>
        <w:right w:val="none" w:sz="0" w:space="0" w:color="auto"/>
      </w:divBdr>
    </w:div>
    <w:div w:id="1028793134">
      <w:bodyDiv w:val="1"/>
      <w:marLeft w:val="0"/>
      <w:marRight w:val="0"/>
      <w:marTop w:val="0"/>
      <w:marBottom w:val="0"/>
      <w:divBdr>
        <w:top w:val="none" w:sz="0" w:space="0" w:color="auto"/>
        <w:left w:val="none" w:sz="0" w:space="0" w:color="auto"/>
        <w:bottom w:val="none" w:sz="0" w:space="0" w:color="auto"/>
        <w:right w:val="none" w:sz="0" w:space="0" w:color="auto"/>
      </w:divBdr>
    </w:div>
    <w:div w:id="1041250873">
      <w:bodyDiv w:val="1"/>
      <w:marLeft w:val="0"/>
      <w:marRight w:val="0"/>
      <w:marTop w:val="0"/>
      <w:marBottom w:val="0"/>
      <w:divBdr>
        <w:top w:val="none" w:sz="0" w:space="0" w:color="auto"/>
        <w:left w:val="none" w:sz="0" w:space="0" w:color="auto"/>
        <w:bottom w:val="none" w:sz="0" w:space="0" w:color="auto"/>
        <w:right w:val="none" w:sz="0" w:space="0" w:color="auto"/>
      </w:divBdr>
    </w:div>
    <w:div w:id="1044018574">
      <w:bodyDiv w:val="1"/>
      <w:marLeft w:val="0"/>
      <w:marRight w:val="0"/>
      <w:marTop w:val="0"/>
      <w:marBottom w:val="0"/>
      <w:divBdr>
        <w:top w:val="none" w:sz="0" w:space="0" w:color="auto"/>
        <w:left w:val="none" w:sz="0" w:space="0" w:color="auto"/>
        <w:bottom w:val="none" w:sz="0" w:space="0" w:color="auto"/>
        <w:right w:val="none" w:sz="0" w:space="0" w:color="auto"/>
      </w:divBdr>
    </w:div>
    <w:div w:id="1210802917">
      <w:bodyDiv w:val="1"/>
      <w:marLeft w:val="0"/>
      <w:marRight w:val="0"/>
      <w:marTop w:val="0"/>
      <w:marBottom w:val="0"/>
      <w:divBdr>
        <w:top w:val="none" w:sz="0" w:space="0" w:color="auto"/>
        <w:left w:val="none" w:sz="0" w:space="0" w:color="auto"/>
        <w:bottom w:val="none" w:sz="0" w:space="0" w:color="auto"/>
        <w:right w:val="none" w:sz="0" w:space="0" w:color="auto"/>
      </w:divBdr>
    </w:div>
    <w:div w:id="1240403759">
      <w:bodyDiv w:val="1"/>
      <w:marLeft w:val="0"/>
      <w:marRight w:val="0"/>
      <w:marTop w:val="0"/>
      <w:marBottom w:val="0"/>
      <w:divBdr>
        <w:top w:val="none" w:sz="0" w:space="0" w:color="auto"/>
        <w:left w:val="none" w:sz="0" w:space="0" w:color="auto"/>
        <w:bottom w:val="none" w:sz="0" w:space="0" w:color="auto"/>
        <w:right w:val="none" w:sz="0" w:space="0" w:color="auto"/>
      </w:divBdr>
    </w:div>
    <w:div w:id="1355839629">
      <w:bodyDiv w:val="1"/>
      <w:marLeft w:val="0"/>
      <w:marRight w:val="0"/>
      <w:marTop w:val="0"/>
      <w:marBottom w:val="0"/>
      <w:divBdr>
        <w:top w:val="none" w:sz="0" w:space="0" w:color="auto"/>
        <w:left w:val="none" w:sz="0" w:space="0" w:color="auto"/>
        <w:bottom w:val="none" w:sz="0" w:space="0" w:color="auto"/>
        <w:right w:val="none" w:sz="0" w:space="0" w:color="auto"/>
      </w:divBdr>
    </w:div>
    <w:div w:id="1405495813">
      <w:bodyDiv w:val="1"/>
      <w:marLeft w:val="0"/>
      <w:marRight w:val="0"/>
      <w:marTop w:val="0"/>
      <w:marBottom w:val="0"/>
      <w:divBdr>
        <w:top w:val="none" w:sz="0" w:space="0" w:color="auto"/>
        <w:left w:val="none" w:sz="0" w:space="0" w:color="auto"/>
        <w:bottom w:val="none" w:sz="0" w:space="0" w:color="auto"/>
        <w:right w:val="none" w:sz="0" w:space="0" w:color="auto"/>
      </w:divBdr>
    </w:div>
    <w:div w:id="1436173079">
      <w:bodyDiv w:val="1"/>
      <w:marLeft w:val="0"/>
      <w:marRight w:val="0"/>
      <w:marTop w:val="0"/>
      <w:marBottom w:val="0"/>
      <w:divBdr>
        <w:top w:val="none" w:sz="0" w:space="0" w:color="auto"/>
        <w:left w:val="none" w:sz="0" w:space="0" w:color="auto"/>
        <w:bottom w:val="none" w:sz="0" w:space="0" w:color="auto"/>
        <w:right w:val="none" w:sz="0" w:space="0" w:color="auto"/>
      </w:divBdr>
    </w:div>
    <w:div w:id="1604848836">
      <w:bodyDiv w:val="1"/>
      <w:marLeft w:val="0"/>
      <w:marRight w:val="0"/>
      <w:marTop w:val="0"/>
      <w:marBottom w:val="0"/>
      <w:divBdr>
        <w:top w:val="none" w:sz="0" w:space="0" w:color="auto"/>
        <w:left w:val="none" w:sz="0" w:space="0" w:color="auto"/>
        <w:bottom w:val="none" w:sz="0" w:space="0" w:color="auto"/>
        <w:right w:val="none" w:sz="0" w:space="0" w:color="auto"/>
      </w:divBdr>
    </w:div>
    <w:div w:id="1617711498">
      <w:bodyDiv w:val="1"/>
      <w:marLeft w:val="0"/>
      <w:marRight w:val="0"/>
      <w:marTop w:val="0"/>
      <w:marBottom w:val="0"/>
      <w:divBdr>
        <w:top w:val="none" w:sz="0" w:space="0" w:color="auto"/>
        <w:left w:val="none" w:sz="0" w:space="0" w:color="auto"/>
        <w:bottom w:val="none" w:sz="0" w:space="0" w:color="auto"/>
        <w:right w:val="none" w:sz="0" w:space="0" w:color="auto"/>
      </w:divBdr>
    </w:div>
    <w:div w:id="1620842856">
      <w:bodyDiv w:val="1"/>
      <w:marLeft w:val="0"/>
      <w:marRight w:val="0"/>
      <w:marTop w:val="0"/>
      <w:marBottom w:val="0"/>
      <w:divBdr>
        <w:top w:val="none" w:sz="0" w:space="0" w:color="auto"/>
        <w:left w:val="none" w:sz="0" w:space="0" w:color="auto"/>
        <w:bottom w:val="none" w:sz="0" w:space="0" w:color="auto"/>
        <w:right w:val="none" w:sz="0" w:space="0" w:color="auto"/>
      </w:divBdr>
    </w:div>
    <w:div w:id="1725176343">
      <w:bodyDiv w:val="1"/>
      <w:marLeft w:val="0"/>
      <w:marRight w:val="0"/>
      <w:marTop w:val="0"/>
      <w:marBottom w:val="0"/>
      <w:divBdr>
        <w:top w:val="none" w:sz="0" w:space="0" w:color="auto"/>
        <w:left w:val="none" w:sz="0" w:space="0" w:color="auto"/>
        <w:bottom w:val="none" w:sz="0" w:space="0" w:color="auto"/>
        <w:right w:val="none" w:sz="0" w:space="0" w:color="auto"/>
      </w:divBdr>
    </w:div>
    <w:div w:id="2003045078">
      <w:bodyDiv w:val="1"/>
      <w:marLeft w:val="0"/>
      <w:marRight w:val="0"/>
      <w:marTop w:val="0"/>
      <w:marBottom w:val="0"/>
      <w:divBdr>
        <w:top w:val="none" w:sz="0" w:space="0" w:color="auto"/>
        <w:left w:val="none" w:sz="0" w:space="0" w:color="auto"/>
        <w:bottom w:val="none" w:sz="0" w:space="0" w:color="auto"/>
        <w:right w:val="none" w:sz="0" w:space="0" w:color="auto"/>
      </w:divBdr>
    </w:div>
    <w:div w:id="2016766050">
      <w:bodyDiv w:val="1"/>
      <w:marLeft w:val="0"/>
      <w:marRight w:val="0"/>
      <w:marTop w:val="0"/>
      <w:marBottom w:val="0"/>
      <w:divBdr>
        <w:top w:val="none" w:sz="0" w:space="0" w:color="auto"/>
        <w:left w:val="none" w:sz="0" w:space="0" w:color="auto"/>
        <w:bottom w:val="none" w:sz="0" w:space="0" w:color="auto"/>
        <w:right w:val="none" w:sz="0" w:space="0" w:color="auto"/>
      </w:divBdr>
    </w:div>
    <w:div w:id="2033451993">
      <w:bodyDiv w:val="1"/>
      <w:marLeft w:val="0"/>
      <w:marRight w:val="0"/>
      <w:marTop w:val="0"/>
      <w:marBottom w:val="0"/>
      <w:divBdr>
        <w:top w:val="none" w:sz="0" w:space="0" w:color="auto"/>
        <w:left w:val="none" w:sz="0" w:space="0" w:color="auto"/>
        <w:bottom w:val="none" w:sz="0" w:space="0" w:color="auto"/>
        <w:right w:val="none" w:sz="0" w:space="0" w:color="auto"/>
      </w:divBdr>
    </w:div>
    <w:div w:id="2137020191">
      <w:bodyDiv w:val="1"/>
      <w:marLeft w:val="0"/>
      <w:marRight w:val="0"/>
      <w:marTop w:val="0"/>
      <w:marBottom w:val="0"/>
      <w:divBdr>
        <w:top w:val="none" w:sz="0" w:space="0" w:color="auto"/>
        <w:left w:val="none" w:sz="0" w:space="0" w:color="auto"/>
        <w:bottom w:val="none" w:sz="0" w:space="0" w:color="auto"/>
        <w:right w:val="none" w:sz="0" w:space="0" w:color="auto"/>
      </w:divBdr>
    </w:div>
    <w:div w:id="2137065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guides.naa.gov.au/citizenship/chapter3/women.aspx" TargetMode="External"/><Relationship Id="rId2" Type="http://schemas.openxmlformats.org/officeDocument/2006/relationships/hyperlink" Target="https://naturalisation.online/database/application/32" TargetMode="External"/><Relationship Id="rId1" Type="http://schemas.openxmlformats.org/officeDocument/2006/relationships/hyperlink" Target="https://naturalisation.online/database/" TargetMode="External"/><Relationship Id="rId4" Type="http://schemas.openxmlformats.org/officeDocument/2006/relationships/hyperlink" Target="http://www.jewishgen.org/SAfrica/alexander-immig.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90D92-FD51-8344-AC1C-C805BCF1D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30</Pages>
  <Words>6934</Words>
  <Characters>39530</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Rachel Bright</cp:lastModifiedBy>
  <cp:revision>138</cp:revision>
  <cp:lastPrinted>2020-04-09T09:04:00Z</cp:lastPrinted>
  <dcterms:created xsi:type="dcterms:W3CDTF">2020-04-07T11:17:00Z</dcterms:created>
  <dcterms:modified xsi:type="dcterms:W3CDTF">2020-04-10T09:48:00Z</dcterms:modified>
</cp:coreProperties>
</file>