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11E9F" w14:textId="77777777" w:rsidR="00160EED" w:rsidRPr="00937709" w:rsidRDefault="00E13E4E" w:rsidP="006C3028">
      <w:pPr>
        <w:spacing w:line="360" w:lineRule="auto"/>
        <w:jc w:val="center"/>
        <w:rPr>
          <w:rFonts w:ascii="Times New Roman" w:hAnsi="Times New Roman" w:cs="Times New Roman"/>
          <w:b/>
          <w:sz w:val="32"/>
          <w:szCs w:val="32"/>
          <w:u w:val="single"/>
        </w:rPr>
      </w:pPr>
      <w:r w:rsidRPr="00937709">
        <w:rPr>
          <w:rFonts w:ascii="Times New Roman" w:hAnsi="Times New Roman" w:cs="Times New Roman"/>
          <w:b/>
          <w:sz w:val="32"/>
          <w:szCs w:val="32"/>
          <w:u w:val="single"/>
        </w:rPr>
        <w:t>ISSUES IN SENTENCING PROCEDURE</w:t>
      </w:r>
    </w:p>
    <w:p w14:paraId="36F089C9" w14:textId="77777777" w:rsidR="00F83B7B" w:rsidRDefault="00F83B7B" w:rsidP="006C3028">
      <w:pPr>
        <w:spacing w:line="360" w:lineRule="auto"/>
        <w:rPr>
          <w:rFonts w:ascii="Times New Roman" w:hAnsi="Times New Roman" w:cs="Times New Roman"/>
          <w:b/>
          <w:sz w:val="28"/>
          <w:szCs w:val="28"/>
        </w:rPr>
      </w:pPr>
    </w:p>
    <w:p w14:paraId="44E2BD8F" w14:textId="7E892CD0" w:rsidR="003D28A8" w:rsidRDefault="005D6EBA" w:rsidP="006C302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Martin Wasik and Andrew Ashworth</w:t>
      </w:r>
    </w:p>
    <w:p w14:paraId="69690F9F" w14:textId="77777777" w:rsidR="005D6EBA" w:rsidRPr="003D28A8" w:rsidRDefault="005D6EBA" w:rsidP="006C3028">
      <w:pPr>
        <w:spacing w:line="360" w:lineRule="auto"/>
        <w:rPr>
          <w:rFonts w:ascii="Times New Roman" w:hAnsi="Times New Roman" w:cs="Times New Roman"/>
          <w:b/>
          <w:sz w:val="28"/>
          <w:szCs w:val="28"/>
        </w:rPr>
      </w:pPr>
    </w:p>
    <w:p w14:paraId="1A826037" w14:textId="77777777" w:rsidR="0061798C" w:rsidRDefault="0061798C" w:rsidP="006C3028">
      <w:pPr>
        <w:spacing w:line="360" w:lineRule="auto"/>
        <w:rPr>
          <w:rFonts w:ascii="Times New Roman" w:hAnsi="Times New Roman" w:cs="Times New Roman"/>
          <w:b/>
          <w:sz w:val="28"/>
          <w:szCs w:val="28"/>
        </w:rPr>
      </w:pPr>
    </w:p>
    <w:p w14:paraId="498EF31C" w14:textId="77777777" w:rsidR="002647DA" w:rsidRPr="003D28A8" w:rsidRDefault="002647DA" w:rsidP="006C3028">
      <w:pPr>
        <w:spacing w:line="360" w:lineRule="auto"/>
        <w:rPr>
          <w:rFonts w:ascii="Times New Roman" w:hAnsi="Times New Roman" w:cs="Times New Roman"/>
          <w:b/>
          <w:sz w:val="28"/>
          <w:szCs w:val="28"/>
        </w:rPr>
      </w:pPr>
      <w:r w:rsidRPr="003D28A8">
        <w:rPr>
          <w:rFonts w:ascii="Times New Roman" w:hAnsi="Times New Roman" w:cs="Times New Roman"/>
          <w:b/>
          <w:sz w:val="28"/>
          <w:szCs w:val="28"/>
        </w:rPr>
        <w:t>I</w:t>
      </w:r>
      <w:r w:rsidR="003D28A8">
        <w:rPr>
          <w:rFonts w:ascii="Times New Roman" w:hAnsi="Times New Roman" w:cs="Times New Roman"/>
          <w:b/>
          <w:sz w:val="28"/>
          <w:szCs w:val="28"/>
        </w:rPr>
        <w:t>NTRODUCTION</w:t>
      </w:r>
    </w:p>
    <w:p w14:paraId="0C11630D" w14:textId="77777777" w:rsidR="002647DA" w:rsidRPr="003D28A8" w:rsidRDefault="002647DA" w:rsidP="006C3028">
      <w:pPr>
        <w:spacing w:line="360" w:lineRule="auto"/>
        <w:rPr>
          <w:rFonts w:ascii="Times New Roman" w:hAnsi="Times New Roman" w:cs="Times New Roman"/>
          <w:sz w:val="28"/>
          <w:szCs w:val="28"/>
        </w:rPr>
      </w:pPr>
    </w:p>
    <w:p w14:paraId="12119017" w14:textId="61699B0F" w:rsidR="00B4358A" w:rsidRPr="003D28A8" w:rsidRDefault="00B4358A"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 xml:space="preserve">In his famous article on ‘Establishing </w:t>
      </w:r>
      <w:r w:rsidR="00BC5327">
        <w:rPr>
          <w:rFonts w:ascii="Times New Roman" w:hAnsi="Times New Roman" w:cs="Times New Roman"/>
          <w:sz w:val="28"/>
          <w:szCs w:val="28"/>
        </w:rPr>
        <w:t>a</w:t>
      </w:r>
      <w:r w:rsidRPr="003D28A8">
        <w:rPr>
          <w:rFonts w:ascii="Times New Roman" w:hAnsi="Times New Roman" w:cs="Times New Roman"/>
          <w:sz w:val="28"/>
          <w:szCs w:val="28"/>
        </w:rPr>
        <w:t xml:space="preserve"> Factual basis </w:t>
      </w:r>
      <w:r w:rsidR="00BC5327">
        <w:rPr>
          <w:rFonts w:ascii="Times New Roman" w:hAnsi="Times New Roman" w:cs="Times New Roman"/>
          <w:sz w:val="28"/>
          <w:szCs w:val="28"/>
        </w:rPr>
        <w:t xml:space="preserve">for Sentencing’, </w:t>
      </w:r>
      <w:r w:rsidRPr="003D28A8">
        <w:rPr>
          <w:rFonts w:ascii="Times New Roman" w:hAnsi="Times New Roman" w:cs="Times New Roman"/>
          <w:sz w:val="28"/>
          <w:szCs w:val="28"/>
        </w:rPr>
        <w:t xml:space="preserve">published in this </w:t>
      </w:r>
      <w:r w:rsidRPr="00C06B2B">
        <w:rPr>
          <w:rFonts w:ascii="Times New Roman" w:hAnsi="Times New Roman" w:cs="Times New Roman"/>
          <w:i/>
          <w:sz w:val="28"/>
          <w:szCs w:val="28"/>
        </w:rPr>
        <w:t>Review</w:t>
      </w:r>
      <w:r w:rsidRPr="003D28A8">
        <w:rPr>
          <w:rFonts w:ascii="Times New Roman" w:hAnsi="Times New Roman" w:cs="Times New Roman"/>
          <w:sz w:val="28"/>
          <w:szCs w:val="28"/>
        </w:rPr>
        <w:t xml:space="preserve"> in 1970, David Thomas asserted that sentencing was ‘one of the weakest links in our system of criminal procedure’.</w:t>
      </w:r>
      <w:r w:rsidR="00E13E4E" w:rsidRPr="003D28A8">
        <w:rPr>
          <w:rStyle w:val="FootnoteReference"/>
          <w:rFonts w:ascii="Times New Roman" w:hAnsi="Times New Roman" w:cs="Times New Roman"/>
          <w:sz w:val="28"/>
          <w:szCs w:val="28"/>
        </w:rPr>
        <w:footnoteReference w:id="1"/>
      </w:r>
      <w:r w:rsidRPr="003D28A8">
        <w:rPr>
          <w:rFonts w:ascii="Times New Roman" w:hAnsi="Times New Roman" w:cs="Times New Roman"/>
          <w:sz w:val="28"/>
          <w:szCs w:val="28"/>
        </w:rPr>
        <w:t xml:space="preserve"> He noted that</w:t>
      </w:r>
      <w:r w:rsidR="0090237A" w:rsidRPr="003D28A8">
        <w:rPr>
          <w:rFonts w:ascii="Times New Roman" w:hAnsi="Times New Roman" w:cs="Times New Roman"/>
          <w:sz w:val="28"/>
          <w:szCs w:val="28"/>
        </w:rPr>
        <w:t>,</w:t>
      </w:r>
      <w:r w:rsidRPr="003D28A8">
        <w:rPr>
          <w:rFonts w:ascii="Times New Roman" w:hAnsi="Times New Roman" w:cs="Times New Roman"/>
          <w:sz w:val="28"/>
          <w:szCs w:val="28"/>
        </w:rPr>
        <w:t xml:space="preserve"> following a conviction at trial, </w:t>
      </w:r>
      <w:r w:rsidR="00AA365B" w:rsidRPr="003D28A8">
        <w:rPr>
          <w:rFonts w:ascii="Times New Roman" w:hAnsi="Times New Roman" w:cs="Times New Roman"/>
          <w:sz w:val="28"/>
          <w:szCs w:val="28"/>
        </w:rPr>
        <w:t xml:space="preserve">and </w:t>
      </w:r>
      <w:r w:rsidRPr="003D28A8">
        <w:rPr>
          <w:rFonts w:ascii="Times New Roman" w:hAnsi="Times New Roman" w:cs="Times New Roman"/>
          <w:sz w:val="28"/>
          <w:szCs w:val="28"/>
        </w:rPr>
        <w:t>e</w:t>
      </w:r>
      <w:r w:rsidR="005D72EB" w:rsidRPr="003D28A8">
        <w:rPr>
          <w:rFonts w:ascii="Times New Roman" w:hAnsi="Times New Roman" w:cs="Times New Roman"/>
          <w:sz w:val="28"/>
          <w:szCs w:val="28"/>
        </w:rPr>
        <w:t xml:space="preserve">ven more so </w:t>
      </w:r>
      <w:r w:rsidRPr="003D28A8">
        <w:rPr>
          <w:rFonts w:ascii="Times New Roman" w:hAnsi="Times New Roman" w:cs="Times New Roman"/>
          <w:sz w:val="28"/>
          <w:szCs w:val="28"/>
        </w:rPr>
        <w:t xml:space="preserve">after a plea of guilty, there may </w:t>
      </w:r>
      <w:r w:rsidR="00AA365B" w:rsidRPr="003D28A8">
        <w:rPr>
          <w:rFonts w:ascii="Times New Roman" w:hAnsi="Times New Roman" w:cs="Times New Roman"/>
          <w:sz w:val="28"/>
          <w:szCs w:val="28"/>
        </w:rPr>
        <w:t xml:space="preserve">still </w:t>
      </w:r>
      <w:r w:rsidRPr="003D28A8">
        <w:rPr>
          <w:rFonts w:ascii="Times New Roman" w:hAnsi="Times New Roman" w:cs="Times New Roman"/>
          <w:sz w:val="28"/>
          <w:szCs w:val="28"/>
        </w:rPr>
        <w:t>be important matters in issue between the prosecution and defence version</w:t>
      </w:r>
      <w:r w:rsidR="00AA365B" w:rsidRPr="003D28A8">
        <w:rPr>
          <w:rFonts w:ascii="Times New Roman" w:hAnsi="Times New Roman" w:cs="Times New Roman"/>
          <w:sz w:val="28"/>
          <w:szCs w:val="28"/>
        </w:rPr>
        <w:t>s</w:t>
      </w:r>
      <w:r w:rsidRPr="003D28A8">
        <w:rPr>
          <w:rFonts w:ascii="Times New Roman" w:hAnsi="Times New Roman" w:cs="Times New Roman"/>
          <w:sz w:val="28"/>
          <w:szCs w:val="28"/>
        </w:rPr>
        <w:t xml:space="preserve"> of the circumstances surrounding the offence</w:t>
      </w:r>
      <w:r w:rsidR="00AA365B" w:rsidRPr="003D28A8">
        <w:rPr>
          <w:rFonts w:ascii="Times New Roman" w:hAnsi="Times New Roman" w:cs="Times New Roman"/>
          <w:sz w:val="28"/>
          <w:szCs w:val="28"/>
        </w:rPr>
        <w:t>.</w:t>
      </w:r>
      <w:r w:rsidR="0098050D" w:rsidRPr="003D28A8">
        <w:rPr>
          <w:rStyle w:val="FootnoteReference"/>
          <w:rFonts w:ascii="Times New Roman" w:hAnsi="Times New Roman" w:cs="Times New Roman"/>
          <w:sz w:val="28"/>
          <w:szCs w:val="28"/>
        </w:rPr>
        <w:footnoteReference w:id="2"/>
      </w:r>
      <w:r w:rsidR="00AA365B" w:rsidRPr="003D28A8">
        <w:rPr>
          <w:rFonts w:ascii="Times New Roman" w:hAnsi="Times New Roman" w:cs="Times New Roman"/>
          <w:sz w:val="28"/>
          <w:szCs w:val="28"/>
        </w:rPr>
        <w:t xml:space="preserve"> It was therefore </w:t>
      </w:r>
      <w:r w:rsidRPr="003D28A8">
        <w:rPr>
          <w:rFonts w:ascii="Times New Roman" w:hAnsi="Times New Roman" w:cs="Times New Roman"/>
          <w:sz w:val="28"/>
          <w:szCs w:val="28"/>
        </w:rPr>
        <w:t>essential for the criminal courts to provide a proper process to establish an accurate version of the facts of the offence. He went on to suggest that a contested issue at sentencing should be tried on its own by the judge: ‘In some cases</w:t>
      </w:r>
      <w:r w:rsidR="0090237A" w:rsidRPr="003D28A8">
        <w:rPr>
          <w:rFonts w:ascii="Times New Roman" w:hAnsi="Times New Roman" w:cs="Times New Roman"/>
          <w:sz w:val="28"/>
          <w:szCs w:val="28"/>
        </w:rPr>
        <w:t xml:space="preserve"> it would be</w:t>
      </w:r>
      <w:r w:rsidRPr="003D28A8">
        <w:rPr>
          <w:rFonts w:ascii="Times New Roman" w:hAnsi="Times New Roman" w:cs="Times New Roman"/>
          <w:sz w:val="28"/>
          <w:szCs w:val="28"/>
        </w:rPr>
        <w:t xml:space="preserve"> necessary for the prosecutor to formulate an allegation and call evidence to support it, </w:t>
      </w:r>
      <w:r w:rsidR="00E476C0" w:rsidRPr="003D28A8">
        <w:rPr>
          <w:rFonts w:ascii="Times New Roman" w:hAnsi="Times New Roman" w:cs="Times New Roman"/>
          <w:sz w:val="28"/>
          <w:szCs w:val="28"/>
        </w:rPr>
        <w:t xml:space="preserve">and </w:t>
      </w:r>
      <w:r w:rsidRPr="003D28A8">
        <w:rPr>
          <w:rFonts w:ascii="Times New Roman" w:hAnsi="Times New Roman" w:cs="Times New Roman"/>
          <w:sz w:val="28"/>
          <w:szCs w:val="28"/>
        </w:rPr>
        <w:t>in other cases the defence could seek to establish a particular fact on their own initiative’.</w:t>
      </w:r>
      <w:r w:rsidR="007F6C81" w:rsidRPr="003D28A8">
        <w:rPr>
          <w:rStyle w:val="FootnoteReference"/>
          <w:rFonts w:ascii="Times New Roman" w:hAnsi="Times New Roman" w:cs="Times New Roman"/>
          <w:sz w:val="28"/>
          <w:szCs w:val="28"/>
        </w:rPr>
        <w:footnoteReference w:id="3"/>
      </w:r>
      <w:r w:rsidRPr="003D28A8">
        <w:rPr>
          <w:rFonts w:ascii="Times New Roman" w:hAnsi="Times New Roman" w:cs="Times New Roman"/>
          <w:sz w:val="28"/>
          <w:szCs w:val="28"/>
        </w:rPr>
        <w:t xml:space="preserve"> His conclusion was:</w:t>
      </w:r>
      <w:r w:rsidR="00E13E4E" w:rsidRPr="003D28A8">
        <w:rPr>
          <w:rStyle w:val="FootnoteReference"/>
          <w:rFonts w:ascii="Times New Roman" w:hAnsi="Times New Roman" w:cs="Times New Roman"/>
          <w:sz w:val="28"/>
          <w:szCs w:val="28"/>
        </w:rPr>
        <w:footnoteReference w:id="4"/>
      </w:r>
    </w:p>
    <w:p w14:paraId="46D175D5" w14:textId="77777777" w:rsidR="00B4358A" w:rsidRPr="003D28A8" w:rsidRDefault="00B4358A" w:rsidP="006C3028">
      <w:pPr>
        <w:spacing w:line="360" w:lineRule="auto"/>
        <w:rPr>
          <w:rFonts w:ascii="Times New Roman" w:hAnsi="Times New Roman" w:cs="Times New Roman"/>
          <w:sz w:val="28"/>
          <w:szCs w:val="28"/>
        </w:rPr>
      </w:pPr>
    </w:p>
    <w:p w14:paraId="6CA23E0C" w14:textId="77777777" w:rsidR="00B4358A" w:rsidRPr="003D28A8" w:rsidRDefault="00B4358A" w:rsidP="006C3028">
      <w:pPr>
        <w:spacing w:line="360" w:lineRule="auto"/>
        <w:ind w:left="432"/>
        <w:rPr>
          <w:rFonts w:ascii="Times New Roman" w:hAnsi="Times New Roman" w:cs="Times New Roman"/>
          <w:sz w:val="28"/>
          <w:szCs w:val="28"/>
        </w:rPr>
      </w:pPr>
      <w:r w:rsidRPr="003D28A8">
        <w:rPr>
          <w:rFonts w:ascii="Times New Roman" w:hAnsi="Times New Roman" w:cs="Times New Roman"/>
          <w:i/>
          <w:sz w:val="28"/>
          <w:szCs w:val="28"/>
        </w:rPr>
        <w:t xml:space="preserve">‘The guiding principle must surely be that any significant fact adverse to the accused and not implied in the verdict or plea and not accepted by the defence must be established after conviction by proper evidence to a proper level of certainty and subject to the same rights of cross-examination as the evidence on </w:t>
      </w:r>
      <w:r w:rsidR="00AA365B" w:rsidRPr="003D28A8">
        <w:rPr>
          <w:rFonts w:ascii="Times New Roman" w:hAnsi="Times New Roman" w:cs="Times New Roman"/>
          <w:i/>
          <w:sz w:val="28"/>
          <w:szCs w:val="28"/>
        </w:rPr>
        <w:t xml:space="preserve">which the conviction is founded … </w:t>
      </w:r>
      <w:r w:rsidRPr="003D28A8">
        <w:rPr>
          <w:rFonts w:ascii="Times New Roman" w:hAnsi="Times New Roman" w:cs="Times New Roman"/>
          <w:i/>
          <w:sz w:val="28"/>
          <w:szCs w:val="28"/>
        </w:rPr>
        <w:t xml:space="preserve">This procedure would involve some extension of the prosecution’s present role. The defence should </w:t>
      </w:r>
      <w:r w:rsidRPr="003D28A8">
        <w:rPr>
          <w:rFonts w:ascii="Times New Roman" w:hAnsi="Times New Roman" w:cs="Times New Roman"/>
          <w:i/>
          <w:sz w:val="28"/>
          <w:szCs w:val="28"/>
        </w:rPr>
        <w:lastRenderedPageBreak/>
        <w:t>have a right to a separate hearing of any issue relevant to sentence which remains in dispute. The trial judge should state explicitly the facts he assumes as the basis for sentence.’</w:t>
      </w:r>
    </w:p>
    <w:p w14:paraId="2733521D" w14:textId="77777777" w:rsidR="00AA365B" w:rsidRPr="003D28A8" w:rsidRDefault="00AA365B" w:rsidP="006C3028">
      <w:pPr>
        <w:spacing w:line="360" w:lineRule="auto"/>
        <w:rPr>
          <w:rFonts w:ascii="Times New Roman" w:hAnsi="Times New Roman" w:cs="Times New Roman"/>
          <w:sz w:val="28"/>
          <w:szCs w:val="28"/>
        </w:rPr>
      </w:pPr>
    </w:p>
    <w:p w14:paraId="7646E310" w14:textId="77777777" w:rsidR="00CE37B9" w:rsidRDefault="00AA365B"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 xml:space="preserve">In the years immediately following the publication of that article, and his reiteration of those proposals in Thomas’s </w:t>
      </w:r>
      <w:r w:rsidRPr="003D28A8">
        <w:rPr>
          <w:rFonts w:ascii="Times New Roman" w:hAnsi="Times New Roman" w:cs="Times New Roman"/>
          <w:i/>
          <w:sz w:val="28"/>
          <w:szCs w:val="28"/>
        </w:rPr>
        <w:t>Principles of Sentencing</w:t>
      </w:r>
      <w:r w:rsidR="00E13E4E" w:rsidRPr="00644888">
        <w:rPr>
          <w:rStyle w:val="FootnoteReference"/>
          <w:rFonts w:ascii="Times New Roman" w:hAnsi="Times New Roman" w:cs="Times New Roman"/>
          <w:sz w:val="28"/>
          <w:szCs w:val="28"/>
        </w:rPr>
        <w:footnoteReference w:id="5"/>
      </w:r>
      <w:r w:rsidRPr="003D28A8">
        <w:rPr>
          <w:rFonts w:ascii="Times New Roman" w:hAnsi="Times New Roman" w:cs="Times New Roman"/>
          <w:sz w:val="28"/>
          <w:szCs w:val="28"/>
        </w:rPr>
        <w:t xml:space="preserve">, the Court of Appeal began to develop the structure and procedure which led in due course to the </w:t>
      </w:r>
      <w:r w:rsidRPr="003D28A8">
        <w:rPr>
          <w:rFonts w:ascii="Times New Roman" w:hAnsi="Times New Roman" w:cs="Times New Roman"/>
          <w:i/>
          <w:sz w:val="28"/>
          <w:szCs w:val="28"/>
        </w:rPr>
        <w:t>Newton</w:t>
      </w:r>
      <w:r w:rsidRPr="003D28A8">
        <w:rPr>
          <w:rFonts w:ascii="Times New Roman" w:hAnsi="Times New Roman" w:cs="Times New Roman"/>
          <w:sz w:val="28"/>
          <w:szCs w:val="28"/>
        </w:rPr>
        <w:t xml:space="preserve"> hearing which is </w:t>
      </w:r>
      <w:r w:rsidR="0090237A" w:rsidRPr="003D28A8">
        <w:rPr>
          <w:rFonts w:ascii="Times New Roman" w:hAnsi="Times New Roman" w:cs="Times New Roman"/>
          <w:sz w:val="28"/>
          <w:szCs w:val="28"/>
        </w:rPr>
        <w:t xml:space="preserve">very well known </w:t>
      </w:r>
      <w:r w:rsidRPr="003D28A8">
        <w:rPr>
          <w:rFonts w:ascii="Times New Roman" w:hAnsi="Times New Roman" w:cs="Times New Roman"/>
          <w:sz w:val="28"/>
          <w:szCs w:val="28"/>
        </w:rPr>
        <w:t xml:space="preserve">today. </w:t>
      </w:r>
      <w:r w:rsidR="00A80E2C">
        <w:rPr>
          <w:rFonts w:ascii="Times New Roman" w:hAnsi="Times New Roman" w:cs="Times New Roman"/>
          <w:sz w:val="28"/>
          <w:szCs w:val="28"/>
        </w:rPr>
        <w:t>Thomas referred to c</w:t>
      </w:r>
      <w:r w:rsidR="00A80E2C" w:rsidRPr="003D28A8">
        <w:rPr>
          <w:rFonts w:ascii="Times New Roman" w:hAnsi="Times New Roman" w:cs="Times New Roman"/>
          <w:sz w:val="28"/>
          <w:szCs w:val="28"/>
        </w:rPr>
        <w:t>ases of strict liability, where the verdict or plea of guilty necessarily d</w:t>
      </w:r>
      <w:r w:rsidR="00A80E2C">
        <w:rPr>
          <w:rFonts w:ascii="Times New Roman" w:hAnsi="Times New Roman" w:cs="Times New Roman"/>
          <w:sz w:val="28"/>
          <w:szCs w:val="28"/>
        </w:rPr>
        <w:t>id</w:t>
      </w:r>
      <w:r w:rsidR="00A80E2C" w:rsidRPr="003D28A8">
        <w:rPr>
          <w:rFonts w:ascii="Times New Roman" w:hAnsi="Times New Roman" w:cs="Times New Roman"/>
          <w:sz w:val="28"/>
          <w:szCs w:val="28"/>
        </w:rPr>
        <w:t xml:space="preserve"> not determine the extent of D’s culpability</w:t>
      </w:r>
      <w:r w:rsidR="00A80E2C">
        <w:rPr>
          <w:rFonts w:ascii="Times New Roman" w:hAnsi="Times New Roman" w:cs="Times New Roman"/>
          <w:sz w:val="28"/>
          <w:szCs w:val="28"/>
        </w:rPr>
        <w:t xml:space="preserve">. This fundamental issue was </w:t>
      </w:r>
      <w:r w:rsidR="00A80E2C" w:rsidRPr="003D28A8">
        <w:rPr>
          <w:rFonts w:ascii="Times New Roman" w:hAnsi="Times New Roman" w:cs="Times New Roman"/>
          <w:sz w:val="28"/>
          <w:szCs w:val="28"/>
        </w:rPr>
        <w:t xml:space="preserve">addressed by the Court of Appeal in </w:t>
      </w:r>
      <w:r w:rsidR="00A80E2C" w:rsidRPr="003D28A8">
        <w:rPr>
          <w:rFonts w:ascii="Times New Roman" w:hAnsi="Times New Roman" w:cs="Times New Roman"/>
          <w:i/>
          <w:sz w:val="28"/>
          <w:szCs w:val="28"/>
        </w:rPr>
        <w:t>Lester</w:t>
      </w:r>
      <w:r w:rsidR="00325889" w:rsidRPr="00325889">
        <w:rPr>
          <w:rStyle w:val="FootnoteReference"/>
          <w:rFonts w:ascii="Times New Roman" w:hAnsi="Times New Roman" w:cs="Times New Roman"/>
          <w:sz w:val="28"/>
          <w:szCs w:val="28"/>
        </w:rPr>
        <w:footnoteReference w:id="6"/>
      </w:r>
      <w:r w:rsidR="00A80E2C" w:rsidRPr="003D28A8">
        <w:rPr>
          <w:rFonts w:ascii="Times New Roman" w:hAnsi="Times New Roman" w:cs="Times New Roman"/>
          <w:i/>
          <w:sz w:val="28"/>
          <w:szCs w:val="28"/>
        </w:rPr>
        <w:t xml:space="preserve"> </w:t>
      </w:r>
      <w:r w:rsidR="00A80E2C" w:rsidRPr="003D28A8">
        <w:rPr>
          <w:rFonts w:ascii="Times New Roman" w:hAnsi="Times New Roman" w:cs="Times New Roman"/>
          <w:sz w:val="28"/>
          <w:szCs w:val="28"/>
        </w:rPr>
        <w:t xml:space="preserve">in 1975. D in that case had admitted offences under the Trade Descriptions Act 1968 and was sentenced on the basis that he had </w:t>
      </w:r>
      <w:proofErr w:type="spellStart"/>
      <w:r w:rsidR="00A80E2C" w:rsidRPr="003D28A8">
        <w:rPr>
          <w:rFonts w:ascii="Times New Roman" w:hAnsi="Times New Roman" w:cs="Times New Roman"/>
          <w:i/>
          <w:sz w:val="28"/>
          <w:szCs w:val="28"/>
        </w:rPr>
        <w:t>mens</w:t>
      </w:r>
      <w:proofErr w:type="spellEnd"/>
      <w:r w:rsidR="00A80E2C" w:rsidRPr="003D28A8">
        <w:rPr>
          <w:rFonts w:ascii="Times New Roman" w:hAnsi="Times New Roman" w:cs="Times New Roman"/>
          <w:i/>
          <w:sz w:val="28"/>
          <w:szCs w:val="28"/>
        </w:rPr>
        <w:t xml:space="preserve"> rea </w:t>
      </w:r>
      <w:r w:rsidR="00A80E2C" w:rsidRPr="003D28A8">
        <w:rPr>
          <w:rFonts w:ascii="Times New Roman" w:hAnsi="Times New Roman" w:cs="Times New Roman"/>
          <w:sz w:val="28"/>
          <w:szCs w:val="28"/>
        </w:rPr>
        <w:t>(</w:t>
      </w:r>
      <w:proofErr w:type="spellStart"/>
      <w:r w:rsidR="00A80E2C" w:rsidRPr="00A80E2C">
        <w:rPr>
          <w:rFonts w:ascii="Times New Roman" w:hAnsi="Times New Roman" w:cs="Times New Roman"/>
          <w:i/>
          <w:sz w:val="28"/>
          <w:szCs w:val="28"/>
        </w:rPr>
        <w:t>ie</w:t>
      </w:r>
      <w:proofErr w:type="spellEnd"/>
      <w:r w:rsidR="00A80E2C" w:rsidRPr="003D28A8">
        <w:rPr>
          <w:rFonts w:ascii="Times New Roman" w:hAnsi="Times New Roman" w:cs="Times New Roman"/>
          <w:sz w:val="28"/>
          <w:szCs w:val="28"/>
        </w:rPr>
        <w:t xml:space="preserve"> that he had knowledge that the milometers on the vehicles had been tampered with). The Court of Appeal said that it </w:t>
      </w:r>
      <w:r w:rsidR="00325889">
        <w:rPr>
          <w:rFonts w:ascii="Times New Roman" w:hAnsi="Times New Roman" w:cs="Times New Roman"/>
          <w:sz w:val="28"/>
          <w:szCs w:val="28"/>
        </w:rPr>
        <w:t xml:space="preserve">had been wrong for D to be </w:t>
      </w:r>
      <w:r w:rsidR="00A80E2C" w:rsidRPr="003D28A8">
        <w:rPr>
          <w:rFonts w:ascii="Times New Roman" w:hAnsi="Times New Roman" w:cs="Times New Roman"/>
          <w:sz w:val="28"/>
          <w:szCs w:val="28"/>
        </w:rPr>
        <w:t xml:space="preserve">sentenced on the </w:t>
      </w:r>
      <w:r w:rsidR="00A80E2C" w:rsidRPr="00325889">
        <w:rPr>
          <w:rFonts w:ascii="Times New Roman" w:hAnsi="Times New Roman" w:cs="Times New Roman"/>
          <w:i/>
          <w:sz w:val="28"/>
          <w:szCs w:val="28"/>
        </w:rPr>
        <w:t>assumption</w:t>
      </w:r>
      <w:r w:rsidR="00A80E2C" w:rsidRPr="003D28A8">
        <w:rPr>
          <w:rFonts w:ascii="Times New Roman" w:hAnsi="Times New Roman" w:cs="Times New Roman"/>
          <w:sz w:val="28"/>
          <w:szCs w:val="28"/>
        </w:rPr>
        <w:t xml:space="preserve"> </w:t>
      </w:r>
      <w:r w:rsidR="00325889">
        <w:rPr>
          <w:rFonts w:ascii="Times New Roman" w:hAnsi="Times New Roman" w:cs="Times New Roman"/>
          <w:sz w:val="28"/>
          <w:szCs w:val="28"/>
        </w:rPr>
        <w:t>that he had</w:t>
      </w:r>
      <w:r w:rsidR="00A80E2C" w:rsidRPr="003D28A8">
        <w:rPr>
          <w:rFonts w:ascii="Times New Roman" w:hAnsi="Times New Roman" w:cs="Times New Roman"/>
          <w:sz w:val="28"/>
          <w:szCs w:val="28"/>
        </w:rPr>
        <w:t xml:space="preserve"> knowledge, and D should have been given a chance to give evidence on the matter.</w:t>
      </w:r>
      <w:r w:rsidR="00325889">
        <w:rPr>
          <w:rFonts w:ascii="Times New Roman" w:hAnsi="Times New Roman" w:cs="Times New Roman"/>
          <w:sz w:val="28"/>
          <w:szCs w:val="28"/>
        </w:rPr>
        <w:t xml:space="preserve"> </w:t>
      </w:r>
      <w:r w:rsidR="00C06B2B">
        <w:rPr>
          <w:rFonts w:ascii="Times New Roman" w:hAnsi="Times New Roman" w:cs="Times New Roman"/>
          <w:sz w:val="28"/>
          <w:szCs w:val="28"/>
        </w:rPr>
        <w:t>Later, i</w:t>
      </w:r>
      <w:r w:rsidR="007F6C81" w:rsidRPr="003D28A8">
        <w:rPr>
          <w:rFonts w:ascii="Times New Roman" w:hAnsi="Times New Roman" w:cs="Times New Roman"/>
          <w:sz w:val="28"/>
          <w:szCs w:val="28"/>
        </w:rPr>
        <w:t xml:space="preserve">n </w:t>
      </w:r>
      <w:r w:rsidR="00325889">
        <w:rPr>
          <w:rFonts w:ascii="Times New Roman" w:hAnsi="Times New Roman" w:cs="Times New Roman"/>
          <w:i/>
          <w:sz w:val="28"/>
          <w:szCs w:val="28"/>
        </w:rPr>
        <w:t>Newton</w:t>
      </w:r>
      <w:r w:rsidR="00325889">
        <w:rPr>
          <w:rFonts w:ascii="Times New Roman" w:hAnsi="Times New Roman" w:cs="Times New Roman"/>
          <w:sz w:val="28"/>
          <w:szCs w:val="28"/>
        </w:rPr>
        <w:t xml:space="preserve"> itself</w:t>
      </w:r>
      <w:r w:rsidR="00C06B2B">
        <w:rPr>
          <w:rFonts w:ascii="Times New Roman" w:hAnsi="Times New Roman" w:cs="Times New Roman"/>
          <w:sz w:val="28"/>
          <w:szCs w:val="28"/>
        </w:rPr>
        <w:t>,</w:t>
      </w:r>
      <w:r w:rsidR="00A132E1">
        <w:rPr>
          <w:rStyle w:val="FootnoteReference"/>
          <w:rFonts w:ascii="Times New Roman" w:hAnsi="Times New Roman" w:cs="Times New Roman"/>
          <w:sz w:val="28"/>
          <w:szCs w:val="28"/>
        </w:rPr>
        <w:footnoteReference w:id="7"/>
      </w:r>
      <w:r w:rsidR="007F6C81" w:rsidRPr="003D28A8">
        <w:rPr>
          <w:rFonts w:ascii="Times New Roman" w:hAnsi="Times New Roman" w:cs="Times New Roman"/>
          <w:sz w:val="28"/>
          <w:szCs w:val="28"/>
        </w:rPr>
        <w:t xml:space="preserve"> the Court of Appeal held that</w:t>
      </w:r>
      <w:r w:rsidR="00E476C0" w:rsidRPr="003D28A8">
        <w:rPr>
          <w:rFonts w:ascii="Times New Roman" w:hAnsi="Times New Roman" w:cs="Times New Roman"/>
          <w:sz w:val="28"/>
          <w:szCs w:val="28"/>
        </w:rPr>
        <w:t>,</w:t>
      </w:r>
      <w:r w:rsidR="007F6C81" w:rsidRPr="003D28A8">
        <w:rPr>
          <w:rFonts w:ascii="Times New Roman" w:hAnsi="Times New Roman" w:cs="Times New Roman"/>
          <w:sz w:val="28"/>
          <w:szCs w:val="28"/>
        </w:rPr>
        <w:t xml:space="preserve"> when faced with a clear divergence between the prosecution and defence versions of an important fact relevant to sentence</w:t>
      </w:r>
      <w:r w:rsidR="00E476C0" w:rsidRPr="003D28A8">
        <w:rPr>
          <w:rFonts w:ascii="Times New Roman" w:hAnsi="Times New Roman" w:cs="Times New Roman"/>
          <w:sz w:val="28"/>
          <w:szCs w:val="28"/>
        </w:rPr>
        <w:t>,</w:t>
      </w:r>
      <w:r w:rsidR="007F6C81" w:rsidRPr="003D28A8">
        <w:rPr>
          <w:rFonts w:ascii="Times New Roman" w:hAnsi="Times New Roman" w:cs="Times New Roman"/>
          <w:sz w:val="28"/>
          <w:szCs w:val="28"/>
        </w:rPr>
        <w:t xml:space="preserve"> there were </w:t>
      </w:r>
      <w:r w:rsidR="00C85EE0" w:rsidRPr="003D28A8">
        <w:rPr>
          <w:rFonts w:ascii="Times New Roman" w:hAnsi="Times New Roman" w:cs="Times New Roman"/>
          <w:sz w:val="28"/>
          <w:szCs w:val="28"/>
        </w:rPr>
        <w:t>three possible approaches which a sentencing judge might take.</w:t>
      </w:r>
      <w:r w:rsidR="00767F72" w:rsidRPr="003D28A8">
        <w:rPr>
          <w:rFonts w:ascii="Times New Roman" w:hAnsi="Times New Roman" w:cs="Times New Roman"/>
          <w:sz w:val="28"/>
          <w:szCs w:val="28"/>
        </w:rPr>
        <w:t xml:space="preserve"> </w:t>
      </w:r>
    </w:p>
    <w:p w14:paraId="482B5E3C" w14:textId="77777777" w:rsidR="00CE37B9" w:rsidRDefault="00CE37B9" w:rsidP="006C3028">
      <w:pPr>
        <w:spacing w:line="360" w:lineRule="auto"/>
        <w:rPr>
          <w:rFonts w:ascii="Times New Roman" w:hAnsi="Times New Roman" w:cs="Times New Roman"/>
          <w:sz w:val="28"/>
          <w:szCs w:val="28"/>
        </w:rPr>
      </w:pPr>
    </w:p>
    <w:p w14:paraId="54E11476" w14:textId="464BEA76" w:rsidR="00C3214C" w:rsidRDefault="00767F72"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First, it m</w:t>
      </w:r>
      <w:r w:rsidR="00E476C0" w:rsidRPr="003D28A8">
        <w:rPr>
          <w:rFonts w:ascii="Times New Roman" w:hAnsi="Times New Roman" w:cs="Times New Roman"/>
          <w:sz w:val="28"/>
          <w:szCs w:val="28"/>
        </w:rPr>
        <w:t>ight</w:t>
      </w:r>
      <w:r w:rsidRPr="003D28A8">
        <w:rPr>
          <w:rFonts w:ascii="Times New Roman" w:hAnsi="Times New Roman" w:cs="Times New Roman"/>
          <w:sz w:val="28"/>
          <w:szCs w:val="28"/>
        </w:rPr>
        <w:t xml:space="preserve"> be possible in some cases to be sure of the disputed matter by proper interpretation of the verdict of the jury. Second, the judge m</w:t>
      </w:r>
      <w:r w:rsidR="00E476C0" w:rsidRPr="003D28A8">
        <w:rPr>
          <w:rFonts w:ascii="Times New Roman" w:hAnsi="Times New Roman" w:cs="Times New Roman"/>
          <w:sz w:val="28"/>
          <w:szCs w:val="28"/>
        </w:rPr>
        <w:t>ight</w:t>
      </w:r>
      <w:r w:rsidRPr="003D28A8">
        <w:rPr>
          <w:rFonts w:ascii="Times New Roman" w:hAnsi="Times New Roman" w:cs="Times New Roman"/>
          <w:sz w:val="28"/>
          <w:szCs w:val="28"/>
        </w:rPr>
        <w:t xml:space="preserve"> hear the evidence on one side and the other ‘and come to his own conclusion, acting so to speak as his own jury on the issue which is the root of the problem’. Third, it m</w:t>
      </w:r>
      <w:r w:rsidR="00E476C0" w:rsidRPr="003D28A8">
        <w:rPr>
          <w:rFonts w:ascii="Times New Roman" w:hAnsi="Times New Roman" w:cs="Times New Roman"/>
          <w:sz w:val="28"/>
          <w:szCs w:val="28"/>
        </w:rPr>
        <w:t>ight</w:t>
      </w:r>
      <w:r w:rsidRPr="003D28A8">
        <w:rPr>
          <w:rFonts w:ascii="Times New Roman" w:hAnsi="Times New Roman" w:cs="Times New Roman"/>
          <w:sz w:val="28"/>
          <w:szCs w:val="28"/>
        </w:rPr>
        <w:t xml:space="preserve"> be appropriate for the judge to hear no evidence</w:t>
      </w:r>
      <w:r w:rsidR="001800AE" w:rsidRPr="003D28A8">
        <w:rPr>
          <w:rFonts w:ascii="Times New Roman" w:hAnsi="Times New Roman" w:cs="Times New Roman"/>
          <w:sz w:val="28"/>
          <w:szCs w:val="28"/>
        </w:rPr>
        <w:t>,</w:t>
      </w:r>
      <w:r w:rsidRPr="003D28A8">
        <w:rPr>
          <w:rFonts w:ascii="Times New Roman" w:hAnsi="Times New Roman" w:cs="Times New Roman"/>
          <w:sz w:val="28"/>
          <w:szCs w:val="28"/>
        </w:rPr>
        <w:t xml:space="preserve"> </w:t>
      </w:r>
      <w:r w:rsidR="003F7BC6" w:rsidRPr="003D28A8">
        <w:rPr>
          <w:rFonts w:ascii="Times New Roman" w:hAnsi="Times New Roman" w:cs="Times New Roman"/>
          <w:sz w:val="28"/>
          <w:szCs w:val="28"/>
        </w:rPr>
        <w:t xml:space="preserve">but to listen to </w:t>
      </w:r>
      <w:r w:rsidR="00E01CEF">
        <w:rPr>
          <w:rFonts w:ascii="Times New Roman" w:hAnsi="Times New Roman" w:cs="Times New Roman"/>
          <w:sz w:val="28"/>
          <w:szCs w:val="28"/>
        </w:rPr>
        <w:t xml:space="preserve">submissions from </w:t>
      </w:r>
      <w:r w:rsidR="003F7BC6" w:rsidRPr="003D28A8">
        <w:rPr>
          <w:rFonts w:ascii="Times New Roman" w:hAnsi="Times New Roman" w:cs="Times New Roman"/>
          <w:sz w:val="28"/>
          <w:szCs w:val="28"/>
        </w:rPr>
        <w:t>counsel</w:t>
      </w:r>
      <w:r w:rsidR="00E01CEF">
        <w:rPr>
          <w:rFonts w:ascii="Times New Roman" w:hAnsi="Times New Roman" w:cs="Times New Roman"/>
          <w:sz w:val="28"/>
          <w:szCs w:val="28"/>
        </w:rPr>
        <w:t xml:space="preserve"> </w:t>
      </w:r>
      <w:r w:rsidR="003F7BC6" w:rsidRPr="003D28A8">
        <w:rPr>
          <w:rFonts w:ascii="Times New Roman" w:hAnsi="Times New Roman" w:cs="Times New Roman"/>
          <w:sz w:val="28"/>
          <w:szCs w:val="28"/>
        </w:rPr>
        <w:t>and the</w:t>
      </w:r>
      <w:r w:rsidR="0090237A" w:rsidRPr="003D28A8">
        <w:rPr>
          <w:rFonts w:ascii="Times New Roman" w:hAnsi="Times New Roman" w:cs="Times New Roman"/>
          <w:sz w:val="28"/>
          <w:szCs w:val="28"/>
        </w:rPr>
        <w:t>n</w:t>
      </w:r>
      <w:r w:rsidR="003F7BC6" w:rsidRPr="003D28A8">
        <w:rPr>
          <w:rFonts w:ascii="Times New Roman" w:hAnsi="Times New Roman" w:cs="Times New Roman"/>
          <w:sz w:val="28"/>
          <w:szCs w:val="28"/>
        </w:rPr>
        <w:t xml:space="preserve"> come to a conclusion. If there </w:t>
      </w:r>
      <w:r w:rsidR="0090237A" w:rsidRPr="003D28A8">
        <w:rPr>
          <w:rFonts w:ascii="Times New Roman" w:hAnsi="Times New Roman" w:cs="Times New Roman"/>
          <w:sz w:val="28"/>
          <w:szCs w:val="28"/>
        </w:rPr>
        <w:t>wa</w:t>
      </w:r>
      <w:r w:rsidR="003F7BC6" w:rsidRPr="003D28A8">
        <w:rPr>
          <w:rFonts w:ascii="Times New Roman" w:hAnsi="Times New Roman" w:cs="Times New Roman"/>
          <w:sz w:val="28"/>
          <w:szCs w:val="28"/>
        </w:rPr>
        <w:t>s a substantial difference between the two sides, then ‘the version of the defendant must</w:t>
      </w:r>
      <w:r w:rsidR="0090237A" w:rsidRPr="003D28A8">
        <w:rPr>
          <w:rFonts w:ascii="Times New Roman" w:hAnsi="Times New Roman" w:cs="Times New Roman"/>
          <w:sz w:val="28"/>
          <w:szCs w:val="28"/>
        </w:rPr>
        <w:t>,</w:t>
      </w:r>
      <w:r w:rsidR="003F7BC6" w:rsidRPr="003D28A8">
        <w:rPr>
          <w:rFonts w:ascii="Times New Roman" w:hAnsi="Times New Roman" w:cs="Times New Roman"/>
          <w:sz w:val="28"/>
          <w:szCs w:val="28"/>
        </w:rPr>
        <w:t xml:space="preserve"> so far as possible</w:t>
      </w:r>
      <w:r w:rsidR="0090237A" w:rsidRPr="003D28A8">
        <w:rPr>
          <w:rFonts w:ascii="Times New Roman" w:hAnsi="Times New Roman" w:cs="Times New Roman"/>
          <w:sz w:val="28"/>
          <w:szCs w:val="28"/>
        </w:rPr>
        <w:t>,</w:t>
      </w:r>
      <w:r w:rsidR="003F7BC6" w:rsidRPr="003D28A8">
        <w:rPr>
          <w:rFonts w:ascii="Times New Roman" w:hAnsi="Times New Roman" w:cs="Times New Roman"/>
          <w:sz w:val="28"/>
          <w:szCs w:val="28"/>
        </w:rPr>
        <w:t xml:space="preserve"> be accepted.’</w:t>
      </w:r>
      <w:r w:rsidR="00AF220B" w:rsidRPr="003D28A8">
        <w:rPr>
          <w:rFonts w:ascii="Times New Roman" w:hAnsi="Times New Roman" w:cs="Times New Roman"/>
          <w:sz w:val="28"/>
          <w:szCs w:val="28"/>
        </w:rPr>
        <w:t xml:space="preserve"> The second of these three approaches is what has come to be known as the </w:t>
      </w:r>
      <w:r w:rsidR="00AF220B" w:rsidRPr="003D28A8">
        <w:rPr>
          <w:rFonts w:ascii="Times New Roman" w:hAnsi="Times New Roman" w:cs="Times New Roman"/>
          <w:i/>
          <w:sz w:val="28"/>
          <w:szCs w:val="28"/>
        </w:rPr>
        <w:t>Newton</w:t>
      </w:r>
      <w:r w:rsidR="00AF220B" w:rsidRPr="003D28A8">
        <w:rPr>
          <w:rFonts w:ascii="Times New Roman" w:hAnsi="Times New Roman" w:cs="Times New Roman"/>
          <w:sz w:val="28"/>
          <w:szCs w:val="28"/>
        </w:rPr>
        <w:t xml:space="preserve"> hearing</w:t>
      </w:r>
      <w:r w:rsidR="00CE37B9">
        <w:rPr>
          <w:rFonts w:ascii="Times New Roman" w:hAnsi="Times New Roman" w:cs="Times New Roman"/>
          <w:sz w:val="28"/>
          <w:szCs w:val="28"/>
        </w:rPr>
        <w:t xml:space="preserve">, i.e. a pre-sentence hearing before the judge or magistrates to establish critical facts for sentencing. </w:t>
      </w:r>
      <w:r w:rsidR="007F6C81" w:rsidRPr="003D28A8">
        <w:rPr>
          <w:rFonts w:ascii="Times New Roman" w:hAnsi="Times New Roman" w:cs="Times New Roman"/>
          <w:sz w:val="28"/>
          <w:szCs w:val="28"/>
        </w:rPr>
        <w:t xml:space="preserve"> </w:t>
      </w:r>
      <w:r w:rsidR="002647DA" w:rsidRPr="003D28A8">
        <w:rPr>
          <w:rFonts w:ascii="Times New Roman" w:hAnsi="Times New Roman" w:cs="Times New Roman"/>
          <w:sz w:val="28"/>
          <w:szCs w:val="28"/>
        </w:rPr>
        <w:t xml:space="preserve">Later cases have built upon the </w:t>
      </w:r>
      <w:r w:rsidR="002647DA" w:rsidRPr="003D28A8">
        <w:rPr>
          <w:rFonts w:ascii="Times New Roman" w:hAnsi="Times New Roman" w:cs="Times New Roman"/>
          <w:i/>
          <w:sz w:val="28"/>
          <w:szCs w:val="28"/>
        </w:rPr>
        <w:t>Newton</w:t>
      </w:r>
      <w:r w:rsidR="002647DA" w:rsidRPr="003D28A8">
        <w:rPr>
          <w:rFonts w:ascii="Times New Roman" w:hAnsi="Times New Roman" w:cs="Times New Roman"/>
          <w:sz w:val="28"/>
          <w:szCs w:val="28"/>
        </w:rPr>
        <w:t xml:space="preserve"> foundations, and there have been substantial re-statements by the Court of Appeal of the </w:t>
      </w:r>
      <w:r w:rsidR="001800AE" w:rsidRPr="003D28A8">
        <w:rPr>
          <w:rFonts w:ascii="Times New Roman" w:hAnsi="Times New Roman" w:cs="Times New Roman"/>
          <w:sz w:val="28"/>
          <w:szCs w:val="28"/>
        </w:rPr>
        <w:t xml:space="preserve">applicable </w:t>
      </w:r>
      <w:r w:rsidR="002647DA" w:rsidRPr="003D28A8">
        <w:rPr>
          <w:rFonts w:ascii="Times New Roman" w:hAnsi="Times New Roman" w:cs="Times New Roman"/>
          <w:sz w:val="28"/>
          <w:szCs w:val="28"/>
        </w:rPr>
        <w:t>principles</w:t>
      </w:r>
      <w:r w:rsidR="001800AE" w:rsidRPr="003D28A8">
        <w:rPr>
          <w:rFonts w:ascii="Times New Roman" w:hAnsi="Times New Roman" w:cs="Times New Roman"/>
          <w:sz w:val="28"/>
          <w:szCs w:val="28"/>
        </w:rPr>
        <w:t>,</w:t>
      </w:r>
      <w:r w:rsidR="002647DA" w:rsidRPr="003D28A8">
        <w:rPr>
          <w:rFonts w:ascii="Times New Roman" w:hAnsi="Times New Roman" w:cs="Times New Roman"/>
          <w:sz w:val="28"/>
          <w:szCs w:val="28"/>
        </w:rPr>
        <w:t xml:space="preserve"> in </w:t>
      </w:r>
      <w:r w:rsidR="002647DA" w:rsidRPr="003D28A8">
        <w:rPr>
          <w:rFonts w:ascii="Times New Roman" w:hAnsi="Times New Roman" w:cs="Times New Roman"/>
          <w:i/>
          <w:sz w:val="28"/>
          <w:szCs w:val="28"/>
        </w:rPr>
        <w:t>Underwood</w:t>
      </w:r>
      <w:r w:rsidR="002647DA" w:rsidRPr="003D28A8">
        <w:rPr>
          <w:rStyle w:val="FootnoteReference"/>
          <w:rFonts w:ascii="Times New Roman" w:hAnsi="Times New Roman" w:cs="Times New Roman"/>
          <w:sz w:val="28"/>
          <w:szCs w:val="28"/>
        </w:rPr>
        <w:footnoteReference w:id="8"/>
      </w:r>
      <w:r w:rsidR="002647DA" w:rsidRPr="003D28A8">
        <w:rPr>
          <w:rFonts w:ascii="Times New Roman" w:hAnsi="Times New Roman" w:cs="Times New Roman"/>
          <w:sz w:val="28"/>
          <w:szCs w:val="28"/>
        </w:rPr>
        <w:t xml:space="preserve"> and </w:t>
      </w:r>
      <w:r w:rsidR="002647DA" w:rsidRPr="003D28A8">
        <w:rPr>
          <w:rFonts w:ascii="Times New Roman" w:hAnsi="Times New Roman" w:cs="Times New Roman"/>
          <w:i/>
          <w:sz w:val="28"/>
          <w:szCs w:val="28"/>
        </w:rPr>
        <w:t>Cairns</w:t>
      </w:r>
      <w:r w:rsidR="002647DA" w:rsidRPr="00B829B6">
        <w:rPr>
          <w:rStyle w:val="FootnoteReference"/>
          <w:rFonts w:ascii="Times New Roman" w:hAnsi="Times New Roman" w:cs="Times New Roman"/>
          <w:sz w:val="28"/>
          <w:szCs w:val="28"/>
        </w:rPr>
        <w:footnoteReference w:id="9"/>
      </w:r>
      <w:r w:rsidR="002647DA" w:rsidRPr="006C3028">
        <w:rPr>
          <w:rFonts w:ascii="Times New Roman" w:hAnsi="Times New Roman" w:cs="Times New Roman"/>
          <w:sz w:val="28"/>
          <w:szCs w:val="28"/>
        </w:rPr>
        <w:t>.</w:t>
      </w:r>
      <w:r w:rsidR="002647DA" w:rsidRPr="003D28A8">
        <w:rPr>
          <w:rFonts w:ascii="Times New Roman" w:hAnsi="Times New Roman" w:cs="Times New Roman"/>
          <w:sz w:val="28"/>
          <w:szCs w:val="28"/>
        </w:rPr>
        <w:t xml:space="preserve"> It is striking that this has been entirely a non-statutory development, but key parts of the jurisprudence are now elaborated in the</w:t>
      </w:r>
      <w:r w:rsidR="00B829B6">
        <w:rPr>
          <w:rFonts w:ascii="Times New Roman" w:hAnsi="Times New Roman" w:cs="Times New Roman"/>
          <w:sz w:val="28"/>
          <w:szCs w:val="28"/>
        </w:rPr>
        <w:t xml:space="preserve"> Criminal Practice Directions</w:t>
      </w:r>
      <w:r w:rsidR="00B829B6">
        <w:rPr>
          <w:rStyle w:val="FootnoteReference"/>
          <w:rFonts w:ascii="Times New Roman" w:hAnsi="Times New Roman" w:cs="Times New Roman"/>
          <w:sz w:val="28"/>
          <w:szCs w:val="28"/>
        </w:rPr>
        <w:footnoteReference w:id="10"/>
      </w:r>
      <w:r w:rsidR="00B829B6">
        <w:rPr>
          <w:rFonts w:ascii="Times New Roman" w:hAnsi="Times New Roman" w:cs="Times New Roman"/>
          <w:sz w:val="28"/>
          <w:szCs w:val="28"/>
        </w:rPr>
        <w:t>.</w:t>
      </w:r>
    </w:p>
    <w:p w14:paraId="18F58A0B" w14:textId="77777777" w:rsidR="00B829B6" w:rsidRPr="003D28A8" w:rsidRDefault="00B829B6" w:rsidP="006C3028">
      <w:pPr>
        <w:spacing w:line="360" w:lineRule="auto"/>
        <w:rPr>
          <w:rFonts w:ascii="Times New Roman" w:hAnsi="Times New Roman" w:cs="Times New Roman"/>
          <w:sz w:val="28"/>
          <w:szCs w:val="28"/>
        </w:rPr>
      </w:pPr>
    </w:p>
    <w:p w14:paraId="59DAE116" w14:textId="7A1653C9" w:rsidR="00C3214C" w:rsidRPr="003D28A8" w:rsidRDefault="002A6A03" w:rsidP="006C3028">
      <w:pPr>
        <w:spacing w:line="360" w:lineRule="auto"/>
        <w:rPr>
          <w:rFonts w:ascii="Times New Roman" w:hAnsi="Times New Roman" w:cs="Times New Roman"/>
          <w:sz w:val="28"/>
          <w:szCs w:val="28"/>
        </w:rPr>
      </w:pPr>
      <w:r>
        <w:rPr>
          <w:rFonts w:ascii="Times New Roman" w:hAnsi="Times New Roman" w:cs="Times New Roman"/>
          <w:sz w:val="28"/>
          <w:szCs w:val="28"/>
        </w:rPr>
        <w:t xml:space="preserve">As we have seen, </w:t>
      </w:r>
      <w:r w:rsidR="00C3214C" w:rsidRPr="003D28A8">
        <w:rPr>
          <w:rFonts w:ascii="Times New Roman" w:hAnsi="Times New Roman" w:cs="Times New Roman"/>
          <w:sz w:val="28"/>
          <w:szCs w:val="28"/>
        </w:rPr>
        <w:t xml:space="preserve">David Thomas </w:t>
      </w:r>
      <w:r>
        <w:rPr>
          <w:rFonts w:ascii="Times New Roman" w:hAnsi="Times New Roman" w:cs="Times New Roman"/>
          <w:sz w:val="28"/>
          <w:szCs w:val="28"/>
        </w:rPr>
        <w:t xml:space="preserve">argued </w:t>
      </w:r>
      <w:r w:rsidR="00C3214C" w:rsidRPr="003D28A8">
        <w:rPr>
          <w:rFonts w:ascii="Times New Roman" w:hAnsi="Times New Roman" w:cs="Times New Roman"/>
          <w:sz w:val="28"/>
          <w:szCs w:val="28"/>
        </w:rPr>
        <w:t xml:space="preserve">that </w:t>
      </w:r>
      <w:r w:rsidR="008A058A">
        <w:rPr>
          <w:rFonts w:ascii="Times New Roman" w:hAnsi="Times New Roman" w:cs="Times New Roman"/>
          <w:sz w:val="28"/>
          <w:szCs w:val="28"/>
        </w:rPr>
        <w:t xml:space="preserve">‘any significant fact adverse to the accused and </w:t>
      </w:r>
      <w:r w:rsidR="00C3214C" w:rsidRPr="003D28A8">
        <w:rPr>
          <w:rFonts w:ascii="Times New Roman" w:hAnsi="Times New Roman" w:cs="Times New Roman"/>
          <w:sz w:val="28"/>
          <w:szCs w:val="28"/>
        </w:rPr>
        <w:t xml:space="preserve">not implied by the verdict or plea must be established </w:t>
      </w:r>
      <w:r>
        <w:rPr>
          <w:rFonts w:ascii="Times New Roman" w:hAnsi="Times New Roman" w:cs="Times New Roman"/>
          <w:sz w:val="28"/>
          <w:szCs w:val="28"/>
        </w:rPr>
        <w:t>‘</w:t>
      </w:r>
      <w:r w:rsidR="00C3214C" w:rsidRPr="003D28A8">
        <w:rPr>
          <w:rFonts w:ascii="Times New Roman" w:hAnsi="Times New Roman" w:cs="Times New Roman"/>
          <w:sz w:val="28"/>
          <w:szCs w:val="28"/>
        </w:rPr>
        <w:t>by proper evidence to a proper level of certainty.</w:t>
      </w:r>
      <w:r>
        <w:rPr>
          <w:rFonts w:ascii="Times New Roman" w:hAnsi="Times New Roman" w:cs="Times New Roman"/>
          <w:sz w:val="28"/>
          <w:szCs w:val="28"/>
        </w:rPr>
        <w:t>’</w:t>
      </w:r>
      <w:r w:rsidR="00644888">
        <w:rPr>
          <w:rFonts w:ascii="Times New Roman" w:hAnsi="Times New Roman" w:cs="Times New Roman"/>
          <w:sz w:val="28"/>
          <w:szCs w:val="28"/>
        </w:rPr>
        <w:t xml:space="preserve"> </w:t>
      </w:r>
      <w:r w:rsidR="00C3214C" w:rsidRPr="003D28A8">
        <w:rPr>
          <w:rFonts w:ascii="Times New Roman" w:hAnsi="Times New Roman" w:cs="Times New Roman"/>
          <w:sz w:val="28"/>
          <w:szCs w:val="28"/>
        </w:rPr>
        <w:t>Thus for at least 50 years the position has been - where the prosecution has sought to introduce evidence after plea or conviction, relevant to sentence – that the courts have required that</w:t>
      </w:r>
    </w:p>
    <w:p w14:paraId="3CF9EA40" w14:textId="77777777" w:rsidR="00C3214C" w:rsidRPr="003D28A8" w:rsidRDefault="00C3214C" w:rsidP="006C3028">
      <w:pPr>
        <w:spacing w:line="360" w:lineRule="auto"/>
        <w:rPr>
          <w:rFonts w:ascii="Times New Roman" w:hAnsi="Times New Roman" w:cs="Times New Roman"/>
          <w:sz w:val="28"/>
          <w:szCs w:val="28"/>
        </w:rPr>
      </w:pPr>
    </w:p>
    <w:p w14:paraId="5A9C6A3F" w14:textId="77777777" w:rsidR="00C3214C" w:rsidRPr="003D28A8" w:rsidRDefault="002A6A03" w:rsidP="006C3028">
      <w:pPr>
        <w:spacing w:line="360" w:lineRule="auto"/>
        <w:ind w:left="720"/>
        <w:rPr>
          <w:rFonts w:ascii="Times New Roman" w:hAnsi="Times New Roman" w:cs="Times New Roman"/>
          <w:sz w:val="28"/>
          <w:szCs w:val="28"/>
        </w:rPr>
      </w:pPr>
      <w:r>
        <w:rPr>
          <w:rFonts w:ascii="Times New Roman" w:hAnsi="Times New Roman" w:cs="Times New Roman"/>
          <w:sz w:val="28"/>
          <w:szCs w:val="28"/>
        </w:rPr>
        <w:t>‘</w:t>
      </w:r>
      <w:r w:rsidR="00C3214C" w:rsidRPr="003D28A8">
        <w:rPr>
          <w:rFonts w:ascii="Times New Roman" w:hAnsi="Times New Roman" w:cs="Times New Roman"/>
          <w:sz w:val="28"/>
          <w:szCs w:val="28"/>
        </w:rPr>
        <w:t>the evidence itself must be particularized and given by a witness who can speak from first-hand knowledge without reliance on hearsay and records.</w:t>
      </w:r>
      <w:r>
        <w:rPr>
          <w:rFonts w:ascii="Times New Roman" w:hAnsi="Times New Roman" w:cs="Times New Roman"/>
          <w:sz w:val="28"/>
          <w:szCs w:val="28"/>
        </w:rPr>
        <w:t>’</w:t>
      </w:r>
      <w:r w:rsidR="00C3214C" w:rsidRPr="003D28A8">
        <w:rPr>
          <w:rStyle w:val="FootnoteReference"/>
          <w:rFonts w:ascii="Times New Roman" w:hAnsi="Times New Roman" w:cs="Times New Roman"/>
          <w:sz w:val="28"/>
          <w:szCs w:val="28"/>
        </w:rPr>
        <w:footnoteReference w:id="11"/>
      </w:r>
    </w:p>
    <w:p w14:paraId="3DA4DA4A" w14:textId="77777777" w:rsidR="00C3214C" w:rsidRPr="003D28A8" w:rsidRDefault="00C3214C" w:rsidP="006C3028">
      <w:pPr>
        <w:spacing w:line="360" w:lineRule="auto"/>
        <w:ind w:left="720"/>
        <w:rPr>
          <w:rFonts w:ascii="Times New Roman" w:hAnsi="Times New Roman" w:cs="Times New Roman"/>
          <w:sz w:val="28"/>
          <w:szCs w:val="28"/>
        </w:rPr>
      </w:pPr>
    </w:p>
    <w:p w14:paraId="785715D5" w14:textId="5BA3C496" w:rsidR="00C3214C" w:rsidRPr="003D28A8" w:rsidRDefault="00C3214C"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 xml:space="preserve">The hearsay rule in criminal cases was subsequently relaxed by the Criminal Justice Act 2003, but the principle that the Court was upholding in </w:t>
      </w:r>
      <w:r w:rsidRPr="003D28A8">
        <w:rPr>
          <w:rFonts w:ascii="Times New Roman" w:hAnsi="Times New Roman" w:cs="Times New Roman"/>
          <w:i/>
          <w:sz w:val="28"/>
          <w:szCs w:val="28"/>
        </w:rPr>
        <w:t xml:space="preserve">Robinson </w:t>
      </w:r>
      <w:r w:rsidRPr="003D28A8">
        <w:rPr>
          <w:rFonts w:ascii="Times New Roman" w:hAnsi="Times New Roman" w:cs="Times New Roman"/>
          <w:sz w:val="28"/>
          <w:szCs w:val="28"/>
        </w:rPr>
        <w:t>was that the same requirements should obtain at the sentencing sta</w:t>
      </w:r>
      <w:r w:rsidR="00644888">
        <w:rPr>
          <w:rFonts w:ascii="Times New Roman" w:hAnsi="Times New Roman" w:cs="Times New Roman"/>
          <w:sz w:val="28"/>
          <w:szCs w:val="28"/>
        </w:rPr>
        <w:t xml:space="preserve">ge as are appropriate at trial. </w:t>
      </w:r>
      <w:r w:rsidRPr="003D28A8">
        <w:rPr>
          <w:rFonts w:ascii="Times New Roman" w:hAnsi="Times New Roman" w:cs="Times New Roman"/>
          <w:sz w:val="28"/>
          <w:szCs w:val="28"/>
        </w:rPr>
        <w:t xml:space="preserve">Thomas also mentioned that any prosecution evidence should be </w:t>
      </w:r>
      <w:r w:rsidR="002A6A03">
        <w:rPr>
          <w:rFonts w:ascii="Times New Roman" w:hAnsi="Times New Roman" w:cs="Times New Roman"/>
          <w:sz w:val="28"/>
          <w:szCs w:val="28"/>
        </w:rPr>
        <w:t>‘</w:t>
      </w:r>
      <w:r w:rsidRPr="003D28A8">
        <w:rPr>
          <w:rFonts w:ascii="Times New Roman" w:hAnsi="Times New Roman" w:cs="Times New Roman"/>
          <w:sz w:val="28"/>
          <w:szCs w:val="28"/>
        </w:rPr>
        <w:t>subject to the same rights of cross-examination as the evidence on which the conviction is founded.</w:t>
      </w:r>
      <w:r w:rsidR="002A6A03">
        <w:rPr>
          <w:rFonts w:ascii="Times New Roman" w:hAnsi="Times New Roman" w:cs="Times New Roman"/>
          <w:sz w:val="28"/>
          <w:szCs w:val="28"/>
        </w:rPr>
        <w:t>’</w:t>
      </w:r>
      <w:r w:rsidRPr="003D28A8">
        <w:rPr>
          <w:rFonts w:ascii="Times New Roman" w:hAnsi="Times New Roman" w:cs="Times New Roman"/>
          <w:sz w:val="28"/>
          <w:szCs w:val="28"/>
        </w:rPr>
        <w:t xml:space="preserve">  </w:t>
      </w:r>
    </w:p>
    <w:p w14:paraId="3FED7B20" w14:textId="77777777" w:rsidR="00C3214C" w:rsidRPr="003D28A8" w:rsidRDefault="00C3214C" w:rsidP="006C3028">
      <w:pPr>
        <w:spacing w:line="360" w:lineRule="auto"/>
        <w:rPr>
          <w:rFonts w:ascii="Times New Roman" w:hAnsi="Times New Roman" w:cs="Times New Roman"/>
          <w:sz w:val="28"/>
          <w:szCs w:val="28"/>
        </w:rPr>
      </w:pPr>
    </w:p>
    <w:p w14:paraId="14994016" w14:textId="603887A8" w:rsidR="00C3214C" w:rsidRPr="003D28A8" w:rsidRDefault="00C3214C"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 xml:space="preserve">The same theme of procedural fairness is found even more strongly in relation to taking account of other offences allegedly committed by the defendant.  Thus Lord Bingham CJ stated that it is </w:t>
      </w:r>
      <w:r w:rsidR="002A6A03">
        <w:rPr>
          <w:rFonts w:ascii="Times New Roman" w:hAnsi="Times New Roman" w:cs="Times New Roman"/>
          <w:sz w:val="28"/>
          <w:szCs w:val="28"/>
        </w:rPr>
        <w:t>‘</w:t>
      </w:r>
      <w:r w:rsidRPr="003D28A8">
        <w:rPr>
          <w:rFonts w:ascii="Times New Roman" w:hAnsi="Times New Roman" w:cs="Times New Roman"/>
          <w:sz w:val="28"/>
          <w:szCs w:val="28"/>
        </w:rPr>
        <w:t>a basic principle underlying the administration of the criminal law</w:t>
      </w:r>
      <w:r w:rsidR="002A6A03">
        <w:rPr>
          <w:rFonts w:ascii="Times New Roman" w:hAnsi="Times New Roman" w:cs="Times New Roman"/>
          <w:sz w:val="28"/>
          <w:szCs w:val="28"/>
        </w:rPr>
        <w:t>’</w:t>
      </w:r>
      <w:r w:rsidRPr="003D28A8">
        <w:rPr>
          <w:rFonts w:ascii="Times New Roman" w:hAnsi="Times New Roman" w:cs="Times New Roman"/>
          <w:sz w:val="28"/>
          <w:szCs w:val="28"/>
        </w:rPr>
        <w:t xml:space="preserve"> that a person cannot lawfully be sentenced </w:t>
      </w:r>
      <w:r w:rsidR="002A6A03">
        <w:rPr>
          <w:rFonts w:ascii="Times New Roman" w:hAnsi="Times New Roman" w:cs="Times New Roman"/>
          <w:sz w:val="28"/>
          <w:szCs w:val="28"/>
        </w:rPr>
        <w:t>‘</w:t>
      </w:r>
      <w:r w:rsidRPr="003D28A8">
        <w:rPr>
          <w:rFonts w:ascii="Times New Roman" w:hAnsi="Times New Roman" w:cs="Times New Roman"/>
          <w:sz w:val="28"/>
          <w:szCs w:val="28"/>
        </w:rPr>
        <w:t>for offences for which he has not been indicted and which he has denied or declined to admit.</w:t>
      </w:r>
      <w:r w:rsidR="002A6A03">
        <w:rPr>
          <w:rFonts w:ascii="Times New Roman" w:hAnsi="Times New Roman" w:cs="Times New Roman"/>
          <w:sz w:val="28"/>
          <w:szCs w:val="28"/>
        </w:rPr>
        <w:t>’</w:t>
      </w:r>
      <w:r w:rsidRPr="003D28A8">
        <w:rPr>
          <w:rStyle w:val="FootnoteReference"/>
          <w:rFonts w:ascii="Times New Roman" w:hAnsi="Times New Roman" w:cs="Times New Roman"/>
          <w:sz w:val="28"/>
          <w:szCs w:val="28"/>
        </w:rPr>
        <w:footnoteReference w:id="12"/>
      </w:r>
      <w:r w:rsidRPr="003D28A8">
        <w:rPr>
          <w:rFonts w:ascii="Times New Roman" w:hAnsi="Times New Roman" w:cs="Times New Roman"/>
          <w:sz w:val="28"/>
          <w:szCs w:val="28"/>
        </w:rPr>
        <w:t xml:space="preserve">  </w:t>
      </w:r>
    </w:p>
    <w:p w14:paraId="563C4E14" w14:textId="77777777" w:rsidR="002647DA" w:rsidRPr="003D28A8" w:rsidRDefault="002647DA" w:rsidP="006C3028">
      <w:pPr>
        <w:spacing w:line="360" w:lineRule="auto"/>
        <w:rPr>
          <w:rFonts w:ascii="Times New Roman" w:hAnsi="Times New Roman" w:cs="Times New Roman"/>
          <w:sz w:val="28"/>
          <w:szCs w:val="28"/>
        </w:rPr>
      </w:pPr>
    </w:p>
    <w:p w14:paraId="628C370C" w14:textId="38537D71" w:rsidR="002A54BA" w:rsidRPr="003D28A8" w:rsidRDefault="002647DA"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 xml:space="preserve">There </w:t>
      </w:r>
      <w:r w:rsidR="00CA0736" w:rsidRPr="003D28A8">
        <w:rPr>
          <w:rFonts w:ascii="Times New Roman" w:hAnsi="Times New Roman" w:cs="Times New Roman"/>
          <w:sz w:val="28"/>
          <w:szCs w:val="28"/>
        </w:rPr>
        <w:t>is a dearth of</w:t>
      </w:r>
      <w:r w:rsidRPr="003D28A8">
        <w:rPr>
          <w:rFonts w:ascii="Times New Roman" w:hAnsi="Times New Roman" w:cs="Times New Roman"/>
          <w:sz w:val="28"/>
          <w:szCs w:val="28"/>
        </w:rPr>
        <w:t xml:space="preserve"> empirical research </w:t>
      </w:r>
      <w:r w:rsidR="00C55E17" w:rsidRPr="003D28A8">
        <w:rPr>
          <w:rFonts w:ascii="Times New Roman" w:hAnsi="Times New Roman" w:cs="Times New Roman"/>
          <w:sz w:val="28"/>
          <w:szCs w:val="28"/>
        </w:rPr>
        <w:t xml:space="preserve">on </w:t>
      </w:r>
      <w:r w:rsidR="00CE37B9">
        <w:rPr>
          <w:rFonts w:ascii="Times New Roman" w:hAnsi="Times New Roman" w:cs="Times New Roman"/>
          <w:sz w:val="28"/>
          <w:szCs w:val="28"/>
        </w:rPr>
        <w:t>sentencing procedure</w:t>
      </w:r>
      <w:r w:rsidRPr="003D28A8">
        <w:rPr>
          <w:rFonts w:ascii="Times New Roman" w:hAnsi="Times New Roman" w:cs="Times New Roman"/>
          <w:sz w:val="28"/>
          <w:szCs w:val="28"/>
        </w:rPr>
        <w:t xml:space="preserve">. In her </w:t>
      </w:r>
      <w:r w:rsidR="00C55E17" w:rsidRPr="003D28A8">
        <w:rPr>
          <w:rFonts w:ascii="Times New Roman" w:hAnsi="Times New Roman" w:cs="Times New Roman"/>
          <w:sz w:val="28"/>
          <w:szCs w:val="28"/>
        </w:rPr>
        <w:t xml:space="preserve">book </w:t>
      </w:r>
      <w:r w:rsidR="00C55E17" w:rsidRPr="003D28A8">
        <w:rPr>
          <w:rFonts w:ascii="Times New Roman" w:hAnsi="Times New Roman" w:cs="Times New Roman"/>
          <w:i/>
          <w:sz w:val="28"/>
          <w:szCs w:val="28"/>
        </w:rPr>
        <w:t>Between Conviction and Sentence</w:t>
      </w:r>
      <w:r w:rsidR="00C55E17" w:rsidRPr="003D28A8">
        <w:rPr>
          <w:rFonts w:ascii="Times New Roman" w:hAnsi="Times New Roman" w:cs="Times New Roman"/>
          <w:sz w:val="28"/>
          <w:szCs w:val="28"/>
        </w:rPr>
        <w:t xml:space="preserve">, published in </w:t>
      </w:r>
      <w:r w:rsidRPr="003D28A8">
        <w:rPr>
          <w:rFonts w:ascii="Times New Roman" w:hAnsi="Times New Roman" w:cs="Times New Roman"/>
          <w:sz w:val="28"/>
          <w:szCs w:val="28"/>
        </w:rPr>
        <w:t>1981</w:t>
      </w:r>
      <w:r w:rsidR="00D60856" w:rsidRPr="003D28A8">
        <w:rPr>
          <w:rFonts w:ascii="Times New Roman" w:hAnsi="Times New Roman" w:cs="Times New Roman"/>
          <w:sz w:val="28"/>
          <w:szCs w:val="28"/>
        </w:rPr>
        <w:t xml:space="preserve">, </w:t>
      </w:r>
      <w:proofErr w:type="spellStart"/>
      <w:r w:rsidRPr="003D28A8">
        <w:rPr>
          <w:rFonts w:ascii="Times New Roman" w:hAnsi="Times New Roman" w:cs="Times New Roman"/>
          <w:sz w:val="28"/>
          <w:szCs w:val="28"/>
        </w:rPr>
        <w:t>Shapland</w:t>
      </w:r>
      <w:proofErr w:type="spellEnd"/>
      <w:r w:rsidR="00C55E17" w:rsidRPr="003D28A8">
        <w:rPr>
          <w:rFonts w:ascii="Times New Roman" w:hAnsi="Times New Roman" w:cs="Times New Roman"/>
          <w:sz w:val="28"/>
          <w:szCs w:val="28"/>
        </w:rPr>
        <w:t xml:space="preserve"> described a sentencing system which</w:t>
      </w:r>
      <w:r w:rsidR="00FB592F">
        <w:rPr>
          <w:rFonts w:ascii="Times New Roman" w:hAnsi="Times New Roman" w:cs="Times New Roman"/>
          <w:sz w:val="28"/>
          <w:szCs w:val="28"/>
        </w:rPr>
        <w:t xml:space="preserve"> she said </w:t>
      </w:r>
      <w:r w:rsidR="00C55E17" w:rsidRPr="003D28A8">
        <w:rPr>
          <w:rFonts w:ascii="Times New Roman" w:hAnsi="Times New Roman" w:cs="Times New Roman"/>
          <w:sz w:val="28"/>
          <w:szCs w:val="28"/>
        </w:rPr>
        <w:t xml:space="preserve">combined </w:t>
      </w:r>
      <w:r w:rsidR="00CA0736" w:rsidRPr="003D28A8">
        <w:rPr>
          <w:rFonts w:ascii="Times New Roman" w:hAnsi="Times New Roman" w:cs="Times New Roman"/>
          <w:sz w:val="28"/>
          <w:szCs w:val="28"/>
        </w:rPr>
        <w:t xml:space="preserve">elements of the </w:t>
      </w:r>
      <w:r w:rsidR="00C55E17" w:rsidRPr="003D28A8">
        <w:rPr>
          <w:rFonts w:ascii="Times New Roman" w:hAnsi="Times New Roman" w:cs="Times New Roman"/>
          <w:sz w:val="28"/>
          <w:szCs w:val="28"/>
        </w:rPr>
        <w:t xml:space="preserve">adversary processes </w:t>
      </w:r>
      <w:r w:rsidR="00CA0736" w:rsidRPr="003D28A8">
        <w:rPr>
          <w:rFonts w:ascii="Times New Roman" w:hAnsi="Times New Roman" w:cs="Times New Roman"/>
          <w:sz w:val="28"/>
          <w:szCs w:val="28"/>
        </w:rPr>
        <w:t xml:space="preserve">of trial </w:t>
      </w:r>
      <w:r w:rsidR="00C55E17" w:rsidRPr="003D28A8">
        <w:rPr>
          <w:rFonts w:ascii="Times New Roman" w:hAnsi="Times New Roman" w:cs="Times New Roman"/>
          <w:sz w:val="28"/>
          <w:szCs w:val="28"/>
        </w:rPr>
        <w:t>with the receipt of reports and testimony from independent outsiders</w:t>
      </w:r>
      <w:r w:rsidR="0096542C" w:rsidRPr="003D28A8">
        <w:rPr>
          <w:rFonts w:ascii="Times New Roman" w:hAnsi="Times New Roman" w:cs="Times New Roman"/>
          <w:sz w:val="28"/>
          <w:szCs w:val="28"/>
        </w:rPr>
        <w:t xml:space="preserve">, </w:t>
      </w:r>
      <w:r w:rsidR="00CA0736" w:rsidRPr="003D28A8">
        <w:rPr>
          <w:rFonts w:ascii="Times New Roman" w:hAnsi="Times New Roman" w:cs="Times New Roman"/>
          <w:sz w:val="28"/>
          <w:szCs w:val="28"/>
        </w:rPr>
        <w:t xml:space="preserve">and she </w:t>
      </w:r>
      <w:r w:rsidR="00C55E17" w:rsidRPr="003D28A8">
        <w:rPr>
          <w:rFonts w:ascii="Times New Roman" w:hAnsi="Times New Roman" w:cs="Times New Roman"/>
          <w:sz w:val="28"/>
          <w:szCs w:val="28"/>
        </w:rPr>
        <w:t xml:space="preserve">suggested that the </w:t>
      </w:r>
      <w:r w:rsidR="00CA0736" w:rsidRPr="003D28A8">
        <w:rPr>
          <w:rFonts w:ascii="Times New Roman" w:hAnsi="Times New Roman" w:cs="Times New Roman"/>
          <w:sz w:val="28"/>
          <w:szCs w:val="28"/>
        </w:rPr>
        <w:t xml:space="preserve">sentencing process </w:t>
      </w:r>
      <w:r w:rsidR="00FB592F">
        <w:rPr>
          <w:rFonts w:ascii="Times New Roman" w:hAnsi="Times New Roman" w:cs="Times New Roman"/>
          <w:sz w:val="28"/>
          <w:szCs w:val="28"/>
        </w:rPr>
        <w:t xml:space="preserve">as a whole </w:t>
      </w:r>
      <w:r w:rsidR="00C55E17" w:rsidRPr="003D28A8">
        <w:rPr>
          <w:rFonts w:ascii="Times New Roman" w:hAnsi="Times New Roman" w:cs="Times New Roman"/>
          <w:sz w:val="28"/>
          <w:szCs w:val="28"/>
        </w:rPr>
        <w:t>was moving in the direction of a ‘problem-solving model’</w:t>
      </w:r>
      <w:r w:rsidR="00511596">
        <w:rPr>
          <w:rFonts w:ascii="Times New Roman" w:hAnsi="Times New Roman" w:cs="Times New Roman"/>
          <w:sz w:val="28"/>
          <w:szCs w:val="28"/>
        </w:rPr>
        <w:t>.</w:t>
      </w:r>
      <w:r w:rsidR="00C55E17" w:rsidRPr="003D28A8">
        <w:rPr>
          <w:rStyle w:val="FootnoteReference"/>
          <w:rFonts w:ascii="Times New Roman" w:hAnsi="Times New Roman" w:cs="Times New Roman"/>
          <w:sz w:val="28"/>
          <w:szCs w:val="28"/>
        </w:rPr>
        <w:footnoteReference w:id="13"/>
      </w:r>
      <w:r w:rsidR="00C55E17" w:rsidRPr="003D28A8">
        <w:rPr>
          <w:rFonts w:ascii="Times New Roman" w:hAnsi="Times New Roman" w:cs="Times New Roman"/>
          <w:sz w:val="28"/>
          <w:szCs w:val="28"/>
        </w:rPr>
        <w:t xml:space="preserve"> </w:t>
      </w:r>
      <w:r w:rsidR="00FB592F">
        <w:rPr>
          <w:rFonts w:ascii="Times New Roman" w:hAnsi="Times New Roman" w:cs="Times New Roman"/>
          <w:sz w:val="28"/>
          <w:szCs w:val="28"/>
        </w:rPr>
        <w:t xml:space="preserve">Later research which touches upon the </w:t>
      </w:r>
      <w:r w:rsidR="00D60856" w:rsidRPr="003D28A8">
        <w:rPr>
          <w:rFonts w:ascii="Times New Roman" w:hAnsi="Times New Roman" w:cs="Times New Roman"/>
          <w:sz w:val="28"/>
          <w:szCs w:val="28"/>
        </w:rPr>
        <w:t xml:space="preserve">judicial role in the sentencing process, including </w:t>
      </w:r>
      <w:proofErr w:type="spellStart"/>
      <w:r w:rsidR="00D60856" w:rsidRPr="003D28A8">
        <w:rPr>
          <w:rFonts w:ascii="Times New Roman" w:hAnsi="Times New Roman" w:cs="Times New Roman"/>
          <w:sz w:val="28"/>
          <w:szCs w:val="28"/>
        </w:rPr>
        <w:t>Darbyshire’s</w:t>
      </w:r>
      <w:proofErr w:type="spellEnd"/>
      <w:r w:rsidR="00D60856" w:rsidRPr="003D28A8">
        <w:rPr>
          <w:rFonts w:ascii="Times New Roman" w:hAnsi="Times New Roman" w:cs="Times New Roman"/>
          <w:sz w:val="28"/>
          <w:szCs w:val="28"/>
        </w:rPr>
        <w:t xml:space="preserve"> </w:t>
      </w:r>
      <w:r w:rsidR="00D60856" w:rsidRPr="003D28A8">
        <w:rPr>
          <w:rFonts w:ascii="Times New Roman" w:hAnsi="Times New Roman" w:cs="Times New Roman"/>
          <w:i/>
          <w:sz w:val="28"/>
          <w:szCs w:val="28"/>
        </w:rPr>
        <w:t>Sitting in Judgment</w:t>
      </w:r>
      <w:r w:rsidR="009001D7" w:rsidRPr="003D28A8">
        <w:rPr>
          <w:rStyle w:val="FootnoteReference"/>
          <w:rFonts w:ascii="Times New Roman" w:hAnsi="Times New Roman" w:cs="Times New Roman"/>
          <w:sz w:val="28"/>
          <w:szCs w:val="28"/>
        </w:rPr>
        <w:footnoteReference w:id="14"/>
      </w:r>
      <w:r w:rsidR="00D60856" w:rsidRPr="003D28A8">
        <w:rPr>
          <w:rFonts w:ascii="Times New Roman" w:hAnsi="Times New Roman" w:cs="Times New Roman"/>
          <w:sz w:val="28"/>
          <w:szCs w:val="28"/>
        </w:rPr>
        <w:t xml:space="preserve"> and Jacobs</w:t>
      </w:r>
      <w:r w:rsidR="00CE37B9">
        <w:rPr>
          <w:rFonts w:ascii="Times New Roman" w:hAnsi="Times New Roman" w:cs="Times New Roman"/>
          <w:sz w:val="28"/>
          <w:szCs w:val="28"/>
        </w:rPr>
        <w:t>o</w:t>
      </w:r>
      <w:r w:rsidR="00D60856" w:rsidRPr="003D28A8">
        <w:rPr>
          <w:rFonts w:ascii="Times New Roman" w:hAnsi="Times New Roman" w:cs="Times New Roman"/>
          <w:sz w:val="28"/>
          <w:szCs w:val="28"/>
        </w:rPr>
        <w:t xml:space="preserve">n </w:t>
      </w:r>
      <w:r w:rsidR="00D60856" w:rsidRPr="003D28A8">
        <w:rPr>
          <w:rFonts w:ascii="Times New Roman" w:hAnsi="Times New Roman" w:cs="Times New Roman"/>
          <w:i/>
          <w:sz w:val="28"/>
          <w:szCs w:val="28"/>
        </w:rPr>
        <w:t xml:space="preserve">et </w:t>
      </w:r>
      <w:proofErr w:type="spellStart"/>
      <w:r w:rsidR="00D60856" w:rsidRPr="003D28A8">
        <w:rPr>
          <w:rFonts w:ascii="Times New Roman" w:hAnsi="Times New Roman" w:cs="Times New Roman"/>
          <w:i/>
          <w:sz w:val="28"/>
          <w:szCs w:val="28"/>
        </w:rPr>
        <w:t>al</w:t>
      </w:r>
      <w:r w:rsidR="00D60856" w:rsidRPr="003D28A8">
        <w:rPr>
          <w:rFonts w:ascii="Times New Roman" w:hAnsi="Times New Roman" w:cs="Times New Roman"/>
          <w:sz w:val="28"/>
          <w:szCs w:val="28"/>
        </w:rPr>
        <w:t>’s</w:t>
      </w:r>
      <w:proofErr w:type="spellEnd"/>
      <w:r w:rsidR="00D60856" w:rsidRPr="003D28A8">
        <w:rPr>
          <w:rFonts w:ascii="Times New Roman" w:hAnsi="Times New Roman" w:cs="Times New Roman"/>
          <w:sz w:val="28"/>
          <w:szCs w:val="28"/>
        </w:rPr>
        <w:t xml:space="preserve"> </w:t>
      </w:r>
      <w:r w:rsidR="00D60856" w:rsidRPr="003D28A8">
        <w:rPr>
          <w:rFonts w:ascii="Times New Roman" w:hAnsi="Times New Roman" w:cs="Times New Roman"/>
          <w:i/>
          <w:sz w:val="28"/>
          <w:szCs w:val="28"/>
        </w:rPr>
        <w:t>Inside Crown Court</w:t>
      </w:r>
      <w:r w:rsidR="009001D7" w:rsidRPr="003D28A8">
        <w:rPr>
          <w:rStyle w:val="FootnoteReference"/>
          <w:rFonts w:ascii="Times New Roman" w:hAnsi="Times New Roman" w:cs="Times New Roman"/>
          <w:sz w:val="28"/>
          <w:szCs w:val="28"/>
        </w:rPr>
        <w:footnoteReference w:id="15"/>
      </w:r>
      <w:r w:rsidR="00FE6B02">
        <w:rPr>
          <w:rFonts w:ascii="Times New Roman" w:hAnsi="Times New Roman" w:cs="Times New Roman"/>
          <w:sz w:val="28"/>
          <w:szCs w:val="28"/>
        </w:rPr>
        <w:t>.</w:t>
      </w:r>
      <w:r w:rsidR="00FB592F">
        <w:rPr>
          <w:rFonts w:ascii="Times New Roman" w:hAnsi="Times New Roman" w:cs="Times New Roman"/>
          <w:i/>
          <w:sz w:val="28"/>
          <w:szCs w:val="28"/>
        </w:rPr>
        <w:t xml:space="preserve"> </w:t>
      </w:r>
      <w:r w:rsidR="00FE6B02" w:rsidRPr="003D28A8">
        <w:rPr>
          <w:rFonts w:ascii="Times New Roman" w:hAnsi="Times New Roman" w:cs="Times New Roman"/>
          <w:sz w:val="28"/>
          <w:szCs w:val="28"/>
        </w:rPr>
        <w:t>The main focus of Jacobs</w:t>
      </w:r>
      <w:r w:rsidR="0066290C">
        <w:rPr>
          <w:rFonts w:ascii="Times New Roman" w:hAnsi="Times New Roman" w:cs="Times New Roman"/>
          <w:sz w:val="28"/>
          <w:szCs w:val="28"/>
        </w:rPr>
        <w:t>o</w:t>
      </w:r>
      <w:r w:rsidR="00FE6B02" w:rsidRPr="003D28A8">
        <w:rPr>
          <w:rFonts w:ascii="Times New Roman" w:hAnsi="Times New Roman" w:cs="Times New Roman"/>
          <w:sz w:val="28"/>
          <w:szCs w:val="28"/>
        </w:rPr>
        <w:t xml:space="preserve">n </w:t>
      </w:r>
      <w:r w:rsidR="00FE6B02" w:rsidRPr="003D28A8">
        <w:rPr>
          <w:rFonts w:ascii="Times New Roman" w:hAnsi="Times New Roman" w:cs="Times New Roman"/>
          <w:i/>
          <w:sz w:val="28"/>
          <w:szCs w:val="28"/>
        </w:rPr>
        <w:t>et al</w:t>
      </w:r>
      <w:r w:rsidR="00FE6B02" w:rsidRPr="003D28A8">
        <w:rPr>
          <w:rFonts w:ascii="Times New Roman" w:hAnsi="Times New Roman" w:cs="Times New Roman"/>
          <w:sz w:val="28"/>
          <w:szCs w:val="28"/>
        </w:rPr>
        <w:t xml:space="preserve"> is on contested trials, but Chapter 3 on ‘constructing versions of ‘the truth’ has much material relevant to sentencing.</w:t>
      </w:r>
      <w:r w:rsidR="00FE6B02">
        <w:rPr>
          <w:rFonts w:ascii="Times New Roman" w:hAnsi="Times New Roman" w:cs="Times New Roman"/>
          <w:sz w:val="28"/>
          <w:szCs w:val="28"/>
        </w:rPr>
        <w:t xml:space="preserve"> These works </w:t>
      </w:r>
      <w:r w:rsidR="00FB592F">
        <w:rPr>
          <w:rFonts w:ascii="Times New Roman" w:hAnsi="Times New Roman" w:cs="Times New Roman"/>
          <w:sz w:val="28"/>
          <w:szCs w:val="28"/>
        </w:rPr>
        <w:t>provide valuable insights, and are referred to later</w:t>
      </w:r>
      <w:r w:rsidR="00FE6B02">
        <w:rPr>
          <w:rFonts w:ascii="Times New Roman" w:hAnsi="Times New Roman" w:cs="Times New Roman"/>
          <w:sz w:val="28"/>
          <w:szCs w:val="28"/>
        </w:rPr>
        <w:t xml:space="preserve"> in this article</w:t>
      </w:r>
      <w:r w:rsidR="0096542C" w:rsidRPr="003D28A8">
        <w:rPr>
          <w:rFonts w:ascii="Times New Roman" w:hAnsi="Times New Roman" w:cs="Times New Roman"/>
          <w:sz w:val="28"/>
          <w:szCs w:val="28"/>
        </w:rPr>
        <w:t xml:space="preserve"> </w:t>
      </w:r>
    </w:p>
    <w:p w14:paraId="3828A2C6" w14:textId="77777777" w:rsidR="002A54BA" w:rsidRPr="003D28A8" w:rsidRDefault="002A54BA" w:rsidP="006C3028">
      <w:pPr>
        <w:spacing w:line="360" w:lineRule="auto"/>
        <w:rPr>
          <w:rFonts w:ascii="Times New Roman" w:hAnsi="Times New Roman" w:cs="Times New Roman"/>
          <w:sz w:val="28"/>
          <w:szCs w:val="28"/>
        </w:rPr>
      </w:pPr>
    </w:p>
    <w:p w14:paraId="09F9507D" w14:textId="77777777" w:rsidR="00E23780" w:rsidRPr="003D28A8" w:rsidRDefault="00E23780" w:rsidP="006C3028">
      <w:pPr>
        <w:spacing w:line="360" w:lineRule="auto"/>
        <w:rPr>
          <w:rFonts w:ascii="Times New Roman" w:hAnsi="Times New Roman" w:cs="Times New Roman"/>
          <w:sz w:val="28"/>
          <w:szCs w:val="28"/>
        </w:rPr>
      </w:pPr>
    </w:p>
    <w:p w14:paraId="3C91749F" w14:textId="77777777" w:rsidR="002A54BA" w:rsidRPr="003D28A8" w:rsidRDefault="002A54BA" w:rsidP="006C3028">
      <w:pPr>
        <w:spacing w:line="360" w:lineRule="auto"/>
        <w:rPr>
          <w:rFonts w:ascii="Times New Roman" w:hAnsi="Times New Roman" w:cs="Times New Roman"/>
          <w:sz w:val="28"/>
          <w:szCs w:val="28"/>
        </w:rPr>
      </w:pPr>
      <w:r w:rsidRPr="003D28A8">
        <w:rPr>
          <w:rFonts w:ascii="Times New Roman" w:hAnsi="Times New Roman" w:cs="Times New Roman"/>
          <w:b/>
          <w:sz w:val="28"/>
          <w:szCs w:val="28"/>
        </w:rPr>
        <w:t>F</w:t>
      </w:r>
      <w:r w:rsidR="00C06B2B">
        <w:rPr>
          <w:rFonts w:ascii="Times New Roman" w:hAnsi="Times New Roman" w:cs="Times New Roman"/>
          <w:b/>
          <w:sz w:val="28"/>
          <w:szCs w:val="28"/>
        </w:rPr>
        <w:t>IVE</w:t>
      </w:r>
      <w:r w:rsidR="003D28A8">
        <w:rPr>
          <w:rFonts w:ascii="Times New Roman" w:hAnsi="Times New Roman" w:cs="Times New Roman"/>
          <w:b/>
          <w:sz w:val="28"/>
          <w:szCs w:val="28"/>
        </w:rPr>
        <w:t xml:space="preserve"> KEY ISSUES</w:t>
      </w:r>
    </w:p>
    <w:p w14:paraId="3333CDDB" w14:textId="77777777" w:rsidR="00CB0752" w:rsidRPr="003D28A8" w:rsidRDefault="00CB0752" w:rsidP="006C3028">
      <w:pPr>
        <w:spacing w:line="360" w:lineRule="auto"/>
        <w:rPr>
          <w:rFonts w:ascii="Times New Roman" w:hAnsi="Times New Roman" w:cs="Times New Roman"/>
          <w:sz w:val="28"/>
          <w:szCs w:val="28"/>
        </w:rPr>
      </w:pPr>
    </w:p>
    <w:p w14:paraId="656D1915" w14:textId="77777777" w:rsidR="00CB0752" w:rsidRPr="003D28A8" w:rsidRDefault="00CB0752"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We turn n</w:t>
      </w:r>
      <w:r w:rsidR="00FE6B02">
        <w:rPr>
          <w:rFonts w:ascii="Times New Roman" w:hAnsi="Times New Roman" w:cs="Times New Roman"/>
          <w:sz w:val="28"/>
          <w:szCs w:val="28"/>
        </w:rPr>
        <w:t>ext</w:t>
      </w:r>
      <w:r w:rsidRPr="003D28A8">
        <w:rPr>
          <w:rFonts w:ascii="Times New Roman" w:hAnsi="Times New Roman" w:cs="Times New Roman"/>
          <w:sz w:val="28"/>
          <w:szCs w:val="28"/>
        </w:rPr>
        <w:t xml:space="preserve"> to consider f</w:t>
      </w:r>
      <w:r w:rsidR="00604E35">
        <w:rPr>
          <w:rFonts w:ascii="Times New Roman" w:hAnsi="Times New Roman" w:cs="Times New Roman"/>
          <w:sz w:val="28"/>
          <w:szCs w:val="28"/>
        </w:rPr>
        <w:t>ive</w:t>
      </w:r>
      <w:r w:rsidR="00FE6B02">
        <w:rPr>
          <w:rFonts w:ascii="Times New Roman" w:hAnsi="Times New Roman" w:cs="Times New Roman"/>
          <w:sz w:val="28"/>
          <w:szCs w:val="28"/>
        </w:rPr>
        <w:t xml:space="preserve"> </w:t>
      </w:r>
      <w:r w:rsidRPr="003D28A8">
        <w:rPr>
          <w:rFonts w:ascii="Times New Roman" w:hAnsi="Times New Roman" w:cs="Times New Roman"/>
          <w:sz w:val="28"/>
          <w:szCs w:val="28"/>
        </w:rPr>
        <w:t>key issues of sentencing procedure.</w:t>
      </w:r>
    </w:p>
    <w:p w14:paraId="25682242" w14:textId="77777777" w:rsidR="002A54BA" w:rsidRPr="003D28A8" w:rsidRDefault="002A54BA" w:rsidP="006C3028">
      <w:pPr>
        <w:spacing w:line="360" w:lineRule="auto"/>
        <w:rPr>
          <w:rFonts w:ascii="Times New Roman" w:hAnsi="Times New Roman" w:cs="Times New Roman"/>
          <w:sz w:val="28"/>
          <w:szCs w:val="28"/>
        </w:rPr>
      </w:pPr>
    </w:p>
    <w:p w14:paraId="26F6F979" w14:textId="77777777" w:rsidR="002A54BA" w:rsidRPr="003D28A8" w:rsidRDefault="002A54BA" w:rsidP="006C3028">
      <w:pPr>
        <w:spacing w:line="360" w:lineRule="auto"/>
        <w:rPr>
          <w:rFonts w:ascii="Times New Roman" w:hAnsi="Times New Roman" w:cs="Times New Roman"/>
          <w:b/>
          <w:sz w:val="28"/>
          <w:szCs w:val="28"/>
        </w:rPr>
      </w:pPr>
      <w:r w:rsidRPr="003D28A8">
        <w:rPr>
          <w:rFonts w:ascii="Times New Roman" w:hAnsi="Times New Roman" w:cs="Times New Roman"/>
          <w:b/>
          <w:sz w:val="28"/>
          <w:szCs w:val="28"/>
        </w:rPr>
        <w:t>(1) BURDENS AND STANDARDS OF PROOF</w:t>
      </w:r>
    </w:p>
    <w:p w14:paraId="6BCD52F9" w14:textId="77777777" w:rsidR="002A54BA" w:rsidRPr="003D28A8" w:rsidRDefault="002A54BA" w:rsidP="006C3028">
      <w:pPr>
        <w:spacing w:line="360" w:lineRule="auto"/>
        <w:rPr>
          <w:rFonts w:ascii="Times New Roman" w:hAnsi="Times New Roman" w:cs="Times New Roman"/>
          <w:sz w:val="28"/>
          <w:szCs w:val="28"/>
        </w:rPr>
      </w:pPr>
    </w:p>
    <w:p w14:paraId="3EF50741" w14:textId="1275F478" w:rsidR="002A54BA" w:rsidRPr="00A7455A" w:rsidRDefault="002A54BA"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In domestic law, the allocation of burdens and standards of proof is guided, largely, by the presumption of innocence.</w:t>
      </w:r>
      <w:r w:rsidR="001D7036">
        <w:rPr>
          <w:rFonts w:ascii="Times New Roman" w:hAnsi="Times New Roman" w:cs="Times New Roman"/>
          <w:sz w:val="28"/>
          <w:szCs w:val="28"/>
        </w:rPr>
        <w:t xml:space="preserve"> </w:t>
      </w:r>
      <w:r w:rsidRPr="003D28A8">
        <w:rPr>
          <w:rFonts w:ascii="Times New Roman" w:hAnsi="Times New Roman" w:cs="Times New Roman"/>
          <w:sz w:val="28"/>
          <w:szCs w:val="28"/>
        </w:rPr>
        <w:t xml:space="preserve">A person should be presumed innocent unless and until he or she is found guilty. The problem with transferring this to the sentencing stage is that the defendant has already been convicted or has pleaded guilty when sentencing begins, and so there can be no presumption of innocence. However, there are strong reasons for continuing to treat the defendant as if the presumption of innocence were still in force at the sentencing stage. The most compelling reason is that the defendant’s liberty may be at stake, or at least the defendant’s finances. Thus the European Commission on Human Rights established as long ago as 1972 that </w:t>
      </w:r>
      <w:r w:rsidR="001D7036">
        <w:rPr>
          <w:rFonts w:ascii="Times New Roman" w:hAnsi="Times New Roman" w:cs="Times New Roman"/>
          <w:sz w:val="28"/>
          <w:szCs w:val="28"/>
        </w:rPr>
        <w:t>‘</w:t>
      </w:r>
      <w:r w:rsidRPr="003D28A8">
        <w:rPr>
          <w:rFonts w:ascii="Times New Roman" w:hAnsi="Times New Roman" w:cs="Times New Roman"/>
          <w:sz w:val="28"/>
          <w:szCs w:val="28"/>
        </w:rPr>
        <w:t>the expression ‘everyone charged with a criminal offence’ in Article 6(3) [of the European Convention on Human Rights] includes persons who, although already convicted, have not been sentenced.</w:t>
      </w:r>
      <w:r w:rsidR="001D7036">
        <w:rPr>
          <w:rFonts w:ascii="Times New Roman" w:hAnsi="Times New Roman" w:cs="Times New Roman"/>
          <w:sz w:val="28"/>
          <w:szCs w:val="28"/>
        </w:rPr>
        <w:t>’</w:t>
      </w:r>
      <w:r w:rsidRPr="003D28A8">
        <w:rPr>
          <w:rStyle w:val="FootnoteReference"/>
          <w:rFonts w:ascii="Times New Roman" w:hAnsi="Times New Roman" w:cs="Times New Roman"/>
          <w:sz w:val="28"/>
          <w:szCs w:val="28"/>
        </w:rPr>
        <w:footnoteReference w:id="16"/>
      </w:r>
      <w:r w:rsidRPr="003D28A8">
        <w:rPr>
          <w:rFonts w:ascii="Times New Roman" w:hAnsi="Times New Roman" w:cs="Times New Roman"/>
          <w:sz w:val="28"/>
          <w:szCs w:val="28"/>
        </w:rPr>
        <w:t xml:space="preserve"> This is the position throughout Europe and also among Commonwealth countries such as Australia and New Zealand. Thus in English law, as we will see in the next paragraph, aggravating factors must be proved by the prose</w:t>
      </w:r>
      <w:r w:rsidR="001D7036">
        <w:rPr>
          <w:rFonts w:ascii="Times New Roman" w:hAnsi="Times New Roman" w:cs="Times New Roman"/>
          <w:sz w:val="28"/>
          <w:szCs w:val="28"/>
        </w:rPr>
        <w:t xml:space="preserve">cution beyond reasonable doubt. </w:t>
      </w:r>
      <w:r w:rsidRPr="003D28A8">
        <w:rPr>
          <w:rFonts w:ascii="Times New Roman" w:hAnsi="Times New Roman" w:cs="Times New Roman"/>
          <w:sz w:val="28"/>
          <w:szCs w:val="28"/>
        </w:rPr>
        <w:t xml:space="preserve">However, this is not the position in the United States: </w:t>
      </w:r>
      <w:r w:rsidR="00A7455A">
        <w:rPr>
          <w:rFonts w:ascii="Times New Roman" w:hAnsi="Times New Roman" w:cs="Times New Roman"/>
          <w:sz w:val="28"/>
          <w:szCs w:val="28"/>
        </w:rPr>
        <w:t xml:space="preserve">the majority of states hold that both aggravating and mitigating factors must be established on a ‘preponderance of </w:t>
      </w:r>
      <w:r w:rsidR="00BC60DA">
        <w:rPr>
          <w:rFonts w:ascii="Times New Roman" w:hAnsi="Times New Roman" w:cs="Times New Roman"/>
          <w:sz w:val="28"/>
          <w:szCs w:val="28"/>
        </w:rPr>
        <w:t>the evidence</w:t>
      </w:r>
      <w:r w:rsidR="00A7455A">
        <w:rPr>
          <w:rFonts w:ascii="Times New Roman" w:hAnsi="Times New Roman" w:cs="Times New Roman"/>
          <w:sz w:val="28"/>
          <w:szCs w:val="28"/>
        </w:rPr>
        <w:t xml:space="preserve">’, and this is also the approach adopted in the influential </w:t>
      </w:r>
      <w:r w:rsidR="00A7455A">
        <w:rPr>
          <w:rFonts w:ascii="Times New Roman" w:hAnsi="Times New Roman" w:cs="Times New Roman"/>
          <w:i/>
          <w:sz w:val="28"/>
          <w:szCs w:val="28"/>
        </w:rPr>
        <w:t>Model Penal Code: Sentencing.</w:t>
      </w:r>
      <w:r w:rsidR="00A7455A" w:rsidRPr="00A7455A">
        <w:rPr>
          <w:rStyle w:val="FootnoteReference"/>
          <w:rFonts w:ascii="Times New Roman" w:hAnsi="Times New Roman" w:cs="Times New Roman"/>
          <w:sz w:val="28"/>
          <w:szCs w:val="28"/>
        </w:rPr>
        <w:footnoteReference w:id="17"/>
      </w:r>
    </w:p>
    <w:p w14:paraId="59241890" w14:textId="77777777" w:rsidR="002A54BA" w:rsidRPr="003D28A8" w:rsidRDefault="002A54BA" w:rsidP="006C3028">
      <w:pPr>
        <w:spacing w:line="360" w:lineRule="auto"/>
        <w:rPr>
          <w:rFonts w:ascii="Times New Roman" w:hAnsi="Times New Roman" w:cs="Times New Roman"/>
          <w:sz w:val="28"/>
          <w:szCs w:val="28"/>
        </w:rPr>
      </w:pPr>
    </w:p>
    <w:p w14:paraId="58CF1EE2" w14:textId="77777777" w:rsidR="002A54BA" w:rsidRPr="003D28A8" w:rsidRDefault="002A54BA"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 xml:space="preserve">Returning to English law, different burdens and standards of proof apply to different elements of the case.  The courts have developed a distinction between, on the one hand, matters </w:t>
      </w:r>
      <w:r w:rsidR="00A23BD4">
        <w:rPr>
          <w:rFonts w:ascii="Times New Roman" w:hAnsi="Times New Roman" w:cs="Times New Roman"/>
          <w:sz w:val="28"/>
          <w:szCs w:val="28"/>
        </w:rPr>
        <w:t>‘</w:t>
      </w:r>
      <w:r w:rsidRPr="003D28A8">
        <w:rPr>
          <w:rFonts w:ascii="Times New Roman" w:hAnsi="Times New Roman" w:cs="Times New Roman"/>
          <w:sz w:val="28"/>
          <w:szCs w:val="28"/>
        </w:rPr>
        <w:t>directly relevant to the circ</w:t>
      </w:r>
      <w:r w:rsidR="00A23BD4">
        <w:rPr>
          <w:rFonts w:ascii="Times New Roman" w:hAnsi="Times New Roman" w:cs="Times New Roman"/>
          <w:sz w:val="28"/>
          <w:szCs w:val="28"/>
        </w:rPr>
        <w:t>umstances of the offence itself’</w:t>
      </w:r>
      <w:r w:rsidRPr="003D28A8">
        <w:rPr>
          <w:rStyle w:val="FootnoteReference"/>
          <w:rFonts w:ascii="Times New Roman" w:hAnsi="Times New Roman" w:cs="Times New Roman"/>
          <w:sz w:val="28"/>
          <w:szCs w:val="28"/>
        </w:rPr>
        <w:footnoteReference w:id="18"/>
      </w:r>
      <w:r w:rsidRPr="003D28A8">
        <w:rPr>
          <w:rFonts w:ascii="Times New Roman" w:hAnsi="Times New Roman" w:cs="Times New Roman"/>
          <w:sz w:val="28"/>
          <w:szCs w:val="28"/>
        </w:rPr>
        <w:t xml:space="preserve"> and, on the other hand, </w:t>
      </w:r>
      <w:r w:rsidR="00A23BD4">
        <w:rPr>
          <w:rFonts w:ascii="Times New Roman" w:hAnsi="Times New Roman" w:cs="Times New Roman"/>
          <w:sz w:val="28"/>
          <w:szCs w:val="28"/>
        </w:rPr>
        <w:t>‘</w:t>
      </w:r>
      <w:r w:rsidRPr="003D28A8">
        <w:rPr>
          <w:rFonts w:ascii="Times New Roman" w:hAnsi="Times New Roman" w:cs="Times New Roman"/>
          <w:sz w:val="28"/>
          <w:szCs w:val="28"/>
        </w:rPr>
        <w:t>extraneous mitigation</w:t>
      </w:r>
      <w:r w:rsidR="00A23BD4">
        <w:rPr>
          <w:rFonts w:ascii="Times New Roman" w:hAnsi="Times New Roman" w:cs="Times New Roman"/>
          <w:sz w:val="28"/>
          <w:szCs w:val="28"/>
        </w:rPr>
        <w:t>’</w:t>
      </w:r>
      <w:r w:rsidRPr="003D28A8">
        <w:rPr>
          <w:rFonts w:ascii="Times New Roman" w:hAnsi="Times New Roman" w:cs="Times New Roman"/>
          <w:sz w:val="28"/>
          <w:szCs w:val="28"/>
        </w:rPr>
        <w:t xml:space="preserve"> such as matters of personal mitigation and other matters </w:t>
      </w:r>
      <w:r w:rsidR="00A23BD4">
        <w:rPr>
          <w:rFonts w:ascii="Times New Roman" w:hAnsi="Times New Roman" w:cs="Times New Roman"/>
          <w:sz w:val="28"/>
          <w:szCs w:val="28"/>
        </w:rPr>
        <w:t>‘</w:t>
      </w:r>
      <w:r w:rsidRPr="003D28A8">
        <w:rPr>
          <w:rFonts w:ascii="Times New Roman" w:hAnsi="Times New Roman" w:cs="Times New Roman"/>
          <w:sz w:val="28"/>
          <w:szCs w:val="28"/>
        </w:rPr>
        <w:t>not connected with the facts or circumstances of the offence itself.</w:t>
      </w:r>
      <w:r w:rsidR="00A23BD4">
        <w:rPr>
          <w:rFonts w:ascii="Times New Roman" w:hAnsi="Times New Roman" w:cs="Times New Roman"/>
          <w:sz w:val="28"/>
          <w:szCs w:val="28"/>
        </w:rPr>
        <w:t>’</w:t>
      </w:r>
      <w:r w:rsidRPr="003D28A8">
        <w:rPr>
          <w:rStyle w:val="FootnoteReference"/>
          <w:rFonts w:ascii="Times New Roman" w:hAnsi="Times New Roman" w:cs="Times New Roman"/>
          <w:sz w:val="28"/>
          <w:szCs w:val="28"/>
        </w:rPr>
        <w:footnoteReference w:id="19"/>
      </w:r>
      <w:r w:rsidRPr="003D28A8">
        <w:rPr>
          <w:rFonts w:ascii="Times New Roman" w:hAnsi="Times New Roman" w:cs="Times New Roman"/>
          <w:sz w:val="28"/>
          <w:szCs w:val="28"/>
        </w:rPr>
        <w:t xml:space="preserve">  On matters directly relevant to the offence itself, the prosecution bears the burden of proof to the criminal standard: if the defendant puts forward mitigation that contests the prosecution’s version of the commission of the offence, there may or may not be a need for a </w:t>
      </w:r>
      <w:r w:rsidRPr="003D28A8">
        <w:rPr>
          <w:rFonts w:ascii="Times New Roman" w:hAnsi="Times New Roman" w:cs="Times New Roman"/>
          <w:i/>
          <w:sz w:val="28"/>
          <w:szCs w:val="28"/>
        </w:rPr>
        <w:t xml:space="preserve">Newton </w:t>
      </w:r>
      <w:r w:rsidRPr="003D28A8">
        <w:rPr>
          <w:rFonts w:ascii="Times New Roman" w:hAnsi="Times New Roman" w:cs="Times New Roman"/>
          <w:sz w:val="28"/>
          <w:szCs w:val="28"/>
        </w:rPr>
        <w:t xml:space="preserve">hearing, but the prosecution bears the burden of disproving the defence’s case.  Only if the defence puts forward some </w:t>
      </w:r>
      <w:r w:rsidR="00A23BD4">
        <w:rPr>
          <w:rFonts w:ascii="Times New Roman" w:hAnsi="Times New Roman" w:cs="Times New Roman"/>
          <w:sz w:val="28"/>
          <w:szCs w:val="28"/>
        </w:rPr>
        <w:t>‘</w:t>
      </w:r>
      <w:r w:rsidRPr="003D28A8">
        <w:rPr>
          <w:rFonts w:ascii="Times New Roman" w:hAnsi="Times New Roman" w:cs="Times New Roman"/>
          <w:sz w:val="28"/>
          <w:szCs w:val="28"/>
        </w:rPr>
        <w:t>extraneous mitigation</w:t>
      </w:r>
      <w:r w:rsidR="00A23BD4">
        <w:rPr>
          <w:rFonts w:ascii="Times New Roman" w:hAnsi="Times New Roman" w:cs="Times New Roman"/>
          <w:sz w:val="28"/>
          <w:szCs w:val="28"/>
        </w:rPr>
        <w:t>’</w:t>
      </w:r>
      <w:r w:rsidRPr="003D28A8">
        <w:rPr>
          <w:rFonts w:ascii="Times New Roman" w:hAnsi="Times New Roman" w:cs="Times New Roman"/>
          <w:sz w:val="28"/>
          <w:szCs w:val="28"/>
        </w:rPr>
        <w:t xml:space="preserve">, not connected with the facts or circumstances of the offence itself does the defence bear a burden of proof, on the balance of probabilities. Examples of </w:t>
      </w:r>
      <w:r w:rsidR="00A23BD4">
        <w:rPr>
          <w:rFonts w:ascii="Times New Roman" w:hAnsi="Times New Roman" w:cs="Times New Roman"/>
          <w:sz w:val="28"/>
          <w:szCs w:val="28"/>
        </w:rPr>
        <w:t>‘</w:t>
      </w:r>
      <w:r w:rsidRPr="003D28A8">
        <w:rPr>
          <w:rFonts w:ascii="Times New Roman" w:hAnsi="Times New Roman" w:cs="Times New Roman"/>
          <w:sz w:val="28"/>
          <w:szCs w:val="28"/>
        </w:rPr>
        <w:t>extraneous mitigation</w:t>
      </w:r>
      <w:r w:rsidR="00A23BD4">
        <w:rPr>
          <w:rFonts w:ascii="Times New Roman" w:hAnsi="Times New Roman" w:cs="Times New Roman"/>
          <w:sz w:val="28"/>
          <w:szCs w:val="28"/>
        </w:rPr>
        <w:t>’</w:t>
      </w:r>
      <w:r w:rsidRPr="003D28A8">
        <w:rPr>
          <w:rFonts w:ascii="Times New Roman" w:hAnsi="Times New Roman" w:cs="Times New Roman"/>
          <w:sz w:val="28"/>
          <w:szCs w:val="28"/>
        </w:rPr>
        <w:t xml:space="preserve"> might be the effect of a prison sentence on the defendant’s family, the defendant’s state of health, or the defendant’s means to pay a financial penalty.</w:t>
      </w:r>
      <w:r w:rsidRPr="003D28A8">
        <w:rPr>
          <w:rStyle w:val="FootnoteReference"/>
          <w:rFonts w:ascii="Times New Roman" w:hAnsi="Times New Roman" w:cs="Times New Roman"/>
          <w:sz w:val="28"/>
          <w:szCs w:val="28"/>
        </w:rPr>
        <w:footnoteReference w:id="20"/>
      </w:r>
      <w:r w:rsidRPr="003D28A8">
        <w:rPr>
          <w:rFonts w:ascii="Times New Roman" w:hAnsi="Times New Roman" w:cs="Times New Roman"/>
          <w:sz w:val="28"/>
          <w:szCs w:val="28"/>
        </w:rPr>
        <w:t xml:space="preserve">  </w:t>
      </w:r>
    </w:p>
    <w:p w14:paraId="1CE0A463" w14:textId="77777777" w:rsidR="002A54BA" w:rsidRDefault="002A54BA" w:rsidP="006C3028">
      <w:pPr>
        <w:spacing w:line="360" w:lineRule="auto"/>
        <w:rPr>
          <w:rFonts w:ascii="Times New Roman" w:hAnsi="Times New Roman" w:cs="Times New Roman"/>
          <w:sz w:val="28"/>
          <w:szCs w:val="28"/>
        </w:rPr>
      </w:pPr>
    </w:p>
    <w:p w14:paraId="643362C5" w14:textId="10AAE4B3" w:rsidR="00FD575B" w:rsidRDefault="00FD575B" w:rsidP="006C3028">
      <w:pPr>
        <w:spacing w:line="360" w:lineRule="auto"/>
        <w:rPr>
          <w:rFonts w:ascii="Times New Roman" w:hAnsi="Times New Roman" w:cs="Times New Roman"/>
          <w:sz w:val="28"/>
          <w:szCs w:val="28"/>
        </w:rPr>
      </w:pPr>
      <w:r>
        <w:rPr>
          <w:rFonts w:ascii="Times New Roman" w:hAnsi="Times New Roman" w:cs="Times New Roman"/>
          <w:sz w:val="28"/>
          <w:szCs w:val="28"/>
        </w:rPr>
        <w:t xml:space="preserve">The Court of Appeal held in </w:t>
      </w:r>
      <w:r>
        <w:rPr>
          <w:rFonts w:ascii="Times New Roman" w:hAnsi="Times New Roman" w:cs="Times New Roman"/>
          <w:i/>
          <w:sz w:val="28"/>
          <w:szCs w:val="28"/>
        </w:rPr>
        <w:t>Bush</w:t>
      </w:r>
      <w:r w:rsidRPr="00E52B4A">
        <w:rPr>
          <w:rStyle w:val="FootnoteReference"/>
          <w:rFonts w:ascii="Times New Roman" w:hAnsi="Times New Roman" w:cs="Times New Roman"/>
          <w:sz w:val="28"/>
          <w:szCs w:val="28"/>
        </w:rPr>
        <w:footnoteReference w:id="21"/>
      </w:r>
      <w:r>
        <w:rPr>
          <w:rFonts w:ascii="Times New Roman" w:hAnsi="Times New Roman" w:cs="Times New Roman"/>
          <w:i/>
          <w:sz w:val="28"/>
          <w:szCs w:val="28"/>
        </w:rPr>
        <w:t xml:space="preserve"> </w:t>
      </w:r>
      <w:r>
        <w:rPr>
          <w:rFonts w:ascii="Times New Roman" w:hAnsi="Times New Roman" w:cs="Times New Roman"/>
          <w:sz w:val="28"/>
          <w:szCs w:val="28"/>
        </w:rPr>
        <w:t>that where aggravating factors are relied upon by the prosecution a proper foundation should be laid for them, and that it was ‘unhelpful’ for the prosecution simply to list matters such as ‘timing’ or ‘location’ of the offence as making that offence more serious without clarifying what particular feature of the case was being relied upon.</w:t>
      </w:r>
    </w:p>
    <w:p w14:paraId="2CE18EE3" w14:textId="77777777" w:rsidR="00FD575B" w:rsidRPr="003D28A8" w:rsidRDefault="00FD575B" w:rsidP="006C3028">
      <w:pPr>
        <w:spacing w:line="360" w:lineRule="auto"/>
        <w:rPr>
          <w:rFonts w:ascii="Times New Roman" w:hAnsi="Times New Roman" w:cs="Times New Roman"/>
          <w:sz w:val="28"/>
          <w:szCs w:val="28"/>
        </w:rPr>
      </w:pPr>
    </w:p>
    <w:p w14:paraId="710F2D19" w14:textId="54A70088" w:rsidR="002A54BA" w:rsidRPr="003D28A8" w:rsidRDefault="002A54BA"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 xml:space="preserve">The distinction between matters relevant to the offence itself and </w:t>
      </w:r>
      <w:r w:rsidR="00A23BD4">
        <w:rPr>
          <w:rFonts w:ascii="Times New Roman" w:hAnsi="Times New Roman" w:cs="Times New Roman"/>
          <w:sz w:val="28"/>
          <w:szCs w:val="28"/>
        </w:rPr>
        <w:t>‘</w:t>
      </w:r>
      <w:r w:rsidRPr="003D28A8">
        <w:rPr>
          <w:rFonts w:ascii="Times New Roman" w:hAnsi="Times New Roman" w:cs="Times New Roman"/>
          <w:sz w:val="28"/>
          <w:szCs w:val="28"/>
        </w:rPr>
        <w:t>extraneous mitigation</w:t>
      </w:r>
      <w:r w:rsidR="00A23BD4">
        <w:rPr>
          <w:rFonts w:ascii="Times New Roman" w:hAnsi="Times New Roman" w:cs="Times New Roman"/>
          <w:sz w:val="28"/>
          <w:szCs w:val="28"/>
        </w:rPr>
        <w:t>’</w:t>
      </w:r>
      <w:r w:rsidRPr="003D28A8">
        <w:rPr>
          <w:rFonts w:ascii="Times New Roman" w:hAnsi="Times New Roman" w:cs="Times New Roman"/>
          <w:sz w:val="28"/>
          <w:szCs w:val="28"/>
        </w:rPr>
        <w:t xml:space="preserve"> may be illustrated by reference to </w:t>
      </w:r>
      <w:proofErr w:type="spellStart"/>
      <w:r w:rsidRPr="003D28A8">
        <w:rPr>
          <w:rFonts w:ascii="Times New Roman" w:hAnsi="Times New Roman" w:cs="Times New Roman"/>
          <w:i/>
          <w:sz w:val="28"/>
          <w:szCs w:val="28"/>
        </w:rPr>
        <w:t>Lashari</w:t>
      </w:r>
      <w:proofErr w:type="spellEnd"/>
      <w:r w:rsidRPr="003D28A8">
        <w:rPr>
          <w:rFonts w:ascii="Times New Roman" w:hAnsi="Times New Roman" w:cs="Times New Roman"/>
          <w:sz w:val="28"/>
          <w:szCs w:val="28"/>
        </w:rPr>
        <w:t>.</w:t>
      </w:r>
      <w:r w:rsidRPr="003D28A8">
        <w:rPr>
          <w:rStyle w:val="FootnoteReference"/>
          <w:rFonts w:ascii="Times New Roman" w:hAnsi="Times New Roman" w:cs="Times New Roman"/>
          <w:sz w:val="28"/>
          <w:szCs w:val="28"/>
        </w:rPr>
        <w:footnoteReference w:id="22"/>
      </w:r>
      <w:r w:rsidRPr="003D28A8">
        <w:rPr>
          <w:rFonts w:ascii="Times New Roman" w:hAnsi="Times New Roman" w:cs="Times New Roman"/>
          <w:sz w:val="28"/>
          <w:szCs w:val="28"/>
        </w:rPr>
        <w:t xml:space="preserve">  L pleaded guilty to possession of a prohibited firearm, contrary to s.5(1)(aba) of the Firearms Act 1968, but argued that the minimum sentence of 5 years’ imprisonment should not be imposed because there were </w:t>
      </w:r>
      <w:r w:rsidR="00A23BD4">
        <w:rPr>
          <w:rFonts w:ascii="Times New Roman" w:hAnsi="Times New Roman" w:cs="Times New Roman"/>
          <w:sz w:val="28"/>
          <w:szCs w:val="28"/>
        </w:rPr>
        <w:t>‘</w:t>
      </w:r>
      <w:r w:rsidRPr="003D28A8">
        <w:rPr>
          <w:rFonts w:ascii="Times New Roman" w:hAnsi="Times New Roman" w:cs="Times New Roman"/>
          <w:sz w:val="28"/>
          <w:szCs w:val="28"/>
        </w:rPr>
        <w:t>exceptional circumstances</w:t>
      </w:r>
      <w:r w:rsidR="00A23BD4">
        <w:rPr>
          <w:rFonts w:ascii="Times New Roman" w:hAnsi="Times New Roman" w:cs="Times New Roman"/>
          <w:sz w:val="28"/>
          <w:szCs w:val="28"/>
        </w:rPr>
        <w:t>’</w:t>
      </w:r>
      <w:r w:rsidRPr="003D28A8">
        <w:rPr>
          <w:rFonts w:ascii="Times New Roman" w:hAnsi="Times New Roman" w:cs="Times New Roman"/>
          <w:sz w:val="28"/>
          <w:szCs w:val="28"/>
        </w:rPr>
        <w:t xml:space="preserve"> – that L found the gun in a car park, placed it in the boot of his car, and then forgot about it.  The trial judge appeared to hold that these circumstances were </w:t>
      </w:r>
      <w:r w:rsidR="00A23BD4">
        <w:rPr>
          <w:rFonts w:ascii="Times New Roman" w:hAnsi="Times New Roman" w:cs="Times New Roman"/>
          <w:sz w:val="28"/>
          <w:szCs w:val="28"/>
        </w:rPr>
        <w:t>‘</w:t>
      </w:r>
      <w:r w:rsidRPr="003D28A8">
        <w:rPr>
          <w:rFonts w:ascii="Times New Roman" w:hAnsi="Times New Roman" w:cs="Times New Roman"/>
          <w:sz w:val="28"/>
          <w:szCs w:val="28"/>
        </w:rPr>
        <w:t>extraneous</w:t>
      </w:r>
      <w:r w:rsidR="00A23BD4">
        <w:rPr>
          <w:rFonts w:ascii="Times New Roman" w:hAnsi="Times New Roman" w:cs="Times New Roman"/>
          <w:sz w:val="28"/>
          <w:szCs w:val="28"/>
        </w:rPr>
        <w:t>’</w:t>
      </w:r>
      <w:r w:rsidRPr="003D28A8">
        <w:rPr>
          <w:rFonts w:ascii="Times New Roman" w:hAnsi="Times New Roman" w:cs="Times New Roman"/>
          <w:sz w:val="28"/>
          <w:szCs w:val="28"/>
        </w:rPr>
        <w:t xml:space="preserve"> to the offence and therefore that the defence had the burden of proving them to the civil standard (balance of probabilities). However, the Court of Appeal concluded that L’s </w:t>
      </w:r>
      <w:r w:rsidR="0005469E">
        <w:rPr>
          <w:rFonts w:ascii="Times New Roman" w:hAnsi="Times New Roman" w:cs="Times New Roman"/>
          <w:sz w:val="28"/>
          <w:szCs w:val="28"/>
        </w:rPr>
        <w:t>account</w:t>
      </w:r>
      <w:r w:rsidRPr="003D28A8">
        <w:rPr>
          <w:rFonts w:ascii="Times New Roman" w:hAnsi="Times New Roman" w:cs="Times New Roman"/>
          <w:sz w:val="28"/>
          <w:szCs w:val="28"/>
        </w:rPr>
        <w:t xml:space="preserve"> about how he came to possess the gun was directly relevant to the circumstances of the offence itself, being the basis of the argument for </w:t>
      </w:r>
      <w:r w:rsidR="00A23BD4">
        <w:rPr>
          <w:rFonts w:ascii="Times New Roman" w:hAnsi="Times New Roman" w:cs="Times New Roman"/>
          <w:sz w:val="28"/>
          <w:szCs w:val="28"/>
        </w:rPr>
        <w:t>‘</w:t>
      </w:r>
      <w:r w:rsidRPr="003D28A8">
        <w:rPr>
          <w:rFonts w:ascii="Times New Roman" w:hAnsi="Times New Roman" w:cs="Times New Roman"/>
          <w:sz w:val="28"/>
          <w:szCs w:val="28"/>
        </w:rPr>
        <w:t>exceptional circumstances</w:t>
      </w:r>
      <w:r w:rsidR="00A23BD4">
        <w:rPr>
          <w:rFonts w:ascii="Times New Roman" w:hAnsi="Times New Roman" w:cs="Times New Roman"/>
          <w:sz w:val="28"/>
          <w:szCs w:val="28"/>
        </w:rPr>
        <w:t>’</w:t>
      </w:r>
      <w:r w:rsidRPr="003D28A8">
        <w:rPr>
          <w:rFonts w:ascii="Times New Roman" w:hAnsi="Times New Roman" w:cs="Times New Roman"/>
          <w:sz w:val="28"/>
          <w:szCs w:val="28"/>
        </w:rPr>
        <w:t xml:space="preserve">. As such, the prosecution had the burden of proving beyond a reasonable doubt that the defendant’s </w:t>
      </w:r>
      <w:r w:rsidR="0005469E">
        <w:rPr>
          <w:rFonts w:ascii="Times New Roman" w:hAnsi="Times New Roman" w:cs="Times New Roman"/>
          <w:sz w:val="28"/>
          <w:szCs w:val="28"/>
        </w:rPr>
        <w:t>version</w:t>
      </w:r>
      <w:r w:rsidRPr="003D28A8">
        <w:rPr>
          <w:rFonts w:ascii="Times New Roman" w:hAnsi="Times New Roman" w:cs="Times New Roman"/>
          <w:sz w:val="28"/>
          <w:szCs w:val="28"/>
        </w:rPr>
        <w:t xml:space="preserve"> was untrue. The Court of Appeal held that the judge had misdirected himself, applying the wrong requirements of proof, although it went on to uphold the judge’s finding that there were no </w:t>
      </w:r>
      <w:r w:rsidR="00A23BD4">
        <w:rPr>
          <w:rFonts w:ascii="Times New Roman" w:hAnsi="Times New Roman" w:cs="Times New Roman"/>
          <w:sz w:val="28"/>
          <w:szCs w:val="28"/>
        </w:rPr>
        <w:t>‘</w:t>
      </w:r>
      <w:r w:rsidRPr="003D28A8">
        <w:rPr>
          <w:rFonts w:ascii="Times New Roman" w:hAnsi="Times New Roman" w:cs="Times New Roman"/>
          <w:sz w:val="28"/>
          <w:szCs w:val="28"/>
        </w:rPr>
        <w:t>exceptional circumstances</w:t>
      </w:r>
      <w:r w:rsidR="00A23BD4">
        <w:rPr>
          <w:rFonts w:ascii="Times New Roman" w:hAnsi="Times New Roman" w:cs="Times New Roman"/>
          <w:sz w:val="28"/>
          <w:szCs w:val="28"/>
        </w:rPr>
        <w:t>’</w:t>
      </w:r>
      <w:r w:rsidRPr="003D28A8">
        <w:rPr>
          <w:rFonts w:ascii="Times New Roman" w:hAnsi="Times New Roman" w:cs="Times New Roman"/>
          <w:sz w:val="28"/>
          <w:szCs w:val="28"/>
        </w:rPr>
        <w:t xml:space="preserve"> sufficient to justify not imposing the minimum sentence.</w:t>
      </w:r>
      <w:r w:rsidR="000A4AEE">
        <w:rPr>
          <w:rStyle w:val="FootnoteReference"/>
          <w:rFonts w:ascii="Times New Roman" w:hAnsi="Times New Roman" w:cs="Times New Roman"/>
          <w:sz w:val="28"/>
          <w:szCs w:val="28"/>
        </w:rPr>
        <w:footnoteReference w:id="23"/>
      </w:r>
    </w:p>
    <w:p w14:paraId="6E420EB1" w14:textId="77777777" w:rsidR="002A54BA" w:rsidRDefault="002A54BA" w:rsidP="006C3028">
      <w:pPr>
        <w:spacing w:line="360" w:lineRule="auto"/>
        <w:rPr>
          <w:rFonts w:ascii="Times New Roman" w:hAnsi="Times New Roman" w:cs="Times New Roman"/>
          <w:sz w:val="28"/>
          <w:szCs w:val="28"/>
        </w:rPr>
      </w:pPr>
    </w:p>
    <w:p w14:paraId="16B1E8E9" w14:textId="77777777" w:rsidR="0061798C" w:rsidRPr="003D28A8" w:rsidRDefault="0061798C" w:rsidP="006C3028">
      <w:pPr>
        <w:spacing w:line="360" w:lineRule="auto"/>
        <w:rPr>
          <w:rFonts w:ascii="Times New Roman" w:hAnsi="Times New Roman" w:cs="Times New Roman"/>
          <w:sz w:val="28"/>
          <w:szCs w:val="28"/>
        </w:rPr>
      </w:pPr>
    </w:p>
    <w:p w14:paraId="773A8AD1" w14:textId="77777777" w:rsidR="002A54BA" w:rsidRPr="003D28A8" w:rsidRDefault="002A54BA" w:rsidP="006C3028">
      <w:pPr>
        <w:spacing w:line="360" w:lineRule="auto"/>
        <w:rPr>
          <w:rFonts w:ascii="Times New Roman" w:hAnsi="Times New Roman" w:cs="Times New Roman"/>
          <w:b/>
          <w:sz w:val="28"/>
          <w:szCs w:val="28"/>
        </w:rPr>
      </w:pPr>
      <w:r w:rsidRPr="003D28A8">
        <w:rPr>
          <w:rFonts w:ascii="Times New Roman" w:hAnsi="Times New Roman" w:cs="Times New Roman"/>
          <w:b/>
          <w:sz w:val="28"/>
          <w:szCs w:val="28"/>
        </w:rPr>
        <w:t>(2) NEWTON HEARINGS</w:t>
      </w:r>
    </w:p>
    <w:p w14:paraId="1BEC7122" w14:textId="77777777" w:rsidR="002A54BA" w:rsidRPr="003D28A8" w:rsidRDefault="002A54BA" w:rsidP="006C3028">
      <w:pPr>
        <w:spacing w:line="360" w:lineRule="auto"/>
        <w:rPr>
          <w:rFonts w:ascii="Times New Roman" w:hAnsi="Times New Roman" w:cs="Times New Roman"/>
          <w:sz w:val="28"/>
          <w:szCs w:val="28"/>
        </w:rPr>
      </w:pPr>
    </w:p>
    <w:p w14:paraId="58BCECE8" w14:textId="77777777" w:rsidR="00A23BD4" w:rsidRDefault="002A54BA"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 xml:space="preserve">The parameters applicable to </w:t>
      </w:r>
      <w:r w:rsidRPr="003D28A8">
        <w:rPr>
          <w:rFonts w:ascii="Times New Roman" w:hAnsi="Times New Roman" w:cs="Times New Roman"/>
          <w:i/>
          <w:sz w:val="28"/>
          <w:szCs w:val="28"/>
        </w:rPr>
        <w:t>Newton</w:t>
      </w:r>
      <w:r w:rsidRPr="003D28A8">
        <w:rPr>
          <w:rFonts w:ascii="Times New Roman" w:hAnsi="Times New Roman" w:cs="Times New Roman"/>
          <w:sz w:val="28"/>
          <w:szCs w:val="28"/>
        </w:rPr>
        <w:t xml:space="preserve"> hearings (also commonly referred to as ‘trials of issue’) </w:t>
      </w:r>
      <w:r w:rsidR="00B44531">
        <w:rPr>
          <w:rFonts w:ascii="Times New Roman" w:hAnsi="Times New Roman" w:cs="Times New Roman"/>
          <w:sz w:val="28"/>
          <w:szCs w:val="28"/>
        </w:rPr>
        <w:t xml:space="preserve">are now well settled and can be shortly </w:t>
      </w:r>
      <w:r w:rsidRPr="003D28A8">
        <w:rPr>
          <w:rFonts w:ascii="Times New Roman" w:hAnsi="Times New Roman" w:cs="Times New Roman"/>
          <w:sz w:val="28"/>
          <w:szCs w:val="28"/>
        </w:rPr>
        <w:t>summarised</w:t>
      </w:r>
      <w:r w:rsidR="00B44531">
        <w:rPr>
          <w:rFonts w:ascii="Times New Roman" w:hAnsi="Times New Roman" w:cs="Times New Roman"/>
          <w:sz w:val="28"/>
          <w:szCs w:val="28"/>
        </w:rPr>
        <w:t xml:space="preserve">. </w:t>
      </w:r>
    </w:p>
    <w:p w14:paraId="62D96C07" w14:textId="77777777" w:rsidR="00A23BD4" w:rsidRDefault="00A23BD4" w:rsidP="006C3028">
      <w:pPr>
        <w:spacing w:line="360" w:lineRule="auto"/>
        <w:rPr>
          <w:rFonts w:ascii="Times New Roman" w:hAnsi="Times New Roman" w:cs="Times New Roman"/>
          <w:sz w:val="28"/>
          <w:szCs w:val="28"/>
        </w:rPr>
      </w:pPr>
    </w:p>
    <w:p w14:paraId="4A122A06" w14:textId="644E3AAF" w:rsidR="002A54BA" w:rsidRPr="003D28A8" w:rsidRDefault="00B44531" w:rsidP="006C3028">
      <w:pPr>
        <w:spacing w:line="360" w:lineRule="auto"/>
        <w:rPr>
          <w:rFonts w:ascii="Times New Roman" w:hAnsi="Times New Roman" w:cs="Times New Roman"/>
          <w:sz w:val="28"/>
          <w:szCs w:val="28"/>
        </w:rPr>
      </w:pPr>
      <w:r>
        <w:rPr>
          <w:rFonts w:ascii="Times New Roman" w:hAnsi="Times New Roman" w:cs="Times New Roman"/>
          <w:sz w:val="28"/>
          <w:szCs w:val="28"/>
        </w:rPr>
        <w:t xml:space="preserve">D should be </w:t>
      </w:r>
      <w:r w:rsidR="002A54BA" w:rsidRPr="003D28A8">
        <w:rPr>
          <w:rFonts w:ascii="Times New Roman" w:hAnsi="Times New Roman" w:cs="Times New Roman"/>
          <w:sz w:val="28"/>
          <w:szCs w:val="28"/>
        </w:rPr>
        <w:t>sentenced on a basis which accurately reflects the facts</w:t>
      </w:r>
      <w:r>
        <w:rPr>
          <w:rFonts w:ascii="Times New Roman" w:hAnsi="Times New Roman" w:cs="Times New Roman"/>
          <w:sz w:val="28"/>
          <w:szCs w:val="28"/>
        </w:rPr>
        <w:t>.</w:t>
      </w:r>
      <w:r w:rsidR="0042114A">
        <w:rPr>
          <w:rStyle w:val="FootnoteReference"/>
          <w:rFonts w:ascii="Times New Roman" w:hAnsi="Times New Roman" w:cs="Times New Roman"/>
          <w:sz w:val="28"/>
          <w:szCs w:val="28"/>
        </w:rPr>
        <w:footnoteReference w:id="24"/>
      </w:r>
      <w:r>
        <w:rPr>
          <w:rFonts w:ascii="Times New Roman" w:hAnsi="Times New Roman" w:cs="Times New Roman"/>
          <w:sz w:val="28"/>
          <w:szCs w:val="28"/>
        </w:rPr>
        <w:t xml:space="preserve"> If the </w:t>
      </w:r>
      <w:r w:rsidR="002A54BA" w:rsidRPr="003D28A8">
        <w:rPr>
          <w:rFonts w:ascii="Times New Roman" w:hAnsi="Times New Roman" w:cs="Times New Roman"/>
          <w:sz w:val="28"/>
          <w:szCs w:val="28"/>
        </w:rPr>
        <w:t xml:space="preserve">resolution of the facts </w:t>
      </w:r>
      <w:r w:rsidR="00BD40E8">
        <w:rPr>
          <w:rFonts w:ascii="Times New Roman" w:hAnsi="Times New Roman" w:cs="Times New Roman"/>
          <w:sz w:val="28"/>
          <w:szCs w:val="28"/>
        </w:rPr>
        <w:t>i</w:t>
      </w:r>
      <w:r w:rsidR="002A54BA" w:rsidRPr="003D28A8">
        <w:rPr>
          <w:rFonts w:ascii="Times New Roman" w:hAnsi="Times New Roman" w:cs="Times New Roman"/>
          <w:sz w:val="28"/>
          <w:szCs w:val="28"/>
        </w:rPr>
        <w:t xml:space="preserve">n dispute </w:t>
      </w:r>
      <w:r>
        <w:rPr>
          <w:rFonts w:ascii="Times New Roman" w:hAnsi="Times New Roman" w:cs="Times New Roman"/>
          <w:sz w:val="28"/>
          <w:szCs w:val="28"/>
        </w:rPr>
        <w:t>will make a difference to</w:t>
      </w:r>
      <w:r w:rsidR="002A54BA" w:rsidRPr="003D28A8">
        <w:rPr>
          <w:rFonts w:ascii="Times New Roman" w:hAnsi="Times New Roman" w:cs="Times New Roman"/>
          <w:sz w:val="28"/>
          <w:szCs w:val="28"/>
        </w:rPr>
        <w:t xml:space="preserve"> the sentencing </w:t>
      </w:r>
      <w:r>
        <w:rPr>
          <w:rFonts w:ascii="Times New Roman" w:hAnsi="Times New Roman" w:cs="Times New Roman"/>
          <w:sz w:val="28"/>
          <w:szCs w:val="28"/>
        </w:rPr>
        <w:t xml:space="preserve">outcome </w:t>
      </w:r>
      <w:r w:rsidR="002A54BA" w:rsidRPr="003D28A8">
        <w:rPr>
          <w:rFonts w:ascii="Times New Roman" w:hAnsi="Times New Roman" w:cs="Times New Roman"/>
          <w:sz w:val="28"/>
          <w:szCs w:val="28"/>
        </w:rPr>
        <w:t xml:space="preserve">the defence should </w:t>
      </w:r>
      <w:r>
        <w:rPr>
          <w:rFonts w:ascii="Times New Roman" w:hAnsi="Times New Roman" w:cs="Times New Roman"/>
          <w:sz w:val="28"/>
          <w:szCs w:val="28"/>
        </w:rPr>
        <w:t xml:space="preserve">notify </w:t>
      </w:r>
      <w:r w:rsidR="002A54BA" w:rsidRPr="003D28A8">
        <w:rPr>
          <w:rFonts w:ascii="Times New Roman" w:hAnsi="Times New Roman" w:cs="Times New Roman"/>
          <w:sz w:val="28"/>
          <w:szCs w:val="28"/>
        </w:rPr>
        <w:t>the prosecutor as to the area and extent of the dispute</w:t>
      </w:r>
      <w:r>
        <w:rPr>
          <w:rFonts w:ascii="Times New Roman" w:hAnsi="Times New Roman" w:cs="Times New Roman"/>
          <w:sz w:val="28"/>
          <w:szCs w:val="28"/>
        </w:rPr>
        <w:t xml:space="preserve">. The </w:t>
      </w:r>
      <w:r w:rsidR="002A54BA" w:rsidRPr="003D28A8">
        <w:rPr>
          <w:rFonts w:ascii="Times New Roman" w:hAnsi="Times New Roman" w:cs="Times New Roman"/>
          <w:sz w:val="28"/>
          <w:szCs w:val="28"/>
        </w:rPr>
        <w:t xml:space="preserve">prosecution may agree </w:t>
      </w:r>
      <w:r>
        <w:rPr>
          <w:rFonts w:ascii="Times New Roman" w:hAnsi="Times New Roman" w:cs="Times New Roman"/>
          <w:sz w:val="28"/>
          <w:szCs w:val="28"/>
        </w:rPr>
        <w:t xml:space="preserve">D’s </w:t>
      </w:r>
      <w:r w:rsidR="002A54BA" w:rsidRPr="003D28A8">
        <w:rPr>
          <w:rFonts w:ascii="Times New Roman" w:hAnsi="Times New Roman" w:cs="Times New Roman"/>
          <w:sz w:val="28"/>
          <w:szCs w:val="28"/>
        </w:rPr>
        <w:t>version of the facts, but the agreed basis is conditional upon the judge’s acceptance of it</w:t>
      </w:r>
      <w:r>
        <w:rPr>
          <w:rFonts w:ascii="Times New Roman" w:hAnsi="Times New Roman" w:cs="Times New Roman"/>
          <w:sz w:val="28"/>
          <w:szCs w:val="28"/>
        </w:rPr>
        <w:t>.  If</w:t>
      </w:r>
      <w:r w:rsidR="002A54BA" w:rsidRPr="003D28A8">
        <w:rPr>
          <w:rFonts w:ascii="Times New Roman" w:hAnsi="Times New Roman" w:cs="Times New Roman"/>
          <w:sz w:val="28"/>
          <w:szCs w:val="28"/>
        </w:rPr>
        <w:t xml:space="preserve"> the prosecution rejects </w:t>
      </w:r>
      <w:r>
        <w:rPr>
          <w:rFonts w:ascii="Times New Roman" w:hAnsi="Times New Roman" w:cs="Times New Roman"/>
          <w:sz w:val="28"/>
          <w:szCs w:val="28"/>
        </w:rPr>
        <w:t xml:space="preserve">D’s </w:t>
      </w:r>
      <w:r w:rsidR="002A54BA" w:rsidRPr="003D28A8">
        <w:rPr>
          <w:rFonts w:ascii="Times New Roman" w:hAnsi="Times New Roman" w:cs="Times New Roman"/>
          <w:sz w:val="28"/>
          <w:szCs w:val="28"/>
        </w:rPr>
        <w:t xml:space="preserve">version the area of disagreement </w:t>
      </w:r>
      <w:r>
        <w:rPr>
          <w:rFonts w:ascii="Times New Roman" w:hAnsi="Times New Roman" w:cs="Times New Roman"/>
          <w:sz w:val="28"/>
          <w:szCs w:val="28"/>
        </w:rPr>
        <w:t>must</w:t>
      </w:r>
      <w:r w:rsidR="002A54BA" w:rsidRPr="003D28A8">
        <w:rPr>
          <w:rFonts w:ascii="Times New Roman" w:hAnsi="Times New Roman" w:cs="Times New Roman"/>
          <w:sz w:val="28"/>
          <w:szCs w:val="28"/>
        </w:rPr>
        <w:t xml:space="preserve"> be clearly identified</w:t>
      </w:r>
      <w:r>
        <w:rPr>
          <w:rFonts w:ascii="Times New Roman" w:hAnsi="Times New Roman" w:cs="Times New Roman"/>
          <w:sz w:val="28"/>
          <w:szCs w:val="28"/>
        </w:rPr>
        <w:t xml:space="preserve">. If the </w:t>
      </w:r>
      <w:r w:rsidR="002A54BA" w:rsidRPr="003D28A8">
        <w:rPr>
          <w:rFonts w:ascii="Times New Roman" w:hAnsi="Times New Roman" w:cs="Times New Roman"/>
          <w:sz w:val="28"/>
          <w:szCs w:val="28"/>
        </w:rPr>
        <w:t xml:space="preserve">prosecution does not have evidence to dispute </w:t>
      </w:r>
      <w:r>
        <w:rPr>
          <w:rFonts w:ascii="Times New Roman" w:hAnsi="Times New Roman" w:cs="Times New Roman"/>
          <w:sz w:val="28"/>
          <w:szCs w:val="28"/>
        </w:rPr>
        <w:t>D’s</w:t>
      </w:r>
      <w:r w:rsidR="002A54BA" w:rsidRPr="003D28A8">
        <w:rPr>
          <w:rFonts w:ascii="Times New Roman" w:hAnsi="Times New Roman" w:cs="Times New Roman"/>
          <w:sz w:val="28"/>
          <w:szCs w:val="28"/>
        </w:rPr>
        <w:t xml:space="preserve"> version (such as where the matter is outside the knowledge of the prosecution) the prosecution should make that clear</w:t>
      </w:r>
      <w:r>
        <w:rPr>
          <w:rFonts w:ascii="Times New Roman" w:hAnsi="Times New Roman" w:cs="Times New Roman"/>
          <w:sz w:val="28"/>
          <w:szCs w:val="28"/>
        </w:rPr>
        <w:t>,</w:t>
      </w:r>
      <w:r w:rsidR="002A54BA" w:rsidRPr="003D28A8">
        <w:rPr>
          <w:rFonts w:ascii="Times New Roman" w:hAnsi="Times New Roman" w:cs="Times New Roman"/>
          <w:sz w:val="28"/>
          <w:szCs w:val="28"/>
        </w:rPr>
        <w:t xml:space="preserve"> but that does not mean that </w:t>
      </w:r>
      <w:r>
        <w:rPr>
          <w:rFonts w:ascii="Times New Roman" w:hAnsi="Times New Roman" w:cs="Times New Roman"/>
          <w:sz w:val="28"/>
          <w:szCs w:val="28"/>
        </w:rPr>
        <w:t xml:space="preserve">D’s </w:t>
      </w:r>
      <w:r w:rsidR="002A54BA" w:rsidRPr="003D28A8">
        <w:rPr>
          <w:rFonts w:ascii="Times New Roman" w:hAnsi="Times New Roman" w:cs="Times New Roman"/>
          <w:sz w:val="28"/>
          <w:szCs w:val="28"/>
        </w:rPr>
        <w:t xml:space="preserve">version </w:t>
      </w:r>
      <w:r>
        <w:rPr>
          <w:rFonts w:ascii="Times New Roman" w:hAnsi="Times New Roman" w:cs="Times New Roman"/>
          <w:sz w:val="28"/>
          <w:szCs w:val="28"/>
        </w:rPr>
        <w:t>can simply b</w:t>
      </w:r>
      <w:r w:rsidR="002A54BA" w:rsidRPr="003D28A8">
        <w:rPr>
          <w:rFonts w:ascii="Times New Roman" w:hAnsi="Times New Roman" w:cs="Times New Roman"/>
          <w:sz w:val="28"/>
          <w:szCs w:val="28"/>
        </w:rPr>
        <w:t>e agreed as true.</w:t>
      </w:r>
      <w:r>
        <w:rPr>
          <w:rFonts w:ascii="Times New Roman" w:hAnsi="Times New Roman" w:cs="Times New Roman"/>
          <w:sz w:val="28"/>
          <w:szCs w:val="28"/>
        </w:rPr>
        <w:t xml:space="preserve"> Whether the </w:t>
      </w:r>
      <w:r w:rsidR="002A54BA" w:rsidRPr="003D28A8">
        <w:rPr>
          <w:rFonts w:ascii="Times New Roman" w:hAnsi="Times New Roman" w:cs="Times New Roman"/>
          <w:sz w:val="28"/>
          <w:szCs w:val="28"/>
        </w:rPr>
        <w:t>basis of plea is agreed or not</w:t>
      </w:r>
      <w:r w:rsidR="00102471">
        <w:rPr>
          <w:rFonts w:ascii="Times New Roman" w:hAnsi="Times New Roman" w:cs="Times New Roman"/>
          <w:sz w:val="28"/>
          <w:szCs w:val="28"/>
        </w:rPr>
        <w:t>,</w:t>
      </w:r>
      <w:r w:rsidR="002A54BA" w:rsidRPr="003D28A8">
        <w:rPr>
          <w:rFonts w:ascii="Times New Roman" w:hAnsi="Times New Roman" w:cs="Times New Roman"/>
          <w:sz w:val="28"/>
          <w:szCs w:val="28"/>
        </w:rPr>
        <w:t xml:space="preserve"> </w:t>
      </w:r>
      <w:r w:rsidR="00102471">
        <w:rPr>
          <w:rFonts w:ascii="Times New Roman" w:hAnsi="Times New Roman" w:cs="Times New Roman"/>
          <w:sz w:val="28"/>
          <w:szCs w:val="28"/>
        </w:rPr>
        <w:t xml:space="preserve">the judge is not bound by it and </w:t>
      </w:r>
      <w:r w:rsidR="002A54BA" w:rsidRPr="003D28A8">
        <w:rPr>
          <w:rFonts w:ascii="Times New Roman" w:hAnsi="Times New Roman" w:cs="Times New Roman"/>
          <w:sz w:val="28"/>
          <w:szCs w:val="28"/>
        </w:rPr>
        <w:t>the judge is entitled to require evidence to be called</w:t>
      </w:r>
      <w:r>
        <w:rPr>
          <w:rFonts w:ascii="Times New Roman" w:hAnsi="Times New Roman" w:cs="Times New Roman"/>
          <w:sz w:val="28"/>
          <w:szCs w:val="28"/>
        </w:rPr>
        <w:t>,</w:t>
      </w:r>
      <w:r w:rsidR="002A54BA" w:rsidRPr="003D28A8">
        <w:rPr>
          <w:rFonts w:ascii="Times New Roman" w:hAnsi="Times New Roman" w:cs="Times New Roman"/>
          <w:sz w:val="28"/>
          <w:szCs w:val="28"/>
        </w:rPr>
        <w:t xml:space="preserve"> and may order a </w:t>
      </w:r>
      <w:r w:rsidR="002A54BA" w:rsidRPr="003D28A8">
        <w:rPr>
          <w:rFonts w:ascii="Times New Roman" w:hAnsi="Times New Roman" w:cs="Times New Roman"/>
          <w:i/>
          <w:sz w:val="28"/>
          <w:szCs w:val="28"/>
        </w:rPr>
        <w:t>Newton</w:t>
      </w:r>
      <w:r w:rsidR="002A54BA" w:rsidRPr="003D28A8">
        <w:rPr>
          <w:rFonts w:ascii="Times New Roman" w:hAnsi="Times New Roman" w:cs="Times New Roman"/>
          <w:sz w:val="28"/>
          <w:szCs w:val="28"/>
        </w:rPr>
        <w:t xml:space="preserve"> hearing if necessary</w:t>
      </w:r>
      <w:r>
        <w:rPr>
          <w:rFonts w:ascii="Times New Roman" w:hAnsi="Times New Roman" w:cs="Times New Roman"/>
          <w:sz w:val="28"/>
          <w:szCs w:val="28"/>
        </w:rPr>
        <w:t>. A</w:t>
      </w:r>
      <w:r w:rsidR="002A54BA" w:rsidRPr="003D28A8">
        <w:rPr>
          <w:rFonts w:ascii="Times New Roman" w:hAnsi="Times New Roman" w:cs="Times New Roman"/>
          <w:sz w:val="28"/>
          <w:szCs w:val="28"/>
        </w:rPr>
        <w:t xml:space="preserve">t a </w:t>
      </w:r>
      <w:r w:rsidR="002A54BA" w:rsidRPr="003D28A8">
        <w:rPr>
          <w:rFonts w:ascii="Times New Roman" w:hAnsi="Times New Roman" w:cs="Times New Roman"/>
          <w:i/>
          <w:sz w:val="28"/>
          <w:szCs w:val="28"/>
        </w:rPr>
        <w:t>Newton</w:t>
      </w:r>
      <w:r w:rsidR="002A54BA" w:rsidRPr="003D28A8">
        <w:rPr>
          <w:rFonts w:ascii="Times New Roman" w:hAnsi="Times New Roman" w:cs="Times New Roman"/>
          <w:sz w:val="28"/>
          <w:szCs w:val="28"/>
        </w:rPr>
        <w:t xml:space="preserve"> hearing the prosecution </w:t>
      </w:r>
      <w:r w:rsidR="000A4AEE">
        <w:rPr>
          <w:rFonts w:ascii="Times New Roman" w:hAnsi="Times New Roman" w:cs="Times New Roman"/>
          <w:sz w:val="28"/>
          <w:szCs w:val="28"/>
        </w:rPr>
        <w:t xml:space="preserve">normally </w:t>
      </w:r>
      <w:r w:rsidR="002A54BA" w:rsidRPr="003D28A8">
        <w:rPr>
          <w:rFonts w:ascii="Times New Roman" w:hAnsi="Times New Roman" w:cs="Times New Roman"/>
          <w:sz w:val="28"/>
          <w:szCs w:val="28"/>
        </w:rPr>
        <w:t xml:space="preserve">bear the burden of proof to the criminal standard, and the judge should direct </w:t>
      </w:r>
      <w:r w:rsidR="000A4AEE">
        <w:rPr>
          <w:rFonts w:ascii="Times New Roman" w:hAnsi="Times New Roman" w:cs="Times New Roman"/>
          <w:sz w:val="28"/>
          <w:szCs w:val="28"/>
        </w:rPr>
        <w:t xml:space="preserve">herself or </w:t>
      </w:r>
      <w:r w:rsidR="002A54BA" w:rsidRPr="003D28A8">
        <w:rPr>
          <w:rFonts w:ascii="Times New Roman" w:hAnsi="Times New Roman" w:cs="Times New Roman"/>
          <w:sz w:val="28"/>
          <w:szCs w:val="28"/>
        </w:rPr>
        <w:t>himself accordingly.</w:t>
      </w:r>
      <w:r w:rsidR="00B14325">
        <w:rPr>
          <w:rStyle w:val="FootnoteReference"/>
          <w:rFonts w:ascii="Times New Roman" w:hAnsi="Times New Roman" w:cs="Times New Roman"/>
          <w:sz w:val="28"/>
          <w:szCs w:val="28"/>
        </w:rPr>
        <w:footnoteReference w:id="25"/>
      </w:r>
      <w:r w:rsidR="002A54BA" w:rsidRPr="003D28A8">
        <w:rPr>
          <w:rFonts w:ascii="Times New Roman" w:hAnsi="Times New Roman" w:cs="Times New Roman"/>
          <w:sz w:val="28"/>
          <w:szCs w:val="28"/>
        </w:rPr>
        <w:t xml:space="preserve"> It seems that this applies both to matters of aggravation and matters of mitigation within the scope of the </w:t>
      </w:r>
      <w:r w:rsidR="002A54BA" w:rsidRPr="003D28A8">
        <w:rPr>
          <w:rFonts w:ascii="Times New Roman" w:hAnsi="Times New Roman" w:cs="Times New Roman"/>
          <w:i/>
          <w:sz w:val="28"/>
          <w:szCs w:val="28"/>
        </w:rPr>
        <w:t>Newton</w:t>
      </w:r>
      <w:r w:rsidR="002A54BA" w:rsidRPr="003D28A8">
        <w:rPr>
          <w:rFonts w:ascii="Times New Roman" w:hAnsi="Times New Roman" w:cs="Times New Roman"/>
          <w:sz w:val="28"/>
          <w:szCs w:val="28"/>
        </w:rPr>
        <w:t xml:space="preserve"> hearing, </w:t>
      </w:r>
      <w:r w:rsidRPr="00B44531">
        <w:rPr>
          <w:rFonts w:ascii="Times New Roman" w:hAnsi="Times New Roman" w:cs="Times New Roman"/>
          <w:i/>
          <w:sz w:val="28"/>
          <w:szCs w:val="28"/>
        </w:rPr>
        <w:t>ie</w:t>
      </w:r>
      <w:r w:rsidR="002A54BA" w:rsidRPr="003D28A8">
        <w:rPr>
          <w:rFonts w:ascii="Times New Roman" w:hAnsi="Times New Roman" w:cs="Times New Roman"/>
          <w:sz w:val="28"/>
          <w:szCs w:val="28"/>
        </w:rPr>
        <w:t xml:space="preserve"> relating to </w:t>
      </w:r>
      <w:r>
        <w:rPr>
          <w:rFonts w:ascii="Times New Roman" w:hAnsi="Times New Roman" w:cs="Times New Roman"/>
          <w:sz w:val="28"/>
          <w:szCs w:val="28"/>
        </w:rPr>
        <w:t xml:space="preserve">the </w:t>
      </w:r>
      <w:r w:rsidR="002A54BA" w:rsidRPr="003D28A8">
        <w:rPr>
          <w:rFonts w:ascii="Times New Roman" w:hAnsi="Times New Roman" w:cs="Times New Roman"/>
          <w:sz w:val="28"/>
          <w:szCs w:val="28"/>
        </w:rPr>
        <w:t xml:space="preserve">facts and circumstances of the offence. However, where </w:t>
      </w:r>
      <w:r>
        <w:rPr>
          <w:rFonts w:ascii="Times New Roman" w:hAnsi="Times New Roman" w:cs="Times New Roman"/>
          <w:sz w:val="28"/>
          <w:szCs w:val="28"/>
        </w:rPr>
        <w:t xml:space="preserve">D </w:t>
      </w:r>
      <w:r w:rsidR="002A54BA" w:rsidRPr="003D28A8">
        <w:rPr>
          <w:rFonts w:ascii="Times New Roman" w:hAnsi="Times New Roman" w:cs="Times New Roman"/>
          <w:sz w:val="28"/>
          <w:szCs w:val="28"/>
        </w:rPr>
        <w:t>raise</w:t>
      </w:r>
      <w:r>
        <w:rPr>
          <w:rFonts w:ascii="Times New Roman" w:hAnsi="Times New Roman" w:cs="Times New Roman"/>
          <w:sz w:val="28"/>
          <w:szCs w:val="28"/>
        </w:rPr>
        <w:t>s</w:t>
      </w:r>
      <w:r w:rsidR="002A54BA" w:rsidRPr="003D28A8">
        <w:rPr>
          <w:rFonts w:ascii="Times New Roman" w:hAnsi="Times New Roman" w:cs="Times New Roman"/>
          <w:sz w:val="28"/>
          <w:szCs w:val="28"/>
        </w:rPr>
        <w:t xml:space="preserve"> an extraneous matter of mitigation, </w:t>
      </w:r>
      <w:r>
        <w:rPr>
          <w:rFonts w:ascii="Times New Roman" w:hAnsi="Times New Roman" w:cs="Times New Roman"/>
          <w:sz w:val="28"/>
          <w:szCs w:val="28"/>
        </w:rPr>
        <w:t>D</w:t>
      </w:r>
      <w:r w:rsidR="002A54BA" w:rsidRPr="003D28A8">
        <w:rPr>
          <w:rFonts w:ascii="Times New Roman" w:hAnsi="Times New Roman" w:cs="Times New Roman"/>
          <w:sz w:val="28"/>
          <w:szCs w:val="28"/>
        </w:rPr>
        <w:t xml:space="preserve"> bears the burden of proving it to the civil standard, </w:t>
      </w:r>
      <w:r w:rsidR="00A84AD4">
        <w:rPr>
          <w:rFonts w:ascii="Times New Roman" w:hAnsi="Times New Roman" w:cs="Times New Roman"/>
          <w:i/>
          <w:sz w:val="28"/>
          <w:szCs w:val="28"/>
        </w:rPr>
        <w:t>ie</w:t>
      </w:r>
      <w:r w:rsidR="002A54BA" w:rsidRPr="003D28A8">
        <w:rPr>
          <w:rFonts w:ascii="Times New Roman" w:hAnsi="Times New Roman" w:cs="Times New Roman"/>
          <w:sz w:val="28"/>
          <w:szCs w:val="28"/>
        </w:rPr>
        <w:t xml:space="preserve"> on the balance of probabilities.</w:t>
      </w:r>
    </w:p>
    <w:p w14:paraId="35E30E15" w14:textId="77777777" w:rsidR="002A54BA" w:rsidRPr="003D28A8" w:rsidRDefault="002A54BA" w:rsidP="006C3028">
      <w:pPr>
        <w:spacing w:line="360" w:lineRule="auto"/>
        <w:rPr>
          <w:rFonts w:ascii="Times New Roman" w:hAnsi="Times New Roman" w:cs="Times New Roman"/>
          <w:sz w:val="28"/>
          <w:szCs w:val="28"/>
        </w:rPr>
      </w:pPr>
    </w:p>
    <w:p w14:paraId="62A016AA" w14:textId="5FC70365" w:rsidR="002A54BA" w:rsidRPr="003D28A8" w:rsidRDefault="008D0609" w:rsidP="006C3028">
      <w:pPr>
        <w:spacing w:line="360" w:lineRule="auto"/>
        <w:rPr>
          <w:rFonts w:ascii="Times New Roman" w:hAnsi="Times New Roman" w:cs="Times New Roman"/>
          <w:sz w:val="28"/>
          <w:szCs w:val="28"/>
        </w:rPr>
      </w:pPr>
      <w:r>
        <w:rPr>
          <w:rFonts w:ascii="Times New Roman" w:hAnsi="Times New Roman" w:cs="Times New Roman"/>
          <w:sz w:val="28"/>
          <w:szCs w:val="28"/>
        </w:rPr>
        <w:t xml:space="preserve">Evidence </w:t>
      </w:r>
      <w:r w:rsidR="002A54BA" w:rsidRPr="003D28A8">
        <w:rPr>
          <w:rFonts w:ascii="Times New Roman" w:hAnsi="Times New Roman" w:cs="Times New Roman"/>
          <w:sz w:val="28"/>
          <w:szCs w:val="28"/>
        </w:rPr>
        <w:t xml:space="preserve">may be called by </w:t>
      </w:r>
      <w:r>
        <w:rPr>
          <w:rFonts w:ascii="Times New Roman" w:hAnsi="Times New Roman" w:cs="Times New Roman"/>
          <w:sz w:val="28"/>
          <w:szCs w:val="28"/>
        </w:rPr>
        <w:t xml:space="preserve">each side. If </w:t>
      </w:r>
      <w:r w:rsidR="002A54BA" w:rsidRPr="003D28A8">
        <w:rPr>
          <w:rFonts w:ascii="Times New Roman" w:hAnsi="Times New Roman" w:cs="Times New Roman"/>
          <w:sz w:val="28"/>
          <w:szCs w:val="28"/>
        </w:rPr>
        <w:t xml:space="preserve">the disputed issue is a matter within </w:t>
      </w:r>
      <w:r>
        <w:rPr>
          <w:rFonts w:ascii="Times New Roman" w:hAnsi="Times New Roman" w:cs="Times New Roman"/>
          <w:sz w:val="28"/>
          <w:szCs w:val="28"/>
        </w:rPr>
        <w:t xml:space="preserve">D’s personal </w:t>
      </w:r>
      <w:r w:rsidR="002A54BA" w:rsidRPr="003D28A8">
        <w:rPr>
          <w:rFonts w:ascii="Times New Roman" w:hAnsi="Times New Roman" w:cs="Times New Roman"/>
          <w:sz w:val="28"/>
          <w:szCs w:val="28"/>
        </w:rPr>
        <w:t>knowledge</w:t>
      </w:r>
      <w:r w:rsidR="00BD40E8">
        <w:rPr>
          <w:rFonts w:ascii="Times New Roman" w:hAnsi="Times New Roman" w:cs="Times New Roman"/>
          <w:sz w:val="28"/>
          <w:szCs w:val="28"/>
        </w:rPr>
        <w:t>,</w:t>
      </w:r>
      <w:r w:rsidR="002A54BA" w:rsidRPr="003D28A8">
        <w:rPr>
          <w:rFonts w:ascii="Times New Roman" w:hAnsi="Times New Roman" w:cs="Times New Roman"/>
          <w:sz w:val="28"/>
          <w:szCs w:val="28"/>
        </w:rPr>
        <w:t xml:space="preserve"> the defence should be </w:t>
      </w:r>
      <w:r>
        <w:rPr>
          <w:rFonts w:ascii="Times New Roman" w:hAnsi="Times New Roman" w:cs="Times New Roman"/>
          <w:sz w:val="28"/>
          <w:szCs w:val="28"/>
        </w:rPr>
        <w:t xml:space="preserve">ready </w:t>
      </w:r>
      <w:r w:rsidR="002A54BA" w:rsidRPr="003D28A8">
        <w:rPr>
          <w:rFonts w:ascii="Times New Roman" w:hAnsi="Times New Roman" w:cs="Times New Roman"/>
          <w:sz w:val="28"/>
          <w:szCs w:val="28"/>
        </w:rPr>
        <w:t xml:space="preserve">to call </w:t>
      </w:r>
      <w:r>
        <w:rPr>
          <w:rFonts w:ascii="Times New Roman" w:hAnsi="Times New Roman" w:cs="Times New Roman"/>
          <w:sz w:val="28"/>
          <w:szCs w:val="28"/>
        </w:rPr>
        <w:t>D</w:t>
      </w:r>
      <w:r w:rsidR="002A54BA" w:rsidRPr="003D28A8">
        <w:rPr>
          <w:rFonts w:ascii="Times New Roman" w:hAnsi="Times New Roman" w:cs="Times New Roman"/>
          <w:sz w:val="28"/>
          <w:szCs w:val="28"/>
        </w:rPr>
        <w:t xml:space="preserve"> as a witness</w:t>
      </w:r>
      <w:r w:rsidR="00BD40E8">
        <w:rPr>
          <w:rFonts w:ascii="Times New Roman" w:hAnsi="Times New Roman" w:cs="Times New Roman"/>
          <w:sz w:val="28"/>
          <w:szCs w:val="28"/>
        </w:rPr>
        <w:t>;</w:t>
      </w:r>
      <w:r w:rsidR="002A54BA" w:rsidRPr="003D28A8">
        <w:rPr>
          <w:rFonts w:ascii="Times New Roman" w:hAnsi="Times New Roman" w:cs="Times New Roman"/>
          <w:sz w:val="28"/>
          <w:szCs w:val="28"/>
        </w:rPr>
        <w:t xml:space="preserve"> and if </w:t>
      </w:r>
      <w:r>
        <w:rPr>
          <w:rFonts w:ascii="Times New Roman" w:hAnsi="Times New Roman" w:cs="Times New Roman"/>
          <w:sz w:val="28"/>
          <w:szCs w:val="28"/>
        </w:rPr>
        <w:t xml:space="preserve">D </w:t>
      </w:r>
      <w:r w:rsidR="00BD40E8">
        <w:rPr>
          <w:rFonts w:ascii="Times New Roman" w:hAnsi="Times New Roman" w:cs="Times New Roman"/>
          <w:sz w:val="28"/>
          <w:szCs w:val="28"/>
        </w:rPr>
        <w:t>declines to give evidence or declines to answer questions,</w:t>
      </w:r>
      <w:r>
        <w:rPr>
          <w:rFonts w:ascii="Times New Roman" w:hAnsi="Times New Roman" w:cs="Times New Roman"/>
          <w:sz w:val="28"/>
          <w:szCs w:val="28"/>
        </w:rPr>
        <w:t xml:space="preserve"> the </w:t>
      </w:r>
      <w:r w:rsidR="002A54BA" w:rsidRPr="003D28A8">
        <w:rPr>
          <w:rFonts w:ascii="Times New Roman" w:hAnsi="Times New Roman" w:cs="Times New Roman"/>
          <w:sz w:val="28"/>
          <w:szCs w:val="28"/>
        </w:rPr>
        <w:t xml:space="preserve">judge may draw such adverse inference from that as he thinks </w:t>
      </w:r>
      <w:r>
        <w:rPr>
          <w:rFonts w:ascii="Times New Roman" w:hAnsi="Times New Roman" w:cs="Times New Roman"/>
          <w:sz w:val="28"/>
          <w:szCs w:val="28"/>
        </w:rPr>
        <w:t xml:space="preserve">appropriate. If </w:t>
      </w:r>
      <w:r w:rsidR="002A54BA" w:rsidRPr="003D28A8">
        <w:rPr>
          <w:rFonts w:ascii="Times New Roman" w:hAnsi="Times New Roman" w:cs="Times New Roman"/>
          <w:sz w:val="28"/>
          <w:szCs w:val="28"/>
        </w:rPr>
        <w:t xml:space="preserve">the issue in the </w:t>
      </w:r>
      <w:r w:rsidR="002A54BA" w:rsidRPr="003D28A8">
        <w:rPr>
          <w:rFonts w:ascii="Times New Roman" w:hAnsi="Times New Roman" w:cs="Times New Roman"/>
          <w:i/>
          <w:sz w:val="28"/>
          <w:szCs w:val="28"/>
        </w:rPr>
        <w:t>Newton</w:t>
      </w:r>
      <w:r w:rsidR="002A54BA" w:rsidRPr="003D28A8">
        <w:rPr>
          <w:rFonts w:ascii="Times New Roman" w:hAnsi="Times New Roman" w:cs="Times New Roman"/>
          <w:sz w:val="28"/>
          <w:szCs w:val="28"/>
        </w:rPr>
        <w:t xml:space="preserve"> hearing is resolved in </w:t>
      </w:r>
      <w:r>
        <w:rPr>
          <w:rFonts w:ascii="Times New Roman" w:hAnsi="Times New Roman" w:cs="Times New Roman"/>
          <w:sz w:val="28"/>
          <w:szCs w:val="28"/>
        </w:rPr>
        <w:t xml:space="preserve">D’s </w:t>
      </w:r>
      <w:r w:rsidR="002A54BA" w:rsidRPr="003D28A8">
        <w:rPr>
          <w:rFonts w:ascii="Times New Roman" w:hAnsi="Times New Roman" w:cs="Times New Roman"/>
          <w:sz w:val="28"/>
          <w:szCs w:val="28"/>
        </w:rPr>
        <w:t>favour, the credit due to him for any guilty plea is not affected</w:t>
      </w:r>
      <w:r>
        <w:rPr>
          <w:rFonts w:ascii="Times New Roman" w:hAnsi="Times New Roman" w:cs="Times New Roman"/>
          <w:sz w:val="28"/>
          <w:szCs w:val="28"/>
        </w:rPr>
        <w:t xml:space="preserve">, but if </w:t>
      </w:r>
      <w:r w:rsidR="002A54BA" w:rsidRPr="003D28A8">
        <w:rPr>
          <w:rFonts w:ascii="Times New Roman" w:hAnsi="Times New Roman" w:cs="Times New Roman"/>
          <w:sz w:val="28"/>
          <w:szCs w:val="28"/>
        </w:rPr>
        <w:t xml:space="preserve">the issue is resolved against </w:t>
      </w:r>
      <w:r>
        <w:rPr>
          <w:rFonts w:ascii="Times New Roman" w:hAnsi="Times New Roman" w:cs="Times New Roman"/>
          <w:sz w:val="28"/>
          <w:szCs w:val="28"/>
        </w:rPr>
        <w:t>D t</w:t>
      </w:r>
      <w:r w:rsidR="002A54BA" w:rsidRPr="003D28A8">
        <w:rPr>
          <w:rFonts w:ascii="Times New Roman" w:hAnsi="Times New Roman" w:cs="Times New Roman"/>
          <w:sz w:val="28"/>
          <w:szCs w:val="28"/>
        </w:rPr>
        <w:t>he credit due to him for any guilty plea is reduced</w:t>
      </w:r>
      <w:r>
        <w:rPr>
          <w:rFonts w:ascii="Times New Roman" w:hAnsi="Times New Roman" w:cs="Times New Roman"/>
          <w:sz w:val="28"/>
          <w:szCs w:val="28"/>
        </w:rPr>
        <w:t>. The</w:t>
      </w:r>
      <w:r w:rsidR="002A54BA" w:rsidRPr="003D28A8">
        <w:rPr>
          <w:rFonts w:ascii="Times New Roman" w:hAnsi="Times New Roman" w:cs="Times New Roman"/>
          <w:sz w:val="28"/>
          <w:szCs w:val="28"/>
        </w:rPr>
        <w:t xml:space="preserve"> starting point is a reduction by 50 per cent of the credit which would otherwise have been due, but more may be lost </w:t>
      </w:r>
      <w:r>
        <w:rPr>
          <w:rFonts w:ascii="Times New Roman" w:hAnsi="Times New Roman" w:cs="Times New Roman"/>
          <w:sz w:val="28"/>
          <w:szCs w:val="28"/>
        </w:rPr>
        <w:t>if prosecution witnesses have been required</w:t>
      </w:r>
      <w:r w:rsidR="002A54BA" w:rsidRPr="003D28A8">
        <w:rPr>
          <w:rFonts w:ascii="Times New Roman" w:hAnsi="Times New Roman" w:cs="Times New Roman"/>
          <w:sz w:val="28"/>
          <w:szCs w:val="28"/>
        </w:rPr>
        <w:t>.</w:t>
      </w:r>
      <w:r w:rsidR="001D7036">
        <w:rPr>
          <w:rStyle w:val="FootnoteReference"/>
          <w:rFonts w:ascii="Times New Roman" w:hAnsi="Times New Roman" w:cs="Times New Roman"/>
          <w:sz w:val="28"/>
          <w:szCs w:val="28"/>
        </w:rPr>
        <w:footnoteReference w:id="26"/>
      </w:r>
      <w:r w:rsidR="002A54BA" w:rsidRPr="003D28A8">
        <w:rPr>
          <w:rFonts w:ascii="Times New Roman" w:hAnsi="Times New Roman" w:cs="Times New Roman"/>
          <w:sz w:val="28"/>
          <w:szCs w:val="28"/>
        </w:rPr>
        <w:t xml:space="preserve">    </w:t>
      </w:r>
    </w:p>
    <w:p w14:paraId="32926C33" w14:textId="77777777" w:rsidR="002A54BA" w:rsidRDefault="002A54BA" w:rsidP="006C3028">
      <w:pPr>
        <w:spacing w:line="360" w:lineRule="auto"/>
        <w:rPr>
          <w:rFonts w:ascii="Times New Roman" w:hAnsi="Times New Roman" w:cs="Times New Roman"/>
          <w:sz w:val="28"/>
          <w:szCs w:val="28"/>
        </w:rPr>
      </w:pPr>
    </w:p>
    <w:p w14:paraId="364D9E58" w14:textId="7760DC2A" w:rsidR="002A54BA" w:rsidRPr="00B14325" w:rsidRDefault="008D0609" w:rsidP="006C3028">
      <w:pPr>
        <w:spacing w:line="360" w:lineRule="auto"/>
        <w:rPr>
          <w:rFonts w:ascii="Times New Roman" w:hAnsi="Times New Roman" w:cs="Times New Roman"/>
          <w:sz w:val="28"/>
          <w:szCs w:val="28"/>
        </w:rPr>
      </w:pPr>
      <w:r>
        <w:rPr>
          <w:rFonts w:ascii="Times New Roman" w:hAnsi="Times New Roman" w:cs="Times New Roman"/>
          <w:sz w:val="28"/>
          <w:szCs w:val="28"/>
        </w:rPr>
        <w:t xml:space="preserve">A </w:t>
      </w:r>
      <w:r w:rsidR="002A54BA" w:rsidRPr="003D28A8">
        <w:rPr>
          <w:rFonts w:ascii="Times New Roman" w:hAnsi="Times New Roman" w:cs="Times New Roman"/>
          <w:i/>
          <w:sz w:val="28"/>
          <w:szCs w:val="28"/>
        </w:rPr>
        <w:t xml:space="preserve">Newton </w:t>
      </w:r>
      <w:r w:rsidR="002A54BA" w:rsidRPr="003D28A8">
        <w:rPr>
          <w:rFonts w:ascii="Times New Roman" w:hAnsi="Times New Roman" w:cs="Times New Roman"/>
          <w:sz w:val="28"/>
          <w:szCs w:val="28"/>
        </w:rPr>
        <w:t xml:space="preserve">hearing is inappropriate </w:t>
      </w:r>
      <w:r>
        <w:rPr>
          <w:rFonts w:ascii="Times New Roman" w:hAnsi="Times New Roman" w:cs="Times New Roman"/>
          <w:sz w:val="28"/>
          <w:szCs w:val="28"/>
        </w:rPr>
        <w:t xml:space="preserve">if </w:t>
      </w:r>
      <w:r w:rsidR="002A54BA" w:rsidRPr="003D28A8">
        <w:rPr>
          <w:rFonts w:ascii="Times New Roman" w:hAnsi="Times New Roman" w:cs="Times New Roman"/>
          <w:sz w:val="28"/>
          <w:szCs w:val="28"/>
        </w:rPr>
        <w:t xml:space="preserve">the </w:t>
      </w:r>
      <w:r>
        <w:rPr>
          <w:rFonts w:ascii="Times New Roman" w:hAnsi="Times New Roman" w:cs="Times New Roman"/>
          <w:sz w:val="28"/>
          <w:szCs w:val="28"/>
        </w:rPr>
        <w:t xml:space="preserve">disputed </w:t>
      </w:r>
      <w:r w:rsidR="002A54BA" w:rsidRPr="003D28A8">
        <w:rPr>
          <w:rFonts w:ascii="Times New Roman" w:hAnsi="Times New Roman" w:cs="Times New Roman"/>
          <w:sz w:val="28"/>
          <w:szCs w:val="28"/>
        </w:rPr>
        <w:t xml:space="preserve">issue is </w:t>
      </w:r>
      <w:r>
        <w:rPr>
          <w:rFonts w:ascii="Times New Roman" w:hAnsi="Times New Roman" w:cs="Times New Roman"/>
          <w:sz w:val="28"/>
          <w:szCs w:val="28"/>
        </w:rPr>
        <w:t xml:space="preserve">properly </w:t>
      </w:r>
      <w:r w:rsidR="002A54BA" w:rsidRPr="003D28A8">
        <w:rPr>
          <w:rFonts w:ascii="Times New Roman" w:hAnsi="Times New Roman" w:cs="Times New Roman"/>
          <w:sz w:val="28"/>
          <w:szCs w:val="28"/>
        </w:rPr>
        <w:t>one which requires a verdict from a jury (</w:t>
      </w:r>
      <w:proofErr w:type="spellStart"/>
      <w:r w:rsidR="002A54BA" w:rsidRPr="0005469E">
        <w:rPr>
          <w:rFonts w:ascii="Times New Roman" w:hAnsi="Times New Roman" w:cs="Times New Roman"/>
          <w:i/>
          <w:sz w:val="28"/>
          <w:szCs w:val="28"/>
        </w:rPr>
        <w:t>eg</w:t>
      </w:r>
      <w:proofErr w:type="spellEnd"/>
      <w:r w:rsidR="002A54BA" w:rsidRPr="003D28A8">
        <w:rPr>
          <w:rFonts w:ascii="Times New Roman" w:hAnsi="Times New Roman" w:cs="Times New Roman"/>
          <w:sz w:val="28"/>
          <w:szCs w:val="28"/>
        </w:rPr>
        <w:t xml:space="preserve"> whether the relevant premises which are the </w:t>
      </w:r>
      <w:r w:rsidR="002A54BA" w:rsidRPr="00B14325">
        <w:rPr>
          <w:rFonts w:ascii="Times New Roman" w:hAnsi="Times New Roman" w:cs="Times New Roman"/>
          <w:sz w:val="28"/>
          <w:szCs w:val="28"/>
        </w:rPr>
        <w:t>subject of a burglary are a home or not</w:t>
      </w:r>
      <w:r w:rsidR="0021433A" w:rsidRPr="00B14325">
        <w:rPr>
          <w:rStyle w:val="FootnoteReference"/>
          <w:rFonts w:ascii="Times New Roman" w:hAnsi="Times New Roman" w:cs="Times New Roman"/>
          <w:sz w:val="28"/>
          <w:szCs w:val="28"/>
        </w:rPr>
        <w:footnoteReference w:id="27"/>
      </w:r>
      <w:r w:rsidR="002A54BA" w:rsidRPr="00B14325">
        <w:rPr>
          <w:rFonts w:ascii="Times New Roman" w:hAnsi="Times New Roman" w:cs="Times New Roman"/>
          <w:sz w:val="28"/>
          <w:szCs w:val="28"/>
        </w:rPr>
        <w:t>)</w:t>
      </w:r>
      <w:r w:rsidRPr="00B14325">
        <w:rPr>
          <w:rFonts w:ascii="Times New Roman" w:hAnsi="Times New Roman" w:cs="Times New Roman"/>
          <w:sz w:val="28"/>
          <w:szCs w:val="28"/>
        </w:rPr>
        <w:t xml:space="preserve">. A </w:t>
      </w:r>
      <w:r w:rsidRPr="00B14325">
        <w:rPr>
          <w:rFonts w:ascii="Times New Roman" w:hAnsi="Times New Roman" w:cs="Times New Roman"/>
          <w:i/>
          <w:sz w:val="28"/>
          <w:szCs w:val="28"/>
        </w:rPr>
        <w:t xml:space="preserve">Newton </w:t>
      </w:r>
      <w:r w:rsidRPr="00B14325">
        <w:rPr>
          <w:rFonts w:ascii="Times New Roman" w:hAnsi="Times New Roman" w:cs="Times New Roman"/>
          <w:sz w:val="28"/>
          <w:szCs w:val="28"/>
        </w:rPr>
        <w:t xml:space="preserve">hearing is unnecessary if </w:t>
      </w:r>
      <w:r w:rsidR="00002582">
        <w:rPr>
          <w:rFonts w:ascii="Times New Roman" w:hAnsi="Times New Roman" w:cs="Times New Roman"/>
          <w:sz w:val="28"/>
          <w:szCs w:val="28"/>
        </w:rPr>
        <w:t xml:space="preserve">D’s basis </w:t>
      </w:r>
      <w:r w:rsidR="00002582">
        <w:rPr>
          <w:rFonts w:ascii="Times New Roman" w:hAnsi="Times New Roman" w:cs="Times New Roman"/>
          <w:color w:val="212121"/>
          <w:sz w:val="28"/>
          <w:szCs w:val="28"/>
          <w:shd w:val="clear" w:color="auto" w:fill="FFFFFF"/>
        </w:rPr>
        <w:t>is, in the judge’s view, ‘manifestly false’ and ‘does not merit examination by way of the calling of evidence’</w:t>
      </w:r>
      <w:r w:rsidR="00002582">
        <w:rPr>
          <w:rStyle w:val="FootnoteReference"/>
          <w:rFonts w:ascii="Times New Roman" w:hAnsi="Times New Roman" w:cs="Times New Roman"/>
          <w:color w:val="212121"/>
          <w:sz w:val="28"/>
          <w:szCs w:val="28"/>
          <w:shd w:val="clear" w:color="auto" w:fill="FFFFFF"/>
        </w:rPr>
        <w:footnoteReference w:id="28"/>
      </w:r>
      <w:r w:rsidR="00002582">
        <w:rPr>
          <w:rFonts w:ascii="Times New Roman" w:hAnsi="Times New Roman" w:cs="Times New Roman"/>
          <w:color w:val="212121"/>
          <w:sz w:val="28"/>
          <w:szCs w:val="28"/>
          <w:shd w:val="clear" w:color="auto" w:fill="FFFFFF"/>
        </w:rPr>
        <w:t xml:space="preserve">. Further, the </w:t>
      </w:r>
      <w:r w:rsidR="0011305F" w:rsidRPr="00B14325">
        <w:rPr>
          <w:rFonts w:ascii="Times New Roman" w:hAnsi="Times New Roman" w:cs="Times New Roman"/>
          <w:sz w:val="28"/>
          <w:szCs w:val="28"/>
        </w:rPr>
        <w:t xml:space="preserve">judge </w:t>
      </w:r>
      <w:r w:rsidR="00002582">
        <w:rPr>
          <w:rFonts w:ascii="Times New Roman" w:hAnsi="Times New Roman" w:cs="Times New Roman"/>
          <w:sz w:val="28"/>
          <w:szCs w:val="28"/>
        </w:rPr>
        <w:t xml:space="preserve">may </w:t>
      </w:r>
      <w:r w:rsidR="0011305F" w:rsidRPr="00B14325">
        <w:rPr>
          <w:rFonts w:ascii="Times New Roman" w:hAnsi="Times New Roman" w:cs="Times New Roman"/>
          <w:sz w:val="28"/>
          <w:szCs w:val="28"/>
        </w:rPr>
        <w:t xml:space="preserve">take the view that </w:t>
      </w:r>
      <w:r w:rsidRPr="00B14325">
        <w:rPr>
          <w:rFonts w:ascii="Times New Roman" w:hAnsi="Times New Roman" w:cs="Times New Roman"/>
          <w:sz w:val="28"/>
          <w:szCs w:val="28"/>
        </w:rPr>
        <w:t xml:space="preserve">resolving the </w:t>
      </w:r>
      <w:r w:rsidR="002A54BA" w:rsidRPr="00B14325">
        <w:rPr>
          <w:rFonts w:ascii="Times New Roman" w:hAnsi="Times New Roman" w:cs="Times New Roman"/>
          <w:sz w:val="28"/>
          <w:szCs w:val="28"/>
        </w:rPr>
        <w:t xml:space="preserve">dispute </w:t>
      </w:r>
      <w:r w:rsidRPr="00B14325">
        <w:rPr>
          <w:rFonts w:ascii="Times New Roman" w:hAnsi="Times New Roman" w:cs="Times New Roman"/>
          <w:sz w:val="28"/>
          <w:szCs w:val="28"/>
        </w:rPr>
        <w:t xml:space="preserve">would make </w:t>
      </w:r>
      <w:r w:rsidR="0040715B">
        <w:rPr>
          <w:rFonts w:ascii="Times New Roman" w:hAnsi="Times New Roman" w:cs="Times New Roman"/>
          <w:sz w:val="28"/>
          <w:szCs w:val="28"/>
        </w:rPr>
        <w:t xml:space="preserve">little or </w:t>
      </w:r>
      <w:r w:rsidRPr="00B14325">
        <w:rPr>
          <w:rFonts w:ascii="Times New Roman" w:hAnsi="Times New Roman" w:cs="Times New Roman"/>
          <w:sz w:val="28"/>
          <w:szCs w:val="28"/>
        </w:rPr>
        <w:t xml:space="preserve">no difference to </w:t>
      </w:r>
      <w:r w:rsidR="00B14325" w:rsidRPr="00B14325">
        <w:rPr>
          <w:rFonts w:ascii="Times New Roman" w:hAnsi="Times New Roman" w:cs="Times New Roman"/>
          <w:sz w:val="28"/>
          <w:szCs w:val="28"/>
        </w:rPr>
        <w:t xml:space="preserve">the </w:t>
      </w:r>
      <w:r w:rsidRPr="00B14325">
        <w:rPr>
          <w:rFonts w:ascii="Times New Roman" w:hAnsi="Times New Roman" w:cs="Times New Roman"/>
          <w:sz w:val="28"/>
          <w:szCs w:val="28"/>
        </w:rPr>
        <w:t xml:space="preserve">sentencing outcome in </w:t>
      </w:r>
      <w:r w:rsidR="0011305F" w:rsidRPr="00B14325">
        <w:rPr>
          <w:rFonts w:ascii="Times New Roman" w:hAnsi="Times New Roman" w:cs="Times New Roman"/>
          <w:sz w:val="28"/>
          <w:szCs w:val="28"/>
        </w:rPr>
        <w:t>that</w:t>
      </w:r>
      <w:r w:rsidRPr="00B14325">
        <w:rPr>
          <w:rFonts w:ascii="Times New Roman" w:hAnsi="Times New Roman" w:cs="Times New Roman"/>
          <w:sz w:val="28"/>
          <w:szCs w:val="28"/>
        </w:rPr>
        <w:t xml:space="preserve"> particular</w:t>
      </w:r>
      <w:r w:rsidR="0011305F" w:rsidRPr="00B14325">
        <w:rPr>
          <w:rFonts w:ascii="Times New Roman" w:hAnsi="Times New Roman" w:cs="Times New Roman"/>
          <w:sz w:val="28"/>
          <w:szCs w:val="28"/>
        </w:rPr>
        <w:t xml:space="preserve"> case</w:t>
      </w:r>
      <w:r w:rsidR="0021433A" w:rsidRPr="00B14325">
        <w:rPr>
          <w:rFonts w:ascii="Times New Roman" w:hAnsi="Times New Roman" w:cs="Times New Roman"/>
          <w:sz w:val="28"/>
          <w:szCs w:val="28"/>
        </w:rPr>
        <w:t xml:space="preserve">. </w:t>
      </w:r>
      <w:r w:rsidR="008A058A">
        <w:rPr>
          <w:rFonts w:ascii="Times New Roman" w:hAnsi="Times New Roman" w:cs="Times New Roman"/>
          <w:sz w:val="28"/>
          <w:szCs w:val="28"/>
        </w:rPr>
        <w:t xml:space="preserve">Lord Lane CJ in </w:t>
      </w:r>
      <w:r w:rsidR="008A058A">
        <w:rPr>
          <w:rFonts w:ascii="Times New Roman" w:hAnsi="Times New Roman" w:cs="Times New Roman"/>
          <w:i/>
          <w:sz w:val="28"/>
          <w:szCs w:val="28"/>
        </w:rPr>
        <w:t>Newton</w:t>
      </w:r>
      <w:r w:rsidR="008A058A">
        <w:rPr>
          <w:rFonts w:ascii="Times New Roman" w:hAnsi="Times New Roman" w:cs="Times New Roman"/>
          <w:sz w:val="28"/>
          <w:szCs w:val="28"/>
        </w:rPr>
        <w:t xml:space="preserve"> said that the factual dispute between the two sides must be ‘substantial’, </w:t>
      </w:r>
      <w:r w:rsidR="00912D34">
        <w:rPr>
          <w:rFonts w:ascii="Times New Roman" w:hAnsi="Times New Roman" w:cs="Times New Roman"/>
          <w:sz w:val="28"/>
          <w:szCs w:val="28"/>
        </w:rPr>
        <w:t>while</w:t>
      </w:r>
      <w:r w:rsidR="008A058A">
        <w:rPr>
          <w:rFonts w:ascii="Times New Roman" w:hAnsi="Times New Roman" w:cs="Times New Roman"/>
          <w:sz w:val="28"/>
          <w:szCs w:val="28"/>
        </w:rPr>
        <w:t xml:space="preserve"> </w:t>
      </w:r>
      <w:r w:rsidR="00B14325" w:rsidRPr="00B14325">
        <w:rPr>
          <w:rFonts w:ascii="Times New Roman" w:hAnsi="Times New Roman" w:cs="Times New Roman"/>
          <w:sz w:val="28"/>
          <w:szCs w:val="28"/>
        </w:rPr>
        <w:t xml:space="preserve">Lord Judge CJ said in </w:t>
      </w:r>
      <w:r w:rsidR="00B14325" w:rsidRPr="00B14325">
        <w:rPr>
          <w:rFonts w:ascii="Times New Roman" w:hAnsi="Times New Roman" w:cs="Times New Roman"/>
          <w:i/>
          <w:sz w:val="28"/>
          <w:szCs w:val="28"/>
        </w:rPr>
        <w:t xml:space="preserve">Underwood </w:t>
      </w:r>
      <w:r w:rsidR="00B14325">
        <w:rPr>
          <w:rFonts w:ascii="Times New Roman" w:hAnsi="Times New Roman" w:cs="Times New Roman"/>
          <w:color w:val="212121"/>
          <w:sz w:val="28"/>
          <w:szCs w:val="28"/>
          <w:shd w:val="clear" w:color="auto" w:fill="FFFFFF"/>
        </w:rPr>
        <w:t>that the judge ‘</w:t>
      </w:r>
      <w:r w:rsidR="00B14325" w:rsidRPr="00B14325">
        <w:rPr>
          <w:rFonts w:ascii="Times New Roman" w:hAnsi="Times New Roman" w:cs="Times New Roman"/>
          <w:color w:val="212121"/>
          <w:sz w:val="28"/>
          <w:szCs w:val="28"/>
          <w:shd w:val="clear" w:color="auto" w:fill="FFFFFF"/>
        </w:rPr>
        <w:t>is rarely likely to be concerned with minute differences about events on the periphery</w:t>
      </w:r>
      <w:r w:rsidR="0040715B">
        <w:rPr>
          <w:rFonts w:ascii="Times New Roman" w:hAnsi="Times New Roman" w:cs="Times New Roman"/>
          <w:color w:val="212121"/>
          <w:sz w:val="28"/>
          <w:szCs w:val="28"/>
          <w:shd w:val="clear" w:color="auto" w:fill="FFFFFF"/>
        </w:rPr>
        <w:t>’</w:t>
      </w:r>
      <w:r w:rsidR="00B14325" w:rsidRPr="00B14325">
        <w:rPr>
          <w:rFonts w:ascii="Times New Roman" w:hAnsi="Times New Roman" w:cs="Times New Roman"/>
          <w:color w:val="212121"/>
          <w:sz w:val="28"/>
          <w:szCs w:val="28"/>
          <w:shd w:val="clear" w:color="auto" w:fill="FFFFFF"/>
        </w:rPr>
        <w:t>.</w:t>
      </w:r>
      <w:r w:rsidR="0040715B">
        <w:rPr>
          <w:rStyle w:val="FootnoteReference"/>
          <w:rFonts w:ascii="Times New Roman" w:hAnsi="Times New Roman" w:cs="Times New Roman"/>
          <w:color w:val="212121"/>
          <w:sz w:val="28"/>
          <w:szCs w:val="28"/>
          <w:shd w:val="clear" w:color="auto" w:fill="FFFFFF"/>
        </w:rPr>
        <w:footnoteReference w:id="29"/>
      </w:r>
      <w:r w:rsidR="008A058A">
        <w:rPr>
          <w:rFonts w:ascii="Times New Roman" w:hAnsi="Times New Roman" w:cs="Times New Roman"/>
          <w:color w:val="212121"/>
          <w:sz w:val="28"/>
          <w:szCs w:val="28"/>
          <w:shd w:val="clear" w:color="auto" w:fill="FFFFFF"/>
        </w:rPr>
        <w:t xml:space="preserve"> Whatever the precise test</w:t>
      </w:r>
      <w:r w:rsidR="00002582">
        <w:rPr>
          <w:rFonts w:ascii="Times New Roman" w:hAnsi="Times New Roman" w:cs="Times New Roman"/>
          <w:color w:val="212121"/>
          <w:sz w:val="28"/>
          <w:szCs w:val="28"/>
          <w:shd w:val="clear" w:color="auto" w:fill="FFFFFF"/>
        </w:rPr>
        <w:t xml:space="preserve"> </w:t>
      </w:r>
      <w:r w:rsidR="0042114A">
        <w:rPr>
          <w:rFonts w:ascii="Times New Roman" w:hAnsi="Times New Roman" w:cs="Times New Roman"/>
          <w:color w:val="212121"/>
          <w:sz w:val="28"/>
          <w:szCs w:val="28"/>
          <w:shd w:val="clear" w:color="auto" w:fill="FFFFFF"/>
        </w:rPr>
        <w:t xml:space="preserve">applicable </w:t>
      </w:r>
      <w:r w:rsidR="00002582">
        <w:rPr>
          <w:rFonts w:ascii="Times New Roman" w:hAnsi="Times New Roman" w:cs="Times New Roman"/>
          <w:color w:val="212121"/>
          <w:sz w:val="28"/>
          <w:szCs w:val="28"/>
          <w:shd w:val="clear" w:color="auto" w:fill="FFFFFF"/>
        </w:rPr>
        <w:t>here</w:t>
      </w:r>
      <w:r w:rsidR="008A058A">
        <w:rPr>
          <w:rFonts w:ascii="Times New Roman" w:hAnsi="Times New Roman" w:cs="Times New Roman"/>
          <w:color w:val="212121"/>
          <w:sz w:val="28"/>
          <w:szCs w:val="28"/>
          <w:shd w:val="clear" w:color="auto" w:fill="FFFFFF"/>
        </w:rPr>
        <w:t xml:space="preserve">, the judge </w:t>
      </w:r>
      <w:r w:rsidR="00912D34">
        <w:rPr>
          <w:rFonts w:ascii="Times New Roman" w:hAnsi="Times New Roman" w:cs="Times New Roman"/>
          <w:color w:val="212121"/>
          <w:sz w:val="28"/>
          <w:szCs w:val="28"/>
          <w:shd w:val="clear" w:color="auto" w:fill="FFFFFF"/>
        </w:rPr>
        <w:t>c</w:t>
      </w:r>
      <w:r w:rsidR="00002582">
        <w:rPr>
          <w:rFonts w:ascii="Times New Roman" w:hAnsi="Times New Roman" w:cs="Times New Roman"/>
          <w:color w:val="212121"/>
          <w:sz w:val="28"/>
          <w:szCs w:val="28"/>
          <w:shd w:val="clear" w:color="auto" w:fill="FFFFFF"/>
        </w:rPr>
        <w:t>ertainly</w:t>
      </w:r>
      <w:r w:rsidR="00912D34">
        <w:rPr>
          <w:rFonts w:ascii="Times New Roman" w:hAnsi="Times New Roman" w:cs="Times New Roman"/>
          <w:color w:val="212121"/>
          <w:sz w:val="28"/>
          <w:szCs w:val="28"/>
          <w:shd w:val="clear" w:color="auto" w:fill="FFFFFF"/>
        </w:rPr>
        <w:t xml:space="preserve"> has</w:t>
      </w:r>
      <w:r w:rsidR="008A058A">
        <w:rPr>
          <w:rFonts w:ascii="Times New Roman" w:hAnsi="Times New Roman" w:cs="Times New Roman"/>
          <w:color w:val="212121"/>
          <w:sz w:val="28"/>
          <w:szCs w:val="28"/>
          <w:shd w:val="clear" w:color="auto" w:fill="FFFFFF"/>
        </w:rPr>
        <w:t xml:space="preserve"> some room for manoeuvre as to whether a </w:t>
      </w:r>
      <w:r w:rsidR="00912D34">
        <w:rPr>
          <w:rFonts w:ascii="Times New Roman" w:hAnsi="Times New Roman" w:cs="Times New Roman"/>
          <w:color w:val="212121"/>
          <w:sz w:val="28"/>
          <w:szCs w:val="28"/>
          <w:shd w:val="clear" w:color="auto" w:fill="FFFFFF"/>
        </w:rPr>
        <w:t>trial of issue</w:t>
      </w:r>
      <w:r w:rsidR="008A058A">
        <w:rPr>
          <w:rFonts w:ascii="Times New Roman" w:hAnsi="Times New Roman" w:cs="Times New Roman"/>
          <w:color w:val="212121"/>
          <w:sz w:val="28"/>
          <w:szCs w:val="28"/>
          <w:shd w:val="clear" w:color="auto" w:fill="FFFFFF"/>
        </w:rPr>
        <w:t xml:space="preserve"> needs to be held. </w:t>
      </w:r>
    </w:p>
    <w:p w14:paraId="5AC06A30" w14:textId="77777777" w:rsidR="002A54BA" w:rsidRPr="00B14325" w:rsidRDefault="002A54BA" w:rsidP="006C3028">
      <w:pPr>
        <w:spacing w:line="360" w:lineRule="auto"/>
        <w:rPr>
          <w:rFonts w:ascii="Times New Roman" w:hAnsi="Times New Roman" w:cs="Times New Roman"/>
          <w:sz w:val="28"/>
          <w:szCs w:val="28"/>
        </w:rPr>
      </w:pPr>
    </w:p>
    <w:p w14:paraId="22B69393" w14:textId="426649C3" w:rsidR="00461B5E" w:rsidRDefault="002A54BA" w:rsidP="006C3028">
      <w:pPr>
        <w:spacing w:line="360" w:lineRule="auto"/>
        <w:rPr>
          <w:rFonts w:ascii="Times New Roman" w:hAnsi="Times New Roman" w:cs="Times New Roman"/>
          <w:sz w:val="28"/>
          <w:szCs w:val="28"/>
        </w:rPr>
      </w:pPr>
      <w:r w:rsidRPr="00B14325">
        <w:rPr>
          <w:rFonts w:ascii="Times New Roman" w:hAnsi="Times New Roman" w:cs="Times New Roman"/>
          <w:sz w:val="28"/>
          <w:szCs w:val="28"/>
        </w:rPr>
        <w:t xml:space="preserve">The development of the </w:t>
      </w:r>
      <w:r w:rsidRPr="00B14325">
        <w:rPr>
          <w:rFonts w:ascii="Times New Roman" w:hAnsi="Times New Roman" w:cs="Times New Roman"/>
          <w:i/>
          <w:sz w:val="28"/>
          <w:szCs w:val="28"/>
        </w:rPr>
        <w:t>Newton</w:t>
      </w:r>
      <w:r w:rsidRPr="00B14325">
        <w:rPr>
          <w:rFonts w:ascii="Times New Roman" w:hAnsi="Times New Roman" w:cs="Times New Roman"/>
          <w:sz w:val="28"/>
          <w:szCs w:val="28"/>
        </w:rPr>
        <w:t xml:space="preserve"> procedure to date, as outlined above, has been welcomed by academic commentators.</w:t>
      </w:r>
      <w:r w:rsidRPr="00B14325">
        <w:rPr>
          <w:rStyle w:val="FootnoteReference"/>
          <w:rFonts w:ascii="Times New Roman" w:hAnsi="Times New Roman" w:cs="Times New Roman"/>
          <w:sz w:val="28"/>
          <w:szCs w:val="28"/>
        </w:rPr>
        <w:footnoteReference w:id="30"/>
      </w:r>
      <w:r w:rsidRPr="00B14325">
        <w:rPr>
          <w:rFonts w:ascii="Times New Roman" w:hAnsi="Times New Roman" w:cs="Times New Roman"/>
          <w:sz w:val="28"/>
          <w:szCs w:val="28"/>
        </w:rPr>
        <w:t xml:space="preserve"> </w:t>
      </w:r>
      <w:r w:rsidR="00461B5E" w:rsidRPr="00B14325">
        <w:rPr>
          <w:rFonts w:ascii="Times New Roman" w:hAnsi="Times New Roman" w:cs="Times New Roman"/>
          <w:sz w:val="28"/>
          <w:szCs w:val="28"/>
        </w:rPr>
        <w:t xml:space="preserve">Despite the clear and principled importance of </w:t>
      </w:r>
      <w:r w:rsidR="00461B5E" w:rsidRPr="00B14325">
        <w:rPr>
          <w:rFonts w:ascii="Times New Roman" w:hAnsi="Times New Roman" w:cs="Times New Roman"/>
          <w:i/>
          <w:sz w:val="28"/>
          <w:szCs w:val="28"/>
        </w:rPr>
        <w:t>Newton</w:t>
      </w:r>
      <w:r w:rsidR="00461B5E" w:rsidRPr="00B14325">
        <w:rPr>
          <w:rFonts w:ascii="Times New Roman" w:hAnsi="Times New Roman" w:cs="Times New Roman"/>
          <w:sz w:val="28"/>
          <w:szCs w:val="28"/>
        </w:rPr>
        <w:t>, trials of issue are in practice the exception and not the</w:t>
      </w:r>
      <w:r w:rsidR="00461B5E" w:rsidRPr="003D28A8">
        <w:rPr>
          <w:rFonts w:ascii="Times New Roman" w:hAnsi="Times New Roman" w:cs="Times New Roman"/>
          <w:sz w:val="28"/>
          <w:szCs w:val="28"/>
        </w:rPr>
        <w:t xml:space="preserve"> norm. </w:t>
      </w:r>
      <w:r w:rsidR="008C5E7B">
        <w:rPr>
          <w:rFonts w:ascii="Times New Roman" w:hAnsi="Times New Roman" w:cs="Times New Roman"/>
          <w:sz w:val="28"/>
          <w:szCs w:val="28"/>
        </w:rPr>
        <w:t xml:space="preserve">In her research </w:t>
      </w:r>
      <w:proofErr w:type="spellStart"/>
      <w:r w:rsidR="00FB592F" w:rsidRPr="003D28A8">
        <w:rPr>
          <w:rFonts w:ascii="Times New Roman" w:hAnsi="Times New Roman" w:cs="Times New Roman"/>
          <w:sz w:val="28"/>
          <w:szCs w:val="28"/>
        </w:rPr>
        <w:t>Darbyshire</w:t>
      </w:r>
      <w:proofErr w:type="spellEnd"/>
      <w:r w:rsidR="00FB592F" w:rsidRPr="003D28A8">
        <w:rPr>
          <w:rFonts w:ascii="Times New Roman" w:hAnsi="Times New Roman" w:cs="Times New Roman"/>
          <w:sz w:val="28"/>
          <w:szCs w:val="28"/>
        </w:rPr>
        <w:t xml:space="preserve"> </w:t>
      </w:r>
      <w:r w:rsidR="008C5E7B">
        <w:rPr>
          <w:rFonts w:ascii="Times New Roman" w:hAnsi="Times New Roman" w:cs="Times New Roman"/>
          <w:sz w:val="28"/>
          <w:szCs w:val="28"/>
        </w:rPr>
        <w:t>noted the amou</w:t>
      </w:r>
      <w:r w:rsidR="00FB592F" w:rsidRPr="003D28A8">
        <w:rPr>
          <w:rFonts w:ascii="Times New Roman" w:hAnsi="Times New Roman" w:cs="Times New Roman"/>
          <w:sz w:val="28"/>
          <w:szCs w:val="28"/>
        </w:rPr>
        <w:t xml:space="preserve">nt of time </w:t>
      </w:r>
      <w:r w:rsidR="00FB592F">
        <w:rPr>
          <w:rFonts w:ascii="Times New Roman" w:hAnsi="Times New Roman" w:cs="Times New Roman"/>
          <w:sz w:val="28"/>
          <w:szCs w:val="28"/>
        </w:rPr>
        <w:t xml:space="preserve">apparently wasted </w:t>
      </w:r>
      <w:r w:rsidR="00FB592F" w:rsidRPr="003D28A8">
        <w:rPr>
          <w:rFonts w:ascii="Times New Roman" w:hAnsi="Times New Roman" w:cs="Times New Roman"/>
          <w:sz w:val="28"/>
          <w:szCs w:val="28"/>
        </w:rPr>
        <w:t xml:space="preserve">by </w:t>
      </w:r>
      <w:r w:rsidR="008C5E7B">
        <w:rPr>
          <w:rFonts w:ascii="Times New Roman" w:hAnsi="Times New Roman" w:cs="Times New Roman"/>
          <w:sz w:val="28"/>
          <w:szCs w:val="28"/>
        </w:rPr>
        <w:t xml:space="preserve">Crown Court </w:t>
      </w:r>
      <w:r w:rsidR="00FB592F" w:rsidRPr="003D28A8">
        <w:rPr>
          <w:rFonts w:ascii="Times New Roman" w:hAnsi="Times New Roman" w:cs="Times New Roman"/>
          <w:sz w:val="28"/>
          <w:szCs w:val="28"/>
        </w:rPr>
        <w:t>judges out of court awaiting the outcome of negotiation between prosecution and defence to see whether a trial would</w:t>
      </w:r>
      <w:r w:rsidR="008C5E7B">
        <w:rPr>
          <w:rFonts w:ascii="Times New Roman" w:hAnsi="Times New Roman" w:cs="Times New Roman"/>
          <w:sz w:val="28"/>
          <w:szCs w:val="28"/>
        </w:rPr>
        <w:t xml:space="preserve"> be required </w:t>
      </w:r>
      <w:r w:rsidR="00FB592F" w:rsidRPr="003D28A8">
        <w:rPr>
          <w:rFonts w:ascii="Times New Roman" w:hAnsi="Times New Roman" w:cs="Times New Roman"/>
          <w:sz w:val="28"/>
          <w:szCs w:val="28"/>
        </w:rPr>
        <w:t>or D would enter a guilty plea,</w:t>
      </w:r>
      <w:r w:rsidR="00BF45A8">
        <w:rPr>
          <w:rStyle w:val="FootnoteReference"/>
          <w:rFonts w:ascii="Times New Roman" w:hAnsi="Times New Roman" w:cs="Times New Roman"/>
          <w:sz w:val="28"/>
          <w:szCs w:val="28"/>
        </w:rPr>
        <w:footnoteReference w:id="31"/>
      </w:r>
      <w:r w:rsidR="00FB592F" w:rsidRPr="003D28A8">
        <w:rPr>
          <w:rFonts w:ascii="Times New Roman" w:hAnsi="Times New Roman" w:cs="Times New Roman"/>
          <w:sz w:val="28"/>
          <w:szCs w:val="28"/>
        </w:rPr>
        <w:t xml:space="preserve"> but she does not refer </w:t>
      </w:r>
      <w:r w:rsidR="008C5E7B">
        <w:rPr>
          <w:rFonts w:ascii="Times New Roman" w:hAnsi="Times New Roman" w:cs="Times New Roman"/>
          <w:sz w:val="28"/>
          <w:szCs w:val="28"/>
        </w:rPr>
        <w:t xml:space="preserve">specifically </w:t>
      </w:r>
      <w:r w:rsidR="00FB592F" w:rsidRPr="003D28A8">
        <w:rPr>
          <w:rFonts w:ascii="Times New Roman" w:hAnsi="Times New Roman" w:cs="Times New Roman"/>
          <w:sz w:val="28"/>
          <w:szCs w:val="28"/>
        </w:rPr>
        <w:t xml:space="preserve">to the use of a </w:t>
      </w:r>
      <w:r w:rsidR="00FB592F" w:rsidRPr="003D28A8">
        <w:rPr>
          <w:rFonts w:ascii="Times New Roman" w:hAnsi="Times New Roman" w:cs="Times New Roman"/>
          <w:i/>
          <w:sz w:val="28"/>
          <w:szCs w:val="28"/>
        </w:rPr>
        <w:t>Newton</w:t>
      </w:r>
      <w:r w:rsidR="00FB592F" w:rsidRPr="003D28A8">
        <w:rPr>
          <w:rFonts w:ascii="Times New Roman" w:hAnsi="Times New Roman" w:cs="Times New Roman"/>
          <w:sz w:val="28"/>
          <w:szCs w:val="28"/>
        </w:rPr>
        <w:t xml:space="preserve"> hearing to resolve the differences.</w:t>
      </w:r>
      <w:r w:rsidR="00FB592F">
        <w:rPr>
          <w:rFonts w:ascii="Times New Roman" w:hAnsi="Times New Roman" w:cs="Times New Roman"/>
          <w:sz w:val="28"/>
          <w:szCs w:val="28"/>
        </w:rPr>
        <w:t xml:space="preserve"> </w:t>
      </w:r>
      <w:r w:rsidR="00461B5E" w:rsidRPr="003D28A8">
        <w:rPr>
          <w:rFonts w:ascii="Times New Roman" w:hAnsi="Times New Roman" w:cs="Times New Roman"/>
          <w:sz w:val="28"/>
          <w:szCs w:val="28"/>
        </w:rPr>
        <w:t xml:space="preserve">There are good practical reasons for this. If the judge orders a </w:t>
      </w:r>
      <w:r w:rsidR="00461B5E" w:rsidRPr="003D28A8">
        <w:rPr>
          <w:rFonts w:ascii="Times New Roman" w:hAnsi="Times New Roman" w:cs="Times New Roman"/>
          <w:i/>
          <w:sz w:val="28"/>
          <w:szCs w:val="28"/>
        </w:rPr>
        <w:t>Newton</w:t>
      </w:r>
      <w:r w:rsidR="00461B5E" w:rsidRPr="003D28A8">
        <w:rPr>
          <w:rFonts w:ascii="Times New Roman" w:hAnsi="Times New Roman" w:cs="Times New Roman"/>
          <w:sz w:val="28"/>
          <w:szCs w:val="28"/>
        </w:rPr>
        <w:t xml:space="preserve"> hearing that </w:t>
      </w:r>
      <w:r w:rsidR="008B6A75">
        <w:rPr>
          <w:rFonts w:ascii="Times New Roman" w:hAnsi="Times New Roman" w:cs="Times New Roman"/>
          <w:sz w:val="28"/>
          <w:szCs w:val="28"/>
        </w:rPr>
        <w:t>may</w:t>
      </w:r>
      <w:r w:rsidR="00461B5E" w:rsidRPr="003D28A8">
        <w:rPr>
          <w:rFonts w:ascii="Times New Roman" w:hAnsi="Times New Roman" w:cs="Times New Roman"/>
          <w:sz w:val="28"/>
          <w:szCs w:val="28"/>
        </w:rPr>
        <w:t xml:space="preserve"> require sentencing </w:t>
      </w:r>
      <w:r w:rsidR="008C5E7B">
        <w:rPr>
          <w:rFonts w:ascii="Times New Roman" w:hAnsi="Times New Roman" w:cs="Times New Roman"/>
          <w:sz w:val="28"/>
          <w:szCs w:val="28"/>
        </w:rPr>
        <w:t xml:space="preserve">to </w:t>
      </w:r>
      <w:r w:rsidR="00461B5E" w:rsidRPr="003D28A8">
        <w:rPr>
          <w:rFonts w:ascii="Times New Roman" w:hAnsi="Times New Roman" w:cs="Times New Roman"/>
          <w:sz w:val="28"/>
          <w:szCs w:val="28"/>
        </w:rPr>
        <w:t>be adjourned to another day, and for court time to be set aside to hear argument and, if necessary, for witnesses to be called.</w:t>
      </w:r>
      <w:r w:rsidR="00BA5EB4">
        <w:rPr>
          <w:rStyle w:val="FootnoteReference"/>
          <w:rFonts w:ascii="Times New Roman" w:hAnsi="Times New Roman" w:cs="Times New Roman"/>
          <w:sz w:val="28"/>
          <w:szCs w:val="28"/>
        </w:rPr>
        <w:footnoteReference w:id="32"/>
      </w:r>
      <w:r w:rsidR="00461B5E" w:rsidRPr="003D28A8">
        <w:rPr>
          <w:rFonts w:ascii="Times New Roman" w:hAnsi="Times New Roman" w:cs="Times New Roman"/>
          <w:sz w:val="28"/>
          <w:szCs w:val="28"/>
        </w:rPr>
        <w:t xml:space="preserve"> It is </w:t>
      </w:r>
      <w:r w:rsidR="008C5E7B">
        <w:rPr>
          <w:rFonts w:ascii="Times New Roman" w:hAnsi="Times New Roman" w:cs="Times New Roman"/>
          <w:sz w:val="28"/>
          <w:szCs w:val="28"/>
        </w:rPr>
        <w:t xml:space="preserve">well known that </w:t>
      </w:r>
      <w:r w:rsidR="00461B5E" w:rsidRPr="003D28A8">
        <w:rPr>
          <w:rFonts w:ascii="Times New Roman" w:hAnsi="Times New Roman" w:cs="Times New Roman"/>
          <w:sz w:val="28"/>
          <w:szCs w:val="28"/>
        </w:rPr>
        <w:t>the criminal trial system relies upon large numbers of defendants admitting their guilt early</w:t>
      </w:r>
      <w:r w:rsidR="008C5E7B">
        <w:rPr>
          <w:rFonts w:ascii="Times New Roman" w:hAnsi="Times New Roman" w:cs="Times New Roman"/>
          <w:sz w:val="28"/>
          <w:szCs w:val="28"/>
        </w:rPr>
        <w:t>, thereby</w:t>
      </w:r>
      <w:r w:rsidR="00461B5E" w:rsidRPr="003D28A8">
        <w:rPr>
          <w:rFonts w:ascii="Times New Roman" w:hAnsi="Times New Roman" w:cs="Times New Roman"/>
          <w:sz w:val="28"/>
          <w:szCs w:val="28"/>
        </w:rPr>
        <w:t xml:space="preserve"> receiving the benefit of </w:t>
      </w:r>
      <w:r w:rsidR="008C5E7B">
        <w:rPr>
          <w:rFonts w:ascii="Times New Roman" w:hAnsi="Times New Roman" w:cs="Times New Roman"/>
          <w:sz w:val="28"/>
          <w:szCs w:val="28"/>
        </w:rPr>
        <w:t>a</w:t>
      </w:r>
      <w:r w:rsidR="008E278C">
        <w:rPr>
          <w:rFonts w:ascii="Times New Roman" w:hAnsi="Times New Roman" w:cs="Times New Roman"/>
          <w:sz w:val="28"/>
          <w:szCs w:val="28"/>
        </w:rPr>
        <w:t xml:space="preserve"> reduction for p</w:t>
      </w:r>
      <w:r w:rsidR="00461B5E" w:rsidRPr="003D28A8">
        <w:rPr>
          <w:rFonts w:ascii="Times New Roman" w:hAnsi="Times New Roman" w:cs="Times New Roman"/>
          <w:sz w:val="28"/>
          <w:szCs w:val="28"/>
        </w:rPr>
        <w:t>leading guilty. Key justifications for the discount are that ‘it saves public time and money’, and ‘saves victims and witnesses from having to testify’</w:t>
      </w:r>
      <w:r w:rsidR="00461B5E" w:rsidRPr="003D28A8">
        <w:rPr>
          <w:rStyle w:val="FootnoteReference"/>
          <w:rFonts w:ascii="Times New Roman" w:hAnsi="Times New Roman" w:cs="Times New Roman"/>
          <w:sz w:val="28"/>
          <w:szCs w:val="28"/>
        </w:rPr>
        <w:footnoteReference w:id="33"/>
      </w:r>
      <w:r w:rsidR="00461B5E" w:rsidRPr="003D28A8">
        <w:rPr>
          <w:rFonts w:ascii="Times New Roman" w:hAnsi="Times New Roman" w:cs="Times New Roman"/>
          <w:sz w:val="28"/>
          <w:szCs w:val="28"/>
        </w:rPr>
        <w:t xml:space="preserve">. </w:t>
      </w:r>
      <w:r w:rsidR="008C5E7B">
        <w:rPr>
          <w:rFonts w:ascii="Times New Roman" w:hAnsi="Times New Roman" w:cs="Times New Roman"/>
          <w:sz w:val="28"/>
          <w:szCs w:val="28"/>
        </w:rPr>
        <w:t>S</w:t>
      </w:r>
      <w:r w:rsidR="00461B5E" w:rsidRPr="003D28A8">
        <w:rPr>
          <w:rFonts w:ascii="Times New Roman" w:hAnsi="Times New Roman" w:cs="Times New Roman"/>
          <w:sz w:val="28"/>
          <w:szCs w:val="28"/>
        </w:rPr>
        <w:t xml:space="preserve">imilar arguments can be made at sentencing, so that if a </w:t>
      </w:r>
      <w:r w:rsidR="00461B5E" w:rsidRPr="003D28A8">
        <w:rPr>
          <w:rFonts w:ascii="Times New Roman" w:hAnsi="Times New Roman" w:cs="Times New Roman"/>
          <w:i/>
          <w:sz w:val="28"/>
          <w:szCs w:val="28"/>
        </w:rPr>
        <w:t>Newton</w:t>
      </w:r>
      <w:r w:rsidR="00461B5E" w:rsidRPr="003D28A8">
        <w:rPr>
          <w:rFonts w:ascii="Times New Roman" w:hAnsi="Times New Roman" w:cs="Times New Roman"/>
          <w:sz w:val="28"/>
          <w:szCs w:val="28"/>
        </w:rPr>
        <w:t xml:space="preserve"> hearing is required and D’s account of the facts is disbelieved, D will lose </w:t>
      </w:r>
      <w:r w:rsidR="008C5E7B">
        <w:rPr>
          <w:rFonts w:ascii="Times New Roman" w:hAnsi="Times New Roman" w:cs="Times New Roman"/>
          <w:sz w:val="28"/>
          <w:szCs w:val="28"/>
        </w:rPr>
        <w:t>much</w:t>
      </w:r>
      <w:r w:rsidR="00461B5E" w:rsidRPr="003D28A8">
        <w:rPr>
          <w:rFonts w:ascii="Times New Roman" w:hAnsi="Times New Roman" w:cs="Times New Roman"/>
          <w:sz w:val="28"/>
          <w:szCs w:val="28"/>
        </w:rPr>
        <w:t xml:space="preserve"> of that discount.</w:t>
      </w:r>
      <w:r w:rsidR="00461B5E">
        <w:rPr>
          <w:rFonts w:ascii="Times New Roman" w:hAnsi="Times New Roman" w:cs="Times New Roman"/>
          <w:sz w:val="28"/>
          <w:szCs w:val="28"/>
        </w:rPr>
        <w:t xml:space="preserve"> </w:t>
      </w:r>
      <w:r w:rsidRPr="003D28A8">
        <w:rPr>
          <w:rFonts w:ascii="Times New Roman" w:hAnsi="Times New Roman" w:cs="Times New Roman"/>
          <w:sz w:val="28"/>
          <w:szCs w:val="28"/>
        </w:rPr>
        <w:t xml:space="preserve">To the extent that there has been criticism of the </w:t>
      </w:r>
      <w:r w:rsidR="00336AA7">
        <w:rPr>
          <w:rFonts w:ascii="Times New Roman" w:hAnsi="Times New Roman" w:cs="Times New Roman"/>
          <w:i/>
          <w:sz w:val="28"/>
          <w:szCs w:val="28"/>
        </w:rPr>
        <w:t>Newton</w:t>
      </w:r>
      <w:r w:rsidR="00336AA7">
        <w:rPr>
          <w:rFonts w:ascii="Times New Roman" w:hAnsi="Times New Roman" w:cs="Times New Roman"/>
          <w:sz w:val="28"/>
          <w:szCs w:val="28"/>
        </w:rPr>
        <w:t xml:space="preserve"> </w:t>
      </w:r>
      <w:r w:rsidRPr="003D28A8">
        <w:rPr>
          <w:rFonts w:ascii="Times New Roman" w:hAnsi="Times New Roman" w:cs="Times New Roman"/>
          <w:sz w:val="28"/>
          <w:szCs w:val="28"/>
        </w:rPr>
        <w:t xml:space="preserve">process it has </w:t>
      </w:r>
      <w:r w:rsidR="00F06A8C">
        <w:rPr>
          <w:rFonts w:ascii="Times New Roman" w:hAnsi="Times New Roman" w:cs="Times New Roman"/>
          <w:sz w:val="28"/>
          <w:szCs w:val="28"/>
        </w:rPr>
        <w:t xml:space="preserve">mainly </w:t>
      </w:r>
      <w:r w:rsidRPr="003D28A8">
        <w:rPr>
          <w:rFonts w:ascii="Times New Roman" w:hAnsi="Times New Roman" w:cs="Times New Roman"/>
          <w:sz w:val="28"/>
          <w:szCs w:val="28"/>
        </w:rPr>
        <w:t xml:space="preserve">come from defence practitioners. </w:t>
      </w:r>
      <w:r w:rsidR="00F06A8C" w:rsidRPr="003D28A8">
        <w:rPr>
          <w:rFonts w:ascii="Times New Roman" w:hAnsi="Times New Roman" w:cs="Times New Roman"/>
          <w:sz w:val="28"/>
          <w:szCs w:val="28"/>
        </w:rPr>
        <w:t xml:space="preserve">Formally the initiative for prompting a </w:t>
      </w:r>
      <w:r w:rsidR="00F06A8C" w:rsidRPr="003D28A8">
        <w:rPr>
          <w:rFonts w:ascii="Times New Roman" w:hAnsi="Times New Roman" w:cs="Times New Roman"/>
          <w:i/>
          <w:sz w:val="28"/>
          <w:szCs w:val="28"/>
        </w:rPr>
        <w:t>Newton</w:t>
      </w:r>
      <w:r w:rsidR="00F06A8C" w:rsidRPr="003D28A8">
        <w:rPr>
          <w:rFonts w:ascii="Times New Roman" w:hAnsi="Times New Roman" w:cs="Times New Roman"/>
          <w:sz w:val="28"/>
          <w:szCs w:val="28"/>
        </w:rPr>
        <w:t xml:space="preserve"> hearing lies with </w:t>
      </w:r>
      <w:r w:rsidR="00CB7FAA">
        <w:rPr>
          <w:rFonts w:ascii="Times New Roman" w:hAnsi="Times New Roman" w:cs="Times New Roman"/>
          <w:sz w:val="28"/>
          <w:szCs w:val="28"/>
        </w:rPr>
        <w:t>t</w:t>
      </w:r>
      <w:r w:rsidR="00F06A8C" w:rsidRPr="003D28A8">
        <w:rPr>
          <w:rFonts w:ascii="Times New Roman" w:hAnsi="Times New Roman" w:cs="Times New Roman"/>
          <w:sz w:val="28"/>
          <w:szCs w:val="28"/>
        </w:rPr>
        <w:t>he defence</w:t>
      </w:r>
      <w:r w:rsidR="00F06A8C">
        <w:rPr>
          <w:rFonts w:ascii="Times New Roman" w:hAnsi="Times New Roman" w:cs="Times New Roman"/>
          <w:sz w:val="28"/>
          <w:szCs w:val="28"/>
        </w:rPr>
        <w:t>, but defence p</w:t>
      </w:r>
      <w:r w:rsidRPr="003D28A8">
        <w:rPr>
          <w:rFonts w:ascii="Times New Roman" w:hAnsi="Times New Roman" w:cs="Times New Roman"/>
          <w:sz w:val="28"/>
          <w:szCs w:val="28"/>
        </w:rPr>
        <w:t xml:space="preserve">ractitioners urge caution when settling </w:t>
      </w:r>
      <w:r w:rsidR="00F06A8C">
        <w:rPr>
          <w:rFonts w:ascii="Times New Roman" w:hAnsi="Times New Roman" w:cs="Times New Roman"/>
          <w:sz w:val="28"/>
          <w:szCs w:val="28"/>
        </w:rPr>
        <w:t>upon</w:t>
      </w:r>
      <w:r w:rsidRPr="003D28A8">
        <w:rPr>
          <w:rFonts w:ascii="Times New Roman" w:hAnsi="Times New Roman" w:cs="Times New Roman"/>
          <w:sz w:val="28"/>
          <w:szCs w:val="28"/>
        </w:rPr>
        <w:t xml:space="preserve"> a basis of plea, especially where there are facts within </w:t>
      </w:r>
      <w:r w:rsidR="00F06A8C">
        <w:rPr>
          <w:rFonts w:ascii="Times New Roman" w:hAnsi="Times New Roman" w:cs="Times New Roman"/>
          <w:sz w:val="28"/>
          <w:szCs w:val="28"/>
        </w:rPr>
        <w:t xml:space="preserve">it </w:t>
      </w:r>
      <w:r w:rsidRPr="003D28A8">
        <w:rPr>
          <w:rFonts w:ascii="Times New Roman" w:hAnsi="Times New Roman" w:cs="Times New Roman"/>
          <w:sz w:val="28"/>
          <w:szCs w:val="28"/>
        </w:rPr>
        <w:t xml:space="preserve">which lie outside the knowledge of the prosecutor. They point out that if D’s assertions are rejected at the trial of issue then, as they see it, D is doubly disadvantaged by receiving a higher sentence to accord with the prosecution version of the facts </w:t>
      </w:r>
      <w:r w:rsidRPr="003D28A8">
        <w:rPr>
          <w:rFonts w:ascii="Times New Roman" w:hAnsi="Times New Roman" w:cs="Times New Roman"/>
          <w:i/>
          <w:sz w:val="28"/>
          <w:szCs w:val="28"/>
        </w:rPr>
        <w:t>and</w:t>
      </w:r>
      <w:r w:rsidRPr="003D28A8">
        <w:rPr>
          <w:rFonts w:ascii="Times New Roman" w:hAnsi="Times New Roman" w:cs="Times New Roman"/>
          <w:sz w:val="28"/>
          <w:szCs w:val="28"/>
        </w:rPr>
        <w:t xml:space="preserve"> in addition D suffers the loss of discount for their initial guilty plea.</w:t>
      </w:r>
      <w:r w:rsidRPr="003D28A8">
        <w:rPr>
          <w:rStyle w:val="FootnoteReference"/>
          <w:rFonts w:ascii="Times New Roman" w:hAnsi="Times New Roman" w:cs="Times New Roman"/>
          <w:sz w:val="28"/>
          <w:szCs w:val="28"/>
        </w:rPr>
        <w:footnoteReference w:id="34"/>
      </w:r>
      <w:r w:rsidR="00F06A8C">
        <w:rPr>
          <w:rFonts w:ascii="Times New Roman" w:hAnsi="Times New Roman" w:cs="Times New Roman"/>
          <w:sz w:val="28"/>
          <w:szCs w:val="28"/>
        </w:rPr>
        <w:t xml:space="preserve"> </w:t>
      </w:r>
    </w:p>
    <w:p w14:paraId="5148239A" w14:textId="77777777" w:rsidR="00461B5E" w:rsidRDefault="00461B5E" w:rsidP="006C3028">
      <w:pPr>
        <w:spacing w:line="360" w:lineRule="auto"/>
        <w:rPr>
          <w:rFonts w:ascii="Times New Roman" w:hAnsi="Times New Roman" w:cs="Times New Roman"/>
          <w:sz w:val="28"/>
          <w:szCs w:val="28"/>
        </w:rPr>
      </w:pPr>
    </w:p>
    <w:p w14:paraId="578AA36F" w14:textId="2EEC18E0" w:rsidR="00FE0460" w:rsidRPr="003D28A8" w:rsidRDefault="002F1597" w:rsidP="006C3028">
      <w:pPr>
        <w:spacing w:line="360" w:lineRule="auto"/>
        <w:rPr>
          <w:rFonts w:ascii="Times New Roman" w:hAnsi="Times New Roman" w:cs="Times New Roman"/>
          <w:sz w:val="28"/>
          <w:szCs w:val="28"/>
        </w:rPr>
      </w:pPr>
      <w:r>
        <w:rPr>
          <w:rFonts w:ascii="Times New Roman" w:hAnsi="Times New Roman" w:cs="Times New Roman"/>
          <w:sz w:val="28"/>
          <w:szCs w:val="28"/>
        </w:rPr>
        <w:t xml:space="preserve">It is </w:t>
      </w:r>
      <w:r w:rsidR="00FE0460" w:rsidRPr="003D28A8">
        <w:rPr>
          <w:rFonts w:ascii="Times New Roman" w:hAnsi="Times New Roman" w:cs="Times New Roman"/>
          <w:sz w:val="28"/>
          <w:szCs w:val="28"/>
        </w:rPr>
        <w:t xml:space="preserve">often at a pre-trial hearing that an important factual divergence will be identified by the judge who will </w:t>
      </w:r>
      <w:r>
        <w:rPr>
          <w:rFonts w:ascii="Times New Roman" w:hAnsi="Times New Roman" w:cs="Times New Roman"/>
          <w:sz w:val="28"/>
          <w:szCs w:val="28"/>
        </w:rPr>
        <w:t>warn the parties</w:t>
      </w:r>
      <w:r w:rsidR="00FE0460" w:rsidRPr="003D28A8">
        <w:rPr>
          <w:rFonts w:ascii="Times New Roman" w:hAnsi="Times New Roman" w:cs="Times New Roman"/>
          <w:sz w:val="28"/>
          <w:szCs w:val="28"/>
        </w:rPr>
        <w:t xml:space="preserve"> that, in the event of a guilty plea, a </w:t>
      </w:r>
      <w:r w:rsidR="00FE0460" w:rsidRPr="003D28A8">
        <w:rPr>
          <w:rFonts w:ascii="Times New Roman" w:hAnsi="Times New Roman" w:cs="Times New Roman"/>
          <w:i/>
          <w:sz w:val="28"/>
          <w:szCs w:val="28"/>
        </w:rPr>
        <w:t xml:space="preserve">Newton </w:t>
      </w:r>
      <w:r w:rsidR="00FE0460" w:rsidRPr="003D28A8">
        <w:rPr>
          <w:rFonts w:ascii="Times New Roman" w:hAnsi="Times New Roman" w:cs="Times New Roman"/>
          <w:sz w:val="28"/>
          <w:szCs w:val="28"/>
        </w:rPr>
        <w:t xml:space="preserve">hearing will be required to resolve it. During the pre-trial stage, and indeed up to and including the day set down for trial, prosecution and defence may adjust their respective positions on the facts </w:t>
      </w:r>
      <w:r>
        <w:rPr>
          <w:rFonts w:ascii="Times New Roman" w:hAnsi="Times New Roman" w:cs="Times New Roman"/>
          <w:sz w:val="28"/>
          <w:szCs w:val="28"/>
        </w:rPr>
        <w:t>or</w:t>
      </w:r>
      <w:r w:rsidR="00FE0460" w:rsidRPr="003D28A8">
        <w:rPr>
          <w:rFonts w:ascii="Times New Roman" w:hAnsi="Times New Roman" w:cs="Times New Roman"/>
          <w:sz w:val="28"/>
          <w:szCs w:val="28"/>
        </w:rPr>
        <w:t xml:space="preserve">, as time goes on, factual differences may appear less important than they did at the outset. Again, in practice, it is common to find that a matter identified and set down for a half-day </w:t>
      </w:r>
      <w:r w:rsidR="00FE0460" w:rsidRPr="003D28A8">
        <w:rPr>
          <w:rFonts w:ascii="Times New Roman" w:hAnsi="Times New Roman" w:cs="Times New Roman"/>
          <w:i/>
          <w:sz w:val="28"/>
          <w:szCs w:val="28"/>
        </w:rPr>
        <w:t>Newton</w:t>
      </w:r>
      <w:r w:rsidR="00FE0460" w:rsidRPr="003D28A8">
        <w:rPr>
          <w:rFonts w:ascii="Times New Roman" w:hAnsi="Times New Roman" w:cs="Times New Roman"/>
          <w:sz w:val="28"/>
          <w:szCs w:val="28"/>
        </w:rPr>
        <w:t xml:space="preserve"> hearing </w:t>
      </w:r>
      <w:r w:rsidR="00994424">
        <w:rPr>
          <w:rFonts w:ascii="Times New Roman" w:hAnsi="Times New Roman" w:cs="Times New Roman"/>
          <w:sz w:val="28"/>
          <w:szCs w:val="28"/>
        </w:rPr>
        <w:t xml:space="preserve">seem less critical </w:t>
      </w:r>
      <w:r w:rsidR="00FE0460" w:rsidRPr="003D28A8">
        <w:rPr>
          <w:rFonts w:ascii="Times New Roman" w:hAnsi="Times New Roman" w:cs="Times New Roman"/>
          <w:sz w:val="28"/>
          <w:szCs w:val="28"/>
        </w:rPr>
        <w:t xml:space="preserve">with the passage of time. </w:t>
      </w:r>
      <w:r w:rsidR="00994424">
        <w:rPr>
          <w:rFonts w:ascii="Times New Roman" w:hAnsi="Times New Roman" w:cs="Times New Roman"/>
          <w:sz w:val="28"/>
          <w:szCs w:val="28"/>
        </w:rPr>
        <w:t>A d</w:t>
      </w:r>
      <w:r w:rsidR="00FE0460" w:rsidRPr="003D28A8">
        <w:rPr>
          <w:rFonts w:ascii="Times New Roman" w:hAnsi="Times New Roman" w:cs="Times New Roman"/>
          <w:sz w:val="28"/>
          <w:szCs w:val="28"/>
        </w:rPr>
        <w:t xml:space="preserve">ifferent </w:t>
      </w:r>
      <w:r w:rsidR="00994424">
        <w:rPr>
          <w:rFonts w:ascii="Times New Roman" w:hAnsi="Times New Roman" w:cs="Times New Roman"/>
          <w:sz w:val="28"/>
          <w:szCs w:val="28"/>
        </w:rPr>
        <w:t xml:space="preserve">prosecution </w:t>
      </w:r>
      <w:r w:rsidR="00FE0460" w:rsidRPr="003D28A8">
        <w:rPr>
          <w:rFonts w:ascii="Times New Roman" w:hAnsi="Times New Roman" w:cs="Times New Roman"/>
          <w:sz w:val="28"/>
          <w:szCs w:val="28"/>
        </w:rPr>
        <w:t xml:space="preserve">counsel may take a more flexible view </w:t>
      </w:r>
      <w:r w:rsidR="00994424">
        <w:rPr>
          <w:rFonts w:ascii="Times New Roman" w:hAnsi="Times New Roman" w:cs="Times New Roman"/>
          <w:sz w:val="28"/>
          <w:szCs w:val="28"/>
        </w:rPr>
        <w:t xml:space="preserve">or the defence may decide that it is not worth risking loss of credit </w:t>
      </w:r>
      <w:r w:rsidR="00FE0460" w:rsidRPr="003D28A8">
        <w:rPr>
          <w:rFonts w:ascii="Times New Roman" w:hAnsi="Times New Roman" w:cs="Times New Roman"/>
          <w:sz w:val="28"/>
          <w:szCs w:val="28"/>
        </w:rPr>
        <w:t xml:space="preserve">and, in the end, the sentencing hearing proceeds without the need for a trial of issue. </w:t>
      </w:r>
      <w:r w:rsidR="00FE6B02">
        <w:rPr>
          <w:rFonts w:ascii="Times New Roman" w:hAnsi="Times New Roman" w:cs="Times New Roman"/>
          <w:sz w:val="28"/>
          <w:szCs w:val="28"/>
        </w:rPr>
        <w:t xml:space="preserve">Jacobson </w:t>
      </w:r>
      <w:r w:rsidR="00FE6B02" w:rsidRPr="00FE6B02">
        <w:rPr>
          <w:rFonts w:ascii="Times New Roman" w:hAnsi="Times New Roman" w:cs="Times New Roman"/>
          <w:i/>
          <w:sz w:val="28"/>
          <w:szCs w:val="28"/>
        </w:rPr>
        <w:t>et al</w:t>
      </w:r>
      <w:r w:rsidR="00FE6B02">
        <w:rPr>
          <w:rFonts w:ascii="Times New Roman" w:hAnsi="Times New Roman" w:cs="Times New Roman"/>
          <w:sz w:val="28"/>
          <w:szCs w:val="28"/>
        </w:rPr>
        <w:t xml:space="preserve"> </w:t>
      </w:r>
      <w:r w:rsidR="00FE6B02" w:rsidRPr="003D28A8">
        <w:rPr>
          <w:rFonts w:ascii="Times New Roman" w:hAnsi="Times New Roman" w:cs="Times New Roman"/>
          <w:sz w:val="28"/>
          <w:szCs w:val="28"/>
        </w:rPr>
        <w:t>refer to charge-bargaining and fact-bargaining as the ‘process of negotiation and compromise over what really happened’.</w:t>
      </w:r>
      <w:r w:rsidR="00FE6B02" w:rsidRPr="003D28A8">
        <w:rPr>
          <w:rStyle w:val="FootnoteReference"/>
          <w:rFonts w:ascii="Times New Roman" w:hAnsi="Times New Roman" w:cs="Times New Roman"/>
          <w:sz w:val="28"/>
          <w:szCs w:val="28"/>
        </w:rPr>
        <w:footnoteReference w:id="35"/>
      </w:r>
      <w:r w:rsidR="00FE6B02" w:rsidRPr="003D28A8">
        <w:rPr>
          <w:rFonts w:ascii="Times New Roman" w:hAnsi="Times New Roman" w:cs="Times New Roman"/>
          <w:sz w:val="28"/>
          <w:szCs w:val="28"/>
        </w:rPr>
        <w:t xml:space="preserve"> As Feeley has commented in the American context, ‘much of what passes for plea bargaining is really negotiation over the meaning of facts … facts are malleable.’</w:t>
      </w:r>
      <w:r w:rsidR="00153413">
        <w:rPr>
          <w:rStyle w:val="FootnoteReference"/>
          <w:rFonts w:ascii="Times New Roman" w:hAnsi="Times New Roman" w:cs="Times New Roman"/>
          <w:sz w:val="28"/>
          <w:szCs w:val="28"/>
        </w:rPr>
        <w:footnoteReference w:id="36"/>
      </w:r>
      <w:r w:rsidR="00FE6B02">
        <w:rPr>
          <w:rFonts w:ascii="Times New Roman" w:hAnsi="Times New Roman" w:cs="Times New Roman"/>
          <w:sz w:val="28"/>
          <w:szCs w:val="28"/>
        </w:rPr>
        <w:t xml:space="preserve"> </w:t>
      </w:r>
      <w:r w:rsidR="00461B5E" w:rsidRPr="003D28A8">
        <w:rPr>
          <w:rFonts w:ascii="Times New Roman" w:hAnsi="Times New Roman" w:cs="Times New Roman"/>
          <w:sz w:val="28"/>
          <w:szCs w:val="28"/>
        </w:rPr>
        <w:t>Clearly, sharp disagreements over elements of the offence will require testing and resolution by trial. But, as Jacobson at al point out, ‘guilty pleas often reflect a contingent and highly contested version of events – ‘the truth’ can be just as elusive in cases where there has been a guilty plea as in cases that have gone to trial.’</w:t>
      </w:r>
      <w:r w:rsidR="00461B5E" w:rsidRPr="003D28A8">
        <w:rPr>
          <w:rStyle w:val="FootnoteReference"/>
          <w:rFonts w:ascii="Times New Roman" w:hAnsi="Times New Roman" w:cs="Times New Roman"/>
          <w:sz w:val="28"/>
          <w:szCs w:val="28"/>
        </w:rPr>
        <w:footnoteReference w:id="37"/>
      </w:r>
    </w:p>
    <w:p w14:paraId="38219137" w14:textId="77777777" w:rsidR="0094668F" w:rsidRDefault="0094668F" w:rsidP="006C3028">
      <w:pPr>
        <w:spacing w:line="360" w:lineRule="auto"/>
        <w:rPr>
          <w:rFonts w:ascii="Times New Roman" w:hAnsi="Times New Roman" w:cs="Times New Roman"/>
          <w:sz w:val="28"/>
          <w:szCs w:val="28"/>
        </w:rPr>
      </w:pPr>
    </w:p>
    <w:p w14:paraId="0B5BE1A9" w14:textId="79487E2C" w:rsidR="002A54BA" w:rsidRPr="00E72727" w:rsidRDefault="00A74101" w:rsidP="006C3028">
      <w:pPr>
        <w:spacing w:line="360" w:lineRule="auto"/>
        <w:rPr>
          <w:rFonts w:ascii="Times New Roman" w:hAnsi="Times New Roman" w:cs="Times New Roman"/>
          <w:sz w:val="28"/>
          <w:szCs w:val="28"/>
        </w:rPr>
      </w:pPr>
      <w:r>
        <w:rPr>
          <w:rFonts w:ascii="Times New Roman" w:hAnsi="Times New Roman" w:cs="Times New Roman"/>
          <w:sz w:val="28"/>
          <w:szCs w:val="28"/>
        </w:rPr>
        <w:t xml:space="preserve">In recent years the Court of Appeal has extended the use of </w:t>
      </w:r>
      <w:r>
        <w:rPr>
          <w:rFonts w:ascii="Times New Roman" w:hAnsi="Times New Roman" w:cs="Times New Roman"/>
          <w:i/>
          <w:sz w:val="28"/>
          <w:szCs w:val="28"/>
        </w:rPr>
        <w:t>Newton</w:t>
      </w:r>
      <w:r>
        <w:rPr>
          <w:rFonts w:ascii="Times New Roman" w:hAnsi="Times New Roman" w:cs="Times New Roman"/>
          <w:sz w:val="28"/>
          <w:szCs w:val="28"/>
        </w:rPr>
        <w:t xml:space="preserve"> hearings to assist the judge in determining whether ‘exceptional circumstances’ pertain </w:t>
      </w:r>
      <w:r w:rsidR="00B82A9A">
        <w:rPr>
          <w:rFonts w:ascii="Times New Roman" w:hAnsi="Times New Roman" w:cs="Times New Roman"/>
          <w:sz w:val="28"/>
          <w:szCs w:val="28"/>
        </w:rPr>
        <w:t>in</w:t>
      </w:r>
      <w:r>
        <w:rPr>
          <w:rFonts w:ascii="Times New Roman" w:hAnsi="Times New Roman" w:cs="Times New Roman"/>
          <w:sz w:val="28"/>
          <w:szCs w:val="28"/>
        </w:rPr>
        <w:t xml:space="preserve"> </w:t>
      </w:r>
      <w:r w:rsidR="00B82A9A">
        <w:rPr>
          <w:rFonts w:ascii="Times New Roman" w:hAnsi="Times New Roman" w:cs="Times New Roman"/>
          <w:sz w:val="28"/>
          <w:szCs w:val="28"/>
        </w:rPr>
        <w:t>the context of a minimum 5 year s</w:t>
      </w:r>
      <w:r>
        <w:rPr>
          <w:rFonts w:ascii="Times New Roman" w:hAnsi="Times New Roman" w:cs="Times New Roman"/>
          <w:sz w:val="28"/>
          <w:szCs w:val="28"/>
        </w:rPr>
        <w:t xml:space="preserve">entence </w:t>
      </w:r>
      <w:r w:rsidR="00B82A9A">
        <w:rPr>
          <w:rFonts w:ascii="Times New Roman" w:hAnsi="Times New Roman" w:cs="Times New Roman"/>
          <w:sz w:val="28"/>
          <w:szCs w:val="28"/>
        </w:rPr>
        <w:t>for a firearms offence</w:t>
      </w:r>
      <w:r>
        <w:rPr>
          <w:rFonts w:ascii="Times New Roman" w:hAnsi="Times New Roman" w:cs="Times New Roman"/>
          <w:sz w:val="28"/>
          <w:szCs w:val="28"/>
        </w:rPr>
        <w:t xml:space="preserve">. The watershed case was </w:t>
      </w:r>
      <w:r w:rsidR="00B82A9A">
        <w:rPr>
          <w:rFonts w:ascii="Times New Roman" w:hAnsi="Times New Roman" w:cs="Times New Roman"/>
          <w:i/>
          <w:sz w:val="28"/>
          <w:szCs w:val="28"/>
        </w:rPr>
        <w:t>Rogers</w:t>
      </w:r>
      <w:r w:rsidR="00B82A9A">
        <w:rPr>
          <w:rStyle w:val="FootnoteReference"/>
          <w:rFonts w:ascii="Times New Roman" w:hAnsi="Times New Roman" w:cs="Times New Roman"/>
          <w:i/>
          <w:sz w:val="28"/>
          <w:szCs w:val="28"/>
        </w:rPr>
        <w:footnoteReference w:id="38"/>
      </w:r>
      <w:r w:rsidR="00B82A9A">
        <w:rPr>
          <w:rFonts w:ascii="Times New Roman" w:hAnsi="Times New Roman" w:cs="Times New Roman"/>
          <w:sz w:val="28"/>
          <w:szCs w:val="28"/>
        </w:rPr>
        <w:t xml:space="preserve"> and the importance of complying with the procedure </w:t>
      </w:r>
      <w:r w:rsidR="00E72727">
        <w:rPr>
          <w:rFonts w:ascii="Times New Roman" w:hAnsi="Times New Roman" w:cs="Times New Roman"/>
          <w:sz w:val="28"/>
          <w:szCs w:val="28"/>
        </w:rPr>
        <w:t xml:space="preserve">in that context </w:t>
      </w:r>
      <w:r w:rsidR="00B82A9A">
        <w:rPr>
          <w:rFonts w:ascii="Times New Roman" w:hAnsi="Times New Roman" w:cs="Times New Roman"/>
          <w:sz w:val="28"/>
          <w:szCs w:val="28"/>
        </w:rPr>
        <w:t>has been emphasised in later cases.</w:t>
      </w:r>
      <w:r w:rsidR="00B82A9A">
        <w:rPr>
          <w:rStyle w:val="FootnoteReference"/>
          <w:rFonts w:ascii="Times New Roman" w:hAnsi="Times New Roman" w:cs="Times New Roman"/>
          <w:sz w:val="28"/>
          <w:szCs w:val="28"/>
        </w:rPr>
        <w:footnoteReference w:id="39"/>
      </w:r>
      <w:r w:rsidR="00B82A9A">
        <w:rPr>
          <w:rFonts w:ascii="Times New Roman" w:hAnsi="Times New Roman" w:cs="Times New Roman"/>
          <w:sz w:val="28"/>
          <w:szCs w:val="28"/>
        </w:rPr>
        <w:t xml:space="preserve"> </w:t>
      </w:r>
      <w:r w:rsidR="0061798C">
        <w:rPr>
          <w:rFonts w:ascii="Times New Roman" w:hAnsi="Times New Roman" w:cs="Times New Roman"/>
          <w:sz w:val="28"/>
          <w:szCs w:val="28"/>
        </w:rPr>
        <w:t xml:space="preserve">The defence must set out in writing those facts which are relied upon as amounting to ‘exceptional circumstances’ and, if they are disputed by the prosecution, a </w:t>
      </w:r>
      <w:r w:rsidR="0061798C">
        <w:rPr>
          <w:rFonts w:ascii="Times New Roman" w:hAnsi="Times New Roman" w:cs="Times New Roman"/>
          <w:i/>
          <w:sz w:val="28"/>
          <w:szCs w:val="28"/>
        </w:rPr>
        <w:t xml:space="preserve">Newton </w:t>
      </w:r>
      <w:r w:rsidR="0061798C">
        <w:rPr>
          <w:rFonts w:ascii="Times New Roman" w:hAnsi="Times New Roman" w:cs="Times New Roman"/>
          <w:sz w:val="28"/>
          <w:szCs w:val="28"/>
        </w:rPr>
        <w:t>hearing should be held to resolve the matter</w:t>
      </w:r>
      <w:r w:rsidR="00CE1491">
        <w:rPr>
          <w:rFonts w:ascii="Times New Roman" w:hAnsi="Times New Roman" w:cs="Times New Roman"/>
          <w:sz w:val="28"/>
          <w:szCs w:val="28"/>
        </w:rPr>
        <w:t>.</w:t>
      </w:r>
      <w:r w:rsidR="00CE1491">
        <w:rPr>
          <w:rStyle w:val="FootnoteReference"/>
          <w:rFonts w:ascii="Times New Roman" w:hAnsi="Times New Roman" w:cs="Times New Roman"/>
          <w:sz w:val="28"/>
          <w:szCs w:val="28"/>
        </w:rPr>
        <w:footnoteReference w:id="40"/>
      </w:r>
      <w:r w:rsidR="00CE1491">
        <w:rPr>
          <w:rFonts w:ascii="Times New Roman" w:hAnsi="Times New Roman" w:cs="Times New Roman"/>
          <w:sz w:val="28"/>
          <w:szCs w:val="28"/>
        </w:rPr>
        <w:t xml:space="preserve"> </w:t>
      </w:r>
      <w:r w:rsidR="00E72727">
        <w:rPr>
          <w:rFonts w:ascii="Times New Roman" w:hAnsi="Times New Roman" w:cs="Times New Roman"/>
          <w:sz w:val="28"/>
          <w:szCs w:val="28"/>
        </w:rPr>
        <w:t xml:space="preserve">It does not appear to have been suggested that a </w:t>
      </w:r>
      <w:r w:rsidR="00E72727">
        <w:rPr>
          <w:rFonts w:ascii="Times New Roman" w:hAnsi="Times New Roman" w:cs="Times New Roman"/>
          <w:i/>
          <w:sz w:val="28"/>
          <w:szCs w:val="28"/>
        </w:rPr>
        <w:t>Newton</w:t>
      </w:r>
      <w:r w:rsidR="00E72727">
        <w:rPr>
          <w:rFonts w:ascii="Times New Roman" w:hAnsi="Times New Roman" w:cs="Times New Roman"/>
          <w:sz w:val="28"/>
          <w:szCs w:val="28"/>
        </w:rPr>
        <w:t xml:space="preserve"> hearing is necessary in relation to argument over the presence of ‘particular circumstances’ which would render a three strikes drug trafficker or domestic burglar subject to the specified minimum sentence.</w:t>
      </w:r>
    </w:p>
    <w:p w14:paraId="5EECD7F3" w14:textId="77777777" w:rsidR="00A74101" w:rsidRDefault="00A74101" w:rsidP="006C3028">
      <w:pPr>
        <w:spacing w:line="360" w:lineRule="auto"/>
        <w:rPr>
          <w:rFonts w:ascii="Times New Roman" w:hAnsi="Times New Roman" w:cs="Times New Roman"/>
          <w:sz w:val="28"/>
          <w:szCs w:val="28"/>
        </w:rPr>
      </w:pPr>
    </w:p>
    <w:p w14:paraId="4240FEB2" w14:textId="77777777" w:rsidR="0061798C" w:rsidRPr="003D28A8" w:rsidRDefault="0061798C" w:rsidP="006C3028">
      <w:pPr>
        <w:spacing w:line="360" w:lineRule="auto"/>
        <w:rPr>
          <w:rFonts w:ascii="Times New Roman" w:hAnsi="Times New Roman" w:cs="Times New Roman"/>
          <w:sz w:val="28"/>
          <w:szCs w:val="28"/>
        </w:rPr>
      </w:pPr>
    </w:p>
    <w:p w14:paraId="3F257106" w14:textId="77777777" w:rsidR="00E909FF" w:rsidRPr="003D28A8" w:rsidRDefault="00E909FF" w:rsidP="006C3028">
      <w:pPr>
        <w:spacing w:line="360" w:lineRule="auto"/>
        <w:rPr>
          <w:rFonts w:ascii="Times New Roman" w:hAnsi="Times New Roman" w:cs="Times New Roman"/>
          <w:b/>
          <w:sz w:val="28"/>
          <w:szCs w:val="28"/>
        </w:rPr>
      </w:pPr>
      <w:r w:rsidRPr="003D28A8">
        <w:rPr>
          <w:rFonts w:ascii="Times New Roman" w:hAnsi="Times New Roman" w:cs="Times New Roman"/>
          <w:b/>
          <w:sz w:val="28"/>
          <w:szCs w:val="28"/>
        </w:rPr>
        <w:t>(3) AGGRAVATING AND MITIGATING FACTORS</w:t>
      </w:r>
    </w:p>
    <w:p w14:paraId="1A6DD4AA" w14:textId="77777777" w:rsidR="00E909FF" w:rsidRPr="003D28A8" w:rsidRDefault="00E909FF" w:rsidP="006C3028">
      <w:pPr>
        <w:spacing w:line="360" w:lineRule="auto"/>
        <w:rPr>
          <w:rFonts w:ascii="Times New Roman" w:hAnsi="Times New Roman" w:cs="Times New Roman"/>
          <w:b/>
          <w:sz w:val="28"/>
          <w:szCs w:val="28"/>
        </w:rPr>
      </w:pPr>
    </w:p>
    <w:p w14:paraId="02843D4D" w14:textId="77777777" w:rsidR="00E909FF" w:rsidRPr="003D28A8" w:rsidRDefault="00E909FF"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When Thomas put forward his proposal for resolving contested issues at sentencing he had a number of particular scenarios in mind. It is s</w:t>
      </w:r>
      <w:r w:rsidR="004C5FA6">
        <w:rPr>
          <w:rFonts w:ascii="Times New Roman" w:hAnsi="Times New Roman" w:cs="Times New Roman"/>
          <w:sz w:val="28"/>
          <w:szCs w:val="28"/>
        </w:rPr>
        <w:t>triking</w:t>
      </w:r>
      <w:r w:rsidRPr="003D28A8">
        <w:rPr>
          <w:rFonts w:ascii="Times New Roman" w:hAnsi="Times New Roman" w:cs="Times New Roman"/>
          <w:sz w:val="28"/>
          <w:szCs w:val="28"/>
        </w:rPr>
        <w:t xml:space="preserve"> that Thomas did not specifically refer to matters of aggravation and mitigation as being ripe for resolution by way of a judge-only hearing, but his ‘guiding principle’ set out at the start of this article, is certainly wide enough to extend to them. It is to matters of that kind that we turn next.</w:t>
      </w:r>
    </w:p>
    <w:p w14:paraId="263067A6" w14:textId="77777777" w:rsidR="00E909FF" w:rsidRPr="003D28A8" w:rsidRDefault="00E909FF" w:rsidP="006C3028">
      <w:pPr>
        <w:spacing w:line="360" w:lineRule="auto"/>
        <w:rPr>
          <w:rFonts w:ascii="Times New Roman" w:hAnsi="Times New Roman" w:cs="Times New Roman"/>
          <w:sz w:val="28"/>
          <w:szCs w:val="28"/>
        </w:rPr>
      </w:pPr>
    </w:p>
    <w:p w14:paraId="2A051962" w14:textId="5D910DAE" w:rsidR="00E909FF" w:rsidRPr="003D28A8" w:rsidRDefault="00E909FF"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 xml:space="preserve">A reasonably comprehensive list of potential sentence aggravating and mitigating factors was set out in the SGC’s guideline on </w:t>
      </w:r>
      <w:r w:rsidRPr="003D28A8">
        <w:rPr>
          <w:rFonts w:ascii="Times New Roman" w:hAnsi="Times New Roman" w:cs="Times New Roman"/>
          <w:i/>
          <w:sz w:val="28"/>
          <w:szCs w:val="28"/>
        </w:rPr>
        <w:t>Seriousness</w:t>
      </w:r>
      <w:r w:rsidRPr="003D28A8">
        <w:rPr>
          <w:rFonts w:ascii="Times New Roman" w:hAnsi="Times New Roman" w:cs="Times New Roman"/>
          <w:sz w:val="28"/>
          <w:szCs w:val="28"/>
        </w:rPr>
        <w:t xml:space="preserve">. That guideline was superseded in 2019 by the Sentencing Council’s </w:t>
      </w:r>
      <w:r w:rsidR="00316CD1">
        <w:rPr>
          <w:rFonts w:ascii="Times New Roman" w:hAnsi="Times New Roman" w:cs="Times New Roman"/>
          <w:i/>
          <w:sz w:val="28"/>
          <w:szCs w:val="28"/>
        </w:rPr>
        <w:t>General G</w:t>
      </w:r>
      <w:r w:rsidRPr="00316CD1">
        <w:rPr>
          <w:rFonts w:ascii="Times New Roman" w:hAnsi="Times New Roman" w:cs="Times New Roman"/>
          <w:i/>
          <w:sz w:val="28"/>
          <w:szCs w:val="28"/>
        </w:rPr>
        <w:t>uideline</w:t>
      </w:r>
      <w:r w:rsidR="00316CD1">
        <w:rPr>
          <w:rFonts w:ascii="Times New Roman" w:hAnsi="Times New Roman" w:cs="Times New Roman"/>
          <w:i/>
          <w:sz w:val="28"/>
          <w:szCs w:val="28"/>
        </w:rPr>
        <w:t>:</w:t>
      </w:r>
      <w:r w:rsidRPr="003D28A8">
        <w:rPr>
          <w:rFonts w:ascii="Times New Roman" w:hAnsi="Times New Roman" w:cs="Times New Roman"/>
          <w:sz w:val="28"/>
          <w:szCs w:val="28"/>
        </w:rPr>
        <w:t xml:space="preserve"> </w:t>
      </w:r>
      <w:r w:rsidRPr="003D28A8">
        <w:rPr>
          <w:rFonts w:ascii="Times New Roman" w:hAnsi="Times New Roman" w:cs="Times New Roman"/>
          <w:i/>
          <w:sz w:val="28"/>
          <w:szCs w:val="28"/>
        </w:rPr>
        <w:t>Overarching Principles</w:t>
      </w:r>
      <w:r w:rsidRPr="003D28A8">
        <w:rPr>
          <w:rFonts w:ascii="Times New Roman" w:hAnsi="Times New Roman" w:cs="Times New Roman"/>
          <w:sz w:val="28"/>
          <w:szCs w:val="28"/>
        </w:rPr>
        <w:t>.</w:t>
      </w:r>
      <w:r w:rsidR="000A4AEE">
        <w:rPr>
          <w:rStyle w:val="FootnoteReference"/>
          <w:rFonts w:ascii="Times New Roman" w:hAnsi="Times New Roman" w:cs="Times New Roman"/>
          <w:sz w:val="28"/>
          <w:szCs w:val="28"/>
        </w:rPr>
        <w:footnoteReference w:id="41"/>
      </w:r>
      <w:r w:rsidRPr="003D28A8">
        <w:rPr>
          <w:rFonts w:ascii="Times New Roman" w:hAnsi="Times New Roman" w:cs="Times New Roman"/>
          <w:sz w:val="28"/>
          <w:szCs w:val="28"/>
        </w:rPr>
        <w:t xml:space="preserve"> The new guideline sets out a list of ‘factors increasing seriousness’, divided into a group of four ‘statutory aggravating factors’ (previous convictions, offence committed on bail, offence motivated by or demonstrating hostility based upon a particular listed characteristic or presumed characteristic of </w:t>
      </w:r>
      <w:r w:rsidR="001862CF">
        <w:rPr>
          <w:rFonts w:ascii="Times New Roman" w:hAnsi="Times New Roman" w:cs="Times New Roman"/>
          <w:sz w:val="28"/>
          <w:szCs w:val="28"/>
        </w:rPr>
        <w:t>V</w:t>
      </w:r>
      <w:r w:rsidRPr="003D28A8">
        <w:rPr>
          <w:rFonts w:ascii="Times New Roman" w:hAnsi="Times New Roman" w:cs="Times New Roman"/>
          <w:sz w:val="28"/>
          <w:szCs w:val="28"/>
        </w:rPr>
        <w:t xml:space="preserve">, or offence committed against an emergency worker), and a </w:t>
      </w:r>
      <w:r w:rsidR="004250C5">
        <w:rPr>
          <w:rFonts w:ascii="Times New Roman" w:hAnsi="Times New Roman" w:cs="Times New Roman"/>
          <w:sz w:val="28"/>
          <w:szCs w:val="28"/>
        </w:rPr>
        <w:t xml:space="preserve">non-exclusive </w:t>
      </w:r>
      <w:r w:rsidRPr="003D28A8">
        <w:rPr>
          <w:rFonts w:ascii="Times New Roman" w:hAnsi="Times New Roman" w:cs="Times New Roman"/>
          <w:sz w:val="28"/>
          <w:szCs w:val="28"/>
        </w:rPr>
        <w:t xml:space="preserve">group of twenty-three ‘other aggravating factors’, which includes matters such as commission of offence while under influence of drink or drugs, planning, abuse of trust or dominant position, vulnerable victim, offence committed in a domestic context, location and / or timing of offence, and prevalence. The guideline also provides a </w:t>
      </w:r>
      <w:r w:rsidR="004250C5">
        <w:rPr>
          <w:rFonts w:ascii="Times New Roman" w:hAnsi="Times New Roman" w:cs="Times New Roman"/>
          <w:sz w:val="28"/>
          <w:szCs w:val="28"/>
        </w:rPr>
        <w:t xml:space="preserve">non-exclusive </w:t>
      </w:r>
      <w:r w:rsidRPr="003D28A8">
        <w:rPr>
          <w:rFonts w:ascii="Times New Roman" w:hAnsi="Times New Roman" w:cs="Times New Roman"/>
          <w:sz w:val="28"/>
          <w:szCs w:val="28"/>
        </w:rPr>
        <w:t>list of seventeen ‘factors reducing seriousness or reflecting personal mitigation’, a mixed bag which includes good character, remorse, offender in a lesser role, offender involved through coercion, intimidation or exploitation, sole or primary carer for dependent relatives, physical disability / serious medical condition, or mental disorder / learning disability.</w:t>
      </w:r>
      <w:r w:rsidR="008E5EB7">
        <w:rPr>
          <w:rFonts w:ascii="Times New Roman" w:hAnsi="Times New Roman" w:cs="Times New Roman"/>
          <w:sz w:val="28"/>
          <w:szCs w:val="28"/>
        </w:rPr>
        <w:t xml:space="preserve"> Also from 2019 the Council has included ‘expanded explanations’ for aggravating and mitigating factors within the offence guidelines.</w:t>
      </w:r>
    </w:p>
    <w:p w14:paraId="20AB996C" w14:textId="77777777" w:rsidR="00E909FF" w:rsidRPr="003D28A8" w:rsidRDefault="00E909FF" w:rsidP="006C3028">
      <w:pPr>
        <w:spacing w:line="360" w:lineRule="auto"/>
        <w:rPr>
          <w:rFonts w:ascii="Times New Roman" w:hAnsi="Times New Roman" w:cs="Times New Roman"/>
          <w:sz w:val="28"/>
          <w:szCs w:val="28"/>
        </w:rPr>
      </w:pPr>
    </w:p>
    <w:p w14:paraId="72298F62" w14:textId="2BDAB8E8" w:rsidR="00E909FF" w:rsidRPr="003D28A8" w:rsidRDefault="00E909FF"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 xml:space="preserve">The </w:t>
      </w:r>
      <w:r w:rsidR="004C5FA6">
        <w:rPr>
          <w:rFonts w:ascii="Times New Roman" w:hAnsi="Times New Roman" w:cs="Times New Roman"/>
          <w:i/>
          <w:sz w:val="28"/>
          <w:szCs w:val="28"/>
        </w:rPr>
        <w:t>Overarching Principles</w:t>
      </w:r>
      <w:r w:rsidR="004C5FA6">
        <w:rPr>
          <w:rFonts w:ascii="Times New Roman" w:hAnsi="Times New Roman" w:cs="Times New Roman"/>
          <w:sz w:val="28"/>
          <w:szCs w:val="28"/>
        </w:rPr>
        <w:t xml:space="preserve"> </w:t>
      </w:r>
      <w:r w:rsidRPr="003D28A8">
        <w:rPr>
          <w:rFonts w:ascii="Times New Roman" w:hAnsi="Times New Roman" w:cs="Times New Roman"/>
          <w:sz w:val="28"/>
          <w:szCs w:val="28"/>
        </w:rPr>
        <w:t>guideline states that the various factors are listed in no particular order, and that ‘once a provisional sentence is arrived at the court should take into account factors that may make the offence more serious and factors which may reduce seriousness or reflect personal mitigation.</w:t>
      </w:r>
      <w:r w:rsidR="005764C2">
        <w:rPr>
          <w:rFonts w:ascii="Times New Roman" w:hAnsi="Times New Roman" w:cs="Times New Roman"/>
          <w:sz w:val="28"/>
          <w:szCs w:val="28"/>
        </w:rPr>
        <w:t>’</w:t>
      </w:r>
      <w:r w:rsidRPr="003D28A8">
        <w:rPr>
          <w:rFonts w:ascii="Times New Roman" w:hAnsi="Times New Roman" w:cs="Times New Roman"/>
          <w:sz w:val="28"/>
          <w:szCs w:val="28"/>
        </w:rPr>
        <w:t xml:space="preserve"> </w:t>
      </w:r>
      <w:r w:rsidR="00FC42E0">
        <w:rPr>
          <w:rFonts w:ascii="Times New Roman" w:hAnsi="Times New Roman" w:cs="Times New Roman"/>
          <w:sz w:val="28"/>
          <w:szCs w:val="28"/>
        </w:rPr>
        <w:t xml:space="preserve">Clearly, in any given case the judge may have to take into account </w:t>
      </w:r>
      <w:r w:rsidR="00316CD1">
        <w:rPr>
          <w:rFonts w:ascii="Times New Roman" w:hAnsi="Times New Roman" w:cs="Times New Roman"/>
          <w:sz w:val="28"/>
          <w:szCs w:val="28"/>
        </w:rPr>
        <w:t>several</w:t>
      </w:r>
      <w:r w:rsidR="00FC42E0">
        <w:rPr>
          <w:rFonts w:ascii="Times New Roman" w:hAnsi="Times New Roman" w:cs="Times New Roman"/>
          <w:sz w:val="28"/>
          <w:szCs w:val="28"/>
        </w:rPr>
        <w:t xml:space="preserve"> aggravating and / or mitigating factors. </w:t>
      </w:r>
      <w:r w:rsidRPr="003D28A8">
        <w:rPr>
          <w:rFonts w:ascii="Times New Roman" w:hAnsi="Times New Roman" w:cs="Times New Roman"/>
          <w:sz w:val="28"/>
          <w:szCs w:val="28"/>
        </w:rPr>
        <w:t>Flexibility i</w:t>
      </w:r>
      <w:r w:rsidR="00AF054E">
        <w:rPr>
          <w:rFonts w:ascii="Times New Roman" w:hAnsi="Times New Roman" w:cs="Times New Roman"/>
          <w:sz w:val="28"/>
          <w:szCs w:val="28"/>
        </w:rPr>
        <w:t>s</w:t>
      </w:r>
      <w:r w:rsidRPr="003D28A8">
        <w:rPr>
          <w:rFonts w:ascii="Times New Roman" w:hAnsi="Times New Roman" w:cs="Times New Roman"/>
          <w:sz w:val="28"/>
          <w:szCs w:val="28"/>
        </w:rPr>
        <w:t xml:space="preserve"> inherent in the guideline’s approach – </w:t>
      </w:r>
      <w:r w:rsidR="00316CD1">
        <w:rPr>
          <w:rFonts w:ascii="Times New Roman" w:hAnsi="Times New Roman" w:cs="Times New Roman"/>
          <w:sz w:val="28"/>
          <w:szCs w:val="28"/>
        </w:rPr>
        <w:t xml:space="preserve">it states that </w:t>
      </w:r>
      <w:r w:rsidRPr="003D28A8">
        <w:rPr>
          <w:rFonts w:ascii="Times New Roman" w:hAnsi="Times New Roman" w:cs="Times New Roman"/>
          <w:sz w:val="28"/>
          <w:szCs w:val="28"/>
        </w:rPr>
        <w:t xml:space="preserve">the </w:t>
      </w:r>
      <w:proofErr w:type="spellStart"/>
      <w:r w:rsidRPr="003D28A8">
        <w:rPr>
          <w:rFonts w:ascii="Times New Roman" w:hAnsi="Times New Roman" w:cs="Times New Roman"/>
          <w:sz w:val="28"/>
          <w:szCs w:val="28"/>
        </w:rPr>
        <w:t>sentencer</w:t>
      </w:r>
      <w:proofErr w:type="spellEnd"/>
      <w:r w:rsidRPr="003D28A8">
        <w:rPr>
          <w:rFonts w:ascii="Times New Roman" w:hAnsi="Times New Roman" w:cs="Times New Roman"/>
          <w:sz w:val="28"/>
          <w:szCs w:val="28"/>
        </w:rPr>
        <w:t xml:space="preserve"> should ‘identify whether a combination of these or other relevant factors should result in any upward or downward adjustment’, </w:t>
      </w:r>
      <w:r w:rsidR="00FC42E0">
        <w:rPr>
          <w:rFonts w:ascii="Times New Roman" w:hAnsi="Times New Roman" w:cs="Times New Roman"/>
          <w:sz w:val="28"/>
          <w:szCs w:val="28"/>
        </w:rPr>
        <w:t>that</w:t>
      </w:r>
      <w:r w:rsidRPr="003D28A8">
        <w:rPr>
          <w:rFonts w:ascii="Times New Roman" w:hAnsi="Times New Roman" w:cs="Times New Roman"/>
          <w:sz w:val="28"/>
          <w:szCs w:val="28"/>
        </w:rPr>
        <w:t xml:space="preserve"> ‘it is for the sentencing court to determine how much weight should be assigned’ to these various matters, and that ‘not all factors that apply will necessarily influence the sentence’. There is no mention </w:t>
      </w:r>
      <w:r w:rsidR="000A4AEE" w:rsidRPr="003D28A8">
        <w:rPr>
          <w:rFonts w:ascii="Times New Roman" w:hAnsi="Times New Roman" w:cs="Times New Roman"/>
          <w:sz w:val="28"/>
          <w:szCs w:val="28"/>
        </w:rPr>
        <w:t xml:space="preserve">of sentencing procedure </w:t>
      </w:r>
      <w:r w:rsidRPr="003D28A8">
        <w:rPr>
          <w:rFonts w:ascii="Times New Roman" w:hAnsi="Times New Roman" w:cs="Times New Roman"/>
          <w:sz w:val="28"/>
          <w:szCs w:val="28"/>
        </w:rPr>
        <w:t>in th</w:t>
      </w:r>
      <w:r w:rsidR="000A4AEE">
        <w:rPr>
          <w:rFonts w:ascii="Times New Roman" w:hAnsi="Times New Roman" w:cs="Times New Roman"/>
          <w:sz w:val="28"/>
          <w:szCs w:val="28"/>
        </w:rPr>
        <w:t>is general</w:t>
      </w:r>
      <w:r w:rsidRPr="003D28A8">
        <w:rPr>
          <w:rFonts w:ascii="Times New Roman" w:hAnsi="Times New Roman" w:cs="Times New Roman"/>
          <w:sz w:val="28"/>
          <w:szCs w:val="28"/>
        </w:rPr>
        <w:t xml:space="preserve"> guideline</w:t>
      </w:r>
      <w:r w:rsidR="008E5EB7">
        <w:rPr>
          <w:rFonts w:ascii="Times New Roman" w:hAnsi="Times New Roman" w:cs="Times New Roman"/>
          <w:sz w:val="28"/>
          <w:szCs w:val="28"/>
        </w:rPr>
        <w:t xml:space="preserve"> or in the expanded exp</w:t>
      </w:r>
      <w:r w:rsidR="00CA4C4A">
        <w:rPr>
          <w:rFonts w:ascii="Times New Roman" w:hAnsi="Times New Roman" w:cs="Times New Roman"/>
          <w:sz w:val="28"/>
          <w:szCs w:val="28"/>
        </w:rPr>
        <w:t>l</w:t>
      </w:r>
      <w:r w:rsidR="008E5EB7">
        <w:rPr>
          <w:rFonts w:ascii="Times New Roman" w:hAnsi="Times New Roman" w:cs="Times New Roman"/>
          <w:sz w:val="28"/>
          <w:szCs w:val="28"/>
        </w:rPr>
        <w:t>anations</w:t>
      </w:r>
      <w:r w:rsidRPr="003D28A8">
        <w:rPr>
          <w:rFonts w:ascii="Times New Roman" w:hAnsi="Times New Roman" w:cs="Times New Roman"/>
          <w:sz w:val="28"/>
          <w:szCs w:val="28"/>
        </w:rPr>
        <w:t xml:space="preserve">, and specifically no mention of the use of a </w:t>
      </w:r>
      <w:r w:rsidRPr="003D28A8">
        <w:rPr>
          <w:rFonts w:ascii="Times New Roman" w:hAnsi="Times New Roman" w:cs="Times New Roman"/>
          <w:i/>
          <w:sz w:val="28"/>
          <w:szCs w:val="28"/>
        </w:rPr>
        <w:t>Newton</w:t>
      </w:r>
      <w:r w:rsidRPr="003D28A8">
        <w:rPr>
          <w:rFonts w:ascii="Times New Roman" w:hAnsi="Times New Roman" w:cs="Times New Roman"/>
          <w:sz w:val="28"/>
          <w:szCs w:val="28"/>
        </w:rPr>
        <w:t xml:space="preserve"> hearing to resolve factual disputes over the presence or absence of aggravating or mitigating factors.</w:t>
      </w:r>
      <w:r w:rsidRPr="003D28A8">
        <w:rPr>
          <w:rStyle w:val="FootnoteReference"/>
          <w:rFonts w:ascii="Times New Roman" w:hAnsi="Times New Roman" w:cs="Times New Roman"/>
          <w:sz w:val="28"/>
          <w:szCs w:val="28"/>
        </w:rPr>
        <w:footnoteReference w:id="42"/>
      </w:r>
    </w:p>
    <w:p w14:paraId="3F6EA9EC" w14:textId="77777777" w:rsidR="00E909FF" w:rsidRPr="003D28A8" w:rsidRDefault="00E909FF" w:rsidP="006C3028">
      <w:pPr>
        <w:spacing w:line="360" w:lineRule="auto"/>
        <w:rPr>
          <w:rFonts w:ascii="Times New Roman" w:hAnsi="Times New Roman" w:cs="Times New Roman"/>
          <w:sz w:val="28"/>
          <w:szCs w:val="28"/>
        </w:rPr>
      </w:pPr>
    </w:p>
    <w:p w14:paraId="13799E60" w14:textId="77777777" w:rsidR="00E909FF" w:rsidRPr="003D28A8" w:rsidRDefault="00057FB9" w:rsidP="006C3028">
      <w:pPr>
        <w:spacing w:line="360" w:lineRule="auto"/>
        <w:rPr>
          <w:rFonts w:ascii="Times New Roman" w:hAnsi="Times New Roman" w:cs="Times New Roman"/>
          <w:sz w:val="28"/>
          <w:szCs w:val="28"/>
        </w:rPr>
      </w:pPr>
      <w:r>
        <w:rPr>
          <w:rFonts w:ascii="Times New Roman" w:hAnsi="Times New Roman" w:cs="Times New Roman"/>
          <w:sz w:val="28"/>
          <w:szCs w:val="28"/>
        </w:rPr>
        <w:t>Space does not permit an examination of each of these factors. Many</w:t>
      </w:r>
      <w:r w:rsidR="001862CF">
        <w:rPr>
          <w:rFonts w:ascii="Times New Roman" w:hAnsi="Times New Roman" w:cs="Times New Roman"/>
          <w:sz w:val="28"/>
          <w:szCs w:val="28"/>
        </w:rPr>
        <w:t xml:space="preserve"> of them, such as D’s previous convictions or D’s bail status at the time of the offence,</w:t>
      </w:r>
      <w:r>
        <w:rPr>
          <w:rFonts w:ascii="Times New Roman" w:hAnsi="Times New Roman" w:cs="Times New Roman"/>
          <w:sz w:val="28"/>
          <w:szCs w:val="28"/>
        </w:rPr>
        <w:t xml:space="preserve"> are uncontroversial in the sense that, </w:t>
      </w:r>
      <w:r w:rsidR="001862CF">
        <w:rPr>
          <w:rFonts w:ascii="Times New Roman" w:hAnsi="Times New Roman" w:cs="Times New Roman"/>
          <w:sz w:val="28"/>
          <w:szCs w:val="28"/>
        </w:rPr>
        <w:t xml:space="preserve">should there be </w:t>
      </w:r>
      <w:r>
        <w:rPr>
          <w:rFonts w:ascii="Times New Roman" w:hAnsi="Times New Roman" w:cs="Times New Roman"/>
          <w:sz w:val="28"/>
          <w:szCs w:val="28"/>
        </w:rPr>
        <w:t xml:space="preserve">dispute or </w:t>
      </w:r>
      <w:r w:rsidR="001862CF">
        <w:rPr>
          <w:rFonts w:ascii="Times New Roman" w:hAnsi="Times New Roman" w:cs="Times New Roman"/>
          <w:sz w:val="28"/>
          <w:szCs w:val="28"/>
        </w:rPr>
        <w:t>lack of clarity over the matter</w:t>
      </w:r>
      <w:r>
        <w:rPr>
          <w:rFonts w:ascii="Times New Roman" w:hAnsi="Times New Roman" w:cs="Times New Roman"/>
          <w:sz w:val="28"/>
          <w:szCs w:val="28"/>
        </w:rPr>
        <w:t xml:space="preserve">, it </w:t>
      </w:r>
      <w:r w:rsidR="001862CF">
        <w:rPr>
          <w:rFonts w:ascii="Times New Roman" w:hAnsi="Times New Roman" w:cs="Times New Roman"/>
          <w:sz w:val="28"/>
          <w:szCs w:val="28"/>
        </w:rPr>
        <w:t>will be</w:t>
      </w:r>
      <w:r>
        <w:rPr>
          <w:rFonts w:ascii="Times New Roman" w:hAnsi="Times New Roman" w:cs="Times New Roman"/>
          <w:sz w:val="28"/>
          <w:szCs w:val="28"/>
        </w:rPr>
        <w:t xml:space="preserve"> for the prosecution to prove</w:t>
      </w:r>
      <w:r w:rsidR="001862CF">
        <w:rPr>
          <w:rFonts w:ascii="Times New Roman" w:hAnsi="Times New Roman" w:cs="Times New Roman"/>
          <w:sz w:val="28"/>
          <w:szCs w:val="28"/>
        </w:rPr>
        <w:t xml:space="preserve"> the material fact to the criminal standard</w:t>
      </w:r>
      <w:r>
        <w:rPr>
          <w:rFonts w:ascii="Times New Roman" w:hAnsi="Times New Roman" w:cs="Times New Roman"/>
          <w:sz w:val="28"/>
          <w:szCs w:val="28"/>
        </w:rPr>
        <w:t xml:space="preserve">. </w:t>
      </w:r>
      <w:r w:rsidR="001862CF">
        <w:rPr>
          <w:rFonts w:ascii="Times New Roman" w:hAnsi="Times New Roman" w:cs="Times New Roman"/>
          <w:sz w:val="28"/>
          <w:szCs w:val="28"/>
        </w:rPr>
        <w:t>It will then be for the judge to decide how much weight to attach to that established fact, in the context of all other relevant sentencing considerations. It is, however, worth examining in more detail the third of the statutory aggravating factors, the offence being motivated by hostility towards V based upon a characteristic of V, since this factor raises some issues of principle.</w:t>
      </w:r>
    </w:p>
    <w:p w14:paraId="3BBD81F9" w14:textId="77777777" w:rsidR="00E909FF" w:rsidRPr="003D28A8" w:rsidRDefault="00E909FF" w:rsidP="006C3028">
      <w:pPr>
        <w:spacing w:line="360" w:lineRule="auto"/>
        <w:rPr>
          <w:rFonts w:ascii="Times New Roman" w:hAnsi="Times New Roman" w:cs="Times New Roman"/>
          <w:sz w:val="28"/>
          <w:szCs w:val="28"/>
        </w:rPr>
      </w:pPr>
    </w:p>
    <w:p w14:paraId="702FF0AA" w14:textId="78F4DC90" w:rsidR="00E909FF" w:rsidRPr="003D28A8" w:rsidRDefault="00E909FF"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As is well known, the current law in this area is complex, in that it operates in two different ways. First</w:t>
      </w:r>
      <w:r w:rsidR="008E5EB7">
        <w:rPr>
          <w:rFonts w:ascii="Times New Roman" w:hAnsi="Times New Roman" w:cs="Times New Roman"/>
          <w:sz w:val="28"/>
          <w:szCs w:val="28"/>
        </w:rPr>
        <w:t>ly</w:t>
      </w:r>
      <w:r w:rsidRPr="003D28A8">
        <w:rPr>
          <w:rFonts w:ascii="Times New Roman" w:hAnsi="Times New Roman" w:cs="Times New Roman"/>
          <w:sz w:val="28"/>
          <w:szCs w:val="28"/>
        </w:rPr>
        <w:t xml:space="preserve">, there </w:t>
      </w:r>
      <w:r w:rsidR="008E5EB7">
        <w:rPr>
          <w:rFonts w:ascii="Times New Roman" w:hAnsi="Times New Roman" w:cs="Times New Roman"/>
          <w:sz w:val="28"/>
          <w:szCs w:val="28"/>
        </w:rPr>
        <w:t>is a total of eleven</w:t>
      </w:r>
      <w:r w:rsidRPr="003D28A8">
        <w:rPr>
          <w:rFonts w:ascii="Times New Roman" w:hAnsi="Times New Roman" w:cs="Times New Roman"/>
          <w:sz w:val="28"/>
          <w:szCs w:val="28"/>
        </w:rPr>
        <w:t xml:space="preserve"> ‘racially or religiously aggravated’ offences </w:t>
      </w:r>
      <w:r w:rsidR="008E5EB7">
        <w:rPr>
          <w:rFonts w:ascii="Times New Roman" w:hAnsi="Times New Roman" w:cs="Times New Roman"/>
          <w:sz w:val="28"/>
          <w:szCs w:val="28"/>
        </w:rPr>
        <w:t>(including assault, criminal damage, public order and harassment) list</w:t>
      </w:r>
      <w:r w:rsidRPr="003D28A8">
        <w:rPr>
          <w:rFonts w:ascii="Times New Roman" w:hAnsi="Times New Roman" w:cs="Times New Roman"/>
          <w:sz w:val="28"/>
          <w:szCs w:val="28"/>
        </w:rPr>
        <w:t xml:space="preserve">ed in sections 29 to 32 of the Crime and Disorder Act 1998,which carry higher maximum sentences than their equivalent non-aggravated forms. The prosecution must prove that D demonstrated hostility towards </w:t>
      </w:r>
      <w:r w:rsidR="00ED156F">
        <w:rPr>
          <w:rFonts w:ascii="Times New Roman" w:hAnsi="Times New Roman" w:cs="Times New Roman"/>
          <w:sz w:val="28"/>
          <w:szCs w:val="28"/>
        </w:rPr>
        <w:t>V</w:t>
      </w:r>
      <w:r w:rsidRPr="003D28A8">
        <w:rPr>
          <w:rFonts w:ascii="Times New Roman" w:hAnsi="Times New Roman" w:cs="Times New Roman"/>
          <w:sz w:val="28"/>
          <w:szCs w:val="28"/>
        </w:rPr>
        <w:t xml:space="preserve"> based upon </w:t>
      </w:r>
      <w:r w:rsidR="00ED156F">
        <w:rPr>
          <w:rFonts w:ascii="Times New Roman" w:hAnsi="Times New Roman" w:cs="Times New Roman"/>
          <w:sz w:val="28"/>
          <w:szCs w:val="28"/>
        </w:rPr>
        <w:t>V</w:t>
      </w:r>
      <w:r w:rsidRPr="003D28A8">
        <w:rPr>
          <w:rFonts w:ascii="Times New Roman" w:hAnsi="Times New Roman" w:cs="Times New Roman"/>
          <w:sz w:val="28"/>
          <w:szCs w:val="28"/>
        </w:rPr>
        <w:t>’s membership or presumed membership of a racial or religious group, or that the offence was motivated by hostility towards members of a racial or religious group based upon their membership of that group. If one of the racially or religiously aggravated offences is charged, the issue of whether D is to be sentenced for the aggravated offence or the basic offence will be resolved by a jury to the criminal standard</w:t>
      </w:r>
      <w:r w:rsidR="00316CD1">
        <w:rPr>
          <w:rFonts w:ascii="Times New Roman" w:hAnsi="Times New Roman" w:cs="Times New Roman"/>
          <w:sz w:val="28"/>
          <w:szCs w:val="28"/>
        </w:rPr>
        <w:t>,</w:t>
      </w:r>
      <w:r w:rsidRPr="003D28A8">
        <w:rPr>
          <w:rFonts w:ascii="Times New Roman" w:hAnsi="Times New Roman" w:cs="Times New Roman"/>
          <w:sz w:val="28"/>
          <w:szCs w:val="28"/>
        </w:rPr>
        <w:t xml:space="preserve"> or by D’s own admission of guilt. If D is guilty of the aggravated offence </w:t>
      </w:r>
      <w:r w:rsidR="001E6C02">
        <w:rPr>
          <w:rFonts w:ascii="Times New Roman" w:hAnsi="Times New Roman" w:cs="Times New Roman"/>
          <w:sz w:val="28"/>
          <w:szCs w:val="28"/>
        </w:rPr>
        <w:t xml:space="preserve">it will appear as such on his criminal record and </w:t>
      </w:r>
      <w:r w:rsidRPr="003D28A8">
        <w:rPr>
          <w:rFonts w:ascii="Times New Roman" w:hAnsi="Times New Roman" w:cs="Times New Roman"/>
          <w:sz w:val="28"/>
          <w:szCs w:val="28"/>
        </w:rPr>
        <w:t xml:space="preserve">he will be sentenced on that factual basis (the court being required to </w:t>
      </w:r>
      <w:r w:rsidR="00316CD1">
        <w:rPr>
          <w:rFonts w:ascii="Times New Roman" w:hAnsi="Times New Roman" w:cs="Times New Roman"/>
          <w:sz w:val="28"/>
          <w:szCs w:val="28"/>
        </w:rPr>
        <w:t>announce</w:t>
      </w:r>
      <w:r w:rsidRPr="003D28A8">
        <w:rPr>
          <w:rFonts w:ascii="Times New Roman" w:hAnsi="Times New Roman" w:cs="Times New Roman"/>
          <w:sz w:val="28"/>
          <w:szCs w:val="28"/>
        </w:rPr>
        <w:t xml:space="preserve"> the ‘uplift’ to the sentence which has been given to reflect the aggravating feature) and if D is guilty of the ‘basic’ non-aggravated offence he will be sentenced on that </w:t>
      </w:r>
      <w:r w:rsidR="005B7A1D">
        <w:rPr>
          <w:rFonts w:ascii="Times New Roman" w:hAnsi="Times New Roman" w:cs="Times New Roman"/>
          <w:sz w:val="28"/>
          <w:szCs w:val="28"/>
        </w:rPr>
        <w:t xml:space="preserve">lesser </w:t>
      </w:r>
      <w:r w:rsidRPr="003D28A8">
        <w:rPr>
          <w:rFonts w:ascii="Times New Roman" w:hAnsi="Times New Roman" w:cs="Times New Roman"/>
          <w:sz w:val="28"/>
          <w:szCs w:val="28"/>
        </w:rPr>
        <w:t>basis.</w:t>
      </w:r>
      <w:r w:rsidRPr="003D28A8">
        <w:rPr>
          <w:rStyle w:val="FootnoteReference"/>
          <w:rFonts w:ascii="Times New Roman" w:hAnsi="Times New Roman" w:cs="Times New Roman"/>
          <w:sz w:val="28"/>
          <w:szCs w:val="28"/>
        </w:rPr>
        <w:footnoteReference w:id="43"/>
      </w:r>
    </w:p>
    <w:p w14:paraId="7A30A756" w14:textId="77777777" w:rsidR="00E909FF" w:rsidRPr="003D28A8" w:rsidRDefault="00E909FF" w:rsidP="006C3028">
      <w:pPr>
        <w:spacing w:line="360" w:lineRule="auto"/>
        <w:rPr>
          <w:rFonts w:ascii="Times New Roman" w:hAnsi="Times New Roman" w:cs="Times New Roman"/>
          <w:sz w:val="28"/>
          <w:szCs w:val="28"/>
        </w:rPr>
      </w:pPr>
    </w:p>
    <w:p w14:paraId="37907891" w14:textId="77777777" w:rsidR="00E909FF" w:rsidRPr="003D28A8" w:rsidRDefault="00E909FF"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 xml:space="preserve">Secondly, however, racial or religious aggravation may operate as a conventional aggravating factor, and this is intended to </w:t>
      </w:r>
      <w:r w:rsidR="005B7A1D">
        <w:rPr>
          <w:rFonts w:ascii="Times New Roman" w:hAnsi="Times New Roman" w:cs="Times New Roman"/>
          <w:sz w:val="28"/>
          <w:szCs w:val="28"/>
        </w:rPr>
        <w:t>apply</w:t>
      </w:r>
      <w:r w:rsidRPr="003D28A8">
        <w:rPr>
          <w:rFonts w:ascii="Times New Roman" w:hAnsi="Times New Roman" w:cs="Times New Roman"/>
          <w:sz w:val="28"/>
          <w:szCs w:val="28"/>
        </w:rPr>
        <w:t xml:space="preserve"> in relation to any offence </w:t>
      </w:r>
      <w:r w:rsidRPr="003D28A8">
        <w:rPr>
          <w:rFonts w:ascii="Times New Roman" w:hAnsi="Times New Roman" w:cs="Times New Roman"/>
          <w:i/>
          <w:sz w:val="28"/>
          <w:szCs w:val="28"/>
        </w:rPr>
        <w:t>other than</w:t>
      </w:r>
      <w:r w:rsidRPr="003D28A8">
        <w:rPr>
          <w:rFonts w:ascii="Times New Roman" w:hAnsi="Times New Roman" w:cs="Times New Roman"/>
          <w:sz w:val="28"/>
          <w:szCs w:val="28"/>
        </w:rPr>
        <w:t xml:space="preserve"> one listed in sections 29 to 32 of the 1998 Act. Section 145(2) of the Criminal Justice Act 2003 provides that in those circumstances</w:t>
      </w:r>
    </w:p>
    <w:p w14:paraId="3C6E22ED" w14:textId="77777777" w:rsidR="00E909FF" w:rsidRPr="003D28A8" w:rsidRDefault="00E909FF" w:rsidP="006C3028">
      <w:pPr>
        <w:spacing w:line="360" w:lineRule="auto"/>
        <w:rPr>
          <w:rFonts w:ascii="Times New Roman" w:hAnsi="Times New Roman" w:cs="Times New Roman"/>
          <w:sz w:val="28"/>
          <w:szCs w:val="28"/>
        </w:rPr>
      </w:pPr>
    </w:p>
    <w:p w14:paraId="683EA62D" w14:textId="77777777" w:rsidR="00E909FF" w:rsidRPr="003D28A8" w:rsidRDefault="00E909FF" w:rsidP="006C3028">
      <w:pPr>
        <w:spacing w:line="360" w:lineRule="auto"/>
        <w:ind w:left="432"/>
        <w:rPr>
          <w:rFonts w:ascii="Times New Roman" w:hAnsi="Times New Roman" w:cs="Times New Roman"/>
          <w:sz w:val="28"/>
          <w:szCs w:val="28"/>
        </w:rPr>
      </w:pPr>
      <w:r w:rsidRPr="003D28A8">
        <w:rPr>
          <w:rFonts w:ascii="Times New Roman" w:hAnsi="Times New Roman" w:cs="Times New Roman"/>
          <w:sz w:val="28"/>
          <w:szCs w:val="28"/>
        </w:rPr>
        <w:t>‘If the offence was racially or religiously aggravated, the court –</w:t>
      </w:r>
    </w:p>
    <w:p w14:paraId="467A0282" w14:textId="77777777" w:rsidR="00E909FF" w:rsidRPr="003D28A8" w:rsidRDefault="00E909FF" w:rsidP="006C3028">
      <w:pPr>
        <w:spacing w:line="360" w:lineRule="auto"/>
        <w:ind w:left="432"/>
        <w:rPr>
          <w:rFonts w:ascii="Times New Roman" w:hAnsi="Times New Roman" w:cs="Times New Roman"/>
          <w:sz w:val="28"/>
          <w:szCs w:val="28"/>
        </w:rPr>
      </w:pPr>
      <w:r w:rsidRPr="003D28A8">
        <w:rPr>
          <w:rFonts w:ascii="Times New Roman" w:hAnsi="Times New Roman" w:cs="Times New Roman"/>
          <w:sz w:val="28"/>
          <w:szCs w:val="28"/>
        </w:rPr>
        <w:t xml:space="preserve">(a) must treat that fact as an  aggravating factor, and </w:t>
      </w:r>
    </w:p>
    <w:p w14:paraId="51BF2039" w14:textId="77777777" w:rsidR="00E909FF" w:rsidRPr="003D28A8" w:rsidRDefault="00E909FF" w:rsidP="006C3028">
      <w:pPr>
        <w:spacing w:line="360" w:lineRule="auto"/>
        <w:ind w:left="432"/>
        <w:rPr>
          <w:rFonts w:ascii="Times New Roman" w:hAnsi="Times New Roman" w:cs="Times New Roman"/>
          <w:sz w:val="28"/>
          <w:szCs w:val="28"/>
        </w:rPr>
      </w:pPr>
      <w:r w:rsidRPr="003D28A8">
        <w:rPr>
          <w:rFonts w:ascii="Times New Roman" w:hAnsi="Times New Roman" w:cs="Times New Roman"/>
          <w:sz w:val="28"/>
          <w:szCs w:val="28"/>
        </w:rPr>
        <w:t xml:space="preserve">(b) must state in open court that the offence was so aggravated.’   </w:t>
      </w:r>
    </w:p>
    <w:p w14:paraId="2C44133C" w14:textId="77777777" w:rsidR="00E909FF" w:rsidRPr="003D28A8" w:rsidRDefault="00E909FF" w:rsidP="006C3028">
      <w:pPr>
        <w:spacing w:line="360" w:lineRule="auto"/>
        <w:rPr>
          <w:rFonts w:ascii="Times New Roman" w:hAnsi="Times New Roman" w:cs="Times New Roman"/>
          <w:sz w:val="28"/>
          <w:szCs w:val="28"/>
        </w:rPr>
      </w:pPr>
    </w:p>
    <w:p w14:paraId="717BDDF8" w14:textId="789BD7F6" w:rsidR="00316CD1" w:rsidRDefault="00E909FF"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 xml:space="preserve">Identical wording is used in section 146(2) of the same Act, which </w:t>
      </w:r>
      <w:r w:rsidR="00ED156F">
        <w:rPr>
          <w:rFonts w:ascii="Times New Roman" w:hAnsi="Times New Roman" w:cs="Times New Roman"/>
          <w:sz w:val="28"/>
          <w:szCs w:val="28"/>
        </w:rPr>
        <w:t xml:space="preserve">specifies </w:t>
      </w:r>
      <w:r w:rsidRPr="003D28A8">
        <w:rPr>
          <w:rFonts w:ascii="Times New Roman" w:hAnsi="Times New Roman" w:cs="Times New Roman"/>
          <w:sz w:val="28"/>
          <w:szCs w:val="28"/>
        </w:rPr>
        <w:t xml:space="preserve">a statutory aggravating factor in cases where the offence was motivated by hostility towards persons of a particular sexual orientation, hostility towards persons who have a disability, or by hostility towards persons who are transgender. Since the matters referred to in sections 145 and 146 are aggravating factors relevant only to sentence there are no circumstances in which a jury will be required determine the issue. It is </w:t>
      </w:r>
      <w:r w:rsidR="00C00827">
        <w:rPr>
          <w:rFonts w:ascii="Times New Roman" w:hAnsi="Times New Roman" w:cs="Times New Roman"/>
          <w:sz w:val="28"/>
          <w:szCs w:val="28"/>
        </w:rPr>
        <w:t xml:space="preserve">solely </w:t>
      </w:r>
      <w:r w:rsidRPr="003D28A8">
        <w:rPr>
          <w:rFonts w:ascii="Times New Roman" w:hAnsi="Times New Roman" w:cs="Times New Roman"/>
          <w:sz w:val="28"/>
          <w:szCs w:val="28"/>
        </w:rPr>
        <w:t>a matter for the sentencing judge.</w:t>
      </w:r>
    </w:p>
    <w:p w14:paraId="5A004A15" w14:textId="77777777" w:rsidR="00316CD1" w:rsidRDefault="00316CD1" w:rsidP="006C3028">
      <w:pPr>
        <w:spacing w:line="360" w:lineRule="auto"/>
        <w:rPr>
          <w:rFonts w:ascii="Times New Roman" w:hAnsi="Times New Roman" w:cs="Times New Roman"/>
          <w:sz w:val="28"/>
          <w:szCs w:val="28"/>
        </w:rPr>
      </w:pPr>
    </w:p>
    <w:p w14:paraId="4AA2A72F" w14:textId="032067DB" w:rsidR="00E909FF" w:rsidRPr="003D28A8" w:rsidRDefault="00E909FF"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No procedure is specified in these sections as to how the court is to determine whether the offence is so aggravated</w:t>
      </w:r>
      <w:r w:rsidR="008E5EB7">
        <w:rPr>
          <w:rFonts w:ascii="Times New Roman" w:hAnsi="Times New Roman" w:cs="Times New Roman"/>
          <w:sz w:val="28"/>
          <w:szCs w:val="28"/>
        </w:rPr>
        <w:t>,</w:t>
      </w:r>
      <w:r w:rsidRPr="003D28A8">
        <w:rPr>
          <w:rFonts w:ascii="Times New Roman" w:hAnsi="Times New Roman" w:cs="Times New Roman"/>
          <w:sz w:val="28"/>
          <w:szCs w:val="28"/>
        </w:rPr>
        <w:t xml:space="preserve"> but it is clear that if the presence of the aggravating factor is asserted by the prosecution but denied by the defence, a </w:t>
      </w:r>
      <w:r w:rsidRPr="003D28A8">
        <w:rPr>
          <w:rFonts w:ascii="Times New Roman" w:hAnsi="Times New Roman" w:cs="Times New Roman"/>
          <w:i/>
          <w:sz w:val="28"/>
          <w:szCs w:val="28"/>
        </w:rPr>
        <w:t>Newton</w:t>
      </w:r>
      <w:r w:rsidRPr="003D28A8">
        <w:rPr>
          <w:rFonts w:ascii="Times New Roman" w:hAnsi="Times New Roman" w:cs="Times New Roman"/>
          <w:sz w:val="28"/>
          <w:szCs w:val="28"/>
        </w:rPr>
        <w:t xml:space="preserve"> hearing will </w:t>
      </w:r>
      <w:r w:rsidR="00316CD1">
        <w:rPr>
          <w:rFonts w:ascii="Times New Roman" w:hAnsi="Times New Roman" w:cs="Times New Roman"/>
          <w:sz w:val="28"/>
          <w:szCs w:val="28"/>
        </w:rPr>
        <w:t xml:space="preserve">almost always </w:t>
      </w:r>
      <w:r w:rsidRPr="003D28A8">
        <w:rPr>
          <w:rFonts w:ascii="Times New Roman" w:hAnsi="Times New Roman" w:cs="Times New Roman"/>
          <w:sz w:val="28"/>
          <w:szCs w:val="28"/>
        </w:rPr>
        <w:t xml:space="preserve">be required. The </w:t>
      </w:r>
      <w:r w:rsidR="00316CD1">
        <w:rPr>
          <w:rFonts w:ascii="Times New Roman" w:hAnsi="Times New Roman" w:cs="Times New Roman"/>
          <w:sz w:val="28"/>
          <w:szCs w:val="28"/>
        </w:rPr>
        <w:t>issue</w:t>
      </w:r>
      <w:r w:rsidRPr="003D28A8">
        <w:rPr>
          <w:rFonts w:ascii="Times New Roman" w:hAnsi="Times New Roman" w:cs="Times New Roman"/>
          <w:sz w:val="28"/>
          <w:szCs w:val="28"/>
        </w:rPr>
        <w:t xml:space="preserve"> arose recently in </w:t>
      </w:r>
      <w:r w:rsidRPr="003D28A8">
        <w:rPr>
          <w:rFonts w:ascii="Times New Roman" w:hAnsi="Times New Roman" w:cs="Times New Roman"/>
          <w:i/>
          <w:sz w:val="28"/>
          <w:szCs w:val="28"/>
        </w:rPr>
        <w:t>DPP v Giles</w:t>
      </w:r>
      <w:r w:rsidRPr="00316CD1">
        <w:rPr>
          <w:rStyle w:val="FootnoteReference"/>
          <w:rFonts w:ascii="Times New Roman" w:hAnsi="Times New Roman" w:cs="Times New Roman"/>
          <w:sz w:val="28"/>
          <w:szCs w:val="28"/>
        </w:rPr>
        <w:footnoteReference w:id="44"/>
      </w:r>
      <w:r w:rsidRPr="003D28A8">
        <w:rPr>
          <w:rFonts w:ascii="Times New Roman" w:hAnsi="Times New Roman" w:cs="Times New Roman"/>
          <w:sz w:val="28"/>
          <w:szCs w:val="28"/>
        </w:rPr>
        <w:t xml:space="preserve"> where, in the magistrates’ court, D pleaded guilty to assault occasioning actual bodily harm. He admitted throwing a glass at </w:t>
      </w:r>
      <w:r w:rsidR="00D51672">
        <w:rPr>
          <w:rFonts w:ascii="Times New Roman" w:hAnsi="Times New Roman" w:cs="Times New Roman"/>
          <w:sz w:val="28"/>
          <w:szCs w:val="28"/>
        </w:rPr>
        <w:t>V</w:t>
      </w:r>
      <w:r w:rsidRPr="003D28A8">
        <w:rPr>
          <w:rFonts w:ascii="Times New Roman" w:hAnsi="Times New Roman" w:cs="Times New Roman"/>
          <w:sz w:val="28"/>
          <w:szCs w:val="28"/>
        </w:rPr>
        <w:t xml:space="preserve"> in a pub, causing a cut to the back of </w:t>
      </w:r>
      <w:r w:rsidR="00D51672">
        <w:rPr>
          <w:rFonts w:ascii="Times New Roman" w:hAnsi="Times New Roman" w:cs="Times New Roman"/>
          <w:sz w:val="28"/>
          <w:szCs w:val="28"/>
        </w:rPr>
        <w:t>V</w:t>
      </w:r>
      <w:r w:rsidRPr="003D28A8">
        <w:rPr>
          <w:rFonts w:ascii="Times New Roman" w:hAnsi="Times New Roman" w:cs="Times New Roman"/>
          <w:sz w:val="28"/>
          <w:szCs w:val="28"/>
        </w:rPr>
        <w:t xml:space="preserve">’s head, but D denied that he had used homophobic language towards </w:t>
      </w:r>
      <w:r w:rsidR="00D51672">
        <w:rPr>
          <w:rFonts w:ascii="Times New Roman" w:hAnsi="Times New Roman" w:cs="Times New Roman"/>
          <w:sz w:val="28"/>
          <w:szCs w:val="28"/>
        </w:rPr>
        <w:t>V</w:t>
      </w:r>
      <w:r w:rsidRPr="003D28A8">
        <w:rPr>
          <w:rFonts w:ascii="Times New Roman" w:hAnsi="Times New Roman" w:cs="Times New Roman"/>
          <w:sz w:val="28"/>
          <w:szCs w:val="28"/>
        </w:rPr>
        <w:t xml:space="preserve"> shortly before the assault. The district judge held that the custody threshold was met irrespective of the aggravating factor, and the effect of that factor would be marginal because the words used ‘were at the lower end of the scale’ and it would not be in the public interest to require V to attend and give evidence. The Crown appealed by way of case stated, and the Administrative Court held that a </w:t>
      </w:r>
      <w:r w:rsidRPr="003D28A8">
        <w:rPr>
          <w:rFonts w:ascii="Times New Roman" w:hAnsi="Times New Roman" w:cs="Times New Roman"/>
          <w:i/>
          <w:sz w:val="28"/>
          <w:szCs w:val="28"/>
        </w:rPr>
        <w:t>Newton</w:t>
      </w:r>
      <w:r w:rsidRPr="003D28A8">
        <w:rPr>
          <w:rFonts w:ascii="Times New Roman" w:hAnsi="Times New Roman" w:cs="Times New Roman"/>
          <w:sz w:val="28"/>
          <w:szCs w:val="28"/>
        </w:rPr>
        <w:t xml:space="preserve"> hearing should have been held. The Court said that it would be ‘extremely rare’ for a court considering a plea of guilty presented by the prosecution as being aggravated by sexual orientation discrimination (and where disputed by the defence) not to order a </w:t>
      </w:r>
      <w:r w:rsidRPr="003D28A8">
        <w:rPr>
          <w:rFonts w:ascii="Times New Roman" w:hAnsi="Times New Roman" w:cs="Times New Roman"/>
          <w:i/>
          <w:sz w:val="28"/>
          <w:szCs w:val="28"/>
        </w:rPr>
        <w:t>Newton</w:t>
      </w:r>
      <w:r w:rsidRPr="003D28A8">
        <w:rPr>
          <w:rFonts w:ascii="Times New Roman" w:hAnsi="Times New Roman" w:cs="Times New Roman"/>
          <w:sz w:val="28"/>
          <w:szCs w:val="28"/>
        </w:rPr>
        <w:t xml:space="preserve"> hearing. Even if it was thought that the outcome of the disputed issue would not materially affect the final sentence</w:t>
      </w:r>
      <w:r w:rsidR="000A4AEE">
        <w:rPr>
          <w:rFonts w:ascii="Times New Roman" w:hAnsi="Times New Roman" w:cs="Times New Roman"/>
          <w:sz w:val="28"/>
          <w:szCs w:val="28"/>
        </w:rPr>
        <w:t>,</w:t>
      </w:r>
      <w:r w:rsidRPr="003D28A8">
        <w:rPr>
          <w:rFonts w:ascii="Times New Roman" w:hAnsi="Times New Roman" w:cs="Times New Roman"/>
          <w:sz w:val="28"/>
          <w:szCs w:val="28"/>
        </w:rPr>
        <w:t xml:space="preserve"> a </w:t>
      </w:r>
      <w:r w:rsidRPr="003D28A8">
        <w:rPr>
          <w:rFonts w:ascii="Times New Roman" w:hAnsi="Times New Roman" w:cs="Times New Roman"/>
          <w:i/>
          <w:sz w:val="28"/>
          <w:szCs w:val="28"/>
        </w:rPr>
        <w:t xml:space="preserve">Newton </w:t>
      </w:r>
      <w:r w:rsidRPr="003D28A8">
        <w:rPr>
          <w:rFonts w:ascii="Times New Roman" w:hAnsi="Times New Roman" w:cs="Times New Roman"/>
          <w:sz w:val="28"/>
          <w:szCs w:val="28"/>
        </w:rPr>
        <w:t xml:space="preserve">hearing was still likely to be necessary because of the statutory requirement on the court to state in open court that the offence was so aggravated. </w:t>
      </w:r>
      <w:r w:rsidR="000A4AEE">
        <w:rPr>
          <w:rFonts w:ascii="Times New Roman" w:hAnsi="Times New Roman" w:cs="Times New Roman"/>
          <w:sz w:val="28"/>
          <w:szCs w:val="28"/>
        </w:rPr>
        <w:t>T</w:t>
      </w:r>
      <w:r w:rsidRPr="003D28A8">
        <w:rPr>
          <w:rFonts w:ascii="Times New Roman" w:hAnsi="Times New Roman" w:cs="Times New Roman"/>
          <w:sz w:val="28"/>
          <w:szCs w:val="28"/>
        </w:rPr>
        <w:t>his decision is concerned with the procedure to be applied following a guilty plea</w:t>
      </w:r>
      <w:r w:rsidR="000A4AEE">
        <w:rPr>
          <w:rFonts w:ascii="Times New Roman" w:hAnsi="Times New Roman" w:cs="Times New Roman"/>
          <w:sz w:val="28"/>
          <w:szCs w:val="28"/>
        </w:rPr>
        <w:t>. However,</w:t>
      </w:r>
      <w:r w:rsidRPr="003D28A8">
        <w:rPr>
          <w:rFonts w:ascii="Times New Roman" w:hAnsi="Times New Roman" w:cs="Times New Roman"/>
          <w:sz w:val="28"/>
          <w:szCs w:val="28"/>
        </w:rPr>
        <w:t xml:space="preserve"> it is submitted that the same approach would apply if D ha</w:t>
      </w:r>
      <w:r w:rsidR="000A4AEE">
        <w:rPr>
          <w:rFonts w:ascii="Times New Roman" w:hAnsi="Times New Roman" w:cs="Times New Roman"/>
          <w:sz w:val="28"/>
          <w:szCs w:val="28"/>
        </w:rPr>
        <w:t>s</w:t>
      </w:r>
      <w:r w:rsidRPr="003D28A8">
        <w:rPr>
          <w:rFonts w:ascii="Times New Roman" w:hAnsi="Times New Roman" w:cs="Times New Roman"/>
          <w:sz w:val="28"/>
          <w:szCs w:val="28"/>
        </w:rPr>
        <w:t xml:space="preserve"> been convicted </w:t>
      </w:r>
      <w:r w:rsidR="00316CD1">
        <w:rPr>
          <w:rFonts w:ascii="Times New Roman" w:hAnsi="Times New Roman" w:cs="Times New Roman"/>
          <w:sz w:val="28"/>
          <w:szCs w:val="28"/>
        </w:rPr>
        <w:t>after a trial b</w:t>
      </w:r>
      <w:r w:rsidRPr="003D28A8">
        <w:rPr>
          <w:rFonts w:ascii="Times New Roman" w:hAnsi="Times New Roman" w:cs="Times New Roman"/>
          <w:sz w:val="28"/>
          <w:szCs w:val="28"/>
        </w:rPr>
        <w:t>ut the parties dispute the presence of the aggravating feature</w:t>
      </w:r>
      <w:r w:rsidR="000A4AEE">
        <w:rPr>
          <w:rFonts w:ascii="Times New Roman" w:hAnsi="Times New Roman" w:cs="Times New Roman"/>
          <w:sz w:val="28"/>
          <w:szCs w:val="28"/>
        </w:rPr>
        <w:t xml:space="preserve">: a </w:t>
      </w:r>
      <w:r w:rsidR="000A4AEE">
        <w:rPr>
          <w:rFonts w:ascii="Times New Roman" w:hAnsi="Times New Roman" w:cs="Times New Roman"/>
          <w:i/>
          <w:sz w:val="28"/>
          <w:szCs w:val="28"/>
        </w:rPr>
        <w:t xml:space="preserve">Newton </w:t>
      </w:r>
      <w:r w:rsidR="000A4AEE">
        <w:rPr>
          <w:rFonts w:ascii="Times New Roman" w:hAnsi="Times New Roman" w:cs="Times New Roman"/>
          <w:sz w:val="28"/>
          <w:szCs w:val="28"/>
        </w:rPr>
        <w:t xml:space="preserve">hearing </w:t>
      </w:r>
      <w:r w:rsidR="00857157">
        <w:rPr>
          <w:rFonts w:ascii="Times New Roman" w:hAnsi="Times New Roman" w:cs="Times New Roman"/>
          <w:sz w:val="28"/>
          <w:szCs w:val="28"/>
        </w:rPr>
        <w:t xml:space="preserve">may </w:t>
      </w:r>
      <w:r w:rsidR="000A4AEE">
        <w:rPr>
          <w:rFonts w:ascii="Times New Roman" w:hAnsi="Times New Roman" w:cs="Times New Roman"/>
          <w:sz w:val="28"/>
          <w:szCs w:val="28"/>
        </w:rPr>
        <w:t xml:space="preserve">not normally be necessary, but it </w:t>
      </w:r>
      <w:r w:rsidR="0066290C">
        <w:rPr>
          <w:rFonts w:ascii="Times New Roman" w:hAnsi="Times New Roman" w:cs="Times New Roman"/>
          <w:sz w:val="28"/>
          <w:szCs w:val="28"/>
        </w:rPr>
        <w:t>would depend</w:t>
      </w:r>
      <w:r w:rsidR="000A4AEE">
        <w:rPr>
          <w:rFonts w:ascii="Times New Roman" w:hAnsi="Times New Roman" w:cs="Times New Roman"/>
          <w:sz w:val="28"/>
          <w:szCs w:val="28"/>
        </w:rPr>
        <w:t xml:space="preserve"> on </w:t>
      </w:r>
      <w:r w:rsidR="003865CC">
        <w:rPr>
          <w:rFonts w:ascii="Times New Roman" w:hAnsi="Times New Roman" w:cs="Times New Roman"/>
          <w:sz w:val="28"/>
          <w:szCs w:val="28"/>
        </w:rPr>
        <w:t>whether the evidence led at trial cover</w:t>
      </w:r>
      <w:r w:rsidR="0066290C">
        <w:rPr>
          <w:rFonts w:ascii="Times New Roman" w:hAnsi="Times New Roman" w:cs="Times New Roman"/>
          <w:sz w:val="28"/>
          <w:szCs w:val="28"/>
        </w:rPr>
        <w:t>ed</w:t>
      </w:r>
      <w:r w:rsidR="003865CC">
        <w:rPr>
          <w:rFonts w:ascii="Times New Roman" w:hAnsi="Times New Roman" w:cs="Times New Roman"/>
          <w:sz w:val="28"/>
          <w:szCs w:val="28"/>
        </w:rPr>
        <w:t xml:space="preserve"> all the points relevant to sentence.</w:t>
      </w:r>
      <w:r w:rsidR="00552409">
        <w:rPr>
          <w:rStyle w:val="FootnoteReference"/>
          <w:rFonts w:ascii="Times New Roman" w:hAnsi="Times New Roman" w:cs="Times New Roman"/>
          <w:sz w:val="28"/>
          <w:szCs w:val="28"/>
        </w:rPr>
        <w:footnoteReference w:id="45"/>
      </w:r>
    </w:p>
    <w:p w14:paraId="5CF48D5D" w14:textId="77777777" w:rsidR="00E909FF" w:rsidRPr="003D28A8" w:rsidRDefault="00E909FF" w:rsidP="006C3028">
      <w:pPr>
        <w:spacing w:line="360" w:lineRule="auto"/>
        <w:rPr>
          <w:rFonts w:ascii="Times New Roman" w:hAnsi="Times New Roman" w:cs="Times New Roman"/>
          <w:sz w:val="28"/>
          <w:szCs w:val="28"/>
        </w:rPr>
      </w:pPr>
    </w:p>
    <w:p w14:paraId="2CE01A14" w14:textId="63A75AFB" w:rsidR="005B7A1D" w:rsidRPr="003D28A8" w:rsidRDefault="00E909FF"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 xml:space="preserve">The existence of two different procedures for dealing with hate crime (on the one hand requiring conviction by a jury of a racially or religiously aggravated offence, and on the other hand requiring the </w:t>
      </w:r>
      <w:r w:rsidR="009A19A4">
        <w:rPr>
          <w:rFonts w:ascii="Times New Roman" w:hAnsi="Times New Roman" w:cs="Times New Roman"/>
          <w:sz w:val="28"/>
          <w:szCs w:val="28"/>
        </w:rPr>
        <w:t>judge</w:t>
      </w:r>
      <w:r w:rsidRPr="003D28A8">
        <w:rPr>
          <w:rFonts w:ascii="Times New Roman" w:hAnsi="Times New Roman" w:cs="Times New Roman"/>
          <w:sz w:val="28"/>
          <w:szCs w:val="28"/>
        </w:rPr>
        <w:t xml:space="preserve"> to treat one of the specified matters as an aggravating feature on se</w:t>
      </w:r>
      <w:r w:rsidR="005B7A1D">
        <w:rPr>
          <w:rFonts w:ascii="Times New Roman" w:hAnsi="Times New Roman" w:cs="Times New Roman"/>
          <w:sz w:val="28"/>
          <w:szCs w:val="28"/>
        </w:rPr>
        <w:t xml:space="preserve">ntence) has created </w:t>
      </w:r>
      <w:r w:rsidRPr="003D28A8">
        <w:rPr>
          <w:rFonts w:ascii="Times New Roman" w:hAnsi="Times New Roman" w:cs="Times New Roman"/>
          <w:sz w:val="28"/>
          <w:szCs w:val="28"/>
        </w:rPr>
        <w:t>problems</w:t>
      </w:r>
      <w:r w:rsidR="005B7A1D">
        <w:rPr>
          <w:rFonts w:ascii="Times New Roman" w:hAnsi="Times New Roman" w:cs="Times New Roman"/>
          <w:sz w:val="28"/>
          <w:szCs w:val="28"/>
        </w:rPr>
        <w:t xml:space="preserve"> in practice</w:t>
      </w:r>
      <w:r w:rsidRPr="003D28A8">
        <w:rPr>
          <w:rFonts w:ascii="Times New Roman" w:hAnsi="Times New Roman" w:cs="Times New Roman"/>
          <w:sz w:val="28"/>
          <w:szCs w:val="28"/>
        </w:rPr>
        <w:t>.</w:t>
      </w:r>
      <w:r w:rsidR="005B7A1D">
        <w:rPr>
          <w:rStyle w:val="FootnoteReference"/>
          <w:rFonts w:ascii="Times New Roman" w:hAnsi="Times New Roman" w:cs="Times New Roman"/>
          <w:sz w:val="28"/>
          <w:szCs w:val="28"/>
        </w:rPr>
        <w:footnoteReference w:id="46"/>
      </w:r>
      <w:r w:rsidRPr="003D28A8">
        <w:rPr>
          <w:rFonts w:ascii="Times New Roman" w:hAnsi="Times New Roman" w:cs="Times New Roman"/>
          <w:sz w:val="28"/>
          <w:szCs w:val="28"/>
        </w:rPr>
        <w:t xml:space="preserve"> It has been </w:t>
      </w:r>
      <w:r w:rsidR="001E6C02">
        <w:rPr>
          <w:rFonts w:ascii="Times New Roman" w:hAnsi="Times New Roman" w:cs="Times New Roman"/>
          <w:sz w:val="28"/>
          <w:szCs w:val="28"/>
        </w:rPr>
        <w:t xml:space="preserve">suggested by researchers, drawing upon interviews with practitioners, </w:t>
      </w:r>
      <w:r w:rsidRPr="003D28A8">
        <w:rPr>
          <w:rFonts w:ascii="Times New Roman" w:hAnsi="Times New Roman" w:cs="Times New Roman"/>
          <w:sz w:val="28"/>
          <w:szCs w:val="28"/>
        </w:rPr>
        <w:t xml:space="preserve">that the difference in procedure means that hostility </w:t>
      </w:r>
      <w:r w:rsidR="00912D34">
        <w:rPr>
          <w:rFonts w:ascii="Times New Roman" w:hAnsi="Times New Roman" w:cs="Times New Roman"/>
          <w:sz w:val="28"/>
          <w:szCs w:val="28"/>
        </w:rPr>
        <w:t xml:space="preserve">which is </w:t>
      </w:r>
      <w:r w:rsidRPr="003D28A8">
        <w:rPr>
          <w:rFonts w:ascii="Times New Roman" w:hAnsi="Times New Roman" w:cs="Times New Roman"/>
          <w:sz w:val="28"/>
          <w:szCs w:val="28"/>
        </w:rPr>
        <w:t xml:space="preserve">dealt with </w:t>
      </w:r>
      <w:r w:rsidRPr="009A19A4">
        <w:rPr>
          <w:rFonts w:ascii="Times New Roman" w:hAnsi="Times New Roman" w:cs="Times New Roman"/>
          <w:i/>
          <w:sz w:val="28"/>
          <w:szCs w:val="28"/>
        </w:rPr>
        <w:t>via</w:t>
      </w:r>
      <w:r w:rsidRPr="003D28A8">
        <w:rPr>
          <w:rFonts w:ascii="Times New Roman" w:hAnsi="Times New Roman" w:cs="Times New Roman"/>
          <w:sz w:val="28"/>
          <w:szCs w:val="28"/>
        </w:rPr>
        <w:t xml:space="preserve"> the sentencing process is ‘treated differently from, and not as seriously as’ hostility based on race and religion.</w:t>
      </w:r>
      <w:r w:rsidRPr="003D28A8">
        <w:rPr>
          <w:rStyle w:val="FootnoteReference"/>
          <w:rFonts w:ascii="Times New Roman" w:hAnsi="Times New Roman" w:cs="Times New Roman"/>
          <w:sz w:val="28"/>
          <w:szCs w:val="28"/>
        </w:rPr>
        <w:footnoteReference w:id="47"/>
      </w:r>
      <w:r w:rsidRPr="003D28A8">
        <w:rPr>
          <w:rFonts w:ascii="Times New Roman" w:hAnsi="Times New Roman" w:cs="Times New Roman"/>
          <w:sz w:val="28"/>
          <w:szCs w:val="28"/>
        </w:rPr>
        <w:t xml:space="preserve">. It has been </w:t>
      </w:r>
      <w:r w:rsidR="005B7A1D">
        <w:rPr>
          <w:rFonts w:ascii="Times New Roman" w:hAnsi="Times New Roman" w:cs="Times New Roman"/>
          <w:sz w:val="28"/>
          <w:szCs w:val="28"/>
        </w:rPr>
        <w:t xml:space="preserve">further </w:t>
      </w:r>
      <w:r w:rsidRPr="003D28A8">
        <w:rPr>
          <w:rFonts w:ascii="Times New Roman" w:hAnsi="Times New Roman" w:cs="Times New Roman"/>
          <w:sz w:val="28"/>
          <w:szCs w:val="28"/>
        </w:rPr>
        <w:t xml:space="preserve">suggested that </w:t>
      </w:r>
      <w:r w:rsidR="00D51672">
        <w:rPr>
          <w:rFonts w:ascii="Times New Roman" w:hAnsi="Times New Roman" w:cs="Times New Roman"/>
          <w:sz w:val="28"/>
          <w:szCs w:val="28"/>
        </w:rPr>
        <w:t>D’s</w:t>
      </w:r>
      <w:r w:rsidRPr="003D28A8">
        <w:rPr>
          <w:rFonts w:ascii="Times New Roman" w:hAnsi="Times New Roman" w:cs="Times New Roman"/>
          <w:sz w:val="28"/>
          <w:szCs w:val="28"/>
        </w:rPr>
        <w:t xml:space="preserve"> interests are better protected if hostility is determined at trial rather than on sentence</w:t>
      </w:r>
      <w:r w:rsidR="005B7A1D">
        <w:rPr>
          <w:rFonts w:ascii="Times New Roman" w:hAnsi="Times New Roman" w:cs="Times New Roman"/>
          <w:sz w:val="28"/>
          <w:szCs w:val="28"/>
        </w:rPr>
        <w:t>,</w:t>
      </w:r>
      <w:r w:rsidRPr="003D28A8">
        <w:rPr>
          <w:rStyle w:val="FootnoteReference"/>
          <w:rFonts w:ascii="Times New Roman" w:hAnsi="Times New Roman" w:cs="Times New Roman"/>
          <w:sz w:val="28"/>
          <w:szCs w:val="28"/>
        </w:rPr>
        <w:footnoteReference w:id="48"/>
      </w:r>
      <w:r w:rsidR="001E6C02">
        <w:rPr>
          <w:rFonts w:ascii="Times New Roman" w:hAnsi="Times New Roman" w:cs="Times New Roman"/>
          <w:sz w:val="28"/>
          <w:szCs w:val="28"/>
        </w:rPr>
        <w:t xml:space="preserve"> </w:t>
      </w:r>
      <w:r w:rsidR="005B7A1D">
        <w:rPr>
          <w:rFonts w:ascii="Times New Roman" w:hAnsi="Times New Roman" w:cs="Times New Roman"/>
          <w:sz w:val="28"/>
          <w:szCs w:val="28"/>
        </w:rPr>
        <w:t xml:space="preserve">because </w:t>
      </w:r>
      <w:r w:rsidR="001E6C02">
        <w:rPr>
          <w:rFonts w:ascii="Times New Roman" w:hAnsi="Times New Roman" w:cs="Times New Roman"/>
          <w:sz w:val="28"/>
          <w:szCs w:val="28"/>
        </w:rPr>
        <w:t xml:space="preserve">defence lawyers, and sometimes judges, can be caught unprepared </w:t>
      </w:r>
      <w:r w:rsidRPr="003D28A8">
        <w:rPr>
          <w:rFonts w:ascii="Times New Roman" w:hAnsi="Times New Roman" w:cs="Times New Roman"/>
          <w:sz w:val="28"/>
          <w:szCs w:val="28"/>
        </w:rPr>
        <w:t xml:space="preserve">if the issue is raised </w:t>
      </w:r>
      <w:r w:rsidR="00912D34">
        <w:rPr>
          <w:rFonts w:ascii="Times New Roman" w:hAnsi="Times New Roman" w:cs="Times New Roman"/>
          <w:sz w:val="28"/>
          <w:szCs w:val="28"/>
        </w:rPr>
        <w:t xml:space="preserve">for the first time </w:t>
      </w:r>
      <w:r w:rsidRPr="003D28A8">
        <w:rPr>
          <w:rFonts w:ascii="Times New Roman" w:hAnsi="Times New Roman" w:cs="Times New Roman"/>
          <w:sz w:val="28"/>
          <w:szCs w:val="28"/>
        </w:rPr>
        <w:t>at the sentencing hearing.</w:t>
      </w:r>
      <w:r w:rsidR="005B7A1D">
        <w:rPr>
          <w:rFonts w:ascii="Times New Roman" w:hAnsi="Times New Roman" w:cs="Times New Roman"/>
          <w:sz w:val="28"/>
          <w:szCs w:val="28"/>
        </w:rPr>
        <w:t xml:space="preserve"> The most recent report from the CPS on this issue</w:t>
      </w:r>
      <w:r w:rsidR="005B7A1D">
        <w:rPr>
          <w:rStyle w:val="FootnoteReference"/>
          <w:rFonts w:ascii="Times New Roman" w:hAnsi="Times New Roman" w:cs="Times New Roman"/>
          <w:sz w:val="28"/>
          <w:szCs w:val="28"/>
        </w:rPr>
        <w:footnoteReference w:id="49"/>
      </w:r>
      <w:r w:rsidR="005B7A1D">
        <w:rPr>
          <w:rFonts w:ascii="Times New Roman" w:hAnsi="Times New Roman" w:cs="Times New Roman"/>
          <w:sz w:val="28"/>
          <w:szCs w:val="28"/>
        </w:rPr>
        <w:t xml:space="preserve"> </w:t>
      </w:r>
      <w:r w:rsidR="003664B2">
        <w:rPr>
          <w:rFonts w:ascii="Times New Roman" w:hAnsi="Times New Roman" w:cs="Times New Roman"/>
          <w:sz w:val="28"/>
          <w:szCs w:val="28"/>
        </w:rPr>
        <w:t xml:space="preserve">indicates that </w:t>
      </w:r>
      <w:r w:rsidR="005B7A1D" w:rsidRPr="003D28A8">
        <w:rPr>
          <w:rFonts w:ascii="Times New Roman" w:hAnsi="Times New Roman" w:cs="Times New Roman"/>
          <w:sz w:val="28"/>
          <w:szCs w:val="28"/>
        </w:rPr>
        <w:t xml:space="preserve">across the range of hate crime cases prosecuted in </w:t>
      </w:r>
      <w:r w:rsidR="003664B2">
        <w:rPr>
          <w:rFonts w:ascii="Times New Roman" w:hAnsi="Times New Roman" w:cs="Times New Roman"/>
          <w:sz w:val="28"/>
          <w:szCs w:val="28"/>
        </w:rPr>
        <w:t>2018-19</w:t>
      </w:r>
      <w:r w:rsidR="005B7A1D" w:rsidRPr="003D28A8">
        <w:rPr>
          <w:rFonts w:ascii="Times New Roman" w:hAnsi="Times New Roman" w:cs="Times New Roman"/>
          <w:sz w:val="28"/>
          <w:szCs w:val="28"/>
        </w:rPr>
        <w:t xml:space="preserve">, the number of convictions in which the court </w:t>
      </w:r>
      <w:r w:rsidR="009A19A4">
        <w:rPr>
          <w:rFonts w:ascii="Times New Roman" w:hAnsi="Times New Roman" w:cs="Times New Roman"/>
          <w:sz w:val="28"/>
          <w:szCs w:val="28"/>
        </w:rPr>
        <w:t>announced</w:t>
      </w:r>
      <w:r w:rsidR="005B7A1D" w:rsidRPr="003D28A8">
        <w:rPr>
          <w:rFonts w:ascii="Times New Roman" w:hAnsi="Times New Roman" w:cs="Times New Roman"/>
          <w:sz w:val="28"/>
          <w:szCs w:val="28"/>
        </w:rPr>
        <w:t xml:space="preserve"> a sentence uplift was 73.6 per cent. </w:t>
      </w:r>
      <w:r w:rsidR="003664B2">
        <w:rPr>
          <w:rFonts w:ascii="Times New Roman" w:hAnsi="Times New Roman" w:cs="Times New Roman"/>
          <w:sz w:val="28"/>
          <w:szCs w:val="28"/>
        </w:rPr>
        <w:t>Three quarters of th</w:t>
      </w:r>
      <w:r w:rsidR="009A19A4">
        <w:rPr>
          <w:rFonts w:ascii="Times New Roman" w:hAnsi="Times New Roman" w:cs="Times New Roman"/>
          <w:sz w:val="28"/>
          <w:szCs w:val="28"/>
        </w:rPr>
        <w:t>o</w:t>
      </w:r>
      <w:r w:rsidR="003664B2">
        <w:rPr>
          <w:rFonts w:ascii="Times New Roman" w:hAnsi="Times New Roman" w:cs="Times New Roman"/>
          <w:sz w:val="28"/>
          <w:szCs w:val="28"/>
        </w:rPr>
        <w:t xml:space="preserve">se </w:t>
      </w:r>
      <w:r w:rsidR="009A19A4">
        <w:rPr>
          <w:rFonts w:ascii="Times New Roman" w:hAnsi="Times New Roman" w:cs="Times New Roman"/>
          <w:sz w:val="28"/>
          <w:szCs w:val="28"/>
        </w:rPr>
        <w:t xml:space="preserve">cases </w:t>
      </w:r>
      <w:r w:rsidR="003664B2">
        <w:rPr>
          <w:rFonts w:ascii="Times New Roman" w:hAnsi="Times New Roman" w:cs="Times New Roman"/>
          <w:sz w:val="28"/>
          <w:szCs w:val="28"/>
        </w:rPr>
        <w:t xml:space="preserve">were guilty pleas. </w:t>
      </w:r>
      <w:r w:rsidR="005B7A1D" w:rsidRPr="003D28A8">
        <w:rPr>
          <w:rFonts w:ascii="Times New Roman" w:hAnsi="Times New Roman" w:cs="Times New Roman"/>
          <w:sz w:val="28"/>
          <w:szCs w:val="28"/>
        </w:rPr>
        <w:t xml:space="preserve">In respect of </w:t>
      </w:r>
      <w:r w:rsidR="00912D34">
        <w:rPr>
          <w:rFonts w:ascii="Times New Roman" w:hAnsi="Times New Roman" w:cs="Times New Roman"/>
          <w:sz w:val="28"/>
          <w:szCs w:val="28"/>
        </w:rPr>
        <w:t>sexual orientation</w:t>
      </w:r>
      <w:r w:rsidR="005B7A1D" w:rsidRPr="003D28A8">
        <w:rPr>
          <w:rFonts w:ascii="Times New Roman" w:hAnsi="Times New Roman" w:cs="Times New Roman"/>
          <w:sz w:val="28"/>
          <w:szCs w:val="28"/>
        </w:rPr>
        <w:t xml:space="preserve"> hate crime (which </w:t>
      </w:r>
      <w:r w:rsidR="00912D34">
        <w:rPr>
          <w:rFonts w:ascii="Times New Roman" w:hAnsi="Times New Roman" w:cs="Times New Roman"/>
          <w:sz w:val="28"/>
          <w:szCs w:val="28"/>
        </w:rPr>
        <w:t xml:space="preserve">is </w:t>
      </w:r>
      <w:r w:rsidR="009A19A4">
        <w:rPr>
          <w:rFonts w:ascii="Times New Roman" w:hAnsi="Times New Roman" w:cs="Times New Roman"/>
          <w:sz w:val="28"/>
          <w:szCs w:val="28"/>
        </w:rPr>
        <w:t>d</w:t>
      </w:r>
      <w:r w:rsidR="005B7A1D" w:rsidRPr="003D28A8">
        <w:rPr>
          <w:rFonts w:ascii="Times New Roman" w:hAnsi="Times New Roman" w:cs="Times New Roman"/>
          <w:sz w:val="28"/>
          <w:szCs w:val="28"/>
        </w:rPr>
        <w:t xml:space="preserve">etermined </w:t>
      </w:r>
      <w:r w:rsidR="0028526E">
        <w:rPr>
          <w:rFonts w:ascii="Times New Roman" w:hAnsi="Times New Roman" w:cs="Times New Roman"/>
          <w:sz w:val="28"/>
          <w:szCs w:val="28"/>
        </w:rPr>
        <w:t xml:space="preserve">solely </w:t>
      </w:r>
      <w:r w:rsidR="005B7A1D" w:rsidRPr="003D28A8">
        <w:rPr>
          <w:rFonts w:ascii="Times New Roman" w:hAnsi="Times New Roman" w:cs="Times New Roman"/>
          <w:sz w:val="28"/>
          <w:szCs w:val="28"/>
        </w:rPr>
        <w:t>at sentence) the proportion of cases resulting in a sentence uplift was 70.9 per cent</w:t>
      </w:r>
      <w:r w:rsidR="00F57D80">
        <w:rPr>
          <w:rFonts w:ascii="Times New Roman" w:hAnsi="Times New Roman" w:cs="Times New Roman"/>
          <w:sz w:val="28"/>
          <w:szCs w:val="28"/>
        </w:rPr>
        <w:t>. These figures suggest that whether it is the jury or the judge who determines the facts</w:t>
      </w:r>
      <w:r w:rsidR="009A19A4">
        <w:rPr>
          <w:rFonts w:ascii="Times New Roman" w:hAnsi="Times New Roman" w:cs="Times New Roman"/>
          <w:sz w:val="28"/>
          <w:szCs w:val="28"/>
        </w:rPr>
        <w:t xml:space="preserve">, </w:t>
      </w:r>
      <w:r w:rsidR="00F57D80">
        <w:rPr>
          <w:rFonts w:ascii="Times New Roman" w:hAnsi="Times New Roman" w:cs="Times New Roman"/>
          <w:sz w:val="28"/>
          <w:szCs w:val="28"/>
        </w:rPr>
        <w:t>the outcome</w:t>
      </w:r>
      <w:r w:rsidR="00C00827">
        <w:rPr>
          <w:rFonts w:ascii="Times New Roman" w:hAnsi="Times New Roman" w:cs="Times New Roman"/>
          <w:sz w:val="28"/>
          <w:szCs w:val="28"/>
        </w:rPr>
        <w:t xml:space="preserve"> is</w:t>
      </w:r>
      <w:r w:rsidR="00F57D80">
        <w:rPr>
          <w:rFonts w:ascii="Times New Roman" w:hAnsi="Times New Roman" w:cs="Times New Roman"/>
          <w:sz w:val="28"/>
          <w:szCs w:val="28"/>
        </w:rPr>
        <w:t xml:space="preserve"> much the same</w:t>
      </w:r>
      <w:r w:rsidR="009A19A4">
        <w:rPr>
          <w:rFonts w:ascii="Times New Roman" w:hAnsi="Times New Roman" w:cs="Times New Roman"/>
          <w:sz w:val="28"/>
          <w:szCs w:val="28"/>
        </w:rPr>
        <w:t>.</w:t>
      </w:r>
    </w:p>
    <w:p w14:paraId="2C553D52" w14:textId="77777777" w:rsidR="00E909FF" w:rsidRPr="003D28A8" w:rsidRDefault="00E909FF" w:rsidP="006C3028">
      <w:pPr>
        <w:spacing w:line="360" w:lineRule="auto"/>
        <w:rPr>
          <w:rFonts w:ascii="Times New Roman" w:hAnsi="Times New Roman" w:cs="Times New Roman"/>
          <w:sz w:val="28"/>
          <w:szCs w:val="28"/>
        </w:rPr>
      </w:pPr>
    </w:p>
    <w:p w14:paraId="5D1E3446" w14:textId="38B84CB4" w:rsidR="00E909FF" w:rsidRPr="003D28A8" w:rsidRDefault="00E909FF"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The statutory wording in section 145(2), set out above, is replicated in other statutory aggravating factors</w:t>
      </w:r>
      <w:r w:rsidR="00F57D80">
        <w:rPr>
          <w:rFonts w:ascii="Times New Roman" w:hAnsi="Times New Roman" w:cs="Times New Roman"/>
          <w:sz w:val="28"/>
          <w:szCs w:val="28"/>
        </w:rPr>
        <w:t>, such as the commission of a listed offence against an ‘emergency worker’</w:t>
      </w:r>
      <w:r w:rsidR="00F57D80">
        <w:rPr>
          <w:rStyle w:val="FootnoteReference"/>
          <w:rFonts w:ascii="Times New Roman" w:hAnsi="Times New Roman" w:cs="Times New Roman"/>
          <w:sz w:val="28"/>
          <w:szCs w:val="28"/>
        </w:rPr>
        <w:footnoteReference w:id="50"/>
      </w:r>
      <w:r w:rsidR="00F57D80">
        <w:rPr>
          <w:rFonts w:ascii="Times New Roman" w:hAnsi="Times New Roman" w:cs="Times New Roman"/>
          <w:sz w:val="28"/>
          <w:szCs w:val="28"/>
        </w:rPr>
        <w:t>, or where the court is invited by the prosecution to increase sentence for a listed offence because the offence has ‘a terrorist connection’</w:t>
      </w:r>
      <w:r w:rsidR="00F57D80">
        <w:rPr>
          <w:rStyle w:val="FootnoteReference"/>
          <w:rFonts w:ascii="Times New Roman" w:hAnsi="Times New Roman" w:cs="Times New Roman"/>
          <w:sz w:val="28"/>
          <w:szCs w:val="28"/>
        </w:rPr>
        <w:footnoteReference w:id="51"/>
      </w:r>
      <w:r w:rsidR="00F57D80">
        <w:rPr>
          <w:rFonts w:ascii="Times New Roman" w:hAnsi="Times New Roman" w:cs="Times New Roman"/>
          <w:sz w:val="28"/>
          <w:szCs w:val="28"/>
        </w:rPr>
        <w:t>, or where the supply of a controlled drug or psychoactive substance has taken place on or in the vicinity of a school</w:t>
      </w:r>
      <w:r w:rsidRPr="003D28A8">
        <w:rPr>
          <w:rFonts w:ascii="Times New Roman" w:hAnsi="Times New Roman" w:cs="Times New Roman"/>
          <w:sz w:val="28"/>
          <w:szCs w:val="28"/>
        </w:rPr>
        <w:t>.</w:t>
      </w:r>
      <w:r w:rsidRPr="003D28A8">
        <w:rPr>
          <w:rStyle w:val="FootnoteReference"/>
          <w:rFonts w:ascii="Times New Roman" w:hAnsi="Times New Roman" w:cs="Times New Roman"/>
          <w:sz w:val="28"/>
          <w:szCs w:val="28"/>
        </w:rPr>
        <w:footnoteReference w:id="52"/>
      </w:r>
      <w:r w:rsidR="00F57D80" w:rsidRPr="00F57D80">
        <w:rPr>
          <w:rFonts w:ascii="Times New Roman" w:hAnsi="Times New Roman" w:cs="Times New Roman"/>
          <w:sz w:val="28"/>
          <w:szCs w:val="28"/>
        </w:rPr>
        <w:t xml:space="preserve"> </w:t>
      </w:r>
      <w:r w:rsidR="00F57D80" w:rsidRPr="003D28A8">
        <w:rPr>
          <w:rFonts w:ascii="Times New Roman" w:hAnsi="Times New Roman" w:cs="Times New Roman"/>
          <w:sz w:val="28"/>
          <w:szCs w:val="28"/>
        </w:rPr>
        <w:t xml:space="preserve">It follows from the decision in </w:t>
      </w:r>
      <w:r w:rsidR="00F57D80" w:rsidRPr="003D28A8">
        <w:rPr>
          <w:rFonts w:ascii="Times New Roman" w:hAnsi="Times New Roman" w:cs="Times New Roman"/>
          <w:i/>
          <w:sz w:val="28"/>
          <w:szCs w:val="28"/>
        </w:rPr>
        <w:t>DPP v Giles</w:t>
      </w:r>
      <w:r w:rsidR="00F57D80" w:rsidRPr="003D28A8">
        <w:rPr>
          <w:rFonts w:ascii="Times New Roman" w:hAnsi="Times New Roman" w:cs="Times New Roman"/>
          <w:sz w:val="28"/>
          <w:szCs w:val="28"/>
        </w:rPr>
        <w:t xml:space="preserve"> that, if the prosecution allege that </w:t>
      </w:r>
      <w:r w:rsidR="00186036">
        <w:rPr>
          <w:rFonts w:ascii="Times New Roman" w:hAnsi="Times New Roman" w:cs="Times New Roman"/>
          <w:sz w:val="28"/>
          <w:szCs w:val="28"/>
        </w:rPr>
        <w:t xml:space="preserve">any one of these </w:t>
      </w:r>
      <w:r w:rsidR="00F57D80" w:rsidRPr="003D28A8">
        <w:rPr>
          <w:rFonts w:ascii="Times New Roman" w:hAnsi="Times New Roman" w:cs="Times New Roman"/>
          <w:sz w:val="28"/>
          <w:szCs w:val="28"/>
        </w:rPr>
        <w:t>aggravating feature</w:t>
      </w:r>
      <w:r w:rsidR="00186036">
        <w:rPr>
          <w:rFonts w:ascii="Times New Roman" w:hAnsi="Times New Roman" w:cs="Times New Roman"/>
          <w:sz w:val="28"/>
          <w:szCs w:val="28"/>
        </w:rPr>
        <w:t>s</w:t>
      </w:r>
      <w:r w:rsidR="00F57D80" w:rsidRPr="003D28A8">
        <w:rPr>
          <w:rFonts w:ascii="Times New Roman" w:hAnsi="Times New Roman" w:cs="Times New Roman"/>
          <w:sz w:val="28"/>
          <w:szCs w:val="28"/>
        </w:rPr>
        <w:t xml:space="preserve"> is present</w:t>
      </w:r>
      <w:r w:rsidR="00186036">
        <w:rPr>
          <w:rFonts w:ascii="Times New Roman" w:hAnsi="Times New Roman" w:cs="Times New Roman"/>
          <w:sz w:val="28"/>
          <w:szCs w:val="28"/>
        </w:rPr>
        <w:t>,</w:t>
      </w:r>
      <w:r w:rsidR="00F57D80" w:rsidRPr="003D28A8">
        <w:rPr>
          <w:rFonts w:ascii="Times New Roman" w:hAnsi="Times New Roman" w:cs="Times New Roman"/>
          <w:sz w:val="28"/>
          <w:szCs w:val="28"/>
        </w:rPr>
        <w:t xml:space="preserve"> but the defence denies it, a </w:t>
      </w:r>
      <w:r w:rsidR="00F57D80" w:rsidRPr="003D28A8">
        <w:rPr>
          <w:rFonts w:ascii="Times New Roman" w:hAnsi="Times New Roman" w:cs="Times New Roman"/>
          <w:i/>
          <w:sz w:val="28"/>
          <w:szCs w:val="28"/>
        </w:rPr>
        <w:t>Newton</w:t>
      </w:r>
      <w:r w:rsidR="00F57D80" w:rsidRPr="003D28A8">
        <w:rPr>
          <w:rFonts w:ascii="Times New Roman" w:hAnsi="Times New Roman" w:cs="Times New Roman"/>
          <w:sz w:val="28"/>
          <w:szCs w:val="28"/>
        </w:rPr>
        <w:t xml:space="preserve"> hearing will </w:t>
      </w:r>
      <w:r w:rsidR="00F57D80">
        <w:rPr>
          <w:rFonts w:ascii="Times New Roman" w:hAnsi="Times New Roman" w:cs="Times New Roman"/>
          <w:sz w:val="28"/>
          <w:szCs w:val="28"/>
        </w:rPr>
        <w:t xml:space="preserve">almost always </w:t>
      </w:r>
      <w:r w:rsidR="00F57D80" w:rsidRPr="003D28A8">
        <w:rPr>
          <w:rFonts w:ascii="Times New Roman" w:hAnsi="Times New Roman" w:cs="Times New Roman"/>
          <w:sz w:val="28"/>
          <w:szCs w:val="28"/>
        </w:rPr>
        <w:t>be required.</w:t>
      </w:r>
    </w:p>
    <w:p w14:paraId="6AC85830" w14:textId="77777777" w:rsidR="00D63A1D" w:rsidRPr="003D28A8" w:rsidRDefault="00D63A1D" w:rsidP="006C3028">
      <w:pPr>
        <w:spacing w:line="360" w:lineRule="auto"/>
        <w:rPr>
          <w:rFonts w:ascii="Times New Roman" w:hAnsi="Times New Roman" w:cs="Times New Roman"/>
          <w:sz w:val="28"/>
          <w:szCs w:val="28"/>
        </w:rPr>
      </w:pPr>
    </w:p>
    <w:p w14:paraId="22EC25D2" w14:textId="77777777" w:rsidR="002A54BA" w:rsidRPr="003D28A8" w:rsidRDefault="002A54BA" w:rsidP="006C3028">
      <w:pPr>
        <w:spacing w:line="360" w:lineRule="auto"/>
        <w:rPr>
          <w:rFonts w:ascii="Times New Roman" w:hAnsi="Times New Roman" w:cs="Times New Roman"/>
          <w:sz w:val="28"/>
          <w:szCs w:val="28"/>
        </w:rPr>
      </w:pPr>
    </w:p>
    <w:p w14:paraId="5873B0D8" w14:textId="77777777" w:rsidR="002A54BA" w:rsidRPr="00604E35" w:rsidRDefault="00604E35" w:rsidP="006C3028">
      <w:pPr>
        <w:spacing w:line="360" w:lineRule="auto"/>
        <w:rPr>
          <w:rFonts w:ascii="Times New Roman" w:hAnsi="Times New Roman" w:cs="Times New Roman"/>
          <w:b/>
          <w:sz w:val="28"/>
          <w:szCs w:val="28"/>
        </w:rPr>
      </w:pPr>
      <w:r w:rsidRPr="00604E35">
        <w:rPr>
          <w:rFonts w:ascii="Times New Roman" w:hAnsi="Times New Roman" w:cs="Times New Roman"/>
          <w:b/>
          <w:sz w:val="28"/>
          <w:szCs w:val="28"/>
        </w:rPr>
        <w:t xml:space="preserve">(4) </w:t>
      </w:r>
      <w:r w:rsidR="002A54BA" w:rsidRPr="00604E35">
        <w:rPr>
          <w:rFonts w:ascii="Times New Roman" w:hAnsi="Times New Roman" w:cs="Times New Roman"/>
          <w:b/>
          <w:sz w:val="28"/>
          <w:szCs w:val="28"/>
        </w:rPr>
        <w:t>EVIDENCE OF LOCAL PREVALENCE</w:t>
      </w:r>
    </w:p>
    <w:p w14:paraId="69543A37" w14:textId="77777777" w:rsidR="002A54BA" w:rsidRPr="003D28A8" w:rsidRDefault="002A54BA" w:rsidP="006C3028">
      <w:pPr>
        <w:spacing w:line="360" w:lineRule="auto"/>
        <w:rPr>
          <w:rFonts w:ascii="Times New Roman" w:hAnsi="Times New Roman" w:cs="Times New Roman"/>
          <w:sz w:val="28"/>
          <w:szCs w:val="28"/>
        </w:rPr>
      </w:pPr>
    </w:p>
    <w:p w14:paraId="5F4A3176" w14:textId="77777777" w:rsidR="002A54BA" w:rsidRPr="003D28A8" w:rsidRDefault="002A54BA"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In his work on sentencing, Thomas applied the same approach (of equivalent procedural and evidential protections in sentencing as at trial) to claims about the prevalence of a crime locally:</w:t>
      </w:r>
    </w:p>
    <w:p w14:paraId="3C5861C5" w14:textId="77777777" w:rsidR="002A54BA" w:rsidRPr="003D28A8" w:rsidRDefault="002A54BA" w:rsidP="006C3028">
      <w:pPr>
        <w:spacing w:line="360" w:lineRule="auto"/>
        <w:rPr>
          <w:rFonts w:ascii="Times New Roman" w:hAnsi="Times New Roman" w:cs="Times New Roman"/>
          <w:sz w:val="28"/>
          <w:szCs w:val="28"/>
        </w:rPr>
      </w:pPr>
    </w:p>
    <w:p w14:paraId="25AB9D9B" w14:textId="06A17BFF" w:rsidR="002A54BA" w:rsidRPr="003D28A8" w:rsidRDefault="002A54BA" w:rsidP="006C3028">
      <w:pPr>
        <w:spacing w:line="360" w:lineRule="auto"/>
        <w:ind w:left="720"/>
        <w:rPr>
          <w:rFonts w:ascii="Times New Roman" w:hAnsi="Times New Roman" w:cs="Times New Roman"/>
          <w:sz w:val="28"/>
          <w:szCs w:val="28"/>
        </w:rPr>
      </w:pPr>
      <w:r w:rsidRPr="003D28A8">
        <w:rPr>
          <w:rFonts w:ascii="Times New Roman" w:hAnsi="Times New Roman" w:cs="Times New Roman"/>
          <w:sz w:val="28"/>
          <w:szCs w:val="28"/>
        </w:rPr>
        <w:t xml:space="preserve">“To allow the prosecutor to tender, or the sentence to elicit, vague statements of a general nature based on personal impressions, would be inconsistent with the requirements which relate to evidence on other issues </w:t>
      </w:r>
      <w:r w:rsidR="00186036">
        <w:rPr>
          <w:rFonts w:ascii="Times New Roman" w:hAnsi="Times New Roman" w:cs="Times New Roman"/>
          <w:sz w:val="28"/>
          <w:szCs w:val="28"/>
        </w:rPr>
        <w:t>relevant to</w:t>
      </w:r>
      <w:r w:rsidRPr="003D28A8">
        <w:rPr>
          <w:rFonts w:ascii="Times New Roman" w:hAnsi="Times New Roman" w:cs="Times New Roman"/>
          <w:sz w:val="28"/>
          <w:szCs w:val="28"/>
        </w:rPr>
        <w:t xml:space="preserve"> sentence.”</w:t>
      </w:r>
      <w:r w:rsidRPr="003D28A8">
        <w:rPr>
          <w:rStyle w:val="FootnoteReference"/>
          <w:rFonts w:ascii="Times New Roman" w:hAnsi="Times New Roman" w:cs="Times New Roman"/>
          <w:sz w:val="28"/>
          <w:szCs w:val="28"/>
        </w:rPr>
        <w:footnoteReference w:id="53"/>
      </w:r>
    </w:p>
    <w:p w14:paraId="43CA1162" w14:textId="77777777" w:rsidR="002A54BA" w:rsidRPr="003D28A8" w:rsidRDefault="002A54BA" w:rsidP="006C3028">
      <w:pPr>
        <w:spacing w:line="360" w:lineRule="auto"/>
        <w:ind w:left="720"/>
        <w:rPr>
          <w:rFonts w:ascii="Times New Roman" w:hAnsi="Times New Roman" w:cs="Times New Roman"/>
          <w:sz w:val="28"/>
          <w:szCs w:val="28"/>
        </w:rPr>
      </w:pPr>
    </w:p>
    <w:p w14:paraId="3A09C0C8" w14:textId="77777777" w:rsidR="002A54BA" w:rsidRPr="003D28A8" w:rsidRDefault="002A54BA"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 xml:space="preserve">The issue of local prevalence was addressed in the Sentencing Guidelines Council’s definitive guideline on </w:t>
      </w:r>
      <w:r w:rsidRPr="003D28A8">
        <w:rPr>
          <w:rFonts w:ascii="Times New Roman" w:hAnsi="Times New Roman" w:cs="Times New Roman"/>
          <w:i/>
          <w:sz w:val="28"/>
          <w:szCs w:val="28"/>
        </w:rPr>
        <w:t>Overarching Principles: Seriousness</w:t>
      </w:r>
      <w:r w:rsidRPr="003D28A8">
        <w:rPr>
          <w:rFonts w:ascii="Times New Roman" w:hAnsi="Times New Roman" w:cs="Times New Roman"/>
          <w:sz w:val="28"/>
          <w:szCs w:val="28"/>
        </w:rPr>
        <w:t>. Th</w:t>
      </w:r>
      <w:r w:rsidR="009767AA">
        <w:rPr>
          <w:rFonts w:ascii="Times New Roman" w:hAnsi="Times New Roman" w:cs="Times New Roman"/>
          <w:sz w:val="28"/>
          <w:szCs w:val="28"/>
        </w:rPr>
        <w:t>at</w:t>
      </w:r>
      <w:r w:rsidRPr="003D28A8">
        <w:rPr>
          <w:rFonts w:ascii="Times New Roman" w:hAnsi="Times New Roman" w:cs="Times New Roman"/>
          <w:sz w:val="28"/>
          <w:szCs w:val="28"/>
        </w:rPr>
        <w:t xml:space="preserve"> guideline state</w:t>
      </w:r>
      <w:r w:rsidR="009767AA">
        <w:rPr>
          <w:rFonts w:ascii="Times New Roman" w:hAnsi="Times New Roman" w:cs="Times New Roman"/>
          <w:sz w:val="28"/>
          <w:szCs w:val="28"/>
        </w:rPr>
        <w:t>d</w:t>
      </w:r>
      <w:r w:rsidRPr="003D28A8">
        <w:rPr>
          <w:rFonts w:ascii="Times New Roman" w:hAnsi="Times New Roman" w:cs="Times New Roman"/>
          <w:sz w:val="28"/>
          <w:szCs w:val="28"/>
        </w:rPr>
        <w:t xml:space="preserve"> that:</w:t>
      </w:r>
    </w:p>
    <w:p w14:paraId="23358CE1" w14:textId="77777777" w:rsidR="002A54BA" w:rsidRPr="003D28A8" w:rsidRDefault="002A54BA" w:rsidP="006C3028">
      <w:pPr>
        <w:spacing w:line="360" w:lineRule="auto"/>
        <w:rPr>
          <w:rFonts w:ascii="Times New Roman" w:hAnsi="Times New Roman" w:cs="Times New Roman"/>
          <w:sz w:val="28"/>
          <w:szCs w:val="28"/>
        </w:rPr>
      </w:pPr>
    </w:p>
    <w:p w14:paraId="586A4D82" w14:textId="77777777" w:rsidR="002A54BA" w:rsidRPr="003D28A8" w:rsidRDefault="000F7895" w:rsidP="006C3028">
      <w:pPr>
        <w:spacing w:line="360" w:lineRule="auto"/>
        <w:ind w:left="720"/>
        <w:rPr>
          <w:rFonts w:ascii="Times New Roman" w:hAnsi="Times New Roman" w:cs="Times New Roman"/>
          <w:sz w:val="28"/>
          <w:szCs w:val="28"/>
        </w:rPr>
      </w:pPr>
      <w:r>
        <w:rPr>
          <w:rFonts w:ascii="Times New Roman" w:hAnsi="Times New Roman" w:cs="Times New Roman"/>
          <w:sz w:val="28"/>
          <w:szCs w:val="28"/>
        </w:rPr>
        <w:t>‘</w:t>
      </w:r>
      <w:r w:rsidR="002A54BA" w:rsidRPr="003D28A8">
        <w:rPr>
          <w:rFonts w:ascii="Times New Roman" w:hAnsi="Times New Roman" w:cs="Times New Roman"/>
          <w:sz w:val="28"/>
          <w:szCs w:val="28"/>
        </w:rPr>
        <w:t xml:space="preserve">It is essential that </w:t>
      </w:r>
      <w:proofErr w:type="spellStart"/>
      <w:r w:rsidR="002A54BA" w:rsidRPr="003D28A8">
        <w:rPr>
          <w:rFonts w:ascii="Times New Roman" w:hAnsi="Times New Roman" w:cs="Times New Roman"/>
          <w:sz w:val="28"/>
          <w:szCs w:val="28"/>
        </w:rPr>
        <w:t>sentencers</w:t>
      </w:r>
      <w:proofErr w:type="spellEnd"/>
      <w:r w:rsidR="002A54BA" w:rsidRPr="003D28A8">
        <w:rPr>
          <w:rFonts w:ascii="Times New Roman" w:hAnsi="Times New Roman" w:cs="Times New Roman"/>
          <w:sz w:val="28"/>
          <w:szCs w:val="28"/>
        </w:rPr>
        <w:t xml:space="preserve"> both have supporting evidence from an external source (for example the local Criminal Justice Board) to justify claims that a particular crime is prevalent in their area and are satisfied that there is a compelling need to treat the offence more seriously than elsewhere.</w:t>
      </w:r>
      <w:r>
        <w:rPr>
          <w:rFonts w:ascii="Times New Roman" w:hAnsi="Times New Roman" w:cs="Times New Roman"/>
          <w:sz w:val="28"/>
          <w:szCs w:val="28"/>
        </w:rPr>
        <w:t>’</w:t>
      </w:r>
      <w:r w:rsidR="002A54BA" w:rsidRPr="003D28A8">
        <w:rPr>
          <w:rStyle w:val="FootnoteReference"/>
          <w:rFonts w:ascii="Times New Roman" w:hAnsi="Times New Roman" w:cs="Times New Roman"/>
          <w:sz w:val="28"/>
          <w:szCs w:val="28"/>
        </w:rPr>
        <w:t xml:space="preserve"> </w:t>
      </w:r>
      <w:r w:rsidR="002A54BA" w:rsidRPr="003D28A8">
        <w:rPr>
          <w:rStyle w:val="FootnoteReference"/>
          <w:rFonts w:ascii="Times New Roman" w:hAnsi="Times New Roman" w:cs="Times New Roman"/>
          <w:sz w:val="28"/>
          <w:szCs w:val="28"/>
        </w:rPr>
        <w:footnoteReference w:id="54"/>
      </w:r>
    </w:p>
    <w:p w14:paraId="012C4FCB" w14:textId="77777777" w:rsidR="002A54BA" w:rsidRPr="003D28A8" w:rsidRDefault="002A54BA" w:rsidP="006C3028">
      <w:pPr>
        <w:spacing w:line="360" w:lineRule="auto"/>
        <w:rPr>
          <w:rFonts w:ascii="Times New Roman" w:hAnsi="Times New Roman" w:cs="Times New Roman"/>
          <w:sz w:val="28"/>
          <w:szCs w:val="28"/>
        </w:rPr>
      </w:pPr>
    </w:p>
    <w:p w14:paraId="1BFDD0E0" w14:textId="2B01F406" w:rsidR="00E44D7E" w:rsidRPr="000F7895" w:rsidRDefault="002A54BA"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Although this guideline has not always been applied faithfully,</w:t>
      </w:r>
      <w:r w:rsidRPr="003D28A8">
        <w:rPr>
          <w:rStyle w:val="FootnoteReference"/>
          <w:rFonts w:ascii="Times New Roman" w:hAnsi="Times New Roman" w:cs="Times New Roman"/>
          <w:sz w:val="28"/>
          <w:szCs w:val="28"/>
        </w:rPr>
        <w:footnoteReference w:id="55"/>
      </w:r>
      <w:r w:rsidRPr="003D28A8">
        <w:rPr>
          <w:rFonts w:ascii="Times New Roman" w:hAnsi="Times New Roman" w:cs="Times New Roman"/>
          <w:sz w:val="28"/>
          <w:szCs w:val="28"/>
        </w:rPr>
        <w:t xml:space="preserve"> the judgment of </w:t>
      </w:r>
      <w:proofErr w:type="spellStart"/>
      <w:r w:rsidRPr="003D28A8">
        <w:rPr>
          <w:rFonts w:ascii="Times New Roman" w:hAnsi="Times New Roman" w:cs="Times New Roman"/>
          <w:sz w:val="28"/>
          <w:szCs w:val="28"/>
        </w:rPr>
        <w:t>Treacy</w:t>
      </w:r>
      <w:proofErr w:type="spellEnd"/>
      <w:r w:rsidRPr="003D28A8">
        <w:rPr>
          <w:rFonts w:ascii="Times New Roman" w:hAnsi="Times New Roman" w:cs="Times New Roman"/>
          <w:sz w:val="28"/>
          <w:szCs w:val="28"/>
        </w:rPr>
        <w:t xml:space="preserve"> LJ in </w:t>
      </w:r>
      <w:proofErr w:type="spellStart"/>
      <w:r w:rsidRPr="003D28A8">
        <w:rPr>
          <w:rFonts w:ascii="Times New Roman" w:hAnsi="Times New Roman" w:cs="Times New Roman"/>
          <w:i/>
          <w:sz w:val="28"/>
          <w:szCs w:val="28"/>
        </w:rPr>
        <w:t>Bondzie</w:t>
      </w:r>
      <w:proofErr w:type="spellEnd"/>
      <w:r w:rsidRPr="003D28A8">
        <w:rPr>
          <w:rFonts w:ascii="Times New Roman" w:hAnsi="Times New Roman" w:cs="Times New Roman"/>
          <w:i/>
          <w:sz w:val="28"/>
          <w:szCs w:val="28"/>
        </w:rPr>
        <w:t xml:space="preserve"> </w:t>
      </w:r>
      <w:r w:rsidRPr="003D28A8">
        <w:rPr>
          <w:rStyle w:val="FootnoteReference"/>
          <w:rFonts w:ascii="Times New Roman" w:hAnsi="Times New Roman" w:cs="Times New Roman"/>
          <w:sz w:val="28"/>
          <w:szCs w:val="28"/>
        </w:rPr>
        <w:footnoteReference w:id="56"/>
      </w:r>
      <w:r w:rsidRPr="003D28A8">
        <w:rPr>
          <w:rFonts w:ascii="Times New Roman" w:hAnsi="Times New Roman" w:cs="Times New Roman"/>
          <w:sz w:val="28"/>
          <w:szCs w:val="28"/>
        </w:rPr>
        <w:t xml:space="preserve"> seems to have restored </w:t>
      </w:r>
      <w:r w:rsidR="00604E35">
        <w:rPr>
          <w:rFonts w:ascii="Times New Roman" w:hAnsi="Times New Roman" w:cs="Times New Roman"/>
          <w:sz w:val="28"/>
          <w:szCs w:val="28"/>
        </w:rPr>
        <w:t>its</w:t>
      </w:r>
      <w:r w:rsidRPr="003D28A8">
        <w:rPr>
          <w:rFonts w:ascii="Times New Roman" w:hAnsi="Times New Roman" w:cs="Times New Roman"/>
          <w:sz w:val="28"/>
          <w:szCs w:val="28"/>
        </w:rPr>
        <w:t xml:space="preserve"> authority. Treacy LJ insisted that what is now termed </w:t>
      </w:r>
      <w:r w:rsidR="00604E35">
        <w:rPr>
          <w:rFonts w:ascii="Times New Roman" w:hAnsi="Times New Roman" w:cs="Times New Roman"/>
          <w:sz w:val="28"/>
          <w:szCs w:val="28"/>
        </w:rPr>
        <w:t>‘</w:t>
      </w:r>
      <w:r w:rsidRPr="003D28A8">
        <w:rPr>
          <w:rFonts w:ascii="Times New Roman" w:hAnsi="Times New Roman" w:cs="Times New Roman"/>
          <w:sz w:val="28"/>
          <w:szCs w:val="28"/>
        </w:rPr>
        <w:t>community impact evidence</w:t>
      </w:r>
      <w:r w:rsidR="00604E35">
        <w:rPr>
          <w:rFonts w:ascii="Times New Roman" w:hAnsi="Times New Roman" w:cs="Times New Roman"/>
          <w:sz w:val="28"/>
          <w:szCs w:val="28"/>
        </w:rPr>
        <w:t>’</w:t>
      </w:r>
      <w:r w:rsidRPr="003D28A8">
        <w:rPr>
          <w:rFonts w:ascii="Times New Roman" w:hAnsi="Times New Roman" w:cs="Times New Roman"/>
          <w:sz w:val="28"/>
          <w:szCs w:val="28"/>
        </w:rPr>
        <w:t xml:space="preserve"> must be provided to the court </w:t>
      </w:r>
      <w:r w:rsidR="00604E35">
        <w:rPr>
          <w:rFonts w:ascii="Times New Roman" w:hAnsi="Times New Roman" w:cs="Times New Roman"/>
          <w:sz w:val="28"/>
          <w:szCs w:val="28"/>
        </w:rPr>
        <w:t>‘</w:t>
      </w:r>
      <w:r w:rsidRPr="003D28A8">
        <w:rPr>
          <w:rFonts w:ascii="Times New Roman" w:hAnsi="Times New Roman" w:cs="Times New Roman"/>
          <w:sz w:val="28"/>
          <w:szCs w:val="28"/>
        </w:rPr>
        <w:t>by a responsible body or by a senior police officer</w:t>
      </w:r>
      <w:r w:rsidR="00604E35">
        <w:rPr>
          <w:rFonts w:ascii="Times New Roman" w:hAnsi="Times New Roman" w:cs="Times New Roman"/>
          <w:sz w:val="28"/>
          <w:szCs w:val="28"/>
        </w:rPr>
        <w:t>’</w:t>
      </w:r>
      <w:r w:rsidRPr="003D28A8">
        <w:rPr>
          <w:rFonts w:ascii="Times New Roman" w:hAnsi="Times New Roman" w:cs="Times New Roman"/>
          <w:sz w:val="28"/>
          <w:szCs w:val="28"/>
        </w:rPr>
        <w:t xml:space="preserve">, and that it should be made available to the Crown and the defence </w:t>
      </w:r>
      <w:r w:rsidR="00604E35">
        <w:rPr>
          <w:rFonts w:ascii="Times New Roman" w:hAnsi="Times New Roman" w:cs="Times New Roman"/>
          <w:sz w:val="28"/>
          <w:szCs w:val="28"/>
        </w:rPr>
        <w:t>‘</w:t>
      </w:r>
      <w:r w:rsidRPr="003D28A8">
        <w:rPr>
          <w:rFonts w:ascii="Times New Roman" w:hAnsi="Times New Roman" w:cs="Times New Roman"/>
          <w:sz w:val="28"/>
          <w:szCs w:val="28"/>
        </w:rPr>
        <w:t>in good time so that meaningful representations about that material can be made.</w:t>
      </w:r>
      <w:r w:rsidR="00604E35">
        <w:rPr>
          <w:rFonts w:ascii="Times New Roman" w:hAnsi="Times New Roman" w:cs="Times New Roman"/>
          <w:sz w:val="28"/>
          <w:szCs w:val="28"/>
        </w:rPr>
        <w:t>’</w:t>
      </w:r>
      <w:r w:rsidRPr="003D28A8">
        <w:rPr>
          <w:rFonts w:ascii="Times New Roman" w:hAnsi="Times New Roman" w:cs="Times New Roman"/>
          <w:sz w:val="28"/>
          <w:szCs w:val="28"/>
        </w:rPr>
        <w:t xml:space="preserve">  Even then, he continued, the decision</w:t>
      </w:r>
      <w:r w:rsidR="00186036">
        <w:rPr>
          <w:rFonts w:ascii="Times New Roman" w:hAnsi="Times New Roman" w:cs="Times New Roman"/>
          <w:sz w:val="28"/>
          <w:szCs w:val="28"/>
        </w:rPr>
        <w:t xml:space="preserve"> to increase the sentence for </w:t>
      </w:r>
      <w:r w:rsidRPr="003D28A8">
        <w:rPr>
          <w:rFonts w:ascii="Times New Roman" w:hAnsi="Times New Roman" w:cs="Times New Roman"/>
          <w:sz w:val="28"/>
          <w:szCs w:val="28"/>
        </w:rPr>
        <w:t>reason</w:t>
      </w:r>
      <w:r w:rsidR="00186036">
        <w:rPr>
          <w:rFonts w:ascii="Times New Roman" w:hAnsi="Times New Roman" w:cs="Times New Roman"/>
          <w:sz w:val="28"/>
          <w:szCs w:val="28"/>
        </w:rPr>
        <w:t>s</w:t>
      </w:r>
      <w:r w:rsidRPr="003D28A8">
        <w:rPr>
          <w:rFonts w:ascii="Times New Roman" w:hAnsi="Times New Roman" w:cs="Times New Roman"/>
          <w:sz w:val="28"/>
          <w:szCs w:val="28"/>
        </w:rPr>
        <w:t xml:space="preserve"> of prevalence should be exceptional</w:t>
      </w:r>
      <w:r w:rsidR="003865CC">
        <w:rPr>
          <w:rFonts w:ascii="Times New Roman" w:hAnsi="Times New Roman" w:cs="Times New Roman"/>
          <w:sz w:val="28"/>
          <w:szCs w:val="28"/>
        </w:rPr>
        <w:t>, since guidelines such as the Drugs guideline already take account of collective social harm and the judge must be satisfied that the level of harm locally is significantly higher than elsewhere</w:t>
      </w:r>
      <w:r w:rsidRPr="003D28A8">
        <w:rPr>
          <w:rFonts w:ascii="Times New Roman" w:hAnsi="Times New Roman" w:cs="Times New Roman"/>
          <w:sz w:val="28"/>
          <w:szCs w:val="28"/>
        </w:rPr>
        <w:t xml:space="preserve">. This judgment is now cited regularly by the Court of Appeal in </w:t>
      </w:r>
      <w:r w:rsidR="00604E35">
        <w:rPr>
          <w:rFonts w:ascii="Times New Roman" w:hAnsi="Times New Roman" w:cs="Times New Roman"/>
          <w:sz w:val="28"/>
          <w:szCs w:val="28"/>
        </w:rPr>
        <w:t>‘</w:t>
      </w:r>
      <w:r w:rsidRPr="003D28A8">
        <w:rPr>
          <w:rFonts w:ascii="Times New Roman" w:hAnsi="Times New Roman" w:cs="Times New Roman"/>
          <w:sz w:val="28"/>
          <w:szCs w:val="28"/>
        </w:rPr>
        <w:t>prevalence</w:t>
      </w:r>
      <w:r w:rsidR="00604E35">
        <w:rPr>
          <w:rFonts w:ascii="Times New Roman" w:hAnsi="Times New Roman" w:cs="Times New Roman"/>
          <w:sz w:val="28"/>
          <w:szCs w:val="28"/>
        </w:rPr>
        <w:t>’</w:t>
      </w:r>
      <w:r w:rsidRPr="003D28A8">
        <w:rPr>
          <w:rFonts w:ascii="Times New Roman" w:hAnsi="Times New Roman" w:cs="Times New Roman"/>
          <w:sz w:val="28"/>
          <w:szCs w:val="28"/>
        </w:rPr>
        <w:t xml:space="preserve"> cases.</w:t>
      </w:r>
      <w:r w:rsidRPr="003D28A8">
        <w:rPr>
          <w:rStyle w:val="FootnoteReference"/>
          <w:rFonts w:ascii="Times New Roman" w:hAnsi="Times New Roman" w:cs="Times New Roman"/>
          <w:sz w:val="28"/>
          <w:szCs w:val="28"/>
        </w:rPr>
        <w:footnoteReference w:id="57"/>
      </w:r>
      <w:r w:rsidR="00E44D7E">
        <w:rPr>
          <w:rFonts w:ascii="Times New Roman" w:hAnsi="Times New Roman" w:cs="Times New Roman"/>
          <w:sz w:val="28"/>
          <w:szCs w:val="28"/>
        </w:rPr>
        <w:t xml:space="preserve"> </w:t>
      </w:r>
      <w:r w:rsidR="00E44D7E" w:rsidRPr="003D28A8">
        <w:rPr>
          <w:rFonts w:ascii="Times New Roman" w:hAnsi="Times New Roman" w:cs="Times New Roman"/>
          <w:sz w:val="28"/>
          <w:szCs w:val="28"/>
        </w:rPr>
        <w:t xml:space="preserve">Thomas was properly critical of the practice, as it existed </w:t>
      </w:r>
      <w:r w:rsidR="00B3768F">
        <w:rPr>
          <w:rFonts w:ascii="Times New Roman" w:hAnsi="Times New Roman" w:cs="Times New Roman"/>
          <w:sz w:val="28"/>
          <w:szCs w:val="28"/>
        </w:rPr>
        <w:t>in the 1970s</w:t>
      </w:r>
      <w:r w:rsidR="00E44D7E" w:rsidRPr="003D28A8">
        <w:rPr>
          <w:rFonts w:ascii="Times New Roman" w:hAnsi="Times New Roman" w:cs="Times New Roman"/>
          <w:sz w:val="28"/>
          <w:szCs w:val="28"/>
        </w:rPr>
        <w:t>, of police officers being called to give evidence at sentence as to D’s antecedents.</w:t>
      </w:r>
      <w:r w:rsidR="00B3768F">
        <w:rPr>
          <w:rStyle w:val="FootnoteReference"/>
          <w:rFonts w:ascii="Times New Roman" w:hAnsi="Times New Roman" w:cs="Times New Roman"/>
          <w:sz w:val="28"/>
          <w:szCs w:val="28"/>
        </w:rPr>
        <w:footnoteReference w:id="58"/>
      </w:r>
      <w:r w:rsidR="00E44D7E" w:rsidRPr="003D28A8">
        <w:rPr>
          <w:rFonts w:ascii="Times New Roman" w:hAnsi="Times New Roman" w:cs="Times New Roman"/>
          <w:sz w:val="28"/>
          <w:szCs w:val="28"/>
        </w:rPr>
        <w:t xml:space="preserve"> This </w:t>
      </w:r>
      <w:r w:rsidR="00B3768F">
        <w:rPr>
          <w:rFonts w:ascii="Times New Roman" w:hAnsi="Times New Roman" w:cs="Times New Roman"/>
          <w:sz w:val="28"/>
          <w:szCs w:val="28"/>
        </w:rPr>
        <w:t xml:space="preserve">practice sometimes </w:t>
      </w:r>
      <w:r w:rsidR="00E44D7E" w:rsidRPr="003D28A8">
        <w:rPr>
          <w:rFonts w:ascii="Times New Roman" w:hAnsi="Times New Roman" w:cs="Times New Roman"/>
          <w:sz w:val="28"/>
          <w:szCs w:val="28"/>
        </w:rPr>
        <w:t>extended beyond the officer reading out the recorded offending history, to the making of generalised adverse comments about D. Th</w:t>
      </w:r>
      <w:r w:rsidR="00B3768F">
        <w:rPr>
          <w:rFonts w:ascii="Times New Roman" w:hAnsi="Times New Roman" w:cs="Times New Roman"/>
          <w:sz w:val="28"/>
          <w:szCs w:val="28"/>
        </w:rPr>
        <w:t>at</w:t>
      </w:r>
      <w:r w:rsidR="00E44D7E" w:rsidRPr="003D28A8">
        <w:rPr>
          <w:rFonts w:ascii="Times New Roman" w:hAnsi="Times New Roman" w:cs="Times New Roman"/>
          <w:sz w:val="28"/>
          <w:szCs w:val="28"/>
        </w:rPr>
        <w:t xml:space="preserve"> practice was criticised in the Court of Appeal in several cases in the 1</w:t>
      </w:r>
      <w:r w:rsidR="00E66074">
        <w:rPr>
          <w:rFonts w:ascii="Times New Roman" w:hAnsi="Times New Roman" w:cs="Times New Roman"/>
          <w:sz w:val="28"/>
          <w:szCs w:val="28"/>
        </w:rPr>
        <w:t>970s and 1980s, after which it ceased.</w:t>
      </w:r>
      <w:r w:rsidR="00E66074">
        <w:rPr>
          <w:rStyle w:val="FootnoteReference"/>
          <w:rFonts w:ascii="Times New Roman" w:hAnsi="Times New Roman" w:cs="Times New Roman"/>
          <w:sz w:val="28"/>
          <w:szCs w:val="28"/>
        </w:rPr>
        <w:footnoteReference w:id="59"/>
      </w:r>
      <w:r w:rsidR="000F7895">
        <w:rPr>
          <w:rFonts w:ascii="Times New Roman" w:hAnsi="Times New Roman" w:cs="Times New Roman"/>
          <w:sz w:val="28"/>
          <w:szCs w:val="28"/>
        </w:rPr>
        <w:t xml:space="preserve"> The requirement that community impact evidence is properly sourced </w:t>
      </w:r>
      <w:r w:rsidR="00B3768F">
        <w:rPr>
          <w:rFonts w:ascii="Times New Roman" w:hAnsi="Times New Roman" w:cs="Times New Roman"/>
          <w:sz w:val="28"/>
          <w:szCs w:val="28"/>
        </w:rPr>
        <w:t xml:space="preserve">and evidenced </w:t>
      </w:r>
      <w:r w:rsidR="000F7895">
        <w:rPr>
          <w:rFonts w:ascii="Times New Roman" w:hAnsi="Times New Roman" w:cs="Times New Roman"/>
          <w:sz w:val="28"/>
          <w:szCs w:val="28"/>
        </w:rPr>
        <w:t xml:space="preserve">should avoid such problems recurring, but a salutary warning was given in </w:t>
      </w:r>
      <w:r w:rsidR="000F7895">
        <w:rPr>
          <w:rFonts w:ascii="Times New Roman" w:hAnsi="Times New Roman" w:cs="Times New Roman"/>
          <w:i/>
          <w:sz w:val="28"/>
          <w:szCs w:val="28"/>
        </w:rPr>
        <w:t>Skelton</w:t>
      </w:r>
      <w:r w:rsidR="000F7895" w:rsidRPr="00636877">
        <w:rPr>
          <w:rStyle w:val="FootnoteReference"/>
          <w:rFonts w:ascii="Times New Roman" w:hAnsi="Times New Roman" w:cs="Times New Roman"/>
          <w:sz w:val="28"/>
          <w:szCs w:val="28"/>
        </w:rPr>
        <w:footnoteReference w:id="60"/>
      </w:r>
      <w:r w:rsidR="000F7895">
        <w:rPr>
          <w:rFonts w:ascii="Times New Roman" w:hAnsi="Times New Roman" w:cs="Times New Roman"/>
          <w:sz w:val="28"/>
          <w:szCs w:val="28"/>
        </w:rPr>
        <w:t xml:space="preserve"> where a police officer had used the community impact scheme to make a statement as to the police’s knowledge of D being heavily involved in drug dealing in the local community. The Court of Appeal said that this ‘character assassination’ had been a singular misuse of the community impact evidence.</w:t>
      </w:r>
    </w:p>
    <w:p w14:paraId="7342E8B5" w14:textId="77777777" w:rsidR="00CB6C20" w:rsidRDefault="00CB6C20" w:rsidP="006C3028">
      <w:pPr>
        <w:spacing w:line="360" w:lineRule="auto"/>
        <w:rPr>
          <w:rFonts w:ascii="Times New Roman" w:hAnsi="Times New Roman" w:cs="Times New Roman"/>
          <w:sz w:val="28"/>
          <w:szCs w:val="28"/>
        </w:rPr>
      </w:pPr>
    </w:p>
    <w:p w14:paraId="4E1BC5DC" w14:textId="77777777" w:rsidR="0061798C" w:rsidRPr="003D28A8" w:rsidRDefault="0061798C" w:rsidP="006C3028">
      <w:pPr>
        <w:spacing w:line="360" w:lineRule="auto"/>
        <w:rPr>
          <w:rFonts w:ascii="Times New Roman" w:hAnsi="Times New Roman" w:cs="Times New Roman"/>
          <w:sz w:val="28"/>
          <w:szCs w:val="28"/>
        </w:rPr>
      </w:pPr>
    </w:p>
    <w:p w14:paraId="68E64A18" w14:textId="77777777" w:rsidR="003D28A8" w:rsidRPr="003D28A8" w:rsidRDefault="003D28A8" w:rsidP="006C3028">
      <w:pPr>
        <w:spacing w:line="360" w:lineRule="auto"/>
        <w:rPr>
          <w:rFonts w:ascii="Times New Roman" w:hAnsi="Times New Roman" w:cs="Times New Roman"/>
          <w:b/>
          <w:sz w:val="28"/>
          <w:szCs w:val="28"/>
        </w:rPr>
      </w:pPr>
      <w:r>
        <w:rPr>
          <w:rFonts w:ascii="Times New Roman" w:hAnsi="Times New Roman" w:cs="Times New Roman"/>
          <w:b/>
          <w:sz w:val="28"/>
          <w:szCs w:val="28"/>
        </w:rPr>
        <w:t>(</w:t>
      </w:r>
      <w:r w:rsidR="00604E35">
        <w:rPr>
          <w:rFonts w:ascii="Times New Roman" w:hAnsi="Times New Roman" w:cs="Times New Roman"/>
          <w:b/>
          <w:sz w:val="28"/>
          <w:szCs w:val="28"/>
        </w:rPr>
        <w:t>5</w:t>
      </w:r>
      <w:r>
        <w:rPr>
          <w:rFonts w:ascii="Times New Roman" w:hAnsi="Times New Roman" w:cs="Times New Roman"/>
          <w:b/>
          <w:sz w:val="28"/>
          <w:szCs w:val="28"/>
        </w:rPr>
        <w:t xml:space="preserve">) </w:t>
      </w:r>
      <w:r w:rsidRPr="003D28A8">
        <w:rPr>
          <w:rFonts w:ascii="Times New Roman" w:hAnsi="Times New Roman" w:cs="Times New Roman"/>
          <w:b/>
          <w:sz w:val="28"/>
          <w:szCs w:val="28"/>
        </w:rPr>
        <w:t>VICTIM PERSONAL STATEMENTS</w:t>
      </w:r>
    </w:p>
    <w:p w14:paraId="65B57753" w14:textId="77777777" w:rsidR="003D28A8" w:rsidRPr="003D28A8" w:rsidRDefault="003D28A8" w:rsidP="006C3028">
      <w:pPr>
        <w:spacing w:line="360" w:lineRule="auto"/>
        <w:rPr>
          <w:rFonts w:ascii="Times New Roman" w:hAnsi="Times New Roman" w:cs="Times New Roman"/>
          <w:b/>
          <w:sz w:val="28"/>
          <w:szCs w:val="28"/>
        </w:rPr>
      </w:pPr>
    </w:p>
    <w:p w14:paraId="6F76D9C5" w14:textId="12C5657E" w:rsidR="003865CC" w:rsidRDefault="003D28A8"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 xml:space="preserve">For at least two decades, what are now known as Victim Personal Statements (VPS) have been part of the criminal justice process in some cases, particularly sexual offences and offences of violence. The typical VPS will include details of the effect of the offence on the victim, in the form set out in Part VIIF of the Criminal Practice Direction. The VPS should be made in the form of a witness statement and served on the defence. In </w:t>
      </w:r>
      <w:r w:rsidRPr="003D28A8">
        <w:rPr>
          <w:rFonts w:ascii="Times New Roman" w:hAnsi="Times New Roman" w:cs="Times New Roman"/>
          <w:i/>
          <w:sz w:val="28"/>
          <w:szCs w:val="28"/>
        </w:rPr>
        <w:t>Perkins</w:t>
      </w:r>
      <w:r w:rsidRPr="00A80E2C">
        <w:rPr>
          <w:rStyle w:val="FootnoteReference"/>
          <w:rFonts w:ascii="Times New Roman" w:hAnsi="Times New Roman" w:cs="Times New Roman"/>
          <w:sz w:val="28"/>
          <w:szCs w:val="28"/>
        </w:rPr>
        <w:footnoteReference w:id="61"/>
      </w:r>
      <w:r w:rsidRPr="00A80E2C">
        <w:rPr>
          <w:rFonts w:ascii="Times New Roman" w:hAnsi="Times New Roman" w:cs="Times New Roman"/>
          <w:sz w:val="28"/>
          <w:szCs w:val="28"/>
        </w:rPr>
        <w:t xml:space="preserve"> </w:t>
      </w:r>
      <w:r w:rsidRPr="003D28A8">
        <w:rPr>
          <w:rFonts w:ascii="Times New Roman" w:hAnsi="Times New Roman" w:cs="Times New Roman"/>
          <w:sz w:val="28"/>
          <w:szCs w:val="28"/>
        </w:rPr>
        <w:t xml:space="preserve">the Court of Appeal stated that the VPS, if it is in the proper form of a witness statement, “must be treated as evidence.”  But the Court said nothing about the burden and standard of proof.  That issue becomes particularly difficult when the judge has to take account of the VPS in order to decide whether the offence gave rise to </w:t>
      </w:r>
      <w:r w:rsidR="00000A1F">
        <w:rPr>
          <w:rFonts w:ascii="Times New Roman" w:hAnsi="Times New Roman" w:cs="Times New Roman"/>
          <w:sz w:val="28"/>
          <w:szCs w:val="28"/>
        </w:rPr>
        <w:t>‘</w:t>
      </w:r>
      <w:r w:rsidRPr="003D28A8">
        <w:rPr>
          <w:rFonts w:ascii="Times New Roman" w:hAnsi="Times New Roman" w:cs="Times New Roman"/>
          <w:sz w:val="28"/>
          <w:szCs w:val="28"/>
        </w:rPr>
        <w:t>severe psychological harm</w:t>
      </w:r>
      <w:r w:rsidR="00000A1F">
        <w:rPr>
          <w:rFonts w:ascii="Times New Roman" w:hAnsi="Times New Roman" w:cs="Times New Roman"/>
          <w:sz w:val="28"/>
          <w:szCs w:val="28"/>
        </w:rPr>
        <w:t>’</w:t>
      </w:r>
      <w:r w:rsidRPr="003D28A8">
        <w:rPr>
          <w:rFonts w:ascii="Times New Roman" w:hAnsi="Times New Roman" w:cs="Times New Roman"/>
          <w:sz w:val="28"/>
          <w:szCs w:val="28"/>
        </w:rPr>
        <w:t xml:space="preserve">. In some offence guidelines such a finding would be relevant at Step 1 (as in the Assault guidelines); in others it would be relevant at Step 2 as an aggravating factor (as in some Sexual Offences guidelines).  In its recent decision in </w:t>
      </w:r>
      <w:proofErr w:type="spellStart"/>
      <w:r w:rsidR="00000A1F">
        <w:rPr>
          <w:rFonts w:ascii="Times New Roman" w:hAnsi="Times New Roman" w:cs="Times New Roman"/>
          <w:i/>
          <w:sz w:val="28"/>
          <w:szCs w:val="28"/>
        </w:rPr>
        <w:t>Chall</w:t>
      </w:r>
      <w:proofErr w:type="spellEnd"/>
      <w:r w:rsidRPr="00000A1F">
        <w:rPr>
          <w:rStyle w:val="FootnoteReference"/>
          <w:rFonts w:ascii="Times New Roman" w:hAnsi="Times New Roman" w:cs="Times New Roman"/>
          <w:sz w:val="28"/>
          <w:szCs w:val="28"/>
        </w:rPr>
        <w:footnoteReference w:id="62"/>
      </w:r>
      <w:r w:rsidRPr="003D28A8">
        <w:rPr>
          <w:rFonts w:ascii="Times New Roman" w:hAnsi="Times New Roman" w:cs="Times New Roman"/>
          <w:i/>
          <w:sz w:val="28"/>
          <w:szCs w:val="28"/>
        </w:rPr>
        <w:t xml:space="preserve"> </w:t>
      </w:r>
      <w:r w:rsidRPr="003D28A8">
        <w:rPr>
          <w:rFonts w:ascii="Times New Roman" w:hAnsi="Times New Roman" w:cs="Times New Roman"/>
          <w:sz w:val="28"/>
          <w:szCs w:val="28"/>
        </w:rPr>
        <w:t>the Court of Appeal discussed whether the assertions about psychological harm in a VPS should be supported by expert evidence, and it decided that in the normal run of cases it should be for the judge to determine, on the basis of observing the victim during the trial,</w:t>
      </w:r>
      <w:r w:rsidR="00000A1F">
        <w:rPr>
          <w:rFonts w:ascii="Times New Roman" w:hAnsi="Times New Roman" w:cs="Times New Roman"/>
          <w:sz w:val="28"/>
          <w:szCs w:val="28"/>
        </w:rPr>
        <w:t xml:space="preserve"> </w:t>
      </w:r>
      <w:r w:rsidRPr="003D28A8">
        <w:rPr>
          <w:rFonts w:ascii="Times New Roman" w:hAnsi="Times New Roman" w:cs="Times New Roman"/>
          <w:sz w:val="28"/>
          <w:szCs w:val="28"/>
        </w:rPr>
        <w:t xml:space="preserve">whether the effect on the victim amounted to </w:t>
      </w:r>
      <w:r w:rsidR="00000A1F">
        <w:rPr>
          <w:rFonts w:ascii="Times New Roman" w:hAnsi="Times New Roman" w:cs="Times New Roman"/>
          <w:sz w:val="28"/>
          <w:szCs w:val="28"/>
        </w:rPr>
        <w:t>‘</w:t>
      </w:r>
      <w:r w:rsidRPr="003D28A8">
        <w:rPr>
          <w:rFonts w:ascii="Times New Roman" w:hAnsi="Times New Roman" w:cs="Times New Roman"/>
          <w:sz w:val="28"/>
          <w:szCs w:val="28"/>
        </w:rPr>
        <w:t>severe psychological harm</w:t>
      </w:r>
      <w:r w:rsidR="00000A1F">
        <w:rPr>
          <w:rFonts w:ascii="Times New Roman" w:hAnsi="Times New Roman" w:cs="Times New Roman"/>
          <w:sz w:val="28"/>
          <w:szCs w:val="28"/>
        </w:rPr>
        <w:t>’</w:t>
      </w:r>
      <w:r w:rsidRPr="003D28A8">
        <w:rPr>
          <w:rFonts w:ascii="Times New Roman" w:hAnsi="Times New Roman" w:cs="Times New Roman"/>
          <w:sz w:val="28"/>
          <w:szCs w:val="28"/>
        </w:rPr>
        <w:t xml:space="preserve">. Holroyde LJ held that the judge should not find that the psychological harm was </w:t>
      </w:r>
      <w:r w:rsidR="00000A1F">
        <w:rPr>
          <w:rFonts w:ascii="Times New Roman" w:hAnsi="Times New Roman" w:cs="Times New Roman"/>
          <w:sz w:val="28"/>
          <w:szCs w:val="28"/>
        </w:rPr>
        <w:t>‘</w:t>
      </w:r>
      <w:r w:rsidRPr="003D28A8">
        <w:rPr>
          <w:rFonts w:ascii="Times New Roman" w:hAnsi="Times New Roman" w:cs="Times New Roman"/>
          <w:sz w:val="28"/>
          <w:szCs w:val="28"/>
        </w:rPr>
        <w:t>severe</w:t>
      </w:r>
      <w:r w:rsidR="00000A1F">
        <w:rPr>
          <w:rFonts w:ascii="Times New Roman" w:hAnsi="Times New Roman" w:cs="Times New Roman"/>
          <w:sz w:val="28"/>
          <w:szCs w:val="28"/>
        </w:rPr>
        <w:t>’</w:t>
      </w:r>
      <w:r w:rsidRPr="003D28A8">
        <w:rPr>
          <w:rFonts w:ascii="Times New Roman" w:hAnsi="Times New Roman" w:cs="Times New Roman"/>
          <w:sz w:val="28"/>
          <w:szCs w:val="28"/>
        </w:rPr>
        <w:t xml:space="preserve">, or </w:t>
      </w:r>
      <w:r w:rsidR="00000A1F">
        <w:rPr>
          <w:rFonts w:ascii="Times New Roman" w:hAnsi="Times New Roman" w:cs="Times New Roman"/>
          <w:sz w:val="28"/>
          <w:szCs w:val="28"/>
        </w:rPr>
        <w:t>‘</w:t>
      </w:r>
      <w:r w:rsidRPr="003D28A8">
        <w:rPr>
          <w:rFonts w:ascii="Times New Roman" w:hAnsi="Times New Roman" w:cs="Times New Roman"/>
          <w:sz w:val="28"/>
          <w:szCs w:val="28"/>
        </w:rPr>
        <w:t>serious in the context of the offence</w:t>
      </w:r>
      <w:r w:rsidR="00000A1F">
        <w:rPr>
          <w:rFonts w:ascii="Times New Roman" w:hAnsi="Times New Roman" w:cs="Times New Roman"/>
          <w:sz w:val="28"/>
          <w:szCs w:val="28"/>
        </w:rPr>
        <w:t>’</w:t>
      </w:r>
      <w:r w:rsidRPr="003D28A8">
        <w:rPr>
          <w:rFonts w:ascii="Times New Roman" w:hAnsi="Times New Roman" w:cs="Times New Roman"/>
          <w:sz w:val="28"/>
          <w:szCs w:val="28"/>
        </w:rPr>
        <w:t>,</w:t>
      </w:r>
      <w:r w:rsidR="00000A1F">
        <w:rPr>
          <w:rFonts w:ascii="Times New Roman" w:hAnsi="Times New Roman" w:cs="Times New Roman"/>
          <w:sz w:val="28"/>
          <w:szCs w:val="28"/>
        </w:rPr>
        <w:t xml:space="preserve"> ‘</w:t>
      </w:r>
      <w:r w:rsidRPr="003D28A8">
        <w:rPr>
          <w:rFonts w:ascii="Times New Roman" w:hAnsi="Times New Roman" w:cs="Times New Roman"/>
          <w:sz w:val="28"/>
          <w:szCs w:val="28"/>
        </w:rPr>
        <w:t>unless satisfied that it is correct</w:t>
      </w:r>
      <w:r w:rsidR="00000A1F">
        <w:rPr>
          <w:rFonts w:ascii="Times New Roman" w:hAnsi="Times New Roman" w:cs="Times New Roman"/>
          <w:sz w:val="28"/>
          <w:szCs w:val="28"/>
        </w:rPr>
        <w:t>’</w:t>
      </w:r>
      <w:r w:rsidRPr="003D28A8">
        <w:rPr>
          <w:rFonts w:ascii="Times New Roman" w:hAnsi="Times New Roman" w:cs="Times New Roman"/>
          <w:sz w:val="28"/>
          <w:szCs w:val="28"/>
        </w:rPr>
        <w:t>.</w:t>
      </w:r>
      <w:r w:rsidR="00000A1F">
        <w:rPr>
          <w:rFonts w:ascii="Times New Roman" w:hAnsi="Times New Roman" w:cs="Times New Roman"/>
          <w:sz w:val="28"/>
          <w:szCs w:val="28"/>
        </w:rPr>
        <w:t xml:space="preserve"> </w:t>
      </w:r>
    </w:p>
    <w:p w14:paraId="6FBE0D51" w14:textId="77777777" w:rsidR="003865CC" w:rsidRDefault="003865CC" w:rsidP="006C3028">
      <w:pPr>
        <w:spacing w:line="360" w:lineRule="auto"/>
        <w:rPr>
          <w:rFonts w:ascii="Times New Roman" w:hAnsi="Times New Roman" w:cs="Times New Roman"/>
          <w:sz w:val="28"/>
          <w:szCs w:val="28"/>
        </w:rPr>
      </w:pPr>
    </w:p>
    <w:p w14:paraId="5CF5F88D" w14:textId="00F45CE0" w:rsidR="003D28A8" w:rsidRDefault="003D28A8"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T</w:t>
      </w:r>
      <w:r w:rsidR="003865CC">
        <w:rPr>
          <w:rFonts w:ascii="Times New Roman" w:hAnsi="Times New Roman" w:cs="Times New Roman"/>
          <w:sz w:val="28"/>
          <w:szCs w:val="28"/>
        </w:rPr>
        <w:t>hree</w:t>
      </w:r>
      <w:r w:rsidRPr="003D28A8">
        <w:rPr>
          <w:rFonts w:ascii="Times New Roman" w:hAnsi="Times New Roman" w:cs="Times New Roman"/>
          <w:sz w:val="28"/>
          <w:szCs w:val="28"/>
        </w:rPr>
        <w:t xml:space="preserve"> points may be made here. First</w:t>
      </w:r>
      <w:r w:rsidR="00CA4C4A">
        <w:rPr>
          <w:rFonts w:ascii="Times New Roman" w:hAnsi="Times New Roman" w:cs="Times New Roman"/>
          <w:sz w:val="28"/>
          <w:szCs w:val="28"/>
        </w:rPr>
        <w:t>ly</w:t>
      </w:r>
      <w:bookmarkStart w:id="0" w:name="_GoBack"/>
      <w:bookmarkEnd w:id="0"/>
      <w:r w:rsidRPr="003D28A8">
        <w:rPr>
          <w:rFonts w:ascii="Times New Roman" w:hAnsi="Times New Roman" w:cs="Times New Roman"/>
          <w:sz w:val="28"/>
          <w:szCs w:val="28"/>
        </w:rPr>
        <w:t xml:space="preserve">, </w:t>
      </w:r>
      <w:r w:rsidR="003865CC">
        <w:rPr>
          <w:rFonts w:ascii="Times New Roman" w:hAnsi="Times New Roman" w:cs="Times New Roman"/>
          <w:sz w:val="28"/>
          <w:szCs w:val="28"/>
        </w:rPr>
        <w:t>it would have been preferable if Holroyde LJ had used the ‘beyond reasonable doubt’ formulation rather than the looser ‘satisfied.’</w:t>
      </w:r>
      <w:r w:rsidR="003865CC">
        <w:rPr>
          <w:rStyle w:val="FootnoteReference"/>
          <w:rFonts w:ascii="Times New Roman" w:hAnsi="Times New Roman" w:cs="Times New Roman"/>
          <w:sz w:val="28"/>
          <w:szCs w:val="28"/>
        </w:rPr>
        <w:footnoteReference w:id="63"/>
      </w:r>
      <w:r w:rsidR="003865CC">
        <w:rPr>
          <w:rFonts w:ascii="Times New Roman" w:hAnsi="Times New Roman" w:cs="Times New Roman"/>
          <w:sz w:val="28"/>
          <w:szCs w:val="28"/>
        </w:rPr>
        <w:t xml:space="preserve">  Secondly, </w:t>
      </w:r>
      <w:r w:rsidRPr="003D28A8">
        <w:rPr>
          <w:rFonts w:ascii="Times New Roman" w:hAnsi="Times New Roman" w:cs="Times New Roman"/>
          <w:sz w:val="28"/>
          <w:szCs w:val="28"/>
        </w:rPr>
        <w:t xml:space="preserve">can we have confidence in the ability of judges to assess whether the victim has suffered </w:t>
      </w:r>
      <w:r w:rsidR="00000A1F">
        <w:rPr>
          <w:rFonts w:ascii="Times New Roman" w:hAnsi="Times New Roman" w:cs="Times New Roman"/>
          <w:sz w:val="28"/>
          <w:szCs w:val="28"/>
        </w:rPr>
        <w:t>‘</w:t>
      </w:r>
      <w:r w:rsidRPr="003D28A8">
        <w:rPr>
          <w:rFonts w:ascii="Times New Roman" w:hAnsi="Times New Roman" w:cs="Times New Roman"/>
          <w:sz w:val="28"/>
          <w:szCs w:val="28"/>
        </w:rPr>
        <w:t>severe psychological harm</w:t>
      </w:r>
      <w:r w:rsidR="00000A1F">
        <w:rPr>
          <w:rFonts w:ascii="Times New Roman" w:hAnsi="Times New Roman" w:cs="Times New Roman"/>
          <w:sz w:val="28"/>
          <w:szCs w:val="28"/>
        </w:rPr>
        <w:t>’</w:t>
      </w:r>
      <w:r w:rsidRPr="003D28A8">
        <w:rPr>
          <w:rFonts w:ascii="Times New Roman" w:hAnsi="Times New Roman" w:cs="Times New Roman"/>
          <w:sz w:val="28"/>
          <w:szCs w:val="28"/>
        </w:rPr>
        <w:t xml:space="preserve"> as a result of the offence, simply on the basis of observing the victim give evidence in court?  This assumes that there was a trial, rather than a guilty plea. The pragmatic view is that to require expert evidence in every case where an issue such as </w:t>
      </w:r>
      <w:r w:rsidR="00023849">
        <w:rPr>
          <w:rFonts w:ascii="Times New Roman" w:hAnsi="Times New Roman" w:cs="Times New Roman"/>
          <w:sz w:val="28"/>
          <w:szCs w:val="28"/>
        </w:rPr>
        <w:t>‘</w:t>
      </w:r>
      <w:r w:rsidRPr="003D28A8">
        <w:rPr>
          <w:rFonts w:ascii="Times New Roman" w:hAnsi="Times New Roman" w:cs="Times New Roman"/>
          <w:sz w:val="28"/>
          <w:szCs w:val="28"/>
        </w:rPr>
        <w:t>severe psychological harm</w:t>
      </w:r>
      <w:r w:rsidR="00023849">
        <w:rPr>
          <w:rFonts w:ascii="Times New Roman" w:hAnsi="Times New Roman" w:cs="Times New Roman"/>
          <w:sz w:val="28"/>
          <w:szCs w:val="28"/>
        </w:rPr>
        <w:t>’</w:t>
      </w:r>
      <w:r w:rsidRPr="003D28A8">
        <w:rPr>
          <w:rFonts w:ascii="Times New Roman" w:hAnsi="Times New Roman" w:cs="Times New Roman"/>
          <w:sz w:val="28"/>
          <w:szCs w:val="28"/>
        </w:rPr>
        <w:t xml:space="preserve"> arises </w:t>
      </w:r>
      <w:r w:rsidR="00023849">
        <w:rPr>
          <w:rFonts w:ascii="Times New Roman" w:hAnsi="Times New Roman" w:cs="Times New Roman"/>
          <w:sz w:val="28"/>
          <w:szCs w:val="28"/>
        </w:rPr>
        <w:t>‘</w:t>
      </w:r>
      <w:r w:rsidRPr="003D28A8">
        <w:rPr>
          <w:rFonts w:ascii="Times New Roman" w:hAnsi="Times New Roman" w:cs="Times New Roman"/>
          <w:sz w:val="28"/>
          <w:szCs w:val="28"/>
        </w:rPr>
        <w:t>would be time-consuming, costly, and perhaps in some cases fruitless</w:t>
      </w:r>
      <w:r w:rsidR="00023849">
        <w:rPr>
          <w:rFonts w:ascii="Times New Roman" w:hAnsi="Times New Roman" w:cs="Times New Roman"/>
          <w:sz w:val="28"/>
          <w:szCs w:val="28"/>
        </w:rPr>
        <w:t>’</w:t>
      </w:r>
      <w:r w:rsidRPr="003D28A8">
        <w:rPr>
          <w:rStyle w:val="FootnoteReference"/>
          <w:rFonts w:ascii="Times New Roman" w:hAnsi="Times New Roman" w:cs="Times New Roman"/>
          <w:sz w:val="28"/>
          <w:szCs w:val="28"/>
        </w:rPr>
        <w:footnoteReference w:id="64"/>
      </w:r>
      <w:r w:rsidRPr="003D28A8">
        <w:rPr>
          <w:rFonts w:ascii="Times New Roman" w:hAnsi="Times New Roman" w:cs="Times New Roman"/>
          <w:sz w:val="28"/>
          <w:szCs w:val="28"/>
        </w:rPr>
        <w:t xml:space="preserve"> In principle, however, there may be an argument for saying that allowing the judge to make this ruling on the basis of observing the victim at trial is a shaky foundation for a ruling that may make a difference of years on the sentence. In some respects this reliance on the judge’s ability to take the measure of a victim raises a similar question to the finding that an offender is </w:t>
      </w:r>
      <w:r w:rsidR="00023849">
        <w:rPr>
          <w:rFonts w:ascii="Times New Roman" w:hAnsi="Times New Roman" w:cs="Times New Roman"/>
          <w:sz w:val="28"/>
          <w:szCs w:val="28"/>
        </w:rPr>
        <w:t>‘</w:t>
      </w:r>
      <w:r w:rsidRPr="003D28A8">
        <w:rPr>
          <w:rFonts w:ascii="Times New Roman" w:hAnsi="Times New Roman" w:cs="Times New Roman"/>
          <w:sz w:val="28"/>
          <w:szCs w:val="28"/>
        </w:rPr>
        <w:t>dangerous</w:t>
      </w:r>
      <w:r w:rsidR="00023849">
        <w:rPr>
          <w:rFonts w:ascii="Times New Roman" w:hAnsi="Times New Roman" w:cs="Times New Roman"/>
          <w:sz w:val="28"/>
          <w:szCs w:val="28"/>
        </w:rPr>
        <w:t>’</w:t>
      </w:r>
      <w:r w:rsidRPr="003D28A8">
        <w:rPr>
          <w:rFonts w:ascii="Times New Roman" w:hAnsi="Times New Roman" w:cs="Times New Roman"/>
          <w:sz w:val="28"/>
          <w:szCs w:val="28"/>
        </w:rPr>
        <w:t xml:space="preserve"> for the purposes of the </w:t>
      </w:r>
      <w:r w:rsidR="00AC7890">
        <w:rPr>
          <w:rFonts w:ascii="Times New Roman" w:hAnsi="Times New Roman" w:cs="Times New Roman"/>
          <w:sz w:val="28"/>
          <w:szCs w:val="28"/>
        </w:rPr>
        <w:t xml:space="preserve">indeterminate or extended sentence provisions. </w:t>
      </w:r>
      <w:r w:rsidRPr="003D28A8">
        <w:rPr>
          <w:rFonts w:ascii="Times New Roman" w:hAnsi="Times New Roman" w:cs="Times New Roman"/>
          <w:sz w:val="28"/>
          <w:szCs w:val="28"/>
        </w:rPr>
        <w:t>All the research that has been carried out on predictions of dangerousness, even by clinicians, suggests that predictions are wrong in at least half of all cases.</w:t>
      </w:r>
      <w:r w:rsidRPr="003D28A8">
        <w:rPr>
          <w:rStyle w:val="FootnoteReference"/>
          <w:rFonts w:ascii="Times New Roman" w:hAnsi="Times New Roman" w:cs="Times New Roman"/>
          <w:sz w:val="28"/>
          <w:szCs w:val="28"/>
        </w:rPr>
        <w:footnoteReference w:id="65"/>
      </w:r>
      <w:r w:rsidRPr="003D28A8">
        <w:rPr>
          <w:rFonts w:ascii="Times New Roman" w:hAnsi="Times New Roman" w:cs="Times New Roman"/>
          <w:sz w:val="28"/>
          <w:szCs w:val="28"/>
        </w:rPr>
        <w:t xml:space="preserve"> The coalition government of 2010 stated that </w:t>
      </w:r>
      <w:r w:rsidR="00921119">
        <w:rPr>
          <w:rFonts w:ascii="Times New Roman" w:hAnsi="Times New Roman" w:cs="Times New Roman"/>
          <w:sz w:val="28"/>
          <w:szCs w:val="28"/>
        </w:rPr>
        <w:t>‘</w:t>
      </w:r>
      <w:r w:rsidRPr="003D28A8">
        <w:rPr>
          <w:rFonts w:ascii="Times New Roman" w:hAnsi="Times New Roman" w:cs="Times New Roman"/>
          <w:sz w:val="28"/>
          <w:szCs w:val="28"/>
        </w:rPr>
        <w:t>the limitations of our ability to predict future serious offending … [call] into question the whole basis on which offenders are sentenced to</w:t>
      </w:r>
      <w:r w:rsidR="00921119">
        <w:rPr>
          <w:rFonts w:ascii="Times New Roman" w:hAnsi="Times New Roman" w:cs="Times New Roman"/>
          <w:sz w:val="28"/>
          <w:szCs w:val="28"/>
        </w:rPr>
        <w:t>’</w:t>
      </w:r>
      <w:r w:rsidRPr="003D28A8">
        <w:rPr>
          <w:rFonts w:ascii="Times New Roman" w:hAnsi="Times New Roman" w:cs="Times New Roman"/>
          <w:sz w:val="28"/>
          <w:szCs w:val="28"/>
        </w:rPr>
        <w:t xml:space="preserve"> indeterminate sentences.  </w:t>
      </w:r>
    </w:p>
    <w:p w14:paraId="634D1B87" w14:textId="77777777" w:rsidR="003D28A8" w:rsidRPr="003D28A8" w:rsidRDefault="003D28A8" w:rsidP="006C3028">
      <w:pPr>
        <w:spacing w:line="360" w:lineRule="auto"/>
        <w:rPr>
          <w:rFonts w:ascii="Times New Roman" w:hAnsi="Times New Roman" w:cs="Times New Roman"/>
          <w:sz w:val="28"/>
          <w:szCs w:val="28"/>
        </w:rPr>
      </w:pPr>
    </w:p>
    <w:p w14:paraId="2025EFDF" w14:textId="535D8228" w:rsidR="003D28A8" w:rsidRDefault="00DF4679" w:rsidP="006C3028">
      <w:pPr>
        <w:spacing w:line="360" w:lineRule="auto"/>
        <w:rPr>
          <w:rFonts w:ascii="Times New Roman" w:hAnsi="Times New Roman" w:cs="Times New Roman"/>
          <w:sz w:val="28"/>
          <w:szCs w:val="28"/>
        </w:rPr>
      </w:pPr>
      <w:r>
        <w:rPr>
          <w:rFonts w:ascii="Times New Roman" w:hAnsi="Times New Roman" w:cs="Times New Roman"/>
          <w:sz w:val="28"/>
          <w:szCs w:val="28"/>
        </w:rPr>
        <w:t>Thir</w:t>
      </w:r>
      <w:r w:rsidR="003D28A8" w:rsidRPr="003D28A8">
        <w:rPr>
          <w:rFonts w:ascii="Times New Roman" w:hAnsi="Times New Roman" w:cs="Times New Roman"/>
          <w:sz w:val="28"/>
          <w:szCs w:val="28"/>
        </w:rPr>
        <w:t>dly, as we saw earlier,</w:t>
      </w:r>
      <w:r w:rsidR="00023849">
        <w:rPr>
          <w:rFonts w:ascii="Times New Roman" w:hAnsi="Times New Roman" w:cs="Times New Roman"/>
          <w:sz w:val="28"/>
          <w:szCs w:val="28"/>
        </w:rPr>
        <w:t xml:space="preserve"> </w:t>
      </w:r>
      <w:r w:rsidR="003D28A8" w:rsidRPr="003D28A8">
        <w:rPr>
          <w:rFonts w:ascii="Times New Roman" w:hAnsi="Times New Roman" w:cs="Times New Roman"/>
          <w:sz w:val="28"/>
          <w:szCs w:val="28"/>
        </w:rPr>
        <w:t xml:space="preserve">there is a strong argument that aggravating factors should be proved by the prosecution beyond reasonable doubt, and the same line of reasoning would support a requirement that the judge should be satisfied beyond reasonable doubt when deciding that a </w:t>
      </w:r>
      <w:r w:rsidR="00000A1F">
        <w:rPr>
          <w:rFonts w:ascii="Times New Roman" w:hAnsi="Times New Roman" w:cs="Times New Roman"/>
          <w:sz w:val="28"/>
          <w:szCs w:val="28"/>
        </w:rPr>
        <w:t>‘</w:t>
      </w:r>
      <w:r w:rsidR="003D28A8" w:rsidRPr="003D28A8">
        <w:rPr>
          <w:rFonts w:ascii="Times New Roman" w:hAnsi="Times New Roman" w:cs="Times New Roman"/>
          <w:sz w:val="28"/>
          <w:szCs w:val="28"/>
        </w:rPr>
        <w:t>harm</w:t>
      </w:r>
      <w:r w:rsidR="00000A1F">
        <w:rPr>
          <w:rFonts w:ascii="Times New Roman" w:hAnsi="Times New Roman" w:cs="Times New Roman"/>
          <w:sz w:val="28"/>
          <w:szCs w:val="28"/>
        </w:rPr>
        <w:t>’</w:t>
      </w:r>
      <w:r w:rsidR="003D28A8" w:rsidRPr="003D28A8">
        <w:rPr>
          <w:rFonts w:ascii="Times New Roman" w:hAnsi="Times New Roman" w:cs="Times New Roman"/>
          <w:sz w:val="28"/>
          <w:szCs w:val="28"/>
        </w:rPr>
        <w:t xml:space="preserve"> factor within Step 1 of a guideline is made out. Certainly, in those cases where </w:t>
      </w:r>
      <w:r w:rsidR="00000A1F">
        <w:rPr>
          <w:rFonts w:ascii="Times New Roman" w:hAnsi="Times New Roman" w:cs="Times New Roman"/>
          <w:sz w:val="28"/>
          <w:szCs w:val="28"/>
        </w:rPr>
        <w:t>‘</w:t>
      </w:r>
      <w:r w:rsidR="003D28A8" w:rsidRPr="003D28A8">
        <w:rPr>
          <w:rFonts w:ascii="Times New Roman" w:hAnsi="Times New Roman" w:cs="Times New Roman"/>
          <w:sz w:val="28"/>
          <w:szCs w:val="28"/>
        </w:rPr>
        <w:t>severe psychological harm</w:t>
      </w:r>
      <w:r w:rsidR="00000A1F">
        <w:rPr>
          <w:rFonts w:ascii="Times New Roman" w:hAnsi="Times New Roman" w:cs="Times New Roman"/>
          <w:sz w:val="28"/>
          <w:szCs w:val="28"/>
        </w:rPr>
        <w:t>’</w:t>
      </w:r>
      <w:r w:rsidR="003D28A8" w:rsidRPr="003D28A8">
        <w:rPr>
          <w:rFonts w:ascii="Times New Roman" w:hAnsi="Times New Roman" w:cs="Times New Roman"/>
          <w:sz w:val="28"/>
          <w:szCs w:val="28"/>
        </w:rPr>
        <w:t xml:space="preserve"> or the equivalent is a possible aggravating factor at Step 2 of an offence guideline, we have sought to argue that the judge should be satisfied beyond reasonable doubt.</w:t>
      </w:r>
    </w:p>
    <w:p w14:paraId="6A701214" w14:textId="77777777" w:rsidR="00000A1F" w:rsidRPr="003D28A8" w:rsidRDefault="00000A1F" w:rsidP="006C3028">
      <w:pPr>
        <w:spacing w:line="360" w:lineRule="auto"/>
        <w:rPr>
          <w:rFonts w:ascii="Times New Roman" w:hAnsi="Times New Roman" w:cs="Times New Roman"/>
          <w:sz w:val="28"/>
          <w:szCs w:val="28"/>
        </w:rPr>
      </w:pPr>
    </w:p>
    <w:p w14:paraId="687281D3" w14:textId="77777777" w:rsidR="003D28A8" w:rsidRPr="003D28A8" w:rsidRDefault="003D28A8" w:rsidP="006C3028">
      <w:pPr>
        <w:spacing w:line="360" w:lineRule="auto"/>
        <w:rPr>
          <w:rFonts w:ascii="Times New Roman" w:hAnsi="Times New Roman" w:cs="Times New Roman"/>
          <w:sz w:val="28"/>
          <w:szCs w:val="28"/>
        </w:rPr>
      </w:pPr>
    </w:p>
    <w:p w14:paraId="0BEB5F76" w14:textId="76DE3ECF" w:rsidR="00CB6C20" w:rsidRPr="003D28A8" w:rsidRDefault="000B26D1" w:rsidP="006C3028">
      <w:pPr>
        <w:spacing w:line="360" w:lineRule="auto"/>
        <w:rPr>
          <w:rFonts w:ascii="Times New Roman" w:hAnsi="Times New Roman" w:cs="Times New Roman"/>
          <w:b/>
          <w:sz w:val="28"/>
          <w:szCs w:val="28"/>
        </w:rPr>
      </w:pPr>
      <w:r>
        <w:rPr>
          <w:rFonts w:ascii="Times New Roman" w:hAnsi="Times New Roman" w:cs="Times New Roman"/>
          <w:b/>
          <w:sz w:val="28"/>
          <w:szCs w:val="28"/>
        </w:rPr>
        <w:t>FACT</w:t>
      </w:r>
      <w:r w:rsidR="00CB6C20" w:rsidRPr="003D28A8">
        <w:rPr>
          <w:rFonts w:ascii="Times New Roman" w:hAnsi="Times New Roman" w:cs="Times New Roman"/>
          <w:b/>
          <w:sz w:val="28"/>
          <w:szCs w:val="28"/>
        </w:rPr>
        <w:t xml:space="preserve"> DETERMINATION BY JUDGES</w:t>
      </w:r>
    </w:p>
    <w:p w14:paraId="5FB9E33E" w14:textId="77777777" w:rsidR="00CB6C20" w:rsidRPr="003D28A8" w:rsidRDefault="00CB6C20" w:rsidP="006C3028">
      <w:pPr>
        <w:spacing w:line="360" w:lineRule="auto"/>
        <w:rPr>
          <w:rFonts w:ascii="Times New Roman" w:hAnsi="Times New Roman" w:cs="Times New Roman"/>
          <w:b/>
          <w:sz w:val="28"/>
          <w:szCs w:val="28"/>
        </w:rPr>
      </w:pPr>
    </w:p>
    <w:p w14:paraId="50205EAE" w14:textId="77777777" w:rsidR="0066290C" w:rsidRDefault="000B26D1" w:rsidP="006C3028">
      <w:pPr>
        <w:spacing w:line="360" w:lineRule="auto"/>
        <w:rPr>
          <w:rFonts w:ascii="Times New Roman" w:hAnsi="Times New Roman" w:cs="Times New Roman"/>
          <w:sz w:val="28"/>
          <w:szCs w:val="28"/>
        </w:rPr>
      </w:pPr>
      <w:r>
        <w:rPr>
          <w:rFonts w:ascii="Times New Roman" w:hAnsi="Times New Roman" w:cs="Times New Roman"/>
          <w:sz w:val="28"/>
          <w:szCs w:val="28"/>
        </w:rPr>
        <w:t>In this article we have sought to follow through on David Thomas’ insights on the importance of establishing the factual basis for sentencing and on the importance of adhering to what he termed ‘proper’ evidential and procedural principles. These insight</w:t>
      </w:r>
      <w:r w:rsidR="00A132E1">
        <w:rPr>
          <w:rFonts w:ascii="Times New Roman" w:hAnsi="Times New Roman" w:cs="Times New Roman"/>
          <w:sz w:val="28"/>
          <w:szCs w:val="28"/>
        </w:rPr>
        <w:t>s</w:t>
      </w:r>
      <w:r>
        <w:rPr>
          <w:rFonts w:ascii="Times New Roman" w:hAnsi="Times New Roman" w:cs="Times New Roman"/>
          <w:sz w:val="28"/>
          <w:szCs w:val="28"/>
        </w:rPr>
        <w:t xml:space="preserve"> </w:t>
      </w:r>
      <w:r w:rsidR="00371EF0">
        <w:rPr>
          <w:rFonts w:ascii="Times New Roman" w:hAnsi="Times New Roman" w:cs="Times New Roman"/>
          <w:sz w:val="28"/>
          <w:szCs w:val="28"/>
        </w:rPr>
        <w:t>are as</w:t>
      </w:r>
      <w:r>
        <w:rPr>
          <w:rFonts w:ascii="Times New Roman" w:hAnsi="Times New Roman" w:cs="Times New Roman"/>
          <w:sz w:val="28"/>
          <w:szCs w:val="28"/>
        </w:rPr>
        <w:t xml:space="preserve"> valid </w:t>
      </w:r>
      <w:r w:rsidR="00371EF0">
        <w:rPr>
          <w:rFonts w:ascii="Times New Roman" w:hAnsi="Times New Roman" w:cs="Times New Roman"/>
          <w:sz w:val="28"/>
          <w:szCs w:val="28"/>
        </w:rPr>
        <w:t xml:space="preserve">now, </w:t>
      </w:r>
      <w:r>
        <w:rPr>
          <w:rFonts w:ascii="Times New Roman" w:hAnsi="Times New Roman" w:cs="Times New Roman"/>
          <w:sz w:val="28"/>
          <w:szCs w:val="28"/>
        </w:rPr>
        <w:t xml:space="preserve">in </w:t>
      </w:r>
      <w:r w:rsidR="00371EF0">
        <w:rPr>
          <w:rFonts w:ascii="Times New Roman" w:hAnsi="Times New Roman" w:cs="Times New Roman"/>
          <w:sz w:val="28"/>
          <w:szCs w:val="28"/>
        </w:rPr>
        <w:t>an</w:t>
      </w:r>
      <w:r>
        <w:rPr>
          <w:rFonts w:ascii="Times New Roman" w:hAnsi="Times New Roman" w:cs="Times New Roman"/>
          <w:sz w:val="28"/>
          <w:szCs w:val="28"/>
        </w:rPr>
        <w:t xml:space="preserve"> era </w:t>
      </w:r>
      <w:r w:rsidR="00371EF0">
        <w:rPr>
          <w:rFonts w:ascii="Times New Roman" w:hAnsi="Times New Roman" w:cs="Times New Roman"/>
          <w:sz w:val="28"/>
          <w:szCs w:val="28"/>
        </w:rPr>
        <w:t>dominated by</w:t>
      </w:r>
      <w:r>
        <w:rPr>
          <w:rFonts w:ascii="Times New Roman" w:hAnsi="Times New Roman" w:cs="Times New Roman"/>
          <w:sz w:val="28"/>
          <w:szCs w:val="28"/>
        </w:rPr>
        <w:t xml:space="preserve"> sentencing guidelines, </w:t>
      </w:r>
      <w:r w:rsidR="00371EF0">
        <w:rPr>
          <w:rFonts w:ascii="Times New Roman" w:hAnsi="Times New Roman" w:cs="Times New Roman"/>
          <w:sz w:val="28"/>
          <w:szCs w:val="28"/>
        </w:rPr>
        <w:t xml:space="preserve">as they were in the 1970s. However, </w:t>
      </w:r>
      <w:r>
        <w:rPr>
          <w:rFonts w:ascii="Times New Roman" w:hAnsi="Times New Roman" w:cs="Times New Roman"/>
          <w:sz w:val="28"/>
          <w:szCs w:val="28"/>
        </w:rPr>
        <w:t xml:space="preserve">we have demonstrated that the Sentencing Council’s guidelines contain hardly any guidance on burdens and standards of proof, or on the relevance of other evidential principles, or on procedures for resolving factual disputes relevant to sentencing. </w:t>
      </w:r>
      <w:r w:rsidR="002F15DF">
        <w:rPr>
          <w:rFonts w:ascii="Times New Roman" w:hAnsi="Times New Roman" w:cs="Times New Roman"/>
          <w:sz w:val="28"/>
          <w:szCs w:val="28"/>
        </w:rPr>
        <w:t xml:space="preserve">Most of the available guidance on these matters stems from decisions of the Court of Appeal.  Building on major judgments in cases such as </w:t>
      </w:r>
      <w:r w:rsidR="002F15DF">
        <w:rPr>
          <w:rFonts w:ascii="Times New Roman" w:hAnsi="Times New Roman" w:cs="Times New Roman"/>
          <w:i/>
          <w:sz w:val="28"/>
          <w:szCs w:val="28"/>
        </w:rPr>
        <w:t>Robinson</w:t>
      </w:r>
      <w:r w:rsidR="002F15DF">
        <w:rPr>
          <w:rFonts w:ascii="Times New Roman" w:hAnsi="Times New Roman" w:cs="Times New Roman"/>
          <w:sz w:val="28"/>
          <w:szCs w:val="28"/>
        </w:rPr>
        <w:t>,</w:t>
      </w:r>
      <w:r w:rsidR="002F15DF">
        <w:rPr>
          <w:rStyle w:val="FootnoteReference"/>
          <w:rFonts w:ascii="Times New Roman" w:hAnsi="Times New Roman" w:cs="Times New Roman"/>
          <w:sz w:val="28"/>
          <w:szCs w:val="28"/>
        </w:rPr>
        <w:footnoteReference w:id="66"/>
      </w:r>
      <w:r w:rsidR="002F15DF">
        <w:rPr>
          <w:rFonts w:ascii="Times New Roman" w:hAnsi="Times New Roman" w:cs="Times New Roman"/>
          <w:sz w:val="28"/>
          <w:szCs w:val="28"/>
        </w:rPr>
        <w:t xml:space="preserve"> </w:t>
      </w:r>
      <w:r w:rsidR="002F15DF">
        <w:rPr>
          <w:rFonts w:ascii="Times New Roman" w:hAnsi="Times New Roman" w:cs="Times New Roman"/>
          <w:i/>
          <w:sz w:val="28"/>
          <w:szCs w:val="28"/>
        </w:rPr>
        <w:t>Lester</w:t>
      </w:r>
      <w:r w:rsidR="002F15DF">
        <w:rPr>
          <w:rFonts w:ascii="Times New Roman" w:hAnsi="Times New Roman" w:cs="Times New Roman"/>
          <w:sz w:val="28"/>
          <w:szCs w:val="28"/>
        </w:rPr>
        <w:t>,</w:t>
      </w:r>
      <w:r w:rsidR="002F15DF">
        <w:rPr>
          <w:rStyle w:val="FootnoteReference"/>
          <w:rFonts w:ascii="Times New Roman" w:hAnsi="Times New Roman" w:cs="Times New Roman"/>
          <w:sz w:val="28"/>
          <w:szCs w:val="28"/>
        </w:rPr>
        <w:footnoteReference w:id="67"/>
      </w:r>
      <w:r w:rsidR="002F15DF">
        <w:rPr>
          <w:rFonts w:ascii="Times New Roman" w:hAnsi="Times New Roman" w:cs="Times New Roman"/>
          <w:sz w:val="28"/>
          <w:szCs w:val="28"/>
        </w:rPr>
        <w:t xml:space="preserve"> </w:t>
      </w:r>
      <w:r w:rsidR="002F15DF">
        <w:rPr>
          <w:rFonts w:ascii="Times New Roman" w:hAnsi="Times New Roman" w:cs="Times New Roman"/>
          <w:i/>
          <w:sz w:val="28"/>
          <w:szCs w:val="28"/>
        </w:rPr>
        <w:t>Newton</w:t>
      </w:r>
      <w:r w:rsidR="002F15DF">
        <w:rPr>
          <w:rFonts w:ascii="Times New Roman" w:hAnsi="Times New Roman" w:cs="Times New Roman"/>
          <w:sz w:val="28"/>
          <w:szCs w:val="28"/>
        </w:rPr>
        <w:t>,</w:t>
      </w:r>
      <w:r w:rsidR="002F15DF">
        <w:rPr>
          <w:rStyle w:val="FootnoteReference"/>
          <w:rFonts w:ascii="Times New Roman" w:hAnsi="Times New Roman" w:cs="Times New Roman"/>
          <w:sz w:val="28"/>
          <w:szCs w:val="28"/>
        </w:rPr>
        <w:footnoteReference w:id="68"/>
      </w:r>
      <w:r w:rsidR="002F15DF">
        <w:rPr>
          <w:rFonts w:ascii="Times New Roman" w:hAnsi="Times New Roman" w:cs="Times New Roman"/>
          <w:sz w:val="28"/>
          <w:szCs w:val="28"/>
        </w:rPr>
        <w:t xml:space="preserve"> and </w:t>
      </w:r>
      <w:r w:rsidR="002F15DF">
        <w:rPr>
          <w:rFonts w:ascii="Times New Roman" w:hAnsi="Times New Roman" w:cs="Times New Roman"/>
          <w:i/>
          <w:sz w:val="28"/>
          <w:szCs w:val="28"/>
        </w:rPr>
        <w:t>Guppy and Marsh,</w:t>
      </w:r>
      <w:r w:rsidR="002F15DF" w:rsidRPr="00847709">
        <w:rPr>
          <w:rStyle w:val="FootnoteReference"/>
          <w:rFonts w:ascii="Times New Roman" w:hAnsi="Times New Roman" w:cs="Times New Roman"/>
          <w:sz w:val="28"/>
          <w:szCs w:val="28"/>
        </w:rPr>
        <w:footnoteReference w:id="69"/>
      </w:r>
      <w:r w:rsidR="002F15DF">
        <w:rPr>
          <w:rFonts w:ascii="Times New Roman" w:hAnsi="Times New Roman" w:cs="Times New Roman"/>
          <w:sz w:val="28"/>
          <w:szCs w:val="28"/>
        </w:rPr>
        <w:t xml:space="preserve"> the courts have developed judicial principles that substantially mirror the principles for which Thomas argued. </w:t>
      </w:r>
    </w:p>
    <w:p w14:paraId="2EE07188" w14:textId="77777777" w:rsidR="0066290C" w:rsidRDefault="0066290C" w:rsidP="006C3028">
      <w:pPr>
        <w:spacing w:line="360" w:lineRule="auto"/>
        <w:rPr>
          <w:rFonts w:ascii="Times New Roman" w:hAnsi="Times New Roman" w:cs="Times New Roman"/>
          <w:sz w:val="28"/>
          <w:szCs w:val="28"/>
        </w:rPr>
      </w:pPr>
    </w:p>
    <w:p w14:paraId="73702E2B" w14:textId="77777777" w:rsidR="0066290C" w:rsidRDefault="002F15DF" w:rsidP="006C3028">
      <w:pPr>
        <w:spacing w:line="360" w:lineRule="auto"/>
        <w:rPr>
          <w:rFonts w:ascii="Times New Roman" w:hAnsi="Times New Roman" w:cs="Times New Roman"/>
          <w:sz w:val="28"/>
          <w:szCs w:val="28"/>
        </w:rPr>
      </w:pPr>
      <w:r>
        <w:rPr>
          <w:rFonts w:ascii="Times New Roman" w:hAnsi="Times New Roman" w:cs="Times New Roman"/>
          <w:sz w:val="28"/>
          <w:szCs w:val="28"/>
        </w:rPr>
        <w:t xml:space="preserve">In brief, it should now be clear that the court must be satisfied beyond reasonable doubt of the existence of the harm and culpability factors that it takes into account at Step 1 of an offence guideline, and it should also be satisfied beyond reasonable doubt of the existence of the aggravating and mitigating factors it takes into account at Step 2 of an offence guideline, except in relation to matters of ‘extraneous mitigation’ that are purely personal and not connected to the seriousness of the offence, which the defence bears the burden of proving on a balance of probabilities. In order to determine these matters, the court will (under certain conditions) hold a </w:t>
      </w:r>
      <w:r>
        <w:rPr>
          <w:rFonts w:ascii="Times New Roman" w:hAnsi="Times New Roman" w:cs="Times New Roman"/>
          <w:i/>
          <w:sz w:val="28"/>
          <w:szCs w:val="28"/>
        </w:rPr>
        <w:t xml:space="preserve">Newton </w:t>
      </w:r>
      <w:r>
        <w:rPr>
          <w:rFonts w:ascii="Times New Roman" w:hAnsi="Times New Roman" w:cs="Times New Roman"/>
          <w:sz w:val="28"/>
          <w:szCs w:val="28"/>
        </w:rPr>
        <w:t xml:space="preserve">hearing, at which evidence is given on sentence-related matters of dispute between prosecution and defence, and after which the judge must decide whether issues have been proved to the required standard. </w:t>
      </w:r>
      <w:r w:rsidR="00C31D26">
        <w:rPr>
          <w:rFonts w:ascii="Times New Roman" w:hAnsi="Times New Roman" w:cs="Times New Roman"/>
          <w:sz w:val="28"/>
          <w:szCs w:val="28"/>
        </w:rPr>
        <w:t xml:space="preserve">As we have seen, the statutory aggravating factors require the court to treat the offence as being more serious and to make a statement in open court as to its effect. If disputed by the defence, this matter will usually require a </w:t>
      </w:r>
      <w:r w:rsidR="00C31D26" w:rsidRPr="00C31D26">
        <w:rPr>
          <w:rFonts w:ascii="Times New Roman" w:hAnsi="Times New Roman" w:cs="Times New Roman"/>
          <w:i/>
          <w:sz w:val="28"/>
          <w:szCs w:val="28"/>
        </w:rPr>
        <w:t>Newton</w:t>
      </w:r>
      <w:r w:rsidR="00C31D26">
        <w:rPr>
          <w:rFonts w:ascii="Times New Roman" w:hAnsi="Times New Roman" w:cs="Times New Roman"/>
          <w:sz w:val="28"/>
          <w:szCs w:val="28"/>
        </w:rPr>
        <w:t xml:space="preserve"> hearing and hence proof to the criminal standard.</w:t>
      </w:r>
      <w:r>
        <w:rPr>
          <w:rFonts w:ascii="Times New Roman" w:hAnsi="Times New Roman" w:cs="Times New Roman"/>
          <w:sz w:val="28"/>
          <w:szCs w:val="28"/>
        </w:rPr>
        <w:t xml:space="preserve"> No relevant distinction can be drawn between </w:t>
      </w:r>
      <w:r w:rsidR="00C31D26">
        <w:rPr>
          <w:rFonts w:ascii="Times New Roman" w:hAnsi="Times New Roman" w:cs="Times New Roman"/>
          <w:sz w:val="28"/>
          <w:szCs w:val="28"/>
        </w:rPr>
        <w:t>statutory and non-statutory aggravating factors</w:t>
      </w:r>
      <w:r>
        <w:rPr>
          <w:rFonts w:ascii="Times New Roman" w:hAnsi="Times New Roman" w:cs="Times New Roman"/>
          <w:sz w:val="28"/>
          <w:szCs w:val="28"/>
        </w:rPr>
        <w:t xml:space="preserve"> in this context</w:t>
      </w:r>
      <w:r w:rsidR="00C31D26">
        <w:rPr>
          <w:rFonts w:ascii="Times New Roman" w:hAnsi="Times New Roman" w:cs="Times New Roman"/>
          <w:sz w:val="28"/>
          <w:szCs w:val="28"/>
        </w:rPr>
        <w:t>.</w:t>
      </w:r>
    </w:p>
    <w:p w14:paraId="058F31C3" w14:textId="77777777" w:rsidR="0094668F" w:rsidRDefault="0094668F" w:rsidP="006C3028">
      <w:pPr>
        <w:spacing w:line="360" w:lineRule="auto"/>
        <w:rPr>
          <w:rFonts w:ascii="Times New Roman" w:hAnsi="Times New Roman" w:cs="Times New Roman"/>
          <w:sz w:val="28"/>
          <w:szCs w:val="28"/>
        </w:rPr>
      </w:pPr>
    </w:p>
    <w:p w14:paraId="581E1144" w14:textId="3A04DE1A" w:rsidR="0094668F" w:rsidRPr="009C35BE" w:rsidRDefault="0094668F" w:rsidP="006C3028">
      <w:pPr>
        <w:spacing w:line="360" w:lineRule="auto"/>
        <w:rPr>
          <w:rFonts w:ascii="Times New Roman" w:hAnsi="Times New Roman" w:cs="Times New Roman"/>
          <w:sz w:val="28"/>
          <w:szCs w:val="28"/>
        </w:rPr>
      </w:pPr>
      <w:r w:rsidRPr="003D28A8">
        <w:rPr>
          <w:rFonts w:ascii="Times New Roman" w:hAnsi="Times New Roman" w:cs="Times New Roman"/>
          <w:sz w:val="28"/>
          <w:szCs w:val="28"/>
        </w:rPr>
        <w:t xml:space="preserve">Judges receive </w:t>
      </w:r>
      <w:r w:rsidR="008D2863">
        <w:rPr>
          <w:rFonts w:ascii="Times New Roman" w:hAnsi="Times New Roman" w:cs="Times New Roman"/>
          <w:sz w:val="28"/>
          <w:szCs w:val="28"/>
        </w:rPr>
        <w:t xml:space="preserve">little </w:t>
      </w:r>
      <w:r w:rsidRPr="003D28A8">
        <w:rPr>
          <w:rFonts w:ascii="Times New Roman" w:hAnsi="Times New Roman" w:cs="Times New Roman"/>
          <w:sz w:val="28"/>
          <w:szCs w:val="28"/>
        </w:rPr>
        <w:t xml:space="preserve">training </w:t>
      </w:r>
      <w:r w:rsidR="008D2863">
        <w:rPr>
          <w:rFonts w:ascii="Times New Roman" w:hAnsi="Times New Roman" w:cs="Times New Roman"/>
          <w:sz w:val="28"/>
          <w:szCs w:val="28"/>
        </w:rPr>
        <w:t xml:space="preserve">in the assessment and </w:t>
      </w:r>
      <w:r w:rsidRPr="003D28A8">
        <w:rPr>
          <w:rFonts w:ascii="Times New Roman" w:hAnsi="Times New Roman" w:cs="Times New Roman"/>
          <w:sz w:val="28"/>
          <w:szCs w:val="28"/>
        </w:rPr>
        <w:t>determination</w:t>
      </w:r>
      <w:r w:rsidR="008D2863">
        <w:rPr>
          <w:rFonts w:ascii="Times New Roman" w:hAnsi="Times New Roman" w:cs="Times New Roman"/>
          <w:sz w:val="28"/>
          <w:szCs w:val="28"/>
        </w:rPr>
        <w:t xml:space="preserve"> of</w:t>
      </w:r>
      <w:r w:rsidR="003048EE">
        <w:rPr>
          <w:rFonts w:ascii="Times New Roman" w:hAnsi="Times New Roman" w:cs="Times New Roman"/>
          <w:sz w:val="28"/>
          <w:szCs w:val="28"/>
        </w:rPr>
        <w:t xml:space="preserve"> </w:t>
      </w:r>
      <w:r w:rsidR="008D2863">
        <w:rPr>
          <w:rFonts w:ascii="Times New Roman" w:hAnsi="Times New Roman" w:cs="Times New Roman"/>
          <w:sz w:val="28"/>
          <w:szCs w:val="28"/>
        </w:rPr>
        <w:t>facts</w:t>
      </w:r>
      <w:r>
        <w:rPr>
          <w:rFonts w:ascii="Times New Roman" w:hAnsi="Times New Roman" w:cs="Times New Roman"/>
          <w:sz w:val="28"/>
          <w:szCs w:val="28"/>
        </w:rPr>
        <w:t xml:space="preserve">, yet this is their task </w:t>
      </w:r>
      <w:r w:rsidR="008D2863">
        <w:rPr>
          <w:rFonts w:ascii="Times New Roman" w:hAnsi="Times New Roman" w:cs="Times New Roman"/>
          <w:sz w:val="28"/>
          <w:szCs w:val="28"/>
        </w:rPr>
        <w:t>on many occasions</w:t>
      </w:r>
      <w:r>
        <w:rPr>
          <w:rFonts w:ascii="Times New Roman" w:hAnsi="Times New Roman" w:cs="Times New Roman"/>
          <w:sz w:val="28"/>
          <w:szCs w:val="28"/>
        </w:rPr>
        <w:t xml:space="preserve">. </w:t>
      </w:r>
      <w:r w:rsidR="008D2863" w:rsidRPr="003D28A8">
        <w:rPr>
          <w:rFonts w:ascii="Times New Roman" w:hAnsi="Times New Roman" w:cs="Times New Roman"/>
          <w:sz w:val="28"/>
          <w:szCs w:val="28"/>
        </w:rPr>
        <w:t xml:space="preserve">In the context of </w:t>
      </w:r>
      <w:r w:rsidR="008D2863">
        <w:rPr>
          <w:rFonts w:ascii="Times New Roman" w:hAnsi="Times New Roman" w:cs="Times New Roman"/>
          <w:sz w:val="28"/>
          <w:szCs w:val="28"/>
        </w:rPr>
        <w:t xml:space="preserve">a </w:t>
      </w:r>
      <w:r w:rsidR="008D2863" w:rsidRPr="003D28A8">
        <w:rPr>
          <w:rFonts w:ascii="Times New Roman" w:hAnsi="Times New Roman" w:cs="Times New Roman"/>
          <w:sz w:val="28"/>
          <w:szCs w:val="28"/>
        </w:rPr>
        <w:t xml:space="preserve">summing up it is often assumed that it is the legal directions </w:t>
      </w:r>
      <w:r w:rsidR="008D2863">
        <w:rPr>
          <w:rFonts w:ascii="Times New Roman" w:hAnsi="Times New Roman" w:cs="Times New Roman"/>
          <w:sz w:val="28"/>
          <w:szCs w:val="28"/>
        </w:rPr>
        <w:t>that</w:t>
      </w:r>
      <w:r w:rsidR="008D2863" w:rsidRPr="003D28A8">
        <w:rPr>
          <w:rFonts w:ascii="Times New Roman" w:hAnsi="Times New Roman" w:cs="Times New Roman"/>
          <w:sz w:val="28"/>
          <w:szCs w:val="28"/>
        </w:rPr>
        <w:t xml:space="preserve"> will require most preparation</w:t>
      </w:r>
      <w:r w:rsidR="008D2863">
        <w:rPr>
          <w:rFonts w:ascii="Times New Roman" w:hAnsi="Times New Roman" w:cs="Times New Roman"/>
          <w:sz w:val="28"/>
          <w:szCs w:val="28"/>
        </w:rPr>
        <w:t xml:space="preserve"> by the judge</w:t>
      </w:r>
      <w:r w:rsidR="008D2863" w:rsidRPr="003D28A8">
        <w:rPr>
          <w:rFonts w:ascii="Times New Roman" w:hAnsi="Times New Roman" w:cs="Times New Roman"/>
          <w:sz w:val="28"/>
          <w:szCs w:val="28"/>
        </w:rPr>
        <w:t xml:space="preserve">, whereas the position now is that standard legal directions are readily available </w:t>
      </w:r>
      <w:r w:rsidR="003048EE">
        <w:rPr>
          <w:rFonts w:ascii="Times New Roman" w:hAnsi="Times New Roman" w:cs="Times New Roman"/>
          <w:sz w:val="28"/>
          <w:szCs w:val="28"/>
        </w:rPr>
        <w:t xml:space="preserve">from the </w:t>
      </w:r>
      <w:r w:rsidR="003048EE" w:rsidRPr="003048EE">
        <w:rPr>
          <w:rFonts w:ascii="Times New Roman" w:hAnsi="Times New Roman" w:cs="Times New Roman"/>
          <w:i/>
          <w:sz w:val="28"/>
          <w:szCs w:val="28"/>
        </w:rPr>
        <w:t>Crown Court Compendium</w:t>
      </w:r>
      <w:r w:rsidR="003048EE">
        <w:rPr>
          <w:rFonts w:ascii="Times New Roman" w:hAnsi="Times New Roman" w:cs="Times New Roman"/>
          <w:sz w:val="28"/>
          <w:szCs w:val="28"/>
        </w:rPr>
        <w:t xml:space="preserve"> </w:t>
      </w:r>
      <w:r w:rsidR="008D2863" w:rsidRPr="003D28A8">
        <w:rPr>
          <w:rFonts w:ascii="Times New Roman" w:hAnsi="Times New Roman" w:cs="Times New Roman"/>
          <w:sz w:val="28"/>
          <w:szCs w:val="28"/>
        </w:rPr>
        <w:t>and can usually be adapted without much difficulty to suit the circumstances of the instant case.</w:t>
      </w:r>
      <w:r w:rsidR="008D2863">
        <w:rPr>
          <w:rFonts w:ascii="Times New Roman" w:hAnsi="Times New Roman" w:cs="Times New Roman"/>
          <w:sz w:val="28"/>
          <w:szCs w:val="28"/>
        </w:rPr>
        <w:t xml:space="preserve"> </w:t>
      </w:r>
      <w:r w:rsidR="008D2863" w:rsidRPr="003D28A8">
        <w:rPr>
          <w:rFonts w:ascii="Times New Roman" w:hAnsi="Times New Roman" w:cs="Times New Roman"/>
          <w:sz w:val="28"/>
          <w:szCs w:val="28"/>
        </w:rPr>
        <w:t xml:space="preserve">It is the assimilation and coherent exposition </w:t>
      </w:r>
      <w:r w:rsidR="008D2863">
        <w:rPr>
          <w:rFonts w:ascii="Times New Roman" w:hAnsi="Times New Roman" w:cs="Times New Roman"/>
          <w:sz w:val="28"/>
          <w:szCs w:val="28"/>
        </w:rPr>
        <w:t>o</w:t>
      </w:r>
      <w:r w:rsidR="008D2863" w:rsidRPr="003D28A8">
        <w:rPr>
          <w:rFonts w:ascii="Times New Roman" w:hAnsi="Times New Roman" w:cs="Times New Roman"/>
          <w:sz w:val="28"/>
          <w:szCs w:val="28"/>
        </w:rPr>
        <w:t>f disputed facts to assist the jury which is often more demanding of judicial time and thought than the legal directions.</w:t>
      </w:r>
      <w:r w:rsidR="008D2863">
        <w:rPr>
          <w:rFonts w:ascii="Times New Roman" w:hAnsi="Times New Roman" w:cs="Times New Roman"/>
          <w:sz w:val="28"/>
          <w:szCs w:val="28"/>
        </w:rPr>
        <w:t xml:space="preserve"> </w:t>
      </w:r>
      <w:r>
        <w:rPr>
          <w:rFonts w:ascii="Times New Roman" w:hAnsi="Times New Roman" w:cs="Times New Roman"/>
          <w:sz w:val="28"/>
          <w:szCs w:val="28"/>
        </w:rPr>
        <w:t>A</w:t>
      </w:r>
      <w:r w:rsidR="008D2863">
        <w:rPr>
          <w:rFonts w:ascii="Times New Roman" w:hAnsi="Times New Roman" w:cs="Times New Roman"/>
          <w:sz w:val="28"/>
          <w:szCs w:val="28"/>
        </w:rPr>
        <w:t>t the sentencing stage, a</w:t>
      </w:r>
      <w:r>
        <w:rPr>
          <w:rFonts w:ascii="Times New Roman" w:hAnsi="Times New Roman" w:cs="Times New Roman"/>
          <w:sz w:val="28"/>
          <w:szCs w:val="28"/>
        </w:rPr>
        <w:t xml:space="preserve">s we demonstrated earlier, where one of the various forms of hostility against V is treated as an aggravating factor in sentencing, it is the judge who must undertake the factual determination. The same applies whenever a </w:t>
      </w:r>
      <w:r>
        <w:rPr>
          <w:rFonts w:ascii="Times New Roman" w:hAnsi="Times New Roman" w:cs="Times New Roman"/>
          <w:i/>
          <w:sz w:val="28"/>
          <w:szCs w:val="28"/>
        </w:rPr>
        <w:t xml:space="preserve">Newton </w:t>
      </w:r>
      <w:r>
        <w:rPr>
          <w:rFonts w:ascii="Times New Roman" w:hAnsi="Times New Roman" w:cs="Times New Roman"/>
          <w:sz w:val="28"/>
          <w:szCs w:val="28"/>
        </w:rPr>
        <w:t>hearing is held</w:t>
      </w:r>
      <w:r w:rsidRPr="003D28A8">
        <w:rPr>
          <w:rFonts w:ascii="Times New Roman" w:hAnsi="Times New Roman" w:cs="Times New Roman"/>
          <w:sz w:val="28"/>
          <w:szCs w:val="28"/>
        </w:rPr>
        <w:t>.</w:t>
      </w:r>
      <w:r>
        <w:rPr>
          <w:rFonts w:ascii="Times New Roman" w:hAnsi="Times New Roman" w:cs="Times New Roman"/>
          <w:sz w:val="28"/>
          <w:szCs w:val="28"/>
        </w:rPr>
        <w:t xml:space="preserve"> Despite the burdens of fact determination placed on the sentencing judge, t</w:t>
      </w:r>
      <w:r w:rsidRPr="003D28A8">
        <w:rPr>
          <w:rFonts w:ascii="Times New Roman" w:hAnsi="Times New Roman" w:cs="Times New Roman"/>
          <w:sz w:val="28"/>
          <w:szCs w:val="28"/>
        </w:rPr>
        <w:t xml:space="preserve">he Court of Appeal has said that it will not interfere with a judge’s finding of facts following a </w:t>
      </w:r>
      <w:r w:rsidRPr="003D28A8">
        <w:rPr>
          <w:rFonts w:ascii="Times New Roman" w:hAnsi="Times New Roman" w:cs="Times New Roman"/>
          <w:i/>
          <w:sz w:val="28"/>
          <w:szCs w:val="28"/>
        </w:rPr>
        <w:t>Newton</w:t>
      </w:r>
      <w:r w:rsidRPr="003D28A8">
        <w:rPr>
          <w:rFonts w:ascii="Times New Roman" w:hAnsi="Times New Roman" w:cs="Times New Roman"/>
          <w:sz w:val="28"/>
          <w:szCs w:val="28"/>
        </w:rPr>
        <w:t xml:space="preserve"> hearing where the judge has properly directed himself</w:t>
      </w:r>
      <w:r>
        <w:rPr>
          <w:rFonts w:ascii="Times New Roman" w:hAnsi="Times New Roman" w:cs="Times New Roman"/>
          <w:sz w:val="28"/>
          <w:szCs w:val="28"/>
        </w:rPr>
        <w:t xml:space="preserve"> or herself</w:t>
      </w:r>
      <w:r w:rsidRPr="003D28A8">
        <w:rPr>
          <w:rFonts w:ascii="Times New Roman" w:hAnsi="Times New Roman" w:cs="Times New Roman"/>
          <w:sz w:val="28"/>
          <w:szCs w:val="28"/>
        </w:rPr>
        <w:t>, unless it is satisfied that no reasonable tribunal could have made th</w:t>
      </w:r>
      <w:r w:rsidR="008D2863">
        <w:rPr>
          <w:rFonts w:ascii="Times New Roman" w:hAnsi="Times New Roman" w:cs="Times New Roman"/>
          <w:sz w:val="28"/>
          <w:szCs w:val="28"/>
        </w:rPr>
        <w:t>at</w:t>
      </w:r>
      <w:r w:rsidRPr="003D28A8">
        <w:rPr>
          <w:rFonts w:ascii="Times New Roman" w:hAnsi="Times New Roman" w:cs="Times New Roman"/>
          <w:sz w:val="28"/>
          <w:szCs w:val="28"/>
        </w:rPr>
        <w:t xml:space="preserve"> finding of fact</w:t>
      </w:r>
      <w:r>
        <w:rPr>
          <w:rFonts w:ascii="Times New Roman" w:hAnsi="Times New Roman" w:cs="Times New Roman"/>
          <w:sz w:val="28"/>
          <w:szCs w:val="28"/>
        </w:rPr>
        <w:t>.</w:t>
      </w:r>
      <w:r>
        <w:rPr>
          <w:rStyle w:val="FootnoteReference"/>
          <w:rFonts w:ascii="Times New Roman" w:hAnsi="Times New Roman" w:cs="Times New Roman"/>
          <w:sz w:val="28"/>
          <w:szCs w:val="28"/>
        </w:rPr>
        <w:footnoteReference w:id="70"/>
      </w:r>
      <w:r w:rsidRPr="003D28A8">
        <w:rPr>
          <w:rFonts w:ascii="Times New Roman" w:hAnsi="Times New Roman" w:cs="Times New Roman"/>
          <w:sz w:val="28"/>
          <w:szCs w:val="28"/>
        </w:rPr>
        <w:t xml:space="preserve"> If </w:t>
      </w:r>
      <w:r>
        <w:rPr>
          <w:rFonts w:ascii="Times New Roman" w:hAnsi="Times New Roman" w:cs="Times New Roman"/>
          <w:sz w:val="28"/>
          <w:szCs w:val="28"/>
        </w:rPr>
        <w:t xml:space="preserve">the defence </w:t>
      </w:r>
      <w:r w:rsidRPr="003D28A8">
        <w:rPr>
          <w:rFonts w:ascii="Times New Roman" w:hAnsi="Times New Roman" w:cs="Times New Roman"/>
          <w:sz w:val="28"/>
          <w:szCs w:val="28"/>
        </w:rPr>
        <w:t>case is rejected when</w:t>
      </w:r>
      <w:r>
        <w:rPr>
          <w:rFonts w:ascii="Times New Roman" w:hAnsi="Times New Roman" w:cs="Times New Roman"/>
          <w:sz w:val="28"/>
          <w:szCs w:val="28"/>
        </w:rPr>
        <w:t xml:space="preserve"> the defendant</w:t>
      </w:r>
      <w:r w:rsidRPr="003D28A8">
        <w:rPr>
          <w:rFonts w:ascii="Times New Roman" w:hAnsi="Times New Roman" w:cs="Times New Roman"/>
          <w:sz w:val="28"/>
          <w:szCs w:val="28"/>
        </w:rPr>
        <w:t xml:space="preserve"> has given evidence, a</w:t>
      </w:r>
      <w:r>
        <w:rPr>
          <w:rFonts w:ascii="Times New Roman" w:hAnsi="Times New Roman" w:cs="Times New Roman"/>
          <w:sz w:val="28"/>
          <w:szCs w:val="28"/>
        </w:rPr>
        <w:t xml:space="preserve"> successful</w:t>
      </w:r>
      <w:r w:rsidRPr="003D28A8">
        <w:rPr>
          <w:rFonts w:ascii="Times New Roman" w:hAnsi="Times New Roman" w:cs="Times New Roman"/>
          <w:sz w:val="28"/>
          <w:szCs w:val="28"/>
        </w:rPr>
        <w:t xml:space="preserve"> appeal to the </w:t>
      </w:r>
      <w:r w:rsidR="008D2863">
        <w:rPr>
          <w:rFonts w:ascii="Times New Roman" w:hAnsi="Times New Roman" w:cs="Times New Roman"/>
          <w:sz w:val="28"/>
          <w:szCs w:val="28"/>
        </w:rPr>
        <w:t>Court of Appeal</w:t>
      </w:r>
      <w:r w:rsidRPr="003D28A8">
        <w:rPr>
          <w:rFonts w:ascii="Times New Roman" w:hAnsi="Times New Roman" w:cs="Times New Roman"/>
          <w:sz w:val="28"/>
          <w:szCs w:val="28"/>
        </w:rPr>
        <w:t xml:space="preserve"> on the basis that </w:t>
      </w:r>
      <w:r>
        <w:rPr>
          <w:rFonts w:ascii="Times New Roman" w:hAnsi="Times New Roman" w:cs="Times New Roman"/>
          <w:sz w:val="28"/>
          <w:szCs w:val="28"/>
        </w:rPr>
        <w:t>the judge</w:t>
      </w:r>
      <w:r w:rsidRPr="003D28A8">
        <w:rPr>
          <w:rFonts w:ascii="Times New Roman" w:hAnsi="Times New Roman" w:cs="Times New Roman"/>
          <w:sz w:val="28"/>
          <w:szCs w:val="28"/>
        </w:rPr>
        <w:t xml:space="preserve"> reached the wrong view will be ‘rare indeed</w:t>
      </w:r>
      <w:r>
        <w:rPr>
          <w:rFonts w:ascii="Times New Roman" w:hAnsi="Times New Roman" w:cs="Times New Roman"/>
          <w:sz w:val="28"/>
          <w:szCs w:val="28"/>
        </w:rPr>
        <w:t>.</w:t>
      </w:r>
      <w:r w:rsidRPr="003D28A8">
        <w:rPr>
          <w:rFonts w:ascii="Times New Roman" w:hAnsi="Times New Roman" w:cs="Times New Roman"/>
          <w:sz w:val="28"/>
          <w:szCs w:val="28"/>
        </w:rPr>
        <w:t>’</w:t>
      </w:r>
      <w:r>
        <w:rPr>
          <w:rStyle w:val="FootnoteReference"/>
          <w:rFonts w:ascii="Times New Roman" w:hAnsi="Times New Roman" w:cs="Times New Roman"/>
          <w:sz w:val="28"/>
          <w:szCs w:val="28"/>
        </w:rPr>
        <w:footnoteReference w:id="71"/>
      </w:r>
      <w:r>
        <w:rPr>
          <w:rFonts w:ascii="Times New Roman" w:hAnsi="Times New Roman" w:cs="Times New Roman"/>
          <w:sz w:val="28"/>
          <w:szCs w:val="28"/>
        </w:rPr>
        <w:t xml:space="preserve"> More generally, the Court </w:t>
      </w:r>
      <w:r w:rsidR="009C35BE">
        <w:rPr>
          <w:rFonts w:ascii="Times New Roman" w:hAnsi="Times New Roman" w:cs="Times New Roman"/>
          <w:sz w:val="28"/>
          <w:szCs w:val="28"/>
        </w:rPr>
        <w:t>is</w:t>
      </w:r>
      <w:r>
        <w:rPr>
          <w:rFonts w:ascii="Times New Roman" w:hAnsi="Times New Roman" w:cs="Times New Roman"/>
          <w:sz w:val="28"/>
          <w:szCs w:val="28"/>
        </w:rPr>
        <w:t xml:space="preserve"> reluctant to interfere with judicial fact-finding</w:t>
      </w:r>
      <w:r w:rsidR="003048EE">
        <w:rPr>
          <w:rFonts w:ascii="Times New Roman" w:hAnsi="Times New Roman" w:cs="Times New Roman"/>
          <w:sz w:val="28"/>
          <w:szCs w:val="28"/>
        </w:rPr>
        <w:t xml:space="preserve"> on sentence</w:t>
      </w:r>
      <w:r>
        <w:rPr>
          <w:rFonts w:ascii="Times New Roman" w:hAnsi="Times New Roman" w:cs="Times New Roman"/>
          <w:sz w:val="28"/>
          <w:szCs w:val="28"/>
        </w:rPr>
        <w:t xml:space="preserve">, especially where the judge has </w:t>
      </w:r>
      <w:r w:rsidR="008D2863">
        <w:rPr>
          <w:rFonts w:ascii="Times New Roman" w:hAnsi="Times New Roman" w:cs="Times New Roman"/>
          <w:sz w:val="28"/>
          <w:szCs w:val="28"/>
        </w:rPr>
        <w:t xml:space="preserve">presided over </w:t>
      </w:r>
      <w:r w:rsidR="003048EE">
        <w:rPr>
          <w:rFonts w:ascii="Times New Roman" w:hAnsi="Times New Roman" w:cs="Times New Roman"/>
          <w:sz w:val="28"/>
          <w:szCs w:val="28"/>
        </w:rPr>
        <w:t>the</w:t>
      </w:r>
      <w:r w:rsidR="008D2863">
        <w:rPr>
          <w:rFonts w:ascii="Times New Roman" w:hAnsi="Times New Roman" w:cs="Times New Roman"/>
          <w:sz w:val="28"/>
          <w:szCs w:val="28"/>
        </w:rPr>
        <w:t xml:space="preserve"> </w:t>
      </w:r>
      <w:r>
        <w:rPr>
          <w:rFonts w:ascii="Times New Roman" w:hAnsi="Times New Roman" w:cs="Times New Roman"/>
          <w:sz w:val="28"/>
          <w:szCs w:val="28"/>
        </w:rPr>
        <w:t>trial.</w:t>
      </w:r>
      <w:r>
        <w:rPr>
          <w:rStyle w:val="FootnoteReference"/>
          <w:rFonts w:ascii="Times New Roman" w:hAnsi="Times New Roman" w:cs="Times New Roman"/>
          <w:sz w:val="28"/>
          <w:szCs w:val="28"/>
        </w:rPr>
        <w:footnoteReference w:id="72"/>
      </w:r>
      <w:r w:rsidR="009C35BE">
        <w:rPr>
          <w:rFonts w:ascii="Times New Roman" w:hAnsi="Times New Roman" w:cs="Times New Roman"/>
          <w:sz w:val="28"/>
          <w:szCs w:val="28"/>
        </w:rPr>
        <w:t xml:space="preserve"> In the leading case of </w:t>
      </w:r>
      <w:r w:rsidR="009C35BE">
        <w:rPr>
          <w:rFonts w:ascii="Times New Roman" w:hAnsi="Times New Roman" w:cs="Times New Roman"/>
          <w:i/>
          <w:sz w:val="28"/>
          <w:szCs w:val="28"/>
        </w:rPr>
        <w:t>King</w:t>
      </w:r>
      <w:r w:rsidR="00823500" w:rsidRPr="008D2863">
        <w:rPr>
          <w:rStyle w:val="FootnoteReference"/>
          <w:rFonts w:ascii="Times New Roman" w:hAnsi="Times New Roman" w:cs="Times New Roman"/>
          <w:sz w:val="28"/>
          <w:szCs w:val="28"/>
        </w:rPr>
        <w:footnoteReference w:id="73"/>
      </w:r>
      <w:r w:rsidR="009C35BE" w:rsidRPr="00256BB9">
        <w:rPr>
          <w:rFonts w:ascii="Times New Roman" w:hAnsi="Times New Roman" w:cs="Times New Roman"/>
          <w:sz w:val="28"/>
          <w:szCs w:val="28"/>
        </w:rPr>
        <w:t xml:space="preserve"> </w:t>
      </w:r>
      <w:r w:rsidR="009C35BE">
        <w:rPr>
          <w:rFonts w:ascii="Times New Roman" w:hAnsi="Times New Roman" w:cs="Times New Roman"/>
          <w:sz w:val="28"/>
          <w:szCs w:val="28"/>
        </w:rPr>
        <w:t xml:space="preserve">the Court </w:t>
      </w:r>
      <w:r w:rsidR="00823500">
        <w:rPr>
          <w:rFonts w:ascii="Times New Roman" w:hAnsi="Times New Roman" w:cs="Times New Roman"/>
          <w:sz w:val="28"/>
          <w:szCs w:val="28"/>
        </w:rPr>
        <w:t xml:space="preserve">said that where there was more than one way in which the jury could have reached the verdict that it did the judge was under a duty to make his or her own assessment of the facts, applying the criminal standard of proof. Only if the judge was not sure which of two or more competing versions of the facts was </w:t>
      </w:r>
      <w:r w:rsidR="00CB5DFC">
        <w:rPr>
          <w:rFonts w:ascii="Times New Roman" w:hAnsi="Times New Roman" w:cs="Times New Roman"/>
          <w:sz w:val="28"/>
          <w:szCs w:val="28"/>
        </w:rPr>
        <w:t>the</w:t>
      </w:r>
      <w:r w:rsidR="00823500">
        <w:rPr>
          <w:rFonts w:ascii="Times New Roman" w:hAnsi="Times New Roman" w:cs="Times New Roman"/>
          <w:sz w:val="28"/>
          <w:szCs w:val="28"/>
        </w:rPr>
        <w:t xml:space="preserve"> correct one was the judge obliged to pass sentence on the basis which was </w:t>
      </w:r>
      <w:r w:rsidR="003048EE">
        <w:rPr>
          <w:rFonts w:ascii="Times New Roman" w:hAnsi="Times New Roman" w:cs="Times New Roman"/>
          <w:sz w:val="28"/>
          <w:szCs w:val="28"/>
        </w:rPr>
        <w:t xml:space="preserve">most </w:t>
      </w:r>
      <w:r w:rsidR="00823500">
        <w:rPr>
          <w:rFonts w:ascii="Times New Roman" w:hAnsi="Times New Roman" w:cs="Times New Roman"/>
          <w:sz w:val="28"/>
          <w:szCs w:val="28"/>
        </w:rPr>
        <w:t>favourable to D.</w:t>
      </w:r>
    </w:p>
    <w:p w14:paraId="189CD78A" w14:textId="77777777" w:rsidR="0066290C" w:rsidRDefault="0066290C" w:rsidP="006C3028">
      <w:pPr>
        <w:spacing w:line="360" w:lineRule="auto"/>
        <w:rPr>
          <w:rFonts w:ascii="Times New Roman" w:hAnsi="Times New Roman" w:cs="Times New Roman"/>
          <w:sz w:val="28"/>
          <w:szCs w:val="28"/>
        </w:rPr>
      </w:pPr>
    </w:p>
    <w:p w14:paraId="69DEB14F" w14:textId="1E035537" w:rsidR="00A41268" w:rsidRPr="003D28A8" w:rsidRDefault="00B11298" w:rsidP="006C3028">
      <w:pPr>
        <w:spacing w:line="360" w:lineRule="auto"/>
        <w:rPr>
          <w:rFonts w:ascii="Times New Roman" w:hAnsi="Times New Roman" w:cs="Times New Roman"/>
          <w:sz w:val="28"/>
          <w:szCs w:val="28"/>
        </w:rPr>
      </w:pPr>
      <w:r>
        <w:rPr>
          <w:rFonts w:ascii="Times New Roman" w:hAnsi="Times New Roman" w:cs="Times New Roman"/>
          <w:sz w:val="28"/>
          <w:szCs w:val="28"/>
        </w:rPr>
        <w:t xml:space="preserve">It is critical that these requirements of proof and procedure are not overlooked.  While the Israeli sentencing system </w:t>
      </w:r>
      <w:r w:rsidR="00EF66B6">
        <w:rPr>
          <w:rFonts w:ascii="Times New Roman" w:hAnsi="Times New Roman" w:cs="Times New Roman"/>
          <w:sz w:val="28"/>
          <w:szCs w:val="28"/>
        </w:rPr>
        <w:t>places the evidentiary requirements on a statutory footing,</w:t>
      </w:r>
      <w:r w:rsidR="00EF66B6">
        <w:rPr>
          <w:rStyle w:val="FootnoteReference"/>
          <w:rFonts w:ascii="Times New Roman" w:hAnsi="Times New Roman" w:cs="Times New Roman"/>
          <w:sz w:val="28"/>
          <w:szCs w:val="28"/>
        </w:rPr>
        <w:footnoteReference w:id="74"/>
      </w:r>
      <w:r w:rsidR="00EF66B6">
        <w:rPr>
          <w:rFonts w:ascii="Times New Roman" w:hAnsi="Times New Roman" w:cs="Times New Roman"/>
          <w:sz w:val="28"/>
          <w:szCs w:val="28"/>
        </w:rPr>
        <w:t xml:space="preserve"> our preference would be to incorporate the</w:t>
      </w:r>
      <w:r w:rsidR="008D2863">
        <w:rPr>
          <w:rFonts w:ascii="Times New Roman" w:hAnsi="Times New Roman" w:cs="Times New Roman"/>
          <w:sz w:val="28"/>
          <w:szCs w:val="28"/>
        </w:rPr>
        <w:t>m</w:t>
      </w:r>
      <w:r w:rsidR="00EF66B6">
        <w:rPr>
          <w:rFonts w:ascii="Times New Roman" w:hAnsi="Times New Roman" w:cs="Times New Roman"/>
          <w:sz w:val="28"/>
          <w:szCs w:val="28"/>
        </w:rPr>
        <w:t xml:space="preserve"> into the guideline system by</w:t>
      </w:r>
      <w:r w:rsidR="0066290C">
        <w:rPr>
          <w:rFonts w:ascii="Times New Roman" w:hAnsi="Times New Roman" w:cs="Times New Roman"/>
          <w:sz w:val="28"/>
          <w:szCs w:val="28"/>
        </w:rPr>
        <w:t xml:space="preserve"> (</w:t>
      </w:r>
      <w:proofErr w:type="spellStart"/>
      <w:r w:rsidR="00EF66B6">
        <w:rPr>
          <w:rFonts w:ascii="Times New Roman" w:hAnsi="Times New Roman" w:cs="Times New Roman"/>
          <w:sz w:val="28"/>
          <w:szCs w:val="28"/>
        </w:rPr>
        <w:t>i</w:t>
      </w:r>
      <w:proofErr w:type="spellEnd"/>
      <w:r w:rsidR="00EF66B6">
        <w:rPr>
          <w:rFonts w:ascii="Times New Roman" w:hAnsi="Times New Roman" w:cs="Times New Roman"/>
          <w:sz w:val="28"/>
          <w:szCs w:val="28"/>
        </w:rPr>
        <w:t xml:space="preserve">) drafting a general guideline on matters of proof and procedure, and (ii) using the language of ‘beyond reasonable doubt’ and ‘balance of probabilities’ when drafting </w:t>
      </w:r>
      <w:r w:rsidR="005F4F8D">
        <w:rPr>
          <w:rFonts w:ascii="Times New Roman" w:hAnsi="Times New Roman" w:cs="Times New Roman"/>
          <w:sz w:val="28"/>
          <w:szCs w:val="28"/>
        </w:rPr>
        <w:t xml:space="preserve">Step One and Step Two of all </w:t>
      </w:r>
      <w:r w:rsidR="00EF66B6">
        <w:rPr>
          <w:rFonts w:ascii="Times New Roman" w:hAnsi="Times New Roman" w:cs="Times New Roman"/>
          <w:sz w:val="28"/>
          <w:szCs w:val="28"/>
        </w:rPr>
        <w:t>offence guidelines.</w:t>
      </w:r>
      <w:r w:rsidR="0094668F">
        <w:rPr>
          <w:rFonts w:ascii="Times New Roman" w:hAnsi="Times New Roman" w:cs="Times New Roman"/>
          <w:sz w:val="28"/>
          <w:szCs w:val="28"/>
        </w:rPr>
        <w:t xml:space="preserve"> </w:t>
      </w:r>
      <w:r w:rsidR="005D6EBA">
        <w:rPr>
          <w:rFonts w:ascii="Times New Roman" w:hAnsi="Times New Roman" w:cs="Times New Roman"/>
          <w:sz w:val="28"/>
          <w:szCs w:val="28"/>
        </w:rPr>
        <w:t>However, the most contentious questions of proof arise in relation to aggravating and mitigating factors, and we conclude with the example of the operation of</w:t>
      </w:r>
      <w:r w:rsidR="008D2863">
        <w:rPr>
          <w:rFonts w:ascii="Times New Roman" w:hAnsi="Times New Roman" w:cs="Times New Roman"/>
          <w:sz w:val="28"/>
          <w:szCs w:val="28"/>
        </w:rPr>
        <w:t xml:space="preserve"> </w:t>
      </w:r>
      <w:r w:rsidR="005D6EBA">
        <w:rPr>
          <w:rFonts w:ascii="Times New Roman" w:hAnsi="Times New Roman" w:cs="Times New Roman"/>
          <w:sz w:val="28"/>
          <w:szCs w:val="28"/>
        </w:rPr>
        <w:t>S</w:t>
      </w:r>
      <w:r w:rsidR="00E52B4A">
        <w:rPr>
          <w:rFonts w:ascii="Times New Roman" w:hAnsi="Times New Roman" w:cs="Times New Roman"/>
          <w:sz w:val="28"/>
          <w:szCs w:val="28"/>
        </w:rPr>
        <w:t>chedule 21</w:t>
      </w:r>
      <w:r w:rsidR="008D2863">
        <w:rPr>
          <w:rFonts w:ascii="Times New Roman" w:hAnsi="Times New Roman" w:cs="Times New Roman"/>
          <w:sz w:val="28"/>
          <w:szCs w:val="28"/>
        </w:rPr>
        <w:t xml:space="preserve"> of the Criminal Justice Act 2003</w:t>
      </w:r>
      <w:r w:rsidR="005D6EBA">
        <w:rPr>
          <w:rFonts w:ascii="Times New Roman" w:hAnsi="Times New Roman" w:cs="Times New Roman"/>
          <w:sz w:val="28"/>
          <w:szCs w:val="28"/>
        </w:rPr>
        <w:t>. T</w:t>
      </w:r>
      <w:r w:rsidR="00E52B4A">
        <w:rPr>
          <w:rFonts w:ascii="Times New Roman" w:hAnsi="Times New Roman" w:cs="Times New Roman"/>
          <w:sz w:val="28"/>
          <w:szCs w:val="28"/>
        </w:rPr>
        <w:t xml:space="preserve">he Court of Appeal in </w:t>
      </w:r>
      <w:r w:rsidR="00E52B4A">
        <w:rPr>
          <w:rFonts w:ascii="Times New Roman" w:hAnsi="Times New Roman" w:cs="Times New Roman"/>
          <w:i/>
          <w:sz w:val="28"/>
          <w:szCs w:val="28"/>
        </w:rPr>
        <w:t>Davies</w:t>
      </w:r>
      <w:r w:rsidR="00E52B4A" w:rsidRPr="00E52B4A">
        <w:rPr>
          <w:rStyle w:val="FootnoteReference"/>
          <w:rFonts w:ascii="Times New Roman" w:hAnsi="Times New Roman" w:cs="Times New Roman"/>
          <w:sz w:val="28"/>
          <w:szCs w:val="28"/>
        </w:rPr>
        <w:footnoteReference w:id="75"/>
      </w:r>
      <w:r w:rsidR="00E52B4A">
        <w:rPr>
          <w:rFonts w:ascii="Times New Roman" w:hAnsi="Times New Roman" w:cs="Times New Roman"/>
          <w:sz w:val="28"/>
          <w:szCs w:val="28"/>
        </w:rPr>
        <w:t xml:space="preserve"> </w:t>
      </w:r>
      <w:r w:rsidR="005D6EBA">
        <w:rPr>
          <w:rFonts w:ascii="Times New Roman" w:hAnsi="Times New Roman" w:cs="Times New Roman"/>
          <w:sz w:val="28"/>
          <w:szCs w:val="28"/>
        </w:rPr>
        <w:t>hel</w:t>
      </w:r>
      <w:r w:rsidR="00E52B4A">
        <w:rPr>
          <w:rFonts w:ascii="Times New Roman" w:hAnsi="Times New Roman" w:cs="Times New Roman"/>
          <w:sz w:val="28"/>
          <w:szCs w:val="28"/>
        </w:rPr>
        <w:t>d that if the presence of a particular feature was in issue which</w:t>
      </w:r>
      <w:r w:rsidR="00E423AD">
        <w:rPr>
          <w:rFonts w:ascii="Times New Roman" w:hAnsi="Times New Roman" w:cs="Times New Roman"/>
          <w:sz w:val="28"/>
          <w:szCs w:val="28"/>
        </w:rPr>
        <w:t>,</w:t>
      </w:r>
      <w:r w:rsidR="00E52B4A">
        <w:rPr>
          <w:rFonts w:ascii="Times New Roman" w:hAnsi="Times New Roman" w:cs="Times New Roman"/>
          <w:sz w:val="28"/>
          <w:szCs w:val="28"/>
        </w:rPr>
        <w:t xml:space="preserve"> if established</w:t>
      </w:r>
      <w:r w:rsidR="00E423AD">
        <w:rPr>
          <w:rFonts w:ascii="Times New Roman" w:hAnsi="Times New Roman" w:cs="Times New Roman"/>
          <w:sz w:val="28"/>
          <w:szCs w:val="28"/>
        </w:rPr>
        <w:t>,</w:t>
      </w:r>
      <w:r w:rsidR="00E52B4A">
        <w:rPr>
          <w:rFonts w:ascii="Times New Roman" w:hAnsi="Times New Roman" w:cs="Times New Roman"/>
          <w:sz w:val="28"/>
          <w:szCs w:val="28"/>
        </w:rPr>
        <w:t xml:space="preserve"> would mean that the murder would attract a </w:t>
      </w:r>
      <w:r w:rsidR="00FB52ED">
        <w:rPr>
          <w:rFonts w:ascii="Times New Roman" w:hAnsi="Times New Roman" w:cs="Times New Roman"/>
          <w:sz w:val="28"/>
          <w:szCs w:val="28"/>
        </w:rPr>
        <w:t>30-year rather than a 15-year</w:t>
      </w:r>
      <w:r w:rsidR="00E52B4A">
        <w:rPr>
          <w:rFonts w:ascii="Times New Roman" w:hAnsi="Times New Roman" w:cs="Times New Roman"/>
          <w:sz w:val="28"/>
          <w:szCs w:val="28"/>
        </w:rPr>
        <w:t xml:space="preserve"> minimum term starting point, then that </w:t>
      </w:r>
      <w:r w:rsidR="00FB52ED">
        <w:rPr>
          <w:rFonts w:ascii="Times New Roman" w:hAnsi="Times New Roman" w:cs="Times New Roman"/>
          <w:sz w:val="28"/>
          <w:szCs w:val="28"/>
        </w:rPr>
        <w:t>feature</w:t>
      </w:r>
      <w:r w:rsidR="00E52B4A">
        <w:rPr>
          <w:rFonts w:ascii="Times New Roman" w:hAnsi="Times New Roman" w:cs="Times New Roman"/>
          <w:sz w:val="28"/>
          <w:szCs w:val="28"/>
        </w:rPr>
        <w:t xml:space="preserve"> must be proved to the criminal standard.</w:t>
      </w:r>
      <w:r w:rsidR="00C96D68">
        <w:rPr>
          <w:rFonts w:ascii="Times New Roman" w:hAnsi="Times New Roman" w:cs="Times New Roman"/>
          <w:sz w:val="28"/>
          <w:szCs w:val="28"/>
        </w:rPr>
        <w:t xml:space="preserve"> It is hard to find other similar appellate statements of principle; the more usual line taken by the Court is to stress the importance of flexibility </w:t>
      </w:r>
      <w:r w:rsidR="00921119">
        <w:rPr>
          <w:rFonts w:ascii="Times New Roman" w:hAnsi="Times New Roman" w:cs="Times New Roman"/>
          <w:sz w:val="28"/>
          <w:szCs w:val="28"/>
        </w:rPr>
        <w:t>and judicial discretion and the need to avoid a ‘mechanistic or arithmetical approach’</w:t>
      </w:r>
      <w:r w:rsidR="00E13AC0">
        <w:rPr>
          <w:rStyle w:val="FootnoteReference"/>
          <w:rFonts w:ascii="Times New Roman" w:hAnsi="Times New Roman" w:cs="Times New Roman"/>
          <w:sz w:val="28"/>
          <w:szCs w:val="28"/>
        </w:rPr>
        <w:footnoteReference w:id="76"/>
      </w:r>
      <w:r w:rsidR="00921119">
        <w:rPr>
          <w:rFonts w:ascii="Times New Roman" w:hAnsi="Times New Roman" w:cs="Times New Roman"/>
          <w:sz w:val="28"/>
          <w:szCs w:val="28"/>
        </w:rPr>
        <w:t xml:space="preserve"> </w:t>
      </w:r>
      <w:r w:rsidR="00C96D68">
        <w:rPr>
          <w:rFonts w:ascii="Times New Roman" w:hAnsi="Times New Roman" w:cs="Times New Roman"/>
          <w:sz w:val="28"/>
          <w:szCs w:val="28"/>
        </w:rPr>
        <w:t xml:space="preserve">when applying </w:t>
      </w:r>
      <w:r w:rsidR="005D6EBA">
        <w:rPr>
          <w:rFonts w:ascii="Times New Roman" w:hAnsi="Times New Roman" w:cs="Times New Roman"/>
          <w:sz w:val="28"/>
          <w:szCs w:val="28"/>
        </w:rPr>
        <w:t>S</w:t>
      </w:r>
      <w:r w:rsidR="00C96D68">
        <w:rPr>
          <w:rFonts w:ascii="Times New Roman" w:hAnsi="Times New Roman" w:cs="Times New Roman"/>
          <w:sz w:val="28"/>
          <w:szCs w:val="28"/>
        </w:rPr>
        <w:t>chedule 21</w:t>
      </w:r>
      <w:r w:rsidR="00921119">
        <w:rPr>
          <w:rFonts w:ascii="Times New Roman" w:hAnsi="Times New Roman" w:cs="Times New Roman"/>
          <w:sz w:val="28"/>
          <w:szCs w:val="28"/>
        </w:rPr>
        <w:t>.</w:t>
      </w:r>
      <w:r w:rsidR="00C96D68">
        <w:rPr>
          <w:rFonts w:ascii="Times New Roman" w:hAnsi="Times New Roman" w:cs="Times New Roman"/>
          <w:sz w:val="28"/>
          <w:szCs w:val="28"/>
        </w:rPr>
        <w:t xml:space="preserve"> The applicable Practice Direction, although purporting to give ‘practical guidance as to the procedure for passing a mandatory life sentence’ does not reflect the decision in </w:t>
      </w:r>
      <w:r w:rsidR="00C96D68">
        <w:rPr>
          <w:rFonts w:ascii="Times New Roman" w:hAnsi="Times New Roman" w:cs="Times New Roman"/>
          <w:i/>
          <w:sz w:val="28"/>
          <w:szCs w:val="28"/>
        </w:rPr>
        <w:t>Davies</w:t>
      </w:r>
      <w:r w:rsidR="00C96D68">
        <w:rPr>
          <w:rFonts w:ascii="Times New Roman" w:hAnsi="Times New Roman" w:cs="Times New Roman"/>
          <w:sz w:val="28"/>
          <w:szCs w:val="28"/>
        </w:rPr>
        <w:t>, but states simply that the court must ‘take account’ of relevant aggravating and mitigating factors.</w:t>
      </w:r>
      <w:r w:rsidR="00C96D68">
        <w:rPr>
          <w:rStyle w:val="FootnoteReference"/>
          <w:rFonts w:ascii="Times New Roman" w:hAnsi="Times New Roman" w:cs="Times New Roman"/>
          <w:sz w:val="28"/>
          <w:szCs w:val="28"/>
        </w:rPr>
        <w:footnoteReference w:id="77"/>
      </w:r>
      <w:r w:rsidR="005D6EBA">
        <w:rPr>
          <w:rFonts w:ascii="Times New Roman" w:hAnsi="Times New Roman" w:cs="Times New Roman"/>
          <w:sz w:val="28"/>
          <w:szCs w:val="28"/>
        </w:rPr>
        <w:t xml:space="preserve"> This, then, is further testimony to the underdeveloped state of the law relating to fact determination by judges at sentencing</w:t>
      </w:r>
      <w:r>
        <w:rPr>
          <w:rFonts w:ascii="Times New Roman" w:hAnsi="Times New Roman" w:cs="Times New Roman"/>
          <w:sz w:val="28"/>
          <w:szCs w:val="28"/>
        </w:rPr>
        <w:t>, and, we submit, to the need for a general guideline on sentencing</w:t>
      </w:r>
      <w:r w:rsidR="008D2863">
        <w:rPr>
          <w:rFonts w:ascii="Times New Roman" w:hAnsi="Times New Roman" w:cs="Times New Roman"/>
          <w:sz w:val="28"/>
          <w:szCs w:val="28"/>
        </w:rPr>
        <w:t xml:space="preserve"> </w:t>
      </w:r>
      <w:r>
        <w:rPr>
          <w:rFonts w:ascii="Times New Roman" w:hAnsi="Times New Roman" w:cs="Times New Roman"/>
          <w:sz w:val="28"/>
          <w:szCs w:val="28"/>
        </w:rPr>
        <w:t>procedure and evidence.</w:t>
      </w:r>
    </w:p>
    <w:p w14:paraId="1F45021C" w14:textId="77777777" w:rsidR="00A41268" w:rsidRPr="003D28A8" w:rsidRDefault="00A41268" w:rsidP="006C3028">
      <w:pPr>
        <w:spacing w:line="360" w:lineRule="auto"/>
        <w:rPr>
          <w:rFonts w:ascii="Times New Roman" w:hAnsi="Times New Roman" w:cs="Times New Roman"/>
          <w:sz w:val="28"/>
          <w:szCs w:val="28"/>
        </w:rPr>
      </w:pPr>
    </w:p>
    <w:sectPr w:rsidR="00A41268" w:rsidRPr="003D28A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CCC59A" w15:done="0"/>
  <w15:commentEx w15:paraId="3B032E0B" w15:done="0"/>
  <w15:commentEx w15:paraId="1BB8BE84" w15:done="0"/>
  <w15:commentEx w15:paraId="7A3175CA" w15:done="0"/>
  <w15:commentEx w15:paraId="22BD5DF8" w15:done="0"/>
  <w15:commentEx w15:paraId="03D976D4" w15:done="0"/>
  <w15:commentEx w15:paraId="410A0903" w15:done="0"/>
  <w15:commentEx w15:paraId="1A00FB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CCC59A" w16cid:durableId="21E4E0CC"/>
  <w16cid:commentId w16cid:paraId="3B032E0B" w16cid:durableId="21E4E151"/>
  <w16cid:commentId w16cid:paraId="1BB8BE84" w16cid:durableId="21E4E1B6"/>
  <w16cid:commentId w16cid:paraId="7A3175CA" w16cid:durableId="21E4E2BE"/>
  <w16cid:commentId w16cid:paraId="22BD5DF8" w16cid:durableId="21E4E3C1"/>
  <w16cid:commentId w16cid:paraId="03D976D4" w16cid:durableId="21E4E3FD"/>
  <w16cid:commentId w16cid:paraId="410A0903" w16cid:durableId="21E4E528"/>
  <w16cid:commentId w16cid:paraId="1A00FB8E" w16cid:durableId="21E4E6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CC752" w14:textId="77777777" w:rsidR="005F6CF8" w:rsidRDefault="005F6CF8" w:rsidP="00D91625">
      <w:r>
        <w:separator/>
      </w:r>
    </w:p>
  </w:endnote>
  <w:endnote w:type="continuationSeparator" w:id="0">
    <w:p w14:paraId="5524D8A4" w14:textId="77777777" w:rsidR="005F6CF8" w:rsidRDefault="005F6CF8" w:rsidP="00D9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0DF4D" w14:textId="77777777" w:rsidR="005F6CF8" w:rsidRDefault="005F6CF8" w:rsidP="00D91625">
      <w:r>
        <w:separator/>
      </w:r>
    </w:p>
  </w:footnote>
  <w:footnote w:type="continuationSeparator" w:id="0">
    <w:p w14:paraId="4059ADE5" w14:textId="77777777" w:rsidR="005F6CF8" w:rsidRDefault="005F6CF8" w:rsidP="00D91625">
      <w:r>
        <w:continuationSeparator/>
      </w:r>
    </w:p>
  </w:footnote>
  <w:footnote w:id="1">
    <w:p w14:paraId="5D2DAFBD" w14:textId="3E84E00B" w:rsidR="00E13E4E" w:rsidRDefault="00E13E4E">
      <w:pPr>
        <w:pStyle w:val="FootnoteText"/>
      </w:pPr>
      <w:r>
        <w:rPr>
          <w:rStyle w:val="FootnoteReference"/>
        </w:rPr>
        <w:footnoteRef/>
      </w:r>
      <w:r>
        <w:t xml:space="preserve"> DA Thomas, ‘Establishing a factual basis for sentencing’ [1970] Crim LR 80, at p</w:t>
      </w:r>
      <w:r w:rsidR="003048EE">
        <w:t>.</w:t>
      </w:r>
      <w:r>
        <w:t>80</w:t>
      </w:r>
    </w:p>
  </w:footnote>
  <w:footnote w:id="2">
    <w:p w14:paraId="3CBBC232" w14:textId="77777777" w:rsidR="0098050D" w:rsidRDefault="0098050D">
      <w:pPr>
        <w:pStyle w:val="FootnoteText"/>
      </w:pPr>
      <w:r>
        <w:rPr>
          <w:rStyle w:val="FootnoteReference"/>
        </w:rPr>
        <w:footnoteRef/>
      </w:r>
      <w:r>
        <w:t xml:space="preserve"> Thomas at the same time argued that </w:t>
      </w:r>
      <w:r w:rsidR="00337109">
        <w:t xml:space="preserve">the problems he identified should be addressed by a reconstruction of broad substantive criminal offences towards narrower and more precise ones. </w:t>
      </w:r>
    </w:p>
  </w:footnote>
  <w:footnote w:id="3">
    <w:p w14:paraId="0A15DE85" w14:textId="77777777" w:rsidR="007F6C81" w:rsidRDefault="007F6C81">
      <w:pPr>
        <w:pStyle w:val="FootnoteText"/>
      </w:pPr>
      <w:r>
        <w:rPr>
          <w:rStyle w:val="FootnoteReference"/>
        </w:rPr>
        <w:footnoteRef/>
      </w:r>
      <w:r>
        <w:t xml:space="preserve"> Thomas (1970), p.86</w:t>
      </w:r>
    </w:p>
  </w:footnote>
  <w:footnote w:id="4">
    <w:p w14:paraId="04064C71" w14:textId="77777777" w:rsidR="00E13E4E" w:rsidRDefault="00E13E4E">
      <w:pPr>
        <w:pStyle w:val="FootnoteText"/>
      </w:pPr>
      <w:r>
        <w:rPr>
          <w:rStyle w:val="FootnoteReference"/>
        </w:rPr>
        <w:footnoteRef/>
      </w:r>
      <w:r>
        <w:t xml:space="preserve"> Thomas (1970), p.90</w:t>
      </w:r>
    </w:p>
  </w:footnote>
  <w:footnote w:id="5">
    <w:p w14:paraId="00AF4067" w14:textId="77777777" w:rsidR="00E13E4E" w:rsidRPr="00E13E4E" w:rsidRDefault="00E13E4E">
      <w:pPr>
        <w:pStyle w:val="FootnoteText"/>
      </w:pPr>
      <w:r>
        <w:rPr>
          <w:rStyle w:val="FootnoteReference"/>
        </w:rPr>
        <w:footnoteRef/>
      </w:r>
      <w:r>
        <w:t xml:space="preserve"> DA Thomas, </w:t>
      </w:r>
      <w:r>
        <w:rPr>
          <w:i/>
        </w:rPr>
        <w:t>Principles of Sentencing</w:t>
      </w:r>
      <w:r>
        <w:t>,</w:t>
      </w:r>
      <w:r w:rsidR="00C06B2B">
        <w:t xml:space="preserve"> 1</w:t>
      </w:r>
      <w:r w:rsidR="00C06B2B" w:rsidRPr="00C06B2B">
        <w:rPr>
          <w:vertAlign w:val="superscript"/>
        </w:rPr>
        <w:t>st</w:t>
      </w:r>
      <w:r w:rsidR="00C06B2B">
        <w:t xml:space="preserve"> ed., 1970; </w:t>
      </w:r>
      <w:r>
        <w:t xml:space="preserve"> 2</w:t>
      </w:r>
      <w:r w:rsidRPr="00E13E4E">
        <w:rPr>
          <w:vertAlign w:val="superscript"/>
        </w:rPr>
        <w:t>nd</w:t>
      </w:r>
      <w:r>
        <w:t xml:space="preserve"> ed, 1979, </w:t>
      </w:r>
      <w:r w:rsidR="007F6C81">
        <w:t xml:space="preserve">Heinemann, </w:t>
      </w:r>
      <w:r>
        <w:t>Chap 12</w:t>
      </w:r>
      <w:r w:rsidR="007F6C81">
        <w:t xml:space="preserve">: </w:t>
      </w:r>
      <w:r>
        <w:t>‘The Procedure of Sentencing’</w:t>
      </w:r>
    </w:p>
  </w:footnote>
  <w:footnote w:id="6">
    <w:p w14:paraId="5E466F7B" w14:textId="77777777" w:rsidR="00325889" w:rsidRDefault="00325889">
      <w:pPr>
        <w:pStyle w:val="FootnoteText"/>
      </w:pPr>
      <w:r>
        <w:rPr>
          <w:rStyle w:val="FootnoteReference"/>
        </w:rPr>
        <w:footnoteRef/>
      </w:r>
      <w:r>
        <w:t xml:space="preserve"> (1975) 63 Cr App R 144</w:t>
      </w:r>
    </w:p>
  </w:footnote>
  <w:footnote w:id="7">
    <w:p w14:paraId="5A259DF9" w14:textId="3C9AF3F5" w:rsidR="00A132E1" w:rsidRDefault="00A132E1">
      <w:pPr>
        <w:pStyle w:val="FootnoteText"/>
      </w:pPr>
      <w:r>
        <w:rPr>
          <w:rStyle w:val="FootnoteReference"/>
        </w:rPr>
        <w:footnoteRef/>
      </w:r>
      <w:r>
        <w:t xml:space="preserve"> [1982] 4 Cr App R (S) 388</w:t>
      </w:r>
    </w:p>
  </w:footnote>
  <w:footnote w:id="8">
    <w:p w14:paraId="4F2FA723" w14:textId="77777777" w:rsidR="002647DA" w:rsidRDefault="002647DA" w:rsidP="002647DA">
      <w:pPr>
        <w:pStyle w:val="FootnoteText"/>
      </w:pPr>
      <w:r>
        <w:rPr>
          <w:rStyle w:val="FootnoteReference"/>
        </w:rPr>
        <w:footnoteRef/>
      </w:r>
      <w:r>
        <w:t xml:space="preserve"> [2004] EWCA Crim 2256</w:t>
      </w:r>
    </w:p>
  </w:footnote>
  <w:footnote w:id="9">
    <w:p w14:paraId="722BCCC4" w14:textId="77777777" w:rsidR="002647DA" w:rsidRDefault="002647DA" w:rsidP="002647DA">
      <w:pPr>
        <w:pStyle w:val="FootnoteText"/>
      </w:pPr>
      <w:r>
        <w:rPr>
          <w:rStyle w:val="FootnoteReference"/>
        </w:rPr>
        <w:footnoteRef/>
      </w:r>
      <w:r>
        <w:t xml:space="preserve"> [2013] EWCA Crim 467</w:t>
      </w:r>
    </w:p>
  </w:footnote>
  <w:footnote w:id="10">
    <w:p w14:paraId="25602ED2" w14:textId="696E81A3" w:rsidR="00B829B6" w:rsidRDefault="00B829B6">
      <w:pPr>
        <w:pStyle w:val="FootnoteText"/>
      </w:pPr>
      <w:r>
        <w:rPr>
          <w:rStyle w:val="FootnoteReference"/>
        </w:rPr>
        <w:footnoteRef/>
      </w:r>
      <w:r>
        <w:t xml:space="preserve"> CPD VII, Sentencing B1 – B27; see further HH Judge R </w:t>
      </w:r>
      <w:proofErr w:type="spellStart"/>
      <w:r>
        <w:t>Denyer</w:t>
      </w:r>
      <w:proofErr w:type="spellEnd"/>
      <w:r>
        <w:t xml:space="preserve">, </w:t>
      </w:r>
      <w:r>
        <w:rPr>
          <w:i/>
        </w:rPr>
        <w:t>Case Management in Criminal Trials</w:t>
      </w:r>
      <w:r>
        <w:t>, 2</w:t>
      </w:r>
      <w:r w:rsidRPr="007F6C81">
        <w:rPr>
          <w:vertAlign w:val="superscript"/>
        </w:rPr>
        <w:t>nd</w:t>
      </w:r>
      <w:r>
        <w:t xml:space="preserve"> </w:t>
      </w:r>
      <w:proofErr w:type="spellStart"/>
      <w:r>
        <w:t>ed</w:t>
      </w:r>
      <w:proofErr w:type="spellEnd"/>
      <w:r>
        <w:t>, 2012, Hart Publishing</w:t>
      </w:r>
    </w:p>
  </w:footnote>
  <w:footnote w:id="11">
    <w:p w14:paraId="7257CDFD" w14:textId="77777777" w:rsidR="00C3214C" w:rsidRDefault="00C3214C" w:rsidP="00C3214C">
      <w:pPr>
        <w:pStyle w:val="FootnoteText"/>
      </w:pPr>
      <w:r>
        <w:rPr>
          <w:rStyle w:val="FootnoteReference"/>
        </w:rPr>
        <w:footnoteRef/>
      </w:r>
      <w:r>
        <w:t xml:space="preserve">  Thomas (1979), 371, citing </w:t>
      </w:r>
      <w:r>
        <w:rPr>
          <w:i/>
        </w:rPr>
        <w:t xml:space="preserve">Robinson </w:t>
      </w:r>
      <w:r>
        <w:t>(1969) 53 Cr. App. R. 314</w:t>
      </w:r>
    </w:p>
  </w:footnote>
  <w:footnote w:id="12">
    <w:p w14:paraId="2D866630" w14:textId="77777777" w:rsidR="00C3214C" w:rsidRDefault="00C3214C" w:rsidP="00C3214C">
      <w:pPr>
        <w:pStyle w:val="FootnoteText"/>
      </w:pPr>
      <w:r>
        <w:rPr>
          <w:rStyle w:val="FootnoteReference"/>
        </w:rPr>
        <w:footnoteRef/>
      </w:r>
      <w:r>
        <w:t xml:space="preserve"> </w:t>
      </w:r>
      <w:r>
        <w:rPr>
          <w:i/>
        </w:rPr>
        <w:t xml:space="preserve">Canavan </w:t>
      </w:r>
      <w:r>
        <w:t xml:space="preserve">[1998] 1 Cr. App. R. (S) 243, at p. 246.  Where the defendant has admitted other offences and asked the court to take them into consideration, clearly the </w:t>
      </w:r>
      <w:r>
        <w:rPr>
          <w:i/>
        </w:rPr>
        <w:t xml:space="preserve">Canavan </w:t>
      </w:r>
      <w:r>
        <w:t>principle does not apply.</w:t>
      </w:r>
    </w:p>
  </w:footnote>
  <w:footnote w:id="13">
    <w:p w14:paraId="180AFBE8" w14:textId="77777777" w:rsidR="00C55E17" w:rsidRPr="00C55E17" w:rsidRDefault="00C55E17">
      <w:pPr>
        <w:pStyle w:val="FootnoteText"/>
      </w:pPr>
      <w:r>
        <w:rPr>
          <w:rStyle w:val="FootnoteReference"/>
        </w:rPr>
        <w:footnoteRef/>
      </w:r>
      <w:r>
        <w:t xml:space="preserve"> J </w:t>
      </w:r>
      <w:proofErr w:type="spellStart"/>
      <w:r>
        <w:t>Shapland</w:t>
      </w:r>
      <w:proofErr w:type="spellEnd"/>
      <w:r>
        <w:t xml:space="preserve">, </w:t>
      </w:r>
      <w:r>
        <w:rPr>
          <w:i/>
        </w:rPr>
        <w:t>Between Conviction and Sentence</w:t>
      </w:r>
      <w:r>
        <w:t>, 1981, pp.143-144</w:t>
      </w:r>
    </w:p>
  </w:footnote>
  <w:footnote w:id="14">
    <w:p w14:paraId="786EBD28" w14:textId="77777777" w:rsidR="009001D7" w:rsidRDefault="009001D7">
      <w:pPr>
        <w:pStyle w:val="FootnoteText"/>
      </w:pPr>
      <w:r>
        <w:rPr>
          <w:rStyle w:val="FootnoteReference"/>
        </w:rPr>
        <w:footnoteRef/>
      </w:r>
      <w:r>
        <w:t xml:space="preserve"> P </w:t>
      </w:r>
      <w:proofErr w:type="spellStart"/>
      <w:r>
        <w:t>Darbyshire</w:t>
      </w:r>
      <w:proofErr w:type="spellEnd"/>
      <w:r>
        <w:t xml:space="preserve">, </w:t>
      </w:r>
      <w:r>
        <w:rPr>
          <w:i/>
        </w:rPr>
        <w:t>Sitting in Judgment: The Working Lives of Judges</w:t>
      </w:r>
      <w:r>
        <w:t>, 2011, Hart Publishing, Chap 9, especially pp.206-210</w:t>
      </w:r>
    </w:p>
  </w:footnote>
  <w:footnote w:id="15">
    <w:p w14:paraId="4B5BAB7B" w14:textId="77777777" w:rsidR="009001D7" w:rsidRDefault="009001D7">
      <w:pPr>
        <w:pStyle w:val="FootnoteText"/>
      </w:pPr>
      <w:r>
        <w:rPr>
          <w:rStyle w:val="FootnoteReference"/>
        </w:rPr>
        <w:footnoteRef/>
      </w:r>
      <w:r>
        <w:t xml:space="preserve"> J Jacobson, G Hunter and A Kirby, </w:t>
      </w:r>
      <w:r>
        <w:rPr>
          <w:i/>
        </w:rPr>
        <w:t>Inside Crown Court</w:t>
      </w:r>
      <w:r>
        <w:t xml:space="preserve">, 2016, </w:t>
      </w:r>
      <w:r w:rsidR="006C13EC">
        <w:t xml:space="preserve">Policy Press, </w:t>
      </w:r>
      <w:r>
        <w:t>Chapter 3, especially p.55-60</w:t>
      </w:r>
    </w:p>
  </w:footnote>
  <w:footnote w:id="16">
    <w:p w14:paraId="16CE6295" w14:textId="77777777" w:rsidR="002A54BA" w:rsidRDefault="002A54BA" w:rsidP="002A54BA">
      <w:pPr>
        <w:pStyle w:val="FootnoteText"/>
      </w:pPr>
      <w:r>
        <w:rPr>
          <w:rStyle w:val="FootnoteReference"/>
        </w:rPr>
        <w:footnoteRef/>
      </w:r>
      <w:r>
        <w:t xml:space="preserve"> </w:t>
      </w:r>
      <w:r>
        <w:rPr>
          <w:i/>
        </w:rPr>
        <w:t xml:space="preserve">X v. United Kingdom </w:t>
      </w:r>
      <w:r>
        <w:t>(1972) 2 Digest 766</w:t>
      </w:r>
      <w:r w:rsidR="00BD40E8">
        <w:t xml:space="preserve">; see, more recently, </w:t>
      </w:r>
      <w:proofErr w:type="spellStart"/>
      <w:r w:rsidR="00BD40E8">
        <w:rPr>
          <w:i/>
        </w:rPr>
        <w:t>Natsvlishvili</w:t>
      </w:r>
      <w:proofErr w:type="spellEnd"/>
      <w:r w:rsidR="00BD40E8">
        <w:rPr>
          <w:i/>
        </w:rPr>
        <w:t xml:space="preserve"> v. Georgia </w:t>
      </w:r>
      <w:r w:rsidR="00BD40E8">
        <w:t>App no. 9043/05, judgment of 25 June 2013.</w:t>
      </w:r>
    </w:p>
  </w:footnote>
  <w:footnote w:id="17">
    <w:p w14:paraId="4BA8FC02" w14:textId="53EBB15E" w:rsidR="00A7455A" w:rsidRPr="00A7455A" w:rsidRDefault="00A7455A">
      <w:pPr>
        <w:pStyle w:val="FootnoteText"/>
      </w:pPr>
      <w:r>
        <w:rPr>
          <w:rStyle w:val="FootnoteReference"/>
        </w:rPr>
        <w:footnoteRef/>
      </w:r>
      <w:r>
        <w:t xml:space="preserve">  American Law Institute, </w:t>
      </w:r>
      <w:r>
        <w:rPr>
          <w:i/>
        </w:rPr>
        <w:t xml:space="preserve">Model Penal Code: Sentencing </w:t>
      </w:r>
      <w:r>
        <w:t>(</w:t>
      </w:r>
      <w:r w:rsidR="00BC60DA">
        <w:t>Official Statutory Text</w:t>
      </w:r>
      <w:r w:rsidR="007751AC">
        <w:t xml:space="preserve">, </w:t>
      </w:r>
      <w:r>
        <w:t>201</w:t>
      </w:r>
      <w:r w:rsidR="007751AC">
        <w:t>7</w:t>
      </w:r>
      <w:r>
        <w:t xml:space="preserve">), section </w:t>
      </w:r>
      <w:r w:rsidR="00BC60DA">
        <w:t>10.06</w:t>
      </w:r>
      <w:r w:rsidR="007751AC">
        <w:t>(4)</w:t>
      </w:r>
      <w:r>
        <w:t>.</w:t>
      </w:r>
    </w:p>
  </w:footnote>
  <w:footnote w:id="18">
    <w:p w14:paraId="58C636BE" w14:textId="77777777" w:rsidR="002A54BA" w:rsidRDefault="002A54BA" w:rsidP="002A54BA">
      <w:pPr>
        <w:pStyle w:val="FootnoteText"/>
      </w:pPr>
      <w:r>
        <w:rPr>
          <w:rStyle w:val="FootnoteReference"/>
        </w:rPr>
        <w:footnoteRef/>
      </w:r>
      <w:r>
        <w:t xml:space="preserve"> </w:t>
      </w:r>
      <w:proofErr w:type="spellStart"/>
      <w:r>
        <w:rPr>
          <w:i/>
        </w:rPr>
        <w:t>Lashari</w:t>
      </w:r>
      <w:proofErr w:type="spellEnd"/>
      <w:r>
        <w:rPr>
          <w:i/>
        </w:rPr>
        <w:t xml:space="preserve"> </w:t>
      </w:r>
      <w:r>
        <w:t>[2011] 1 Cr. App. R. (S) 439, at [24].</w:t>
      </w:r>
    </w:p>
  </w:footnote>
  <w:footnote w:id="19">
    <w:p w14:paraId="472EF43C" w14:textId="77777777" w:rsidR="002A54BA" w:rsidRDefault="002A54BA" w:rsidP="002A54BA">
      <w:pPr>
        <w:pStyle w:val="FootnoteText"/>
      </w:pPr>
      <w:r>
        <w:rPr>
          <w:rStyle w:val="FootnoteReference"/>
        </w:rPr>
        <w:footnoteRef/>
      </w:r>
      <w:r>
        <w:t xml:space="preserve"> </w:t>
      </w:r>
      <w:r>
        <w:rPr>
          <w:i/>
        </w:rPr>
        <w:t xml:space="preserve">Guppy and Marsh </w:t>
      </w:r>
      <w:r>
        <w:t>(1995) 16 Cr. App. R. (S) 25, at p. 32.</w:t>
      </w:r>
    </w:p>
  </w:footnote>
  <w:footnote w:id="20">
    <w:p w14:paraId="6F5C7A23" w14:textId="77777777" w:rsidR="002A54BA" w:rsidRDefault="002A54BA" w:rsidP="002A54BA">
      <w:pPr>
        <w:pStyle w:val="FootnoteText"/>
      </w:pPr>
      <w:r>
        <w:rPr>
          <w:rStyle w:val="FootnoteReference"/>
        </w:rPr>
        <w:footnoteRef/>
      </w:r>
      <w:r>
        <w:t xml:space="preserve"> </w:t>
      </w:r>
      <w:r>
        <w:rPr>
          <w:i/>
        </w:rPr>
        <w:t xml:space="preserve">Guppy and Marsh </w:t>
      </w:r>
      <w:r>
        <w:t>(1995) 16 Cr. App. R. (S) 25, at p. 32.</w:t>
      </w:r>
    </w:p>
  </w:footnote>
  <w:footnote w:id="21">
    <w:p w14:paraId="7EEDA9B3" w14:textId="77777777" w:rsidR="00FD575B" w:rsidRDefault="00FD575B" w:rsidP="00FD575B">
      <w:pPr>
        <w:pStyle w:val="FootnoteText"/>
      </w:pPr>
      <w:r>
        <w:rPr>
          <w:rStyle w:val="FootnoteReference"/>
        </w:rPr>
        <w:footnoteRef/>
      </w:r>
      <w:r>
        <w:t xml:space="preserve"> [2017] EWCA Crim 137</w:t>
      </w:r>
    </w:p>
  </w:footnote>
  <w:footnote w:id="22">
    <w:p w14:paraId="49C67079" w14:textId="319A6309" w:rsidR="002A54BA" w:rsidRDefault="002A54BA" w:rsidP="002A54BA">
      <w:pPr>
        <w:pStyle w:val="FootnoteText"/>
      </w:pPr>
      <w:r>
        <w:rPr>
          <w:rStyle w:val="FootnoteReference"/>
        </w:rPr>
        <w:footnoteRef/>
      </w:r>
      <w:r>
        <w:t xml:space="preserve"> [2011] 1 Cr. App. R. (S) 439</w:t>
      </w:r>
    </w:p>
  </w:footnote>
  <w:footnote w:id="23">
    <w:p w14:paraId="25CC41EA" w14:textId="46B4F0DA" w:rsidR="000A4AEE" w:rsidRPr="000A4AEE" w:rsidRDefault="000A4AEE">
      <w:pPr>
        <w:pStyle w:val="FootnoteText"/>
      </w:pPr>
      <w:r>
        <w:rPr>
          <w:rStyle w:val="FootnoteReference"/>
        </w:rPr>
        <w:footnoteRef/>
      </w:r>
      <w:r>
        <w:t xml:space="preserve">  Cf. </w:t>
      </w:r>
      <w:r>
        <w:rPr>
          <w:i/>
        </w:rPr>
        <w:t xml:space="preserve">Hussain </w:t>
      </w:r>
      <w:r>
        <w:t xml:space="preserve">[2019] 2 Cr. App. R. (S.) 52 on </w:t>
      </w:r>
      <w:r>
        <w:rPr>
          <w:i/>
        </w:rPr>
        <w:t xml:space="preserve">Newton </w:t>
      </w:r>
      <w:r>
        <w:t xml:space="preserve">hearings and minimum sentence for firearms possession. </w:t>
      </w:r>
    </w:p>
  </w:footnote>
  <w:footnote w:id="24">
    <w:p w14:paraId="2C7C090B" w14:textId="03175812" w:rsidR="0042114A" w:rsidRPr="0042114A" w:rsidRDefault="0042114A">
      <w:pPr>
        <w:pStyle w:val="FootnoteText"/>
      </w:pPr>
      <w:r>
        <w:rPr>
          <w:rStyle w:val="FootnoteReference"/>
        </w:rPr>
        <w:footnoteRef/>
      </w:r>
      <w:r>
        <w:t xml:space="preserve"> By implication, a sentence indication under the </w:t>
      </w:r>
      <w:r>
        <w:rPr>
          <w:i/>
        </w:rPr>
        <w:t>Goodyear</w:t>
      </w:r>
      <w:r>
        <w:t xml:space="preserve"> [2005] EWCA Crim 888 principles should not normally be given without an agreed written basis of plea</w:t>
      </w:r>
      <w:r w:rsidR="00E423AD">
        <w:t>: CPD Sentencing C3</w:t>
      </w:r>
      <w:r>
        <w:t xml:space="preserve"> </w:t>
      </w:r>
    </w:p>
  </w:footnote>
  <w:footnote w:id="25">
    <w:p w14:paraId="20DFCF7A" w14:textId="50C2D5C7" w:rsidR="00B14325" w:rsidRPr="00B14325" w:rsidRDefault="00B14325">
      <w:pPr>
        <w:pStyle w:val="FootnoteText"/>
        <w:rPr>
          <w:rFonts w:cstheme="minorHAnsi"/>
        </w:rPr>
      </w:pPr>
      <w:r w:rsidRPr="00B14325">
        <w:rPr>
          <w:rStyle w:val="FootnoteReference"/>
          <w:rFonts w:cstheme="minorHAnsi"/>
        </w:rPr>
        <w:footnoteRef/>
      </w:r>
      <w:r w:rsidRPr="00B14325">
        <w:rPr>
          <w:rFonts w:cstheme="minorHAnsi"/>
        </w:rPr>
        <w:t xml:space="preserve"> </w:t>
      </w:r>
      <w:r>
        <w:rPr>
          <w:rFonts w:cstheme="minorHAnsi"/>
        </w:rPr>
        <w:t>The judge’s ‘</w:t>
      </w:r>
      <w:r w:rsidRPr="00B14325">
        <w:rPr>
          <w:rFonts w:cstheme="minorHAnsi"/>
          <w:color w:val="212121"/>
          <w:shd w:val="clear" w:color="auto" w:fill="FFFFFF"/>
        </w:rPr>
        <w:t>self-directions should reflect the relevant directions he would have given to the jury</w:t>
      </w:r>
      <w:r>
        <w:rPr>
          <w:rFonts w:cstheme="minorHAnsi"/>
          <w:color w:val="212121"/>
          <w:shd w:val="clear" w:color="auto" w:fill="FFFFFF"/>
        </w:rPr>
        <w:t xml:space="preserve">’, according to Lord Judge CJ in </w:t>
      </w:r>
      <w:r>
        <w:rPr>
          <w:rFonts w:cstheme="minorHAnsi"/>
          <w:i/>
          <w:color w:val="212121"/>
          <w:shd w:val="clear" w:color="auto" w:fill="FFFFFF"/>
        </w:rPr>
        <w:t>Underwood</w:t>
      </w:r>
      <w:r>
        <w:rPr>
          <w:rFonts w:cstheme="minorHAnsi"/>
          <w:color w:val="212121"/>
          <w:shd w:val="clear" w:color="auto" w:fill="FFFFFF"/>
        </w:rPr>
        <w:t>, at para 9</w:t>
      </w:r>
    </w:p>
  </w:footnote>
  <w:footnote w:id="26">
    <w:p w14:paraId="70DA2357" w14:textId="12DACE73" w:rsidR="001D7036" w:rsidRPr="00B14325" w:rsidRDefault="001D7036">
      <w:pPr>
        <w:pStyle w:val="FootnoteText"/>
        <w:rPr>
          <w:rFonts w:cstheme="minorHAnsi"/>
        </w:rPr>
      </w:pPr>
      <w:r w:rsidRPr="00B14325">
        <w:rPr>
          <w:rStyle w:val="FootnoteReference"/>
          <w:rFonts w:cstheme="minorHAnsi"/>
        </w:rPr>
        <w:footnoteRef/>
      </w:r>
      <w:r w:rsidRPr="00B14325">
        <w:rPr>
          <w:rFonts w:cstheme="minorHAnsi"/>
        </w:rPr>
        <w:t xml:space="preserve"> </w:t>
      </w:r>
      <w:r w:rsidR="0011305F" w:rsidRPr="00B14325">
        <w:rPr>
          <w:rFonts w:cstheme="minorHAnsi"/>
        </w:rPr>
        <w:t xml:space="preserve">Sentencing Council, Definitive Guideline, </w:t>
      </w:r>
      <w:r w:rsidR="0011305F" w:rsidRPr="00B14325">
        <w:rPr>
          <w:rFonts w:cstheme="minorHAnsi"/>
          <w:i/>
        </w:rPr>
        <w:t>Reduction in Sentence for a Guilty Plea</w:t>
      </w:r>
      <w:r w:rsidR="0011305F" w:rsidRPr="00B14325">
        <w:rPr>
          <w:rFonts w:cstheme="minorHAnsi"/>
        </w:rPr>
        <w:t xml:space="preserve"> (2017), para F2</w:t>
      </w:r>
    </w:p>
  </w:footnote>
  <w:footnote w:id="27">
    <w:p w14:paraId="0CA580B6" w14:textId="4AA6B9F4" w:rsidR="0021433A" w:rsidRPr="00B14325" w:rsidRDefault="0021433A">
      <w:pPr>
        <w:pStyle w:val="FootnoteText"/>
        <w:rPr>
          <w:rFonts w:cstheme="minorHAnsi"/>
        </w:rPr>
      </w:pPr>
      <w:r w:rsidRPr="00B14325">
        <w:rPr>
          <w:rStyle w:val="FootnoteReference"/>
          <w:rFonts w:cstheme="minorHAnsi"/>
        </w:rPr>
        <w:footnoteRef/>
      </w:r>
      <w:r w:rsidRPr="00B14325">
        <w:rPr>
          <w:rFonts w:cstheme="minorHAnsi"/>
        </w:rPr>
        <w:t xml:space="preserve"> See </w:t>
      </w:r>
      <w:r w:rsidRPr="00B14325">
        <w:rPr>
          <w:rFonts w:cstheme="minorHAnsi"/>
          <w:i/>
        </w:rPr>
        <w:t>Flack</w:t>
      </w:r>
      <w:r w:rsidRPr="00B14325">
        <w:rPr>
          <w:rFonts w:cstheme="minorHAnsi"/>
        </w:rPr>
        <w:t xml:space="preserve"> [2013] EWCA Crim 115</w:t>
      </w:r>
    </w:p>
  </w:footnote>
  <w:footnote w:id="28">
    <w:p w14:paraId="7B36419E" w14:textId="77777777" w:rsidR="00002582" w:rsidRDefault="00002582" w:rsidP="00002582">
      <w:pPr>
        <w:pStyle w:val="FootnoteText"/>
      </w:pPr>
      <w:r>
        <w:rPr>
          <w:rStyle w:val="FootnoteReference"/>
        </w:rPr>
        <w:footnoteRef/>
      </w:r>
      <w:r>
        <w:t xml:space="preserve"> CPD Sentencing B10</w:t>
      </w:r>
    </w:p>
  </w:footnote>
  <w:footnote w:id="29">
    <w:p w14:paraId="1FC35CB1" w14:textId="4F9CF816" w:rsidR="0040715B" w:rsidRPr="0040715B" w:rsidRDefault="0040715B">
      <w:pPr>
        <w:pStyle w:val="FootnoteText"/>
      </w:pPr>
      <w:r>
        <w:rPr>
          <w:rStyle w:val="FootnoteReference"/>
        </w:rPr>
        <w:footnoteRef/>
      </w:r>
      <w:r>
        <w:t xml:space="preserve"> </w:t>
      </w:r>
      <w:r>
        <w:rPr>
          <w:i/>
        </w:rPr>
        <w:t>Underwood</w:t>
      </w:r>
      <w:r>
        <w:t>, at para 10(e)</w:t>
      </w:r>
    </w:p>
  </w:footnote>
  <w:footnote w:id="30">
    <w:p w14:paraId="5CD5B131" w14:textId="1280C2DC" w:rsidR="002A54BA" w:rsidRPr="00B22210" w:rsidRDefault="002A54BA" w:rsidP="002A54BA">
      <w:pPr>
        <w:pStyle w:val="FootnoteText"/>
      </w:pPr>
      <w:r w:rsidRPr="00B14325">
        <w:rPr>
          <w:rStyle w:val="FootnoteReference"/>
          <w:rFonts w:cstheme="minorHAnsi"/>
        </w:rPr>
        <w:footnoteRef/>
      </w:r>
      <w:r w:rsidRPr="00B14325">
        <w:rPr>
          <w:rFonts w:cstheme="minorHAnsi"/>
        </w:rPr>
        <w:t xml:space="preserve"> ‘An important step forward in procedural</w:t>
      </w:r>
      <w:r>
        <w:t xml:space="preserve"> fairness’</w:t>
      </w:r>
      <w:r w:rsidR="006D61E0">
        <w:t xml:space="preserve">: </w:t>
      </w:r>
      <w:r>
        <w:t xml:space="preserve">A Ashworth, </w:t>
      </w:r>
      <w:r>
        <w:rPr>
          <w:i/>
        </w:rPr>
        <w:t>Sentencing and Criminal Justice</w:t>
      </w:r>
      <w:r w:rsidR="006D61E0">
        <w:t xml:space="preserve"> (2015), p.428</w:t>
      </w:r>
    </w:p>
  </w:footnote>
  <w:footnote w:id="31">
    <w:p w14:paraId="101E76C9" w14:textId="1D8D5593" w:rsidR="00BF45A8" w:rsidRDefault="00BF45A8">
      <w:pPr>
        <w:pStyle w:val="FootnoteText"/>
      </w:pPr>
      <w:r>
        <w:rPr>
          <w:rStyle w:val="FootnoteReference"/>
        </w:rPr>
        <w:footnoteRef/>
      </w:r>
      <w:r>
        <w:t xml:space="preserve"> </w:t>
      </w:r>
      <w:proofErr w:type="spellStart"/>
      <w:r>
        <w:t>Darbyshire</w:t>
      </w:r>
      <w:proofErr w:type="spellEnd"/>
      <w:r w:rsidR="006D61E0">
        <w:t xml:space="preserve"> (2011)</w:t>
      </w:r>
      <w:r>
        <w:t xml:space="preserve"> , Chap </w:t>
      </w:r>
      <w:r w:rsidR="006D61E0">
        <w:t>9</w:t>
      </w:r>
      <w:r>
        <w:t>, especially pp.179-185 and p.208</w:t>
      </w:r>
      <w:r w:rsidR="006D61E0">
        <w:t xml:space="preserve">: </w:t>
      </w:r>
    </w:p>
  </w:footnote>
  <w:footnote w:id="32">
    <w:p w14:paraId="67CBB08B" w14:textId="50B5A212" w:rsidR="00BA5EB4" w:rsidRPr="00BA5EB4" w:rsidRDefault="00BA5EB4">
      <w:pPr>
        <w:pStyle w:val="FootnoteText"/>
        <w:rPr>
          <w:rFonts w:cstheme="minorHAnsi"/>
        </w:rPr>
      </w:pPr>
      <w:r w:rsidRPr="00BA5EB4">
        <w:rPr>
          <w:rStyle w:val="FootnoteReference"/>
          <w:rFonts w:cstheme="minorHAnsi"/>
        </w:rPr>
        <w:footnoteRef/>
      </w:r>
      <w:r w:rsidRPr="00BA5EB4">
        <w:rPr>
          <w:rFonts w:cstheme="minorHAnsi"/>
        </w:rPr>
        <w:t xml:space="preserve"> Though see the comment of Lord Judge CJ in </w:t>
      </w:r>
      <w:r w:rsidRPr="00BA5EB4">
        <w:rPr>
          <w:rFonts w:cstheme="minorHAnsi"/>
          <w:i/>
        </w:rPr>
        <w:t>Underwood</w:t>
      </w:r>
      <w:r w:rsidRPr="00BA5EB4">
        <w:rPr>
          <w:rFonts w:cstheme="minorHAnsi"/>
        </w:rPr>
        <w:t xml:space="preserve">, </w:t>
      </w:r>
      <w:r>
        <w:rPr>
          <w:rFonts w:cstheme="minorHAnsi"/>
        </w:rPr>
        <w:t xml:space="preserve">at para 7, that </w:t>
      </w:r>
      <w:r w:rsidR="00281DB5">
        <w:rPr>
          <w:rFonts w:cstheme="minorHAnsi"/>
        </w:rPr>
        <w:t>‘</w:t>
      </w:r>
      <w:r>
        <w:rPr>
          <w:rFonts w:cstheme="minorHAnsi"/>
        </w:rPr>
        <w:t>where a late plea of guilty is tendered</w:t>
      </w:r>
      <w:r w:rsidR="00281DB5">
        <w:rPr>
          <w:rFonts w:cstheme="minorHAnsi"/>
        </w:rPr>
        <w:t xml:space="preserve">, </w:t>
      </w:r>
      <w:r w:rsidRPr="00BA5EB4">
        <w:rPr>
          <w:rFonts w:cstheme="minorHAnsi"/>
          <w:color w:val="212121"/>
          <w:shd w:val="clear" w:color="auto" w:fill="FFFFFF"/>
        </w:rPr>
        <w:t>unless it is impracticable for some exceptional reason, the hearing should proceed immediately</w:t>
      </w:r>
      <w:r w:rsidR="00281DB5">
        <w:rPr>
          <w:rFonts w:cstheme="minorHAnsi"/>
          <w:color w:val="212121"/>
          <w:shd w:val="clear" w:color="auto" w:fill="FFFFFF"/>
        </w:rPr>
        <w:t>’.</w:t>
      </w:r>
    </w:p>
  </w:footnote>
  <w:footnote w:id="33">
    <w:p w14:paraId="0CFB7979" w14:textId="77777777" w:rsidR="00461B5E" w:rsidRPr="00BA5EB4" w:rsidRDefault="00461B5E" w:rsidP="00461B5E">
      <w:pPr>
        <w:pStyle w:val="FootnoteText"/>
        <w:rPr>
          <w:rFonts w:cstheme="minorHAnsi"/>
        </w:rPr>
      </w:pPr>
      <w:r w:rsidRPr="00BA5EB4">
        <w:rPr>
          <w:rStyle w:val="FootnoteReference"/>
          <w:rFonts w:cstheme="minorHAnsi"/>
        </w:rPr>
        <w:footnoteRef/>
      </w:r>
      <w:r w:rsidRPr="00BA5EB4">
        <w:rPr>
          <w:rFonts w:cstheme="minorHAnsi"/>
        </w:rPr>
        <w:t xml:space="preserve"> Sentencing Council, Definitive Guideline, </w:t>
      </w:r>
      <w:r w:rsidRPr="00BA5EB4">
        <w:rPr>
          <w:rFonts w:cstheme="minorHAnsi"/>
          <w:i/>
        </w:rPr>
        <w:t>Reduction in Sentence for a Guilty Plea</w:t>
      </w:r>
      <w:r w:rsidRPr="00BA5EB4">
        <w:rPr>
          <w:rFonts w:cstheme="minorHAnsi"/>
        </w:rPr>
        <w:t xml:space="preserve"> (2017), para B</w:t>
      </w:r>
    </w:p>
  </w:footnote>
  <w:footnote w:id="34">
    <w:p w14:paraId="2B2B852F" w14:textId="77777777" w:rsidR="002A54BA" w:rsidRPr="00D91625" w:rsidRDefault="002A54BA" w:rsidP="002A54BA">
      <w:pPr>
        <w:pStyle w:val="FootnoteText"/>
      </w:pPr>
      <w:r>
        <w:rPr>
          <w:rStyle w:val="FootnoteReference"/>
        </w:rPr>
        <w:footnoteRef/>
      </w:r>
      <w:r>
        <w:t xml:space="preserve"> See further D Wolchover and A Heaton-Armstrong, ‘Dumping </w:t>
      </w:r>
      <w:r w:rsidRPr="00D91625">
        <w:rPr>
          <w:i/>
        </w:rPr>
        <w:t>Newton</w:t>
      </w:r>
      <w:r>
        <w:t xml:space="preserve">’ (2012) 176 </w:t>
      </w:r>
      <w:r>
        <w:rPr>
          <w:i/>
        </w:rPr>
        <w:t>Criminal law &amp; Justice</w:t>
      </w:r>
      <w:r>
        <w:t xml:space="preserve"> 334-5, 347-9 &amp; 367-8; Lyndon Harris, ‘</w:t>
      </w:r>
      <w:r>
        <w:rPr>
          <w:i/>
        </w:rPr>
        <w:t>Newton</w:t>
      </w:r>
      <w:r>
        <w:t xml:space="preserve"> hearings: A procedure stacked against the defence’ (2013) 177 </w:t>
      </w:r>
      <w:r>
        <w:rPr>
          <w:i/>
        </w:rPr>
        <w:t>Criminal Law &amp; Justice</w:t>
      </w:r>
      <w:r>
        <w:t xml:space="preserve"> 423-4</w:t>
      </w:r>
    </w:p>
  </w:footnote>
  <w:footnote w:id="35">
    <w:p w14:paraId="3FA136D0" w14:textId="77777777" w:rsidR="00FE6B02" w:rsidRPr="008E6B9D" w:rsidRDefault="00FE6B02" w:rsidP="00FE6B02">
      <w:pPr>
        <w:pStyle w:val="FootnoteText"/>
      </w:pPr>
      <w:r>
        <w:rPr>
          <w:rStyle w:val="FootnoteReference"/>
        </w:rPr>
        <w:footnoteRef/>
      </w:r>
      <w:r>
        <w:t xml:space="preserve"> Jacobson et al (2016), p.56</w:t>
      </w:r>
    </w:p>
  </w:footnote>
  <w:footnote w:id="36">
    <w:p w14:paraId="32832457" w14:textId="7D086AEE" w:rsidR="00153413" w:rsidRPr="00153413" w:rsidRDefault="00153413">
      <w:pPr>
        <w:pStyle w:val="FootnoteText"/>
      </w:pPr>
      <w:r>
        <w:rPr>
          <w:rStyle w:val="FootnoteReference"/>
        </w:rPr>
        <w:footnoteRef/>
      </w:r>
      <w:r>
        <w:t xml:space="preserve"> M </w:t>
      </w:r>
      <w:proofErr w:type="spellStart"/>
      <w:r>
        <w:t>M</w:t>
      </w:r>
      <w:proofErr w:type="spellEnd"/>
      <w:r>
        <w:t xml:space="preserve"> </w:t>
      </w:r>
      <w:proofErr w:type="spellStart"/>
      <w:r>
        <w:t>Feeley</w:t>
      </w:r>
      <w:proofErr w:type="spellEnd"/>
      <w:r>
        <w:t xml:space="preserve">, </w:t>
      </w:r>
      <w:r>
        <w:rPr>
          <w:i/>
        </w:rPr>
        <w:t>The Process is the Punishment</w:t>
      </w:r>
      <w:r>
        <w:t xml:space="preserve"> (1992), p.197</w:t>
      </w:r>
    </w:p>
  </w:footnote>
  <w:footnote w:id="37">
    <w:p w14:paraId="26C0A221" w14:textId="77777777" w:rsidR="00461B5E" w:rsidRDefault="00461B5E" w:rsidP="00461B5E">
      <w:pPr>
        <w:pStyle w:val="FootnoteText"/>
      </w:pPr>
      <w:r>
        <w:rPr>
          <w:rStyle w:val="FootnoteReference"/>
        </w:rPr>
        <w:footnoteRef/>
      </w:r>
      <w:r>
        <w:t xml:space="preserve"> Jacobson et al (2016), p.54</w:t>
      </w:r>
    </w:p>
  </w:footnote>
  <w:footnote w:id="38">
    <w:p w14:paraId="47189A4A" w14:textId="77777777" w:rsidR="00B82A9A" w:rsidRPr="00BD40E8" w:rsidRDefault="00B82A9A">
      <w:pPr>
        <w:pStyle w:val="FootnoteText"/>
      </w:pPr>
      <w:r>
        <w:rPr>
          <w:rStyle w:val="FootnoteReference"/>
        </w:rPr>
        <w:footnoteRef/>
      </w:r>
      <w:r>
        <w:t xml:space="preserve"> [2016] EWCA Crim 801 (dealing with the appellant </w:t>
      </w:r>
      <w:proofErr w:type="spellStart"/>
      <w:r>
        <w:t>Beaman</w:t>
      </w:r>
      <w:proofErr w:type="spellEnd"/>
      <w:r>
        <w:t>)</w:t>
      </w:r>
      <w:r w:rsidR="00BD40E8">
        <w:t xml:space="preserve">; see also </w:t>
      </w:r>
      <w:proofErr w:type="spellStart"/>
      <w:r w:rsidR="00BD40E8">
        <w:rPr>
          <w:i/>
        </w:rPr>
        <w:t>Lashari</w:t>
      </w:r>
      <w:proofErr w:type="spellEnd"/>
      <w:r w:rsidR="00BD40E8">
        <w:rPr>
          <w:i/>
        </w:rPr>
        <w:t xml:space="preserve">, </w:t>
      </w:r>
      <w:r w:rsidR="005764C2">
        <w:t>above, n. 22.</w:t>
      </w:r>
    </w:p>
  </w:footnote>
  <w:footnote w:id="39">
    <w:p w14:paraId="15E3DB9B" w14:textId="0B6C1C9D" w:rsidR="00B82A9A" w:rsidRPr="00CB2E7F" w:rsidRDefault="00B82A9A">
      <w:pPr>
        <w:pStyle w:val="FootnoteText"/>
      </w:pPr>
      <w:r>
        <w:rPr>
          <w:rStyle w:val="FootnoteReference"/>
        </w:rPr>
        <w:footnoteRef/>
      </w:r>
      <w:r>
        <w:t xml:space="preserve"> </w:t>
      </w:r>
      <w:r>
        <w:rPr>
          <w:i/>
        </w:rPr>
        <w:t>Dawson</w:t>
      </w:r>
      <w:r>
        <w:t xml:space="preserve"> [2017] EWCA Crim 2244; </w:t>
      </w:r>
      <w:r>
        <w:rPr>
          <w:i/>
        </w:rPr>
        <w:t>Hussain</w:t>
      </w:r>
      <w:r>
        <w:t xml:space="preserve"> [2019] EWCA Crim 362</w:t>
      </w:r>
      <w:r w:rsidR="00CB2E7F">
        <w:t xml:space="preserve">; </w:t>
      </w:r>
      <w:proofErr w:type="spellStart"/>
      <w:r w:rsidR="00CB2E7F">
        <w:rPr>
          <w:i/>
        </w:rPr>
        <w:t>Nancarrow</w:t>
      </w:r>
      <w:proofErr w:type="spellEnd"/>
      <w:r w:rsidR="00CB2E7F">
        <w:t xml:space="preserve"> [2019] EWCA Crim 470</w:t>
      </w:r>
    </w:p>
  </w:footnote>
  <w:footnote w:id="40">
    <w:p w14:paraId="6D1D5E09" w14:textId="5218AEC2" w:rsidR="00CE1491" w:rsidRDefault="00CE1491">
      <w:pPr>
        <w:pStyle w:val="FootnoteText"/>
      </w:pPr>
      <w:r>
        <w:rPr>
          <w:rStyle w:val="FootnoteReference"/>
        </w:rPr>
        <w:footnoteRef/>
      </w:r>
      <w:r>
        <w:t xml:space="preserve"> See further </w:t>
      </w:r>
      <w:r w:rsidR="006D61E0">
        <w:t xml:space="preserve">M </w:t>
      </w:r>
      <w:r>
        <w:t>Wasik, ‘Time to repeal the firearms minimum sentence provision’ [2017] 3 Crim LR 203-212</w:t>
      </w:r>
    </w:p>
  </w:footnote>
  <w:footnote w:id="41">
    <w:p w14:paraId="0EB715AA" w14:textId="3086E248" w:rsidR="000A4AEE" w:rsidRPr="000A4AEE" w:rsidRDefault="000A4AEE">
      <w:pPr>
        <w:pStyle w:val="FootnoteText"/>
      </w:pPr>
      <w:r>
        <w:rPr>
          <w:rStyle w:val="FootnoteReference"/>
        </w:rPr>
        <w:footnoteRef/>
      </w:r>
      <w:r>
        <w:t xml:space="preserve">  Sentencing Council, </w:t>
      </w:r>
      <w:r>
        <w:rPr>
          <w:i/>
        </w:rPr>
        <w:t xml:space="preserve">General Guideline: Overarching Principles </w:t>
      </w:r>
      <w:r>
        <w:t>(2019).</w:t>
      </w:r>
    </w:p>
  </w:footnote>
  <w:footnote w:id="42">
    <w:p w14:paraId="616C912A" w14:textId="7EDB1230" w:rsidR="00E909FF" w:rsidRPr="00D66B74" w:rsidRDefault="00E909FF" w:rsidP="00E909FF">
      <w:pPr>
        <w:pStyle w:val="FootnoteText"/>
      </w:pPr>
      <w:r>
        <w:rPr>
          <w:rStyle w:val="FootnoteReference"/>
        </w:rPr>
        <w:footnoteRef/>
      </w:r>
      <w:r>
        <w:t xml:space="preserve"> By contrast the Sentencing Council’s consultation guideline on </w:t>
      </w:r>
      <w:r>
        <w:rPr>
          <w:i/>
        </w:rPr>
        <w:t>Firearms Offences</w:t>
      </w:r>
      <w:r>
        <w:t xml:space="preserve"> specifically endorses the use of a </w:t>
      </w:r>
      <w:r>
        <w:rPr>
          <w:i/>
        </w:rPr>
        <w:t>Newton</w:t>
      </w:r>
      <w:r>
        <w:t xml:space="preserve"> hearing to determine any dispute as to the presence of ‘exceptional circumstances’.</w:t>
      </w:r>
    </w:p>
  </w:footnote>
  <w:footnote w:id="43">
    <w:p w14:paraId="1D09D984" w14:textId="77777777" w:rsidR="00E909FF" w:rsidRPr="00133A02" w:rsidRDefault="00E909FF" w:rsidP="00E909FF">
      <w:pPr>
        <w:pStyle w:val="FootnoteText"/>
      </w:pPr>
      <w:r>
        <w:rPr>
          <w:rStyle w:val="FootnoteReference"/>
        </w:rPr>
        <w:footnoteRef/>
      </w:r>
      <w:r>
        <w:t xml:space="preserve"> Leaving on one side the complication arising from the decision in </w:t>
      </w:r>
      <w:r>
        <w:rPr>
          <w:i/>
        </w:rPr>
        <w:t>O’Leary</w:t>
      </w:r>
      <w:r>
        <w:t xml:space="preserve"> [2015] EWCA Crim 1306</w:t>
      </w:r>
    </w:p>
  </w:footnote>
  <w:footnote w:id="44">
    <w:p w14:paraId="1DEA6DF4" w14:textId="77777777" w:rsidR="00E909FF" w:rsidRDefault="00E909FF" w:rsidP="00E909FF">
      <w:pPr>
        <w:pStyle w:val="FootnoteText"/>
      </w:pPr>
      <w:r>
        <w:rPr>
          <w:rStyle w:val="FootnoteReference"/>
        </w:rPr>
        <w:footnoteRef/>
      </w:r>
      <w:r>
        <w:t xml:space="preserve"> [2019] EWHC 2015 (Admin)</w:t>
      </w:r>
    </w:p>
  </w:footnote>
  <w:footnote w:id="45">
    <w:p w14:paraId="370B951B" w14:textId="1F174BA3" w:rsidR="00552409" w:rsidRPr="00552409" w:rsidRDefault="00552409">
      <w:pPr>
        <w:pStyle w:val="FootnoteText"/>
      </w:pPr>
      <w:r>
        <w:rPr>
          <w:rStyle w:val="FootnoteReference"/>
        </w:rPr>
        <w:footnoteRef/>
      </w:r>
      <w:r>
        <w:t xml:space="preserve"> Though see </w:t>
      </w:r>
      <w:proofErr w:type="spellStart"/>
      <w:r>
        <w:rPr>
          <w:i/>
        </w:rPr>
        <w:t>Ardic</w:t>
      </w:r>
      <w:proofErr w:type="spellEnd"/>
      <w:r>
        <w:rPr>
          <w:i/>
        </w:rPr>
        <w:t xml:space="preserve">, </w:t>
      </w:r>
      <w:proofErr w:type="spellStart"/>
      <w:r>
        <w:rPr>
          <w:i/>
        </w:rPr>
        <w:t>Tekagac</w:t>
      </w:r>
      <w:proofErr w:type="spellEnd"/>
      <w:r>
        <w:rPr>
          <w:i/>
        </w:rPr>
        <w:t xml:space="preserve"> and </w:t>
      </w:r>
      <w:proofErr w:type="spellStart"/>
      <w:r>
        <w:rPr>
          <w:i/>
        </w:rPr>
        <w:t>Onel</w:t>
      </w:r>
      <w:proofErr w:type="spellEnd"/>
      <w:r>
        <w:rPr>
          <w:i/>
        </w:rPr>
        <w:t xml:space="preserve"> </w:t>
      </w:r>
      <w:r>
        <w:t xml:space="preserve">[2019] EWCA Crim 1836, where the Ds were convicted after a trial of throwing corrosive fluid with intent (OAPA 1861, s.29), and long custodial sentences were imposed. In his sentencing remarks the judge said that ‘it was very likely that homophobia underlay the offences, at least in part’, but no </w:t>
      </w:r>
      <w:r>
        <w:rPr>
          <w:i/>
        </w:rPr>
        <w:t>Newton</w:t>
      </w:r>
      <w:r>
        <w:t xml:space="preserve"> hearing was held </w:t>
      </w:r>
      <w:r w:rsidR="00AF054E">
        <w:t xml:space="preserve">and no enhancement under s.146 was made </w:t>
      </w:r>
      <w:r>
        <w:t>because</w:t>
      </w:r>
      <w:r w:rsidR="00AF054E">
        <w:t xml:space="preserve"> the judge (who had </w:t>
      </w:r>
      <w:r>
        <w:t>presided over the trial</w:t>
      </w:r>
      <w:r w:rsidR="00AF054E">
        <w:t>)</w:t>
      </w:r>
      <w:r>
        <w:t>, said that it was not possible to be sure which of the Ds had made homophobic comments, or whether the offences were motivated by homophobia. The Court of Appeal made no criticism of the judge’s approach.</w:t>
      </w:r>
    </w:p>
  </w:footnote>
  <w:footnote w:id="46">
    <w:p w14:paraId="4588EAAE" w14:textId="04DB1621" w:rsidR="005B7A1D" w:rsidRPr="005B7A1D" w:rsidRDefault="005B7A1D">
      <w:pPr>
        <w:pStyle w:val="FootnoteText"/>
      </w:pPr>
      <w:r>
        <w:rPr>
          <w:rStyle w:val="FootnoteReference"/>
        </w:rPr>
        <w:footnoteRef/>
      </w:r>
      <w:r>
        <w:t xml:space="preserve"> See Law Commission, </w:t>
      </w:r>
      <w:r>
        <w:rPr>
          <w:i/>
        </w:rPr>
        <w:t>Hate Crime; Should the Current Offences be Extended?</w:t>
      </w:r>
      <w:r>
        <w:t xml:space="preserve"> Law Com No 348 2014, Cm 8865. A further, and wider, review by the Law Commission</w:t>
      </w:r>
      <w:r w:rsidR="00857157">
        <w:t xml:space="preserve"> started in 2019</w:t>
      </w:r>
      <w:r>
        <w:t>.</w:t>
      </w:r>
    </w:p>
  </w:footnote>
  <w:footnote w:id="47">
    <w:p w14:paraId="309FE22A" w14:textId="77777777" w:rsidR="00E909FF" w:rsidRDefault="00E909FF" w:rsidP="00E909FF">
      <w:pPr>
        <w:pStyle w:val="FootnoteText"/>
      </w:pPr>
      <w:r>
        <w:rPr>
          <w:rStyle w:val="FootnoteReference"/>
        </w:rPr>
        <w:footnoteRef/>
      </w:r>
      <w:r>
        <w:t xml:space="preserve"> Mark Austin Walters, </w:t>
      </w:r>
      <w:proofErr w:type="spellStart"/>
      <w:r>
        <w:t>Abeena</w:t>
      </w:r>
      <w:proofErr w:type="spellEnd"/>
      <w:r>
        <w:t xml:space="preserve"> </w:t>
      </w:r>
      <w:proofErr w:type="spellStart"/>
      <w:r>
        <w:t>Owusu-Bempah</w:t>
      </w:r>
      <w:proofErr w:type="spellEnd"/>
      <w:r>
        <w:t xml:space="preserve"> and Susann </w:t>
      </w:r>
      <w:proofErr w:type="spellStart"/>
      <w:r>
        <w:t>Widelitzka</w:t>
      </w:r>
      <w:proofErr w:type="spellEnd"/>
      <w:r>
        <w:t>, ‘Hate crime and the ‘Justice Gap’: the case for law reform [2018] Crim LR 961, at p.985</w:t>
      </w:r>
    </w:p>
  </w:footnote>
  <w:footnote w:id="48">
    <w:p w14:paraId="00B42DA5" w14:textId="00E7CB54" w:rsidR="00E909FF" w:rsidRDefault="00E909FF" w:rsidP="00E909FF">
      <w:pPr>
        <w:pStyle w:val="FootnoteText"/>
      </w:pPr>
      <w:r>
        <w:rPr>
          <w:rStyle w:val="FootnoteReference"/>
        </w:rPr>
        <w:footnoteRef/>
      </w:r>
      <w:r>
        <w:t xml:space="preserve"> Ibid, p.97</w:t>
      </w:r>
      <w:r w:rsidR="00AC7890">
        <w:t>5</w:t>
      </w:r>
      <w:r>
        <w:t xml:space="preserve">; also </w:t>
      </w:r>
      <w:proofErr w:type="spellStart"/>
      <w:r>
        <w:t>Abeena</w:t>
      </w:r>
      <w:proofErr w:type="spellEnd"/>
      <w:r>
        <w:t xml:space="preserve"> </w:t>
      </w:r>
      <w:proofErr w:type="spellStart"/>
      <w:r>
        <w:t>Owusu-Bempah</w:t>
      </w:r>
      <w:proofErr w:type="spellEnd"/>
      <w:r>
        <w:t xml:space="preserve">, Mark Austin Walters, and Susann </w:t>
      </w:r>
      <w:proofErr w:type="spellStart"/>
      <w:r>
        <w:t>Widelitzka</w:t>
      </w:r>
      <w:proofErr w:type="spellEnd"/>
      <w:r>
        <w:t>, ‘</w:t>
      </w:r>
      <w:proofErr w:type="gramStart"/>
      <w:r>
        <w:t>Racially</w:t>
      </w:r>
      <w:proofErr w:type="gramEnd"/>
      <w:r>
        <w:t xml:space="preserve"> and religiously aggravated offences: ‘God’s gift to the defence?’ [2019] Crim LR 463</w:t>
      </w:r>
    </w:p>
  </w:footnote>
  <w:footnote w:id="49">
    <w:p w14:paraId="1B47B1E4" w14:textId="77777777" w:rsidR="005B7A1D" w:rsidRPr="005B7A1D" w:rsidRDefault="005B7A1D">
      <w:pPr>
        <w:pStyle w:val="FootnoteText"/>
        <w:rPr>
          <w:i/>
        </w:rPr>
      </w:pPr>
      <w:r>
        <w:rPr>
          <w:rStyle w:val="FootnoteReference"/>
        </w:rPr>
        <w:footnoteRef/>
      </w:r>
      <w:r>
        <w:t xml:space="preserve"> CPS, </w:t>
      </w:r>
      <w:r>
        <w:rPr>
          <w:i/>
        </w:rPr>
        <w:t>Hate Crime Report 2018-2019</w:t>
      </w:r>
    </w:p>
  </w:footnote>
  <w:footnote w:id="50">
    <w:p w14:paraId="4AB72FF2" w14:textId="6107F84D" w:rsidR="00F57D80" w:rsidRDefault="00F57D80">
      <w:pPr>
        <w:pStyle w:val="FootnoteText"/>
      </w:pPr>
      <w:r>
        <w:rPr>
          <w:rStyle w:val="FootnoteReference"/>
        </w:rPr>
        <w:footnoteRef/>
      </w:r>
      <w:r>
        <w:t xml:space="preserve"> Assaults on Emergency Workers (Offences)  Act 2018, s.2 and s.3</w:t>
      </w:r>
    </w:p>
  </w:footnote>
  <w:footnote w:id="51">
    <w:p w14:paraId="239D91BC" w14:textId="43F58CC2" w:rsidR="00F57D80" w:rsidRDefault="00F57D80">
      <w:pPr>
        <w:pStyle w:val="FootnoteText"/>
      </w:pPr>
      <w:r>
        <w:rPr>
          <w:rStyle w:val="FootnoteReference"/>
        </w:rPr>
        <w:footnoteRef/>
      </w:r>
      <w:r>
        <w:t xml:space="preserve"> Counter-Terrorism Act 2008, s.30</w:t>
      </w:r>
    </w:p>
  </w:footnote>
  <w:footnote w:id="52">
    <w:p w14:paraId="58240B58" w14:textId="77777777" w:rsidR="00E909FF" w:rsidRDefault="00E909FF" w:rsidP="00E909FF">
      <w:pPr>
        <w:pStyle w:val="FootnoteText"/>
      </w:pPr>
      <w:r>
        <w:rPr>
          <w:rStyle w:val="FootnoteReference"/>
        </w:rPr>
        <w:footnoteRef/>
      </w:r>
      <w:r>
        <w:t xml:space="preserve"> Misuse of Drugs Act 1971, s.4A; Psychoactive Substances Act 2016, s.6</w:t>
      </w:r>
    </w:p>
  </w:footnote>
  <w:footnote w:id="53">
    <w:p w14:paraId="79D41847" w14:textId="797DC7C8" w:rsidR="002A54BA" w:rsidRDefault="002A54BA" w:rsidP="002A54BA">
      <w:pPr>
        <w:pStyle w:val="FootnoteText"/>
      </w:pPr>
      <w:r>
        <w:rPr>
          <w:rStyle w:val="FootnoteReference"/>
        </w:rPr>
        <w:footnoteRef/>
      </w:r>
      <w:r>
        <w:t xml:space="preserve"> Thomas</w:t>
      </w:r>
      <w:r w:rsidR="00186036">
        <w:t xml:space="preserve"> (1979)</w:t>
      </w:r>
      <w:r>
        <w:t xml:space="preserve">, </w:t>
      </w:r>
      <w:r w:rsidR="00186036">
        <w:t>p.</w:t>
      </w:r>
      <w:r>
        <w:t>372</w:t>
      </w:r>
    </w:p>
  </w:footnote>
  <w:footnote w:id="54">
    <w:p w14:paraId="58B45420" w14:textId="6E66887D" w:rsidR="002A54BA" w:rsidRDefault="002A54BA" w:rsidP="002A54BA">
      <w:pPr>
        <w:pStyle w:val="FootnoteText"/>
      </w:pPr>
      <w:r>
        <w:rPr>
          <w:rStyle w:val="FootnoteReference"/>
        </w:rPr>
        <w:footnoteRef/>
      </w:r>
      <w:r>
        <w:t xml:space="preserve"> S</w:t>
      </w:r>
      <w:r w:rsidR="00F12526">
        <w:t>GC</w:t>
      </w:r>
      <w:r>
        <w:t xml:space="preserve">, </w:t>
      </w:r>
      <w:r>
        <w:rPr>
          <w:i/>
        </w:rPr>
        <w:t xml:space="preserve">Overarching Principles: Seriousness </w:t>
      </w:r>
      <w:r>
        <w:t>(2004), paras 1.38 – 1.39.</w:t>
      </w:r>
      <w:r w:rsidR="00B33F19">
        <w:t xml:space="preserve"> There is no mention of the issue of local prevalence, or community impact evidence, in the Sentencing Council’s</w:t>
      </w:r>
      <w:r w:rsidR="00D7089B">
        <w:t xml:space="preserve"> </w:t>
      </w:r>
      <w:r w:rsidR="00D7089B">
        <w:rPr>
          <w:i/>
        </w:rPr>
        <w:t xml:space="preserve">General Guideline: Overarching Principles </w:t>
      </w:r>
      <w:r w:rsidR="00D7089B">
        <w:t>(2019).</w:t>
      </w:r>
      <w:r w:rsidR="00B33F19">
        <w:t xml:space="preserve"> </w:t>
      </w:r>
    </w:p>
  </w:footnote>
  <w:footnote w:id="55">
    <w:p w14:paraId="190C450A" w14:textId="77777777" w:rsidR="002A54BA" w:rsidRDefault="002A54BA" w:rsidP="002A54BA">
      <w:pPr>
        <w:pStyle w:val="FootnoteText"/>
      </w:pPr>
      <w:r>
        <w:rPr>
          <w:rStyle w:val="FootnoteReference"/>
        </w:rPr>
        <w:footnoteRef/>
      </w:r>
      <w:r>
        <w:t xml:space="preserve">  E.g. </w:t>
      </w:r>
      <w:r>
        <w:rPr>
          <w:i/>
        </w:rPr>
        <w:t xml:space="preserve">Stockdale </w:t>
      </w:r>
      <w:r>
        <w:t xml:space="preserve">[2005] EWCA Crim 1582, </w:t>
      </w:r>
      <w:proofErr w:type="spellStart"/>
      <w:r>
        <w:rPr>
          <w:i/>
        </w:rPr>
        <w:t>Tatomir</w:t>
      </w:r>
      <w:proofErr w:type="spellEnd"/>
      <w:r>
        <w:rPr>
          <w:i/>
        </w:rPr>
        <w:t xml:space="preserve"> and </w:t>
      </w:r>
      <w:proofErr w:type="spellStart"/>
      <w:r>
        <w:rPr>
          <w:i/>
        </w:rPr>
        <w:t>Velicor</w:t>
      </w:r>
      <w:proofErr w:type="spellEnd"/>
      <w:r>
        <w:rPr>
          <w:i/>
        </w:rPr>
        <w:t xml:space="preserve"> </w:t>
      </w:r>
      <w:r>
        <w:t>[2015] EWCA Crim 2167.</w:t>
      </w:r>
    </w:p>
  </w:footnote>
  <w:footnote w:id="56">
    <w:p w14:paraId="06C15C50" w14:textId="77777777" w:rsidR="002A54BA" w:rsidRDefault="002A54BA" w:rsidP="002A54BA">
      <w:pPr>
        <w:pStyle w:val="FootnoteText"/>
      </w:pPr>
      <w:r>
        <w:rPr>
          <w:rStyle w:val="FootnoteReference"/>
        </w:rPr>
        <w:footnoteRef/>
      </w:r>
      <w:r>
        <w:t xml:space="preserve">   [2016] EWCA Crim 552, at [11].</w:t>
      </w:r>
    </w:p>
  </w:footnote>
  <w:footnote w:id="57">
    <w:p w14:paraId="42FF2E12" w14:textId="77777777" w:rsidR="002A54BA" w:rsidRDefault="002A54BA" w:rsidP="002A54BA">
      <w:pPr>
        <w:pStyle w:val="FootnoteText"/>
      </w:pPr>
      <w:r>
        <w:rPr>
          <w:rStyle w:val="FootnoteReference"/>
        </w:rPr>
        <w:footnoteRef/>
      </w:r>
      <w:r>
        <w:t xml:space="preserve">   E.g. </w:t>
      </w:r>
      <w:r>
        <w:rPr>
          <w:i/>
        </w:rPr>
        <w:t xml:space="preserve">Jeffrey and Carroll </w:t>
      </w:r>
      <w:r>
        <w:t xml:space="preserve">[2018] EWCA Crim 2135, at [21]; </w:t>
      </w:r>
      <w:r>
        <w:rPr>
          <w:i/>
        </w:rPr>
        <w:t xml:space="preserve">Ali (Liaquat) </w:t>
      </w:r>
      <w:r>
        <w:t>[2018] EWCA Crim 2359 at [15].</w:t>
      </w:r>
    </w:p>
  </w:footnote>
  <w:footnote w:id="58">
    <w:p w14:paraId="52974D8B" w14:textId="77777777" w:rsidR="00B3768F" w:rsidRDefault="00B3768F">
      <w:pPr>
        <w:pStyle w:val="FootnoteText"/>
      </w:pPr>
      <w:r>
        <w:rPr>
          <w:rStyle w:val="FootnoteReference"/>
        </w:rPr>
        <w:footnoteRef/>
      </w:r>
      <w:r>
        <w:t xml:space="preserve"> Practice Direction [1966] 1 WLR 1184</w:t>
      </w:r>
    </w:p>
  </w:footnote>
  <w:footnote w:id="59">
    <w:p w14:paraId="1186A1A5" w14:textId="77777777" w:rsidR="00E66074" w:rsidRPr="00E66074" w:rsidRDefault="00E66074">
      <w:pPr>
        <w:pStyle w:val="FootnoteText"/>
        <w:rPr>
          <w:lang w:val="en-US"/>
        </w:rPr>
      </w:pPr>
      <w:r>
        <w:rPr>
          <w:rStyle w:val="FootnoteReference"/>
        </w:rPr>
        <w:footnoteRef/>
      </w:r>
      <w:r>
        <w:t xml:space="preserve"> </w:t>
      </w:r>
      <w:r>
        <w:rPr>
          <w:lang w:val="en-US"/>
        </w:rPr>
        <w:t>See now CPD II 8A: Defendant’s Record</w:t>
      </w:r>
    </w:p>
  </w:footnote>
  <w:footnote w:id="60">
    <w:p w14:paraId="74F3E9BD" w14:textId="77777777" w:rsidR="000F7895" w:rsidRDefault="000F7895">
      <w:pPr>
        <w:pStyle w:val="FootnoteText"/>
      </w:pPr>
      <w:r>
        <w:rPr>
          <w:rStyle w:val="FootnoteReference"/>
        </w:rPr>
        <w:footnoteRef/>
      </w:r>
      <w:r>
        <w:t xml:space="preserve"> [2014] EWCA Crim 2409</w:t>
      </w:r>
    </w:p>
  </w:footnote>
  <w:footnote w:id="61">
    <w:p w14:paraId="4C5AFDB5" w14:textId="2123D286" w:rsidR="003D28A8" w:rsidRDefault="003D28A8" w:rsidP="003D28A8">
      <w:pPr>
        <w:pStyle w:val="FootnoteText"/>
      </w:pPr>
      <w:r>
        <w:rPr>
          <w:rStyle w:val="FootnoteReference"/>
        </w:rPr>
        <w:footnoteRef/>
      </w:r>
      <w:r>
        <w:t xml:space="preserve"> </w:t>
      </w:r>
      <w:r w:rsidR="00096596">
        <w:t>[</w:t>
      </w:r>
      <w:r>
        <w:t xml:space="preserve">2013] </w:t>
      </w:r>
      <w:r w:rsidR="00096596">
        <w:t>EWCA Crim 323</w:t>
      </w:r>
      <w:r>
        <w:t>, at para. 9c</w:t>
      </w:r>
    </w:p>
  </w:footnote>
  <w:footnote w:id="62">
    <w:p w14:paraId="59C3E0F1" w14:textId="5621FA4E" w:rsidR="003D28A8" w:rsidRDefault="003D28A8" w:rsidP="003D28A8">
      <w:pPr>
        <w:pStyle w:val="FootnoteText"/>
      </w:pPr>
      <w:r>
        <w:rPr>
          <w:rStyle w:val="FootnoteReference"/>
        </w:rPr>
        <w:footnoteRef/>
      </w:r>
      <w:r w:rsidR="00096596">
        <w:t xml:space="preserve">  [</w:t>
      </w:r>
      <w:r>
        <w:t>2019] EWCA Crim 865</w:t>
      </w:r>
    </w:p>
  </w:footnote>
  <w:footnote w:id="63">
    <w:p w14:paraId="4EBC7AAC" w14:textId="2B49511F" w:rsidR="003865CC" w:rsidRPr="003865CC" w:rsidRDefault="003865CC">
      <w:pPr>
        <w:pStyle w:val="FootnoteText"/>
      </w:pPr>
      <w:r>
        <w:rPr>
          <w:rStyle w:val="FootnoteReference"/>
        </w:rPr>
        <w:footnoteRef/>
      </w:r>
      <w:r>
        <w:t xml:space="preserve">   As, for example, in </w:t>
      </w:r>
      <w:r>
        <w:rPr>
          <w:i/>
        </w:rPr>
        <w:t xml:space="preserve">King </w:t>
      </w:r>
      <w:r>
        <w:t>[2017] 2 Cr. App. R. (S.) 25, at [31] and [37].</w:t>
      </w:r>
    </w:p>
  </w:footnote>
  <w:footnote w:id="64">
    <w:p w14:paraId="4A9975BC" w14:textId="4471BFA3" w:rsidR="003D28A8" w:rsidRDefault="003D28A8" w:rsidP="003D28A8">
      <w:pPr>
        <w:pStyle w:val="FootnoteText"/>
      </w:pPr>
      <w:r>
        <w:rPr>
          <w:rStyle w:val="FootnoteReference"/>
        </w:rPr>
        <w:footnoteRef/>
      </w:r>
      <w:r>
        <w:t xml:space="preserve"> [2019] Crim</w:t>
      </w:r>
      <w:r w:rsidR="00636877">
        <w:t xml:space="preserve"> </w:t>
      </w:r>
      <w:r>
        <w:t>LR 1073, commentary by Lyndon Harris at p.1074.</w:t>
      </w:r>
    </w:p>
  </w:footnote>
  <w:footnote w:id="65">
    <w:p w14:paraId="7C46949F" w14:textId="77777777" w:rsidR="003D28A8" w:rsidRPr="008E3B10" w:rsidRDefault="003D28A8" w:rsidP="003D28A8">
      <w:pPr>
        <w:pStyle w:val="FootnoteText"/>
      </w:pPr>
      <w:r>
        <w:rPr>
          <w:rStyle w:val="FootnoteReference"/>
        </w:rPr>
        <w:footnoteRef/>
      </w:r>
      <w:r>
        <w:t xml:space="preserve">  See the summary in Ashworth, </w:t>
      </w:r>
      <w:r>
        <w:rPr>
          <w:i/>
        </w:rPr>
        <w:t xml:space="preserve">Sentencing and Criminal Justice </w:t>
      </w:r>
      <w:r>
        <w:t>(6</w:t>
      </w:r>
      <w:r w:rsidRPr="008E3B10">
        <w:rPr>
          <w:vertAlign w:val="superscript"/>
        </w:rPr>
        <w:t>th</w:t>
      </w:r>
      <w:r>
        <w:t xml:space="preserve"> ed., 2015), 245-246.</w:t>
      </w:r>
    </w:p>
  </w:footnote>
  <w:footnote w:id="66">
    <w:p w14:paraId="34706A54" w14:textId="77777777" w:rsidR="002F15DF" w:rsidRDefault="002F15DF" w:rsidP="002F15DF">
      <w:pPr>
        <w:pStyle w:val="FootnoteText"/>
      </w:pPr>
      <w:r>
        <w:rPr>
          <w:rStyle w:val="FootnoteReference"/>
        </w:rPr>
        <w:footnoteRef/>
      </w:r>
      <w:r>
        <w:t xml:space="preserve">  (1969) 53 Cr App R 314, above, n. 11.</w:t>
      </w:r>
    </w:p>
  </w:footnote>
  <w:footnote w:id="67">
    <w:p w14:paraId="57ABDF2C" w14:textId="77777777" w:rsidR="002F15DF" w:rsidRDefault="002F15DF" w:rsidP="002F15DF">
      <w:pPr>
        <w:pStyle w:val="FootnoteText"/>
      </w:pPr>
      <w:r>
        <w:rPr>
          <w:rStyle w:val="FootnoteReference"/>
        </w:rPr>
        <w:footnoteRef/>
      </w:r>
      <w:r>
        <w:t xml:space="preserve">  (1975) 63 Cr App R 144, above, n. 6.</w:t>
      </w:r>
    </w:p>
  </w:footnote>
  <w:footnote w:id="68">
    <w:p w14:paraId="779D7FD6" w14:textId="77777777" w:rsidR="002F15DF" w:rsidRDefault="002F15DF" w:rsidP="002F15DF">
      <w:pPr>
        <w:pStyle w:val="FootnoteText"/>
      </w:pPr>
      <w:r>
        <w:rPr>
          <w:rStyle w:val="FootnoteReference"/>
        </w:rPr>
        <w:footnoteRef/>
      </w:r>
      <w:r>
        <w:t xml:space="preserve">   (1982) 4 Cr App R (S) 388, above, n.7.</w:t>
      </w:r>
    </w:p>
  </w:footnote>
  <w:footnote w:id="69">
    <w:p w14:paraId="703E2150" w14:textId="77777777" w:rsidR="002F15DF" w:rsidRDefault="002F15DF" w:rsidP="002F15DF">
      <w:pPr>
        <w:pStyle w:val="FootnoteText"/>
      </w:pPr>
      <w:r>
        <w:rPr>
          <w:rStyle w:val="FootnoteReference"/>
        </w:rPr>
        <w:footnoteRef/>
      </w:r>
      <w:r>
        <w:t xml:space="preserve">   (1995) 16 Cr App R (S) 25, above n. 21.</w:t>
      </w:r>
    </w:p>
  </w:footnote>
  <w:footnote w:id="70">
    <w:p w14:paraId="1489457B" w14:textId="77777777" w:rsidR="0094668F" w:rsidRDefault="0094668F" w:rsidP="0094668F">
      <w:pPr>
        <w:pStyle w:val="FootnoteText"/>
      </w:pPr>
      <w:r>
        <w:rPr>
          <w:rStyle w:val="FootnoteReference"/>
        </w:rPr>
        <w:footnoteRef/>
      </w:r>
      <w:r>
        <w:t xml:space="preserve">  </w:t>
      </w:r>
      <w:r>
        <w:rPr>
          <w:i/>
        </w:rPr>
        <w:t>Cairns</w:t>
      </w:r>
      <w:r>
        <w:t xml:space="preserve"> [2013] EWCA Crim 467, above, n.9.</w:t>
      </w:r>
    </w:p>
  </w:footnote>
  <w:footnote w:id="71">
    <w:p w14:paraId="713B491C" w14:textId="77777777" w:rsidR="0094668F" w:rsidRPr="00FD575B" w:rsidRDefault="0094668F" w:rsidP="0094668F">
      <w:pPr>
        <w:pStyle w:val="FootnoteText"/>
      </w:pPr>
      <w:r>
        <w:rPr>
          <w:rStyle w:val="FootnoteReference"/>
        </w:rPr>
        <w:footnoteRef/>
      </w:r>
      <w:r>
        <w:t xml:space="preserve">  </w:t>
      </w:r>
      <w:r>
        <w:rPr>
          <w:i/>
        </w:rPr>
        <w:t>Ahmed</w:t>
      </w:r>
      <w:r>
        <w:t xml:space="preserve"> (1984) 6 Cr App R (S) 391</w:t>
      </w:r>
      <w:r>
        <w:rPr>
          <w:i/>
        </w:rPr>
        <w:t xml:space="preserve"> </w:t>
      </w:r>
    </w:p>
  </w:footnote>
  <w:footnote w:id="72">
    <w:p w14:paraId="0A70B7AD" w14:textId="77777777" w:rsidR="0094668F" w:rsidRPr="000177ED" w:rsidRDefault="0094668F" w:rsidP="0094668F">
      <w:pPr>
        <w:pStyle w:val="FootnoteText"/>
      </w:pPr>
      <w:r>
        <w:rPr>
          <w:rStyle w:val="FootnoteReference"/>
        </w:rPr>
        <w:footnoteRef/>
      </w:r>
      <w:r>
        <w:t xml:space="preserve"> </w:t>
      </w:r>
      <w:proofErr w:type="spellStart"/>
      <w:r>
        <w:t>Eg</w:t>
      </w:r>
      <w:proofErr w:type="spellEnd"/>
      <w:r>
        <w:t xml:space="preserve"> </w:t>
      </w:r>
      <w:r>
        <w:rPr>
          <w:i/>
        </w:rPr>
        <w:t>Morris</w:t>
      </w:r>
      <w:r>
        <w:t xml:space="preserve"> [2019] EWCA Crim 1367 (in relation to D’s level of involvement in drug supply) and </w:t>
      </w:r>
      <w:r>
        <w:rPr>
          <w:i/>
        </w:rPr>
        <w:t>Dixon-Nash</w:t>
      </w:r>
      <w:r>
        <w:t xml:space="preserve"> [2019] EWCA Crim 1173 (in relation to the respective roles played by several Ds in a case of conspiracy to transfer firearms)</w:t>
      </w:r>
    </w:p>
  </w:footnote>
  <w:footnote w:id="73">
    <w:p w14:paraId="1652DDB3" w14:textId="0A586003" w:rsidR="00823500" w:rsidRDefault="00823500">
      <w:pPr>
        <w:pStyle w:val="FootnoteText"/>
      </w:pPr>
      <w:r>
        <w:rPr>
          <w:rStyle w:val="FootnoteReference"/>
        </w:rPr>
        <w:footnoteRef/>
      </w:r>
      <w:r>
        <w:t xml:space="preserve"> [2017] 2 Cr App R (S) 25</w:t>
      </w:r>
    </w:p>
  </w:footnote>
  <w:footnote w:id="74">
    <w:p w14:paraId="13B021A9" w14:textId="489B6961" w:rsidR="00EF66B6" w:rsidRDefault="00EF66B6">
      <w:pPr>
        <w:pStyle w:val="FootnoteText"/>
      </w:pPr>
      <w:r>
        <w:rPr>
          <w:rStyle w:val="FootnoteReference"/>
        </w:rPr>
        <w:footnoteRef/>
      </w:r>
      <w:r>
        <w:t xml:space="preserve">   J.V. Roberts and O. </w:t>
      </w:r>
      <w:proofErr w:type="spellStart"/>
      <w:r>
        <w:t>Gazal</w:t>
      </w:r>
      <w:proofErr w:type="spellEnd"/>
      <w:r>
        <w:t xml:space="preserve">, ‘Statutory Sentencing Reform in Israel: Exploring the Sentencing Law of 2013’, (2013) 46 </w:t>
      </w:r>
      <w:r>
        <w:rPr>
          <w:i/>
        </w:rPr>
        <w:t xml:space="preserve">Israel L.R. </w:t>
      </w:r>
      <w:r>
        <w:t xml:space="preserve">455, referring to s. 40j(c) of the statute. </w:t>
      </w:r>
    </w:p>
  </w:footnote>
  <w:footnote w:id="75">
    <w:p w14:paraId="0698F2D4" w14:textId="3F1F0131" w:rsidR="00E52B4A" w:rsidRDefault="00E52B4A">
      <w:pPr>
        <w:pStyle w:val="FootnoteText"/>
      </w:pPr>
      <w:r>
        <w:rPr>
          <w:rStyle w:val="FootnoteReference"/>
        </w:rPr>
        <w:footnoteRef/>
      </w:r>
      <w:r>
        <w:t xml:space="preserve"> [2008] EWCA Crim 1055</w:t>
      </w:r>
      <w:r w:rsidR="00FB52ED">
        <w:t xml:space="preserve">; [2008] </w:t>
      </w:r>
      <w:r w:rsidR="007F59B3">
        <w:t xml:space="preserve">9 </w:t>
      </w:r>
      <w:r w:rsidR="00FB52ED">
        <w:t>Crim LR</w:t>
      </w:r>
      <w:r w:rsidR="007F59B3">
        <w:t xml:space="preserve"> 733, with commentary by David Thomas</w:t>
      </w:r>
      <w:r w:rsidR="00FB52ED">
        <w:t xml:space="preserve"> </w:t>
      </w:r>
    </w:p>
  </w:footnote>
  <w:footnote w:id="76">
    <w:p w14:paraId="34A85B86" w14:textId="77777777" w:rsidR="00E13AC0" w:rsidRPr="00E13AC0" w:rsidRDefault="00E13AC0">
      <w:pPr>
        <w:pStyle w:val="FootnoteText"/>
      </w:pPr>
      <w:r>
        <w:rPr>
          <w:rStyle w:val="FootnoteReference"/>
        </w:rPr>
        <w:footnoteRef/>
      </w:r>
      <w:r>
        <w:t xml:space="preserve"> See, for example, </w:t>
      </w:r>
      <w:r>
        <w:rPr>
          <w:i/>
        </w:rPr>
        <w:t xml:space="preserve">A-G’s Ref (No 12 of 2008) </w:t>
      </w:r>
      <w:r>
        <w:t>[2008] EWCA Crim 1060</w:t>
      </w:r>
    </w:p>
  </w:footnote>
  <w:footnote w:id="77">
    <w:p w14:paraId="7AB5C89F" w14:textId="7D37AA73" w:rsidR="00905C05" w:rsidRDefault="00C96D68">
      <w:pPr>
        <w:pStyle w:val="FootnoteText"/>
      </w:pPr>
      <w:r>
        <w:rPr>
          <w:rStyle w:val="FootnoteReference"/>
        </w:rPr>
        <w:footnoteRef/>
      </w:r>
      <w:r>
        <w:t xml:space="preserve"> CPD VII Sentencing</w:t>
      </w:r>
      <w:r w:rsidR="00084D4E">
        <w:t xml:space="preserve"> M</w:t>
      </w:r>
      <w:r>
        <w:t>: Mandatory Life Sentences, at M12</w:t>
      </w:r>
      <w:r w:rsidR="007C74B0">
        <w:t>, simply repeating the terms of sched 21, para 8</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ormerod">
    <w15:presenceInfo w15:providerId="Windows Live" w15:userId="e64e6e0789226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7B"/>
    <w:rsid w:val="00000A1F"/>
    <w:rsid w:val="00002582"/>
    <w:rsid w:val="000177E4"/>
    <w:rsid w:val="000177ED"/>
    <w:rsid w:val="00023849"/>
    <w:rsid w:val="000272EC"/>
    <w:rsid w:val="00031B52"/>
    <w:rsid w:val="000342BA"/>
    <w:rsid w:val="00053148"/>
    <w:rsid w:val="0005469E"/>
    <w:rsid w:val="00057FB9"/>
    <w:rsid w:val="00082435"/>
    <w:rsid w:val="00084D4E"/>
    <w:rsid w:val="000909EC"/>
    <w:rsid w:val="00093DF2"/>
    <w:rsid w:val="00095657"/>
    <w:rsid w:val="00096596"/>
    <w:rsid w:val="000A4AEE"/>
    <w:rsid w:val="000B26D1"/>
    <w:rsid w:val="000B4438"/>
    <w:rsid w:val="000C5E6F"/>
    <w:rsid w:val="000E0379"/>
    <w:rsid w:val="000E325F"/>
    <w:rsid w:val="000F704B"/>
    <w:rsid w:val="000F7895"/>
    <w:rsid w:val="00102471"/>
    <w:rsid w:val="0011305F"/>
    <w:rsid w:val="00122001"/>
    <w:rsid w:val="00133A02"/>
    <w:rsid w:val="00153413"/>
    <w:rsid w:val="001555C3"/>
    <w:rsid w:val="00160D01"/>
    <w:rsid w:val="00160EED"/>
    <w:rsid w:val="00161491"/>
    <w:rsid w:val="00162AC8"/>
    <w:rsid w:val="00166954"/>
    <w:rsid w:val="001800AE"/>
    <w:rsid w:val="00186036"/>
    <w:rsid w:val="001862CF"/>
    <w:rsid w:val="00190C40"/>
    <w:rsid w:val="001A3C7E"/>
    <w:rsid w:val="001D7036"/>
    <w:rsid w:val="001E6C02"/>
    <w:rsid w:val="0021433A"/>
    <w:rsid w:val="00256BB9"/>
    <w:rsid w:val="002647DA"/>
    <w:rsid w:val="00281DB5"/>
    <w:rsid w:val="0028526E"/>
    <w:rsid w:val="00287DD5"/>
    <w:rsid w:val="002A54BA"/>
    <w:rsid w:val="002A6A03"/>
    <w:rsid w:val="002B45CA"/>
    <w:rsid w:val="002E5496"/>
    <w:rsid w:val="002F1597"/>
    <w:rsid w:val="002F15DF"/>
    <w:rsid w:val="002F1EE5"/>
    <w:rsid w:val="003048EE"/>
    <w:rsid w:val="00304F47"/>
    <w:rsid w:val="00316CD1"/>
    <w:rsid w:val="003216EA"/>
    <w:rsid w:val="00325889"/>
    <w:rsid w:val="00332C99"/>
    <w:rsid w:val="00336AA7"/>
    <w:rsid w:val="00337109"/>
    <w:rsid w:val="00341F35"/>
    <w:rsid w:val="00343D93"/>
    <w:rsid w:val="00363FC6"/>
    <w:rsid w:val="003664B2"/>
    <w:rsid w:val="00371EF0"/>
    <w:rsid w:val="003865CC"/>
    <w:rsid w:val="00392EF1"/>
    <w:rsid w:val="003B4C44"/>
    <w:rsid w:val="003B62F0"/>
    <w:rsid w:val="003C1148"/>
    <w:rsid w:val="003C3915"/>
    <w:rsid w:val="003C5138"/>
    <w:rsid w:val="003D28A8"/>
    <w:rsid w:val="003D6983"/>
    <w:rsid w:val="003E66D0"/>
    <w:rsid w:val="003F378C"/>
    <w:rsid w:val="003F7BC6"/>
    <w:rsid w:val="00405C1B"/>
    <w:rsid w:val="0040715B"/>
    <w:rsid w:val="00410E2B"/>
    <w:rsid w:val="00415B4D"/>
    <w:rsid w:val="0042114A"/>
    <w:rsid w:val="004250C5"/>
    <w:rsid w:val="004433A4"/>
    <w:rsid w:val="00446233"/>
    <w:rsid w:val="00461B5E"/>
    <w:rsid w:val="004643EA"/>
    <w:rsid w:val="00470351"/>
    <w:rsid w:val="00480ACE"/>
    <w:rsid w:val="00492003"/>
    <w:rsid w:val="004950BC"/>
    <w:rsid w:val="004975A3"/>
    <w:rsid w:val="004A285B"/>
    <w:rsid w:val="004B6A19"/>
    <w:rsid w:val="004C416D"/>
    <w:rsid w:val="004C587E"/>
    <w:rsid w:val="004C5FA6"/>
    <w:rsid w:val="004C624E"/>
    <w:rsid w:val="004F25E4"/>
    <w:rsid w:val="004F729A"/>
    <w:rsid w:val="004F7B94"/>
    <w:rsid w:val="00504399"/>
    <w:rsid w:val="00511596"/>
    <w:rsid w:val="00512392"/>
    <w:rsid w:val="00545BF4"/>
    <w:rsid w:val="00550444"/>
    <w:rsid w:val="00552409"/>
    <w:rsid w:val="00557CAA"/>
    <w:rsid w:val="005764C2"/>
    <w:rsid w:val="005839F9"/>
    <w:rsid w:val="00587505"/>
    <w:rsid w:val="005879FF"/>
    <w:rsid w:val="005A5616"/>
    <w:rsid w:val="005B63A0"/>
    <w:rsid w:val="005B7015"/>
    <w:rsid w:val="005B7A1D"/>
    <w:rsid w:val="005D6EBA"/>
    <w:rsid w:val="005D72EB"/>
    <w:rsid w:val="005F2F1A"/>
    <w:rsid w:val="005F3647"/>
    <w:rsid w:val="005F4F8D"/>
    <w:rsid w:val="005F59B1"/>
    <w:rsid w:val="005F5E1D"/>
    <w:rsid w:val="005F6CF8"/>
    <w:rsid w:val="00604E35"/>
    <w:rsid w:val="00610BC2"/>
    <w:rsid w:val="0061268D"/>
    <w:rsid w:val="0061798C"/>
    <w:rsid w:val="00636877"/>
    <w:rsid w:val="00642D3A"/>
    <w:rsid w:val="006431E0"/>
    <w:rsid w:val="00644888"/>
    <w:rsid w:val="00645F8C"/>
    <w:rsid w:val="00655F49"/>
    <w:rsid w:val="0066290C"/>
    <w:rsid w:val="00662ADD"/>
    <w:rsid w:val="006654DB"/>
    <w:rsid w:val="00671ED7"/>
    <w:rsid w:val="0069133E"/>
    <w:rsid w:val="00697076"/>
    <w:rsid w:val="006C13EC"/>
    <w:rsid w:val="006C3028"/>
    <w:rsid w:val="006D61E0"/>
    <w:rsid w:val="006F1981"/>
    <w:rsid w:val="0073474B"/>
    <w:rsid w:val="00744AE5"/>
    <w:rsid w:val="00767F72"/>
    <w:rsid w:val="007751AC"/>
    <w:rsid w:val="007B139F"/>
    <w:rsid w:val="007C2B80"/>
    <w:rsid w:val="007C74B0"/>
    <w:rsid w:val="007F59B3"/>
    <w:rsid w:val="007F6C81"/>
    <w:rsid w:val="00823500"/>
    <w:rsid w:val="00826CE2"/>
    <w:rsid w:val="0083619A"/>
    <w:rsid w:val="00842B70"/>
    <w:rsid w:val="00847709"/>
    <w:rsid w:val="00857157"/>
    <w:rsid w:val="00863C39"/>
    <w:rsid w:val="008641E7"/>
    <w:rsid w:val="008651CA"/>
    <w:rsid w:val="00881B90"/>
    <w:rsid w:val="008918EB"/>
    <w:rsid w:val="00895BB0"/>
    <w:rsid w:val="00895E77"/>
    <w:rsid w:val="008A058A"/>
    <w:rsid w:val="008B6A75"/>
    <w:rsid w:val="008C5E7B"/>
    <w:rsid w:val="008D0609"/>
    <w:rsid w:val="008D2863"/>
    <w:rsid w:val="008E0486"/>
    <w:rsid w:val="008E278C"/>
    <w:rsid w:val="008E5C87"/>
    <w:rsid w:val="008E5EB7"/>
    <w:rsid w:val="008E6B9D"/>
    <w:rsid w:val="008F287B"/>
    <w:rsid w:val="0090012C"/>
    <w:rsid w:val="009001D7"/>
    <w:rsid w:val="0090237A"/>
    <w:rsid w:val="00902E65"/>
    <w:rsid w:val="00905C05"/>
    <w:rsid w:val="00912D34"/>
    <w:rsid w:val="00921119"/>
    <w:rsid w:val="00926187"/>
    <w:rsid w:val="00927921"/>
    <w:rsid w:val="00937709"/>
    <w:rsid w:val="00940E8F"/>
    <w:rsid w:val="0094668F"/>
    <w:rsid w:val="009604C4"/>
    <w:rsid w:val="0096542C"/>
    <w:rsid w:val="009767AA"/>
    <w:rsid w:val="0098050D"/>
    <w:rsid w:val="0098315D"/>
    <w:rsid w:val="00994424"/>
    <w:rsid w:val="009A19A4"/>
    <w:rsid w:val="009B194F"/>
    <w:rsid w:val="009B2DB0"/>
    <w:rsid w:val="009C15CF"/>
    <w:rsid w:val="009C35BE"/>
    <w:rsid w:val="009D6495"/>
    <w:rsid w:val="009E37E6"/>
    <w:rsid w:val="009E4B8F"/>
    <w:rsid w:val="009E701F"/>
    <w:rsid w:val="009F6000"/>
    <w:rsid w:val="009F7305"/>
    <w:rsid w:val="00A132E1"/>
    <w:rsid w:val="00A23BD4"/>
    <w:rsid w:val="00A41268"/>
    <w:rsid w:val="00A431CB"/>
    <w:rsid w:val="00A74101"/>
    <w:rsid w:val="00A7455A"/>
    <w:rsid w:val="00A74EDE"/>
    <w:rsid w:val="00A80E2C"/>
    <w:rsid w:val="00A84AD4"/>
    <w:rsid w:val="00A91D70"/>
    <w:rsid w:val="00A92B2B"/>
    <w:rsid w:val="00A94FF1"/>
    <w:rsid w:val="00AA0316"/>
    <w:rsid w:val="00AA365B"/>
    <w:rsid w:val="00AB6334"/>
    <w:rsid w:val="00AC2578"/>
    <w:rsid w:val="00AC7890"/>
    <w:rsid w:val="00AE0644"/>
    <w:rsid w:val="00AF054E"/>
    <w:rsid w:val="00AF220B"/>
    <w:rsid w:val="00AF6230"/>
    <w:rsid w:val="00B07A1D"/>
    <w:rsid w:val="00B11298"/>
    <w:rsid w:val="00B14325"/>
    <w:rsid w:val="00B22210"/>
    <w:rsid w:val="00B33F19"/>
    <w:rsid w:val="00B360FE"/>
    <w:rsid w:val="00B3768F"/>
    <w:rsid w:val="00B4358A"/>
    <w:rsid w:val="00B44531"/>
    <w:rsid w:val="00B4590F"/>
    <w:rsid w:val="00B5707D"/>
    <w:rsid w:val="00B829B6"/>
    <w:rsid w:val="00B82A9A"/>
    <w:rsid w:val="00B96500"/>
    <w:rsid w:val="00BA5EB4"/>
    <w:rsid w:val="00BA6F99"/>
    <w:rsid w:val="00BB4860"/>
    <w:rsid w:val="00BC5327"/>
    <w:rsid w:val="00BC60DA"/>
    <w:rsid w:val="00BD40E8"/>
    <w:rsid w:val="00BE0A0A"/>
    <w:rsid w:val="00BF3293"/>
    <w:rsid w:val="00BF45A8"/>
    <w:rsid w:val="00C00827"/>
    <w:rsid w:val="00C06B2B"/>
    <w:rsid w:val="00C1331F"/>
    <w:rsid w:val="00C25A8B"/>
    <w:rsid w:val="00C31D26"/>
    <w:rsid w:val="00C3214C"/>
    <w:rsid w:val="00C55E17"/>
    <w:rsid w:val="00C7614F"/>
    <w:rsid w:val="00C85EE0"/>
    <w:rsid w:val="00C96D68"/>
    <w:rsid w:val="00CA0736"/>
    <w:rsid w:val="00CA4C4A"/>
    <w:rsid w:val="00CB0752"/>
    <w:rsid w:val="00CB2E7F"/>
    <w:rsid w:val="00CB5DFC"/>
    <w:rsid w:val="00CB6C20"/>
    <w:rsid w:val="00CB7FAA"/>
    <w:rsid w:val="00CC38A1"/>
    <w:rsid w:val="00CC3A62"/>
    <w:rsid w:val="00CC6397"/>
    <w:rsid w:val="00CC7D1E"/>
    <w:rsid w:val="00CE1491"/>
    <w:rsid w:val="00CE37B9"/>
    <w:rsid w:val="00D003EF"/>
    <w:rsid w:val="00D00890"/>
    <w:rsid w:val="00D07CFC"/>
    <w:rsid w:val="00D51672"/>
    <w:rsid w:val="00D60856"/>
    <w:rsid w:val="00D63A1D"/>
    <w:rsid w:val="00D66B74"/>
    <w:rsid w:val="00D7089B"/>
    <w:rsid w:val="00D8216C"/>
    <w:rsid w:val="00D91625"/>
    <w:rsid w:val="00D96BE7"/>
    <w:rsid w:val="00DB2F17"/>
    <w:rsid w:val="00DB772C"/>
    <w:rsid w:val="00DC4B20"/>
    <w:rsid w:val="00DF4679"/>
    <w:rsid w:val="00E01CEF"/>
    <w:rsid w:val="00E12DC3"/>
    <w:rsid w:val="00E13AC0"/>
    <w:rsid w:val="00E13E4E"/>
    <w:rsid w:val="00E156D3"/>
    <w:rsid w:val="00E23780"/>
    <w:rsid w:val="00E423AD"/>
    <w:rsid w:val="00E44D7E"/>
    <w:rsid w:val="00E476C0"/>
    <w:rsid w:val="00E52B4A"/>
    <w:rsid w:val="00E53845"/>
    <w:rsid w:val="00E57085"/>
    <w:rsid w:val="00E579C7"/>
    <w:rsid w:val="00E62B70"/>
    <w:rsid w:val="00E64BA2"/>
    <w:rsid w:val="00E66074"/>
    <w:rsid w:val="00E72727"/>
    <w:rsid w:val="00E866AC"/>
    <w:rsid w:val="00E8754C"/>
    <w:rsid w:val="00E909FF"/>
    <w:rsid w:val="00EC5689"/>
    <w:rsid w:val="00EC7EC9"/>
    <w:rsid w:val="00ED114A"/>
    <w:rsid w:val="00ED156F"/>
    <w:rsid w:val="00ED3869"/>
    <w:rsid w:val="00EF6095"/>
    <w:rsid w:val="00EF66B6"/>
    <w:rsid w:val="00F06A8C"/>
    <w:rsid w:val="00F12526"/>
    <w:rsid w:val="00F20113"/>
    <w:rsid w:val="00F240F1"/>
    <w:rsid w:val="00F57D80"/>
    <w:rsid w:val="00F83B7B"/>
    <w:rsid w:val="00FB52ED"/>
    <w:rsid w:val="00FB592F"/>
    <w:rsid w:val="00FB616B"/>
    <w:rsid w:val="00FC05BD"/>
    <w:rsid w:val="00FC42E0"/>
    <w:rsid w:val="00FD575B"/>
    <w:rsid w:val="00FE0460"/>
    <w:rsid w:val="00FE32AB"/>
    <w:rsid w:val="00FE6B02"/>
    <w:rsid w:val="00FE6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1625"/>
    <w:rPr>
      <w:sz w:val="20"/>
      <w:szCs w:val="20"/>
    </w:rPr>
  </w:style>
  <w:style w:type="character" w:customStyle="1" w:styleId="FootnoteTextChar">
    <w:name w:val="Footnote Text Char"/>
    <w:basedOn w:val="DefaultParagraphFont"/>
    <w:link w:val="FootnoteText"/>
    <w:uiPriority w:val="99"/>
    <w:semiHidden/>
    <w:rsid w:val="00D91625"/>
    <w:rPr>
      <w:sz w:val="20"/>
      <w:szCs w:val="20"/>
    </w:rPr>
  </w:style>
  <w:style w:type="character" w:styleId="FootnoteReference">
    <w:name w:val="footnote reference"/>
    <w:basedOn w:val="DefaultParagraphFont"/>
    <w:uiPriority w:val="99"/>
    <w:semiHidden/>
    <w:unhideWhenUsed/>
    <w:rsid w:val="00D91625"/>
    <w:rPr>
      <w:vertAlign w:val="superscript"/>
    </w:rPr>
  </w:style>
  <w:style w:type="character" w:styleId="CommentReference">
    <w:name w:val="annotation reference"/>
    <w:basedOn w:val="DefaultParagraphFont"/>
    <w:uiPriority w:val="99"/>
    <w:semiHidden/>
    <w:unhideWhenUsed/>
    <w:rsid w:val="00C06B2B"/>
    <w:rPr>
      <w:sz w:val="16"/>
      <w:szCs w:val="16"/>
    </w:rPr>
  </w:style>
  <w:style w:type="paragraph" w:styleId="CommentText">
    <w:name w:val="annotation text"/>
    <w:basedOn w:val="Normal"/>
    <w:link w:val="CommentTextChar"/>
    <w:uiPriority w:val="99"/>
    <w:semiHidden/>
    <w:unhideWhenUsed/>
    <w:rsid w:val="00C06B2B"/>
    <w:rPr>
      <w:sz w:val="20"/>
      <w:szCs w:val="20"/>
    </w:rPr>
  </w:style>
  <w:style w:type="character" w:customStyle="1" w:styleId="CommentTextChar">
    <w:name w:val="Comment Text Char"/>
    <w:basedOn w:val="DefaultParagraphFont"/>
    <w:link w:val="CommentText"/>
    <w:uiPriority w:val="99"/>
    <w:semiHidden/>
    <w:rsid w:val="00C06B2B"/>
    <w:rPr>
      <w:sz w:val="20"/>
      <w:szCs w:val="20"/>
    </w:rPr>
  </w:style>
  <w:style w:type="paragraph" w:styleId="CommentSubject">
    <w:name w:val="annotation subject"/>
    <w:basedOn w:val="CommentText"/>
    <w:next w:val="CommentText"/>
    <w:link w:val="CommentSubjectChar"/>
    <w:uiPriority w:val="99"/>
    <w:semiHidden/>
    <w:unhideWhenUsed/>
    <w:rsid w:val="00C06B2B"/>
    <w:rPr>
      <w:b/>
      <w:bCs/>
    </w:rPr>
  </w:style>
  <w:style w:type="character" w:customStyle="1" w:styleId="CommentSubjectChar">
    <w:name w:val="Comment Subject Char"/>
    <w:basedOn w:val="CommentTextChar"/>
    <w:link w:val="CommentSubject"/>
    <w:uiPriority w:val="99"/>
    <w:semiHidden/>
    <w:rsid w:val="00C06B2B"/>
    <w:rPr>
      <w:b/>
      <w:bCs/>
      <w:sz w:val="20"/>
      <w:szCs w:val="20"/>
    </w:rPr>
  </w:style>
  <w:style w:type="paragraph" w:styleId="BalloonText">
    <w:name w:val="Balloon Text"/>
    <w:basedOn w:val="Normal"/>
    <w:link w:val="BalloonTextChar"/>
    <w:uiPriority w:val="99"/>
    <w:semiHidden/>
    <w:unhideWhenUsed/>
    <w:rsid w:val="00C06B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2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1625"/>
    <w:rPr>
      <w:sz w:val="20"/>
      <w:szCs w:val="20"/>
    </w:rPr>
  </w:style>
  <w:style w:type="character" w:customStyle="1" w:styleId="FootnoteTextChar">
    <w:name w:val="Footnote Text Char"/>
    <w:basedOn w:val="DefaultParagraphFont"/>
    <w:link w:val="FootnoteText"/>
    <w:uiPriority w:val="99"/>
    <w:semiHidden/>
    <w:rsid w:val="00D91625"/>
    <w:rPr>
      <w:sz w:val="20"/>
      <w:szCs w:val="20"/>
    </w:rPr>
  </w:style>
  <w:style w:type="character" w:styleId="FootnoteReference">
    <w:name w:val="footnote reference"/>
    <w:basedOn w:val="DefaultParagraphFont"/>
    <w:uiPriority w:val="99"/>
    <w:semiHidden/>
    <w:unhideWhenUsed/>
    <w:rsid w:val="00D91625"/>
    <w:rPr>
      <w:vertAlign w:val="superscript"/>
    </w:rPr>
  </w:style>
  <w:style w:type="character" w:styleId="CommentReference">
    <w:name w:val="annotation reference"/>
    <w:basedOn w:val="DefaultParagraphFont"/>
    <w:uiPriority w:val="99"/>
    <w:semiHidden/>
    <w:unhideWhenUsed/>
    <w:rsid w:val="00C06B2B"/>
    <w:rPr>
      <w:sz w:val="16"/>
      <w:szCs w:val="16"/>
    </w:rPr>
  </w:style>
  <w:style w:type="paragraph" w:styleId="CommentText">
    <w:name w:val="annotation text"/>
    <w:basedOn w:val="Normal"/>
    <w:link w:val="CommentTextChar"/>
    <w:uiPriority w:val="99"/>
    <w:semiHidden/>
    <w:unhideWhenUsed/>
    <w:rsid w:val="00C06B2B"/>
    <w:rPr>
      <w:sz w:val="20"/>
      <w:szCs w:val="20"/>
    </w:rPr>
  </w:style>
  <w:style w:type="character" w:customStyle="1" w:styleId="CommentTextChar">
    <w:name w:val="Comment Text Char"/>
    <w:basedOn w:val="DefaultParagraphFont"/>
    <w:link w:val="CommentText"/>
    <w:uiPriority w:val="99"/>
    <w:semiHidden/>
    <w:rsid w:val="00C06B2B"/>
    <w:rPr>
      <w:sz w:val="20"/>
      <w:szCs w:val="20"/>
    </w:rPr>
  </w:style>
  <w:style w:type="paragraph" w:styleId="CommentSubject">
    <w:name w:val="annotation subject"/>
    <w:basedOn w:val="CommentText"/>
    <w:next w:val="CommentText"/>
    <w:link w:val="CommentSubjectChar"/>
    <w:uiPriority w:val="99"/>
    <w:semiHidden/>
    <w:unhideWhenUsed/>
    <w:rsid w:val="00C06B2B"/>
    <w:rPr>
      <w:b/>
      <w:bCs/>
    </w:rPr>
  </w:style>
  <w:style w:type="character" w:customStyle="1" w:styleId="CommentSubjectChar">
    <w:name w:val="Comment Subject Char"/>
    <w:basedOn w:val="CommentTextChar"/>
    <w:link w:val="CommentSubject"/>
    <w:uiPriority w:val="99"/>
    <w:semiHidden/>
    <w:rsid w:val="00C06B2B"/>
    <w:rPr>
      <w:b/>
      <w:bCs/>
      <w:sz w:val="20"/>
      <w:szCs w:val="20"/>
    </w:rPr>
  </w:style>
  <w:style w:type="paragraph" w:styleId="BalloonText">
    <w:name w:val="Balloon Text"/>
    <w:basedOn w:val="Normal"/>
    <w:link w:val="BalloonTextChar"/>
    <w:uiPriority w:val="99"/>
    <w:semiHidden/>
    <w:unhideWhenUsed/>
    <w:rsid w:val="00C06B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305120">
      <w:bodyDiv w:val="1"/>
      <w:marLeft w:val="0"/>
      <w:marRight w:val="0"/>
      <w:marTop w:val="0"/>
      <w:marBottom w:val="0"/>
      <w:divBdr>
        <w:top w:val="none" w:sz="0" w:space="0" w:color="auto"/>
        <w:left w:val="none" w:sz="0" w:space="0" w:color="auto"/>
        <w:bottom w:val="none" w:sz="0" w:space="0" w:color="auto"/>
        <w:right w:val="none" w:sz="0" w:space="0" w:color="auto"/>
      </w:divBdr>
    </w:div>
    <w:div w:id="1778713645">
      <w:bodyDiv w:val="1"/>
      <w:marLeft w:val="0"/>
      <w:marRight w:val="0"/>
      <w:marTop w:val="0"/>
      <w:marBottom w:val="0"/>
      <w:divBdr>
        <w:top w:val="none" w:sz="0" w:space="0" w:color="auto"/>
        <w:left w:val="none" w:sz="0" w:space="0" w:color="auto"/>
        <w:bottom w:val="none" w:sz="0" w:space="0" w:color="auto"/>
        <w:right w:val="none" w:sz="0" w:space="0" w:color="auto"/>
      </w:divBdr>
    </w:div>
    <w:div w:id="19657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5F310-E69B-4236-946F-FF75BD63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6028</Words>
  <Characters>34361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Study</dc:creator>
  <cp:lastModifiedBy>Study</cp:lastModifiedBy>
  <cp:revision>2</cp:revision>
  <dcterms:created xsi:type="dcterms:W3CDTF">2020-02-10T12:18:00Z</dcterms:created>
  <dcterms:modified xsi:type="dcterms:W3CDTF">2020-02-10T12:18:00Z</dcterms:modified>
</cp:coreProperties>
</file>