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12F68" w14:textId="77777777" w:rsidR="00BD09C2" w:rsidRPr="00BD4DB3" w:rsidRDefault="00BD09C2" w:rsidP="00F75C6F">
      <w:pPr>
        <w:spacing w:after="160" w:line="259" w:lineRule="auto"/>
        <w:jc w:val="center"/>
        <w:rPr>
          <w:rFonts w:eastAsia="Times New Roman"/>
          <w:sz w:val="22"/>
          <w:szCs w:val="22"/>
        </w:rPr>
      </w:pPr>
    </w:p>
    <w:p w14:paraId="44248EFC" w14:textId="77777777" w:rsidR="00BD09C2" w:rsidRPr="00BD4DB3" w:rsidRDefault="00BD09C2" w:rsidP="00F75C6F">
      <w:pPr>
        <w:spacing w:after="160" w:line="259" w:lineRule="auto"/>
        <w:jc w:val="center"/>
        <w:rPr>
          <w:rFonts w:eastAsia="Times New Roman"/>
          <w:sz w:val="22"/>
          <w:szCs w:val="22"/>
        </w:rPr>
      </w:pPr>
    </w:p>
    <w:p w14:paraId="498E2A18" w14:textId="77777777" w:rsidR="00BD09C2" w:rsidRPr="00BD4DB3" w:rsidRDefault="00BD09C2" w:rsidP="00F75C6F">
      <w:pPr>
        <w:spacing w:after="160" w:line="259" w:lineRule="auto"/>
        <w:jc w:val="center"/>
        <w:rPr>
          <w:rFonts w:eastAsia="Times New Roman"/>
          <w:sz w:val="22"/>
          <w:szCs w:val="22"/>
        </w:rPr>
      </w:pPr>
    </w:p>
    <w:p w14:paraId="6DF1BEAC" w14:textId="77777777" w:rsidR="00BD09C2" w:rsidRPr="00BD4DB3" w:rsidRDefault="00BD09C2" w:rsidP="00F75C6F">
      <w:pPr>
        <w:spacing w:after="160" w:line="259" w:lineRule="auto"/>
        <w:jc w:val="center"/>
        <w:rPr>
          <w:rFonts w:eastAsia="Times New Roman"/>
          <w:sz w:val="22"/>
          <w:szCs w:val="22"/>
        </w:rPr>
      </w:pPr>
    </w:p>
    <w:p w14:paraId="6E2CB229" w14:textId="77777777" w:rsidR="00BD09C2" w:rsidRPr="00BD4DB3" w:rsidRDefault="00BD09C2" w:rsidP="00F75C6F">
      <w:pPr>
        <w:spacing w:after="160" w:line="259" w:lineRule="auto"/>
        <w:jc w:val="center"/>
        <w:rPr>
          <w:rFonts w:eastAsia="Times New Roman"/>
          <w:sz w:val="22"/>
          <w:szCs w:val="22"/>
        </w:rPr>
      </w:pPr>
    </w:p>
    <w:p w14:paraId="5B1A75B4" w14:textId="77777777" w:rsidR="00246276" w:rsidRPr="00BD4DB3" w:rsidRDefault="00246276" w:rsidP="00BD09C2">
      <w:pPr>
        <w:spacing w:line="480" w:lineRule="auto"/>
        <w:jc w:val="center"/>
        <w:rPr>
          <w:rFonts w:eastAsia="Times New Roman"/>
          <w:sz w:val="22"/>
          <w:szCs w:val="22"/>
        </w:rPr>
      </w:pPr>
    </w:p>
    <w:p w14:paraId="50C91D05" w14:textId="04E18791" w:rsidR="00BD09C2" w:rsidRPr="00916683" w:rsidRDefault="00BD09C2" w:rsidP="00BD09C2">
      <w:pPr>
        <w:spacing w:line="480" w:lineRule="auto"/>
        <w:jc w:val="center"/>
        <w:rPr>
          <w:rFonts w:eastAsia="Times New Roman"/>
          <w:b/>
          <w:sz w:val="22"/>
          <w:szCs w:val="22"/>
        </w:rPr>
      </w:pPr>
      <w:r w:rsidRPr="00916683">
        <w:rPr>
          <w:rFonts w:eastAsia="Times New Roman"/>
          <w:b/>
          <w:sz w:val="22"/>
          <w:szCs w:val="22"/>
        </w:rPr>
        <w:t>Project Assessment: An International Perspective</w:t>
      </w:r>
    </w:p>
    <w:p w14:paraId="4E6B23DB" w14:textId="50F1A610" w:rsidR="00BD09C2" w:rsidRPr="00BD4DB3" w:rsidRDefault="00BD09C2" w:rsidP="00647573">
      <w:pPr>
        <w:spacing w:line="480" w:lineRule="auto"/>
        <w:jc w:val="center"/>
        <w:rPr>
          <w:rFonts w:eastAsia="Times New Roman"/>
          <w:sz w:val="22"/>
          <w:szCs w:val="22"/>
        </w:rPr>
      </w:pPr>
      <w:r w:rsidRPr="00BD4DB3">
        <w:rPr>
          <w:rFonts w:eastAsia="Times New Roman"/>
          <w:sz w:val="22"/>
          <w:szCs w:val="22"/>
        </w:rPr>
        <w:t>Susan A. Nolan</w:t>
      </w:r>
      <w:r w:rsidR="00647573">
        <w:rPr>
          <w:color w:val="222222"/>
          <w:vertAlign w:val="superscript"/>
        </w:rPr>
        <w:t>1</w:t>
      </w:r>
      <w:r w:rsidR="00F909BD">
        <w:rPr>
          <w:rFonts w:eastAsia="Times New Roman"/>
          <w:sz w:val="22"/>
          <w:szCs w:val="22"/>
        </w:rPr>
        <w:t>, Helen E. Bakker</w:t>
      </w:r>
      <w:r w:rsidR="00647573">
        <w:rPr>
          <w:color w:val="222222"/>
          <w:vertAlign w:val="superscript"/>
        </w:rPr>
        <w:t>2</w:t>
      </w:r>
      <w:r w:rsidR="00F909BD">
        <w:rPr>
          <w:rFonts w:eastAsia="Times New Roman"/>
          <w:sz w:val="22"/>
          <w:szCs w:val="22"/>
        </w:rPr>
        <w:t>, Jacquelyn Cranney</w:t>
      </w:r>
      <w:r w:rsidR="00647573">
        <w:rPr>
          <w:color w:val="222222"/>
          <w:vertAlign w:val="superscript"/>
        </w:rPr>
        <w:t>3</w:t>
      </w:r>
      <w:r w:rsidR="00F909BD">
        <w:rPr>
          <w:rFonts w:eastAsia="Times New Roman"/>
          <w:sz w:val="22"/>
          <w:szCs w:val="22"/>
        </w:rPr>
        <w:t>, Julie Hu</w:t>
      </w:r>
      <w:r w:rsidR="004270F3">
        <w:rPr>
          <w:rFonts w:eastAsia="Times New Roman"/>
          <w:sz w:val="22"/>
          <w:szCs w:val="22"/>
        </w:rPr>
        <w:t>l</w:t>
      </w:r>
      <w:r w:rsidR="00F909BD">
        <w:rPr>
          <w:rFonts w:eastAsia="Times New Roman"/>
          <w:sz w:val="22"/>
          <w:szCs w:val="22"/>
        </w:rPr>
        <w:t>me</w:t>
      </w:r>
      <w:r w:rsidR="00647573">
        <w:rPr>
          <w:color w:val="222222"/>
          <w:vertAlign w:val="superscript"/>
        </w:rPr>
        <w:t>4</w:t>
      </w:r>
      <w:r w:rsidR="00F909BD">
        <w:rPr>
          <w:rFonts w:eastAsia="Times New Roman"/>
          <w:sz w:val="22"/>
          <w:szCs w:val="22"/>
        </w:rPr>
        <w:t xml:space="preserve">, </w:t>
      </w:r>
      <w:r w:rsidR="00647573">
        <w:rPr>
          <w:rFonts w:eastAsia="Times New Roman"/>
          <w:sz w:val="22"/>
          <w:szCs w:val="22"/>
        </w:rPr>
        <w:t>and Dana S. Dunn</w:t>
      </w:r>
      <w:r w:rsidR="00647573">
        <w:rPr>
          <w:color w:val="222222"/>
          <w:vertAlign w:val="superscript"/>
        </w:rPr>
        <w:t>5</w:t>
      </w:r>
    </w:p>
    <w:p w14:paraId="7F4B56A1" w14:textId="318F7216" w:rsidR="00BD09C2" w:rsidRPr="00BD4DB3" w:rsidRDefault="00647573" w:rsidP="00BD09C2">
      <w:pPr>
        <w:spacing w:line="480" w:lineRule="auto"/>
        <w:jc w:val="center"/>
        <w:rPr>
          <w:rFonts w:eastAsia="Times New Roman"/>
          <w:sz w:val="22"/>
          <w:szCs w:val="22"/>
        </w:rPr>
      </w:pPr>
      <w:r>
        <w:rPr>
          <w:color w:val="222222"/>
          <w:vertAlign w:val="superscript"/>
        </w:rPr>
        <w:t>1</w:t>
      </w:r>
      <w:r w:rsidR="00BD09C2" w:rsidRPr="00BD4DB3">
        <w:rPr>
          <w:rFonts w:eastAsia="Times New Roman"/>
          <w:sz w:val="22"/>
          <w:szCs w:val="22"/>
        </w:rPr>
        <w:t>Seton Hall University</w:t>
      </w:r>
      <w:r w:rsidR="00DF545E" w:rsidRPr="00BD4DB3">
        <w:rPr>
          <w:rFonts w:eastAsia="Times New Roman"/>
          <w:sz w:val="22"/>
          <w:szCs w:val="22"/>
        </w:rPr>
        <w:t>, United States</w:t>
      </w:r>
    </w:p>
    <w:p w14:paraId="2CE9142C" w14:textId="6D0A4F8F" w:rsidR="000726FA" w:rsidRPr="00BD4DB3" w:rsidRDefault="00647573" w:rsidP="000726FA">
      <w:pPr>
        <w:spacing w:line="480" w:lineRule="auto"/>
        <w:jc w:val="center"/>
        <w:rPr>
          <w:rFonts w:eastAsia="Times New Roman"/>
          <w:sz w:val="22"/>
          <w:szCs w:val="22"/>
          <w:lang w:val="nl-NL"/>
        </w:rPr>
      </w:pPr>
      <w:r>
        <w:rPr>
          <w:color w:val="222222"/>
          <w:vertAlign w:val="superscript"/>
        </w:rPr>
        <w:t xml:space="preserve">2 </w:t>
      </w:r>
      <w:r w:rsidR="000726FA" w:rsidRPr="00BD4DB3">
        <w:rPr>
          <w:rFonts w:eastAsia="Times New Roman"/>
          <w:sz w:val="22"/>
          <w:szCs w:val="22"/>
          <w:lang w:val="nl-NL"/>
        </w:rPr>
        <w:t>Utrecht University, the Netherlands</w:t>
      </w:r>
    </w:p>
    <w:p w14:paraId="36952C34" w14:textId="183F4114" w:rsidR="00DF545E" w:rsidRPr="00BD4DB3" w:rsidRDefault="00647573" w:rsidP="00BD09C2">
      <w:pPr>
        <w:spacing w:line="480" w:lineRule="auto"/>
        <w:jc w:val="center"/>
        <w:rPr>
          <w:rFonts w:eastAsia="Times New Roman"/>
          <w:sz w:val="22"/>
          <w:szCs w:val="22"/>
        </w:rPr>
      </w:pPr>
      <w:r>
        <w:rPr>
          <w:color w:val="222222"/>
          <w:vertAlign w:val="superscript"/>
        </w:rPr>
        <w:t>3</w:t>
      </w:r>
      <w:r w:rsidR="00DF545E" w:rsidRPr="00BD4DB3">
        <w:rPr>
          <w:rFonts w:eastAsia="Calibri"/>
          <w:sz w:val="22"/>
          <w:szCs w:val="22"/>
        </w:rPr>
        <w:t>The University of New South Wales, Australia</w:t>
      </w:r>
    </w:p>
    <w:p w14:paraId="4ED902EE" w14:textId="27C58F7A" w:rsidR="00DF545E" w:rsidRPr="00BD4DB3" w:rsidRDefault="00647573" w:rsidP="00BD09C2">
      <w:pPr>
        <w:spacing w:line="480" w:lineRule="auto"/>
        <w:jc w:val="center"/>
        <w:rPr>
          <w:rFonts w:eastAsia="Times New Roman"/>
          <w:sz w:val="22"/>
          <w:szCs w:val="22"/>
        </w:rPr>
      </w:pPr>
      <w:r>
        <w:rPr>
          <w:color w:val="222222"/>
          <w:vertAlign w:val="superscript"/>
        </w:rPr>
        <w:t>4</w:t>
      </w:r>
      <w:r w:rsidR="00DF545E" w:rsidRPr="00BD4DB3">
        <w:rPr>
          <w:rFonts w:eastAsia="Times New Roman"/>
          <w:sz w:val="22"/>
          <w:szCs w:val="22"/>
        </w:rPr>
        <w:t>Keele University, United Kingdom</w:t>
      </w:r>
    </w:p>
    <w:p w14:paraId="310E6857" w14:textId="35B8B2BF" w:rsidR="00DF545E" w:rsidRPr="00BD4DB3" w:rsidRDefault="00647573" w:rsidP="00BD09C2">
      <w:pPr>
        <w:spacing w:line="480" w:lineRule="auto"/>
        <w:jc w:val="center"/>
        <w:rPr>
          <w:rFonts w:eastAsia="Times New Roman"/>
          <w:sz w:val="22"/>
          <w:szCs w:val="22"/>
        </w:rPr>
      </w:pPr>
      <w:r>
        <w:rPr>
          <w:color w:val="222222"/>
          <w:vertAlign w:val="superscript"/>
        </w:rPr>
        <w:t>5</w:t>
      </w:r>
      <w:r w:rsidR="00DF545E" w:rsidRPr="00BD4DB3">
        <w:rPr>
          <w:rFonts w:eastAsia="Times New Roman"/>
          <w:sz w:val="22"/>
          <w:szCs w:val="22"/>
        </w:rPr>
        <w:t>Moravian College, United States</w:t>
      </w:r>
    </w:p>
    <w:p w14:paraId="6CF9844A" w14:textId="6AC49768" w:rsidR="00D83D2B" w:rsidRPr="00BD4DB3" w:rsidRDefault="00D83D2B" w:rsidP="00D83D2B">
      <w:pPr>
        <w:spacing w:line="480" w:lineRule="auto"/>
        <w:rPr>
          <w:rFonts w:eastAsia="Times New Roman"/>
          <w:sz w:val="22"/>
          <w:szCs w:val="22"/>
        </w:rPr>
      </w:pPr>
    </w:p>
    <w:p w14:paraId="06F575A2" w14:textId="7C0D438D" w:rsidR="00D83D2B" w:rsidRDefault="00D83D2B" w:rsidP="00D83D2B">
      <w:pPr>
        <w:spacing w:line="480" w:lineRule="auto"/>
        <w:jc w:val="center"/>
        <w:rPr>
          <w:rFonts w:eastAsia="Times New Roman"/>
          <w:b/>
          <w:sz w:val="22"/>
          <w:szCs w:val="22"/>
        </w:rPr>
      </w:pPr>
      <w:r w:rsidRPr="00916683">
        <w:rPr>
          <w:rFonts w:eastAsia="Times New Roman"/>
          <w:b/>
          <w:sz w:val="22"/>
          <w:szCs w:val="22"/>
        </w:rPr>
        <w:t>Author Note</w:t>
      </w:r>
      <w:r w:rsidR="00F909BD">
        <w:rPr>
          <w:rFonts w:eastAsia="Times New Roman"/>
          <w:b/>
          <w:sz w:val="22"/>
          <w:szCs w:val="22"/>
        </w:rPr>
        <w:t>s</w:t>
      </w:r>
    </w:p>
    <w:p w14:paraId="6FAF3562" w14:textId="77777777" w:rsidR="00F909BD" w:rsidRDefault="00F909BD" w:rsidP="00F909BD">
      <w:r>
        <w:rPr>
          <w:rFonts w:eastAsia="Times New Roman"/>
          <w:b/>
          <w:sz w:val="22"/>
          <w:szCs w:val="22"/>
        </w:rPr>
        <w:tab/>
      </w:r>
      <w:r>
        <w:rPr>
          <w:rFonts w:eastAsia="Times New Roman"/>
          <w:sz w:val="22"/>
          <w:szCs w:val="22"/>
        </w:rPr>
        <w:t xml:space="preserve">Susan A. Nolan </w:t>
      </w:r>
      <w:hyperlink r:id="rId8" w:tgtFrame="_blank" w:history="1">
        <w:r w:rsidRPr="00F909BD">
          <w:rPr>
            <w:rStyle w:val="Hyperlink"/>
            <w:bCs/>
            <w:color w:val="2E7F9F"/>
            <w:shd w:val="clear" w:color="auto" w:fill="FFFFFF"/>
          </w:rPr>
          <w:t>https://orcid.org/0000-0001-6339-9563</w:t>
        </w:r>
      </w:hyperlink>
    </w:p>
    <w:p w14:paraId="632A9BDA" w14:textId="77777777" w:rsidR="00F909BD" w:rsidRDefault="00F909BD" w:rsidP="00F909BD"/>
    <w:p w14:paraId="5A26B637" w14:textId="19FB7205" w:rsidR="00AF5447" w:rsidRDefault="00F909BD" w:rsidP="00AF5447">
      <w:pPr>
        <w:ind w:firstLine="720"/>
      </w:pPr>
      <w:r>
        <w:t>Helen E. Bakker</w:t>
      </w:r>
      <w:r w:rsidR="00AF5447">
        <w:t xml:space="preserve">  </w:t>
      </w:r>
      <w:hyperlink r:id="rId9" w:history="1">
        <w:r w:rsidR="00AF5447" w:rsidRPr="00E75CFE">
          <w:rPr>
            <w:rStyle w:val="Hyperlink"/>
          </w:rPr>
          <w:t>https://orcid.org/0000-0002-3302-2260</w:t>
        </w:r>
      </w:hyperlink>
    </w:p>
    <w:p w14:paraId="0A58EE2B" w14:textId="77777777" w:rsidR="00F909BD" w:rsidRDefault="00F909BD" w:rsidP="00F909BD"/>
    <w:p w14:paraId="6C3453A7" w14:textId="77777777" w:rsidR="00AB419E" w:rsidRDefault="00F909BD" w:rsidP="00AB419E">
      <w:r>
        <w:tab/>
        <w:t>Jacquelyn Cranney</w:t>
      </w:r>
      <w:r w:rsidR="00AB419E">
        <w:t xml:space="preserve"> </w:t>
      </w:r>
      <w:hyperlink r:id="rId10" w:tgtFrame="_blank" w:history="1">
        <w:r w:rsidR="00AB419E">
          <w:rPr>
            <w:rStyle w:val="Hyperlink"/>
            <w:rFonts w:ascii="Arial" w:hAnsi="Arial" w:cs="Arial"/>
            <w:color w:val="1155CC"/>
            <w:sz w:val="18"/>
            <w:szCs w:val="18"/>
          </w:rPr>
          <w:t>https://orcid.org/0000-0002-8731-4402</w:t>
        </w:r>
      </w:hyperlink>
    </w:p>
    <w:p w14:paraId="32378870" w14:textId="2E7A12BF" w:rsidR="00F909BD" w:rsidRDefault="00F909BD" w:rsidP="00F909BD"/>
    <w:p w14:paraId="0BE8C3A0" w14:textId="7D7A1E84" w:rsidR="00D447B6" w:rsidRDefault="00F909BD" w:rsidP="00D447B6">
      <w:r>
        <w:tab/>
        <w:t>Julie Hu</w:t>
      </w:r>
      <w:r w:rsidR="004270F3">
        <w:t>l</w:t>
      </w:r>
      <w:r>
        <w:t>me</w:t>
      </w:r>
      <w:r w:rsidR="00D447B6">
        <w:t xml:space="preserve"> </w:t>
      </w:r>
      <w:hyperlink r:id="rId11" w:tgtFrame="_blank" w:history="1">
        <w:r w:rsidR="00D447B6" w:rsidRPr="00D447B6">
          <w:rPr>
            <w:rStyle w:val="Hyperlink"/>
            <w:color w:val="1155CC"/>
            <w:shd w:val="clear" w:color="auto" w:fill="FFFFFF"/>
          </w:rPr>
          <w:t>orcid.org/0000-0001-6217-1815</w:t>
        </w:r>
      </w:hyperlink>
      <w:r w:rsidR="00D447B6">
        <w:rPr>
          <w:rFonts w:ascii="Arial" w:hAnsi="Arial" w:cs="Arial"/>
          <w:color w:val="222222"/>
          <w:shd w:val="clear" w:color="auto" w:fill="FFFFFF"/>
        </w:rPr>
        <w:t> </w:t>
      </w:r>
    </w:p>
    <w:p w14:paraId="499A418D" w14:textId="77777777" w:rsidR="00F909BD" w:rsidRPr="00F909BD" w:rsidRDefault="00F909BD" w:rsidP="00F909BD"/>
    <w:p w14:paraId="2F9FE5F1" w14:textId="6E9EF504" w:rsidR="00F909BD" w:rsidRPr="00F909BD" w:rsidRDefault="00F909BD" w:rsidP="00F909BD">
      <w:pPr>
        <w:spacing w:line="480" w:lineRule="auto"/>
        <w:rPr>
          <w:rFonts w:eastAsia="Times New Roman"/>
          <w:sz w:val="22"/>
          <w:szCs w:val="22"/>
        </w:rPr>
      </w:pPr>
      <w:r>
        <w:rPr>
          <w:rFonts w:eastAsia="Times New Roman"/>
          <w:sz w:val="22"/>
          <w:szCs w:val="22"/>
        </w:rPr>
        <w:tab/>
        <w:t xml:space="preserve">Dana S. Dunn </w:t>
      </w:r>
      <w:hyperlink r:id="rId12" w:tgtFrame="_blank" w:history="1">
        <w:r w:rsidRPr="009A7F06">
          <w:rPr>
            <w:rStyle w:val="Hyperlink"/>
            <w:color w:val="1155CC"/>
            <w:shd w:val="clear" w:color="auto" w:fill="FFFFFF"/>
          </w:rPr>
          <w:t>https://</w:t>
        </w:r>
        <w:r w:rsidRPr="009A7F06">
          <w:rPr>
            <w:rStyle w:val="il"/>
            <w:color w:val="1155CC"/>
            <w:u w:val="single"/>
            <w:shd w:val="clear" w:color="auto" w:fill="FFFFFF"/>
          </w:rPr>
          <w:t>orcid</w:t>
        </w:r>
        <w:r w:rsidRPr="009A7F06">
          <w:rPr>
            <w:rStyle w:val="Hyperlink"/>
            <w:color w:val="1155CC"/>
            <w:shd w:val="clear" w:color="auto" w:fill="FFFFFF"/>
          </w:rPr>
          <w:t>.org/0000-0003-3434-2044</w:t>
        </w:r>
      </w:hyperlink>
    </w:p>
    <w:p w14:paraId="4AC77439" w14:textId="2544E0AF" w:rsidR="00D83D2B" w:rsidRPr="00BD4DB3" w:rsidRDefault="00D83D2B" w:rsidP="00D83D2B">
      <w:pPr>
        <w:spacing w:line="480" w:lineRule="auto"/>
        <w:jc w:val="center"/>
        <w:rPr>
          <w:rFonts w:eastAsia="Times New Roman"/>
          <w:sz w:val="22"/>
          <w:szCs w:val="22"/>
        </w:rPr>
      </w:pPr>
      <w:r w:rsidRPr="00BD4DB3">
        <w:rPr>
          <w:rFonts w:eastAsia="Times New Roman"/>
          <w:sz w:val="22"/>
          <w:szCs w:val="22"/>
        </w:rPr>
        <w:t xml:space="preserve">We thank Shirley Morrissey, Ph.D., for </w:t>
      </w:r>
      <w:r w:rsidR="002753A0" w:rsidRPr="00BD4DB3">
        <w:rPr>
          <w:rFonts w:eastAsia="Times New Roman"/>
          <w:sz w:val="22"/>
          <w:szCs w:val="22"/>
        </w:rPr>
        <w:t>sharing her</w:t>
      </w:r>
      <w:r w:rsidRPr="00BD4DB3">
        <w:rPr>
          <w:rFonts w:eastAsia="Times New Roman"/>
          <w:sz w:val="22"/>
          <w:szCs w:val="22"/>
        </w:rPr>
        <w:t xml:space="preserve"> expertise regarding the Australian Psychology Accreditation Council (APAC) and mobility</w:t>
      </w:r>
      <w:r w:rsidR="002753A0" w:rsidRPr="00BD4DB3">
        <w:rPr>
          <w:rFonts w:eastAsia="Times New Roman"/>
          <w:sz w:val="22"/>
          <w:szCs w:val="22"/>
        </w:rPr>
        <w:t xml:space="preserve"> within higher education</w:t>
      </w:r>
      <w:r w:rsidRPr="00BD4DB3">
        <w:rPr>
          <w:rFonts w:eastAsia="Times New Roman"/>
          <w:sz w:val="22"/>
          <w:szCs w:val="22"/>
        </w:rPr>
        <w:t xml:space="preserve"> in Australia</w:t>
      </w:r>
      <w:r w:rsidR="002753A0" w:rsidRPr="00BD4DB3">
        <w:rPr>
          <w:rFonts w:eastAsia="Times New Roman"/>
          <w:sz w:val="22"/>
          <w:szCs w:val="22"/>
        </w:rPr>
        <w:t xml:space="preserve">. </w:t>
      </w:r>
    </w:p>
    <w:p w14:paraId="1369CA17" w14:textId="77777777" w:rsidR="00D83D2B" w:rsidRPr="00BD4DB3" w:rsidRDefault="00D83D2B" w:rsidP="00D83D2B">
      <w:pPr>
        <w:spacing w:line="480" w:lineRule="auto"/>
        <w:jc w:val="center"/>
        <w:rPr>
          <w:rFonts w:eastAsia="Times New Roman"/>
          <w:sz w:val="22"/>
          <w:szCs w:val="22"/>
        </w:rPr>
      </w:pPr>
    </w:p>
    <w:p w14:paraId="024C6FD1" w14:textId="1A22E6CB" w:rsidR="00D83D2B" w:rsidRPr="00BD4DB3" w:rsidRDefault="00D83D2B" w:rsidP="00D83D2B">
      <w:pPr>
        <w:spacing w:line="480" w:lineRule="auto"/>
        <w:jc w:val="center"/>
        <w:rPr>
          <w:rFonts w:eastAsia="Times New Roman"/>
          <w:sz w:val="22"/>
          <w:szCs w:val="22"/>
        </w:rPr>
      </w:pPr>
      <w:r w:rsidRPr="00BD4DB3">
        <w:rPr>
          <w:rFonts w:eastAsia="Times New Roman"/>
          <w:sz w:val="22"/>
          <w:szCs w:val="22"/>
        </w:rPr>
        <w:t>Correspondence concerning this article should be sent to Susan A. Nolan, Ph.D., Department of Psychology, Seton Hall University, 400 South Orange Avenue, South Orange, NJ, 07079, USA</w:t>
      </w:r>
    </w:p>
    <w:p w14:paraId="47FCBF5B" w14:textId="77777777" w:rsidR="00D83D2B" w:rsidRPr="00BD4DB3" w:rsidRDefault="00D83D2B" w:rsidP="00D83D2B">
      <w:pPr>
        <w:spacing w:line="480" w:lineRule="auto"/>
        <w:jc w:val="center"/>
        <w:rPr>
          <w:rFonts w:eastAsia="Times New Roman"/>
          <w:sz w:val="22"/>
          <w:szCs w:val="22"/>
        </w:rPr>
      </w:pPr>
    </w:p>
    <w:p w14:paraId="08B118B6" w14:textId="4BA029FE" w:rsidR="00DF545E" w:rsidRPr="00BD4DB3" w:rsidRDefault="00D83D2B" w:rsidP="00BD09C2">
      <w:pPr>
        <w:spacing w:line="480" w:lineRule="auto"/>
        <w:jc w:val="center"/>
        <w:rPr>
          <w:rFonts w:eastAsia="Times New Roman"/>
          <w:sz w:val="22"/>
          <w:szCs w:val="22"/>
          <w:lang w:val="fr-FR"/>
        </w:rPr>
      </w:pPr>
      <w:r w:rsidRPr="00BD4DB3">
        <w:rPr>
          <w:rFonts w:eastAsia="Times New Roman"/>
          <w:sz w:val="22"/>
          <w:szCs w:val="22"/>
          <w:lang w:val="fr-FR"/>
        </w:rPr>
        <w:t xml:space="preserve">Contact: </w:t>
      </w:r>
      <w:hyperlink r:id="rId13" w:history="1">
        <w:r w:rsidRPr="00BD4DB3">
          <w:rPr>
            <w:rStyle w:val="Hyperlink"/>
            <w:rFonts w:eastAsia="Times New Roman"/>
            <w:sz w:val="22"/>
            <w:szCs w:val="22"/>
            <w:lang w:val="fr-FR"/>
          </w:rPr>
          <w:t>susan.nolan@shu.edu</w:t>
        </w:r>
      </w:hyperlink>
    </w:p>
    <w:p w14:paraId="0D0DC321" w14:textId="77777777" w:rsidR="00F75C6F" w:rsidRPr="00BD4DB3" w:rsidRDefault="00F75C6F" w:rsidP="00F75C6F">
      <w:pPr>
        <w:spacing w:after="160" w:line="259" w:lineRule="auto"/>
        <w:jc w:val="center"/>
        <w:rPr>
          <w:rFonts w:eastAsia="Times New Roman"/>
          <w:sz w:val="22"/>
          <w:szCs w:val="22"/>
          <w:lang w:val="fr-FR"/>
        </w:rPr>
      </w:pPr>
      <w:r w:rsidRPr="00BD4DB3">
        <w:rPr>
          <w:rFonts w:eastAsia="Times New Roman"/>
          <w:sz w:val="22"/>
          <w:szCs w:val="22"/>
          <w:lang w:val="fr-FR"/>
        </w:rPr>
        <w:lastRenderedPageBreak/>
        <w:br w:type="page"/>
      </w:r>
    </w:p>
    <w:p w14:paraId="3AEA8FAC" w14:textId="2E276215" w:rsidR="00A25927" w:rsidRPr="00916683" w:rsidRDefault="00A25927" w:rsidP="00A25927">
      <w:pPr>
        <w:spacing w:after="160" w:line="259" w:lineRule="auto"/>
        <w:jc w:val="center"/>
        <w:rPr>
          <w:rFonts w:eastAsia="Times New Roman"/>
          <w:b/>
          <w:sz w:val="22"/>
          <w:szCs w:val="22"/>
          <w:lang w:val="fr-FR"/>
        </w:rPr>
      </w:pPr>
      <w:r w:rsidRPr="00916683">
        <w:rPr>
          <w:rFonts w:eastAsia="Times New Roman"/>
          <w:b/>
          <w:sz w:val="22"/>
          <w:szCs w:val="22"/>
          <w:lang w:val="fr-FR"/>
        </w:rPr>
        <w:lastRenderedPageBreak/>
        <w:t>Abstract</w:t>
      </w:r>
    </w:p>
    <w:p w14:paraId="640387A0" w14:textId="50484C79" w:rsidR="006D1D71" w:rsidRPr="00BD4DB3" w:rsidRDefault="006D1D71" w:rsidP="00A25927">
      <w:pPr>
        <w:spacing w:line="480" w:lineRule="auto"/>
        <w:rPr>
          <w:rFonts w:eastAsia="Times New Roman"/>
          <w:sz w:val="22"/>
          <w:szCs w:val="22"/>
        </w:rPr>
      </w:pPr>
      <w:r w:rsidRPr="00BD4DB3">
        <w:rPr>
          <w:rFonts w:eastAsia="Times New Roman"/>
          <w:sz w:val="22"/>
          <w:szCs w:val="22"/>
        </w:rPr>
        <w:t xml:space="preserve">Project Assessment </w:t>
      </w:r>
      <w:r w:rsidR="00232B47" w:rsidRPr="00BD4DB3">
        <w:rPr>
          <w:rFonts w:eastAsia="Times New Roman"/>
          <w:sz w:val="22"/>
          <w:szCs w:val="22"/>
        </w:rPr>
        <w:t>is</w:t>
      </w:r>
      <w:r w:rsidRPr="00BD4DB3">
        <w:rPr>
          <w:rFonts w:eastAsia="Times New Roman"/>
          <w:sz w:val="22"/>
          <w:szCs w:val="22"/>
        </w:rPr>
        <w:t xml:space="preserve"> an </w:t>
      </w:r>
      <w:r w:rsidR="00A25927" w:rsidRPr="00BD4DB3">
        <w:rPr>
          <w:rFonts w:eastAsia="Times New Roman"/>
          <w:sz w:val="22"/>
          <w:szCs w:val="22"/>
        </w:rPr>
        <w:t>American Psychological Association (APA</w:t>
      </w:r>
      <w:r w:rsidR="00232B47" w:rsidRPr="00BD4DB3">
        <w:rPr>
          <w:rFonts w:eastAsia="Times New Roman"/>
          <w:sz w:val="22"/>
          <w:szCs w:val="22"/>
        </w:rPr>
        <w:t>, 2018</w:t>
      </w:r>
      <w:r w:rsidR="00A25927" w:rsidRPr="00BD4DB3">
        <w:rPr>
          <w:rFonts w:eastAsia="Times New Roman"/>
          <w:sz w:val="22"/>
          <w:szCs w:val="22"/>
        </w:rPr>
        <w:t xml:space="preserve">) </w:t>
      </w:r>
      <w:r w:rsidRPr="00BD4DB3">
        <w:rPr>
          <w:rFonts w:eastAsia="Times New Roman"/>
          <w:sz w:val="22"/>
          <w:szCs w:val="22"/>
        </w:rPr>
        <w:t>initiative aimed at facilitating assessment of the five Comprehensive Learning Goals of the APA Guidelines for the Undergradua</w:t>
      </w:r>
      <w:r w:rsidR="005E5C1F">
        <w:rPr>
          <w:rFonts w:eastAsia="Times New Roman"/>
          <w:sz w:val="22"/>
          <w:szCs w:val="22"/>
        </w:rPr>
        <w:t>te Psychology Major</w:t>
      </w:r>
      <w:r w:rsidR="00232B47" w:rsidRPr="00BD4DB3">
        <w:rPr>
          <w:rFonts w:eastAsia="Times New Roman"/>
          <w:sz w:val="22"/>
          <w:szCs w:val="22"/>
        </w:rPr>
        <w:t xml:space="preserve"> (2013)</w:t>
      </w:r>
      <w:r w:rsidRPr="00BD4DB3">
        <w:rPr>
          <w:rFonts w:eastAsia="Times New Roman"/>
          <w:sz w:val="22"/>
          <w:szCs w:val="22"/>
        </w:rPr>
        <w:t xml:space="preserve">. We believe that Project Assessment holds great promise for both U.S. and international use; moreover, we </w:t>
      </w:r>
      <w:r w:rsidR="007500AA" w:rsidRPr="00BD4DB3">
        <w:rPr>
          <w:rFonts w:eastAsia="Times New Roman"/>
          <w:sz w:val="22"/>
          <w:szCs w:val="22"/>
        </w:rPr>
        <w:t xml:space="preserve">suggest </w:t>
      </w:r>
      <w:r w:rsidRPr="00BD4DB3">
        <w:rPr>
          <w:rFonts w:eastAsia="Times New Roman"/>
          <w:sz w:val="22"/>
          <w:szCs w:val="22"/>
        </w:rPr>
        <w:t xml:space="preserve">that Project Assessment can benefit from consideration of international assessment initiatives, particularly those aimed at increasing mobility in our interconnected world. Internationally, particularly in Europe where all but one country adheres to the Bologna Process and many countries adhere to the related </w:t>
      </w:r>
      <w:r w:rsidR="003D09EA" w:rsidRPr="00BD4DB3">
        <w:rPr>
          <w:rFonts w:eastAsia="Times New Roman"/>
          <w:sz w:val="22"/>
          <w:szCs w:val="22"/>
        </w:rPr>
        <w:t>EuroPsy</w:t>
      </w:r>
      <w:r w:rsidRPr="00BD4DB3">
        <w:rPr>
          <w:rFonts w:eastAsia="Times New Roman"/>
          <w:sz w:val="22"/>
          <w:szCs w:val="22"/>
        </w:rPr>
        <w:t xml:space="preserve"> guidelines, assessment of psychology higher education is </w:t>
      </w:r>
      <w:r w:rsidR="00232B47" w:rsidRPr="00BD4DB3">
        <w:rPr>
          <w:rFonts w:eastAsia="Times New Roman"/>
          <w:sz w:val="22"/>
          <w:szCs w:val="22"/>
        </w:rPr>
        <w:t>driven by</w:t>
      </w:r>
      <w:r w:rsidRPr="00BD4DB3">
        <w:rPr>
          <w:rFonts w:eastAsia="Times New Roman"/>
          <w:sz w:val="22"/>
          <w:szCs w:val="22"/>
        </w:rPr>
        <w:t xml:space="preserve"> a broader range of stakeholders than </w:t>
      </w:r>
      <w:r w:rsidR="002753A0" w:rsidRPr="00BD4DB3">
        <w:rPr>
          <w:rFonts w:eastAsia="Times New Roman"/>
          <w:sz w:val="22"/>
          <w:szCs w:val="22"/>
        </w:rPr>
        <w:t xml:space="preserve">is </w:t>
      </w:r>
      <w:r w:rsidRPr="00BD4DB3">
        <w:rPr>
          <w:rFonts w:eastAsia="Times New Roman"/>
          <w:sz w:val="22"/>
          <w:szCs w:val="22"/>
        </w:rPr>
        <w:t>typically considered in the U.S. Indeed, Bologna countries explicitly consider</w:t>
      </w:r>
      <w:r w:rsidR="00232B47" w:rsidRPr="00BD4DB3">
        <w:rPr>
          <w:rFonts w:eastAsia="Times New Roman"/>
          <w:sz w:val="22"/>
          <w:szCs w:val="22"/>
        </w:rPr>
        <w:t xml:space="preserve"> input from</w:t>
      </w:r>
      <w:r w:rsidRPr="00BD4DB3">
        <w:rPr>
          <w:rFonts w:eastAsia="Times New Roman"/>
          <w:sz w:val="22"/>
          <w:szCs w:val="22"/>
        </w:rPr>
        <w:t xml:space="preserve"> </w:t>
      </w:r>
      <w:r w:rsidR="00CC4EE5" w:rsidRPr="00BD4DB3">
        <w:rPr>
          <w:rFonts w:eastAsia="Times New Roman"/>
          <w:sz w:val="22"/>
          <w:szCs w:val="22"/>
        </w:rPr>
        <w:t>external stakeholders such as</w:t>
      </w:r>
      <w:r w:rsidRPr="00BD4DB3">
        <w:rPr>
          <w:rFonts w:eastAsia="Times New Roman"/>
          <w:sz w:val="22"/>
          <w:szCs w:val="22"/>
        </w:rPr>
        <w:t xml:space="preserve"> employers when developing curricula and assessing outcomes, and they prioritize the assessment of skills at least as much as</w:t>
      </w:r>
      <w:r w:rsidR="00A25927" w:rsidRPr="00BD4DB3">
        <w:rPr>
          <w:rFonts w:eastAsia="Times New Roman"/>
          <w:sz w:val="22"/>
          <w:szCs w:val="22"/>
        </w:rPr>
        <w:t xml:space="preserve"> knowledge. In this paper, we</w:t>
      </w:r>
      <w:r w:rsidRPr="00BD4DB3">
        <w:rPr>
          <w:rFonts w:eastAsia="Times New Roman"/>
          <w:sz w:val="22"/>
          <w:szCs w:val="22"/>
        </w:rPr>
        <w:t xml:space="preserve"> </w:t>
      </w:r>
      <w:r w:rsidR="00CC4EE5" w:rsidRPr="00BD4DB3">
        <w:rPr>
          <w:rFonts w:eastAsia="Times New Roman"/>
          <w:sz w:val="22"/>
          <w:szCs w:val="22"/>
        </w:rPr>
        <w:t xml:space="preserve">outline the Bologna Process, </w:t>
      </w:r>
      <w:r w:rsidR="003D09EA" w:rsidRPr="00BD4DB3">
        <w:rPr>
          <w:rFonts w:eastAsia="Times New Roman"/>
          <w:sz w:val="22"/>
          <w:szCs w:val="22"/>
        </w:rPr>
        <w:t>EuroPsy</w:t>
      </w:r>
      <w:r w:rsidR="00CC4EE5" w:rsidRPr="00BD4DB3">
        <w:rPr>
          <w:rFonts w:eastAsia="Times New Roman"/>
          <w:sz w:val="22"/>
          <w:szCs w:val="22"/>
        </w:rPr>
        <w:t xml:space="preserve">, and similar </w:t>
      </w:r>
      <w:r w:rsidR="00D83D2B" w:rsidRPr="00BD4DB3">
        <w:rPr>
          <w:rFonts w:eastAsia="Times New Roman"/>
          <w:sz w:val="22"/>
          <w:szCs w:val="22"/>
        </w:rPr>
        <w:t>collaborative agreements</w:t>
      </w:r>
      <w:r w:rsidR="00CC4EE5" w:rsidRPr="00BD4DB3">
        <w:rPr>
          <w:rFonts w:eastAsia="Times New Roman"/>
          <w:sz w:val="22"/>
          <w:szCs w:val="22"/>
        </w:rPr>
        <w:t xml:space="preserve"> in other world regions. We highlight what the U.S. can learn from these projects, </w:t>
      </w:r>
      <w:r w:rsidR="00232B47" w:rsidRPr="00BD4DB3">
        <w:rPr>
          <w:rFonts w:eastAsia="Times New Roman"/>
          <w:sz w:val="22"/>
          <w:szCs w:val="22"/>
        </w:rPr>
        <w:t>particularly</w:t>
      </w:r>
      <w:r w:rsidR="00CC4EE5" w:rsidRPr="00BD4DB3">
        <w:rPr>
          <w:rFonts w:eastAsia="Times New Roman"/>
          <w:sz w:val="22"/>
          <w:szCs w:val="22"/>
        </w:rPr>
        <w:t xml:space="preserve"> the involvement of a broader range of stakeholders and an emphasis on mobility</w:t>
      </w:r>
      <w:r w:rsidR="005A22FA" w:rsidRPr="00BD4DB3">
        <w:rPr>
          <w:rFonts w:eastAsia="Times New Roman"/>
          <w:sz w:val="22"/>
          <w:szCs w:val="22"/>
        </w:rPr>
        <w:t xml:space="preserve"> of degrees and graduates</w:t>
      </w:r>
      <w:r w:rsidR="00CC4EE5" w:rsidRPr="00BD4DB3">
        <w:rPr>
          <w:rFonts w:eastAsia="Times New Roman"/>
          <w:sz w:val="22"/>
          <w:szCs w:val="22"/>
        </w:rPr>
        <w:t xml:space="preserve">. While doing so, we </w:t>
      </w:r>
      <w:r w:rsidRPr="00BD4DB3">
        <w:rPr>
          <w:rFonts w:eastAsia="Times New Roman"/>
          <w:sz w:val="22"/>
          <w:szCs w:val="22"/>
        </w:rPr>
        <w:t>explore evidence on international</w:t>
      </w:r>
      <w:r w:rsidR="00D9746F" w:rsidRPr="00BD4DB3">
        <w:rPr>
          <w:rFonts w:eastAsia="Times New Roman"/>
          <w:sz w:val="22"/>
          <w:szCs w:val="22"/>
        </w:rPr>
        <w:t>ly implemented</w:t>
      </w:r>
      <w:r w:rsidRPr="00BD4DB3">
        <w:rPr>
          <w:rFonts w:eastAsia="Times New Roman"/>
          <w:sz w:val="22"/>
          <w:szCs w:val="22"/>
        </w:rPr>
        <w:t xml:space="preserve"> assessment practices and on the </w:t>
      </w:r>
      <w:r w:rsidR="005A22FA" w:rsidRPr="00BD4DB3">
        <w:rPr>
          <w:rFonts w:eastAsia="Times New Roman"/>
          <w:sz w:val="22"/>
          <w:szCs w:val="22"/>
        </w:rPr>
        <w:t xml:space="preserve">extent </w:t>
      </w:r>
      <w:r w:rsidRPr="00BD4DB3">
        <w:rPr>
          <w:rFonts w:eastAsia="Times New Roman"/>
          <w:sz w:val="22"/>
          <w:szCs w:val="22"/>
        </w:rPr>
        <w:t xml:space="preserve">to which harmonized curricula and assessment practices have increased mobility. As many world regions pursue Bologna-like structures, often with funding from the European Union, we believe </w:t>
      </w:r>
      <w:r w:rsidR="00A25927" w:rsidRPr="00BD4DB3">
        <w:rPr>
          <w:rFonts w:eastAsia="Times New Roman"/>
          <w:sz w:val="22"/>
          <w:szCs w:val="22"/>
        </w:rPr>
        <w:t xml:space="preserve">that </w:t>
      </w:r>
      <w:r w:rsidRPr="00BD4DB3">
        <w:rPr>
          <w:rFonts w:eastAsia="Times New Roman"/>
          <w:sz w:val="22"/>
          <w:szCs w:val="22"/>
        </w:rPr>
        <w:t>it is essential that those pursuing U.S. initiatives like Project Assessment actively join the global conversation about higher education</w:t>
      </w:r>
      <w:r w:rsidR="000726FA" w:rsidRPr="00BD4DB3">
        <w:rPr>
          <w:rFonts w:eastAsia="Times New Roman"/>
          <w:sz w:val="22"/>
          <w:szCs w:val="22"/>
        </w:rPr>
        <w:t xml:space="preserve"> in psychology</w:t>
      </w:r>
      <w:r w:rsidRPr="00BD4DB3">
        <w:rPr>
          <w:rFonts w:eastAsia="Times New Roman"/>
          <w:sz w:val="22"/>
          <w:szCs w:val="22"/>
        </w:rPr>
        <w:t>.</w:t>
      </w:r>
    </w:p>
    <w:p w14:paraId="171B642F" w14:textId="42BF4DAD" w:rsidR="00246276" w:rsidRPr="00BD4DB3" w:rsidRDefault="00246276" w:rsidP="00246276">
      <w:pPr>
        <w:spacing w:line="480" w:lineRule="auto"/>
        <w:jc w:val="center"/>
        <w:rPr>
          <w:rFonts w:eastAsia="Times New Roman"/>
          <w:sz w:val="22"/>
          <w:szCs w:val="22"/>
        </w:rPr>
      </w:pPr>
      <w:r w:rsidRPr="00BD4DB3">
        <w:rPr>
          <w:rFonts w:eastAsia="Times New Roman"/>
          <w:i/>
          <w:sz w:val="22"/>
          <w:szCs w:val="22"/>
        </w:rPr>
        <w:t xml:space="preserve">Keywords: </w:t>
      </w:r>
      <w:r w:rsidRPr="00BD4DB3">
        <w:rPr>
          <w:rFonts w:eastAsia="Times New Roman"/>
          <w:sz w:val="22"/>
          <w:szCs w:val="22"/>
        </w:rPr>
        <w:t xml:space="preserve">assessment, international, </w:t>
      </w:r>
      <w:r w:rsidR="00232B47" w:rsidRPr="00BD4DB3">
        <w:rPr>
          <w:rFonts w:eastAsia="Times New Roman"/>
          <w:sz w:val="22"/>
          <w:szCs w:val="22"/>
        </w:rPr>
        <w:t>Bologna Process, Tuning, harmonization</w:t>
      </w:r>
    </w:p>
    <w:p w14:paraId="20AD1FC5" w14:textId="77777777" w:rsidR="00A25927" w:rsidRPr="00BD4DB3" w:rsidRDefault="00A25927" w:rsidP="006D1D71">
      <w:pPr>
        <w:spacing w:after="160" w:line="259" w:lineRule="auto"/>
        <w:rPr>
          <w:rFonts w:eastAsia="Times New Roman"/>
          <w:sz w:val="22"/>
          <w:szCs w:val="22"/>
        </w:rPr>
      </w:pPr>
    </w:p>
    <w:p w14:paraId="4099DAD4" w14:textId="77777777" w:rsidR="00A25927" w:rsidRPr="00BD4DB3" w:rsidRDefault="00A25927">
      <w:pPr>
        <w:spacing w:after="160" w:line="259" w:lineRule="auto"/>
        <w:rPr>
          <w:rFonts w:eastAsia="Times New Roman"/>
          <w:sz w:val="22"/>
          <w:szCs w:val="22"/>
        </w:rPr>
      </w:pPr>
      <w:r w:rsidRPr="00BD4DB3">
        <w:rPr>
          <w:rFonts w:eastAsia="Times New Roman"/>
          <w:sz w:val="22"/>
          <w:szCs w:val="22"/>
        </w:rPr>
        <w:br w:type="page"/>
      </w:r>
    </w:p>
    <w:p w14:paraId="7676FFA1" w14:textId="60C2FB23" w:rsidR="00043284" w:rsidRPr="00B305F9" w:rsidRDefault="00F75C6F" w:rsidP="00916683">
      <w:pPr>
        <w:spacing w:line="480" w:lineRule="auto"/>
        <w:jc w:val="center"/>
        <w:rPr>
          <w:rFonts w:eastAsia="Times New Roman"/>
          <w:b/>
          <w:sz w:val="22"/>
          <w:szCs w:val="22"/>
        </w:rPr>
      </w:pPr>
      <w:r w:rsidRPr="00B305F9">
        <w:rPr>
          <w:rFonts w:eastAsia="Times New Roman"/>
          <w:b/>
          <w:sz w:val="22"/>
          <w:szCs w:val="22"/>
        </w:rPr>
        <w:lastRenderedPageBreak/>
        <w:t>Project Assessment: An International Perspective</w:t>
      </w:r>
      <w:r w:rsidR="006778EE" w:rsidRPr="00B305F9">
        <w:rPr>
          <w:rFonts w:eastAsia="Times New Roman"/>
          <w:b/>
          <w:sz w:val="22"/>
          <w:szCs w:val="22"/>
        </w:rPr>
        <w:t xml:space="preserve"> (Submitted 1/14/2020)</w:t>
      </w:r>
    </w:p>
    <w:p w14:paraId="7C43E692" w14:textId="1564CCB4" w:rsidR="00B032A8" w:rsidRPr="00BD4DB3" w:rsidRDefault="00A83D46" w:rsidP="00852F79">
      <w:pPr>
        <w:spacing w:line="480" w:lineRule="auto"/>
        <w:rPr>
          <w:rFonts w:eastAsia="Times New Roman"/>
          <w:sz w:val="22"/>
          <w:szCs w:val="22"/>
        </w:rPr>
      </w:pPr>
      <w:r w:rsidRPr="00BD4DB3">
        <w:rPr>
          <w:rFonts w:eastAsia="Times New Roman"/>
          <w:sz w:val="22"/>
          <w:szCs w:val="22"/>
        </w:rPr>
        <w:tab/>
      </w:r>
      <w:r w:rsidR="00232B47" w:rsidRPr="00BD4DB3">
        <w:rPr>
          <w:rFonts w:eastAsia="Times New Roman"/>
          <w:sz w:val="22"/>
          <w:szCs w:val="22"/>
        </w:rPr>
        <w:t xml:space="preserve">Project Assessment </w:t>
      </w:r>
      <w:r w:rsidR="00F3474D" w:rsidRPr="00BD4DB3">
        <w:rPr>
          <w:rFonts w:eastAsia="Times New Roman"/>
          <w:sz w:val="22"/>
          <w:szCs w:val="22"/>
        </w:rPr>
        <w:t>is an initiative of the American Psychological Association (APA</w:t>
      </w:r>
      <w:r w:rsidR="00AA168C" w:rsidRPr="00BD4DB3">
        <w:rPr>
          <w:rFonts w:eastAsia="Times New Roman"/>
          <w:sz w:val="22"/>
          <w:szCs w:val="22"/>
        </w:rPr>
        <w:t>, 2018</w:t>
      </w:r>
      <w:r w:rsidR="00F3474D" w:rsidRPr="00BD4DB3">
        <w:rPr>
          <w:rFonts w:eastAsia="Times New Roman"/>
          <w:sz w:val="22"/>
          <w:szCs w:val="22"/>
        </w:rPr>
        <w:t xml:space="preserve">). </w:t>
      </w:r>
      <w:r w:rsidRPr="00BD4DB3">
        <w:rPr>
          <w:rFonts w:eastAsia="Times New Roman"/>
          <w:sz w:val="22"/>
          <w:szCs w:val="22"/>
        </w:rPr>
        <w:t xml:space="preserve">In 2016, </w:t>
      </w:r>
      <w:r w:rsidR="00A3419E" w:rsidRPr="00BD4DB3">
        <w:rPr>
          <w:rFonts w:eastAsia="Times New Roman"/>
          <w:sz w:val="22"/>
          <w:szCs w:val="22"/>
        </w:rPr>
        <w:t>a team of U.S. instructors and researchers</w:t>
      </w:r>
      <w:r w:rsidR="00232B47" w:rsidRPr="00BD4DB3">
        <w:rPr>
          <w:rStyle w:val="FootnoteReference"/>
          <w:rFonts w:eastAsia="Times New Roman"/>
          <w:sz w:val="22"/>
          <w:szCs w:val="22"/>
        </w:rPr>
        <w:footnoteReference w:id="1"/>
      </w:r>
      <w:r w:rsidRPr="00BD4DB3">
        <w:rPr>
          <w:rFonts w:eastAsia="Times New Roman"/>
          <w:sz w:val="22"/>
          <w:szCs w:val="22"/>
        </w:rPr>
        <w:t xml:space="preserve"> </w:t>
      </w:r>
      <w:r w:rsidR="00A3419E" w:rsidRPr="00BD4DB3">
        <w:rPr>
          <w:rFonts w:eastAsia="Times New Roman"/>
          <w:sz w:val="22"/>
          <w:szCs w:val="22"/>
        </w:rPr>
        <w:t xml:space="preserve">was tasked with </w:t>
      </w:r>
      <w:r w:rsidRPr="00BD4DB3">
        <w:rPr>
          <w:rFonts w:eastAsia="Times New Roman"/>
          <w:sz w:val="22"/>
          <w:szCs w:val="22"/>
        </w:rPr>
        <w:t xml:space="preserve">identifying or developing assessments tied to the APA Guidelines for the Undergraduate Psychology Major (2013). </w:t>
      </w:r>
      <w:r w:rsidR="00AA168C" w:rsidRPr="00BD4DB3">
        <w:rPr>
          <w:rFonts w:eastAsia="Times New Roman"/>
          <w:sz w:val="22"/>
          <w:szCs w:val="22"/>
        </w:rPr>
        <w:t>These</w:t>
      </w:r>
      <w:r w:rsidR="00F3474D" w:rsidRPr="00BD4DB3">
        <w:rPr>
          <w:rFonts w:eastAsia="Times New Roman"/>
          <w:sz w:val="22"/>
          <w:szCs w:val="22"/>
        </w:rPr>
        <w:t xml:space="preserve"> assessments (</w:t>
      </w:r>
      <w:r w:rsidR="00265DE9" w:rsidRPr="00BD4DB3">
        <w:rPr>
          <w:rFonts w:eastAsia="Times New Roman"/>
          <w:sz w:val="22"/>
          <w:szCs w:val="22"/>
        </w:rPr>
        <w:t>pass.apa.org</w:t>
      </w:r>
      <w:r w:rsidR="00F3474D" w:rsidRPr="00BD4DB3">
        <w:rPr>
          <w:rFonts w:eastAsia="Times New Roman"/>
          <w:sz w:val="22"/>
          <w:szCs w:val="22"/>
        </w:rPr>
        <w:t>)</w:t>
      </w:r>
      <w:r w:rsidR="008265F9" w:rsidRPr="00BD4DB3">
        <w:rPr>
          <w:rFonts w:eastAsia="Times New Roman"/>
          <w:sz w:val="22"/>
          <w:szCs w:val="22"/>
        </w:rPr>
        <w:t xml:space="preserve"> are</w:t>
      </w:r>
      <w:r w:rsidR="00232B47" w:rsidRPr="00BD4DB3">
        <w:rPr>
          <w:rFonts w:eastAsia="Times New Roman"/>
          <w:sz w:val="22"/>
          <w:szCs w:val="22"/>
        </w:rPr>
        <w:t xml:space="preserve"> </w:t>
      </w:r>
      <w:r w:rsidR="00F3474D" w:rsidRPr="00BD4DB3">
        <w:rPr>
          <w:rFonts w:eastAsia="Times New Roman"/>
          <w:sz w:val="22"/>
          <w:szCs w:val="22"/>
        </w:rPr>
        <w:t>a welcome</w:t>
      </w:r>
      <w:r w:rsidR="001A1068" w:rsidRPr="00BD4DB3">
        <w:rPr>
          <w:rFonts w:eastAsia="Times New Roman"/>
          <w:sz w:val="22"/>
          <w:szCs w:val="22"/>
        </w:rPr>
        <w:t xml:space="preserve"> and valuable</w:t>
      </w:r>
      <w:r w:rsidR="00F3474D" w:rsidRPr="00BD4DB3">
        <w:rPr>
          <w:rFonts w:eastAsia="Times New Roman"/>
          <w:sz w:val="22"/>
          <w:szCs w:val="22"/>
        </w:rPr>
        <w:t xml:space="preserve"> resource</w:t>
      </w:r>
      <w:r w:rsidR="00AA168C" w:rsidRPr="00BD4DB3">
        <w:rPr>
          <w:rFonts w:eastAsia="Times New Roman"/>
          <w:sz w:val="22"/>
          <w:szCs w:val="22"/>
        </w:rPr>
        <w:t xml:space="preserve">; however, </w:t>
      </w:r>
      <w:r w:rsidR="008265F9" w:rsidRPr="00BD4DB3">
        <w:rPr>
          <w:rFonts w:eastAsia="Times New Roman"/>
          <w:sz w:val="22"/>
          <w:szCs w:val="22"/>
        </w:rPr>
        <w:t>they are</w:t>
      </w:r>
      <w:r w:rsidR="00AA168C" w:rsidRPr="00BD4DB3">
        <w:rPr>
          <w:rFonts w:eastAsia="Times New Roman"/>
          <w:sz w:val="22"/>
          <w:szCs w:val="22"/>
        </w:rPr>
        <w:t xml:space="preserve"> arg</w:t>
      </w:r>
      <w:r w:rsidR="00B032A8" w:rsidRPr="00BD4DB3">
        <w:rPr>
          <w:rFonts w:eastAsia="Times New Roman"/>
          <w:sz w:val="22"/>
          <w:szCs w:val="22"/>
        </w:rPr>
        <w:t>uably too</w:t>
      </w:r>
      <w:r w:rsidR="00A50C75" w:rsidRPr="00BD4DB3">
        <w:rPr>
          <w:rFonts w:eastAsia="Times New Roman"/>
          <w:sz w:val="22"/>
          <w:szCs w:val="22"/>
        </w:rPr>
        <w:t xml:space="preserve"> US-centric. </w:t>
      </w:r>
      <w:r w:rsidR="00B56F18" w:rsidRPr="00BD4DB3">
        <w:rPr>
          <w:rFonts w:eastAsia="Times New Roman"/>
          <w:sz w:val="22"/>
          <w:szCs w:val="22"/>
        </w:rPr>
        <w:t>All</w:t>
      </w:r>
      <w:r w:rsidR="00A50C75" w:rsidRPr="00BD4DB3">
        <w:rPr>
          <w:rFonts w:eastAsia="Times New Roman"/>
          <w:sz w:val="22"/>
          <w:szCs w:val="22"/>
        </w:rPr>
        <w:t xml:space="preserve"> SNAP collabor</w:t>
      </w:r>
      <w:r w:rsidR="001A1068" w:rsidRPr="00BD4DB3">
        <w:rPr>
          <w:rFonts w:eastAsia="Times New Roman"/>
          <w:sz w:val="22"/>
          <w:szCs w:val="22"/>
        </w:rPr>
        <w:t xml:space="preserve">ators </w:t>
      </w:r>
      <w:r w:rsidR="00B032A8" w:rsidRPr="00BD4DB3">
        <w:rPr>
          <w:rFonts w:eastAsia="Times New Roman"/>
          <w:sz w:val="22"/>
          <w:szCs w:val="22"/>
        </w:rPr>
        <w:t>were</w:t>
      </w:r>
      <w:r w:rsidR="001A1068" w:rsidRPr="00BD4DB3">
        <w:rPr>
          <w:rFonts w:eastAsia="Times New Roman"/>
          <w:sz w:val="22"/>
          <w:szCs w:val="22"/>
        </w:rPr>
        <w:t xml:space="preserve"> US-based</w:t>
      </w:r>
      <w:r w:rsidR="00AA168C" w:rsidRPr="00BD4DB3">
        <w:rPr>
          <w:rFonts w:eastAsia="Times New Roman"/>
          <w:sz w:val="22"/>
          <w:szCs w:val="22"/>
        </w:rPr>
        <w:t xml:space="preserve">, and </w:t>
      </w:r>
      <w:r w:rsidR="00852F79" w:rsidRPr="00BD4DB3">
        <w:rPr>
          <w:rFonts w:eastAsia="Times New Roman"/>
          <w:sz w:val="22"/>
          <w:szCs w:val="22"/>
        </w:rPr>
        <w:t xml:space="preserve">the assessments </w:t>
      </w:r>
      <w:r w:rsidR="008265F9" w:rsidRPr="00BD4DB3">
        <w:rPr>
          <w:rFonts w:eastAsia="Times New Roman"/>
          <w:sz w:val="22"/>
          <w:szCs w:val="22"/>
        </w:rPr>
        <w:t>built on</w:t>
      </w:r>
      <w:r w:rsidR="00B032A8" w:rsidRPr="00BD4DB3">
        <w:rPr>
          <w:rFonts w:eastAsia="Times New Roman"/>
          <w:sz w:val="22"/>
          <w:szCs w:val="22"/>
        </w:rPr>
        <w:t xml:space="preserve"> the </w:t>
      </w:r>
      <w:r w:rsidR="004851C1" w:rsidRPr="00BD4DB3">
        <w:rPr>
          <w:rFonts w:eastAsia="Times New Roman"/>
          <w:sz w:val="22"/>
          <w:szCs w:val="22"/>
        </w:rPr>
        <w:t xml:space="preserve">generally US-centric </w:t>
      </w:r>
      <w:r w:rsidR="00B032A8" w:rsidRPr="00BD4DB3">
        <w:rPr>
          <w:rFonts w:eastAsia="Times New Roman"/>
          <w:sz w:val="22"/>
          <w:szCs w:val="22"/>
        </w:rPr>
        <w:t>APA guidelines</w:t>
      </w:r>
      <w:r w:rsidR="001A1068" w:rsidRPr="00BD4DB3">
        <w:rPr>
          <w:rFonts w:eastAsia="Times New Roman"/>
          <w:sz w:val="22"/>
          <w:szCs w:val="22"/>
        </w:rPr>
        <w:t xml:space="preserve">. </w:t>
      </w:r>
      <w:r w:rsidR="008265F9" w:rsidRPr="00BD4DB3">
        <w:rPr>
          <w:rFonts w:eastAsia="Times New Roman"/>
          <w:sz w:val="22"/>
          <w:szCs w:val="22"/>
        </w:rPr>
        <w:t>We</w:t>
      </w:r>
      <w:r w:rsidR="00B032A8" w:rsidRPr="00BD4DB3">
        <w:rPr>
          <w:rFonts w:eastAsia="Times New Roman"/>
          <w:sz w:val="22"/>
          <w:szCs w:val="22"/>
        </w:rPr>
        <w:t xml:space="preserve"> argue that Project Assessment should consider </w:t>
      </w:r>
      <w:r w:rsidR="006D1D71" w:rsidRPr="00BD4DB3">
        <w:rPr>
          <w:rFonts w:eastAsia="Times New Roman"/>
          <w:sz w:val="22"/>
          <w:szCs w:val="22"/>
        </w:rPr>
        <w:t>international initiatives in terms of trends, but also in terms of the ultimate goals of suc</w:t>
      </w:r>
      <w:r w:rsidR="00265DE9" w:rsidRPr="00BD4DB3">
        <w:rPr>
          <w:rFonts w:eastAsia="Times New Roman"/>
          <w:sz w:val="22"/>
          <w:szCs w:val="22"/>
        </w:rPr>
        <w:t>h initiatives – employability</w:t>
      </w:r>
      <w:r w:rsidR="009E27A1" w:rsidRPr="00BD4DB3">
        <w:rPr>
          <w:rFonts w:eastAsia="Times New Roman"/>
          <w:sz w:val="22"/>
          <w:szCs w:val="22"/>
        </w:rPr>
        <w:t>, intercultural competence,</w:t>
      </w:r>
      <w:r w:rsidR="006D1D71" w:rsidRPr="00BD4DB3">
        <w:rPr>
          <w:rFonts w:eastAsia="Times New Roman"/>
          <w:sz w:val="22"/>
          <w:szCs w:val="22"/>
        </w:rPr>
        <w:t xml:space="preserve"> and mobility for students and graduates. </w:t>
      </w:r>
      <w:r w:rsidR="00852F79" w:rsidRPr="00BD4DB3">
        <w:rPr>
          <w:rFonts w:eastAsia="Times New Roman"/>
          <w:sz w:val="22"/>
          <w:szCs w:val="22"/>
        </w:rPr>
        <w:t>W</w:t>
      </w:r>
      <w:r w:rsidR="004851C1" w:rsidRPr="00BD4DB3">
        <w:rPr>
          <w:rFonts w:eastAsia="Times New Roman"/>
          <w:sz w:val="22"/>
          <w:szCs w:val="22"/>
        </w:rPr>
        <w:t>e</w:t>
      </w:r>
      <w:r w:rsidR="00AA168C" w:rsidRPr="00BD4DB3">
        <w:rPr>
          <w:rFonts w:eastAsia="Times New Roman"/>
          <w:sz w:val="22"/>
          <w:szCs w:val="22"/>
        </w:rPr>
        <w:t xml:space="preserve"> introduce </w:t>
      </w:r>
      <w:r w:rsidR="006D1D71" w:rsidRPr="00BD4DB3">
        <w:rPr>
          <w:rFonts w:eastAsia="Times New Roman"/>
          <w:sz w:val="22"/>
          <w:szCs w:val="22"/>
        </w:rPr>
        <w:t xml:space="preserve">the Bologna Process and </w:t>
      </w:r>
      <w:r w:rsidR="003D09EA" w:rsidRPr="00BD4DB3">
        <w:rPr>
          <w:rFonts w:eastAsia="Times New Roman"/>
          <w:sz w:val="22"/>
          <w:szCs w:val="22"/>
        </w:rPr>
        <w:t>EuroPsy</w:t>
      </w:r>
      <w:r w:rsidR="006D1D71" w:rsidRPr="00BD4DB3">
        <w:rPr>
          <w:rFonts w:eastAsia="Times New Roman"/>
          <w:sz w:val="22"/>
          <w:szCs w:val="22"/>
        </w:rPr>
        <w:t xml:space="preserve">, the seminal </w:t>
      </w:r>
      <w:r w:rsidR="00852F79" w:rsidRPr="00BD4DB3">
        <w:rPr>
          <w:rFonts w:eastAsia="Times New Roman"/>
          <w:sz w:val="22"/>
          <w:szCs w:val="22"/>
        </w:rPr>
        <w:t xml:space="preserve">European </w:t>
      </w:r>
      <w:r w:rsidR="006D1D71" w:rsidRPr="00BD4DB3">
        <w:rPr>
          <w:rFonts w:eastAsia="Times New Roman"/>
          <w:sz w:val="22"/>
          <w:szCs w:val="22"/>
        </w:rPr>
        <w:t xml:space="preserve">collaborative </w:t>
      </w:r>
      <w:r w:rsidR="004851C1" w:rsidRPr="00BD4DB3">
        <w:rPr>
          <w:rFonts w:eastAsia="Times New Roman"/>
          <w:sz w:val="22"/>
          <w:szCs w:val="22"/>
        </w:rPr>
        <w:t xml:space="preserve">educational </w:t>
      </w:r>
      <w:r w:rsidR="006D1D71" w:rsidRPr="00BD4DB3">
        <w:rPr>
          <w:rFonts w:eastAsia="Times New Roman"/>
          <w:sz w:val="22"/>
          <w:szCs w:val="22"/>
        </w:rPr>
        <w:t>agreements</w:t>
      </w:r>
      <w:r w:rsidR="004851C1" w:rsidRPr="00BD4DB3">
        <w:rPr>
          <w:rFonts w:eastAsia="Times New Roman"/>
          <w:sz w:val="22"/>
          <w:szCs w:val="22"/>
        </w:rPr>
        <w:t xml:space="preserve">, </w:t>
      </w:r>
      <w:r w:rsidR="00AA168C" w:rsidRPr="00BD4DB3">
        <w:rPr>
          <w:rFonts w:eastAsia="Times New Roman"/>
          <w:sz w:val="22"/>
          <w:szCs w:val="22"/>
        </w:rPr>
        <w:t>as well as similar initi</w:t>
      </w:r>
      <w:r w:rsidR="004851C1" w:rsidRPr="00BD4DB3">
        <w:rPr>
          <w:rFonts w:eastAsia="Times New Roman"/>
          <w:sz w:val="22"/>
          <w:szCs w:val="22"/>
        </w:rPr>
        <w:t>ati</w:t>
      </w:r>
      <w:r w:rsidR="00AA168C" w:rsidRPr="00BD4DB3">
        <w:rPr>
          <w:rFonts w:eastAsia="Times New Roman"/>
          <w:sz w:val="22"/>
          <w:szCs w:val="22"/>
        </w:rPr>
        <w:t xml:space="preserve">ves in other world regions. </w:t>
      </w:r>
      <w:r w:rsidR="004851C1" w:rsidRPr="00BD4DB3">
        <w:rPr>
          <w:rFonts w:eastAsia="Times New Roman"/>
          <w:sz w:val="22"/>
          <w:szCs w:val="22"/>
        </w:rPr>
        <w:t>We</w:t>
      </w:r>
      <w:r w:rsidR="00AA168C" w:rsidRPr="00BD4DB3">
        <w:rPr>
          <w:rFonts w:eastAsia="Times New Roman"/>
          <w:sz w:val="22"/>
          <w:szCs w:val="22"/>
        </w:rPr>
        <w:t xml:space="preserve"> </w:t>
      </w:r>
      <w:r w:rsidR="00232B47" w:rsidRPr="00BD4DB3">
        <w:rPr>
          <w:rFonts w:eastAsia="Times New Roman"/>
          <w:sz w:val="22"/>
          <w:szCs w:val="22"/>
        </w:rPr>
        <w:t xml:space="preserve">then </w:t>
      </w:r>
      <w:r w:rsidR="00AA168C" w:rsidRPr="00BD4DB3">
        <w:rPr>
          <w:rFonts w:eastAsia="Times New Roman"/>
          <w:sz w:val="22"/>
          <w:szCs w:val="22"/>
        </w:rPr>
        <w:t xml:space="preserve">highlight what </w:t>
      </w:r>
      <w:r w:rsidR="006D1D71" w:rsidRPr="00BD4DB3">
        <w:rPr>
          <w:rFonts w:eastAsia="Times New Roman"/>
          <w:sz w:val="22"/>
          <w:szCs w:val="22"/>
        </w:rPr>
        <w:t xml:space="preserve">U.S. psychology, </w:t>
      </w:r>
      <w:r w:rsidR="007411B4" w:rsidRPr="00BD4DB3">
        <w:rPr>
          <w:rFonts w:eastAsia="Times New Roman"/>
          <w:sz w:val="22"/>
          <w:szCs w:val="22"/>
        </w:rPr>
        <w:t>including</w:t>
      </w:r>
      <w:r w:rsidR="006D1D71" w:rsidRPr="00BD4DB3">
        <w:rPr>
          <w:rFonts w:eastAsia="Times New Roman"/>
          <w:sz w:val="22"/>
          <w:szCs w:val="22"/>
        </w:rPr>
        <w:t xml:space="preserve"> Project Assessment, can learn from these projects. </w:t>
      </w:r>
    </w:p>
    <w:p w14:paraId="53F15803" w14:textId="6DC3A780" w:rsidR="006D1D71" w:rsidRPr="00BD4DB3" w:rsidRDefault="006D1D71" w:rsidP="00916683">
      <w:pPr>
        <w:spacing w:line="480" w:lineRule="auto"/>
        <w:rPr>
          <w:rFonts w:eastAsia="Times New Roman"/>
          <w:b/>
          <w:sz w:val="22"/>
          <w:szCs w:val="22"/>
        </w:rPr>
      </w:pPr>
      <w:r w:rsidRPr="00BD4DB3">
        <w:rPr>
          <w:rFonts w:eastAsia="Times New Roman"/>
          <w:b/>
          <w:sz w:val="22"/>
          <w:szCs w:val="22"/>
        </w:rPr>
        <w:t xml:space="preserve">The Rise of the Bologna Process and </w:t>
      </w:r>
      <w:r w:rsidR="003D09EA" w:rsidRPr="00BD4DB3">
        <w:rPr>
          <w:rFonts w:eastAsia="Times New Roman"/>
          <w:b/>
          <w:sz w:val="22"/>
          <w:szCs w:val="22"/>
        </w:rPr>
        <w:t>EuroPsy</w:t>
      </w:r>
      <w:r w:rsidRPr="00BD4DB3">
        <w:rPr>
          <w:rFonts w:eastAsia="Times New Roman"/>
          <w:b/>
          <w:sz w:val="22"/>
          <w:szCs w:val="22"/>
        </w:rPr>
        <w:t xml:space="preserve"> in Europe</w:t>
      </w:r>
    </w:p>
    <w:p w14:paraId="49DCEDF3" w14:textId="570DCA70" w:rsidR="00DA1F2C" w:rsidRPr="00BD4DB3" w:rsidRDefault="00DA1F2C" w:rsidP="004851C1">
      <w:pPr>
        <w:spacing w:line="480" w:lineRule="auto"/>
        <w:ind w:firstLine="720"/>
        <w:rPr>
          <w:rFonts w:eastAsia="Times New Roman"/>
          <w:sz w:val="22"/>
          <w:szCs w:val="22"/>
        </w:rPr>
      </w:pPr>
      <w:r w:rsidRPr="00BD4DB3">
        <w:rPr>
          <w:rFonts w:eastAsia="Times New Roman"/>
          <w:b/>
          <w:sz w:val="22"/>
          <w:szCs w:val="22"/>
        </w:rPr>
        <w:t>The Bologna Process.</w:t>
      </w:r>
      <w:r w:rsidRPr="00BD4DB3">
        <w:rPr>
          <w:rFonts w:eastAsia="Times New Roman"/>
          <w:sz w:val="22"/>
          <w:szCs w:val="22"/>
        </w:rPr>
        <w:t xml:space="preserve"> </w:t>
      </w:r>
      <w:r w:rsidR="004851C1" w:rsidRPr="00BD4DB3">
        <w:rPr>
          <w:rFonts w:eastAsia="Times New Roman"/>
          <w:sz w:val="22"/>
          <w:szCs w:val="22"/>
        </w:rPr>
        <w:t>In</w:t>
      </w:r>
      <w:r w:rsidRPr="00BD4DB3">
        <w:rPr>
          <w:rFonts w:eastAsia="Times New Roman"/>
          <w:sz w:val="22"/>
          <w:szCs w:val="22"/>
        </w:rPr>
        <w:t xml:space="preserve"> 1999, Ministers of 29 Europea</w:t>
      </w:r>
      <w:r w:rsidR="007411B4" w:rsidRPr="00BD4DB3">
        <w:rPr>
          <w:rFonts w:eastAsia="Times New Roman"/>
          <w:sz w:val="22"/>
          <w:szCs w:val="22"/>
        </w:rPr>
        <w:t>n countries signed the Bologna D</w:t>
      </w:r>
      <w:r w:rsidRPr="00BD4DB3">
        <w:rPr>
          <w:rFonts w:eastAsia="Times New Roman"/>
          <w:sz w:val="22"/>
          <w:szCs w:val="22"/>
        </w:rPr>
        <w:t>eclaration</w:t>
      </w:r>
      <w:r w:rsidR="000726FA" w:rsidRPr="00BD4DB3">
        <w:rPr>
          <w:rFonts w:eastAsia="Times New Roman"/>
          <w:sz w:val="22"/>
          <w:szCs w:val="22"/>
        </w:rPr>
        <w:t xml:space="preserve">, </w:t>
      </w:r>
      <w:r w:rsidRPr="00BD4DB3">
        <w:rPr>
          <w:rFonts w:eastAsia="Times New Roman"/>
          <w:sz w:val="22"/>
          <w:szCs w:val="22"/>
        </w:rPr>
        <w:t xml:space="preserve">committing </w:t>
      </w:r>
      <w:r w:rsidR="004851C1" w:rsidRPr="00BD4DB3">
        <w:rPr>
          <w:rFonts w:eastAsia="Times New Roman"/>
          <w:sz w:val="22"/>
          <w:szCs w:val="22"/>
        </w:rPr>
        <w:t>to the establishment of</w:t>
      </w:r>
      <w:r w:rsidRPr="00BD4DB3">
        <w:rPr>
          <w:rFonts w:eastAsia="Times New Roman"/>
          <w:sz w:val="22"/>
          <w:szCs w:val="22"/>
        </w:rPr>
        <w:t xml:space="preserve"> a European </w:t>
      </w:r>
      <w:r w:rsidR="004851C1" w:rsidRPr="00BD4DB3">
        <w:rPr>
          <w:rFonts w:eastAsia="Times New Roman"/>
          <w:sz w:val="22"/>
          <w:szCs w:val="22"/>
        </w:rPr>
        <w:t>Higher Education Area (EHEA) to facilitate</w:t>
      </w:r>
      <w:r w:rsidRPr="00BD4DB3">
        <w:rPr>
          <w:rFonts w:eastAsia="Times New Roman"/>
          <w:sz w:val="22"/>
          <w:szCs w:val="22"/>
        </w:rPr>
        <w:t xml:space="preserve"> student and graduate mobility</w:t>
      </w:r>
      <w:r w:rsidR="004851C1" w:rsidRPr="00BD4DB3">
        <w:rPr>
          <w:rFonts w:eastAsia="Times New Roman"/>
          <w:sz w:val="22"/>
          <w:szCs w:val="22"/>
        </w:rPr>
        <w:t>, increase</w:t>
      </w:r>
      <w:r w:rsidRPr="00BD4DB3">
        <w:rPr>
          <w:rFonts w:eastAsia="Times New Roman"/>
          <w:sz w:val="22"/>
          <w:szCs w:val="22"/>
        </w:rPr>
        <w:t xml:space="preserve"> the quality of </w:t>
      </w:r>
      <w:r w:rsidR="004851C1" w:rsidRPr="00BD4DB3">
        <w:rPr>
          <w:rFonts w:eastAsia="Times New Roman"/>
          <w:sz w:val="22"/>
          <w:szCs w:val="22"/>
        </w:rPr>
        <w:t>h</w:t>
      </w:r>
      <w:r w:rsidRPr="00BD4DB3">
        <w:rPr>
          <w:rFonts w:eastAsia="Times New Roman"/>
          <w:sz w:val="22"/>
          <w:szCs w:val="22"/>
        </w:rPr>
        <w:t xml:space="preserve">igher </w:t>
      </w:r>
      <w:r w:rsidR="004851C1" w:rsidRPr="00BD4DB3">
        <w:rPr>
          <w:rFonts w:eastAsia="Times New Roman"/>
          <w:sz w:val="22"/>
          <w:szCs w:val="22"/>
        </w:rPr>
        <w:t>e</w:t>
      </w:r>
      <w:r w:rsidRPr="00BD4DB3">
        <w:rPr>
          <w:rFonts w:eastAsia="Times New Roman"/>
          <w:sz w:val="22"/>
          <w:szCs w:val="22"/>
        </w:rPr>
        <w:t xml:space="preserve">ducation, </w:t>
      </w:r>
      <w:r w:rsidR="004851C1" w:rsidRPr="00BD4DB3">
        <w:rPr>
          <w:rFonts w:eastAsia="Times New Roman"/>
          <w:sz w:val="22"/>
          <w:szCs w:val="22"/>
        </w:rPr>
        <w:t>and</w:t>
      </w:r>
      <w:r w:rsidRPr="00BD4DB3">
        <w:rPr>
          <w:rFonts w:eastAsia="Times New Roman"/>
          <w:sz w:val="22"/>
          <w:szCs w:val="22"/>
        </w:rPr>
        <w:t xml:space="preserve"> become more competitive internationally. </w:t>
      </w:r>
      <w:r w:rsidR="004851C1" w:rsidRPr="00BD4DB3">
        <w:rPr>
          <w:rFonts w:eastAsia="Times New Roman"/>
          <w:sz w:val="22"/>
          <w:szCs w:val="22"/>
        </w:rPr>
        <w:t>T</w:t>
      </w:r>
      <w:r w:rsidRPr="00BD4DB3">
        <w:rPr>
          <w:rFonts w:eastAsia="Times New Roman"/>
          <w:sz w:val="22"/>
          <w:szCs w:val="22"/>
        </w:rPr>
        <w:t xml:space="preserve">he signing countries agreed </w:t>
      </w:r>
      <w:r w:rsidR="007411B4" w:rsidRPr="00BD4DB3">
        <w:rPr>
          <w:rFonts w:eastAsia="Times New Roman"/>
          <w:sz w:val="22"/>
          <w:szCs w:val="22"/>
        </w:rPr>
        <w:t>on the following</w:t>
      </w:r>
      <w:r w:rsidRPr="00BD4DB3">
        <w:rPr>
          <w:rFonts w:eastAsia="Times New Roman"/>
          <w:sz w:val="22"/>
          <w:szCs w:val="22"/>
        </w:rPr>
        <w:t>:</w:t>
      </w:r>
    </w:p>
    <w:p w14:paraId="3BA15E77" w14:textId="69E96F90" w:rsidR="00DA1F2C" w:rsidRPr="00BD4DB3" w:rsidRDefault="004851C1" w:rsidP="00DA1F2C">
      <w:pPr>
        <w:pStyle w:val="ListParagraph"/>
        <w:numPr>
          <w:ilvl w:val="0"/>
          <w:numId w:val="3"/>
        </w:numPr>
        <w:spacing w:line="480" w:lineRule="auto"/>
        <w:rPr>
          <w:rFonts w:eastAsia="Times New Roman"/>
          <w:sz w:val="22"/>
          <w:szCs w:val="22"/>
        </w:rPr>
      </w:pPr>
      <w:r w:rsidRPr="00BD4DB3">
        <w:rPr>
          <w:rFonts w:eastAsia="Times New Roman"/>
          <w:sz w:val="22"/>
          <w:szCs w:val="22"/>
        </w:rPr>
        <w:t>C</w:t>
      </w:r>
      <w:r w:rsidR="00DA1F2C" w:rsidRPr="00BD4DB3">
        <w:rPr>
          <w:rFonts w:eastAsia="Times New Roman"/>
          <w:sz w:val="22"/>
          <w:szCs w:val="22"/>
        </w:rPr>
        <w:t>omparable degrees: undergraduate (at least 3 years) and graduate. A diploma supplement should provide clear and transferable information about the degree</w:t>
      </w:r>
      <w:r w:rsidR="002753A0" w:rsidRPr="00BD4DB3">
        <w:rPr>
          <w:rFonts w:eastAsia="Times New Roman"/>
          <w:sz w:val="22"/>
          <w:szCs w:val="22"/>
        </w:rPr>
        <w:t>s</w:t>
      </w:r>
      <w:r w:rsidR="009E27A1" w:rsidRPr="00BD4DB3">
        <w:rPr>
          <w:rFonts w:eastAsia="Times New Roman"/>
          <w:sz w:val="22"/>
          <w:szCs w:val="22"/>
        </w:rPr>
        <w:t>;</w:t>
      </w:r>
    </w:p>
    <w:p w14:paraId="38B1D73E" w14:textId="4626A7C0" w:rsidR="00DA1F2C" w:rsidRPr="00BD4DB3" w:rsidRDefault="007411B4" w:rsidP="00DA1F2C">
      <w:pPr>
        <w:pStyle w:val="ListParagraph"/>
        <w:numPr>
          <w:ilvl w:val="0"/>
          <w:numId w:val="3"/>
        </w:numPr>
        <w:spacing w:line="480" w:lineRule="auto"/>
        <w:rPr>
          <w:rFonts w:eastAsia="Times New Roman"/>
          <w:sz w:val="22"/>
          <w:szCs w:val="22"/>
        </w:rPr>
      </w:pPr>
      <w:r w:rsidRPr="00BD4DB3">
        <w:rPr>
          <w:rFonts w:eastAsia="Times New Roman"/>
          <w:sz w:val="22"/>
          <w:szCs w:val="22"/>
        </w:rPr>
        <w:t>Access to the labo</w:t>
      </w:r>
      <w:r w:rsidR="00DA1F2C" w:rsidRPr="00BD4DB3">
        <w:rPr>
          <w:rFonts w:eastAsia="Times New Roman"/>
          <w:sz w:val="22"/>
          <w:szCs w:val="22"/>
        </w:rPr>
        <w:t>r market</w:t>
      </w:r>
      <w:r w:rsidRPr="00BD4DB3">
        <w:rPr>
          <w:rFonts w:eastAsia="Times New Roman"/>
          <w:sz w:val="22"/>
          <w:szCs w:val="22"/>
        </w:rPr>
        <w:t xml:space="preserve"> through both the first and second cycle degrees</w:t>
      </w:r>
      <w:r w:rsidR="009E27A1" w:rsidRPr="00BD4DB3">
        <w:rPr>
          <w:rFonts w:eastAsia="Times New Roman"/>
          <w:sz w:val="22"/>
          <w:szCs w:val="22"/>
        </w:rPr>
        <w:t>;</w:t>
      </w:r>
    </w:p>
    <w:p w14:paraId="199B4177" w14:textId="2AC05961" w:rsidR="00DA1F2C" w:rsidRPr="00BD4DB3" w:rsidRDefault="007411B4" w:rsidP="00DA1F2C">
      <w:pPr>
        <w:pStyle w:val="ListParagraph"/>
        <w:numPr>
          <w:ilvl w:val="0"/>
          <w:numId w:val="3"/>
        </w:numPr>
        <w:spacing w:line="480" w:lineRule="auto"/>
        <w:rPr>
          <w:rFonts w:eastAsia="Times New Roman"/>
          <w:sz w:val="22"/>
          <w:szCs w:val="22"/>
        </w:rPr>
      </w:pPr>
      <w:r w:rsidRPr="00BD4DB3">
        <w:rPr>
          <w:rFonts w:eastAsia="Times New Roman"/>
          <w:sz w:val="22"/>
          <w:szCs w:val="22"/>
        </w:rPr>
        <w:t>A</w:t>
      </w:r>
      <w:r w:rsidR="004851C1" w:rsidRPr="00BD4DB3">
        <w:rPr>
          <w:rFonts w:eastAsia="Times New Roman"/>
          <w:sz w:val="22"/>
          <w:szCs w:val="22"/>
        </w:rPr>
        <w:t xml:space="preserve"> single</w:t>
      </w:r>
      <w:r w:rsidR="00DA1F2C" w:rsidRPr="00BD4DB3">
        <w:rPr>
          <w:rFonts w:eastAsia="Times New Roman"/>
          <w:sz w:val="22"/>
          <w:szCs w:val="22"/>
        </w:rPr>
        <w:t xml:space="preserve"> system of credits</w:t>
      </w:r>
      <w:r w:rsidR="009E27A1" w:rsidRPr="00BD4DB3">
        <w:rPr>
          <w:rFonts w:eastAsia="Times New Roman"/>
          <w:sz w:val="22"/>
          <w:szCs w:val="22"/>
        </w:rPr>
        <w:t>;</w:t>
      </w:r>
    </w:p>
    <w:p w14:paraId="742B20D5" w14:textId="2A15B779" w:rsidR="00DA1F2C" w:rsidRPr="00BD4DB3" w:rsidRDefault="007411B4" w:rsidP="00DA1F2C">
      <w:pPr>
        <w:pStyle w:val="ListParagraph"/>
        <w:numPr>
          <w:ilvl w:val="0"/>
          <w:numId w:val="3"/>
        </w:numPr>
        <w:spacing w:line="480" w:lineRule="auto"/>
        <w:rPr>
          <w:rFonts w:eastAsia="Times New Roman"/>
          <w:sz w:val="22"/>
          <w:szCs w:val="22"/>
        </w:rPr>
      </w:pPr>
      <w:r w:rsidRPr="00BD4DB3">
        <w:rPr>
          <w:rFonts w:eastAsia="Times New Roman"/>
          <w:sz w:val="22"/>
          <w:szCs w:val="22"/>
        </w:rPr>
        <w:t>The promotion</w:t>
      </w:r>
      <w:r w:rsidR="00DA1F2C" w:rsidRPr="00BD4DB3">
        <w:rPr>
          <w:rFonts w:eastAsia="Times New Roman"/>
          <w:sz w:val="22"/>
          <w:szCs w:val="22"/>
        </w:rPr>
        <w:t xml:space="preserve"> and </w:t>
      </w:r>
      <w:r w:rsidRPr="00BD4DB3">
        <w:rPr>
          <w:rFonts w:eastAsia="Times New Roman"/>
          <w:sz w:val="22"/>
          <w:szCs w:val="22"/>
        </w:rPr>
        <w:t>facilitation of</w:t>
      </w:r>
      <w:r w:rsidR="00DA1F2C" w:rsidRPr="00BD4DB3">
        <w:rPr>
          <w:rFonts w:eastAsia="Times New Roman"/>
          <w:sz w:val="22"/>
          <w:szCs w:val="22"/>
        </w:rPr>
        <w:t xml:space="preserve"> student mobility</w:t>
      </w:r>
      <w:r w:rsidR="004F132E" w:rsidRPr="00BD4DB3">
        <w:rPr>
          <w:rFonts w:eastAsia="Times New Roman"/>
          <w:sz w:val="22"/>
          <w:szCs w:val="22"/>
        </w:rPr>
        <w:t xml:space="preserve"> across institutions and countries</w:t>
      </w:r>
      <w:r w:rsidR="009E27A1" w:rsidRPr="00BD4DB3">
        <w:rPr>
          <w:rFonts w:eastAsia="Times New Roman"/>
          <w:sz w:val="22"/>
          <w:szCs w:val="22"/>
        </w:rPr>
        <w:t>;</w:t>
      </w:r>
      <w:r w:rsidR="004F132E" w:rsidRPr="00BD4DB3">
        <w:rPr>
          <w:rFonts w:eastAsia="Times New Roman"/>
          <w:sz w:val="22"/>
          <w:szCs w:val="22"/>
        </w:rPr>
        <w:t xml:space="preserve"> and</w:t>
      </w:r>
    </w:p>
    <w:p w14:paraId="35978AD5" w14:textId="4EBE5E9E" w:rsidR="00DA1F2C" w:rsidRPr="00BD4DB3" w:rsidRDefault="007411B4" w:rsidP="00DA1F2C">
      <w:pPr>
        <w:pStyle w:val="ListParagraph"/>
        <w:numPr>
          <w:ilvl w:val="0"/>
          <w:numId w:val="3"/>
        </w:numPr>
        <w:spacing w:line="480" w:lineRule="auto"/>
        <w:rPr>
          <w:rFonts w:eastAsia="Times New Roman"/>
          <w:sz w:val="22"/>
          <w:szCs w:val="22"/>
        </w:rPr>
      </w:pPr>
      <w:r w:rsidRPr="00BD4DB3">
        <w:rPr>
          <w:rFonts w:eastAsia="Times New Roman"/>
          <w:sz w:val="22"/>
          <w:szCs w:val="22"/>
        </w:rPr>
        <w:t>The promotion of</w:t>
      </w:r>
      <w:r w:rsidR="00DA1F2C" w:rsidRPr="00BD4DB3">
        <w:rPr>
          <w:rFonts w:eastAsia="Times New Roman"/>
          <w:sz w:val="22"/>
          <w:szCs w:val="22"/>
        </w:rPr>
        <w:t xml:space="preserve"> collaboration in quality assurance (Bologna Declaration, 1999)</w:t>
      </w:r>
      <w:r w:rsidR="009E27A1" w:rsidRPr="00BD4DB3">
        <w:rPr>
          <w:rFonts w:eastAsia="Times New Roman"/>
          <w:sz w:val="22"/>
          <w:szCs w:val="22"/>
        </w:rPr>
        <w:t>.</w:t>
      </w:r>
    </w:p>
    <w:p w14:paraId="61EBDD79" w14:textId="58EEB970" w:rsidR="00DA1F2C" w:rsidRPr="00BD4DB3" w:rsidRDefault="00DA1F2C" w:rsidP="004F132E">
      <w:pPr>
        <w:spacing w:line="480" w:lineRule="auto"/>
        <w:rPr>
          <w:rFonts w:eastAsia="Times New Roman"/>
          <w:sz w:val="22"/>
          <w:szCs w:val="22"/>
        </w:rPr>
      </w:pPr>
      <w:r w:rsidRPr="00BD4DB3">
        <w:rPr>
          <w:rFonts w:eastAsia="Times New Roman"/>
          <w:sz w:val="22"/>
          <w:szCs w:val="22"/>
        </w:rPr>
        <w:t xml:space="preserve">The </w:t>
      </w:r>
      <w:r w:rsidR="002753A0" w:rsidRPr="00BD4DB3">
        <w:rPr>
          <w:rFonts w:eastAsia="Times New Roman"/>
          <w:sz w:val="22"/>
          <w:szCs w:val="22"/>
        </w:rPr>
        <w:t xml:space="preserve">Bologna </w:t>
      </w:r>
      <w:r w:rsidRPr="00BD4DB3">
        <w:rPr>
          <w:rFonts w:eastAsia="Times New Roman"/>
          <w:sz w:val="22"/>
          <w:szCs w:val="22"/>
        </w:rPr>
        <w:t xml:space="preserve">Declaration </w:t>
      </w:r>
      <w:r w:rsidR="008265F9" w:rsidRPr="00BD4DB3">
        <w:rPr>
          <w:rFonts w:eastAsia="Times New Roman"/>
          <w:sz w:val="22"/>
          <w:szCs w:val="22"/>
        </w:rPr>
        <w:t>launched</w:t>
      </w:r>
      <w:r w:rsidRPr="00BD4DB3">
        <w:rPr>
          <w:rFonts w:eastAsia="Times New Roman"/>
          <w:sz w:val="22"/>
          <w:szCs w:val="22"/>
        </w:rPr>
        <w:t xml:space="preserve"> </w:t>
      </w:r>
      <w:r w:rsidR="008265F9" w:rsidRPr="00BD4DB3">
        <w:rPr>
          <w:rFonts w:eastAsia="Times New Roman"/>
          <w:sz w:val="22"/>
          <w:szCs w:val="22"/>
        </w:rPr>
        <w:t>the</w:t>
      </w:r>
      <w:r w:rsidRPr="00BD4DB3">
        <w:rPr>
          <w:rFonts w:eastAsia="Times New Roman"/>
          <w:sz w:val="22"/>
          <w:szCs w:val="22"/>
        </w:rPr>
        <w:t xml:space="preserve"> Bologna Process, currently involving 48 countries</w:t>
      </w:r>
      <w:r w:rsidR="008265F9" w:rsidRPr="00BD4DB3">
        <w:rPr>
          <w:rFonts w:eastAsia="Times New Roman"/>
          <w:sz w:val="22"/>
          <w:szCs w:val="22"/>
        </w:rPr>
        <w:t xml:space="preserve">, which have met many of </w:t>
      </w:r>
      <w:r w:rsidR="00796108">
        <w:rPr>
          <w:rFonts w:eastAsia="Times New Roman"/>
          <w:sz w:val="22"/>
          <w:szCs w:val="22"/>
        </w:rPr>
        <w:t>its</w:t>
      </w:r>
      <w:r w:rsidR="008265F9" w:rsidRPr="00BD4DB3">
        <w:rPr>
          <w:rFonts w:eastAsia="Times New Roman"/>
          <w:sz w:val="22"/>
          <w:szCs w:val="22"/>
        </w:rPr>
        <w:t xml:space="preserve"> goals</w:t>
      </w:r>
      <w:r w:rsidR="00053BF5" w:rsidRPr="00BD4DB3">
        <w:rPr>
          <w:rFonts w:eastAsia="Times New Roman"/>
          <w:sz w:val="22"/>
          <w:szCs w:val="22"/>
        </w:rPr>
        <w:t xml:space="preserve"> (Eurydice, 2018). </w:t>
      </w:r>
      <w:r w:rsidRPr="005120D3">
        <w:rPr>
          <w:rFonts w:eastAsia="Times New Roman"/>
          <w:sz w:val="22"/>
          <w:szCs w:val="22"/>
        </w:rPr>
        <w:t xml:space="preserve">Most countries incorporated the three-cycle degree structure </w:t>
      </w:r>
      <w:r w:rsidR="00053BF5" w:rsidRPr="005120D3">
        <w:rPr>
          <w:rFonts w:eastAsia="Times New Roman"/>
          <w:sz w:val="22"/>
          <w:szCs w:val="22"/>
        </w:rPr>
        <w:t>(</w:t>
      </w:r>
      <w:r w:rsidR="00D9746F" w:rsidRPr="005120D3">
        <w:rPr>
          <w:rFonts w:eastAsia="Times New Roman"/>
          <w:sz w:val="22"/>
          <w:szCs w:val="22"/>
        </w:rPr>
        <w:t>a doctoral level was added</w:t>
      </w:r>
      <w:r w:rsidRPr="005120D3">
        <w:rPr>
          <w:rFonts w:eastAsia="Times New Roman"/>
          <w:sz w:val="22"/>
          <w:szCs w:val="22"/>
        </w:rPr>
        <w:t xml:space="preserve"> in 2005</w:t>
      </w:r>
      <w:r w:rsidR="00D9746F" w:rsidRPr="005120D3">
        <w:rPr>
          <w:rFonts w:eastAsia="Times New Roman"/>
          <w:sz w:val="22"/>
          <w:szCs w:val="22"/>
        </w:rPr>
        <w:t>)</w:t>
      </w:r>
      <w:r w:rsidR="000726FA" w:rsidRPr="005120D3">
        <w:rPr>
          <w:rFonts w:eastAsia="Times New Roman"/>
          <w:sz w:val="22"/>
          <w:szCs w:val="22"/>
        </w:rPr>
        <w:t xml:space="preserve">, </w:t>
      </w:r>
      <w:r w:rsidRPr="005120D3">
        <w:rPr>
          <w:rFonts w:eastAsia="Times New Roman"/>
          <w:sz w:val="22"/>
          <w:szCs w:val="22"/>
        </w:rPr>
        <w:t xml:space="preserve">the </w:t>
      </w:r>
      <w:r w:rsidR="00053BF5" w:rsidRPr="005120D3">
        <w:rPr>
          <w:rFonts w:eastAsia="Times New Roman"/>
          <w:sz w:val="22"/>
          <w:szCs w:val="22"/>
        </w:rPr>
        <w:t>d</w:t>
      </w:r>
      <w:r w:rsidRPr="005120D3">
        <w:rPr>
          <w:rFonts w:eastAsia="Times New Roman"/>
          <w:sz w:val="22"/>
          <w:szCs w:val="22"/>
        </w:rPr>
        <w:t>iploma supplement</w:t>
      </w:r>
      <w:r w:rsidR="00B20416" w:rsidRPr="005120D3">
        <w:rPr>
          <w:rFonts w:eastAsia="Times New Roman"/>
          <w:sz w:val="22"/>
          <w:szCs w:val="22"/>
        </w:rPr>
        <w:t>,</w:t>
      </w:r>
      <w:r w:rsidR="00D9746F" w:rsidRPr="005120D3">
        <w:rPr>
          <w:rFonts w:eastAsia="Times New Roman"/>
          <w:sz w:val="22"/>
          <w:szCs w:val="22"/>
        </w:rPr>
        <w:t xml:space="preserve"> </w:t>
      </w:r>
      <w:r w:rsidR="000726FA" w:rsidRPr="005120D3">
        <w:rPr>
          <w:rFonts w:eastAsia="Times New Roman"/>
          <w:sz w:val="22"/>
          <w:szCs w:val="22"/>
        </w:rPr>
        <w:t xml:space="preserve">and </w:t>
      </w:r>
      <w:r w:rsidR="00D9746F" w:rsidRPr="005120D3">
        <w:rPr>
          <w:rFonts w:eastAsia="Times New Roman"/>
          <w:sz w:val="22"/>
          <w:szCs w:val="22"/>
        </w:rPr>
        <w:t xml:space="preserve">a </w:t>
      </w:r>
      <w:r w:rsidR="00053BF5" w:rsidRPr="005120D3">
        <w:rPr>
          <w:rFonts w:eastAsia="Times New Roman"/>
          <w:sz w:val="22"/>
          <w:szCs w:val="22"/>
        </w:rPr>
        <w:t>formalized</w:t>
      </w:r>
      <w:r w:rsidRPr="005120D3">
        <w:rPr>
          <w:rFonts w:eastAsia="Times New Roman"/>
          <w:sz w:val="22"/>
          <w:szCs w:val="22"/>
        </w:rPr>
        <w:t xml:space="preserve"> European Credit Transfer System.</w:t>
      </w:r>
      <w:r w:rsidR="00053BF5" w:rsidRPr="005120D3">
        <w:rPr>
          <w:rFonts w:eastAsia="Times New Roman"/>
          <w:sz w:val="22"/>
          <w:szCs w:val="22"/>
        </w:rPr>
        <w:t xml:space="preserve"> With respect to mobility, </w:t>
      </w:r>
      <w:r w:rsidR="00D9746F" w:rsidRPr="005120D3">
        <w:rPr>
          <w:rFonts w:eastAsia="Times New Roman"/>
          <w:sz w:val="22"/>
          <w:szCs w:val="22"/>
        </w:rPr>
        <w:t xml:space="preserve">an </w:t>
      </w:r>
      <w:r w:rsidR="00D9746F" w:rsidRPr="005120D3">
        <w:rPr>
          <w:rFonts w:eastAsia="Times New Roman"/>
          <w:sz w:val="22"/>
          <w:szCs w:val="22"/>
        </w:rPr>
        <w:lastRenderedPageBreak/>
        <w:t>increased</w:t>
      </w:r>
      <w:r w:rsidRPr="005120D3">
        <w:rPr>
          <w:rFonts w:eastAsia="Times New Roman"/>
          <w:sz w:val="22"/>
          <w:szCs w:val="22"/>
        </w:rPr>
        <w:t xml:space="preserve"> number of students study</w:t>
      </w:r>
      <w:r w:rsidR="00796108">
        <w:rPr>
          <w:rFonts w:eastAsia="Times New Roman"/>
          <w:sz w:val="22"/>
          <w:szCs w:val="22"/>
        </w:rPr>
        <w:t xml:space="preserve"> </w:t>
      </w:r>
      <w:r w:rsidRPr="005120D3">
        <w:rPr>
          <w:rFonts w:eastAsia="Times New Roman"/>
          <w:sz w:val="22"/>
          <w:szCs w:val="22"/>
        </w:rPr>
        <w:t>abroad</w:t>
      </w:r>
      <w:r w:rsidR="007411B4" w:rsidRPr="00BD4DB3">
        <w:rPr>
          <w:rFonts w:eastAsia="Times New Roman"/>
          <w:sz w:val="22"/>
          <w:szCs w:val="22"/>
        </w:rPr>
        <w:t xml:space="preserve">, </w:t>
      </w:r>
      <w:r w:rsidR="006E0011">
        <w:rPr>
          <w:rFonts w:eastAsia="Times New Roman"/>
          <w:sz w:val="22"/>
          <w:szCs w:val="22"/>
        </w:rPr>
        <w:t>and a</w:t>
      </w:r>
      <w:r w:rsidRPr="005120D3">
        <w:rPr>
          <w:rFonts w:eastAsia="Times New Roman"/>
          <w:sz w:val="22"/>
          <w:szCs w:val="22"/>
        </w:rPr>
        <w:t xml:space="preserve">cceptance of credits </w:t>
      </w:r>
      <w:r w:rsidR="00D9746F" w:rsidRPr="005120D3">
        <w:rPr>
          <w:rFonts w:eastAsia="Times New Roman"/>
          <w:sz w:val="22"/>
          <w:szCs w:val="22"/>
        </w:rPr>
        <w:t>across countries</w:t>
      </w:r>
      <w:r w:rsidRPr="005120D3">
        <w:rPr>
          <w:rFonts w:eastAsia="Times New Roman"/>
          <w:sz w:val="22"/>
          <w:szCs w:val="22"/>
        </w:rPr>
        <w:t>, however, has been widely implemented</w:t>
      </w:r>
      <w:r w:rsidR="00053BF5" w:rsidRPr="00BD4DB3">
        <w:rPr>
          <w:rFonts w:eastAsia="Times New Roman"/>
          <w:sz w:val="22"/>
          <w:szCs w:val="22"/>
        </w:rPr>
        <w:t xml:space="preserve">. </w:t>
      </w:r>
      <w:r w:rsidR="00053BF5" w:rsidRPr="005120D3">
        <w:rPr>
          <w:rFonts w:eastAsia="Times New Roman"/>
          <w:sz w:val="22"/>
          <w:szCs w:val="22"/>
        </w:rPr>
        <w:t>‘</w:t>
      </w:r>
      <w:r w:rsidR="005120D3" w:rsidRPr="0045309B">
        <w:rPr>
          <w:rFonts w:eastAsia="Times New Roman"/>
          <w:sz w:val="22"/>
          <w:szCs w:val="22"/>
        </w:rPr>
        <w:t>A</w:t>
      </w:r>
      <w:r w:rsidR="00053BF5" w:rsidRPr="005120D3">
        <w:rPr>
          <w:rFonts w:eastAsia="Times New Roman"/>
          <w:sz w:val="22"/>
          <w:szCs w:val="22"/>
        </w:rPr>
        <w:t>utomatic’ recognition of qualification</w:t>
      </w:r>
      <w:r w:rsidR="005120D3" w:rsidRPr="0045309B">
        <w:rPr>
          <w:rFonts w:eastAsia="Times New Roman"/>
          <w:sz w:val="22"/>
          <w:szCs w:val="22"/>
        </w:rPr>
        <w:t>, however,</w:t>
      </w:r>
      <w:r w:rsidR="00053BF5" w:rsidRPr="005120D3">
        <w:rPr>
          <w:rFonts w:eastAsia="Times New Roman"/>
          <w:sz w:val="22"/>
          <w:szCs w:val="22"/>
        </w:rPr>
        <w:t xml:space="preserve"> is still far from being in effect (Eurydice, 2018)</w:t>
      </w:r>
      <w:r w:rsidR="00053BF5" w:rsidRPr="00BD4DB3">
        <w:rPr>
          <w:rFonts w:eastAsia="Times New Roman"/>
          <w:sz w:val="22"/>
          <w:szCs w:val="22"/>
        </w:rPr>
        <w:t xml:space="preserve">. </w:t>
      </w:r>
    </w:p>
    <w:p w14:paraId="51C47EDA" w14:textId="35173814" w:rsidR="00E61671" w:rsidRPr="00BD4DB3" w:rsidRDefault="00DA1F2C" w:rsidP="00D54C07">
      <w:pPr>
        <w:spacing w:line="480" w:lineRule="auto"/>
        <w:ind w:firstLine="720"/>
        <w:rPr>
          <w:rFonts w:eastAsia="Times New Roman"/>
          <w:sz w:val="22"/>
          <w:szCs w:val="22"/>
        </w:rPr>
      </w:pPr>
      <w:r w:rsidRPr="00BD4DB3">
        <w:rPr>
          <w:rFonts w:eastAsia="Times New Roman"/>
          <w:b/>
          <w:sz w:val="22"/>
          <w:szCs w:val="22"/>
        </w:rPr>
        <w:t>Toward European st</w:t>
      </w:r>
      <w:r w:rsidR="007411B4" w:rsidRPr="00BD4DB3">
        <w:rPr>
          <w:rFonts w:eastAsia="Times New Roman"/>
          <w:b/>
          <w:sz w:val="22"/>
          <w:szCs w:val="22"/>
        </w:rPr>
        <w:t xml:space="preserve">andards for Psychologists: </w:t>
      </w:r>
      <w:r w:rsidR="003D09EA" w:rsidRPr="00BD4DB3">
        <w:rPr>
          <w:rFonts w:eastAsia="Times New Roman"/>
          <w:b/>
          <w:sz w:val="22"/>
          <w:szCs w:val="22"/>
        </w:rPr>
        <w:t>EuroPsy</w:t>
      </w:r>
      <w:r w:rsidRPr="00BD4DB3">
        <w:rPr>
          <w:rFonts w:eastAsia="Times New Roman"/>
          <w:b/>
          <w:sz w:val="22"/>
          <w:szCs w:val="22"/>
        </w:rPr>
        <w:t>.</w:t>
      </w:r>
      <w:r w:rsidRPr="00BD4DB3">
        <w:rPr>
          <w:rFonts w:eastAsia="Times New Roman"/>
          <w:sz w:val="22"/>
          <w:szCs w:val="22"/>
        </w:rPr>
        <w:t xml:space="preserve"> </w:t>
      </w:r>
      <w:r w:rsidR="00C43CB4" w:rsidRPr="00BD4DB3">
        <w:rPr>
          <w:rFonts w:eastAsia="Times New Roman"/>
          <w:sz w:val="22"/>
          <w:szCs w:val="22"/>
        </w:rPr>
        <w:t>T</w:t>
      </w:r>
      <w:r w:rsidRPr="00BD4DB3">
        <w:rPr>
          <w:rFonts w:eastAsia="Times New Roman"/>
          <w:sz w:val="22"/>
          <w:szCs w:val="22"/>
        </w:rPr>
        <w:t>he emphasis</w:t>
      </w:r>
      <w:r w:rsidR="00C43CB4" w:rsidRPr="00BD4DB3">
        <w:rPr>
          <w:rFonts w:eastAsia="Times New Roman"/>
          <w:sz w:val="22"/>
          <w:szCs w:val="22"/>
        </w:rPr>
        <w:t xml:space="preserve"> in the European Union (EU)</w:t>
      </w:r>
      <w:r w:rsidRPr="00BD4DB3">
        <w:rPr>
          <w:rFonts w:eastAsia="Times New Roman"/>
          <w:sz w:val="22"/>
          <w:szCs w:val="22"/>
        </w:rPr>
        <w:t xml:space="preserve"> on </w:t>
      </w:r>
      <w:r w:rsidR="00D96366" w:rsidRPr="00BD4DB3">
        <w:rPr>
          <w:rFonts w:eastAsia="Times New Roman"/>
          <w:sz w:val="22"/>
          <w:szCs w:val="22"/>
        </w:rPr>
        <w:t xml:space="preserve">quality assurance and </w:t>
      </w:r>
      <w:r w:rsidRPr="00BD4DB3">
        <w:rPr>
          <w:rFonts w:eastAsia="Times New Roman"/>
          <w:sz w:val="22"/>
          <w:szCs w:val="22"/>
        </w:rPr>
        <w:t>mobility</w:t>
      </w:r>
      <w:r w:rsidR="00D96366" w:rsidRPr="00BD4DB3">
        <w:rPr>
          <w:rFonts w:eastAsia="Times New Roman"/>
          <w:sz w:val="22"/>
          <w:szCs w:val="22"/>
        </w:rPr>
        <w:t xml:space="preserve"> </w:t>
      </w:r>
      <w:r w:rsidR="008265F9" w:rsidRPr="00BD4DB3">
        <w:rPr>
          <w:rFonts w:eastAsia="Times New Roman"/>
          <w:sz w:val="22"/>
          <w:szCs w:val="22"/>
        </w:rPr>
        <w:t xml:space="preserve">also </w:t>
      </w:r>
      <w:r w:rsidR="00C43CB4" w:rsidRPr="00BD4DB3">
        <w:rPr>
          <w:rFonts w:eastAsia="Times New Roman"/>
          <w:sz w:val="22"/>
          <w:szCs w:val="22"/>
        </w:rPr>
        <w:t>led to a common framework for practicing psychologists</w:t>
      </w:r>
      <w:r w:rsidR="007411B4" w:rsidRPr="00BD4DB3">
        <w:rPr>
          <w:rFonts w:eastAsia="Times New Roman"/>
          <w:sz w:val="22"/>
          <w:szCs w:val="22"/>
        </w:rPr>
        <w:t xml:space="preserve">. </w:t>
      </w:r>
      <w:r w:rsidR="00C43CB4" w:rsidRPr="00BD4DB3">
        <w:rPr>
          <w:rFonts w:eastAsia="Times New Roman"/>
          <w:sz w:val="22"/>
          <w:szCs w:val="22"/>
        </w:rPr>
        <w:t xml:space="preserve">In the EU, as in many world regions, a bachelor’s and master’s degree, </w:t>
      </w:r>
      <w:r w:rsidR="001076C6" w:rsidRPr="00BD4DB3">
        <w:rPr>
          <w:rFonts w:eastAsia="Times New Roman"/>
          <w:sz w:val="22"/>
          <w:szCs w:val="22"/>
        </w:rPr>
        <w:t>typically</w:t>
      </w:r>
      <w:r w:rsidR="00C43CB4" w:rsidRPr="00BD4DB3">
        <w:rPr>
          <w:rFonts w:eastAsia="Times New Roman"/>
          <w:sz w:val="22"/>
          <w:szCs w:val="22"/>
        </w:rPr>
        <w:t xml:space="preserve"> along with supervised practice, are required to practice psychology. But </w:t>
      </w:r>
      <w:r w:rsidR="00D96366" w:rsidRPr="00BD4DB3">
        <w:rPr>
          <w:rFonts w:eastAsia="Times New Roman"/>
          <w:sz w:val="22"/>
          <w:szCs w:val="22"/>
        </w:rPr>
        <w:t xml:space="preserve">the EU </w:t>
      </w:r>
      <w:r w:rsidR="00CD4289" w:rsidRPr="00BD4DB3">
        <w:rPr>
          <w:rFonts w:eastAsia="Times New Roman"/>
          <w:sz w:val="22"/>
          <w:szCs w:val="22"/>
        </w:rPr>
        <w:t>also has developed</w:t>
      </w:r>
      <w:r w:rsidR="00D96366" w:rsidRPr="00BD4DB3">
        <w:rPr>
          <w:rFonts w:eastAsia="Times New Roman"/>
          <w:sz w:val="22"/>
          <w:szCs w:val="22"/>
        </w:rPr>
        <w:t xml:space="preserve"> </w:t>
      </w:r>
      <w:r w:rsidRPr="00BD4DB3">
        <w:rPr>
          <w:rFonts w:eastAsia="Times New Roman"/>
          <w:sz w:val="22"/>
          <w:szCs w:val="22"/>
        </w:rPr>
        <w:t>a Diploma</w:t>
      </w:r>
      <w:r w:rsidR="00C43CB4" w:rsidRPr="00BD4DB3">
        <w:rPr>
          <w:rFonts w:eastAsia="Times New Roman"/>
          <w:sz w:val="22"/>
          <w:szCs w:val="22"/>
        </w:rPr>
        <w:t xml:space="preserve"> that outline</w:t>
      </w:r>
      <w:r w:rsidR="00CD4289" w:rsidRPr="00BD4DB3">
        <w:rPr>
          <w:rFonts w:eastAsia="Times New Roman"/>
          <w:sz w:val="22"/>
          <w:szCs w:val="22"/>
        </w:rPr>
        <w:t>s</w:t>
      </w:r>
      <w:r w:rsidR="00C43CB4" w:rsidRPr="00BD4DB3">
        <w:rPr>
          <w:rFonts w:eastAsia="Times New Roman"/>
          <w:sz w:val="22"/>
          <w:szCs w:val="22"/>
        </w:rPr>
        <w:t xml:space="preserve"> minimum competencies beyond the</w:t>
      </w:r>
      <w:r w:rsidR="00D96366" w:rsidRPr="00BD4DB3">
        <w:rPr>
          <w:rFonts w:eastAsia="Times New Roman"/>
          <w:sz w:val="22"/>
          <w:szCs w:val="22"/>
        </w:rPr>
        <w:t xml:space="preserve">se </w:t>
      </w:r>
      <w:r w:rsidR="00C43CB4" w:rsidRPr="00BD4DB3">
        <w:rPr>
          <w:rFonts w:eastAsia="Times New Roman"/>
          <w:sz w:val="22"/>
          <w:szCs w:val="22"/>
        </w:rPr>
        <w:t>degrees</w:t>
      </w:r>
      <w:r w:rsidR="00CD4289" w:rsidRPr="00BD4DB3">
        <w:rPr>
          <w:rFonts w:eastAsia="Times New Roman"/>
          <w:sz w:val="22"/>
          <w:szCs w:val="22"/>
        </w:rPr>
        <w:t>, now called the EuroPsy Certificate and adopted by 24 countries</w:t>
      </w:r>
      <w:r w:rsidRPr="00BD4DB3">
        <w:rPr>
          <w:rFonts w:eastAsia="Times New Roman"/>
          <w:sz w:val="22"/>
          <w:szCs w:val="22"/>
        </w:rPr>
        <w:t xml:space="preserve"> (</w:t>
      </w:r>
      <w:r w:rsidR="00CD4289" w:rsidRPr="00BD4DB3">
        <w:rPr>
          <w:rFonts w:eastAsia="Times New Roman"/>
          <w:sz w:val="22"/>
          <w:szCs w:val="22"/>
        </w:rPr>
        <w:t xml:space="preserve">EFPA, 2017; </w:t>
      </w:r>
      <w:r w:rsidRPr="00BD4DB3">
        <w:rPr>
          <w:rFonts w:eastAsia="Times New Roman"/>
          <w:sz w:val="22"/>
          <w:szCs w:val="22"/>
        </w:rPr>
        <w:t>Lunt</w:t>
      </w:r>
      <w:r w:rsidR="00CD4289" w:rsidRPr="00BD4DB3">
        <w:rPr>
          <w:rFonts w:eastAsia="Times New Roman"/>
          <w:sz w:val="22"/>
          <w:szCs w:val="22"/>
        </w:rPr>
        <w:t xml:space="preserve"> et al.</w:t>
      </w:r>
      <w:r w:rsidRPr="00BD4DB3">
        <w:rPr>
          <w:rFonts w:eastAsia="Times New Roman"/>
          <w:sz w:val="22"/>
          <w:szCs w:val="22"/>
        </w:rPr>
        <w:t>, 2015</w:t>
      </w:r>
      <w:r w:rsidR="00972378" w:rsidRPr="00BD4DB3">
        <w:rPr>
          <w:rFonts w:eastAsia="Times New Roman"/>
          <w:sz w:val="22"/>
          <w:szCs w:val="22"/>
        </w:rPr>
        <w:t>)</w:t>
      </w:r>
      <w:r w:rsidRPr="00BD4DB3">
        <w:rPr>
          <w:rFonts w:eastAsia="Times New Roman"/>
          <w:sz w:val="22"/>
          <w:szCs w:val="22"/>
        </w:rPr>
        <w:t xml:space="preserve">. </w:t>
      </w:r>
      <w:r w:rsidR="008265F9" w:rsidRPr="00BD4DB3">
        <w:rPr>
          <w:rFonts w:eastAsia="Times New Roman"/>
          <w:sz w:val="22"/>
          <w:szCs w:val="22"/>
        </w:rPr>
        <w:t>Beyond training, EuroPsy protect</w:t>
      </w:r>
      <w:r w:rsidR="008C21C2" w:rsidRPr="00BD4DB3">
        <w:rPr>
          <w:rFonts w:eastAsia="Times New Roman"/>
          <w:sz w:val="22"/>
          <w:szCs w:val="22"/>
        </w:rPr>
        <w:t>s</w:t>
      </w:r>
      <w:r w:rsidR="008265F9" w:rsidRPr="00BD4DB3">
        <w:rPr>
          <w:rFonts w:eastAsia="Times New Roman"/>
          <w:sz w:val="22"/>
          <w:szCs w:val="22"/>
        </w:rPr>
        <w:t xml:space="preserve"> clients and employers by promoting a minimum level of professional quality and ethics, and enhances mobility of </w:t>
      </w:r>
      <w:r w:rsidR="00B22E1C">
        <w:rPr>
          <w:rFonts w:eastAsia="Times New Roman"/>
          <w:sz w:val="22"/>
          <w:szCs w:val="22"/>
        </w:rPr>
        <w:t xml:space="preserve">both </w:t>
      </w:r>
      <w:r w:rsidR="008265F9" w:rsidRPr="00BD4DB3">
        <w:rPr>
          <w:rFonts w:eastAsia="Times New Roman"/>
          <w:sz w:val="22"/>
          <w:szCs w:val="22"/>
        </w:rPr>
        <w:t xml:space="preserve">students and practicing psychologists (Lunt et al., 2015). </w:t>
      </w:r>
      <w:r w:rsidR="003D09EA" w:rsidRPr="00BD4DB3">
        <w:rPr>
          <w:rFonts w:eastAsia="Times New Roman"/>
          <w:sz w:val="22"/>
          <w:szCs w:val="22"/>
        </w:rPr>
        <w:t>EuroPsy</w:t>
      </w:r>
      <w:r w:rsidR="006C3294" w:rsidRPr="00BD4DB3">
        <w:rPr>
          <w:rFonts w:eastAsia="Times New Roman"/>
          <w:sz w:val="22"/>
          <w:szCs w:val="22"/>
        </w:rPr>
        <w:t xml:space="preserve"> has been an important </w:t>
      </w:r>
      <w:r w:rsidR="00D528EE" w:rsidRPr="00BD4DB3">
        <w:rPr>
          <w:rFonts w:eastAsia="Times New Roman"/>
          <w:sz w:val="22"/>
          <w:szCs w:val="22"/>
        </w:rPr>
        <w:t xml:space="preserve">influence on </w:t>
      </w:r>
      <w:r w:rsidR="00E61671" w:rsidRPr="00BD4DB3">
        <w:rPr>
          <w:rFonts w:eastAsia="Times New Roman"/>
          <w:sz w:val="22"/>
          <w:szCs w:val="22"/>
        </w:rPr>
        <w:t xml:space="preserve">the </w:t>
      </w:r>
      <w:r w:rsidR="00935729">
        <w:rPr>
          <w:rFonts w:eastAsia="Times New Roman"/>
          <w:sz w:val="22"/>
          <w:szCs w:val="22"/>
        </w:rPr>
        <w:t>training</w:t>
      </w:r>
      <w:r w:rsidR="00935729" w:rsidRPr="00BD4DB3">
        <w:rPr>
          <w:rFonts w:eastAsia="Times New Roman"/>
          <w:sz w:val="22"/>
          <w:szCs w:val="22"/>
        </w:rPr>
        <w:t xml:space="preserve"> </w:t>
      </w:r>
      <w:r w:rsidR="00E61671" w:rsidRPr="00BD4DB3">
        <w:rPr>
          <w:rFonts w:eastAsia="Times New Roman"/>
          <w:sz w:val="22"/>
          <w:szCs w:val="22"/>
        </w:rPr>
        <w:t xml:space="preserve">of </w:t>
      </w:r>
      <w:r w:rsidR="008C21C2" w:rsidRPr="00BD4DB3">
        <w:rPr>
          <w:rFonts w:eastAsia="Times New Roman"/>
          <w:sz w:val="22"/>
          <w:szCs w:val="22"/>
        </w:rPr>
        <w:t xml:space="preserve">practicing </w:t>
      </w:r>
      <w:r w:rsidR="00E61671" w:rsidRPr="00BD4DB3">
        <w:rPr>
          <w:rFonts w:eastAsia="Times New Roman"/>
          <w:sz w:val="22"/>
          <w:szCs w:val="22"/>
        </w:rPr>
        <w:t>psychologists</w:t>
      </w:r>
      <w:r w:rsidR="008C21C2" w:rsidRPr="00BD4DB3">
        <w:rPr>
          <w:rFonts w:eastAsia="Times New Roman"/>
          <w:sz w:val="22"/>
          <w:szCs w:val="22"/>
        </w:rPr>
        <w:t xml:space="preserve">, but it also </w:t>
      </w:r>
      <w:r w:rsidR="00E61671" w:rsidRPr="00BD4DB3">
        <w:rPr>
          <w:rFonts w:eastAsia="Times New Roman"/>
          <w:sz w:val="22"/>
          <w:szCs w:val="22"/>
        </w:rPr>
        <w:t>formulate</w:t>
      </w:r>
      <w:r w:rsidR="00CD4289" w:rsidRPr="00BD4DB3">
        <w:rPr>
          <w:rFonts w:eastAsia="Times New Roman"/>
          <w:sz w:val="22"/>
          <w:szCs w:val="22"/>
        </w:rPr>
        <w:t>s</w:t>
      </w:r>
      <w:r w:rsidR="00E61671" w:rsidRPr="00BD4DB3">
        <w:rPr>
          <w:rFonts w:eastAsia="Times New Roman"/>
          <w:sz w:val="22"/>
          <w:szCs w:val="22"/>
        </w:rPr>
        <w:t xml:space="preserve"> </w:t>
      </w:r>
      <w:r w:rsidR="00CD4289" w:rsidRPr="00BD4DB3">
        <w:rPr>
          <w:rFonts w:eastAsia="Times New Roman"/>
          <w:sz w:val="22"/>
          <w:szCs w:val="22"/>
        </w:rPr>
        <w:t xml:space="preserve">competency-based </w:t>
      </w:r>
      <w:r w:rsidR="00E61671" w:rsidRPr="00BD4DB3">
        <w:rPr>
          <w:rFonts w:eastAsia="Times New Roman"/>
          <w:sz w:val="22"/>
          <w:szCs w:val="22"/>
        </w:rPr>
        <w:t>standards at undergraduate and graduate levels</w:t>
      </w:r>
      <w:r w:rsidR="00CD4289" w:rsidRPr="00BD4DB3">
        <w:rPr>
          <w:rFonts w:eastAsia="Times New Roman"/>
          <w:sz w:val="22"/>
          <w:szCs w:val="22"/>
        </w:rPr>
        <w:t>. For that reason</w:t>
      </w:r>
      <w:r w:rsidR="003D09EA" w:rsidRPr="00BD4DB3">
        <w:rPr>
          <w:rFonts w:eastAsia="Times New Roman"/>
          <w:sz w:val="22"/>
          <w:szCs w:val="22"/>
        </w:rPr>
        <w:t>,</w:t>
      </w:r>
      <w:r w:rsidR="00CD4289" w:rsidRPr="00BD4DB3">
        <w:rPr>
          <w:rFonts w:eastAsia="Times New Roman"/>
          <w:sz w:val="22"/>
          <w:szCs w:val="22"/>
        </w:rPr>
        <w:t xml:space="preserve"> it affects all students,</w:t>
      </w:r>
      <w:r w:rsidR="003D09EA" w:rsidRPr="00BD4DB3">
        <w:rPr>
          <w:rFonts w:eastAsia="Times New Roman"/>
          <w:sz w:val="22"/>
          <w:szCs w:val="22"/>
        </w:rPr>
        <w:t xml:space="preserve"> </w:t>
      </w:r>
      <w:r w:rsidR="00D96366" w:rsidRPr="00BD4DB3">
        <w:rPr>
          <w:rFonts w:eastAsia="Times New Roman"/>
          <w:sz w:val="22"/>
          <w:szCs w:val="22"/>
        </w:rPr>
        <w:t xml:space="preserve">even </w:t>
      </w:r>
      <w:r w:rsidR="00CD4289" w:rsidRPr="00BD4DB3">
        <w:rPr>
          <w:rFonts w:eastAsia="Times New Roman"/>
          <w:sz w:val="22"/>
          <w:szCs w:val="22"/>
        </w:rPr>
        <w:t>those who</w:t>
      </w:r>
      <w:r w:rsidR="007D0A6E" w:rsidRPr="00BD4DB3">
        <w:rPr>
          <w:rFonts w:eastAsia="Times New Roman"/>
          <w:sz w:val="22"/>
          <w:szCs w:val="22"/>
        </w:rPr>
        <w:t xml:space="preserve"> plan</w:t>
      </w:r>
      <w:r w:rsidR="00E61671" w:rsidRPr="00BD4DB3">
        <w:rPr>
          <w:rFonts w:eastAsia="Times New Roman"/>
          <w:sz w:val="22"/>
          <w:szCs w:val="22"/>
        </w:rPr>
        <w:t xml:space="preserve"> to </w:t>
      </w:r>
      <w:r w:rsidR="001076C6" w:rsidRPr="00BD4DB3">
        <w:rPr>
          <w:rFonts w:eastAsia="Times New Roman"/>
          <w:sz w:val="22"/>
          <w:szCs w:val="22"/>
        </w:rPr>
        <w:t>earn only</w:t>
      </w:r>
      <w:r w:rsidR="00E61671" w:rsidRPr="00BD4DB3">
        <w:rPr>
          <w:rFonts w:eastAsia="Times New Roman"/>
          <w:sz w:val="22"/>
          <w:szCs w:val="22"/>
        </w:rPr>
        <w:t xml:space="preserve"> an undergraduate degree or pursue a career as a psychologist engaged in teaching or research. </w:t>
      </w:r>
    </w:p>
    <w:p w14:paraId="6CCA575C" w14:textId="14DA9DA7" w:rsidR="006D1D71" w:rsidRPr="00BD4DB3" w:rsidRDefault="00762E6B" w:rsidP="00D54C07">
      <w:pPr>
        <w:spacing w:line="480" w:lineRule="auto"/>
        <w:jc w:val="center"/>
        <w:rPr>
          <w:rFonts w:eastAsia="Times New Roman"/>
          <w:b/>
          <w:sz w:val="22"/>
          <w:szCs w:val="22"/>
        </w:rPr>
      </w:pPr>
      <w:r w:rsidRPr="00BD4DB3">
        <w:rPr>
          <w:rFonts w:eastAsia="Times New Roman"/>
          <w:b/>
          <w:sz w:val="22"/>
          <w:szCs w:val="22"/>
        </w:rPr>
        <w:t>Educational systems and assessment in non-Euro-Bologna Countries</w:t>
      </w:r>
    </w:p>
    <w:p w14:paraId="3AFFAD65" w14:textId="1D8BD487" w:rsidR="009309FD" w:rsidRPr="00BD4DB3" w:rsidRDefault="008C21C2" w:rsidP="00D92749">
      <w:pPr>
        <w:spacing w:line="480" w:lineRule="auto"/>
        <w:ind w:firstLine="720"/>
        <w:rPr>
          <w:rFonts w:eastAsia="Times New Roman"/>
          <w:sz w:val="22"/>
          <w:szCs w:val="22"/>
        </w:rPr>
      </w:pPr>
      <w:r w:rsidRPr="00BD4DB3">
        <w:rPr>
          <w:sz w:val="22"/>
          <w:szCs w:val="22"/>
        </w:rPr>
        <w:t>The</w:t>
      </w:r>
      <w:r w:rsidR="008265F9" w:rsidRPr="00BD4DB3">
        <w:rPr>
          <w:sz w:val="22"/>
          <w:szCs w:val="22"/>
        </w:rPr>
        <w:t xml:space="preserve"> vast diversity among the</w:t>
      </w:r>
      <w:r w:rsidR="00D96366" w:rsidRPr="00BD4DB3">
        <w:rPr>
          <w:sz w:val="22"/>
          <w:szCs w:val="22"/>
        </w:rPr>
        <w:t xml:space="preserve"> more t</w:t>
      </w:r>
      <w:r w:rsidR="00CC4EE5" w:rsidRPr="00BD4DB3">
        <w:rPr>
          <w:sz w:val="22"/>
          <w:szCs w:val="22"/>
        </w:rPr>
        <w:t>han 4000 psychology educational programs</w:t>
      </w:r>
      <w:r w:rsidR="00DD5CA9" w:rsidRPr="00BD4DB3">
        <w:rPr>
          <w:sz w:val="22"/>
          <w:szCs w:val="22"/>
        </w:rPr>
        <w:t xml:space="preserve"> globally</w:t>
      </w:r>
      <w:r w:rsidRPr="00BD4DB3">
        <w:rPr>
          <w:sz w:val="22"/>
          <w:szCs w:val="22"/>
        </w:rPr>
        <w:t xml:space="preserve"> has led to </w:t>
      </w:r>
      <w:r w:rsidR="00CC4EE5" w:rsidRPr="00BD4DB3">
        <w:rPr>
          <w:sz w:val="22"/>
          <w:szCs w:val="22"/>
        </w:rPr>
        <w:t xml:space="preserve">calls for </w:t>
      </w:r>
      <w:r w:rsidRPr="00BD4DB3">
        <w:rPr>
          <w:sz w:val="22"/>
          <w:szCs w:val="22"/>
        </w:rPr>
        <w:t>a</w:t>
      </w:r>
      <w:r w:rsidR="00CC4EE5" w:rsidRPr="00BD4DB3">
        <w:rPr>
          <w:sz w:val="22"/>
          <w:szCs w:val="22"/>
        </w:rPr>
        <w:t xml:space="preserve"> framework </w:t>
      </w:r>
      <w:r w:rsidR="001076C6" w:rsidRPr="00BD4DB3">
        <w:rPr>
          <w:sz w:val="22"/>
          <w:szCs w:val="22"/>
        </w:rPr>
        <w:t>to</w:t>
      </w:r>
      <w:r w:rsidR="00CC4EE5" w:rsidRPr="00BD4DB3">
        <w:rPr>
          <w:sz w:val="22"/>
          <w:szCs w:val="22"/>
        </w:rPr>
        <w:t xml:space="preserve"> </w:t>
      </w:r>
      <w:r w:rsidR="00D96366" w:rsidRPr="00BD4DB3">
        <w:rPr>
          <w:sz w:val="22"/>
          <w:szCs w:val="22"/>
        </w:rPr>
        <w:t>foster</w:t>
      </w:r>
      <w:r w:rsidR="00CC4EE5" w:rsidRPr="00BD4DB3">
        <w:rPr>
          <w:sz w:val="22"/>
          <w:szCs w:val="22"/>
        </w:rPr>
        <w:t xml:space="preserve"> comparisons (Bullock, 2014). Those involved in Bologna have considered such harmonization</w:t>
      </w:r>
      <w:r w:rsidR="001076C6" w:rsidRPr="00BD4DB3">
        <w:rPr>
          <w:rStyle w:val="FootnoteReference"/>
          <w:sz w:val="22"/>
          <w:szCs w:val="22"/>
        </w:rPr>
        <w:footnoteReference w:id="2"/>
      </w:r>
      <w:r w:rsidR="008265F9" w:rsidRPr="00BD4DB3">
        <w:rPr>
          <w:sz w:val="22"/>
          <w:szCs w:val="22"/>
        </w:rPr>
        <w:t xml:space="preserve">, including through </w:t>
      </w:r>
      <w:r w:rsidR="00D96366" w:rsidRPr="00BD4DB3">
        <w:rPr>
          <w:sz w:val="22"/>
          <w:szCs w:val="22"/>
        </w:rPr>
        <w:t>a</w:t>
      </w:r>
      <w:r w:rsidR="00755CDD" w:rsidRPr="00BD4DB3">
        <w:rPr>
          <w:sz w:val="22"/>
          <w:szCs w:val="22"/>
        </w:rPr>
        <w:t xml:space="preserve"> Bologna Follow Up Group </w:t>
      </w:r>
      <w:r w:rsidR="00D96366" w:rsidRPr="00BD4DB3">
        <w:rPr>
          <w:sz w:val="22"/>
          <w:szCs w:val="22"/>
        </w:rPr>
        <w:t>(BFUG</w:t>
      </w:r>
      <w:r w:rsidR="008265F9" w:rsidRPr="00BD4DB3">
        <w:rPr>
          <w:sz w:val="22"/>
          <w:szCs w:val="22"/>
        </w:rPr>
        <w:t>, 2002</w:t>
      </w:r>
      <w:r w:rsidR="00D96366" w:rsidRPr="00BD4DB3">
        <w:rPr>
          <w:sz w:val="22"/>
          <w:szCs w:val="22"/>
        </w:rPr>
        <w:t>)</w:t>
      </w:r>
      <w:r w:rsidR="00796108">
        <w:rPr>
          <w:sz w:val="22"/>
          <w:szCs w:val="22"/>
        </w:rPr>
        <w:t>. The BFUG</w:t>
      </w:r>
      <w:r w:rsidR="008265F9" w:rsidRPr="00BD4DB3">
        <w:rPr>
          <w:sz w:val="22"/>
          <w:szCs w:val="22"/>
        </w:rPr>
        <w:t xml:space="preserve"> </w:t>
      </w:r>
      <w:r w:rsidR="00D96366" w:rsidRPr="00BD4DB3">
        <w:rPr>
          <w:sz w:val="22"/>
          <w:szCs w:val="22"/>
        </w:rPr>
        <w:t xml:space="preserve">called for </w:t>
      </w:r>
      <w:r w:rsidR="00796108">
        <w:rPr>
          <w:sz w:val="22"/>
          <w:szCs w:val="22"/>
        </w:rPr>
        <w:t>outreach</w:t>
      </w:r>
      <w:r w:rsidR="00C97EC4" w:rsidRPr="00BD4DB3">
        <w:rPr>
          <w:sz w:val="22"/>
          <w:szCs w:val="22"/>
        </w:rPr>
        <w:t xml:space="preserve"> (</w:t>
      </w:r>
      <w:r w:rsidR="007578BD" w:rsidRPr="00BD4DB3">
        <w:rPr>
          <w:sz w:val="22"/>
          <w:szCs w:val="22"/>
        </w:rPr>
        <w:t>Clark, 2014</w:t>
      </w:r>
      <w:r w:rsidR="00C97EC4" w:rsidRPr="00BD4DB3">
        <w:rPr>
          <w:sz w:val="22"/>
          <w:szCs w:val="22"/>
        </w:rPr>
        <w:t>)</w:t>
      </w:r>
      <w:r w:rsidR="00796108">
        <w:rPr>
          <w:sz w:val="22"/>
          <w:szCs w:val="22"/>
        </w:rPr>
        <w:t>, which</w:t>
      </w:r>
      <w:r w:rsidR="00F30869" w:rsidRPr="00BD4DB3">
        <w:rPr>
          <w:sz w:val="22"/>
          <w:szCs w:val="22"/>
        </w:rPr>
        <w:t xml:space="preserve"> </w:t>
      </w:r>
      <w:r w:rsidR="00C97EC4" w:rsidRPr="00BD4DB3">
        <w:rPr>
          <w:sz w:val="22"/>
          <w:szCs w:val="22"/>
        </w:rPr>
        <w:t>has led to partnerships between the EU and other regions, often funded by the EU</w:t>
      </w:r>
      <w:r w:rsidR="00401263" w:rsidRPr="00BD4DB3">
        <w:rPr>
          <w:rFonts w:eastAsia="Times New Roman"/>
          <w:sz w:val="22"/>
          <w:szCs w:val="22"/>
        </w:rPr>
        <w:t xml:space="preserve"> </w:t>
      </w:r>
      <w:r w:rsidR="009B6A56" w:rsidRPr="00BD4DB3">
        <w:rPr>
          <w:rFonts w:eastAsia="Times New Roman"/>
          <w:sz w:val="22"/>
          <w:szCs w:val="22"/>
        </w:rPr>
        <w:t xml:space="preserve">(e.g., Crosier </w:t>
      </w:r>
      <w:r w:rsidR="004A514B" w:rsidRPr="00BD4DB3">
        <w:rPr>
          <w:rFonts w:eastAsia="Times New Roman"/>
          <w:sz w:val="22"/>
          <w:szCs w:val="22"/>
        </w:rPr>
        <w:t>&amp; Parveva, 2013</w:t>
      </w:r>
      <w:r w:rsidR="00755C95" w:rsidRPr="00BD4DB3">
        <w:rPr>
          <w:rFonts w:eastAsia="Times New Roman"/>
          <w:sz w:val="22"/>
          <w:szCs w:val="22"/>
        </w:rPr>
        <w:t>; Dang, 2015</w:t>
      </w:r>
      <w:r w:rsidR="004A514B" w:rsidRPr="00BD4DB3">
        <w:rPr>
          <w:rFonts w:eastAsia="Times New Roman"/>
          <w:sz w:val="22"/>
          <w:szCs w:val="22"/>
        </w:rPr>
        <w:t>)</w:t>
      </w:r>
      <w:r w:rsidR="00534781" w:rsidRPr="00BD4DB3">
        <w:rPr>
          <w:rFonts w:eastAsia="Times New Roman"/>
          <w:sz w:val="22"/>
          <w:szCs w:val="22"/>
        </w:rPr>
        <w:t xml:space="preserve">. </w:t>
      </w:r>
      <w:r w:rsidR="00D92749" w:rsidRPr="00BD4DB3">
        <w:rPr>
          <w:rFonts w:eastAsia="Times New Roman"/>
          <w:sz w:val="22"/>
          <w:szCs w:val="22"/>
        </w:rPr>
        <w:t xml:space="preserve">Knight writes that </w:t>
      </w:r>
      <w:r w:rsidR="001249D6" w:rsidRPr="00BD4DB3">
        <w:rPr>
          <w:rFonts w:eastAsia="Times New Roman"/>
          <w:sz w:val="22"/>
          <w:szCs w:val="22"/>
        </w:rPr>
        <w:t xml:space="preserve">Bologna </w:t>
      </w:r>
      <w:r w:rsidR="00D92749" w:rsidRPr="00BD4DB3">
        <w:rPr>
          <w:rFonts w:eastAsia="Times New Roman"/>
          <w:sz w:val="22"/>
          <w:szCs w:val="22"/>
        </w:rPr>
        <w:t xml:space="preserve">“has propelled other regions and sub-regions around the world to look more seriously at the significance and modality of building closer alignment of their higher education systems” (p. </w:t>
      </w:r>
      <w:r w:rsidR="009B6A56" w:rsidRPr="00BD4DB3">
        <w:rPr>
          <w:rFonts w:eastAsia="Times New Roman"/>
          <w:sz w:val="22"/>
          <w:szCs w:val="22"/>
        </w:rPr>
        <w:t>106, 2014</w:t>
      </w:r>
      <w:r w:rsidR="00D92749" w:rsidRPr="00BD4DB3">
        <w:rPr>
          <w:rFonts w:eastAsia="Times New Roman"/>
          <w:sz w:val="22"/>
          <w:szCs w:val="22"/>
        </w:rPr>
        <w:t xml:space="preserve">). </w:t>
      </w:r>
      <w:r w:rsidR="00755C95" w:rsidRPr="00BD4DB3">
        <w:rPr>
          <w:rFonts w:eastAsia="Times New Roman"/>
          <w:sz w:val="22"/>
          <w:szCs w:val="22"/>
        </w:rPr>
        <w:t>I</w:t>
      </w:r>
      <w:r w:rsidR="00D92749" w:rsidRPr="00BD4DB3">
        <w:rPr>
          <w:rFonts w:eastAsia="Times New Roman"/>
          <w:sz w:val="22"/>
          <w:szCs w:val="22"/>
        </w:rPr>
        <w:t>n terms of ‘features</w:t>
      </w:r>
      <w:r w:rsidR="0045309B">
        <w:rPr>
          <w:rFonts w:eastAsia="Times New Roman"/>
          <w:sz w:val="22"/>
          <w:szCs w:val="22"/>
        </w:rPr>
        <w:t>,</w:t>
      </w:r>
      <w:r w:rsidR="00D92749" w:rsidRPr="00BD4DB3">
        <w:rPr>
          <w:rFonts w:eastAsia="Times New Roman"/>
          <w:sz w:val="22"/>
          <w:szCs w:val="22"/>
        </w:rPr>
        <w:t>’</w:t>
      </w:r>
      <w:r w:rsidR="00D96366" w:rsidRPr="00BD4DB3">
        <w:rPr>
          <w:rFonts w:eastAsia="Times New Roman"/>
          <w:sz w:val="22"/>
          <w:szCs w:val="22"/>
        </w:rPr>
        <w:t xml:space="preserve"> regions</w:t>
      </w:r>
      <w:r w:rsidR="00D92749" w:rsidRPr="00BD4DB3">
        <w:rPr>
          <w:rFonts w:eastAsia="Times New Roman"/>
          <w:sz w:val="22"/>
          <w:szCs w:val="22"/>
        </w:rPr>
        <w:t xml:space="preserve"> that have created Bologna-like agreements </w:t>
      </w:r>
      <w:r w:rsidR="00C05409" w:rsidRPr="00BD4DB3">
        <w:rPr>
          <w:rFonts w:eastAsia="Times New Roman"/>
          <w:sz w:val="22"/>
          <w:szCs w:val="22"/>
        </w:rPr>
        <w:t>typically consider</w:t>
      </w:r>
      <w:r w:rsidR="00D92749" w:rsidRPr="00BD4DB3">
        <w:rPr>
          <w:rFonts w:eastAsia="Times New Roman"/>
          <w:sz w:val="22"/>
          <w:szCs w:val="22"/>
        </w:rPr>
        <w:t xml:space="preserve">: (1) qualification frameworks, (2) threshold learning outcomes, which support quality assurance, and (3) the nature of the </w:t>
      </w:r>
      <w:r w:rsidR="00C05409" w:rsidRPr="00BD4DB3">
        <w:rPr>
          <w:rFonts w:eastAsia="Times New Roman"/>
          <w:sz w:val="22"/>
          <w:szCs w:val="22"/>
        </w:rPr>
        <w:t>lev</w:t>
      </w:r>
      <w:r w:rsidR="00D92749" w:rsidRPr="00BD4DB3">
        <w:rPr>
          <w:rFonts w:eastAsia="Times New Roman"/>
          <w:sz w:val="22"/>
          <w:szCs w:val="22"/>
        </w:rPr>
        <w:t xml:space="preserve">els of degree programs, </w:t>
      </w:r>
      <w:r w:rsidR="00C05409" w:rsidRPr="00BD4DB3">
        <w:rPr>
          <w:rFonts w:eastAsia="Times New Roman"/>
          <w:sz w:val="22"/>
          <w:szCs w:val="22"/>
        </w:rPr>
        <w:t>typically</w:t>
      </w:r>
      <w:r w:rsidR="00D92749" w:rsidRPr="00BD4DB3">
        <w:rPr>
          <w:rFonts w:eastAsia="Times New Roman"/>
          <w:sz w:val="22"/>
          <w:szCs w:val="22"/>
        </w:rPr>
        <w:t xml:space="preserve"> a </w:t>
      </w:r>
      <w:r w:rsidR="00C05409" w:rsidRPr="00BD4DB3">
        <w:rPr>
          <w:rFonts w:eastAsia="Times New Roman"/>
          <w:sz w:val="22"/>
          <w:szCs w:val="22"/>
        </w:rPr>
        <w:t xml:space="preserve">Bologna-like </w:t>
      </w:r>
      <w:r w:rsidR="00D92749" w:rsidRPr="00BD4DB3">
        <w:rPr>
          <w:rFonts w:eastAsia="Times New Roman"/>
          <w:sz w:val="22"/>
          <w:szCs w:val="22"/>
        </w:rPr>
        <w:t>3</w:t>
      </w:r>
      <w:r w:rsidR="00D96366" w:rsidRPr="00BD4DB3">
        <w:rPr>
          <w:rFonts w:eastAsia="Times New Roman"/>
          <w:sz w:val="22"/>
          <w:szCs w:val="22"/>
        </w:rPr>
        <w:t>+2 p</w:t>
      </w:r>
      <w:r w:rsidR="00D92749" w:rsidRPr="00BD4DB3">
        <w:rPr>
          <w:rFonts w:eastAsia="Times New Roman"/>
          <w:sz w:val="22"/>
          <w:szCs w:val="22"/>
        </w:rPr>
        <w:t xml:space="preserve">rogram. </w:t>
      </w:r>
      <w:r w:rsidR="001B29FD" w:rsidRPr="00BD4DB3">
        <w:rPr>
          <w:rFonts w:eastAsia="Times New Roman"/>
          <w:sz w:val="22"/>
          <w:szCs w:val="22"/>
        </w:rPr>
        <w:t xml:space="preserve">Such </w:t>
      </w:r>
      <w:r w:rsidR="00DD5CA9" w:rsidRPr="00BD4DB3">
        <w:rPr>
          <w:rFonts w:eastAsia="Times New Roman"/>
          <w:sz w:val="22"/>
          <w:szCs w:val="22"/>
        </w:rPr>
        <w:t>developments</w:t>
      </w:r>
      <w:r w:rsidR="001B29FD" w:rsidRPr="00BD4DB3">
        <w:rPr>
          <w:rFonts w:eastAsia="Times New Roman"/>
          <w:sz w:val="22"/>
          <w:szCs w:val="22"/>
        </w:rPr>
        <w:t xml:space="preserve"> have advantages</w:t>
      </w:r>
      <w:r w:rsidR="00F73B5B" w:rsidRPr="00BD4DB3">
        <w:rPr>
          <w:rFonts w:eastAsia="Times New Roman"/>
          <w:sz w:val="22"/>
          <w:szCs w:val="22"/>
        </w:rPr>
        <w:t>, including</w:t>
      </w:r>
      <w:r w:rsidR="001B29FD" w:rsidRPr="00BD4DB3">
        <w:rPr>
          <w:rFonts w:eastAsia="Times New Roman"/>
          <w:sz w:val="22"/>
          <w:szCs w:val="22"/>
        </w:rPr>
        <w:t xml:space="preserve"> the review and possible improvement of institutional, national, and international systems</w:t>
      </w:r>
      <w:r w:rsidR="00F73B5B" w:rsidRPr="00BD4DB3">
        <w:rPr>
          <w:rFonts w:eastAsia="Times New Roman"/>
          <w:sz w:val="22"/>
          <w:szCs w:val="22"/>
        </w:rPr>
        <w:t>, and disadvantages, including</w:t>
      </w:r>
      <w:r w:rsidR="00EF1A7C" w:rsidRPr="00BD4DB3">
        <w:rPr>
          <w:rFonts w:eastAsia="Times New Roman"/>
          <w:sz w:val="22"/>
          <w:szCs w:val="22"/>
        </w:rPr>
        <w:t xml:space="preserve"> the reputed ‘re-coloniz</w:t>
      </w:r>
      <w:r w:rsidR="001B29FD" w:rsidRPr="00BD4DB3">
        <w:rPr>
          <w:rFonts w:eastAsia="Times New Roman"/>
          <w:sz w:val="22"/>
          <w:szCs w:val="22"/>
        </w:rPr>
        <w:t xml:space="preserve">ation’ of formerly colonized nations (e.g., Zmas, 2015). </w:t>
      </w:r>
    </w:p>
    <w:p w14:paraId="140B1BB0" w14:textId="4492DA65" w:rsidR="00762E6B" w:rsidRPr="00BD4DB3" w:rsidRDefault="001076C6" w:rsidP="00D92749">
      <w:pPr>
        <w:spacing w:line="480" w:lineRule="auto"/>
        <w:ind w:firstLine="720"/>
        <w:rPr>
          <w:rFonts w:eastAsia="Times New Roman"/>
          <w:sz w:val="22"/>
          <w:szCs w:val="22"/>
        </w:rPr>
      </w:pPr>
      <w:r w:rsidRPr="00BD4DB3">
        <w:rPr>
          <w:rFonts w:eastAsia="Times New Roman"/>
          <w:sz w:val="22"/>
          <w:szCs w:val="22"/>
        </w:rPr>
        <w:lastRenderedPageBreak/>
        <w:t>Re</w:t>
      </w:r>
      <w:r w:rsidR="00C05409" w:rsidRPr="00BD4DB3">
        <w:rPr>
          <w:rFonts w:eastAsia="Times New Roman"/>
          <w:sz w:val="22"/>
          <w:szCs w:val="22"/>
        </w:rPr>
        <w:t xml:space="preserve">sults have varied. </w:t>
      </w:r>
      <w:r w:rsidR="00755C95" w:rsidRPr="00BD4DB3">
        <w:rPr>
          <w:rFonts w:eastAsia="Times New Roman"/>
          <w:sz w:val="22"/>
          <w:szCs w:val="22"/>
        </w:rPr>
        <w:t>At the minimal end</w:t>
      </w:r>
      <w:r w:rsidR="00762E6B" w:rsidRPr="00BD4DB3">
        <w:rPr>
          <w:rFonts w:eastAsia="Times New Roman"/>
          <w:sz w:val="22"/>
          <w:szCs w:val="22"/>
        </w:rPr>
        <w:t xml:space="preserve">, </w:t>
      </w:r>
      <w:r w:rsidR="00755C95" w:rsidRPr="00BD4DB3">
        <w:rPr>
          <w:rFonts w:eastAsia="Times New Roman"/>
          <w:sz w:val="22"/>
          <w:szCs w:val="22"/>
        </w:rPr>
        <w:t xml:space="preserve">a country may develop </w:t>
      </w:r>
      <w:r w:rsidR="00762E6B" w:rsidRPr="00BD4DB3">
        <w:rPr>
          <w:rFonts w:eastAsia="Times New Roman"/>
          <w:sz w:val="22"/>
          <w:szCs w:val="22"/>
        </w:rPr>
        <w:t>procedures to assess graduate applications (e.g., Thege &amp; Dobson, 2016)</w:t>
      </w:r>
      <w:r w:rsidR="00AF69E4" w:rsidRPr="00BD4DB3">
        <w:rPr>
          <w:rFonts w:eastAsia="Times New Roman"/>
          <w:sz w:val="22"/>
          <w:szCs w:val="22"/>
        </w:rPr>
        <w:t xml:space="preserve">. </w:t>
      </w:r>
      <w:r w:rsidR="00A2407A" w:rsidRPr="00BD4DB3">
        <w:rPr>
          <w:rFonts w:eastAsia="Times New Roman"/>
          <w:sz w:val="22"/>
          <w:szCs w:val="22"/>
        </w:rPr>
        <w:t>On a grander scale</w:t>
      </w:r>
      <w:r w:rsidR="00AF69E4" w:rsidRPr="00BD4DB3">
        <w:rPr>
          <w:rFonts w:eastAsia="Times New Roman"/>
          <w:sz w:val="22"/>
          <w:szCs w:val="22"/>
        </w:rPr>
        <w:t xml:space="preserve">, </w:t>
      </w:r>
      <w:r w:rsidR="00A2407A" w:rsidRPr="00BD4DB3">
        <w:rPr>
          <w:rFonts w:eastAsia="Times New Roman"/>
          <w:sz w:val="22"/>
          <w:szCs w:val="22"/>
        </w:rPr>
        <w:t>a regional consortium may develop a “</w:t>
      </w:r>
      <w:r w:rsidR="00CE270C" w:rsidRPr="00BD4DB3">
        <w:rPr>
          <w:rFonts w:eastAsia="Times New Roman"/>
          <w:sz w:val="22"/>
          <w:szCs w:val="22"/>
        </w:rPr>
        <w:t>Tuning</w:t>
      </w:r>
      <w:r w:rsidR="00D54C07" w:rsidRPr="00BD4DB3">
        <w:rPr>
          <w:rFonts w:eastAsia="Times New Roman"/>
          <w:sz w:val="22"/>
          <w:szCs w:val="22"/>
        </w:rPr>
        <w:t xml:space="preserve"> </w:t>
      </w:r>
      <w:r w:rsidR="00AF69E4" w:rsidRPr="00BD4DB3">
        <w:rPr>
          <w:rFonts w:eastAsia="Times New Roman"/>
          <w:sz w:val="22"/>
          <w:szCs w:val="22"/>
        </w:rPr>
        <w:t>project</w:t>
      </w:r>
      <w:r w:rsidR="00A2407A" w:rsidRPr="00BD4DB3">
        <w:rPr>
          <w:rFonts w:eastAsia="Times New Roman"/>
          <w:sz w:val="22"/>
          <w:szCs w:val="22"/>
        </w:rPr>
        <w:t>”</w:t>
      </w:r>
      <w:r w:rsidR="006C6F93" w:rsidRPr="00BD4DB3">
        <w:rPr>
          <w:rFonts w:eastAsia="Times New Roman"/>
          <w:sz w:val="22"/>
          <w:szCs w:val="22"/>
        </w:rPr>
        <w:t xml:space="preserve"> </w:t>
      </w:r>
      <w:r w:rsidR="00A2407A" w:rsidRPr="00BD4DB3">
        <w:rPr>
          <w:rFonts w:eastAsia="Times New Roman"/>
          <w:sz w:val="22"/>
          <w:szCs w:val="22"/>
        </w:rPr>
        <w:t xml:space="preserve">to </w:t>
      </w:r>
      <w:r w:rsidR="00401263" w:rsidRPr="00BD4DB3">
        <w:rPr>
          <w:rFonts w:eastAsia="Times New Roman"/>
          <w:sz w:val="22"/>
          <w:szCs w:val="22"/>
        </w:rPr>
        <w:t xml:space="preserve">develop competence-based </w:t>
      </w:r>
      <w:r w:rsidR="00755C95" w:rsidRPr="00BD4DB3">
        <w:rPr>
          <w:rFonts w:eastAsia="Times New Roman"/>
          <w:sz w:val="22"/>
          <w:szCs w:val="22"/>
        </w:rPr>
        <w:t>curricula that allow</w:t>
      </w:r>
      <w:r w:rsidR="00401263" w:rsidRPr="00BD4DB3">
        <w:rPr>
          <w:rFonts w:eastAsia="Times New Roman"/>
          <w:sz w:val="22"/>
          <w:szCs w:val="22"/>
        </w:rPr>
        <w:t xml:space="preserve"> for mobili</w:t>
      </w:r>
      <w:r w:rsidR="00D92749" w:rsidRPr="00BD4DB3">
        <w:rPr>
          <w:rFonts w:eastAsia="Times New Roman"/>
          <w:sz w:val="22"/>
          <w:szCs w:val="22"/>
        </w:rPr>
        <w:t>ty</w:t>
      </w:r>
      <w:r w:rsidR="00481625">
        <w:rPr>
          <w:rFonts w:eastAsia="Times New Roman"/>
          <w:sz w:val="22"/>
          <w:szCs w:val="22"/>
        </w:rPr>
        <w:t xml:space="preserve"> across institutions and countries</w:t>
      </w:r>
      <w:r w:rsidR="00D92749" w:rsidRPr="00BD4DB3">
        <w:rPr>
          <w:rFonts w:eastAsia="Times New Roman"/>
          <w:sz w:val="22"/>
          <w:szCs w:val="22"/>
        </w:rPr>
        <w:t xml:space="preserve">. </w:t>
      </w:r>
      <w:r w:rsidR="00A2407A" w:rsidRPr="00BD4DB3">
        <w:rPr>
          <w:rFonts w:eastAsia="Times New Roman"/>
          <w:sz w:val="22"/>
          <w:szCs w:val="22"/>
        </w:rPr>
        <w:t xml:space="preserve">Psychology is not always included; </w:t>
      </w:r>
      <w:r w:rsidR="00C271B5" w:rsidRPr="00BD4DB3">
        <w:rPr>
          <w:rFonts w:eastAsia="Times New Roman"/>
          <w:sz w:val="22"/>
          <w:szCs w:val="22"/>
        </w:rPr>
        <w:t xml:space="preserve">as with Bologna, there are often attempts at harmonizing general higher education before </w:t>
      </w:r>
      <w:r w:rsidR="00755C95" w:rsidRPr="00BD4DB3">
        <w:rPr>
          <w:rFonts w:eastAsia="Times New Roman"/>
          <w:sz w:val="22"/>
          <w:szCs w:val="22"/>
        </w:rPr>
        <w:t xml:space="preserve">specific disciplines. Moreover, some consortia have been explicit that although they are using Bologna as a model, their own collaborations are locally driven. For example, Dang described the Bologna Process as </w:t>
      </w:r>
      <w:r w:rsidRPr="00BD4DB3">
        <w:rPr>
          <w:rFonts w:eastAsia="Times New Roman"/>
          <w:sz w:val="22"/>
          <w:szCs w:val="22"/>
        </w:rPr>
        <w:t>“melting pot harmonization</w:t>
      </w:r>
      <w:r w:rsidR="00186D7E" w:rsidRPr="00BD4DB3">
        <w:rPr>
          <w:rFonts w:eastAsia="Times New Roman"/>
          <w:sz w:val="22"/>
          <w:szCs w:val="22"/>
        </w:rPr>
        <w:t>,</w:t>
      </w:r>
      <w:r w:rsidR="00755C95" w:rsidRPr="00BD4DB3">
        <w:rPr>
          <w:rFonts w:eastAsia="Times New Roman"/>
          <w:sz w:val="22"/>
          <w:szCs w:val="22"/>
        </w:rPr>
        <w:t>” a system more similar across institutions than the Asian “mosaic harmonization” which aims to create connections among</w:t>
      </w:r>
      <w:r w:rsidR="00A2407A" w:rsidRPr="00BD4DB3">
        <w:rPr>
          <w:rFonts w:eastAsia="Times New Roman"/>
          <w:sz w:val="22"/>
          <w:szCs w:val="22"/>
        </w:rPr>
        <w:t xml:space="preserve"> different</w:t>
      </w:r>
      <w:r w:rsidR="00755C95" w:rsidRPr="00BD4DB3">
        <w:rPr>
          <w:rFonts w:eastAsia="Times New Roman"/>
          <w:sz w:val="22"/>
          <w:szCs w:val="22"/>
        </w:rPr>
        <w:t xml:space="preserve"> existing programs (p. 774, 2015). Here, </w:t>
      </w:r>
      <w:r w:rsidR="00DD5CA9" w:rsidRPr="00BD4DB3">
        <w:rPr>
          <w:rFonts w:eastAsia="Times New Roman"/>
          <w:sz w:val="22"/>
          <w:szCs w:val="22"/>
        </w:rPr>
        <w:t>as examples,</w:t>
      </w:r>
      <w:r w:rsidR="00693B38" w:rsidRPr="00BD4DB3">
        <w:rPr>
          <w:rFonts w:eastAsia="Times New Roman"/>
          <w:sz w:val="22"/>
          <w:szCs w:val="22"/>
        </w:rPr>
        <w:t xml:space="preserve"> </w:t>
      </w:r>
      <w:r w:rsidR="00755C95" w:rsidRPr="00BD4DB3">
        <w:rPr>
          <w:rFonts w:eastAsia="Times New Roman"/>
          <w:sz w:val="22"/>
          <w:szCs w:val="22"/>
        </w:rPr>
        <w:t>we</w:t>
      </w:r>
      <w:r w:rsidR="00D92749" w:rsidRPr="00BD4DB3">
        <w:rPr>
          <w:rFonts w:eastAsia="Times New Roman"/>
          <w:sz w:val="22"/>
          <w:szCs w:val="22"/>
        </w:rPr>
        <w:t xml:space="preserve"> explore consortia in Africa, As</w:t>
      </w:r>
      <w:r w:rsidR="00C271B5" w:rsidRPr="00BD4DB3">
        <w:rPr>
          <w:rFonts w:eastAsia="Times New Roman"/>
          <w:sz w:val="22"/>
          <w:szCs w:val="22"/>
        </w:rPr>
        <w:t>ia, and Latin America, as well as initiatives in Australia</w:t>
      </w:r>
      <w:r w:rsidR="00D92749" w:rsidRPr="00BD4DB3">
        <w:rPr>
          <w:rFonts w:eastAsia="Times New Roman"/>
          <w:sz w:val="22"/>
          <w:szCs w:val="22"/>
        </w:rPr>
        <w:t xml:space="preserve">. </w:t>
      </w:r>
      <w:r w:rsidR="006C6F93" w:rsidRPr="00BD4DB3">
        <w:rPr>
          <w:rFonts w:eastAsia="Times New Roman"/>
          <w:sz w:val="22"/>
          <w:szCs w:val="22"/>
        </w:rPr>
        <w:t>(Note</w:t>
      </w:r>
      <w:r w:rsidR="00DD5CA9" w:rsidRPr="00BD4DB3">
        <w:rPr>
          <w:rFonts w:eastAsia="Times New Roman"/>
          <w:sz w:val="22"/>
          <w:szCs w:val="22"/>
        </w:rPr>
        <w:t>: T</w:t>
      </w:r>
      <w:r w:rsidR="006C6F93" w:rsidRPr="00BD4DB3">
        <w:rPr>
          <w:rFonts w:eastAsia="Times New Roman"/>
          <w:sz w:val="22"/>
          <w:szCs w:val="22"/>
        </w:rPr>
        <w:t>he</w:t>
      </w:r>
      <w:r w:rsidR="00481625">
        <w:rPr>
          <w:rFonts w:eastAsia="Times New Roman"/>
          <w:sz w:val="22"/>
          <w:szCs w:val="22"/>
        </w:rPr>
        <w:t>r</w:t>
      </w:r>
      <w:r w:rsidR="006C6F93" w:rsidRPr="00BD4DB3">
        <w:rPr>
          <w:rFonts w:eastAsia="Times New Roman"/>
          <w:sz w:val="22"/>
          <w:szCs w:val="22"/>
        </w:rPr>
        <w:t xml:space="preserve">e are </w:t>
      </w:r>
      <w:r w:rsidR="008265F9" w:rsidRPr="00BD4DB3">
        <w:rPr>
          <w:rFonts w:eastAsia="Times New Roman"/>
          <w:sz w:val="22"/>
          <w:szCs w:val="22"/>
        </w:rPr>
        <w:t xml:space="preserve">other </w:t>
      </w:r>
      <w:r w:rsidR="006C6F93" w:rsidRPr="00BD4DB3">
        <w:rPr>
          <w:rFonts w:eastAsia="Times New Roman"/>
          <w:sz w:val="22"/>
          <w:szCs w:val="22"/>
        </w:rPr>
        <w:t xml:space="preserve">Tuning collaborations.) </w:t>
      </w:r>
    </w:p>
    <w:p w14:paraId="5F7AE2AC" w14:textId="1E4715A7" w:rsidR="008F1EBC" w:rsidRPr="00BD4DB3" w:rsidRDefault="006A2272" w:rsidP="00762E6B">
      <w:pPr>
        <w:spacing w:line="480" w:lineRule="auto"/>
        <w:ind w:firstLine="720"/>
        <w:rPr>
          <w:rFonts w:eastAsia="Times New Roman"/>
          <w:sz w:val="22"/>
          <w:szCs w:val="22"/>
        </w:rPr>
      </w:pPr>
      <w:r w:rsidRPr="00BD4DB3">
        <w:rPr>
          <w:rFonts w:eastAsia="Times New Roman"/>
          <w:b/>
          <w:sz w:val="22"/>
          <w:szCs w:val="22"/>
        </w:rPr>
        <w:t>Africa</w:t>
      </w:r>
      <w:r w:rsidR="00762E6B" w:rsidRPr="00BD4DB3">
        <w:rPr>
          <w:rFonts w:eastAsia="Times New Roman"/>
          <w:b/>
          <w:sz w:val="22"/>
          <w:szCs w:val="22"/>
        </w:rPr>
        <w:t>.</w:t>
      </w:r>
      <w:r w:rsidR="00762E6B" w:rsidRPr="00BD4DB3">
        <w:rPr>
          <w:rFonts w:eastAsia="Times New Roman"/>
          <w:sz w:val="22"/>
          <w:szCs w:val="22"/>
        </w:rPr>
        <w:t xml:space="preserve"> </w:t>
      </w:r>
      <w:r w:rsidR="00796108">
        <w:rPr>
          <w:rFonts w:eastAsia="Times New Roman"/>
          <w:sz w:val="22"/>
          <w:szCs w:val="22"/>
        </w:rPr>
        <w:t xml:space="preserve">Between 2011 and 2013, </w:t>
      </w:r>
      <w:r w:rsidR="00446E66" w:rsidRPr="00BD4DB3">
        <w:rPr>
          <w:rFonts w:eastAsia="Times New Roman"/>
          <w:sz w:val="22"/>
          <w:szCs w:val="22"/>
        </w:rPr>
        <w:t>Tuning Africa (</w:t>
      </w:r>
      <w:hyperlink r:id="rId14" w:history="1">
        <w:r w:rsidR="00446E66" w:rsidRPr="00BD4DB3">
          <w:rPr>
            <w:rStyle w:val="Hyperlink"/>
            <w:rFonts w:eastAsia="Times New Roman"/>
            <w:sz w:val="22"/>
            <w:szCs w:val="22"/>
          </w:rPr>
          <w:t>https://tuningafrica.org/en/what-is-tuning-africa</w:t>
        </w:r>
      </w:hyperlink>
      <w:r w:rsidR="00446E66" w:rsidRPr="00BD4DB3">
        <w:rPr>
          <w:rFonts w:eastAsia="Times New Roman"/>
          <w:sz w:val="22"/>
          <w:szCs w:val="22"/>
        </w:rPr>
        <w:t>)</w:t>
      </w:r>
      <w:r w:rsidR="00796108">
        <w:rPr>
          <w:rFonts w:eastAsia="Times New Roman"/>
          <w:sz w:val="22"/>
          <w:szCs w:val="22"/>
        </w:rPr>
        <w:t xml:space="preserve"> developed</w:t>
      </w:r>
      <w:r w:rsidR="00446E66" w:rsidRPr="00BD4DB3">
        <w:rPr>
          <w:rFonts w:eastAsia="Times New Roman"/>
          <w:sz w:val="22"/>
          <w:szCs w:val="22"/>
        </w:rPr>
        <w:t xml:space="preserve"> harmonized curricula </w:t>
      </w:r>
      <w:r w:rsidR="00796108">
        <w:rPr>
          <w:rFonts w:eastAsia="Times New Roman"/>
          <w:sz w:val="22"/>
          <w:szCs w:val="22"/>
        </w:rPr>
        <w:t xml:space="preserve">across 60 universities </w:t>
      </w:r>
      <w:r w:rsidR="00446E66" w:rsidRPr="00BD4DB3">
        <w:rPr>
          <w:rFonts w:eastAsia="Times New Roman"/>
          <w:sz w:val="22"/>
          <w:szCs w:val="22"/>
        </w:rPr>
        <w:t>for general and discipline-specific education that aligned with relevant stakeholders</w:t>
      </w:r>
      <w:r w:rsidR="00D36A10" w:rsidRPr="00BD4DB3">
        <w:rPr>
          <w:rFonts w:eastAsia="Times New Roman"/>
          <w:sz w:val="22"/>
          <w:szCs w:val="22"/>
        </w:rPr>
        <w:t xml:space="preserve"> (e.g.,</w:t>
      </w:r>
      <w:r w:rsidR="00446E66" w:rsidRPr="00BD4DB3">
        <w:rPr>
          <w:rFonts w:eastAsia="Times New Roman"/>
          <w:sz w:val="22"/>
          <w:szCs w:val="22"/>
        </w:rPr>
        <w:t xml:space="preserve"> employers</w:t>
      </w:r>
      <w:r w:rsidR="00D36A10" w:rsidRPr="00BD4DB3">
        <w:rPr>
          <w:rFonts w:eastAsia="Times New Roman"/>
          <w:sz w:val="22"/>
          <w:szCs w:val="22"/>
        </w:rPr>
        <w:t>)</w:t>
      </w:r>
      <w:r w:rsidR="00446E66" w:rsidRPr="00BD4DB3">
        <w:rPr>
          <w:rFonts w:eastAsia="Times New Roman"/>
          <w:sz w:val="22"/>
          <w:szCs w:val="22"/>
        </w:rPr>
        <w:t xml:space="preserve">. </w:t>
      </w:r>
      <w:r w:rsidR="00796108">
        <w:rPr>
          <w:rFonts w:eastAsia="Times New Roman"/>
          <w:sz w:val="22"/>
          <w:szCs w:val="22"/>
        </w:rPr>
        <w:t>A second phase</w:t>
      </w:r>
      <w:r w:rsidR="00446E66" w:rsidRPr="00BD4DB3">
        <w:rPr>
          <w:rFonts w:eastAsia="Times New Roman"/>
          <w:sz w:val="22"/>
          <w:szCs w:val="22"/>
        </w:rPr>
        <w:t xml:space="preserve">, lasting through 2018, almost doubled university and country participation. </w:t>
      </w:r>
      <w:r w:rsidR="00D65BF5" w:rsidRPr="00BD4DB3">
        <w:rPr>
          <w:rFonts w:eastAsia="Times New Roman"/>
          <w:sz w:val="22"/>
          <w:szCs w:val="22"/>
        </w:rPr>
        <w:t xml:space="preserve">Tuning Africa </w:t>
      </w:r>
      <w:r w:rsidR="00A2407A" w:rsidRPr="00BD4DB3">
        <w:rPr>
          <w:rFonts w:eastAsia="Times New Roman"/>
          <w:sz w:val="22"/>
          <w:szCs w:val="22"/>
        </w:rPr>
        <w:t>has partnered</w:t>
      </w:r>
      <w:r w:rsidR="00D65BF5" w:rsidRPr="00BD4DB3">
        <w:rPr>
          <w:rFonts w:eastAsia="Times New Roman"/>
          <w:sz w:val="22"/>
          <w:szCs w:val="22"/>
        </w:rPr>
        <w:t xml:space="preserve"> with the EU </w:t>
      </w:r>
      <w:r w:rsidR="00A2407A" w:rsidRPr="00BD4DB3">
        <w:rPr>
          <w:rFonts w:eastAsia="Times New Roman"/>
          <w:sz w:val="22"/>
          <w:szCs w:val="22"/>
        </w:rPr>
        <w:t>and</w:t>
      </w:r>
      <w:r w:rsidR="00D65BF5" w:rsidRPr="00BD4DB3">
        <w:rPr>
          <w:rFonts w:eastAsia="Times New Roman"/>
          <w:sz w:val="22"/>
          <w:szCs w:val="22"/>
        </w:rPr>
        <w:t xml:space="preserve"> includes mobility among its goals (</w:t>
      </w:r>
      <w:hyperlink r:id="rId15" w:history="1">
        <w:r w:rsidR="00D65BF5" w:rsidRPr="00BD4DB3">
          <w:rPr>
            <w:rStyle w:val="Hyperlink"/>
            <w:sz w:val="22"/>
            <w:szCs w:val="22"/>
          </w:rPr>
          <w:t>https://tuningafrica.org/en/the-africa-eu-partnership</w:t>
        </w:r>
      </w:hyperlink>
      <w:r w:rsidR="00D65BF5" w:rsidRPr="00BD4DB3">
        <w:rPr>
          <w:rFonts w:eastAsia="Times New Roman"/>
          <w:sz w:val="22"/>
          <w:szCs w:val="22"/>
        </w:rPr>
        <w:t>).</w:t>
      </w:r>
      <w:r w:rsidR="008C21C2" w:rsidRPr="00BD4DB3">
        <w:rPr>
          <w:rFonts w:eastAsia="Times New Roman"/>
          <w:sz w:val="22"/>
          <w:szCs w:val="22"/>
        </w:rPr>
        <w:t xml:space="preserve"> </w:t>
      </w:r>
      <w:r w:rsidRPr="00BD4DB3">
        <w:rPr>
          <w:rFonts w:eastAsia="Times New Roman"/>
          <w:sz w:val="22"/>
          <w:szCs w:val="22"/>
        </w:rPr>
        <w:t>One country that has incorporate</w:t>
      </w:r>
      <w:r w:rsidR="00E46E7F" w:rsidRPr="00BD4DB3">
        <w:rPr>
          <w:rFonts w:eastAsia="Times New Roman"/>
          <w:sz w:val="22"/>
          <w:szCs w:val="22"/>
        </w:rPr>
        <w:t>d</w:t>
      </w:r>
      <w:r w:rsidRPr="00BD4DB3">
        <w:rPr>
          <w:rFonts w:eastAsia="Times New Roman"/>
          <w:sz w:val="22"/>
          <w:szCs w:val="22"/>
        </w:rPr>
        <w:t xml:space="preserve"> Bologna-like principles</w:t>
      </w:r>
      <w:r w:rsidR="00446E66" w:rsidRPr="00BD4DB3">
        <w:rPr>
          <w:rFonts w:eastAsia="Times New Roman"/>
          <w:sz w:val="22"/>
          <w:szCs w:val="22"/>
        </w:rPr>
        <w:t xml:space="preserve">, including </w:t>
      </w:r>
      <w:r w:rsidR="00D36A10" w:rsidRPr="00BD4DB3">
        <w:rPr>
          <w:rFonts w:eastAsia="Times New Roman"/>
          <w:sz w:val="22"/>
          <w:szCs w:val="22"/>
        </w:rPr>
        <w:t xml:space="preserve">in </w:t>
      </w:r>
      <w:r w:rsidR="00446E66" w:rsidRPr="00BD4DB3">
        <w:rPr>
          <w:rFonts w:eastAsia="Times New Roman"/>
          <w:sz w:val="22"/>
          <w:szCs w:val="22"/>
        </w:rPr>
        <w:t>psychology,</w:t>
      </w:r>
      <w:r w:rsidRPr="00BD4DB3">
        <w:rPr>
          <w:rFonts w:eastAsia="Times New Roman"/>
          <w:sz w:val="22"/>
          <w:szCs w:val="22"/>
        </w:rPr>
        <w:t xml:space="preserve"> is </w:t>
      </w:r>
      <w:r w:rsidR="00762E6B" w:rsidRPr="00BD4DB3">
        <w:rPr>
          <w:rFonts w:eastAsia="Times New Roman"/>
          <w:sz w:val="22"/>
          <w:szCs w:val="22"/>
        </w:rPr>
        <w:t>Cameroon (Eta</w:t>
      </w:r>
      <w:r w:rsidR="00186D7E" w:rsidRPr="00BD4DB3">
        <w:rPr>
          <w:rFonts w:eastAsia="Times New Roman"/>
          <w:sz w:val="22"/>
          <w:szCs w:val="22"/>
        </w:rPr>
        <w:t xml:space="preserve"> et al.</w:t>
      </w:r>
      <w:r w:rsidR="00762E6B" w:rsidRPr="00BD4DB3">
        <w:rPr>
          <w:rFonts w:eastAsia="Times New Roman"/>
          <w:sz w:val="22"/>
          <w:szCs w:val="22"/>
        </w:rPr>
        <w:t xml:space="preserve">, 2019). </w:t>
      </w:r>
      <w:r w:rsidR="001F307B" w:rsidRPr="00BD4DB3">
        <w:rPr>
          <w:rFonts w:eastAsia="Times New Roman"/>
          <w:sz w:val="22"/>
          <w:szCs w:val="22"/>
        </w:rPr>
        <w:t xml:space="preserve">There have been limitations, including a </w:t>
      </w:r>
      <w:r w:rsidR="00A2407A" w:rsidRPr="00BD4DB3">
        <w:rPr>
          <w:rFonts w:eastAsia="Times New Roman"/>
          <w:sz w:val="22"/>
          <w:szCs w:val="22"/>
        </w:rPr>
        <w:t>lack of strict adherence to the</w:t>
      </w:r>
      <w:r w:rsidR="00762E6B" w:rsidRPr="00BD4DB3">
        <w:rPr>
          <w:rFonts w:eastAsia="Times New Roman"/>
          <w:sz w:val="22"/>
          <w:szCs w:val="22"/>
        </w:rPr>
        <w:t xml:space="preserve"> Bologna </w:t>
      </w:r>
      <w:r w:rsidR="00F95582" w:rsidRPr="00BD4DB3">
        <w:rPr>
          <w:rFonts w:eastAsia="Times New Roman"/>
          <w:sz w:val="22"/>
          <w:szCs w:val="22"/>
        </w:rPr>
        <w:t>m</w:t>
      </w:r>
      <w:r w:rsidR="00762E6B" w:rsidRPr="00BD4DB3">
        <w:rPr>
          <w:rFonts w:eastAsia="Times New Roman"/>
          <w:sz w:val="22"/>
          <w:szCs w:val="22"/>
        </w:rPr>
        <w:t>odel</w:t>
      </w:r>
      <w:r w:rsidR="001F307B" w:rsidRPr="00BD4DB3">
        <w:rPr>
          <w:rFonts w:eastAsia="Times New Roman"/>
          <w:sz w:val="22"/>
          <w:szCs w:val="22"/>
        </w:rPr>
        <w:t xml:space="preserve">; </w:t>
      </w:r>
      <w:r w:rsidR="00762E6B" w:rsidRPr="00BD4DB3">
        <w:rPr>
          <w:rFonts w:eastAsia="Times New Roman"/>
          <w:sz w:val="22"/>
          <w:szCs w:val="22"/>
        </w:rPr>
        <w:t xml:space="preserve">a lack of </w:t>
      </w:r>
      <w:r w:rsidR="00D36A10" w:rsidRPr="00BD4DB3">
        <w:rPr>
          <w:rFonts w:eastAsia="Times New Roman"/>
          <w:sz w:val="22"/>
          <w:szCs w:val="22"/>
        </w:rPr>
        <w:t xml:space="preserve">public </w:t>
      </w:r>
      <w:r w:rsidR="00762E6B" w:rsidRPr="00BD4DB3">
        <w:rPr>
          <w:rFonts w:eastAsia="Times New Roman"/>
          <w:sz w:val="22"/>
          <w:szCs w:val="22"/>
        </w:rPr>
        <w:t>appreciation</w:t>
      </w:r>
      <w:r w:rsidR="00F95582" w:rsidRPr="00BD4DB3">
        <w:rPr>
          <w:rFonts w:eastAsia="Times New Roman"/>
          <w:sz w:val="22"/>
          <w:szCs w:val="22"/>
        </w:rPr>
        <w:t xml:space="preserve"> of the value of psychology</w:t>
      </w:r>
      <w:r w:rsidR="00762E6B" w:rsidRPr="00BD4DB3">
        <w:rPr>
          <w:rFonts w:eastAsia="Times New Roman"/>
          <w:sz w:val="22"/>
          <w:szCs w:val="22"/>
        </w:rPr>
        <w:t xml:space="preserve">, likely </w:t>
      </w:r>
      <w:r w:rsidR="001F307B" w:rsidRPr="00BD4DB3">
        <w:rPr>
          <w:rFonts w:eastAsia="Times New Roman"/>
          <w:sz w:val="22"/>
          <w:szCs w:val="22"/>
        </w:rPr>
        <w:t>contributing</w:t>
      </w:r>
      <w:r w:rsidR="00762E6B" w:rsidRPr="00BD4DB3">
        <w:rPr>
          <w:rFonts w:eastAsia="Times New Roman"/>
          <w:sz w:val="22"/>
          <w:szCs w:val="22"/>
        </w:rPr>
        <w:t xml:space="preserve"> to a lack of resources</w:t>
      </w:r>
      <w:r w:rsidR="001F307B" w:rsidRPr="00BD4DB3">
        <w:rPr>
          <w:rFonts w:eastAsia="Times New Roman"/>
          <w:sz w:val="22"/>
          <w:szCs w:val="22"/>
        </w:rPr>
        <w:t>; a</w:t>
      </w:r>
      <w:r w:rsidR="00A2407A" w:rsidRPr="00BD4DB3">
        <w:rPr>
          <w:rFonts w:eastAsia="Times New Roman"/>
          <w:sz w:val="22"/>
          <w:szCs w:val="22"/>
        </w:rPr>
        <w:t xml:space="preserve">nd </w:t>
      </w:r>
      <w:r w:rsidR="00762E6B" w:rsidRPr="00BD4DB3">
        <w:rPr>
          <w:rFonts w:eastAsia="Times New Roman"/>
          <w:sz w:val="22"/>
          <w:szCs w:val="22"/>
        </w:rPr>
        <w:t>little mention of learning outcomes</w:t>
      </w:r>
      <w:r w:rsidR="001F307B" w:rsidRPr="00BD4DB3">
        <w:rPr>
          <w:rFonts w:eastAsia="Times New Roman"/>
          <w:sz w:val="22"/>
          <w:szCs w:val="22"/>
        </w:rPr>
        <w:t xml:space="preserve"> or </w:t>
      </w:r>
      <w:r w:rsidR="00762E6B" w:rsidRPr="00BD4DB3">
        <w:rPr>
          <w:rFonts w:eastAsia="Times New Roman"/>
          <w:sz w:val="22"/>
          <w:szCs w:val="22"/>
        </w:rPr>
        <w:t xml:space="preserve">assessment </w:t>
      </w:r>
      <w:r w:rsidR="001F307B" w:rsidRPr="00BD4DB3">
        <w:rPr>
          <w:rFonts w:eastAsia="Times New Roman"/>
          <w:sz w:val="22"/>
          <w:szCs w:val="22"/>
        </w:rPr>
        <w:t xml:space="preserve">(Tchombe, </w:t>
      </w:r>
      <w:r w:rsidR="00DC6DC8">
        <w:rPr>
          <w:rFonts w:eastAsia="Times New Roman"/>
          <w:sz w:val="22"/>
          <w:szCs w:val="22"/>
        </w:rPr>
        <w:t>2020</w:t>
      </w:r>
      <w:r w:rsidR="001F307B" w:rsidRPr="00BD4DB3">
        <w:rPr>
          <w:rFonts w:eastAsia="Times New Roman"/>
          <w:sz w:val="22"/>
          <w:szCs w:val="22"/>
        </w:rPr>
        <w:t>)</w:t>
      </w:r>
      <w:r w:rsidR="00762E6B" w:rsidRPr="00BD4DB3">
        <w:rPr>
          <w:rFonts w:eastAsia="Times New Roman"/>
          <w:sz w:val="22"/>
          <w:szCs w:val="22"/>
        </w:rPr>
        <w:t xml:space="preserve">. </w:t>
      </w:r>
      <w:r w:rsidR="008F1EBC" w:rsidRPr="00BD4DB3">
        <w:rPr>
          <w:rFonts w:eastAsia="Times New Roman"/>
          <w:sz w:val="22"/>
          <w:szCs w:val="22"/>
        </w:rPr>
        <w:t xml:space="preserve">Despite </w:t>
      </w:r>
      <w:r w:rsidR="00186D7E" w:rsidRPr="00BD4DB3">
        <w:rPr>
          <w:rFonts w:eastAsia="Times New Roman"/>
          <w:sz w:val="22"/>
          <w:szCs w:val="22"/>
        </w:rPr>
        <w:t>drawbacks</w:t>
      </w:r>
      <w:r w:rsidR="008F1EBC" w:rsidRPr="00BD4DB3">
        <w:rPr>
          <w:rFonts w:eastAsia="Times New Roman"/>
          <w:sz w:val="22"/>
          <w:szCs w:val="22"/>
        </w:rPr>
        <w:t>, one apparent outcome of reforms in Cameroon</w:t>
      </w:r>
      <w:r w:rsidR="00D96366" w:rsidRPr="00BD4DB3">
        <w:rPr>
          <w:rFonts w:eastAsia="Times New Roman"/>
          <w:sz w:val="22"/>
          <w:szCs w:val="22"/>
        </w:rPr>
        <w:t xml:space="preserve"> and</w:t>
      </w:r>
      <w:r w:rsidR="008F1EBC" w:rsidRPr="00BD4DB3">
        <w:rPr>
          <w:rFonts w:eastAsia="Times New Roman"/>
          <w:sz w:val="22"/>
          <w:szCs w:val="22"/>
        </w:rPr>
        <w:t xml:space="preserve"> other francophone African </w:t>
      </w:r>
      <w:r w:rsidR="00D96366" w:rsidRPr="00BD4DB3">
        <w:rPr>
          <w:rFonts w:eastAsia="Times New Roman"/>
          <w:sz w:val="22"/>
          <w:szCs w:val="22"/>
        </w:rPr>
        <w:t>countries</w:t>
      </w:r>
      <w:r w:rsidR="008F1EBC" w:rsidRPr="00BD4DB3">
        <w:rPr>
          <w:rFonts w:eastAsia="Times New Roman"/>
          <w:sz w:val="22"/>
          <w:szCs w:val="22"/>
        </w:rPr>
        <w:t xml:space="preserve"> is increased mobility</w:t>
      </w:r>
      <w:r w:rsidR="00186D7E" w:rsidRPr="00BD4DB3">
        <w:rPr>
          <w:rFonts w:eastAsia="Times New Roman"/>
          <w:sz w:val="22"/>
          <w:szCs w:val="22"/>
        </w:rPr>
        <w:t>, with increasing numbers of students studying abroad</w:t>
      </w:r>
      <w:r w:rsidR="001F307B" w:rsidRPr="00BD4DB3">
        <w:rPr>
          <w:rFonts w:eastAsia="Times New Roman"/>
          <w:sz w:val="22"/>
          <w:szCs w:val="22"/>
        </w:rPr>
        <w:t xml:space="preserve"> </w:t>
      </w:r>
      <w:r w:rsidR="00EA077B" w:rsidRPr="00BD4DB3">
        <w:rPr>
          <w:rFonts w:eastAsia="Times New Roman"/>
          <w:sz w:val="22"/>
          <w:szCs w:val="22"/>
        </w:rPr>
        <w:t xml:space="preserve">(University World News, 2008). </w:t>
      </w:r>
      <w:r w:rsidR="00D36A10" w:rsidRPr="00BD4DB3">
        <w:rPr>
          <w:rFonts w:eastAsia="Times New Roman"/>
          <w:sz w:val="22"/>
          <w:szCs w:val="22"/>
        </w:rPr>
        <w:t>For example, almost</w:t>
      </w:r>
      <w:r w:rsidR="00EA077B" w:rsidRPr="00BD4DB3">
        <w:rPr>
          <w:rFonts w:eastAsia="Times New Roman"/>
          <w:sz w:val="22"/>
          <w:szCs w:val="22"/>
        </w:rPr>
        <w:t xml:space="preserve"> half of international students studying in France are from Africa</w:t>
      </w:r>
      <w:r w:rsidR="00D36A10" w:rsidRPr="00BD4DB3">
        <w:rPr>
          <w:rFonts w:eastAsia="Times New Roman"/>
          <w:sz w:val="22"/>
          <w:szCs w:val="22"/>
        </w:rPr>
        <w:t>;</w:t>
      </w:r>
      <w:r w:rsidR="007578BD" w:rsidRPr="00BD4DB3">
        <w:rPr>
          <w:rFonts w:eastAsia="Times New Roman"/>
          <w:sz w:val="22"/>
          <w:szCs w:val="22"/>
        </w:rPr>
        <w:t xml:space="preserve"> </w:t>
      </w:r>
      <w:r w:rsidR="00EA077B" w:rsidRPr="00BD4DB3">
        <w:rPr>
          <w:rFonts w:eastAsia="Times New Roman"/>
          <w:sz w:val="22"/>
          <w:szCs w:val="22"/>
        </w:rPr>
        <w:t xml:space="preserve">a French report praised cooperation among universities in Africa and between African universities and their counterparts </w:t>
      </w:r>
      <w:r w:rsidR="00F95582" w:rsidRPr="00BD4DB3">
        <w:rPr>
          <w:rFonts w:eastAsia="Times New Roman"/>
          <w:sz w:val="22"/>
          <w:szCs w:val="22"/>
        </w:rPr>
        <w:t>on other continents</w:t>
      </w:r>
      <w:r w:rsidR="00EA077B" w:rsidRPr="00BD4DB3">
        <w:rPr>
          <w:rFonts w:eastAsia="Times New Roman"/>
          <w:sz w:val="22"/>
          <w:szCs w:val="22"/>
        </w:rPr>
        <w:t xml:space="preserve"> (University World News, 2013). </w:t>
      </w:r>
    </w:p>
    <w:p w14:paraId="765AE41E" w14:textId="603788E8" w:rsidR="00DA50AF" w:rsidRPr="00BD4DB3" w:rsidRDefault="006A2272" w:rsidP="00762E6B">
      <w:pPr>
        <w:spacing w:line="480" w:lineRule="auto"/>
        <w:ind w:firstLine="720"/>
        <w:rPr>
          <w:rFonts w:eastAsia="Times New Roman"/>
          <w:sz w:val="22"/>
          <w:szCs w:val="22"/>
        </w:rPr>
      </w:pPr>
      <w:r w:rsidRPr="00BD4DB3">
        <w:rPr>
          <w:rFonts w:eastAsia="Times New Roman"/>
          <w:b/>
          <w:sz w:val="22"/>
          <w:szCs w:val="22"/>
        </w:rPr>
        <w:t>Asia</w:t>
      </w:r>
      <w:r w:rsidR="00762E6B" w:rsidRPr="00BD4DB3">
        <w:rPr>
          <w:rFonts w:eastAsia="Times New Roman"/>
          <w:b/>
          <w:sz w:val="22"/>
          <w:szCs w:val="22"/>
        </w:rPr>
        <w:t>.</w:t>
      </w:r>
      <w:r w:rsidR="00762E6B" w:rsidRPr="00BD4DB3">
        <w:rPr>
          <w:rFonts w:eastAsia="Times New Roman"/>
          <w:color w:val="2E74B5" w:themeColor="accent1" w:themeShade="BF"/>
          <w:sz w:val="22"/>
          <w:szCs w:val="22"/>
        </w:rPr>
        <w:t xml:space="preserve"> </w:t>
      </w:r>
      <w:r w:rsidR="00755CDD" w:rsidRPr="00BD4DB3">
        <w:rPr>
          <w:rFonts w:eastAsia="Times New Roman"/>
          <w:sz w:val="22"/>
          <w:szCs w:val="22"/>
        </w:rPr>
        <w:t>The primary Bologna-like process in Asia was developed by the Association of Southeast Asian Nations (ASEAN), and eventually grew into ASEAN+3, which added China, Japan</w:t>
      </w:r>
      <w:r w:rsidR="005D26AD" w:rsidRPr="00BD4DB3">
        <w:rPr>
          <w:rFonts w:eastAsia="Times New Roman"/>
          <w:sz w:val="22"/>
          <w:szCs w:val="22"/>
        </w:rPr>
        <w:t>,</w:t>
      </w:r>
      <w:r w:rsidR="00755CDD" w:rsidRPr="00BD4DB3">
        <w:rPr>
          <w:rFonts w:eastAsia="Times New Roman"/>
          <w:sz w:val="22"/>
          <w:szCs w:val="22"/>
        </w:rPr>
        <w:t xml:space="preserve"> and South Korea (Dang, 2015). Both versions have </w:t>
      </w:r>
      <w:r w:rsidR="00DA50AF" w:rsidRPr="00BD4DB3">
        <w:rPr>
          <w:rFonts w:eastAsia="Times New Roman"/>
          <w:sz w:val="22"/>
          <w:szCs w:val="22"/>
        </w:rPr>
        <w:t xml:space="preserve">been working toward harmonization among countries in </w:t>
      </w:r>
      <w:r w:rsidR="00755CDD" w:rsidRPr="00BD4DB3">
        <w:rPr>
          <w:rFonts w:eastAsia="Times New Roman"/>
          <w:sz w:val="22"/>
          <w:szCs w:val="22"/>
        </w:rPr>
        <w:t>Asia</w:t>
      </w:r>
      <w:r w:rsidR="00DA50AF" w:rsidRPr="00BD4DB3">
        <w:rPr>
          <w:rFonts w:eastAsia="Times New Roman"/>
          <w:sz w:val="22"/>
          <w:szCs w:val="22"/>
        </w:rPr>
        <w:t xml:space="preserve"> and </w:t>
      </w:r>
      <w:r w:rsidR="00E46E7F" w:rsidRPr="00BD4DB3">
        <w:rPr>
          <w:rFonts w:eastAsia="Times New Roman"/>
          <w:sz w:val="22"/>
          <w:szCs w:val="22"/>
        </w:rPr>
        <w:t xml:space="preserve">with </w:t>
      </w:r>
      <w:r w:rsidR="00755CDD" w:rsidRPr="00BD4DB3">
        <w:rPr>
          <w:rFonts w:eastAsia="Times New Roman"/>
          <w:sz w:val="22"/>
          <w:szCs w:val="22"/>
        </w:rPr>
        <w:t>those in the</w:t>
      </w:r>
      <w:r w:rsidR="00DA50AF" w:rsidRPr="00BD4DB3">
        <w:rPr>
          <w:rFonts w:eastAsia="Times New Roman"/>
          <w:sz w:val="22"/>
          <w:szCs w:val="22"/>
        </w:rPr>
        <w:t xml:space="preserve"> </w:t>
      </w:r>
      <w:r w:rsidR="00755CDD" w:rsidRPr="00BD4DB3">
        <w:rPr>
          <w:rFonts w:eastAsia="Times New Roman"/>
          <w:sz w:val="22"/>
          <w:szCs w:val="22"/>
        </w:rPr>
        <w:t>EU</w:t>
      </w:r>
      <w:r w:rsidR="00DA50AF" w:rsidRPr="00BD4DB3">
        <w:rPr>
          <w:rFonts w:eastAsia="Times New Roman"/>
          <w:sz w:val="22"/>
          <w:szCs w:val="22"/>
        </w:rPr>
        <w:t xml:space="preserve"> (Dang, 2015). </w:t>
      </w:r>
      <w:r w:rsidR="003A76D0" w:rsidRPr="00BD4DB3">
        <w:rPr>
          <w:rFonts w:eastAsia="Times New Roman"/>
          <w:sz w:val="22"/>
          <w:szCs w:val="22"/>
        </w:rPr>
        <w:t>As noted previously, ASEAN is developing their system based on local drivers</w:t>
      </w:r>
      <w:r w:rsidR="00D36A10" w:rsidRPr="00BD4DB3">
        <w:rPr>
          <w:rFonts w:eastAsia="Times New Roman"/>
          <w:sz w:val="22"/>
          <w:szCs w:val="22"/>
        </w:rPr>
        <w:t>, so</w:t>
      </w:r>
      <w:r w:rsidR="00186D7E" w:rsidRPr="00BD4DB3">
        <w:rPr>
          <w:rFonts w:eastAsia="Times New Roman"/>
          <w:sz w:val="22"/>
          <w:szCs w:val="22"/>
        </w:rPr>
        <w:t xml:space="preserve"> there is less</w:t>
      </w:r>
      <w:r w:rsidR="00E46E7F" w:rsidRPr="00BD4DB3">
        <w:rPr>
          <w:rFonts w:eastAsia="Times New Roman"/>
          <w:sz w:val="22"/>
          <w:szCs w:val="22"/>
        </w:rPr>
        <w:t xml:space="preserve"> </w:t>
      </w:r>
      <w:r w:rsidR="003A76D0" w:rsidRPr="00BD4DB3">
        <w:rPr>
          <w:rFonts w:eastAsia="Times New Roman"/>
          <w:sz w:val="22"/>
          <w:szCs w:val="22"/>
        </w:rPr>
        <w:t>integration than in the EHEA (Syahruddin</w:t>
      </w:r>
      <w:r w:rsidR="00186D7E" w:rsidRPr="00BD4DB3">
        <w:rPr>
          <w:rFonts w:eastAsia="Times New Roman"/>
          <w:sz w:val="22"/>
          <w:szCs w:val="22"/>
        </w:rPr>
        <w:t xml:space="preserve"> et al.</w:t>
      </w:r>
      <w:r w:rsidR="003A76D0" w:rsidRPr="00BD4DB3">
        <w:rPr>
          <w:rFonts w:eastAsia="Times New Roman"/>
          <w:sz w:val="22"/>
          <w:szCs w:val="22"/>
        </w:rPr>
        <w:t>, 2016). Indonesia</w:t>
      </w:r>
      <w:r w:rsidR="00F95582" w:rsidRPr="00BD4DB3">
        <w:rPr>
          <w:rFonts w:eastAsia="Times New Roman"/>
          <w:sz w:val="22"/>
          <w:szCs w:val="22"/>
        </w:rPr>
        <w:t xml:space="preserve">, a founding </w:t>
      </w:r>
      <w:r w:rsidR="00D36A10" w:rsidRPr="00BD4DB3">
        <w:rPr>
          <w:rFonts w:eastAsia="Times New Roman"/>
          <w:sz w:val="22"/>
          <w:szCs w:val="22"/>
        </w:rPr>
        <w:t xml:space="preserve">ASEAN </w:t>
      </w:r>
      <w:r w:rsidR="00F95582" w:rsidRPr="00BD4DB3">
        <w:rPr>
          <w:rFonts w:eastAsia="Times New Roman"/>
          <w:sz w:val="22"/>
          <w:szCs w:val="22"/>
        </w:rPr>
        <w:t>country</w:t>
      </w:r>
      <w:r w:rsidR="00D36A10" w:rsidRPr="00BD4DB3">
        <w:rPr>
          <w:rFonts w:eastAsia="Times New Roman"/>
          <w:sz w:val="22"/>
          <w:szCs w:val="22"/>
        </w:rPr>
        <w:t>,</w:t>
      </w:r>
      <w:r w:rsidR="00F95582" w:rsidRPr="00BD4DB3">
        <w:rPr>
          <w:rFonts w:eastAsia="Times New Roman"/>
          <w:sz w:val="22"/>
          <w:szCs w:val="22"/>
        </w:rPr>
        <w:t xml:space="preserve"> </w:t>
      </w:r>
      <w:r w:rsidR="001F307B" w:rsidRPr="00BD4DB3">
        <w:rPr>
          <w:rFonts w:eastAsia="Times New Roman"/>
          <w:sz w:val="22"/>
          <w:szCs w:val="22"/>
        </w:rPr>
        <w:t xml:space="preserve">uses assessments to </w:t>
      </w:r>
      <w:r w:rsidR="00DA50AF" w:rsidRPr="00BD4DB3">
        <w:rPr>
          <w:rFonts w:eastAsia="Times New Roman"/>
          <w:sz w:val="22"/>
          <w:szCs w:val="22"/>
        </w:rPr>
        <w:t>evaluate competencies in graduates</w:t>
      </w:r>
      <w:r w:rsidR="001F307B" w:rsidRPr="00BD4DB3">
        <w:rPr>
          <w:rFonts w:eastAsia="Times New Roman"/>
          <w:sz w:val="22"/>
          <w:szCs w:val="22"/>
        </w:rPr>
        <w:t xml:space="preserve"> (Cranney, Hulme, Suleeman, Job</w:t>
      </w:r>
      <w:r w:rsidR="00693B38" w:rsidRPr="00BD4DB3">
        <w:rPr>
          <w:rFonts w:eastAsia="Times New Roman"/>
          <w:sz w:val="22"/>
          <w:szCs w:val="22"/>
        </w:rPr>
        <w:t>,</w:t>
      </w:r>
      <w:r w:rsidR="001F307B" w:rsidRPr="00BD4DB3">
        <w:rPr>
          <w:rFonts w:eastAsia="Times New Roman"/>
          <w:sz w:val="22"/>
          <w:szCs w:val="22"/>
        </w:rPr>
        <w:t xml:space="preserve"> &amp; Dunn, in press)</w:t>
      </w:r>
      <w:r w:rsidR="00DA50AF" w:rsidRPr="00BD4DB3">
        <w:rPr>
          <w:rFonts w:eastAsia="Times New Roman"/>
          <w:sz w:val="22"/>
          <w:szCs w:val="22"/>
        </w:rPr>
        <w:t xml:space="preserve">. </w:t>
      </w:r>
      <w:r w:rsidR="00F95582" w:rsidRPr="00BD4DB3">
        <w:rPr>
          <w:rFonts w:eastAsia="Times New Roman"/>
          <w:sz w:val="22"/>
          <w:szCs w:val="22"/>
        </w:rPr>
        <w:t>Within</w:t>
      </w:r>
      <w:r w:rsidR="00DA50AF" w:rsidRPr="00BD4DB3">
        <w:rPr>
          <w:rFonts w:eastAsia="Times New Roman"/>
          <w:sz w:val="22"/>
          <w:szCs w:val="22"/>
        </w:rPr>
        <w:t xml:space="preserve"> psychology, the Universitas Indonesia (UI) specifies competencies, including the abilit</w:t>
      </w:r>
      <w:r w:rsidR="00693B38" w:rsidRPr="00BD4DB3">
        <w:rPr>
          <w:rFonts w:eastAsia="Times New Roman"/>
          <w:sz w:val="22"/>
          <w:szCs w:val="22"/>
        </w:rPr>
        <w:t>ies</w:t>
      </w:r>
      <w:r w:rsidR="00DA50AF" w:rsidRPr="00BD4DB3">
        <w:rPr>
          <w:rFonts w:eastAsia="Times New Roman"/>
          <w:sz w:val="22"/>
          <w:szCs w:val="22"/>
        </w:rPr>
        <w:t xml:space="preserve"> to rec</w:t>
      </w:r>
      <w:r w:rsidR="005D26AD" w:rsidRPr="00BD4DB3">
        <w:rPr>
          <w:rFonts w:eastAsia="Times New Roman"/>
          <w:sz w:val="22"/>
          <w:szCs w:val="22"/>
        </w:rPr>
        <w:t>ognize and analyze</w:t>
      </w:r>
      <w:r w:rsidR="00DA50AF" w:rsidRPr="00BD4DB3">
        <w:rPr>
          <w:rFonts w:eastAsia="Times New Roman"/>
          <w:sz w:val="22"/>
          <w:szCs w:val="22"/>
        </w:rPr>
        <w:t xml:space="preserve"> </w:t>
      </w:r>
      <w:r w:rsidR="005D26AD" w:rsidRPr="00BD4DB3">
        <w:rPr>
          <w:rFonts w:eastAsia="Times New Roman"/>
          <w:sz w:val="22"/>
          <w:szCs w:val="22"/>
        </w:rPr>
        <w:t>behavior</w:t>
      </w:r>
      <w:r w:rsidR="00DA50AF" w:rsidRPr="00BD4DB3">
        <w:rPr>
          <w:rFonts w:eastAsia="Times New Roman"/>
          <w:sz w:val="22"/>
          <w:szCs w:val="22"/>
        </w:rPr>
        <w:t xml:space="preserve">al issues based on theory, </w:t>
      </w:r>
      <w:r w:rsidR="00693B38" w:rsidRPr="00BD4DB3">
        <w:rPr>
          <w:rFonts w:eastAsia="Times New Roman"/>
          <w:sz w:val="22"/>
          <w:szCs w:val="22"/>
        </w:rPr>
        <w:t xml:space="preserve">to </w:t>
      </w:r>
      <w:r w:rsidR="00DA50AF" w:rsidRPr="00BD4DB3">
        <w:rPr>
          <w:rFonts w:eastAsia="Times New Roman"/>
          <w:sz w:val="22"/>
          <w:szCs w:val="22"/>
        </w:rPr>
        <w:t xml:space="preserve">perform research, and </w:t>
      </w:r>
      <w:r w:rsidR="00693B38" w:rsidRPr="00BD4DB3">
        <w:rPr>
          <w:rFonts w:eastAsia="Times New Roman"/>
          <w:sz w:val="22"/>
          <w:szCs w:val="22"/>
        </w:rPr>
        <w:t xml:space="preserve">to </w:t>
      </w:r>
      <w:r w:rsidR="00DA50AF" w:rsidRPr="00BD4DB3">
        <w:rPr>
          <w:rFonts w:eastAsia="Times New Roman"/>
          <w:sz w:val="22"/>
          <w:szCs w:val="22"/>
        </w:rPr>
        <w:t xml:space="preserve">design interventions. </w:t>
      </w:r>
      <w:r w:rsidR="008A630F" w:rsidRPr="00BD4DB3">
        <w:rPr>
          <w:rFonts w:eastAsia="Times New Roman"/>
          <w:sz w:val="22"/>
          <w:szCs w:val="22"/>
        </w:rPr>
        <w:t>D</w:t>
      </w:r>
      <w:r w:rsidR="00DA50AF" w:rsidRPr="00BD4DB3">
        <w:rPr>
          <w:rFonts w:eastAsia="Times New Roman"/>
          <w:sz w:val="22"/>
          <w:szCs w:val="22"/>
        </w:rPr>
        <w:t xml:space="preserve">espite </w:t>
      </w:r>
      <w:r w:rsidR="007D0A6E" w:rsidRPr="00BD4DB3">
        <w:rPr>
          <w:rFonts w:eastAsia="Times New Roman"/>
          <w:sz w:val="22"/>
          <w:szCs w:val="22"/>
        </w:rPr>
        <w:t xml:space="preserve">an </w:t>
      </w:r>
      <w:r w:rsidR="00F95582" w:rsidRPr="00BD4DB3">
        <w:rPr>
          <w:rFonts w:eastAsia="Times New Roman"/>
          <w:sz w:val="22"/>
          <w:szCs w:val="22"/>
        </w:rPr>
        <w:t>applied focus</w:t>
      </w:r>
      <w:r w:rsidR="00DA50AF" w:rsidRPr="00BD4DB3">
        <w:rPr>
          <w:rFonts w:eastAsia="Times New Roman"/>
          <w:sz w:val="22"/>
          <w:szCs w:val="22"/>
        </w:rPr>
        <w:t>, assessment tends to be relatively basic</w:t>
      </w:r>
      <w:r w:rsidR="007D0A6E" w:rsidRPr="00BD4DB3">
        <w:rPr>
          <w:rFonts w:eastAsia="Times New Roman"/>
          <w:sz w:val="22"/>
          <w:szCs w:val="22"/>
        </w:rPr>
        <w:t xml:space="preserve"> and</w:t>
      </w:r>
      <w:r w:rsidR="00DA50AF" w:rsidRPr="00BD4DB3">
        <w:rPr>
          <w:rFonts w:eastAsia="Times New Roman"/>
          <w:sz w:val="22"/>
          <w:szCs w:val="22"/>
        </w:rPr>
        <w:t xml:space="preserve"> </w:t>
      </w:r>
      <w:r w:rsidR="008A630F" w:rsidRPr="00BD4DB3">
        <w:rPr>
          <w:rFonts w:eastAsia="Times New Roman"/>
          <w:sz w:val="22"/>
          <w:szCs w:val="22"/>
        </w:rPr>
        <w:t xml:space="preserve">may not fully measure </w:t>
      </w:r>
      <w:r w:rsidR="00DA50AF" w:rsidRPr="00BD4DB3">
        <w:rPr>
          <w:rFonts w:eastAsia="Times New Roman"/>
          <w:sz w:val="22"/>
          <w:szCs w:val="22"/>
        </w:rPr>
        <w:t xml:space="preserve">learning outcomes relating to application of </w:t>
      </w:r>
      <w:r w:rsidR="008A630F" w:rsidRPr="00BD4DB3">
        <w:rPr>
          <w:rFonts w:eastAsia="Times New Roman"/>
          <w:sz w:val="22"/>
          <w:szCs w:val="22"/>
        </w:rPr>
        <w:t xml:space="preserve">knowledge and </w:t>
      </w:r>
      <w:r w:rsidR="00DA50AF" w:rsidRPr="00BD4DB3">
        <w:rPr>
          <w:rFonts w:eastAsia="Times New Roman"/>
          <w:sz w:val="22"/>
          <w:szCs w:val="22"/>
        </w:rPr>
        <w:t>skills.</w:t>
      </w:r>
    </w:p>
    <w:p w14:paraId="313E0A18" w14:textId="37A5AB8A" w:rsidR="00091BCB" w:rsidRPr="00BD4DB3" w:rsidRDefault="00091BCB" w:rsidP="00A52A40">
      <w:pPr>
        <w:spacing w:line="480" w:lineRule="auto"/>
        <w:ind w:firstLine="720"/>
        <w:rPr>
          <w:rFonts w:eastAsia="Times New Roman"/>
          <w:sz w:val="22"/>
          <w:szCs w:val="22"/>
        </w:rPr>
      </w:pPr>
      <w:r w:rsidRPr="00BD4DB3">
        <w:rPr>
          <w:rFonts w:eastAsia="Times New Roman"/>
          <w:b/>
          <w:sz w:val="22"/>
          <w:szCs w:val="22"/>
        </w:rPr>
        <w:t>Latin America.</w:t>
      </w:r>
      <w:r w:rsidRPr="00BD4DB3">
        <w:rPr>
          <w:rFonts w:eastAsia="Times New Roman"/>
          <w:sz w:val="22"/>
          <w:szCs w:val="22"/>
        </w:rPr>
        <w:t xml:space="preserve"> Several countries in Latin America embarked on a </w:t>
      </w:r>
      <w:r w:rsidR="00F95582" w:rsidRPr="00BD4DB3">
        <w:rPr>
          <w:rFonts w:eastAsia="Times New Roman"/>
          <w:sz w:val="22"/>
          <w:szCs w:val="22"/>
        </w:rPr>
        <w:t>T</w:t>
      </w:r>
      <w:r w:rsidRPr="00BD4DB3">
        <w:rPr>
          <w:rFonts w:eastAsia="Times New Roman"/>
          <w:sz w:val="22"/>
          <w:szCs w:val="22"/>
        </w:rPr>
        <w:t>uning process</w:t>
      </w:r>
      <w:r w:rsidR="001C37BC" w:rsidRPr="00BD4DB3">
        <w:rPr>
          <w:rFonts w:eastAsia="Times New Roman"/>
          <w:sz w:val="22"/>
          <w:szCs w:val="22"/>
        </w:rPr>
        <w:t xml:space="preserve"> </w:t>
      </w:r>
      <w:r w:rsidR="00E46E7F" w:rsidRPr="00BD4DB3">
        <w:rPr>
          <w:rFonts w:eastAsia="Times New Roman"/>
          <w:sz w:val="22"/>
          <w:szCs w:val="22"/>
        </w:rPr>
        <w:t>between 2004 and 2013</w:t>
      </w:r>
      <w:r w:rsidRPr="00BD4DB3">
        <w:rPr>
          <w:rFonts w:eastAsia="Times New Roman"/>
          <w:sz w:val="22"/>
          <w:szCs w:val="22"/>
        </w:rPr>
        <w:t xml:space="preserve"> (</w:t>
      </w:r>
      <w:r w:rsidR="001C37BC" w:rsidRPr="00BD4DB3">
        <w:rPr>
          <w:rFonts w:eastAsia="Times New Roman"/>
          <w:sz w:val="22"/>
          <w:szCs w:val="22"/>
        </w:rPr>
        <w:t>Beneitone &amp; Yarosh, 2015). Th</w:t>
      </w:r>
      <w:r w:rsidR="009568A6">
        <w:rPr>
          <w:rFonts w:eastAsia="Times New Roman"/>
          <w:sz w:val="22"/>
          <w:szCs w:val="22"/>
        </w:rPr>
        <w:t>is</w:t>
      </w:r>
      <w:r w:rsidR="001C37BC" w:rsidRPr="00BD4DB3">
        <w:rPr>
          <w:rFonts w:eastAsia="Times New Roman"/>
          <w:sz w:val="22"/>
          <w:szCs w:val="22"/>
        </w:rPr>
        <w:t xml:space="preserve"> involved 182 universities and 15 disciplines (including psychology) with </w:t>
      </w:r>
      <w:r w:rsidR="00F37C32" w:rsidRPr="00BD4DB3">
        <w:rPr>
          <w:rFonts w:eastAsia="Times New Roman"/>
          <w:sz w:val="22"/>
          <w:szCs w:val="22"/>
        </w:rPr>
        <w:t xml:space="preserve">the </w:t>
      </w:r>
      <w:r w:rsidR="001C37BC" w:rsidRPr="00BD4DB3">
        <w:rPr>
          <w:rFonts w:eastAsia="Times New Roman"/>
          <w:sz w:val="22"/>
          <w:szCs w:val="22"/>
        </w:rPr>
        <w:t xml:space="preserve">goal of building a Bologna-like </w:t>
      </w:r>
      <w:r w:rsidR="00F95582" w:rsidRPr="00BD4DB3">
        <w:rPr>
          <w:rFonts w:eastAsia="Times New Roman"/>
          <w:sz w:val="22"/>
          <w:szCs w:val="22"/>
        </w:rPr>
        <w:t>higher education area to promote</w:t>
      </w:r>
      <w:r w:rsidR="001C37BC" w:rsidRPr="00BD4DB3">
        <w:rPr>
          <w:rFonts w:eastAsia="Times New Roman"/>
          <w:sz w:val="22"/>
          <w:szCs w:val="22"/>
        </w:rPr>
        <w:t xml:space="preserve"> mobility within that region, as well as with other </w:t>
      </w:r>
      <w:r w:rsidR="00F95582" w:rsidRPr="00BD4DB3">
        <w:rPr>
          <w:rFonts w:eastAsia="Times New Roman"/>
          <w:sz w:val="22"/>
          <w:szCs w:val="22"/>
        </w:rPr>
        <w:t>regions</w:t>
      </w:r>
      <w:r w:rsidR="001C37BC" w:rsidRPr="00BD4DB3">
        <w:rPr>
          <w:rFonts w:eastAsia="Times New Roman"/>
          <w:sz w:val="22"/>
          <w:szCs w:val="22"/>
        </w:rPr>
        <w:t xml:space="preserve">. </w:t>
      </w:r>
      <w:r w:rsidR="00E46E7F" w:rsidRPr="00BD4DB3">
        <w:rPr>
          <w:rFonts w:eastAsia="Times New Roman"/>
          <w:sz w:val="22"/>
          <w:szCs w:val="22"/>
        </w:rPr>
        <w:t>There is</w:t>
      </w:r>
      <w:r w:rsidRPr="00BD4DB3">
        <w:rPr>
          <w:rFonts w:eastAsia="Times New Roman"/>
          <w:sz w:val="22"/>
          <w:szCs w:val="22"/>
        </w:rPr>
        <w:t xml:space="preserve"> evidence of increased competence-driven curricula and assessments, </w:t>
      </w:r>
      <w:r w:rsidR="00B82A91" w:rsidRPr="00BD4DB3">
        <w:rPr>
          <w:rFonts w:eastAsia="Times New Roman"/>
          <w:sz w:val="22"/>
          <w:szCs w:val="22"/>
        </w:rPr>
        <w:t xml:space="preserve">a shift that is receiving </w:t>
      </w:r>
      <w:r w:rsidRPr="00BD4DB3">
        <w:rPr>
          <w:rFonts w:eastAsia="Times New Roman"/>
          <w:sz w:val="22"/>
          <w:szCs w:val="22"/>
        </w:rPr>
        <w:t>institutional support (</w:t>
      </w:r>
      <w:r w:rsidR="00B82A91" w:rsidRPr="00BD4DB3">
        <w:rPr>
          <w:rFonts w:eastAsia="Times New Roman"/>
          <w:sz w:val="22"/>
          <w:szCs w:val="22"/>
        </w:rPr>
        <w:t>Beneitone &amp; Yarosh, 2015</w:t>
      </w:r>
      <w:r w:rsidRPr="00BD4DB3">
        <w:rPr>
          <w:rFonts w:eastAsia="Times New Roman"/>
          <w:sz w:val="22"/>
          <w:szCs w:val="22"/>
        </w:rPr>
        <w:t>)</w:t>
      </w:r>
      <w:r w:rsidR="008A630F" w:rsidRPr="00BD4DB3">
        <w:rPr>
          <w:rFonts w:eastAsia="Times New Roman"/>
          <w:sz w:val="22"/>
          <w:szCs w:val="22"/>
        </w:rPr>
        <w:t xml:space="preserve">; </w:t>
      </w:r>
      <w:r w:rsidR="00F01DF3" w:rsidRPr="00BD4DB3">
        <w:rPr>
          <w:rFonts w:eastAsia="Times New Roman"/>
          <w:sz w:val="22"/>
          <w:szCs w:val="22"/>
        </w:rPr>
        <w:t xml:space="preserve">more than 90% of </w:t>
      </w:r>
      <w:r w:rsidR="008A630F" w:rsidRPr="00BD4DB3">
        <w:rPr>
          <w:rFonts w:eastAsia="Times New Roman"/>
          <w:sz w:val="22"/>
          <w:szCs w:val="22"/>
        </w:rPr>
        <w:t xml:space="preserve">administrators and </w:t>
      </w:r>
      <w:r w:rsidR="00F01DF3" w:rsidRPr="00BD4DB3">
        <w:rPr>
          <w:rFonts w:eastAsia="Times New Roman"/>
          <w:sz w:val="22"/>
          <w:szCs w:val="22"/>
        </w:rPr>
        <w:t xml:space="preserve">faculty members reported a positive effect of the </w:t>
      </w:r>
      <w:r w:rsidR="00E46E7F" w:rsidRPr="00BD4DB3">
        <w:rPr>
          <w:rFonts w:eastAsia="Times New Roman"/>
          <w:sz w:val="22"/>
          <w:szCs w:val="22"/>
        </w:rPr>
        <w:t>process</w:t>
      </w:r>
      <w:r w:rsidR="00F01DF3" w:rsidRPr="00BD4DB3">
        <w:rPr>
          <w:rFonts w:eastAsia="Times New Roman"/>
          <w:sz w:val="22"/>
          <w:szCs w:val="22"/>
        </w:rPr>
        <w:t xml:space="preserve">. </w:t>
      </w:r>
      <w:r w:rsidR="008A630F" w:rsidRPr="00BD4DB3">
        <w:rPr>
          <w:rFonts w:eastAsia="Times New Roman"/>
          <w:sz w:val="22"/>
          <w:szCs w:val="22"/>
        </w:rPr>
        <w:t>O</w:t>
      </w:r>
      <w:r w:rsidR="00A52A40" w:rsidRPr="00BD4DB3">
        <w:rPr>
          <w:rFonts w:eastAsia="Times New Roman"/>
          <w:sz w:val="22"/>
          <w:szCs w:val="22"/>
        </w:rPr>
        <w:t>ther research</w:t>
      </w:r>
      <w:r w:rsidR="003A76D0" w:rsidRPr="00BD4DB3">
        <w:rPr>
          <w:rFonts w:eastAsia="Times New Roman"/>
          <w:sz w:val="22"/>
          <w:szCs w:val="22"/>
        </w:rPr>
        <w:t xml:space="preserve"> </w:t>
      </w:r>
      <w:r w:rsidR="00A52A40" w:rsidRPr="00BD4DB3">
        <w:rPr>
          <w:rFonts w:eastAsia="Times New Roman"/>
          <w:sz w:val="22"/>
          <w:szCs w:val="22"/>
        </w:rPr>
        <w:t>suggests that Tuning projects are not universally successful</w:t>
      </w:r>
      <w:r w:rsidR="003A76D0" w:rsidRPr="00BD4DB3">
        <w:rPr>
          <w:rFonts w:eastAsia="Times New Roman"/>
          <w:sz w:val="22"/>
          <w:szCs w:val="22"/>
        </w:rPr>
        <w:t xml:space="preserve"> (Klie &amp; del Pilar Grazioso, </w:t>
      </w:r>
      <w:r w:rsidR="00A97BCA">
        <w:rPr>
          <w:rFonts w:eastAsia="Times New Roman"/>
          <w:sz w:val="22"/>
          <w:szCs w:val="22"/>
        </w:rPr>
        <w:t>2020)</w:t>
      </w:r>
      <w:r w:rsidR="008A630F" w:rsidRPr="00BD4DB3">
        <w:rPr>
          <w:rFonts w:eastAsia="Times New Roman"/>
          <w:sz w:val="22"/>
          <w:szCs w:val="22"/>
        </w:rPr>
        <w:t xml:space="preserve">; </w:t>
      </w:r>
      <w:r w:rsidR="00F37C32" w:rsidRPr="00BD4DB3">
        <w:rPr>
          <w:rFonts w:eastAsia="Times New Roman"/>
          <w:sz w:val="22"/>
          <w:szCs w:val="22"/>
        </w:rPr>
        <w:t xml:space="preserve">for example, </w:t>
      </w:r>
      <w:r w:rsidR="008A630F" w:rsidRPr="00BD4DB3">
        <w:rPr>
          <w:rFonts w:eastAsia="Times New Roman"/>
          <w:sz w:val="22"/>
          <w:szCs w:val="22"/>
        </w:rPr>
        <w:t>t</w:t>
      </w:r>
      <w:r w:rsidR="007411B4" w:rsidRPr="00BD4DB3">
        <w:rPr>
          <w:rFonts w:eastAsia="Times New Roman"/>
          <w:sz w:val="22"/>
          <w:szCs w:val="22"/>
        </w:rPr>
        <w:t xml:space="preserve">hree universities from </w:t>
      </w:r>
      <w:r w:rsidR="00A52A40" w:rsidRPr="00BD4DB3">
        <w:rPr>
          <w:rFonts w:eastAsia="Times New Roman"/>
          <w:sz w:val="22"/>
          <w:szCs w:val="22"/>
        </w:rPr>
        <w:t>Guatemala</w:t>
      </w:r>
      <w:r w:rsidR="003A76D0" w:rsidRPr="00BD4DB3">
        <w:rPr>
          <w:rFonts w:eastAsia="Times New Roman"/>
          <w:sz w:val="22"/>
          <w:szCs w:val="22"/>
        </w:rPr>
        <w:t xml:space="preserve"> </w:t>
      </w:r>
      <w:r w:rsidR="007411B4" w:rsidRPr="00BD4DB3">
        <w:rPr>
          <w:rFonts w:eastAsia="Times New Roman"/>
          <w:sz w:val="22"/>
          <w:szCs w:val="22"/>
        </w:rPr>
        <w:t>participated in this study</w:t>
      </w:r>
      <w:r w:rsidR="00DD5CA9" w:rsidRPr="00BD4DB3">
        <w:rPr>
          <w:rFonts w:eastAsia="Times New Roman"/>
          <w:sz w:val="22"/>
          <w:szCs w:val="22"/>
        </w:rPr>
        <w:t>;</w:t>
      </w:r>
      <w:r w:rsidR="00F37C32" w:rsidRPr="00BD4DB3">
        <w:rPr>
          <w:rFonts w:eastAsia="Times New Roman"/>
          <w:sz w:val="22"/>
          <w:szCs w:val="22"/>
        </w:rPr>
        <w:t xml:space="preserve"> </w:t>
      </w:r>
      <w:r w:rsidR="007411B4" w:rsidRPr="00BD4DB3">
        <w:rPr>
          <w:rFonts w:eastAsia="Times New Roman"/>
          <w:sz w:val="22"/>
          <w:szCs w:val="22"/>
        </w:rPr>
        <w:t>yet</w:t>
      </w:r>
      <w:r w:rsidR="00DD5CA9" w:rsidRPr="00BD4DB3">
        <w:rPr>
          <w:rFonts w:eastAsia="Times New Roman"/>
          <w:sz w:val="22"/>
          <w:szCs w:val="22"/>
        </w:rPr>
        <w:t>,</w:t>
      </w:r>
      <w:r w:rsidR="007411B4" w:rsidRPr="00BD4DB3">
        <w:rPr>
          <w:rFonts w:eastAsia="Times New Roman"/>
          <w:sz w:val="22"/>
          <w:szCs w:val="22"/>
        </w:rPr>
        <w:t xml:space="preserve"> </w:t>
      </w:r>
      <w:r w:rsidR="003A76D0" w:rsidRPr="00BD4DB3">
        <w:rPr>
          <w:rFonts w:eastAsia="Times New Roman"/>
          <w:sz w:val="22"/>
          <w:szCs w:val="22"/>
        </w:rPr>
        <w:t xml:space="preserve">there </w:t>
      </w:r>
      <w:r w:rsidR="00DD5CA9" w:rsidRPr="00BD4DB3">
        <w:rPr>
          <w:rFonts w:eastAsia="Times New Roman"/>
          <w:sz w:val="22"/>
          <w:szCs w:val="22"/>
        </w:rPr>
        <w:t>is</w:t>
      </w:r>
      <w:r w:rsidR="00F37C32" w:rsidRPr="00BD4DB3">
        <w:rPr>
          <w:rFonts w:eastAsia="Times New Roman"/>
          <w:sz w:val="22"/>
          <w:szCs w:val="22"/>
        </w:rPr>
        <w:t xml:space="preserve"> </w:t>
      </w:r>
      <w:r w:rsidR="003A76D0" w:rsidRPr="00BD4DB3">
        <w:rPr>
          <w:rFonts w:eastAsia="Times New Roman"/>
          <w:sz w:val="22"/>
          <w:szCs w:val="22"/>
        </w:rPr>
        <w:t xml:space="preserve">no emphasis on </w:t>
      </w:r>
      <w:r w:rsidR="00F37C32" w:rsidRPr="00BD4DB3">
        <w:rPr>
          <w:rFonts w:eastAsia="Times New Roman"/>
          <w:sz w:val="22"/>
          <w:szCs w:val="22"/>
        </w:rPr>
        <w:t xml:space="preserve">consistent </w:t>
      </w:r>
      <w:r w:rsidR="003A76D0" w:rsidRPr="00BD4DB3">
        <w:rPr>
          <w:rFonts w:eastAsia="Times New Roman"/>
          <w:sz w:val="22"/>
          <w:szCs w:val="22"/>
        </w:rPr>
        <w:t>learning outcomes or assessment</w:t>
      </w:r>
      <w:r w:rsidR="008A630F" w:rsidRPr="00BD4DB3">
        <w:rPr>
          <w:rFonts w:eastAsia="Times New Roman"/>
          <w:sz w:val="22"/>
          <w:szCs w:val="22"/>
        </w:rPr>
        <w:t>s</w:t>
      </w:r>
      <w:r w:rsidR="00DD5CA9" w:rsidRPr="00BD4DB3">
        <w:rPr>
          <w:rFonts w:eastAsia="Times New Roman"/>
          <w:sz w:val="22"/>
          <w:szCs w:val="22"/>
        </w:rPr>
        <w:t xml:space="preserve"> across </w:t>
      </w:r>
      <w:r w:rsidR="002753A0" w:rsidRPr="00BD4DB3">
        <w:rPr>
          <w:rFonts w:eastAsia="Times New Roman"/>
          <w:sz w:val="22"/>
          <w:szCs w:val="22"/>
        </w:rPr>
        <w:t>that</w:t>
      </w:r>
      <w:r w:rsidR="00DD5CA9" w:rsidRPr="00BD4DB3">
        <w:rPr>
          <w:rFonts w:eastAsia="Times New Roman"/>
          <w:sz w:val="22"/>
          <w:szCs w:val="22"/>
        </w:rPr>
        <w:t xml:space="preserve"> country</w:t>
      </w:r>
      <w:r w:rsidR="002753A0" w:rsidRPr="00BD4DB3">
        <w:rPr>
          <w:rFonts w:eastAsia="Times New Roman"/>
          <w:sz w:val="22"/>
          <w:szCs w:val="22"/>
        </w:rPr>
        <w:t xml:space="preserve">. </w:t>
      </w:r>
    </w:p>
    <w:p w14:paraId="0811863F" w14:textId="5EC86AFD" w:rsidR="00762E6B" w:rsidRPr="00BD4DB3" w:rsidRDefault="00762E6B" w:rsidP="00762E6B">
      <w:pPr>
        <w:spacing w:line="480" w:lineRule="auto"/>
        <w:ind w:firstLine="720"/>
        <w:rPr>
          <w:rFonts w:eastAsia="Times New Roman"/>
          <w:sz w:val="22"/>
          <w:szCs w:val="22"/>
        </w:rPr>
      </w:pPr>
      <w:r w:rsidRPr="00BD4DB3">
        <w:rPr>
          <w:rFonts w:eastAsia="Times New Roman"/>
          <w:b/>
          <w:sz w:val="22"/>
          <w:szCs w:val="22"/>
        </w:rPr>
        <w:t>Australia.</w:t>
      </w:r>
      <w:r w:rsidRPr="00BD4DB3">
        <w:rPr>
          <w:rFonts w:eastAsia="Times New Roman"/>
          <w:sz w:val="22"/>
          <w:szCs w:val="22"/>
        </w:rPr>
        <w:t xml:space="preserve"> </w:t>
      </w:r>
      <w:r w:rsidR="009568A6">
        <w:rPr>
          <w:rFonts w:eastAsia="Times New Roman"/>
          <w:sz w:val="22"/>
          <w:szCs w:val="22"/>
        </w:rPr>
        <w:t>Following educational reforms that led to the “</w:t>
      </w:r>
      <w:r w:rsidR="009243CA" w:rsidRPr="00BD4DB3">
        <w:rPr>
          <w:rFonts w:eastAsia="Times New Roman"/>
          <w:sz w:val="22"/>
          <w:szCs w:val="22"/>
        </w:rPr>
        <w:t>economical</w:t>
      </w:r>
      <w:r w:rsidR="009568A6">
        <w:rPr>
          <w:rFonts w:eastAsia="Times New Roman"/>
          <w:sz w:val="22"/>
          <w:szCs w:val="22"/>
        </w:rPr>
        <w:t>”</w:t>
      </w:r>
      <w:r w:rsidR="009243CA" w:rsidRPr="00BD4DB3">
        <w:rPr>
          <w:rFonts w:eastAsia="Times New Roman"/>
          <w:sz w:val="22"/>
          <w:szCs w:val="22"/>
        </w:rPr>
        <w:t xml:space="preserve"> delivery of education through lectures and multiple-choice exams</w:t>
      </w:r>
      <w:r w:rsidRPr="00BD4DB3">
        <w:rPr>
          <w:rFonts w:eastAsia="Times New Roman"/>
          <w:sz w:val="22"/>
          <w:szCs w:val="22"/>
        </w:rPr>
        <w:t>, student</w:t>
      </w:r>
      <w:r w:rsidR="009243CA" w:rsidRPr="00BD4DB3">
        <w:rPr>
          <w:rFonts w:eastAsia="Times New Roman"/>
          <w:sz w:val="22"/>
          <w:szCs w:val="22"/>
        </w:rPr>
        <w:t>s</w:t>
      </w:r>
      <w:r w:rsidRPr="00BD4DB3">
        <w:rPr>
          <w:rFonts w:eastAsia="Times New Roman"/>
          <w:sz w:val="22"/>
          <w:szCs w:val="22"/>
        </w:rPr>
        <w:t xml:space="preserve"> </w:t>
      </w:r>
      <w:r w:rsidR="009568A6">
        <w:rPr>
          <w:rFonts w:eastAsia="Times New Roman"/>
          <w:sz w:val="22"/>
          <w:szCs w:val="22"/>
        </w:rPr>
        <w:t xml:space="preserve">finally </w:t>
      </w:r>
      <w:r w:rsidR="00F95582" w:rsidRPr="00BD4DB3">
        <w:rPr>
          <w:rFonts w:eastAsia="Times New Roman"/>
          <w:sz w:val="22"/>
          <w:szCs w:val="22"/>
        </w:rPr>
        <w:t>called</w:t>
      </w:r>
      <w:r w:rsidRPr="00BD4DB3">
        <w:rPr>
          <w:rFonts w:eastAsia="Times New Roman"/>
          <w:sz w:val="22"/>
          <w:szCs w:val="22"/>
        </w:rPr>
        <w:t xml:space="preserve"> for demonstrable value for money. As part of the quality assurance reforms that ensued (</w:t>
      </w:r>
      <w:r w:rsidR="00D36A10" w:rsidRPr="00BD4DB3">
        <w:rPr>
          <w:rFonts w:eastAsia="Times New Roman"/>
          <w:sz w:val="22"/>
          <w:szCs w:val="22"/>
        </w:rPr>
        <w:t xml:space="preserve">likely </w:t>
      </w:r>
      <w:r w:rsidRPr="00BD4DB3">
        <w:rPr>
          <w:rFonts w:eastAsia="Times New Roman"/>
          <w:sz w:val="22"/>
          <w:szCs w:val="22"/>
        </w:rPr>
        <w:t>spurred by</w:t>
      </w:r>
      <w:r w:rsidR="00091F8D" w:rsidRPr="00BD4DB3">
        <w:rPr>
          <w:rFonts w:eastAsia="Times New Roman"/>
          <w:sz w:val="22"/>
          <w:szCs w:val="22"/>
        </w:rPr>
        <w:t xml:space="preserve"> the Bologna Process</w:t>
      </w:r>
      <w:r w:rsidRPr="00BD4DB3">
        <w:rPr>
          <w:rFonts w:eastAsia="Times New Roman"/>
          <w:sz w:val="22"/>
          <w:szCs w:val="22"/>
        </w:rPr>
        <w:t>), there was a call for the specification of ‘threshold learning outco</w:t>
      </w:r>
      <w:r w:rsidR="00091F8D" w:rsidRPr="00BD4DB3">
        <w:rPr>
          <w:rFonts w:eastAsia="Times New Roman"/>
          <w:sz w:val="22"/>
          <w:szCs w:val="22"/>
        </w:rPr>
        <w:t>mes’</w:t>
      </w:r>
      <w:r w:rsidRPr="00BD4DB3">
        <w:rPr>
          <w:rFonts w:eastAsia="Times New Roman"/>
          <w:sz w:val="22"/>
          <w:szCs w:val="22"/>
        </w:rPr>
        <w:t xml:space="preserve"> (</w:t>
      </w:r>
      <w:r w:rsidR="00DD5CA9" w:rsidRPr="00BD4DB3">
        <w:rPr>
          <w:rFonts w:eastAsia="Times New Roman"/>
          <w:sz w:val="22"/>
          <w:szCs w:val="22"/>
        </w:rPr>
        <w:t xml:space="preserve">which </w:t>
      </w:r>
      <w:r w:rsidRPr="00BD4DB3">
        <w:rPr>
          <w:rFonts w:eastAsia="Times New Roman"/>
          <w:sz w:val="22"/>
          <w:szCs w:val="22"/>
        </w:rPr>
        <w:t xml:space="preserve">led to a focus on capstone </w:t>
      </w:r>
      <w:r w:rsidR="00EA304A" w:rsidRPr="00BD4DB3">
        <w:rPr>
          <w:rFonts w:eastAsia="Times New Roman"/>
          <w:sz w:val="22"/>
          <w:szCs w:val="22"/>
        </w:rPr>
        <w:t>courses</w:t>
      </w:r>
      <w:r w:rsidR="00EA304A" w:rsidRPr="00BD4DB3">
        <w:rPr>
          <w:rStyle w:val="FootnoteReference"/>
          <w:rFonts w:eastAsia="Times New Roman"/>
          <w:sz w:val="22"/>
          <w:szCs w:val="22"/>
        </w:rPr>
        <w:footnoteReference w:id="3"/>
      </w:r>
      <w:r w:rsidRPr="00BD4DB3">
        <w:rPr>
          <w:rFonts w:eastAsia="Times New Roman"/>
          <w:sz w:val="22"/>
          <w:szCs w:val="22"/>
        </w:rPr>
        <w:t xml:space="preserve">; Lee &amp; Loton, 2015). </w:t>
      </w:r>
      <w:r w:rsidR="00B62456" w:rsidRPr="00BD4DB3">
        <w:rPr>
          <w:rFonts w:eastAsia="Times New Roman"/>
          <w:sz w:val="22"/>
          <w:szCs w:val="22"/>
        </w:rPr>
        <w:t>S</w:t>
      </w:r>
      <w:r w:rsidR="00F95582" w:rsidRPr="00BD4DB3">
        <w:rPr>
          <w:rFonts w:eastAsia="Times New Roman"/>
          <w:sz w:val="22"/>
          <w:szCs w:val="22"/>
        </w:rPr>
        <w:t>pecific</w:t>
      </w:r>
      <w:r w:rsidRPr="00BD4DB3">
        <w:rPr>
          <w:rFonts w:eastAsia="Times New Roman"/>
          <w:sz w:val="22"/>
          <w:szCs w:val="22"/>
        </w:rPr>
        <w:t xml:space="preserve"> learning outcomes for undergraduate </w:t>
      </w:r>
      <w:r w:rsidR="00137832">
        <w:rPr>
          <w:rFonts w:eastAsia="Times New Roman"/>
          <w:sz w:val="22"/>
          <w:szCs w:val="22"/>
        </w:rPr>
        <w:t xml:space="preserve">and graduate </w:t>
      </w:r>
      <w:r w:rsidRPr="00BD4DB3">
        <w:rPr>
          <w:rFonts w:eastAsia="Times New Roman"/>
          <w:sz w:val="22"/>
          <w:szCs w:val="22"/>
        </w:rPr>
        <w:t>psychology</w:t>
      </w:r>
      <w:r w:rsidR="00137832">
        <w:rPr>
          <w:rFonts w:eastAsia="Times New Roman"/>
          <w:sz w:val="22"/>
          <w:szCs w:val="22"/>
        </w:rPr>
        <w:t xml:space="preserve"> were specified</w:t>
      </w:r>
      <w:r w:rsidRPr="00BD4DB3">
        <w:rPr>
          <w:rFonts w:eastAsia="Times New Roman"/>
          <w:sz w:val="22"/>
          <w:szCs w:val="22"/>
        </w:rPr>
        <w:t xml:space="preserve"> </w:t>
      </w:r>
      <w:r w:rsidR="00137832">
        <w:rPr>
          <w:rFonts w:eastAsia="Times New Roman"/>
          <w:sz w:val="22"/>
          <w:szCs w:val="22"/>
        </w:rPr>
        <w:t xml:space="preserve">as national accreditation standards </w:t>
      </w:r>
      <w:r w:rsidRPr="00BD4DB3">
        <w:rPr>
          <w:rFonts w:eastAsia="Times New Roman"/>
          <w:sz w:val="22"/>
          <w:szCs w:val="22"/>
        </w:rPr>
        <w:t>(</w:t>
      </w:r>
      <w:r w:rsidR="00137832">
        <w:rPr>
          <w:rFonts w:eastAsia="Times New Roman"/>
          <w:sz w:val="22"/>
          <w:szCs w:val="22"/>
        </w:rPr>
        <w:t xml:space="preserve">APAC, 2010; </w:t>
      </w:r>
      <w:r w:rsidRPr="00BD4DB3">
        <w:rPr>
          <w:rFonts w:eastAsia="Times New Roman"/>
          <w:sz w:val="22"/>
          <w:szCs w:val="22"/>
        </w:rPr>
        <w:t>Cranney et al., 2009</w:t>
      </w:r>
      <w:r w:rsidR="005974CE">
        <w:rPr>
          <w:rFonts w:eastAsia="Times New Roman"/>
          <w:sz w:val="22"/>
          <w:szCs w:val="22"/>
        </w:rPr>
        <w:t>)</w:t>
      </w:r>
      <w:r w:rsidRPr="00BD4DB3">
        <w:rPr>
          <w:rFonts w:eastAsia="Times New Roman"/>
          <w:sz w:val="22"/>
          <w:szCs w:val="22"/>
        </w:rPr>
        <w:t>.</w:t>
      </w:r>
      <w:r w:rsidR="00DA1F2C" w:rsidRPr="00BD4DB3">
        <w:rPr>
          <w:rFonts w:eastAsia="Times New Roman"/>
          <w:sz w:val="22"/>
          <w:szCs w:val="22"/>
        </w:rPr>
        <w:t xml:space="preserve"> </w:t>
      </w:r>
      <w:r w:rsidR="00091F8D" w:rsidRPr="00BD4DB3">
        <w:rPr>
          <w:rFonts w:eastAsia="Times New Roman"/>
          <w:sz w:val="22"/>
          <w:szCs w:val="22"/>
        </w:rPr>
        <w:t>A</w:t>
      </w:r>
      <w:r w:rsidRPr="00BD4DB3">
        <w:rPr>
          <w:rFonts w:eastAsia="Times New Roman"/>
          <w:sz w:val="22"/>
          <w:szCs w:val="22"/>
        </w:rPr>
        <w:t xml:space="preserve"> new degree structure</w:t>
      </w:r>
      <w:r w:rsidR="00265DE9" w:rsidRPr="00BD4DB3">
        <w:rPr>
          <w:rFonts w:eastAsia="Times New Roman"/>
          <w:sz w:val="22"/>
          <w:szCs w:val="22"/>
        </w:rPr>
        <w:t xml:space="preserve">, similar to the Bologna model </w:t>
      </w:r>
      <w:r w:rsidRPr="00BD4DB3">
        <w:rPr>
          <w:rFonts w:eastAsia="Times New Roman"/>
          <w:sz w:val="22"/>
          <w:szCs w:val="22"/>
        </w:rPr>
        <w:t>was approved in 2010</w:t>
      </w:r>
      <w:r w:rsidR="009243CA" w:rsidRPr="00BD4DB3">
        <w:rPr>
          <w:rFonts w:eastAsia="Times New Roman"/>
          <w:sz w:val="22"/>
          <w:szCs w:val="22"/>
        </w:rPr>
        <w:t>; indeed the Psychology Board of Australia website (psychologyboard.gov.au) references Bologna/EuroPsy in relation to the new degree structure.</w:t>
      </w:r>
      <w:r w:rsidR="00307924" w:rsidRPr="00BD4DB3">
        <w:rPr>
          <w:rFonts w:eastAsia="Times New Roman"/>
          <w:sz w:val="22"/>
          <w:szCs w:val="22"/>
        </w:rPr>
        <w:t xml:space="preserve"> </w:t>
      </w:r>
      <w:r w:rsidRPr="00BD4DB3">
        <w:rPr>
          <w:rFonts w:eastAsia="Times New Roman"/>
          <w:sz w:val="22"/>
          <w:szCs w:val="22"/>
        </w:rPr>
        <w:t xml:space="preserve">In terms of assessment, APAC (2019) </w:t>
      </w:r>
      <w:r w:rsidR="00091F8D" w:rsidRPr="00BD4DB3">
        <w:rPr>
          <w:rFonts w:eastAsia="Times New Roman"/>
          <w:sz w:val="22"/>
          <w:szCs w:val="22"/>
        </w:rPr>
        <w:t xml:space="preserve">standards specify that </w:t>
      </w:r>
      <w:r w:rsidR="00D34667" w:rsidRPr="00BD4DB3">
        <w:rPr>
          <w:rFonts w:eastAsia="Times New Roman"/>
          <w:sz w:val="22"/>
          <w:szCs w:val="22"/>
        </w:rPr>
        <w:t>students must demonstrate competence with respect to learning outcomes, as assessed by multiple tools</w:t>
      </w:r>
      <w:r w:rsidR="00FC6210" w:rsidRPr="00BD4DB3">
        <w:rPr>
          <w:rFonts w:eastAsia="Times New Roman"/>
          <w:sz w:val="22"/>
          <w:szCs w:val="22"/>
        </w:rPr>
        <w:t>, often</w:t>
      </w:r>
      <w:r w:rsidR="00D34667" w:rsidRPr="00BD4DB3">
        <w:rPr>
          <w:rFonts w:eastAsia="Times New Roman"/>
          <w:sz w:val="22"/>
          <w:szCs w:val="22"/>
        </w:rPr>
        <w:t xml:space="preserve"> including direct observation; </w:t>
      </w:r>
      <w:r w:rsidRPr="00BD4DB3">
        <w:rPr>
          <w:rFonts w:eastAsia="Times New Roman"/>
          <w:sz w:val="22"/>
          <w:szCs w:val="22"/>
        </w:rPr>
        <w:t xml:space="preserve">however, there is </w:t>
      </w:r>
      <w:r w:rsidR="002F03EF" w:rsidRPr="00BD4DB3">
        <w:rPr>
          <w:rFonts w:eastAsia="Times New Roman"/>
          <w:sz w:val="22"/>
          <w:szCs w:val="22"/>
        </w:rPr>
        <w:t xml:space="preserve">little </w:t>
      </w:r>
      <w:r w:rsidRPr="00BD4DB3">
        <w:rPr>
          <w:rFonts w:eastAsia="Times New Roman"/>
          <w:sz w:val="22"/>
          <w:szCs w:val="22"/>
        </w:rPr>
        <w:t>guidance regarding strategies.</w:t>
      </w:r>
      <w:r w:rsidR="00FC47E9" w:rsidRPr="00BD4DB3">
        <w:rPr>
          <w:rFonts w:eastAsia="Times New Roman"/>
          <w:sz w:val="22"/>
          <w:szCs w:val="22"/>
        </w:rPr>
        <w:t xml:space="preserve"> </w:t>
      </w:r>
      <w:r w:rsidRPr="00BD4DB3">
        <w:rPr>
          <w:rFonts w:eastAsia="Times New Roman"/>
          <w:sz w:val="22"/>
          <w:szCs w:val="22"/>
        </w:rPr>
        <w:t xml:space="preserve">With the increased emphasis on flexible educational delivery, including economic pressure to repackage programs into micro-credentials for continuous professional development </w:t>
      </w:r>
      <w:r w:rsidR="006E4170" w:rsidRPr="00BD4DB3">
        <w:rPr>
          <w:rFonts w:eastAsia="Times New Roman"/>
          <w:sz w:val="22"/>
          <w:szCs w:val="22"/>
        </w:rPr>
        <w:t xml:space="preserve">(i.e., meeting </w:t>
      </w:r>
      <w:r w:rsidR="009309FD" w:rsidRPr="00BD4DB3">
        <w:rPr>
          <w:rFonts w:eastAsia="Times New Roman"/>
          <w:sz w:val="22"/>
          <w:szCs w:val="22"/>
        </w:rPr>
        <w:t>market</w:t>
      </w:r>
      <w:r w:rsidR="006E4170" w:rsidRPr="00BD4DB3">
        <w:rPr>
          <w:rFonts w:eastAsia="Times New Roman"/>
          <w:sz w:val="22"/>
          <w:szCs w:val="22"/>
        </w:rPr>
        <w:t xml:space="preserve"> demands)</w:t>
      </w:r>
      <w:r w:rsidRPr="00BD4DB3">
        <w:rPr>
          <w:rFonts w:eastAsia="Times New Roman"/>
          <w:sz w:val="22"/>
          <w:szCs w:val="22"/>
        </w:rPr>
        <w:t>, challenges in curricular delivery will continue.</w:t>
      </w:r>
    </w:p>
    <w:p w14:paraId="09AE2866" w14:textId="77777777" w:rsidR="00647573" w:rsidRDefault="00647573" w:rsidP="00C76859">
      <w:pPr>
        <w:spacing w:line="480" w:lineRule="auto"/>
        <w:jc w:val="center"/>
        <w:rPr>
          <w:rFonts w:eastAsia="Times New Roman"/>
          <w:b/>
          <w:sz w:val="22"/>
          <w:szCs w:val="22"/>
        </w:rPr>
      </w:pPr>
    </w:p>
    <w:p w14:paraId="795090D1" w14:textId="77777777" w:rsidR="00647573" w:rsidRDefault="00647573" w:rsidP="00C76859">
      <w:pPr>
        <w:spacing w:line="480" w:lineRule="auto"/>
        <w:jc w:val="center"/>
        <w:rPr>
          <w:rFonts w:eastAsia="Times New Roman"/>
          <w:b/>
          <w:sz w:val="22"/>
          <w:szCs w:val="22"/>
        </w:rPr>
      </w:pPr>
    </w:p>
    <w:p w14:paraId="0DA677E5" w14:textId="68175F0A" w:rsidR="00C76859" w:rsidRPr="00BD4DB3" w:rsidRDefault="007F6780" w:rsidP="00C76859">
      <w:pPr>
        <w:spacing w:line="480" w:lineRule="auto"/>
        <w:jc w:val="center"/>
        <w:rPr>
          <w:rFonts w:eastAsia="Times New Roman"/>
          <w:b/>
          <w:sz w:val="22"/>
          <w:szCs w:val="22"/>
        </w:rPr>
      </w:pPr>
      <w:r w:rsidRPr="00BD4DB3">
        <w:rPr>
          <w:rFonts w:eastAsia="Times New Roman"/>
          <w:b/>
          <w:sz w:val="22"/>
          <w:szCs w:val="22"/>
        </w:rPr>
        <w:t xml:space="preserve">What the U.S. </w:t>
      </w:r>
      <w:r w:rsidR="001F59EC" w:rsidRPr="00BD4DB3">
        <w:rPr>
          <w:rFonts w:eastAsia="Times New Roman"/>
          <w:b/>
          <w:sz w:val="22"/>
          <w:szCs w:val="22"/>
        </w:rPr>
        <w:t>can learn</w:t>
      </w:r>
    </w:p>
    <w:p w14:paraId="63A5F0DA" w14:textId="3794F1A5" w:rsidR="001F59EC" w:rsidRPr="00BD4DB3" w:rsidRDefault="001F59EC" w:rsidP="002E0A4C">
      <w:pPr>
        <w:spacing w:line="480" w:lineRule="auto"/>
        <w:rPr>
          <w:rFonts w:eastAsia="Times New Roman"/>
          <w:sz w:val="22"/>
          <w:szCs w:val="22"/>
        </w:rPr>
      </w:pPr>
      <w:r w:rsidRPr="00BD4DB3">
        <w:rPr>
          <w:rFonts w:eastAsia="Times New Roman"/>
          <w:sz w:val="22"/>
          <w:szCs w:val="22"/>
        </w:rPr>
        <w:tab/>
        <w:t xml:space="preserve">The U.S. is among </w:t>
      </w:r>
      <w:r w:rsidR="00F726D9" w:rsidRPr="00BD4DB3">
        <w:rPr>
          <w:rFonts w:eastAsia="Times New Roman"/>
          <w:sz w:val="22"/>
          <w:szCs w:val="22"/>
        </w:rPr>
        <w:t xml:space="preserve">the </w:t>
      </w:r>
      <w:r w:rsidR="00F95582" w:rsidRPr="00BD4DB3">
        <w:rPr>
          <w:rFonts w:eastAsia="Times New Roman"/>
          <w:sz w:val="22"/>
          <w:szCs w:val="22"/>
        </w:rPr>
        <w:t>areas</w:t>
      </w:r>
      <w:r w:rsidRPr="00BD4DB3">
        <w:rPr>
          <w:rFonts w:eastAsia="Times New Roman"/>
          <w:sz w:val="22"/>
          <w:szCs w:val="22"/>
        </w:rPr>
        <w:t xml:space="preserve"> that </w:t>
      </w:r>
      <w:r w:rsidR="00F95582" w:rsidRPr="00BD4DB3">
        <w:rPr>
          <w:rFonts w:eastAsia="Times New Roman"/>
          <w:sz w:val="22"/>
          <w:szCs w:val="22"/>
        </w:rPr>
        <w:t>have</w:t>
      </w:r>
      <w:r w:rsidRPr="00BD4DB3">
        <w:rPr>
          <w:rFonts w:eastAsia="Times New Roman"/>
          <w:sz w:val="22"/>
          <w:szCs w:val="22"/>
        </w:rPr>
        <w:t xml:space="preserve"> not embarked on a Tuning Process on </w:t>
      </w:r>
      <w:r w:rsidR="007906F0" w:rsidRPr="00BD4DB3">
        <w:rPr>
          <w:rFonts w:eastAsia="Times New Roman"/>
          <w:sz w:val="22"/>
          <w:szCs w:val="22"/>
        </w:rPr>
        <w:t>a</w:t>
      </w:r>
      <w:r w:rsidRPr="00BD4DB3">
        <w:rPr>
          <w:rFonts w:eastAsia="Times New Roman"/>
          <w:sz w:val="22"/>
          <w:szCs w:val="22"/>
        </w:rPr>
        <w:t xml:space="preserve"> grand scale</w:t>
      </w:r>
      <w:r w:rsidR="000C3377" w:rsidRPr="00BD4DB3">
        <w:rPr>
          <w:rFonts w:eastAsia="Times New Roman"/>
          <w:sz w:val="22"/>
          <w:szCs w:val="22"/>
        </w:rPr>
        <w:t>, although t</w:t>
      </w:r>
      <w:r w:rsidRPr="00BD4DB3">
        <w:rPr>
          <w:rFonts w:eastAsia="Times New Roman"/>
          <w:sz w:val="22"/>
          <w:szCs w:val="22"/>
        </w:rPr>
        <w:t>here have been smaller initiatives</w:t>
      </w:r>
      <w:r w:rsidR="00D36A10" w:rsidRPr="00BD4DB3">
        <w:rPr>
          <w:rFonts w:eastAsia="Times New Roman"/>
          <w:sz w:val="22"/>
          <w:szCs w:val="22"/>
        </w:rPr>
        <w:t xml:space="preserve"> (e.g.</w:t>
      </w:r>
      <w:r w:rsidRPr="00BD4DB3">
        <w:rPr>
          <w:rFonts w:eastAsia="Times New Roman"/>
          <w:sz w:val="22"/>
          <w:szCs w:val="22"/>
        </w:rPr>
        <w:t>, by the Lumina Foundation</w:t>
      </w:r>
      <w:r w:rsidR="00FC6210" w:rsidRPr="00BD4DB3">
        <w:rPr>
          <w:rFonts w:eastAsia="Times New Roman"/>
          <w:sz w:val="22"/>
          <w:szCs w:val="22"/>
        </w:rPr>
        <w:t>)</w:t>
      </w:r>
      <w:r w:rsidR="000C3377" w:rsidRPr="00BD4DB3">
        <w:rPr>
          <w:rFonts w:eastAsia="Times New Roman"/>
          <w:sz w:val="22"/>
          <w:szCs w:val="22"/>
        </w:rPr>
        <w:t xml:space="preserve">. </w:t>
      </w:r>
      <w:r w:rsidRPr="00BD4DB3">
        <w:rPr>
          <w:rFonts w:eastAsia="Times New Roman"/>
          <w:sz w:val="22"/>
          <w:szCs w:val="22"/>
        </w:rPr>
        <w:t xml:space="preserve">The U.S. accreditation system is regional, </w:t>
      </w:r>
      <w:r w:rsidR="00F95582" w:rsidRPr="00BD4DB3">
        <w:rPr>
          <w:rFonts w:eastAsia="Times New Roman"/>
          <w:sz w:val="22"/>
          <w:szCs w:val="22"/>
        </w:rPr>
        <w:t xml:space="preserve">with no expectations to </w:t>
      </w:r>
      <w:r w:rsidRPr="00BD4DB3">
        <w:rPr>
          <w:rFonts w:eastAsia="Times New Roman"/>
          <w:sz w:val="22"/>
          <w:szCs w:val="22"/>
        </w:rPr>
        <w:t>harmonize across institutions. It does, however, require efforts to connect learning outcomes with assessments and then to act on those data</w:t>
      </w:r>
      <w:r w:rsidR="00F726D9" w:rsidRPr="00BD4DB3">
        <w:rPr>
          <w:rFonts w:eastAsia="Times New Roman"/>
          <w:sz w:val="22"/>
          <w:szCs w:val="22"/>
        </w:rPr>
        <w:t>; indeed, mature programs focus on how well students demonstrate expected learning skills (</w:t>
      </w:r>
      <w:r w:rsidR="001A740F" w:rsidRPr="00BD4DB3">
        <w:rPr>
          <w:rFonts w:eastAsia="Times New Roman"/>
          <w:sz w:val="22"/>
          <w:szCs w:val="22"/>
        </w:rPr>
        <w:t xml:space="preserve">e.g., </w:t>
      </w:r>
      <w:r w:rsidR="00F726D9" w:rsidRPr="00BD4DB3">
        <w:rPr>
          <w:rFonts w:eastAsia="Times New Roman"/>
          <w:sz w:val="22"/>
          <w:szCs w:val="22"/>
        </w:rPr>
        <w:t>Stanny &amp; Halonen, 2011)</w:t>
      </w:r>
      <w:r w:rsidRPr="00BD4DB3">
        <w:rPr>
          <w:rFonts w:eastAsia="Times New Roman"/>
          <w:sz w:val="22"/>
          <w:szCs w:val="22"/>
        </w:rPr>
        <w:t xml:space="preserve">. More informally, and in line with Bologna and similar initiatives, there is a push </w:t>
      </w:r>
      <w:r w:rsidR="00C82840" w:rsidRPr="00BD4DB3">
        <w:rPr>
          <w:rFonts w:eastAsia="Times New Roman"/>
          <w:sz w:val="22"/>
          <w:szCs w:val="22"/>
        </w:rPr>
        <w:t>toward assessment of skills</w:t>
      </w:r>
      <w:r w:rsidR="000C3377" w:rsidRPr="00BD4DB3">
        <w:rPr>
          <w:rFonts w:eastAsia="Times New Roman"/>
          <w:sz w:val="22"/>
          <w:szCs w:val="22"/>
        </w:rPr>
        <w:t xml:space="preserve">, some of which is </w:t>
      </w:r>
      <w:r w:rsidR="00B373C6" w:rsidRPr="00BD4DB3">
        <w:rPr>
          <w:rFonts w:eastAsia="Times New Roman"/>
          <w:sz w:val="22"/>
          <w:szCs w:val="22"/>
        </w:rPr>
        <w:t>reflected in Project Assessment</w:t>
      </w:r>
      <w:r w:rsidRPr="00BD4DB3">
        <w:rPr>
          <w:rFonts w:eastAsia="Times New Roman"/>
          <w:sz w:val="22"/>
          <w:szCs w:val="22"/>
        </w:rPr>
        <w:t>. And</w:t>
      </w:r>
      <w:r w:rsidR="000C3377" w:rsidRPr="00BD4DB3">
        <w:rPr>
          <w:rFonts w:eastAsia="Times New Roman"/>
          <w:sz w:val="22"/>
          <w:szCs w:val="22"/>
        </w:rPr>
        <w:t>,</w:t>
      </w:r>
      <w:r w:rsidRPr="00BD4DB3">
        <w:rPr>
          <w:rFonts w:eastAsia="Times New Roman"/>
          <w:sz w:val="22"/>
          <w:szCs w:val="22"/>
        </w:rPr>
        <w:t xml:space="preserve"> within psychology, the growing acceptance of the APA guidelines has opened the door to harmonization</w:t>
      </w:r>
      <w:r w:rsidR="00AD192B" w:rsidRPr="00BD4DB3">
        <w:rPr>
          <w:rFonts w:eastAsia="Times New Roman"/>
          <w:sz w:val="22"/>
          <w:szCs w:val="22"/>
        </w:rPr>
        <w:t>.</w:t>
      </w:r>
      <w:r w:rsidR="000C3377" w:rsidRPr="00BD4DB3">
        <w:rPr>
          <w:rStyle w:val="FootnoteReference"/>
          <w:rFonts w:eastAsia="Times New Roman"/>
          <w:sz w:val="22"/>
          <w:szCs w:val="22"/>
        </w:rPr>
        <w:footnoteReference w:id="4"/>
      </w:r>
      <w:r w:rsidR="001A740F" w:rsidRPr="00BD4DB3">
        <w:rPr>
          <w:rFonts w:eastAsia="Times New Roman"/>
          <w:sz w:val="22"/>
          <w:szCs w:val="22"/>
        </w:rPr>
        <w:t xml:space="preserve"> </w:t>
      </w:r>
      <w:r w:rsidR="00E045F1" w:rsidRPr="00BD4DB3">
        <w:rPr>
          <w:rStyle w:val="FootnoteReference"/>
          <w:rFonts w:eastAsia="Times New Roman"/>
          <w:sz w:val="22"/>
          <w:szCs w:val="22"/>
        </w:rPr>
        <w:footnoteReference w:id="5"/>
      </w:r>
      <w:r w:rsidR="001A740F" w:rsidRPr="00BD4DB3">
        <w:rPr>
          <w:rFonts w:eastAsia="Times New Roman"/>
          <w:sz w:val="22"/>
          <w:szCs w:val="22"/>
        </w:rPr>
        <w:t xml:space="preserve"> </w:t>
      </w:r>
      <w:r w:rsidRPr="00BD4DB3">
        <w:rPr>
          <w:rFonts w:eastAsia="Times New Roman"/>
          <w:sz w:val="22"/>
          <w:szCs w:val="22"/>
        </w:rPr>
        <w:t xml:space="preserve">There are two areas, however, that U.S. higher education, including </w:t>
      </w:r>
      <w:r w:rsidR="002E0A4C" w:rsidRPr="00BD4DB3">
        <w:rPr>
          <w:rFonts w:eastAsia="Times New Roman"/>
          <w:sz w:val="22"/>
          <w:szCs w:val="22"/>
        </w:rPr>
        <w:t>in</w:t>
      </w:r>
      <w:r w:rsidRPr="00BD4DB3">
        <w:rPr>
          <w:rFonts w:eastAsia="Times New Roman"/>
          <w:sz w:val="22"/>
          <w:szCs w:val="22"/>
        </w:rPr>
        <w:t xml:space="preserve"> psychology, has generally neglected, and that Bologna</w:t>
      </w:r>
      <w:r w:rsidR="00C82840" w:rsidRPr="00BD4DB3">
        <w:rPr>
          <w:rFonts w:eastAsia="Times New Roman"/>
          <w:sz w:val="22"/>
          <w:szCs w:val="22"/>
        </w:rPr>
        <w:t xml:space="preserve">-like </w:t>
      </w:r>
      <w:r w:rsidRPr="00BD4DB3">
        <w:rPr>
          <w:rFonts w:eastAsia="Times New Roman"/>
          <w:sz w:val="22"/>
          <w:szCs w:val="22"/>
        </w:rPr>
        <w:t>collaborations have embraced</w:t>
      </w:r>
      <w:r w:rsidR="002C32B9" w:rsidRPr="00BD4DB3">
        <w:rPr>
          <w:rFonts w:eastAsia="Times New Roman"/>
          <w:sz w:val="22"/>
          <w:szCs w:val="22"/>
        </w:rPr>
        <w:t xml:space="preserve">: (1) </w:t>
      </w:r>
      <w:r w:rsidRPr="00BD4DB3">
        <w:rPr>
          <w:rFonts w:eastAsia="Times New Roman"/>
          <w:sz w:val="22"/>
          <w:szCs w:val="22"/>
        </w:rPr>
        <w:t xml:space="preserve">a </w:t>
      </w:r>
      <w:r w:rsidR="00C82840" w:rsidRPr="00BD4DB3">
        <w:rPr>
          <w:rFonts w:eastAsia="Times New Roman"/>
          <w:sz w:val="22"/>
          <w:szCs w:val="22"/>
        </w:rPr>
        <w:t>b</w:t>
      </w:r>
      <w:r w:rsidRPr="00BD4DB3">
        <w:rPr>
          <w:rFonts w:eastAsia="Times New Roman"/>
          <w:sz w:val="22"/>
          <w:szCs w:val="22"/>
        </w:rPr>
        <w:t>roader range of stakeholders invested in quality education</w:t>
      </w:r>
      <w:r w:rsidR="002C32B9" w:rsidRPr="00BD4DB3">
        <w:rPr>
          <w:rFonts w:eastAsia="Times New Roman"/>
          <w:sz w:val="22"/>
          <w:szCs w:val="22"/>
        </w:rPr>
        <w:t>,</w:t>
      </w:r>
      <w:r w:rsidRPr="00BD4DB3">
        <w:rPr>
          <w:rFonts w:eastAsia="Times New Roman"/>
          <w:sz w:val="22"/>
          <w:szCs w:val="22"/>
        </w:rPr>
        <w:t xml:space="preserve"> and </w:t>
      </w:r>
      <w:r w:rsidR="002C32B9" w:rsidRPr="00BD4DB3">
        <w:rPr>
          <w:rFonts w:eastAsia="Times New Roman"/>
          <w:sz w:val="22"/>
          <w:szCs w:val="22"/>
        </w:rPr>
        <w:t xml:space="preserve">(2) </w:t>
      </w:r>
      <w:r w:rsidRPr="00BD4DB3">
        <w:rPr>
          <w:rFonts w:eastAsia="Times New Roman"/>
          <w:sz w:val="22"/>
          <w:szCs w:val="22"/>
        </w:rPr>
        <w:t xml:space="preserve">curricula and assessments </w:t>
      </w:r>
      <w:r w:rsidR="007906F0" w:rsidRPr="00BD4DB3">
        <w:rPr>
          <w:rFonts w:eastAsia="Times New Roman"/>
          <w:sz w:val="22"/>
          <w:szCs w:val="22"/>
        </w:rPr>
        <w:t>that</w:t>
      </w:r>
      <w:r w:rsidRPr="00BD4DB3">
        <w:rPr>
          <w:rFonts w:eastAsia="Times New Roman"/>
          <w:sz w:val="22"/>
          <w:szCs w:val="22"/>
        </w:rPr>
        <w:t xml:space="preserve"> </w:t>
      </w:r>
      <w:r w:rsidR="002E0A4C" w:rsidRPr="00BD4DB3">
        <w:rPr>
          <w:rFonts w:eastAsia="Times New Roman"/>
          <w:sz w:val="22"/>
          <w:szCs w:val="22"/>
        </w:rPr>
        <w:t>promote</w:t>
      </w:r>
      <w:r w:rsidRPr="00BD4DB3">
        <w:rPr>
          <w:rFonts w:eastAsia="Times New Roman"/>
          <w:sz w:val="22"/>
          <w:szCs w:val="22"/>
        </w:rPr>
        <w:t xml:space="preserve"> mobility</w:t>
      </w:r>
      <w:r w:rsidR="00CF33CB" w:rsidRPr="00BD4DB3">
        <w:rPr>
          <w:rFonts w:eastAsia="Times New Roman"/>
          <w:sz w:val="22"/>
          <w:szCs w:val="22"/>
        </w:rPr>
        <w:t xml:space="preserve"> (e.g., Adelman, 2009)</w:t>
      </w:r>
      <w:r w:rsidRPr="00BD4DB3">
        <w:rPr>
          <w:rFonts w:eastAsia="Times New Roman"/>
          <w:sz w:val="22"/>
          <w:szCs w:val="22"/>
        </w:rPr>
        <w:t>. We</w:t>
      </w:r>
      <w:r w:rsidR="00FC6210" w:rsidRPr="00BD4DB3">
        <w:rPr>
          <w:rFonts w:eastAsia="Times New Roman"/>
          <w:sz w:val="22"/>
          <w:szCs w:val="22"/>
        </w:rPr>
        <w:t xml:space="preserve"> will</w:t>
      </w:r>
      <w:r w:rsidRPr="00BD4DB3">
        <w:rPr>
          <w:rFonts w:eastAsia="Times New Roman"/>
          <w:sz w:val="22"/>
          <w:szCs w:val="22"/>
        </w:rPr>
        <w:t xml:space="preserve"> consider each </w:t>
      </w:r>
      <w:r w:rsidR="00C82840" w:rsidRPr="00BD4DB3">
        <w:rPr>
          <w:rFonts w:eastAsia="Times New Roman"/>
          <w:sz w:val="22"/>
          <w:szCs w:val="22"/>
        </w:rPr>
        <w:t>in turn</w:t>
      </w:r>
      <w:r w:rsidR="00CF33CB" w:rsidRPr="00BD4DB3">
        <w:rPr>
          <w:rFonts w:eastAsia="Times New Roman"/>
          <w:sz w:val="22"/>
          <w:szCs w:val="22"/>
        </w:rPr>
        <w:t>.</w:t>
      </w:r>
      <w:r w:rsidRPr="00BD4DB3">
        <w:rPr>
          <w:rFonts w:eastAsia="Times New Roman"/>
          <w:sz w:val="22"/>
          <w:szCs w:val="22"/>
        </w:rPr>
        <w:t xml:space="preserve"> </w:t>
      </w:r>
    </w:p>
    <w:p w14:paraId="17233C81" w14:textId="71707A25" w:rsidR="00A77C32" w:rsidRPr="00BD4DB3" w:rsidRDefault="00A77C32" w:rsidP="00A77C32">
      <w:pPr>
        <w:spacing w:line="480" w:lineRule="auto"/>
        <w:rPr>
          <w:rFonts w:eastAsia="Times New Roman"/>
          <w:sz w:val="22"/>
          <w:szCs w:val="22"/>
        </w:rPr>
      </w:pPr>
      <w:r w:rsidRPr="00BD4DB3">
        <w:rPr>
          <w:rFonts w:eastAsia="Times New Roman"/>
          <w:b/>
          <w:sz w:val="22"/>
          <w:szCs w:val="22"/>
        </w:rPr>
        <w:t>A Broader Range of Stakeholders</w:t>
      </w:r>
    </w:p>
    <w:p w14:paraId="7BB5D803" w14:textId="6C9FDD7F" w:rsidR="00A77C32" w:rsidRPr="00BD4DB3" w:rsidRDefault="002B2811" w:rsidP="00A77C32">
      <w:pPr>
        <w:spacing w:line="480" w:lineRule="auto"/>
        <w:ind w:firstLine="720"/>
        <w:rPr>
          <w:rFonts w:eastAsia="Times New Roman"/>
          <w:b/>
          <w:sz w:val="22"/>
          <w:szCs w:val="22"/>
        </w:rPr>
      </w:pPr>
      <w:r w:rsidRPr="00BD4DB3">
        <w:rPr>
          <w:rFonts w:eastAsia="Times New Roman"/>
          <w:sz w:val="22"/>
          <w:szCs w:val="22"/>
        </w:rPr>
        <w:t xml:space="preserve">Changes </w:t>
      </w:r>
      <w:r w:rsidR="00AC1B1A" w:rsidRPr="00BD4DB3">
        <w:rPr>
          <w:rFonts w:eastAsia="Times New Roman"/>
          <w:sz w:val="22"/>
          <w:szCs w:val="22"/>
        </w:rPr>
        <w:t>result</w:t>
      </w:r>
      <w:r w:rsidR="00137832">
        <w:rPr>
          <w:rFonts w:eastAsia="Times New Roman"/>
          <w:sz w:val="22"/>
          <w:szCs w:val="22"/>
        </w:rPr>
        <w:t>ing</w:t>
      </w:r>
      <w:r w:rsidR="00AC1B1A" w:rsidRPr="00BD4DB3">
        <w:rPr>
          <w:rFonts w:eastAsia="Times New Roman"/>
          <w:sz w:val="22"/>
          <w:szCs w:val="22"/>
        </w:rPr>
        <w:t xml:space="preserve"> from</w:t>
      </w:r>
      <w:r w:rsidRPr="00BD4DB3">
        <w:rPr>
          <w:rFonts w:eastAsia="Times New Roman"/>
          <w:sz w:val="22"/>
          <w:szCs w:val="22"/>
        </w:rPr>
        <w:t xml:space="preserve"> the Bologna Process and other Tuning projects</w:t>
      </w:r>
      <w:r w:rsidR="00AC1B1A" w:rsidRPr="00BD4DB3">
        <w:rPr>
          <w:rFonts w:eastAsia="Times New Roman"/>
          <w:sz w:val="22"/>
          <w:szCs w:val="22"/>
        </w:rPr>
        <w:t xml:space="preserve"> </w:t>
      </w:r>
      <w:r w:rsidR="00137832">
        <w:rPr>
          <w:rFonts w:eastAsia="Times New Roman"/>
          <w:sz w:val="22"/>
          <w:szCs w:val="22"/>
        </w:rPr>
        <w:t>were partly</w:t>
      </w:r>
      <w:r w:rsidR="00AA29F7" w:rsidRPr="00BD4DB3">
        <w:rPr>
          <w:rFonts w:eastAsia="Times New Roman"/>
          <w:sz w:val="22"/>
          <w:szCs w:val="22"/>
        </w:rPr>
        <w:t xml:space="preserve"> influence</w:t>
      </w:r>
      <w:r w:rsidR="00137832">
        <w:rPr>
          <w:rFonts w:eastAsia="Times New Roman"/>
          <w:sz w:val="22"/>
          <w:szCs w:val="22"/>
        </w:rPr>
        <w:t>d</w:t>
      </w:r>
      <w:r w:rsidR="00AA29F7" w:rsidRPr="00BD4DB3">
        <w:rPr>
          <w:rFonts w:eastAsia="Times New Roman"/>
          <w:sz w:val="22"/>
          <w:szCs w:val="22"/>
        </w:rPr>
        <w:t xml:space="preserve"> </w:t>
      </w:r>
      <w:r w:rsidR="00137832">
        <w:rPr>
          <w:rFonts w:eastAsia="Times New Roman"/>
          <w:sz w:val="22"/>
          <w:szCs w:val="22"/>
        </w:rPr>
        <w:t>by</w:t>
      </w:r>
      <w:r w:rsidR="00AA29F7" w:rsidRPr="00BD4DB3">
        <w:rPr>
          <w:rFonts w:eastAsia="Times New Roman"/>
          <w:sz w:val="22"/>
          <w:szCs w:val="22"/>
        </w:rPr>
        <w:t xml:space="preserve"> </w:t>
      </w:r>
      <w:r w:rsidR="00AC1B1A" w:rsidRPr="00BD4DB3">
        <w:rPr>
          <w:rFonts w:eastAsia="Times New Roman"/>
          <w:sz w:val="22"/>
          <w:szCs w:val="22"/>
        </w:rPr>
        <w:t xml:space="preserve">external </w:t>
      </w:r>
      <w:r w:rsidR="00AA29F7" w:rsidRPr="00BD4DB3">
        <w:rPr>
          <w:rFonts w:eastAsia="Times New Roman"/>
          <w:sz w:val="22"/>
          <w:szCs w:val="22"/>
        </w:rPr>
        <w:t xml:space="preserve">stakeholders, including employers and the general public. Traditionally, curricula and assessments </w:t>
      </w:r>
      <w:r w:rsidR="00481625">
        <w:rPr>
          <w:rFonts w:eastAsia="Times New Roman"/>
          <w:sz w:val="22"/>
          <w:szCs w:val="22"/>
        </w:rPr>
        <w:t>are</w:t>
      </w:r>
      <w:r w:rsidR="00481625" w:rsidRPr="00BD4DB3">
        <w:rPr>
          <w:rFonts w:eastAsia="Times New Roman"/>
          <w:sz w:val="22"/>
          <w:szCs w:val="22"/>
        </w:rPr>
        <w:t xml:space="preserve"> </w:t>
      </w:r>
      <w:r w:rsidR="00AC1B1A" w:rsidRPr="00BD4DB3">
        <w:rPr>
          <w:rFonts w:eastAsia="Times New Roman"/>
          <w:sz w:val="22"/>
          <w:szCs w:val="22"/>
        </w:rPr>
        <w:t>faculty-</w:t>
      </w:r>
      <w:r w:rsidR="00AA29F7" w:rsidRPr="00BD4DB3">
        <w:rPr>
          <w:rFonts w:eastAsia="Times New Roman"/>
          <w:sz w:val="22"/>
          <w:szCs w:val="22"/>
        </w:rPr>
        <w:t xml:space="preserve">driven; but there </w:t>
      </w:r>
      <w:r w:rsidR="00C82840" w:rsidRPr="00BD4DB3">
        <w:rPr>
          <w:rFonts w:eastAsia="Times New Roman"/>
          <w:sz w:val="22"/>
          <w:szCs w:val="22"/>
        </w:rPr>
        <w:t>has been</w:t>
      </w:r>
      <w:r w:rsidR="00AA29F7" w:rsidRPr="00BD4DB3">
        <w:rPr>
          <w:rFonts w:eastAsia="Times New Roman"/>
          <w:sz w:val="22"/>
          <w:szCs w:val="22"/>
        </w:rPr>
        <w:t xml:space="preserve"> an increasing awareness of a mismatch between </w:t>
      </w:r>
      <w:r w:rsidR="000A5B29" w:rsidRPr="00BD4DB3">
        <w:rPr>
          <w:rFonts w:eastAsia="Times New Roman"/>
          <w:sz w:val="22"/>
          <w:szCs w:val="22"/>
        </w:rPr>
        <w:t xml:space="preserve">graduates’ skills and </w:t>
      </w:r>
      <w:r w:rsidR="00AC1B1A" w:rsidRPr="00BD4DB3">
        <w:rPr>
          <w:rFonts w:eastAsia="Times New Roman"/>
          <w:sz w:val="22"/>
          <w:szCs w:val="22"/>
        </w:rPr>
        <w:t>employer expectations</w:t>
      </w:r>
      <w:r w:rsidR="00AA29F7" w:rsidRPr="00BD4DB3">
        <w:rPr>
          <w:rFonts w:eastAsia="Times New Roman"/>
          <w:sz w:val="22"/>
          <w:szCs w:val="22"/>
        </w:rPr>
        <w:t xml:space="preserve"> </w:t>
      </w:r>
      <w:r w:rsidRPr="00BD4DB3">
        <w:rPr>
          <w:rFonts w:eastAsia="Times New Roman"/>
          <w:sz w:val="22"/>
          <w:szCs w:val="22"/>
        </w:rPr>
        <w:t>(</w:t>
      </w:r>
      <w:r w:rsidR="001C37BC" w:rsidRPr="00BD4DB3">
        <w:rPr>
          <w:rFonts w:eastAsia="Times New Roman"/>
          <w:sz w:val="22"/>
          <w:szCs w:val="22"/>
        </w:rPr>
        <w:t>Altbach</w:t>
      </w:r>
      <w:r w:rsidR="00AC1B1A" w:rsidRPr="00BD4DB3">
        <w:rPr>
          <w:rFonts w:eastAsia="Times New Roman"/>
          <w:sz w:val="22"/>
          <w:szCs w:val="22"/>
        </w:rPr>
        <w:t xml:space="preserve"> et al.</w:t>
      </w:r>
      <w:r w:rsidR="001C37BC" w:rsidRPr="00BD4DB3">
        <w:rPr>
          <w:rFonts w:eastAsia="Times New Roman"/>
          <w:sz w:val="22"/>
          <w:szCs w:val="22"/>
        </w:rPr>
        <w:t xml:space="preserve">, 2009; </w:t>
      </w:r>
      <w:r w:rsidRPr="00BD4DB3">
        <w:rPr>
          <w:sz w:val="22"/>
          <w:szCs w:val="22"/>
        </w:rPr>
        <w:t>Beneitone &amp; Yarosh, 2015)</w:t>
      </w:r>
      <w:r w:rsidR="00067E80" w:rsidRPr="00BD4DB3">
        <w:rPr>
          <w:sz w:val="22"/>
          <w:szCs w:val="22"/>
        </w:rPr>
        <w:t>.</w:t>
      </w:r>
      <w:r w:rsidR="00FC50F8" w:rsidRPr="00BD4DB3">
        <w:rPr>
          <w:sz w:val="22"/>
          <w:szCs w:val="22"/>
        </w:rPr>
        <w:t xml:space="preserve"> Here we consider the rationale and examples of good practice around stakeholder engagement, includ</w:t>
      </w:r>
      <w:r w:rsidR="00C43CB4" w:rsidRPr="00BD4DB3">
        <w:rPr>
          <w:sz w:val="22"/>
          <w:szCs w:val="22"/>
        </w:rPr>
        <w:t>ing employers, community organiz</w:t>
      </w:r>
      <w:r w:rsidR="00FC50F8" w:rsidRPr="00BD4DB3">
        <w:rPr>
          <w:sz w:val="22"/>
          <w:szCs w:val="22"/>
        </w:rPr>
        <w:t>ations</w:t>
      </w:r>
      <w:r w:rsidR="00CF33CB" w:rsidRPr="00BD4DB3">
        <w:rPr>
          <w:sz w:val="22"/>
          <w:szCs w:val="22"/>
        </w:rPr>
        <w:t>,</w:t>
      </w:r>
      <w:r w:rsidR="00FC50F8" w:rsidRPr="00BD4DB3">
        <w:rPr>
          <w:sz w:val="22"/>
          <w:szCs w:val="22"/>
        </w:rPr>
        <w:t xml:space="preserve"> and students.</w:t>
      </w:r>
    </w:p>
    <w:p w14:paraId="1304C30B" w14:textId="7E373BAF" w:rsidR="007E3DCA" w:rsidRPr="00BD4DB3" w:rsidRDefault="00067E80" w:rsidP="007E3DCA">
      <w:pPr>
        <w:spacing w:line="480" w:lineRule="auto"/>
        <w:ind w:firstLine="720"/>
        <w:rPr>
          <w:sz w:val="22"/>
          <w:szCs w:val="22"/>
        </w:rPr>
      </w:pPr>
      <w:r w:rsidRPr="00BD4DB3">
        <w:rPr>
          <w:b/>
          <w:bCs/>
          <w:sz w:val="22"/>
          <w:szCs w:val="22"/>
        </w:rPr>
        <w:t xml:space="preserve">Employers. </w:t>
      </w:r>
      <w:r w:rsidRPr="00BD4DB3">
        <w:rPr>
          <w:sz w:val="22"/>
          <w:szCs w:val="22"/>
        </w:rPr>
        <w:t>E</w:t>
      </w:r>
      <w:r w:rsidR="00716C89" w:rsidRPr="00BD4DB3">
        <w:rPr>
          <w:sz w:val="22"/>
          <w:szCs w:val="22"/>
        </w:rPr>
        <w:t xml:space="preserve">mployers </w:t>
      </w:r>
      <w:r w:rsidRPr="00BD4DB3">
        <w:rPr>
          <w:sz w:val="22"/>
          <w:szCs w:val="22"/>
        </w:rPr>
        <w:t xml:space="preserve">have </w:t>
      </w:r>
      <w:r w:rsidR="00716C89" w:rsidRPr="00BD4DB3">
        <w:rPr>
          <w:sz w:val="22"/>
          <w:szCs w:val="22"/>
        </w:rPr>
        <w:t>not</w:t>
      </w:r>
      <w:r w:rsidRPr="00BD4DB3">
        <w:rPr>
          <w:sz w:val="22"/>
          <w:szCs w:val="22"/>
        </w:rPr>
        <w:t>ed</w:t>
      </w:r>
      <w:r w:rsidR="00716C89" w:rsidRPr="00BD4DB3">
        <w:rPr>
          <w:sz w:val="22"/>
          <w:szCs w:val="22"/>
        </w:rPr>
        <w:t xml:space="preserve"> a lack of </w:t>
      </w:r>
      <w:r w:rsidR="00137832">
        <w:rPr>
          <w:sz w:val="22"/>
          <w:szCs w:val="22"/>
        </w:rPr>
        <w:t xml:space="preserve">needed </w:t>
      </w:r>
      <w:r w:rsidR="00716C89" w:rsidRPr="00BD4DB3">
        <w:rPr>
          <w:sz w:val="22"/>
          <w:szCs w:val="22"/>
        </w:rPr>
        <w:t xml:space="preserve">skills </w:t>
      </w:r>
      <w:r w:rsidRPr="00BD4DB3">
        <w:rPr>
          <w:sz w:val="22"/>
          <w:szCs w:val="22"/>
        </w:rPr>
        <w:t>(</w:t>
      </w:r>
      <w:r w:rsidR="00181A47" w:rsidRPr="00BD4DB3">
        <w:rPr>
          <w:sz w:val="22"/>
          <w:szCs w:val="22"/>
        </w:rPr>
        <w:t>e.g.,</w:t>
      </w:r>
      <w:r w:rsidR="000C3377" w:rsidRPr="00BD4DB3">
        <w:rPr>
          <w:sz w:val="22"/>
          <w:szCs w:val="22"/>
        </w:rPr>
        <w:t xml:space="preserve"> </w:t>
      </w:r>
      <w:r w:rsidR="00716C89" w:rsidRPr="00BD4DB3">
        <w:rPr>
          <w:sz w:val="22"/>
          <w:szCs w:val="22"/>
        </w:rPr>
        <w:t xml:space="preserve">collaboration, </w:t>
      </w:r>
      <w:r w:rsidR="001E4510" w:rsidRPr="00BD4DB3">
        <w:rPr>
          <w:sz w:val="22"/>
          <w:szCs w:val="22"/>
        </w:rPr>
        <w:t xml:space="preserve">leadership, </w:t>
      </w:r>
      <w:r w:rsidR="00716C89" w:rsidRPr="00BD4DB3">
        <w:rPr>
          <w:sz w:val="22"/>
          <w:szCs w:val="22"/>
        </w:rPr>
        <w:t>problem solving</w:t>
      </w:r>
      <w:r w:rsidR="00AC1B1A" w:rsidRPr="00BD4DB3">
        <w:rPr>
          <w:sz w:val="22"/>
          <w:szCs w:val="22"/>
        </w:rPr>
        <w:t>;</w:t>
      </w:r>
      <w:r w:rsidRPr="00BD4DB3">
        <w:rPr>
          <w:sz w:val="22"/>
          <w:szCs w:val="22"/>
        </w:rPr>
        <w:t xml:space="preserve"> e.g.</w:t>
      </w:r>
      <w:r w:rsidR="00716C89" w:rsidRPr="00BD4DB3">
        <w:rPr>
          <w:sz w:val="22"/>
          <w:szCs w:val="22"/>
        </w:rPr>
        <w:t xml:space="preserve"> Brown et al., 2009</w:t>
      </w:r>
      <w:r w:rsidR="001E4510" w:rsidRPr="00BD4DB3">
        <w:rPr>
          <w:sz w:val="22"/>
          <w:szCs w:val="22"/>
        </w:rPr>
        <w:t xml:space="preserve">; Oliver </w:t>
      </w:r>
      <w:r w:rsidR="00B14CB4" w:rsidRPr="00BD4DB3">
        <w:rPr>
          <w:sz w:val="22"/>
          <w:szCs w:val="22"/>
        </w:rPr>
        <w:t>&amp;</w:t>
      </w:r>
      <w:r w:rsidR="001E4510" w:rsidRPr="00BD4DB3">
        <w:rPr>
          <w:sz w:val="22"/>
          <w:szCs w:val="22"/>
        </w:rPr>
        <w:t xml:space="preserve"> de St Jorre, 2018</w:t>
      </w:r>
      <w:r w:rsidR="00716C89" w:rsidRPr="00BD4DB3">
        <w:rPr>
          <w:sz w:val="22"/>
          <w:szCs w:val="22"/>
        </w:rPr>
        <w:t>)</w:t>
      </w:r>
      <w:r w:rsidRPr="00BD4DB3">
        <w:rPr>
          <w:sz w:val="22"/>
          <w:szCs w:val="22"/>
        </w:rPr>
        <w:t xml:space="preserve"> among graduates</w:t>
      </w:r>
      <w:r w:rsidR="002B2811" w:rsidRPr="00BD4DB3">
        <w:rPr>
          <w:sz w:val="22"/>
          <w:szCs w:val="22"/>
        </w:rPr>
        <w:t xml:space="preserve">. </w:t>
      </w:r>
      <w:r w:rsidR="00716C89" w:rsidRPr="00BD4DB3">
        <w:rPr>
          <w:sz w:val="22"/>
          <w:szCs w:val="22"/>
        </w:rPr>
        <w:t xml:space="preserve">This </w:t>
      </w:r>
      <w:r w:rsidR="00CF33CB" w:rsidRPr="00BD4DB3">
        <w:rPr>
          <w:sz w:val="22"/>
          <w:szCs w:val="22"/>
        </w:rPr>
        <w:t xml:space="preserve">gap between skills and needs </w:t>
      </w:r>
      <w:r w:rsidR="00181A47" w:rsidRPr="00BD4DB3">
        <w:rPr>
          <w:sz w:val="22"/>
          <w:szCs w:val="22"/>
        </w:rPr>
        <w:t xml:space="preserve">has driven </w:t>
      </w:r>
      <w:r w:rsidR="00716C89" w:rsidRPr="00BD4DB3">
        <w:rPr>
          <w:sz w:val="22"/>
          <w:szCs w:val="22"/>
        </w:rPr>
        <w:t>employer engagement within higher education globally (</w:t>
      </w:r>
      <w:r w:rsidR="00A82519" w:rsidRPr="00BD4DB3">
        <w:rPr>
          <w:sz w:val="22"/>
          <w:szCs w:val="22"/>
        </w:rPr>
        <w:t>Altbach</w:t>
      </w:r>
      <w:r w:rsidR="00F36A3C" w:rsidRPr="00BD4DB3">
        <w:rPr>
          <w:sz w:val="22"/>
          <w:szCs w:val="22"/>
        </w:rPr>
        <w:t xml:space="preserve"> et al.</w:t>
      </w:r>
      <w:r w:rsidR="00A82519" w:rsidRPr="00BD4DB3">
        <w:rPr>
          <w:sz w:val="22"/>
          <w:szCs w:val="22"/>
        </w:rPr>
        <w:t>, 2009; Mann</w:t>
      </w:r>
      <w:r w:rsidR="00AC1B1A" w:rsidRPr="00BD4DB3">
        <w:rPr>
          <w:sz w:val="22"/>
          <w:szCs w:val="22"/>
        </w:rPr>
        <w:t xml:space="preserve"> et al., </w:t>
      </w:r>
      <w:r w:rsidR="00A82519" w:rsidRPr="00BD4DB3">
        <w:rPr>
          <w:sz w:val="22"/>
          <w:szCs w:val="22"/>
        </w:rPr>
        <w:t xml:space="preserve">2014). </w:t>
      </w:r>
      <w:r w:rsidR="007E3DCA" w:rsidRPr="00BD4DB3">
        <w:rPr>
          <w:sz w:val="22"/>
          <w:szCs w:val="22"/>
        </w:rPr>
        <w:t>Indeed, in the Bologna Process and similar projects,</w:t>
      </w:r>
      <w:r w:rsidR="00181A47" w:rsidRPr="00BD4DB3">
        <w:rPr>
          <w:sz w:val="22"/>
          <w:szCs w:val="22"/>
        </w:rPr>
        <w:t xml:space="preserve"> employability of graduates is a key factor in curriculum development (Sin &amp; Neave, 2016); moreover,</w:t>
      </w:r>
      <w:r w:rsidR="007E3DCA" w:rsidRPr="00BD4DB3">
        <w:rPr>
          <w:sz w:val="22"/>
          <w:szCs w:val="22"/>
        </w:rPr>
        <w:t xml:space="preserve"> employers, along with recent graduates, </w:t>
      </w:r>
      <w:r w:rsidR="00C82840" w:rsidRPr="00BD4DB3">
        <w:rPr>
          <w:sz w:val="22"/>
          <w:szCs w:val="22"/>
        </w:rPr>
        <w:t xml:space="preserve">are consulted </w:t>
      </w:r>
      <w:r w:rsidR="007E3DCA" w:rsidRPr="00BD4DB3">
        <w:rPr>
          <w:sz w:val="22"/>
          <w:szCs w:val="22"/>
        </w:rPr>
        <w:t xml:space="preserve">to inform faculty members as they develop learning outcomes and </w:t>
      </w:r>
      <w:r w:rsidR="00C82840" w:rsidRPr="00BD4DB3">
        <w:rPr>
          <w:sz w:val="22"/>
          <w:szCs w:val="22"/>
        </w:rPr>
        <w:t>assessments</w:t>
      </w:r>
      <w:r w:rsidR="007E3DCA" w:rsidRPr="00BD4DB3">
        <w:rPr>
          <w:sz w:val="22"/>
          <w:szCs w:val="22"/>
        </w:rPr>
        <w:t xml:space="preserve"> (Adelman, 2009). </w:t>
      </w:r>
    </w:p>
    <w:p w14:paraId="073F78AA" w14:textId="7082DD15" w:rsidR="00A77C32" w:rsidRPr="00BD4DB3" w:rsidRDefault="00067E80" w:rsidP="00A77C32">
      <w:pPr>
        <w:spacing w:line="480" w:lineRule="auto"/>
        <w:ind w:firstLine="720"/>
        <w:rPr>
          <w:sz w:val="22"/>
          <w:szCs w:val="22"/>
        </w:rPr>
      </w:pPr>
      <w:r w:rsidRPr="00BD4DB3">
        <w:rPr>
          <w:sz w:val="22"/>
          <w:szCs w:val="22"/>
        </w:rPr>
        <w:t>Within psychology, the employability context</w:t>
      </w:r>
      <w:r w:rsidR="00C82840" w:rsidRPr="00BD4DB3">
        <w:rPr>
          <w:sz w:val="22"/>
          <w:szCs w:val="22"/>
        </w:rPr>
        <w:t xml:space="preserve"> for psychology</w:t>
      </w:r>
      <w:r w:rsidRPr="00BD4DB3">
        <w:rPr>
          <w:sz w:val="22"/>
          <w:szCs w:val="22"/>
        </w:rPr>
        <w:t xml:space="preserve"> varies considerably, with some countries providing graduate-level training to </w:t>
      </w:r>
      <w:r w:rsidR="005E056B" w:rsidRPr="00BD4DB3">
        <w:rPr>
          <w:sz w:val="22"/>
          <w:szCs w:val="22"/>
        </w:rPr>
        <w:t>most students</w:t>
      </w:r>
      <w:r w:rsidRPr="00BD4DB3">
        <w:rPr>
          <w:sz w:val="22"/>
          <w:szCs w:val="22"/>
        </w:rPr>
        <w:t xml:space="preserve"> (e.g.</w:t>
      </w:r>
      <w:r w:rsidR="000A5B29" w:rsidRPr="00BD4DB3">
        <w:rPr>
          <w:sz w:val="22"/>
          <w:szCs w:val="22"/>
        </w:rPr>
        <w:t>,</w:t>
      </w:r>
      <w:r w:rsidRPr="00BD4DB3">
        <w:rPr>
          <w:sz w:val="22"/>
          <w:szCs w:val="22"/>
        </w:rPr>
        <w:t xml:space="preserve"> the Netherlands)</w:t>
      </w:r>
      <w:r w:rsidR="002E0A4C" w:rsidRPr="00BD4DB3">
        <w:rPr>
          <w:sz w:val="22"/>
          <w:szCs w:val="22"/>
        </w:rPr>
        <w:t xml:space="preserve"> and others providing such training to a smaller proportion </w:t>
      </w:r>
      <w:r w:rsidRPr="00BD4DB3">
        <w:rPr>
          <w:sz w:val="22"/>
          <w:szCs w:val="22"/>
        </w:rPr>
        <w:t>(e.g.</w:t>
      </w:r>
      <w:r w:rsidR="000A5B29" w:rsidRPr="00BD4DB3">
        <w:rPr>
          <w:sz w:val="22"/>
          <w:szCs w:val="22"/>
        </w:rPr>
        <w:t>,</w:t>
      </w:r>
      <w:r w:rsidRPr="00BD4DB3">
        <w:rPr>
          <w:sz w:val="22"/>
          <w:szCs w:val="22"/>
        </w:rPr>
        <w:t xml:space="preserve"> the UK</w:t>
      </w:r>
      <w:r w:rsidR="003602ED" w:rsidRPr="00BD4DB3">
        <w:rPr>
          <w:sz w:val="22"/>
          <w:szCs w:val="22"/>
        </w:rPr>
        <w:t xml:space="preserve">, </w:t>
      </w:r>
      <w:r w:rsidRPr="00BD4DB3">
        <w:rPr>
          <w:sz w:val="22"/>
          <w:szCs w:val="22"/>
        </w:rPr>
        <w:t>Hulme &amp; Cranney, in press</w:t>
      </w:r>
      <w:r w:rsidR="003602ED" w:rsidRPr="00BD4DB3">
        <w:rPr>
          <w:sz w:val="22"/>
          <w:szCs w:val="22"/>
        </w:rPr>
        <w:t>; the U</w:t>
      </w:r>
      <w:r w:rsidR="00481625">
        <w:rPr>
          <w:sz w:val="22"/>
          <w:szCs w:val="22"/>
        </w:rPr>
        <w:t>.</w:t>
      </w:r>
      <w:r w:rsidR="003602ED" w:rsidRPr="00BD4DB3">
        <w:rPr>
          <w:sz w:val="22"/>
          <w:szCs w:val="22"/>
        </w:rPr>
        <w:t>S</w:t>
      </w:r>
      <w:r w:rsidR="00481625">
        <w:rPr>
          <w:sz w:val="22"/>
          <w:szCs w:val="22"/>
        </w:rPr>
        <w:t>.</w:t>
      </w:r>
      <w:r w:rsidR="003602ED" w:rsidRPr="00BD4DB3">
        <w:rPr>
          <w:sz w:val="22"/>
          <w:szCs w:val="22"/>
        </w:rPr>
        <w:t>, Landrum, 2018</w:t>
      </w:r>
      <w:r w:rsidRPr="00BD4DB3">
        <w:rPr>
          <w:sz w:val="22"/>
          <w:szCs w:val="22"/>
        </w:rPr>
        <w:t xml:space="preserve">). </w:t>
      </w:r>
      <w:r w:rsidR="00AC1B1A" w:rsidRPr="00BD4DB3">
        <w:rPr>
          <w:sz w:val="22"/>
          <w:szCs w:val="22"/>
        </w:rPr>
        <w:t>Beyond</w:t>
      </w:r>
      <w:r w:rsidR="002E0A4C" w:rsidRPr="00BD4DB3">
        <w:rPr>
          <w:sz w:val="22"/>
          <w:szCs w:val="22"/>
        </w:rPr>
        <w:t xml:space="preserve"> </w:t>
      </w:r>
      <w:r w:rsidR="00F36A3C" w:rsidRPr="00BD4DB3">
        <w:rPr>
          <w:sz w:val="22"/>
          <w:szCs w:val="22"/>
        </w:rPr>
        <w:t xml:space="preserve">practitioner </w:t>
      </w:r>
      <w:r w:rsidR="002E0A4C" w:rsidRPr="00BD4DB3">
        <w:rPr>
          <w:sz w:val="22"/>
          <w:szCs w:val="22"/>
        </w:rPr>
        <w:t xml:space="preserve">careers, </w:t>
      </w:r>
      <w:r w:rsidRPr="00BD4DB3">
        <w:rPr>
          <w:sz w:val="22"/>
          <w:szCs w:val="22"/>
        </w:rPr>
        <w:t xml:space="preserve">graduates </w:t>
      </w:r>
      <w:r w:rsidR="002E0A4C" w:rsidRPr="00BD4DB3">
        <w:rPr>
          <w:sz w:val="22"/>
          <w:szCs w:val="22"/>
        </w:rPr>
        <w:t>enter</w:t>
      </w:r>
      <w:r w:rsidRPr="00BD4DB3">
        <w:rPr>
          <w:sz w:val="22"/>
          <w:szCs w:val="22"/>
        </w:rPr>
        <w:t xml:space="preserve"> a variety of career</w:t>
      </w:r>
      <w:r w:rsidR="002E0A4C" w:rsidRPr="00BD4DB3">
        <w:rPr>
          <w:sz w:val="22"/>
          <w:szCs w:val="22"/>
        </w:rPr>
        <w:t>s</w:t>
      </w:r>
      <w:r w:rsidRPr="00BD4DB3">
        <w:rPr>
          <w:sz w:val="22"/>
          <w:szCs w:val="22"/>
        </w:rPr>
        <w:t xml:space="preserve">, including charitable work, </w:t>
      </w:r>
      <w:r w:rsidR="00E045F1" w:rsidRPr="00BD4DB3">
        <w:rPr>
          <w:sz w:val="22"/>
          <w:szCs w:val="22"/>
        </w:rPr>
        <w:t xml:space="preserve">sales and marketing, </w:t>
      </w:r>
      <w:r w:rsidRPr="00BD4DB3">
        <w:rPr>
          <w:sz w:val="22"/>
          <w:szCs w:val="22"/>
        </w:rPr>
        <w:t xml:space="preserve">management, education, and health care. </w:t>
      </w:r>
      <w:r w:rsidR="005E056B" w:rsidRPr="00BD4DB3">
        <w:rPr>
          <w:sz w:val="22"/>
          <w:szCs w:val="22"/>
        </w:rPr>
        <w:t xml:space="preserve">So, </w:t>
      </w:r>
      <w:r w:rsidRPr="00BD4DB3">
        <w:rPr>
          <w:sz w:val="22"/>
          <w:szCs w:val="22"/>
        </w:rPr>
        <w:t xml:space="preserve">engaging employers in psychology assessment development </w:t>
      </w:r>
      <w:r w:rsidR="00AC1B1A" w:rsidRPr="00BD4DB3">
        <w:rPr>
          <w:sz w:val="22"/>
          <w:szCs w:val="22"/>
        </w:rPr>
        <w:t>requires</w:t>
      </w:r>
      <w:r w:rsidRPr="00BD4DB3">
        <w:rPr>
          <w:sz w:val="22"/>
          <w:szCs w:val="22"/>
        </w:rPr>
        <w:t xml:space="preserve"> broad thinking about the ways in which </w:t>
      </w:r>
      <w:r w:rsidR="005E056B" w:rsidRPr="00BD4DB3">
        <w:rPr>
          <w:sz w:val="22"/>
          <w:szCs w:val="22"/>
        </w:rPr>
        <w:t>curricula</w:t>
      </w:r>
      <w:r w:rsidR="00436A5B" w:rsidRPr="00BD4DB3">
        <w:rPr>
          <w:sz w:val="22"/>
          <w:szCs w:val="22"/>
        </w:rPr>
        <w:t xml:space="preserve"> and </w:t>
      </w:r>
      <w:r w:rsidRPr="00BD4DB3">
        <w:rPr>
          <w:sz w:val="22"/>
          <w:szCs w:val="22"/>
        </w:rPr>
        <w:t xml:space="preserve">assessment can be designed to </w:t>
      </w:r>
      <w:r w:rsidR="004E328D" w:rsidRPr="00BD4DB3">
        <w:rPr>
          <w:sz w:val="22"/>
          <w:szCs w:val="22"/>
        </w:rPr>
        <w:t>demonstrate relevance to, and allow students to articulate the transferability (Pollard et al., 2015) of their skills to,</w:t>
      </w:r>
      <w:r w:rsidRPr="00BD4DB3">
        <w:rPr>
          <w:sz w:val="22"/>
          <w:szCs w:val="22"/>
        </w:rPr>
        <w:t xml:space="preserve"> a range of career options</w:t>
      </w:r>
      <w:r w:rsidR="002A7853" w:rsidRPr="00BD4DB3">
        <w:rPr>
          <w:sz w:val="22"/>
          <w:szCs w:val="22"/>
        </w:rPr>
        <w:t xml:space="preserve"> (see also, Landrum et al., 2010)</w:t>
      </w:r>
      <w:r w:rsidRPr="00BD4DB3">
        <w:rPr>
          <w:sz w:val="22"/>
          <w:szCs w:val="22"/>
        </w:rPr>
        <w:t xml:space="preserve">. </w:t>
      </w:r>
      <w:r w:rsidR="003602ED" w:rsidRPr="00BD4DB3">
        <w:rPr>
          <w:sz w:val="22"/>
          <w:szCs w:val="22"/>
        </w:rPr>
        <w:t>Employer</w:t>
      </w:r>
      <w:r w:rsidR="00481625">
        <w:rPr>
          <w:sz w:val="22"/>
          <w:szCs w:val="22"/>
        </w:rPr>
        <w:t>s</w:t>
      </w:r>
      <w:r w:rsidR="003602ED" w:rsidRPr="00BD4DB3">
        <w:rPr>
          <w:sz w:val="22"/>
          <w:szCs w:val="22"/>
        </w:rPr>
        <w:t xml:space="preserve"> can be engaged in a variety of ways</w:t>
      </w:r>
      <w:r w:rsidR="00404D2F" w:rsidRPr="00BD4DB3">
        <w:rPr>
          <w:sz w:val="22"/>
          <w:szCs w:val="22"/>
        </w:rPr>
        <w:t xml:space="preserve"> (Minocha</w:t>
      </w:r>
      <w:r w:rsidR="00AC1B1A" w:rsidRPr="00BD4DB3">
        <w:rPr>
          <w:sz w:val="22"/>
          <w:szCs w:val="22"/>
        </w:rPr>
        <w:t xml:space="preserve"> et al.</w:t>
      </w:r>
      <w:r w:rsidR="00404D2F" w:rsidRPr="00BD4DB3">
        <w:rPr>
          <w:sz w:val="22"/>
          <w:szCs w:val="22"/>
        </w:rPr>
        <w:t>, 2017)</w:t>
      </w:r>
      <w:r w:rsidR="003602ED" w:rsidRPr="00BD4DB3">
        <w:rPr>
          <w:sz w:val="22"/>
          <w:szCs w:val="22"/>
        </w:rPr>
        <w:t xml:space="preserve">, from </w:t>
      </w:r>
      <w:r w:rsidR="00137832">
        <w:rPr>
          <w:sz w:val="22"/>
          <w:szCs w:val="22"/>
        </w:rPr>
        <w:t>obtaining</w:t>
      </w:r>
      <w:r w:rsidR="003602ED" w:rsidRPr="00BD4DB3">
        <w:rPr>
          <w:sz w:val="22"/>
          <w:szCs w:val="22"/>
        </w:rPr>
        <w:t xml:space="preserve"> advice on </w:t>
      </w:r>
      <w:r w:rsidR="00AC1B1A" w:rsidRPr="00BD4DB3">
        <w:rPr>
          <w:sz w:val="22"/>
          <w:szCs w:val="22"/>
        </w:rPr>
        <w:t>the</w:t>
      </w:r>
      <w:r w:rsidR="003602ED" w:rsidRPr="00BD4DB3">
        <w:rPr>
          <w:sz w:val="22"/>
          <w:szCs w:val="22"/>
        </w:rPr>
        <w:t xml:space="preserve"> skills that they seek</w:t>
      </w:r>
      <w:r w:rsidR="00AC1B1A" w:rsidRPr="00BD4DB3">
        <w:rPr>
          <w:sz w:val="22"/>
          <w:szCs w:val="22"/>
        </w:rPr>
        <w:t xml:space="preserve"> in </w:t>
      </w:r>
      <w:r w:rsidR="003602ED" w:rsidRPr="00BD4DB3">
        <w:rPr>
          <w:sz w:val="22"/>
          <w:szCs w:val="22"/>
        </w:rPr>
        <w:t>hires</w:t>
      </w:r>
      <w:r w:rsidR="008B5C95" w:rsidRPr="00BD4DB3">
        <w:rPr>
          <w:sz w:val="22"/>
          <w:szCs w:val="22"/>
        </w:rPr>
        <w:t xml:space="preserve"> (e</w:t>
      </w:r>
      <w:r w:rsidR="00AC1B1A" w:rsidRPr="00BD4DB3">
        <w:rPr>
          <w:sz w:val="22"/>
          <w:szCs w:val="22"/>
        </w:rPr>
        <w:t>.</w:t>
      </w:r>
      <w:r w:rsidR="008B5C95" w:rsidRPr="00BD4DB3">
        <w:rPr>
          <w:sz w:val="22"/>
          <w:szCs w:val="22"/>
        </w:rPr>
        <w:t>g</w:t>
      </w:r>
      <w:r w:rsidR="00AC1B1A" w:rsidRPr="00BD4DB3">
        <w:rPr>
          <w:sz w:val="22"/>
          <w:szCs w:val="22"/>
        </w:rPr>
        <w:t>.</w:t>
      </w:r>
      <w:r w:rsidR="008B5C95" w:rsidRPr="00BD4DB3">
        <w:rPr>
          <w:sz w:val="22"/>
          <w:szCs w:val="22"/>
        </w:rPr>
        <w:t xml:space="preserve">, </w:t>
      </w:r>
      <w:r w:rsidR="00F860E4" w:rsidRPr="004F3DF9">
        <w:rPr>
          <w:rStyle w:val="Hyperlink"/>
          <w:color w:val="000000" w:themeColor="text1"/>
          <w:sz w:val="22"/>
          <w:szCs w:val="22"/>
          <w:u w:val="none"/>
        </w:rPr>
        <w:t>Hamilton</w:t>
      </w:r>
      <w:r w:rsidR="00AC1B1A" w:rsidRPr="004F3DF9">
        <w:rPr>
          <w:rStyle w:val="Hyperlink"/>
          <w:color w:val="000000" w:themeColor="text1"/>
          <w:sz w:val="22"/>
          <w:szCs w:val="22"/>
          <w:u w:val="none"/>
        </w:rPr>
        <w:t xml:space="preserve"> et al.</w:t>
      </w:r>
      <w:r w:rsidR="00F860E4" w:rsidRPr="004F3DF9">
        <w:rPr>
          <w:rStyle w:val="Hyperlink"/>
          <w:color w:val="000000" w:themeColor="text1"/>
          <w:sz w:val="22"/>
          <w:szCs w:val="22"/>
          <w:u w:val="none"/>
        </w:rPr>
        <w:t>, 2008</w:t>
      </w:r>
      <w:r w:rsidR="008B5C95" w:rsidRPr="00BD4DB3">
        <w:rPr>
          <w:sz w:val="22"/>
          <w:szCs w:val="22"/>
        </w:rPr>
        <w:t>)</w:t>
      </w:r>
      <w:r w:rsidR="003602ED" w:rsidRPr="00BD4DB3">
        <w:rPr>
          <w:sz w:val="22"/>
          <w:szCs w:val="22"/>
        </w:rPr>
        <w:t>, to involving them as experts in curriculum review and course</w:t>
      </w:r>
      <w:r w:rsidR="00AC1B1A" w:rsidRPr="00BD4DB3">
        <w:rPr>
          <w:sz w:val="22"/>
          <w:szCs w:val="22"/>
        </w:rPr>
        <w:t>-</w:t>
      </w:r>
      <w:r w:rsidR="003602ED" w:rsidRPr="00BD4DB3">
        <w:rPr>
          <w:sz w:val="22"/>
          <w:szCs w:val="22"/>
        </w:rPr>
        <w:t xml:space="preserve">validation events, to asking them to set authentic problems from their workplaces for </w:t>
      </w:r>
      <w:r w:rsidR="00481625">
        <w:rPr>
          <w:sz w:val="22"/>
          <w:szCs w:val="22"/>
        </w:rPr>
        <w:t xml:space="preserve">use as </w:t>
      </w:r>
      <w:r w:rsidR="003602ED" w:rsidRPr="00BD4DB3">
        <w:rPr>
          <w:sz w:val="22"/>
          <w:szCs w:val="22"/>
        </w:rPr>
        <w:t>assessments (student proposals can be fed back to employers to inform their practices, to ensure employer</w:t>
      </w:r>
      <w:r w:rsidR="008B5C95" w:rsidRPr="00BD4DB3">
        <w:rPr>
          <w:sz w:val="22"/>
          <w:szCs w:val="22"/>
        </w:rPr>
        <w:t>s</w:t>
      </w:r>
      <w:r w:rsidR="003602ED" w:rsidRPr="00BD4DB3">
        <w:rPr>
          <w:sz w:val="22"/>
          <w:szCs w:val="22"/>
        </w:rPr>
        <w:t xml:space="preserve"> benefit from </w:t>
      </w:r>
      <w:r w:rsidR="00481625">
        <w:rPr>
          <w:sz w:val="22"/>
          <w:szCs w:val="22"/>
        </w:rPr>
        <w:t xml:space="preserve">such </w:t>
      </w:r>
      <w:r w:rsidR="003602ED" w:rsidRPr="00BD4DB3">
        <w:rPr>
          <w:sz w:val="22"/>
          <w:szCs w:val="22"/>
        </w:rPr>
        <w:t>engagement).</w:t>
      </w:r>
      <w:r w:rsidR="00E045F1" w:rsidRPr="00BD4DB3">
        <w:rPr>
          <w:sz w:val="22"/>
          <w:szCs w:val="22"/>
        </w:rPr>
        <w:t xml:space="preserve"> Psychology programs can also learn about employer perspectives regarding students</w:t>
      </w:r>
      <w:r w:rsidR="00A655C9" w:rsidRPr="00BD4DB3">
        <w:rPr>
          <w:sz w:val="22"/>
          <w:szCs w:val="22"/>
        </w:rPr>
        <w:t>’</w:t>
      </w:r>
      <w:r w:rsidR="00E045F1" w:rsidRPr="00BD4DB3">
        <w:rPr>
          <w:sz w:val="22"/>
          <w:szCs w:val="22"/>
        </w:rPr>
        <w:t xml:space="preserve"> skills </w:t>
      </w:r>
      <w:r w:rsidR="00A655C9" w:rsidRPr="00BD4DB3">
        <w:rPr>
          <w:sz w:val="22"/>
          <w:szCs w:val="22"/>
        </w:rPr>
        <w:t xml:space="preserve">and work preparation </w:t>
      </w:r>
      <w:r w:rsidR="00AC1B1A" w:rsidRPr="00BD4DB3">
        <w:rPr>
          <w:sz w:val="22"/>
          <w:szCs w:val="22"/>
        </w:rPr>
        <w:t>via</w:t>
      </w:r>
      <w:r w:rsidR="00E045F1" w:rsidRPr="00BD4DB3">
        <w:rPr>
          <w:sz w:val="22"/>
          <w:szCs w:val="22"/>
        </w:rPr>
        <w:t xml:space="preserve"> onsite internships</w:t>
      </w:r>
      <w:r w:rsidR="00A655C9" w:rsidRPr="00BD4DB3">
        <w:rPr>
          <w:sz w:val="22"/>
          <w:szCs w:val="22"/>
        </w:rPr>
        <w:t>.</w:t>
      </w:r>
      <w:r w:rsidR="00626D8A" w:rsidRPr="00BD4DB3">
        <w:rPr>
          <w:sz w:val="22"/>
          <w:szCs w:val="22"/>
        </w:rPr>
        <w:t xml:space="preserve"> To formalize opportunities for all such initiatives, program directors could hold </w:t>
      </w:r>
      <w:r w:rsidR="00C402EC" w:rsidRPr="00BD4DB3">
        <w:rPr>
          <w:sz w:val="22"/>
          <w:szCs w:val="22"/>
        </w:rPr>
        <w:t>advisory board</w:t>
      </w:r>
      <w:r w:rsidR="00626D8A" w:rsidRPr="00BD4DB3">
        <w:rPr>
          <w:sz w:val="22"/>
          <w:szCs w:val="22"/>
        </w:rPr>
        <w:t xml:space="preserve"> meetings</w:t>
      </w:r>
      <w:r w:rsidR="00A51A9F" w:rsidRPr="00BD4DB3">
        <w:rPr>
          <w:sz w:val="22"/>
          <w:szCs w:val="22"/>
        </w:rPr>
        <w:t xml:space="preserve">, whereby contributions of employers </w:t>
      </w:r>
      <w:r w:rsidR="008B5C95" w:rsidRPr="00BD4DB3">
        <w:rPr>
          <w:sz w:val="22"/>
          <w:szCs w:val="22"/>
        </w:rPr>
        <w:t xml:space="preserve">could be </w:t>
      </w:r>
      <w:r w:rsidR="00C402EC" w:rsidRPr="00BD4DB3">
        <w:rPr>
          <w:sz w:val="22"/>
          <w:szCs w:val="22"/>
        </w:rPr>
        <w:t xml:space="preserve">acknowledged and </w:t>
      </w:r>
      <w:r w:rsidR="00A51A9F" w:rsidRPr="00BD4DB3">
        <w:rPr>
          <w:sz w:val="22"/>
          <w:szCs w:val="22"/>
        </w:rPr>
        <w:t>celebrated</w:t>
      </w:r>
      <w:r w:rsidR="00626D8A" w:rsidRPr="00BD4DB3">
        <w:rPr>
          <w:sz w:val="22"/>
          <w:szCs w:val="22"/>
        </w:rPr>
        <w:t xml:space="preserve">. </w:t>
      </w:r>
      <w:r w:rsidR="0046010A" w:rsidRPr="00BD4DB3">
        <w:rPr>
          <w:sz w:val="22"/>
          <w:szCs w:val="22"/>
        </w:rPr>
        <w:tab/>
      </w:r>
    </w:p>
    <w:p w14:paraId="59A714E4" w14:textId="57C3C24D" w:rsidR="00A77C32" w:rsidRPr="00BD4DB3" w:rsidRDefault="007E3DCA" w:rsidP="00A77C32">
      <w:pPr>
        <w:spacing w:line="480" w:lineRule="auto"/>
        <w:ind w:firstLine="720"/>
        <w:rPr>
          <w:sz w:val="22"/>
          <w:szCs w:val="22"/>
        </w:rPr>
      </w:pPr>
      <w:r w:rsidRPr="00BD4DB3">
        <w:rPr>
          <w:sz w:val="22"/>
          <w:szCs w:val="22"/>
        </w:rPr>
        <w:t xml:space="preserve">Once input from employers has been incorporated into curricula, </w:t>
      </w:r>
      <w:r w:rsidR="00C82840" w:rsidRPr="00BD4DB3">
        <w:rPr>
          <w:sz w:val="22"/>
          <w:szCs w:val="22"/>
        </w:rPr>
        <w:t xml:space="preserve">assessment of </w:t>
      </w:r>
      <w:r w:rsidRPr="00BD4DB3">
        <w:rPr>
          <w:sz w:val="22"/>
          <w:szCs w:val="22"/>
        </w:rPr>
        <w:t>expected competencies</w:t>
      </w:r>
      <w:r w:rsidR="00C82840" w:rsidRPr="00BD4DB3">
        <w:rPr>
          <w:sz w:val="22"/>
          <w:szCs w:val="22"/>
        </w:rPr>
        <w:t xml:space="preserve"> must follow</w:t>
      </w:r>
      <w:r w:rsidRPr="00BD4DB3">
        <w:rPr>
          <w:sz w:val="22"/>
          <w:szCs w:val="22"/>
        </w:rPr>
        <w:t xml:space="preserve">. </w:t>
      </w:r>
      <w:r w:rsidR="00A77C32" w:rsidRPr="00BD4DB3">
        <w:rPr>
          <w:sz w:val="22"/>
          <w:szCs w:val="22"/>
        </w:rPr>
        <w:t>Traditionally, w</w:t>
      </w:r>
      <w:r w:rsidR="00436A5B" w:rsidRPr="00BD4DB3">
        <w:rPr>
          <w:sz w:val="22"/>
          <w:szCs w:val="22"/>
        </w:rPr>
        <w:t>ork-based learning</w:t>
      </w:r>
      <w:r w:rsidR="005E056B" w:rsidRPr="00BD4DB3">
        <w:rPr>
          <w:sz w:val="22"/>
          <w:szCs w:val="22"/>
        </w:rPr>
        <w:t xml:space="preserve"> and</w:t>
      </w:r>
      <w:r w:rsidR="00436A5B" w:rsidRPr="00BD4DB3">
        <w:rPr>
          <w:sz w:val="22"/>
          <w:szCs w:val="22"/>
        </w:rPr>
        <w:t xml:space="preserve"> placements are </w:t>
      </w:r>
      <w:r w:rsidR="004B2C9C" w:rsidRPr="00BD4DB3">
        <w:rPr>
          <w:sz w:val="22"/>
          <w:szCs w:val="22"/>
        </w:rPr>
        <w:t>common</w:t>
      </w:r>
      <w:r w:rsidR="00436A5B" w:rsidRPr="00BD4DB3">
        <w:rPr>
          <w:sz w:val="22"/>
          <w:szCs w:val="22"/>
        </w:rPr>
        <w:t xml:space="preserve"> method</w:t>
      </w:r>
      <w:r w:rsidR="004B2C9C" w:rsidRPr="00BD4DB3">
        <w:rPr>
          <w:sz w:val="22"/>
          <w:szCs w:val="22"/>
        </w:rPr>
        <w:t>s</w:t>
      </w:r>
      <w:r w:rsidR="00436A5B" w:rsidRPr="00BD4DB3">
        <w:rPr>
          <w:sz w:val="22"/>
          <w:szCs w:val="22"/>
        </w:rPr>
        <w:t xml:space="preserve"> of engaging students with employability</w:t>
      </w:r>
      <w:r w:rsidR="00A77C32" w:rsidRPr="00BD4DB3">
        <w:rPr>
          <w:sz w:val="22"/>
          <w:szCs w:val="22"/>
        </w:rPr>
        <w:t xml:space="preserve"> (Moores &amp; Reddy, 2012)</w:t>
      </w:r>
      <w:r w:rsidR="00436A5B" w:rsidRPr="00BD4DB3">
        <w:rPr>
          <w:sz w:val="22"/>
          <w:szCs w:val="22"/>
        </w:rPr>
        <w:t xml:space="preserve">. Assessment of </w:t>
      </w:r>
      <w:r w:rsidR="004B2C9C" w:rsidRPr="00BD4DB3">
        <w:rPr>
          <w:sz w:val="22"/>
          <w:szCs w:val="22"/>
        </w:rPr>
        <w:t xml:space="preserve">such </w:t>
      </w:r>
      <w:r w:rsidR="005E056B" w:rsidRPr="00BD4DB3">
        <w:rPr>
          <w:sz w:val="22"/>
          <w:szCs w:val="22"/>
        </w:rPr>
        <w:t>programs</w:t>
      </w:r>
      <w:r w:rsidR="00436A5B" w:rsidRPr="00BD4DB3">
        <w:rPr>
          <w:sz w:val="22"/>
          <w:szCs w:val="22"/>
        </w:rPr>
        <w:t xml:space="preserve"> is typically via a reflective portfolio, often incorporating a</w:t>
      </w:r>
      <w:r w:rsidRPr="00BD4DB3">
        <w:rPr>
          <w:sz w:val="22"/>
          <w:szCs w:val="22"/>
        </w:rPr>
        <w:t>n</w:t>
      </w:r>
      <w:r w:rsidR="005E056B" w:rsidRPr="00BD4DB3">
        <w:rPr>
          <w:sz w:val="22"/>
          <w:szCs w:val="22"/>
        </w:rPr>
        <w:t xml:space="preserve"> </w:t>
      </w:r>
      <w:r w:rsidR="00436A5B" w:rsidRPr="00BD4DB3">
        <w:rPr>
          <w:sz w:val="22"/>
          <w:szCs w:val="22"/>
        </w:rPr>
        <w:t xml:space="preserve">account of the relevance of psychology to the work setting. </w:t>
      </w:r>
      <w:r w:rsidRPr="00BD4DB3">
        <w:rPr>
          <w:sz w:val="22"/>
          <w:szCs w:val="22"/>
        </w:rPr>
        <w:t>Because p</w:t>
      </w:r>
      <w:r w:rsidR="004C010F" w:rsidRPr="00BD4DB3">
        <w:rPr>
          <w:sz w:val="22"/>
          <w:szCs w:val="22"/>
        </w:rPr>
        <w:t>lacement opportunities</w:t>
      </w:r>
      <w:r w:rsidR="00CF33CB" w:rsidRPr="00BD4DB3">
        <w:rPr>
          <w:sz w:val="22"/>
          <w:szCs w:val="22"/>
        </w:rPr>
        <w:t xml:space="preserve"> can be resource</w:t>
      </w:r>
      <w:r w:rsidRPr="00BD4DB3">
        <w:rPr>
          <w:sz w:val="22"/>
          <w:szCs w:val="22"/>
        </w:rPr>
        <w:t xml:space="preserve"> and staff</w:t>
      </w:r>
      <w:r w:rsidR="00CF33CB" w:rsidRPr="00BD4DB3">
        <w:rPr>
          <w:sz w:val="22"/>
          <w:szCs w:val="22"/>
        </w:rPr>
        <w:t xml:space="preserve"> intensive</w:t>
      </w:r>
      <w:r w:rsidRPr="00BD4DB3">
        <w:rPr>
          <w:sz w:val="22"/>
          <w:szCs w:val="22"/>
        </w:rPr>
        <w:t xml:space="preserve"> </w:t>
      </w:r>
      <w:r w:rsidR="004E328D" w:rsidRPr="00BD4DB3">
        <w:rPr>
          <w:sz w:val="22"/>
          <w:szCs w:val="22"/>
        </w:rPr>
        <w:t>(Hulme &amp; Cranney, in press)</w:t>
      </w:r>
      <w:r w:rsidRPr="00BD4DB3">
        <w:rPr>
          <w:sz w:val="22"/>
          <w:szCs w:val="22"/>
        </w:rPr>
        <w:t xml:space="preserve">, </w:t>
      </w:r>
      <w:r w:rsidR="004E328D" w:rsidRPr="00BD4DB3">
        <w:rPr>
          <w:sz w:val="22"/>
          <w:szCs w:val="22"/>
        </w:rPr>
        <w:t>alternative models</w:t>
      </w:r>
      <w:r w:rsidRPr="00BD4DB3">
        <w:rPr>
          <w:sz w:val="22"/>
          <w:szCs w:val="22"/>
        </w:rPr>
        <w:t>, including “authentic assessments,”</w:t>
      </w:r>
      <w:r w:rsidR="00C82840" w:rsidRPr="00BD4DB3">
        <w:rPr>
          <w:sz w:val="22"/>
          <w:szCs w:val="22"/>
        </w:rPr>
        <w:t xml:space="preserve"> are attractive</w:t>
      </w:r>
      <w:r w:rsidR="004E328D" w:rsidRPr="00BD4DB3">
        <w:rPr>
          <w:sz w:val="22"/>
          <w:szCs w:val="22"/>
        </w:rPr>
        <w:t xml:space="preserve">. </w:t>
      </w:r>
      <w:r w:rsidR="00143BE4" w:rsidRPr="00BD4DB3">
        <w:rPr>
          <w:sz w:val="22"/>
          <w:szCs w:val="22"/>
        </w:rPr>
        <w:t>Various definitions of authentic assessment have been proposed, but this one, from Gulikers</w:t>
      </w:r>
      <w:r w:rsidR="00DB0A7C" w:rsidRPr="00BD4DB3">
        <w:rPr>
          <w:sz w:val="22"/>
          <w:szCs w:val="22"/>
        </w:rPr>
        <w:t xml:space="preserve"> and colleagues</w:t>
      </w:r>
      <w:r w:rsidR="00143BE4" w:rsidRPr="00BD4DB3">
        <w:rPr>
          <w:sz w:val="22"/>
          <w:szCs w:val="22"/>
        </w:rPr>
        <w:t xml:space="preserve"> (2004), </w:t>
      </w:r>
      <w:r w:rsidR="005E056B" w:rsidRPr="00BD4DB3">
        <w:rPr>
          <w:sz w:val="22"/>
          <w:szCs w:val="22"/>
        </w:rPr>
        <w:t>summarizes</w:t>
      </w:r>
      <w:r w:rsidR="00143BE4" w:rsidRPr="00BD4DB3">
        <w:rPr>
          <w:sz w:val="22"/>
          <w:szCs w:val="22"/>
        </w:rPr>
        <w:t xml:space="preserve"> the concept rather neatly:</w:t>
      </w:r>
    </w:p>
    <w:p w14:paraId="69722512" w14:textId="2CDCC1A9" w:rsidR="00BB3D1F" w:rsidRPr="00BD4DB3" w:rsidRDefault="00BB3D1F" w:rsidP="00A77C32">
      <w:pPr>
        <w:ind w:left="720"/>
        <w:rPr>
          <w:sz w:val="22"/>
          <w:szCs w:val="22"/>
          <w:lang w:val="en-GB"/>
        </w:rPr>
      </w:pPr>
      <w:r w:rsidRPr="00BD4DB3">
        <w:rPr>
          <w:sz w:val="22"/>
          <w:szCs w:val="22"/>
          <w:lang w:val="en-GB"/>
        </w:rPr>
        <w:t>Authentic assessment means that: (a) tasks must appropriately reflect the competency that needs to be assessed, (b) the content of an assessment involves authentic tasks that represent real-life problems of the knowledge domain assessed, and (c) the thinking that experts use to solve the problem in real life are also r</w:t>
      </w:r>
      <w:r w:rsidR="00A77C32" w:rsidRPr="00BD4DB3">
        <w:rPr>
          <w:sz w:val="22"/>
          <w:szCs w:val="22"/>
          <w:lang w:val="en-GB"/>
        </w:rPr>
        <w:t>equired by the assessment task (p. 68).</w:t>
      </w:r>
    </w:p>
    <w:p w14:paraId="49F9CF9B" w14:textId="77777777" w:rsidR="00A77C32" w:rsidRPr="00BD4DB3" w:rsidRDefault="00A77C32" w:rsidP="00A77C32">
      <w:pPr>
        <w:ind w:left="720"/>
        <w:rPr>
          <w:sz w:val="22"/>
          <w:szCs w:val="22"/>
        </w:rPr>
      </w:pPr>
    </w:p>
    <w:p w14:paraId="31CDFC10" w14:textId="0C01EA2E" w:rsidR="00143BE4" w:rsidRPr="00BD4DB3" w:rsidRDefault="00143BE4" w:rsidP="00A77C32">
      <w:pPr>
        <w:spacing w:line="480" w:lineRule="auto"/>
        <w:rPr>
          <w:sz w:val="22"/>
          <w:szCs w:val="22"/>
        </w:rPr>
      </w:pPr>
      <w:r w:rsidRPr="00BD4DB3">
        <w:rPr>
          <w:sz w:val="22"/>
          <w:szCs w:val="22"/>
        </w:rPr>
        <w:t>Likewise, Ashford-Rowe</w:t>
      </w:r>
      <w:r w:rsidR="004B2C9C" w:rsidRPr="00BD4DB3">
        <w:rPr>
          <w:sz w:val="22"/>
          <w:szCs w:val="22"/>
        </w:rPr>
        <w:t xml:space="preserve"> and colleagues</w:t>
      </w:r>
      <w:r w:rsidRPr="00BD4DB3">
        <w:rPr>
          <w:sz w:val="22"/>
          <w:szCs w:val="22"/>
        </w:rPr>
        <w:t xml:space="preserve"> (2013) proposed a model in which authentic assessment has eight components: they must be challenging, produce an outcome, ensure transfer of knowledge, incorporate reflection and metacognition, assess students’ performance </w:t>
      </w:r>
      <w:r w:rsidR="005E056B" w:rsidRPr="00BD4DB3">
        <w:rPr>
          <w:sz w:val="22"/>
          <w:szCs w:val="22"/>
        </w:rPr>
        <w:t>a</w:t>
      </w:r>
      <w:r w:rsidRPr="00BD4DB3">
        <w:rPr>
          <w:sz w:val="22"/>
          <w:szCs w:val="22"/>
        </w:rPr>
        <w:t>ccurately, be delivered in a ‘re</w:t>
      </w:r>
      <w:r w:rsidR="005E056B" w:rsidRPr="00BD4DB3">
        <w:rPr>
          <w:sz w:val="22"/>
          <w:szCs w:val="22"/>
        </w:rPr>
        <w:t>al-world’ environment</w:t>
      </w:r>
      <w:r w:rsidRPr="00BD4DB3">
        <w:rPr>
          <w:sz w:val="22"/>
          <w:szCs w:val="22"/>
        </w:rPr>
        <w:t>, facilitate feedback dialogue, and incorporate collaborative opportunities. In other words, authentic assessments are those that require educators to assess students’ transferable skills and knowledge from the psychology curriculum within settings that resemble the workplace</w:t>
      </w:r>
      <w:r w:rsidR="005E056B" w:rsidRPr="00BD4DB3">
        <w:rPr>
          <w:sz w:val="22"/>
          <w:szCs w:val="22"/>
        </w:rPr>
        <w:t>s</w:t>
      </w:r>
      <w:r w:rsidR="00B47C5F" w:rsidRPr="00BD4DB3">
        <w:rPr>
          <w:sz w:val="22"/>
          <w:szCs w:val="22"/>
        </w:rPr>
        <w:t xml:space="preserve"> to which student</w:t>
      </w:r>
      <w:r w:rsidR="005E056B" w:rsidRPr="00BD4DB3">
        <w:rPr>
          <w:sz w:val="22"/>
          <w:szCs w:val="22"/>
        </w:rPr>
        <w:t>s aspire</w:t>
      </w:r>
      <w:r w:rsidRPr="00BD4DB3">
        <w:rPr>
          <w:sz w:val="22"/>
          <w:szCs w:val="22"/>
        </w:rPr>
        <w:t>.</w:t>
      </w:r>
    </w:p>
    <w:p w14:paraId="4F0D4D0B" w14:textId="7C3455CB" w:rsidR="00B47C5F" w:rsidRPr="00BD4DB3" w:rsidRDefault="00404D2F" w:rsidP="00EC7EFA">
      <w:pPr>
        <w:spacing w:line="480" w:lineRule="auto"/>
        <w:ind w:firstLine="720"/>
        <w:rPr>
          <w:sz w:val="22"/>
          <w:szCs w:val="22"/>
        </w:rPr>
      </w:pPr>
      <w:r w:rsidRPr="00BD4DB3">
        <w:rPr>
          <w:sz w:val="22"/>
          <w:szCs w:val="22"/>
        </w:rPr>
        <w:t xml:space="preserve">An example of the use of authentic assessment is provided by </w:t>
      </w:r>
      <w:r w:rsidR="00B47C5F" w:rsidRPr="00BD4DB3">
        <w:rPr>
          <w:sz w:val="22"/>
          <w:szCs w:val="22"/>
        </w:rPr>
        <w:t>Hulme and Cranney (in press)</w:t>
      </w:r>
      <w:r w:rsidRPr="00BD4DB3">
        <w:rPr>
          <w:sz w:val="22"/>
          <w:szCs w:val="22"/>
        </w:rPr>
        <w:t>,</w:t>
      </w:r>
      <w:r w:rsidR="00B47C5F" w:rsidRPr="00BD4DB3">
        <w:rPr>
          <w:sz w:val="22"/>
          <w:szCs w:val="22"/>
        </w:rPr>
        <w:t xml:space="preserve"> in a </w:t>
      </w:r>
      <w:r w:rsidR="00C713E2" w:rsidRPr="00BD4DB3">
        <w:rPr>
          <w:sz w:val="22"/>
          <w:szCs w:val="22"/>
        </w:rPr>
        <w:t>capstone</w:t>
      </w:r>
      <w:r w:rsidR="00B47C5F" w:rsidRPr="00BD4DB3">
        <w:rPr>
          <w:sz w:val="22"/>
          <w:szCs w:val="22"/>
        </w:rPr>
        <w:t xml:space="preserve"> </w:t>
      </w:r>
      <w:r w:rsidR="007E3DCA" w:rsidRPr="00BD4DB3">
        <w:rPr>
          <w:sz w:val="22"/>
          <w:szCs w:val="22"/>
        </w:rPr>
        <w:t xml:space="preserve">undergraduate </w:t>
      </w:r>
      <w:r w:rsidR="00B47C5F" w:rsidRPr="00BD4DB3">
        <w:rPr>
          <w:sz w:val="22"/>
          <w:szCs w:val="22"/>
        </w:rPr>
        <w:t>psychology</w:t>
      </w:r>
      <w:r w:rsidR="00C82840" w:rsidRPr="00BD4DB3">
        <w:rPr>
          <w:sz w:val="22"/>
          <w:szCs w:val="22"/>
        </w:rPr>
        <w:t xml:space="preserve"> </w:t>
      </w:r>
      <w:r w:rsidR="00EA304A" w:rsidRPr="00BD4DB3">
        <w:rPr>
          <w:sz w:val="22"/>
          <w:szCs w:val="22"/>
        </w:rPr>
        <w:t>course</w:t>
      </w:r>
      <w:r w:rsidR="007E3DCA" w:rsidRPr="00BD4DB3">
        <w:rPr>
          <w:sz w:val="22"/>
          <w:szCs w:val="22"/>
        </w:rPr>
        <w:t>, Making a Difference with Psychology,</w:t>
      </w:r>
      <w:r w:rsidR="00B47C5F" w:rsidRPr="00BD4DB3">
        <w:rPr>
          <w:sz w:val="22"/>
          <w:szCs w:val="22"/>
        </w:rPr>
        <w:t xml:space="preserve"> </w:t>
      </w:r>
      <w:r w:rsidR="007E3DCA" w:rsidRPr="00BD4DB3">
        <w:rPr>
          <w:sz w:val="22"/>
          <w:szCs w:val="22"/>
        </w:rPr>
        <w:t>at Keele University</w:t>
      </w:r>
      <w:r w:rsidR="00AD192B" w:rsidRPr="00BD4DB3">
        <w:rPr>
          <w:sz w:val="22"/>
          <w:szCs w:val="22"/>
        </w:rPr>
        <w:t xml:space="preserve"> (UK)</w:t>
      </w:r>
      <w:r w:rsidR="00B47C5F" w:rsidRPr="00BD4DB3">
        <w:rPr>
          <w:sz w:val="22"/>
          <w:szCs w:val="22"/>
        </w:rPr>
        <w:t xml:space="preserve">. </w:t>
      </w:r>
      <w:r w:rsidR="007E3DCA" w:rsidRPr="00BD4DB3">
        <w:rPr>
          <w:sz w:val="22"/>
          <w:szCs w:val="22"/>
        </w:rPr>
        <w:t>S</w:t>
      </w:r>
      <w:r w:rsidR="00B47C5F" w:rsidRPr="00BD4DB3">
        <w:rPr>
          <w:sz w:val="22"/>
          <w:szCs w:val="22"/>
        </w:rPr>
        <w:t>tud</w:t>
      </w:r>
      <w:r w:rsidR="007E3DCA" w:rsidRPr="00BD4DB3">
        <w:rPr>
          <w:sz w:val="22"/>
          <w:szCs w:val="22"/>
        </w:rPr>
        <w:t>ents reflect</w:t>
      </w:r>
      <w:r w:rsidR="00B47C5F" w:rsidRPr="00BD4DB3">
        <w:rPr>
          <w:sz w:val="22"/>
          <w:szCs w:val="22"/>
        </w:rPr>
        <w:t xml:space="preserve"> </w:t>
      </w:r>
      <w:r w:rsidR="005E056B" w:rsidRPr="00BD4DB3">
        <w:rPr>
          <w:sz w:val="22"/>
          <w:szCs w:val="22"/>
        </w:rPr>
        <w:t xml:space="preserve">on </w:t>
      </w:r>
      <w:r w:rsidR="00B47C5F" w:rsidRPr="00BD4DB3">
        <w:rPr>
          <w:sz w:val="22"/>
          <w:szCs w:val="22"/>
        </w:rPr>
        <w:t>their studies in the context of employment-</w:t>
      </w:r>
      <w:r w:rsidR="007E3DCA" w:rsidRPr="00BD4DB3">
        <w:rPr>
          <w:sz w:val="22"/>
          <w:szCs w:val="22"/>
        </w:rPr>
        <w:t>relevant topics</w:t>
      </w:r>
      <w:r w:rsidR="00C82840" w:rsidRPr="00BD4DB3">
        <w:rPr>
          <w:sz w:val="22"/>
          <w:szCs w:val="22"/>
        </w:rPr>
        <w:t xml:space="preserve"> (e.g., leadership, science communication, activism, engagement with the arts and culture)</w:t>
      </w:r>
      <w:r w:rsidR="007E3DCA" w:rsidRPr="00BD4DB3">
        <w:rPr>
          <w:sz w:val="22"/>
          <w:szCs w:val="22"/>
        </w:rPr>
        <w:t>, and identify</w:t>
      </w:r>
      <w:r w:rsidR="00B47C5F" w:rsidRPr="00BD4DB3">
        <w:rPr>
          <w:sz w:val="22"/>
          <w:szCs w:val="22"/>
        </w:rPr>
        <w:t xml:space="preserve"> ways in which they can </w:t>
      </w:r>
      <w:r w:rsidR="007E3DCA" w:rsidRPr="00BD4DB3">
        <w:rPr>
          <w:sz w:val="22"/>
          <w:szCs w:val="22"/>
        </w:rPr>
        <w:t>apply</w:t>
      </w:r>
      <w:r w:rsidR="00B47C5F" w:rsidRPr="00BD4DB3">
        <w:rPr>
          <w:sz w:val="22"/>
          <w:szCs w:val="22"/>
        </w:rPr>
        <w:t xml:space="preserve"> their skills and knowledge.</w:t>
      </w:r>
      <w:r w:rsidR="00C713E2" w:rsidRPr="00BD4DB3">
        <w:rPr>
          <w:sz w:val="22"/>
          <w:szCs w:val="22"/>
        </w:rPr>
        <w:t xml:space="preserve"> For their assessment, students act as consultants</w:t>
      </w:r>
      <w:r w:rsidR="007E3DCA" w:rsidRPr="00BD4DB3">
        <w:rPr>
          <w:sz w:val="22"/>
          <w:szCs w:val="22"/>
        </w:rPr>
        <w:t xml:space="preserve"> to a</w:t>
      </w:r>
      <w:r w:rsidR="005E056B" w:rsidRPr="00BD4DB3">
        <w:rPr>
          <w:sz w:val="22"/>
          <w:szCs w:val="22"/>
        </w:rPr>
        <w:t>n</w:t>
      </w:r>
      <w:r w:rsidR="00B47C5F" w:rsidRPr="00BD4DB3">
        <w:rPr>
          <w:sz w:val="22"/>
          <w:szCs w:val="22"/>
        </w:rPr>
        <w:t xml:space="preserve"> </w:t>
      </w:r>
      <w:r w:rsidR="00C43CB4" w:rsidRPr="00BD4DB3">
        <w:rPr>
          <w:sz w:val="22"/>
          <w:szCs w:val="22"/>
        </w:rPr>
        <w:t>organization</w:t>
      </w:r>
      <w:r w:rsidR="007E3DCA" w:rsidRPr="00BD4DB3">
        <w:rPr>
          <w:sz w:val="22"/>
          <w:szCs w:val="22"/>
        </w:rPr>
        <w:t xml:space="preserve">, and </w:t>
      </w:r>
      <w:r w:rsidR="00B47C5F" w:rsidRPr="00BD4DB3">
        <w:rPr>
          <w:sz w:val="22"/>
          <w:szCs w:val="22"/>
        </w:rPr>
        <w:t xml:space="preserve">write a </w:t>
      </w:r>
      <w:r w:rsidR="005E056B" w:rsidRPr="00BD4DB3">
        <w:rPr>
          <w:sz w:val="22"/>
          <w:szCs w:val="22"/>
        </w:rPr>
        <w:t>proposal</w:t>
      </w:r>
      <w:r w:rsidR="00B47C5F" w:rsidRPr="00BD4DB3">
        <w:rPr>
          <w:sz w:val="22"/>
          <w:szCs w:val="22"/>
        </w:rPr>
        <w:t xml:space="preserve"> out</w:t>
      </w:r>
      <w:r w:rsidR="00C713E2" w:rsidRPr="00BD4DB3">
        <w:rPr>
          <w:sz w:val="22"/>
          <w:szCs w:val="22"/>
        </w:rPr>
        <w:t xml:space="preserve">lining </w:t>
      </w:r>
      <w:r w:rsidR="005E056B" w:rsidRPr="00BD4DB3">
        <w:rPr>
          <w:sz w:val="22"/>
          <w:szCs w:val="22"/>
        </w:rPr>
        <w:t>a</w:t>
      </w:r>
      <w:r w:rsidR="00C713E2" w:rsidRPr="00BD4DB3">
        <w:rPr>
          <w:sz w:val="22"/>
          <w:szCs w:val="22"/>
        </w:rPr>
        <w:t xml:space="preserve"> </w:t>
      </w:r>
      <w:r w:rsidR="005E056B" w:rsidRPr="00BD4DB3">
        <w:rPr>
          <w:sz w:val="22"/>
          <w:szCs w:val="22"/>
        </w:rPr>
        <w:t xml:space="preserve">research- and theory-informed </w:t>
      </w:r>
      <w:r w:rsidR="00C713E2" w:rsidRPr="00BD4DB3">
        <w:rPr>
          <w:sz w:val="22"/>
          <w:szCs w:val="22"/>
        </w:rPr>
        <w:t>solution</w:t>
      </w:r>
      <w:r w:rsidR="00B47C5F" w:rsidRPr="00BD4DB3">
        <w:rPr>
          <w:sz w:val="22"/>
          <w:szCs w:val="22"/>
        </w:rPr>
        <w:t xml:space="preserve">. </w:t>
      </w:r>
      <w:r w:rsidR="004B2C9C" w:rsidRPr="00BD4DB3">
        <w:rPr>
          <w:sz w:val="22"/>
          <w:szCs w:val="22"/>
        </w:rPr>
        <w:t>A</w:t>
      </w:r>
      <w:r w:rsidR="00C713E2" w:rsidRPr="00BD4DB3">
        <w:rPr>
          <w:sz w:val="22"/>
          <w:szCs w:val="22"/>
        </w:rPr>
        <w:t>lthough</w:t>
      </w:r>
      <w:r w:rsidR="00B47C5F" w:rsidRPr="00BD4DB3">
        <w:rPr>
          <w:sz w:val="22"/>
          <w:szCs w:val="22"/>
        </w:rPr>
        <w:t xml:space="preserve"> students report finding the </w:t>
      </w:r>
      <w:r w:rsidR="00C713E2" w:rsidRPr="00BD4DB3">
        <w:rPr>
          <w:sz w:val="22"/>
          <w:szCs w:val="22"/>
        </w:rPr>
        <w:t>task</w:t>
      </w:r>
      <w:r w:rsidR="00B47C5F" w:rsidRPr="00BD4DB3">
        <w:rPr>
          <w:sz w:val="22"/>
          <w:szCs w:val="22"/>
        </w:rPr>
        <w:t xml:space="preserve"> challenging, the scaffolded learning process and authenticity </w:t>
      </w:r>
      <w:r w:rsidR="004B2C9C" w:rsidRPr="00BD4DB3">
        <w:rPr>
          <w:sz w:val="22"/>
          <w:szCs w:val="22"/>
        </w:rPr>
        <w:t xml:space="preserve">make </w:t>
      </w:r>
      <w:r w:rsidR="00B47C5F" w:rsidRPr="00BD4DB3">
        <w:rPr>
          <w:sz w:val="22"/>
          <w:szCs w:val="22"/>
        </w:rPr>
        <w:t>it engaging and meaningful.</w:t>
      </w:r>
      <w:r w:rsidR="009D5BAB" w:rsidRPr="00BD4DB3">
        <w:rPr>
          <w:sz w:val="22"/>
          <w:szCs w:val="22"/>
        </w:rPr>
        <w:t xml:space="preserve"> </w:t>
      </w:r>
      <w:r w:rsidR="00C82840" w:rsidRPr="00BD4DB3">
        <w:rPr>
          <w:sz w:val="22"/>
          <w:szCs w:val="22"/>
        </w:rPr>
        <w:t>Thus</w:t>
      </w:r>
      <w:r w:rsidR="009D5BAB" w:rsidRPr="00BD4DB3">
        <w:rPr>
          <w:sz w:val="22"/>
          <w:szCs w:val="22"/>
        </w:rPr>
        <w:t xml:space="preserve">, through employer engagement, student employability can be enhanced </w:t>
      </w:r>
      <w:r w:rsidR="00C82840" w:rsidRPr="00BD4DB3">
        <w:rPr>
          <w:sz w:val="22"/>
          <w:szCs w:val="22"/>
        </w:rPr>
        <w:t>to explicitly align</w:t>
      </w:r>
      <w:r w:rsidR="009D5BAB" w:rsidRPr="00BD4DB3">
        <w:rPr>
          <w:sz w:val="22"/>
          <w:szCs w:val="22"/>
        </w:rPr>
        <w:t xml:space="preserve"> with </w:t>
      </w:r>
      <w:r w:rsidR="00D95D8F" w:rsidRPr="00BD4DB3">
        <w:rPr>
          <w:sz w:val="22"/>
          <w:szCs w:val="22"/>
        </w:rPr>
        <w:t>employers’</w:t>
      </w:r>
      <w:r w:rsidR="009D5BAB" w:rsidRPr="00BD4DB3">
        <w:rPr>
          <w:sz w:val="22"/>
          <w:szCs w:val="22"/>
        </w:rPr>
        <w:t xml:space="preserve"> needs, </w:t>
      </w:r>
      <w:r w:rsidR="00C82840" w:rsidRPr="00BD4DB3">
        <w:rPr>
          <w:sz w:val="22"/>
          <w:szCs w:val="22"/>
        </w:rPr>
        <w:t>and</w:t>
      </w:r>
      <w:r w:rsidR="009D5BAB" w:rsidRPr="00BD4DB3">
        <w:rPr>
          <w:sz w:val="22"/>
          <w:szCs w:val="22"/>
        </w:rPr>
        <w:t xml:space="preserve"> students are able to articulate </w:t>
      </w:r>
      <w:r w:rsidR="004B2C9C" w:rsidRPr="00BD4DB3">
        <w:rPr>
          <w:sz w:val="22"/>
          <w:szCs w:val="22"/>
        </w:rPr>
        <w:t xml:space="preserve">their skills </w:t>
      </w:r>
      <w:r w:rsidR="009D5BAB" w:rsidRPr="00BD4DB3">
        <w:rPr>
          <w:sz w:val="22"/>
          <w:szCs w:val="22"/>
        </w:rPr>
        <w:t>confidently in novel contexts.</w:t>
      </w:r>
      <w:r w:rsidRPr="00BD4DB3">
        <w:rPr>
          <w:sz w:val="22"/>
          <w:szCs w:val="22"/>
        </w:rPr>
        <w:t xml:space="preserve"> </w:t>
      </w:r>
      <w:r w:rsidR="004B2C9C" w:rsidRPr="00BD4DB3">
        <w:rPr>
          <w:sz w:val="22"/>
          <w:szCs w:val="22"/>
        </w:rPr>
        <w:t>Selected s</w:t>
      </w:r>
      <w:r w:rsidRPr="00BD4DB3">
        <w:rPr>
          <w:sz w:val="22"/>
          <w:szCs w:val="22"/>
        </w:rPr>
        <w:t xml:space="preserve">tudent work </w:t>
      </w:r>
      <w:r w:rsidR="004B2C9C" w:rsidRPr="00BD4DB3">
        <w:rPr>
          <w:sz w:val="22"/>
          <w:szCs w:val="22"/>
        </w:rPr>
        <w:t>is</w:t>
      </w:r>
      <w:r w:rsidRPr="00BD4DB3">
        <w:rPr>
          <w:sz w:val="22"/>
          <w:szCs w:val="22"/>
        </w:rPr>
        <w:t xml:space="preserve"> provided to employers to inform their problem</w:t>
      </w:r>
      <w:r w:rsidR="00040B55" w:rsidRPr="00BD4DB3">
        <w:rPr>
          <w:sz w:val="22"/>
          <w:szCs w:val="22"/>
        </w:rPr>
        <w:t>-</w:t>
      </w:r>
      <w:r w:rsidRPr="00BD4DB3">
        <w:rPr>
          <w:sz w:val="22"/>
          <w:szCs w:val="22"/>
        </w:rPr>
        <w:t>solving approach</w:t>
      </w:r>
      <w:r w:rsidR="00D4475B" w:rsidRPr="00BD4DB3">
        <w:rPr>
          <w:sz w:val="22"/>
          <w:szCs w:val="22"/>
        </w:rPr>
        <w:t xml:space="preserve">, </w:t>
      </w:r>
      <w:r w:rsidRPr="00BD4DB3">
        <w:rPr>
          <w:sz w:val="22"/>
          <w:szCs w:val="22"/>
        </w:rPr>
        <w:t xml:space="preserve">thus showcasing the </w:t>
      </w:r>
      <w:r w:rsidR="004B2C9C" w:rsidRPr="00BD4DB3">
        <w:rPr>
          <w:sz w:val="22"/>
          <w:szCs w:val="22"/>
        </w:rPr>
        <w:t xml:space="preserve">relevance of psychological evidence and the </w:t>
      </w:r>
      <w:r w:rsidRPr="00BD4DB3">
        <w:rPr>
          <w:sz w:val="22"/>
          <w:szCs w:val="22"/>
        </w:rPr>
        <w:t>quality of student work</w:t>
      </w:r>
      <w:r w:rsidR="004B2C9C" w:rsidRPr="00BD4DB3">
        <w:rPr>
          <w:sz w:val="22"/>
          <w:szCs w:val="22"/>
        </w:rPr>
        <w:t>,</w:t>
      </w:r>
      <w:r w:rsidRPr="00BD4DB3">
        <w:rPr>
          <w:sz w:val="22"/>
          <w:szCs w:val="22"/>
        </w:rPr>
        <w:t xml:space="preserve"> benefiting the employers</w:t>
      </w:r>
      <w:r w:rsidR="004B2C9C" w:rsidRPr="00BD4DB3">
        <w:rPr>
          <w:sz w:val="22"/>
          <w:szCs w:val="22"/>
        </w:rPr>
        <w:t xml:space="preserve">, and </w:t>
      </w:r>
      <w:r w:rsidR="00040B55" w:rsidRPr="00BD4DB3">
        <w:rPr>
          <w:sz w:val="22"/>
          <w:szCs w:val="22"/>
        </w:rPr>
        <w:t xml:space="preserve">further motivating </w:t>
      </w:r>
      <w:r w:rsidR="004B2C9C" w:rsidRPr="00BD4DB3">
        <w:rPr>
          <w:sz w:val="22"/>
          <w:szCs w:val="22"/>
        </w:rPr>
        <w:t>employers’</w:t>
      </w:r>
      <w:r w:rsidR="00040B55" w:rsidRPr="00BD4DB3">
        <w:rPr>
          <w:sz w:val="22"/>
          <w:szCs w:val="22"/>
        </w:rPr>
        <w:t xml:space="preserve"> continued engagement</w:t>
      </w:r>
      <w:r w:rsidRPr="00BD4DB3">
        <w:rPr>
          <w:sz w:val="22"/>
          <w:szCs w:val="22"/>
        </w:rPr>
        <w:t>.</w:t>
      </w:r>
    </w:p>
    <w:p w14:paraId="3647B195" w14:textId="2086ECFD" w:rsidR="00C713E2" w:rsidRPr="00BD4DB3" w:rsidRDefault="00143BE4" w:rsidP="00BB3D1F">
      <w:pPr>
        <w:spacing w:line="480" w:lineRule="auto"/>
        <w:rPr>
          <w:sz w:val="22"/>
          <w:szCs w:val="22"/>
        </w:rPr>
      </w:pPr>
      <w:r w:rsidRPr="00BD4DB3">
        <w:rPr>
          <w:sz w:val="22"/>
          <w:szCs w:val="22"/>
        </w:rPr>
        <w:t xml:space="preserve"> </w:t>
      </w:r>
      <w:r w:rsidR="00C713E2" w:rsidRPr="00BD4DB3">
        <w:rPr>
          <w:sz w:val="22"/>
          <w:szCs w:val="22"/>
        </w:rPr>
        <w:tab/>
      </w:r>
      <w:r w:rsidR="00BB3D1F" w:rsidRPr="00BD4DB3">
        <w:rPr>
          <w:b/>
          <w:bCs/>
          <w:sz w:val="22"/>
          <w:szCs w:val="22"/>
        </w:rPr>
        <w:t xml:space="preserve">Community. </w:t>
      </w:r>
      <w:r w:rsidR="00BB3D1F" w:rsidRPr="00BD4DB3">
        <w:rPr>
          <w:sz w:val="22"/>
          <w:szCs w:val="22"/>
        </w:rPr>
        <w:t>The concept of the ‘civic’ university, implying that universities are geographically located within</w:t>
      </w:r>
      <w:r w:rsidR="007E3DCA" w:rsidRPr="00BD4DB3">
        <w:rPr>
          <w:sz w:val="22"/>
          <w:szCs w:val="22"/>
        </w:rPr>
        <w:t>, but also a part of,</w:t>
      </w:r>
      <w:r w:rsidR="00BB3D1F" w:rsidRPr="00BD4DB3">
        <w:rPr>
          <w:sz w:val="22"/>
          <w:szCs w:val="22"/>
        </w:rPr>
        <w:t xml:space="preserve"> a community</w:t>
      </w:r>
      <w:r w:rsidR="00EF1A7C" w:rsidRPr="00BD4DB3">
        <w:rPr>
          <w:sz w:val="22"/>
          <w:szCs w:val="22"/>
        </w:rPr>
        <w:t>,</w:t>
      </w:r>
      <w:r w:rsidR="00BB3D1F" w:rsidRPr="00BD4DB3">
        <w:rPr>
          <w:sz w:val="22"/>
          <w:szCs w:val="22"/>
        </w:rPr>
        <w:t xml:space="preserve"> which should benefit from </w:t>
      </w:r>
      <w:r w:rsidR="009A3B46" w:rsidRPr="00BD4DB3">
        <w:rPr>
          <w:sz w:val="22"/>
          <w:szCs w:val="22"/>
        </w:rPr>
        <w:t>their</w:t>
      </w:r>
      <w:r w:rsidR="00BB3D1F" w:rsidRPr="00BD4DB3">
        <w:rPr>
          <w:sz w:val="22"/>
          <w:szCs w:val="22"/>
        </w:rPr>
        <w:t xml:space="preserve"> presence</w:t>
      </w:r>
      <w:r w:rsidR="005D7631" w:rsidRPr="00BD4DB3">
        <w:rPr>
          <w:sz w:val="22"/>
          <w:szCs w:val="22"/>
        </w:rPr>
        <w:t xml:space="preserve"> (e.g., UPP Foundation, 2019)</w:t>
      </w:r>
      <w:r w:rsidR="009A3B46" w:rsidRPr="00BD4DB3">
        <w:rPr>
          <w:sz w:val="22"/>
          <w:szCs w:val="22"/>
        </w:rPr>
        <w:t xml:space="preserve">, is not </w:t>
      </w:r>
      <w:r w:rsidR="00BB3D1F" w:rsidRPr="00BD4DB3">
        <w:rPr>
          <w:sz w:val="22"/>
          <w:szCs w:val="22"/>
        </w:rPr>
        <w:t>new. Bo</w:t>
      </w:r>
      <w:r w:rsidR="00C713E2" w:rsidRPr="00BD4DB3">
        <w:rPr>
          <w:sz w:val="22"/>
          <w:szCs w:val="22"/>
        </w:rPr>
        <w:t>yer (</w:t>
      </w:r>
      <w:r w:rsidR="009C6001" w:rsidRPr="00BD4DB3">
        <w:rPr>
          <w:sz w:val="22"/>
          <w:szCs w:val="22"/>
        </w:rPr>
        <w:t>1987</w:t>
      </w:r>
      <w:r w:rsidR="00C713E2" w:rsidRPr="00BD4DB3">
        <w:rPr>
          <w:sz w:val="22"/>
          <w:szCs w:val="22"/>
        </w:rPr>
        <w:t xml:space="preserve">) wrote: </w:t>
      </w:r>
    </w:p>
    <w:p w14:paraId="5404482F" w14:textId="1462CCAE" w:rsidR="00C713E2" w:rsidRPr="00BD4DB3" w:rsidRDefault="00BB3D1F" w:rsidP="00C713E2">
      <w:pPr>
        <w:ind w:left="720"/>
        <w:rPr>
          <w:sz w:val="22"/>
          <w:szCs w:val="22"/>
          <w:lang w:val="en-GB"/>
        </w:rPr>
      </w:pPr>
      <w:r w:rsidRPr="00BD4DB3">
        <w:rPr>
          <w:sz w:val="22"/>
          <w:szCs w:val="22"/>
          <w:lang w:val="en-GB"/>
        </w:rPr>
        <w:t>The aim of education is not only to prepare students for productive careers, but also to enable them to live lives of dignity and purpose; not only to generate new knowledge, but to help shape a citizenry that can promote the public good. Thus, higher education’s vision must be widened if the nation is to be rescued from the problems that threaten to diminish permanently the qu</w:t>
      </w:r>
      <w:r w:rsidR="00C713E2" w:rsidRPr="00BD4DB3">
        <w:rPr>
          <w:sz w:val="22"/>
          <w:szCs w:val="22"/>
          <w:lang w:val="en-GB"/>
        </w:rPr>
        <w:t>a</w:t>
      </w:r>
      <w:r w:rsidR="009C6001" w:rsidRPr="00BD4DB3">
        <w:rPr>
          <w:sz w:val="22"/>
          <w:szCs w:val="22"/>
          <w:lang w:val="en-GB"/>
        </w:rPr>
        <w:t>lity of life (p. 297</w:t>
      </w:r>
      <w:r w:rsidR="00C713E2" w:rsidRPr="00BD4DB3">
        <w:rPr>
          <w:sz w:val="22"/>
          <w:szCs w:val="22"/>
          <w:lang w:val="en-GB"/>
        </w:rPr>
        <w:t>).</w:t>
      </w:r>
    </w:p>
    <w:p w14:paraId="4C6B5EDE" w14:textId="77777777" w:rsidR="009C6001" w:rsidRPr="00BD4DB3" w:rsidRDefault="009C6001" w:rsidP="00C713E2">
      <w:pPr>
        <w:ind w:left="720"/>
        <w:rPr>
          <w:sz w:val="22"/>
          <w:szCs w:val="22"/>
          <w:lang w:val="en-GB"/>
        </w:rPr>
      </w:pPr>
    </w:p>
    <w:p w14:paraId="481EAC4A" w14:textId="014CD517" w:rsidR="00BB3D1F" w:rsidRPr="00BD4DB3" w:rsidRDefault="00EA304A" w:rsidP="00265DE9">
      <w:pPr>
        <w:spacing w:line="480" w:lineRule="auto"/>
        <w:rPr>
          <w:sz w:val="22"/>
          <w:szCs w:val="22"/>
        </w:rPr>
      </w:pPr>
      <w:r w:rsidRPr="00BD4DB3">
        <w:rPr>
          <w:sz w:val="22"/>
          <w:szCs w:val="22"/>
          <w:lang w:val="en-GB"/>
        </w:rPr>
        <w:t xml:space="preserve">Collaboration with civic organizations fits into the focus of Bologna countries on embracing </w:t>
      </w:r>
      <w:r w:rsidR="00821087" w:rsidRPr="00BD4DB3">
        <w:rPr>
          <w:sz w:val="22"/>
          <w:szCs w:val="22"/>
          <w:lang w:val="en-GB"/>
        </w:rPr>
        <w:t xml:space="preserve">external </w:t>
      </w:r>
      <w:r w:rsidRPr="00BD4DB3">
        <w:rPr>
          <w:sz w:val="22"/>
          <w:szCs w:val="22"/>
          <w:lang w:val="en-GB"/>
        </w:rPr>
        <w:t>stakeholders.</w:t>
      </w:r>
      <w:r w:rsidR="00F36A3C" w:rsidRPr="00BD4DB3">
        <w:rPr>
          <w:sz w:val="22"/>
          <w:szCs w:val="22"/>
          <w:lang w:val="en-GB"/>
        </w:rPr>
        <w:t xml:space="preserve"> </w:t>
      </w:r>
      <w:r w:rsidR="00265DE9" w:rsidRPr="00BD4DB3">
        <w:rPr>
          <w:sz w:val="22"/>
          <w:szCs w:val="22"/>
          <w:lang w:val="en-GB"/>
        </w:rPr>
        <w:t xml:space="preserve">Indeed, </w:t>
      </w:r>
      <w:r w:rsidRPr="00BD4DB3">
        <w:rPr>
          <w:sz w:val="22"/>
          <w:szCs w:val="22"/>
        </w:rPr>
        <w:t>a</w:t>
      </w:r>
      <w:r w:rsidR="00BB3D1F" w:rsidRPr="00BD4DB3">
        <w:rPr>
          <w:sz w:val="22"/>
          <w:szCs w:val="22"/>
        </w:rPr>
        <w:t xml:space="preserve"> growing emphasis on psychological litera</w:t>
      </w:r>
      <w:r w:rsidR="00D915D6" w:rsidRPr="00BD4DB3">
        <w:rPr>
          <w:sz w:val="22"/>
          <w:szCs w:val="22"/>
        </w:rPr>
        <w:t>cy</w:t>
      </w:r>
      <w:r w:rsidR="00821087" w:rsidRPr="00BD4DB3">
        <w:rPr>
          <w:sz w:val="22"/>
          <w:szCs w:val="22"/>
        </w:rPr>
        <w:t xml:space="preserve"> leads to</w:t>
      </w:r>
      <w:r w:rsidR="00EE42BA" w:rsidRPr="00BD4DB3">
        <w:rPr>
          <w:sz w:val="22"/>
          <w:szCs w:val="22"/>
        </w:rPr>
        <w:t xml:space="preserve"> increased </w:t>
      </w:r>
      <w:r w:rsidR="00BB3D1F" w:rsidRPr="00BD4DB3">
        <w:rPr>
          <w:sz w:val="22"/>
          <w:szCs w:val="22"/>
        </w:rPr>
        <w:t xml:space="preserve">recognition </w:t>
      </w:r>
      <w:r w:rsidRPr="00BD4DB3">
        <w:rPr>
          <w:sz w:val="22"/>
          <w:szCs w:val="22"/>
        </w:rPr>
        <w:t>that</w:t>
      </w:r>
      <w:r w:rsidR="00BB3D1F" w:rsidRPr="00BD4DB3">
        <w:rPr>
          <w:sz w:val="22"/>
          <w:szCs w:val="22"/>
        </w:rPr>
        <w:t xml:space="preserve"> psychology graduates </w:t>
      </w:r>
      <w:r w:rsidRPr="00BD4DB3">
        <w:rPr>
          <w:sz w:val="22"/>
          <w:szCs w:val="22"/>
        </w:rPr>
        <w:t>should</w:t>
      </w:r>
      <w:r w:rsidR="00BB3D1F" w:rsidRPr="00BD4DB3">
        <w:rPr>
          <w:sz w:val="22"/>
          <w:szCs w:val="22"/>
        </w:rPr>
        <w:t xml:space="preserve"> </w:t>
      </w:r>
      <w:r w:rsidR="003E3245" w:rsidRPr="00BD4DB3">
        <w:rPr>
          <w:sz w:val="22"/>
          <w:szCs w:val="22"/>
        </w:rPr>
        <w:t>acquire</w:t>
      </w:r>
      <w:r w:rsidR="00821087" w:rsidRPr="00BD4DB3">
        <w:rPr>
          <w:sz w:val="22"/>
          <w:szCs w:val="22"/>
        </w:rPr>
        <w:t xml:space="preserve"> a</w:t>
      </w:r>
      <w:r w:rsidR="00BB3D1F" w:rsidRPr="00BD4DB3">
        <w:rPr>
          <w:sz w:val="22"/>
          <w:szCs w:val="22"/>
        </w:rPr>
        <w:t xml:space="preserve"> “</w:t>
      </w:r>
      <w:r w:rsidR="003E3245" w:rsidRPr="00BD4DB3">
        <w:rPr>
          <w:sz w:val="22"/>
          <w:szCs w:val="22"/>
        </w:rPr>
        <w:t>general capacity to adaptively and intentionally apply psychology to meet personal, professional and societal needs</w:t>
      </w:r>
      <w:r w:rsidR="00BB3D1F" w:rsidRPr="00BD4DB3">
        <w:rPr>
          <w:sz w:val="22"/>
          <w:szCs w:val="22"/>
        </w:rPr>
        <w:t>” (</w:t>
      </w:r>
      <w:r w:rsidR="009A2652" w:rsidRPr="00BD4DB3">
        <w:rPr>
          <w:sz w:val="22"/>
          <w:szCs w:val="22"/>
        </w:rPr>
        <w:t xml:space="preserve">p. iii; </w:t>
      </w:r>
      <w:r w:rsidR="00BB3D1F" w:rsidRPr="00BD4DB3">
        <w:rPr>
          <w:sz w:val="22"/>
          <w:szCs w:val="22"/>
        </w:rPr>
        <w:t>Cranney</w:t>
      </w:r>
      <w:r w:rsidR="00DB0A7C" w:rsidRPr="00BD4DB3">
        <w:rPr>
          <w:sz w:val="22"/>
          <w:szCs w:val="22"/>
        </w:rPr>
        <w:t xml:space="preserve"> et al.</w:t>
      </w:r>
      <w:r w:rsidR="00BB3D1F" w:rsidRPr="00BD4DB3">
        <w:rPr>
          <w:sz w:val="22"/>
          <w:szCs w:val="22"/>
        </w:rPr>
        <w:t>, 201</w:t>
      </w:r>
      <w:r w:rsidR="003E3245" w:rsidRPr="00BD4DB3">
        <w:rPr>
          <w:sz w:val="22"/>
          <w:szCs w:val="22"/>
        </w:rPr>
        <w:t xml:space="preserve">2). </w:t>
      </w:r>
      <w:r w:rsidR="00BB3D1F" w:rsidRPr="00BD4DB3">
        <w:rPr>
          <w:sz w:val="22"/>
          <w:szCs w:val="22"/>
        </w:rPr>
        <w:t>This has led some psychology educators to engag</w:t>
      </w:r>
      <w:r w:rsidRPr="00BD4DB3">
        <w:rPr>
          <w:sz w:val="22"/>
          <w:szCs w:val="22"/>
        </w:rPr>
        <w:t xml:space="preserve">e </w:t>
      </w:r>
      <w:r w:rsidR="00BB3D1F" w:rsidRPr="00BD4DB3">
        <w:rPr>
          <w:sz w:val="22"/>
          <w:szCs w:val="22"/>
        </w:rPr>
        <w:t xml:space="preserve">community </w:t>
      </w:r>
      <w:r w:rsidR="00C43CB4" w:rsidRPr="00BD4DB3">
        <w:rPr>
          <w:sz w:val="22"/>
          <w:szCs w:val="22"/>
        </w:rPr>
        <w:t>organization</w:t>
      </w:r>
      <w:r w:rsidR="00BB3D1F" w:rsidRPr="00BD4DB3">
        <w:rPr>
          <w:sz w:val="22"/>
          <w:szCs w:val="22"/>
        </w:rPr>
        <w:t xml:space="preserve">s </w:t>
      </w:r>
      <w:r w:rsidR="000A5B29" w:rsidRPr="00BD4DB3">
        <w:rPr>
          <w:sz w:val="22"/>
          <w:szCs w:val="22"/>
        </w:rPr>
        <w:t xml:space="preserve">in </w:t>
      </w:r>
      <w:r w:rsidRPr="00BD4DB3">
        <w:rPr>
          <w:sz w:val="22"/>
          <w:szCs w:val="22"/>
        </w:rPr>
        <w:t>curricula</w:t>
      </w:r>
      <w:r w:rsidR="000A5B29" w:rsidRPr="00BD4DB3">
        <w:rPr>
          <w:sz w:val="22"/>
          <w:szCs w:val="22"/>
        </w:rPr>
        <w:t>r</w:t>
      </w:r>
      <w:r w:rsidR="00BB3D1F" w:rsidRPr="00BD4DB3">
        <w:rPr>
          <w:sz w:val="22"/>
          <w:szCs w:val="22"/>
        </w:rPr>
        <w:t xml:space="preserve"> and assessment activities. </w:t>
      </w:r>
      <w:r w:rsidRPr="00BD4DB3">
        <w:rPr>
          <w:sz w:val="22"/>
          <w:szCs w:val="22"/>
        </w:rPr>
        <w:t>Such collaborations f</w:t>
      </w:r>
      <w:r w:rsidR="00BB3D1F" w:rsidRPr="00BD4DB3">
        <w:rPr>
          <w:sz w:val="22"/>
          <w:szCs w:val="22"/>
        </w:rPr>
        <w:t>acilitate employability</w:t>
      </w:r>
      <w:r w:rsidR="00265DE9" w:rsidRPr="00BD4DB3">
        <w:rPr>
          <w:sz w:val="22"/>
          <w:szCs w:val="22"/>
        </w:rPr>
        <w:t xml:space="preserve">, but </w:t>
      </w:r>
      <w:r w:rsidRPr="00BD4DB3">
        <w:rPr>
          <w:sz w:val="22"/>
          <w:szCs w:val="22"/>
        </w:rPr>
        <w:t>also promote</w:t>
      </w:r>
      <w:r w:rsidR="00BB3D1F" w:rsidRPr="00BD4DB3">
        <w:rPr>
          <w:sz w:val="22"/>
          <w:szCs w:val="22"/>
        </w:rPr>
        <w:t xml:space="preserve"> global citizenship</w:t>
      </w:r>
      <w:r w:rsidR="00D915D6" w:rsidRPr="00BD4DB3">
        <w:rPr>
          <w:sz w:val="22"/>
          <w:szCs w:val="22"/>
        </w:rPr>
        <w:t>, intercultural competence,</w:t>
      </w:r>
      <w:r w:rsidR="00BB3D1F" w:rsidRPr="00BD4DB3">
        <w:rPr>
          <w:sz w:val="22"/>
          <w:szCs w:val="22"/>
        </w:rPr>
        <w:t xml:space="preserve"> problem-solving skills,</w:t>
      </w:r>
      <w:r w:rsidR="00A655C9" w:rsidRPr="00BD4DB3">
        <w:rPr>
          <w:sz w:val="22"/>
          <w:szCs w:val="22"/>
        </w:rPr>
        <w:t xml:space="preserve"> and a generative “giving back locally”</w:t>
      </w:r>
      <w:r w:rsidR="003C716D" w:rsidRPr="00BD4DB3">
        <w:rPr>
          <w:sz w:val="22"/>
          <w:szCs w:val="22"/>
        </w:rPr>
        <w:t xml:space="preserve"> </w:t>
      </w:r>
      <w:r w:rsidR="00F61212" w:rsidRPr="00BD4DB3">
        <w:rPr>
          <w:sz w:val="22"/>
          <w:szCs w:val="22"/>
        </w:rPr>
        <w:t>function</w:t>
      </w:r>
      <w:r w:rsidR="00821087" w:rsidRPr="00BD4DB3">
        <w:rPr>
          <w:sz w:val="22"/>
          <w:szCs w:val="22"/>
        </w:rPr>
        <w:t xml:space="preserve"> – </w:t>
      </w:r>
      <w:r w:rsidR="00F61212" w:rsidRPr="00BD4DB3">
        <w:rPr>
          <w:sz w:val="22"/>
          <w:szCs w:val="22"/>
        </w:rPr>
        <w:t>all</w:t>
      </w:r>
      <w:r w:rsidR="00265DE9" w:rsidRPr="00BD4DB3">
        <w:rPr>
          <w:sz w:val="22"/>
          <w:szCs w:val="22"/>
        </w:rPr>
        <w:t xml:space="preserve"> </w:t>
      </w:r>
      <w:r w:rsidR="00BB3D1F" w:rsidRPr="00BD4DB3">
        <w:rPr>
          <w:sz w:val="22"/>
          <w:szCs w:val="22"/>
        </w:rPr>
        <w:t>relevant to achieving the civic mission of higher education.</w:t>
      </w:r>
    </w:p>
    <w:p w14:paraId="42865B44" w14:textId="11743960" w:rsidR="002024E1" w:rsidRPr="00BD4DB3" w:rsidRDefault="009D5BAB" w:rsidP="002B2811">
      <w:pPr>
        <w:spacing w:line="480" w:lineRule="auto"/>
        <w:rPr>
          <w:sz w:val="22"/>
          <w:szCs w:val="22"/>
          <w:lang w:val="en-GB"/>
        </w:rPr>
      </w:pPr>
      <w:r w:rsidRPr="00BD4DB3">
        <w:rPr>
          <w:sz w:val="22"/>
          <w:szCs w:val="22"/>
          <w:lang w:val="en-GB"/>
        </w:rPr>
        <w:tab/>
      </w:r>
      <w:r w:rsidR="00BC336C" w:rsidRPr="00BD4DB3">
        <w:rPr>
          <w:sz w:val="22"/>
          <w:szCs w:val="22"/>
          <w:lang w:val="en-GB"/>
        </w:rPr>
        <w:t>Community engagement in psychology education and assessment can be found globally</w:t>
      </w:r>
      <w:r w:rsidR="00E5359E" w:rsidRPr="00BD4DB3">
        <w:rPr>
          <w:sz w:val="22"/>
          <w:szCs w:val="22"/>
          <w:lang w:val="en-GB"/>
        </w:rPr>
        <w:t xml:space="preserve"> (e.g., Taylor &amp; Hulme, </w:t>
      </w:r>
      <w:r w:rsidR="00BC336C" w:rsidRPr="00BD4DB3">
        <w:rPr>
          <w:sz w:val="22"/>
          <w:szCs w:val="22"/>
          <w:lang w:val="en-GB"/>
        </w:rPr>
        <w:t xml:space="preserve">2018). At </w:t>
      </w:r>
      <w:r w:rsidR="00F36A3C" w:rsidRPr="00BD4DB3">
        <w:rPr>
          <w:sz w:val="22"/>
          <w:szCs w:val="22"/>
        </w:rPr>
        <w:t>Utrecht University</w:t>
      </w:r>
      <w:r w:rsidR="005D7631" w:rsidRPr="00BD4DB3">
        <w:rPr>
          <w:sz w:val="22"/>
          <w:szCs w:val="22"/>
        </w:rPr>
        <w:t xml:space="preserve"> (Netherlands)</w:t>
      </w:r>
      <w:r w:rsidR="00F36A3C" w:rsidRPr="00BD4DB3">
        <w:rPr>
          <w:sz w:val="22"/>
          <w:szCs w:val="22"/>
        </w:rPr>
        <w:t xml:space="preserve">, </w:t>
      </w:r>
      <w:r w:rsidR="007906F0" w:rsidRPr="00BD4DB3">
        <w:rPr>
          <w:sz w:val="22"/>
          <w:szCs w:val="22"/>
        </w:rPr>
        <w:t>bachelor’s</w:t>
      </w:r>
      <w:r w:rsidR="00F36A3C" w:rsidRPr="00BD4DB3">
        <w:rPr>
          <w:sz w:val="22"/>
          <w:szCs w:val="22"/>
        </w:rPr>
        <w:t xml:space="preserve"> students in psychology are required to take ‘The destination’ course. Students must recognize their role as an academic professional, analyze societal problems from a psychological perspective, develop concrete tools</w:t>
      </w:r>
      <w:r w:rsidR="005D7631" w:rsidRPr="00BD4DB3">
        <w:rPr>
          <w:sz w:val="22"/>
          <w:szCs w:val="22"/>
        </w:rPr>
        <w:t>,</w:t>
      </w:r>
      <w:r w:rsidR="00F36A3C" w:rsidRPr="00BD4DB3">
        <w:rPr>
          <w:sz w:val="22"/>
          <w:szCs w:val="22"/>
        </w:rPr>
        <w:t xml:space="preserve"> and present to relevant community organizations</w:t>
      </w:r>
      <w:r w:rsidR="003C716D" w:rsidRPr="00BD4DB3">
        <w:rPr>
          <w:sz w:val="22"/>
          <w:szCs w:val="22"/>
        </w:rPr>
        <w:t xml:space="preserve"> (e.g., organizations</w:t>
      </w:r>
      <w:r w:rsidR="00F36A3C" w:rsidRPr="00BD4DB3">
        <w:rPr>
          <w:sz w:val="22"/>
          <w:szCs w:val="22"/>
        </w:rPr>
        <w:t xml:space="preserve"> supporting refugees</w:t>
      </w:r>
      <w:r w:rsidR="003C716D" w:rsidRPr="00BD4DB3">
        <w:rPr>
          <w:sz w:val="22"/>
          <w:szCs w:val="22"/>
        </w:rPr>
        <w:t>)</w:t>
      </w:r>
      <w:r w:rsidR="00F36A3C" w:rsidRPr="00BD4DB3">
        <w:rPr>
          <w:sz w:val="22"/>
          <w:szCs w:val="22"/>
        </w:rPr>
        <w:t xml:space="preserve">. Assessment is done in </w:t>
      </w:r>
      <w:r w:rsidR="002F03EF" w:rsidRPr="00BD4DB3">
        <w:rPr>
          <w:sz w:val="22"/>
          <w:szCs w:val="22"/>
        </w:rPr>
        <w:t xml:space="preserve">the </w:t>
      </w:r>
      <w:r w:rsidR="00F36A3C" w:rsidRPr="00BD4DB3">
        <w:rPr>
          <w:sz w:val="22"/>
          <w:szCs w:val="22"/>
        </w:rPr>
        <w:t xml:space="preserve">form of a policy report and a symposium presentation to the </w:t>
      </w:r>
      <w:r w:rsidR="005D7631" w:rsidRPr="00BD4DB3">
        <w:rPr>
          <w:sz w:val="22"/>
          <w:szCs w:val="22"/>
        </w:rPr>
        <w:t>organiz</w:t>
      </w:r>
      <w:r w:rsidR="007906F0" w:rsidRPr="00BD4DB3">
        <w:rPr>
          <w:sz w:val="22"/>
          <w:szCs w:val="22"/>
        </w:rPr>
        <w:t>ation</w:t>
      </w:r>
      <w:r w:rsidR="00BC336C" w:rsidRPr="00BD4DB3">
        <w:rPr>
          <w:sz w:val="22"/>
          <w:szCs w:val="22"/>
          <w:lang w:val="en-GB"/>
        </w:rPr>
        <w:t xml:space="preserve">. </w:t>
      </w:r>
      <w:r w:rsidR="0064638D" w:rsidRPr="00BD4DB3">
        <w:rPr>
          <w:sz w:val="22"/>
          <w:szCs w:val="22"/>
          <w:lang w:val="en-GB"/>
        </w:rPr>
        <w:t>Likewise, psychology students at Newcastle University</w:t>
      </w:r>
      <w:r w:rsidR="005D7631" w:rsidRPr="00BD4DB3">
        <w:rPr>
          <w:sz w:val="22"/>
          <w:szCs w:val="22"/>
          <w:lang w:val="en-GB"/>
        </w:rPr>
        <w:t xml:space="preserve"> (UK)</w:t>
      </w:r>
      <w:r w:rsidR="0064638D" w:rsidRPr="00BD4DB3">
        <w:rPr>
          <w:sz w:val="22"/>
          <w:szCs w:val="22"/>
          <w:lang w:val="en-GB"/>
        </w:rPr>
        <w:t xml:space="preserve"> engage in a series of community-focused challeng</w:t>
      </w:r>
      <w:r w:rsidR="007906F0" w:rsidRPr="00BD4DB3">
        <w:rPr>
          <w:sz w:val="22"/>
          <w:szCs w:val="22"/>
          <w:lang w:val="en-GB"/>
        </w:rPr>
        <w:t>es</w:t>
      </w:r>
      <w:r w:rsidR="007E5574" w:rsidRPr="00BD4DB3">
        <w:rPr>
          <w:sz w:val="22"/>
          <w:szCs w:val="22"/>
          <w:lang w:val="en-GB"/>
        </w:rPr>
        <w:t xml:space="preserve"> (e.g., </w:t>
      </w:r>
      <w:r w:rsidR="007906F0" w:rsidRPr="00BD4DB3">
        <w:rPr>
          <w:sz w:val="22"/>
          <w:szCs w:val="22"/>
          <w:lang w:val="en-GB"/>
        </w:rPr>
        <w:t>supporting veterans</w:t>
      </w:r>
      <w:r w:rsidR="007E5574" w:rsidRPr="00BD4DB3">
        <w:rPr>
          <w:sz w:val="22"/>
          <w:szCs w:val="22"/>
          <w:lang w:val="en-GB"/>
        </w:rPr>
        <w:t>,</w:t>
      </w:r>
      <w:r w:rsidR="0064638D" w:rsidRPr="00BD4DB3">
        <w:rPr>
          <w:sz w:val="22"/>
          <w:szCs w:val="22"/>
          <w:lang w:val="en-GB"/>
        </w:rPr>
        <w:t xml:space="preserve"> reducing</w:t>
      </w:r>
      <w:r w:rsidR="00D915D6" w:rsidRPr="00BD4DB3">
        <w:rPr>
          <w:sz w:val="22"/>
          <w:szCs w:val="22"/>
          <w:lang w:val="en-GB"/>
        </w:rPr>
        <w:t xml:space="preserve"> homelessness</w:t>
      </w:r>
      <w:r w:rsidR="007E5574" w:rsidRPr="00BD4DB3">
        <w:rPr>
          <w:sz w:val="22"/>
          <w:szCs w:val="22"/>
          <w:lang w:val="en-GB"/>
        </w:rPr>
        <w:t>)</w:t>
      </w:r>
      <w:r w:rsidR="0064638D" w:rsidRPr="00BD4DB3">
        <w:rPr>
          <w:sz w:val="22"/>
          <w:szCs w:val="22"/>
          <w:lang w:val="en-GB"/>
        </w:rPr>
        <w:t>; students are assessed by “pitching” their ideas to a panel of judges</w:t>
      </w:r>
      <w:r w:rsidR="00D8052F" w:rsidRPr="00BD4DB3">
        <w:rPr>
          <w:sz w:val="22"/>
          <w:szCs w:val="22"/>
          <w:lang w:val="en-GB"/>
        </w:rPr>
        <w:t xml:space="preserve"> who include</w:t>
      </w:r>
      <w:r w:rsidR="0064638D" w:rsidRPr="00BD4DB3">
        <w:rPr>
          <w:sz w:val="22"/>
          <w:szCs w:val="22"/>
          <w:lang w:val="en-GB"/>
        </w:rPr>
        <w:t xml:space="preserve"> </w:t>
      </w:r>
      <w:r w:rsidR="00EA304A" w:rsidRPr="00BD4DB3">
        <w:rPr>
          <w:sz w:val="22"/>
          <w:szCs w:val="22"/>
          <w:lang w:val="en-GB"/>
        </w:rPr>
        <w:t>community members</w:t>
      </w:r>
      <w:r w:rsidR="0064638D" w:rsidRPr="00BD4DB3">
        <w:rPr>
          <w:sz w:val="22"/>
          <w:szCs w:val="22"/>
          <w:lang w:val="en-GB"/>
        </w:rPr>
        <w:t xml:space="preserve"> working on those issues. Each of these projects</w:t>
      </w:r>
      <w:r w:rsidR="00EA304A" w:rsidRPr="00BD4DB3">
        <w:rPr>
          <w:sz w:val="22"/>
          <w:szCs w:val="22"/>
          <w:lang w:val="en-GB"/>
        </w:rPr>
        <w:t xml:space="preserve"> has</w:t>
      </w:r>
      <w:r w:rsidR="0064638D" w:rsidRPr="00BD4DB3">
        <w:rPr>
          <w:sz w:val="22"/>
          <w:szCs w:val="22"/>
          <w:lang w:val="en-GB"/>
        </w:rPr>
        <w:t xml:space="preserve"> seen successful uptake of students’ ideas. </w:t>
      </w:r>
      <w:r w:rsidR="00D8052F" w:rsidRPr="00BD4DB3">
        <w:rPr>
          <w:sz w:val="22"/>
          <w:szCs w:val="22"/>
          <w:lang w:val="en-GB"/>
        </w:rPr>
        <w:t xml:space="preserve">In addition, </w:t>
      </w:r>
      <w:r w:rsidR="0064638D" w:rsidRPr="00BD4DB3">
        <w:rPr>
          <w:sz w:val="22"/>
          <w:szCs w:val="22"/>
          <w:lang w:val="en-GB"/>
        </w:rPr>
        <w:t xml:space="preserve">students gain insights into diverse </w:t>
      </w:r>
      <w:r w:rsidR="007906F0" w:rsidRPr="00BD4DB3">
        <w:rPr>
          <w:sz w:val="22"/>
          <w:szCs w:val="22"/>
          <w:lang w:val="en-GB"/>
        </w:rPr>
        <w:t>c</w:t>
      </w:r>
      <w:r w:rsidR="0064638D" w:rsidRPr="00BD4DB3">
        <w:rPr>
          <w:sz w:val="22"/>
          <w:szCs w:val="22"/>
          <w:lang w:val="en-GB"/>
        </w:rPr>
        <w:t>ultures, and authentic</w:t>
      </w:r>
      <w:r w:rsidR="00EA304A" w:rsidRPr="00BD4DB3">
        <w:rPr>
          <w:sz w:val="22"/>
          <w:szCs w:val="22"/>
          <w:lang w:val="en-GB"/>
        </w:rPr>
        <w:t>ally apply</w:t>
      </w:r>
      <w:r w:rsidR="0064638D" w:rsidRPr="00BD4DB3">
        <w:rPr>
          <w:sz w:val="22"/>
          <w:szCs w:val="22"/>
          <w:lang w:val="en-GB"/>
        </w:rPr>
        <w:t xml:space="preserve"> their knowledge and skills to make a difference</w:t>
      </w:r>
      <w:r w:rsidR="00D8052F" w:rsidRPr="00BD4DB3">
        <w:rPr>
          <w:sz w:val="22"/>
          <w:szCs w:val="22"/>
          <w:lang w:val="en-GB"/>
        </w:rPr>
        <w:t>, enhancing employability</w:t>
      </w:r>
      <w:r w:rsidR="00404D2F" w:rsidRPr="00BD4DB3">
        <w:rPr>
          <w:sz w:val="22"/>
          <w:szCs w:val="22"/>
          <w:lang w:val="en-GB"/>
        </w:rPr>
        <w:t xml:space="preserve"> and psychological literacy more generally</w:t>
      </w:r>
      <w:r w:rsidR="00952ED8" w:rsidRPr="00BD4DB3">
        <w:rPr>
          <w:sz w:val="22"/>
          <w:szCs w:val="22"/>
          <w:lang w:val="en-GB"/>
        </w:rPr>
        <w:t xml:space="preserve"> (see </w:t>
      </w:r>
      <w:r w:rsidR="007013AF">
        <w:rPr>
          <w:sz w:val="22"/>
          <w:szCs w:val="22"/>
          <w:lang w:val="en-GB"/>
        </w:rPr>
        <w:t xml:space="preserve">also </w:t>
      </w:r>
      <w:r w:rsidR="00952ED8" w:rsidRPr="00BD4DB3">
        <w:rPr>
          <w:sz w:val="22"/>
          <w:szCs w:val="22"/>
          <w:lang w:val="en-GB"/>
        </w:rPr>
        <w:t>Cranney &amp; Dunn, 2011, for examples from Canada, Italy, and New Zealand)</w:t>
      </w:r>
      <w:r w:rsidR="00D8052F" w:rsidRPr="00BD4DB3">
        <w:rPr>
          <w:sz w:val="22"/>
          <w:szCs w:val="22"/>
          <w:lang w:val="en-GB"/>
        </w:rPr>
        <w:t xml:space="preserve">. </w:t>
      </w:r>
    </w:p>
    <w:p w14:paraId="1DE9C5AB" w14:textId="03C27D5F" w:rsidR="002024E1" w:rsidRPr="00BD4DB3" w:rsidRDefault="00404D2F" w:rsidP="002024E1">
      <w:pPr>
        <w:spacing w:line="480" w:lineRule="auto"/>
        <w:ind w:firstLine="720"/>
        <w:rPr>
          <w:rFonts w:eastAsia="Times New Roman"/>
          <w:bCs/>
          <w:sz w:val="22"/>
          <w:szCs w:val="22"/>
          <w:u w:val="single"/>
        </w:rPr>
      </w:pPr>
      <w:r w:rsidRPr="00BD4DB3">
        <w:rPr>
          <w:sz w:val="22"/>
          <w:szCs w:val="22"/>
          <w:lang w:val="en-GB"/>
        </w:rPr>
        <w:t>Similar initiatives</w:t>
      </w:r>
      <w:r w:rsidR="002024E1" w:rsidRPr="00BD4DB3">
        <w:rPr>
          <w:sz w:val="22"/>
          <w:szCs w:val="22"/>
          <w:lang w:val="en-GB"/>
        </w:rPr>
        <w:t>, sometimes termed high-impact practices (HIPs)</w:t>
      </w:r>
      <w:r w:rsidRPr="00BD4DB3">
        <w:rPr>
          <w:sz w:val="22"/>
          <w:szCs w:val="22"/>
          <w:lang w:val="en-GB"/>
        </w:rPr>
        <w:t xml:space="preserve"> can already be found in the U</w:t>
      </w:r>
      <w:r w:rsidR="002024E1" w:rsidRPr="00BD4DB3">
        <w:rPr>
          <w:sz w:val="22"/>
          <w:szCs w:val="22"/>
          <w:lang w:val="en-GB"/>
        </w:rPr>
        <w:t>.</w:t>
      </w:r>
      <w:r w:rsidRPr="00BD4DB3">
        <w:rPr>
          <w:sz w:val="22"/>
          <w:szCs w:val="22"/>
          <w:lang w:val="en-GB"/>
        </w:rPr>
        <w:t>S</w:t>
      </w:r>
      <w:r w:rsidR="002024E1" w:rsidRPr="00BD4DB3">
        <w:rPr>
          <w:sz w:val="22"/>
          <w:szCs w:val="22"/>
          <w:lang w:val="en-GB"/>
        </w:rPr>
        <w:t>.</w:t>
      </w:r>
      <w:r w:rsidRPr="00BD4DB3">
        <w:rPr>
          <w:sz w:val="22"/>
          <w:szCs w:val="22"/>
          <w:lang w:val="en-GB"/>
        </w:rPr>
        <w:t xml:space="preserve"> (e.g.</w:t>
      </w:r>
      <w:r w:rsidR="00A655C9" w:rsidRPr="00BD4DB3">
        <w:rPr>
          <w:sz w:val="22"/>
          <w:szCs w:val="22"/>
          <w:lang w:val="en-GB"/>
        </w:rPr>
        <w:t>,</w:t>
      </w:r>
      <w:r w:rsidRPr="00BD4DB3">
        <w:rPr>
          <w:sz w:val="22"/>
          <w:szCs w:val="22"/>
          <w:lang w:val="en-GB"/>
        </w:rPr>
        <w:t xml:space="preserve"> Henderson, 2016</w:t>
      </w:r>
      <w:r w:rsidR="002024E1" w:rsidRPr="00BD4DB3">
        <w:rPr>
          <w:sz w:val="22"/>
          <w:szCs w:val="22"/>
          <w:lang w:val="en-GB"/>
        </w:rPr>
        <w:t>; Kuh, 2008</w:t>
      </w:r>
      <w:r w:rsidRPr="00BD4DB3">
        <w:rPr>
          <w:sz w:val="22"/>
          <w:szCs w:val="22"/>
          <w:lang w:val="en-GB"/>
        </w:rPr>
        <w:t xml:space="preserve">), </w:t>
      </w:r>
      <w:r w:rsidR="002024E1" w:rsidRPr="00BD4DB3">
        <w:rPr>
          <w:sz w:val="22"/>
          <w:szCs w:val="22"/>
          <w:lang w:val="en-GB"/>
        </w:rPr>
        <w:t xml:space="preserve">including service learning, volunteer opportunities, and collaborative (i.e., team-based) projects that supplement internships and related placements. These initiatives </w:t>
      </w:r>
      <w:r w:rsidRPr="00BD4DB3">
        <w:rPr>
          <w:sz w:val="22"/>
          <w:szCs w:val="22"/>
          <w:lang w:val="en-GB"/>
        </w:rPr>
        <w:t>can be highly effective, and we suggest that, building on these good practices, they could become a central feature of U</w:t>
      </w:r>
      <w:r w:rsidR="006A7DBB">
        <w:rPr>
          <w:sz w:val="22"/>
          <w:szCs w:val="22"/>
          <w:lang w:val="en-GB"/>
        </w:rPr>
        <w:t>.</w:t>
      </w:r>
      <w:r w:rsidRPr="00BD4DB3">
        <w:rPr>
          <w:sz w:val="22"/>
          <w:szCs w:val="22"/>
          <w:lang w:val="en-GB"/>
        </w:rPr>
        <w:t>S</w:t>
      </w:r>
      <w:r w:rsidR="006A7DBB">
        <w:rPr>
          <w:sz w:val="22"/>
          <w:szCs w:val="22"/>
          <w:lang w:val="en-GB"/>
        </w:rPr>
        <w:t>.</w:t>
      </w:r>
      <w:r w:rsidRPr="00BD4DB3">
        <w:rPr>
          <w:sz w:val="22"/>
          <w:szCs w:val="22"/>
          <w:lang w:val="en-GB"/>
        </w:rPr>
        <w:t xml:space="preserve"> psychology education.</w:t>
      </w:r>
      <w:r w:rsidR="00BA5F38" w:rsidRPr="00BD4DB3">
        <w:rPr>
          <w:sz w:val="22"/>
          <w:szCs w:val="22"/>
          <w:lang w:val="en-GB"/>
        </w:rPr>
        <w:t xml:space="preserve"> </w:t>
      </w:r>
      <w:r w:rsidR="002024E1" w:rsidRPr="00BD4DB3">
        <w:rPr>
          <w:sz w:val="22"/>
          <w:szCs w:val="22"/>
          <w:lang w:val="en-GB"/>
        </w:rPr>
        <w:t>Such HIPs are generally used by institutions to increase student engagement and promote persistence to complete degrees, both of which are key aspects of student success. Regrettably, however, these and related markers are not generally viewed as or included in assessments of community engagement.</w:t>
      </w:r>
    </w:p>
    <w:p w14:paraId="38F48187" w14:textId="1E6EE070" w:rsidR="002B2811" w:rsidRPr="00BD4DB3" w:rsidRDefault="00A82519" w:rsidP="00E77EB7">
      <w:pPr>
        <w:spacing w:line="480" w:lineRule="auto"/>
        <w:ind w:firstLine="720"/>
        <w:rPr>
          <w:rFonts w:eastAsia="Times New Roman"/>
          <w:bCs/>
          <w:sz w:val="22"/>
          <w:szCs w:val="22"/>
        </w:rPr>
      </w:pPr>
      <w:r w:rsidRPr="00BD4DB3">
        <w:rPr>
          <w:rFonts w:eastAsia="Times New Roman"/>
          <w:b/>
          <w:sz w:val="22"/>
          <w:szCs w:val="22"/>
        </w:rPr>
        <w:t>Students as partners</w:t>
      </w:r>
      <w:r w:rsidR="00C048F4" w:rsidRPr="00BD4DB3">
        <w:rPr>
          <w:rFonts w:eastAsia="Times New Roman"/>
          <w:bCs/>
          <w:sz w:val="22"/>
          <w:szCs w:val="22"/>
        </w:rPr>
        <w:t>. Students have tradit</w:t>
      </w:r>
      <w:r w:rsidR="00181A47" w:rsidRPr="00BD4DB3">
        <w:rPr>
          <w:rFonts w:eastAsia="Times New Roman"/>
          <w:bCs/>
          <w:sz w:val="22"/>
          <w:szCs w:val="22"/>
        </w:rPr>
        <w:t>ionally been recipients of the</w:t>
      </w:r>
      <w:r w:rsidR="00C048F4" w:rsidRPr="00BD4DB3">
        <w:rPr>
          <w:rFonts w:eastAsia="Times New Roman"/>
          <w:bCs/>
          <w:sz w:val="22"/>
          <w:szCs w:val="22"/>
        </w:rPr>
        <w:t xml:space="preserve"> educational experience, with faculty </w:t>
      </w:r>
      <w:r w:rsidR="00D915D6" w:rsidRPr="00BD4DB3">
        <w:rPr>
          <w:rFonts w:eastAsia="Times New Roman"/>
          <w:bCs/>
          <w:sz w:val="22"/>
          <w:szCs w:val="22"/>
        </w:rPr>
        <w:t>responsible</w:t>
      </w:r>
      <w:r w:rsidR="00C048F4" w:rsidRPr="00BD4DB3">
        <w:rPr>
          <w:rFonts w:eastAsia="Times New Roman"/>
          <w:bCs/>
          <w:sz w:val="22"/>
          <w:szCs w:val="22"/>
        </w:rPr>
        <w:t xml:space="preserve"> for design and delivery of learning and assessment activities</w:t>
      </w:r>
      <w:r w:rsidR="00633D89">
        <w:rPr>
          <w:rFonts w:eastAsia="Times New Roman"/>
          <w:bCs/>
          <w:sz w:val="22"/>
          <w:szCs w:val="22"/>
        </w:rPr>
        <w:t xml:space="preserve"> (Freire, 1999)</w:t>
      </w:r>
      <w:r w:rsidR="00C048F4" w:rsidRPr="00BD4DB3">
        <w:rPr>
          <w:rFonts w:eastAsia="Times New Roman"/>
          <w:bCs/>
          <w:sz w:val="22"/>
          <w:szCs w:val="22"/>
        </w:rPr>
        <w:t xml:space="preserve">. More recently, </w:t>
      </w:r>
      <w:r w:rsidR="00D915D6" w:rsidRPr="00BD4DB3">
        <w:rPr>
          <w:rFonts w:eastAsia="Times New Roman"/>
          <w:bCs/>
          <w:sz w:val="22"/>
          <w:szCs w:val="22"/>
        </w:rPr>
        <w:t>some</w:t>
      </w:r>
      <w:r w:rsidR="00181A47" w:rsidRPr="00BD4DB3">
        <w:rPr>
          <w:rFonts w:eastAsia="Times New Roman"/>
          <w:bCs/>
          <w:sz w:val="22"/>
          <w:szCs w:val="22"/>
        </w:rPr>
        <w:t xml:space="preserve"> </w:t>
      </w:r>
      <w:r w:rsidR="00C048F4" w:rsidRPr="00BD4DB3">
        <w:rPr>
          <w:rFonts w:eastAsia="Times New Roman"/>
          <w:bCs/>
          <w:sz w:val="22"/>
          <w:szCs w:val="22"/>
        </w:rPr>
        <w:t xml:space="preserve">higher education providers have </w:t>
      </w:r>
      <w:r w:rsidR="00181A47" w:rsidRPr="00BD4DB3">
        <w:rPr>
          <w:rFonts w:eastAsia="Times New Roman"/>
          <w:bCs/>
          <w:sz w:val="22"/>
          <w:szCs w:val="22"/>
        </w:rPr>
        <w:t>viewed</w:t>
      </w:r>
      <w:r w:rsidR="00C048F4" w:rsidRPr="00BD4DB3">
        <w:rPr>
          <w:rFonts w:eastAsia="Times New Roman"/>
          <w:bCs/>
          <w:sz w:val="22"/>
          <w:szCs w:val="22"/>
        </w:rPr>
        <w:t xml:space="preserve"> ‘students as partners’</w:t>
      </w:r>
      <w:r w:rsidR="00D4475B" w:rsidRPr="00BD4DB3">
        <w:rPr>
          <w:rFonts w:eastAsia="Times New Roman"/>
          <w:bCs/>
          <w:sz w:val="22"/>
          <w:szCs w:val="22"/>
        </w:rPr>
        <w:t xml:space="preserve"> or ‘co-creators’,</w:t>
      </w:r>
      <w:r w:rsidR="00C048F4" w:rsidRPr="00BD4DB3">
        <w:rPr>
          <w:rFonts w:eastAsia="Times New Roman"/>
          <w:bCs/>
          <w:sz w:val="22"/>
          <w:szCs w:val="22"/>
        </w:rPr>
        <w:t xml:space="preserve"> whereby students and </w:t>
      </w:r>
      <w:r w:rsidR="003E5B06" w:rsidRPr="00BD4DB3">
        <w:rPr>
          <w:rFonts w:eastAsia="Times New Roman"/>
          <w:bCs/>
          <w:sz w:val="22"/>
          <w:szCs w:val="22"/>
        </w:rPr>
        <w:t>faculty</w:t>
      </w:r>
      <w:r w:rsidR="00C048F4" w:rsidRPr="00BD4DB3">
        <w:rPr>
          <w:rFonts w:eastAsia="Times New Roman"/>
          <w:bCs/>
          <w:sz w:val="22"/>
          <w:szCs w:val="22"/>
        </w:rPr>
        <w:t xml:space="preserve"> are conceptualized as active </w:t>
      </w:r>
      <w:r w:rsidR="00181A47" w:rsidRPr="00BD4DB3">
        <w:rPr>
          <w:rFonts w:eastAsia="Times New Roman"/>
          <w:bCs/>
          <w:sz w:val="22"/>
          <w:szCs w:val="22"/>
        </w:rPr>
        <w:t xml:space="preserve">and equal </w:t>
      </w:r>
      <w:r w:rsidR="00C048F4" w:rsidRPr="00BD4DB3">
        <w:rPr>
          <w:rFonts w:eastAsia="Times New Roman"/>
          <w:bCs/>
          <w:sz w:val="22"/>
          <w:szCs w:val="22"/>
        </w:rPr>
        <w:t xml:space="preserve">collaborators in creating learning and assessment practices (Mercer-Mapstone et al., 2017). </w:t>
      </w:r>
      <w:r w:rsidR="00181A47" w:rsidRPr="00BD4DB3">
        <w:rPr>
          <w:rFonts w:eastAsia="Times New Roman"/>
          <w:bCs/>
          <w:sz w:val="22"/>
          <w:szCs w:val="22"/>
        </w:rPr>
        <w:t>Bologna countries are among those that explicitly seek feedback from students as changes are implemented (Sin &amp; Neave, 2016)</w:t>
      </w:r>
      <w:r w:rsidR="00643080" w:rsidRPr="00BD4DB3">
        <w:rPr>
          <w:rFonts w:eastAsia="Times New Roman"/>
          <w:bCs/>
          <w:sz w:val="22"/>
          <w:szCs w:val="22"/>
        </w:rPr>
        <w:t>; however</w:t>
      </w:r>
      <w:r w:rsidR="00D4475B" w:rsidRPr="00BD4DB3">
        <w:rPr>
          <w:rFonts w:eastAsia="Times New Roman"/>
          <w:bCs/>
          <w:sz w:val="22"/>
          <w:szCs w:val="22"/>
        </w:rPr>
        <w:t xml:space="preserve">, the concept of students as partners extends beyond </w:t>
      </w:r>
      <w:r w:rsidR="00643080" w:rsidRPr="00BD4DB3">
        <w:rPr>
          <w:rFonts w:eastAsia="Times New Roman"/>
          <w:bCs/>
          <w:sz w:val="22"/>
          <w:szCs w:val="22"/>
        </w:rPr>
        <w:t>seeking feedback. It involves</w:t>
      </w:r>
      <w:r w:rsidR="00D4475B" w:rsidRPr="00BD4DB3">
        <w:rPr>
          <w:rFonts w:eastAsia="Times New Roman"/>
          <w:bCs/>
          <w:sz w:val="22"/>
          <w:szCs w:val="22"/>
        </w:rPr>
        <w:t xml:space="preserve"> giving students a role as creators of their own educational experience</w:t>
      </w:r>
      <w:r w:rsidR="00643080" w:rsidRPr="00BD4DB3">
        <w:rPr>
          <w:rFonts w:eastAsia="Times New Roman"/>
          <w:bCs/>
          <w:sz w:val="22"/>
          <w:szCs w:val="22"/>
        </w:rPr>
        <w:t xml:space="preserve"> beyond the traditional</w:t>
      </w:r>
      <w:r w:rsidR="00D4475B" w:rsidRPr="00BD4DB3">
        <w:rPr>
          <w:rFonts w:eastAsia="Times New Roman"/>
          <w:bCs/>
          <w:sz w:val="22"/>
          <w:szCs w:val="22"/>
        </w:rPr>
        <w:t xml:space="preserve"> role </w:t>
      </w:r>
      <w:r w:rsidR="00643080" w:rsidRPr="00BD4DB3">
        <w:rPr>
          <w:rFonts w:eastAsia="Times New Roman"/>
          <w:bCs/>
          <w:sz w:val="22"/>
          <w:szCs w:val="22"/>
        </w:rPr>
        <w:t>of</w:t>
      </w:r>
      <w:r w:rsidR="00D4475B" w:rsidRPr="00BD4DB3">
        <w:rPr>
          <w:rFonts w:eastAsia="Times New Roman"/>
          <w:bCs/>
          <w:sz w:val="22"/>
          <w:szCs w:val="22"/>
        </w:rPr>
        <w:t xml:space="preserve"> responding retrospectively to what their educators provided</w:t>
      </w:r>
      <w:r w:rsidR="00181A47" w:rsidRPr="00BD4DB3">
        <w:rPr>
          <w:rFonts w:eastAsia="Times New Roman"/>
          <w:bCs/>
          <w:sz w:val="22"/>
          <w:szCs w:val="22"/>
        </w:rPr>
        <w:t xml:space="preserve">. </w:t>
      </w:r>
      <w:r w:rsidR="00D4475B" w:rsidRPr="00BD4DB3">
        <w:rPr>
          <w:rFonts w:eastAsia="Times New Roman"/>
          <w:bCs/>
          <w:sz w:val="22"/>
          <w:szCs w:val="22"/>
        </w:rPr>
        <w:t xml:space="preserve">Instead, students choose content, design curricula, </w:t>
      </w:r>
      <w:r w:rsidR="00643080" w:rsidRPr="00BD4DB3">
        <w:rPr>
          <w:rFonts w:eastAsia="Times New Roman"/>
          <w:bCs/>
          <w:sz w:val="22"/>
          <w:szCs w:val="22"/>
        </w:rPr>
        <w:t xml:space="preserve">and </w:t>
      </w:r>
      <w:r w:rsidR="00D4475B" w:rsidRPr="00BD4DB3">
        <w:rPr>
          <w:rFonts w:eastAsia="Times New Roman"/>
          <w:bCs/>
          <w:sz w:val="22"/>
          <w:szCs w:val="22"/>
        </w:rPr>
        <w:t>plan assessment and teaching methods that they experience themselves (</w:t>
      </w:r>
      <w:r w:rsidR="00643080" w:rsidRPr="00BD4DB3">
        <w:rPr>
          <w:rFonts w:eastAsia="Times New Roman"/>
          <w:bCs/>
          <w:sz w:val="22"/>
          <w:szCs w:val="22"/>
        </w:rPr>
        <w:t xml:space="preserve">and </w:t>
      </w:r>
      <w:r w:rsidR="00D4475B" w:rsidRPr="00BD4DB3">
        <w:rPr>
          <w:rFonts w:eastAsia="Times New Roman"/>
          <w:bCs/>
          <w:sz w:val="22"/>
          <w:szCs w:val="22"/>
        </w:rPr>
        <w:t>not for the cohort that succeeds them)</w:t>
      </w:r>
      <w:r w:rsidR="00643080" w:rsidRPr="00BD4DB3">
        <w:rPr>
          <w:rFonts w:eastAsia="Times New Roman"/>
          <w:bCs/>
          <w:sz w:val="22"/>
          <w:szCs w:val="22"/>
        </w:rPr>
        <w:t>. They might</w:t>
      </w:r>
      <w:r w:rsidR="00D4475B" w:rsidRPr="00BD4DB3">
        <w:rPr>
          <w:rFonts w:eastAsia="Times New Roman"/>
          <w:bCs/>
          <w:sz w:val="22"/>
          <w:szCs w:val="22"/>
        </w:rPr>
        <w:t xml:space="preserve"> even deliver </w:t>
      </w:r>
      <w:r w:rsidR="00643080" w:rsidRPr="00BD4DB3">
        <w:rPr>
          <w:rFonts w:eastAsia="Times New Roman"/>
          <w:bCs/>
          <w:sz w:val="22"/>
          <w:szCs w:val="22"/>
        </w:rPr>
        <w:t xml:space="preserve">these experiences </w:t>
      </w:r>
      <w:r w:rsidR="00D4475B" w:rsidRPr="00BD4DB3">
        <w:rPr>
          <w:rFonts w:eastAsia="Times New Roman"/>
          <w:bCs/>
          <w:sz w:val="22"/>
          <w:szCs w:val="22"/>
        </w:rPr>
        <w:t xml:space="preserve">themselves. </w:t>
      </w:r>
      <w:r w:rsidR="00E77EB7" w:rsidRPr="00BD4DB3">
        <w:rPr>
          <w:rFonts w:eastAsia="Times New Roman"/>
          <w:bCs/>
          <w:sz w:val="22"/>
          <w:szCs w:val="22"/>
        </w:rPr>
        <w:t>B</w:t>
      </w:r>
      <w:r w:rsidR="00BE7184" w:rsidRPr="00BD4DB3">
        <w:rPr>
          <w:rFonts w:eastAsia="Times New Roman"/>
          <w:bCs/>
          <w:sz w:val="22"/>
          <w:szCs w:val="22"/>
        </w:rPr>
        <w:t>enefits for both students and faculty have been widely reported, and include improved learning, raised awareness of employability skills, increased engagement and motivation, transformed self-awareness and sense of belonging, and enhanced inclusion with empowerment of minority students (Mercer-Mapstone et al., 2017).</w:t>
      </w:r>
    </w:p>
    <w:p w14:paraId="08BF527F" w14:textId="30C24E7B" w:rsidR="00BE7184" w:rsidRPr="00BD4DB3" w:rsidRDefault="003E5B06" w:rsidP="002B2811">
      <w:pPr>
        <w:spacing w:line="480" w:lineRule="auto"/>
        <w:rPr>
          <w:rFonts w:eastAsia="Times New Roman"/>
          <w:bCs/>
          <w:sz w:val="22"/>
          <w:szCs w:val="22"/>
        </w:rPr>
      </w:pPr>
      <w:r w:rsidRPr="00BD4DB3">
        <w:rPr>
          <w:rFonts w:eastAsia="Times New Roman"/>
          <w:bCs/>
          <w:sz w:val="22"/>
          <w:szCs w:val="22"/>
        </w:rPr>
        <w:tab/>
        <w:t>Within psychology</w:t>
      </w:r>
      <w:r w:rsidR="00181A47" w:rsidRPr="00BD4DB3">
        <w:rPr>
          <w:rFonts w:eastAsia="Times New Roman"/>
          <w:bCs/>
          <w:sz w:val="22"/>
          <w:szCs w:val="22"/>
        </w:rPr>
        <w:t xml:space="preserve"> specifically, the uptake of a students-as-</w:t>
      </w:r>
      <w:r w:rsidRPr="00BD4DB3">
        <w:rPr>
          <w:rFonts w:eastAsia="Times New Roman"/>
          <w:bCs/>
          <w:sz w:val="22"/>
          <w:szCs w:val="22"/>
        </w:rPr>
        <w:t xml:space="preserve">partners approach has </w:t>
      </w:r>
      <w:r w:rsidR="00D915D6" w:rsidRPr="00BD4DB3">
        <w:rPr>
          <w:rFonts w:eastAsia="Times New Roman"/>
          <w:bCs/>
          <w:sz w:val="22"/>
          <w:szCs w:val="22"/>
        </w:rPr>
        <w:t>been limited; h</w:t>
      </w:r>
      <w:r w:rsidRPr="00BD4DB3">
        <w:rPr>
          <w:rFonts w:eastAsia="Times New Roman"/>
          <w:bCs/>
          <w:sz w:val="22"/>
          <w:szCs w:val="22"/>
        </w:rPr>
        <w:t xml:space="preserve">owever, </w:t>
      </w:r>
      <w:r w:rsidR="00181A47" w:rsidRPr="00BD4DB3">
        <w:rPr>
          <w:rFonts w:eastAsia="Times New Roman"/>
          <w:bCs/>
          <w:sz w:val="22"/>
          <w:szCs w:val="22"/>
        </w:rPr>
        <w:t xml:space="preserve">there have been </w:t>
      </w:r>
      <w:r w:rsidRPr="00BD4DB3">
        <w:rPr>
          <w:rFonts w:eastAsia="Times New Roman"/>
          <w:bCs/>
          <w:sz w:val="22"/>
          <w:szCs w:val="22"/>
        </w:rPr>
        <w:t xml:space="preserve">successful examples </w:t>
      </w:r>
      <w:r w:rsidR="00181A47" w:rsidRPr="00BD4DB3">
        <w:rPr>
          <w:rFonts w:eastAsia="Times New Roman"/>
          <w:bCs/>
          <w:sz w:val="22"/>
          <w:szCs w:val="22"/>
        </w:rPr>
        <w:t>in</w:t>
      </w:r>
      <w:r w:rsidRPr="00BD4DB3">
        <w:rPr>
          <w:rFonts w:eastAsia="Times New Roman"/>
          <w:bCs/>
          <w:sz w:val="22"/>
          <w:szCs w:val="22"/>
        </w:rPr>
        <w:t xml:space="preserve"> the UK. </w:t>
      </w:r>
      <w:r w:rsidR="00D915D6" w:rsidRPr="00BD4DB3">
        <w:rPr>
          <w:rFonts w:eastAsia="Times New Roman"/>
          <w:bCs/>
          <w:sz w:val="22"/>
          <w:szCs w:val="22"/>
        </w:rPr>
        <w:t>A</w:t>
      </w:r>
      <w:r w:rsidR="006B1584" w:rsidRPr="00BD4DB3">
        <w:rPr>
          <w:rFonts w:eastAsia="Times New Roman"/>
          <w:bCs/>
          <w:sz w:val="22"/>
          <w:szCs w:val="22"/>
        </w:rPr>
        <w:t xml:space="preserve">t </w:t>
      </w:r>
      <w:r w:rsidR="00D915D6" w:rsidRPr="00BD4DB3">
        <w:rPr>
          <w:rFonts w:eastAsia="Times New Roman"/>
          <w:bCs/>
          <w:sz w:val="22"/>
          <w:szCs w:val="22"/>
        </w:rPr>
        <w:t>Stirling University</w:t>
      </w:r>
      <w:r w:rsidRPr="00BD4DB3">
        <w:rPr>
          <w:rFonts w:eastAsia="Times New Roman"/>
          <w:bCs/>
          <w:sz w:val="22"/>
          <w:szCs w:val="22"/>
        </w:rPr>
        <w:t xml:space="preserve"> in Scotland, </w:t>
      </w:r>
      <w:r w:rsidR="00D915D6" w:rsidRPr="00BD4DB3">
        <w:rPr>
          <w:rFonts w:eastAsia="Times New Roman"/>
          <w:bCs/>
          <w:sz w:val="22"/>
          <w:szCs w:val="22"/>
        </w:rPr>
        <w:t xml:space="preserve">undergraduate </w:t>
      </w:r>
      <w:r w:rsidRPr="00BD4DB3">
        <w:rPr>
          <w:rFonts w:eastAsia="Times New Roman"/>
          <w:bCs/>
          <w:sz w:val="22"/>
          <w:szCs w:val="22"/>
        </w:rPr>
        <w:t xml:space="preserve">students teach statistics to </w:t>
      </w:r>
      <w:r w:rsidR="00E10E88" w:rsidRPr="00BD4DB3">
        <w:rPr>
          <w:rFonts w:eastAsia="Times New Roman"/>
          <w:bCs/>
          <w:sz w:val="22"/>
          <w:szCs w:val="22"/>
        </w:rPr>
        <w:t>more junior</w:t>
      </w:r>
      <w:r w:rsidRPr="00BD4DB3">
        <w:rPr>
          <w:rFonts w:eastAsia="Times New Roman"/>
          <w:bCs/>
          <w:sz w:val="22"/>
          <w:szCs w:val="22"/>
        </w:rPr>
        <w:t xml:space="preserve"> students, produce a conference to engage employers and external agencies, and develop research projects in teams, with minimal academic </w:t>
      </w:r>
      <w:r w:rsidR="00D24DA0" w:rsidRPr="00BD4DB3">
        <w:rPr>
          <w:rFonts w:eastAsia="Times New Roman"/>
          <w:bCs/>
          <w:sz w:val="22"/>
          <w:szCs w:val="22"/>
        </w:rPr>
        <w:t xml:space="preserve">staff </w:t>
      </w:r>
      <w:r w:rsidRPr="00BD4DB3">
        <w:rPr>
          <w:rFonts w:eastAsia="Times New Roman"/>
          <w:bCs/>
          <w:sz w:val="22"/>
          <w:szCs w:val="22"/>
        </w:rPr>
        <w:t>input. The resulting impact on psychological literacy</w:t>
      </w:r>
      <w:r w:rsidR="00E10E88" w:rsidRPr="00BD4DB3">
        <w:rPr>
          <w:rFonts w:eastAsia="Times New Roman"/>
          <w:bCs/>
          <w:sz w:val="22"/>
          <w:szCs w:val="22"/>
        </w:rPr>
        <w:t xml:space="preserve"> led to </w:t>
      </w:r>
      <w:r w:rsidRPr="00BD4DB3">
        <w:rPr>
          <w:rFonts w:eastAsia="Times New Roman"/>
          <w:bCs/>
          <w:sz w:val="22"/>
          <w:szCs w:val="22"/>
        </w:rPr>
        <w:t>a British Psychological Society award for innovation.</w:t>
      </w:r>
      <w:r w:rsidR="00D915D6" w:rsidRPr="00BD4DB3">
        <w:rPr>
          <w:rFonts w:eastAsia="Times New Roman"/>
          <w:bCs/>
          <w:sz w:val="22"/>
          <w:szCs w:val="22"/>
        </w:rPr>
        <w:t xml:space="preserve"> At Keele University, </w:t>
      </w:r>
      <w:r w:rsidR="00E10E88" w:rsidRPr="00BD4DB3">
        <w:rPr>
          <w:rFonts w:eastAsia="Times New Roman"/>
          <w:bCs/>
          <w:sz w:val="22"/>
          <w:szCs w:val="22"/>
        </w:rPr>
        <w:t xml:space="preserve">psychology </w:t>
      </w:r>
      <w:r w:rsidR="00F853CA" w:rsidRPr="00BD4DB3">
        <w:rPr>
          <w:rFonts w:eastAsia="Times New Roman"/>
          <w:bCs/>
          <w:sz w:val="22"/>
          <w:szCs w:val="22"/>
        </w:rPr>
        <w:t xml:space="preserve">students have </w:t>
      </w:r>
      <w:r w:rsidR="00D915D6" w:rsidRPr="00BD4DB3">
        <w:rPr>
          <w:rFonts w:eastAsia="Times New Roman"/>
          <w:bCs/>
          <w:sz w:val="22"/>
          <w:szCs w:val="22"/>
        </w:rPr>
        <w:t xml:space="preserve">engaged </w:t>
      </w:r>
      <w:r w:rsidR="00F853CA" w:rsidRPr="00BD4DB3">
        <w:rPr>
          <w:rFonts w:eastAsia="Times New Roman"/>
          <w:bCs/>
          <w:sz w:val="22"/>
          <w:szCs w:val="22"/>
        </w:rPr>
        <w:t xml:space="preserve">with </w:t>
      </w:r>
      <w:r w:rsidR="00EF1A7C" w:rsidRPr="00BD4DB3">
        <w:rPr>
          <w:rFonts w:eastAsia="Times New Roman"/>
          <w:bCs/>
          <w:sz w:val="22"/>
          <w:szCs w:val="22"/>
        </w:rPr>
        <w:t>a ‘decoloniz</w:t>
      </w:r>
      <w:r w:rsidR="00F853CA" w:rsidRPr="00BD4DB3">
        <w:rPr>
          <w:rFonts w:eastAsia="Times New Roman"/>
          <w:bCs/>
          <w:sz w:val="22"/>
          <w:szCs w:val="22"/>
        </w:rPr>
        <w:t>ing the curriculum’ process (e.g.</w:t>
      </w:r>
      <w:r w:rsidR="007013AF">
        <w:rPr>
          <w:rFonts w:eastAsia="Times New Roman"/>
          <w:bCs/>
          <w:sz w:val="22"/>
          <w:szCs w:val="22"/>
        </w:rPr>
        <w:t>,</w:t>
      </w:r>
      <w:r w:rsidR="00F853CA" w:rsidRPr="00BD4DB3">
        <w:rPr>
          <w:rFonts w:eastAsia="Times New Roman"/>
          <w:bCs/>
          <w:sz w:val="22"/>
          <w:szCs w:val="22"/>
        </w:rPr>
        <w:t xml:space="preserve"> McLaughlin &amp; Whatman, 2011)</w:t>
      </w:r>
      <w:r w:rsidR="00D915D6" w:rsidRPr="00BD4DB3">
        <w:rPr>
          <w:rFonts w:eastAsia="Times New Roman"/>
          <w:bCs/>
          <w:sz w:val="22"/>
          <w:szCs w:val="22"/>
        </w:rPr>
        <w:t>, analyzing curricula</w:t>
      </w:r>
      <w:r w:rsidR="00F853CA" w:rsidRPr="00BD4DB3">
        <w:rPr>
          <w:rFonts w:eastAsia="Times New Roman"/>
          <w:bCs/>
          <w:sz w:val="22"/>
          <w:szCs w:val="22"/>
        </w:rPr>
        <w:t xml:space="preserve"> and sharing resources from more diverse sources, raising awareness of the importance of cultural diversity</w:t>
      </w:r>
      <w:r w:rsidR="00D915D6" w:rsidRPr="00BD4DB3">
        <w:rPr>
          <w:rFonts w:eastAsia="Times New Roman"/>
          <w:bCs/>
          <w:sz w:val="22"/>
          <w:szCs w:val="22"/>
        </w:rPr>
        <w:t xml:space="preserve">. The project benefits </w:t>
      </w:r>
      <w:r w:rsidR="00E10E88" w:rsidRPr="00BD4DB3">
        <w:rPr>
          <w:rFonts w:eastAsia="Times New Roman"/>
          <w:bCs/>
          <w:sz w:val="22"/>
          <w:szCs w:val="22"/>
        </w:rPr>
        <w:t xml:space="preserve">current </w:t>
      </w:r>
      <w:r w:rsidR="00F853CA" w:rsidRPr="00BD4DB3">
        <w:rPr>
          <w:rFonts w:eastAsia="Times New Roman"/>
          <w:bCs/>
          <w:sz w:val="22"/>
          <w:szCs w:val="22"/>
        </w:rPr>
        <w:t>students</w:t>
      </w:r>
      <w:r w:rsidR="00181A47" w:rsidRPr="00BD4DB3">
        <w:rPr>
          <w:rFonts w:eastAsia="Times New Roman"/>
          <w:bCs/>
          <w:sz w:val="22"/>
          <w:szCs w:val="22"/>
        </w:rPr>
        <w:t xml:space="preserve">, </w:t>
      </w:r>
      <w:r w:rsidR="00F853CA" w:rsidRPr="00BD4DB3">
        <w:rPr>
          <w:rFonts w:eastAsia="Times New Roman"/>
          <w:bCs/>
          <w:sz w:val="22"/>
          <w:szCs w:val="22"/>
        </w:rPr>
        <w:t>but also future students, who will be given access to richly diverse resources</w:t>
      </w:r>
      <w:r w:rsidR="00181A47" w:rsidRPr="00BD4DB3">
        <w:rPr>
          <w:rFonts w:eastAsia="Times New Roman"/>
          <w:bCs/>
          <w:sz w:val="22"/>
          <w:szCs w:val="22"/>
        </w:rPr>
        <w:t>;</w:t>
      </w:r>
      <w:r w:rsidR="00F853CA" w:rsidRPr="00BD4DB3">
        <w:rPr>
          <w:rFonts w:eastAsia="Times New Roman"/>
          <w:bCs/>
          <w:sz w:val="22"/>
          <w:szCs w:val="22"/>
        </w:rPr>
        <w:t xml:space="preserve"> success will be determined through future evaluations.</w:t>
      </w:r>
      <w:r w:rsidR="006B1584" w:rsidRPr="00BD4DB3">
        <w:rPr>
          <w:rFonts w:eastAsia="Times New Roman"/>
          <w:bCs/>
          <w:sz w:val="22"/>
          <w:szCs w:val="22"/>
        </w:rPr>
        <w:t xml:space="preserve"> The students, therefore, directly drive the curriculum. </w:t>
      </w:r>
    </w:p>
    <w:p w14:paraId="26D39DCE" w14:textId="4D40F487" w:rsidR="003E5B06" w:rsidRPr="00BD4DB3" w:rsidRDefault="00F853CA" w:rsidP="002B2811">
      <w:pPr>
        <w:spacing w:line="480" w:lineRule="auto"/>
        <w:rPr>
          <w:rFonts w:eastAsia="Times New Roman"/>
          <w:bCs/>
          <w:sz w:val="22"/>
          <w:szCs w:val="22"/>
        </w:rPr>
      </w:pPr>
      <w:r w:rsidRPr="00BD4DB3">
        <w:rPr>
          <w:rFonts w:eastAsia="Times New Roman"/>
          <w:bCs/>
          <w:sz w:val="22"/>
          <w:szCs w:val="22"/>
        </w:rPr>
        <w:tab/>
        <w:t xml:space="preserve">Engaging students more extensively within </w:t>
      </w:r>
      <w:r w:rsidR="00D25DE6" w:rsidRPr="00BD4DB3">
        <w:rPr>
          <w:rFonts w:eastAsia="Times New Roman"/>
          <w:bCs/>
          <w:sz w:val="22"/>
          <w:szCs w:val="22"/>
        </w:rPr>
        <w:t xml:space="preserve">curriculum and </w:t>
      </w:r>
      <w:r w:rsidRPr="00BD4DB3">
        <w:rPr>
          <w:rFonts w:eastAsia="Times New Roman"/>
          <w:bCs/>
          <w:sz w:val="22"/>
          <w:szCs w:val="22"/>
        </w:rPr>
        <w:t>assessment design has the potential to enhance student understanding</w:t>
      </w:r>
      <w:r w:rsidR="00181A47" w:rsidRPr="00BD4DB3">
        <w:rPr>
          <w:rFonts w:eastAsia="Times New Roman"/>
          <w:bCs/>
          <w:sz w:val="22"/>
          <w:szCs w:val="22"/>
        </w:rPr>
        <w:t xml:space="preserve"> of assessment, </w:t>
      </w:r>
      <w:r w:rsidRPr="00BD4DB3">
        <w:rPr>
          <w:rFonts w:eastAsia="Times New Roman"/>
          <w:bCs/>
          <w:sz w:val="22"/>
          <w:szCs w:val="22"/>
        </w:rPr>
        <w:t>facilitate innovation</w:t>
      </w:r>
      <w:r w:rsidR="00181A47" w:rsidRPr="00BD4DB3">
        <w:rPr>
          <w:rFonts w:eastAsia="Times New Roman"/>
          <w:bCs/>
          <w:sz w:val="22"/>
          <w:szCs w:val="22"/>
        </w:rPr>
        <w:t xml:space="preserve">, and </w:t>
      </w:r>
      <w:r w:rsidRPr="00BD4DB3">
        <w:rPr>
          <w:rFonts w:eastAsia="Times New Roman"/>
          <w:bCs/>
          <w:sz w:val="22"/>
          <w:szCs w:val="22"/>
        </w:rPr>
        <w:t xml:space="preserve">increase relevance </w:t>
      </w:r>
      <w:r w:rsidR="00D915D6" w:rsidRPr="00BD4DB3">
        <w:rPr>
          <w:rFonts w:eastAsia="Times New Roman"/>
          <w:bCs/>
          <w:sz w:val="22"/>
          <w:szCs w:val="22"/>
        </w:rPr>
        <w:t>with respect</w:t>
      </w:r>
      <w:r w:rsidRPr="00BD4DB3">
        <w:rPr>
          <w:rFonts w:eastAsia="Times New Roman"/>
          <w:bCs/>
          <w:sz w:val="22"/>
          <w:szCs w:val="22"/>
        </w:rPr>
        <w:t xml:space="preserve"> to employability and internationalization. </w:t>
      </w:r>
      <w:r w:rsidR="00D548E9" w:rsidRPr="00BD4DB3">
        <w:rPr>
          <w:rFonts w:eastAsia="Times New Roman"/>
          <w:bCs/>
          <w:sz w:val="22"/>
          <w:szCs w:val="22"/>
        </w:rPr>
        <w:t xml:space="preserve">We encourage further evaluation of innovations </w:t>
      </w:r>
      <w:r w:rsidR="00D915D6" w:rsidRPr="00BD4DB3">
        <w:rPr>
          <w:rFonts w:eastAsia="Times New Roman"/>
          <w:bCs/>
          <w:sz w:val="22"/>
          <w:szCs w:val="22"/>
        </w:rPr>
        <w:t>with psychology</w:t>
      </w:r>
      <w:r w:rsidR="00D548E9" w:rsidRPr="00BD4DB3">
        <w:rPr>
          <w:rFonts w:eastAsia="Times New Roman"/>
          <w:bCs/>
          <w:sz w:val="22"/>
          <w:szCs w:val="22"/>
        </w:rPr>
        <w:t xml:space="preserve"> students as co-creators</w:t>
      </w:r>
      <w:r w:rsidR="00D915D6" w:rsidRPr="00BD4DB3">
        <w:rPr>
          <w:rFonts w:eastAsia="Times New Roman"/>
          <w:bCs/>
          <w:sz w:val="22"/>
          <w:szCs w:val="22"/>
        </w:rPr>
        <w:t xml:space="preserve"> to inform fu</w:t>
      </w:r>
      <w:r w:rsidR="00D548E9" w:rsidRPr="00BD4DB3">
        <w:rPr>
          <w:rFonts w:eastAsia="Times New Roman"/>
          <w:bCs/>
          <w:sz w:val="22"/>
          <w:szCs w:val="22"/>
        </w:rPr>
        <w:t>ture assessment practices.</w:t>
      </w:r>
      <w:r w:rsidR="006B1584" w:rsidRPr="00BD4DB3">
        <w:rPr>
          <w:rFonts w:eastAsia="Times New Roman"/>
          <w:bCs/>
          <w:sz w:val="22"/>
          <w:szCs w:val="22"/>
        </w:rPr>
        <w:t xml:space="preserve"> Moreover, these kinds of initiatives, </w:t>
      </w:r>
      <w:r w:rsidR="00D915D6" w:rsidRPr="00BD4DB3">
        <w:rPr>
          <w:rFonts w:eastAsia="Times New Roman"/>
          <w:bCs/>
          <w:sz w:val="22"/>
          <w:szCs w:val="22"/>
        </w:rPr>
        <w:t xml:space="preserve">like </w:t>
      </w:r>
      <w:r w:rsidR="006B1584" w:rsidRPr="00BD4DB3">
        <w:rPr>
          <w:rFonts w:eastAsia="Times New Roman"/>
          <w:bCs/>
          <w:sz w:val="22"/>
          <w:szCs w:val="22"/>
        </w:rPr>
        <w:t>those involving employers and organizations, fall squarely within the expectations of Bologna-like collaborations</w:t>
      </w:r>
      <w:r w:rsidR="00181A47" w:rsidRPr="00BD4DB3">
        <w:rPr>
          <w:rFonts w:eastAsia="Times New Roman"/>
          <w:bCs/>
          <w:sz w:val="22"/>
          <w:szCs w:val="22"/>
        </w:rPr>
        <w:t xml:space="preserve"> (Sin &amp; Neaves, 2016)</w:t>
      </w:r>
      <w:r w:rsidR="006B1584" w:rsidRPr="00BD4DB3">
        <w:rPr>
          <w:rFonts w:eastAsia="Times New Roman"/>
          <w:bCs/>
          <w:sz w:val="22"/>
          <w:szCs w:val="22"/>
        </w:rPr>
        <w:t xml:space="preserve">. </w:t>
      </w:r>
    </w:p>
    <w:p w14:paraId="465239D3" w14:textId="4960E494" w:rsidR="00C76859" w:rsidRPr="00BD4DB3" w:rsidRDefault="00C76859" w:rsidP="00C76859">
      <w:pPr>
        <w:spacing w:line="480" w:lineRule="auto"/>
        <w:rPr>
          <w:rFonts w:eastAsia="Times New Roman"/>
          <w:b/>
          <w:sz w:val="22"/>
          <w:szCs w:val="22"/>
        </w:rPr>
      </w:pPr>
      <w:r w:rsidRPr="00BD4DB3">
        <w:rPr>
          <w:rFonts w:eastAsia="Times New Roman"/>
          <w:b/>
          <w:sz w:val="22"/>
          <w:szCs w:val="22"/>
        </w:rPr>
        <w:t>Assessment for Mobility</w:t>
      </w:r>
    </w:p>
    <w:p w14:paraId="27C3572D" w14:textId="379B9754" w:rsidR="00DA1F2C" w:rsidRPr="00BD4DB3" w:rsidRDefault="00DA1F2C" w:rsidP="00DA1F2C">
      <w:pPr>
        <w:spacing w:line="480" w:lineRule="auto"/>
        <w:ind w:firstLine="720"/>
        <w:rPr>
          <w:rFonts w:eastAsia="Times New Roman"/>
          <w:sz w:val="22"/>
          <w:szCs w:val="22"/>
        </w:rPr>
      </w:pPr>
      <w:r w:rsidRPr="00BD4DB3">
        <w:rPr>
          <w:rFonts w:eastAsia="Times New Roman"/>
          <w:sz w:val="22"/>
          <w:szCs w:val="22"/>
        </w:rPr>
        <w:t xml:space="preserve">From the outset, </w:t>
      </w:r>
      <w:r w:rsidR="00E10E88" w:rsidRPr="00BD4DB3">
        <w:rPr>
          <w:rFonts w:eastAsia="Times New Roman"/>
          <w:sz w:val="22"/>
          <w:szCs w:val="22"/>
        </w:rPr>
        <w:t>a prime goal o</w:t>
      </w:r>
      <w:r w:rsidR="006B1584" w:rsidRPr="00BD4DB3">
        <w:rPr>
          <w:rFonts w:eastAsia="Times New Roman"/>
          <w:sz w:val="22"/>
          <w:szCs w:val="22"/>
        </w:rPr>
        <w:t>f the Bologna P</w:t>
      </w:r>
      <w:r w:rsidRPr="00BD4DB3">
        <w:rPr>
          <w:rFonts w:eastAsia="Times New Roman"/>
          <w:sz w:val="22"/>
          <w:szCs w:val="22"/>
        </w:rPr>
        <w:t xml:space="preserve">rocess was mobility (Bologna, 1999). </w:t>
      </w:r>
      <w:r w:rsidR="009844FA" w:rsidRPr="00BD4DB3">
        <w:rPr>
          <w:rFonts w:eastAsia="Times New Roman"/>
          <w:sz w:val="22"/>
          <w:szCs w:val="22"/>
        </w:rPr>
        <w:t>In 2012, b</w:t>
      </w:r>
      <w:r w:rsidRPr="00BD4DB3">
        <w:rPr>
          <w:rFonts w:eastAsia="Times New Roman"/>
          <w:sz w:val="22"/>
          <w:szCs w:val="22"/>
        </w:rPr>
        <w:t>ecause of differences in educational situation</w:t>
      </w:r>
      <w:r w:rsidR="00FC6210" w:rsidRPr="00BD4DB3">
        <w:rPr>
          <w:rFonts w:eastAsia="Times New Roman"/>
          <w:sz w:val="22"/>
          <w:szCs w:val="22"/>
        </w:rPr>
        <w:t>s</w:t>
      </w:r>
      <w:r w:rsidRPr="00BD4DB3">
        <w:rPr>
          <w:rFonts w:eastAsia="Times New Roman"/>
          <w:sz w:val="22"/>
          <w:szCs w:val="22"/>
        </w:rPr>
        <w:t xml:space="preserve"> </w:t>
      </w:r>
      <w:r w:rsidR="00840792" w:rsidRPr="00BD4DB3">
        <w:rPr>
          <w:rFonts w:eastAsia="Times New Roman"/>
          <w:sz w:val="22"/>
          <w:szCs w:val="22"/>
        </w:rPr>
        <w:t>and opportunities across</w:t>
      </w:r>
      <w:r w:rsidRPr="00BD4DB3">
        <w:rPr>
          <w:rFonts w:eastAsia="Times New Roman"/>
          <w:sz w:val="22"/>
          <w:szCs w:val="22"/>
        </w:rPr>
        <w:t xml:space="preserve"> countries, </w:t>
      </w:r>
      <w:r w:rsidR="006B1584" w:rsidRPr="00BD4DB3">
        <w:rPr>
          <w:rFonts w:eastAsia="Times New Roman"/>
          <w:sz w:val="22"/>
          <w:szCs w:val="22"/>
        </w:rPr>
        <w:t>the EHEA published a Mobility S</w:t>
      </w:r>
      <w:r w:rsidRPr="00BD4DB3">
        <w:rPr>
          <w:rFonts w:eastAsia="Times New Roman"/>
          <w:sz w:val="22"/>
          <w:szCs w:val="22"/>
        </w:rPr>
        <w:t>trategy, in which ministers agreed that countries should develop their own internationalization and mo</w:t>
      </w:r>
      <w:r w:rsidR="006B1584" w:rsidRPr="00BD4DB3">
        <w:rPr>
          <w:rFonts w:eastAsia="Times New Roman"/>
          <w:sz w:val="22"/>
          <w:szCs w:val="22"/>
        </w:rPr>
        <w:t>bility strategies</w:t>
      </w:r>
      <w:r w:rsidR="00840792" w:rsidRPr="00BD4DB3">
        <w:rPr>
          <w:rFonts w:eastAsia="Times New Roman"/>
          <w:sz w:val="22"/>
          <w:szCs w:val="22"/>
        </w:rPr>
        <w:t xml:space="preserve">; </w:t>
      </w:r>
      <w:r w:rsidRPr="00BD4DB3">
        <w:rPr>
          <w:rFonts w:eastAsia="Times New Roman"/>
          <w:sz w:val="22"/>
          <w:szCs w:val="22"/>
        </w:rPr>
        <w:t xml:space="preserve">national higher education institutions were encouraged to </w:t>
      </w:r>
      <w:r w:rsidR="006B1584" w:rsidRPr="00BD4DB3">
        <w:rPr>
          <w:rFonts w:eastAsia="Times New Roman"/>
          <w:sz w:val="22"/>
          <w:szCs w:val="22"/>
        </w:rPr>
        <w:t>take into</w:t>
      </w:r>
      <w:r w:rsidRPr="00BD4DB3">
        <w:rPr>
          <w:rFonts w:eastAsia="Times New Roman"/>
          <w:sz w:val="22"/>
          <w:szCs w:val="22"/>
        </w:rPr>
        <w:t xml:space="preserve"> account their own context</w:t>
      </w:r>
      <w:r w:rsidR="00FC6210" w:rsidRPr="00BD4DB3">
        <w:rPr>
          <w:rFonts w:eastAsia="Times New Roman"/>
          <w:sz w:val="22"/>
          <w:szCs w:val="22"/>
        </w:rPr>
        <w:t>s and</w:t>
      </w:r>
      <w:r w:rsidRPr="00BD4DB3">
        <w:rPr>
          <w:rFonts w:eastAsia="Times New Roman"/>
          <w:sz w:val="22"/>
          <w:szCs w:val="22"/>
        </w:rPr>
        <w:t xml:space="preserve"> stakeholders (Eurydice, 2018). </w:t>
      </w:r>
      <w:r w:rsidR="006B0BEE" w:rsidRPr="00BD4DB3">
        <w:rPr>
          <w:rFonts w:eastAsia="Times New Roman"/>
          <w:sz w:val="22"/>
          <w:szCs w:val="22"/>
        </w:rPr>
        <w:t xml:space="preserve">In the 2012 Mobility Strategy, targets included both credit mobility </w:t>
      </w:r>
      <w:r w:rsidR="000B6E76" w:rsidRPr="00BD4DB3">
        <w:rPr>
          <w:rFonts w:eastAsia="Times New Roman"/>
          <w:sz w:val="22"/>
          <w:szCs w:val="22"/>
        </w:rPr>
        <w:t>[</w:t>
      </w:r>
      <w:r w:rsidR="006B0BEE" w:rsidRPr="00BD4DB3">
        <w:rPr>
          <w:rFonts w:eastAsia="Times New Roman"/>
          <w:sz w:val="22"/>
          <w:szCs w:val="22"/>
        </w:rPr>
        <w:t xml:space="preserve">periods spent studying abroad, corresponding to at least 15 </w:t>
      </w:r>
      <w:r w:rsidR="00D25DE6" w:rsidRPr="00BD4DB3">
        <w:rPr>
          <w:rFonts w:eastAsia="Times New Roman"/>
          <w:sz w:val="22"/>
          <w:szCs w:val="22"/>
        </w:rPr>
        <w:t>credits from the European Credit Transfer and Accumulation system (ECTS, akin to the U.S. credit system</w:t>
      </w:r>
      <w:r w:rsidR="006B0BEE" w:rsidRPr="00BD4DB3">
        <w:rPr>
          <w:rFonts w:eastAsia="Times New Roman"/>
          <w:sz w:val="22"/>
          <w:szCs w:val="22"/>
        </w:rPr>
        <w:t>) and degree mobility (obtaining a degree in a country</w:t>
      </w:r>
      <w:r w:rsidR="0025172D" w:rsidRPr="00BD4DB3">
        <w:rPr>
          <w:rFonts w:eastAsia="Times New Roman"/>
          <w:sz w:val="22"/>
          <w:szCs w:val="22"/>
        </w:rPr>
        <w:t xml:space="preserve"> different from where the preceding degree was obtained</w:t>
      </w:r>
      <w:r w:rsidR="00647160" w:rsidRPr="00BD4DB3">
        <w:rPr>
          <w:rFonts w:eastAsia="Times New Roman"/>
          <w:sz w:val="22"/>
          <w:szCs w:val="22"/>
        </w:rPr>
        <w:t>, or working in a country different from where the degrees were obtained</w:t>
      </w:r>
      <w:r w:rsidR="000B6E76" w:rsidRPr="00BD4DB3">
        <w:rPr>
          <w:rFonts w:eastAsia="Times New Roman"/>
          <w:sz w:val="22"/>
          <w:szCs w:val="22"/>
        </w:rPr>
        <w:t>]</w:t>
      </w:r>
      <w:r w:rsidR="006B0BEE" w:rsidRPr="00BD4DB3">
        <w:rPr>
          <w:rFonts w:eastAsia="Times New Roman"/>
          <w:sz w:val="22"/>
          <w:szCs w:val="22"/>
        </w:rPr>
        <w:t xml:space="preserve"> (EHEA, 2012). </w:t>
      </w:r>
      <w:r w:rsidRPr="00BD4DB3">
        <w:rPr>
          <w:rFonts w:eastAsia="Times New Roman"/>
          <w:sz w:val="22"/>
          <w:szCs w:val="22"/>
        </w:rPr>
        <w:t>Earlier, the EHEA had adopted a mobility target that by 2020, 20% of graduates should have spent a part of their training abroad (</w:t>
      </w:r>
      <w:r w:rsidR="001C5AEA" w:rsidRPr="00BD4DB3">
        <w:rPr>
          <w:rFonts w:eastAsia="Times New Roman"/>
          <w:sz w:val="22"/>
          <w:szCs w:val="22"/>
        </w:rPr>
        <w:t>European Commission</w:t>
      </w:r>
      <w:r w:rsidRPr="00BD4DB3">
        <w:rPr>
          <w:rFonts w:eastAsia="Times New Roman"/>
          <w:sz w:val="22"/>
          <w:szCs w:val="22"/>
        </w:rPr>
        <w:t>, 2009). Little data are available on</w:t>
      </w:r>
      <w:r w:rsidR="006B1584" w:rsidRPr="00BD4DB3">
        <w:rPr>
          <w:rFonts w:eastAsia="Times New Roman"/>
          <w:sz w:val="22"/>
          <w:szCs w:val="22"/>
        </w:rPr>
        <w:t xml:space="preserve"> the effect on student mobility, in part because </w:t>
      </w:r>
      <w:r w:rsidRPr="00BD4DB3">
        <w:rPr>
          <w:rFonts w:eastAsia="Times New Roman"/>
          <w:sz w:val="22"/>
          <w:szCs w:val="22"/>
        </w:rPr>
        <w:t>it is difficult to measure</w:t>
      </w:r>
      <w:r w:rsidR="009844FA" w:rsidRPr="00BD4DB3">
        <w:rPr>
          <w:rFonts w:eastAsia="Times New Roman"/>
          <w:sz w:val="22"/>
          <w:szCs w:val="22"/>
        </w:rPr>
        <w:t xml:space="preserve">; </w:t>
      </w:r>
      <w:r w:rsidRPr="00BD4DB3">
        <w:rPr>
          <w:rFonts w:eastAsia="Times New Roman"/>
          <w:sz w:val="22"/>
          <w:szCs w:val="22"/>
        </w:rPr>
        <w:t>many factors figure into the equation.</w:t>
      </w:r>
      <w:r w:rsidR="00EB7FA0" w:rsidRPr="00BD4DB3">
        <w:rPr>
          <w:rFonts w:eastAsia="Times New Roman"/>
          <w:sz w:val="22"/>
          <w:szCs w:val="22"/>
        </w:rPr>
        <w:t xml:space="preserve"> Data also generally are not </w:t>
      </w:r>
      <w:r w:rsidR="00FC6210" w:rsidRPr="00BD4DB3">
        <w:rPr>
          <w:rFonts w:eastAsia="Times New Roman"/>
          <w:sz w:val="22"/>
          <w:szCs w:val="22"/>
        </w:rPr>
        <w:t xml:space="preserve">discipline </w:t>
      </w:r>
      <w:r w:rsidR="00EB7FA0" w:rsidRPr="00BD4DB3">
        <w:rPr>
          <w:rFonts w:eastAsia="Times New Roman"/>
          <w:sz w:val="22"/>
          <w:szCs w:val="22"/>
        </w:rPr>
        <w:t>specific. Reddy</w:t>
      </w:r>
      <w:r w:rsidR="00647160" w:rsidRPr="00BD4DB3">
        <w:rPr>
          <w:rFonts w:eastAsia="Times New Roman"/>
          <w:sz w:val="22"/>
          <w:szCs w:val="22"/>
        </w:rPr>
        <w:t xml:space="preserve"> and colleagues</w:t>
      </w:r>
      <w:r w:rsidR="00EB7FA0" w:rsidRPr="00BD4DB3">
        <w:rPr>
          <w:rFonts w:eastAsia="Times New Roman"/>
          <w:sz w:val="22"/>
          <w:szCs w:val="22"/>
        </w:rPr>
        <w:t xml:space="preserve"> (2014) explored mobility for psychology. In most </w:t>
      </w:r>
      <w:r w:rsidR="00647160" w:rsidRPr="00BD4DB3">
        <w:rPr>
          <w:rFonts w:eastAsia="Times New Roman"/>
          <w:sz w:val="22"/>
          <w:szCs w:val="22"/>
        </w:rPr>
        <w:t xml:space="preserve">Bologna </w:t>
      </w:r>
      <w:r w:rsidR="00EB7FA0" w:rsidRPr="00BD4DB3">
        <w:rPr>
          <w:rFonts w:eastAsia="Times New Roman"/>
          <w:sz w:val="22"/>
          <w:szCs w:val="22"/>
        </w:rPr>
        <w:t>countries, mobility was found to have increased</w:t>
      </w:r>
      <w:r w:rsidR="002A241A" w:rsidRPr="00BD4DB3">
        <w:rPr>
          <w:rFonts w:eastAsia="Times New Roman"/>
          <w:sz w:val="22"/>
          <w:szCs w:val="22"/>
        </w:rPr>
        <w:t xml:space="preserve">, </w:t>
      </w:r>
      <w:r w:rsidR="007906F0" w:rsidRPr="00BD4DB3">
        <w:rPr>
          <w:rFonts w:eastAsia="Times New Roman"/>
          <w:sz w:val="22"/>
          <w:szCs w:val="22"/>
        </w:rPr>
        <w:t>as acknowled</w:t>
      </w:r>
      <w:r w:rsidR="00EB7FA0" w:rsidRPr="00BD4DB3">
        <w:rPr>
          <w:rFonts w:eastAsia="Times New Roman"/>
          <w:sz w:val="22"/>
          <w:szCs w:val="22"/>
        </w:rPr>
        <w:t>ged by the</w:t>
      </w:r>
      <w:r w:rsidR="00647160" w:rsidRPr="00BD4DB3">
        <w:rPr>
          <w:rFonts w:eastAsia="Times New Roman"/>
          <w:sz w:val="22"/>
          <w:szCs w:val="22"/>
        </w:rPr>
        <w:t xml:space="preserve"> European Federation of Psychologists' Associations</w:t>
      </w:r>
      <w:r w:rsidR="00EB7FA0" w:rsidRPr="00BD4DB3">
        <w:rPr>
          <w:rFonts w:eastAsia="Times New Roman"/>
          <w:sz w:val="22"/>
          <w:szCs w:val="22"/>
        </w:rPr>
        <w:t xml:space="preserve"> </w:t>
      </w:r>
      <w:r w:rsidR="00647160" w:rsidRPr="00BD4DB3">
        <w:rPr>
          <w:rFonts w:eastAsia="Times New Roman"/>
          <w:sz w:val="22"/>
          <w:szCs w:val="22"/>
        </w:rPr>
        <w:t>(</w:t>
      </w:r>
      <w:r w:rsidR="00072107" w:rsidRPr="00BD4DB3">
        <w:rPr>
          <w:rFonts w:eastAsia="Times New Roman"/>
          <w:sz w:val="22"/>
          <w:szCs w:val="22"/>
        </w:rPr>
        <w:t>EFPA</w:t>
      </w:r>
      <w:r w:rsidR="00647160" w:rsidRPr="00BD4DB3">
        <w:rPr>
          <w:rFonts w:eastAsia="Times New Roman"/>
          <w:sz w:val="22"/>
          <w:szCs w:val="22"/>
        </w:rPr>
        <w:t>)</w:t>
      </w:r>
      <w:r w:rsidR="00072107" w:rsidRPr="00BD4DB3">
        <w:rPr>
          <w:rFonts w:eastAsia="Times New Roman"/>
          <w:sz w:val="22"/>
          <w:szCs w:val="22"/>
        </w:rPr>
        <w:t xml:space="preserve"> Board of Educational Affairs</w:t>
      </w:r>
      <w:r w:rsidR="007906F0" w:rsidRPr="00BD4DB3">
        <w:rPr>
          <w:rFonts w:eastAsia="Times New Roman"/>
          <w:sz w:val="22"/>
          <w:szCs w:val="22"/>
        </w:rPr>
        <w:t>; h</w:t>
      </w:r>
      <w:r w:rsidR="003B400A" w:rsidRPr="00BD4DB3">
        <w:rPr>
          <w:rFonts w:eastAsia="Times New Roman"/>
          <w:sz w:val="22"/>
          <w:szCs w:val="22"/>
        </w:rPr>
        <w:t xml:space="preserve">owever, barriers </w:t>
      </w:r>
      <w:r w:rsidR="007906F0" w:rsidRPr="00BD4DB3">
        <w:rPr>
          <w:rFonts w:eastAsia="Times New Roman"/>
          <w:sz w:val="22"/>
          <w:szCs w:val="22"/>
        </w:rPr>
        <w:t>were found including</w:t>
      </w:r>
      <w:r w:rsidR="003B400A" w:rsidRPr="00BD4DB3">
        <w:rPr>
          <w:rFonts w:eastAsia="Times New Roman"/>
          <w:sz w:val="22"/>
          <w:szCs w:val="22"/>
        </w:rPr>
        <w:t xml:space="preserve"> lack of transparency, language, lack of intercultural competency allowing </w:t>
      </w:r>
      <w:r w:rsidR="007906F0" w:rsidRPr="00BD4DB3">
        <w:rPr>
          <w:rFonts w:eastAsia="Times New Roman"/>
          <w:sz w:val="22"/>
          <w:szCs w:val="22"/>
        </w:rPr>
        <w:t>students</w:t>
      </w:r>
      <w:r w:rsidR="003B400A" w:rsidRPr="00BD4DB3">
        <w:rPr>
          <w:rFonts w:eastAsia="Times New Roman"/>
          <w:sz w:val="22"/>
          <w:szCs w:val="22"/>
        </w:rPr>
        <w:t xml:space="preserve"> to successfully study abroad</w:t>
      </w:r>
      <w:r w:rsidR="007906F0" w:rsidRPr="00BD4DB3">
        <w:rPr>
          <w:rFonts w:eastAsia="Times New Roman"/>
          <w:sz w:val="22"/>
          <w:szCs w:val="22"/>
        </w:rPr>
        <w:t>,</w:t>
      </w:r>
      <w:r w:rsidR="003B400A" w:rsidRPr="00BD4DB3">
        <w:rPr>
          <w:rFonts w:eastAsia="Times New Roman"/>
          <w:sz w:val="22"/>
          <w:szCs w:val="22"/>
        </w:rPr>
        <w:t xml:space="preserve"> and lack of funding (EFPA BEA, 2014).</w:t>
      </w:r>
    </w:p>
    <w:p w14:paraId="31769475" w14:textId="6C154595" w:rsidR="00DA1F2C" w:rsidRPr="00BD4DB3" w:rsidRDefault="00DA1F2C" w:rsidP="006B1584">
      <w:pPr>
        <w:spacing w:line="480" w:lineRule="auto"/>
        <w:ind w:firstLine="720"/>
        <w:rPr>
          <w:sz w:val="22"/>
          <w:szCs w:val="22"/>
        </w:rPr>
      </w:pPr>
      <w:r w:rsidRPr="00BD4DB3">
        <w:rPr>
          <w:rFonts w:eastAsia="Times New Roman"/>
          <w:sz w:val="22"/>
          <w:szCs w:val="22"/>
        </w:rPr>
        <w:t>By 2018, the majority of European countries ha</w:t>
      </w:r>
      <w:r w:rsidR="00832A7F" w:rsidRPr="00BD4DB3">
        <w:rPr>
          <w:rFonts w:eastAsia="Times New Roman"/>
          <w:sz w:val="22"/>
          <w:szCs w:val="22"/>
        </w:rPr>
        <w:t>d implemented a mobility strategy</w:t>
      </w:r>
      <w:r w:rsidR="009844FA" w:rsidRPr="00BD4DB3">
        <w:rPr>
          <w:rFonts w:eastAsia="Times New Roman"/>
          <w:sz w:val="22"/>
          <w:szCs w:val="22"/>
        </w:rPr>
        <w:t>; h</w:t>
      </w:r>
      <w:r w:rsidRPr="00BD4DB3">
        <w:rPr>
          <w:rFonts w:eastAsia="Times New Roman"/>
          <w:sz w:val="22"/>
          <w:szCs w:val="22"/>
        </w:rPr>
        <w:t>owever, student mobility</w:t>
      </w:r>
      <w:r w:rsidR="00840792" w:rsidRPr="00BD4DB3">
        <w:rPr>
          <w:rFonts w:eastAsia="Times New Roman"/>
          <w:sz w:val="22"/>
          <w:szCs w:val="22"/>
        </w:rPr>
        <w:t xml:space="preserve"> varies</w:t>
      </w:r>
      <w:r w:rsidRPr="00BD4DB3">
        <w:rPr>
          <w:rFonts w:eastAsia="Times New Roman"/>
          <w:sz w:val="22"/>
          <w:szCs w:val="22"/>
        </w:rPr>
        <w:t xml:space="preserve"> greatly </w:t>
      </w:r>
      <w:r w:rsidR="00832A7F" w:rsidRPr="00BD4DB3">
        <w:rPr>
          <w:rFonts w:eastAsia="Times New Roman"/>
          <w:sz w:val="22"/>
          <w:szCs w:val="22"/>
        </w:rPr>
        <w:t>among</w:t>
      </w:r>
      <w:r w:rsidRPr="00BD4DB3">
        <w:rPr>
          <w:rFonts w:eastAsia="Times New Roman"/>
          <w:sz w:val="22"/>
          <w:szCs w:val="22"/>
        </w:rPr>
        <w:t xml:space="preserve"> countries and institutions</w:t>
      </w:r>
      <w:r w:rsidR="006B1584" w:rsidRPr="00BD4DB3">
        <w:rPr>
          <w:rFonts w:eastAsia="Times New Roman"/>
          <w:sz w:val="22"/>
          <w:szCs w:val="22"/>
        </w:rPr>
        <w:t xml:space="preserve"> (Eurydice, 2018)</w:t>
      </w:r>
      <w:r w:rsidRPr="00BD4DB3">
        <w:rPr>
          <w:rFonts w:eastAsia="Times New Roman"/>
          <w:sz w:val="22"/>
          <w:szCs w:val="22"/>
        </w:rPr>
        <w:t>. Kotsi and Agiomirgianakis (2013)</w:t>
      </w:r>
      <w:r w:rsidR="006B1584" w:rsidRPr="00BD4DB3">
        <w:rPr>
          <w:rFonts w:eastAsia="Times New Roman"/>
          <w:sz w:val="22"/>
          <w:szCs w:val="22"/>
        </w:rPr>
        <w:t>, for example,</w:t>
      </w:r>
      <w:r w:rsidRPr="00BD4DB3">
        <w:rPr>
          <w:rFonts w:eastAsia="Times New Roman"/>
          <w:sz w:val="22"/>
          <w:szCs w:val="22"/>
        </w:rPr>
        <w:t xml:space="preserve"> found</w:t>
      </w:r>
      <w:r w:rsidR="006B1584" w:rsidRPr="00BD4DB3">
        <w:rPr>
          <w:rFonts w:eastAsia="Times New Roman"/>
          <w:sz w:val="22"/>
          <w:szCs w:val="22"/>
        </w:rPr>
        <w:t xml:space="preserve"> that</w:t>
      </w:r>
      <w:r w:rsidRPr="00BD4DB3">
        <w:rPr>
          <w:rFonts w:eastAsia="Times New Roman"/>
          <w:sz w:val="22"/>
          <w:szCs w:val="22"/>
        </w:rPr>
        <w:t xml:space="preserve"> </w:t>
      </w:r>
      <w:r w:rsidRPr="00BD4DB3">
        <w:rPr>
          <w:sz w:val="22"/>
          <w:szCs w:val="22"/>
        </w:rPr>
        <w:t xml:space="preserve">mobility </w:t>
      </w:r>
      <w:r w:rsidR="006B1584" w:rsidRPr="00BD4DB3">
        <w:rPr>
          <w:sz w:val="22"/>
          <w:szCs w:val="22"/>
        </w:rPr>
        <w:t>was</w:t>
      </w:r>
      <w:r w:rsidRPr="00BD4DB3">
        <w:rPr>
          <w:sz w:val="22"/>
          <w:szCs w:val="22"/>
        </w:rPr>
        <w:t xml:space="preserve"> concentrated in the northern part of Europe with northern countries </w:t>
      </w:r>
      <w:r w:rsidR="00832A7F" w:rsidRPr="00BD4DB3">
        <w:rPr>
          <w:sz w:val="22"/>
          <w:szCs w:val="22"/>
        </w:rPr>
        <w:t>as</w:t>
      </w:r>
      <w:r w:rsidRPr="00BD4DB3">
        <w:rPr>
          <w:sz w:val="22"/>
          <w:szCs w:val="22"/>
        </w:rPr>
        <w:t xml:space="preserve"> net exporters in academic qualifications and </w:t>
      </w:r>
      <w:r w:rsidR="002D6C1F" w:rsidRPr="00BD4DB3">
        <w:rPr>
          <w:sz w:val="22"/>
          <w:szCs w:val="22"/>
        </w:rPr>
        <w:t>Mediterranean</w:t>
      </w:r>
      <w:r w:rsidRPr="00BD4DB3">
        <w:rPr>
          <w:sz w:val="22"/>
          <w:szCs w:val="22"/>
        </w:rPr>
        <w:t xml:space="preserve"> countries </w:t>
      </w:r>
      <w:r w:rsidR="00832A7F" w:rsidRPr="00BD4DB3">
        <w:rPr>
          <w:sz w:val="22"/>
          <w:szCs w:val="22"/>
        </w:rPr>
        <w:t xml:space="preserve">as </w:t>
      </w:r>
      <w:r w:rsidRPr="00BD4DB3">
        <w:rPr>
          <w:sz w:val="22"/>
          <w:szCs w:val="22"/>
        </w:rPr>
        <w:t>net impo</w:t>
      </w:r>
      <w:r w:rsidR="00832A7F" w:rsidRPr="00BD4DB3">
        <w:rPr>
          <w:sz w:val="22"/>
          <w:szCs w:val="22"/>
        </w:rPr>
        <w:t>rters</w:t>
      </w:r>
      <w:r w:rsidRPr="00BD4DB3">
        <w:rPr>
          <w:sz w:val="22"/>
          <w:szCs w:val="22"/>
        </w:rPr>
        <w:t xml:space="preserve">. </w:t>
      </w:r>
      <w:r w:rsidRPr="00BD4DB3">
        <w:rPr>
          <w:rFonts w:eastAsia="Times New Roman"/>
          <w:sz w:val="22"/>
          <w:szCs w:val="22"/>
        </w:rPr>
        <w:t xml:space="preserve">One </w:t>
      </w:r>
      <w:r w:rsidR="00840792" w:rsidRPr="00BD4DB3">
        <w:rPr>
          <w:rFonts w:eastAsia="Times New Roman"/>
          <w:sz w:val="22"/>
          <w:szCs w:val="22"/>
        </w:rPr>
        <w:t xml:space="preserve">factor </w:t>
      </w:r>
      <w:r w:rsidRPr="00BD4DB3">
        <w:rPr>
          <w:rFonts w:eastAsia="Times New Roman"/>
          <w:sz w:val="22"/>
          <w:szCs w:val="22"/>
        </w:rPr>
        <w:t>contributing to differences</w:t>
      </w:r>
      <w:r w:rsidR="006B1584" w:rsidRPr="00BD4DB3">
        <w:rPr>
          <w:rFonts w:eastAsia="Times New Roman"/>
          <w:sz w:val="22"/>
          <w:szCs w:val="22"/>
        </w:rPr>
        <w:t xml:space="preserve"> </w:t>
      </w:r>
      <w:r w:rsidRPr="00BD4DB3">
        <w:rPr>
          <w:rFonts w:eastAsia="Times New Roman"/>
          <w:sz w:val="22"/>
          <w:szCs w:val="22"/>
        </w:rPr>
        <w:t xml:space="preserve">is </w:t>
      </w:r>
      <w:r w:rsidR="00832A7F" w:rsidRPr="00BD4DB3">
        <w:rPr>
          <w:rFonts w:eastAsia="Times New Roman"/>
          <w:sz w:val="22"/>
          <w:szCs w:val="22"/>
        </w:rPr>
        <w:t>the availability of</w:t>
      </w:r>
      <w:r w:rsidRPr="00BD4DB3">
        <w:rPr>
          <w:rFonts w:eastAsia="Times New Roman"/>
          <w:sz w:val="22"/>
          <w:szCs w:val="22"/>
        </w:rPr>
        <w:t xml:space="preserve"> financial support for incoming or outgoing mobility (Eurydice, 2018). </w:t>
      </w:r>
    </w:p>
    <w:p w14:paraId="252DD3F7" w14:textId="3BB90C53" w:rsidR="001C37BC" w:rsidRPr="00BD4DB3" w:rsidRDefault="00DA1F2C" w:rsidP="00DA1F2C">
      <w:pPr>
        <w:spacing w:line="480" w:lineRule="auto"/>
        <w:ind w:firstLine="720"/>
        <w:rPr>
          <w:rFonts w:eastAsia="Times New Roman"/>
          <w:sz w:val="22"/>
          <w:szCs w:val="22"/>
        </w:rPr>
      </w:pPr>
      <w:r w:rsidRPr="00BD4DB3">
        <w:rPr>
          <w:rFonts w:eastAsia="Times New Roman"/>
          <w:sz w:val="22"/>
          <w:szCs w:val="22"/>
        </w:rPr>
        <w:t xml:space="preserve">The implementation of </w:t>
      </w:r>
      <w:r w:rsidR="003D09EA" w:rsidRPr="00BD4DB3">
        <w:rPr>
          <w:rFonts w:eastAsia="Times New Roman"/>
          <w:sz w:val="22"/>
          <w:szCs w:val="22"/>
        </w:rPr>
        <w:t>EuroPsy</w:t>
      </w:r>
      <w:r w:rsidRPr="00BD4DB3">
        <w:rPr>
          <w:rFonts w:eastAsia="Times New Roman"/>
          <w:sz w:val="22"/>
          <w:szCs w:val="22"/>
        </w:rPr>
        <w:t xml:space="preserve"> has influenced legislation on the regulation of </w:t>
      </w:r>
      <w:r w:rsidR="005A194C" w:rsidRPr="00BD4DB3">
        <w:rPr>
          <w:rFonts w:eastAsia="Times New Roman"/>
          <w:sz w:val="22"/>
          <w:szCs w:val="22"/>
        </w:rPr>
        <w:t>psychology in Europe</w:t>
      </w:r>
      <w:r w:rsidRPr="00BD4DB3">
        <w:rPr>
          <w:rFonts w:eastAsia="Times New Roman"/>
          <w:sz w:val="22"/>
          <w:szCs w:val="22"/>
        </w:rPr>
        <w:t xml:space="preserve">, thus influencing curricula </w:t>
      </w:r>
      <w:r w:rsidR="00E5359E" w:rsidRPr="00BD4DB3">
        <w:rPr>
          <w:rFonts w:eastAsia="Times New Roman"/>
          <w:sz w:val="22"/>
          <w:szCs w:val="22"/>
        </w:rPr>
        <w:t>(e.g.</w:t>
      </w:r>
      <w:r w:rsidR="00D24DA0" w:rsidRPr="00BD4DB3">
        <w:rPr>
          <w:rFonts w:eastAsia="Times New Roman"/>
          <w:sz w:val="22"/>
          <w:szCs w:val="22"/>
        </w:rPr>
        <w:t>,</w:t>
      </w:r>
      <w:r w:rsidR="00E5359E" w:rsidRPr="00BD4DB3">
        <w:rPr>
          <w:rFonts w:eastAsia="Times New Roman"/>
          <w:sz w:val="22"/>
          <w:szCs w:val="22"/>
        </w:rPr>
        <w:t xml:space="preserve"> </w:t>
      </w:r>
      <w:r w:rsidR="00072107" w:rsidRPr="00BD4DB3">
        <w:rPr>
          <w:rFonts w:eastAsia="Times New Roman"/>
          <w:sz w:val="22"/>
          <w:szCs w:val="22"/>
        </w:rPr>
        <w:t xml:space="preserve">EFPA </w:t>
      </w:r>
      <w:r w:rsidR="001C5AEA" w:rsidRPr="00BD4DB3">
        <w:rPr>
          <w:rFonts w:eastAsia="Times New Roman"/>
          <w:sz w:val="22"/>
          <w:szCs w:val="22"/>
        </w:rPr>
        <w:t>BEA</w:t>
      </w:r>
      <w:r w:rsidR="00072107" w:rsidRPr="00BD4DB3">
        <w:rPr>
          <w:rFonts w:eastAsia="Times New Roman"/>
          <w:sz w:val="22"/>
          <w:szCs w:val="22"/>
        </w:rPr>
        <w:t xml:space="preserve">, 2014; </w:t>
      </w:r>
      <w:r w:rsidR="00E5359E" w:rsidRPr="00BD4DB3">
        <w:rPr>
          <w:rFonts w:eastAsia="Times New Roman"/>
          <w:sz w:val="22"/>
          <w:szCs w:val="22"/>
        </w:rPr>
        <w:t>McElvaney, 2018</w:t>
      </w:r>
      <w:r w:rsidRPr="00BD4DB3">
        <w:rPr>
          <w:rFonts w:eastAsia="Times New Roman"/>
          <w:sz w:val="22"/>
          <w:szCs w:val="22"/>
        </w:rPr>
        <w:t>)</w:t>
      </w:r>
      <w:r w:rsidR="006B1584" w:rsidRPr="00BD4DB3">
        <w:rPr>
          <w:rFonts w:eastAsia="Times New Roman"/>
          <w:sz w:val="22"/>
          <w:szCs w:val="22"/>
        </w:rPr>
        <w:t>.</w:t>
      </w:r>
      <w:r w:rsidRPr="00BD4DB3">
        <w:rPr>
          <w:rFonts w:eastAsia="Times New Roman"/>
          <w:sz w:val="22"/>
          <w:szCs w:val="22"/>
        </w:rPr>
        <w:t xml:space="preserve"> </w:t>
      </w:r>
      <w:r w:rsidR="003D09EA" w:rsidRPr="00BD4DB3">
        <w:rPr>
          <w:rFonts w:eastAsia="Times New Roman"/>
          <w:sz w:val="22"/>
          <w:szCs w:val="22"/>
        </w:rPr>
        <w:t>EuroPsy</w:t>
      </w:r>
      <w:r w:rsidRPr="00BD4DB3">
        <w:rPr>
          <w:rFonts w:eastAsia="Times New Roman"/>
          <w:sz w:val="22"/>
          <w:szCs w:val="22"/>
        </w:rPr>
        <w:t xml:space="preserve"> is a standard for pr</w:t>
      </w:r>
      <w:r w:rsidR="009D2ACD" w:rsidRPr="00BD4DB3">
        <w:rPr>
          <w:rFonts w:eastAsia="Times New Roman"/>
          <w:sz w:val="22"/>
          <w:szCs w:val="22"/>
        </w:rPr>
        <w:t>ofessional training</w:t>
      </w:r>
      <w:r w:rsidRPr="00BD4DB3">
        <w:rPr>
          <w:rFonts w:eastAsia="Times New Roman"/>
          <w:sz w:val="22"/>
          <w:szCs w:val="22"/>
        </w:rPr>
        <w:t>, not a license</w:t>
      </w:r>
      <w:r w:rsidR="00FC6210" w:rsidRPr="00BD4DB3">
        <w:rPr>
          <w:rFonts w:eastAsia="Times New Roman"/>
          <w:sz w:val="22"/>
          <w:szCs w:val="22"/>
        </w:rPr>
        <w:t>. N</w:t>
      </w:r>
      <w:r w:rsidRPr="00BD4DB3">
        <w:rPr>
          <w:rFonts w:eastAsia="Times New Roman"/>
          <w:sz w:val="22"/>
          <w:szCs w:val="22"/>
        </w:rPr>
        <w:t>ational bodies set the requirements to practice</w:t>
      </w:r>
      <w:r w:rsidR="00647160" w:rsidRPr="00BD4DB3">
        <w:rPr>
          <w:rFonts w:eastAsia="Times New Roman"/>
          <w:sz w:val="22"/>
          <w:szCs w:val="22"/>
        </w:rPr>
        <w:t>; t</w:t>
      </w:r>
      <w:r w:rsidR="005A194C" w:rsidRPr="00BD4DB3">
        <w:rPr>
          <w:rFonts w:eastAsia="Times New Roman"/>
          <w:sz w:val="22"/>
          <w:szCs w:val="22"/>
        </w:rPr>
        <w:t xml:space="preserve">hus, </w:t>
      </w:r>
      <w:r w:rsidR="006B1584" w:rsidRPr="00BD4DB3">
        <w:rPr>
          <w:rFonts w:eastAsia="Times New Roman"/>
          <w:sz w:val="22"/>
          <w:szCs w:val="22"/>
        </w:rPr>
        <w:t xml:space="preserve">psychologists </w:t>
      </w:r>
      <w:r w:rsidRPr="00BD4DB3">
        <w:rPr>
          <w:rFonts w:eastAsia="Times New Roman"/>
          <w:sz w:val="22"/>
          <w:szCs w:val="22"/>
        </w:rPr>
        <w:t xml:space="preserve">wishing to practice in another European country have to meet not only training standards, but also additional requirements </w:t>
      </w:r>
      <w:r w:rsidR="00177E9B" w:rsidRPr="00BD4DB3">
        <w:rPr>
          <w:rFonts w:eastAsia="Times New Roman"/>
          <w:sz w:val="22"/>
          <w:szCs w:val="22"/>
        </w:rPr>
        <w:t xml:space="preserve">(e.g., </w:t>
      </w:r>
      <w:r w:rsidRPr="00BD4DB3">
        <w:rPr>
          <w:rFonts w:eastAsia="Times New Roman"/>
          <w:sz w:val="22"/>
          <w:szCs w:val="22"/>
        </w:rPr>
        <w:t>language</w:t>
      </w:r>
      <w:r w:rsidR="00177E9B" w:rsidRPr="00BD4DB3">
        <w:rPr>
          <w:rFonts w:eastAsia="Times New Roman"/>
          <w:sz w:val="22"/>
          <w:szCs w:val="22"/>
        </w:rPr>
        <w:t xml:space="preserve"> competency, knowledge of legis</w:t>
      </w:r>
      <w:r w:rsidRPr="00BD4DB3">
        <w:rPr>
          <w:rFonts w:eastAsia="Times New Roman"/>
          <w:sz w:val="22"/>
          <w:szCs w:val="22"/>
        </w:rPr>
        <w:t>lation</w:t>
      </w:r>
      <w:r w:rsidR="00177E9B" w:rsidRPr="00BD4DB3">
        <w:rPr>
          <w:rFonts w:eastAsia="Times New Roman"/>
          <w:sz w:val="22"/>
          <w:szCs w:val="22"/>
        </w:rPr>
        <w:t xml:space="preserve">). </w:t>
      </w:r>
      <w:r w:rsidR="006D2718" w:rsidRPr="00BD4DB3">
        <w:rPr>
          <w:rFonts w:eastAsia="Times New Roman"/>
          <w:sz w:val="22"/>
          <w:szCs w:val="22"/>
        </w:rPr>
        <w:t xml:space="preserve">It is difficult to measure </w:t>
      </w:r>
      <w:r w:rsidRPr="00BD4DB3">
        <w:rPr>
          <w:rFonts w:eastAsia="Times New Roman"/>
          <w:sz w:val="22"/>
          <w:szCs w:val="22"/>
        </w:rPr>
        <w:t xml:space="preserve">the impact of </w:t>
      </w:r>
      <w:r w:rsidR="003D09EA" w:rsidRPr="00BD4DB3">
        <w:rPr>
          <w:rFonts w:eastAsia="Times New Roman"/>
          <w:sz w:val="22"/>
          <w:szCs w:val="22"/>
        </w:rPr>
        <w:t>EuroPsy</w:t>
      </w:r>
      <w:r w:rsidRPr="00BD4DB3">
        <w:rPr>
          <w:rFonts w:eastAsia="Times New Roman"/>
          <w:sz w:val="22"/>
          <w:szCs w:val="22"/>
        </w:rPr>
        <w:t xml:space="preserve"> on </w:t>
      </w:r>
      <w:r w:rsidR="00647160" w:rsidRPr="00BD4DB3">
        <w:rPr>
          <w:rFonts w:eastAsia="Times New Roman"/>
          <w:sz w:val="22"/>
          <w:szCs w:val="22"/>
        </w:rPr>
        <w:t xml:space="preserve">the </w:t>
      </w:r>
      <w:r w:rsidRPr="00BD4DB3">
        <w:rPr>
          <w:rFonts w:eastAsia="Times New Roman"/>
          <w:sz w:val="22"/>
          <w:szCs w:val="22"/>
        </w:rPr>
        <w:t>mobility</w:t>
      </w:r>
      <w:r w:rsidR="0025172D" w:rsidRPr="00BD4DB3">
        <w:rPr>
          <w:rFonts w:eastAsia="Times New Roman"/>
          <w:sz w:val="22"/>
          <w:szCs w:val="22"/>
        </w:rPr>
        <w:t xml:space="preserve"> of psychologists</w:t>
      </w:r>
      <w:r w:rsidR="005A194C" w:rsidRPr="00BD4DB3">
        <w:rPr>
          <w:rFonts w:eastAsia="Times New Roman"/>
          <w:sz w:val="22"/>
          <w:szCs w:val="22"/>
        </w:rPr>
        <w:t>; however, i</w:t>
      </w:r>
      <w:r w:rsidRPr="00BD4DB3">
        <w:rPr>
          <w:rFonts w:eastAsia="Times New Roman"/>
          <w:sz w:val="22"/>
          <w:szCs w:val="22"/>
        </w:rPr>
        <w:t xml:space="preserve">t is assumed that </w:t>
      </w:r>
      <w:r w:rsidR="009D2ACD" w:rsidRPr="00BD4DB3">
        <w:rPr>
          <w:rFonts w:eastAsia="Times New Roman"/>
          <w:sz w:val="22"/>
          <w:szCs w:val="22"/>
        </w:rPr>
        <w:t>t</w:t>
      </w:r>
      <w:r w:rsidR="00177E9B" w:rsidRPr="00BD4DB3">
        <w:rPr>
          <w:rFonts w:eastAsia="Times New Roman"/>
          <w:sz w:val="22"/>
          <w:szCs w:val="22"/>
        </w:rPr>
        <w:t xml:space="preserve">he </w:t>
      </w:r>
      <w:r w:rsidR="003D09EA" w:rsidRPr="00BD4DB3">
        <w:rPr>
          <w:rFonts w:eastAsia="Times New Roman"/>
          <w:sz w:val="22"/>
          <w:szCs w:val="22"/>
        </w:rPr>
        <w:t>EuroPsy</w:t>
      </w:r>
      <w:r w:rsidR="00177E9B" w:rsidRPr="00BD4DB3">
        <w:rPr>
          <w:rFonts w:eastAsia="Times New Roman"/>
          <w:sz w:val="22"/>
          <w:szCs w:val="22"/>
        </w:rPr>
        <w:t xml:space="preserve"> certificate </w:t>
      </w:r>
      <w:r w:rsidRPr="00BD4DB3">
        <w:rPr>
          <w:rFonts w:eastAsia="Times New Roman"/>
          <w:sz w:val="22"/>
          <w:szCs w:val="22"/>
        </w:rPr>
        <w:t xml:space="preserve">helps mobility </w:t>
      </w:r>
      <w:r w:rsidR="00D24DA0" w:rsidRPr="00BD4DB3">
        <w:rPr>
          <w:rFonts w:eastAsia="Times New Roman"/>
          <w:sz w:val="22"/>
          <w:szCs w:val="22"/>
        </w:rPr>
        <w:t xml:space="preserve">by </w:t>
      </w:r>
      <w:r w:rsidRPr="00BD4DB3">
        <w:rPr>
          <w:rFonts w:eastAsia="Times New Roman"/>
          <w:sz w:val="22"/>
          <w:szCs w:val="22"/>
        </w:rPr>
        <w:t xml:space="preserve">providing a minimal </w:t>
      </w:r>
      <w:r w:rsidR="0025172D" w:rsidRPr="00BD4DB3">
        <w:rPr>
          <w:rFonts w:eastAsia="Times New Roman"/>
          <w:sz w:val="22"/>
          <w:szCs w:val="22"/>
        </w:rPr>
        <w:t xml:space="preserve">professional </w:t>
      </w:r>
      <w:r w:rsidRPr="00BD4DB3">
        <w:rPr>
          <w:rFonts w:eastAsia="Times New Roman"/>
          <w:sz w:val="22"/>
          <w:szCs w:val="22"/>
        </w:rPr>
        <w:t xml:space="preserve">standard and </w:t>
      </w:r>
      <w:r w:rsidR="00D24DA0" w:rsidRPr="00BD4DB3">
        <w:rPr>
          <w:rFonts w:eastAsia="Times New Roman"/>
          <w:sz w:val="22"/>
          <w:szCs w:val="22"/>
        </w:rPr>
        <w:t xml:space="preserve">by </w:t>
      </w:r>
      <w:r w:rsidRPr="00BD4DB3">
        <w:rPr>
          <w:rFonts w:eastAsia="Times New Roman"/>
          <w:sz w:val="22"/>
          <w:szCs w:val="22"/>
        </w:rPr>
        <w:t>facilitating evaluation of training</w:t>
      </w:r>
      <w:r w:rsidR="0025172D" w:rsidRPr="00BD4DB3">
        <w:rPr>
          <w:rFonts w:eastAsia="Times New Roman"/>
          <w:sz w:val="22"/>
          <w:szCs w:val="22"/>
        </w:rPr>
        <w:t xml:space="preserve"> and recognition of qualifications</w:t>
      </w:r>
      <w:r w:rsidRPr="00BD4DB3">
        <w:rPr>
          <w:rFonts w:eastAsia="Times New Roman"/>
          <w:sz w:val="22"/>
          <w:szCs w:val="22"/>
        </w:rPr>
        <w:t xml:space="preserve"> (</w:t>
      </w:r>
      <w:r w:rsidR="00D24DA0" w:rsidRPr="00BD4DB3">
        <w:rPr>
          <w:rFonts w:eastAsia="Times New Roman"/>
          <w:sz w:val="22"/>
          <w:szCs w:val="22"/>
        </w:rPr>
        <w:t xml:space="preserve">Lunt et al, 2015; </w:t>
      </w:r>
      <w:r w:rsidR="00EF1A7C" w:rsidRPr="00BD4DB3">
        <w:rPr>
          <w:rFonts w:eastAsia="Times New Roman"/>
          <w:sz w:val="22"/>
          <w:szCs w:val="22"/>
        </w:rPr>
        <w:t>McElvaney, 2018). Mc</w:t>
      </w:r>
      <w:r w:rsidRPr="00BD4DB3">
        <w:rPr>
          <w:rFonts w:eastAsia="Times New Roman"/>
          <w:sz w:val="22"/>
          <w:szCs w:val="22"/>
        </w:rPr>
        <w:t>Elvan</w:t>
      </w:r>
      <w:r w:rsidR="005C1652" w:rsidRPr="00BD4DB3">
        <w:rPr>
          <w:rFonts w:eastAsia="Times New Roman"/>
          <w:sz w:val="22"/>
          <w:szCs w:val="22"/>
        </w:rPr>
        <w:t>e</w:t>
      </w:r>
      <w:r w:rsidRPr="00BD4DB3">
        <w:rPr>
          <w:rFonts w:eastAsia="Times New Roman"/>
          <w:sz w:val="22"/>
          <w:szCs w:val="22"/>
        </w:rPr>
        <w:t xml:space="preserve">y and colleagues are currently gathering more concrete data, expected to become available </w:t>
      </w:r>
      <w:r w:rsidR="00647160" w:rsidRPr="00BD4DB3">
        <w:rPr>
          <w:rFonts w:eastAsia="Times New Roman"/>
          <w:sz w:val="22"/>
          <w:szCs w:val="22"/>
        </w:rPr>
        <w:t>soon</w:t>
      </w:r>
      <w:r w:rsidRPr="00BD4DB3">
        <w:rPr>
          <w:rFonts w:eastAsia="Times New Roman"/>
          <w:sz w:val="22"/>
          <w:szCs w:val="22"/>
        </w:rPr>
        <w:t>.</w:t>
      </w:r>
      <w:r w:rsidR="006D2718" w:rsidRPr="00BD4DB3">
        <w:rPr>
          <w:rFonts w:eastAsia="Times New Roman"/>
          <w:sz w:val="22"/>
          <w:szCs w:val="22"/>
        </w:rPr>
        <w:t xml:space="preserve"> Regardless, the </w:t>
      </w:r>
      <w:r w:rsidR="005A194C" w:rsidRPr="00BD4DB3">
        <w:rPr>
          <w:rFonts w:eastAsia="Times New Roman"/>
          <w:sz w:val="22"/>
          <w:szCs w:val="22"/>
        </w:rPr>
        <w:t>existence of</w:t>
      </w:r>
      <w:r w:rsidR="006D2718" w:rsidRPr="00BD4DB3">
        <w:rPr>
          <w:rFonts w:eastAsia="Times New Roman"/>
          <w:sz w:val="22"/>
          <w:szCs w:val="22"/>
        </w:rPr>
        <w:t xml:space="preserve"> movements </w:t>
      </w:r>
      <w:r w:rsidR="005A194C" w:rsidRPr="00BD4DB3">
        <w:rPr>
          <w:rFonts w:eastAsia="Times New Roman"/>
          <w:sz w:val="22"/>
          <w:szCs w:val="22"/>
        </w:rPr>
        <w:t>that explicitly</w:t>
      </w:r>
      <w:r w:rsidR="006D2718" w:rsidRPr="00BD4DB3">
        <w:rPr>
          <w:rFonts w:eastAsia="Times New Roman"/>
          <w:sz w:val="22"/>
          <w:szCs w:val="22"/>
        </w:rPr>
        <w:t xml:space="preserve"> encourage and ease mobility </w:t>
      </w:r>
      <w:r w:rsidR="005D7631" w:rsidRPr="00BD4DB3">
        <w:rPr>
          <w:rFonts w:eastAsia="Times New Roman"/>
          <w:sz w:val="22"/>
          <w:szCs w:val="22"/>
        </w:rPr>
        <w:t>form</w:t>
      </w:r>
      <w:r w:rsidR="006D2718" w:rsidRPr="00BD4DB3">
        <w:rPr>
          <w:rFonts w:eastAsia="Times New Roman"/>
          <w:sz w:val="22"/>
          <w:szCs w:val="22"/>
        </w:rPr>
        <w:t xml:space="preserve"> a model from which U.S. </w:t>
      </w:r>
      <w:r w:rsidR="00BD6AC1" w:rsidRPr="00BD4DB3">
        <w:rPr>
          <w:rFonts w:eastAsia="Times New Roman"/>
          <w:sz w:val="22"/>
          <w:szCs w:val="22"/>
        </w:rPr>
        <w:t xml:space="preserve">psychology </w:t>
      </w:r>
      <w:r w:rsidR="00177E9B" w:rsidRPr="00BD4DB3">
        <w:rPr>
          <w:rFonts w:eastAsia="Times New Roman"/>
          <w:sz w:val="22"/>
          <w:szCs w:val="22"/>
        </w:rPr>
        <w:t>can</w:t>
      </w:r>
      <w:r w:rsidR="006D2718" w:rsidRPr="00BD4DB3">
        <w:rPr>
          <w:rFonts w:eastAsia="Times New Roman"/>
          <w:sz w:val="22"/>
          <w:szCs w:val="22"/>
        </w:rPr>
        <w:t xml:space="preserve"> learn</w:t>
      </w:r>
      <w:r w:rsidR="005A194C" w:rsidRPr="00BD4DB3">
        <w:rPr>
          <w:rFonts w:eastAsia="Times New Roman"/>
          <w:sz w:val="22"/>
          <w:szCs w:val="22"/>
        </w:rPr>
        <w:t xml:space="preserve"> – </w:t>
      </w:r>
      <w:r w:rsidR="006D2718" w:rsidRPr="00BD4DB3">
        <w:rPr>
          <w:rFonts w:eastAsia="Times New Roman"/>
          <w:sz w:val="22"/>
          <w:szCs w:val="22"/>
        </w:rPr>
        <w:t>in terms of mob</w:t>
      </w:r>
      <w:r w:rsidR="005A194C" w:rsidRPr="00BD4DB3">
        <w:rPr>
          <w:rFonts w:eastAsia="Times New Roman"/>
          <w:sz w:val="22"/>
          <w:szCs w:val="22"/>
        </w:rPr>
        <w:t>ility within the U.S. and across countries</w:t>
      </w:r>
      <w:r w:rsidR="006D2718" w:rsidRPr="00BD4DB3">
        <w:rPr>
          <w:rFonts w:eastAsia="Times New Roman"/>
          <w:sz w:val="22"/>
          <w:szCs w:val="22"/>
        </w:rPr>
        <w:t xml:space="preserve">. </w:t>
      </w:r>
    </w:p>
    <w:p w14:paraId="0B76B74C" w14:textId="3679C6FA" w:rsidR="004C4081" w:rsidRPr="00BD4DB3" w:rsidRDefault="00342570" w:rsidP="00916683">
      <w:pPr>
        <w:spacing w:line="480" w:lineRule="auto"/>
        <w:rPr>
          <w:rFonts w:eastAsia="Times New Roman"/>
          <w:sz w:val="22"/>
          <w:szCs w:val="22"/>
        </w:rPr>
      </w:pPr>
      <w:r w:rsidRPr="00BD4DB3">
        <w:rPr>
          <w:rFonts w:eastAsia="Times New Roman"/>
          <w:b/>
          <w:sz w:val="22"/>
          <w:szCs w:val="22"/>
        </w:rPr>
        <w:t>Evidence-based international</w:t>
      </w:r>
      <w:r w:rsidR="004C4081" w:rsidRPr="00BD4DB3">
        <w:rPr>
          <w:rFonts w:eastAsia="Times New Roman"/>
          <w:b/>
          <w:sz w:val="22"/>
          <w:szCs w:val="22"/>
        </w:rPr>
        <w:t xml:space="preserve"> assessment practices</w:t>
      </w:r>
    </w:p>
    <w:p w14:paraId="324C4188" w14:textId="5D126DB8" w:rsidR="004C4081" w:rsidRPr="00BD4DB3" w:rsidRDefault="004C4081" w:rsidP="009B7CF6">
      <w:pPr>
        <w:ind w:left="720"/>
        <w:rPr>
          <w:rFonts w:eastAsia="Times New Roman"/>
          <w:sz w:val="22"/>
          <w:szCs w:val="22"/>
        </w:rPr>
      </w:pPr>
      <w:r w:rsidRPr="00BD4DB3">
        <w:rPr>
          <w:rFonts w:eastAsia="Times New Roman"/>
          <w:sz w:val="22"/>
          <w:szCs w:val="22"/>
        </w:rPr>
        <w:t xml:space="preserve">"It is an important challenge for university psychology departments to be at the forefront of developments in assessment, and to learn the lessons from research on effective teaching and learning." (Lunt et al., </w:t>
      </w:r>
      <w:r w:rsidR="00ED7812" w:rsidRPr="00BD4DB3">
        <w:rPr>
          <w:rFonts w:eastAsia="Times New Roman"/>
          <w:sz w:val="22"/>
          <w:szCs w:val="22"/>
        </w:rPr>
        <w:t>2011</w:t>
      </w:r>
      <w:r w:rsidRPr="00BD4DB3">
        <w:rPr>
          <w:rFonts w:eastAsia="Times New Roman"/>
          <w:sz w:val="22"/>
          <w:szCs w:val="22"/>
        </w:rPr>
        <w:t>, p.</w:t>
      </w:r>
      <w:r w:rsidR="009B7CF6" w:rsidRPr="00BD4DB3">
        <w:rPr>
          <w:rFonts w:eastAsia="Times New Roman"/>
          <w:sz w:val="22"/>
          <w:szCs w:val="22"/>
        </w:rPr>
        <w:t xml:space="preserve"> </w:t>
      </w:r>
      <w:r w:rsidRPr="00BD4DB3">
        <w:rPr>
          <w:rFonts w:eastAsia="Times New Roman"/>
          <w:sz w:val="22"/>
          <w:szCs w:val="22"/>
        </w:rPr>
        <w:t xml:space="preserve">81). </w:t>
      </w:r>
    </w:p>
    <w:p w14:paraId="355FFA43" w14:textId="77777777" w:rsidR="00B94C2D" w:rsidRPr="00BD4DB3" w:rsidRDefault="00B94C2D" w:rsidP="00B94C2D">
      <w:pPr>
        <w:ind w:left="720"/>
        <w:rPr>
          <w:rFonts w:eastAsia="Times New Roman"/>
          <w:sz w:val="22"/>
          <w:szCs w:val="22"/>
        </w:rPr>
      </w:pPr>
    </w:p>
    <w:p w14:paraId="2ABE9D7A" w14:textId="29AF7AD6" w:rsidR="004C4081" w:rsidRPr="00BD4DB3" w:rsidRDefault="009D2ACD" w:rsidP="004C4081">
      <w:pPr>
        <w:spacing w:line="480" w:lineRule="auto"/>
        <w:ind w:firstLine="720"/>
        <w:rPr>
          <w:rFonts w:eastAsia="Times New Roman"/>
          <w:sz w:val="22"/>
          <w:szCs w:val="22"/>
        </w:rPr>
      </w:pPr>
      <w:r w:rsidRPr="00BD4DB3">
        <w:rPr>
          <w:rFonts w:eastAsia="Times New Roman"/>
          <w:sz w:val="22"/>
          <w:szCs w:val="22"/>
        </w:rPr>
        <w:t>We</w:t>
      </w:r>
      <w:r w:rsidR="00C76859" w:rsidRPr="00BD4DB3">
        <w:rPr>
          <w:rFonts w:eastAsia="Times New Roman"/>
          <w:sz w:val="22"/>
          <w:szCs w:val="22"/>
        </w:rPr>
        <w:t xml:space="preserve"> outlined areas that we believe are key to international assessment in a more harmonized higher education space</w:t>
      </w:r>
      <w:r w:rsidR="00D10327" w:rsidRPr="00BD4DB3">
        <w:rPr>
          <w:rFonts w:eastAsia="Times New Roman"/>
          <w:sz w:val="22"/>
          <w:szCs w:val="22"/>
        </w:rPr>
        <w:t xml:space="preserve">, including </w:t>
      </w:r>
      <w:r w:rsidR="00C76859" w:rsidRPr="00BD4DB3">
        <w:rPr>
          <w:rFonts w:eastAsia="Times New Roman"/>
          <w:sz w:val="22"/>
          <w:szCs w:val="22"/>
        </w:rPr>
        <w:t>assessment of skills</w:t>
      </w:r>
      <w:r w:rsidR="00D10327" w:rsidRPr="00BD4DB3">
        <w:rPr>
          <w:rFonts w:eastAsia="Times New Roman"/>
          <w:sz w:val="22"/>
          <w:szCs w:val="22"/>
        </w:rPr>
        <w:t xml:space="preserve">, </w:t>
      </w:r>
      <w:r w:rsidR="00C76859" w:rsidRPr="00BD4DB3">
        <w:rPr>
          <w:rFonts w:eastAsia="Times New Roman"/>
          <w:sz w:val="22"/>
          <w:szCs w:val="22"/>
        </w:rPr>
        <w:t>inclusion of a wider range of stakeholders</w:t>
      </w:r>
      <w:r w:rsidR="00D10327" w:rsidRPr="00BD4DB3">
        <w:rPr>
          <w:rFonts w:eastAsia="Times New Roman"/>
          <w:sz w:val="22"/>
          <w:szCs w:val="22"/>
        </w:rPr>
        <w:t xml:space="preserve">, and </w:t>
      </w:r>
      <w:r w:rsidR="00C76859" w:rsidRPr="00BD4DB3">
        <w:rPr>
          <w:rFonts w:eastAsia="Times New Roman"/>
          <w:sz w:val="22"/>
          <w:szCs w:val="22"/>
        </w:rPr>
        <w:t xml:space="preserve">enhanced mobility for students and degrees. Next, we </w:t>
      </w:r>
      <w:r w:rsidR="004C4081" w:rsidRPr="00BD4DB3">
        <w:rPr>
          <w:rFonts w:eastAsia="Times New Roman"/>
          <w:sz w:val="22"/>
          <w:szCs w:val="22"/>
        </w:rPr>
        <w:t xml:space="preserve">present seven assessment propositions distilled from theory and research on higher education assessment (Boud </w:t>
      </w:r>
      <w:r w:rsidR="00D10327" w:rsidRPr="00BD4DB3">
        <w:rPr>
          <w:rFonts w:eastAsia="Times New Roman"/>
          <w:sz w:val="22"/>
          <w:szCs w:val="22"/>
        </w:rPr>
        <w:t xml:space="preserve">et al., 2009, pp. 2-4), and provide </w:t>
      </w:r>
      <w:r w:rsidR="00D123DC" w:rsidRPr="00BD4DB3">
        <w:rPr>
          <w:rFonts w:eastAsia="Times New Roman"/>
          <w:sz w:val="22"/>
          <w:szCs w:val="22"/>
        </w:rPr>
        <w:t xml:space="preserve">good practice </w:t>
      </w:r>
      <w:r w:rsidR="00D10327" w:rsidRPr="00BD4DB3">
        <w:rPr>
          <w:rFonts w:eastAsia="Times New Roman"/>
          <w:sz w:val="22"/>
          <w:szCs w:val="22"/>
        </w:rPr>
        <w:t xml:space="preserve">examples </w:t>
      </w:r>
      <w:r w:rsidR="004C4081" w:rsidRPr="00BD4DB3">
        <w:rPr>
          <w:rFonts w:eastAsia="Times New Roman"/>
          <w:sz w:val="22"/>
          <w:szCs w:val="22"/>
        </w:rPr>
        <w:t>that</w:t>
      </w:r>
      <w:r w:rsidR="00D123DC" w:rsidRPr="00BD4DB3">
        <w:rPr>
          <w:rFonts w:eastAsia="Times New Roman"/>
          <w:sz w:val="22"/>
          <w:szCs w:val="22"/>
        </w:rPr>
        <w:t xml:space="preserve"> all</w:t>
      </w:r>
      <w:r w:rsidR="004C4081" w:rsidRPr="00BD4DB3">
        <w:rPr>
          <w:rFonts w:eastAsia="Times New Roman"/>
          <w:sz w:val="22"/>
          <w:szCs w:val="22"/>
        </w:rPr>
        <w:t xml:space="preserve"> psychology educators could adapt. </w:t>
      </w:r>
      <w:r w:rsidR="00C76C47" w:rsidRPr="00BD4DB3">
        <w:rPr>
          <w:rFonts w:eastAsia="Times New Roman"/>
          <w:sz w:val="22"/>
          <w:szCs w:val="22"/>
        </w:rPr>
        <w:t>Although good practice can be found in many psychology programs both within and beyond the U.S., i</w:t>
      </w:r>
      <w:r w:rsidR="00C76859" w:rsidRPr="00BD4DB3">
        <w:rPr>
          <w:rFonts w:eastAsia="Times New Roman"/>
          <w:sz w:val="22"/>
          <w:szCs w:val="22"/>
        </w:rPr>
        <w:t xml:space="preserve">f adopted broadly, these </w:t>
      </w:r>
      <w:r w:rsidR="00C76C47" w:rsidRPr="00BD4DB3">
        <w:rPr>
          <w:rFonts w:eastAsia="Times New Roman"/>
          <w:sz w:val="22"/>
          <w:szCs w:val="22"/>
        </w:rPr>
        <w:t xml:space="preserve">propositions </w:t>
      </w:r>
      <w:r w:rsidR="00D10327" w:rsidRPr="00BD4DB3">
        <w:rPr>
          <w:rFonts w:eastAsia="Times New Roman"/>
          <w:sz w:val="22"/>
          <w:szCs w:val="22"/>
        </w:rPr>
        <w:t>could</w:t>
      </w:r>
      <w:r w:rsidR="00C76859" w:rsidRPr="00BD4DB3">
        <w:rPr>
          <w:rFonts w:eastAsia="Times New Roman"/>
          <w:sz w:val="22"/>
          <w:szCs w:val="22"/>
        </w:rPr>
        <w:t xml:space="preserve"> further </w:t>
      </w:r>
      <w:r w:rsidR="00C76C47" w:rsidRPr="00BD4DB3">
        <w:rPr>
          <w:rFonts w:eastAsia="Times New Roman"/>
          <w:sz w:val="22"/>
          <w:szCs w:val="22"/>
        </w:rPr>
        <w:t xml:space="preserve">the process of </w:t>
      </w:r>
      <w:r w:rsidR="00C76859" w:rsidRPr="00BD4DB3">
        <w:rPr>
          <w:rFonts w:eastAsia="Times New Roman"/>
          <w:sz w:val="22"/>
          <w:szCs w:val="22"/>
        </w:rPr>
        <w:t>harmo</w:t>
      </w:r>
      <w:r w:rsidR="00327C77" w:rsidRPr="00BD4DB3">
        <w:rPr>
          <w:rFonts w:eastAsia="Times New Roman"/>
          <w:sz w:val="22"/>
          <w:szCs w:val="22"/>
        </w:rPr>
        <w:t xml:space="preserve">nization, and in turn </w:t>
      </w:r>
      <w:r w:rsidR="00C76C47" w:rsidRPr="00BD4DB3">
        <w:rPr>
          <w:rFonts w:eastAsia="Times New Roman"/>
          <w:sz w:val="22"/>
          <w:szCs w:val="22"/>
        </w:rPr>
        <w:t xml:space="preserve">enhance </w:t>
      </w:r>
      <w:r w:rsidR="00327C77" w:rsidRPr="00BD4DB3">
        <w:rPr>
          <w:rFonts w:eastAsia="Times New Roman"/>
          <w:sz w:val="22"/>
          <w:szCs w:val="22"/>
        </w:rPr>
        <w:t>mobility. Where relevant, we draw connections with specific aspects of the Bologna</w:t>
      </w:r>
      <w:r w:rsidR="00D10327" w:rsidRPr="00BD4DB3">
        <w:rPr>
          <w:rFonts w:eastAsia="Times New Roman"/>
          <w:sz w:val="22"/>
          <w:szCs w:val="22"/>
        </w:rPr>
        <w:t>-type</w:t>
      </w:r>
      <w:r w:rsidR="00327C77" w:rsidRPr="00BD4DB3">
        <w:rPr>
          <w:rFonts w:eastAsia="Times New Roman"/>
          <w:sz w:val="22"/>
          <w:szCs w:val="22"/>
        </w:rPr>
        <w:t xml:space="preserve"> agreements. </w:t>
      </w:r>
    </w:p>
    <w:p w14:paraId="6DAC2ADB" w14:textId="0D59FC6B" w:rsidR="004C4081" w:rsidRPr="00BD4DB3" w:rsidRDefault="004C4081" w:rsidP="00CA093B">
      <w:pPr>
        <w:ind w:left="720"/>
        <w:rPr>
          <w:rFonts w:eastAsia="Times New Roman"/>
          <w:sz w:val="22"/>
          <w:szCs w:val="22"/>
        </w:rPr>
      </w:pPr>
      <w:r w:rsidRPr="00BD4DB3">
        <w:rPr>
          <w:rFonts w:eastAsia="Times New Roman"/>
          <w:sz w:val="22"/>
          <w:szCs w:val="22"/>
        </w:rPr>
        <w:t>1.</w:t>
      </w:r>
      <w:r w:rsidR="00DA1F2C" w:rsidRPr="00BD4DB3">
        <w:rPr>
          <w:rFonts w:eastAsia="Times New Roman"/>
          <w:sz w:val="22"/>
          <w:szCs w:val="22"/>
        </w:rPr>
        <w:t xml:space="preserve"> </w:t>
      </w:r>
      <w:r w:rsidRPr="00BD4DB3">
        <w:rPr>
          <w:rFonts w:eastAsia="Times New Roman"/>
          <w:sz w:val="22"/>
          <w:szCs w:val="22"/>
        </w:rPr>
        <w:t>“…assessment is used to engage students in l</w:t>
      </w:r>
      <w:r w:rsidR="006A2272" w:rsidRPr="00BD4DB3">
        <w:rPr>
          <w:rFonts w:eastAsia="Times New Roman"/>
          <w:sz w:val="22"/>
          <w:szCs w:val="22"/>
        </w:rPr>
        <w:t>earning that is productive</w:t>
      </w:r>
      <w:r w:rsidR="00170DF7" w:rsidRPr="00BD4DB3">
        <w:rPr>
          <w:rFonts w:eastAsia="Times New Roman"/>
          <w:sz w:val="22"/>
          <w:szCs w:val="22"/>
        </w:rPr>
        <w:t>”</w:t>
      </w:r>
      <w:r w:rsidRPr="00BD4DB3">
        <w:rPr>
          <w:rFonts w:eastAsia="Times New Roman"/>
          <w:sz w:val="22"/>
          <w:szCs w:val="22"/>
        </w:rPr>
        <w:t xml:space="preserve"> (p.</w:t>
      </w:r>
      <w:r w:rsidR="005D7631" w:rsidRPr="00BD4DB3">
        <w:rPr>
          <w:rFonts w:eastAsia="Times New Roman"/>
          <w:sz w:val="22"/>
          <w:szCs w:val="22"/>
        </w:rPr>
        <w:t xml:space="preserve"> </w:t>
      </w:r>
      <w:r w:rsidRPr="00BD4DB3">
        <w:rPr>
          <w:rFonts w:eastAsia="Times New Roman"/>
          <w:sz w:val="22"/>
          <w:szCs w:val="22"/>
        </w:rPr>
        <w:t>2)</w:t>
      </w:r>
    </w:p>
    <w:p w14:paraId="43B1F5DF" w14:textId="77777777" w:rsidR="00CA093B" w:rsidRPr="00BD4DB3" w:rsidRDefault="00CA093B" w:rsidP="00CA093B">
      <w:pPr>
        <w:ind w:left="720"/>
        <w:rPr>
          <w:rFonts w:eastAsia="Times New Roman"/>
          <w:sz w:val="22"/>
          <w:szCs w:val="22"/>
        </w:rPr>
      </w:pPr>
    </w:p>
    <w:p w14:paraId="00F51616" w14:textId="24BE0C95" w:rsidR="004C4081" w:rsidRPr="00BD4DB3" w:rsidRDefault="00D10327" w:rsidP="004C4081">
      <w:pPr>
        <w:spacing w:line="480" w:lineRule="auto"/>
        <w:ind w:firstLine="720"/>
        <w:rPr>
          <w:rFonts w:eastAsia="Times New Roman"/>
          <w:sz w:val="22"/>
          <w:szCs w:val="22"/>
        </w:rPr>
      </w:pPr>
      <w:r w:rsidRPr="00BD4DB3">
        <w:rPr>
          <w:rFonts w:eastAsia="Times New Roman"/>
          <w:sz w:val="22"/>
          <w:szCs w:val="22"/>
        </w:rPr>
        <w:t>F</w:t>
      </w:r>
      <w:r w:rsidR="004C4081" w:rsidRPr="00BD4DB3">
        <w:rPr>
          <w:rFonts w:eastAsia="Times New Roman"/>
          <w:sz w:val="22"/>
          <w:szCs w:val="22"/>
        </w:rPr>
        <w:t xml:space="preserve">or any one </w:t>
      </w:r>
      <w:r w:rsidR="00EA304A" w:rsidRPr="00BD4DB3">
        <w:rPr>
          <w:rFonts w:eastAsia="Times New Roman"/>
          <w:sz w:val="22"/>
          <w:szCs w:val="22"/>
        </w:rPr>
        <w:t>course</w:t>
      </w:r>
      <w:r w:rsidR="00F1675E" w:rsidRPr="00BD4DB3">
        <w:rPr>
          <w:rFonts w:eastAsia="Times New Roman"/>
          <w:sz w:val="22"/>
          <w:szCs w:val="22"/>
        </w:rPr>
        <w:t xml:space="preserve">, a final </w:t>
      </w:r>
      <w:r w:rsidR="004C4081" w:rsidRPr="00BD4DB3">
        <w:rPr>
          <w:rFonts w:eastAsia="Times New Roman"/>
          <w:sz w:val="22"/>
          <w:szCs w:val="22"/>
        </w:rPr>
        <w:t xml:space="preserve">grade does not tell </w:t>
      </w:r>
      <w:r w:rsidRPr="00BD4DB3">
        <w:rPr>
          <w:rFonts w:eastAsia="Times New Roman"/>
          <w:sz w:val="22"/>
          <w:szCs w:val="22"/>
        </w:rPr>
        <w:t>a</w:t>
      </w:r>
      <w:r w:rsidR="004C4081" w:rsidRPr="00BD4DB3">
        <w:rPr>
          <w:rFonts w:eastAsia="Times New Roman"/>
          <w:sz w:val="22"/>
          <w:szCs w:val="22"/>
        </w:rPr>
        <w:t xml:space="preserve"> student or employer whether the student has acquired threshold learning outcomes</w:t>
      </w:r>
      <w:r w:rsidRPr="00BD4DB3">
        <w:rPr>
          <w:rFonts w:eastAsia="Times New Roman"/>
          <w:sz w:val="22"/>
          <w:szCs w:val="22"/>
        </w:rPr>
        <w:t xml:space="preserve"> </w:t>
      </w:r>
      <w:r w:rsidR="00D4475B" w:rsidRPr="00BD4DB3">
        <w:rPr>
          <w:rFonts w:eastAsia="Times New Roman"/>
          <w:sz w:val="22"/>
          <w:szCs w:val="22"/>
        </w:rPr>
        <w:t xml:space="preserve">unless these </w:t>
      </w:r>
      <w:r w:rsidR="004C4081" w:rsidRPr="00BD4DB3">
        <w:rPr>
          <w:rFonts w:eastAsia="Times New Roman"/>
          <w:sz w:val="22"/>
          <w:szCs w:val="22"/>
        </w:rPr>
        <w:t xml:space="preserve">core </w:t>
      </w:r>
      <w:r w:rsidR="00D51222" w:rsidRPr="00BD4DB3">
        <w:rPr>
          <w:rFonts w:eastAsia="Times New Roman"/>
          <w:sz w:val="22"/>
          <w:szCs w:val="22"/>
        </w:rPr>
        <w:t xml:space="preserve">skills </w:t>
      </w:r>
      <w:r w:rsidR="00D4475B" w:rsidRPr="00BD4DB3">
        <w:rPr>
          <w:rFonts w:eastAsia="Times New Roman"/>
          <w:sz w:val="22"/>
          <w:szCs w:val="22"/>
        </w:rPr>
        <w:t>are explicitly tested</w:t>
      </w:r>
      <w:r w:rsidR="00170DF7" w:rsidRPr="00BD4DB3">
        <w:rPr>
          <w:rFonts w:eastAsia="Times New Roman"/>
          <w:sz w:val="22"/>
          <w:szCs w:val="22"/>
        </w:rPr>
        <w:t xml:space="preserve">. </w:t>
      </w:r>
      <w:r w:rsidR="00B94C2D" w:rsidRPr="00BD4DB3">
        <w:rPr>
          <w:rFonts w:eastAsia="Times New Roman"/>
          <w:sz w:val="22"/>
          <w:szCs w:val="22"/>
        </w:rPr>
        <w:t>I</w:t>
      </w:r>
      <w:r w:rsidR="004C4081" w:rsidRPr="00BD4DB3">
        <w:rPr>
          <w:rFonts w:eastAsia="Times New Roman"/>
          <w:sz w:val="22"/>
          <w:szCs w:val="22"/>
        </w:rPr>
        <w:t xml:space="preserve">n psychology, if </w:t>
      </w:r>
      <w:r w:rsidR="00F1675E" w:rsidRPr="00BD4DB3">
        <w:rPr>
          <w:rFonts w:eastAsia="Times New Roman"/>
          <w:sz w:val="22"/>
          <w:szCs w:val="22"/>
        </w:rPr>
        <w:t>o</w:t>
      </w:r>
      <w:r w:rsidR="004C4081" w:rsidRPr="00BD4DB3">
        <w:rPr>
          <w:rFonts w:eastAsia="Times New Roman"/>
          <w:sz w:val="22"/>
          <w:szCs w:val="22"/>
        </w:rPr>
        <w:t>ne of the threshol</w:t>
      </w:r>
      <w:r w:rsidR="00F1675E" w:rsidRPr="00BD4DB3">
        <w:rPr>
          <w:rFonts w:eastAsia="Times New Roman"/>
          <w:sz w:val="22"/>
          <w:szCs w:val="22"/>
        </w:rPr>
        <w:t>d learning outcomes is</w:t>
      </w:r>
      <w:r w:rsidR="00D51222" w:rsidRPr="00BD4DB3">
        <w:rPr>
          <w:rFonts w:eastAsia="Times New Roman"/>
          <w:sz w:val="22"/>
          <w:szCs w:val="22"/>
        </w:rPr>
        <w:t>, for example,</w:t>
      </w:r>
      <w:r w:rsidR="004C4081" w:rsidRPr="00BD4DB3">
        <w:rPr>
          <w:rFonts w:eastAsia="Times New Roman"/>
          <w:sz w:val="22"/>
          <w:szCs w:val="22"/>
        </w:rPr>
        <w:t xml:space="preserve"> ‘active listening</w:t>
      </w:r>
      <w:r w:rsidR="00B94C2D" w:rsidRPr="00BD4DB3">
        <w:rPr>
          <w:rFonts w:eastAsia="Times New Roman"/>
          <w:sz w:val="22"/>
          <w:szCs w:val="22"/>
        </w:rPr>
        <w:t>,</w:t>
      </w:r>
      <w:r w:rsidR="004C4081" w:rsidRPr="00BD4DB3">
        <w:rPr>
          <w:rFonts w:eastAsia="Times New Roman"/>
          <w:sz w:val="22"/>
          <w:szCs w:val="22"/>
        </w:rPr>
        <w:t xml:space="preserve">’ we will not be able to indicate that </w:t>
      </w:r>
      <w:r w:rsidR="00F1675E" w:rsidRPr="00BD4DB3">
        <w:rPr>
          <w:rFonts w:eastAsia="Times New Roman"/>
          <w:sz w:val="22"/>
          <w:szCs w:val="22"/>
        </w:rPr>
        <w:t>a</w:t>
      </w:r>
      <w:r w:rsidR="004C4081" w:rsidRPr="00BD4DB3">
        <w:rPr>
          <w:rFonts w:eastAsia="Times New Roman"/>
          <w:sz w:val="22"/>
          <w:szCs w:val="22"/>
        </w:rPr>
        <w:t xml:space="preserve"> student has a</w:t>
      </w:r>
      <w:r w:rsidR="00B94C2D" w:rsidRPr="00BD4DB3">
        <w:rPr>
          <w:rFonts w:eastAsia="Times New Roman"/>
          <w:sz w:val="22"/>
          <w:szCs w:val="22"/>
        </w:rPr>
        <w:t>cquired this learning outcome</w:t>
      </w:r>
      <w:r w:rsidR="004C4081" w:rsidRPr="00BD4DB3">
        <w:rPr>
          <w:rFonts w:eastAsia="Times New Roman"/>
          <w:sz w:val="22"/>
          <w:szCs w:val="22"/>
        </w:rPr>
        <w:t xml:space="preserve"> unless it is individually assessed </w:t>
      </w:r>
      <w:r w:rsidR="004C4081" w:rsidRPr="00BD4DB3">
        <w:rPr>
          <w:rFonts w:eastAsia="Times New Roman"/>
          <w:i/>
          <w:sz w:val="22"/>
          <w:szCs w:val="22"/>
        </w:rPr>
        <w:t>and</w:t>
      </w:r>
      <w:r w:rsidR="004C4081" w:rsidRPr="00BD4DB3">
        <w:rPr>
          <w:rFonts w:eastAsia="Times New Roman"/>
          <w:sz w:val="22"/>
          <w:szCs w:val="22"/>
        </w:rPr>
        <w:t xml:space="preserve"> </w:t>
      </w:r>
      <w:r w:rsidR="00B94C2D" w:rsidRPr="00BD4DB3">
        <w:rPr>
          <w:rFonts w:eastAsia="Times New Roman"/>
          <w:sz w:val="22"/>
          <w:szCs w:val="22"/>
        </w:rPr>
        <w:t xml:space="preserve">if it is required that </w:t>
      </w:r>
      <w:r w:rsidR="00F1675E" w:rsidRPr="00BD4DB3">
        <w:rPr>
          <w:rFonts w:eastAsia="Times New Roman"/>
          <w:sz w:val="22"/>
          <w:szCs w:val="22"/>
        </w:rPr>
        <w:t>they</w:t>
      </w:r>
      <w:r w:rsidR="004C4081" w:rsidRPr="00BD4DB3">
        <w:rPr>
          <w:rFonts w:eastAsia="Times New Roman"/>
          <w:sz w:val="22"/>
          <w:szCs w:val="22"/>
        </w:rPr>
        <w:t xml:space="preserve"> pass the assessment to pass the</w:t>
      </w:r>
      <w:r w:rsidR="00EA304A" w:rsidRPr="00BD4DB3">
        <w:rPr>
          <w:rFonts w:eastAsia="Times New Roman"/>
          <w:sz w:val="22"/>
          <w:szCs w:val="22"/>
        </w:rPr>
        <w:t xml:space="preserve"> course</w:t>
      </w:r>
      <w:r w:rsidR="004C4081" w:rsidRPr="00BD4DB3">
        <w:rPr>
          <w:rFonts w:eastAsia="Times New Roman"/>
          <w:sz w:val="22"/>
          <w:szCs w:val="22"/>
        </w:rPr>
        <w:t>. We highly recommend that psychology educators consi</w:t>
      </w:r>
      <w:r w:rsidR="00B94C2D" w:rsidRPr="00BD4DB3">
        <w:rPr>
          <w:rFonts w:eastAsia="Times New Roman"/>
          <w:sz w:val="22"/>
          <w:szCs w:val="22"/>
        </w:rPr>
        <w:t>der redesigning curricula</w:t>
      </w:r>
      <w:r w:rsidR="004C4081" w:rsidRPr="00BD4DB3">
        <w:rPr>
          <w:rFonts w:eastAsia="Times New Roman"/>
          <w:sz w:val="22"/>
          <w:szCs w:val="22"/>
        </w:rPr>
        <w:t xml:space="preserve"> so that all stakeholders are confident that the student has acquired the threshold learning outcomes</w:t>
      </w:r>
      <w:r w:rsidR="00454169" w:rsidRPr="00BD4DB3">
        <w:rPr>
          <w:rFonts w:eastAsia="Times New Roman"/>
          <w:sz w:val="22"/>
          <w:szCs w:val="22"/>
        </w:rPr>
        <w:t xml:space="preserve"> that have been influenced by employer, community, </w:t>
      </w:r>
      <w:r w:rsidR="00DF7A83" w:rsidRPr="00BD4DB3">
        <w:rPr>
          <w:rFonts w:eastAsia="Times New Roman"/>
          <w:sz w:val="22"/>
          <w:szCs w:val="22"/>
        </w:rPr>
        <w:t xml:space="preserve">and </w:t>
      </w:r>
      <w:r w:rsidR="00454169" w:rsidRPr="00BD4DB3">
        <w:rPr>
          <w:rFonts w:eastAsia="Times New Roman"/>
          <w:sz w:val="22"/>
          <w:szCs w:val="22"/>
        </w:rPr>
        <w:t>studentinput. The assessment methods should</w:t>
      </w:r>
      <w:r w:rsidR="00D4475B" w:rsidRPr="00BD4DB3">
        <w:rPr>
          <w:rFonts w:eastAsia="Times New Roman"/>
          <w:sz w:val="22"/>
          <w:szCs w:val="22"/>
        </w:rPr>
        <w:t xml:space="preserve"> demonstrably and explicitly </w:t>
      </w:r>
      <w:r w:rsidR="00454169" w:rsidRPr="00BD4DB3">
        <w:rPr>
          <w:rFonts w:eastAsia="Times New Roman"/>
          <w:sz w:val="22"/>
          <w:szCs w:val="22"/>
        </w:rPr>
        <w:t>evidence</w:t>
      </w:r>
      <w:r w:rsidR="00D4475B" w:rsidRPr="00BD4DB3">
        <w:rPr>
          <w:rFonts w:eastAsia="Times New Roman"/>
          <w:sz w:val="22"/>
          <w:szCs w:val="22"/>
        </w:rPr>
        <w:t xml:space="preserve"> </w:t>
      </w:r>
      <w:r w:rsidR="00454169" w:rsidRPr="00BD4DB3">
        <w:rPr>
          <w:rFonts w:eastAsia="Times New Roman"/>
          <w:sz w:val="22"/>
          <w:szCs w:val="22"/>
        </w:rPr>
        <w:t>mastery</w:t>
      </w:r>
      <w:r w:rsidR="00D4475B" w:rsidRPr="00BD4DB3">
        <w:rPr>
          <w:rFonts w:eastAsia="Times New Roman"/>
          <w:sz w:val="22"/>
          <w:szCs w:val="22"/>
        </w:rPr>
        <w:t xml:space="preserve"> </w:t>
      </w:r>
      <w:r w:rsidR="00454169" w:rsidRPr="00BD4DB3">
        <w:rPr>
          <w:rFonts w:eastAsia="Times New Roman"/>
          <w:sz w:val="22"/>
          <w:szCs w:val="22"/>
        </w:rPr>
        <w:t>of the intended learning outcomes/competencies,</w:t>
      </w:r>
      <w:r w:rsidR="00D4475B" w:rsidRPr="00BD4DB3">
        <w:rPr>
          <w:rFonts w:eastAsia="Times New Roman"/>
          <w:sz w:val="22"/>
          <w:szCs w:val="22"/>
        </w:rPr>
        <w:t xml:space="preserve"> </w:t>
      </w:r>
      <w:r w:rsidR="00040B55" w:rsidRPr="00BD4DB3">
        <w:rPr>
          <w:rFonts w:eastAsia="Times New Roman"/>
          <w:sz w:val="22"/>
          <w:szCs w:val="22"/>
        </w:rPr>
        <w:t>perhaps through authentic assessment</w:t>
      </w:r>
      <w:r w:rsidR="00454169" w:rsidRPr="00BD4DB3">
        <w:rPr>
          <w:rFonts w:eastAsia="Times New Roman"/>
          <w:sz w:val="22"/>
          <w:szCs w:val="22"/>
        </w:rPr>
        <w:t xml:space="preserve"> products,</w:t>
      </w:r>
      <w:r w:rsidR="00BD6AC1" w:rsidRPr="00BD4DB3">
        <w:rPr>
          <w:rFonts w:eastAsia="Times New Roman"/>
          <w:sz w:val="22"/>
          <w:szCs w:val="22"/>
        </w:rPr>
        <w:t xml:space="preserve"> the assistance of technological innovations </w:t>
      </w:r>
      <w:r w:rsidR="00454169" w:rsidRPr="00BD4DB3">
        <w:rPr>
          <w:rFonts w:eastAsia="Times New Roman"/>
          <w:sz w:val="22"/>
          <w:szCs w:val="22"/>
        </w:rPr>
        <w:t>(</w:t>
      </w:r>
      <w:r w:rsidR="00BD6AC1" w:rsidRPr="00BD4DB3">
        <w:rPr>
          <w:rFonts w:eastAsia="Times New Roman"/>
          <w:sz w:val="22"/>
          <w:szCs w:val="22"/>
        </w:rPr>
        <w:t xml:space="preserve">that, </w:t>
      </w:r>
      <w:r w:rsidR="00454169" w:rsidRPr="00BD4DB3">
        <w:rPr>
          <w:rFonts w:eastAsia="Times New Roman"/>
          <w:sz w:val="22"/>
          <w:szCs w:val="22"/>
        </w:rPr>
        <w:t>e.g.</w:t>
      </w:r>
      <w:r w:rsidR="00BD6AC1" w:rsidRPr="00BD4DB3">
        <w:rPr>
          <w:rFonts w:eastAsia="Times New Roman"/>
          <w:sz w:val="22"/>
          <w:szCs w:val="22"/>
        </w:rPr>
        <w:t>, can identify and automatically score instances of ‘active listening’</w:t>
      </w:r>
      <w:r w:rsidR="00454169" w:rsidRPr="00BD4DB3">
        <w:rPr>
          <w:rFonts w:eastAsia="Times New Roman"/>
          <w:sz w:val="22"/>
          <w:szCs w:val="22"/>
        </w:rPr>
        <w:t>), and the compilation of such evidence in a portfolio that can be used by students to present credentials for job applications</w:t>
      </w:r>
      <w:r w:rsidR="00BD6AC1" w:rsidRPr="00BD4DB3">
        <w:rPr>
          <w:rFonts w:eastAsia="Times New Roman"/>
          <w:sz w:val="22"/>
          <w:szCs w:val="22"/>
        </w:rPr>
        <w:t>.</w:t>
      </w:r>
      <w:r w:rsidR="00454169" w:rsidRPr="00BD4DB3">
        <w:rPr>
          <w:rFonts w:eastAsia="Times New Roman"/>
          <w:sz w:val="22"/>
          <w:szCs w:val="22"/>
        </w:rPr>
        <w:t xml:space="preserve"> </w:t>
      </w:r>
    </w:p>
    <w:p w14:paraId="6DE19A54" w14:textId="75D4B41B" w:rsidR="004C4081" w:rsidRPr="00BD4DB3" w:rsidRDefault="004C4081" w:rsidP="00CA093B">
      <w:pPr>
        <w:ind w:left="720"/>
        <w:rPr>
          <w:rFonts w:eastAsia="Times New Roman"/>
          <w:sz w:val="22"/>
          <w:szCs w:val="22"/>
        </w:rPr>
      </w:pPr>
      <w:r w:rsidRPr="00BD4DB3">
        <w:rPr>
          <w:rFonts w:eastAsia="Times New Roman"/>
          <w:sz w:val="22"/>
          <w:szCs w:val="22"/>
        </w:rPr>
        <w:t>2. “…feedback is used to ac</w:t>
      </w:r>
      <w:r w:rsidR="00170DF7" w:rsidRPr="00BD4DB3">
        <w:rPr>
          <w:rFonts w:eastAsia="Times New Roman"/>
          <w:sz w:val="22"/>
          <w:szCs w:val="22"/>
        </w:rPr>
        <w:t>tively improve student learning</w:t>
      </w:r>
      <w:r w:rsidRPr="00BD4DB3">
        <w:rPr>
          <w:rFonts w:eastAsia="Times New Roman"/>
          <w:sz w:val="22"/>
          <w:szCs w:val="22"/>
        </w:rPr>
        <w:t>” (p.</w:t>
      </w:r>
      <w:r w:rsidR="005D7631" w:rsidRPr="00BD4DB3">
        <w:rPr>
          <w:rFonts w:eastAsia="Times New Roman"/>
          <w:sz w:val="22"/>
          <w:szCs w:val="22"/>
        </w:rPr>
        <w:t xml:space="preserve"> </w:t>
      </w:r>
      <w:r w:rsidRPr="00BD4DB3">
        <w:rPr>
          <w:rFonts w:eastAsia="Times New Roman"/>
          <w:sz w:val="22"/>
          <w:szCs w:val="22"/>
        </w:rPr>
        <w:t>2)</w:t>
      </w:r>
    </w:p>
    <w:p w14:paraId="19C1F9FB" w14:textId="77777777" w:rsidR="00CA093B" w:rsidRPr="00BD4DB3" w:rsidRDefault="00CA093B" w:rsidP="00CA093B">
      <w:pPr>
        <w:ind w:left="720"/>
        <w:rPr>
          <w:rFonts w:eastAsia="Times New Roman"/>
          <w:sz w:val="22"/>
          <w:szCs w:val="22"/>
        </w:rPr>
      </w:pPr>
    </w:p>
    <w:p w14:paraId="660B4662" w14:textId="1396BB1B" w:rsidR="004C4081" w:rsidRPr="00BD4DB3" w:rsidRDefault="009C6001" w:rsidP="0018618B">
      <w:pPr>
        <w:spacing w:line="480" w:lineRule="auto"/>
        <w:ind w:firstLine="720"/>
        <w:rPr>
          <w:rFonts w:eastAsia="Times New Roman"/>
          <w:sz w:val="22"/>
          <w:szCs w:val="22"/>
        </w:rPr>
      </w:pPr>
      <w:r w:rsidRPr="00BD4DB3">
        <w:rPr>
          <w:rFonts w:eastAsia="Times New Roman"/>
          <w:sz w:val="22"/>
          <w:szCs w:val="22"/>
        </w:rPr>
        <w:t>I</w:t>
      </w:r>
      <w:r w:rsidR="004C4081" w:rsidRPr="00BD4DB3">
        <w:rPr>
          <w:rFonts w:eastAsia="Times New Roman"/>
          <w:sz w:val="22"/>
          <w:szCs w:val="22"/>
        </w:rPr>
        <w:t xml:space="preserve">nitiatives </w:t>
      </w:r>
      <w:r w:rsidR="00B805FC" w:rsidRPr="00BD4DB3">
        <w:rPr>
          <w:rFonts w:eastAsia="Times New Roman"/>
          <w:sz w:val="22"/>
          <w:szCs w:val="22"/>
        </w:rPr>
        <w:t xml:space="preserve">relevant to feedback </w:t>
      </w:r>
      <w:r w:rsidRPr="00BD4DB3">
        <w:rPr>
          <w:rFonts w:eastAsia="Times New Roman"/>
          <w:sz w:val="22"/>
          <w:szCs w:val="22"/>
        </w:rPr>
        <w:t xml:space="preserve">were introduced </w:t>
      </w:r>
      <w:r w:rsidR="004C4081" w:rsidRPr="00BD4DB3">
        <w:rPr>
          <w:rFonts w:eastAsia="Times New Roman"/>
          <w:sz w:val="22"/>
          <w:szCs w:val="22"/>
        </w:rPr>
        <w:t xml:space="preserve">in </w:t>
      </w:r>
      <w:r w:rsidR="00B94C2D" w:rsidRPr="00BD4DB3">
        <w:rPr>
          <w:rFonts w:eastAsia="Times New Roman"/>
          <w:sz w:val="22"/>
          <w:szCs w:val="22"/>
        </w:rPr>
        <w:t>a</w:t>
      </w:r>
      <w:r w:rsidR="004C4081" w:rsidRPr="00BD4DB3">
        <w:rPr>
          <w:rFonts w:eastAsia="Times New Roman"/>
          <w:sz w:val="22"/>
          <w:szCs w:val="22"/>
        </w:rPr>
        <w:t xml:space="preserve"> large undergraduate health psychology</w:t>
      </w:r>
      <w:r w:rsidR="00EA304A" w:rsidRPr="00BD4DB3">
        <w:rPr>
          <w:rFonts w:eastAsia="Times New Roman"/>
          <w:sz w:val="22"/>
          <w:szCs w:val="22"/>
        </w:rPr>
        <w:t xml:space="preserve"> course</w:t>
      </w:r>
      <w:r w:rsidR="005A194C" w:rsidRPr="00BD4DB3">
        <w:rPr>
          <w:rFonts w:eastAsia="Times New Roman"/>
          <w:sz w:val="22"/>
          <w:szCs w:val="22"/>
        </w:rPr>
        <w:t xml:space="preserve"> in Australia</w:t>
      </w:r>
      <w:r w:rsidRPr="00BD4DB3">
        <w:rPr>
          <w:rFonts w:eastAsia="Times New Roman"/>
          <w:sz w:val="22"/>
          <w:szCs w:val="22"/>
        </w:rPr>
        <w:t xml:space="preserve"> (Broadbent</w:t>
      </w:r>
      <w:r w:rsidR="0050131D" w:rsidRPr="00BD4DB3">
        <w:rPr>
          <w:rFonts w:eastAsia="Times New Roman"/>
          <w:sz w:val="22"/>
          <w:szCs w:val="22"/>
        </w:rPr>
        <w:t xml:space="preserve"> et al.</w:t>
      </w:r>
      <w:r w:rsidRPr="00BD4DB3">
        <w:rPr>
          <w:rFonts w:eastAsia="Times New Roman"/>
          <w:sz w:val="22"/>
          <w:szCs w:val="22"/>
        </w:rPr>
        <w:t>, 2018)</w:t>
      </w:r>
      <w:r w:rsidR="004C4081" w:rsidRPr="00BD4DB3">
        <w:rPr>
          <w:rFonts w:eastAsia="Times New Roman"/>
          <w:sz w:val="22"/>
          <w:szCs w:val="22"/>
        </w:rPr>
        <w:t xml:space="preserve">. </w:t>
      </w:r>
      <w:r w:rsidRPr="00BD4DB3">
        <w:rPr>
          <w:rFonts w:eastAsia="Times New Roman"/>
          <w:sz w:val="22"/>
          <w:szCs w:val="22"/>
        </w:rPr>
        <w:t>For</w:t>
      </w:r>
      <w:r w:rsidR="00B805FC" w:rsidRPr="00BD4DB3">
        <w:rPr>
          <w:rFonts w:eastAsia="Times New Roman"/>
          <w:sz w:val="22"/>
          <w:szCs w:val="22"/>
        </w:rPr>
        <w:t xml:space="preserve"> example</w:t>
      </w:r>
      <w:r w:rsidR="004C4081" w:rsidRPr="00BD4DB3">
        <w:rPr>
          <w:rFonts w:eastAsia="Times New Roman"/>
          <w:sz w:val="22"/>
          <w:szCs w:val="22"/>
        </w:rPr>
        <w:t xml:space="preserve">, </w:t>
      </w:r>
      <w:r w:rsidR="00D10327" w:rsidRPr="00BD4DB3">
        <w:rPr>
          <w:rFonts w:eastAsia="Times New Roman"/>
          <w:sz w:val="22"/>
          <w:szCs w:val="22"/>
        </w:rPr>
        <w:t>for</w:t>
      </w:r>
      <w:r w:rsidRPr="00BD4DB3">
        <w:rPr>
          <w:rFonts w:eastAsia="Times New Roman"/>
          <w:sz w:val="22"/>
          <w:szCs w:val="22"/>
        </w:rPr>
        <w:t xml:space="preserve"> a series of</w:t>
      </w:r>
      <w:r w:rsidR="004C4081" w:rsidRPr="00BD4DB3">
        <w:rPr>
          <w:rFonts w:eastAsia="Times New Roman"/>
          <w:sz w:val="22"/>
          <w:szCs w:val="22"/>
        </w:rPr>
        <w:t xml:space="preserve"> </w:t>
      </w:r>
      <w:r w:rsidR="005A194C" w:rsidRPr="00BD4DB3">
        <w:rPr>
          <w:rFonts w:eastAsia="Times New Roman"/>
          <w:sz w:val="22"/>
          <w:szCs w:val="22"/>
        </w:rPr>
        <w:t xml:space="preserve">similar </w:t>
      </w:r>
      <w:r w:rsidR="004C4081" w:rsidRPr="00BD4DB3">
        <w:rPr>
          <w:rFonts w:eastAsia="Times New Roman"/>
          <w:sz w:val="22"/>
          <w:szCs w:val="22"/>
        </w:rPr>
        <w:t>written assessments</w:t>
      </w:r>
      <w:r w:rsidR="00D10327" w:rsidRPr="00BD4DB3">
        <w:rPr>
          <w:rFonts w:eastAsia="Times New Roman"/>
          <w:sz w:val="22"/>
          <w:szCs w:val="22"/>
        </w:rPr>
        <w:t>,</w:t>
      </w:r>
      <w:r w:rsidRPr="00BD4DB3">
        <w:rPr>
          <w:rFonts w:eastAsia="Times New Roman"/>
          <w:sz w:val="22"/>
          <w:szCs w:val="22"/>
        </w:rPr>
        <w:t xml:space="preserve"> constructive orally recorded feedback</w:t>
      </w:r>
      <w:r w:rsidR="004C4081" w:rsidRPr="00BD4DB3">
        <w:rPr>
          <w:rFonts w:eastAsia="Times New Roman"/>
          <w:sz w:val="22"/>
          <w:szCs w:val="22"/>
        </w:rPr>
        <w:t xml:space="preserve"> inform</w:t>
      </w:r>
      <w:r w:rsidRPr="00BD4DB3">
        <w:rPr>
          <w:rFonts w:eastAsia="Times New Roman"/>
          <w:sz w:val="22"/>
          <w:szCs w:val="22"/>
        </w:rPr>
        <w:t>s</w:t>
      </w:r>
      <w:r w:rsidR="004C4081" w:rsidRPr="00BD4DB3">
        <w:rPr>
          <w:rFonts w:eastAsia="Times New Roman"/>
          <w:sz w:val="22"/>
          <w:szCs w:val="22"/>
        </w:rPr>
        <w:t xml:space="preserve"> how the student proceeds with the next assignment. </w:t>
      </w:r>
      <w:r w:rsidR="005A194C" w:rsidRPr="00BD4DB3">
        <w:rPr>
          <w:rFonts w:eastAsia="Times New Roman"/>
          <w:sz w:val="22"/>
          <w:szCs w:val="22"/>
        </w:rPr>
        <w:t>This initiative increased s</w:t>
      </w:r>
      <w:r w:rsidR="004C4081" w:rsidRPr="00BD4DB3">
        <w:rPr>
          <w:rFonts w:eastAsia="Times New Roman"/>
          <w:sz w:val="22"/>
          <w:szCs w:val="22"/>
        </w:rPr>
        <w:t xml:space="preserve">tudent satisfaction and grades. </w:t>
      </w:r>
      <w:r w:rsidR="00B805FC" w:rsidRPr="00BD4DB3">
        <w:rPr>
          <w:rFonts w:eastAsia="Times New Roman"/>
          <w:sz w:val="22"/>
          <w:szCs w:val="22"/>
        </w:rPr>
        <w:t>In addition</w:t>
      </w:r>
      <w:r w:rsidR="004C4081" w:rsidRPr="00BD4DB3">
        <w:rPr>
          <w:rFonts w:eastAsia="Times New Roman"/>
          <w:sz w:val="22"/>
          <w:szCs w:val="22"/>
        </w:rPr>
        <w:t>, ‘personali</w:t>
      </w:r>
      <w:r w:rsidR="005D7631" w:rsidRPr="00BD4DB3">
        <w:rPr>
          <w:rFonts w:eastAsia="Times New Roman"/>
          <w:sz w:val="22"/>
          <w:szCs w:val="22"/>
        </w:rPr>
        <w:t>z</w:t>
      </w:r>
      <w:r w:rsidR="004C4081" w:rsidRPr="00BD4DB3">
        <w:rPr>
          <w:rFonts w:eastAsia="Times New Roman"/>
          <w:sz w:val="22"/>
          <w:szCs w:val="22"/>
        </w:rPr>
        <w:t>ed’ behaviorally oriented praise</w:t>
      </w:r>
      <w:r w:rsidR="00EC3CB0" w:rsidRPr="00BD4DB3">
        <w:rPr>
          <w:rFonts w:eastAsia="Times New Roman"/>
          <w:sz w:val="22"/>
          <w:szCs w:val="22"/>
        </w:rPr>
        <w:t>, generated automatically but apparently written by the</w:t>
      </w:r>
      <w:r w:rsidR="00EA304A" w:rsidRPr="00BD4DB3">
        <w:rPr>
          <w:rFonts w:eastAsia="Times New Roman"/>
          <w:sz w:val="22"/>
          <w:szCs w:val="22"/>
        </w:rPr>
        <w:t xml:space="preserve"> course</w:t>
      </w:r>
      <w:r w:rsidR="00EC3CB0" w:rsidRPr="00BD4DB3">
        <w:rPr>
          <w:rFonts w:eastAsia="Times New Roman"/>
          <w:sz w:val="22"/>
          <w:szCs w:val="22"/>
        </w:rPr>
        <w:t xml:space="preserve"> coordinator,</w:t>
      </w:r>
      <w:r w:rsidR="004C4081" w:rsidRPr="00BD4DB3">
        <w:rPr>
          <w:rFonts w:eastAsia="Times New Roman"/>
          <w:sz w:val="22"/>
          <w:szCs w:val="22"/>
        </w:rPr>
        <w:t xml:space="preserve"> is given if a student increases their grade from the previous assignment. </w:t>
      </w:r>
      <w:r w:rsidR="005A194C" w:rsidRPr="00BD4DB3">
        <w:rPr>
          <w:rFonts w:eastAsia="Times New Roman"/>
          <w:sz w:val="22"/>
          <w:szCs w:val="22"/>
        </w:rPr>
        <w:t>T</w:t>
      </w:r>
      <w:r w:rsidR="004C4081" w:rsidRPr="00BD4DB3">
        <w:rPr>
          <w:rFonts w:eastAsia="Times New Roman"/>
          <w:sz w:val="22"/>
          <w:szCs w:val="22"/>
        </w:rPr>
        <w:t xml:space="preserve">his approach </w:t>
      </w:r>
      <w:r w:rsidR="005A194C" w:rsidRPr="00BD4DB3">
        <w:rPr>
          <w:rFonts w:eastAsia="Times New Roman"/>
          <w:sz w:val="22"/>
          <w:szCs w:val="22"/>
        </w:rPr>
        <w:t>was</w:t>
      </w:r>
      <w:r w:rsidR="004C4081" w:rsidRPr="00BD4DB3">
        <w:rPr>
          <w:rFonts w:eastAsia="Times New Roman"/>
          <w:sz w:val="22"/>
          <w:szCs w:val="22"/>
        </w:rPr>
        <w:t xml:space="preserve"> well received</w:t>
      </w:r>
      <w:r w:rsidRPr="00BD4DB3">
        <w:rPr>
          <w:rFonts w:eastAsia="Times New Roman"/>
          <w:sz w:val="22"/>
          <w:szCs w:val="22"/>
        </w:rPr>
        <w:t xml:space="preserve">, even after </w:t>
      </w:r>
      <w:r w:rsidR="005A194C" w:rsidRPr="00BD4DB3">
        <w:rPr>
          <w:rFonts w:eastAsia="Times New Roman"/>
          <w:sz w:val="22"/>
          <w:szCs w:val="22"/>
        </w:rPr>
        <w:t>students</w:t>
      </w:r>
      <w:r w:rsidRPr="00BD4DB3">
        <w:rPr>
          <w:rFonts w:eastAsia="Times New Roman"/>
          <w:sz w:val="22"/>
          <w:szCs w:val="22"/>
        </w:rPr>
        <w:t xml:space="preserve"> realiz</w:t>
      </w:r>
      <w:r w:rsidR="004C4081" w:rsidRPr="00BD4DB3">
        <w:rPr>
          <w:rFonts w:eastAsia="Times New Roman"/>
          <w:sz w:val="22"/>
          <w:szCs w:val="22"/>
        </w:rPr>
        <w:t>e</w:t>
      </w:r>
      <w:r w:rsidR="00D51222" w:rsidRPr="00BD4DB3">
        <w:rPr>
          <w:rFonts w:eastAsia="Times New Roman"/>
          <w:sz w:val="22"/>
          <w:szCs w:val="22"/>
        </w:rPr>
        <w:t>d</w:t>
      </w:r>
      <w:r w:rsidR="004C4081" w:rsidRPr="00BD4DB3">
        <w:rPr>
          <w:rFonts w:eastAsia="Times New Roman"/>
          <w:sz w:val="22"/>
          <w:szCs w:val="22"/>
        </w:rPr>
        <w:t xml:space="preserve"> </w:t>
      </w:r>
      <w:r w:rsidR="005A194C" w:rsidRPr="00BD4DB3">
        <w:rPr>
          <w:rFonts w:eastAsia="Times New Roman"/>
          <w:sz w:val="22"/>
          <w:szCs w:val="22"/>
        </w:rPr>
        <w:t>that the feedback was</w:t>
      </w:r>
      <w:r w:rsidR="004C4081" w:rsidRPr="00BD4DB3">
        <w:rPr>
          <w:rFonts w:eastAsia="Times New Roman"/>
          <w:sz w:val="22"/>
          <w:szCs w:val="22"/>
        </w:rPr>
        <w:t xml:space="preserve"> auto</w:t>
      </w:r>
      <w:r w:rsidR="005A194C" w:rsidRPr="00BD4DB3">
        <w:rPr>
          <w:rFonts w:eastAsia="Times New Roman"/>
          <w:sz w:val="22"/>
          <w:szCs w:val="22"/>
        </w:rPr>
        <w:t>mated</w:t>
      </w:r>
      <w:r w:rsidR="0018618B" w:rsidRPr="00BD4DB3">
        <w:rPr>
          <w:rFonts w:eastAsia="Times New Roman"/>
          <w:sz w:val="22"/>
          <w:szCs w:val="22"/>
        </w:rPr>
        <w:t xml:space="preserve">. </w:t>
      </w:r>
      <w:r w:rsidR="004C4081" w:rsidRPr="00BD4DB3">
        <w:rPr>
          <w:rFonts w:eastAsia="Times New Roman"/>
          <w:sz w:val="22"/>
          <w:szCs w:val="22"/>
        </w:rPr>
        <w:t>See Cranney</w:t>
      </w:r>
      <w:r w:rsidR="0050131D" w:rsidRPr="00BD4DB3">
        <w:rPr>
          <w:rFonts w:eastAsia="Times New Roman"/>
          <w:sz w:val="22"/>
          <w:szCs w:val="22"/>
        </w:rPr>
        <w:t xml:space="preserve"> and colleagues</w:t>
      </w:r>
      <w:r w:rsidR="004C4081" w:rsidRPr="00BD4DB3">
        <w:rPr>
          <w:rFonts w:eastAsia="Times New Roman"/>
          <w:sz w:val="22"/>
          <w:szCs w:val="22"/>
        </w:rPr>
        <w:t xml:space="preserve"> (in press) for further </w:t>
      </w:r>
      <w:r w:rsidR="00912D8B" w:rsidRPr="00BD4DB3">
        <w:rPr>
          <w:rFonts w:eastAsia="Times New Roman"/>
          <w:sz w:val="22"/>
          <w:szCs w:val="22"/>
        </w:rPr>
        <w:t xml:space="preserve">international </w:t>
      </w:r>
      <w:r w:rsidR="004C4081" w:rsidRPr="00BD4DB3">
        <w:rPr>
          <w:rFonts w:eastAsia="Times New Roman"/>
          <w:sz w:val="22"/>
          <w:szCs w:val="22"/>
        </w:rPr>
        <w:t>examples regarding feedback.</w:t>
      </w:r>
    </w:p>
    <w:p w14:paraId="5519F963" w14:textId="2443EEE8" w:rsidR="004C4081" w:rsidRPr="00BD4DB3" w:rsidRDefault="004C4081" w:rsidP="00CA093B">
      <w:pPr>
        <w:ind w:left="720"/>
        <w:rPr>
          <w:rFonts w:eastAsia="Times New Roman"/>
          <w:sz w:val="22"/>
          <w:szCs w:val="22"/>
        </w:rPr>
      </w:pPr>
      <w:r w:rsidRPr="00BD4DB3">
        <w:rPr>
          <w:rFonts w:eastAsia="Times New Roman"/>
          <w:sz w:val="22"/>
          <w:szCs w:val="22"/>
        </w:rPr>
        <w:t>3. “…students and teachers become responsible partne</w:t>
      </w:r>
      <w:r w:rsidR="00EC3CB0" w:rsidRPr="00BD4DB3">
        <w:rPr>
          <w:rFonts w:eastAsia="Times New Roman"/>
          <w:sz w:val="22"/>
          <w:szCs w:val="22"/>
        </w:rPr>
        <w:t>rs in learning and assessment</w:t>
      </w:r>
      <w:r w:rsidRPr="00BD4DB3">
        <w:rPr>
          <w:rFonts w:eastAsia="Times New Roman"/>
          <w:sz w:val="22"/>
          <w:szCs w:val="22"/>
        </w:rPr>
        <w:t>” (p.</w:t>
      </w:r>
      <w:r w:rsidR="005D7631" w:rsidRPr="00BD4DB3">
        <w:rPr>
          <w:rFonts w:eastAsia="Times New Roman"/>
          <w:sz w:val="22"/>
          <w:szCs w:val="22"/>
        </w:rPr>
        <w:t xml:space="preserve"> </w:t>
      </w:r>
      <w:r w:rsidRPr="00BD4DB3">
        <w:rPr>
          <w:rFonts w:eastAsia="Times New Roman"/>
          <w:sz w:val="22"/>
          <w:szCs w:val="22"/>
        </w:rPr>
        <w:t>2)</w:t>
      </w:r>
    </w:p>
    <w:p w14:paraId="2D6072A0" w14:textId="77777777" w:rsidR="00CA093B" w:rsidRPr="00BD4DB3" w:rsidRDefault="00CA093B" w:rsidP="00CA093B">
      <w:pPr>
        <w:ind w:left="720"/>
        <w:rPr>
          <w:rFonts w:eastAsia="Times New Roman"/>
          <w:sz w:val="22"/>
          <w:szCs w:val="22"/>
        </w:rPr>
      </w:pPr>
    </w:p>
    <w:p w14:paraId="3FA0727B" w14:textId="52B56071" w:rsidR="004C4081" w:rsidRPr="00BD4DB3" w:rsidRDefault="004C4081" w:rsidP="0018618B">
      <w:pPr>
        <w:spacing w:line="480" w:lineRule="auto"/>
        <w:ind w:firstLine="720"/>
        <w:rPr>
          <w:rFonts w:eastAsia="Times New Roman"/>
          <w:sz w:val="22"/>
          <w:szCs w:val="22"/>
        </w:rPr>
      </w:pPr>
      <w:r w:rsidRPr="00BD4DB3">
        <w:rPr>
          <w:rFonts w:eastAsia="Times New Roman"/>
          <w:sz w:val="22"/>
          <w:szCs w:val="22"/>
        </w:rPr>
        <w:t xml:space="preserve">One example </w:t>
      </w:r>
      <w:r w:rsidR="00EC3CB0" w:rsidRPr="00BD4DB3">
        <w:rPr>
          <w:rFonts w:eastAsia="Times New Roman"/>
          <w:sz w:val="22"/>
          <w:szCs w:val="22"/>
        </w:rPr>
        <w:t>includes the development of</w:t>
      </w:r>
      <w:r w:rsidRPr="00BD4DB3">
        <w:rPr>
          <w:rFonts w:eastAsia="Times New Roman"/>
          <w:sz w:val="22"/>
          <w:szCs w:val="22"/>
        </w:rPr>
        <w:t xml:space="preserve"> students’ ability to judge the work of others against agreed standard</w:t>
      </w:r>
      <w:r w:rsidR="0018618B" w:rsidRPr="00BD4DB3">
        <w:rPr>
          <w:rFonts w:eastAsia="Times New Roman"/>
          <w:sz w:val="22"/>
          <w:szCs w:val="22"/>
        </w:rPr>
        <w:t>s, and respond to peer feedback</w:t>
      </w:r>
      <w:r w:rsidR="00EC3CB0" w:rsidRPr="00BD4DB3">
        <w:rPr>
          <w:rFonts w:eastAsia="Times New Roman"/>
          <w:sz w:val="22"/>
          <w:szCs w:val="22"/>
        </w:rPr>
        <w:t xml:space="preserve"> (</w:t>
      </w:r>
      <w:r w:rsidRPr="00BD4DB3">
        <w:rPr>
          <w:rFonts w:eastAsia="Times New Roman"/>
          <w:sz w:val="22"/>
          <w:szCs w:val="22"/>
        </w:rPr>
        <w:t>S</w:t>
      </w:r>
      <w:r w:rsidR="0018618B" w:rsidRPr="00BD4DB3">
        <w:rPr>
          <w:rFonts w:eastAsia="Times New Roman"/>
          <w:sz w:val="22"/>
          <w:szCs w:val="22"/>
        </w:rPr>
        <w:t>ung</w:t>
      </w:r>
      <w:r w:rsidR="0050131D" w:rsidRPr="00BD4DB3">
        <w:rPr>
          <w:rFonts w:eastAsia="Times New Roman"/>
          <w:sz w:val="22"/>
          <w:szCs w:val="22"/>
        </w:rPr>
        <w:t xml:space="preserve"> et al., </w:t>
      </w:r>
      <w:r w:rsidR="0018618B" w:rsidRPr="00BD4DB3">
        <w:rPr>
          <w:rFonts w:eastAsia="Times New Roman"/>
          <w:sz w:val="22"/>
          <w:szCs w:val="22"/>
        </w:rPr>
        <w:t>2003). U</w:t>
      </w:r>
      <w:r w:rsidRPr="00BD4DB3">
        <w:rPr>
          <w:rFonts w:eastAsia="Times New Roman"/>
          <w:sz w:val="22"/>
          <w:szCs w:val="22"/>
        </w:rPr>
        <w:t xml:space="preserve">ndergraduate students </w:t>
      </w:r>
      <w:r w:rsidR="00377FFA" w:rsidRPr="00BD4DB3">
        <w:rPr>
          <w:rFonts w:eastAsia="Times New Roman"/>
          <w:sz w:val="22"/>
          <w:szCs w:val="22"/>
        </w:rPr>
        <w:t xml:space="preserve">in Taiwan </w:t>
      </w:r>
      <w:r w:rsidRPr="00BD4DB3">
        <w:rPr>
          <w:rFonts w:eastAsia="Times New Roman"/>
          <w:sz w:val="22"/>
          <w:szCs w:val="22"/>
        </w:rPr>
        <w:t>use</w:t>
      </w:r>
      <w:r w:rsidR="005A194C" w:rsidRPr="00BD4DB3">
        <w:rPr>
          <w:rFonts w:eastAsia="Times New Roman"/>
          <w:sz w:val="22"/>
          <w:szCs w:val="22"/>
        </w:rPr>
        <w:t>d</w:t>
      </w:r>
      <w:r w:rsidRPr="00BD4DB3">
        <w:rPr>
          <w:rFonts w:eastAsia="Times New Roman"/>
          <w:sz w:val="22"/>
          <w:szCs w:val="22"/>
        </w:rPr>
        <w:t xml:space="preserve"> iterative Web-based self- and peer-assessment procedures to integrate the writing and evaluation of proposals for psychology experiments. Sung </w:t>
      </w:r>
      <w:r w:rsidR="005C1652" w:rsidRPr="00BD4DB3">
        <w:rPr>
          <w:rFonts w:eastAsia="Times New Roman"/>
          <w:sz w:val="22"/>
          <w:szCs w:val="22"/>
        </w:rPr>
        <w:t>and colleagues</w:t>
      </w:r>
      <w:r w:rsidRPr="00BD4DB3">
        <w:rPr>
          <w:rFonts w:eastAsia="Times New Roman"/>
          <w:sz w:val="22"/>
          <w:szCs w:val="22"/>
        </w:rPr>
        <w:t xml:space="preserve"> concluded that </w:t>
      </w:r>
      <w:r w:rsidR="005A194C" w:rsidRPr="00BD4DB3">
        <w:rPr>
          <w:rFonts w:eastAsia="Times New Roman"/>
          <w:sz w:val="22"/>
          <w:szCs w:val="22"/>
        </w:rPr>
        <w:t xml:space="preserve">this procedure, combined with </w:t>
      </w:r>
      <w:r w:rsidRPr="00BD4DB3">
        <w:rPr>
          <w:rFonts w:eastAsia="Times New Roman"/>
          <w:sz w:val="22"/>
          <w:szCs w:val="22"/>
        </w:rPr>
        <w:t>group discussion</w:t>
      </w:r>
      <w:r w:rsidR="005A194C" w:rsidRPr="00BD4DB3">
        <w:rPr>
          <w:rFonts w:eastAsia="Times New Roman"/>
          <w:sz w:val="22"/>
          <w:szCs w:val="22"/>
        </w:rPr>
        <w:t xml:space="preserve">, </w:t>
      </w:r>
      <w:r w:rsidRPr="00BD4DB3">
        <w:rPr>
          <w:rFonts w:eastAsia="Times New Roman"/>
          <w:sz w:val="22"/>
          <w:szCs w:val="22"/>
        </w:rPr>
        <w:t>could “help students to elaborate their experiment design knowledge” (p. 333), as indicated by the increased final pr</w:t>
      </w:r>
      <w:r w:rsidR="00972378" w:rsidRPr="00BD4DB3">
        <w:rPr>
          <w:rFonts w:eastAsia="Times New Roman"/>
          <w:sz w:val="22"/>
          <w:szCs w:val="22"/>
        </w:rPr>
        <w:t>oposal grade. See Cranney</w:t>
      </w:r>
      <w:r w:rsidR="005A194C" w:rsidRPr="00BD4DB3">
        <w:rPr>
          <w:rFonts w:eastAsia="Times New Roman"/>
          <w:sz w:val="22"/>
          <w:szCs w:val="22"/>
        </w:rPr>
        <w:t xml:space="preserve"> and colleagues</w:t>
      </w:r>
      <w:r w:rsidRPr="00BD4DB3">
        <w:rPr>
          <w:rFonts w:eastAsia="Times New Roman"/>
          <w:sz w:val="22"/>
          <w:szCs w:val="22"/>
        </w:rPr>
        <w:t xml:space="preserve"> (in press) for further examples, as well as their conclusion that these kinds of assessments </w:t>
      </w:r>
      <w:r w:rsidR="005A194C" w:rsidRPr="00BD4DB3">
        <w:rPr>
          <w:rFonts w:eastAsia="Times New Roman"/>
          <w:sz w:val="22"/>
          <w:szCs w:val="22"/>
        </w:rPr>
        <w:t>enhance</w:t>
      </w:r>
      <w:r w:rsidRPr="00BD4DB3">
        <w:rPr>
          <w:rFonts w:eastAsia="Times New Roman"/>
          <w:sz w:val="22"/>
          <w:szCs w:val="22"/>
        </w:rPr>
        <w:t xml:space="preserve"> metacognitive capacity</w:t>
      </w:r>
      <w:r w:rsidR="005A194C" w:rsidRPr="00BD4DB3">
        <w:rPr>
          <w:rFonts w:eastAsia="Times New Roman"/>
          <w:sz w:val="22"/>
          <w:szCs w:val="22"/>
        </w:rPr>
        <w:t xml:space="preserve">, </w:t>
      </w:r>
      <w:r w:rsidRPr="00BD4DB3">
        <w:rPr>
          <w:rFonts w:eastAsia="Times New Roman"/>
          <w:sz w:val="22"/>
          <w:szCs w:val="22"/>
        </w:rPr>
        <w:t>valuable in any career context.</w:t>
      </w:r>
      <w:r w:rsidR="00DA1F2C" w:rsidRPr="00BD4DB3">
        <w:rPr>
          <w:rFonts w:eastAsia="Times New Roman"/>
          <w:sz w:val="22"/>
          <w:szCs w:val="22"/>
        </w:rPr>
        <w:t xml:space="preserve"> </w:t>
      </w:r>
    </w:p>
    <w:p w14:paraId="2B5C5182" w14:textId="680ECD5C" w:rsidR="004C4081" w:rsidRPr="00BD4DB3" w:rsidRDefault="004C4081" w:rsidP="00CA093B">
      <w:pPr>
        <w:ind w:left="720"/>
        <w:rPr>
          <w:rFonts w:eastAsia="Times New Roman"/>
          <w:sz w:val="22"/>
          <w:szCs w:val="22"/>
        </w:rPr>
      </w:pPr>
      <w:r w:rsidRPr="00BD4DB3">
        <w:rPr>
          <w:rFonts w:eastAsia="Times New Roman"/>
          <w:sz w:val="22"/>
          <w:szCs w:val="22"/>
        </w:rPr>
        <w:t>4. “…students are inducted into the assessment practices a</w:t>
      </w:r>
      <w:r w:rsidR="00EC3CB0" w:rsidRPr="00BD4DB3">
        <w:rPr>
          <w:rFonts w:eastAsia="Times New Roman"/>
          <w:sz w:val="22"/>
          <w:szCs w:val="22"/>
        </w:rPr>
        <w:t>nd cultures of higher education</w:t>
      </w:r>
      <w:r w:rsidRPr="00BD4DB3">
        <w:rPr>
          <w:rFonts w:eastAsia="Times New Roman"/>
          <w:sz w:val="22"/>
          <w:szCs w:val="22"/>
        </w:rPr>
        <w:t>” (p.</w:t>
      </w:r>
      <w:r w:rsidR="005D7631" w:rsidRPr="00BD4DB3">
        <w:rPr>
          <w:rFonts w:eastAsia="Times New Roman"/>
          <w:sz w:val="22"/>
          <w:szCs w:val="22"/>
        </w:rPr>
        <w:t xml:space="preserve"> </w:t>
      </w:r>
      <w:r w:rsidRPr="00BD4DB3">
        <w:rPr>
          <w:rFonts w:eastAsia="Times New Roman"/>
          <w:sz w:val="22"/>
          <w:szCs w:val="22"/>
        </w:rPr>
        <w:t>2)</w:t>
      </w:r>
    </w:p>
    <w:p w14:paraId="6E0ADD86" w14:textId="77777777" w:rsidR="00CA093B" w:rsidRPr="00BD4DB3" w:rsidRDefault="00CA093B" w:rsidP="00CA093B">
      <w:pPr>
        <w:ind w:left="720"/>
        <w:rPr>
          <w:rFonts w:eastAsia="Times New Roman"/>
          <w:sz w:val="22"/>
          <w:szCs w:val="22"/>
        </w:rPr>
      </w:pPr>
    </w:p>
    <w:p w14:paraId="64365D89" w14:textId="6EE5461C" w:rsidR="004C4081" w:rsidRPr="00BD4DB3" w:rsidRDefault="004C4081" w:rsidP="004C4081">
      <w:pPr>
        <w:spacing w:line="480" w:lineRule="auto"/>
        <w:ind w:firstLine="720"/>
        <w:rPr>
          <w:rFonts w:eastAsia="Times New Roman"/>
          <w:sz w:val="22"/>
          <w:szCs w:val="22"/>
        </w:rPr>
      </w:pPr>
      <w:r w:rsidRPr="00BD4DB3">
        <w:rPr>
          <w:rFonts w:eastAsia="Times New Roman"/>
          <w:sz w:val="22"/>
          <w:szCs w:val="22"/>
        </w:rPr>
        <w:t xml:space="preserve">With the massification of higher education in Australia, students vary in what </w:t>
      </w:r>
      <w:r w:rsidR="00557BBD" w:rsidRPr="00BD4DB3">
        <w:rPr>
          <w:rFonts w:eastAsia="Times New Roman"/>
          <w:sz w:val="22"/>
          <w:szCs w:val="22"/>
        </w:rPr>
        <w:t>has</w:t>
      </w:r>
      <w:r w:rsidRPr="00BD4DB3">
        <w:rPr>
          <w:rFonts w:eastAsia="Times New Roman"/>
          <w:sz w:val="22"/>
          <w:szCs w:val="22"/>
        </w:rPr>
        <w:t xml:space="preserve"> been termed ‘enabling’ skills such as structured writing. </w:t>
      </w:r>
      <w:r w:rsidR="00151823" w:rsidRPr="00BD4DB3">
        <w:rPr>
          <w:rFonts w:eastAsia="Times New Roman"/>
          <w:sz w:val="22"/>
          <w:szCs w:val="22"/>
        </w:rPr>
        <w:t>Cranney</w:t>
      </w:r>
      <w:r w:rsidR="00E91AF2" w:rsidRPr="00BD4DB3">
        <w:rPr>
          <w:rFonts w:eastAsia="Times New Roman"/>
          <w:sz w:val="22"/>
          <w:szCs w:val="22"/>
        </w:rPr>
        <w:t xml:space="preserve"> and colleagues</w:t>
      </w:r>
      <w:r w:rsidR="00151823" w:rsidRPr="00BD4DB3">
        <w:rPr>
          <w:rFonts w:eastAsia="Times New Roman"/>
          <w:sz w:val="22"/>
          <w:szCs w:val="22"/>
        </w:rPr>
        <w:t xml:space="preserve"> (2008)</w:t>
      </w:r>
      <w:r w:rsidRPr="00BD4DB3">
        <w:rPr>
          <w:rFonts w:eastAsia="Times New Roman"/>
          <w:sz w:val="22"/>
          <w:szCs w:val="22"/>
        </w:rPr>
        <w:t xml:space="preserve"> included in their large (</w:t>
      </w:r>
      <w:r w:rsidRPr="00BD4DB3">
        <w:rPr>
          <w:rFonts w:eastAsia="Times New Roman"/>
          <w:i/>
          <w:sz w:val="22"/>
          <w:szCs w:val="22"/>
        </w:rPr>
        <w:t>N</w:t>
      </w:r>
      <w:r w:rsidRPr="00BD4DB3">
        <w:rPr>
          <w:rFonts w:eastAsia="Times New Roman"/>
          <w:sz w:val="22"/>
          <w:szCs w:val="22"/>
        </w:rPr>
        <w:t xml:space="preserve">&gt;800) </w:t>
      </w:r>
      <w:r w:rsidR="00151823" w:rsidRPr="00BD4DB3">
        <w:rPr>
          <w:rFonts w:eastAsia="Times New Roman"/>
          <w:sz w:val="22"/>
          <w:szCs w:val="22"/>
        </w:rPr>
        <w:t xml:space="preserve">Australian </w:t>
      </w:r>
      <w:r w:rsidRPr="00BD4DB3">
        <w:rPr>
          <w:rFonts w:eastAsia="Times New Roman"/>
          <w:sz w:val="22"/>
          <w:szCs w:val="22"/>
        </w:rPr>
        <w:t>first-year psychology</w:t>
      </w:r>
      <w:r w:rsidR="00EA304A" w:rsidRPr="00BD4DB3">
        <w:rPr>
          <w:rFonts w:eastAsia="Times New Roman"/>
          <w:sz w:val="22"/>
          <w:szCs w:val="22"/>
        </w:rPr>
        <w:t xml:space="preserve"> course</w:t>
      </w:r>
      <w:r w:rsidRPr="00BD4DB3">
        <w:rPr>
          <w:rFonts w:eastAsia="Times New Roman"/>
          <w:sz w:val="22"/>
          <w:szCs w:val="22"/>
        </w:rPr>
        <w:t xml:space="preserve"> a brief critical writing assignment under exam conditions</w:t>
      </w:r>
      <w:r w:rsidR="00151823" w:rsidRPr="00BD4DB3">
        <w:rPr>
          <w:rFonts w:eastAsia="Times New Roman"/>
          <w:sz w:val="22"/>
          <w:szCs w:val="22"/>
        </w:rPr>
        <w:t>.</w:t>
      </w:r>
      <w:r w:rsidR="005A194C" w:rsidRPr="00BD4DB3">
        <w:rPr>
          <w:rFonts w:eastAsia="Times New Roman"/>
          <w:sz w:val="22"/>
          <w:szCs w:val="22"/>
        </w:rPr>
        <w:t xml:space="preserve"> </w:t>
      </w:r>
      <w:r w:rsidRPr="00BD4DB3">
        <w:rPr>
          <w:rFonts w:eastAsia="Times New Roman"/>
          <w:sz w:val="22"/>
          <w:szCs w:val="22"/>
        </w:rPr>
        <w:t xml:space="preserve">Funding was available to mark these assignments, identify students with the lowest marks, and provide a tutorial program for students during </w:t>
      </w:r>
      <w:r w:rsidR="00557BBD" w:rsidRPr="00BD4DB3">
        <w:rPr>
          <w:rFonts w:eastAsia="Times New Roman"/>
          <w:sz w:val="22"/>
          <w:szCs w:val="22"/>
        </w:rPr>
        <w:t>a</w:t>
      </w:r>
      <w:r w:rsidRPr="00BD4DB3">
        <w:rPr>
          <w:rFonts w:eastAsia="Times New Roman"/>
          <w:sz w:val="22"/>
          <w:szCs w:val="22"/>
        </w:rPr>
        <w:t xml:space="preserve"> major writing assignment (a laboratory report). This intervention appeared to have some positive impact on grades. It is conceivable that technological advances could make future programs cost-effective</w:t>
      </w:r>
      <w:r w:rsidR="00151823" w:rsidRPr="00BD4DB3">
        <w:rPr>
          <w:rFonts w:eastAsia="Times New Roman"/>
          <w:sz w:val="22"/>
          <w:szCs w:val="22"/>
        </w:rPr>
        <w:t xml:space="preserve"> and thus sustainable</w:t>
      </w:r>
      <w:r w:rsidRPr="00BD4DB3">
        <w:rPr>
          <w:rFonts w:eastAsia="Times New Roman"/>
          <w:sz w:val="22"/>
          <w:szCs w:val="22"/>
        </w:rPr>
        <w:t xml:space="preserve">. </w:t>
      </w:r>
    </w:p>
    <w:p w14:paraId="3C919ADC" w14:textId="4257BC06" w:rsidR="004C4081" w:rsidRPr="00BD4DB3" w:rsidRDefault="005D7631" w:rsidP="00CA093B">
      <w:pPr>
        <w:ind w:left="720"/>
        <w:rPr>
          <w:rFonts w:eastAsia="Times New Roman"/>
          <w:sz w:val="22"/>
          <w:szCs w:val="22"/>
        </w:rPr>
      </w:pPr>
      <w:r w:rsidRPr="00BD4DB3">
        <w:rPr>
          <w:rFonts w:eastAsia="Times New Roman"/>
          <w:sz w:val="22"/>
          <w:szCs w:val="22"/>
        </w:rPr>
        <w:t>5. “</w:t>
      </w:r>
      <w:r w:rsidR="004C4081" w:rsidRPr="00BD4DB3">
        <w:rPr>
          <w:rFonts w:eastAsia="Times New Roman"/>
          <w:sz w:val="22"/>
          <w:szCs w:val="22"/>
        </w:rPr>
        <w:t>…assessment for learning is placed at the centre of subject and program design</w:t>
      </w:r>
      <w:r w:rsidR="00EC3CB0" w:rsidRPr="00BD4DB3">
        <w:rPr>
          <w:rFonts w:eastAsia="Times New Roman"/>
          <w:sz w:val="22"/>
          <w:szCs w:val="22"/>
        </w:rPr>
        <w:t>”</w:t>
      </w:r>
      <w:r w:rsidR="00DA1F2C" w:rsidRPr="00BD4DB3">
        <w:rPr>
          <w:rFonts w:eastAsia="Times New Roman"/>
          <w:sz w:val="22"/>
          <w:szCs w:val="22"/>
        </w:rPr>
        <w:t xml:space="preserve"> </w:t>
      </w:r>
      <w:r w:rsidR="004C4081" w:rsidRPr="00BD4DB3">
        <w:rPr>
          <w:rFonts w:eastAsia="Times New Roman"/>
          <w:sz w:val="22"/>
          <w:szCs w:val="22"/>
        </w:rPr>
        <w:t>(p.</w:t>
      </w:r>
      <w:r w:rsidRPr="00BD4DB3">
        <w:rPr>
          <w:rFonts w:eastAsia="Times New Roman"/>
          <w:sz w:val="22"/>
          <w:szCs w:val="22"/>
        </w:rPr>
        <w:t xml:space="preserve"> </w:t>
      </w:r>
      <w:r w:rsidR="004C4081" w:rsidRPr="00BD4DB3">
        <w:rPr>
          <w:rFonts w:eastAsia="Times New Roman"/>
          <w:sz w:val="22"/>
          <w:szCs w:val="22"/>
        </w:rPr>
        <w:t>3)</w:t>
      </w:r>
    </w:p>
    <w:p w14:paraId="2D380697" w14:textId="77777777" w:rsidR="00CA093B" w:rsidRPr="00BD4DB3" w:rsidRDefault="00CA093B" w:rsidP="00CA093B">
      <w:pPr>
        <w:ind w:left="720"/>
        <w:rPr>
          <w:rFonts w:eastAsia="Times New Roman"/>
          <w:sz w:val="22"/>
          <w:szCs w:val="22"/>
        </w:rPr>
      </w:pPr>
    </w:p>
    <w:p w14:paraId="3B0C9F2F" w14:textId="2904E866" w:rsidR="004C4081" w:rsidRPr="00BD4DB3" w:rsidRDefault="004C4081" w:rsidP="004C4081">
      <w:pPr>
        <w:spacing w:line="480" w:lineRule="auto"/>
        <w:ind w:firstLine="720"/>
        <w:rPr>
          <w:rFonts w:eastAsia="Times New Roman"/>
          <w:sz w:val="22"/>
          <w:szCs w:val="22"/>
        </w:rPr>
      </w:pPr>
      <w:r w:rsidRPr="00BD4DB3">
        <w:rPr>
          <w:rFonts w:eastAsia="Times New Roman"/>
          <w:sz w:val="22"/>
          <w:szCs w:val="22"/>
        </w:rPr>
        <w:t xml:space="preserve">This proposition is about how </w:t>
      </w:r>
      <w:r w:rsidR="00557BBD" w:rsidRPr="00BD4DB3">
        <w:rPr>
          <w:rFonts w:eastAsia="Times New Roman"/>
          <w:sz w:val="22"/>
          <w:szCs w:val="22"/>
        </w:rPr>
        <w:t>courses</w:t>
      </w:r>
      <w:r w:rsidR="00EC3CB0" w:rsidRPr="00BD4DB3">
        <w:rPr>
          <w:rFonts w:eastAsia="Times New Roman"/>
          <w:sz w:val="22"/>
          <w:szCs w:val="22"/>
        </w:rPr>
        <w:t xml:space="preserve"> are designed and delivered su</w:t>
      </w:r>
      <w:r w:rsidRPr="00BD4DB3">
        <w:rPr>
          <w:rFonts w:eastAsia="Times New Roman"/>
          <w:sz w:val="22"/>
          <w:szCs w:val="22"/>
        </w:rPr>
        <w:t xml:space="preserve">ch that teaching activities and assessments </w:t>
      </w:r>
      <w:r w:rsidR="00377FFA" w:rsidRPr="00BD4DB3">
        <w:rPr>
          <w:rFonts w:eastAsia="Times New Roman"/>
          <w:sz w:val="22"/>
          <w:szCs w:val="22"/>
        </w:rPr>
        <w:t xml:space="preserve">enable </w:t>
      </w:r>
      <w:r w:rsidRPr="00BD4DB3">
        <w:rPr>
          <w:rFonts w:eastAsia="Times New Roman"/>
          <w:sz w:val="22"/>
          <w:szCs w:val="22"/>
        </w:rPr>
        <w:t>acquisition of the program learnin</w:t>
      </w:r>
      <w:r w:rsidR="00377FFA" w:rsidRPr="00BD4DB3">
        <w:rPr>
          <w:rFonts w:eastAsia="Times New Roman"/>
          <w:sz w:val="22"/>
          <w:szCs w:val="22"/>
        </w:rPr>
        <w:t xml:space="preserve">g outcomes (e.g., </w:t>
      </w:r>
      <w:r w:rsidR="002A241A" w:rsidRPr="00BD4DB3">
        <w:rPr>
          <w:rFonts w:eastAsia="Times New Roman"/>
          <w:sz w:val="22"/>
          <w:szCs w:val="22"/>
        </w:rPr>
        <w:t xml:space="preserve">Biggs, 2003; </w:t>
      </w:r>
      <w:r w:rsidR="00377FFA" w:rsidRPr="00BD4DB3">
        <w:rPr>
          <w:rFonts w:eastAsia="Times New Roman"/>
          <w:sz w:val="22"/>
          <w:szCs w:val="22"/>
        </w:rPr>
        <w:t xml:space="preserve">UNSW, n.d.). </w:t>
      </w:r>
      <w:r w:rsidR="00557BBD" w:rsidRPr="00BD4DB3">
        <w:rPr>
          <w:rFonts w:eastAsia="Times New Roman"/>
          <w:sz w:val="22"/>
          <w:szCs w:val="22"/>
        </w:rPr>
        <w:t>A</w:t>
      </w:r>
      <w:r w:rsidR="00EC3CB0" w:rsidRPr="00BD4DB3">
        <w:rPr>
          <w:rFonts w:eastAsia="Times New Roman"/>
          <w:sz w:val="22"/>
          <w:szCs w:val="22"/>
        </w:rPr>
        <w:t>t</w:t>
      </w:r>
      <w:r w:rsidRPr="00BD4DB3">
        <w:rPr>
          <w:rFonts w:eastAsia="Times New Roman"/>
          <w:sz w:val="22"/>
          <w:szCs w:val="22"/>
        </w:rPr>
        <w:t xml:space="preserve"> </w:t>
      </w:r>
      <w:r w:rsidR="00E91AF2" w:rsidRPr="00BD4DB3">
        <w:rPr>
          <w:rFonts w:eastAsia="Times New Roman"/>
          <w:sz w:val="22"/>
          <w:szCs w:val="22"/>
        </w:rPr>
        <w:t xml:space="preserve">many universities, including </w:t>
      </w:r>
      <w:r w:rsidRPr="00BD4DB3">
        <w:rPr>
          <w:rFonts w:eastAsia="Times New Roman"/>
          <w:sz w:val="22"/>
          <w:szCs w:val="22"/>
        </w:rPr>
        <w:t>Keele University</w:t>
      </w:r>
      <w:r w:rsidR="00EC0309" w:rsidRPr="00BD4DB3">
        <w:rPr>
          <w:rFonts w:eastAsia="Times New Roman"/>
          <w:sz w:val="22"/>
          <w:szCs w:val="22"/>
        </w:rPr>
        <w:t xml:space="preserve"> (UK)</w:t>
      </w:r>
      <w:r w:rsidR="00E91AF2" w:rsidRPr="00BD4DB3">
        <w:rPr>
          <w:rFonts w:eastAsia="Times New Roman"/>
          <w:sz w:val="22"/>
          <w:szCs w:val="22"/>
        </w:rPr>
        <w:t xml:space="preserve"> and most psychology programs in the Netherlands</w:t>
      </w:r>
      <w:r w:rsidRPr="00BD4DB3">
        <w:rPr>
          <w:rFonts w:eastAsia="Times New Roman"/>
          <w:sz w:val="22"/>
          <w:szCs w:val="22"/>
        </w:rPr>
        <w:t xml:space="preserve"> (</w:t>
      </w:r>
      <w:r w:rsidR="00E91AF2" w:rsidRPr="00BD4DB3">
        <w:rPr>
          <w:rFonts w:eastAsia="Times New Roman"/>
          <w:sz w:val="22"/>
          <w:szCs w:val="22"/>
        </w:rPr>
        <w:t xml:space="preserve">e.g., </w:t>
      </w:r>
      <w:r w:rsidRPr="00BD4DB3">
        <w:rPr>
          <w:rFonts w:eastAsia="Times New Roman"/>
          <w:sz w:val="22"/>
          <w:szCs w:val="22"/>
        </w:rPr>
        <w:t>H</w:t>
      </w:r>
      <w:r w:rsidR="00CA093B" w:rsidRPr="00BD4DB3">
        <w:rPr>
          <w:rFonts w:eastAsia="Times New Roman"/>
          <w:sz w:val="22"/>
          <w:szCs w:val="22"/>
        </w:rPr>
        <w:t xml:space="preserve">ulme &amp; Cranney, </w:t>
      </w:r>
      <w:r w:rsidR="005C1652" w:rsidRPr="00BD4DB3">
        <w:rPr>
          <w:rFonts w:eastAsia="Times New Roman"/>
          <w:sz w:val="22"/>
          <w:szCs w:val="22"/>
        </w:rPr>
        <w:t>in press</w:t>
      </w:r>
      <w:r w:rsidR="00CA093B" w:rsidRPr="00BD4DB3">
        <w:rPr>
          <w:rFonts w:eastAsia="Times New Roman"/>
          <w:sz w:val="22"/>
          <w:szCs w:val="22"/>
        </w:rPr>
        <w:t>)</w:t>
      </w:r>
      <w:r w:rsidR="00EC3CB0" w:rsidRPr="00BD4DB3">
        <w:rPr>
          <w:rFonts w:eastAsia="Times New Roman"/>
          <w:sz w:val="22"/>
          <w:szCs w:val="22"/>
        </w:rPr>
        <w:t>, c</w:t>
      </w:r>
      <w:r w:rsidR="00377FFA" w:rsidRPr="00BD4DB3">
        <w:rPr>
          <w:rFonts w:eastAsia="Times New Roman"/>
          <w:sz w:val="22"/>
          <w:szCs w:val="22"/>
        </w:rPr>
        <w:t xml:space="preserve">urricula </w:t>
      </w:r>
      <w:r w:rsidR="00E91AF2" w:rsidRPr="00BD4DB3">
        <w:rPr>
          <w:rFonts w:eastAsia="Times New Roman"/>
          <w:sz w:val="22"/>
          <w:szCs w:val="22"/>
        </w:rPr>
        <w:t xml:space="preserve">are </w:t>
      </w:r>
      <w:r w:rsidR="00377FFA" w:rsidRPr="00BD4DB3">
        <w:rPr>
          <w:rFonts w:eastAsia="Times New Roman"/>
          <w:sz w:val="22"/>
          <w:szCs w:val="22"/>
        </w:rPr>
        <w:t xml:space="preserve">designed such that students </w:t>
      </w:r>
      <w:r w:rsidR="00C17694" w:rsidRPr="00BD4DB3">
        <w:rPr>
          <w:rFonts w:eastAsia="Times New Roman"/>
          <w:sz w:val="22"/>
          <w:szCs w:val="22"/>
        </w:rPr>
        <w:t xml:space="preserve">are </w:t>
      </w:r>
      <w:r w:rsidR="00377FFA" w:rsidRPr="00BD4DB3">
        <w:rPr>
          <w:rFonts w:eastAsia="Times New Roman"/>
          <w:sz w:val="22"/>
          <w:szCs w:val="22"/>
        </w:rPr>
        <w:t xml:space="preserve">expected to learn general psychological knowledge in the first year, and more advanced knowledge </w:t>
      </w:r>
      <w:r w:rsidR="00C17694" w:rsidRPr="00BD4DB3">
        <w:rPr>
          <w:rFonts w:eastAsia="Times New Roman"/>
          <w:sz w:val="22"/>
          <w:szCs w:val="22"/>
        </w:rPr>
        <w:t>and</w:t>
      </w:r>
      <w:r w:rsidR="00377FFA" w:rsidRPr="00BD4DB3">
        <w:rPr>
          <w:rFonts w:eastAsia="Times New Roman"/>
          <w:sz w:val="22"/>
          <w:szCs w:val="22"/>
        </w:rPr>
        <w:t xml:space="preserve"> skills, including the ability to apply psychological knowledge, in the second and third years. Students chose elective</w:t>
      </w:r>
      <w:r w:rsidR="00EA304A" w:rsidRPr="00BD4DB3">
        <w:rPr>
          <w:rFonts w:eastAsia="Times New Roman"/>
          <w:sz w:val="22"/>
          <w:szCs w:val="22"/>
        </w:rPr>
        <w:t xml:space="preserve"> course</w:t>
      </w:r>
      <w:r w:rsidR="00377FFA" w:rsidRPr="00BD4DB3">
        <w:rPr>
          <w:rFonts w:eastAsia="Times New Roman"/>
          <w:sz w:val="22"/>
          <w:szCs w:val="22"/>
        </w:rPr>
        <w:t xml:space="preserve">s in their final year (e.g., </w:t>
      </w:r>
      <w:r w:rsidR="00EC0309" w:rsidRPr="00BD4DB3">
        <w:rPr>
          <w:rFonts w:eastAsia="Times New Roman"/>
          <w:sz w:val="22"/>
          <w:szCs w:val="22"/>
        </w:rPr>
        <w:t xml:space="preserve">Making </w:t>
      </w:r>
      <w:r w:rsidR="00377FFA" w:rsidRPr="00BD4DB3">
        <w:rPr>
          <w:rFonts w:eastAsia="Times New Roman"/>
          <w:sz w:val="22"/>
          <w:szCs w:val="22"/>
        </w:rPr>
        <w:t xml:space="preserve">a </w:t>
      </w:r>
      <w:r w:rsidR="00EC0309" w:rsidRPr="00BD4DB3">
        <w:rPr>
          <w:rFonts w:eastAsia="Times New Roman"/>
          <w:sz w:val="22"/>
          <w:szCs w:val="22"/>
        </w:rPr>
        <w:t xml:space="preserve">Difference </w:t>
      </w:r>
      <w:r w:rsidR="00377FFA" w:rsidRPr="00BD4DB3">
        <w:rPr>
          <w:rFonts w:eastAsia="Times New Roman"/>
          <w:sz w:val="22"/>
          <w:szCs w:val="22"/>
        </w:rPr>
        <w:t xml:space="preserve">in </w:t>
      </w:r>
      <w:r w:rsidR="00EC0309" w:rsidRPr="00BD4DB3">
        <w:rPr>
          <w:rFonts w:eastAsia="Times New Roman"/>
          <w:sz w:val="22"/>
          <w:szCs w:val="22"/>
        </w:rPr>
        <w:t>Psychology, discussed above</w:t>
      </w:r>
      <w:r w:rsidR="00377FFA" w:rsidRPr="00BD4DB3">
        <w:rPr>
          <w:rFonts w:eastAsia="Times New Roman"/>
          <w:sz w:val="22"/>
          <w:szCs w:val="22"/>
        </w:rPr>
        <w:t xml:space="preserve">) </w:t>
      </w:r>
      <w:r w:rsidR="00557BBD" w:rsidRPr="00BD4DB3">
        <w:rPr>
          <w:rFonts w:eastAsia="Times New Roman"/>
          <w:sz w:val="22"/>
          <w:szCs w:val="22"/>
        </w:rPr>
        <w:t>that had</w:t>
      </w:r>
      <w:r w:rsidR="00377FFA" w:rsidRPr="00BD4DB3">
        <w:rPr>
          <w:rFonts w:eastAsia="Times New Roman"/>
          <w:sz w:val="22"/>
          <w:szCs w:val="22"/>
        </w:rPr>
        <w:t xml:space="preserve"> learning outcomes and assessments centered around psychological literacy.</w:t>
      </w:r>
      <w:r w:rsidR="003A18AD" w:rsidRPr="00BD4DB3">
        <w:rPr>
          <w:rFonts w:eastAsia="Times New Roman"/>
          <w:sz w:val="22"/>
          <w:szCs w:val="22"/>
        </w:rPr>
        <w:t xml:space="preserve"> This example is an illustration of the types of program design that could usefully be applied to all U</w:t>
      </w:r>
      <w:r w:rsidR="00E91AF2" w:rsidRPr="00BD4DB3">
        <w:rPr>
          <w:rFonts w:eastAsia="Times New Roman"/>
          <w:sz w:val="22"/>
          <w:szCs w:val="22"/>
        </w:rPr>
        <w:t>.</w:t>
      </w:r>
      <w:r w:rsidR="003A18AD" w:rsidRPr="00BD4DB3">
        <w:rPr>
          <w:rFonts w:eastAsia="Times New Roman"/>
          <w:sz w:val="22"/>
          <w:szCs w:val="22"/>
        </w:rPr>
        <w:t>S</w:t>
      </w:r>
      <w:r w:rsidR="00E91AF2" w:rsidRPr="00BD4DB3">
        <w:rPr>
          <w:rFonts w:eastAsia="Times New Roman"/>
          <w:sz w:val="22"/>
          <w:szCs w:val="22"/>
        </w:rPr>
        <w:t>.</w:t>
      </w:r>
      <w:r w:rsidR="003A18AD" w:rsidRPr="00BD4DB3">
        <w:rPr>
          <w:rFonts w:eastAsia="Times New Roman"/>
          <w:sz w:val="22"/>
          <w:szCs w:val="22"/>
        </w:rPr>
        <w:t xml:space="preserve"> curricula.</w:t>
      </w:r>
      <w:r w:rsidR="00377FFA" w:rsidRPr="00BD4DB3">
        <w:rPr>
          <w:rFonts w:eastAsia="Times New Roman"/>
          <w:sz w:val="22"/>
          <w:szCs w:val="22"/>
        </w:rPr>
        <w:t xml:space="preserve"> </w:t>
      </w:r>
    </w:p>
    <w:p w14:paraId="0744F392" w14:textId="67ABD549" w:rsidR="00CA093B" w:rsidRPr="00BD4DB3" w:rsidRDefault="004C4081" w:rsidP="00CA093B">
      <w:pPr>
        <w:ind w:left="720"/>
        <w:rPr>
          <w:rFonts w:eastAsia="Times New Roman"/>
          <w:sz w:val="22"/>
          <w:szCs w:val="22"/>
        </w:rPr>
      </w:pPr>
      <w:r w:rsidRPr="00BD4DB3">
        <w:rPr>
          <w:rFonts w:eastAsia="Times New Roman"/>
          <w:sz w:val="22"/>
          <w:szCs w:val="22"/>
        </w:rPr>
        <w:t xml:space="preserve">6. </w:t>
      </w:r>
      <w:r w:rsidR="005D7631" w:rsidRPr="00BD4DB3">
        <w:rPr>
          <w:rFonts w:eastAsia="Times New Roman"/>
          <w:sz w:val="22"/>
          <w:szCs w:val="22"/>
        </w:rPr>
        <w:t>“</w:t>
      </w:r>
      <w:r w:rsidRPr="00BD4DB3">
        <w:rPr>
          <w:rFonts w:eastAsia="Times New Roman"/>
          <w:sz w:val="22"/>
          <w:szCs w:val="22"/>
        </w:rPr>
        <w:t>…assessment for learning is a focus for staff a</w:t>
      </w:r>
      <w:r w:rsidR="00EC3CB0" w:rsidRPr="00BD4DB3">
        <w:rPr>
          <w:rFonts w:eastAsia="Times New Roman"/>
          <w:sz w:val="22"/>
          <w:szCs w:val="22"/>
        </w:rPr>
        <w:t>nd institutional development</w:t>
      </w:r>
      <w:r w:rsidR="005D7631" w:rsidRPr="00BD4DB3">
        <w:rPr>
          <w:rFonts w:eastAsia="Times New Roman"/>
          <w:sz w:val="22"/>
          <w:szCs w:val="22"/>
        </w:rPr>
        <w:t>”</w:t>
      </w:r>
      <w:r w:rsidRPr="00BD4DB3">
        <w:rPr>
          <w:rFonts w:eastAsia="Times New Roman"/>
          <w:sz w:val="22"/>
          <w:szCs w:val="22"/>
        </w:rPr>
        <w:t xml:space="preserve"> (p.</w:t>
      </w:r>
      <w:r w:rsidR="005D7631" w:rsidRPr="00BD4DB3">
        <w:rPr>
          <w:rFonts w:eastAsia="Times New Roman"/>
          <w:sz w:val="22"/>
          <w:szCs w:val="22"/>
        </w:rPr>
        <w:t xml:space="preserve"> </w:t>
      </w:r>
      <w:r w:rsidRPr="00BD4DB3">
        <w:rPr>
          <w:rFonts w:eastAsia="Times New Roman"/>
          <w:sz w:val="22"/>
          <w:szCs w:val="22"/>
        </w:rPr>
        <w:t xml:space="preserve">3) </w:t>
      </w:r>
    </w:p>
    <w:p w14:paraId="12EAD898" w14:textId="281D4DF8" w:rsidR="004C4081" w:rsidRPr="00BD4DB3" w:rsidRDefault="004C4081" w:rsidP="00CA093B">
      <w:pPr>
        <w:ind w:left="720"/>
        <w:rPr>
          <w:rFonts w:eastAsia="Times New Roman"/>
          <w:sz w:val="22"/>
          <w:szCs w:val="22"/>
        </w:rPr>
      </w:pPr>
      <w:r w:rsidRPr="00BD4DB3">
        <w:rPr>
          <w:rFonts w:eastAsia="Times New Roman"/>
          <w:sz w:val="22"/>
          <w:szCs w:val="22"/>
        </w:rPr>
        <w:tab/>
      </w:r>
    </w:p>
    <w:p w14:paraId="5683ECD9" w14:textId="1D5D8CF6" w:rsidR="004C4081" w:rsidRPr="00BD4DB3" w:rsidRDefault="004C4081" w:rsidP="00EC3CB0">
      <w:pPr>
        <w:tabs>
          <w:tab w:val="left" w:pos="1620"/>
        </w:tabs>
        <w:spacing w:line="480" w:lineRule="auto"/>
        <w:ind w:firstLine="720"/>
        <w:rPr>
          <w:rFonts w:eastAsia="Times New Roman"/>
          <w:sz w:val="22"/>
          <w:szCs w:val="22"/>
        </w:rPr>
      </w:pPr>
      <w:r w:rsidRPr="00BD4DB3">
        <w:rPr>
          <w:rFonts w:eastAsia="Times New Roman"/>
          <w:sz w:val="22"/>
          <w:szCs w:val="22"/>
        </w:rPr>
        <w:t xml:space="preserve">Two points are worth noting regarding this </w:t>
      </w:r>
      <w:r w:rsidR="00EC3CB0" w:rsidRPr="00BD4DB3">
        <w:rPr>
          <w:rFonts w:eastAsia="Times New Roman"/>
          <w:sz w:val="22"/>
          <w:szCs w:val="22"/>
        </w:rPr>
        <w:t>proposition. First</w:t>
      </w:r>
      <w:r w:rsidRPr="00BD4DB3">
        <w:rPr>
          <w:rFonts w:eastAsia="Times New Roman"/>
          <w:sz w:val="22"/>
          <w:szCs w:val="22"/>
        </w:rPr>
        <w:t xml:space="preserve">, the Bologna Process explicitly emphasizes employer input (Lunt et al., </w:t>
      </w:r>
      <w:r w:rsidR="00ED7812" w:rsidRPr="00BD4DB3">
        <w:rPr>
          <w:rFonts w:eastAsia="Times New Roman"/>
          <w:sz w:val="22"/>
          <w:szCs w:val="22"/>
        </w:rPr>
        <w:t>2011</w:t>
      </w:r>
      <w:r w:rsidRPr="00BD4DB3">
        <w:rPr>
          <w:rFonts w:eastAsia="Times New Roman"/>
          <w:sz w:val="22"/>
          <w:szCs w:val="22"/>
        </w:rPr>
        <w:t xml:space="preserve">); this </w:t>
      </w:r>
      <w:r w:rsidR="00824D5B" w:rsidRPr="00BD4DB3">
        <w:rPr>
          <w:rFonts w:eastAsia="Times New Roman"/>
          <w:sz w:val="22"/>
          <w:szCs w:val="22"/>
        </w:rPr>
        <w:t>is less</w:t>
      </w:r>
      <w:r w:rsidRPr="00BD4DB3">
        <w:rPr>
          <w:rFonts w:eastAsia="Times New Roman"/>
          <w:sz w:val="22"/>
          <w:szCs w:val="22"/>
        </w:rPr>
        <w:t xml:space="preserve"> the case </w:t>
      </w:r>
      <w:r w:rsidR="00824D5B" w:rsidRPr="00BD4DB3">
        <w:rPr>
          <w:rFonts w:eastAsia="Times New Roman"/>
          <w:sz w:val="22"/>
          <w:szCs w:val="22"/>
        </w:rPr>
        <w:t>in the</w:t>
      </w:r>
      <w:r w:rsidRPr="00BD4DB3">
        <w:rPr>
          <w:rFonts w:eastAsia="Times New Roman"/>
          <w:sz w:val="22"/>
          <w:szCs w:val="22"/>
        </w:rPr>
        <w:t xml:space="preserve"> </w:t>
      </w:r>
      <w:r w:rsidR="00B648E4" w:rsidRPr="00BD4DB3">
        <w:rPr>
          <w:rFonts w:eastAsia="Times New Roman"/>
          <w:sz w:val="22"/>
          <w:szCs w:val="22"/>
        </w:rPr>
        <w:t>U.S.</w:t>
      </w:r>
      <w:r w:rsidRPr="00BD4DB3">
        <w:rPr>
          <w:rFonts w:eastAsia="Times New Roman"/>
          <w:sz w:val="22"/>
          <w:szCs w:val="22"/>
        </w:rPr>
        <w:t xml:space="preserve"> or Australia, but may be </w:t>
      </w:r>
      <w:r w:rsidR="00824D5B" w:rsidRPr="00BD4DB3">
        <w:rPr>
          <w:rFonts w:eastAsia="Times New Roman"/>
          <w:sz w:val="22"/>
          <w:szCs w:val="22"/>
        </w:rPr>
        <w:t xml:space="preserve">so </w:t>
      </w:r>
      <w:r w:rsidR="003B4DE1" w:rsidRPr="00BD4DB3">
        <w:rPr>
          <w:rFonts w:eastAsia="Times New Roman"/>
          <w:sz w:val="22"/>
          <w:szCs w:val="22"/>
        </w:rPr>
        <w:t>in regions that have adopted Bologna-like processes</w:t>
      </w:r>
      <w:r w:rsidR="00EC3CB0" w:rsidRPr="00BD4DB3">
        <w:rPr>
          <w:rFonts w:eastAsia="Times New Roman"/>
          <w:sz w:val="22"/>
          <w:szCs w:val="22"/>
        </w:rPr>
        <w:t>. Second</w:t>
      </w:r>
      <w:r w:rsidRPr="00BD4DB3">
        <w:rPr>
          <w:rFonts w:eastAsia="Times New Roman"/>
          <w:sz w:val="22"/>
          <w:szCs w:val="22"/>
        </w:rPr>
        <w:t>, in most nations there is a regulatory body</w:t>
      </w:r>
      <w:r w:rsidR="00B648E4" w:rsidRPr="00BD4DB3">
        <w:rPr>
          <w:rFonts w:eastAsia="Times New Roman"/>
          <w:sz w:val="22"/>
          <w:szCs w:val="22"/>
        </w:rPr>
        <w:t xml:space="preserve"> that</w:t>
      </w:r>
      <w:r w:rsidRPr="00BD4DB3">
        <w:rPr>
          <w:rFonts w:eastAsia="Times New Roman"/>
          <w:sz w:val="22"/>
          <w:szCs w:val="22"/>
        </w:rPr>
        <w:t xml:space="preserve"> determines </w:t>
      </w:r>
      <w:r w:rsidR="00824D5B" w:rsidRPr="00BD4DB3">
        <w:rPr>
          <w:rFonts w:eastAsia="Times New Roman"/>
          <w:sz w:val="22"/>
          <w:szCs w:val="22"/>
        </w:rPr>
        <w:t>the</w:t>
      </w:r>
      <w:r w:rsidRPr="00BD4DB3">
        <w:rPr>
          <w:rFonts w:eastAsia="Times New Roman"/>
          <w:sz w:val="22"/>
          <w:szCs w:val="22"/>
        </w:rPr>
        <w:t xml:space="preserve"> competencies required of practicing psychologists, and </w:t>
      </w:r>
      <w:r w:rsidR="00824D5B" w:rsidRPr="00BD4DB3">
        <w:rPr>
          <w:rFonts w:eastAsia="Times New Roman"/>
          <w:sz w:val="22"/>
          <w:szCs w:val="22"/>
        </w:rPr>
        <w:t>monitors</w:t>
      </w:r>
      <w:r w:rsidRPr="00BD4DB3">
        <w:rPr>
          <w:rFonts w:eastAsia="Times New Roman"/>
          <w:sz w:val="22"/>
          <w:szCs w:val="22"/>
        </w:rPr>
        <w:t xml:space="preserve"> </w:t>
      </w:r>
      <w:r w:rsidR="00CE57E9" w:rsidRPr="00BD4DB3">
        <w:rPr>
          <w:rFonts w:eastAsia="Times New Roman"/>
          <w:sz w:val="22"/>
          <w:szCs w:val="22"/>
        </w:rPr>
        <w:t>education with respect to competencies</w:t>
      </w:r>
      <w:r w:rsidRPr="00BD4DB3">
        <w:rPr>
          <w:rFonts w:eastAsia="Times New Roman"/>
          <w:sz w:val="22"/>
          <w:szCs w:val="22"/>
        </w:rPr>
        <w:t>.</w:t>
      </w:r>
      <w:r w:rsidR="00824D5B" w:rsidRPr="00BD4DB3">
        <w:rPr>
          <w:rFonts w:eastAsia="Times New Roman"/>
          <w:sz w:val="22"/>
          <w:szCs w:val="22"/>
        </w:rPr>
        <w:t xml:space="preserve"> </w:t>
      </w:r>
      <w:r w:rsidR="003A18AD" w:rsidRPr="00BD4DB3">
        <w:rPr>
          <w:rFonts w:eastAsia="Times New Roman"/>
          <w:sz w:val="22"/>
          <w:szCs w:val="22"/>
        </w:rPr>
        <w:t xml:space="preserve">Designing assessment to facilitate </w:t>
      </w:r>
      <w:r w:rsidR="00594973" w:rsidRPr="00BD4DB3">
        <w:rPr>
          <w:rFonts w:eastAsia="Times New Roman"/>
          <w:sz w:val="22"/>
          <w:szCs w:val="22"/>
        </w:rPr>
        <w:t>acquisition</w:t>
      </w:r>
      <w:r w:rsidR="003A18AD" w:rsidRPr="00BD4DB3">
        <w:rPr>
          <w:rFonts w:eastAsia="Times New Roman"/>
          <w:sz w:val="22"/>
          <w:szCs w:val="22"/>
        </w:rPr>
        <w:t xml:space="preserve"> of skills and competencies is a skill in itself, and one that may not be possessed by all psychology educators. </w:t>
      </w:r>
      <w:r w:rsidR="00824D5B" w:rsidRPr="00BD4DB3">
        <w:rPr>
          <w:rFonts w:eastAsia="Times New Roman"/>
          <w:sz w:val="22"/>
          <w:szCs w:val="22"/>
        </w:rPr>
        <w:t>P</w:t>
      </w:r>
      <w:r w:rsidRPr="00BD4DB3">
        <w:rPr>
          <w:rFonts w:eastAsia="Times New Roman"/>
          <w:sz w:val="22"/>
          <w:szCs w:val="22"/>
        </w:rPr>
        <w:t>roviders must ensure that faculty are capable of designing and delivering curricula</w:t>
      </w:r>
      <w:r w:rsidR="00824D5B" w:rsidRPr="00BD4DB3">
        <w:rPr>
          <w:rFonts w:eastAsia="Times New Roman"/>
          <w:sz w:val="22"/>
          <w:szCs w:val="22"/>
        </w:rPr>
        <w:t xml:space="preserve"> </w:t>
      </w:r>
      <w:r w:rsidRPr="00BD4DB3">
        <w:rPr>
          <w:rFonts w:eastAsia="Times New Roman"/>
          <w:sz w:val="22"/>
          <w:szCs w:val="22"/>
        </w:rPr>
        <w:t xml:space="preserve">and assessments that provide assurance of student learning of competencies. In Australia (APAC, 2019) and the UK (Quality Assurance Agency, </w:t>
      </w:r>
      <w:r w:rsidR="003A18AD" w:rsidRPr="00BD4DB3">
        <w:rPr>
          <w:rFonts w:eastAsia="Times New Roman"/>
          <w:sz w:val="22"/>
          <w:szCs w:val="22"/>
        </w:rPr>
        <w:t>2019</w:t>
      </w:r>
      <w:r w:rsidRPr="00BD4DB3">
        <w:rPr>
          <w:rFonts w:eastAsia="Times New Roman"/>
          <w:sz w:val="22"/>
          <w:szCs w:val="22"/>
        </w:rPr>
        <w:t xml:space="preserve">), undergraduate </w:t>
      </w:r>
      <w:r w:rsidR="00557BBD" w:rsidRPr="00BD4DB3">
        <w:rPr>
          <w:rFonts w:eastAsia="Times New Roman"/>
          <w:sz w:val="22"/>
          <w:szCs w:val="22"/>
        </w:rPr>
        <w:t>and</w:t>
      </w:r>
      <w:r w:rsidRPr="00BD4DB3">
        <w:rPr>
          <w:rFonts w:eastAsia="Times New Roman"/>
          <w:sz w:val="22"/>
          <w:szCs w:val="22"/>
        </w:rPr>
        <w:t xml:space="preserve"> graduate programs are subject to </w:t>
      </w:r>
      <w:r w:rsidR="00EC3CB0" w:rsidRPr="00BD4DB3">
        <w:rPr>
          <w:rFonts w:eastAsia="Times New Roman"/>
          <w:sz w:val="22"/>
          <w:szCs w:val="22"/>
        </w:rPr>
        <w:t>an</w:t>
      </w:r>
      <w:r w:rsidRPr="00BD4DB3">
        <w:rPr>
          <w:rFonts w:eastAsia="Times New Roman"/>
          <w:sz w:val="22"/>
          <w:szCs w:val="22"/>
        </w:rPr>
        <w:t xml:space="preserve"> accreditation process; in the </w:t>
      </w:r>
      <w:r w:rsidR="00D76D34" w:rsidRPr="00BD4DB3">
        <w:rPr>
          <w:rFonts w:eastAsia="Times New Roman"/>
          <w:sz w:val="22"/>
          <w:szCs w:val="22"/>
        </w:rPr>
        <w:t>U.S.</w:t>
      </w:r>
      <w:r w:rsidRPr="00BD4DB3">
        <w:rPr>
          <w:rFonts w:eastAsia="Times New Roman"/>
          <w:sz w:val="22"/>
          <w:szCs w:val="22"/>
        </w:rPr>
        <w:t xml:space="preserve">, undergraduate psychology programs are not subject to </w:t>
      </w:r>
      <w:r w:rsidR="00824D5B" w:rsidRPr="00BD4DB3">
        <w:rPr>
          <w:rFonts w:eastAsia="Times New Roman"/>
          <w:sz w:val="22"/>
          <w:szCs w:val="22"/>
        </w:rPr>
        <w:t xml:space="preserve">discipline-specific </w:t>
      </w:r>
      <w:r w:rsidRPr="00BD4DB3">
        <w:rPr>
          <w:rFonts w:eastAsia="Times New Roman"/>
          <w:sz w:val="22"/>
          <w:szCs w:val="22"/>
        </w:rPr>
        <w:t xml:space="preserve">accreditation; however, the </w:t>
      </w:r>
      <w:r w:rsidR="00EC3CB0" w:rsidRPr="00BD4DB3">
        <w:rPr>
          <w:rFonts w:eastAsia="Times New Roman"/>
          <w:sz w:val="22"/>
          <w:szCs w:val="22"/>
        </w:rPr>
        <w:t xml:space="preserve">APA </w:t>
      </w:r>
      <w:r w:rsidRPr="00BD4DB3">
        <w:rPr>
          <w:rFonts w:eastAsia="Times New Roman"/>
          <w:sz w:val="22"/>
          <w:szCs w:val="22"/>
        </w:rPr>
        <w:t xml:space="preserve">Guidelines 2.0 (2013) </w:t>
      </w:r>
      <w:r w:rsidR="00EC3CB0" w:rsidRPr="00BD4DB3">
        <w:rPr>
          <w:rFonts w:eastAsia="Times New Roman"/>
          <w:sz w:val="22"/>
          <w:szCs w:val="22"/>
        </w:rPr>
        <w:t xml:space="preserve">are </w:t>
      </w:r>
      <w:r w:rsidRPr="00BD4DB3">
        <w:rPr>
          <w:rFonts w:eastAsia="Times New Roman"/>
          <w:sz w:val="22"/>
          <w:szCs w:val="22"/>
        </w:rPr>
        <w:t xml:space="preserve">used to support </w:t>
      </w:r>
      <w:r w:rsidR="00F37187" w:rsidRPr="00BD4DB3">
        <w:rPr>
          <w:rFonts w:eastAsia="Times New Roman"/>
          <w:sz w:val="22"/>
          <w:szCs w:val="22"/>
        </w:rPr>
        <w:t>those</w:t>
      </w:r>
      <w:r w:rsidRPr="00BD4DB3">
        <w:rPr>
          <w:rFonts w:eastAsia="Times New Roman"/>
          <w:sz w:val="22"/>
          <w:szCs w:val="22"/>
        </w:rPr>
        <w:t xml:space="preserve"> who voluntarily engage w</w:t>
      </w:r>
      <w:r w:rsidR="00557BBD" w:rsidRPr="00BD4DB3">
        <w:rPr>
          <w:rFonts w:eastAsia="Times New Roman"/>
          <w:sz w:val="22"/>
          <w:szCs w:val="22"/>
        </w:rPr>
        <w:t>ith them</w:t>
      </w:r>
      <w:r w:rsidRPr="00BD4DB3">
        <w:rPr>
          <w:rFonts w:eastAsia="Times New Roman"/>
          <w:sz w:val="22"/>
          <w:szCs w:val="22"/>
        </w:rPr>
        <w:t xml:space="preserve">. </w:t>
      </w:r>
    </w:p>
    <w:p w14:paraId="20F5412A" w14:textId="1D77A2F0" w:rsidR="004C4081" w:rsidRPr="00BD4DB3" w:rsidRDefault="004C4081" w:rsidP="004C4081">
      <w:pPr>
        <w:spacing w:line="480" w:lineRule="auto"/>
        <w:ind w:firstLine="720"/>
        <w:rPr>
          <w:rFonts w:eastAsia="Times New Roman"/>
          <w:sz w:val="22"/>
          <w:szCs w:val="22"/>
        </w:rPr>
      </w:pPr>
      <w:r w:rsidRPr="00BD4DB3">
        <w:rPr>
          <w:rFonts w:eastAsia="Times New Roman"/>
          <w:sz w:val="22"/>
          <w:szCs w:val="22"/>
        </w:rPr>
        <w:t xml:space="preserve">At a graduate level, </w:t>
      </w:r>
      <w:r w:rsidR="003B4DE1" w:rsidRPr="00BD4DB3">
        <w:rPr>
          <w:rFonts w:eastAsia="Times New Roman"/>
          <w:sz w:val="22"/>
          <w:szCs w:val="22"/>
        </w:rPr>
        <w:t xml:space="preserve">the </w:t>
      </w:r>
      <w:r w:rsidRPr="00BD4DB3">
        <w:rPr>
          <w:rFonts w:eastAsia="Times New Roman"/>
          <w:sz w:val="22"/>
          <w:szCs w:val="22"/>
        </w:rPr>
        <w:t xml:space="preserve">resource-intensive Objective Structured Clinical Examination (OSCE; e.g., </w:t>
      </w:r>
      <w:r w:rsidR="00A97BCA">
        <w:rPr>
          <w:rFonts w:eastAsia="Times New Roman"/>
          <w:sz w:val="22"/>
          <w:szCs w:val="22"/>
        </w:rPr>
        <w:t xml:space="preserve">Roberts &amp; </w:t>
      </w:r>
      <w:r w:rsidR="000B7E08" w:rsidRPr="00BD4DB3">
        <w:rPr>
          <w:rFonts w:eastAsia="Times New Roman"/>
          <w:sz w:val="22"/>
          <w:szCs w:val="22"/>
        </w:rPr>
        <w:t>Norris</w:t>
      </w:r>
      <w:r w:rsidR="00A97BCA">
        <w:rPr>
          <w:rFonts w:eastAsia="Times New Roman"/>
          <w:sz w:val="22"/>
          <w:szCs w:val="22"/>
        </w:rPr>
        <w:t>, 2020</w:t>
      </w:r>
      <w:r w:rsidRPr="00BD4DB3">
        <w:rPr>
          <w:rFonts w:eastAsia="Times New Roman"/>
          <w:sz w:val="22"/>
          <w:szCs w:val="22"/>
        </w:rPr>
        <w:t>) involves scenarios for authentic assessment of clinical skills in graduate students</w:t>
      </w:r>
      <w:r w:rsidR="003A18AD" w:rsidRPr="00BD4DB3">
        <w:rPr>
          <w:rFonts w:eastAsia="Times New Roman"/>
          <w:sz w:val="22"/>
          <w:szCs w:val="22"/>
        </w:rPr>
        <w:t xml:space="preserve">; such a model may be useful within the context of </w:t>
      </w:r>
      <w:r w:rsidR="00B737D4" w:rsidRPr="00BD4DB3">
        <w:rPr>
          <w:rFonts w:eastAsia="Times New Roman"/>
          <w:sz w:val="22"/>
          <w:szCs w:val="22"/>
        </w:rPr>
        <w:t xml:space="preserve">both graduate and undergraduate </w:t>
      </w:r>
      <w:r w:rsidR="003A18AD" w:rsidRPr="00BD4DB3">
        <w:rPr>
          <w:rFonts w:eastAsia="Times New Roman"/>
          <w:sz w:val="22"/>
          <w:szCs w:val="22"/>
        </w:rPr>
        <w:t>psychology education</w:t>
      </w:r>
      <w:r w:rsidR="00B648E4" w:rsidRPr="00BD4DB3">
        <w:rPr>
          <w:rFonts w:eastAsia="Times New Roman"/>
          <w:sz w:val="22"/>
          <w:szCs w:val="22"/>
        </w:rPr>
        <w:t xml:space="preserve">. </w:t>
      </w:r>
      <w:r w:rsidR="00B737D4" w:rsidRPr="00BD4DB3">
        <w:rPr>
          <w:rFonts w:eastAsia="Times New Roman"/>
          <w:sz w:val="22"/>
          <w:szCs w:val="22"/>
        </w:rPr>
        <w:t>However, a</w:t>
      </w:r>
      <w:r w:rsidR="00B648E4" w:rsidRPr="00BD4DB3">
        <w:rPr>
          <w:rFonts w:eastAsia="Times New Roman"/>
          <w:sz w:val="22"/>
          <w:szCs w:val="22"/>
        </w:rPr>
        <w:t xml:space="preserve">t the undergraduate level, </w:t>
      </w:r>
      <w:r w:rsidRPr="00BD4DB3">
        <w:rPr>
          <w:rFonts w:eastAsia="Times New Roman"/>
          <w:sz w:val="22"/>
          <w:szCs w:val="22"/>
        </w:rPr>
        <w:t xml:space="preserve">it is </w:t>
      </w:r>
      <w:r w:rsidR="0070110C" w:rsidRPr="00BD4DB3">
        <w:rPr>
          <w:rFonts w:eastAsia="Times New Roman"/>
          <w:sz w:val="22"/>
          <w:szCs w:val="22"/>
        </w:rPr>
        <w:t>unclear</w:t>
      </w:r>
      <w:r w:rsidRPr="00BD4DB3">
        <w:rPr>
          <w:rFonts w:eastAsia="Times New Roman"/>
          <w:sz w:val="22"/>
          <w:szCs w:val="22"/>
        </w:rPr>
        <w:t xml:space="preserve"> how, for example, the APAC foundational competency of “interpersonal and team-w</w:t>
      </w:r>
      <w:r w:rsidR="009A2652" w:rsidRPr="00BD4DB3">
        <w:rPr>
          <w:rFonts w:eastAsia="Times New Roman"/>
          <w:sz w:val="22"/>
          <w:szCs w:val="22"/>
        </w:rPr>
        <w:t>ork skills” (APAC, 2019</w:t>
      </w:r>
      <w:r w:rsidRPr="00BD4DB3">
        <w:rPr>
          <w:rFonts w:eastAsia="Times New Roman"/>
          <w:sz w:val="22"/>
          <w:szCs w:val="22"/>
        </w:rPr>
        <w:t xml:space="preserve">) </w:t>
      </w:r>
      <w:r w:rsidR="00D76D34" w:rsidRPr="00BD4DB3">
        <w:rPr>
          <w:rFonts w:eastAsia="Times New Roman"/>
          <w:sz w:val="22"/>
          <w:szCs w:val="22"/>
        </w:rPr>
        <w:t xml:space="preserve">would </w:t>
      </w:r>
      <w:r w:rsidRPr="00BD4DB3">
        <w:rPr>
          <w:rFonts w:eastAsia="Times New Roman"/>
          <w:sz w:val="22"/>
          <w:szCs w:val="22"/>
        </w:rPr>
        <w:t xml:space="preserve">be validly assessed for hundreds of </w:t>
      </w:r>
      <w:r w:rsidR="00B737D4" w:rsidRPr="00BD4DB3">
        <w:rPr>
          <w:rFonts w:eastAsia="Times New Roman"/>
          <w:sz w:val="22"/>
          <w:szCs w:val="22"/>
        </w:rPr>
        <w:t xml:space="preserve">psychology </w:t>
      </w:r>
      <w:r w:rsidR="00B648E4" w:rsidRPr="00BD4DB3">
        <w:rPr>
          <w:rFonts w:eastAsia="Times New Roman"/>
          <w:sz w:val="22"/>
          <w:szCs w:val="22"/>
        </w:rPr>
        <w:t>s</w:t>
      </w:r>
      <w:r w:rsidR="00B737D4" w:rsidRPr="00BD4DB3">
        <w:rPr>
          <w:rFonts w:eastAsia="Times New Roman"/>
          <w:sz w:val="22"/>
          <w:szCs w:val="22"/>
        </w:rPr>
        <w:t>tudents</w:t>
      </w:r>
      <w:r w:rsidRPr="00BD4DB3">
        <w:rPr>
          <w:rFonts w:eastAsia="Times New Roman"/>
          <w:sz w:val="22"/>
          <w:szCs w:val="22"/>
        </w:rPr>
        <w:t>. Cranney</w:t>
      </w:r>
      <w:r w:rsidR="00CE7327" w:rsidRPr="00BD4DB3">
        <w:rPr>
          <w:rFonts w:eastAsia="Times New Roman"/>
          <w:sz w:val="22"/>
          <w:szCs w:val="22"/>
        </w:rPr>
        <w:t xml:space="preserve"> and colleagues</w:t>
      </w:r>
      <w:r w:rsidRPr="00BD4DB3">
        <w:rPr>
          <w:rFonts w:eastAsia="Times New Roman"/>
          <w:sz w:val="22"/>
          <w:szCs w:val="22"/>
        </w:rPr>
        <w:t xml:space="preserve"> (in press)</w:t>
      </w:r>
      <w:r w:rsidR="00D76D34" w:rsidRPr="00BD4DB3">
        <w:rPr>
          <w:rFonts w:eastAsia="Times New Roman"/>
          <w:sz w:val="22"/>
          <w:szCs w:val="22"/>
        </w:rPr>
        <w:t>, however,</w:t>
      </w:r>
      <w:r w:rsidRPr="00BD4DB3">
        <w:rPr>
          <w:rFonts w:eastAsia="Times New Roman"/>
          <w:sz w:val="22"/>
          <w:szCs w:val="22"/>
        </w:rPr>
        <w:t xml:space="preserve"> highlight rubrics for ‘generic’ skills (e.g., interpersonal skills, AAC&amp;U, 2019) that could support asse</w:t>
      </w:r>
      <w:r w:rsidR="00CE7327" w:rsidRPr="00BD4DB3">
        <w:rPr>
          <w:rFonts w:eastAsia="Times New Roman"/>
          <w:sz w:val="22"/>
          <w:szCs w:val="22"/>
        </w:rPr>
        <w:t>ssment, perhaps “</w:t>
      </w:r>
      <w:r w:rsidRPr="00BD4DB3">
        <w:rPr>
          <w:rFonts w:eastAsia="Times New Roman"/>
          <w:sz w:val="22"/>
          <w:szCs w:val="22"/>
        </w:rPr>
        <w:t>undertaken by peers, with the occasional or capstone authentication of such skills by teachers, perhaps facilitated by technology, such as teamwork performance being assessed through computerized recognition of evidence-based constructive communication” (p.</w:t>
      </w:r>
      <w:r w:rsidR="009B7CF6" w:rsidRPr="00BD4DB3">
        <w:rPr>
          <w:rFonts w:eastAsia="Times New Roman"/>
          <w:sz w:val="22"/>
          <w:szCs w:val="22"/>
        </w:rPr>
        <w:t xml:space="preserve"> </w:t>
      </w:r>
      <w:r w:rsidRPr="00BD4DB3">
        <w:rPr>
          <w:rFonts w:eastAsia="Times New Roman"/>
          <w:sz w:val="22"/>
          <w:szCs w:val="22"/>
        </w:rPr>
        <w:t>11). I</w:t>
      </w:r>
      <w:r w:rsidR="0022608B" w:rsidRPr="00BD4DB3">
        <w:rPr>
          <w:rFonts w:eastAsia="Times New Roman"/>
          <w:sz w:val="22"/>
          <w:szCs w:val="22"/>
        </w:rPr>
        <w:t xml:space="preserve">n general, </w:t>
      </w:r>
      <w:r w:rsidR="000B7E08" w:rsidRPr="00BD4DB3">
        <w:rPr>
          <w:rFonts w:eastAsia="Times New Roman"/>
          <w:sz w:val="22"/>
          <w:szCs w:val="22"/>
        </w:rPr>
        <w:t xml:space="preserve">we acknowledge the challenge </w:t>
      </w:r>
      <w:r w:rsidR="00D76D34" w:rsidRPr="00BD4DB3">
        <w:rPr>
          <w:rFonts w:eastAsia="Times New Roman"/>
          <w:sz w:val="22"/>
          <w:szCs w:val="22"/>
        </w:rPr>
        <w:t xml:space="preserve">to </w:t>
      </w:r>
      <w:r w:rsidR="00CE7327" w:rsidRPr="00BD4DB3">
        <w:rPr>
          <w:rFonts w:eastAsia="Times New Roman"/>
          <w:sz w:val="22"/>
          <w:szCs w:val="22"/>
        </w:rPr>
        <w:t>educators</w:t>
      </w:r>
      <w:r w:rsidRPr="00BD4DB3">
        <w:rPr>
          <w:rFonts w:eastAsia="Times New Roman"/>
          <w:sz w:val="22"/>
          <w:szCs w:val="22"/>
        </w:rPr>
        <w:t xml:space="preserve"> to juggle competing demands regarding assessment. </w:t>
      </w:r>
    </w:p>
    <w:p w14:paraId="73740FE0" w14:textId="6A2B9FCE" w:rsidR="004C4081" w:rsidRPr="00BD4DB3" w:rsidRDefault="004C4081" w:rsidP="00CA093B">
      <w:pPr>
        <w:ind w:left="720"/>
        <w:rPr>
          <w:rFonts w:eastAsia="Times New Roman"/>
          <w:sz w:val="22"/>
          <w:szCs w:val="22"/>
        </w:rPr>
      </w:pPr>
      <w:r w:rsidRPr="00BD4DB3">
        <w:rPr>
          <w:rFonts w:eastAsia="Times New Roman"/>
          <w:sz w:val="22"/>
          <w:szCs w:val="22"/>
        </w:rPr>
        <w:t>7.</w:t>
      </w:r>
      <w:r w:rsidR="00DA1F2C" w:rsidRPr="00BD4DB3">
        <w:rPr>
          <w:rFonts w:eastAsia="Times New Roman"/>
          <w:sz w:val="22"/>
          <w:szCs w:val="22"/>
        </w:rPr>
        <w:t xml:space="preserve"> </w:t>
      </w:r>
      <w:r w:rsidRPr="00BD4DB3">
        <w:rPr>
          <w:rFonts w:eastAsia="Times New Roman"/>
          <w:sz w:val="22"/>
          <w:szCs w:val="22"/>
        </w:rPr>
        <w:t>…assessment provides inclusive and trustworthy representa</w:t>
      </w:r>
      <w:r w:rsidR="00B648E4" w:rsidRPr="00BD4DB3">
        <w:rPr>
          <w:rFonts w:eastAsia="Times New Roman"/>
          <w:sz w:val="22"/>
          <w:szCs w:val="22"/>
        </w:rPr>
        <w:t>tion of student achievement (p. 3)</w:t>
      </w:r>
      <w:r w:rsidR="00DA1F2C" w:rsidRPr="00BD4DB3">
        <w:rPr>
          <w:rFonts w:eastAsia="Times New Roman"/>
          <w:sz w:val="22"/>
          <w:szCs w:val="22"/>
        </w:rPr>
        <w:t xml:space="preserve"> </w:t>
      </w:r>
    </w:p>
    <w:p w14:paraId="269E802C" w14:textId="77777777" w:rsidR="00972378" w:rsidRPr="00BD4DB3" w:rsidRDefault="00972378" w:rsidP="00CA093B">
      <w:pPr>
        <w:ind w:left="720"/>
        <w:rPr>
          <w:rFonts w:eastAsia="Times New Roman"/>
          <w:sz w:val="22"/>
          <w:szCs w:val="22"/>
        </w:rPr>
      </w:pPr>
    </w:p>
    <w:p w14:paraId="4691F046" w14:textId="226DDC44" w:rsidR="004C4081" w:rsidRPr="00BD4DB3" w:rsidRDefault="004C4081" w:rsidP="004C4081">
      <w:pPr>
        <w:spacing w:line="480" w:lineRule="auto"/>
        <w:ind w:firstLine="720"/>
        <w:rPr>
          <w:rFonts w:eastAsia="Times New Roman"/>
          <w:sz w:val="22"/>
          <w:szCs w:val="22"/>
        </w:rPr>
      </w:pPr>
      <w:r w:rsidRPr="00BD4DB3">
        <w:rPr>
          <w:rFonts w:eastAsia="Times New Roman"/>
          <w:sz w:val="22"/>
          <w:szCs w:val="22"/>
        </w:rPr>
        <w:t>From a formal perspective, the intent of the Bologna Process is to meet the third aspect of this assessment proposition (“certification accurately and richly portrays graduates’ and students’ achievements to inform future careers and lea</w:t>
      </w:r>
      <w:r w:rsidR="0070110C" w:rsidRPr="00BD4DB3">
        <w:rPr>
          <w:rFonts w:eastAsia="Times New Roman"/>
          <w:sz w:val="22"/>
          <w:szCs w:val="22"/>
        </w:rPr>
        <w:t>rning”, p.</w:t>
      </w:r>
      <w:r w:rsidR="005D7631" w:rsidRPr="00BD4DB3">
        <w:rPr>
          <w:rFonts w:eastAsia="Times New Roman"/>
          <w:sz w:val="22"/>
          <w:szCs w:val="22"/>
        </w:rPr>
        <w:t xml:space="preserve"> </w:t>
      </w:r>
      <w:r w:rsidR="0070110C" w:rsidRPr="00BD4DB3">
        <w:rPr>
          <w:rFonts w:eastAsia="Times New Roman"/>
          <w:sz w:val="22"/>
          <w:szCs w:val="22"/>
        </w:rPr>
        <w:t>3)</w:t>
      </w:r>
      <w:r w:rsidRPr="00BD4DB3">
        <w:rPr>
          <w:rFonts w:eastAsia="Times New Roman"/>
          <w:sz w:val="22"/>
          <w:szCs w:val="22"/>
        </w:rPr>
        <w:t>. As Adelman (2009) states:</w:t>
      </w:r>
    </w:p>
    <w:p w14:paraId="67BB767C" w14:textId="3491C4F9" w:rsidR="004C4081" w:rsidRPr="00BD4DB3" w:rsidRDefault="004C4081" w:rsidP="003B4DE1">
      <w:pPr>
        <w:ind w:left="720"/>
        <w:rPr>
          <w:rFonts w:eastAsia="Times New Roman"/>
          <w:sz w:val="22"/>
          <w:szCs w:val="22"/>
        </w:rPr>
      </w:pPr>
      <w:r w:rsidRPr="00BD4DB3">
        <w:rPr>
          <w:rFonts w:eastAsia="Times New Roman"/>
          <w:sz w:val="22"/>
          <w:szCs w:val="22"/>
        </w:rPr>
        <w:t xml:space="preserve">…if your discipline, institution, and system have all established and publicly promulgated clear and discrete criteria for learning and thresholds of performance, that evidence, in itself, creates a powerful endorsement of the credentials awarded. When backed by a Diploma </w:t>
      </w:r>
      <w:proofErr w:type="gramStart"/>
      <w:r w:rsidRPr="00BD4DB3">
        <w:rPr>
          <w:rFonts w:eastAsia="Times New Roman"/>
          <w:sz w:val="22"/>
          <w:szCs w:val="22"/>
        </w:rPr>
        <w:t>Supplement, and</w:t>
      </w:r>
      <w:proofErr w:type="gramEnd"/>
      <w:r w:rsidRPr="00BD4DB3">
        <w:rPr>
          <w:rFonts w:eastAsia="Times New Roman"/>
          <w:sz w:val="22"/>
          <w:szCs w:val="22"/>
        </w:rPr>
        <w:t xml:space="preserve"> sealed by a culture of quality demanding continuous monitoring and improvement</w:t>
      </w:r>
      <w:r w:rsidR="00972378" w:rsidRPr="00BD4DB3">
        <w:rPr>
          <w:rFonts w:eastAsia="Times New Roman"/>
          <w:sz w:val="22"/>
          <w:szCs w:val="22"/>
        </w:rPr>
        <w:t>…</w:t>
      </w:r>
      <w:r w:rsidR="00234637" w:rsidRPr="00BD4DB3">
        <w:rPr>
          <w:rFonts w:eastAsia="Times New Roman"/>
          <w:sz w:val="22"/>
          <w:szCs w:val="22"/>
        </w:rPr>
        <w:t>, you have a public warranty</w:t>
      </w:r>
      <w:r w:rsidRPr="00BD4DB3">
        <w:rPr>
          <w:rFonts w:eastAsia="Times New Roman"/>
          <w:sz w:val="22"/>
          <w:szCs w:val="22"/>
        </w:rPr>
        <w:t xml:space="preserve"> (p. 191).</w:t>
      </w:r>
    </w:p>
    <w:p w14:paraId="218A1A1C" w14:textId="77777777" w:rsidR="003B4DE1" w:rsidRPr="00BD4DB3" w:rsidRDefault="003B4DE1" w:rsidP="003B4DE1">
      <w:pPr>
        <w:ind w:left="720"/>
        <w:rPr>
          <w:rFonts w:eastAsia="Times New Roman"/>
          <w:sz w:val="22"/>
          <w:szCs w:val="22"/>
        </w:rPr>
      </w:pPr>
    </w:p>
    <w:p w14:paraId="0AD53638" w14:textId="59BB1D65" w:rsidR="00762E6B" w:rsidRPr="00BD4DB3" w:rsidRDefault="00C93A19" w:rsidP="00762E6B">
      <w:pPr>
        <w:spacing w:line="480" w:lineRule="auto"/>
        <w:ind w:firstLine="720"/>
        <w:rPr>
          <w:rFonts w:eastAsia="Times New Roman"/>
          <w:sz w:val="22"/>
          <w:szCs w:val="22"/>
        </w:rPr>
      </w:pPr>
      <w:r>
        <w:rPr>
          <w:rFonts w:eastAsia="Times New Roman"/>
          <w:sz w:val="22"/>
          <w:szCs w:val="22"/>
        </w:rPr>
        <w:t xml:space="preserve">In other words, the Diploma Supplement documents graduates’ qualifications – what they know and what they can do. </w:t>
      </w:r>
      <w:r w:rsidR="004C4081" w:rsidRPr="00BD4DB3">
        <w:rPr>
          <w:rFonts w:eastAsia="Times New Roman"/>
          <w:sz w:val="22"/>
          <w:szCs w:val="22"/>
        </w:rPr>
        <w:t xml:space="preserve">One alternative to a Diploma Supplement is a capstone assessment, </w:t>
      </w:r>
      <w:r w:rsidR="00D64958" w:rsidRPr="00BD4DB3">
        <w:rPr>
          <w:rFonts w:eastAsia="Times New Roman"/>
          <w:sz w:val="22"/>
          <w:szCs w:val="22"/>
        </w:rPr>
        <w:t xml:space="preserve">such as a </w:t>
      </w:r>
      <w:r w:rsidR="004C4081" w:rsidRPr="00BD4DB3">
        <w:rPr>
          <w:rFonts w:eastAsia="Times New Roman"/>
          <w:sz w:val="22"/>
          <w:szCs w:val="22"/>
        </w:rPr>
        <w:t xml:space="preserve">learning outcome portfolio (e.g., </w:t>
      </w:r>
      <w:r w:rsidR="00453825" w:rsidRPr="00BD4DB3">
        <w:rPr>
          <w:rFonts w:eastAsia="Times New Roman"/>
          <w:sz w:val="22"/>
          <w:szCs w:val="22"/>
        </w:rPr>
        <w:t>Lee &amp; Loton, 2015</w:t>
      </w:r>
      <w:r w:rsidR="004C4081" w:rsidRPr="00BD4DB3">
        <w:rPr>
          <w:rFonts w:eastAsia="Times New Roman"/>
          <w:sz w:val="22"/>
          <w:szCs w:val="22"/>
        </w:rPr>
        <w:t xml:space="preserve">). Students provide evidence </w:t>
      </w:r>
      <w:r w:rsidR="00790BD0" w:rsidRPr="00BD4DB3">
        <w:rPr>
          <w:rFonts w:eastAsia="Times New Roman"/>
          <w:sz w:val="22"/>
          <w:szCs w:val="22"/>
        </w:rPr>
        <w:t xml:space="preserve">that they </w:t>
      </w:r>
      <w:r w:rsidR="00D76D34" w:rsidRPr="00BD4DB3">
        <w:rPr>
          <w:rFonts w:eastAsia="Times New Roman"/>
          <w:sz w:val="22"/>
          <w:szCs w:val="22"/>
        </w:rPr>
        <w:t xml:space="preserve">have </w:t>
      </w:r>
      <w:r w:rsidR="00790BD0" w:rsidRPr="00BD4DB3">
        <w:rPr>
          <w:rFonts w:eastAsia="Times New Roman"/>
          <w:sz w:val="22"/>
          <w:szCs w:val="22"/>
        </w:rPr>
        <w:t xml:space="preserve">achieved </w:t>
      </w:r>
      <w:r w:rsidR="004C4081" w:rsidRPr="00BD4DB3">
        <w:rPr>
          <w:rFonts w:eastAsia="Times New Roman"/>
          <w:sz w:val="22"/>
          <w:szCs w:val="22"/>
        </w:rPr>
        <w:t xml:space="preserve">threshold learning outcomes, and comment on how they could further develop these capabilities. One issue with such </w:t>
      </w:r>
      <w:r w:rsidR="00D64958" w:rsidRPr="00BD4DB3">
        <w:rPr>
          <w:rFonts w:eastAsia="Times New Roman"/>
          <w:sz w:val="22"/>
          <w:szCs w:val="22"/>
        </w:rPr>
        <w:t>an approach is</w:t>
      </w:r>
      <w:r w:rsidR="00790BD0" w:rsidRPr="00BD4DB3">
        <w:rPr>
          <w:rFonts w:eastAsia="Times New Roman"/>
          <w:sz w:val="22"/>
          <w:szCs w:val="22"/>
        </w:rPr>
        <w:t xml:space="preserve"> its </w:t>
      </w:r>
      <w:r w:rsidR="0022608B" w:rsidRPr="00BD4DB3">
        <w:rPr>
          <w:rFonts w:eastAsia="Times New Roman"/>
          <w:sz w:val="22"/>
          <w:szCs w:val="22"/>
        </w:rPr>
        <w:t xml:space="preserve">diverse target </w:t>
      </w:r>
      <w:r w:rsidR="00790BD0" w:rsidRPr="00BD4DB3">
        <w:rPr>
          <w:rFonts w:eastAsia="Times New Roman"/>
          <w:sz w:val="22"/>
          <w:szCs w:val="22"/>
        </w:rPr>
        <w:t xml:space="preserve">audience – </w:t>
      </w:r>
      <w:r w:rsidR="004C4081" w:rsidRPr="00BD4DB3">
        <w:rPr>
          <w:rFonts w:eastAsia="Times New Roman"/>
          <w:sz w:val="22"/>
          <w:szCs w:val="22"/>
        </w:rPr>
        <w:t>qual</w:t>
      </w:r>
      <w:r w:rsidR="00D64958" w:rsidRPr="00BD4DB3">
        <w:rPr>
          <w:rFonts w:eastAsia="Times New Roman"/>
          <w:sz w:val="22"/>
          <w:szCs w:val="22"/>
        </w:rPr>
        <w:t xml:space="preserve">ity controllers (who may want </w:t>
      </w:r>
      <w:r w:rsidR="004C4081" w:rsidRPr="00BD4DB3">
        <w:rPr>
          <w:rFonts w:eastAsia="Times New Roman"/>
          <w:sz w:val="22"/>
          <w:szCs w:val="22"/>
        </w:rPr>
        <w:t xml:space="preserve">comprehensive documentation </w:t>
      </w:r>
      <w:r w:rsidR="00C9543F" w:rsidRPr="00BD4DB3">
        <w:rPr>
          <w:rFonts w:eastAsia="Times New Roman"/>
          <w:sz w:val="22"/>
          <w:szCs w:val="22"/>
        </w:rPr>
        <w:t>for</w:t>
      </w:r>
      <w:r w:rsidR="004C4081" w:rsidRPr="00BD4DB3">
        <w:rPr>
          <w:rFonts w:eastAsia="Times New Roman"/>
          <w:sz w:val="22"/>
          <w:szCs w:val="22"/>
        </w:rPr>
        <w:t xml:space="preserve"> every outcome)</w:t>
      </w:r>
      <w:r w:rsidR="0022608B" w:rsidRPr="00BD4DB3">
        <w:rPr>
          <w:rFonts w:eastAsia="Times New Roman"/>
          <w:sz w:val="22"/>
          <w:szCs w:val="22"/>
        </w:rPr>
        <w:t xml:space="preserve"> versus</w:t>
      </w:r>
      <w:r w:rsidR="004C4081" w:rsidRPr="00BD4DB3">
        <w:rPr>
          <w:rFonts w:eastAsia="Times New Roman"/>
          <w:sz w:val="22"/>
          <w:szCs w:val="22"/>
        </w:rPr>
        <w:t xml:space="preserve"> students and prospective employers (who </w:t>
      </w:r>
      <w:r w:rsidR="00D64958" w:rsidRPr="00BD4DB3">
        <w:rPr>
          <w:rFonts w:eastAsia="Times New Roman"/>
          <w:sz w:val="22"/>
          <w:szCs w:val="22"/>
        </w:rPr>
        <w:t xml:space="preserve">may </w:t>
      </w:r>
      <w:r w:rsidR="004C4081" w:rsidRPr="00BD4DB3">
        <w:rPr>
          <w:rFonts w:eastAsia="Times New Roman"/>
          <w:sz w:val="22"/>
          <w:szCs w:val="22"/>
        </w:rPr>
        <w:t>want a targeted career-relevant product such as a tailorable resume derived from a portfolio)</w:t>
      </w:r>
      <w:r w:rsidR="0022608B" w:rsidRPr="00BD4DB3">
        <w:rPr>
          <w:rFonts w:eastAsia="Times New Roman"/>
          <w:sz w:val="22"/>
          <w:szCs w:val="22"/>
        </w:rPr>
        <w:t>.</w:t>
      </w:r>
      <w:r w:rsidR="004C4081" w:rsidRPr="00BD4DB3">
        <w:rPr>
          <w:rFonts w:eastAsia="Times New Roman"/>
          <w:sz w:val="22"/>
          <w:szCs w:val="22"/>
        </w:rPr>
        <w:t xml:space="preserve"> </w:t>
      </w:r>
      <w:r w:rsidR="00B737D4" w:rsidRPr="00BD4DB3">
        <w:rPr>
          <w:rFonts w:eastAsia="Times New Roman"/>
          <w:sz w:val="22"/>
          <w:szCs w:val="22"/>
        </w:rPr>
        <w:t>Psychology program directors should work toward ensuring that such assessments can be flexibly used by the student</w:t>
      </w:r>
      <w:r w:rsidR="00DF1308">
        <w:rPr>
          <w:rFonts w:eastAsia="Times New Roman"/>
          <w:sz w:val="22"/>
          <w:szCs w:val="22"/>
        </w:rPr>
        <w:t>,</w:t>
      </w:r>
      <w:r w:rsidR="00B737D4" w:rsidRPr="00BD4DB3">
        <w:rPr>
          <w:rFonts w:eastAsia="Times New Roman"/>
          <w:sz w:val="22"/>
          <w:szCs w:val="22"/>
        </w:rPr>
        <w:t xml:space="preserve"> both during their studies and after graduation. </w:t>
      </w:r>
    </w:p>
    <w:p w14:paraId="7944D852" w14:textId="60527280" w:rsidR="006D1D71" w:rsidRPr="00BD4DB3" w:rsidRDefault="007F25E7" w:rsidP="006D1D71">
      <w:pPr>
        <w:spacing w:line="480" w:lineRule="auto"/>
        <w:jc w:val="center"/>
        <w:rPr>
          <w:rFonts w:eastAsia="Times New Roman"/>
          <w:b/>
          <w:sz w:val="22"/>
          <w:szCs w:val="22"/>
        </w:rPr>
      </w:pPr>
      <w:r w:rsidRPr="00BD4DB3">
        <w:rPr>
          <w:rFonts w:eastAsia="Times New Roman"/>
          <w:b/>
          <w:sz w:val="22"/>
          <w:szCs w:val="22"/>
        </w:rPr>
        <w:t>Conclusion</w:t>
      </w:r>
    </w:p>
    <w:p w14:paraId="0693EBD3" w14:textId="2F2CD9F6" w:rsidR="00F15040" w:rsidRPr="00BD4DB3" w:rsidRDefault="007F6780" w:rsidP="007F25E7">
      <w:pPr>
        <w:spacing w:line="480" w:lineRule="auto"/>
        <w:rPr>
          <w:rFonts w:eastAsia="Times New Roman"/>
          <w:sz w:val="22"/>
          <w:szCs w:val="22"/>
        </w:rPr>
      </w:pPr>
      <w:r w:rsidRPr="00BD4DB3">
        <w:rPr>
          <w:rFonts w:eastAsia="Times New Roman"/>
          <w:sz w:val="22"/>
          <w:szCs w:val="22"/>
        </w:rPr>
        <w:tab/>
      </w:r>
      <w:r w:rsidR="007F25E7" w:rsidRPr="00BD4DB3">
        <w:rPr>
          <w:rFonts w:eastAsia="Times New Roman"/>
          <w:sz w:val="22"/>
          <w:szCs w:val="22"/>
        </w:rPr>
        <w:t xml:space="preserve">Clifford Adelman, who often wrote about the Bologna Process in a U.S. context, opined that Bologna was a leader in higher education. </w:t>
      </w:r>
      <w:r w:rsidR="00D64958" w:rsidRPr="00BD4DB3">
        <w:rPr>
          <w:rFonts w:eastAsia="Times New Roman"/>
          <w:sz w:val="22"/>
          <w:szCs w:val="22"/>
        </w:rPr>
        <w:t>But</w:t>
      </w:r>
      <w:r w:rsidR="007F25E7" w:rsidRPr="00BD4DB3">
        <w:rPr>
          <w:rFonts w:eastAsia="Times New Roman"/>
          <w:sz w:val="22"/>
          <w:szCs w:val="22"/>
        </w:rPr>
        <w:t>, he explains, “</w:t>
      </w:r>
      <w:r w:rsidR="00D64958" w:rsidRPr="00BD4DB3">
        <w:rPr>
          <w:rFonts w:eastAsia="Times New Roman"/>
          <w:sz w:val="22"/>
          <w:szCs w:val="22"/>
        </w:rPr>
        <w:t xml:space="preserve">that doesn’t </w:t>
      </w:r>
      <w:r w:rsidR="007F25E7" w:rsidRPr="00BD4DB3">
        <w:rPr>
          <w:rFonts w:eastAsia="Times New Roman"/>
          <w:sz w:val="22"/>
          <w:szCs w:val="22"/>
        </w:rPr>
        <w:t xml:space="preserve">mean the Euros have done everything as well as they could; that doesn’t mean they have a finished product; and that doesn’t mean that other countries should swallow whole an incomplete technology” (p. 9, 2009). </w:t>
      </w:r>
      <w:r w:rsidR="00D64958" w:rsidRPr="00BD4DB3">
        <w:rPr>
          <w:rFonts w:eastAsia="Times New Roman"/>
          <w:sz w:val="22"/>
          <w:szCs w:val="22"/>
        </w:rPr>
        <w:t>Yet,</w:t>
      </w:r>
      <w:r w:rsidR="007F25E7" w:rsidRPr="00BD4DB3">
        <w:rPr>
          <w:rFonts w:eastAsia="Times New Roman"/>
          <w:sz w:val="22"/>
          <w:szCs w:val="22"/>
        </w:rPr>
        <w:t xml:space="preserve"> Adelman urges less developed countries to learn from Bologna. “In this context,</w:t>
      </w:r>
      <w:r w:rsidR="00D64958" w:rsidRPr="00BD4DB3">
        <w:rPr>
          <w:rFonts w:eastAsia="Times New Roman"/>
          <w:sz w:val="22"/>
          <w:szCs w:val="22"/>
        </w:rPr>
        <w:t>” he suggests,</w:t>
      </w:r>
      <w:r w:rsidR="007F25E7" w:rsidRPr="00BD4DB3">
        <w:rPr>
          <w:rFonts w:eastAsia="Times New Roman"/>
          <w:sz w:val="22"/>
          <w:szCs w:val="22"/>
        </w:rPr>
        <w:t xml:space="preserve"> </w:t>
      </w:r>
      <w:r w:rsidR="00D64958" w:rsidRPr="00BD4DB3">
        <w:rPr>
          <w:rFonts w:eastAsia="Times New Roman"/>
          <w:sz w:val="22"/>
          <w:szCs w:val="22"/>
        </w:rPr>
        <w:t>“</w:t>
      </w:r>
      <w:r w:rsidR="007F25E7" w:rsidRPr="00BD4DB3">
        <w:rPr>
          <w:rFonts w:eastAsia="Times New Roman"/>
          <w:sz w:val="22"/>
          <w:szCs w:val="22"/>
        </w:rPr>
        <w:t xml:space="preserve">the U.S. is a less developed country” (p. 9). </w:t>
      </w:r>
      <w:r w:rsidR="0057156F" w:rsidRPr="00BD4DB3">
        <w:rPr>
          <w:rFonts w:eastAsia="Times New Roman"/>
          <w:sz w:val="22"/>
          <w:szCs w:val="22"/>
        </w:rPr>
        <w:t xml:space="preserve">Although the evidenced achievements of U.S. psychology education (e.g., Halpern, 2010) </w:t>
      </w:r>
      <w:r w:rsidR="000561FE" w:rsidRPr="00BD4DB3">
        <w:rPr>
          <w:rFonts w:eastAsia="Times New Roman"/>
          <w:sz w:val="22"/>
          <w:szCs w:val="22"/>
        </w:rPr>
        <w:t>arguably</w:t>
      </w:r>
      <w:r w:rsidR="0057156F" w:rsidRPr="00BD4DB3">
        <w:rPr>
          <w:rFonts w:eastAsia="Times New Roman"/>
          <w:sz w:val="22"/>
          <w:szCs w:val="22"/>
        </w:rPr>
        <w:t xml:space="preserve"> contradict this statement, </w:t>
      </w:r>
      <w:r w:rsidR="000561FE" w:rsidRPr="00BD4DB3">
        <w:rPr>
          <w:rFonts w:eastAsia="Times New Roman"/>
          <w:sz w:val="22"/>
          <w:szCs w:val="22"/>
        </w:rPr>
        <w:t>as critical thinkers, psychology educators reali</w:t>
      </w:r>
      <w:r w:rsidR="00D76D34" w:rsidRPr="00BD4DB3">
        <w:rPr>
          <w:rFonts w:eastAsia="Times New Roman"/>
          <w:sz w:val="22"/>
          <w:szCs w:val="22"/>
        </w:rPr>
        <w:t>z</w:t>
      </w:r>
      <w:r w:rsidR="000561FE" w:rsidRPr="00BD4DB3">
        <w:rPr>
          <w:rFonts w:eastAsia="Times New Roman"/>
          <w:sz w:val="22"/>
          <w:szCs w:val="22"/>
        </w:rPr>
        <w:t>e that as our global society changes, the</w:t>
      </w:r>
      <w:r w:rsidR="008042AE" w:rsidRPr="00BD4DB3">
        <w:rPr>
          <w:rFonts w:eastAsia="Times New Roman"/>
          <w:sz w:val="22"/>
          <w:szCs w:val="22"/>
        </w:rPr>
        <w:t>re is a</w:t>
      </w:r>
      <w:r w:rsidR="000561FE" w:rsidRPr="00BD4DB3">
        <w:rPr>
          <w:rFonts w:eastAsia="Times New Roman"/>
          <w:sz w:val="22"/>
          <w:szCs w:val="22"/>
        </w:rPr>
        <w:t xml:space="preserve"> continuous need to review</w:t>
      </w:r>
      <w:r w:rsidR="007F25E7" w:rsidRPr="00BD4DB3">
        <w:rPr>
          <w:rFonts w:eastAsia="Times New Roman"/>
          <w:sz w:val="22"/>
          <w:szCs w:val="22"/>
        </w:rPr>
        <w:t xml:space="preserve"> learning outcomes, curricula, and assessments</w:t>
      </w:r>
      <w:r w:rsidR="0044735C" w:rsidRPr="00BD4DB3">
        <w:rPr>
          <w:rFonts w:eastAsia="Times New Roman"/>
          <w:sz w:val="22"/>
          <w:szCs w:val="22"/>
        </w:rPr>
        <w:t>; t</w:t>
      </w:r>
      <w:r w:rsidR="000561FE" w:rsidRPr="00BD4DB3">
        <w:rPr>
          <w:rFonts w:eastAsia="Times New Roman"/>
          <w:sz w:val="22"/>
          <w:szCs w:val="22"/>
        </w:rPr>
        <w:t>hus</w:t>
      </w:r>
      <w:r w:rsidR="00DF1308">
        <w:rPr>
          <w:rFonts w:eastAsia="Times New Roman"/>
          <w:sz w:val="22"/>
          <w:szCs w:val="22"/>
        </w:rPr>
        <w:t>,</w:t>
      </w:r>
      <w:r w:rsidR="000561FE" w:rsidRPr="00BD4DB3">
        <w:rPr>
          <w:rFonts w:eastAsia="Times New Roman"/>
          <w:sz w:val="22"/>
          <w:szCs w:val="22"/>
        </w:rPr>
        <w:t xml:space="preserve"> </w:t>
      </w:r>
      <w:r w:rsidR="0046529A" w:rsidRPr="00BD4DB3">
        <w:rPr>
          <w:rFonts w:eastAsia="Times New Roman"/>
          <w:sz w:val="22"/>
          <w:szCs w:val="22"/>
        </w:rPr>
        <w:t>it would be beneficial</w:t>
      </w:r>
      <w:r w:rsidR="007F25E7" w:rsidRPr="00BD4DB3">
        <w:rPr>
          <w:rFonts w:eastAsia="Times New Roman"/>
          <w:sz w:val="22"/>
          <w:szCs w:val="22"/>
        </w:rPr>
        <w:t xml:space="preserve"> to </w:t>
      </w:r>
      <w:r w:rsidR="008042AE" w:rsidRPr="00BD4DB3">
        <w:rPr>
          <w:rFonts w:eastAsia="Times New Roman"/>
          <w:sz w:val="22"/>
          <w:szCs w:val="22"/>
        </w:rPr>
        <w:t>examine</w:t>
      </w:r>
      <w:r w:rsidR="007F25E7" w:rsidRPr="00BD4DB3">
        <w:rPr>
          <w:rFonts w:eastAsia="Times New Roman"/>
          <w:sz w:val="22"/>
          <w:szCs w:val="22"/>
        </w:rPr>
        <w:t xml:space="preserve"> Bologna and similar collaborations. </w:t>
      </w:r>
      <w:r w:rsidR="000561FE" w:rsidRPr="00BD4DB3">
        <w:rPr>
          <w:rFonts w:eastAsia="Times New Roman"/>
          <w:sz w:val="22"/>
          <w:szCs w:val="22"/>
        </w:rPr>
        <w:t xml:space="preserve">We recommend that individual </w:t>
      </w:r>
      <w:r w:rsidR="00DF1308">
        <w:rPr>
          <w:rFonts w:eastAsia="Times New Roman"/>
          <w:sz w:val="22"/>
          <w:szCs w:val="22"/>
        </w:rPr>
        <w:t xml:space="preserve">U.S. </w:t>
      </w:r>
      <w:r w:rsidR="000561FE" w:rsidRPr="00BD4DB3">
        <w:rPr>
          <w:rFonts w:eastAsia="Times New Roman"/>
          <w:sz w:val="22"/>
          <w:szCs w:val="22"/>
        </w:rPr>
        <w:t xml:space="preserve">institutions learn from both national (e.g., APA, 2019) and international (e.g., </w:t>
      </w:r>
      <w:r w:rsidR="0044735C" w:rsidRPr="00BD4DB3">
        <w:rPr>
          <w:rFonts w:eastAsia="Times New Roman"/>
          <w:sz w:val="22"/>
          <w:szCs w:val="22"/>
        </w:rPr>
        <w:t>Bologna and EuroPsy</w:t>
      </w:r>
      <w:r w:rsidR="000561FE" w:rsidRPr="00BD4DB3">
        <w:rPr>
          <w:rFonts w:eastAsia="Times New Roman"/>
          <w:sz w:val="22"/>
          <w:szCs w:val="22"/>
        </w:rPr>
        <w:t xml:space="preserve">) </w:t>
      </w:r>
      <w:r w:rsidR="000561FE" w:rsidRPr="00BD4DB3">
        <w:rPr>
          <w:rFonts w:eastAsia="Times New Roman"/>
          <w:iCs/>
          <w:sz w:val="22"/>
          <w:szCs w:val="22"/>
        </w:rPr>
        <w:t>guidelines</w:t>
      </w:r>
      <w:r w:rsidR="000561FE" w:rsidRPr="00BD4DB3">
        <w:rPr>
          <w:rFonts w:eastAsia="Times New Roman"/>
          <w:sz w:val="22"/>
          <w:szCs w:val="22"/>
        </w:rPr>
        <w:t xml:space="preserve"> on learning and assessment in psychology. Psychology educators </w:t>
      </w:r>
      <w:r w:rsidR="008042AE" w:rsidRPr="00BD4DB3">
        <w:rPr>
          <w:rFonts w:eastAsia="Times New Roman"/>
          <w:sz w:val="22"/>
          <w:szCs w:val="22"/>
        </w:rPr>
        <w:t>c</w:t>
      </w:r>
      <w:r w:rsidR="00D64958" w:rsidRPr="00BD4DB3">
        <w:rPr>
          <w:rFonts w:eastAsia="Times New Roman"/>
          <w:sz w:val="22"/>
          <w:szCs w:val="22"/>
        </w:rPr>
        <w:t>ould</w:t>
      </w:r>
      <w:r w:rsidR="008042AE" w:rsidRPr="00BD4DB3">
        <w:rPr>
          <w:rFonts w:eastAsia="Times New Roman"/>
          <w:sz w:val="22"/>
          <w:szCs w:val="22"/>
        </w:rPr>
        <w:t xml:space="preserve"> usefully</w:t>
      </w:r>
      <w:r w:rsidR="00D64958" w:rsidRPr="00BD4DB3">
        <w:rPr>
          <w:rFonts w:eastAsia="Times New Roman"/>
          <w:sz w:val="22"/>
          <w:szCs w:val="22"/>
        </w:rPr>
        <w:t xml:space="preserve"> ask:</w:t>
      </w:r>
      <w:r w:rsidR="007F25E7" w:rsidRPr="00BD4DB3">
        <w:rPr>
          <w:rFonts w:eastAsia="Times New Roman"/>
          <w:sz w:val="22"/>
          <w:szCs w:val="22"/>
        </w:rPr>
        <w:t xml:space="preserve"> </w:t>
      </w:r>
      <w:r w:rsidR="00D64958" w:rsidRPr="00BD4DB3">
        <w:rPr>
          <w:rFonts w:eastAsia="Times New Roman"/>
          <w:sz w:val="22"/>
          <w:szCs w:val="22"/>
        </w:rPr>
        <w:t>H</w:t>
      </w:r>
      <w:r w:rsidR="007F25E7" w:rsidRPr="00BD4DB3">
        <w:rPr>
          <w:rFonts w:eastAsia="Times New Roman"/>
          <w:sz w:val="22"/>
          <w:szCs w:val="22"/>
        </w:rPr>
        <w:t xml:space="preserve">ow </w:t>
      </w:r>
      <w:r w:rsidR="00F15040" w:rsidRPr="00BD4DB3">
        <w:rPr>
          <w:rFonts w:eastAsia="Times New Roman"/>
          <w:sz w:val="22"/>
          <w:szCs w:val="22"/>
        </w:rPr>
        <w:t xml:space="preserve">does a particular </w:t>
      </w:r>
      <w:r w:rsidR="00790BD0" w:rsidRPr="00BD4DB3">
        <w:rPr>
          <w:rFonts w:eastAsia="Times New Roman"/>
          <w:sz w:val="22"/>
          <w:szCs w:val="22"/>
        </w:rPr>
        <w:t>curriculum</w:t>
      </w:r>
      <w:r w:rsidR="00F15040" w:rsidRPr="00BD4DB3">
        <w:rPr>
          <w:rFonts w:eastAsia="Times New Roman"/>
          <w:sz w:val="22"/>
          <w:szCs w:val="22"/>
        </w:rPr>
        <w:t xml:space="preserve"> develop student competencies, including in intercultural and international contexts? How does it make them more employable</w:t>
      </w:r>
      <w:r w:rsidR="00790BD0" w:rsidRPr="00BD4DB3">
        <w:rPr>
          <w:rFonts w:eastAsia="Times New Roman"/>
          <w:sz w:val="22"/>
          <w:szCs w:val="22"/>
        </w:rPr>
        <w:t>? Wh</w:t>
      </w:r>
      <w:r w:rsidR="00F15040" w:rsidRPr="00BD4DB3">
        <w:rPr>
          <w:rFonts w:eastAsia="Times New Roman"/>
          <w:sz w:val="22"/>
          <w:szCs w:val="22"/>
        </w:rPr>
        <w:t xml:space="preserve">at are the likely employers saying about </w:t>
      </w:r>
      <w:r w:rsidR="00D64958" w:rsidRPr="00BD4DB3">
        <w:rPr>
          <w:rFonts w:eastAsia="Times New Roman"/>
          <w:sz w:val="22"/>
          <w:szCs w:val="22"/>
        </w:rPr>
        <w:t xml:space="preserve">current </w:t>
      </w:r>
      <w:r w:rsidR="00F15040" w:rsidRPr="00BD4DB3">
        <w:rPr>
          <w:rFonts w:eastAsia="Times New Roman"/>
          <w:sz w:val="22"/>
          <w:szCs w:val="22"/>
        </w:rPr>
        <w:t xml:space="preserve">graduates and what they desire in a graduate? How can students demonstrate their competencies in a way that makes them attractive to employers and enhances mobility within a country or region, and across countries? </w:t>
      </w:r>
    </w:p>
    <w:p w14:paraId="4A6CC900" w14:textId="0D53F5B8" w:rsidR="007F6780" w:rsidRDefault="00F15040" w:rsidP="007F25E7">
      <w:pPr>
        <w:spacing w:line="480" w:lineRule="auto"/>
        <w:rPr>
          <w:rFonts w:eastAsia="Times New Roman"/>
          <w:sz w:val="22"/>
          <w:szCs w:val="22"/>
        </w:rPr>
      </w:pPr>
      <w:r w:rsidRPr="00BD4DB3">
        <w:rPr>
          <w:rFonts w:eastAsia="Times New Roman"/>
          <w:sz w:val="22"/>
          <w:szCs w:val="22"/>
        </w:rPr>
        <w:tab/>
        <w:t>These questions are also likely to matter as Project Assessment matures and is used more widely</w:t>
      </w:r>
      <w:r w:rsidR="00E73C63" w:rsidRPr="00BD4DB3">
        <w:rPr>
          <w:rFonts w:eastAsia="Times New Roman"/>
          <w:sz w:val="22"/>
          <w:szCs w:val="22"/>
        </w:rPr>
        <w:t>, p</w:t>
      </w:r>
      <w:r w:rsidRPr="00BD4DB3">
        <w:rPr>
          <w:rFonts w:eastAsia="Times New Roman"/>
          <w:sz w:val="22"/>
          <w:szCs w:val="22"/>
        </w:rPr>
        <w:t xml:space="preserve">erhaps </w:t>
      </w:r>
      <w:r w:rsidR="00E73C63" w:rsidRPr="00BD4DB3">
        <w:rPr>
          <w:rFonts w:eastAsia="Times New Roman"/>
          <w:sz w:val="22"/>
          <w:szCs w:val="22"/>
        </w:rPr>
        <w:t>even helping to spur</w:t>
      </w:r>
      <w:r w:rsidRPr="00BD4DB3">
        <w:rPr>
          <w:rFonts w:eastAsia="Times New Roman"/>
          <w:sz w:val="22"/>
          <w:szCs w:val="22"/>
        </w:rPr>
        <w:t xml:space="preserve"> harmonization across curricula and institutions. We believe that the leaders of assessment in the field of psychology</w:t>
      </w:r>
      <w:r w:rsidR="00D64958" w:rsidRPr="00BD4DB3">
        <w:rPr>
          <w:rFonts w:eastAsia="Times New Roman"/>
          <w:sz w:val="22"/>
          <w:szCs w:val="22"/>
        </w:rPr>
        <w:t>, including those working with Project Assessment,</w:t>
      </w:r>
      <w:r w:rsidRPr="00BD4DB3">
        <w:rPr>
          <w:rFonts w:eastAsia="Times New Roman"/>
          <w:sz w:val="22"/>
          <w:szCs w:val="22"/>
        </w:rPr>
        <w:t xml:space="preserve"> </w:t>
      </w:r>
      <w:r w:rsidR="009A5E1C" w:rsidRPr="00BD4DB3">
        <w:rPr>
          <w:rFonts w:eastAsia="Times New Roman"/>
          <w:sz w:val="22"/>
          <w:szCs w:val="22"/>
        </w:rPr>
        <w:t>could benefit from examining</w:t>
      </w:r>
      <w:r w:rsidRPr="00BD4DB3">
        <w:rPr>
          <w:rFonts w:eastAsia="Times New Roman"/>
          <w:sz w:val="22"/>
          <w:szCs w:val="22"/>
        </w:rPr>
        <w:t xml:space="preserve"> the complex, sometimes limited, often varied, but also inspiring Tuning projects initiated by our colleagues around the world.</w:t>
      </w:r>
      <w:r w:rsidR="0080311C" w:rsidRPr="00BD4DB3">
        <w:rPr>
          <w:rFonts w:eastAsia="Times New Roman"/>
          <w:sz w:val="22"/>
          <w:szCs w:val="22"/>
        </w:rPr>
        <w:t xml:space="preserve"> </w:t>
      </w:r>
      <w:r w:rsidR="006A4206" w:rsidRPr="00BD4DB3">
        <w:rPr>
          <w:rFonts w:eastAsia="Times New Roman"/>
          <w:sz w:val="22"/>
          <w:szCs w:val="22"/>
        </w:rPr>
        <w:t>In turn, those involved in Project Assessment might share their experiences with international</w:t>
      </w:r>
      <w:r w:rsidR="0080311C" w:rsidRPr="00BD4DB3">
        <w:rPr>
          <w:rFonts w:eastAsia="Times New Roman"/>
          <w:sz w:val="22"/>
          <w:szCs w:val="22"/>
        </w:rPr>
        <w:t xml:space="preserve"> colleagues, </w:t>
      </w:r>
      <w:r w:rsidR="008B0885">
        <w:rPr>
          <w:rFonts w:eastAsia="Times New Roman"/>
          <w:sz w:val="22"/>
          <w:szCs w:val="22"/>
        </w:rPr>
        <w:t>which may</w:t>
      </w:r>
      <w:r w:rsidR="00047530">
        <w:rPr>
          <w:rFonts w:eastAsia="Times New Roman"/>
          <w:sz w:val="22"/>
          <w:szCs w:val="22"/>
        </w:rPr>
        <w:t xml:space="preserve"> </w:t>
      </w:r>
      <w:r w:rsidR="008B0885">
        <w:rPr>
          <w:rFonts w:eastAsia="Times New Roman"/>
          <w:sz w:val="22"/>
          <w:szCs w:val="22"/>
        </w:rPr>
        <w:t>result</w:t>
      </w:r>
      <w:r w:rsidR="0080311C" w:rsidRPr="00BD4DB3">
        <w:rPr>
          <w:rFonts w:eastAsia="Times New Roman"/>
          <w:sz w:val="22"/>
          <w:szCs w:val="22"/>
        </w:rPr>
        <w:t xml:space="preserve"> in inspiration and increased quality of education and assessment for all!</w:t>
      </w:r>
    </w:p>
    <w:p w14:paraId="67FD6B6E" w14:textId="77777777" w:rsidR="00F75AA1" w:rsidRDefault="00F75AA1">
      <w:pPr>
        <w:spacing w:after="160" w:line="259" w:lineRule="auto"/>
        <w:rPr>
          <w:rFonts w:eastAsia="Times New Roman"/>
          <w:b/>
          <w:sz w:val="22"/>
          <w:szCs w:val="22"/>
        </w:rPr>
      </w:pPr>
      <w:r>
        <w:rPr>
          <w:rFonts w:eastAsia="Times New Roman"/>
          <w:b/>
          <w:sz w:val="22"/>
          <w:szCs w:val="22"/>
        </w:rPr>
        <w:br w:type="page"/>
      </w:r>
    </w:p>
    <w:p w14:paraId="1C1E766D" w14:textId="254BCCD2" w:rsidR="009E3AA4" w:rsidRPr="00BD4DB3" w:rsidRDefault="009E3AA4" w:rsidP="009E3AA4">
      <w:pPr>
        <w:spacing w:line="480" w:lineRule="auto"/>
        <w:jc w:val="center"/>
        <w:rPr>
          <w:rFonts w:eastAsia="Times New Roman"/>
          <w:b/>
          <w:sz w:val="22"/>
          <w:szCs w:val="22"/>
        </w:rPr>
      </w:pPr>
      <w:r w:rsidRPr="00BD4DB3">
        <w:rPr>
          <w:rFonts w:eastAsia="Times New Roman"/>
          <w:b/>
          <w:sz w:val="22"/>
          <w:szCs w:val="22"/>
        </w:rPr>
        <w:t>References</w:t>
      </w:r>
    </w:p>
    <w:p w14:paraId="5BAEBCEC" w14:textId="41CFF8A0" w:rsidR="009A2652" w:rsidRPr="00BD4DB3" w:rsidRDefault="009A2652" w:rsidP="00DD4C25">
      <w:pPr>
        <w:spacing w:line="480" w:lineRule="auto"/>
        <w:ind w:left="720" w:hanging="720"/>
        <w:rPr>
          <w:sz w:val="22"/>
          <w:szCs w:val="22"/>
        </w:rPr>
      </w:pPr>
      <w:r w:rsidRPr="00BD4DB3">
        <w:rPr>
          <w:sz w:val="22"/>
          <w:szCs w:val="22"/>
        </w:rPr>
        <w:t xml:space="preserve">Adelman, C. (2009). </w:t>
      </w:r>
      <w:r w:rsidRPr="00BD4DB3">
        <w:rPr>
          <w:i/>
          <w:sz w:val="22"/>
          <w:szCs w:val="22"/>
        </w:rPr>
        <w:t xml:space="preserve">The Bologna Process for U.S. eyes: Re-learning higher education in the age of convergence. </w:t>
      </w:r>
      <w:r w:rsidRPr="00BD4DB3">
        <w:rPr>
          <w:sz w:val="22"/>
          <w:szCs w:val="22"/>
        </w:rPr>
        <w:t xml:space="preserve">Institute for Higher Education Policy.  </w:t>
      </w:r>
    </w:p>
    <w:p w14:paraId="6718D5B1" w14:textId="2FBE97F4" w:rsidR="009A2652" w:rsidRPr="00BD4DB3" w:rsidRDefault="009A2652" w:rsidP="00DD4C25">
      <w:pPr>
        <w:spacing w:line="480" w:lineRule="auto"/>
        <w:ind w:left="720" w:hanging="720"/>
        <w:rPr>
          <w:sz w:val="22"/>
          <w:szCs w:val="22"/>
        </w:rPr>
      </w:pPr>
      <w:r w:rsidRPr="00BD4DB3">
        <w:rPr>
          <w:sz w:val="22"/>
          <w:szCs w:val="22"/>
        </w:rPr>
        <w:t xml:space="preserve">Altbach, P. G., Reisberg, L., &amp; Rumbley, L. E. (2009). </w:t>
      </w:r>
      <w:r w:rsidRPr="00BD4DB3">
        <w:rPr>
          <w:i/>
          <w:sz w:val="22"/>
          <w:szCs w:val="22"/>
        </w:rPr>
        <w:t>Trends in global higher education tracking an</w:t>
      </w:r>
      <w:r w:rsidR="00DD4C25" w:rsidRPr="00BD4DB3">
        <w:rPr>
          <w:i/>
          <w:sz w:val="22"/>
          <w:szCs w:val="22"/>
        </w:rPr>
        <w:t xml:space="preserve"> </w:t>
      </w:r>
      <w:r w:rsidRPr="00BD4DB3">
        <w:rPr>
          <w:i/>
          <w:sz w:val="22"/>
          <w:szCs w:val="22"/>
        </w:rPr>
        <w:t>academic revolution: A report prepared for the UNESCO 2009 World Conference on Higher Education</w:t>
      </w:r>
      <w:r w:rsidRPr="00BD4DB3">
        <w:rPr>
          <w:sz w:val="22"/>
          <w:szCs w:val="22"/>
        </w:rPr>
        <w:t>. United Nations Educational, Scientific and Cultural Organization.</w:t>
      </w:r>
    </w:p>
    <w:p w14:paraId="7434CFB5" w14:textId="5EB0B022" w:rsidR="009E3AA4" w:rsidRPr="00BD4DB3" w:rsidRDefault="009E3AA4" w:rsidP="00DD4C25">
      <w:pPr>
        <w:spacing w:line="480" w:lineRule="auto"/>
        <w:ind w:left="720" w:hanging="720"/>
        <w:rPr>
          <w:rFonts w:eastAsia="Times New Roman"/>
          <w:sz w:val="22"/>
          <w:szCs w:val="22"/>
        </w:rPr>
      </w:pPr>
      <w:r w:rsidRPr="00BD4DB3">
        <w:rPr>
          <w:rFonts w:eastAsia="Times New Roman"/>
          <w:sz w:val="22"/>
          <w:szCs w:val="22"/>
        </w:rPr>
        <w:t xml:space="preserve">American Association of Colleges &amp; Universities (AAC&amp;U). (2019). </w:t>
      </w:r>
      <w:r w:rsidRPr="00BD4DB3">
        <w:rPr>
          <w:rFonts w:eastAsia="Times New Roman"/>
          <w:i/>
          <w:sz w:val="22"/>
          <w:szCs w:val="22"/>
        </w:rPr>
        <w:t>VALUE rubrics</w:t>
      </w:r>
      <w:r w:rsidRPr="00BD4DB3">
        <w:rPr>
          <w:rFonts w:eastAsia="Times New Roman"/>
          <w:sz w:val="22"/>
          <w:szCs w:val="22"/>
        </w:rPr>
        <w:t>. Retrieved from https://www.aacu.org/value-rubrics</w:t>
      </w:r>
    </w:p>
    <w:p w14:paraId="68695208" w14:textId="3DD82CC1" w:rsidR="009A2652" w:rsidRPr="00BD4DB3" w:rsidRDefault="009A2652" w:rsidP="00DD4C25">
      <w:pPr>
        <w:spacing w:line="480" w:lineRule="auto"/>
        <w:ind w:left="720" w:hanging="720"/>
        <w:rPr>
          <w:sz w:val="22"/>
          <w:szCs w:val="22"/>
        </w:rPr>
      </w:pPr>
      <w:r w:rsidRPr="00BD4DB3">
        <w:rPr>
          <w:sz w:val="22"/>
          <w:szCs w:val="22"/>
        </w:rPr>
        <w:t xml:space="preserve">American Psychological Association. (2013). </w:t>
      </w:r>
      <w:r w:rsidRPr="00BD4DB3">
        <w:rPr>
          <w:i/>
          <w:sz w:val="22"/>
          <w:szCs w:val="22"/>
        </w:rPr>
        <w:t>APA guidelines for the undergraduate psychology major: Version 2.0</w:t>
      </w:r>
      <w:r w:rsidRPr="00BD4DB3">
        <w:rPr>
          <w:sz w:val="22"/>
          <w:szCs w:val="22"/>
        </w:rPr>
        <w:t>. Author.</w:t>
      </w:r>
    </w:p>
    <w:p w14:paraId="1566B842" w14:textId="77777777" w:rsidR="009E3AA4" w:rsidRPr="00BD4DB3" w:rsidRDefault="009E3AA4" w:rsidP="00DD4C25">
      <w:pPr>
        <w:spacing w:line="480" w:lineRule="auto"/>
        <w:ind w:left="720" w:hanging="720"/>
        <w:rPr>
          <w:rFonts w:eastAsia="Times New Roman"/>
          <w:sz w:val="22"/>
          <w:szCs w:val="22"/>
        </w:rPr>
      </w:pPr>
      <w:r w:rsidRPr="00BD4DB3">
        <w:rPr>
          <w:rFonts w:eastAsia="Times New Roman"/>
          <w:sz w:val="22"/>
          <w:szCs w:val="22"/>
        </w:rPr>
        <w:t xml:space="preserve">American Psychological Association. (2018). </w:t>
      </w:r>
      <w:r w:rsidRPr="00BD4DB3">
        <w:rPr>
          <w:rFonts w:eastAsia="Times New Roman"/>
          <w:i/>
          <w:sz w:val="22"/>
          <w:szCs w:val="22"/>
        </w:rPr>
        <w:t>Project assessment</w:t>
      </w:r>
      <w:r w:rsidRPr="00BD4DB3">
        <w:rPr>
          <w:rFonts w:eastAsia="Times New Roman"/>
          <w:sz w:val="22"/>
          <w:szCs w:val="22"/>
        </w:rPr>
        <w:t>. Retrieved from http://pass.apa.org/</w:t>
      </w:r>
    </w:p>
    <w:p w14:paraId="0FC911CA" w14:textId="5B20755D" w:rsidR="009A2652" w:rsidRPr="00BD4DB3" w:rsidRDefault="009A2652" w:rsidP="00DD4C25">
      <w:pPr>
        <w:spacing w:line="480" w:lineRule="auto"/>
        <w:ind w:left="720" w:hanging="720"/>
        <w:rPr>
          <w:sz w:val="22"/>
          <w:szCs w:val="22"/>
        </w:rPr>
      </w:pPr>
      <w:r w:rsidRPr="00BD4DB3">
        <w:rPr>
          <w:sz w:val="22"/>
          <w:szCs w:val="22"/>
        </w:rPr>
        <w:t xml:space="preserve">Ashford-Rowe, K., Herrington, J., &amp; Brown, C. (2013). Establishing the critical elements that determine authentic assessment. </w:t>
      </w:r>
      <w:r w:rsidRPr="00BD4DB3">
        <w:rPr>
          <w:i/>
          <w:sz w:val="22"/>
          <w:szCs w:val="22"/>
        </w:rPr>
        <w:t>Assessment and Evaluation in Higher Education, 39</w:t>
      </w:r>
      <w:r w:rsidRPr="00BD4DB3">
        <w:rPr>
          <w:sz w:val="22"/>
          <w:szCs w:val="22"/>
        </w:rPr>
        <w:t xml:space="preserve"> (2), 205-222. </w:t>
      </w:r>
      <w:r w:rsidR="00DD4C25" w:rsidRPr="00BD4DB3">
        <w:rPr>
          <w:sz w:val="22"/>
          <w:szCs w:val="22"/>
        </w:rPr>
        <w:t>https</w:t>
      </w:r>
      <w:r w:rsidR="001F7CE1" w:rsidRPr="00BD4DB3">
        <w:rPr>
          <w:sz w:val="22"/>
          <w:szCs w:val="22"/>
        </w:rPr>
        <w:t>:</w:t>
      </w:r>
      <w:r w:rsidR="00DD4C25" w:rsidRPr="00BD4DB3">
        <w:rPr>
          <w:sz w:val="22"/>
          <w:szCs w:val="22"/>
        </w:rPr>
        <w:t>//doi.org/</w:t>
      </w:r>
      <w:r w:rsidRPr="00BD4DB3">
        <w:rPr>
          <w:sz w:val="22"/>
          <w:szCs w:val="22"/>
        </w:rPr>
        <w:t xml:space="preserve">10.1080/02602938.2013.819566 </w:t>
      </w:r>
    </w:p>
    <w:p w14:paraId="2FBC21E4" w14:textId="2939BC09" w:rsidR="009A2652" w:rsidRPr="00BD4DB3" w:rsidRDefault="009A2652" w:rsidP="00DD4C25">
      <w:pPr>
        <w:spacing w:line="480" w:lineRule="auto"/>
        <w:ind w:left="720" w:hanging="720"/>
        <w:rPr>
          <w:sz w:val="22"/>
          <w:szCs w:val="22"/>
        </w:rPr>
      </w:pPr>
      <w:r w:rsidRPr="00BD4DB3">
        <w:rPr>
          <w:sz w:val="22"/>
          <w:szCs w:val="22"/>
        </w:rPr>
        <w:t xml:space="preserve">Australian Psychology Accreditation Council (APAC). (2019). </w:t>
      </w:r>
      <w:r w:rsidRPr="00BD4DB3">
        <w:rPr>
          <w:i/>
          <w:sz w:val="22"/>
          <w:szCs w:val="22"/>
        </w:rPr>
        <w:t>Accreditation standards for psychology programs</w:t>
      </w:r>
      <w:r w:rsidRPr="00BD4DB3">
        <w:rPr>
          <w:sz w:val="22"/>
          <w:szCs w:val="22"/>
        </w:rPr>
        <w:t xml:space="preserve">. Author. </w:t>
      </w:r>
    </w:p>
    <w:p w14:paraId="5F6CE172" w14:textId="26EF6988" w:rsidR="009A2652" w:rsidRPr="00BD4DB3" w:rsidRDefault="009A2652" w:rsidP="00DD4C25">
      <w:pPr>
        <w:spacing w:line="480" w:lineRule="auto"/>
        <w:ind w:left="720" w:hanging="720"/>
        <w:rPr>
          <w:sz w:val="22"/>
          <w:szCs w:val="22"/>
        </w:rPr>
      </w:pPr>
      <w:r w:rsidRPr="00BD4DB3">
        <w:rPr>
          <w:sz w:val="22"/>
          <w:szCs w:val="22"/>
        </w:rPr>
        <w:t xml:space="preserve">Australian Psychology Accreditation Council (APAC). (2010). </w:t>
      </w:r>
      <w:r w:rsidRPr="00BD4DB3">
        <w:rPr>
          <w:i/>
          <w:sz w:val="22"/>
          <w:szCs w:val="22"/>
        </w:rPr>
        <w:t>Rules for accreditation and accreditation standards for psychology courses</w:t>
      </w:r>
      <w:r w:rsidRPr="00BD4DB3">
        <w:rPr>
          <w:sz w:val="22"/>
          <w:szCs w:val="22"/>
        </w:rPr>
        <w:t xml:space="preserve">. Author. </w:t>
      </w:r>
    </w:p>
    <w:p w14:paraId="018CADF9" w14:textId="6758A4B2" w:rsidR="009A2652" w:rsidRPr="00BD4DB3" w:rsidRDefault="009A2652" w:rsidP="00DD4C25">
      <w:pPr>
        <w:spacing w:line="480" w:lineRule="auto"/>
        <w:ind w:left="720" w:hanging="720"/>
        <w:rPr>
          <w:sz w:val="22"/>
          <w:szCs w:val="22"/>
        </w:rPr>
      </w:pPr>
      <w:r w:rsidRPr="00BD4DB3">
        <w:rPr>
          <w:sz w:val="22"/>
          <w:szCs w:val="22"/>
        </w:rPr>
        <w:t xml:space="preserve">Beneitone, P., &amp; Yarosh, M. (2015). Tuning impact in Latin America: Is there implementation beyond design? </w:t>
      </w:r>
      <w:r w:rsidRPr="00BD4DB3">
        <w:rPr>
          <w:i/>
          <w:sz w:val="22"/>
          <w:szCs w:val="22"/>
        </w:rPr>
        <w:t>Tuning Journal for Higher Education, 3</w:t>
      </w:r>
      <w:r w:rsidRPr="00BD4DB3">
        <w:rPr>
          <w:sz w:val="22"/>
          <w:szCs w:val="22"/>
        </w:rPr>
        <w:t xml:space="preserve">, 187-216. </w:t>
      </w:r>
      <w:r w:rsidR="00DD4C25" w:rsidRPr="00BD4DB3">
        <w:rPr>
          <w:sz w:val="22"/>
          <w:szCs w:val="22"/>
        </w:rPr>
        <w:t>https</w:t>
      </w:r>
      <w:r w:rsidR="001F7CE1" w:rsidRPr="00BD4DB3">
        <w:rPr>
          <w:sz w:val="22"/>
          <w:szCs w:val="22"/>
        </w:rPr>
        <w:t>:</w:t>
      </w:r>
      <w:r w:rsidR="00DD4C25" w:rsidRPr="00BD4DB3">
        <w:rPr>
          <w:sz w:val="22"/>
          <w:szCs w:val="22"/>
        </w:rPr>
        <w:t>//doi.org/</w:t>
      </w:r>
      <w:r w:rsidRPr="00BD4DB3">
        <w:rPr>
          <w:sz w:val="22"/>
          <w:szCs w:val="22"/>
        </w:rPr>
        <w:t>10.18543/tjhe-3(1)-2015pp187-216</w:t>
      </w:r>
    </w:p>
    <w:p w14:paraId="3CFAC9DA" w14:textId="0B63E55A" w:rsidR="002A241A" w:rsidRPr="00BD4DB3" w:rsidRDefault="002A241A" w:rsidP="00DD4C25">
      <w:pPr>
        <w:spacing w:line="480" w:lineRule="auto"/>
        <w:ind w:left="720" w:hanging="720"/>
        <w:rPr>
          <w:sz w:val="22"/>
          <w:szCs w:val="22"/>
        </w:rPr>
      </w:pPr>
      <w:r w:rsidRPr="00BD4DB3">
        <w:rPr>
          <w:sz w:val="22"/>
          <w:szCs w:val="22"/>
        </w:rPr>
        <w:t>Biggs. J. (1999)</w:t>
      </w:r>
      <w:r w:rsidR="009726D2" w:rsidRPr="00BD4DB3">
        <w:rPr>
          <w:sz w:val="22"/>
          <w:szCs w:val="22"/>
        </w:rPr>
        <w:t>.</w:t>
      </w:r>
      <w:r w:rsidRPr="00BD4DB3">
        <w:rPr>
          <w:sz w:val="22"/>
          <w:szCs w:val="22"/>
        </w:rPr>
        <w:t xml:space="preserve"> </w:t>
      </w:r>
      <w:r w:rsidRPr="00BD4DB3">
        <w:rPr>
          <w:i/>
          <w:sz w:val="22"/>
          <w:szCs w:val="22"/>
        </w:rPr>
        <w:t>Teaching for quality learning at university – What the student does</w:t>
      </w:r>
      <w:r w:rsidRPr="00BD4DB3">
        <w:rPr>
          <w:sz w:val="22"/>
          <w:szCs w:val="22"/>
        </w:rPr>
        <w:t xml:space="preserve"> (2</w:t>
      </w:r>
      <w:r w:rsidRPr="00BD4DB3">
        <w:rPr>
          <w:sz w:val="22"/>
          <w:szCs w:val="22"/>
          <w:vertAlign w:val="superscript"/>
        </w:rPr>
        <w:t>nd</w:t>
      </w:r>
      <w:r w:rsidRPr="00BD4DB3">
        <w:rPr>
          <w:sz w:val="22"/>
          <w:szCs w:val="22"/>
        </w:rPr>
        <w:t xml:space="preserve"> ed.)</w:t>
      </w:r>
      <w:r w:rsidR="00DD4C25" w:rsidRPr="00BD4DB3">
        <w:rPr>
          <w:sz w:val="22"/>
          <w:szCs w:val="22"/>
        </w:rPr>
        <w:t>. SHRE/Open University Press</w:t>
      </w:r>
      <w:r w:rsidRPr="00BD4DB3">
        <w:rPr>
          <w:sz w:val="22"/>
          <w:szCs w:val="22"/>
        </w:rPr>
        <w:t>.</w:t>
      </w:r>
    </w:p>
    <w:p w14:paraId="7B28A7CE" w14:textId="72B1057E" w:rsidR="009A2652" w:rsidRPr="00BD4DB3" w:rsidRDefault="009A2652" w:rsidP="00DD4C25">
      <w:pPr>
        <w:spacing w:line="480" w:lineRule="auto"/>
        <w:ind w:left="720" w:hanging="720"/>
        <w:rPr>
          <w:rStyle w:val="Hyperlink"/>
          <w:sz w:val="22"/>
          <w:szCs w:val="22"/>
        </w:rPr>
      </w:pPr>
      <w:r w:rsidRPr="00BD4DB3">
        <w:rPr>
          <w:sz w:val="22"/>
          <w:szCs w:val="22"/>
        </w:rPr>
        <w:t xml:space="preserve">Bologna Follow Up Group (BFUG). (2002). </w:t>
      </w:r>
      <w:r w:rsidRPr="00BD4DB3">
        <w:rPr>
          <w:i/>
          <w:sz w:val="22"/>
          <w:szCs w:val="22"/>
        </w:rPr>
        <w:t>Attractiveness, openness and cooperation. The European higher education area and third countries</w:t>
      </w:r>
      <w:r w:rsidRPr="00BD4DB3">
        <w:rPr>
          <w:sz w:val="22"/>
          <w:szCs w:val="22"/>
        </w:rPr>
        <w:t>. Danish Presidency.</w:t>
      </w:r>
    </w:p>
    <w:p w14:paraId="64EECFFE" w14:textId="3ED69748" w:rsidR="009A2652" w:rsidRPr="00BD4DB3" w:rsidRDefault="009A2652" w:rsidP="00DD4C25">
      <w:pPr>
        <w:spacing w:line="480" w:lineRule="auto"/>
        <w:ind w:left="720" w:hanging="720"/>
        <w:rPr>
          <w:rStyle w:val="Hyperlink"/>
          <w:sz w:val="22"/>
          <w:szCs w:val="22"/>
        </w:rPr>
      </w:pPr>
      <w:r w:rsidRPr="00BD4DB3">
        <w:rPr>
          <w:sz w:val="22"/>
          <w:szCs w:val="22"/>
        </w:rPr>
        <w:t xml:space="preserve">Bologna Declaration. (1999). </w:t>
      </w:r>
      <w:r w:rsidRPr="00BD4DB3">
        <w:rPr>
          <w:i/>
          <w:sz w:val="22"/>
          <w:szCs w:val="22"/>
        </w:rPr>
        <w:t>The European higher education area</w:t>
      </w:r>
      <w:r w:rsidRPr="00BD4DB3">
        <w:rPr>
          <w:sz w:val="22"/>
          <w:szCs w:val="22"/>
        </w:rPr>
        <w:t>. Joint declaration of the European Ministers of Education con</w:t>
      </w:r>
      <w:r w:rsidR="00DD4C25" w:rsidRPr="00BD4DB3">
        <w:rPr>
          <w:sz w:val="22"/>
          <w:szCs w:val="22"/>
        </w:rPr>
        <w:t>vened in Bologna, 19 June 1999.</w:t>
      </w:r>
    </w:p>
    <w:p w14:paraId="2B2B1E1F" w14:textId="0C2CB4DA" w:rsidR="009A2652" w:rsidRPr="00BD4DB3" w:rsidRDefault="009A2652" w:rsidP="00DD4C25">
      <w:pPr>
        <w:spacing w:line="480" w:lineRule="auto"/>
        <w:ind w:left="720" w:hanging="720"/>
        <w:rPr>
          <w:sz w:val="22"/>
          <w:szCs w:val="22"/>
        </w:rPr>
      </w:pPr>
      <w:r w:rsidRPr="00BD4DB3">
        <w:rPr>
          <w:sz w:val="22"/>
          <w:szCs w:val="22"/>
        </w:rPr>
        <w:t>Boud, D., &amp; Associates. (2010). Assessment 2020: Seven propositions for assessment reform in higher education. Australian Learning and Teaching Council.</w:t>
      </w:r>
    </w:p>
    <w:p w14:paraId="74E28016" w14:textId="0D61DF8E" w:rsidR="009A2652" w:rsidRPr="00BD4DB3" w:rsidRDefault="009A2652" w:rsidP="00DD4C25">
      <w:pPr>
        <w:spacing w:line="480" w:lineRule="auto"/>
        <w:ind w:left="720" w:hanging="720"/>
        <w:rPr>
          <w:sz w:val="22"/>
          <w:szCs w:val="22"/>
        </w:rPr>
      </w:pPr>
      <w:r w:rsidRPr="00BD4DB3">
        <w:rPr>
          <w:sz w:val="22"/>
          <w:szCs w:val="22"/>
        </w:rPr>
        <w:t>Boyer, E.</w:t>
      </w:r>
      <w:r w:rsidR="009B7CF6" w:rsidRPr="00BD4DB3">
        <w:rPr>
          <w:sz w:val="22"/>
          <w:szCs w:val="22"/>
        </w:rPr>
        <w:t xml:space="preserve"> </w:t>
      </w:r>
      <w:r w:rsidRPr="00BD4DB3">
        <w:rPr>
          <w:sz w:val="22"/>
          <w:szCs w:val="22"/>
        </w:rPr>
        <w:t xml:space="preserve">L., (1987) </w:t>
      </w:r>
      <w:r w:rsidRPr="00BD4DB3">
        <w:rPr>
          <w:i/>
          <w:sz w:val="22"/>
          <w:szCs w:val="22"/>
        </w:rPr>
        <w:t>College: The undergraduate experience in America</w:t>
      </w:r>
      <w:r w:rsidRPr="00BD4DB3">
        <w:rPr>
          <w:sz w:val="22"/>
          <w:szCs w:val="22"/>
        </w:rPr>
        <w:t xml:space="preserve">. Harper Collins. </w:t>
      </w:r>
    </w:p>
    <w:p w14:paraId="3058D3EA" w14:textId="62720FD5" w:rsidR="009A2652" w:rsidRPr="00BD4DB3" w:rsidRDefault="009A2652" w:rsidP="00DD4C25">
      <w:pPr>
        <w:spacing w:line="480" w:lineRule="auto"/>
        <w:ind w:left="720" w:hanging="720"/>
        <w:rPr>
          <w:sz w:val="22"/>
          <w:szCs w:val="22"/>
        </w:rPr>
      </w:pPr>
      <w:r w:rsidRPr="00BD4DB3">
        <w:rPr>
          <w:sz w:val="22"/>
          <w:szCs w:val="22"/>
        </w:rPr>
        <w:t xml:space="preserve">Broadbent, J., Panadero, E., &amp; Boud, D. (2018). Implementing summative assessment with a formative flavour: A case study in a large class. </w:t>
      </w:r>
      <w:r w:rsidRPr="00BD4DB3">
        <w:rPr>
          <w:i/>
          <w:sz w:val="22"/>
          <w:szCs w:val="22"/>
        </w:rPr>
        <w:t>Assessment and Evaluation in Higher Education, 43</w:t>
      </w:r>
      <w:r w:rsidRPr="00BD4DB3">
        <w:rPr>
          <w:sz w:val="22"/>
          <w:szCs w:val="22"/>
        </w:rPr>
        <w:t xml:space="preserve">, 307-322. </w:t>
      </w:r>
      <w:r w:rsidR="00DD4C25" w:rsidRPr="00BD4DB3">
        <w:rPr>
          <w:sz w:val="22"/>
          <w:szCs w:val="22"/>
        </w:rPr>
        <w:t>https</w:t>
      </w:r>
      <w:r w:rsidR="001F7CE1" w:rsidRPr="00BD4DB3">
        <w:rPr>
          <w:sz w:val="22"/>
          <w:szCs w:val="22"/>
        </w:rPr>
        <w:t>:</w:t>
      </w:r>
      <w:r w:rsidR="00DD4C25" w:rsidRPr="00BD4DB3">
        <w:rPr>
          <w:sz w:val="22"/>
          <w:szCs w:val="22"/>
        </w:rPr>
        <w:t>//doi.org/</w:t>
      </w:r>
      <w:r w:rsidRPr="00BD4DB3">
        <w:rPr>
          <w:sz w:val="22"/>
          <w:szCs w:val="22"/>
        </w:rPr>
        <w:t>10.1080/02602938.2017.1343455</w:t>
      </w:r>
    </w:p>
    <w:p w14:paraId="0005DF74" w14:textId="77777777" w:rsidR="009A2652" w:rsidRPr="00BD4DB3" w:rsidRDefault="009A2652" w:rsidP="00DD4C25">
      <w:pPr>
        <w:spacing w:line="480" w:lineRule="auto"/>
        <w:ind w:left="720" w:hanging="720"/>
        <w:rPr>
          <w:sz w:val="22"/>
          <w:szCs w:val="22"/>
        </w:rPr>
      </w:pPr>
      <w:r w:rsidRPr="00BD4DB3">
        <w:rPr>
          <w:sz w:val="22"/>
          <w:szCs w:val="22"/>
        </w:rPr>
        <w:t xml:space="preserve">Brown, G., DesRosier, T., Peterson, N., Chida, M., &amp; Lagier, R. (2009). Engaging employers in assessment. </w:t>
      </w:r>
      <w:r w:rsidRPr="00BD4DB3">
        <w:rPr>
          <w:i/>
          <w:iCs/>
          <w:sz w:val="22"/>
          <w:szCs w:val="22"/>
        </w:rPr>
        <w:t>About Campus, 14</w:t>
      </w:r>
      <w:r w:rsidRPr="00BD4DB3">
        <w:rPr>
          <w:iCs/>
          <w:sz w:val="22"/>
          <w:szCs w:val="22"/>
        </w:rPr>
        <w:t>(5)</w:t>
      </w:r>
      <w:r w:rsidRPr="00BD4DB3">
        <w:rPr>
          <w:i/>
          <w:iCs/>
          <w:sz w:val="22"/>
          <w:szCs w:val="22"/>
        </w:rPr>
        <w:t>,</w:t>
      </w:r>
      <w:r w:rsidRPr="00BD4DB3">
        <w:rPr>
          <w:sz w:val="22"/>
          <w:szCs w:val="22"/>
        </w:rPr>
        <w:t xml:space="preserve"> 5–14. </w:t>
      </w:r>
      <w:hyperlink r:id="rId16" w:history="1">
        <w:r w:rsidRPr="00BD4DB3">
          <w:rPr>
            <w:rStyle w:val="Hyperlink"/>
            <w:sz w:val="22"/>
            <w:szCs w:val="22"/>
          </w:rPr>
          <w:t>https://doi.org/10.1002/aca.302</w:t>
        </w:r>
      </w:hyperlink>
      <w:r w:rsidRPr="00BD4DB3">
        <w:rPr>
          <w:sz w:val="22"/>
          <w:szCs w:val="22"/>
        </w:rPr>
        <w:t xml:space="preserve">  </w:t>
      </w:r>
    </w:p>
    <w:p w14:paraId="79547EC2" w14:textId="66846698" w:rsidR="009A2652" w:rsidRPr="00BD4DB3" w:rsidRDefault="009A2652" w:rsidP="00DD4C25">
      <w:pPr>
        <w:spacing w:line="480" w:lineRule="auto"/>
        <w:ind w:left="720" w:hanging="720"/>
        <w:rPr>
          <w:sz w:val="22"/>
          <w:szCs w:val="22"/>
        </w:rPr>
      </w:pPr>
      <w:r w:rsidRPr="00BD4DB3">
        <w:rPr>
          <w:sz w:val="22"/>
          <w:szCs w:val="22"/>
        </w:rPr>
        <w:t xml:space="preserve">Bullock, M. (2014). International frameworks for psychology education and training: Overarching issues and principles. In R. K. Silbereisen, P. L.-J. Ritchie, &amp; J. Pandey (Eds.), </w:t>
      </w:r>
      <w:r w:rsidRPr="00BD4DB3">
        <w:rPr>
          <w:i/>
          <w:sz w:val="22"/>
          <w:szCs w:val="22"/>
        </w:rPr>
        <w:t>Psychology education and training: A global perspective.</w:t>
      </w:r>
      <w:r w:rsidRPr="00BD4DB3">
        <w:rPr>
          <w:sz w:val="22"/>
          <w:szCs w:val="22"/>
        </w:rPr>
        <w:t xml:space="preserve"> (pp. 63–73). Psychology Press. </w:t>
      </w:r>
    </w:p>
    <w:p w14:paraId="5E4B2B72" w14:textId="77777777" w:rsidR="009A2652" w:rsidRPr="00BD4DB3" w:rsidRDefault="009A2652" w:rsidP="00DD4C25">
      <w:pPr>
        <w:spacing w:line="480" w:lineRule="auto"/>
        <w:ind w:left="720" w:right="-540" w:hanging="720"/>
        <w:rPr>
          <w:color w:val="0000FF"/>
          <w:sz w:val="22"/>
          <w:szCs w:val="22"/>
          <w:u w:val="single"/>
        </w:rPr>
      </w:pPr>
      <w:r w:rsidRPr="00BD4DB3">
        <w:rPr>
          <w:sz w:val="22"/>
          <w:szCs w:val="22"/>
        </w:rPr>
        <w:t xml:space="preserve">Clark, N. (2014). The Bologna Process as a model for regional integration. </w:t>
      </w:r>
      <w:r w:rsidRPr="00BD4DB3">
        <w:rPr>
          <w:i/>
          <w:sz w:val="22"/>
          <w:szCs w:val="22"/>
        </w:rPr>
        <w:t>World Education News and Reviews</w:t>
      </w:r>
      <w:r w:rsidRPr="00BD4DB3">
        <w:rPr>
          <w:sz w:val="22"/>
          <w:szCs w:val="22"/>
        </w:rPr>
        <w:t xml:space="preserve">. Retrieved from </w:t>
      </w:r>
      <w:hyperlink r:id="rId17" w:history="1">
        <w:r w:rsidRPr="00BD4DB3">
          <w:rPr>
            <w:rStyle w:val="Hyperlink"/>
            <w:sz w:val="22"/>
            <w:szCs w:val="22"/>
          </w:rPr>
          <w:t>https://wenr.wes.org/</w:t>
        </w:r>
      </w:hyperlink>
    </w:p>
    <w:p w14:paraId="3447116F" w14:textId="0363ABC2" w:rsidR="003E3245" w:rsidRPr="00BD4DB3" w:rsidRDefault="003E3245" w:rsidP="00DD4C25">
      <w:pPr>
        <w:spacing w:line="480" w:lineRule="auto"/>
        <w:ind w:left="720" w:right="-360" w:hanging="720"/>
        <w:rPr>
          <w:rFonts w:eastAsia="Times New Roman"/>
          <w:sz w:val="22"/>
          <w:szCs w:val="22"/>
        </w:rPr>
      </w:pPr>
      <w:r w:rsidRPr="00BD4DB3">
        <w:rPr>
          <w:rFonts w:eastAsia="Times New Roman"/>
          <w:sz w:val="22"/>
          <w:szCs w:val="22"/>
        </w:rPr>
        <w:t xml:space="preserve">Cranney, J., Botwood, L, &amp; Morris, S. (2012). </w:t>
      </w:r>
      <w:r w:rsidRPr="00BD4DB3">
        <w:rPr>
          <w:rFonts w:eastAsia="Times New Roman"/>
          <w:i/>
          <w:sz w:val="22"/>
          <w:szCs w:val="22"/>
        </w:rPr>
        <w:t>Nation</w:t>
      </w:r>
      <w:r w:rsidR="009A2652" w:rsidRPr="00BD4DB3">
        <w:rPr>
          <w:rFonts w:eastAsia="Times New Roman"/>
          <w:i/>
          <w:sz w:val="22"/>
          <w:szCs w:val="22"/>
        </w:rPr>
        <w:t>al standards for psychological l</w:t>
      </w:r>
      <w:r w:rsidRPr="00BD4DB3">
        <w:rPr>
          <w:rFonts w:eastAsia="Times New Roman"/>
          <w:i/>
          <w:sz w:val="22"/>
          <w:szCs w:val="22"/>
        </w:rPr>
        <w:t xml:space="preserve">iteracy and </w:t>
      </w:r>
      <w:r w:rsidR="009A2652" w:rsidRPr="00BD4DB3">
        <w:rPr>
          <w:rFonts w:eastAsia="Times New Roman"/>
          <w:i/>
          <w:sz w:val="22"/>
          <w:szCs w:val="22"/>
        </w:rPr>
        <w:t>g</w:t>
      </w:r>
      <w:r w:rsidRPr="00BD4DB3">
        <w:rPr>
          <w:rFonts w:eastAsia="Times New Roman"/>
          <w:i/>
          <w:sz w:val="22"/>
          <w:szCs w:val="22"/>
        </w:rPr>
        <w:t xml:space="preserve">lobal </w:t>
      </w:r>
      <w:r w:rsidR="009A2652" w:rsidRPr="00BD4DB3">
        <w:rPr>
          <w:rFonts w:eastAsia="Times New Roman"/>
          <w:i/>
          <w:sz w:val="22"/>
          <w:szCs w:val="22"/>
        </w:rPr>
        <w:t>citizenship: Outcomes of undergraduate psychology e</w:t>
      </w:r>
      <w:r w:rsidRPr="00BD4DB3">
        <w:rPr>
          <w:rFonts w:eastAsia="Times New Roman"/>
          <w:i/>
          <w:sz w:val="22"/>
          <w:szCs w:val="22"/>
        </w:rPr>
        <w:t>ducation</w:t>
      </w:r>
      <w:r w:rsidRPr="00BD4DB3">
        <w:rPr>
          <w:rFonts w:eastAsia="Times New Roman"/>
          <w:sz w:val="22"/>
          <w:szCs w:val="22"/>
        </w:rPr>
        <w:t xml:space="preserve">. Final report of ALTC/OLT National Teaching Fellowship. </w:t>
      </w:r>
    </w:p>
    <w:p w14:paraId="21C0E0D5" w14:textId="1B6D1E7D" w:rsidR="002756C6" w:rsidRPr="00BD4DB3" w:rsidRDefault="002756C6" w:rsidP="00DD4C25">
      <w:pPr>
        <w:spacing w:line="480" w:lineRule="auto"/>
        <w:ind w:left="720" w:right="-360" w:hanging="720"/>
        <w:rPr>
          <w:rFonts w:eastAsia="Times New Roman"/>
          <w:sz w:val="22"/>
          <w:szCs w:val="22"/>
        </w:rPr>
      </w:pPr>
      <w:r w:rsidRPr="00BD4DB3">
        <w:rPr>
          <w:bCs/>
          <w:sz w:val="22"/>
          <w:szCs w:val="22"/>
        </w:rPr>
        <w:t xml:space="preserve">Cranney, J., &amp; Dunn, D. (Eds.) (2011). </w:t>
      </w:r>
      <w:r w:rsidRPr="00BD4DB3">
        <w:rPr>
          <w:bCs/>
          <w:i/>
          <w:sz w:val="22"/>
          <w:szCs w:val="22"/>
        </w:rPr>
        <w:t>The Psychologically Literate Citizen: Foundations and Global Perspectives.</w:t>
      </w:r>
      <w:r w:rsidRPr="00BD4DB3">
        <w:rPr>
          <w:bCs/>
          <w:sz w:val="22"/>
          <w:szCs w:val="22"/>
        </w:rPr>
        <w:t xml:space="preserve"> Oxford University Press</w:t>
      </w:r>
    </w:p>
    <w:p w14:paraId="3D506A6A" w14:textId="320EFA7E" w:rsidR="009A2652" w:rsidRPr="00BD4DB3" w:rsidRDefault="009A2652" w:rsidP="00DD4C25">
      <w:pPr>
        <w:spacing w:line="480" w:lineRule="auto"/>
        <w:ind w:left="720" w:hanging="720"/>
        <w:rPr>
          <w:sz w:val="22"/>
          <w:szCs w:val="22"/>
        </w:rPr>
      </w:pPr>
      <w:r w:rsidRPr="00BD4DB3">
        <w:rPr>
          <w:sz w:val="22"/>
          <w:szCs w:val="22"/>
        </w:rPr>
        <w:t>Cranney, J., Dunn, D.</w:t>
      </w:r>
      <w:r w:rsidR="009B7CF6" w:rsidRPr="00BD4DB3">
        <w:rPr>
          <w:sz w:val="22"/>
          <w:szCs w:val="22"/>
        </w:rPr>
        <w:t xml:space="preserve"> </w:t>
      </w:r>
      <w:r w:rsidRPr="00BD4DB3">
        <w:rPr>
          <w:sz w:val="22"/>
          <w:szCs w:val="22"/>
        </w:rPr>
        <w:t xml:space="preserve">S., &amp; Baker, S. C. (in press). An international perspective on assessment practice: Potential lessons for undergraduate psychology education. </w:t>
      </w:r>
      <w:r w:rsidR="00F75AA1">
        <w:rPr>
          <w:sz w:val="22"/>
          <w:szCs w:val="22"/>
        </w:rPr>
        <w:t>I</w:t>
      </w:r>
      <w:r w:rsidRPr="00BD4DB3">
        <w:rPr>
          <w:sz w:val="22"/>
          <w:szCs w:val="22"/>
        </w:rPr>
        <w:t xml:space="preserve">n S. A. Nolan, C. Hakala, &amp; R. E. Landrum (Eds.), </w:t>
      </w:r>
      <w:r w:rsidRPr="00BD4DB3">
        <w:rPr>
          <w:i/>
          <w:sz w:val="22"/>
          <w:szCs w:val="22"/>
        </w:rPr>
        <w:t>Assessment: Individual, institutional, and international approaches</w:t>
      </w:r>
      <w:r w:rsidRPr="00BD4DB3">
        <w:rPr>
          <w:sz w:val="22"/>
          <w:szCs w:val="22"/>
        </w:rPr>
        <w:t>. American Psychological Association.</w:t>
      </w:r>
    </w:p>
    <w:p w14:paraId="233D542F" w14:textId="0C1DE498" w:rsidR="009A2652" w:rsidRPr="00BD4DB3" w:rsidRDefault="009A2652" w:rsidP="00DD4C25">
      <w:pPr>
        <w:spacing w:line="480" w:lineRule="auto"/>
        <w:ind w:left="720" w:hanging="720"/>
        <w:rPr>
          <w:sz w:val="22"/>
          <w:szCs w:val="22"/>
        </w:rPr>
      </w:pPr>
      <w:r w:rsidRPr="00BD4DB3">
        <w:rPr>
          <w:sz w:val="22"/>
          <w:szCs w:val="22"/>
        </w:rPr>
        <w:t xml:space="preserve">Cranney, J., Hulme, J., Suleeman, J., Job, R., &amp; Dunn, D. S. (in press). Undergraduate psychology education and assessment: International perspectives. </w:t>
      </w:r>
      <w:r w:rsidR="00F75AA1">
        <w:rPr>
          <w:sz w:val="22"/>
          <w:szCs w:val="22"/>
        </w:rPr>
        <w:t>I</w:t>
      </w:r>
      <w:r w:rsidRPr="00BD4DB3">
        <w:rPr>
          <w:sz w:val="22"/>
          <w:szCs w:val="22"/>
        </w:rPr>
        <w:t xml:space="preserve">n S. A. Nolan, C. Hakala, &amp; R. E. Landrum (Eds.), </w:t>
      </w:r>
      <w:r w:rsidRPr="00BD4DB3">
        <w:rPr>
          <w:i/>
          <w:sz w:val="22"/>
          <w:szCs w:val="22"/>
        </w:rPr>
        <w:t>Assessment: Individual, institutional, and international approaches</w:t>
      </w:r>
      <w:r w:rsidRPr="00BD4DB3">
        <w:rPr>
          <w:sz w:val="22"/>
          <w:szCs w:val="22"/>
        </w:rPr>
        <w:t>. American Psychological Association.</w:t>
      </w:r>
    </w:p>
    <w:p w14:paraId="45FBBD1C" w14:textId="7F934326" w:rsidR="009A2652" w:rsidRPr="00BD4DB3" w:rsidRDefault="009A2652" w:rsidP="00DD4C25">
      <w:pPr>
        <w:spacing w:line="480" w:lineRule="auto"/>
        <w:ind w:left="720" w:hanging="720"/>
        <w:rPr>
          <w:sz w:val="22"/>
          <w:szCs w:val="22"/>
        </w:rPr>
      </w:pPr>
      <w:r w:rsidRPr="00BD4DB3">
        <w:rPr>
          <w:sz w:val="22"/>
          <w:szCs w:val="22"/>
        </w:rPr>
        <w:t xml:space="preserve">Cranney, J., Jones, G., Morris, S., Starfield, S., Martire, K., Newell, B., &amp; Wong, K. (2008). Critical reading and writing (CRW) in first-year psychology: Mass screening and targeted assistance. In N. Voudouris and V. Mrowinski (Eds.), </w:t>
      </w:r>
      <w:r w:rsidRPr="00BD4DB3">
        <w:rPr>
          <w:i/>
          <w:sz w:val="22"/>
          <w:szCs w:val="22"/>
        </w:rPr>
        <w:t>Proceedings of the 2008 43rd Australian Psychological Society Annual Conference</w:t>
      </w:r>
      <w:r w:rsidRPr="00BD4DB3">
        <w:rPr>
          <w:sz w:val="22"/>
          <w:szCs w:val="22"/>
        </w:rPr>
        <w:t xml:space="preserve"> (pp 145-148). Australian Psychological Society.</w:t>
      </w:r>
    </w:p>
    <w:p w14:paraId="1C61DA13" w14:textId="3DAE767E" w:rsidR="000B7E08" w:rsidRPr="00BD4DB3" w:rsidRDefault="000B7E08" w:rsidP="00DD4C25">
      <w:pPr>
        <w:spacing w:line="480" w:lineRule="auto"/>
        <w:ind w:left="720" w:hanging="720"/>
        <w:rPr>
          <w:rFonts w:eastAsia="Times New Roman"/>
          <w:sz w:val="22"/>
          <w:szCs w:val="22"/>
        </w:rPr>
      </w:pPr>
      <w:r w:rsidRPr="00BD4DB3">
        <w:rPr>
          <w:rFonts w:eastAsia="Times New Roman"/>
          <w:sz w:val="22"/>
          <w:szCs w:val="22"/>
        </w:rPr>
        <w:t>Cranney, J., Turnbull, C., Provost, S.</w:t>
      </w:r>
      <w:r w:rsidR="009B7CF6" w:rsidRPr="00BD4DB3">
        <w:rPr>
          <w:rFonts w:eastAsia="Times New Roman"/>
          <w:sz w:val="22"/>
          <w:szCs w:val="22"/>
        </w:rPr>
        <w:t xml:space="preserve"> </w:t>
      </w:r>
      <w:r w:rsidRPr="00BD4DB3">
        <w:rPr>
          <w:rFonts w:eastAsia="Times New Roman"/>
          <w:sz w:val="22"/>
          <w:szCs w:val="22"/>
        </w:rPr>
        <w:t>C., Martin, F., Katsikitis, M., White, F.</w:t>
      </w:r>
      <w:r w:rsidR="009B7CF6" w:rsidRPr="00BD4DB3">
        <w:rPr>
          <w:rFonts w:eastAsia="Times New Roman"/>
          <w:sz w:val="22"/>
          <w:szCs w:val="22"/>
        </w:rPr>
        <w:t xml:space="preserve"> </w:t>
      </w:r>
      <w:r w:rsidRPr="00BD4DB3">
        <w:rPr>
          <w:rFonts w:eastAsia="Times New Roman"/>
          <w:sz w:val="22"/>
          <w:szCs w:val="22"/>
        </w:rPr>
        <w:t>A., Voudouris, N.</w:t>
      </w:r>
      <w:r w:rsidR="009B7CF6" w:rsidRPr="00BD4DB3">
        <w:rPr>
          <w:rFonts w:eastAsia="Times New Roman"/>
          <w:sz w:val="22"/>
          <w:szCs w:val="22"/>
        </w:rPr>
        <w:t xml:space="preserve"> </w:t>
      </w:r>
      <w:r w:rsidRPr="00BD4DB3">
        <w:rPr>
          <w:rFonts w:eastAsia="Times New Roman"/>
          <w:sz w:val="22"/>
          <w:szCs w:val="22"/>
        </w:rPr>
        <w:t>J., Montgomery, I.</w:t>
      </w:r>
      <w:r w:rsidR="009B7CF6" w:rsidRPr="00BD4DB3">
        <w:rPr>
          <w:rFonts w:eastAsia="Times New Roman"/>
          <w:sz w:val="22"/>
          <w:szCs w:val="22"/>
        </w:rPr>
        <w:t xml:space="preserve"> </w:t>
      </w:r>
      <w:r w:rsidRPr="00BD4DB3">
        <w:rPr>
          <w:rFonts w:eastAsia="Times New Roman"/>
          <w:sz w:val="22"/>
          <w:szCs w:val="22"/>
        </w:rPr>
        <w:t>M., Heaven, P.</w:t>
      </w:r>
      <w:r w:rsidR="009B7CF6" w:rsidRPr="00BD4DB3">
        <w:rPr>
          <w:rFonts w:eastAsia="Times New Roman"/>
          <w:sz w:val="22"/>
          <w:szCs w:val="22"/>
        </w:rPr>
        <w:t xml:space="preserve"> </w:t>
      </w:r>
      <w:r w:rsidRPr="00BD4DB3">
        <w:rPr>
          <w:rFonts w:eastAsia="Times New Roman"/>
          <w:sz w:val="22"/>
          <w:szCs w:val="22"/>
        </w:rPr>
        <w:t>C.</w:t>
      </w:r>
      <w:r w:rsidR="009B7CF6" w:rsidRPr="00BD4DB3">
        <w:rPr>
          <w:rFonts w:eastAsia="Times New Roman"/>
          <w:sz w:val="22"/>
          <w:szCs w:val="22"/>
        </w:rPr>
        <w:t xml:space="preserve"> </w:t>
      </w:r>
      <w:r w:rsidRPr="00BD4DB3">
        <w:rPr>
          <w:rFonts w:eastAsia="Times New Roman"/>
          <w:sz w:val="22"/>
          <w:szCs w:val="22"/>
        </w:rPr>
        <w:t>L., Morris, S., Varcin, K.</w:t>
      </w:r>
      <w:r w:rsidR="009B7CF6" w:rsidRPr="00BD4DB3">
        <w:rPr>
          <w:rFonts w:eastAsia="Times New Roman"/>
          <w:sz w:val="22"/>
          <w:szCs w:val="22"/>
        </w:rPr>
        <w:t xml:space="preserve"> </w:t>
      </w:r>
      <w:r w:rsidRPr="00BD4DB3">
        <w:rPr>
          <w:rFonts w:eastAsia="Times New Roman"/>
          <w:sz w:val="22"/>
          <w:szCs w:val="22"/>
        </w:rPr>
        <w:t xml:space="preserve">J. (2009). Graduate attributes of the four-year Australian undergraduate psychology program. </w:t>
      </w:r>
      <w:r w:rsidRPr="00BD4DB3">
        <w:rPr>
          <w:rFonts w:eastAsia="Times New Roman"/>
          <w:i/>
          <w:sz w:val="22"/>
          <w:szCs w:val="22"/>
        </w:rPr>
        <w:t>Australian Psychologist, 44</w:t>
      </w:r>
      <w:r w:rsidRPr="00BD4DB3">
        <w:rPr>
          <w:rFonts w:eastAsia="Times New Roman"/>
          <w:sz w:val="22"/>
          <w:szCs w:val="22"/>
        </w:rPr>
        <w:t>, 253-262</w:t>
      </w:r>
      <w:r w:rsidR="00DD4C25" w:rsidRPr="00BD4DB3">
        <w:rPr>
          <w:rFonts w:eastAsia="Times New Roman"/>
          <w:sz w:val="22"/>
          <w:szCs w:val="22"/>
        </w:rPr>
        <w:t xml:space="preserve">. </w:t>
      </w:r>
    </w:p>
    <w:p w14:paraId="26F04B97" w14:textId="4F83F2C1" w:rsidR="009A2652" w:rsidRPr="00BD4DB3" w:rsidRDefault="009A2652" w:rsidP="00DD4C25">
      <w:pPr>
        <w:spacing w:line="480" w:lineRule="auto"/>
        <w:ind w:left="720" w:hanging="720"/>
        <w:rPr>
          <w:sz w:val="22"/>
          <w:szCs w:val="22"/>
        </w:rPr>
      </w:pPr>
      <w:r w:rsidRPr="00BD4DB3">
        <w:rPr>
          <w:sz w:val="22"/>
          <w:szCs w:val="22"/>
        </w:rPr>
        <w:t xml:space="preserve">Crosier, D., &amp; Parveva, T. (2013). </w:t>
      </w:r>
      <w:r w:rsidRPr="00BD4DB3">
        <w:rPr>
          <w:i/>
          <w:sz w:val="22"/>
          <w:szCs w:val="22"/>
        </w:rPr>
        <w:t>The Bologna Process: Its impact on higher education development in Europe and beyond</w:t>
      </w:r>
      <w:r w:rsidRPr="00BD4DB3">
        <w:rPr>
          <w:sz w:val="22"/>
          <w:szCs w:val="22"/>
        </w:rPr>
        <w:t xml:space="preserve">. International Institute for Educational Planning. </w:t>
      </w:r>
    </w:p>
    <w:p w14:paraId="25B8A6CF" w14:textId="002387C7" w:rsidR="009A2652" w:rsidRPr="00BD4DB3" w:rsidRDefault="009A2652" w:rsidP="00DD4C25">
      <w:pPr>
        <w:spacing w:line="480" w:lineRule="auto"/>
        <w:ind w:left="720" w:hanging="720"/>
        <w:rPr>
          <w:sz w:val="22"/>
          <w:szCs w:val="22"/>
        </w:rPr>
      </w:pPr>
      <w:r w:rsidRPr="00BD4DB3">
        <w:rPr>
          <w:sz w:val="22"/>
          <w:szCs w:val="22"/>
        </w:rPr>
        <w:t xml:space="preserve">Dang, Q. A. (2015). The Bologna Process goes East? From “third countries” to prioritizing inter-regional cooperation between the ASEAN and EU. In A. Curaj, L. Matei, R. Pricopie, J. Salmi, &amp; P. Scott (Eds.), </w:t>
      </w:r>
      <w:r w:rsidRPr="00BD4DB3">
        <w:rPr>
          <w:i/>
          <w:iCs/>
          <w:sz w:val="22"/>
          <w:szCs w:val="22"/>
        </w:rPr>
        <w:t>The European Higher Education Area: Between critical reflections and future policies</w:t>
      </w:r>
      <w:r w:rsidRPr="00BD4DB3">
        <w:rPr>
          <w:sz w:val="22"/>
          <w:szCs w:val="22"/>
        </w:rPr>
        <w:t xml:space="preserve"> (pp. 763–783). Spr</w:t>
      </w:r>
      <w:r w:rsidR="001F7CE1" w:rsidRPr="00BD4DB3">
        <w:rPr>
          <w:sz w:val="22"/>
          <w:szCs w:val="22"/>
        </w:rPr>
        <w:t>inger International Publishing.</w:t>
      </w:r>
    </w:p>
    <w:p w14:paraId="1CEE4E5F" w14:textId="5FCF1977" w:rsidR="001C5AEA" w:rsidRPr="00BD4DB3" w:rsidRDefault="001C5AEA" w:rsidP="00DD4C25">
      <w:pPr>
        <w:spacing w:line="480" w:lineRule="auto"/>
        <w:ind w:left="720" w:hanging="720"/>
        <w:rPr>
          <w:sz w:val="22"/>
          <w:szCs w:val="22"/>
        </w:rPr>
      </w:pPr>
      <w:r w:rsidRPr="00BD4DB3">
        <w:rPr>
          <w:sz w:val="22"/>
          <w:szCs w:val="22"/>
        </w:rPr>
        <w:t xml:space="preserve">Eta, E. A., Kallo, J., &amp; Rinne, R. (2018). Process of transfer and reception of Bologna Process ideas in the Cameroon higher education system. </w:t>
      </w:r>
      <w:r w:rsidRPr="00BD4DB3">
        <w:rPr>
          <w:i/>
          <w:sz w:val="22"/>
          <w:szCs w:val="22"/>
        </w:rPr>
        <w:t>European Educational Research Journal, 17</w:t>
      </w:r>
      <w:r w:rsidRPr="00BD4DB3">
        <w:rPr>
          <w:sz w:val="22"/>
          <w:szCs w:val="22"/>
        </w:rPr>
        <w:t>(5), 656 –675.</w:t>
      </w:r>
      <w:r w:rsidR="00F75AA1">
        <w:rPr>
          <w:sz w:val="22"/>
          <w:szCs w:val="22"/>
        </w:rPr>
        <w:t xml:space="preserve"> </w:t>
      </w:r>
      <w:hyperlink r:id="rId18" w:history="1">
        <w:r w:rsidR="00F75AA1" w:rsidRPr="005A1A26">
          <w:rPr>
            <w:rStyle w:val="Hyperlink"/>
            <w:sz w:val="22"/>
            <w:szCs w:val="22"/>
          </w:rPr>
          <w:t>https://doi-org.ezproxy.shu.edu/10.1177/1474904117733376</w:t>
        </w:r>
      </w:hyperlink>
      <w:r w:rsidR="00F75AA1">
        <w:rPr>
          <w:sz w:val="22"/>
          <w:szCs w:val="22"/>
        </w:rPr>
        <w:t xml:space="preserve"> </w:t>
      </w:r>
    </w:p>
    <w:p w14:paraId="7F2FAAE1" w14:textId="60966EE0" w:rsidR="001C5AEA" w:rsidRPr="00BD4DB3" w:rsidRDefault="001C5AEA" w:rsidP="00DD4C25">
      <w:pPr>
        <w:spacing w:line="480" w:lineRule="auto"/>
        <w:ind w:left="720" w:hanging="720"/>
        <w:rPr>
          <w:i/>
          <w:sz w:val="22"/>
          <w:szCs w:val="22"/>
        </w:rPr>
      </w:pPr>
      <w:r w:rsidRPr="00BD4DB3">
        <w:rPr>
          <w:sz w:val="22"/>
          <w:szCs w:val="22"/>
        </w:rPr>
        <w:t xml:space="preserve">European Commission. (2009, April 29). </w:t>
      </w:r>
      <w:r w:rsidRPr="00BD4DB3">
        <w:rPr>
          <w:i/>
          <w:sz w:val="22"/>
          <w:szCs w:val="22"/>
        </w:rPr>
        <w:t>Communiqué of the Conference of European Ministers Responsible for Higher Education, Leuven and Louvain-la-Neuve, 28-29 April 2009</w:t>
      </w:r>
      <w:r w:rsidR="002D1E79" w:rsidRPr="00BD4DB3">
        <w:rPr>
          <w:sz w:val="22"/>
          <w:szCs w:val="22"/>
        </w:rPr>
        <w:t>. [Press release].</w:t>
      </w:r>
    </w:p>
    <w:p w14:paraId="135FAB44" w14:textId="492E64BD" w:rsidR="001C5AEA" w:rsidRPr="00BD4DB3" w:rsidRDefault="001C5AEA" w:rsidP="00DD4C25">
      <w:pPr>
        <w:spacing w:line="480" w:lineRule="auto"/>
        <w:ind w:left="720" w:hanging="720"/>
        <w:rPr>
          <w:sz w:val="22"/>
          <w:szCs w:val="22"/>
        </w:rPr>
      </w:pPr>
      <w:r w:rsidRPr="00BD4DB3">
        <w:rPr>
          <w:sz w:val="22"/>
          <w:szCs w:val="22"/>
        </w:rPr>
        <w:t xml:space="preserve">European Federation of Psychologists’ Associations (EFPA). (2017). </w:t>
      </w:r>
      <w:r w:rsidRPr="00CA37D2">
        <w:rPr>
          <w:i/>
          <w:sz w:val="22"/>
          <w:szCs w:val="22"/>
        </w:rPr>
        <w:t>EuroPsy: European Certificate in Psychology.</w:t>
      </w:r>
      <w:r w:rsidRPr="00BD4DB3">
        <w:rPr>
          <w:sz w:val="22"/>
          <w:szCs w:val="22"/>
        </w:rPr>
        <w:t xml:space="preserve"> Retrieved from: </w:t>
      </w:r>
      <w:hyperlink r:id="rId19" w:history="1">
        <w:r w:rsidRPr="00BD4DB3">
          <w:rPr>
            <w:rStyle w:val="Hyperlink"/>
            <w:sz w:val="22"/>
            <w:szCs w:val="22"/>
          </w:rPr>
          <w:t>http://www.europsy-efpa.eu/sites/default/files/uploads/EuroPsy%20Regulations%20July%202011.pdf</w:t>
        </w:r>
      </w:hyperlink>
    </w:p>
    <w:p w14:paraId="7A10A86F" w14:textId="38020EF0" w:rsidR="0019594E" w:rsidRPr="00BD4DB3" w:rsidRDefault="001C5AEA" w:rsidP="00DD4C25">
      <w:pPr>
        <w:spacing w:line="480" w:lineRule="auto"/>
        <w:ind w:left="720" w:hanging="720"/>
        <w:rPr>
          <w:rStyle w:val="Hyperlink"/>
          <w:sz w:val="22"/>
          <w:szCs w:val="22"/>
        </w:rPr>
      </w:pPr>
      <w:r w:rsidRPr="00BD4DB3">
        <w:rPr>
          <w:rFonts w:eastAsia="Times New Roman"/>
          <w:sz w:val="22"/>
          <w:szCs w:val="22"/>
        </w:rPr>
        <w:t>European Federation of Psychologists’ Associations</w:t>
      </w:r>
      <w:r w:rsidR="00072107" w:rsidRPr="00BD4DB3">
        <w:rPr>
          <w:rFonts w:eastAsia="Times New Roman"/>
          <w:sz w:val="22"/>
          <w:szCs w:val="22"/>
        </w:rPr>
        <w:t xml:space="preserve"> Board of Educational Affairs (2014). </w:t>
      </w:r>
      <w:r w:rsidR="00072107" w:rsidRPr="00CA37D2">
        <w:rPr>
          <w:i/>
          <w:sz w:val="22"/>
          <w:szCs w:val="22"/>
        </w:rPr>
        <w:t xml:space="preserve">Potentials of the Bologna Process for Psychology. </w:t>
      </w:r>
      <w:r w:rsidR="00072107" w:rsidRPr="00BD4DB3">
        <w:rPr>
          <w:sz w:val="22"/>
          <w:szCs w:val="22"/>
        </w:rPr>
        <w:t>Report Roundtable European Conference of Psychology 2013, Stockholm.</w:t>
      </w:r>
      <w:r w:rsidR="003B400A" w:rsidRPr="00BD4DB3">
        <w:rPr>
          <w:sz w:val="22"/>
          <w:szCs w:val="22"/>
        </w:rPr>
        <w:t xml:space="preserve"> </w:t>
      </w:r>
      <w:r w:rsidRPr="00BD4DB3">
        <w:rPr>
          <w:sz w:val="22"/>
          <w:szCs w:val="22"/>
        </w:rPr>
        <w:t xml:space="preserve">Retrieved from: </w:t>
      </w:r>
      <w:hyperlink r:id="rId20" w:history="1">
        <w:r w:rsidR="003B400A" w:rsidRPr="00BD4DB3">
          <w:rPr>
            <w:rStyle w:val="Hyperlink"/>
            <w:sz w:val="22"/>
            <w:szCs w:val="22"/>
          </w:rPr>
          <w:t>http://educational-affairs.efpa.eu/resources-for-the-public/pdf-ii/</w:t>
        </w:r>
      </w:hyperlink>
    </w:p>
    <w:p w14:paraId="2A1930D9" w14:textId="2DA5412D" w:rsidR="00405785" w:rsidRPr="00CA37D2" w:rsidRDefault="00405785" w:rsidP="00405785">
      <w:pPr>
        <w:spacing w:line="480" w:lineRule="auto"/>
        <w:ind w:left="720" w:hanging="720"/>
        <w:rPr>
          <w:i/>
          <w:sz w:val="22"/>
          <w:szCs w:val="22"/>
        </w:rPr>
      </w:pPr>
      <w:r w:rsidRPr="00BD4DB3">
        <w:rPr>
          <w:sz w:val="22"/>
          <w:szCs w:val="22"/>
        </w:rPr>
        <w:t xml:space="preserve">European Higher Education Area (EHEA). (2012). </w:t>
      </w:r>
      <w:r w:rsidRPr="00CA37D2">
        <w:rPr>
          <w:i/>
          <w:sz w:val="22"/>
          <w:szCs w:val="22"/>
        </w:rPr>
        <w:t xml:space="preserve">Mobility for better learning: </w:t>
      </w:r>
      <w:r w:rsidR="00CA37D2">
        <w:rPr>
          <w:i/>
          <w:sz w:val="22"/>
          <w:szCs w:val="22"/>
        </w:rPr>
        <w:t>M</w:t>
      </w:r>
      <w:r w:rsidRPr="00CA37D2">
        <w:rPr>
          <w:i/>
          <w:sz w:val="22"/>
          <w:szCs w:val="22"/>
        </w:rPr>
        <w:t xml:space="preserve">obility strategy 2020 for the European Tertiary Education Register. </w:t>
      </w:r>
    </w:p>
    <w:p w14:paraId="56EE1C05" w14:textId="0CAF2A49" w:rsidR="001C5AEA" w:rsidRPr="00BD4DB3" w:rsidRDefault="001C5AEA" w:rsidP="00DD4C25">
      <w:pPr>
        <w:spacing w:line="480" w:lineRule="auto"/>
        <w:ind w:left="720" w:hanging="720"/>
        <w:rPr>
          <w:sz w:val="22"/>
          <w:szCs w:val="22"/>
        </w:rPr>
      </w:pPr>
      <w:r w:rsidRPr="00BD4DB3">
        <w:rPr>
          <w:sz w:val="22"/>
          <w:szCs w:val="22"/>
        </w:rPr>
        <w:t xml:space="preserve">Eurydice/European Commission/EACEA. (2018). </w:t>
      </w:r>
      <w:r w:rsidR="008626BB" w:rsidRPr="00CA37D2">
        <w:rPr>
          <w:i/>
          <w:sz w:val="22"/>
          <w:szCs w:val="22"/>
        </w:rPr>
        <w:t xml:space="preserve">The </w:t>
      </w:r>
      <w:r w:rsidRPr="00CA37D2">
        <w:rPr>
          <w:i/>
          <w:sz w:val="22"/>
          <w:szCs w:val="22"/>
        </w:rPr>
        <w:t xml:space="preserve">European Higher Education Area in 2018: Bologna Process Implementation Report. </w:t>
      </w:r>
      <w:r w:rsidRPr="00BD4DB3">
        <w:rPr>
          <w:sz w:val="22"/>
          <w:szCs w:val="22"/>
        </w:rPr>
        <w:t xml:space="preserve">Publications Office of the European Union. </w:t>
      </w:r>
    </w:p>
    <w:p w14:paraId="6873CB64" w14:textId="7092801B" w:rsidR="00633D89" w:rsidRDefault="00633D89" w:rsidP="00633D89">
      <w:pPr>
        <w:spacing w:line="480" w:lineRule="auto"/>
        <w:ind w:left="720" w:right="-360" w:hanging="720"/>
        <w:rPr>
          <w:sz w:val="22"/>
          <w:szCs w:val="22"/>
        </w:rPr>
      </w:pPr>
      <w:r w:rsidRPr="00633D89">
        <w:rPr>
          <w:sz w:val="22"/>
          <w:szCs w:val="22"/>
        </w:rPr>
        <w:t xml:space="preserve">Freire, Paulo. </w:t>
      </w:r>
      <w:r>
        <w:rPr>
          <w:sz w:val="22"/>
          <w:szCs w:val="22"/>
        </w:rPr>
        <w:t>(1999)</w:t>
      </w:r>
      <w:r w:rsidR="008B0885">
        <w:rPr>
          <w:sz w:val="22"/>
          <w:szCs w:val="22"/>
        </w:rPr>
        <w:t>.</w:t>
      </w:r>
      <w:r>
        <w:rPr>
          <w:sz w:val="22"/>
          <w:szCs w:val="22"/>
        </w:rPr>
        <w:t xml:space="preserve"> </w:t>
      </w:r>
      <w:r w:rsidR="008B0885">
        <w:rPr>
          <w:sz w:val="22"/>
          <w:szCs w:val="22"/>
        </w:rPr>
        <w:t>The “banking” concept of e</w:t>
      </w:r>
      <w:r w:rsidRPr="00633D89">
        <w:rPr>
          <w:sz w:val="22"/>
          <w:szCs w:val="22"/>
        </w:rPr>
        <w:t>ducation.</w:t>
      </w:r>
      <w:r>
        <w:rPr>
          <w:sz w:val="22"/>
          <w:szCs w:val="22"/>
        </w:rPr>
        <w:t xml:space="preserve"> In </w:t>
      </w:r>
      <w:r w:rsidRPr="00633D89">
        <w:rPr>
          <w:sz w:val="22"/>
          <w:szCs w:val="22"/>
        </w:rPr>
        <w:t xml:space="preserve">Eds. </w:t>
      </w:r>
      <w:r>
        <w:rPr>
          <w:sz w:val="22"/>
          <w:szCs w:val="22"/>
        </w:rPr>
        <w:t>D.</w:t>
      </w:r>
      <w:r w:rsidRPr="00633D89">
        <w:rPr>
          <w:sz w:val="22"/>
          <w:szCs w:val="22"/>
        </w:rPr>
        <w:t xml:space="preserve"> Bartholomae </w:t>
      </w:r>
      <w:r>
        <w:rPr>
          <w:sz w:val="22"/>
          <w:szCs w:val="22"/>
        </w:rPr>
        <w:t>&amp; A.</w:t>
      </w:r>
      <w:r w:rsidRPr="00633D89">
        <w:rPr>
          <w:sz w:val="22"/>
          <w:szCs w:val="22"/>
        </w:rPr>
        <w:t xml:space="preserve"> Petrosky</w:t>
      </w:r>
      <w:r>
        <w:rPr>
          <w:sz w:val="22"/>
          <w:szCs w:val="22"/>
        </w:rPr>
        <w:t xml:space="preserve"> (Eds.).</w:t>
      </w:r>
      <w:r w:rsidRPr="00633D89">
        <w:rPr>
          <w:sz w:val="22"/>
          <w:szCs w:val="22"/>
        </w:rPr>
        <w:t xml:space="preserve"> </w:t>
      </w:r>
      <w:r w:rsidRPr="00B305F9">
        <w:rPr>
          <w:i/>
          <w:sz w:val="22"/>
          <w:szCs w:val="22"/>
        </w:rPr>
        <w:t xml:space="preserve">Ways of </w:t>
      </w:r>
      <w:r>
        <w:rPr>
          <w:i/>
          <w:sz w:val="22"/>
          <w:szCs w:val="22"/>
        </w:rPr>
        <w:t>r</w:t>
      </w:r>
      <w:r w:rsidRPr="00B305F9">
        <w:rPr>
          <w:i/>
          <w:sz w:val="22"/>
          <w:szCs w:val="22"/>
        </w:rPr>
        <w:t>eading</w:t>
      </w:r>
      <w:r w:rsidRPr="00633D89">
        <w:rPr>
          <w:sz w:val="22"/>
          <w:szCs w:val="22"/>
        </w:rPr>
        <w:t xml:space="preserve">. </w:t>
      </w:r>
      <w:r>
        <w:rPr>
          <w:sz w:val="22"/>
          <w:szCs w:val="22"/>
        </w:rPr>
        <w:t>Bedford/St. Martin’s</w:t>
      </w:r>
      <w:r w:rsidRPr="00633D89">
        <w:rPr>
          <w:sz w:val="22"/>
          <w:szCs w:val="22"/>
        </w:rPr>
        <w:t>.</w:t>
      </w:r>
    </w:p>
    <w:p w14:paraId="16FB93E0" w14:textId="48AE7964" w:rsidR="001C5AEA" w:rsidRPr="00BD4DB3" w:rsidRDefault="001C5AEA" w:rsidP="001F7CE1">
      <w:pPr>
        <w:spacing w:line="480" w:lineRule="auto"/>
        <w:ind w:left="720" w:right="-360" w:hanging="720"/>
        <w:rPr>
          <w:rStyle w:val="Hyperlink"/>
          <w:sz w:val="22"/>
          <w:szCs w:val="22"/>
        </w:rPr>
      </w:pPr>
      <w:r w:rsidRPr="00BD4DB3">
        <w:rPr>
          <w:sz w:val="22"/>
          <w:szCs w:val="22"/>
        </w:rPr>
        <w:t xml:space="preserve">Gulikers, J. T. M., Bastiaens, T. J., &amp; Kirschner, P. A. (2004). A five-dimensional framework for authentic assessment. </w:t>
      </w:r>
      <w:r w:rsidRPr="00BD4DB3">
        <w:rPr>
          <w:i/>
          <w:iCs/>
          <w:sz w:val="22"/>
          <w:szCs w:val="22"/>
        </w:rPr>
        <w:t>Educational Technology Research and Development</w:t>
      </w:r>
      <w:r w:rsidRPr="00BD4DB3">
        <w:rPr>
          <w:sz w:val="22"/>
          <w:szCs w:val="22"/>
        </w:rPr>
        <w:t xml:space="preserve">, </w:t>
      </w:r>
      <w:r w:rsidRPr="00BD4DB3">
        <w:rPr>
          <w:i/>
          <w:iCs/>
          <w:sz w:val="22"/>
          <w:szCs w:val="22"/>
        </w:rPr>
        <w:t>52</w:t>
      </w:r>
      <w:r w:rsidRPr="00BD4DB3">
        <w:rPr>
          <w:sz w:val="22"/>
          <w:szCs w:val="22"/>
        </w:rPr>
        <w:t xml:space="preserve">(3), 67. </w:t>
      </w:r>
      <w:hyperlink r:id="rId21" w:history="1">
        <w:r w:rsidR="001F7CE1" w:rsidRPr="00BD4DB3">
          <w:rPr>
            <w:rStyle w:val="Hyperlink"/>
            <w:sz w:val="22"/>
            <w:szCs w:val="22"/>
          </w:rPr>
          <w:t>https://doi.org/10.1007/BF02504676</w:t>
        </w:r>
      </w:hyperlink>
    </w:p>
    <w:p w14:paraId="204DE214" w14:textId="20369ECE" w:rsidR="00351F54" w:rsidRPr="00B305F9" w:rsidRDefault="00351F54" w:rsidP="001F7CE1">
      <w:pPr>
        <w:spacing w:line="480" w:lineRule="auto"/>
        <w:ind w:left="720" w:right="-360" w:hanging="720"/>
        <w:rPr>
          <w:rStyle w:val="Hyperlink"/>
          <w:color w:val="000000" w:themeColor="text1"/>
          <w:sz w:val="22"/>
          <w:szCs w:val="22"/>
          <w:u w:val="none"/>
        </w:rPr>
      </w:pPr>
      <w:r w:rsidRPr="00B305F9">
        <w:rPr>
          <w:rStyle w:val="Hyperlink"/>
          <w:color w:val="000000" w:themeColor="text1"/>
          <w:sz w:val="22"/>
          <w:szCs w:val="22"/>
          <w:u w:val="none"/>
        </w:rPr>
        <w:t xml:space="preserve">Halpern, D. F. (Ed.). (2010). </w:t>
      </w:r>
      <w:r w:rsidRPr="00B305F9">
        <w:rPr>
          <w:rStyle w:val="Hyperlink"/>
          <w:i/>
          <w:color w:val="000000" w:themeColor="text1"/>
          <w:sz w:val="22"/>
          <w:szCs w:val="22"/>
          <w:u w:val="none"/>
        </w:rPr>
        <w:t>Undergraduate education in psychology: A blueprint for the future of the discipline</w:t>
      </w:r>
      <w:r w:rsidRPr="00B305F9">
        <w:rPr>
          <w:rStyle w:val="Hyperlink"/>
          <w:color w:val="000000" w:themeColor="text1"/>
          <w:sz w:val="22"/>
          <w:szCs w:val="22"/>
          <w:u w:val="none"/>
        </w:rPr>
        <w:t>. American Psychological Association.</w:t>
      </w:r>
    </w:p>
    <w:p w14:paraId="18A722D3" w14:textId="034F9D30" w:rsidR="00F860E4" w:rsidRPr="00B305F9" w:rsidRDefault="00F860E4" w:rsidP="001F7CE1">
      <w:pPr>
        <w:spacing w:line="480" w:lineRule="auto"/>
        <w:ind w:left="720" w:right="-360" w:hanging="720"/>
        <w:rPr>
          <w:rStyle w:val="Hyperlink"/>
          <w:color w:val="000000" w:themeColor="text1"/>
          <w:sz w:val="22"/>
          <w:szCs w:val="22"/>
          <w:u w:val="none"/>
        </w:rPr>
      </w:pPr>
      <w:r w:rsidRPr="00B305F9">
        <w:rPr>
          <w:rStyle w:val="Hyperlink"/>
          <w:color w:val="000000" w:themeColor="text1"/>
          <w:sz w:val="22"/>
          <w:szCs w:val="22"/>
          <w:u w:val="none"/>
        </w:rPr>
        <w:t xml:space="preserve">Hamilton, K., Charlton, S., &amp; Elmes, R. (2008). Developing a four-year baccalaureate degree in applied psychology. </w:t>
      </w:r>
      <w:r w:rsidRPr="00B305F9">
        <w:rPr>
          <w:rStyle w:val="Hyperlink"/>
          <w:i/>
          <w:iCs/>
          <w:color w:val="000000" w:themeColor="text1"/>
          <w:sz w:val="22"/>
          <w:szCs w:val="22"/>
          <w:u w:val="none"/>
        </w:rPr>
        <w:t>Planning for Higher Education</w:t>
      </w:r>
      <w:r w:rsidRPr="00B305F9">
        <w:rPr>
          <w:rStyle w:val="Hyperlink"/>
          <w:color w:val="000000" w:themeColor="text1"/>
          <w:sz w:val="22"/>
          <w:szCs w:val="22"/>
          <w:u w:val="none"/>
        </w:rPr>
        <w:t xml:space="preserve">, </w:t>
      </w:r>
      <w:r w:rsidRPr="00B305F9">
        <w:rPr>
          <w:rStyle w:val="Hyperlink"/>
          <w:i/>
          <w:color w:val="000000" w:themeColor="text1"/>
          <w:sz w:val="22"/>
          <w:szCs w:val="22"/>
          <w:u w:val="none"/>
        </w:rPr>
        <w:t>36</w:t>
      </w:r>
      <w:r w:rsidRPr="00B305F9">
        <w:rPr>
          <w:rStyle w:val="Hyperlink"/>
          <w:color w:val="000000" w:themeColor="text1"/>
          <w:sz w:val="22"/>
          <w:szCs w:val="22"/>
          <w:u w:val="none"/>
        </w:rPr>
        <w:t xml:space="preserve">, 23-32. </w:t>
      </w:r>
    </w:p>
    <w:p w14:paraId="24BD5F55" w14:textId="11AAC324" w:rsidR="0046529A" w:rsidRPr="00BD4DB3" w:rsidRDefault="0046529A" w:rsidP="001F7CE1">
      <w:pPr>
        <w:spacing w:line="480" w:lineRule="auto"/>
        <w:ind w:left="720" w:right="-360" w:hanging="720"/>
        <w:rPr>
          <w:sz w:val="22"/>
          <w:szCs w:val="22"/>
        </w:rPr>
      </w:pPr>
      <w:r w:rsidRPr="00B305F9">
        <w:rPr>
          <w:rStyle w:val="Hyperlink"/>
          <w:color w:val="000000" w:themeColor="text1"/>
          <w:sz w:val="22"/>
          <w:szCs w:val="22"/>
          <w:u w:val="none"/>
        </w:rPr>
        <w:t>Henderson, D.</w:t>
      </w:r>
      <w:r w:rsidR="00F75AA1">
        <w:rPr>
          <w:rStyle w:val="Hyperlink"/>
          <w:color w:val="000000" w:themeColor="text1"/>
          <w:sz w:val="22"/>
          <w:szCs w:val="22"/>
          <w:u w:val="none"/>
        </w:rPr>
        <w:t xml:space="preserve"> </w:t>
      </w:r>
      <w:r w:rsidRPr="00B305F9">
        <w:rPr>
          <w:rStyle w:val="Hyperlink"/>
          <w:color w:val="000000" w:themeColor="text1"/>
          <w:sz w:val="22"/>
          <w:szCs w:val="22"/>
          <w:u w:val="none"/>
        </w:rPr>
        <w:t xml:space="preserve">X. (2017). Modeling community engagement in an undergraduate course in psychology at an HBCU. </w:t>
      </w:r>
      <w:r w:rsidRPr="00B305F9">
        <w:rPr>
          <w:rStyle w:val="Hyperlink"/>
          <w:i/>
          <w:color w:val="000000" w:themeColor="text1"/>
          <w:sz w:val="22"/>
          <w:szCs w:val="22"/>
          <w:u w:val="none"/>
        </w:rPr>
        <w:t>Teaching of Psychology,</w:t>
      </w:r>
      <w:r w:rsidRPr="00B305F9">
        <w:rPr>
          <w:rStyle w:val="Hyperlink"/>
          <w:color w:val="000000" w:themeColor="text1"/>
          <w:sz w:val="22"/>
          <w:szCs w:val="22"/>
          <w:u w:val="none"/>
        </w:rPr>
        <w:t xml:space="preserve"> 44(1)</w:t>
      </w:r>
      <w:r w:rsidR="00F75AA1">
        <w:rPr>
          <w:rStyle w:val="Hyperlink"/>
          <w:color w:val="000000" w:themeColor="text1"/>
          <w:sz w:val="22"/>
          <w:szCs w:val="22"/>
          <w:u w:val="none"/>
        </w:rPr>
        <w:t>,</w:t>
      </w:r>
      <w:r w:rsidRPr="00B305F9">
        <w:rPr>
          <w:rStyle w:val="Hyperlink"/>
          <w:color w:val="000000" w:themeColor="text1"/>
          <w:sz w:val="22"/>
          <w:szCs w:val="22"/>
          <w:u w:val="none"/>
        </w:rPr>
        <w:t xml:space="preserve"> 58-62.</w:t>
      </w:r>
      <w:r w:rsidRPr="00B305F9">
        <w:rPr>
          <w:rStyle w:val="Hyperlink"/>
          <w:color w:val="000000" w:themeColor="text1"/>
          <w:sz w:val="22"/>
          <w:szCs w:val="22"/>
        </w:rPr>
        <w:t xml:space="preserve"> </w:t>
      </w:r>
      <w:hyperlink r:id="rId22" w:history="1">
        <w:r w:rsidRPr="00BD4DB3">
          <w:rPr>
            <w:rStyle w:val="Hyperlink"/>
            <w:color w:val="006ACC"/>
            <w:sz w:val="22"/>
            <w:szCs w:val="22"/>
            <w:shd w:val="clear" w:color="auto" w:fill="FFFFFF"/>
          </w:rPr>
          <w:t>https://doi.org/10.1177/0098628316679958</w:t>
        </w:r>
      </w:hyperlink>
      <w:r w:rsidRPr="00BD4DB3">
        <w:rPr>
          <w:sz w:val="22"/>
          <w:szCs w:val="22"/>
        </w:rPr>
        <w:t>.</w:t>
      </w:r>
    </w:p>
    <w:p w14:paraId="0443E157" w14:textId="13D2592A" w:rsidR="00B4387F" w:rsidRPr="00BD4DB3" w:rsidRDefault="00B4387F" w:rsidP="00DD4C25">
      <w:pPr>
        <w:spacing w:line="480" w:lineRule="auto"/>
        <w:ind w:left="720" w:hanging="720"/>
        <w:rPr>
          <w:sz w:val="22"/>
          <w:szCs w:val="22"/>
        </w:rPr>
      </w:pPr>
      <w:r w:rsidRPr="00BD4DB3">
        <w:rPr>
          <w:sz w:val="22"/>
          <w:szCs w:val="22"/>
        </w:rPr>
        <w:t xml:space="preserve">Hulme, J., &amp; Cranney, J. (in press). Psychological literacy and learning for life. Chapter under review for: </w:t>
      </w:r>
      <w:r w:rsidR="00633D89">
        <w:rPr>
          <w:sz w:val="22"/>
          <w:szCs w:val="22"/>
        </w:rPr>
        <w:t xml:space="preserve">J. </w:t>
      </w:r>
      <w:r w:rsidRPr="00BD4DB3">
        <w:rPr>
          <w:sz w:val="22"/>
          <w:szCs w:val="22"/>
        </w:rPr>
        <w:t xml:space="preserve">Zumbach, </w:t>
      </w:r>
      <w:r w:rsidR="00633D89">
        <w:rPr>
          <w:sz w:val="22"/>
          <w:szCs w:val="22"/>
        </w:rPr>
        <w:t xml:space="preserve">D. </w:t>
      </w:r>
      <w:r w:rsidRPr="00BD4DB3">
        <w:rPr>
          <w:sz w:val="22"/>
          <w:szCs w:val="22"/>
        </w:rPr>
        <w:t xml:space="preserve">Bernstein, </w:t>
      </w:r>
      <w:r w:rsidR="00633D89">
        <w:rPr>
          <w:sz w:val="22"/>
          <w:szCs w:val="22"/>
        </w:rPr>
        <w:t xml:space="preserve">S. </w:t>
      </w:r>
      <w:r w:rsidRPr="00BD4DB3">
        <w:rPr>
          <w:sz w:val="22"/>
          <w:szCs w:val="22"/>
        </w:rPr>
        <w:t xml:space="preserve">Narciss, &amp; </w:t>
      </w:r>
      <w:r w:rsidR="00633D89">
        <w:rPr>
          <w:sz w:val="22"/>
          <w:szCs w:val="22"/>
        </w:rPr>
        <w:t xml:space="preserve">P. </w:t>
      </w:r>
      <w:r w:rsidRPr="00BD4DB3">
        <w:rPr>
          <w:sz w:val="22"/>
          <w:szCs w:val="22"/>
        </w:rPr>
        <w:t xml:space="preserve">Marsico (Eds.). </w:t>
      </w:r>
      <w:r w:rsidRPr="00BD4DB3">
        <w:rPr>
          <w:i/>
          <w:sz w:val="22"/>
          <w:szCs w:val="22"/>
        </w:rPr>
        <w:t xml:space="preserve">International handbook of psychology learning and teaching. </w:t>
      </w:r>
      <w:r w:rsidRPr="00BD4DB3">
        <w:rPr>
          <w:sz w:val="22"/>
          <w:szCs w:val="22"/>
        </w:rPr>
        <w:t xml:space="preserve">Springer. </w:t>
      </w:r>
    </w:p>
    <w:p w14:paraId="3B286E65" w14:textId="77777777" w:rsidR="00B4387F" w:rsidRPr="00BD4DB3" w:rsidRDefault="00B4387F" w:rsidP="00DD4C25">
      <w:pPr>
        <w:spacing w:line="480" w:lineRule="auto"/>
        <w:ind w:left="720" w:hanging="720"/>
        <w:rPr>
          <w:sz w:val="22"/>
          <w:szCs w:val="22"/>
        </w:rPr>
      </w:pPr>
      <w:r w:rsidRPr="00BD4DB3">
        <w:rPr>
          <w:sz w:val="22"/>
          <w:szCs w:val="22"/>
        </w:rPr>
        <w:t xml:space="preserve">Hunter, L. (2018). </w:t>
      </w:r>
      <w:r w:rsidRPr="00BD4DB3">
        <w:rPr>
          <w:i/>
          <w:sz w:val="22"/>
          <w:szCs w:val="22"/>
        </w:rPr>
        <w:t>How do we know what our students know?</w:t>
      </w:r>
      <w:r w:rsidRPr="00BD4DB3">
        <w:rPr>
          <w:sz w:val="22"/>
          <w:szCs w:val="22"/>
        </w:rPr>
        <w:t xml:space="preserve"> [Video file]. Retrieved from </w:t>
      </w:r>
      <w:hyperlink r:id="rId23" w:history="1">
        <w:r w:rsidRPr="00BD4DB3">
          <w:rPr>
            <w:rStyle w:val="Hyperlink"/>
            <w:sz w:val="22"/>
            <w:szCs w:val="22"/>
          </w:rPr>
          <w:t>https://thebox.unsw.edu.au/video/scientia-education-academy-lecture-dr-luke-hunter-31-may-2018</w:t>
        </w:r>
      </w:hyperlink>
      <w:r w:rsidRPr="00BD4DB3">
        <w:rPr>
          <w:sz w:val="22"/>
          <w:szCs w:val="22"/>
        </w:rPr>
        <w:t xml:space="preserve"> </w:t>
      </w:r>
    </w:p>
    <w:p w14:paraId="289881F8" w14:textId="1A08A427" w:rsidR="00B4387F" w:rsidRPr="00BD4DB3" w:rsidRDefault="00B4387F" w:rsidP="00DD4C25">
      <w:pPr>
        <w:spacing w:line="480" w:lineRule="auto"/>
        <w:ind w:left="720" w:hanging="720"/>
        <w:rPr>
          <w:sz w:val="22"/>
          <w:szCs w:val="22"/>
        </w:rPr>
      </w:pPr>
      <w:r w:rsidRPr="00B305F9">
        <w:rPr>
          <w:sz w:val="22"/>
          <w:szCs w:val="22"/>
          <w:lang w:val="es-ES"/>
        </w:rPr>
        <w:t>Klie M., &amp; del Pilar Grazioso, M. (</w:t>
      </w:r>
      <w:r w:rsidR="00A97BCA">
        <w:rPr>
          <w:sz w:val="22"/>
          <w:szCs w:val="22"/>
          <w:lang w:val="es-ES"/>
        </w:rPr>
        <w:t>2020</w:t>
      </w:r>
      <w:r w:rsidRPr="00B305F9">
        <w:rPr>
          <w:sz w:val="22"/>
          <w:szCs w:val="22"/>
          <w:lang w:val="es-ES"/>
        </w:rPr>
        <w:t xml:space="preserve">). </w:t>
      </w:r>
      <w:r w:rsidRPr="00BD4DB3">
        <w:rPr>
          <w:sz w:val="22"/>
          <w:szCs w:val="22"/>
        </w:rPr>
        <w:t xml:space="preserve">Current context of the teaching of psychology in Guatemala. </w:t>
      </w:r>
      <w:r w:rsidR="00A97BCA" w:rsidRPr="00A97BCA">
        <w:rPr>
          <w:sz w:val="22"/>
          <w:szCs w:val="22"/>
        </w:rPr>
        <w:t xml:space="preserve">In G. J. Rich, A. Padilla-Lopez, L. Ebersohn, J. Taylor, &amp; S. Morrissey (Eds.), </w:t>
      </w:r>
      <w:r w:rsidR="00A97BCA" w:rsidRPr="00B305F9">
        <w:rPr>
          <w:i/>
          <w:sz w:val="22"/>
          <w:szCs w:val="22"/>
        </w:rPr>
        <w:t>Teaching psychology around the world</w:t>
      </w:r>
      <w:r w:rsidR="00A97BCA" w:rsidRPr="00A97BCA">
        <w:rPr>
          <w:sz w:val="22"/>
          <w:szCs w:val="22"/>
        </w:rPr>
        <w:t xml:space="preserve"> (Volume 5). </w:t>
      </w:r>
      <w:r w:rsidR="00A97BCA">
        <w:rPr>
          <w:sz w:val="22"/>
          <w:szCs w:val="22"/>
        </w:rPr>
        <w:t>(pp. 73-88). Cambridge Scholars Press.</w:t>
      </w:r>
    </w:p>
    <w:p w14:paraId="7DBEE0DB" w14:textId="77777777" w:rsidR="00B4387F" w:rsidRPr="00BD4DB3" w:rsidRDefault="00B4387F" w:rsidP="00DD4C25">
      <w:pPr>
        <w:spacing w:line="480" w:lineRule="auto"/>
        <w:ind w:left="720" w:hanging="720"/>
        <w:rPr>
          <w:sz w:val="22"/>
          <w:szCs w:val="22"/>
        </w:rPr>
      </w:pPr>
      <w:r w:rsidRPr="00BD4DB3">
        <w:rPr>
          <w:sz w:val="22"/>
          <w:szCs w:val="22"/>
        </w:rPr>
        <w:t xml:space="preserve">Knight, J. (2014). A model for the regionalization of higher education: The role and contribution of tuning. </w:t>
      </w:r>
      <w:r w:rsidRPr="00BD4DB3">
        <w:rPr>
          <w:i/>
          <w:sz w:val="22"/>
          <w:szCs w:val="22"/>
        </w:rPr>
        <w:t>Tuning Journal for Higher Education, 1</w:t>
      </w:r>
      <w:r w:rsidRPr="00BD4DB3">
        <w:rPr>
          <w:sz w:val="22"/>
          <w:szCs w:val="22"/>
        </w:rPr>
        <w:t>(1), 105-125.</w:t>
      </w:r>
    </w:p>
    <w:p w14:paraId="10CCA7CA" w14:textId="6814E164" w:rsidR="00B4387F" w:rsidRPr="00BD4DB3" w:rsidRDefault="00B4387F" w:rsidP="00DD4C25">
      <w:pPr>
        <w:spacing w:line="480" w:lineRule="auto"/>
        <w:ind w:left="720" w:hanging="720"/>
        <w:rPr>
          <w:color w:val="0000FF"/>
          <w:sz w:val="22"/>
          <w:szCs w:val="22"/>
          <w:u w:val="single"/>
        </w:rPr>
      </w:pPr>
      <w:r w:rsidRPr="00BD4DB3">
        <w:rPr>
          <w:sz w:val="22"/>
          <w:szCs w:val="22"/>
        </w:rPr>
        <w:t xml:space="preserve">Kotsi, F., &amp; Agiomirgianakis, G. (2013). Mobility of higher education students in Europe: The South–North differences. </w:t>
      </w:r>
      <w:r w:rsidRPr="00BD4DB3">
        <w:rPr>
          <w:i/>
          <w:iCs/>
          <w:sz w:val="22"/>
          <w:szCs w:val="22"/>
        </w:rPr>
        <w:t>International Journal of Educational Development</w:t>
      </w:r>
      <w:r w:rsidRPr="00BD4DB3">
        <w:rPr>
          <w:sz w:val="22"/>
          <w:szCs w:val="22"/>
        </w:rPr>
        <w:t xml:space="preserve">, </w:t>
      </w:r>
      <w:r w:rsidRPr="00BD4DB3">
        <w:rPr>
          <w:i/>
          <w:iCs/>
          <w:sz w:val="22"/>
          <w:szCs w:val="22"/>
        </w:rPr>
        <w:t>4,</w:t>
      </w:r>
      <w:r w:rsidRPr="00BD4DB3">
        <w:rPr>
          <w:sz w:val="22"/>
          <w:szCs w:val="22"/>
        </w:rPr>
        <w:t xml:space="preserve"> 233-254. </w:t>
      </w:r>
      <w:hyperlink r:id="rId24" w:history="1">
        <w:r w:rsidR="001F7CE1" w:rsidRPr="00BD4DB3">
          <w:rPr>
            <w:rStyle w:val="Hyperlink"/>
            <w:sz w:val="22"/>
            <w:szCs w:val="22"/>
          </w:rPr>
          <w:t xml:space="preserve"> https://doi.org/10.1504/IJEED.2013.056012 </w:t>
        </w:r>
      </w:hyperlink>
      <w:r w:rsidR="001F7CE1" w:rsidRPr="00BD4DB3">
        <w:rPr>
          <w:color w:val="0000FF"/>
          <w:sz w:val="22"/>
          <w:szCs w:val="22"/>
          <w:u w:val="single"/>
        </w:rPr>
        <w:t xml:space="preserve"> </w:t>
      </w:r>
    </w:p>
    <w:p w14:paraId="281A251E" w14:textId="1883DE24" w:rsidR="005F1110" w:rsidRPr="00B305F9" w:rsidRDefault="005F1110" w:rsidP="00DD4C25">
      <w:pPr>
        <w:spacing w:line="480" w:lineRule="auto"/>
        <w:ind w:left="720" w:hanging="720"/>
        <w:rPr>
          <w:color w:val="000000" w:themeColor="text1"/>
          <w:sz w:val="22"/>
          <w:szCs w:val="22"/>
        </w:rPr>
      </w:pPr>
      <w:r w:rsidRPr="00B305F9">
        <w:rPr>
          <w:color w:val="000000" w:themeColor="text1"/>
          <w:sz w:val="22"/>
          <w:szCs w:val="22"/>
        </w:rPr>
        <w:t xml:space="preserve">Kuh, G. (2008). </w:t>
      </w:r>
      <w:r w:rsidRPr="00B305F9">
        <w:rPr>
          <w:i/>
          <w:color w:val="000000" w:themeColor="text1"/>
          <w:sz w:val="22"/>
          <w:szCs w:val="22"/>
        </w:rPr>
        <w:t xml:space="preserve">High impact practices: What they are, who has access to them, and why they matter. </w:t>
      </w:r>
      <w:r w:rsidR="003C6C47" w:rsidRPr="00B305F9">
        <w:rPr>
          <w:color w:val="000000" w:themeColor="text1"/>
          <w:sz w:val="22"/>
          <w:szCs w:val="22"/>
        </w:rPr>
        <w:t>Association of American Colleges and Universities.</w:t>
      </w:r>
    </w:p>
    <w:p w14:paraId="5CF39518" w14:textId="041579CC" w:rsidR="00FC1ADF" w:rsidRPr="00BD4DB3" w:rsidRDefault="00FC1ADF" w:rsidP="00DD4C25">
      <w:pPr>
        <w:spacing w:line="480" w:lineRule="auto"/>
        <w:ind w:left="720" w:hanging="720"/>
        <w:rPr>
          <w:sz w:val="22"/>
          <w:szCs w:val="22"/>
        </w:rPr>
      </w:pPr>
      <w:r w:rsidRPr="00B305F9">
        <w:rPr>
          <w:color w:val="000000" w:themeColor="text1"/>
          <w:sz w:val="22"/>
          <w:szCs w:val="22"/>
        </w:rPr>
        <w:t xml:space="preserve">Landrum, R.E. (2018). </w:t>
      </w:r>
      <w:r w:rsidRPr="00B305F9">
        <w:rPr>
          <w:i/>
          <w:color w:val="000000" w:themeColor="text1"/>
          <w:sz w:val="22"/>
          <w:szCs w:val="22"/>
        </w:rPr>
        <w:t>What can you do with a bachelor’s degree in psychology? Like this title, the actual answer is complicated.</w:t>
      </w:r>
      <w:r w:rsidRPr="00B305F9">
        <w:rPr>
          <w:color w:val="000000" w:themeColor="text1"/>
          <w:sz w:val="22"/>
          <w:szCs w:val="22"/>
        </w:rPr>
        <w:t xml:space="preserve"> Psychology Student Network. Retrieved from: </w:t>
      </w:r>
      <w:hyperlink r:id="rId25" w:history="1">
        <w:r w:rsidRPr="00BD4DB3">
          <w:rPr>
            <w:rStyle w:val="Hyperlink"/>
            <w:sz w:val="22"/>
            <w:szCs w:val="22"/>
          </w:rPr>
          <w:t>https://www.apa.org/ed/precollege/psn/2018/01/bachelors-degree</w:t>
        </w:r>
      </w:hyperlink>
      <w:r w:rsidRPr="00BD4DB3">
        <w:rPr>
          <w:sz w:val="22"/>
          <w:szCs w:val="22"/>
        </w:rPr>
        <w:t xml:space="preserve">. </w:t>
      </w:r>
    </w:p>
    <w:p w14:paraId="7E521D41" w14:textId="15EDBA5C" w:rsidR="00595C45" w:rsidRPr="00BD4DB3" w:rsidRDefault="00595C45" w:rsidP="00DD4C25">
      <w:pPr>
        <w:spacing w:line="480" w:lineRule="auto"/>
        <w:ind w:left="720" w:hanging="720"/>
        <w:rPr>
          <w:sz w:val="22"/>
          <w:szCs w:val="22"/>
        </w:rPr>
      </w:pPr>
      <w:r w:rsidRPr="00B305F9">
        <w:rPr>
          <w:color w:val="000000" w:themeColor="text1"/>
          <w:sz w:val="22"/>
          <w:szCs w:val="22"/>
          <w:lang w:val="de-DE"/>
        </w:rPr>
        <w:t xml:space="preserve">Landrum, R. </w:t>
      </w:r>
      <w:r w:rsidRPr="00B305F9">
        <w:rPr>
          <w:sz w:val="22"/>
          <w:szCs w:val="22"/>
          <w:lang w:val="de-DE"/>
        </w:rPr>
        <w:t xml:space="preserve">E., Beins, </w:t>
      </w:r>
      <w:r w:rsidR="00A406FC" w:rsidRPr="00B305F9">
        <w:rPr>
          <w:sz w:val="22"/>
          <w:szCs w:val="22"/>
          <w:lang w:val="de-DE"/>
        </w:rPr>
        <w:t xml:space="preserve">B. C., Bhalla, M., Brakke, K., Briihl, D. S., Curl-Langager, R. M., … </w:t>
      </w:r>
      <w:r w:rsidR="00A406FC" w:rsidRPr="00BD4DB3">
        <w:rPr>
          <w:sz w:val="22"/>
          <w:szCs w:val="22"/>
        </w:rPr>
        <w:t xml:space="preserve">Van Kirk, J. J. (2010). Desired outcomes of an undergraduate education in psychology from a departmental, student, and societal perspectives. In D. F. Halpern (Ed.), </w:t>
      </w:r>
      <w:r w:rsidR="00A406FC" w:rsidRPr="00BD4DB3">
        <w:rPr>
          <w:i/>
          <w:sz w:val="22"/>
          <w:szCs w:val="22"/>
        </w:rPr>
        <w:t xml:space="preserve">Undergraduate education in psychology: A blueprint for the future of the discipline </w:t>
      </w:r>
      <w:r w:rsidR="00A406FC" w:rsidRPr="00BD4DB3">
        <w:rPr>
          <w:sz w:val="22"/>
          <w:szCs w:val="22"/>
        </w:rPr>
        <w:t>(pp. 145-160). American Psychological Association.</w:t>
      </w:r>
    </w:p>
    <w:p w14:paraId="164D9793" w14:textId="5C132680" w:rsidR="00B4387F" w:rsidRPr="00BD4DB3" w:rsidRDefault="00B4387F" w:rsidP="00DD4C25">
      <w:pPr>
        <w:spacing w:line="480" w:lineRule="auto"/>
        <w:ind w:left="720" w:hanging="720"/>
        <w:rPr>
          <w:color w:val="0000FF"/>
          <w:sz w:val="22"/>
          <w:szCs w:val="22"/>
          <w:u w:val="single"/>
        </w:rPr>
      </w:pPr>
      <w:r w:rsidRPr="00BD4DB3">
        <w:rPr>
          <w:sz w:val="22"/>
          <w:szCs w:val="22"/>
        </w:rPr>
        <w:t xml:space="preserve">Lee, N., &amp; Loton, D. J. (2015). </w:t>
      </w:r>
      <w:r w:rsidRPr="00BD4DB3">
        <w:rPr>
          <w:i/>
          <w:sz w:val="22"/>
          <w:szCs w:val="22"/>
        </w:rPr>
        <w:t>Capstone curriculum across disciplines: Synthesising theory, practice and policy to provide practical tools for curriculum design</w:t>
      </w:r>
      <w:r w:rsidRPr="00BD4DB3">
        <w:rPr>
          <w:sz w:val="22"/>
          <w:szCs w:val="22"/>
        </w:rPr>
        <w:t xml:space="preserve"> (Report number: 978-1-76028-537-1). Australian Government Office for Learning and Teaching. </w:t>
      </w:r>
    </w:p>
    <w:p w14:paraId="3206C600" w14:textId="65B8D67D" w:rsidR="00ED7812" w:rsidRPr="00BD4DB3" w:rsidRDefault="00ED7812" w:rsidP="00DD4C25">
      <w:pPr>
        <w:spacing w:line="480" w:lineRule="auto"/>
        <w:ind w:left="720" w:hanging="720"/>
        <w:textAlignment w:val="baseline"/>
        <w:rPr>
          <w:color w:val="0000FF"/>
          <w:sz w:val="22"/>
          <w:szCs w:val="22"/>
          <w:u w:val="single"/>
          <w:bdr w:val="none" w:sz="0" w:space="0" w:color="auto" w:frame="1"/>
          <w:shd w:val="clear" w:color="auto" w:fill="FFFFFF"/>
        </w:rPr>
      </w:pPr>
      <w:r w:rsidRPr="00BD4DB3">
        <w:rPr>
          <w:color w:val="000000"/>
          <w:sz w:val="22"/>
          <w:szCs w:val="22"/>
          <w:bdr w:val="none" w:sz="0" w:space="0" w:color="auto" w:frame="1"/>
          <w:shd w:val="clear" w:color="auto" w:fill="FFFFFF"/>
        </w:rPr>
        <w:t>Lunt, I., Job, R., Lecuyer, R., Peiro, J. M., &amp; Gorbena, S. (2011). </w:t>
      </w:r>
      <w:r w:rsidRPr="00BD4DB3">
        <w:rPr>
          <w:i/>
          <w:iCs/>
          <w:color w:val="000000"/>
          <w:sz w:val="22"/>
          <w:szCs w:val="22"/>
          <w:bdr w:val="none" w:sz="0" w:space="0" w:color="auto" w:frame="1"/>
          <w:shd w:val="clear" w:color="auto" w:fill="FFFFFF"/>
        </w:rPr>
        <w:t>Tuning educational structures in Europe: reference points for the design and delivery of degree programmes in psychology</w:t>
      </w:r>
      <w:r w:rsidRPr="00BD4DB3">
        <w:rPr>
          <w:color w:val="000000"/>
          <w:sz w:val="22"/>
          <w:szCs w:val="22"/>
          <w:bdr w:val="none" w:sz="0" w:space="0" w:color="auto" w:frame="1"/>
          <w:shd w:val="clear" w:color="auto" w:fill="FFFFFF"/>
        </w:rPr>
        <w:t xml:space="preserve">. University of Deusto. </w:t>
      </w:r>
    </w:p>
    <w:p w14:paraId="23CFBC56" w14:textId="7F095904" w:rsidR="00B4387F" w:rsidRPr="0063017E" w:rsidRDefault="00B4387F" w:rsidP="00DD4C25">
      <w:pPr>
        <w:spacing w:line="480" w:lineRule="auto"/>
        <w:ind w:left="720" w:hanging="720"/>
        <w:rPr>
          <w:sz w:val="22"/>
          <w:szCs w:val="22"/>
        </w:rPr>
      </w:pPr>
      <w:r w:rsidRPr="00BD4DB3">
        <w:rPr>
          <w:sz w:val="22"/>
          <w:szCs w:val="22"/>
        </w:rPr>
        <w:t>Lunt, I., Peiró, J.</w:t>
      </w:r>
      <w:r w:rsidR="009309FD" w:rsidRPr="00BD4DB3">
        <w:rPr>
          <w:sz w:val="22"/>
          <w:szCs w:val="22"/>
        </w:rPr>
        <w:t xml:space="preserve"> </w:t>
      </w:r>
      <w:r w:rsidRPr="00BD4DB3">
        <w:rPr>
          <w:sz w:val="22"/>
          <w:szCs w:val="22"/>
        </w:rPr>
        <w:t>M., Poortinga, Y., &amp; Roe, R.</w:t>
      </w:r>
      <w:r w:rsidR="009309FD" w:rsidRPr="00BD4DB3">
        <w:rPr>
          <w:sz w:val="22"/>
          <w:szCs w:val="22"/>
        </w:rPr>
        <w:t xml:space="preserve"> </w:t>
      </w:r>
      <w:r w:rsidRPr="00BD4DB3">
        <w:rPr>
          <w:sz w:val="22"/>
          <w:szCs w:val="22"/>
        </w:rPr>
        <w:t xml:space="preserve">A. (2015). </w:t>
      </w:r>
      <w:r w:rsidRPr="00BD4DB3">
        <w:rPr>
          <w:i/>
          <w:sz w:val="22"/>
          <w:szCs w:val="22"/>
        </w:rPr>
        <w:t>EuroPsy: Standards and quality in education for psychologists</w:t>
      </w:r>
      <w:r w:rsidRPr="00BD4DB3">
        <w:rPr>
          <w:sz w:val="22"/>
          <w:szCs w:val="22"/>
        </w:rPr>
        <w:t xml:space="preserve">. </w:t>
      </w:r>
      <w:r w:rsidRPr="0063017E">
        <w:rPr>
          <w:sz w:val="22"/>
          <w:szCs w:val="22"/>
        </w:rPr>
        <w:t>Hogrefe Publishing.</w:t>
      </w:r>
    </w:p>
    <w:p w14:paraId="397E16FC" w14:textId="361CDB56" w:rsidR="00B4387F" w:rsidRPr="00BD4DB3" w:rsidRDefault="00B4387F" w:rsidP="00DD4C25">
      <w:pPr>
        <w:spacing w:line="480" w:lineRule="auto"/>
        <w:ind w:left="720" w:hanging="720"/>
        <w:rPr>
          <w:sz w:val="22"/>
          <w:szCs w:val="22"/>
        </w:rPr>
      </w:pPr>
      <w:r w:rsidRPr="00984D84">
        <w:rPr>
          <w:sz w:val="22"/>
          <w:szCs w:val="22"/>
        </w:rPr>
        <w:t xml:space="preserve">Mann, A., Stanley, J., &amp; Archer, L. (2014). </w:t>
      </w:r>
      <w:r w:rsidRPr="00BD4DB3">
        <w:rPr>
          <w:i/>
          <w:iCs/>
          <w:sz w:val="22"/>
          <w:szCs w:val="22"/>
        </w:rPr>
        <w:t xml:space="preserve">Understanding employer engagement in education: Theories and evidence. </w:t>
      </w:r>
      <w:r w:rsidRPr="00BD4DB3">
        <w:rPr>
          <w:sz w:val="22"/>
          <w:szCs w:val="22"/>
        </w:rPr>
        <w:t xml:space="preserve">Routledge. </w:t>
      </w:r>
    </w:p>
    <w:p w14:paraId="646FDA45" w14:textId="07B24BE5" w:rsidR="00B4387F" w:rsidRPr="00BD4DB3" w:rsidRDefault="00B4387F" w:rsidP="00DD4C25">
      <w:pPr>
        <w:spacing w:line="480" w:lineRule="auto"/>
        <w:ind w:left="720" w:hanging="720"/>
        <w:rPr>
          <w:rStyle w:val="Hyperlink"/>
          <w:sz w:val="22"/>
          <w:szCs w:val="22"/>
        </w:rPr>
      </w:pPr>
      <w:r w:rsidRPr="00BD4DB3">
        <w:rPr>
          <w:sz w:val="22"/>
          <w:szCs w:val="22"/>
        </w:rPr>
        <w:t xml:space="preserve">McElvaney, R. (2018, October). Mobility agreements in Europe. </w:t>
      </w:r>
      <w:r w:rsidRPr="00BD4DB3">
        <w:rPr>
          <w:i/>
          <w:sz w:val="22"/>
          <w:szCs w:val="22"/>
        </w:rPr>
        <w:t>The 58th Annual Meeting of ASPPB</w:t>
      </w:r>
      <w:r w:rsidRPr="00BD4DB3">
        <w:rPr>
          <w:sz w:val="22"/>
          <w:szCs w:val="22"/>
        </w:rPr>
        <w:t>.</w:t>
      </w:r>
      <w:r w:rsidR="001F7CE1" w:rsidRPr="00BD4DB3">
        <w:rPr>
          <w:sz w:val="22"/>
          <w:szCs w:val="22"/>
        </w:rPr>
        <w:t xml:space="preserve"> </w:t>
      </w:r>
      <w:r w:rsidRPr="00BD4DB3">
        <w:rPr>
          <w:sz w:val="22"/>
          <w:szCs w:val="22"/>
        </w:rPr>
        <w:t xml:space="preserve">Talk presented at the 58th Annual Meeting of ASPPB, Salt Lake City, U.S.A. </w:t>
      </w:r>
    </w:p>
    <w:p w14:paraId="5E5C7ED2" w14:textId="055D8E00" w:rsidR="008C658F" w:rsidRPr="00BD4DB3" w:rsidRDefault="008C658F" w:rsidP="00DD4C25">
      <w:pPr>
        <w:spacing w:line="480" w:lineRule="auto"/>
        <w:ind w:left="720" w:hanging="720"/>
        <w:rPr>
          <w:color w:val="0000FF"/>
          <w:sz w:val="22"/>
          <w:szCs w:val="22"/>
          <w:u w:val="single"/>
          <w:lang w:val="en-GB"/>
        </w:rPr>
      </w:pPr>
      <w:r w:rsidRPr="00BD4DB3">
        <w:rPr>
          <w:sz w:val="22"/>
          <w:szCs w:val="22"/>
        </w:rPr>
        <w:t xml:space="preserve">McLaughlin, J. &amp; Whatman, S. (2011). The potential of critical race theory in decolonizing university curricula. </w:t>
      </w:r>
      <w:r w:rsidRPr="00BD4DB3">
        <w:rPr>
          <w:i/>
          <w:sz w:val="22"/>
          <w:szCs w:val="22"/>
        </w:rPr>
        <w:t>Asia Pacific Journal of Education, 31</w:t>
      </w:r>
      <w:r w:rsidRPr="00BD4DB3">
        <w:rPr>
          <w:sz w:val="22"/>
          <w:szCs w:val="22"/>
        </w:rPr>
        <w:t xml:space="preserve">(4), 365-377. </w:t>
      </w:r>
      <w:r w:rsidR="001F7CE1" w:rsidRPr="00BD4DB3">
        <w:rPr>
          <w:sz w:val="22"/>
          <w:szCs w:val="22"/>
        </w:rPr>
        <w:t>https://doi.org/</w:t>
      </w:r>
      <w:hyperlink r:id="rId26" w:history="1">
        <w:r w:rsidRPr="00BD4DB3">
          <w:rPr>
            <w:rStyle w:val="Hyperlink"/>
            <w:sz w:val="22"/>
            <w:szCs w:val="22"/>
            <w:lang w:val="en-GB"/>
          </w:rPr>
          <w:t>10.1080/02188791.2011.621243</w:t>
        </w:r>
      </w:hyperlink>
      <w:r w:rsidR="001F7CE1" w:rsidRPr="00BD4DB3">
        <w:rPr>
          <w:rStyle w:val="Hyperlink"/>
          <w:sz w:val="22"/>
          <w:szCs w:val="22"/>
          <w:lang w:val="en-GB"/>
        </w:rPr>
        <w:t xml:space="preserve">  </w:t>
      </w:r>
    </w:p>
    <w:p w14:paraId="688A9A10" w14:textId="77777777" w:rsidR="0046529A" w:rsidRPr="00BD4DB3" w:rsidRDefault="008C658F" w:rsidP="00DD4C25">
      <w:pPr>
        <w:spacing w:line="480" w:lineRule="auto"/>
        <w:ind w:left="720" w:hanging="720"/>
        <w:rPr>
          <w:sz w:val="22"/>
          <w:szCs w:val="22"/>
        </w:rPr>
      </w:pPr>
      <w:r w:rsidRPr="00BD4DB3">
        <w:rPr>
          <w:sz w:val="22"/>
          <w:szCs w:val="22"/>
        </w:rPr>
        <w:t>Mercer-Mapstone, L., Dvoraka, S.</w:t>
      </w:r>
      <w:r w:rsidR="009309FD" w:rsidRPr="00BD4DB3">
        <w:rPr>
          <w:sz w:val="22"/>
          <w:szCs w:val="22"/>
        </w:rPr>
        <w:t xml:space="preserve"> </w:t>
      </w:r>
      <w:r w:rsidRPr="00BD4DB3">
        <w:rPr>
          <w:sz w:val="22"/>
          <w:szCs w:val="22"/>
        </w:rPr>
        <w:t>L., Matthews, K.</w:t>
      </w:r>
      <w:r w:rsidR="009309FD" w:rsidRPr="00BD4DB3">
        <w:rPr>
          <w:sz w:val="22"/>
          <w:szCs w:val="22"/>
        </w:rPr>
        <w:t xml:space="preserve"> </w:t>
      </w:r>
      <w:r w:rsidRPr="00BD4DB3">
        <w:rPr>
          <w:sz w:val="22"/>
          <w:szCs w:val="22"/>
        </w:rPr>
        <w:t xml:space="preserve">E., Abbot, S., Cheng, B., Felten, P., Knorr, K., Marquis, E., Shammas, R., &amp; Swaim, K. (2017). A systematic literature review of students as partners in higher education. </w:t>
      </w:r>
      <w:r w:rsidRPr="00BD4DB3">
        <w:rPr>
          <w:i/>
          <w:iCs/>
          <w:sz w:val="22"/>
          <w:szCs w:val="22"/>
        </w:rPr>
        <w:t>International Journal for Students as Partners, 1</w:t>
      </w:r>
      <w:r w:rsidRPr="00BD4DB3">
        <w:rPr>
          <w:iCs/>
          <w:sz w:val="22"/>
          <w:szCs w:val="22"/>
        </w:rPr>
        <w:t>(1)</w:t>
      </w:r>
      <w:r w:rsidRPr="00BD4DB3">
        <w:rPr>
          <w:sz w:val="22"/>
          <w:szCs w:val="22"/>
        </w:rPr>
        <w:t xml:space="preserve">. </w:t>
      </w:r>
      <w:hyperlink r:id="rId27" w:history="1">
        <w:r w:rsidR="001F7CE1" w:rsidRPr="00BD4DB3">
          <w:rPr>
            <w:rStyle w:val="Hyperlink"/>
            <w:sz w:val="22"/>
            <w:szCs w:val="22"/>
          </w:rPr>
          <w:t>https://doi.org/10.15173/ijsap.v1i1.3119</w:t>
        </w:r>
      </w:hyperlink>
      <w:r w:rsidR="001F7CE1" w:rsidRPr="00BD4DB3">
        <w:rPr>
          <w:sz w:val="22"/>
          <w:szCs w:val="22"/>
        </w:rPr>
        <w:t xml:space="preserve"> </w:t>
      </w:r>
    </w:p>
    <w:p w14:paraId="0A50A20E" w14:textId="71B536FE" w:rsidR="008C658F" w:rsidRPr="00BD4DB3" w:rsidRDefault="0046529A" w:rsidP="00DD4C25">
      <w:pPr>
        <w:spacing w:line="480" w:lineRule="auto"/>
        <w:ind w:left="720" w:hanging="720"/>
        <w:rPr>
          <w:sz w:val="22"/>
          <w:szCs w:val="22"/>
        </w:rPr>
      </w:pPr>
      <w:r w:rsidRPr="00B305F9">
        <w:rPr>
          <w:sz w:val="22"/>
          <w:szCs w:val="22"/>
          <w:lang w:val="es-ES"/>
        </w:rPr>
        <w:t xml:space="preserve">Minocha, S., Hristov, D., &amp; Reynolds, M. (2017). </w:t>
      </w:r>
      <w:r w:rsidRPr="00BD4DB3">
        <w:rPr>
          <w:sz w:val="22"/>
          <w:szCs w:val="22"/>
        </w:rPr>
        <w:t xml:space="preserve">From graduate employability to employment: policy and practice in UK higher education. International Journal of Training and Development, </w:t>
      </w:r>
      <w:r w:rsidRPr="00B305F9">
        <w:rPr>
          <w:i/>
          <w:sz w:val="22"/>
          <w:szCs w:val="22"/>
        </w:rPr>
        <w:t>21</w:t>
      </w:r>
      <w:r w:rsidRPr="00BD4DB3">
        <w:rPr>
          <w:sz w:val="22"/>
          <w:szCs w:val="22"/>
        </w:rPr>
        <w:t>(3)</w:t>
      </w:r>
      <w:r w:rsidR="00F75AA1">
        <w:rPr>
          <w:sz w:val="22"/>
          <w:szCs w:val="22"/>
        </w:rPr>
        <w:t>,</w:t>
      </w:r>
      <w:r w:rsidRPr="00BD4DB3">
        <w:rPr>
          <w:sz w:val="22"/>
          <w:szCs w:val="22"/>
        </w:rPr>
        <w:t xml:space="preserve"> 235-249. </w:t>
      </w:r>
      <w:hyperlink r:id="rId28" w:history="1">
        <w:r w:rsidRPr="00BD4DB3">
          <w:rPr>
            <w:rStyle w:val="Hyperlink"/>
            <w:sz w:val="22"/>
            <w:szCs w:val="22"/>
          </w:rPr>
          <w:t>https://doi.org/10.1111/ijtd.12105</w:t>
        </w:r>
      </w:hyperlink>
      <w:r w:rsidRPr="00BD4DB3">
        <w:rPr>
          <w:sz w:val="22"/>
          <w:szCs w:val="22"/>
        </w:rPr>
        <w:t xml:space="preserve">. </w:t>
      </w:r>
      <w:r w:rsidR="001F7CE1" w:rsidRPr="00BD4DB3">
        <w:rPr>
          <w:sz w:val="22"/>
          <w:szCs w:val="22"/>
        </w:rPr>
        <w:t xml:space="preserve"> </w:t>
      </w:r>
    </w:p>
    <w:p w14:paraId="5265AA15" w14:textId="74F5D255" w:rsidR="008C658F" w:rsidRPr="00BD4DB3" w:rsidRDefault="008C658F" w:rsidP="001F7CE1">
      <w:pPr>
        <w:spacing w:line="480" w:lineRule="auto"/>
        <w:ind w:left="720" w:right="-450" w:hanging="720"/>
        <w:rPr>
          <w:sz w:val="22"/>
          <w:szCs w:val="22"/>
        </w:rPr>
      </w:pPr>
      <w:r w:rsidRPr="00BD4DB3">
        <w:rPr>
          <w:sz w:val="22"/>
          <w:szCs w:val="22"/>
        </w:rPr>
        <w:t xml:space="preserve">Moores, E. &amp; Reddy, P. (2012). No regrets? Measuring the career benefits of a psychology placement year. </w:t>
      </w:r>
      <w:r w:rsidRPr="00BD4DB3">
        <w:rPr>
          <w:i/>
          <w:iCs/>
          <w:sz w:val="22"/>
          <w:szCs w:val="22"/>
        </w:rPr>
        <w:t>Assessment and Evaluation in Higher Education, 37</w:t>
      </w:r>
      <w:r w:rsidRPr="00BD4DB3">
        <w:rPr>
          <w:iCs/>
          <w:sz w:val="22"/>
          <w:szCs w:val="22"/>
        </w:rPr>
        <w:t>(5),</w:t>
      </w:r>
      <w:r w:rsidRPr="00BD4DB3">
        <w:rPr>
          <w:sz w:val="22"/>
          <w:szCs w:val="22"/>
        </w:rPr>
        <w:t xml:space="preserve"> 535-554. </w:t>
      </w:r>
      <w:r w:rsidR="001F7CE1" w:rsidRPr="00BD4DB3">
        <w:rPr>
          <w:sz w:val="22"/>
          <w:szCs w:val="22"/>
        </w:rPr>
        <w:t>https://doi.org/</w:t>
      </w:r>
      <w:hyperlink r:id="rId29" w:history="1">
        <w:r w:rsidRPr="00BD4DB3">
          <w:rPr>
            <w:rStyle w:val="Hyperlink"/>
            <w:color w:val="AD1AAC"/>
            <w:sz w:val="22"/>
            <w:szCs w:val="22"/>
            <w:shd w:val="clear" w:color="auto" w:fill="FFFFFF"/>
          </w:rPr>
          <w:t>10.1080/02602938.2011.553668</w:t>
        </w:r>
      </w:hyperlink>
      <w:r w:rsidR="001F7CE1" w:rsidRPr="00BD4DB3">
        <w:rPr>
          <w:rStyle w:val="Hyperlink"/>
          <w:color w:val="AD1AAC"/>
          <w:sz w:val="22"/>
          <w:szCs w:val="22"/>
          <w:shd w:val="clear" w:color="auto" w:fill="FFFFFF"/>
        </w:rPr>
        <w:t xml:space="preserve"> </w:t>
      </w:r>
      <w:r w:rsidRPr="00BD4DB3">
        <w:rPr>
          <w:sz w:val="22"/>
          <w:szCs w:val="22"/>
        </w:rPr>
        <w:t xml:space="preserve"> </w:t>
      </w:r>
      <w:r w:rsidR="001F7CE1" w:rsidRPr="00BD4DB3">
        <w:rPr>
          <w:sz w:val="22"/>
          <w:szCs w:val="22"/>
        </w:rPr>
        <w:t xml:space="preserve"> </w:t>
      </w:r>
    </w:p>
    <w:p w14:paraId="3BF6477E" w14:textId="7030E6B7" w:rsidR="008C658F" w:rsidRPr="00BD4DB3" w:rsidRDefault="008C658F" w:rsidP="00DD4C25">
      <w:pPr>
        <w:spacing w:line="480" w:lineRule="auto"/>
        <w:ind w:left="720" w:hanging="720"/>
        <w:rPr>
          <w:sz w:val="22"/>
          <w:szCs w:val="22"/>
        </w:rPr>
      </w:pPr>
      <w:r w:rsidRPr="00BD4DB3">
        <w:rPr>
          <w:sz w:val="22"/>
          <w:szCs w:val="22"/>
        </w:rPr>
        <w:t>Oliver, B. &amp; de St Jorre, T.</w:t>
      </w:r>
      <w:r w:rsidR="009309FD" w:rsidRPr="00BD4DB3">
        <w:rPr>
          <w:sz w:val="22"/>
          <w:szCs w:val="22"/>
        </w:rPr>
        <w:t xml:space="preserve"> </w:t>
      </w:r>
      <w:r w:rsidRPr="00BD4DB3">
        <w:rPr>
          <w:sz w:val="22"/>
          <w:szCs w:val="22"/>
        </w:rPr>
        <w:t xml:space="preserve">J. (2018). Graduate attributes for 2020 and beyond: Recommendations for Australian higher education providers. </w:t>
      </w:r>
      <w:r w:rsidRPr="00BD4DB3">
        <w:rPr>
          <w:i/>
          <w:sz w:val="22"/>
          <w:szCs w:val="22"/>
        </w:rPr>
        <w:t>Higher Education Research &amp; Development, 37</w:t>
      </w:r>
      <w:r w:rsidRPr="00BD4DB3">
        <w:rPr>
          <w:sz w:val="22"/>
          <w:szCs w:val="22"/>
        </w:rPr>
        <w:t xml:space="preserve">(4), 821-836. </w:t>
      </w:r>
      <w:hyperlink r:id="rId30" w:history="1">
        <w:r w:rsidR="001F7CE1" w:rsidRPr="00BD4DB3">
          <w:rPr>
            <w:rStyle w:val="Hyperlink"/>
            <w:sz w:val="22"/>
            <w:szCs w:val="22"/>
          </w:rPr>
          <w:t>https://doi.org/10.1080/07294360.2018.1446415</w:t>
        </w:r>
      </w:hyperlink>
      <w:r w:rsidR="001F7CE1" w:rsidRPr="00BD4DB3">
        <w:rPr>
          <w:sz w:val="22"/>
          <w:szCs w:val="22"/>
        </w:rPr>
        <w:t xml:space="preserve"> </w:t>
      </w:r>
    </w:p>
    <w:p w14:paraId="0C6998DF" w14:textId="42D34B9E" w:rsidR="008C658F" w:rsidRPr="00BD4DB3" w:rsidRDefault="008C658F" w:rsidP="00DD4C25">
      <w:pPr>
        <w:spacing w:line="480" w:lineRule="auto"/>
        <w:ind w:left="720" w:hanging="720"/>
        <w:rPr>
          <w:sz w:val="22"/>
          <w:szCs w:val="22"/>
        </w:rPr>
      </w:pPr>
      <w:r w:rsidRPr="00BD4DB3">
        <w:rPr>
          <w:sz w:val="22"/>
          <w:szCs w:val="22"/>
        </w:rPr>
        <w:t>Pollard, E., Hirsh, W., Williams, M., Buzzeo, J., Marvell, R., Tassinari, A., Bertram, C., Fletcher, L., Artess, J., Redman, J. and Ball, C. (2015) Understanding employers’ graduate recruitment and selection practices: BIS Research paper 231. Department for Business, Innovation and Skills.</w:t>
      </w:r>
    </w:p>
    <w:p w14:paraId="4A1A6985" w14:textId="5B4C5D89" w:rsidR="008C658F" w:rsidRPr="00BD4DB3" w:rsidRDefault="008C658F" w:rsidP="00DD4C25">
      <w:pPr>
        <w:spacing w:line="480" w:lineRule="auto"/>
        <w:ind w:left="720" w:hanging="720"/>
        <w:rPr>
          <w:sz w:val="22"/>
          <w:szCs w:val="22"/>
        </w:rPr>
      </w:pPr>
      <w:r w:rsidRPr="00BD4DB3">
        <w:rPr>
          <w:sz w:val="22"/>
          <w:szCs w:val="22"/>
        </w:rPr>
        <w:t>Quality Assurance Agency. (201</w:t>
      </w:r>
      <w:r w:rsidR="00FC1ADF" w:rsidRPr="00BD4DB3">
        <w:rPr>
          <w:sz w:val="22"/>
          <w:szCs w:val="22"/>
        </w:rPr>
        <w:t>9</w:t>
      </w:r>
      <w:r w:rsidRPr="00BD4DB3">
        <w:rPr>
          <w:sz w:val="22"/>
          <w:szCs w:val="22"/>
        </w:rPr>
        <w:t xml:space="preserve">). </w:t>
      </w:r>
      <w:r w:rsidRPr="00BD4DB3">
        <w:rPr>
          <w:i/>
          <w:sz w:val="22"/>
          <w:szCs w:val="22"/>
        </w:rPr>
        <w:t>Subject benchmark statement for psychology</w:t>
      </w:r>
      <w:r w:rsidRPr="00BD4DB3">
        <w:rPr>
          <w:sz w:val="22"/>
          <w:szCs w:val="22"/>
        </w:rPr>
        <w:t xml:space="preserve">. Author. </w:t>
      </w:r>
    </w:p>
    <w:p w14:paraId="78C765E8" w14:textId="4A39E4F1" w:rsidR="00EB7FA0" w:rsidRPr="00BD4DB3" w:rsidRDefault="00EB7FA0" w:rsidP="00DD4C25">
      <w:pPr>
        <w:spacing w:line="480" w:lineRule="auto"/>
        <w:ind w:left="720" w:right="-810" w:hanging="720"/>
        <w:contextualSpacing/>
        <w:rPr>
          <w:sz w:val="22"/>
          <w:szCs w:val="22"/>
        </w:rPr>
      </w:pPr>
      <w:r w:rsidRPr="00BD4DB3">
        <w:rPr>
          <w:sz w:val="22"/>
          <w:szCs w:val="22"/>
        </w:rPr>
        <w:t xml:space="preserve">Reddy, P., Dutke, S., Papageorgi, I. &amp; Bakker, H. (2014). </w:t>
      </w:r>
      <w:r w:rsidR="008C658F" w:rsidRPr="00BD4DB3">
        <w:rPr>
          <w:sz w:val="22"/>
          <w:szCs w:val="22"/>
        </w:rPr>
        <w:t xml:space="preserve">Educating Europe. </w:t>
      </w:r>
      <w:r w:rsidRPr="00BD4DB3">
        <w:rPr>
          <w:i/>
          <w:sz w:val="22"/>
          <w:szCs w:val="22"/>
        </w:rPr>
        <w:t>Psychologist</w:t>
      </w:r>
      <w:r w:rsidRPr="00BD4DB3">
        <w:rPr>
          <w:sz w:val="22"/>
          <w:szCs w:val="22"/>
        </w:rPr>
        <w:t xml:space="preserve">, </w:t>
      </w:r>
      <w:r w:rsidRPr="00BD4DB3">
        <w:rPr>
          <w:i/>
          <w:sz w:val="22"/>
          <w:szCs w:val="22"/>
        </w:rPr>
        <w:t>27</w:t>
      </w:r>
      <w:r w:rsidR="008C658F" w:rsidRPr="00BD4DB3">
        <w:rPr>
          <w:sz w:val="22"/>
          <w:szCs w:val="22"/>
        </w:rPr>
        <w:t xml:space="preserve">(12), 928-931. </w:t>
      </w:r>
      <w:r w:rsidRPr="00BD4DB3">
        <w:rPr>
          <w:sz w:val="22"/>
          <w:szCs w:val="22"/>
        </w:rPr>
        <w:t xml:space="preserve">  </w:t>
      </w:r>
    </w:p>
    <w:p w14:paraId="0481D7F3" w14:textId="66CFB563" w:rsidR="00A97BCA" w:rsidRDefault="00A97BCA" w:rsidP="00DD4C25">
      <w:pPr>
        <w:spacing w:line="480" w:lineRule="auto"/>
        <w:ind w:left="720" w:hanging="720"/>
        <w:rPr>
          <w:sz w:val="22"/>
          <w:szCs w:val="22"/>
        </w:rPr>
      </w:pPr>
      <w:r w:rsidRPr="00A97BCA">
        <w:rPr>
          <w:sz w:val="22"/>
          <w:szCs w:val="22"/>
        </w:rPr>
        <w:t xml:space="preserve">Roberts, R., &amp; Norris, K. (2020). Using objective structured clinical examination for selection into and progress through postgraduate training. In G. J. Rich, A. Padilla-Lopez, L. Ebersohn, J. Taylor, &amp; S. Morrissey (Eds.), </w:t>
      </w:r>
      <w:r w:rsidRPr="00B305F9">
        <w:rPr>
          <w:i/>
          <w:sz w:val="22"/>
          <w:szCs w:val="22"/>
        </w:rPr>
        <w:t>Teaching psychology around the world</w:t>
      </w:r>
      <w:r w:rsidRPr="00A97BCA">
        <w:rPr>
          <w:sz w:val="22"/>
          <w:szCs w:val="22"/>
        </w:rPr>
        <w:t xml:space="preserve"> (Volume 5). </w:t>
      </w:r>
      <w:r w:rsidR="00F75AA1">
        <w:rPr>
          <w:sz w:val="22"/>
          <w:szCs w:val="22"/>
        </w:rPr>
        <w:t>(pp. 242-252). C</w:t>
      </w:r>
      <w:r w:rsidRPr="00A97BCA">
        <w:rPr>
          <w:sz w:val="22"/>
          <w:szCs w:val="22"/>
        </w:rPr>
        <w:t xml:space="preserve">ambridge Scholars Press. </w:t>
      </w:r>
    </w:p>
    <w:p w14:paraId="3475A33D" w14:textId="16959BAC" w:rsidR="008C658F" w:rsidRPr="00BD4DB3" w:rsidRDefault="008C658F" w:rsidP="00DD4C25">
      <w:pPr>
        <w:spacing w:line="480" w:lineRule="auto"/>
        <w:ind w:left="720" w:hanging="720"/>
        <w:rPr>
          <w:sz w:val="22"/>
          <w:szCs w:val="22"/>
        </w:rPr>
      </w:pPr>
      <w:r w:rsidRPr="00BD4DB3">
        <w:rPr>
          <w:sz w:val="22"/>
          <w:szCs w:val="22"/>
        </w:rPr>
        <w:t xml:space="preserve">Sin, C., &amp; Neave, G. (2016). Employability deconstructed: Perceptions of Bologna stakeholders. </w:t>
      </w:r>
      <w:r w:rsidRPr="00BD4DB3">
        <w:rPr>
          <w:i/>
          <w:sz w:val="22"/>
          <w:szCs w:val="22"/>
        </w:rPr>
        <w:t>Studies in Higher Education, 41</w:t>
      </w:r>
      <w:r w:rsidRPr="00BD4DB3">
        <w:rPr>
          <w:sz w:val="22"/>
          <w:szCs w:val="22"/>
        </w:rPr>
        <w:t xml:space="preserve">(8), 1447-1462. </w:t>
      </w:r>
      <w:hyperlink r:id="rId31" w:history="1">
        <w:r w:rsidRPr="00BD4DB3">
          <w:rPr>
            <w:rStyle w:val="Hyperlink"/>
            <w:sz w:val="22"/>
            <w:szCs w:val="22"/>
          </w:rPr>
          <w:t>https://doi.org/10.1080/03075079.2014.977859</w:t>
        </w:r>
      </w:hyperlink>
      <w:r w:rsidRPr="00BD4DB3">
        <w:rPr>
          <w:sz w:val="22"/>
          <w:szCs w:val="22"/>
        </w:rPr>
        <w:t xml:space="preserve"> </w:t>
      </w:r>
    </w:p>
    <w:p w14:paraId="293C226C" w14:textId="1BAD480F" w:rsidR="00F726D9" w:rsidRPr="00BD4DB3" w:rsidRDefault="00F726D9" w:rsidP="00DD4C25">
      <w:pPr>
        <w:spacing w:line="480" w:lineRule="auto"/>
        <w:ind w:left="720" w:hanging="720"/>
        <w:rPr>
          <w:sz w:val="22"/>
          <w:szCs w:val="22"/>
        </w:rPr>
      </w:pPr>
      <w:r w:rsidRPr="00BD4DB3">
        <w:rPr>
          <w:sz w:val="22"/>
          <w:szCs w:val="22"/>
        </w:rPr>
        <w:t>Stanny, C. J., &amp; Halonen, J. S. (2011).</w:t>
      </w:r>
      <w:r w:rsidR="00F037A2" w:rsidRPr="00BD4DB3">
        <w:rPr>
          <w:sz w:val="22"/>
          <w:szCs w:val="22"/>
        </w:rPr>
        <w:t xml:space="preserve"> Accreditation, accountability, and assessment: Faculty development’s </w:t>
      </w:r>
      <w:r w:rsidR="001A740F" w:rsidRPr="00BD4DB3">
        <w:rPr>
          <w:sz w:val="22"/>
          <w:szCs w:val="22"/>
        </w:rPr>
        <w:t xml:space="preserve">role in addressing multiple agendas. In L. Stefani (Ed.), </w:t>
      </w:r>
      <w:r w:rsidR="001A740F" w:rsidRPr="00BD4DB3">
        <w:rPr>
          <w:i/>
          <w:sz w:val="22"/>
          <w:szCs w:val="22"/>
        </w:rPr>
        <w:t xml:space="preserve">Evaluating the effectiveness of academic development practice: A professional guide </w:t>
      </w:r>
      <w:r w:rsidR="001A740F" w:rsidRPr="00BD4DB3">
        <w:rPr>
          <w:sz w:val="22"/>
          <w:szCs w:val="22"/>
        </w:rPr>
        <w:t>(pp. 169-182). Routledge.</w:t>
      </w:r>
    </w:p>
    <w:p w14:paraId="536CA094" w14:textId="6E8B04F8" w:rsidR="008C658F" w:rsidRPr="00BD4DB3" w:rsidRDefault="008C658F" w:rsidP="00DD4C25">
      <w:pPr>
        <w:spacing w:line="480" w:lineRule="auto"/>
        <w:ind w:left="720" w:hanging="720"/>
        <w:rPr>
          <w:sz w:val="22"/>
          <w:szCs w:val="22"/>
        </w:rPr>
      </w:pPr>
      <w:r w:rsidRPr="00BD4DB3">
        <w:rPr>
          <w:sz w:val="22"/>
          <w:szCs w:val="22"/>
        </w:rPr>
        <w:t xml:space="preserve">Sung, Y. T., Lin, C. S., Lee, C. L., &amp; Chang, K. E. (2003). Evaluating proposals for experiments: An application of web-based self-assessment and peer-assessment. </w:t>
      </w:r>
      <w:r w:rsidRPr="00BD4DB3">
        <w:rPr>
          <w:i/>
          <w:sz w:val="22"/>
          <w:szCs w:val="22"/>
        </w:rPr>
        <w:t>Teaching of Psychology, 30</w:t>
      </w:r>
      <w:r w:rsidRPr="00BD4DB3">
        <w:rPr>
          <w:sz w:val="22"/>
          <w:szCs w:val="22"/>
        </w:rPr>
        <w:t xml:space="preserve">(4), 331-334. </w:t>
      </w:r>
      <w:hyperlink r:id="rId32" w:history="1">
        <w:r w:rsidR="001F7CE1" w:rsidRPr="00BD4DB3">
          <w:rPr>
            <w:rStyle w:val="Hyperlink"/>
            <w:sz w:val="22"/>
            <w:szCs w:val="22"/>
          </w:rPr>
          <w:t>https://doi.org/10.1207/S15328023TOP3004_06</w:t>
        </w:r>
      </w:hyperlink>
      <w:r w:rsidR="001F7CE1" w:rsidRPr="00BD4DB3">
        <w:rPr>
          <w:sz w:val="22"/>
          <w:szCs w:val="22"/>
        </w:rPr>
        <w:t xml:space="preserve"> </w:t>
      </w:r>
      <w:r w:rsidRPr="00BD4DB3">
        <w:rPr>
          <w:sz w:val="22"/>
          <w:szCs w:val="22"/>
        </w:rPr>
        <w:t xml:space="preserve"> </w:t>
      </w:r>
      <w:r w:rsidR="001F7CE1" w:rsidRPr="00BD4DB3">
        <w:rPr>
          <w:sz w:val="22"/>
          <w:szCs w:val="22"/>
        </w:rPr>
        <w:t xml:space="preserve"> </w:t>
      </w:r>
    </w:p>
    <w:p w14:paraId="09593C23" w14:textId="70947D92" w:rsidR="008C658F" w:rsidRPr="00BD4DB3" w:rsidRDefault="008C658F" w:rsidP="00DD4C25">
      <w:pPr>
        <w:spacing w:line="480" w:lineRule="auto"/>
        <w:ind w:left="720" w:right="-180" w:hanging="720"/>
        <w:rPr>
          <w:sz w:val="22"/>
          <w:szCs w:val="22"/>
        </w:rPr>
      </w:pPr>
      <w:r w:rsidRPr="00BD4DB3">
        <w:rPr>
          <w:sz w:val="22"/>
          <w:szCs w:val="22"/>
        </w:rPr>
        <w:t xml:space="preserve">Syahruddin, M., Rosmayati, Bakti, D., &amp; Henuk, Y. L. (2016). Public policies for higher education systems in 10 ASEAN associate countries. </w:t>
      </w:r>
      <w:r w:rsidRPr="00BD4DB3">
        <w:rPr>
          <w:i/>
          <w:sz w:val="22"/>
          <w:szCs w:val="22"/>
        </w:rPr>
        <w:t xml:space="preserve">Advances in Social Science, Education and Humanities Research, 81, </w:t>
      </w:r>
      <w:r w:rsidRPr="00BD4DB3">
        <w:rPr>
          <w:sz w:val="22"/>
          <w:szCs w:val="22"/>
        </w:rPr>
        <w:t xml:space="preserve">280-286. </w:t>
      </w:r>
      <w:hyperlink r:id="rId33" w:history="1">
        <w:r w:rsidR="00CA37D2" w:rsidRPr="005A1A26">
          <w:rPr>
            <w:rStyle w:val="Hyperlink"/>
            <w:sz w:val="22"/>
            <w:szCs w:val="22"/>
          </w:rPr>
          <w:t>https://doi-org.ezproxy.shu.edu/10.2991/icosop-16.2017.41</w:t>
        </w:r>
      </w:hyperlink>
      <w:r w:rsidR="00CA37D2">
        <w:rPr>
          <w:sz w:val="22"/>
          <w:szCs w:val="22"/>
        </w:rPr>
        <w:t xml:space="preserve"> </w:t>
      </w:r>
    </w:p>
    <w:p w14:paraId="13C6154D" w14:textId="02DBCCD8" w:rsidR="008C658F" w:rsidRPr="00BD4DB3" w:rsidRDefault="008C658F" w:rsidP="00DD4C25">
      <w:pPr>
        <w:spacing w:line="480" w:lineRule="auto"/>
        <w:ind w:left="720" w:hanging="720"/>
        <w:rPr>
          <w:sz w:val="22"/>
          <w:szCs w:val="22"/>
        </w:rPr>
      </w:pPr>
      <w:r w:rsidRPr="00BD4DB3">
        <w:rPr>
          <w:sz w:val="22"/>
          <w:szCs w:val="22"/>
        </w:rPr>
        <w:t xml:space="preserve">Taylor-Jackson, J., &amp; Hulme, J. A. (2018). An overview of psychological literacy in practice from the UK. In G. J. Rich, A. Padilla-Lopez, L. K. De Souza, L. Zinkiewicz, J. Taylor-Jackson, &amp; J. L. Jaafar </w:t>
      </w:r>
      <w:r w:rsidR="001F7CE1" w:rsidRPr="00BD4DB3">
        <w:rPr>
          <w:sz w:val="22"/>
          <w:szCs w:val="22"/>
        </w:rPr>
        <w:t>(</w:t>
      </w:r>
      <w:r w:rsidRPr="00BD4DB3">
        <w:rPr>
          <w:sz w:val="22"/>
          <w:szCs w:val="22"/>
        </w:rPr>
        <w:t>Eds.), </w:t>
      </w:r>
      <w:r w:rsidRPr="00BD4DB3">
        <w:rPr>
          <w:i/>
          <w:sz w:val="22"/>
          <w:szCs w:val="22"/>
        </w:rPr>
        <w:t>Teaching psychology around the world. Volume 4</w:t>
      </w:r>
      <w:r w:rsidRPr="00BD4DB3">
        <w:rPr>
          <w:sz w:val="22"/>
          <w:szCs w:val="22"/>
        </w:rPr>
        <w:t xml:space="preserve"> (pp. 362-379). </w:t>
      </w:r>
    </w:p>
    <w:p w14:paraId="312BE558" w14:textId="53437C12" w:rsidR="008C658F" w:rsidRPr="00BD4DB3" w:rsidRDefault="008C658F" w:rsidP="00DD4C25">
      <w:pPr>
        <w:spacing w:line="480" w:lineRule="auto"/>
        <w:ind w:left="720" w:hanging="720"/>
        <w:rPr>
          <w:sz w:val="22"/>
          <w:szCs w:val="22"/>
        </w:rPr>
      </w:pPr>
      <w:r w:rsidRPr="00BD4DB3">
        <w:rPr>
          <w:sz w:val="22"/>
          <w:szCs w:val="22"/>
        </w:rPr>
        <w:t>Tchombe, T. M. S. (</w:t>
      </w:r>
      <w:r w:rsidR="00A97BCA">
        <w:rPr>
          <w:sz w:val="22"/>
          <w:szCs w:val="22"/>
        </w:rPr>
        <w:t>2020</w:t>
      </w:r>
      <w:r w:rsidRPr="00BD4DB3">
        <w:rPr>
          <w:sz w:val="22"/>
          <w:szCs w:val="22"/>
        </w:rPr>
        <w:t>)</w:t>
      </w:r>
      <w:r w:rsidR="00EF1A7C" w:rsidRPr="00BD4DB3">
        <w:rPr>
          <w:sz w:val="22"/>
          <w:szCs w:val="22"/>
        </w:rPr>
        <w:t>.</w:t>
      </w:r>
      <w:r w:rsidRPr="00BD4DB3">
        <w:rPr>
          <w:sz w:val="22"/>
          <w:szCs w:val="22"/>
        </w:rPr>
        <w:t xml:space="preserve"> Teaching of psychology: The case of some Cameroon universities. </w:t>
      </w:r>
      <w:r w:rsidR="00A97BCA" w:rsidRPr="00A97BCA">
        <w:rPr>
          <w:sz w:val="22"/>
          <w:szCs w:val="22"/>
        </w:rPr>
        <w:t xml:space="preserve">In G. J. Rich, A. Padilla-Lopez, L. Ebersohn, J. Taylor, &amp; S. Morrissey (Eds.), </w:t>
      </w:r>
      <w:r w:rsidR="00A97BCA" w:rsidRPr="00B305F9">
        <w:rPr>
          <w:i/>
          <w:sz w:val="22"/>
          <w:szCs w:val="22"/>
        </w:rPr>
        <w:t>Teaching psychology around the world</w:t>
      </w:r>
      <w:r w:rsidR="00A97BCA" w:rsidRPr="00A97BCA">
        <w:rPr>
          <w:sz w:val="22"/>
          <w:szCs w:val="22"/>
        </w:rPr>
        <w:t xml:space="preserve"> (Volume 5).</w:t>
      </w:r>
      <w:r w:rsidR="00F75AA1">
        <w:rPr>
          <w:sz w:val="22"/>
          <w:szCs w:val="22"/>
        </w:rPr>
        <w:t xml:space="preserve"> (p. 118-139). </w:t>
      </w:r>
      <w:r w:rsidR="00A97BCA" w:rsidRPr="00A97BCA">
        <w:rPr>
          <w:sz w:val="22"/>
          <w:szCs w:val="22"/>
        </w:rPr>
        <w:t xml:space="preserve">Cambridge Scholars Press. </w:t>
      </w:r>
    </w:p>
    <w:p w14:paraId="35ADA0D7" w14:textId="5A8195A4" w:rsidR="008626BB" w:rsidRPr="00BD4DB3" w:rsidRDefault="008626BB" w:rsidP="00DD4C25">
      <w:pPr>
        <w:spacing w:line="480" w:lineRule="auto"/>
        <w:ind w:left="720" w:hanging="720"/>
        <w:rPr>
          <w:sz w:val="22"/>
          <w:szCs w:val="22"/>
        </w:rPr>
      </w:pPr>
      <w:r w:rsidRPr="00BD4DB3">
        <w:rPr>
          <w:sz w:val="22"/>
          <w:szCs w:val="22"/>
        </w:rPr>
        <w:t>Thege, B.</w:t>
      </w:r>
      <w:r w:rsidR="00CA37D2">
        <w:rPr>
          <w:sz w:val="22"/>
          <w:szCs w:val="22"/>
        </w:rPr>
        <w:t xml:space="preserve"> </w:t>
      </w:r>
      <w:r w:rsidRPr="00BD4DB3">
        <w:rPr>
          <w:sz w:val="22"/>
          <w:szCs w:val="22"/>
        </w:rPr>
        <w:t xml:space="preserve">K., &amp; Dobson, K. S. (2016). Toward a culturally informed evaluation of foreign qualifications: An overview of the European Union’s clinical psychology training system in the North American context. </w:t>
      </w:r>
      <w:r w:rsidRPr="00BD4DB3">
        <w:rPr>
          <w:i/>
          <w:sz w:val="22"/>
          <w:szCs w:val="22"/>
        </w:rPr>
        <w:t>Professional Psychology: Research and Practice, 47</w:t>
      </w:r>
      <w:r w:rsidRPr="00BD4DB3">
        <w:rPr>
          <w:sz w:val="22"/>
          <w:szCs w:val="22"/>
        </w:rPr>
        <w:t xml:space="preserve">(2), 163–169. </w:t>
      </w:r>
      <w:hyperlink r:id="rId34" w:history="1">
        <w:r w:rsidR="00F75AA1" w:rsidRPr="005A1A26">
          <w:rPr>
            <w:rStyle w:val="Hyperlink"/>
            <w:sz w:val="22"/>
            <w:szCs w:val="22"/>
          </w:rPr>
          <w:t>https://doi.org/10.1037/pro0000045</w:t>
        </w:r>
      </w:hyperlink>
      <w:r w:rsidR="00F75AA1">
        <w:rPr>
          <w:sz w:val="22"/>
          <w:szCs w:val="22"/>
        </w:rPr>
        <w:t xml:space="preserve"> </w:t>
      </w:r>
    </w:p>
    <w:p w14:paraId="61003B02" w14:textId="77777777" w:rsidR="008626BB" w:rsidRPr="00BD4DB3" w:rsidRDefault="008626BB" w:rsidP="00DD4C25">
      <w:pPr>
        <w:spacing w:line="480" w:lineRule="auto"/>
        <w:ind w:left="720" w:hanging="720"/>
        <w:rPr>
          <w:sz w:val="22"/>
          <w:szCs w:val="22"/>
        </w:rPr>
      </w:pPr>
      <w:r w:rsidRPr="00BD4DB3">
        <w:rPr>
          <w:i/>
          <w:iCs/>
          <w:sz w:val="22"/>
          <w:szCs w:val="22"/>
        </w:rPr>
        <w:t>Tuning Africa</w:t>
      </w:r>
      <w:r w:rsidRPr="00BD4DB3">
        <w:rPr>
          <w:i/>
          <w:sz w:val="22"/>
          <w:szCs w:val="22"/>
        </w:rPr>
        <w:t>.</w:t>
      </w:r>
      <w:r w:rsidRPr="00BD4DB3">
        <w:rPr>
          <w:sz w:val="22"/>
          <w:szCs w:val="22"/>
        </w:rPr>
        <w:t xml:space="preserve"> (n.d.). Retrieved from </w:t>
      </w:r>
      <w:hyperlink r:id="rId35" w:history="1">
        <w:r w:rsidRPr="00BD4DB3">
          <w:rPr>
            <w:rStyle w:val="Hyperlink"/>
            <w:sz w:val="22"/>
            <w:szCs w:val="22"/>
          </w:rPr>
          <w:t>https://tuningafrica.org/en/</w:t>
        </w:r>
      </w:hyperlink>
    </w:p>
    <w:p w14:paraId="373114B1" w14:textId="77777777" w:rsidR="008626BB" w:rsidRPr="00BD4DB3" w:rsidRDefault="008626BB" w:rsidP="00DD4C25">
      <w:pPr>
        <w:spacing w:line="480" w:lineRule="auto"/>
        <w:ind w:left="720" w:hanging="720"/>
        <w:rPr>
          <w:color w:val="0000FF"/>
          <w:sz w:val="22"/>
          <w:szCs w:val="22"/>
          <w:u w:val="single"/>
        </w:rPr>
      </w:pPr>
      <w:r w:rsidRPr="00BD4DB3">
        <w:rPr>
          <w:sz w:val="22"/>
          <w:szCs w:val="22"/>
        </w:rPr>
        <w:t xml:space="preserve">University of New South Wales (UNSW). (n.d.). </w:t>
      </w:r>
      <w:r w:rsidRPr="00BD4DB3">
        <w:rPr>
          <w:i/>
          <w:sz w:val="22"/>
          <w:szCs w:val="22"/>
        </w:rPr>
        <w:t>UNSW Integrated curriculum framework</w:t>
      </w:r>
      <w:r w:rsidRPr="00BD4DB3">
        <w:rPr>
          <w:sz w:val="22"/>
          <w:szCs w:val="22"/>
        </w:rPr>
        <w:t xml:space="preserve">. Retrieved from </w:t>
      </w:r>
      <w:hyperlink r:id="rId36" w:history="1">
        <w:r w:rsidRPr="00BD4DB3">
          <w:rPr>
            <w:rStyle w:val="Hyperlink"/>
            <w:sz w:val="22"/>
            <w:szCs w:val="22"/>
          </w:rPr>
          <w:t>https://teaching.unsw.edu.au/integrated-curriculum-framework</w:t>
        </w:r>
      </w:hyperlink>
    </w:p>
    <w:p w14:paraId="2A125181" w14:textId="77777777" w:rsidR="009A2652" w:rsidRPr="00BD4DB3" w:rsidRDefault="009A2652" w:rsidP="00DD4C25">
      <w:pPr>
        <w:spacing w:line="480" w:lineRule="auto"/>
        <w:ind w:left="720" w:hanging="720"/>
        <w:rPr>
          <w:sz w:val="22"/>
          <w:szCs w:val="22"/>
        </w:rPr>
      </w:pPr>
      <w:r w:rsidRPr="00BD4DB3">
        <w:rPr>
          <w:i/>
          <w:sz w:val="22"/>
          <w:szCs w:val="22"/>
        </w:rPr>
        <w:t>University World News</w:t>
      </w:r>
      <w:r w:rsidRPr="00BD4DB3">
        <w:rPr>
          <w:sz w:val="22"/>
          <w:szCs w:val="22"/>
        </w:rPr>
        <w:t xml:space="preserve">. Cameroon: ‘Bologna’ introduced – but little understood. (2008, May 25). </w:t>
      </w:r>
      <w:r w:rsidRPr="00BD4DB3">
        <w:rPr>
          <w:i/>
          <w:sz w:val="22"/>
          <w:szCs w:val="22"/>
        </w:rPr>
        <w:t>University World News</w:t>
      </w:r>
      <w:r w:rsidRPr="00BD4DB3">
        <w:rPr>
          <w:sz w:val="22"/>
          <w:szCs w:val="22"/>
        </w:rPr>
        <w:t xml:space="preserve">. Retrieved from </w:t>
      </w:r>
      <w:hyperlink r:id="rId37" w:history="1">
        <w:r w:rsidRPr="00BD4DB3">
          <w:rPr>
            <w:rStyle w:val="Hyperlink"/>
            <w:sz w:val="22"/>
            <w:szCs w:val="22"/>
          </w:rPr>
          <w:t>https://www.universityworldnews.com/</w:t>
        </w:r>
      </w:hyperlink>
      <w:r w:rsidRPr="00BD4DB3">
        <w:rPr>
          <w:sz w:val="22"/>
          <w:szCs w:val="22"/>
        </w:rPr>
        <w:t xml:space="preserve"> </w:t>
      </w:r>
    </w:p>
    <w:p w14:paraId="57645875" w14:textId="16B0AFDF" w:rsidR="00EA077B" w:rsidRPr="00BD4DB3" w:rsidRDefault="00EA077B" w:rsidP="00DD4C25">
      <w:pPr>
        <w:spacing w:line="480" w:lineRule="auto"/>
        <w:ind w:left="720" w:hanging="720"/>
        <w:rPr>
          <w:rFonts w:eastAsia="Times New Roman"/>
          <w:sz w:val="22"/>
          <w:szCs w:val="22"/>
        </w:rPr>
      </w:pPr>
      <w:r w:rsidRPr="00BD4DB3">
        <w:rPr>
          <w:rFonts w:eastAsia="Times New Roman"/>
          <w:i/>
          <w:sz w:val="22"/>
          <w:szCs w:val="22"/>
        </w:rPr>
        <w:t>University World News</w:t>
      </w:r>
      <w:r w:rsidRPr="00BD4DB3">
        <w:rPr>
          <w:rFonts w:eastAsia="Times New Roman"/>
          <w:sz w:val="22"/>
          <w:szCs w:val="22"/>
        </w:rPr>
        <w:t xml:space="preserve">. (2013, July 6). International mobility of African students – Report. </w:t>
      </w:r>
      <w:r w:rsidRPr="00BD4DB3">
        <w:rPr>
          <w:rFonts w:eastAsia="Times New Roman"/>
          <w:i/>
          <w:sz w:val="22"/>
          <w:szCs w:val="22"/>
        </w:rPr>
        <w:t>University World News</w:t>
      </w:r>
      <w:r w:rsidRPr="00BD4DB3">
        <w:rPr>
          <w:rFonts w:eastAsia="Times New Roman"/>
          <w:sz w:val="22"/>
          <w:szCs w:val="22"/>
        </w:rPr>
        <w:t xml:space="preserve">. Retrieved from </w:t>
      </w:r>
      <w:hyperlink r:id="rId38" w:history="1">
        <w:r w:rsidRPr="00BD4DB3">
          <w:rPr>
            <w:rStyle w:val="Hyperlink"/>
            <w:rFonts w:eastAsia="Times New Roman"/>
            <w:sz w:val="22"/>
            <w:szCs w:val="22"/>
          </w:rPr>
          <w:t>https://www.universityworldnews.com/post.php?story=20130705203103913</w:t>
        </w:r>
      </w:hyperlink>
      <w:r w:rsidRPr="00BD4DB3">
        <w:rPr>
          <w:rFonts w:eastAsia="Times New Roman"/>
          <w:sz w:val="22"/>
          <w:szCs w:val="22"/>
        </w:rPr>
        <w:t xml:space="preserve"> </w:t>
      </w:r>
    </w:p>
    <w:p w14:paraId="19D02F82" w14:textId="145B46FC" w:rsidR="008626BB" w:rsidRPr="00BD4DB3" w:rsidRDefault="008626BB" w:rsidP="00DD4C25">
      <w:pPr>
        <w:spacing w:line="480" w:lineRule="auto"/>
        <w:ind w:left="720" w:hanging="720"/>
        <w:rPr>
          <w:sz w:val="22"/>
          <w:szCs w:val="22"/>
        </w:rPr>
      </w:pPr>
      <w:r w:rsidRPr="00BD4DB3">
        <w:rPr>
          <w:sz w:val="22"/>
          <w:szCs w:val="22"/>
        </w:rPr>
        <w:t xml:space="preserve">UPP Foundation. (2019). </w:t>
      </w:r>
      <w:r w:rsidRPr="00BD4DB3">
        <w:rPr>
          <w:i/>
          <w:sz w:val="22"/>
          <w:szCs w:val="22"/>
        </w:rPr>
        <w:t>Truly civic: Strengthening the connection between universities and their places</w:t>
      </w:r>
      <w:r w:rsidRPr="00BD4DB3">
        <w:rPr>
          <w:sz w:val="22"/>
          <w:szCs w:val="22"/>
        </w:rPr>
        <w:t xml:space="preserve">. Author. </w:t>
      </w:r>
    </w:p>
    <w:p w14:paraId="4D98C5B5" w14:textId="71DAB738" w:rsidR="00601A08" w:rsidRPr="00BD4DB3" w:rsidRDefault="008626BB" w:rsidP="002D1E79">
      <w:pPr>
        <w:spacing w:line="480" w:lineRule="auto"/>
        <w:ind w:left="720" w:hanging="720"/>
        <w:rPr>
          <w:sz w:val="22"/>
          <w:szCs w:val="22"/>
        </w:rPr>
      </w:pPr>
      <w:r w:rsidRPr="00BD4DB3">
        <w:rPr>
          <w:sz w:val="22"/>
          <w:szCs w:val="22"/>
        </w:rPr>
        <w:t xml:space="preserve">Zmas, A. (2015). Global impacts of the Bologna Process: International perspectives, local particularities. </w:t>
      </w:r>
      <w:r w:rsidRPr="00BD4DB3">
        <w:rPr>
          <w:i/>
          <w:sz w:val="22"/>
          <w:szCs w:val="22"/>
        </w:rPr>
        <w:t>Compare: A Journal of Comparative and International Education, 45</w:t>
      </w:r>
      <w:r w:rsidRPr="00BD4DB3">
        <w:rPr>
          <w:sz w:val="22"/>
          <w:szCs w:val="22"/>
        </w:rPr>
        <w:t xml:space="preserve">(5), 727-747. </w:t>
      </w:r>
      <w:hyperlink r:id="rId39" w:history="1">
        <w:r w:rsidR="001F7CE1" w:rsidRPr="00BD4DB3">
          <w:rPr>
            <w:rStyle w:val="Hyperlink"/>
            <w:sz w:val="22"/>
            <w:szCs w:val="22"/>
          </w:rPr>
          <w:t>https://doi.org/10.1080/03057925.2014.899725</w:t>
        </w:r>
      </w:hyperlink>
      <w:r w:rsidR="001F7CE1" w:rsidRPr="00BD4DB3">
        <w:rPr>
          <w:sz w:val="22"/>
          <w:szCs w:val="22"/>
        </w:rPr>
        <w:t xml:space="preserve"> </w:t>
      </w:r>
    </w:p>
    <w:sectPr w:rsidR="00601A08" w:rsidRPr="00BD4DB3" w:rsidSect="00771ECD">
      <w:headerReference w:type="default" r:id="rId4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BB0C3" w14:textId="77777777" w:rsidR="000F7FB9" w:rsidRDefault="000F7FB9" w:rsidP="00F75C6F">
      <w:r>
        <w:separator/>
      </w:r>
    </w:p>
  </w:endnote>
  <w:endnote w:type="continuationSeparator" w:id="0">
    <w:p w14:paraId="20C12DF1" w14:textId="77777777" w:rsidR="000F7FB9" w:rsidRDefault="000F7FB9" w:rsidP="00F7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2C04A" w14:textId="77777777" w:rsidR="000F7FB9" w:rsidRDefault="000F7FB9" w:rsidP="00F75C6F">
      <w:r>
        <w:separator/>
      </w:r>
    </w:p>
  </w:footnote>
  <w:footnote w:type="continuationSeparator" w:id="0">
    <w:p w14:paraId="6F515373" w14:textId="77777777" w:rsidR="000F7FB9" w:rsidRDefault="000F7FB9" w:rsidP="00F75C6F">
      <w:r>
        <w:continuationSeparator/>
      </w:r>
    </w:p>
  </w:footnote>
  <w:footnote w:id="1">
    <w:p w14:paraId="6F679EA2" w14:textId="0CBEF729" w:rsidR="005E5C1F" w:rsidRDefault="005E5C1F">
      <w:pPr>
        <w:pStyle w:val="FootnoteText"/>
      </w:pPr>
      <w:r>
        <w:rPr>
          <w:rStyle w:val="FootnoteReference"/>
        </w:rPr>
        <w:footnoteRef/>
      </w:r>
      <w:r>
        <w:t xml:space="preserve"> Two of this paper’s authors (Nolan, Dunn) were part of the initiative, the Summit on the National Teaching of Psychology (SNAP), that developed Project Assessment.</w:t>
      </w:r>
    </w:p>
  </w:footnote>
  <w:footnote w:id="2">
    <w:p w14:paraId="796E455D" w14:textId="40A1432A" w:rsidR="005E5C1F" w:rsidRPr="00D54C07" w:rsidRDefault="005E5C1F" w:rsidP="001076C6">
      <w:pPr>
        <w:rPr>
          <w:rFonts w:eastAsia="Times New Roman"/>
          <w:b/>
          <w:sz w:val="20"/>
          <w:szCs w:val="20"/>
        </w:rPr>
      </w:pPr>
      <w:r>
        <w:rPr>
          <w:rStyle w:val="FootnoteReference"/>
        </w:rPr>
        <w:footnoteRef/>
      </w:r>
      <w:r>
        <w:t xml:space="preserve"> </w:t>
      </w:r>
      <w:r w:rsidRPr="00D54C07">
        <w:rPr>
          <w:rFonts w:eastAsia="Times New Roman"/>
          <w:sz w:val="20"/>
          <w:szCs w:val="20"/>
        </w:rPr>
        <w:t xml:space="preserve">The language of </w:t>
      </w:r>
      <w:r>
        <w:rPr>
          <w:rFonts w:eastAsia="Times New Roman"/>
          <w:sz w:val="20"/>
          <w:szCs w:val="20"/>
        </w:rPr>
        <w:t>common frameworks</w:t>
      </w:r>
      <w:r w:rsidRPr="00D54C07">
        <w:rPr>
          <w:rFonts w:eastAsia="Times New Roman"/>
          <w:sz w:val="20"/>
          <w:szCs w:val="20"/>
        </w:rPr>
        <w:t xml:space="preserve"> often seems to be describing a musical performance. Words like “tuning” and “harmonization” replace the language of standardization to reflect that curricula, learning outcomes, and assessments across institutions and countries work together rather than serve as interchangeable duplicates of each other. </w:t>
      </w:r>
    </w:p>
    <w:p w14:paraId="0D31225E" w14:textId="70A23D6B" w:rsidR="005E5C1F" w:rsidRDefault="005E5C1F">
      <w:pPr>
        <w:pStyle w:val="FootnoteText"/>
      </w:pPr>
    </w:p>
  </w:footnote>
  <w:footnote w:id="3">
    <w:p w14:paraId="1CA9AC0D" w14:textId="26D1DE79" w:rsidR="005E5C1F" w:rsidRDefault="005E5C1F">
      <w:pPr>
        <w:pStyle w:val="FootnoteText"/>
      </w:pPr>
      <w:r>
        <w:rPr>
          <w:rStyle w:val="FootnoteReference"/>
        </w:rPr>
        <w:footnoteRef/>
      </w:r>
      <w:r>
        <w:t xml:space="preserve"> In this paper, we use the word “course” to refer to discrete units within the curriculum; in some countries and institutions, courses are called modules or units. </w:t>
      </w:r>
    </w:p>
  </w:footnote>
  <w:footnote w:id="4">
    <w:p w14:paraId="731D0C7A" w14:textId="0D6803F4" w:rsidR="005E5C1F" w:rsidRDefault="005E5C1F">
      <w:pPr>
        <w:pStyle w:val="FootnoteText"/>
      </w:pPr>
      <w:r>
        <w:rPr>
          <w:rStyle w:val="FootnoteReference"/>
        </w:rPr>
        <w:footnoteRef/>
      </w:r>
      <w:r>
        <w:t xml:space="preserve"> APA does have national guidelines for practicing psychologists that guide state associations; however, because Project Assessment is focused on undergraduate psychology, we will keep our focus on the undergraduate level. </w:t>
      </w:r>
    </w:p>
  </w:footnote>
  <w:footnote w:id="5">
    <w:p w14:paraId="62F32D96" w14:textId="0B97535E" w:rsidR="005E5C1F" w:rsidRDefault="005E5C1F">
      <w:pPr>
        <w:pStyle w:val="FootnoteText"/>
      </w:pPr>
      <w:r>
        <w:rPr>
          <w:rStyle w:val="FootnoteReference"/>
        </w:rPr>
        <w:footnoteRef/>
      </w:r>
      <w:r>
        <w:t xml:space="preserve"> Following APA policy, the current Guidelines, which appeared in 2013, will be undergoing a 10-year review and possible revision in the next two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BE7F" w14:textId="7A661ECC" w:rsidR="005E5C1F" w:rsidRPr="00AD192B" w:rsidRDefault="005E5C1F">
    <w:pPr>
      <w:pStyle w:val="Header"/>
      <w:rPr>
        <w:sz w:val="22"/>
        <w:szCs w:val="22"/>
      </w:rPr>
    </w:pPr>
    <w:r w:rsidRPr="00AD192B">
      <w:rPr>
        <w:sz w:val="22"/>
        <w:szCs w:val="22"/>
      </w:rPr>
      <w:t>AN INTERNATIONAL PERSPECTIVE</w:t>
    </w:r>
    <w:r w:rsidRPr="00AD192B">
      <w:rPr>
        <w:sz w:val="22"/>
        <w:szCs w:val="22"/>
      </w:rPr>
      <w:ptab w:relativeTo="margin" w:alignment="center" w:leader="none"/>
    </w:r>
    <w:r w:rsidRPr="00AD192B">
      <w:rPr>
        <w:sz w:val="22"/>
        <w:szCs w:val="22"/>
      </w:rPr>
      <w:ptab w:relativeTo="margin" w:alignment="right" w:leader="none"/>
    </w:r>
    <w:r w:rsidRPr="00AD192B">
      <w:rPr>
        <w:sz w:val="22"/>
        <w:szCs w:val="22"/>
      </w:rPr>
      <w:fldChar w:fldCharType="begin"/>
    </w:r>
    <w:r w:rsidRPr="00AD192B">
      <w:rPr>
        <w:sz w:val="22"/>
        <w:szCs w:val="22"/>
      </w:rPr>
      <w:instrText xml:space="preserve"> PAGE   \* MERGEFORMAT </w:instrText>
    </w:r>
    <w:r w:rsidRPr="00AD192B">
      <w:rPr>
        <w:sz w:val="22"/>
        <w:szCs w:val="22"/>
      </w:rPr>
      <w:fldChar w:fldCharType="separate"/>
    </w:r>
    <w:r w:rsidR="00EA07D6">
      <w:rPr>
        <w:noProof/>
        <w:sz w:val="22"/>
        <w:szCs w:val="22"/>
      </w:rPr>
      <w:t>4</w:t>
    </w:r>
    <w:r w:rsidRPr="00AD192B">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21DE"/>
    <w:multiLevelType w:val="hybridMultilevel"/>
    <w:tmpl w:val="B20038E8"/>
    <w:lvl w:ilvl="0" w:tplc="A3D6DD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E0828"/>
    <w:multiLevelType w:val="hybridMultilevel"/>
    <w:tmpl w:val="1C4E378C"/>
    <w:lvl w:ilvl="0" w:tplc="676C03EC">
      <w:start w:val="1"/>
      <w:numFmt w:val="bullet"/>
      <w:lvlText w:val="•"/>
      <w:lvlJc w:val="left"/>
      <w:pPr>
        <w:tabs>
          <w:tab w:val="num" w:pos="720"/>
        </w:tabs>
        <w:ind w:left="720" w:hanging="360"/>
      </w:pPr>
      <w:rPr>
        <w:rFonts w:ascii="Arial" w:hAnsi="Arial" w:hint="default"/>
      </w:rPr>
    </w:lvl>
    <w:lvl w:ilvl="1" w:tplc="F006E0AA" w:tentative="1">
      <w:start w:val="1"/>
      <w:numFmt w:val="bullet"/>
      <w:lvlText w:val="•"/>
      <w:lvlJc w:val="left"/>
      <w:pPr>
        <w:tabs>
          <w:tab w:val="num" w:pos="1440"/>
        </w:tabs>
        <w:ind w:left="1440" w:hanging="360"/>
      </w:pPr>
      <w:rPr>
        <w:rFonts w:ascii="Arial" w:hAnsi="Arial" w:hint="default"/>
      </w:rPr>
    </w:lvl>
    <w:lvl w:ilvl="2" w:tplc="8B642234" w:tentative="1">
      <w:start w:val="1"/>
      <w:numFmt w:val="bullet"/>
      <w:lvlText w:val="•"/>
      <w:lvlJc w:val="left"/>
      <w:pPr>
        <w:tabs>
          <w:tab w:val="num" w:pos="2160"/>
        </w:tabs>
        <w:ind w:left="2160" w:hanging="360"/>
      </w:pPr>
      <w:rPr>
        <w:rFonts w:ascii="Arial" w:hAnsi="Arial" w:hint="default"/>
      </w:rPr>
    </w:lvl>
    <w:lvl w:ilvl="3" w:tplc="8BF4A718" w:tentative="1">
      <w:start w:val="1"/>
      <w:numFmt w:val="bullet"/>
      <w:lvlText w:val="•"/>
      <w:lvlJc w:val="left"/>
      <w:pPr>
        <w:tabs>
          <w:tab w:val="num" w:pos="2880"/>
        </w:tabs>
        <w:ind w:left="2880" w:hanging="360"/>
      </w:pPr>
      <w:rPr>
        <w:rFonts w:ascii="Arial" w:hAnsi="Arial" w:hint="default"/>
      </w:rPr>
    </w:lvl>
    <w:lvl w:ilvl="4" w:tplc="B2388E96" w:tentative="1">
      <w:start w:val="1"/>
      <w:numFmt w:val="bullet"/>
      <w:lvlText w:val="•"/>
      <w:lvlJc w:val="left"/>
      <w:pPr>
        <w:tabs>
          <w:tab w:val="num" w:pos="3600"/>
        </w:tabs>
        <w:ind w:left="3600" w:hanging="360"/>
      </w:pPr>
      <w:rPr>
        <w:rFonts w:ascii="Arial" w:hAnsi="Arial" w:hint="default"/>
      </w:rPr>
    </w:lvl>
    <w:lvl w:ilvl="5" w:tplc="888C06F0" w:tentative="1">
      <w:start w:val="1"/>
      <w:numFmt w:val="bullet"/>
      <w:lvlText w:val="•"/>
      <w:lvlJc w:val="left"/>
      <w:pPr>
        <w:tabs>
          <w:tab w:val="num" w:pos="4320"/>
        </w:tabs>
        <w:ind w:left="4320" w:hanging="360"/>
      </w:pPr>
      <w:rPr>
        <w:rFonts w:ascii="Arial" w:hAnsi="Arial" w:hint="default"/>
      </w:rPr>
    </w:lvl>
    <w:lvl w:ilvl="6" w:tplc="A134C72C" w:tentative="1">
      <w:start w:val="1"/>
      <w:numFmt w:val="bullet"/>
      <w:lvlText w:val="•"/>
      <w:lvlJc w:val="left"/>
      <w:pPr>
        <w:tabs>
          <w:tab w:val="num" w:pos="5040"/>
        </w:tabs>
        <w:ind w:left="5040" w:hanging="360"/>
      </w:pPr>
      <w:rPr>
        <w:rFonts w:ascii="Arial" w:hAnsi="Arial" w:hint="default"/>
      </w:rPr>
    </w:lvl>
    <w:lvl w:ilvl="7" w:tplc="85360118" w:tentative="1">
      <w:start w:val="1"/>
      <w:numFmt w:val="bullet"/>
      <w:lvlText w:val="•"/>
      <w:lvlJc w:val="left"/>
      <w:pPr>
        <w:tabs>
          <w:tab w:val="num" w:pos="5760"/>
        </w:tabs>
        <w:ind w:left="5760" w:hanging="360"/>
      </w:pPr>
      <w:rPr>
        <w:rFonts w:ascii="Arial" w:hAnsi="Arial" w:hint="default"/>
      </w:rPr>
    </w:lvl>
    <w:lvl w:ilvl="8" w:tplc="6554BD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C12C5E"/>
    <w:multiLevelType w:val="hybridMultilevel"/>
    <w:tmpl w:val="2AD23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D5B0B"/>
    <w:multiLevelType w:val="multilevel"/>
    <w:tmpl w:val="1826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54F40"/>
    <w:multiLevelType w:val="hybridMultilevel"/>
    <w:tmpl w:val="6CD25490"/>
    <w:lvl w:ilvl="0" w:tplc="B1B4C8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706D4"/>
    <w:multiLevelType w:val="multilevel"/>
    <w:tmpl w:val="581C9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92748"/>
    <w:multiLevelType w:val="hybridMultilevel"/>
    <w:tmpl w:val="61929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0386D"/>
    <w:multiLevelType w:val="hybridMultilevel"/>
    <w:tmpl w:val="B950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315C0"/>
    <w:multiLevelType w:val="hybridMultilevel"/>
    <w:tmpl w:val="1DC6BB9E"/>
    <w:lvl w:ilvl="0" w:tplc="7B169D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0309FF"/>
    <w:multiLevelType w:val="hybridMultilevel"/>
    <w:tmpl w:val="5030AD5A"/>
    <w:lvl w:ilvl="0" w:tplc="C4BAA3EA">
      <w:start w:val="1"/>
      <w:numFmt w:val="bullet"/>
      <w:lvlText w:val="•"/>
      <w:lvlJc w:val="left"/>
      <w:pPr>
        <w:tabs>
          <w:tab w:val="num" w:pos="360"/>
        </w:tabs>
        <w:ind w:left="360" w:hanging="360"/>
      </w:pPr>
      <w:rPr>
        <w:rFonts w:ascii="Arial" w:hAnsi="Arial" w:hint="default"/>
      </w:rPr>
    </w:lvl>
    <w:lvl w:ilvl="1" w:tplc="E7F67248" w:tentative="1">
      <w:start w:val="1"/>
      <w:numFmt w:val="bullet"/>
      <w:lvlText w:val="•"/>
      <w:lvlJc w:val="left"/>
      <w:pPr>
        <w:tabs>
          <w:tab w:val="num" w:pos="1080"/>
        </w:tabs>
        <w:ind w:left="1080" w:hanging="360"/>
      </w:pPr>
      <w:rPr>
        <w:rFonts w:ascii="Arial" w:hAnsi="Arial" w:hint="default"/>
      </w:rPr>
    </w:lvl>
    <w:lvl w:ilvl="2" w:tplc="D382AC02" w:tentative="1">
      <w:start w:val="1"/>
      <w:numFmt w:val="bullet"/>
      <w:lvlText w:val="•"/>
      <w:lvlJc w:val="left"/>
      <w:pPr>
        <w:tabs>
          <w:tab w:val="num" w:pos="1800"/>
        </w:tabs>
        <w:ind w:left="1800" w:hanging="360"/>
      </w:pPr>
      <w:rPr>
        <w:rFonts w:ascii="Arial" w:hAnsi="Arial" w:hint="default"/>
      </w:rPr>
    </w:lvl>
    <w:lvl w:ilvl="3" w:tplc="7B38871A" w:tentative="1">
      <w:start w:val="1"/>
      <w:numFmt w:val="bullet"/>
      <w:lvlText w:val="•"/>
      <w:lvlJc w:val="left"/>
      <w:pPr>
        <w:tabs>
          <w:tab w:val="num" w:pos="2520"/>
        </w:tabs>
        <w:ind w:left="2520" w:hanging="360"/>
      </w:pPr>
      <w:rPr>
        <w:rFonts w:ascii="Arial" w:hAnsi="Arial" w:hint="default"/>
      </w:rPr>
    </w:lvl>
    <w:lvl w:ilvl="4" w:tplc="80F23F00" w:tentative="1">
      <w:start w:val="1"/>
      <w:numFmt w:val="bullet"/>
      <w:lvlText w:val="•"/>
      <w:lvlJc w:val="left"/>
      <w:pPr>
        <w:tabs>
          <w:tab w:val="num" w:pos="3240"/>
        </w:tabs>
        <w:ind w:left="3240" w:hanging="360"/>
      </w:pPr>
      <w:rPr>
        <w:rFonts w:ascii="Arial" w:hAnsi="Arial" w:hint="default"/>
      </w:rPr>
    </w:lvl>
    <w:lvl w:ilvl="5" w:tplc="44C4804E" w:tentative="1">
      <w:start w:val="1"/>
      <w:numFmt w:val="bullet"/>
      <w:lvlText w:val="•"/>
      <w:lvlJc w:val="left"/>
      <w:pPr>
        <w:tabs>
          <w:tab w:val="num" w:pos="3960"/>
        </w:tabs>
        <w:ind w:left="3960" w:hanging="360"/>
      </w:pPr>
      <w:rPr>
        <w:rFonts w:ascii="Arial" w:hAnsi="Arial" w:hint="default"/>
      </w:rPr>
    </w:lvl>
    <w:lvl w:ilvl="6" w:tplc="8FB0D9CE" w:tentative="1">
      <w:start w:val="1"/>
      <w:numFmt w:val="bullet"/>
      <w:lvlText w:val="•"/>
      <w:lvlJc w:val="left"/>
      <w:pPr>
        <w:tabs>
          <w:tab w:val="num" w:pos="4680"/>
        </w:tabs>
        <w:ind w:left="4680" w:hanging="360"/>
      </w:pPr>
      <w:rPr>
        <w:rFonts w:ascii="Arial" w:hAnsi="Arial" w:hint="default"/>
      </w:rPr>
    </w:lvl>
    <w:lvl w:ilvl="7" w:tplc="39C6C53C" w:tentative="1">
      <w:start w:val="1"/>
      <w:numFmt w:val="bullet"/>
      <w:lvlText w:val="•"/>
      <w:lvlJc w:val="left"/>
      <w:pPr>
        <w:tabs>
          <w:tab w:val="num" w:pos="5400"/>
        </w:tabs>
        <w:ind w:left="5400" w:hanging="360"/>
      </w:pPr>
      <w:rPr>
        <w:rFonts w:ascii="Arial" w:hAnsi="Arial" w:hint="default"/>
      </w:rPr>
    </w:lvl>
    <w:lvl w:ilvl="8" w:tplc="083AE71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6CAE25C6"/>
    <w:multiLevelType w:val="hybridMultilevel"/>
    <w:tmpl w:val="D07A8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4"/>
  </w:num>
  <w:num w:numId="5">
    <w:abstractNumId w:val="6"/>
  </w:num>
  <w:num w:numId="6">
    <w:abstractNumId w:val="7"/>
  </w:num>
  <w:num w:numId="7">
    <w:abstractNumId w:val="0"/>
  </w:num>
  <w:num w:numId="8">
    <w:abstractNumId w:val="2"/>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04E"/>
    <w:rsid w:val="0001157F"/>
    <w:rsid w:val="000143F4"/>
    <w:rsid w:val="0001517D"/>
    <w:rsid w:val="00020D45"/>
    <w:rsid w:val="00040B55"/>
    <w:rsid w:val="00041A9D"/>
    <w:rsid w:val="00043284"/>
    <w:rsid w:val="00046AB8"/>
    <w:rsid w:val="00047530"/>
    <w:rsid w:val="00052C58"/>
    <w:rsid w:val="00053BF5"/>
    <w:rsid w:val="000561FE"/>
    <w:rsid w:val="000668D5"/>
    <w:rsid w:val="00067E80"/>
    <w:rsid w:val="00070512"/>
    <w:rsid w:val="00072107"/>
    <w:rsid w:val="000722AF"/>
    <w:rsid w:val="000726FA"/>
    <w:rsid w:val="00076882"/>
    <w:rsid w:val="00086457"/>
    <w:rsid w:val="00091BCB"/>
    <w:rsid w:val="00091F8D"/>
    <w:rsid w:val="000A5B29"/>
    <w:rsid w:val="000B5C04"/>
    <w:rsid w:val="000B6E76"/>
    <w:rsid w:val="000B7E08"/>
    <w:rsid w:val="000C0352"/>
    <w:rsid w:val="000C3377"/>
    <w:rsid w:val="000C7785"/>
    <w:rsid w:val="000F334F"/>
    <w:rsid w:val="000F6400"/>
    <w:rsid w:val="000F7FB9"/>
    <w:rsid w:val="001076C6"/>
    <w:rsid w:val="001249D6"/>
    <w:rsid w:val="00124E18"/>
    <w:rsid w:val="00137832"/>
    <w:rsid w:val="00143BE4"/>
    <w:rsid w:val="00150408"/>
    <w:rsid w:val="00151823"/>
    <w:rsid w:val="00167640"/>
    <w:rsid w:val="00170DF7"/>
    <w:rsid w:val="00177E9B"/>
    <w:rsid w:val="00181A47"/>
    <w:rsid w:val="0018468A"/>
    <w:rsid w:val="0018618B"/>
    <w:rsid w:val="00186D7E"/>
    <w:rsid w:val="0019594E"/>
    <w:rsid w:val="001A1068"/>
    <w:rsid w:val="001A740F"/>
    <w:rsid w:val="001B29FD"/>
    <w:rsid w:val="001B2D23"/>
    <w:rsid w:val="001B3474"/>
    <w:rsid w:val="001C37BC"/>
    <w:rsid w:val="001C5AEA"/>
    <w:rsid w:val="001E0459"/>
    <w:rsid w:val="001E3130"/>
    <w:rsid w:val="001E4510"/>
    <w:rsid w:val="001F2412"/>
    <w:rsid w:val="001F307B"/>
    <w:rsid w:val="001F59EC"/>
    <w:rsid w:val="001F7CE1"/>
    <w:rsid w:val="002024E1"/>
    <w:rsid w:val="0022608B"/>
    <w:rsid w:val="00232B47"/>
    <w:rsid w:val="00234637"/>
    <w:rsid w:val="00246276"/>
    <w:rsid w:val="0025172D"/>
    <w:rsid w:val="00265DE9"/>
    <w:rsid w:val="002712ED"/>
    <w:rsid w:val="002753A0"/>
    <w:rsid w:val="002756C6"/>
    <w:rsid w:val="002A241A"/>
    <w:rsid w:val="002A7853"/>
    <w:rsid w:val="002B2811"/>
    <w:rsid w:val="002C32B9"/>
    <w:rsid w:val="002D1E79"/>
    <w:rsid w:val="002D6C1F"/>
    <w:rsid w:val="002E0A4C"/>
    <w:rsid w:val="002F03EF"/>
    <w:rsid w:val="002F19FF"/>
    <w:rsid w:val="00303BDA"/>
    <w:rsid w:val="00307924"/>
    <w:rsid w:val="00327C77"/>
    <w:rsid w:val="00331F4F"/>
    <w:rsid w:val="00342045"/>
    <w:rsid w:val="00342570"/>
    <w:rsid w:val="00351F54"/>
    <w:rsid w:val="003602ED"/>
    <w:rsid w:val="00362098"/>
    <w:rsid w:val="00365DCF"/>
    <w:rsid w:val="00377FFA"/>
    <w:rsid w:val="003A18AD"/>
    <w:rsid w:val="003A1F36"/>
    <w:rsid w:val="003A76D0"/>
    <w:rsid w:val="003B400A"/>
    <w:rsid w:val="003B4DE1"/>
    <w:rsid w:val="003C6C47"/>
    <w:rsid w:val="003C716D"/>
    <w:rsid w:val="003D09EA"/>
    <w:rsid w:val="003D7351"/>
    <w:rsid w:val="003E3245"/>
    <w:rsid w:val="003E5B06"/>
    <w:rsid w:val="003E6727"/>
    <w:rsid w:val="003E7669"/>
    <w:rsid w:val="00401263"/>
    <w:rsid w:val="00404D2F"/>
    <w:rsid w:val="00405785"/>
    <w:rsid w:val="00413DE0"/>
    <w:rsid w:val="004270F3"/>
    <w:rsid w:val="00436A5B"/>
    <w:rsid w:val="00440CFB"/>
    <w:rsid w:val="004432E6"/>
    <w:rsid w:val="00446E66"/>
    <w:rsid w:val="0044735C"/>
    <w:rsid w:val="0045309B"/>
    <w:rsid w:val="00453825"/>
    <w:rsid w:val="00454169"/>
    <w:rsid w:val="0045781C"/>
    <w:rsid w:val="0046010A"/>
    <w:rsid w:val="00462D30"/>
    <w:rsid w:val="0046529A"/>
    <w:rsid w:val="00481625"/>
    <w:rsid w:val="004851C1"/>
    <w:rsid w:val="004A514B"/>
    <w:rsid w:val="004B2B6A"/>
    <w:rsid w:val="004B2C9C"/>
    <w:rsid w:val="004C010F"/>
    <w:rsid w:val="004C25E5"/>
    <w:rsid w:val="004C4081"/>
    <w:rsid w:val="004D2580"/>
    <w:rsid w:val="004E328D"/>
    <w:rsid w:val="004E54A8"/>
    <w:rsid w:val="004F132E"/>
    <w:rsid w:val="004F3DF9"/>
    <w:rsid w:val="0050131D"/>
    <w:rsid w:val="005120D3"/>
    <w:rsid w:val="00522E3E"/>
    <w:rsid w:val="00523124"/>
    <w:rsid w:val="00534781"/>
    <w:rsid w:val="0054580A"/>
    <w:rsid w:val="00557BBD"/>
    <w:rsid w:val="0057156F"/>
    <w:rsid w:val="00573FA3"/>
    <w:rsid w:val="00586DBC"/>
    <w:rsid w:val="00591153"/>
    <w:rsid w:val="00594973"/>
    <w:rsid w:val="00595C45"/>
    <w:rsid w:val="005974CE"/>
    <w:rsid w:val="005A0044"/>
    <w:rsid w:val="005A194C"/>
    <w:rsid w:val="005A1B3D"/>
    <w:rsid w:val="005A22FA"/>
    <w:rsid w:val="005B70A3"/>
    <w:rsid w:val="005C1652"/>
    <w:rsid w:val="005C283C"/>
    <w:rsid w:val="005D26AD"/>
    <w:rsid w:val="005D51DF"/>
    <w:rsid w:val="005D7631"/>
    <w:rsid w:val="005E056B"/>
    <w:rsid w:val="005E5C1F"/>
    <w:rsid w:val="005F1110"/>
    <w:rsid w:val="00601A08"/>
    <w:rsid w:val="00601CA1"/>
    <w:rsid w:val="0060504E"/>
    <w:rsid w:val="00626D8A"/>
    <w:rsid w:val="0063017E"/>
    <w:rsid w:val="00633D89"/>
    <w:rsid w:val="00643080"/>
    <w:rsid w:val="00644401"/>
    <w:rsid w:val="006461CF"/>
    <w:rsid w:val="0064638D"/>
    <w:rsid w:val="00647160"/>
    <w:rsid w:val="00647573"/>
    <w:rsid w:val="00647687"/>
    <w:rsid w:val="006778EE"/>
    <w:rsid w:val="00693B38"/>
    <w:rsid w:val="006A2272"/>
    <w:rsid w:val="006A4206"/>
    <w:rsid w:val="006A7DBB"/>
    <w:rsid w:val="006B0BEE"/>
    <w:rsid w:val="006B1584"/>
    <w:rsid w:val="006C3294"/>
    <w:rsid w:val="006C6F93"/>
    <w:rsid w:val="006D129F"/>
    <w:rsid w:val="006D1D71"/>
    <w:rsid w:val="006D2718"/>
    <w:rsid w:val="006E0011"/>
    <w:rsid w:val="006E0719"/>
    <w:rsid w:val="006E4170"/>
    <w:rsid w:val="0070110C"/>
    <w:rsid w:val="007013AF"/>
    <w:rsid w:val="00705DA1"/>
    <w:rsid w:val="007108F3"/>
    <w:rsid w:val="007123AE"/>
    <w:rsid w:val="00716C89"/>
    <w:rsid w:val="00736D12"/>
    <w:rsid w:val="007411B4"/>
    <w:rsid w:val="007500AA"/>
    <w:rsid w:val="00755A83"/>
    <w:rsid w:val="00755C95"/>
    <w:rsid w:val="00755CDD"/>
    <w:rsid w:val="007578BD"/>
    <w:rsid w:val="007615C0"/>
    <w:rsid w:val="00762E6B"/>
    <w:rsid w:val="00771ECD"/>
    <w:rsid w:val="0078068A"/>
    <w:rsid w:val="0078772D"/>
    <w:rsid w:val="007906F0"/>
    <w:rsid w:val="00790BD0"/>
    <w:rsid w:val="00796108"/>
    <w:rsid w:val="007B3071"/>
    <w:rsid w:val="007C04FD"/>
    <w:rsid w:val="007C0EF1"/>
    <w:rsid w:val="007C11C8"/>
    <w:rsid w:val="007C200A"/>
    <w:rsid w:val="007D0A6E"/>
    <w:rsid w:val="007D45C6"/>
    <w:rsid w:val="007E2956"/>
    <w:rsid w:val="007E3DCA"/>
    <w:rsid w:val="007E5574"/>
    <w:rsid w:val="007F25E7"/>
    <w:rsid w:val="007F6780"/>
    <w:rsid w:val="007F7133"/>
    <w:rsid w:val="00801D0D"/>
    <w:rsid w:val="0080311C"/>
    <w:rsid w:val="008042AE"/>
    <w:rsid w:val="00821087"/>
    <w:rsid w:val="00824D5B"/>
    <w:rsid w:val="008265F9"/>
    <w:rsid w:val="00832A7F"/>
    <w:rsid w:val="00840792"/>
    <w:rsid w:val="00852F79"/>
    <w:rsid w:val="008626BB"/>
    <w:rsid w:val="00863470"/>
    <w:rsid w:val="00865EA0"/>
    <w:rsid w:val="00866C96"/>
    <w:rsid w:val="00874105"/>
    <w:rsid w:val="00895C4C"/>
    <w:rsid w:val="008A630F"/>
    <w:rsid w:val="008B0885"/>
    <w:rsid w:val="008B33D7"/>
    <w:rsid w:val="008B5C95"/>
    <w:rsid w:val="008C21C2"/>
    <w:rsid w:val="008C658F"/>
    <w:rsid w:val="008F1EBC"/>
    <w:rsid w:val="00912D8B"/>
    <w:rsid w:val="009156DE"/>
    <w:rsid w:val="00916683"/>
    <w:rsid w:val="009243CA"/>
    <w:rsid w:val="009309FD"/>
    <w:rsid w:val="00931404"/>
    <w:rsid w:val="00935729"/>
    <w:rsid w:val="00952ED8"/>
    <w:rsid w:val="00954D91"/>
    <w:rsid w:val="009568A6"/>
    <w:rsid w:val="00967925"/>
    <w:rsid w:val="00972378"/>
    <w:rsid w:val="009726D2"/>
    <w:rsid w:val="009844FA"/>
    <w:rsid w:val="00984D84"/>
    <w:rsid w:val="00997ECC"/>
    <w:rsid w:val="009A2652"/>
    <w:rsid w:val="009A3B46"/>
    <w:rsid w:val="009A5E1C"/>
    <w:rsid w:val="009B6A56"/>
    <w:rsid w:val="009B7CF6"/>
    <w:rsid w:val="009C4D0C"/>
    <w:rsid w:val="009C5949"/>
    <w:rsid w:val="009C6001"/>
    <w:rsid w:val="009D2ACD"/>
    <w:rsid w:val="009D5BAB"/>
    <w:rsid w:val="009E274A"/>
    <w:rsid w:val="009E27A1"/>
    <w:rsid w:val="009E3AA4"/>
    <w:rsid w:val="00A16921"/>
    <w:rsid w:val="00A2407A"/>
    <w:rsid w:val="00A25927"/>
    <w:rsid w:val="00A3419E"/>
    <w:rsid w:val="00A406FC"/>
    <w:rsid w:val="00A50C75"/>
    <w:rsid w:val="00A516BE"/>
    <w:rsid w:val="00A51A9F"/>
    <w:rsid w:val="00A52A40"/>
    <w:rsid w:val="00A655C9"/>
    <w:rsid w:val="00A66220"/>
    <w:rsid w:val="00A67A9B"/>
    <w:rsid w:val="00A76655"/>
    <w:rsid w:val="00A77C32"/>
    <w:rsid w:val="00A82519"/>
    <w:rsid w:val="00A83D46"/>
    <w:rsid w:val="00A9093B"/>
    <w:rsid w:val="00A943D1"/>
    <w:rsid w:val="00A95D72"/>
    <w:rsid w:val="00A97BCA"/>
    <w:rsid w:val="00AA168C"/>
    <w:rsid w:val="00AA29F7"/>
    <w:rsid w:val="00AA2BDE"/>
    <w:rsid w:val="00AA6E4E"/>
    <w:rsid w:val="00AB419E"/>
    <w:rsid w:val="00AC08F1"/>
    <w:rsid w:val="00AC1B1A"/>
    <w:rsid w:val="00AD192B"/>
    <w:rsid w:val="00AF1672"/>
    <w:rsid w:val="00AF5447"/>
    <w:rsid w:val="00AF69E4"/>
    <w:rsid w:val="00B032A8"/>
    <w:rsid w:val="00B11C7D"/>
    <w:rsid w:val="00B14CB4"/>
    <w:rsid w:val="00B20416"/>
    <w:rsid w:val="00B22E1C"/>
    <w:rsid w:val="00B305F9"/>
    <w:rsid w:val="00B373C6"/>
    <w:rsid w:val="00B42A7E"/>
    <w:rsid w:val="00B4387F"/>
    <w:rsid w:val="00B4694E"/>
    <w:rsid w:val="00B47C5F"/>
    <w:rsid w:val="00B56F18"/>
    <w:rsid w:val="00B615D4"/>
    <w:rsid w:val="00B62456"/>
    <w:rsid w:val="00B648E4"/>
    <w:rsid w:val="00B737D4"/>
    <w:rsid w:val="00B74CDD"/>
    <w:rsid w:val="00B805FC"/>
    <w:rsid w:val="00B82A91"/>
    <w:rsid w:val="00B912D6"/>
    <w:rsid w:val="00B9375C"/>
    <w:rsid w:val="00B94C2D"/>
    <w:rsid w:val="00BA2E07"/>
    <w:rsid w:val="00BA5F38"/>
    <w:rsid w:val="00BB3D1F"/>
    <w:rsid w:val="00BC336C"/>
    <w:rsid w:val="00BC3A21"/>
    <w:rsid w:val="00BD09C2"/>
    <w:rsid w:val="00BD4DB3"/>
    <w:rsid w:val="00BD6AC1"/>
    <w:rsid w:val="00BE7184"/>
    <w:rsid w:val="00BF1AE3"/>
    <w:rsid w:val="00C048F4"/>
    <w:rsid w:val="00C04F72"/>
    <w:rsid w:val="00C05409"/>
    <w:rsid w:val="00C17694"/>
    <w:rsid w:val="00C271B5"/>
    <w:rsid w:val="00C33693"/>
    <w:rsid w:val="00C402EC"/>
    <w:rsid w:val="00C43CB4"/>
    <w:rsid w:val="00C44123"/>
    <w:rsid w:val="00C53F60"/>
    <w:rsid w:val="00C57488"/>
    <w:rsid w:val="00C713E2"/>
    <w:rsid w:val="00C760D9"/>
    <w:rsid w:val="00C76859"/>
    <w:rsid w:val="00C76C47"/>
    <w:rsid w:val="00C82840"/>
    <w:rsid w:val="00C93A19"/>
    <w:rsid w:val="00C9543F"/>
    <w:rsid w:val="00C97EC4"/>
    <w:rsid w:val="00CA093B"/>
    <w:rsid w:val="00CA37D2"/>
    <w:rsid w:val="00CB322B"/>
    <w:rsid w:val="00CC4EE5"/>
    <w:rsid w:val="00CD4289"/>
    <w:rsid w:val="00CE270C"/>
    <w:rsid w:val="00CE357E"/>
    <w:rsid w:val="00CE57E9"/>
    <w:rsid w:val="00CE7327"/>
    <w:rsid w:val="00CF0182"/>
    <w:rsid w:val="00CF33CB"/>
    <w:rsid w:val="00D10327"/>
    <w:rsid w:val="00D123DC"/>
    <w:rsid w:val="00D23921"/>
    <w:rsid w:val="00D24DA0"/>
    <w:rsid w:val="00D25DE6"/>
    <w:rsid w:val="00D34667"/>
    <w:rsid w:val="00D36A10"/>
    <w:rsid w:val="00D4475B"/>
    <w:rsid w:val="00D447B6"/>
    <w:rsid w:val="00D51222"/>
    <w:rsid w:val="00D528EE"/>
    <w:rsid w:val="00D548E9"/>
    <w:rsid w:val="00D54C07"/>
    <w:rsid w:val="00D64958"/>
    <w:rsid w:val="00D65BF5"/>
    <w:rsid w:val="00D76D34"/>
    <w:rsid w:val="00D8052F"/>
    <w:rsid w:val="00D81BCE"/>
    <w:rsid w:val="00D83D2B"/>
    <w:rsid w:val="00D90AFC"/>
    <w:rsid w:val="00D915D6"/>
    <w:rsid w:val="00D92749"/>
    <w:rsid w:val="00D95D8F"/>
    <w:rsid w:val="00D96366"/>
    <w:rsid w:val="00D9746F"/>
    <w:rsid w:val="00DA1F2C"/>
    <w:rsid w:val="00DA50AF"/>
    <w:rsid w:val="00DB0A7C"/>
    <w:rsid w:val="00DC6DC8"/>
    <w:rsid w:val="00DD4C25"/>
    <w:rsid w:val="00DD5CA9"/>
    <w:rsid w:val="00DF1308"/>
    <w:rsid w:val="00DF545E"/>
    <w:rsid w:val="00DF7A83"/>
    <w:rsid w:val="00E001C5"/>
    <w:rsid w:val="00E045F1"/>
    <w:rsid w:val="00E10E88"/>
    <w:rsid w:val="00E22C95"/>
    <w:rsid w:val="00E4297E"/>
    <w:rsid w:val="00E46E7F"/>
    <w:rsid w:val="00E5359E"/>
    <w:rsid w:val="00E61671"/>
    <w:rsid w:val="00E73C63"/>
    <w:rsid w:val="00E77EB7"/>
    <w:rsid w:val="00E82CB5"/>
    <w:rsid w:val="00E91AF2"/>
    <w:rsid w:val="00EA077B"/>
    <w:rsid w:val="00EA07D6"/>
    <w:rsid w:val="00EA304A"/>
    <w:rsid w:val="00EB37B0"/>
    <w:rsid w:val="00EB7FA0"/>
    <w:rsid w:val="00EC0309"/>
    <w:rsid w:val="00EC3CB0"/>
    <w:rsid w:val="00EC7EFA"/>
    <w:rsid w:val="00ED67FB"/>
    <w:rsid w:val="00ED7812"/>
    <w:rsid w:val="00EE1D93"/>
    <w:rsid w:val="00EE243B"/>
    <w:rsid w:val="00EE42BA"/>
    <w:rsid w:val="00EF12D1"/>
    <w:rsid w:val="00EF1A7C"/>
    <w:rsid w:val="00EF4736"/>
    <w:rsid w:val="00F01DF3"/>
    <w:rsid w:val="00F037A2"/>
    <w:rsid w:val="00F15040"/>
    <w:rsid w:val="00F1675E"/>
    <w:rsid w:val="00F263E6"/>
    <w:rsid w:val="00F30869"/>
    <w:rsid w:val="00F3474D"/>
    <w:rsid w:val="00F36A3C"/>
    <w:rsid w:val="00F37187"/>
    <w:rsid w:val="00F37C32"/>
    <w:rsid w:val="00F4106C"/>
    <w:rsid w:val="00F61212"/>
    <w:rsid w:val="00F726D9"/>
    <w:rsid w:val="00F73B5B"/>
    <w:rsid w:val="00F75AA1"/>
    <w:rsid w:val="00F75C6F"/>
    <w:rsid w:val="00F75DB7"/>
    <w:rsid w:val="00F853CA"/>
    <w:rsid w:val="00F860E4"/>
    <w:rsid w:val="00F909BD"/>
    <w:rsid w:val="00F94CA7"/>
    <w:rsid w:val="00F95582"/>
    <w:rsid w:val="00FC1ADF"/>
    <w:rsid w:val="00FC47E9"/>
    <w:rsid w:val="00FC50F8"/>
    <w:rsid w:val="00FC6210"/>
    <w:rsid w:val="00FD3B59"/>
    <w:rsid w:val="00FE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4103D"/>
  <w15:chartTrackingRefBased/>
  <w15:docId w15:val="{17A626EA-E83B-4497-8CBB-0AB8525A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D7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DE0"/>
    <w:pPr>
      <w:ind w:left="720"/>
      <w:contextualSpacing/>
    </w:pPr>
  </w:style>
  <w:style w:type="character" w:styleId="Hyperlink">
    <w:name w:val="Hyperlink"/>
    <w:basedOn w:val="DefaultParagraphFont"/>
    <w:uiPriority w:val="99"/>
    <w:unhideWhenUsed/>
    <w:rsid w:val="007E2956"/>
    <w:rPr>
      <w:color w:val="0000FF"/>
      <w:u w:val="single"/>
    </w:rPr>
  </w:style>
  <w:style w:type="paragraph" w:styleId="Header">
    <w:name w:val="header"/>
    <w:basedOn w:val="Normal"/>
    <w:link w:val="HeaderChar"/>
    <w:uiPriority w:val="99"/>
    <w:unhideWhenUsed/>
    <w:rsid w:val="00F75C6F"/>
    <w:pPr>
      <w:tabs>
        <w:tab w:val="center" w:pos="4680"/>
        <w:tab w:val="right" w:pos="9360"/>
      </w:tabs>
    </w:pPr>
  </w:style>
  <w:style w:type="character" w:customStyle="1" w:styleId="HeaderChar">
    <w:name w:val="Header Char"/>
    <w:basedOn w:val="DefaultParagraphFont"/>
    <w:link w:val="Header"/>
    <w:uiPriority w:val="99"/>
    <w:rsid w:val="00F75C6F"/>
    <w:rPr>
      <w:rFonts w:ascii="Times New Roman" w:hAnsi="Times New Roman" w:cs="Times New Roman"/>
      <w:sz w:val="24"/>
      <w:szCs w:val="24"/>
    </w:rPr>
  </w:style>
  <w:style w:type="paragraph" w:styleId="Footer">
    <w:name w:val="footer"/>
    <w:basedOn w:val="Normal"/>
    <w:link w:val="FooterChar"/>
    <w:uiPriority w:val="99"/>
    <w:unhideWhenUsed/>
    <w:rsid w:val="00F75C6F"/>
    <w:pPr>
      <w:tabs>
        <w:tab w:val="center" w:pos="4680"/>
        <w:tab w:val="right" w:pos="9360"/>
      </w:tabs>
    </w:pPr>
  </w:style>
  <w:style w:type="character" w:customStyle="1" w:styleId="FooterChar">
    <w:name w:val="Footer Char"/>
    <w:basedOn w:val="DefaultParagraphFont"/>
    <w:link w:val="Footer"/>
    <w:uiPriority w:val="99"/>
    <w:rsid w:val="00F75C6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D1D71"/>
    <w:rPr>
      <w:sz w:val="16"/>
      <w:szCs w:val="16"/>
    </w:rPr>
  </w:style>
  <w:style w:type="paragraph" w:styleId="CommentText">
    <w:name w:val="annotation text"/>
    <w:basedOn w:val="Normal"/>
    <w:link w:val="CommentTextChar"/>
    <w:uiPriority w:val="99"/>
    <w:semiHidden/>
    <w:unhideWhenUsed/>
    <w:rsid w:val="006D1D71"/>
    <w:rPr>
      <w:sz w:val="20"/>
      <w:szCs w:val="20"/>
    </w:rPr>
  </w:style>
  <w:style w:type="character" w:customStyle="1" w:styleId="CommentTextChar">
    <w:name w:val="Comment Text Char"/>
    <w:basedOn w:val="DefaultParagraphFont"/>
    <w:link w:val="CommentText"/>
    <w:uiPriority w:val="99"/>
    <w:semiHidden/>
    <w:rsid w:val="006D1D7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1D71"/>
    <w:rPr>
      <w:b/>
      <w:bCs/>
    </w:rPr>
  </w:style>
  <w:style w:type="character" w:customStyle="1" w:styleId="CommentSubjectChar">
    <w:name w:val="Comment Subject Char"/>
    <w:basedOn w:val="CommentTextChar"/>
    <w:link w:val="CommentSubject"/>
    <w:uiPriority w:val="99"/>
    <w:semiHidden/>
    <w:rsid w:val="006D1D7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D1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71"/>
    <w:rPr>
      <w:rFonts w:ascii="Segoe UI" w:hAnsi="Segoe UI" w:cs="Segoe UI"/>
      <w:sz w:val="18"/>
      <w:szCs w:val="18"/>
    </w:rPr>
  </w:style>
  <w:style w:type="paragraph" w:styleId="FootnoteText">
    <w:name w:val="footnote text"/>
    <w:basedOn w:val="Normal"/>
    <w:link w:val="FootnoteTextChar"/>
    <w:uiPriority w:val="99"/>
    <w:semiHidden/>
    <w:unhideWhenUsed/>
    <w:rsid w:val="00A25927"/>
    <w:rPr>
      <w:sz w:val="20"/>
      <w:szCs w:val="20"/>
    </w:rPr>
  </w:style>
  <w:style w:type="character" w:customStyle="1" w:styleId="FootnoteTextChar">
    <w:name w:val="Footnote Text Char"/>
    <w:basedOn w:val="DefaultParagraphFont"/>
    <w:link w:val="FootnoteText"/>
    <w:uiPriority w:val="99"/>
    <w:semiHidden/>
    <w:rsid w:val="00A2592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25927"/>
    <w:rPr>
      <w:vertAlign w:val="superscript"/>
    </w:rPr>
  </w:style>
  <w:style w:type="character" w:customStyle="1" w:styleId="Onopgelostemelding1">
    <w:name w:val="Onopgeloste melding1"/>
    <w:basedOn w:val="DefaultParagraphFont"/>
    <w:uiPriority w:val="99"/>
    <w:semiHidden/>
    <w:unhideWhenUsed/>
    <w:rsid w:val="00716C89"/>
    <w:rPr>
      <w:color w:val="605E5C"/>
      <w:shd w:val="clear" w:color="auto" w:fill="E1DFDD"/>
    </w:rPr>
  </w:style>
  <w:style w:type="paragraph" w:styleId="NormalWeb">
    <w:name w:val="Normal (Web)"/>
    <w:basedOn w:val="Normal"/>
    <w:uiPriority w:val="99"/>
    <w:unhideWhenUsed/>
    <w:rsid w:val="009A2652"/>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46529A"/>
    <w:rPr>
      <w:color w:val="605E5C"/>
      <w:shd w:val="clear" w:color="auto" w:fill="E1DFDD"/>
    </w:rPr>
  </w:style>
  <w:style w:type="character" w:customStyle="1" w:styleId="il">
    <w:name w:val="il"/>
    <w:basedOn w:val="DefaultParagraphFont"/>
    <w:rsid w:val="00F909BD"/>
  </w:style>
  <w:style w:type="character" w:styleId="UnresolvedMention">
    <w:name w:val="Unresolved Mention"/>
    <w:basedOn w:val="DefaultParagraphFont"/>
    <w:uiPriority w:val="99"/>
    <w:semiHidden/>
    <w:unhideWhenUsed/>
    <w:rsid w:val="00AF54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57468">
      <w:bodyDiv w:val="1"/>
      <w:marLeft w:val="0"/>
      <w:marRight w:val="0"/>
      <w:marTop w:val="0"/>
      <w:marBottom w:val="0"/>
      <w:divBdr>
        <w:top w:val="none" w:sz="0" w:space="0" w:color="auto"/>
        <w:left w:val="none" w:sz="0" w:space="0" w:color="auto"/>
        <w:bottom w:val="none" w:sz="0" w:space="0" w:color="auto"/>
        <w:right w:val="none" w:sz="0" w:space="0" w:color="auto"/>
      </w:divBdr>
    </w:div>
    <w:div w:id="108866729">
      <w:bodyDiv w:val="1"/>
      <w:marLeft w:val="0"/>
      <w:marRight w:val="0"/>
      <w:marTop w:val="0"/>
      <w:marBottom w:val="0"/>
      <w:divBdr>
        <w:top w:val="none" w:sz="0" w:space="0" w:color="auto"/>
        <w:left w:val="none" w:sz="0" w:space="0" w:color="auto"/>
        <w:bottom w:val="none" w:sz="0" w:space="0" w:color="auto"/>
        <w:right w:val="none" w:sz="0" w:space="0" w:color="auto"/>
      </w:divBdr>
    </w:div>
    <w:div w:id="273484968">
      <w:bodyDiv w:val="1"/>
      <w:marLeft w:val="0"/>
      <w:marRight w:val="0"/>
      <w:marTop w:val="0"/>
      <w:marBottom w:val="0"/>
      <w:divBdr>
        <w:top w:val="none" w:sz="0" w:space="0" w:color="auto"/>
        <w:left w:val="none" w:sz="0" w:space="0" w:color="auto"/>
        <w:bottom w:val="none" w:sz="0" w:space="0" w:color="auto"/>
        <w:right w:val="none" w:sz="0" w:space="0" w:color="auto"/>
      </w:divBdr>
    </w:div>
    <w:div w:id="408649411">
      <w:bodyDiv w:val="1"/>
      <w:marLeft w:val="0"/>
      <w:marRight w:val="0"/>
      <w:marTop w:val="0"/>
      <w:marBottom w:val="0"/>
      <w:divBdr>
        <w:top w:val="none" w:sz="0" w:space="0" w:color="auto"/>
        <w:left w:val="none" w:sz="0" w:space="0" w:color="auto"/>
        <w:bottom w:val="none" w:sz="0" w:space="0" w:color="auto"/>
        <w:right w:val="none" w:sz="0" w:space="0" w:color="auto"/>
      </w:divBdr>
    </w:div>
    <w:div w:id="463087974">
      <w:bodyDiv w:val="1"/>
      <w:marLeft w:val="0"/>
      <w:marRight w:val="0"/>
      <w:marTop w:val="0"/>
      <w:marBottom w:val="0"/>
      <w:divBdr>
        <w:top w:val="none" w:sz="0" w:space="0" w:color="auto"/>
        <w:left w:val="none" w:sz="0" w:space="0" w:color="auto"/>
        <w:bottom w:val="none" w:sz="0" w:space="0" w:color="auto"/>
        <w:right w:val="none" w:sz="0" w:space="0" w:color="auto"/>
      </w:divBdr>
      <w:divsChild>
        <w:div w:id="1644043450">
          <w:marLeft w:val="547"/>
          <w:marRight w:val="0"/>
          <w:marTop w:val="115"/>
          <w:marBottom w:val="0"/>
          <w:divBdr>
            <w:top w:val="none" w:sz="0" w:space="0" w:color="auto"/>
            <w:left w:val="none" w:sz="0" w:space="0" w:color="auto"/>
            <w:bottom w:val="none" w:sz="0" w:space="0" w:color="auto"/>
            <w:right w:val="none" w:sz="0" w:space="0" w:color="auto"/>
          </w:divBdr>
        </w:div>
      </w:divsChild>
    </w:div>
    <w:div w:id="522670778">
      <w:bodyDiv w:val="1"/>
      <w:marLeft w:val="0"/>
      <w:marRight w:val="0"/>
      <w:marTop w:val="0"/>
      <w:marBottom w:val="0"/>
      <w:divBdr>
        <w:top w:val="none" w:sz="0" w:space="0" w:color="auto"/>
        <w:left w:val="none" w:sz="0" w:space="0" w:color="auto"/>
        <w:bottom w:val="none" w:sz="0" w:space="0" w:color="auto"/>
        <w:right w:val="none" w:sz="0" w:space="0" w:color="auto"/>
      </w:divBdr>
    </w:div>
    <w:div w:id="1104377590">
      <w:bodyDiv w:val="1"/>
      <w:marLeft w:val="0"/>
      <w:marRight w:val="0"/>
      <w:marTop w:val="0"/>
      <w:marBottom w:val="0"/>
      <w:divBdr>
        <w:top w:val="none" w:sz="0" w:space="0" w:color="auto"/>
        <w:left w:val="none" w:sz="0" w:space="0" w:color="auto"/>
        <w:bottom w:val="none" w:sz="0" w:space="0" w:color="auto"/>
        <w:right w:val="none" w:sz="0" w:space="0" w:color="auto"/>
      </w:divBdr>
    </w:div>
    <w:div w:id="1125974860">
      <w:bodyDiv w:val="1"/>
      <w:marLeft w:val="0"/>
      <w:marRight w:val="0"/>
      <w:marTop w:val="0"/>
      <w:marBottom w:val="0"/>
      <w:divBdr>
        <w:top w:val="none" w:sz="0" w:space="0" w:color="auto"/>
        <w:left w:val="none" w:sz="0" w:space="0" w:color="auto"/>
        <w:bottom w:val="none" w:sz="0" w:space="0" w:color="auto"/>
        <w:right w:val="none" w:sz="0" w:space="0" w:color="auto"/>
      </w:divBdr>
    </w:div>
    <w:div w:id="1142842822">
      <w:bodyDiv w:val="1"/>
      <w:marLeft w:val="0"/>
      <w:marRight w:val="0"/>
      <w:marTop w:val="0"/>
      <w:marBottom w:val="0"/>
      <w:divBdr>
        <w:top w:val="none" w:sz="0" w:space="0" w:color="auto"/>
        <w:left w:val="none" w:sz="0" w:space="0" w:color="auto"/>
        <w:bottom w:val="none" w:sz="0" w:space="0" w:color="auto"/>
        <w:right w:val="none" w:sz="0" w:space="0" w:color="auto"/>
      </w:divBdr>
    </w:div>
    <w:div w:id="1267154779">
      <w:bodyDiv w:val="1"/>
      <w:marLeft w:val="0"/>
      <w:marRight w:val="0"/>
      <w:marTop w:val="0"/>
      <w:marBottom w:val="0"/>
      <w:divBdr>
        <w:top w:val="none" w:sz="0" w:space="0" w:color="auto"/>
        <w:left w:val="none" w:sz="0" w:space="0" w:color="auto"/>
        <w:bottom w:val="none" w:sz="0" w:space="0" w:color="auto"/>
        <w:right w:val="none" w:sz="0" w:space="0" w:color="auto"/>
      </w:divBdr>
    </w:div>
    <w:div w:id="1809085724">
      <w:bodyDiv w:val="1"/>
      <w:marLeft w:val="0"/>
      <w:marRight w:val="0"/>
      <w:marTop w:val="0"/>
      <w:marBottom w:val="0"/>
      <w:divBdr>
        <w:top w:val="none" w:sz="0" w:space="0" w:color="auto"/>
        <w:left w:val="none" w:sz="0" w:space="0" w:color="auto"/>
        <w:bottom w:val="none" w:sz="0" w:space="0" w:color="auto"/>
        <w:right w:val="none" w:sz="0" w:space="0" w:color="auto"/>
      </w:divBdr>
    </w:div>
    <w:div w:id="1824615388">
      <w:bodyDiv w:val="1"/>
      <w:marLeft w:val="0"/>
      <w:marRight w:val="0"/>
      <w:marTop w:val="0"/>
      <w:marBottom w:val="0"/>
      <w:divBdr>
        <w:top w:val="none" w:sz="0" w:space="0" w:color="auto"/>
        <w:left w:val="none" w:sz="0" w:space="0" w:color="auto"/>
        <w:bottom w:val="none" w:sz="0" w:space="0" w:color="auto"/>
        <w:right w:val="none" w:sz="0" w:space="0" w:color="auto"/>
      </w:divBdr>
    </w:div>
    <w:div w:id="1930195264">
      <w:bodyDiv w:val="1"/>
      <w:marLeft w:val="0"/>
      <w:marRight w:val="0"/>
      <w:marTop w:val="0"/>
      <w:marBottom w:val="0"/>
      <w:divBdr>
        <w:top w:val="none" w:sz="0" w:space="0" w:color="auto"/>
        <w:left w:val="none" w:sz="0" w:space="0" w:color="auto"/>
        <w:bottom w:val="none" w:sz="0" w:space="0" w:color="auto"/>
        <w:right w:val="none" w:sz="0" w:space="0" w:color="auto"/>
      </w:divBdr>
      <w:divsChild>
        <w:div w:id="1486555353">
          <w:marLeft w:val="547"/>
          <w:marRight w:val="0"/>
          <w:marTop w:val="115"/>
          <w:marBottom w:val="0"/>
          <w:divBdr>
            <w:top w:val="none" w:sz="0" w:space="0" w:color="auto"/>
            <w:left w:val="none" w:sz="0" w:space="0" w:color="auto"/>
            <w:bottom w:val="none" w:sz="0" w:space="0" w:color="auto"/>
            <w:right w:val="none" w:sz="0" w:space="0" w:color="auto"/>
          </w:divBdr>
        </w:div>
      </w:divsChild>
    </w:div>
    <w:div w:id="205739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339-9563" TargetMode="External"/><Relationship Id="rId13" Type="http://schemas.openxmlformats.org/officeDocument/2006/relationships/hyperlink" Target="mailto:susan.nolan@shu.edu" TargetMode="External"/><Relationship Id="rId18" Type="http://schemas.openxmlformats.org/officeDocument/2006/relationships/hyperlink" Target="https://doi-org.ezproxy.shu.edu/10.1177/1474904117733376" TargetMode="External"/><Relationship Id="rId26" Type="http://schemas.openxmlformats.org/officeDocument/2006/relationships/hyperlink" Target="https://doi.org/10.1080/02188791.2011.621243" TargetMode="External"/><Relationship Id="rId39" Type="http://schemas.openxmlformats.org/officeDocument/2006/relationships/hyperlink" Target="https://doi.org/10.1080/03057925.2014.899725" TargetMode="External"/><Relationship Id="rId3" Type="http://schemas.openxmlformats.org/officeDocument/2006/relationships/styles" Target="styles.xml"/><Relationship Id="rId21" Type="http://schemas.openxmlformats.org/officeDocument/2006/relationships/hyperlink" Target="https://doi.org/10.1007/BF02504676" TargetMode="External"/><Relationship Id="rId34" Type="http://schemas.openxmlformats.org/officeDocument/2006/relationships/hyperlink" Target="https://doi.org/10.1037/pro0000045"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cid.org/0000-0003-3434-2044" TargetMode="External"/><Relationship Id="rId17" Type="http://schemas.openxmlformats.org/officeDocument/2006/relationships/hyperlink" Target="https://wenr.wes.org/2014/06/the-bologna-process-as-a-model-for-regional-integration" TargetMode="External"/><Relationship Id="rId25" Type="http://schemas.openxmlformats.org/officeDocument/2006/relationships/hyperlink" Target="https://www.apa.org/ed/precollege/psn/2018/01/bachelors-degree" TargetMode="External"/><Relationship Id="rId33" Type="http://schemas.openxmlformats.org/officeDocument/2006/relationships/hyperlink" Target="https://doi-org.ezproxy.shu.edu/10.2991/icosop-16.2017.41" TargetMode="External"/><Relationship Id="rId38" Type="http://schemas.openxmlformats.org/officeDocument/2006/relationships/hyperlink" Target="https://www.universityworldnews.com/post.php?story=20130705203103913" TargetMode="External"/><Relationship Id="rId2" Type="http://schemas.openxmlformats.org/officeDocument/2006/relationships/numbering" Target="numbering.xml"/><Relationship Id="rId16" Type="http://schemas.openxmlformats.org/officeDocument/2006/relationships/hyperlink" Target="https://doi.org/10.1002/aca.302" TargetMode="External"/><Relationship Id="rId20" Type="http://schemas.openxmlformats.org/officeDocument/2006/relationships/hyperlink" Target="http://educational-affairs.efpa.eu/resources-for-the-public/pdf-ii/" TargetMode="External"/><Relationship Id="rId29" Type="http://schemas.openxmlformats.org/officeDocument/2006/relationships/hyperlink" Target="https://doi.org/10.1080/02602938.2011.55366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0000-0001-6217-1815" TargetMode="External"/><Relationship Id="rId24" Type="http://schemas.openxmlformats.org/officeDocument/2006/relationships/hyperlink" Target="%20https://doi.org/10.1504/IJEED.2013.056012%20" TargetMode="External"/><Relationship Id="rId32" Type="http://schemas.openxmlformats.org/officeDocument/2006/relationships/hyperlink" Target="https://doi.org/10.1207/S15328023TOP3004_06" TargetMode="External"/><Relationship Id="rId37" Type="http://schemas.openxmlformats.org/officeDocument/2006/relationships/hyperlink" Target="https://www.universityworldnews.com/post.php?story=20080522124202711"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uningafrica.org/en/the-africa-eu-partnership" TargetMode="External"/><Relationship Id="rId23" Type="http://schemas.openxmlformats.org/officeDocument/2006/relationships/hyperlink" Target="https://thebox.unsw.edu.au/video/scientia-education-academy-lecture-dr-luke-hunter-31-may-2018" TargetMode="External"/><Relationship Id="rId28" Type="http://schemas.openxmlformats.org/officeDocument/2006/relationships/hyperlink" Target="https://doi.org/10.1111/ijtd.12105" TargetMode="External"/><Relationship Id="rId36" Type="http://schemas.openxmlformats.org/officeDocument/2006/relationships/hyperlink" Target="https://teaching.unsw.edu.au/integrated-curriculum-framework" TargetMode="External"/><Relationship Id="rId10" Type="http://schemas.openxmlformats.org/officeDocument/2006/relationships/hyperlink" Target="https://orcid.org/0000-0002-8731-4402" TargetMode="External"/><Relationship Id="rId19" Type="http://schemas.openxmlformats.org/officeDocument/2006/relationships/hyperlink" Target="http://www.europsy-efpa.eu/sites/default/files/uploads/EuroPsy%20Regulations%20July%202011.pdf" TargetMode="External"/><Relationship Id="rId31" Type="http://schemas.openxmlformats.org/officeDocument/2006/relationships/hyperlink" Target="https://doi.org/10.1080/03075079.2014.977859" TargetMode="External"/><Relationship Id="rId4" Type="http://schemas.openxmlformats.org/officeDocument/2006/relationships/settings" Target="settings.xml"/><Relationship Id="rId9" Type="http://schemas.openxmlformats.org/officeDocument/2006/relationships/hyperlink" Target="https://orcid.org/0000-0002-3302-2260" TargetMode="External"/><Relationship Id="rId14" Type="http://schemas.openxmlformats.org/officeDocument/2006/relationships/hyperlink" Target="https://tuningafrica.org/en/what-is-tuning-africa" TargetMode="External"/><Relationship Id="rId22" Type="http://schemas.openxmlformats.org/officeDocument/2006/relationships/hyperlink" Target="https://doi.org/10.1177/0098628316679958" TargetMode="External"/><Relationship Id="rId27" Type="http://schemas.openxmlformats.org/officeDocument/2006/relationships/hyperlink" Target="https://doi.org/10.15173/ijsap.v1i1.3119" TargetMode="External"/><Relationship Id="rId30" Type="http://schemas.openxmlformats.org/officeDocument/2006/relationships/hyperlink" Target="https://doi.org/10.1080/07294360.2018.1446415" TargetMode="External"/><Relationship Id="rId35" Type="http://schemas.openxmlformats.org/officeDocument/2006/relationships/hyperlink" Target="https://tuningafrica.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8F7EC-2734-7049-A415-16A1578C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8701</Words>
  <Characters>49596</Characters>
  <Application>Microsoft Office Word</Application>
  <DocSecurity>0</DocSecurity>
  <Lines>413</Lines>
  <Paragraphs>116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Seton Hall University</Company>
  <LinksUpToDate>false</LinksUpToDate>
  <CharactersWithSpaces>58181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 Nolan</dc:creator>
  <cp:keywords/>
  <dc:description/>
  <cp:lastModifiedBy>Julie Harris-Hulme</cp:lastModifiedBy>
  <cp:revision>2</cp:revision>
  <dcterms:created xsi:type="dcterms:W3CDTF">2020-06-10T17:25:00Z</dcterms:created>
  <dcterms:modified xsi:type="dcterms:W3CDTF">2020-06-10T17:25:00Z</dcterms:modified>
</cp:coreProperties>
</file>