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BEA4" w14:textId="0837BB37" w:rsidR="00AD08DD" w:rsidRDefault="00AD08DD" w:rsidP="0092731F">
      <w:pPr>
        <w:spacing w:line="360" w:lineRule="auto"/>
        <w:jc w:val="center"/>
        <w:rPr>
          <w:rFonts w:ascii="Times New Roman" w:hAnsi="Times New Roman" w:cs="Times New Roman"/>
          <w:b/>
          <w:iCs/>
        </w:rPr>
      </w:pPr>
      <w:r>
        <w:rPr>
          <w:rFonts w:ascii="Times New Roman" w:hAnsi="Times New Roman" w:cs="Times New Roman"/>
          <w:b/>
          <w:iCs/>
        </w:rPr>
        <w:t>TITLE PAGE</w:t>
      </w:r>
    </w:p>
    <w:p w14:paraId="7FE798CB" w14:textId="78490454" w:rsidR="00AD08DD" w:rsidRDefault="00AD08DD" w:rsidP="00AD08DD">
      <w:pPr>
        <w:spacing w:line="360" w:lineRule="auto"/>
        <w:jc w:val="both"/>
        <w:rPr>
          <w:rFonts w:ascii="Times New Roman" w:hAnsi="Times New Roman" w:cs="Times New Roman"/>
          <w:b/>
          <w:iCs/>
        </w:rPr>
      </w:pPr>
    </w:p>
    <w:p w14:paraId="166196C3" w14:textId="77777777" w:rsidR="00AD08DD" w:rsidRPr="009D3659" w:rsidRDefault="00AD08DD" w:rsidP="00AD08DD">
      <w:pPr>
        <w:spacing w:line="360" w:lineRule="auto"/>
        <w:jc w:val="center"/>
        <w:rPr>
          <w:rFonts w:ascii="Times New Roman" w:hAnsi="Times New Roman" w:cs="Times New Roman"/>
          <w:b/>
          <w:i/>
        </w:rPr>
      </w:pPr>
      <w:r w:rsidRPr="009D3659">
        <w:rPr>
          <w:rFonts w:ascii="Times New Roman" w:hAnsi="Times New Roman" w:cs="Times New Roman"/>
          <w:b/>
          <w:i/>
        </w:rPr>
        <w:t xml:space="preserve">Teaching Feeling: Bringing Emotion into the </w:t>
      </w:r>
      <w:r>
        <w:rPr>
          <w:rFonts w:ascii="Times New Roman" w:hAnsi="Times New Roman" w:cs="Times New Roman"/>
          <w:b/>
          <w:i/>
        </w:rPr>
        <w:t>Law School</w:t>
      </w:r>
    </w:p>
    <w:p w14:paraId="243813F0" w14:textId="77777777" w:rsidR="00AD08DD" w:rsidRDefault="00AD08DD" w:rsidP="00AD08DD">
      <w:pPr>
        <w:spacing w:line="360" w:lineRule="auto"/>
        <w:jc w:val="both"/>
        <w:rPr>
          <w:rFonts w:ascii="Times New Roman" w:hAnsi="Times New Roman" w:cs="Times New Roman"/>
          <w:b/>
          <w:iCs/>
        </w:rPr>
      </w:pPr>
    </w:p>
    <w:p w14:paraId="42B701EF" w14:textId="3547303F" w:rsidR="00AD08DD" w:rsidRDefault="00AD08DD" w:rsidP="00AD08DD">
      <w:pPr>
        <w:pStyle w:val="Header"/>
        <w:jc w:val="both"/>
        <w:rPr>
          <w:rFonts w:ascii="Times New Roman" w:hAnsi="Times New Roman" w:cs="Times New Roman"/>
          <w:b/>
          <w:sz w:val="20"/>
          <w:szCs w:val="20"/>
          <w:lang w:val="en-AU"/>
        </w:rPr>
      </w:pPr>
      <w:r>
        <w:rPr>
          <w:rFonts w:ascii="Times New Roman" w:hAnsi="Times New Roman" w:cs="Times New Roman"/>
          <w:b/>
          <w:sz w:val="20"/>
          <w:szCs w:val="20"/>
          <w:lang w:val="en-AU"/>
        </w:rPr>
        <w:t xml:space="preserve">Name: </w:t>
      </w:r>
      <w:r w:rsidRPr="00AD08DD">
        <w:rPr>
          <w:rFonts w:ascii="Times New Roman" w:hAnsi="Times New Roman" w:cs="Times New Roman"/>
          <w:bCs/>
          <w:sz w:val="20"/>
          <w:szCs w:val="20"/>
          <w:lang w:val="en-AU"/>
        </w:rPr>
        <w:t>Senthorun Raj</w:t>
      </w:r>
    </w:p>
    <w:p w14:paraId="0712B3B0" w14:textId="77777777" w:rsidR="00AD08DD" w:rsidRDefault="00AD08DD" w:rsidP="00AD08DD">
      <w:pPr>
        <w:pStyle w:val="Header"/>
        <w:jc w:val="both"/>
        <w:rPr>
          <w:rFonts w:ascii="Times New Roman" w:hAnsi="Times New Roman" w:cs="Times New Roman"/>
          <w:b/>
          <w:sz w:val="20"/>
          <w:szCs w:val="20"/>
          <w:lang w:val="en-AU"/>
        </w:rPr>
      </w:pPr>
    </w:p>
    <w:p w14:paraId="2DB86815" w14:textId="77777777" w:rsidR="00AD08DD" w:rsidRDefault="00AD08DD" w:rsidP="00AD08DD">
      <w:pPr>
        <w:pStyle w:val="Header"/>
        <w:jc w:val="both"/>
        <w:rPr>
          <w:rFonts w:ascii="Times New Roman" w:hAnsi="Times New Roman" w:cs="Times New Roman"/>
          <w:b/>
          <w:sz w:val="20"/>
          <w:szCs w:val="20"/>
          <w:lang w:val="en-AU"/>
        </w:rPr>
      </w:pPr>
      <w:r>
        <w:rPr>
          <w:rFonts w:ascii="Times New Roman" w:hAnsi="Times New Roman" w:cs="Times New Roman"/>
          <w:b/>
          <w:sz w:val="20"/>
          <w:szCs w:val="20"/>
          <w:lang w:val="en-AU"/>
        </w:rPr>
        <w:t xml:space="preserve">Title: </w:t>
      </w:r>
      <w:r w:rsidRPr="00AD08DD">
        <w:rPr>
          <w:rFonts w:ascii="Times New Roman" w:hAnsi="Times New Roman" w:cs="Times New Roman"/>
          <w:bCs/>
          <w:sz w:val="20"/>
          <w:szCs w:val="20"/>
          <w:lang w:val="en-AU"/>
        </w:rPr>
        <w:t>Lecturer in Law</w:t>
      </w:r>
    </w:p>
    <w:p w14:paraId="6D8BCF9D" w14:textId="77777777" w:rsidR="00AD08DD" w:rsidRDefault="00AD08DD" w:rsidP="00AD08DD">
      <w:pPr>
        <w:pStyle w:val="Header"/>
        <w:jc w:val="both"/>
        <w:rPr>
          <w:rFonts w:ascii="Times New Roman" w:hAnsi="Times New Roman" w:cs="Times New Roman"/>
          <w:b/>
          <w:sz w:val="20"/>
          <w:szCs w:val="20"/>
          <w:lang w:val="en-AU"/>
        </w:rPr>
      </w:pPr>
    </w:p>
    <w:p w14:paraId="01D1F59C" w14:textId="36B99771" w:rsidR="00AD08DD" w:rsidRDefault="00AD08DD" w:rsidP="00AD08DD">
      <w:pPr>
        <w:pStyle w:val="Header"/>
        <w:jc w:val="both"/>
        <w:rPr>
          <w:rFonts w:ascii="Times New Roman" w:hAnsi="Times New Roman" w:cs="Times New Roman"/>
          <w:b/>
          <w:sz w:val="20"/>
          <w:szCs w:val="20"/>
          <w:lang w:val="en-AU"/>
        </w:rPr>
      </w:pPr>
      <w:r>
        <w:rPr>
          <w:rFonts w:ascii="Times New Roman" w:hAnsi="Times New Roman" w:cs="Times New Roman"/>
          <w:b/>
          <w:sz w:val="20"/>
          <w:szCs w:val="20"/>
          <w:lang w:val="en-AU"/>
        </w:rPr>
        <w:t xml:space="preserve">University: </w:t>
      </w:r>
      <w:r w:rsidRPr="00AD08DD">
        <w:rPr>
          <w:rFonts w:ascii="Times New Roman" w:hAnsi="Times New Roman" w:cs="Times New Roman"/>
          <w:bCs/>
          <w:sz w:val="20"/>
          <w:szCs w:val="20"/>
          <w:lang w:val="en-AU"/>
        </w:rPr>
        <w:t>Keele University</w:t>
      </w:r>
    </w:p>
    <w:p w14:paraId="08F3A997" w14:textId="06BDA9AD" w:rsidR="00AD08DD" w:rsidRDefault="00AD08DD" w:rsidP="00AD08DD">
      <w:pPr>
        <w:pStyle w:val="Header"/>
        <w:jc w:val="both"/>
        <w:rPr>
          <w:rFonts w:ascii="Times New Roman" w:hAnsi="Times New Roman" w:cs="Times New Roman"/>
          <w:b/>
          <w:sz w:val="20"/>
          <w:szCs w:val="20"/>
          <w:lang w:val="en-AU"/>
        </w:rPr>
      </w:pPr>
    </w:p>
    <w:p w14:paraId="6EC81598" w14:textId="38E16FA3" w:rsidR="00AD08DD" w:rsidRDefault="00AD08DD" w:rsidP="00AD08DD">
      <w:pPr>
        <w:pStyle w:val="Header"/>
        <w:jc w:val="both"/>
        <w:rPr>
          <w:rFonts w:ascii="Times New Roman" w:hAnsi="Times New Roman" w:cs="Times New Roman"/>
          <w:b/>
          <w:sz w:val="20"/>
          <w:szCs w:val="20"/>
          <w:lang w:val="en-AU"/>
        </w:rPr>
      </w:pPr>
      <w:r>
        <w:rPr>
          <w:rFonts w:ascii="Times New Roman" w:hAnsi="Times New Roman" w:cs="Times New Roman"/>
          <w:b/>
          <w:sz w:val="20"/>
          <w:szCs w:val="20"/>
          <w:lang w:val="en-AU"/>
        </w:rPr>
        <w:t xml:space="preserve">Email: </w:t>
      </w:r>
      <w:r w:rsidRPr="00AD08DD">
        <w:rPr>
          <w:rFonts w:ascii="Times New Roman" w:hAnsi="Times New Roman" w:cs="Times New Roman"/>
          <w:bCs/>
          <w:sz w:val="20"/>
          <w:szCs w:val="20"/>
          <w:lang w:val="en-AU"/>
        </w:rPr>
        <w:fldChar w:fldCharType="begin"/>
      </w:r>
      <w:r w:rsidRPr="00AD08DD">
        <w:rPr>
          <w:rFonts w:ascii="Times New Roman" w:hAnsi="Times New Roman" w:cs="Times New Roman"/>
          <w:bCs/>
          <w:sz w:val="20"/>
          <w:szCs w:val="20"/>
          <w:lang w:val="en-AU"/>
        </w:rPr>
        <w:instrText xml:space="preserve"> HYPERLINK "mailto:</w:instrText>
      </w:r>
      <w:r w:rsidRPr="00AD08DD">
        <w:rPr>
          <w:rFonts w:ascii="Times New Roman" w:hAnsi="Times New Roman" w:cs="Times New Roman"/>
          <w:bCs/>
          <w:sz w:val="20"/>
          <w:szCs w:val="20"/>
          <w:lang w:val="en-AU"/>
        </w:rPr>
        <w:instrText>s.raj@keele.ac.uk</w:instrText>
      </w:r>
      <w:r w:rsidRPr="00AD08DD">
        <w:rPr>
          <w:rFonts w:ascii="Times New Roman" w:hAnsi="Times New Roman" w:cs="Times New Roman"/>
          <w:bCs/>
          <w:sz w:val="20"/>
          <w:szCs w:val="20"/>
          <w:lang w:val="en-AU"/>
        </w:rPr>
        <w:instrText xml:space="preserve">" </w:instrText>
      </w:r>
      <w:r w:rsidRPr="00AD08DD">
        <w:rPr>
          <w:rFonts w:ascii="Times New Roman" w:hAnsi="Times New Roman" w:cs="Times New Roman"/>
          <w:bCs/>
          <w:sz w:val="20"/>
          <w:szCs w:val="20"/>
          <w:lang w:val="en-AU"/>
        </w:rPr>
        <w:fldChar w:fldCharType="separate"/>
      </w:r>
      <w:r w:rsidRPr="00AD08DD">
        <w:rPr>
          <w:rStyle w:val="Hyperlink"/>
          <w:rFonts w:ascii="Times New Roman" w:hAnsi="Times New Roman" w:cs="Times New Roman"/>
          <w:bCs/>
          <w:sz w:val="20"/>
          <w:szCs w:val="20"/>
          <w:lang w:val="en-AU"/>
        </w:rPr>
        <w:t>s.raj@keele.ac.uk</w:t>
      </w:r>
      <w:r w:rsidRPr="00AD08DD">
        <w:rPr>
          <w:rFonts w:ascii="Times New Roman" w:hAnsi="Times New Roman" w:cs="Times New Roman"/>
          <w:bCs/>
          <w:sz w:val="20"/>
          <w:szCs w:val="20"/>
          <w:lang w:val="en-AU"/>
        </w:rPr>
        <w:fldChar w:fldCharType="end"/>
      </w:r>
      <w:r>
        <w:rPr>
          <w:rFonts w:ascii="Times New Roman" w:hAnsi="Times New Roman" w:cs="Times New Roman"/>
          <w:b/>
          <w:sz w:val="20"/>
          <w:szCs w:val="20"/>
          <w:lang w:val="en-AU"/>
        </w:rPr>
        <w:t xml:space="preserve"> </w:t>
      </w:r>
    </w:p>
    <w:p w14:paraId="3B848DEB" w14:textId="674531B5" w:rsidR="00AD08DD" w:rsidRDefault="00AD08DD" w:rsidP="00AD08DD">
      <w:pPr>
        <w:pStyle w:val="Header"/>
        <w:jc w:val="both"/>
        <w:rPr>
          <w:rFonts w:ascii="Times New Roman" w:hAnsi="Times New Roman" w:cs="Times New Roman"/>
          <w:b/>
          <w:sz w:val="20"/>
          <w:szCs w:val="20"/>
          <w:lang w:val="en-AU"/>
        </w:rPr>
      </w:pPr>
    </w:p>
    <w:p w14:paraId="6490D594" w14:textId="1A3DDC59" w:rsidR="00AD08DD" w:rsidRPr="00AD08DD" w:rsidRDefault="00AD08DD" w:rsidP="00AD08DD">
      <w:pPr>
        <w:pStyle w:val="Header"/>
        <w:jc w:val="both"/>
        <w:rPr>
          <w:rFonts w:ascii="Times New Roman" w:hAnsi="Times New Roman" w:cs="Times New Roman"/>
          <w:bCs/>
          <w:sz w:val="20"/>
          <w:szCs w:val="20"/>
          <w:lang w:val="en-AU"/>
        </w:rPr>
      </w:pPr>
      <w:r>
        <w:rPr>
          <w:rFonts w:ascii="Times New Roman" w:hAnsi="Times New Roman" w:cs="Times New Roman"/>
          <w:b/>
          <w:sz w:val="20"/>
          <w:szCs w:val="20"/>
          <w:lang w:val="en-AU"/>
        </w:rPr>
        <w:t xml:space="preserve">Acknowledgments: </w:t>
      </w:r>
      <w:r>
        <w:rPr>
          <w:rFonts w:ascii="Times New Roman" w:hAnsi="Times New Roman" w:cs="Times New Roman"/>
          <w:bCs/>
          <w:sz w:val="20"/>
          <w:szCs w:val="20"/>
          <w:lang w:val="en-AU"/>
        </w:rPr>
        <w:t xml:space="preserve">I would like to thank the anonymous reviewers and Chris Ashford for their generous comments on earlier drafts of this paper. This paper emerged from reflections I did as part of the PGCert in Learning and Teaching in Higher Education. Law and Emotion would not have been possible without colleagues and students at Keele University who contributed to the design and development of the module. I would like to thank them all for their work and support. </w:t>
      </w:r>
    </w:p>
    <w:p w14:paraId="3DECDBBF" w14:textId="77777777" w:rsidR="00AD08DD" w:rsidRPr="00AD08DD" w:rsidRDefault="00AD08DD" w:rsidP="0092731F">
      <w:pPr>
        <w:spacing w:line="360" w:lineRule="auto"/>
        <w:jc w:val="center"/>
        <w:rPr>
          <w:rFonts w:ascii="Times New Roman" w:hAnsi="Times New Roman" w:cs="Times New Roman"/>
          <w:b/>
          <w:iCs/>
        </w:rPr>
      </w:pPr>
    </w:p>
    <w:p w14:paraId="5808306E" w14:textId="77777777" w:rsidR="00AD08DD" w:rsidRDefault="00AD08DD" w:rsidP="0092731F">
      <w:pPr>
        <w:spacing w:line="360" w:lineRule="auto"/>
        <w:jc w:val="center"/>
        <w:rPr>
          <w:rFonts w:ascii="Times New Roman" w:hAnsi="Times New Roman" w:cs="Times New Roman"/>
          <w:b/>
          <w:i/>
        </w:rPr>
      </w:pPr>
    </w:p>
    <w:p w14:paraId="4C45F901" w14:textId="77777777" w:rsidR="00AD08DD" w:rsidRDefault="00AD08DD" w:rsidP="0092731F">
      <w:pPr>
        <w:spacing w:line="360" w:lineRule="auto"/>
        <w:jc w:val="center"/>
        <w:rPr>
          <w:rFonts w:ascii="Times New Roman" w:hAnsi="Times New Roman" w:cs="Times New Roman"/>
          <w:b/>
          <w:i/>
        </w:rPr>
      </w:pPr>
    </w:p>
    <w:p w14:paraId="2D70F623" w14:textId="77777777" w:rsidR="00AD08DD" w:rsidRDefault="00AD08DD" w:rsidP="0092731F">
      <w:pPr>
        <w:spacing w:line="360" w:lineRule="auto"/>
        <w:jc w:val="center"/>
        <w:rPr>
          <w:rFonts w:ascii="Times New Roman" w:hAnsi="Times New Roman" w:cs="Times New Roman"/>
          <w:b/>
          <w:i/>
        </w:rPr>
      </w:pPr>
    </w:p>
    <w:p w14:paraId="3A1E9F17" w14:textId="77777777" w:rsidR="00AD08DD" w:rsidRDefault="00AD08DD" w:rsidP="0092731F">
      <w:pPr>
        <w:spacing w:line="360" w:lineRule="auto"/>
        <w:jc w:val="center"/>
        <w:rPr>
          <w:rFonts w:ascii="Times New Roman" w:hAnsi="Times New Roman" w:cs="Times New Roman"/>
          <w:b/>
          <w:i/>
        </w:rPr>
      </w:pPr>
    </w:p>
    <w:p w14:paraId="3A22FDEC" w14:textId="77777777" w:rsidR="00AD08DD" w:rsidRDefault="00AD08DD" w:rsidP="0092731F">
      <w:pPr>
        <w:spacing w:line="360" w:lineRule="auto"/>
        <w:jc w:val="center"/>
        <w:rPr>
          <w:rFonts w:ascii="Times New Roman" w:hAnsi="Times New Roman" w:cs="Times New Roman"/>
          <w:b/>
          <w:i/>
        </w:rPr>
      </w:pPr>
    </w:p>
    <w:p w14:paraId="60887F48" w14:textId="17AAACB1" w:rsidR="00AD08DD" w:rsidRDefault="00AD08DD" w:rsidP="0092731F">
      <w:pPr>
        <w:spacing w:line="360" w:lineRule="auto"/>
        <w:jc w:val="center"/>
        <w:rPr>
          <w:rFonts w:ascii="Times New Roman" w:hAnsi="Times New Roman" w:cs="Times New Roman"/>
          <w:b/>
          <w:i/>
        </w:rPr>
      </w:pPr>
    </w:p>
    <w:p w14:paraId="09AFC1D8" w14:textId="36AC3025" w:rsidR="00AD08DD" w:rsidRDefault="00AD08DD" w:rsidP="0092731F">
      <w:pPr>
        <w:spacing w:line="360" w:lineRule="auto"/>
        <w:jc w:val="center"/>
        <w:rPr>
          <w:rFonts w:ascii="Times New Roman" w:hAnsi="Times New Roman" w:cs="Times New Roman"/>
          <w:b/>
          <w:i/>
        </w:rPr>
      </w:pPr>
    </w:p>
    <w:p w14:paraId="06BFC985" w14:textId="06A2B123" w:rsidR="00AD08DD" w:rsidRDefault="00AD08DD" w:rsidP="0092731F">
      <w:pPr>
        <w:spacing w:line="360" w:lineRule="auto"/>
        <w:jc w:val="center"/>
        <w:rPr>
          <w:rFonts w:ascii="Times New Roman" w:hAnsi="Times New Roman" w:cs="Times New Roman"/>
          <w:b/>
          <w:i/>
        </w:rPr>
      </w:pPr>
    </w:p>
    <w:p w14:paraId="2A723993" w14:textId="7B17762B" w:rsidR="00AD08DD" w:rsidRDefault="00AD08DD" w:rsidP="0092731F">
      <w:pPr>
        <w:spacing w:line="360" w:lineRule="auto"/>
        <w:jc w:val="center"/>
        <w:rPr>
          <w:rFonts w:ascii="Times New Roman" w:hAnsi="Times New Roman" w:cs="Times New Roman"/>
          <w:b/>
          <w:i/>
        </w:rPr>
      </w:pPr>
    </w:p>
    <w:p w14:paraId="4E1D518C" w14:textId="55CE4080" w:rsidR="00AD08DD" w:rsidRDefault="00AD08DD" w:rsidP="0092731F">
      <w:pPr>
        <w:spacing w:line="360" w:lineRule="auto"/>
        <w:jc w:val="center"/>
        <w:rPr>
          <w:rFonts w:ascii="Times New Roman" w:hAnsi="Times New Roman" w:cs="Times New Roman"/>
          <w:b/>
          <w:i/>
        </w:rPr>
      </w:pPr>
    </w:p>
    <w:p w14:paraId="648D43C4" w14:textId="1A6DAB2B" w:rsidR="00AD08DD" w:rsidRDefault="00AD08DD" w:rsidP="0092731F">
      <w:pPr>
        <w:spacing w:line="360" w:lineRule="auto"/>
        <w:jc w:val="center"/>
        <w:rPr>
          <w:rFonts w:ascii="Times New Roman" w:hAnsi="Times New Roman" w:cs="Times New Roman"/>
          <w:b/>
          <w:i/>
        </w:rPr>
      </w:pPr>
    </w:p>
    <w:p w14:paraId="7C4C58D9" w14:textId="17F980EF" w:rsidR="00AD08DD" w:rsidRDefault="00AD08DD" w:rsidP="0092731F">
      <w:pPr>
        <w:spacing w:line="360" w:lineRule="auto"/>
        <w:jc w:val="center"/>
        <w:rPr>
          <w:rFonts w:ascii="Times New Roman" w:hAnsi="Times New Roman" w:cs="Times New Roman"/>
          <w:b/>
          <w:i/>
        </w:rPr>
      </w:pPr>
    </w:p>
    <w:p w14:paraId="59D40D4A" w14:textId="370EC020" w:rsidR="00AD08DD" w:rsidRDefault="00AD08DD" w:rsidP="0092731F">
      <w:pPr>
        <w:spacing w:line="360" w:lineRule="auto"/>
        <w:jc w:val="center"/>
        <w:rPr>
          <w:rFonts w:ascii="Times New Roman" w:hAnsi="Times New Roman" w:cs="Times New Roman"/>
          <w:b/>
          <w:i/>
        </w:rPr>
      </w:pPr>
    </w:p>
    <w:p w14:paraId="4BED6936" w14:textId="6DEA116F" w:rsidR="00AD08DD" w:rsidRDefault="00AD08DD" w:rsidP="0092731F">
      <w:pPr>
        <w:spacing w:line="360" w:lineRule="auto"/>
        <w:jc w:val="center"/>
        <w:rPr>
          <w:rFonts w:ascii="Times New Roman" w:hAnsi="Times New Roman" w:cs="Times New Roman"/>
          <w:b/>
          <w:i/>
        </w:rPr>
      </w:pPr>
    </w:p>
    <w:p w14:paraId="47ABC0D7" w14:textId="2311D924" w:rsidR="00AD08DD" w:rsidRDefault="00AD08DD" w:rsidP="0092731F">
      <w:pPr>
        <w:spacing w:line="360" w:lineRule="auto"/>
        <w:jc w:val="center"/>
        <w:rPr>
          <w:rFonts w:ascii="Times New Roman" w:hAnsi="Times New Roman" w:cs="Times New Roman"/>
          <w:b/>
          <w:i/>
        </w:rPr>
      </w:pPr>
    </w:p>
    <w:p w14:paraId="7EC3F62B" w14:textId="3EC7C363" w:rsidR="00AD08DD" w:rsidRDefault="00AD08DD" w:rsidP="0092731F">
      <w:pPr>
        <w:spacing w:line="360" w:lineRule="auto"/>
        <w:jc w:val="center"/>
        <w:rPr>
          <w:rFonts w:ascii="Times New Roman" w:hAnsi="Times New Roman" w:cs="Times New Roman"/>
          <w:b/>
          <w:i/>
        </w:rPr>
      </w:pPr>
    </w:p>
    <w:p w14:paraId="109F78DF" w14:textId="50ECB690" w:rsidR="00AD08DD" w:rsidRDefault="00AD08DD" w:rsidP="0092731F">
      <w:pPr>
        <w:spacing w:line="360" w:lineRule="auto"/>
        <w:jc w:val="center"/>
        <w:rPr>
          <w:rFonts w:ascii="Times New Roman" w:hAnsi="Times New Roman" w:cs="Times New Roman"/>
          <w:b/>
          <w:i/>
        </w:rPr>
      </w:pPr>
    </w:p>
    <w:p w14:paraId="24248AF4" w14:textId="28F387E9" w:rsidR="00AD08DD" w:rsidRDefault="00AD08DD" w:rsidP="0092731F">
      <w:pPr>
        <w:spacing w:line="360" w:lineRule="auto"/>
        <w:jc w:val="center"/>
        <w:rPr>
          <w:rFonts w:ascii="Times New Roman" w:hAnsi="Times New Roman" w:cs="Times New Roman"/>
          <w:b/>
          <w:i/>
        </w:rPr>
      </w:pPr>
    </w:p>
    <w:p w14:paraId="21B1C43F" w14:textId="3BC26D1E" w:rsidR="00AD08DD" w:rsidRDefault="00AD08DD" w:rsidP="0092731F">
      <w:pPr>
        <w:spacing w:line="360" w:lineRule="auto"/>
        <w:jc w:val="center"/>
        <w:rPr>
          <w:rFonts w:ascii="Times New Roman" w:hAnsi="Times New Roman" w:cs="Times New Roman"/>
          <w:b/>
          <w:i/>
        </w:rPr>
      </w:pPr>
    </w:p>
    <w:p w14:paraId="2CE0F5A3" w14:textId="4D3C2A9B" w:rsidR="00AD08DD" w:rsidRDefault="00AD08DD" w:rsidP="0092731F">
      <w:pPr>
        <w:spacing w:line="360" w:lineRule="auto"/>
        <w:jc w:val="center"/>
        <w:rPr>
          <w:rFonts w:ascii="Times New Roman" w:hAnsi="Times New Roman" w:cs="Times New Roman"/>
          <w:b/>
          <w:i/>
        </w:rPr>
      </w:pPr>
    </w:p>
    <w:p w14:paraId="183B6596" w14:textId="39B4E6D6" w:rsidR="00AD08DD" w:rsidRDefault="00AD08DD" w:rsidP="0092731F">
      <w:pPr>
        <w:spacing w:line="360" w:lineRule="auto"/>
        <w:jc w:val="center"/>
        <w:rPr>
          <w:rFonts w:ascii="Times New Roman" w:hAnsi="Times New Roman" w:cs="Times New Roman"/>
          <w:b/>
          <w:i/>
        </w:rPr>
      </w:pPr>
    </w:p>
    <w:p w14:paraId="47C46C7B" w14:textId="77777777" w:rsidR="00AD08DD" w:rsidRDefault="00AD08DD" w:rsidP="00AD08DD">
      <w:pPr>
        <w:spacing w:line="360" w:lineRule="auto"/>
        <w:rPr>
          <w:rFonts w:ascii="Times New Roman" w:hAnsi="Times New Roman" w:cs="Times New Roman"/>
          <w:b/>
          <w:i/>
        </w:rPr>
      </w:pPr>
    </w:p>
    <w:p w14:paraId="40EBC7CF" w14:textId="6F87CCB0" w:rsidR="0092731F" w:rsidRPr="009D3659" w:rsidRDefault="0092731F" w:rsidP="0092731F">
      <w:pPr>
        <w:spacing w:line="360" w:lineRule="auto"/>
        <w:jc w:val="center"/>
        <w:rPr>
          <w:rFonts w:ascii="Times New Roman" w:hAnsi="Times New Roman" w:cs="Times New Roman"/>
          <w:b/>
          <w:i/>
        </w:rPr>
      </w:pPr>
      <w:r w:rsidRPr="009D3659">
        <w:rPr>
          <w:rFonts w:ascii="Times New Roman" w:hAnsi="Times New Roman" w:cs="Times New Roman"/>
          <w:b/>
          <w:i/>
        </w:rPr>
        <w:lastRenderedPageBreak/>
        <w:t xml:space="preserve">Teaching Feeling: </w:t>
      </w:r>
      <w:r w:rsidR="00930F37" w:rsidRPr="009D3659">
        <w:rPr>
          <w:rFonts w:ascii="Times New Roman" w:hAnsi="Times New Roman" w:cs="Times New Roman"/>
          <w:b/>
          <w:i/>
        </w:rPr>
        <w:t>Bringing</w:t>
      </w:r>
      <w:r w:rsidRPr="009D3659">
        <w:rPr>
          <w:rFonts w:ascii="Times New Roman" w:hAnsi="Times New Roman" w:cs="Times New Roman"/>
          <w:b/>
          <w:i/>
        </w:rPr>
        <w:t xml:space="preserve"> Emotion in</w:t>
      </w:r>
      <w:r w:rsidR="00930F37" w:rsidRPr="009D3659">
        <w:rPr>
          <w:rFonts w:ascii="Times New Roman" w:hAnsi="Times New Roman" w:cs="Times New Roman"/>
          <w:b/>
          <w:i/>
        </w:rPr>
        <w:t>to</w:t>
      </w:r>
      <w:r w:rsidRPr="009D3659">
        <w:rPr>
          <w:rFonts w:ascii="Times New Roman" w:hAnsi="Times New Roman" w:cs="Times New Roman"/>
          <w:b/>
          <w:i/>
        </w:rPr>
        <w:t xml:space="preserve"> the </w:t>
      </w:r>
      <w:r w:rsidR="001B0357">
        <w:rPr>
          <w:rFonts w:ascii="Times New Roman" w:hAnsi="Times New Roman" w:cs="Times New Roman"/>
          <w:b/>
          <w:i/>
        </w:rPr>
        <w:t>Law School</w:t>
      </w:r>
    </w:p>
    <w:p w14:paraId="7DB5DEFD" w14:textId="77777777" w:rsidR="00770EB6" w:rsidRPr="009D3659" w:rsidRDefault="00770EB6" w:rsidP="0092731F">
      <w:pPr>
        <w:spacing w:line="360" w:lineRule="auto"/>
        <w:rPr>
          <w:rFonts w:ascii="Times New Roman" w:hAnsi="Times New Roman" w:cs="Times New Roman"/>
          <w:b/>
          <w:i/>
        </w:rPr>
      </w:pPr>
    </w:p>
    <w:p w14:paraId="2692F38F" w14:textId="1E8C689A" w:rsidR="00770EB6" w:rsidRPr="009D3659" w:rsidRDefault="00770EB6" w:rsidP="00770EB6">
      <w:pPr>
        <w:spacing w:line="360" w:lineRule="auto"/>
        <w:jc w:val="both"/>
        <w:rPr>
          <w:rFonts w:ascii="Times New Roman" w:hAnsi="Times New Roman" w:cs="Times New Roman"/>
          <w:b/>
        </w:rPr>
      </w:pPr>
      <w:r w:rsidRPr="009D3659">
        <w:rPr>
          <w:rFonts w:ascii="Times New Roman" w:hAnsi="Times New Roman" w:cs="Times New Roman"/>
          <w:b/>
        </w:rPr>
        <w:t>Introduction</w:t>
      </w:r>
    </w:p>
    <w:p w14:paraId="5BDCBB53" w14:textId="13C8165A" w:rsidR="00AB334A" w:rsidRPr="009D3659" w:rsidRDefault="00AB334A" w:rsidP="00AB334A">
      <w:pPr>
        <w:spacing w:line="360" w:lineRule="auto"/>
        <w:jc w:val="both"/>
        <w:rPr>
          <w:rFonts w:ascii="Times New Roman" w:hAnsi="Times New Roman" w:cs="Times New Roman"/>
        </w:rPr>
      </w:pPr>
      <w:r w:rsidRPr="009D3659">
        <w:rPr>
          <w:rFonts w:ascii="Times New Roman" w:hAnsi="Times New Roman" w:cs="Times New Roman"/>
        </w:rPr>
        <w:t xml:space="preserve">Recent newspaper editorials have chastised the increasing “snowflake sensitivities” of university students and classroom dynamics. Universities generally and humanities-based disciplines specifically have come under incredible political scrutiny for being </w:t>
      </w:r>
      <w:r w:rsidR="00B04B76">
        <w:rPr>
          <w:rFonts w:ascii="Times New Roman" w:hAnsi="Times New Roman" w:cs="Times New Roman"/>
        </w:rPr>
        <w:t>“</w:t>
      </w:r>
      <w:r w:rsidRPr="009D3659">
        <w:rPr>
          <w:rFonts w:ascii="Times New Roman" w:hAnsi="Times New Roman" w:cs="Times New Roman"/>
        </w:rPr>
        <w:t>ideological</w:t>
      </w:r>
      <w:r w:rsidR="00B04B76">
        <w:rPr>
          <w:rFonts w:ascii="Times New Roman" w:hAnsi="Times New Roman" w:cs="Times New Roman"/>
        </w:rPr>
        <w:t>”</w:t>
      </w:r>
      <w:r w:rsidR="00B04B76">
        <w:rPr>
          <w:rStyle w:val="FootnoteReference"/>
          <w:rFonts w:ascii="Times New Roman" w:hAnsi="Times New Roman" w:cs="Times New Roman"/>
        </w:rPr>
        <w:footnoteReference w:id="1"/>
      </w:r>
      <w:r w:rsidRPr="009D3659">
        <w:rPr>
          <w:rFonts w:ascii="Times New Roman" w:hAnsi="Times New Roman" w:cs="Times New Roman"/>
        </w:rPr>
        <w:t>, “politically correct”</w:t>
      </w:r>
      <w:r w:rsidR="00B04B76">
        <w:rPr>
          <w:rStyle w:val="FootnoteReference"/>
          <w:rFonts w:ascii="Times New Roman" w:hAnsi="Times New Roman" w:cs="Times New Roman"/>
        </w:rPr>
        <w:footnoteReference w:id="2"/>
      </w:r>
      <w:r w:rsidRPr="009D3659">
        <w:rPr>
          <w:rFonts w:ascii="Times New Roman" w:hAnsi="Times New Roman" w:cs="Times New Roman"/>
        </w:rPr>
        <w:t>, and “censorious”</w:t>
      </w:r>
      <w:r w:rsidR="00B04B76">
        <w:rPr>
          <w:rStyle w:val="FootnoteReference"/>
          <w:rFonts w:ascii="Times New Roman" w:hAnsi="Times New Roman" w:cs="Times New Roman"/>
        </w:rPr>
        <w:footnoteReference w:id="3"/>
      </w:r>
      <w:r w:rsidRPr="009D3659">
        <w:rPr>
          <w:rFonts w:ascii="Times New Roman" w:hAnsi="Times New Roman" w:cs="Times New Roman"/>
        </w:rPr>
        <w:t xml:space="preserve"> for presuming or pandering to student vulnerabilities. Academics have responded to these critiques by highlighting how shifting disciplinary expectations, pedagogical styles, and curriculum content reflect the changing nature of universities and student</w:t>
      </w:r>
      <w:r w:rsidR="006E3F75">
        <w:rPr>
          <w:rFonts w:ascii="Times New Roman" w:hAnsi="Times New Roman" w:cs="Times New Roman"/>
        </w:rPr>
        <w:t>s</w:t>
      </w:r>
      <w:r w:rsidR="003013E5" w:rsidRPr="009D3659">
        <w:rPr>
          <w:rFonts w:ascii="Times New Roman" w:hAnsi="Times New Roman" w:cs="Times New Roman"/>
        </w:rPr>
        <w:t>.</w:t>
      </w:r>
      <w:r w:rsidR="00B04B76">
        <w:rPr>
          <w:rStyle w:val="FootnoteReference"/>
          <w:rFonts w:ascii="Times New Roman" w:hAnsi="Times New Roman" w:cs="Times New Roman"/>
        </w:rPr>
        <w:footnoteReference w:id="4"/>
      </w:r>
      <w:r w:rsidR="003013E5" w:rsidRPr="009D3659">
        <w:rPr>
          <w:rFonts w:ascii="Times New Roman" w:hAnsi="Times New Roman" w:cs="Times New Roman"/>
        </w:rPr>
        <w:t xml:space="preserve"> </w:t>
      </w:r>
    </w:p>
    <w:p w14:paraId="408C4086" w14:textId="57BA3057" w:rsidR="00AB334A" w:rsidRPr="009D3659" w:rsidRDefault="00AB334A" w:rsidP="00AB334A">
      <w:pPr>
        <w:spacing w:line="360" w:lineRule="auto"/>
        <w:ind w:firstLine="720"/>
        <w:jc w:val="both"/>
        <w:rPr>
          <w:rFonts w:ascii="Times New Roman" w:hAnsi="Times New Roman" w:cs="Times New Roman"/>
        </w:rPr>
      </w:pPr>
      <w:r w:rsidRPr="009D3659">
        <w:rPr>
          <w:rFonts w:ascii="Times New Roman" w:hAnsi="Times New Roman" w:cs="Times New Roman"/>
        </w:rPr>
        <w:t xml:space="preserve">These broader public debates speak to a range of pressing concerns about the susceptibility of higher education to emotional compromise. One particular concern that emerges from these debates is how the accommodation of emotions (of students in particular) in university classrooms inhibits the intellectual development of students by allowing feelings to replace reason or debate. Higher education is compromised when student </w:t>
      </w:r>
      <w:r w:rsidR="001034B2" w:rsidRPr="009D3659">
        <w:rPr>
          <w:rFonts w:ascii="Times New Roman" w:hAnsi="Times New Roman" w:cs="Times New Roman"/>
        </w:rPr>
        <w:t>feelings</w:t>
      </w:r>
      <w:r w:rsidRPr="009D3659">
        <w:rPr>
          <w:rFonts w:ascii="Times New Roman" w:hAnsi="Times New Roman" w:cs="Times New Roman"/>
        </w:rPr>
        <w:t xml:space="preserve"> are taken seriously in the curriculum. Nowhere is this concern more apparent than a legal classroom, which most imagine as a pedagogic</w:t>
      </w:r>
      <w:r w:rsidR="00611755" w:rsidRPr="009D3659">
        <w:rPr>
          <w:rFonts w:ascii="Times New Roman" w:hAnsi="Times New Roman" w:cs="Times New Roman"/>
        </w:rPr>
        <w:t>al</w:t>
      </w:r>
      <w:r w:rsidRPr="009D3659">
        <w:rPr>
          <w:rFonts w:ascii="Times New Roman" w:hAnsi="Times New Roman" w:cs="Times New Roman"/>
        </w:rPr>
        <w:t xml:space="preserve"> space where legal academics train future lawyers to leave their feelings behind. We teach them law as a dispassionate system of rules that can be studied systematically and then used to rationally resolve dispute</w:t>
      </w:r>
      <w:r w:rsidR="008359EA">
        <w:rPr>
          <w:rFonts w:ascii="Times New Roman" w:hAnsi="Times New Roman" w:cs="Times New Roman"/>
        </w:rPr>
        <w:t>s</w:t>
      </w:r>
      <w:r w:rsidRPr="009D3659">
        <w:rPr>
          <w:rFonts w:ascii="Times New Roman" w:hAnsi="Times New Roman" w:cs="Times New Roman"/>
        </w:rPr>
        <w:t>.</w:t>
      </w:r>
      <w:r w:rsidR="00B04B76">
        <w:rPr>
          <w:rStyle w:val="FootnoteReference"/>
          <w:rFonts w:ascii="Times New Roman" w:hAnsi="Times New Roman" w:cs="Times New Roman"/>
        </w:rPr>
        <w:footnoteReference w:id="5"/>
      </w:r>
      <w:r w:rsidRPr="009D3659">
        <w:rPr>
          <w:rFonts w:ascii="Times New Roman" w:hAnsi="Times New Roman" w:cs="Times New Roman"/>
        </w:rPr>
        <w:t xml:space="preserve"> </w:t>
      </w:r>
    </w:p>
    <w:p w14:paraId="0F8F23AF" w14:textId="0523C09A" w:rsidR="00AB334A" w:rsidRPr="009D3659" w:rsidRDefault="00AB334A" w:rsidP="001271F4">
      <w:pPr>
        <w:spacing w:line="360" w:lineRule="auto"/>
        <w:ind w:firstLine="720"/>
        <w:jc w:val="both"/>
        <w:rPr>
          <w:rFonts w:ascii="Times New Roman" w:hAnsi="Times New Roman" w:cs="Times New Roman"/>
        </w:rPr>
      </w:pPr>
      <w:r w:rsidRPr="009D3659">
        <w:rPr>
          <w:rFonts w:ascii="Times New Roman" w:hAnsi="Times New Roman" w:cs="Times New Roman"/>
        </w:rPr>
        <w:t xml:space="preserve">Contrary to this </w:t>
      </w:r>
      <w:r w:rsidR="008B156A" w:rsidRPr="009D3659">
        <w:rPr>
          <w:rFonts w:ascii="Times New Roman" w:hAnsi="Times New Roman" w:cs="Times New Roman"/>
        </w:rPr>
        <w:t xml:space="preserve">popular </w:t>
      </w:r>
      <w:r w:rsidR="00611755" w:rsidRPr="009D3659">
        <w:rPr>
          <w:rFonts w:ascii="Times New Roman" w:hAnsi="Times New Roman" w:cs="Times New Roman"/>
        </w:rPr>
        <w:t>view</w:t>
      </w:r>
      <w:r w:rsidRPr="009D3659">
        <w:rPr>
          <w:rFonts w:ascii="Times New Roman" w:hAnsi="Times New Roman" w:cs="Times New Roman"/>
        </w:rPr>
        <w:t xml:space="preserve">, however, emotion is not </w:t>
      </w:r>
      <w:r w:rsidR="00F800D1" w:rsidRPr="009D3659">
        <w:rPr>
          <w:rFonts w:ascii="Times New Roman" w:hAnsi="Times New Roman" w:cs="Times New Roman"/>
        </w:rPr>
        <w:t>“</w:t>
      </w:r>
      <w:r w:rsidRPr="009D3659">
        <w:rPr>
          <w:rFonts w:ascii="Times New Roman" w:hAnsi="Times New Roman" w:cs="Times New Roman"/>
        </w:rPr>
        <w:t>queer</w:t>
      </w:r>
      <w:r w:rsidR="00F800D1" w:rsidRPr="009D3659">
        <w:rPr>
          <w:rFonts w:ascii="Times New Roman" w:hAnsi="Times New Roman" w:cs="Times New Roman"/>
        </w:rPr>
        <w:t>”</w:t>
      </w:r>
      <w:r w:rsidRPr="009D3659">
        <w:rPr>
          <w:rFonts w:ascii="Times New Roman" w:hAnsi="Times New Roman" w:cs="Times New Roman"/>
        </w:rPr>
        <w:t xml:space="preserve"> to law – it is imbricated in both law (as a discrete subject/object to study) and legal study (as a strategy of learning). This paper explores this imbrication by showing: (i) why foregrounding how law is </w:t>
      </w:r>
      <w:r w:rsidR="00DE355D" w:rsidRPr="009D3659">
        <w:rPr>
          <w:rFonts w:ascii="Times New Roman" w:hAnsi="Times New Roman" w:cs="Times New Roman"/>
        </w:rPr>
        <w:t>susceptible</w:t>
      </w:r>
      <w:r w:rsidRPr="009D3659">
        <w:rPr>
          <w:rFonts w:ascii="Times New Roman" w:hAnsi="Times New Roman" w:cs="Times New Roman"/>
        </w:rPr>
        <w:t xml:space="preserve"> to emotion allows students to learn about how </w:t>
      </w:r>
      <w:r w:rsidRPr="009D3659">
        <w:rPr>
          <w:rFonts w:ascii="Times New Roman" w:hAnsi="Times New Roman" w:cs="Times New Roman"/>
        </w:rPr>
        <w:lastRenderedPageBreak/>
        <w:t xml:space="preserve">law advances and/or inhibits various pursuits of </w:t>
      </w:r>
      <w:r w:rsidR="00611755" w:rsidRPr="009D3659">
        <w:rPr>
          <w:rFonts w:ascii="Times New Roman" w:hAnsi="Times New Roman" w:cs="Times New Roman"/>
        </w:rPr>
        <w:t>law reform</w:t>
      </w:r>
      <w:r w:rsidRPr="009D3659">
        <w:rPr>
          <w:rFonts w:ascii="Times New Roman" w:hAnsi="Times New Roman" w:cs="Times New Roman"/>
        </w:rPr>
        <w:t xml:space="preserve"> and (ii) how emotion functions as a pedagogic</w:t>
      </w:r>
      <w:r w:rsidR="00611755" w:rsidRPr="009D3659">
        <w:rPr>
          <w:rFonts w:ascii="Times New Roman" w:hAnsi="Times New Roman" w:cs="Times New Roman"/>
        </w:rPr>
        <w:t>al</w:t>
      </w:r>
      <w:r w:rsidRPr="009D3659">
        <w:rPr>
          <w:rFonts w:ascii="Times New Roman" w:hAnsi="Times New Roman" w:cs="Times New Roman"/>
        </w:rPr>
        <w:t xml:space="preserve"> strategy in the classroom to make students </w:t>
      </w:r>
      <w:r w:rsidR="00DE355D" w:rsidRPr="009D3659">
        <w:rPr>
          <w:rFonts w:ascii="Times New Roman" w:hAnsi="Times New Roman" w:cs="Times New Roman"/>
        </w:rPr>
        <w:t>receptive</w:t>
      </w:r>
      <w:r w:rsidRPr="009D3659">
        <w:rPr>
          <w:rFonts w:ascii="Times New Roman" w:hAnsi="Times New Roman" w:cs="Times New Roman"/>
        </w:rPr>
        <w:t xml:space="preserve"> enough to empathetically and critically engage with questions of law and justice. This paper fleshes out the importance of </w:t>
      </w:r>
      <w:r w:rsidR="006A39E4" w:rsidRPr="009D3659">
        <w:rPr>
          <w:rFonts w:ascii="Times New Roman" w:hAnsi="Times New Roman" w:cs="Times New Roman"/>
        </w:rPr>
        <w:t>bringing</w:t>
      </w:r>
      <w:r w:rsidRPr="009D3659">
        <w:rPr>
          <w:rFonts w:ascii="Times New Roman" w:hAnsi="Times New Roman" w:cs="Times New Roman"/>
        </w:rPr>
        <w:t xml:space="preserve"> emotion in</w:t>
      </w:r>
      <w:r w:rsidR="006A39E4" w:rsidRPr="009D3659">
        <w:rPr>
          <w:rFonts w:ascii="Times New Roman" w:hAnsi="Times New Roman" w:cs="Times New Roman"/>
        </w:rPr>
        <w:t>to</w:t>
      </w:r>
      <w:r w:rsidRPr="009D3659">
        <w:rPr>
          <w:rFonts w:ascii="Times New Roman" w:hAnsi="Times New Roman" w:cs="Times New Roman"/>
        </w:rPr>
        <w:t xml:space="preserve"> legal classrooms through an autoethnographic account of designing and teaching a</w:t>
      </w:r>
      <w:r w:rsidR="001034B2" w:rsidRPr="009D3659">
        <w:rPr>
          <w:rFonts w:ascii="Times New Roman" w:hAnsi="Times New Roman" w:cs="Times New Roman"/>
        </w:rPr>
        <w:t xml:space="preserve"> </w:t>
      </w:r>
      <w:r w:rsidRPr="009D3659">
        <w:rPr>
          <w:rFonts w:ascii="Times New Roman" w:hAnsi="Times New Roman" w:cs="Times New Roman"/>
        </w:rPr>
        <w:t>module called “Law and Emotion”</w:t>
      </w:r>
      <w:r w:rsidR="008B156A" w:rsidRPr="009D3659">
        <w:rPr>
          <w:rFonts w:ascii="Times New Roman" w:hAnsi="Times New Roman" w:cs="Times New Roman"/>
        </w:rPr>
        <w:t xml:space="preserve"> at Keele University.</w:t>
      </w:r>
      <w:r w:rsidRPr="009D3659">
        <w:rPr>
          <w:rFonts w:ascii="Times New Roman" w:hAnsi="Times New Roman" w:cs="Times New Roman"/>
        </w:rPr>
        <w:t xml:space="preserve"> By synthesising critical legal studies, law and emotion scholarship, and social theories of teaching/learning</w:t>
      </w:r>
      <w:r w:rsidR="006A39E4" w:rsidRPr="009D3659">
        <w:rPr>
          <w:rFonts w:ascii="Times New Roman" w:hAnsi="Times New Roman" w:cs="Times New Roman"/>
        </w:rPr>
        <w:t xml:space="preserve"> with </w:t>
      </w:r>
      <w:r w:rsidR="00D77787">
        <w:rPr>
          <w:rFonts w:ascii="Times New Roman" w:hAnsi="Times New Roman" w:cs="Times New Roman"/>
        </w:rPr>
        <w:t xml:space="preserve">personal </w:t>
      </w:r>
      <w:r w:rsidR="006A39E4" w:rsidRPr="009D3659">
        <w:rPr>
          <w:rFonts w:ascii="Times New Roman" w:hAnsi="Times New Roman" w:cs="Times New Roman"/>
        </w:rPr>
        <w:t>observations from module design, delivery, assessment, and evaluation</w:t>
      </w:r>
      <w:r w:rsidRPr="009D3659">
        <w:rPr>
          <w:rFonts w:ascii="Times New Roman" w:hAnsi="Times New Roman" w:cs="Times New Roman"/>
        </w:rPr>
        <w:t xml:space="preserve">, this paper </w:t>
      </w:r>
      <w:r w:rsidR="006A39E4" w:rsidRPr="009D3659">
        <w:rPr>
          <w:rFonts w:ascii="Times New Roman" w:hAnsi="Times New Roman" w:cs="Times New Roman"/>
        </w:rPr>
        <w:t xml:space="preserve">illuminates </w:t>
      </w:r>
      <w:r w:rsidR="008B156A" w:rsidRPr="009D3659">
        <w:rPr>
          <w:rFonts w:ascii="Times New Roman" w:hAnsi="Times New Roman" w:cs="Times New Roman"/>
        </w:rPr>
        <w:t>why and how</w:t>
      </w:r>
      <w:r w:rsidRPr="009D3659">
        <w:rPr>
          <w:rFonts w:ascii="Times New Roman" w:hAnsi="Times New Roman" w:cs="Times New Roman"/>
        </w:rPr>
        <w:t xml:space="preserve"> </w:t>
      </w:r>
      <w:r w:rsidR="001034B2" w:rsidRPr="009D3659">
        <w:rPr>
          <w:rFonts w:ascii="Times New Roman" w:hAnsi="Times New Roman" w:cs="Times New Roman"/>
        </w:rPr>
        <w:t xml:space="preserve">we as </w:t>
      </w:r>
      <w:r w:rsidR="00787B49" w:rsidRPr="009D3659">
        <w:rPr>
          <w:rFonts w:ascii="Times New Roman" w:hAnsi="Times New Roman" w:cs="Times New Roman"/>
        </w:rPr>
        <w:t xml:space="preserve">law teachers </w:t>
      </w:r>
      <w:r w:rsidR="008B156A" w:rsidRPr="009D3659">
        <w:rPr>
          <w:rFonts w:ascii="Times New Roman" w:hAnsi="Times New Roman" w:cs="Times New Roman"/>
        </w:rPr>
        <w:t xml:space="preserve">should </w:t>
      </w:r>
      <w:r w:rsidR="00787B49" w:rsidRPr="009D3659">
        <w:rPr>
          <w:rFonts w:ascii="Times New Roman" w:hAnsi="Times New Roman" w:cs="Times New Roman"/>
        </w:rPr>
        <w:t xml:space="preserve">foreground </w:t>
      </w:r>
      <w:r w:rsidR="003C2A4D" w:rsidRPr="009D3659">
        <w:rPr>
          <w:rFonts w:ascii="Times New Roman" w:hAnsi="Times New Roman" w:cs="Times New Roman"/>
        </w:rPr>
        <w:t>emotion in</w:t>
      </w:r>
      <w:r w:rsidR="00787B49" w:rsidRPr="009D3659">
        <w:rPr>
          <w:rFonts w:ascii="Times New Roman" w:hAnsi="Times New Roman" w:cs="Times New Roman"/>
        </w:rPr>
        <w:t xml:space="preserve"> the </w:t>
      </w:r>
      <w:r w:rsidR="003C2A4D" w:rsidRPr="009D3659">
        <w:rPr>
          <w:rFonts w:ascii="Times New Roman" w:hAnsi="Times New Roman" w:cs="Times New Roman"/>
        </w:rPr>
        <w:t>classroom</w:t>
      </w:r>
      <w:r w:rsidR="001034B2" w:rsidRPr="009D3659">
        <w:rPr>
          <w:rFonts w:ascii="Times New Roman" w:hAnsi="Times New Roman" w:cs="Times New Roman"/>
        </w:rPr>
        <w:t xml:space="preserve">. </w:t>
      </w:r>
    </w:p>
    <w:p w14:paraId="7612F345" w14:textId="77777777" w:rsidR="005C6AFC" w:rsidRPr="009D3659" w:rsidRDefault="005C6AFC" w:rsidP="001271F4">
      <w:pPr>
        <w:spacing w:line="360" w:lineRule="auto"/>
        <w:ind w:firstLine="720"/>
        <w:jc w:val="both"/>
        <w:rPr>
          <w:rFonts w:ascii="Times New Roman" w:hAnsi="Times New Roman" w:cs="Times New Roman"/>
        </w:rPr>
      </w:pPr>
    </w:p>
    <w:p w14:paraId="0B95B0D8" w14:textId="59AB3C5E" w:rsidR="00770EB6" w:rsidRPr="009D3659" w:rsidRDefault="00770EB6" w:rsidP="00770EB6">
      <w:pPr>
        <w:spacing w:line="360" w:lineRule="auto"/>
        <w:jc w:val="both"/>
        <w:rPr>
          <w:rFonts w:ascii="Times New Roman" w:hAnsi="Times New Roman" w:cs="Times New Roman"/>
          <w:b/>
        </w:rPr>
      </w:pPr>
      <w:r w:rsidRPr="009D3659">
        <w:rPr>
          <w:rFonts w:ascii="Times New Roman" w:hAnsi="Times New Roman" w:cs="Times New Roman"/>
          <w:b/>
        </w:rPr>
        <w:t>Emotion</w:t>
      </w:r>
      <w:r w:rsidR="00E47007" w:rsidRPr="009D3659">
        <w:rPr>
          <w:rFonts w:ascii="Times New Roman" w:hAnsi="Times New Roman" w:cs="Times New Roman"/>
          <w:b/>
        </w:rPr>
        <w:t xml:space="preserve"> </w:t>
      </w:r>
      <w:r w:rsidRPr="009D3659">
        <w:rPr>
          <w:rFonts w:ascii="Times New Roman" w:hAnsi="Times New Roman" w:cs="Times New Roman"/>
          <w:b/>
        </w:rPr>
        <w:t>and Legal Education</w:t>
      </w:r>
    </w:p>
    <w:p w14:paraId="08ADFA3B" w14:textId="4D619530" w:rsidR="00770EB6" w:rsidRPr="009D3659" w:rsidRDefault="001B0357" w:rsidP="00770EB6">
      <w:pPr>
        <w:spacing w:line="360" w:lineRule="auto"/>
        <w:jc w:val="both"/>
        <w:rPr>
          <w:rFonts w:ascii="Times New Roman" w:hAnsi="Times New Roman" w:cs="Times New Roman"/>
        </w:rPr>
      </w:pPr>
      <w:r>
        <w:rPr>
          <w:rFonts w:ascii="Times New Roman" w:hAnsi="Times New Roman" w:cs="Times New Roman"/>
        </w:rPr>
        <w:t>It</w:t>
      </w:r>
      <w:r w:rsidR="00936E5E" w:rsidRPr="009D3659">
        <w:rPr>
          <w:rFonts w:ascii="Times New Roman" w:hAnsi="Times New Roman" w:cs="Times New Roman"/>
        </w:rPr>
        <w:t xml:space="preserve"> is necessary </w:t>
      </w:r>
      <w:r>
        <w:rPr>
          <w:rFonts w:ascii="Times New Roman" w:hAnsi="Times New Roman" w:cs="Times New Roman"/>
        </w:rPr>
        <w:t xml:space="preserve">start with </w:t>
      </w:r>
      <w:r w:rsidR="00936E5E" w:rsidRPr="009D3659">
        <w:rPr>
          <w:rFonts w:ascii="Times New Roman" w:hAnsi="Times New Roman" w:cs="Times New Roman"/>
        </w:rPr>
        <w:t>an</w:t>
      </w:r>
      <w:r w:rsidR="0041489F" w:rsidRPr="009D3659">
        <w:rPr>
          <w:rFonts w:ascii="Times New Roman" w:hAnsi="Times New Roman" w:cs="Times New Roman"/>
        </w:rPr>
        <w:t xml:space="preserve"> </w:t>
      </w:r>
      <w:r w:rsidR="00936E5E" w:rsidRPr="009D3659">
        <w:rPr>
          <w:rFonts w:ascii="Times New Roman" w:hAnsi="Times New Roman" w:cs="Times New Roman"/>
        </w:rPr>
        <w:t>outline of</w:t>
      </w:r>
      <w:r w:rsidR="0041489F" w:rsidRPr="009D3659">
        <w:rPr>
          <w:rFonts w:ascii="Times New Roman" w:hAnsi="Times New Roman" w:cs="Times New Roman"/>
        </w:rPr>
        <w:t xml:space="preserve"> how emotion</w:t>
      </w:r>
      <w:r w:rsidR="00AB334A" w:rsidRPr="009D3659">
        <w:rPr>
          <w:rFonts w:ascii="Times New Roman" w:hAnsi="Times New Roman" w:cs="Times New Roman"/>
        </w:rPr>
        <w:t xml:space="preserve"> </w:t>
      </w:r>
      <w:r w:rsidR="0041489F" w:rsidRPr="009D3659">
        <w:rPr>
          <w:rFonts w:ascii="Times New Roman" w:hAnsi="Times New Roman" w:cs="Times New Roman"/>
        </w:rPr>
        <w:t>h</w:t>
      </w:r>
      <w:r w:rsidR="00E47007" w:rsidRPr="009D3659">
        <w:rPr>
          <w:rFonts w:ascii="Times New Roman" w:hAnsi="Times New Roman" w:cs="Times New Roman"/>
        </w:rPr>
        <w:t>as gained academic traction</w:t>
      </w:r>
      <w:r w:rsidR="0041489F" w:rsidRPr="009D3659">
        <w:rPr>
          <w:rFonts w:ascii="Times New Roman" w:hAnsi="Times New Roman" w:cs="Times New Roman"/>
        </w:rPr>
        <w:t xml:space="preserve"> in </w:t>
      </w:r>
      <w:r w:rsidR="00CC0D4C" w:rsidRPr="009D3659">
        <w:rPr>
          <w:rFonts w:ascii="Times New Roman" w:hAnsi="Times New Roman" w:cs="Times New Roman"/>
        </w:rPr>
        <w:t>law</w:t>
      </w:r>
      <w:r w:rsidR="0041489F" w:rsidRPr="009D3659">
        <w:rPr>
          <w:rFonts w:ascii="Times New Roman" w:hAnsi="Times New Roman" w:cs="Times New Roman"/>
        </w:rPr>
        <w:t xml:space="preserve"> and legal education. This </w:t>
      </w:r>
      <w:r w:rsidR="00D13CE2" w:rsidRPr="009D3659">
        <w:rPr>
          <w:rFonts w:ascii="Times New Roman" w:hAnsi="Times New Roman" w:cs="Times New Roman"/>
        </w:rPr>
        <w:t>theoretical grounding</w:t>
      </w:r>
      <w:r w:rsidR="0041489F" w:rsidRPr="009D3659">
        <w:rPr>
          <w:rFonts w:ascii="Times New Roman" w:hAnsi="Times New Roman" w:cs="Times New Roman"/>
        </w:rPr>
        <w:t xml:space="preserve"> provides </w:t>
      </w:r>
      <w:r w:rsidR="00E47007" w:rsidRPr="009D3659">
        <w:rPr>
          <w:rFonts w:ascii="Times New Roman" w:hAnsi="Times New Roman" w:cs="Times New Roman"/>
        </w:rPr>
        <w:t>a</w:t>
      </w:r>
      <w:r w:rsidR="00D13CE2" w:rsidRPr="009D3659">
        <w:rPr>
          <w:rFonts w:ascii="Times New Roman" w:hAnsi="Times New Roman" w:cs="Times New Roman"/>
        </w:rPr>
        <w:t>n important</w:t>
      </w:r>
      <w:r w:rsidR="0041489F" w:rsidRPr="009D3659">
        <w:rPr>
          <w:rFonts w:ascii="Times New Roman" w:hAnsi="Times New Roman" w:cs="Times New Roman"/>
        </w:rPr>
        <w:t xml:space="preserve"> starting point for academic lawyers </w:t>
      </w:r>
      <w:r w:rsidR="00303ECB" w:rsidRPr="009D3659">
        <w:rPr>
          <w:rFonts w:ascii="Times New Roman" w:hAnsi="Times New Roman" w:cs="Times New Roman"/>
        </w:rPr>
        <w:t xml:space="preserve">who are </w:t>
      </w:r>
      <w:r w:rsidR="0041489F" w:rsidRPr="009D3659">
        <w:rPr>
          <w:rFonts w:ascii="Times New Roman" w:hAnsi="Times New Roman" w:cs="Times New Roman"/>
        </w:rPr>
        <w:t>thinking about embark</w:t>
      </w:r>
      <w:r w:rsidR="00303ECB" w:rsidRPr="009D3659">
        <w:rPr>
          <w:rFonts w:ascii="Times New Roman" w:hAnsi="Times New Roman" w:cs="Times New Roman"/>
        </w:rPr>
        <w:t>ing</w:t>
      </w:r>
      <w:r w:rsidR="0041489F" w:rsidRPr="009D3659">
        <w:rPr>
          <w:rFonts w:ascii="Times New Roman" w:hAnsi="Times New Roman" w:cs="Times New Roman"/>
        </w:rPr>
        <w:t xml:space="preserve"> upon the </w:t>
      </w:r>
      <w:r w:rsidR="00303ECB" w:rsidRPr="009D3659">
        <w:rPr>
          <w:rFonts w:ascii="Times New Roman" w:hAnsi="Times New Roman" w:cs="Times New Roman"/>
        </w:rPr>
        <w:t xml:space="preserve">analysis and/or </w:t>
      </w:r>
      <w:r w:rsidR="00542D18" w:rsidRPr="009D3659">
        <w:rPr>
          <w:rFonts w:ascii="Times New Roman" w:hAnsi="Times New Roman" w:cs="Times New Roman"/>
        </w:rPr>
        <w:t>teaching of emotion in law.</w:t>
      </w:r>
    </w:p>
    <w:p w14:paraId="141E557C" w14:textId="4821D0EC" w:rsidR="001B0357" w:rsidRDefault="001B0357" w:rsidP="005C6AFC">
      <w:pPr>
        <w:spacing w:line="360" w:lineRule="auto"/>
        <w:jc w:val="both"/>
        <w:rPr>
          <w:rFonts w:ascii="Times New Roman" w:hAnsi="Times New Roman" w:cs="Times New Roman"/>
        </w:rPr>
      </w:pPr>
      <w:r>
        <w:rPr>
          <w:rFonts w:ascii="Times New Roman" w:hAnsi="Times New Roman" w:cs="Times New Roman"/>
        </w:rPr>
        <w:tab/>
        <w:t xml:space="preserve">Affect, emotion, and feeling have different dimensions. </w:t>
      </w:r>
      <w:r w:rsidR="00261527" w:rsidRPr="009D3659">
        <w:rPr>
          <w:rFonts w:ascii="Times New Roman" w:hAnsi="Times New Roman" w:cs="Times New Roman"/>
        </w:rPr>
        <w:t>Affect is an ethology: moments of action, non-conscious experience or unstructured potentials</w:t>
      </w:r>
      <w:r w:rsidR="00717E79">
        <w:rPr>
          <w:rStyle w:val="FootnoteReference"/>
          <w:rFonts w:ascii="Times New Roman" w:hAnsi="Times New Roman" w:cs="Times New Roman"/>
        </w:rPr>
        <w:footnoteReference w:id="6"/>
      </w:r>
      <w:r w:rsidR="00261527" w:rsidRPr="009D3659">
        <w:rPr>
          <w:rFonts w:ascii="Times New Roman" w:hAnsi="Times New Roman" w:cs="Times New Roman"/>
        </w:rPr>
        <w:t xml:space="preserve"> In contradistinction, emotion can be framed as a distinctive political and social marker that “sticks” to a body or community, often produced through subject-object relations.</w:t>
      </w:r>
      <w:r w:rsidR="00717E79">
        <w:rPr>
          <w:rStyle w:val="FootnoteReference"/>
          <w:rFonts w:ascii="Times New Roman" w:hAnsi="Times New Roman" w:cs="Times New Roman"/>
        </w:rPr>
        <w:footnoteReference w:id="7"/>
      </w:r>
      <w:r w:rsidR="00261527" w:rsidRPr="009D3659">
        <w:rPr>
          <w:rFonts w:ascii="Times New Roman" w:hAnsi="Times New Roman" w:cs="Times New Roman"/>
        </w:rPr>
        <w:t xml:space="preserve"> </w:t>
      </w:r>
      <w:r w:rsidR="00180978" w:rsidRPr="009D3659">
        <w:rPr>
          <w:rFonts w:ascii="Times New Roman" w:hAnsi="Times New Roman" w:cs="Times New Roman"/>
        </w:rPr>
        <w:t>E</w:t>
      </w:r>
      <w:r w:rsidR="00261527" w:rsidRPr="009D3659">
        <w:rPr>
          <w:rFonts w:ascii="Times New Roman" w:hAnsi="Times New Roman" w:cs="Times New Roman"/>
        </w:rPr>
        <w:t>motions are the narrative subtraction from affect.</w:t>
      </w:r>
      <w:r w:rsidR="00717E79">
        <w:rPr>
          <w:rStyle w:val="FootnoteReference"/>
          <w:rFonts w:ascii="Times New Roman" w:hAnsi="Times New Roman" w:cs="Times New Roman"/>
        </w:rPr>
        <w:footnoteReference w:id="8"/>
      </w:r>
      <w:r w:rsidR="00261527" w:rsidRPr="009D3659">
        <w:rPr>
          <w:rFonts w:ascii="Times New Roman" w:hAnsi="Times New Roman" w:cs="Times New Roman"/>
        </w:rPr>
        <w:t xml:space="preserve"> Feeling, </w:t>
      </w:r>
      <w:r>
        <w:rPr>
          <w:rFonts w:ascii="Times New Roman" w:hAnsi="Times New Roman" w:cs="Times New Roman"/>
        </w:rPr>
        <w:t>alternatively</w:t>
      </w:r>
      <w:r w:rsidR="00261527" w:rsidRPr="009D3659">
        <w:rPr>
          <w:rFonts w:ascii="Times New Roman" w:hAnsi="Times New Roman" w:cs="Times New Roman"/>
        </w:rPr>
        <w:t xml:space="preserve">, </w:t>
      </w:r>
      <w:r>
        <w:rPr>
          <w:rFonts w:ascii="Times New Roman" w:hAnsi="Times New Roman" w:cs="Times New Roman"/>
        </w:rPr>
        <w:t>is the</w:t>
      </w:r>
      <w:r w:rsidRPr="009D3659">
        <w:rPr>
          <w:rFonts w:ascii="Times New Roman" w:hAnsi="Times New Roman" w:cs="Times New Roman"/>
        </w:rPr>
        <w:t xml:space="preserve"> </w:t>
      </w:r>
      <w:r w:rsidR="00261527" w:rsidRPr="009D3659">
        <w:rPr>
          <w:rFonts w:ascii="Times New Roman" w:hAnsi="Times New Roman" w:cs="Times New Roman"/>
        </w:rPr>
        <w:t>personalised recognition of our affective and emotional histories.</w:t>
      </w:r>
      <w:r w:rsidR="00717E79">
        <w:rPr>
          <w:rStyle w:val="FootnoteReference"/>
          <w:rFonts w:ascii="Times New Roman" w:hAnsi="Times New Roman" w:cs="Times New Roman"/>
        </w:rPr>
        <w:footnoteReference w:id="9"/>
      </w:r>
      <w:r w:rsidR="00DD0C19" w:rsidRPr="009D3659">
        <w:rPr>
          <w:rFonts w:ascii="Times New Roman" w:hAnsi="Times New Roman" w:cs="Times New Roman"/>
        </w:rPr>
        <w:t xml:space="preserve"> </w:t>
      </w:r>
      <w:r w:rsidR="00261527" w:rsidRPr="009D3659">
        <w:rPr>
          <w:rFonts w:ascii="Times New Roman" w:hAnsi="Times New Roman" w:cs="Times New Roman"/>
        </w:rPr>
        <w:t>Feeling is a means by which we recognise or understand experience and communicate politics.</w:t>
      </w:r>
      <w:r w:rsidR="00717E79">
        <w:rPr>
          <w:rStyle w:val="FootnoteReference"/>
          <w:rFonts w:ascii="Times New Roman" w:hAnsi="Times New Roman" w:cs="Times New Roman"/>
        </w:rPr>
        <w:footnoteReference w:id="10"/>
      </w:r>
      <w:r w:rsidR="00261527" w:rsidRPr="009D3659">
        <w:rPr>
          <w:rFonts w:ascii="Times New Roman" w:hAnsi="Times New Roman" w:cs="Times New Roman"/>
        </w:rPr>
        <w:t xml:space="preserve"> Emotion and feeling, </w:t>
      </w:r>
      <w:r w:rsidR="00002BFD" w:rsidRPr="009D3659">
        <w:rPr>
          <w:rFonts w:ascii="Times New Roman" w:hAnsi="Times New Roman" w:cs="Times New Roman"/>
        </w:rPr>
        <w:t>then</w:t>
      </w:r>
      <w:r w:rsidR="00261527" w:rsidRPr="009D3659">
        <w:rPr>
          <w:rFonts w:ascii="Times New Roman" w:hAnsi="Times New Roman" w:cs="Times New Roman"/>
        </w:rPr>
        <w:t xml:space="preserve">, </w:t>
      </w:r>
      <w:r w:rsidR="00002BFD" w:rsidRPr="009D3659">
        <w:rPr>
          <w:rFonts w:ascii="Times New Roman" w:hAnsi="Times New Roman" w:cs="Times New Roman"/>
        </w:rPr>
        <w:t xml:space="preserve">can be understood as </w:t>
      </w:r>
      <w:r w:rsidR="00AB334A" w:rsidRPr="009D3659">
        <w:rPr>
          <w:rFonts w:ascii="Times New Roman" w:hAnsi="Times New Roman" w:cs="Times New Roman"/>
        </w:rPr>
        <w:t>relational</w:t>
      </w:r>
      <w:r w:rsidR="00261527" w:rsidRPr="009D3659">
        <w:rPr>
          <w:rFonts w:ascii="Times New Roman" w:hAnsi="Times New Roman" w:cs="Times New Roman"/>
        </w:rPr>
        <w:t xml:space="preserve"> and </w:t>
      </w:r>
      <w:r w:rsidR="00002BFD" w:rsidRPr="009D3659">
        <w:rPr>
          <w:rFonts w:ascii="Times New Roman" w:hAnsi="Times New Roman" w:cs="Times New Roman"/>
        </w:rPr>
        <w:t>cognitive</w:t>
      </w:r>
      <w:r w:rsidR="00261527" w:rsidRPr="009D3659">
        <w:rPr>
          <w:rFonts w:ascii="Times New Roman" w:hAnsi="Times New Roman" w:cs="Times New Roman"/>
        </w:rPr>
        <w:t xml:space="preserve"> </w:t>
      </w:r>
      <w:r w:rsidR="00002BFD" w:rsidRPr="009D3659">
        <w:rPr>
          <w:rFonts w:ascii="Times New Roman" w:hAnsi="Times New Roman" w:cs="Times New Roman"/>
        </w:rPr>
        <w:t>expressions</w:t>
      </w:r>
      <w:r w:rsidR="00261527" w:rsidRPr="009D3659">
        <w:rPr>
          <w:rFonts w:ascii="Times New Roman" w:hAnsi="Times New Roman" w:cs="Times New Roman"/>
        </w:rPr>
        <w:t>,.</w:t>
      </w:r>
      <w:r w:rsidR="00AB334A" w:rsidRPr="009D3659">
        <w:rPr>
          <w:rFonts w:ascii="Times New Roman" w:hAnsi="Times New Roman" w:cs="Times New Roman"/>
        </w:rPr>
        <w:t xml:space="preserve"> </w:t>
      </w:r>
      <w:r w:rsidR="00002BFD" w:rsidRPr="009D3659">
        <w:rPr>
          <w:rFonts w:ascii="Times New Roman" w:hAnsi="Times New Roman" w:cs="Times New Roman"/>
        </w:rPr>
        <w:t>Sara Ahmed examines how these social forms of</w:t>
      </w:r>
      <w:r w:rsidR="00261527" w:rsidRPr="009D3659">
        <w:rPr>
          <w:rFonts w:ascii="Times New Roman" w:hAnsi="Times New Roman" w:cs="Times New Roman"/>
        </w:rPr>
        <w:t xml:space="preserve"> emotion</w:t>
      </w:r>
      <w:r w:rsidR="00002BFD" w:rsidRPr="009D3659">
        <w:rPr>
          <w:rFonts w:ascii="Times New Roman" w:hAnsi="Times New Roman" w:cs="Times New Roman"/>
        </w:rPr>
        <w:t xml:space="preserve"> take shape</w:t>
      </w:r>
      <w:r w:rsidR="00261527" w:rsidRPr="009D3659">
        <w:rPr>
          <w:rFonts w:ascii="Times New Roman" w:hAnsi="Times New Roman" w:cs="Times New Roman"/>
        </w:rPr>
        <w:t xml:space="preserve"> </w:t>
      </w:r>
      <w:r w:rsidR="00002BFD" w:rsidRPr="009D3659">
        <w:rPr>
          <w:rFonts w:ascii="Times New Roman" w:hAnsi="Times New Roman" w:cs="Times New Roman"/>
        </w:rPr>
        <w:t>by focusing on</w:t>
      </w:r>
      <w:r w:rsidR="00261527" w:rsidRPr="009D3659">
        <w:rPr>
          <w:rFonts w:ascii="Times New Roman" w:hAnsi="Times New Roman" w:cs="Times New Roman"/>
        </w:rPr>
        <w:t xml:space="preserve"> “impressions.” </w:t>
      </w:r>
      <w:r w:rsidR="00002BFD" w:rsidRPr="009D3659">
        <w:rPr>
          <w:rFonts w:ascii="Times New Roman" w:hAnsi="Times New Roman" w:cs="Times New Roman"/>
        </w:rPr>
        <w:t xml:space="preserve">Emotions manifest </w:t>
      </w:r>
      <w:r w:rsidR="00AB334A" w:rsidRPr="009D3659">
        <w:rPr>
          <w:rFonts w:ascii="Times New Roman" w:hAnsi="Times New Roman" w:cs="Times New Roman"/>
        </w:rPr>
        <w:t>through our shared vulnerabilities:</w:t>
      </w:r>
      <w:r w:rsidR="00261527" w:rsidRPr="009D3659">
        <w:rPr>
          <w:rFonts w:ascii="Times New Roman" w:hAnsi="Times New Roman" w:cs="Times New Roman"/>
        </w:rPr>
        <w:t xml:space="preserve"> </w:t>
      </w:r>
      <w:r w:rsidR="004B093E" w:rsidRPr="009D3659">
        <w:rPr>
          <w:rFonts w:ascii="Times New Roman" w:hAnsi="Times New Roman" w:cs="Times New Roman"/>
        </w:rPr>
        <w:t>others (im)press</w:t>
      </w:r>
      <w:r w:rsidR="00261527" w:rsidRPr="009D3659">
        <w:rPr>
          <w:rFonts w:ascii="Times New Roman" w:hAnsi="Times New Roman" w:cs="Times New Roman"/>
        </w:rPr>
        <w:t xml:space="preserve"> upon </w:t>
      </w:r>
      <w:r w:rsidR="004B093E" w:rsidRPr="009D3659">
        <w:rPr>
          <w:rFonts w:ascii="Times New Roman" w:hAnsi="Times New Roman" w:cs="Times New Roman"/>
        </w:rPr>
        <w:t>us</w:t>
      </w:r>
      <w:r w:rsidR="00261527" w:rsidRPr="009D3659">
        <w:rPr>
          <w:rFonts w:ascii="Times New Roman" w:hAnsi="Times New Roman" w:cs="Times New Roman"/>
        </w:rPr>
        <w:t xml:space="preserve"> (creating feelings), we form impressions (creating</w:t>
      </w:r>
      <w:r w:rsidR="00002BFD" w:rsidRPr="009D3659">
        <w:rPr>
          <w:rFonts w:ascii="Times New Roman" w:hAnsi="Times New Roman" w:cs="Times New Roman"/>
        </w:rPr>
        <w:t xml:space="preserve"> thoughts), and impressions </w:t>
      </w:r>
      <w:r w:rsidR="00261527" w:rsidRPr="009D3659">
        <w:rPr>
          <w:rFonts w:ascii="Times New Roman" w:hAnsi="Times New Roman" w:cs="Times New Roman"/>
        </w:rPr>
        <w:t>mark surfaces and spaces (creating objects).</w:t>
      </w:r>
      <w:r w:rsidR="00717E79">
        <w:rPr>
          <w:rStyle w:val="FootnoteReference"/>
          <w:rFonts w:ascii="Times New Roman" w:hAnsi="Times New Roman" w:cs="Times New Roman"/>
        </w:rPr>
        <w:footnoteReference w:id="11"/>
      </w:r>
      <w:r w:rsidR="00261527" w:rsidRPr="009D3659">
        <w:rPr>
          <w:rFonts w:ascii="Times New Roman" w:hAnsi="Times New Roman" w:cs="Times New Roman"/>
        </w:rPr>
        <w:t xml:space="preserve"> </w:t>
      </w:r>
    </w:p>
    <w:p w14:paraId="38DEDF77" w14:textId="2CA024AA" w:rsidR="00721A26" w:rsidRPr="009D3659" w:rsidRDefault="001B0357" w:rsidP="005F4FDE">
      <w:pPr>
        <w:spacing w:line="360" w:lineRule="auto"/>
        <w:jc w:val="both"/>
        <w:rPr>
          <w:rFonts w:ascii="Times New Roman" w:hAnsi="Times New Roman" w:cs="Times New Roman"/>
        </w:rPr>
      </w:pPr>
      <w:r>
        <w:rPr>
          <w:rFonts w:ascii="Times New Roman" w:hAnsi="Times New Roman" w:cs="Times New Roman"/>
        </w:rPr>
        <w:lastRenderedPageBreak/>
        <w:tab/>
      </w:r>
      <w:r w:rsidR="008A406A" w:rsidRPr="009D3659">
        <w:rPr>
          <w:rFonts w:ascii="Times New Roman" w:hAnsi="Times New Roman" w:cs="Times New Roman"/>
        </w:rPr>
        <w:t>Confronting</w:t>
      </w:r>
      <w:r w:rsidR="00002BFD" w:rsidRPr="009D3659">
        <w:rPr>
          <w:rFonts w:ascii="Times New Roman" w:hAnsi="Times New Roman" w:cs="Times New Roman"/>
        </w:rPr>
        <w:t xml:space="preserve"> emotion – as </w:t>
      </w:r>
      <w:r w:rsidR="008A406A" w:rsidRPr="009D3659">
        <w:rPr>
          <w:rFonts w:ascii="Times New Roman" w:hAnsi="Times New Roman" w:cs="Times New Roman"/>
        </w:rPr>
        <w:t>forms of social</w:t>
      </w:r>
      <w:r w:rsidR="00002BFD" w:rsidRPr="009D3659">
        <w:rPr>
          <w:rFonts w:ascii="Times New Roman" w:hAnsi="Times New Roman" w:cs="Times New Roman"/>
        </w:rPr>
        <w:t xml:space="preserve"> impressions</w:t>
      </w:r>
      <w:r w:rsidR="00AB334A" w:rsidRPr="009D3659">
        <w:rPr>
          <w:rFonts w:ascii="Times New Roman" w:hAnsi="Times New Roman" w:cs="Times New Roman"/>
        </w:rPr>
        <w:t xml:space="preserve"> and </w:t>
      </w:r>
      <w:r w:rsidR="00930F37" w:rsidRPr="009D3659">
        <w:rPr>
          <w:rFonts w:ascii="Times New Roman" w:hAnsi="Times New Roman" w:cs="Times New Roman"/>
        </w:rPr>
        <w:t>relationalities</w:t>
      </w:r>
      <w:r w:rsidR="00002BFD" w:rsidRPr="009D3659">
        <w:rPr>
          <w:rFonts w:ascii="Times New Roman" w:hAnsi="Times New Roman" w:cs="Times New Roman"/>
        </w:rPr>
        <w:t xml:space="preserve"> – poses </w:t>
      </w:r>
      <w:r w:rsidR="00CC0D4C" w:rsidRPr="009D3659">
        <w:rPr>
          <w:rFonts w:ascii="Times New Roman" w:hAnsi="Times New Roman" w:cs="Times New Roman"/>
        </w:rPr>
        <w:t xml:space="preserve">serious </w:t>
      </w:r>
      <w:r w:rsidR="00AB334A" w:rsidRPr="009D3659">
        <w:rPr>
          <w:rFonts w:ascii="Times New Roman" w:hAnsi="Times New Roman" w:cs="Times New Roman"/>
        </w:rPr>
        <w:t xml:space="preserve">challenges in law. </w:t>
      </w:r>
      <w:r w:rsidR="00DD0C19" w:rsidRPr="009D3659">
        <w:rPr>
          <w:rFonts w:ascii="Times New Roman" w:hAnsi="Times New Roman" w:cs="Times New Roman"/>
        </w:rPr>
        <w:t xml:space="preserve">Positivist accounts of law, inspired by the pioneering work of </w:t>
      </w:r>
      <w:r w:rsidR="00954DB7" w:rsidRPr="009D3659">
        <w:rPr>
          <w:rFonts w:ascii="Times New Roman" w:hAnsi="Times New Roman" w:cs="Times New Roman"/>
        </w:rPr>
        <w:t xml:space="preserve">jurist </w:t>
      </w:r>
      <w:r w:rsidR="00DD0C19" w:rsidRPr="009D3659">
        <w:rPr>
          <w:rFonts w:ascii="Times New Roman" w:hAnsi="Times New Roman" w:cs="Times New Roman"/>
        </w:rPr>
        <w:t xml:space="preserve">HLA Hart, purport to define </w:t>
      </w:r>
      <w:r w:rsidR="00CC0D4C" w:rsidRPr="009D3659">
        <w:rPr>
          <w:rFonts w:ascii="Times New Roman" w:hAnsi="Times New Roman" w:cs="Times New Roman"/>
        </w:rPr>
        <w:t xml:space="preserve">“the </w:t>
      </w:r>
      <w:r w:rsidR="00DD0C19" w:rsidRPr="009D3659">
        <w:rPr>
          <w:rFonts w:ascii="Times New Roman" w:hAnsi="Times New Roman" w:cs="Times New Roman"/>
        </w:rPr>
        <w:t>law</w:t>
      </w:r>
      <w:r w:rsidR="00CC0D4C" w:rsidRPr="009D3659">
        <w:rPr>
          <w:rFonts w:ascii="Times New Roman" w:hAnsi="Times New Roman" w:cs="Times New Roman"/>
        </w:rPr>
        <w:t>”</w:t>
      </w:r>
      <w:r w:rsidR="00DD0C19" w:rsidRPr="009D3659">
        <w:rPr>
          <w:rFonts w:ascii="Times New Roman" w:hAnsi="Times New Roman" w:cs="Times New Roman"/>
        </w:rPr>
        <w:t xml:space="preserve"> as a unique system of</w:t>
      </w:r>
      <w:r w:rsidR="008A406A" w:rsidRPr="009D3659">
        <w:rPr>
          <w:rFonts w:ascii="Times New Roman" w:hAnsi="Times New Roman" w:cs="Times New Roman"/>
        </w:rPr>
        <w:t xml:space="preserve"> norms, rationalities, rules, commands, and</w:t>
      </w:r>
      <w:r w:rsidR="00DD0C19" w:rsidRPr="009D3659">
        <w:rPr>
          <w:rFonts w:ascii="Times New Roman" w:hAnsi="Times New Roman" w:cs="Times New Roman"/>
        </w:rPr>
        <w:t xml:space="preserve"> obligations.</w:t>
      </w:r>
      <w:r w:rsidR="00D855AD">
        <w:rPr>
          <w:rStyle w:val="FootnoteReference"/>
          <w:rFonts w:ascii="Times New Roman" w:hAnsi="Times New Roman" w:cs="Times New Roman"/>
        </w:rPr>
        <w:footnoteReference w:id="12"/>
      </w:r>
      <w:r w:rsidR="00DD0C19" w:rsidRPr="009D3659">
        <w:rPr>
          <w:rFonts w:ascii="Times New Roman" w:hAnsi="Times New Roman" w:cs="Times New Roman"/>
        </w:rPr>
        <w:t xml:space="preserve"> What this articulation of law obscures, however, are the ways emotion</w:t>
      </w:r>
      <w:r w:rsidR="005F4FDE" w:rsidRPr="009D3659">
        <w:rPr>
          <w:rFonts w:ascii="Times New Roman" w:hAnsi="Times New Roman" w:cs="Times New Roman"/>
        </w:rPr>
        <w:t>s</w:t>
      </w:r>
      <w:r w:rsidR="00DD0C19" w:rsidRPr="009D3659">
        <w:rPr>
          <w:rFonts w:ascii="Times New Roman" w:hAnsi="Times New Roman" w:cs="Times New Roman"/>
        </w:rPr>
        <w:t xml:space="preserve"> </w:t>
      </w:r>
      <w:r w:rsidR="008A406A" w:rsidRPr="009D3659">
        <w:rPr>
          <w:rFonts w:ascii="Times New Roman" w:hAnsi="Times New Roman" w:cs="Times New Roman"/>
        </w:rPr>
        <w:t>crystallise</w:t>
      </w:r>
      <w:r w:rsidR="00DD0C19" w:rsidRPr="009D3659">
        <w:rPr>
          <w:rFonts w:ascii="Times New Roman" w:hAnsi="Times New Roman" w:cs="Times New Roman"/>
        </w:rPr>
        <w:t xml:space="preserve"> </w:t>
      </w:r>
      <w:r w:rsidR="008A406A" w:rsidRPr="009D3659">
        <w:rPr>
          <w:rFonts w:ascii="Times New Roman" w:hAnsi="Times New Roman" w:cs="Times New Roman"/>
        </w:rPr>
        <w:t xml:space="preserve">in </w:t>
      </w:r>
      <w:r w:rsidR="00DD0C19" w:rsidRPr="009D3659">
        <w:rPr>
          <w:rFonts w:ascii="Times New Roman" w:hAnsi="Times New Roman" w:cs="Times New Roman"/>
        </w:rPr>
        <w:t xml:space="preserve">jurisprudence, </w:t>
      </w:r>
      <w:r w:rsidR="008A406A" w:rsidRPr="009D3659">
        <w:rPr>
          <w:rFonts w:ascii="Times New Roman" w:hAnsi="Times New Roman" w:cs="Times New Roman"/>
        </w:rPr>
        <w:t>legislation</w:t>
      </w:r>
      <w:r w:rsidR="00D13CE2" w:rsidRPr="009D3659">
        <w:rPr>
          <w:rFonts w:ascii="Times New Roman" w:hAnsi="Times New Roman" w:cs="Times New Roman"/>
        </w:rPr>
        <w:t>,</w:t>
      </w:r>
      <w:r w:rsidR="005F4FDE" w:rsidRPr="009D3659">
        <w:rPr>
          <w:rFonts w:ascii="Times New Roman" w:hAnsi="Times New Roman" w:cs="Times New Roman"/>
        </w:rPr>
        <w:t xml:space="preserve"> and litigation</w:t>
      </w:r>
      <w:r w:rsidR="00DD0C19" w:rsidRPr="009D3659">
        <w:rPr>
          <w:rFonts w:ascii="Times New Roman" w:hAnsi="Times New Roman" w:cs="Times New Roman"/>
        </w:rPr>
        <w:t xml:space="preserve">. </w:t>
      </w:r>
      <w:r w:rsidR="005F4FDE" w:rsidRPr="009D3659">
        <w:rPr>
          <w:rFonts w:ascii="Times New Roman" w:hAnsi="Times New Roman" w:cs="Times New Roman"/>
        </w:rPr>
        <w:t>Scholars working in the intersection of law and emotion establish that legal institutions, including law schools, continue to insist upon a script of “judicial dispassion” or “rationality”</w:t>
      </w:r>
      <w:r w:rsidR="00AB334A" w:rsidRPr="009D3659">
        <w:rPr>
          <w:rFonts w:ascii="Times New Roman" w:hAnsi="Times New Roman" w:cs="Times New Roman"/>
        </w:rPr>
        <w:t xml:space="preserve"> of the legal subject</w:t>
      </w:r>
      <w:r w:rsidR="005F4FDE" w:rsidRPr="009D3659">
        <w:rPr>
          <w:rFonts w:ascii="Times New Roman" w:hAnsi="Times New Roman" w:cs="Times New Roman"/>
        </w:rPr>
        <w:t xml:space="preserve"> as a cornerstone principle to law.</w:t>
      </w:r>
      <w:r w:rsidR="00D855AD">
        <w:rPr>
          <w:rStyle w:val="FootnoteReference"/>
          <w:rFonts w:ascii="Times New Roman" w:hAnsi="Times New Roman" w:cs="Times New Roman"/>
        </w:rPr>
        <w:footnoteReference w:id="13"/>
      </w:r>
      <w:r w:rsidR="005F4FDE" w:rsidRPr="009D3659">
        <w:rPr>
          <w:rFonts w:ascii="Times New Roman" w:hAnsi="Times New Roman" w:cs="Times New Roman"/>
        </w:rPr>
        <w:t xml:space="preserve"> </w:t>
      </w:r>
      <w:r w:rsidR="00AD29AF" w:rsidRPr="009D3659">
        <w:rPr>
          <w:rFonts w:ascii="Times New Roman" w:hAnsi="Times New Roman" w:cs="Times New Roman"/>
        </w:rPr>
        <w:t>Emotion i</w:t>
      </w:r>
      <w:r w:rsidR="00CC0D4C" w:rsidRPr="009D3659">
        <w:rPr>
          <w:rFonts w:ascii="Times New Roman" w:hAnsi="Times New Roman" w:cs="Times New Roman"/>
        </w:rPr>
        <w:t>s construed as antithetical</w:t>
      </w:r>
      <w:r w:rsidR="00954DB7" w:rsidRPr="009D3659">
        <w:rPr>
          <w:rFonts w:ascii="Times New Roman" w:hAnsi="Times New Roman" w:cs="Times New Roman"/>
        </w:rPr>
        <w:t xml:space="preserve"> to </w:t>
      </w:r>
      <w:r w:rsidR="002C08A2" w:rsidRPr="009D3659">
        <w:rPr>
          <w:rFonts w:ascii="Times New Roman" w:hAnsi="Times New Roman" w:cs="Times New Roman"/>
        </w:rPr>
        <w:t xml:space="preserve">(learning about) </w:t>
      </w:r>
      <w:r w:rsidR="00954DB7" w:rsidRPr="009D3659">
        <w:rPr>
          <w:rFonts w:ascii="Times New Roman" w:hAnsi="Times New Roman" w:cs="Times New Roman"/>
        </w:rPr>
        <w:t>law.</w:t>
      </w:r>
      <w:r w:rsidR="00D855AD">
        <w:rPr>
          <w:rStyle w:val="FootnoteReference"/>
          <w:rFonts w:ascii="Times New Roman" w:hAnsi="Times New Roman" w:cs="Times New Roman"/>
        </w:rPr>
        <w:footnoteReference w:id="14"/>
      </w:r>
      <w:r w:rsidR="00954DB7" w:rsidRPr="009D3659">
        <w:rPr>
          <w:rFonts w:ascii="Times New Roman" w:hAnsi="Times New Roman" w:cs="Times New Roman"/>
        </w:rPr>
        <w:t xml:space="preserve"> </w:t>
      </w:r>
      <w:r w:rsidR="00D855AD">
        <w:rPr>
          <w:rFonts w:ascii="Times New Roman" w:hAnsi="Times New Roman" w:cs="Times New Roman"/>
        </w:rPr>
        <w:t>These</w:t>
      </w:r>
      <w:r w:rsidR="00954DB7" w:rsidRPr="009D3659">
        <w:rPr>
          <w:rFonts w:ascii="Times New Roman" w:hAnsi="Times New Roman" w:cs="Times New Roman"/>
        </w:rPr>
        <w:t xml:space="preserve"> attempts to exile emotion from the</w:t>
      </w:r>
      <w:r w:rsidR="005F4FDE" w:rsidRPr="009D3659">
        <w:rPr>
          <w:rFonts w:ascii="Times New Roman" w:hAnsi="Times New Roman" w:cs="Times New Roman"/>
        </w:rPr>
        <w:t xml:space="preserve"> (study of) law can be dangerous, as this</w:t>
      </w:r>
      <w:r w:rsidR="00954DB7" w:rsidRPr="009D3659">
        <w:rPr>
          <w:rFonts w:ascii="Times New Roman" w:hAnsi="Times New Roman" w:cs="Times New Roman"/>
        </w:rPr>
        <w:t xml:space="preserve"> </w:t>
      </w:r>
      <w:r w:rsidR="005F4FDE" w:rsidRPr="009D3659">
        <w:rPr>
          <w:rFonts w:ascii="Times New Roman" w:hAnsi="Times New Roman" w:cs="Times New Roman"/>
        </w:rPr>
        <w:t>risks trivialising complex disputes</w:t>
      </w:r>
      <w:r w:rsidR="00954DB7" w:rsidRPr="009D3659">
        <w:rPr>
          <w:rFonts w:ascii="Times New Roman" w:hAnsi="Times New Roman" w:cs="Times New Roman"/>
        </w:rPr>
        <w:t xml:space="preserve"> </w:t>
      </w:r>
      <w:r w:rsidR="005F4FDE" w:rsidRPr="009D3659">
        <w:rPr>
          <w:rFonts w:ascii="Times New Roman" w:hAnsi="Times New Roman" w:cs="Times New Roman"/>
        </w:rPr>
        <w:t>and cementing</w:t>
      </w:r>
      <w:r w:rsidR="00954DB7" w:rsidRPr="009D3659">
        <w:rPr>
          <w:rFonts w:ascii="Times New Roman" w:hAnsi="Times New Roman" w:cs="Times New Roman"/>
        </w:rPr>
        <w:t xml:space="preserve"> </w:t>
      </w:r>
      <w:r w:rsidR="00CC0D4C" w:rsidRPr="009D3659">
        <w:rPr>
          <w:rFonts w:ascii="Times New Roman" w:hAnsi="Times New Roman" w:cs="Times New Roman"/>
        </w:rPr>
        <w:t>caricatured ideas of “rational</w:t>
      </w:r>
      <w:r w:rsidR="00954DB7" w:rsidRPr="009D3659">
        <w:rPr>
          <w:rFonts w:ascii="Times New Roman" w:hAnsi="Times New Roman" w:cs="Times New Roman"/>
        </w:rPr>
        <w:t xml:space="preserve"> decisions.</w:t>
      </w:r>
      <w:r w:rsidR="00CC0D4C" w:rsidRPr="009D3659">
        <w:rPr>
          <w:rFonts w:ascii="Times New Roman" w:hAnsi="Times New Roman" w:cs="Times New Roman"/>
        </w:rPr>
        <w:t>”</w:t>
      </w:r>
      <w:r w:rsidR="00D855AD">
        <w:rPr>
          <w:rStyle w:val="FootnoteReference"/>
          <w:rFonts w:ascii="Times New Roman" w:hAnsi="Times New Roman" w:cs="Times New Roman"/>
        </w:rPr>
        <w:footnoteReference w:id="15"/>
      </w:r>
      <w:r w:rsidR="00AB334A" w:rsidRPr="009D3659">
        <w:rPr>
          <w:rFonts w:ascii="Times New Roman" w:hAnsi="Times New Roman" w:cs="Times New Roman"/>
        </w:rPr>
        <w:t xml:space="preserve"> </w:t>
      </w:r>
      <w:r w:rsidR="00D77787">
        <w:rPr>
          <w:rFonts w:ascii="Times New Roman" w:hAnsi="Times New Roman" w:cs="Times New Roman"/>
        </w:rPr>
        <w:t>It also risks obscuring</w:t>
      </w:r>
      <w:r w:rsidR="00AB334A" w:rsidRPr="009D3659">
        <w:rPr>
          <w:rFonts w:ascii="Times New Roman" w:hAnsi="Times New Roman" w:cs="Times New Roman"/>
        </w:rPr>
        <w:t xml:space="preserve"> how </w:t>
      </w:r>
      <w:r w:rsidR="00D77787">
        <w:rPr>
          <w:rFonts w:ascii="Times New Roman" w:hAnsi="Times New Roman" w:cs="Times New Roman"/>
        </w:rPr>
        <w:t>expectations about rationality</w:t>
      </w:r>
      <w:r w:rsidR="00AB334A" w:rsidRPr="009D3659">
        <w:rPr>
          <w:rFonts w:ascii="Times New Roman" w:hAnsi="Times New Roman" w:cs="Times New Roman"/>
        </w:rPr>
        <w:t xml:space="preserve"> </w:t>
      </w:r>
      <w:r w:rsidR="00D77787">
        <w:rPr>
          <w:rFonts w:ascii="Times New Roman" w:hAnsi="Times New Roman" w:cs="Times New Roman"/>
        </w:rPr>
        <w:t xml:space="preserve">sustain </w:t>
      </w:r>
      <w:r w:rsidR="00AB334A" w:rsidRPr="009D3659">
        <w:rPr>
          <w:rFonts w:ascii="Times New Roman" w:hAnsi="Times New Roman" w:cs="Times New Roman"/>
        </w:rPr>
        <w:t xml:space="preserve">forms of power and </w:t>
      </w:r>
      <w:r w:rsidR="00D77787">
        <w:rPr>
          <w:rFonts w:ascii="Times New Roman" w:hAnsi="Times New Roman" w:cs="Times New Roman"/>
        </w:rPr>
        <w:t>modes of marginalisation</w:t>
      </w:r>
      <w:r w:rsidR="0092731F" w:rsidRPr="009D3659">
        <w:rPr>
          <w:rFonts w:ascii="Times New Roman" w:hAnsi="Times New Roman" w:cs="Times New Roman"/>
        </w:rPr>
        <w:t>.</w:t>
      </w:r>
      <w:r w:rsidR="00D855AD">
        <w:rPr>
          <w:rStyle w:val="FootnoteReference"/>
          <w:rFonts w:ascii="Times New Roman" w:hAnsi="Times New Roman" w:cs="Times New Roman"/>
        </w:rPr>
        <w:footnoteReference w:id="16"/>
      </w:r>
      <w:r w:rsidR="0092731F" w:rsidRPr="009D3659">
        <w:rPr>
          <w:rFonts w:ascii="Times New Roman" w:hAnsi="Times New Roman" w:cs="Times New Roman"/>
        </w:rPr>
        <w:t xml:space="preserve"> </w:t>
      </w:r>
      <w:r w:rsidR="00D77787">
        <w:rPr>
          <w:rFonts w:ascii="Times New Roman" w:hAnsi="Times New Roman" w:cs="Times New Roman"/>
        </w:rPr>
        <w:t>Addressing this</w:t>
      </w:r>
      <w:r w:rsidR="00D77787" w:rsidRPr="009D3659">
        <w:rPr>
          <w:rFonts w:ascii="Times New Roman" w:hAnsi="Times New Roman" w:cs="Times New Roman"/>
        </w:rPr>
        <w:t xml:space="preserve"> </w:t>
      </w:r>
      <w:r w:rsidR="0092731F" w:rsidRPr="009D3659">
        <w:rPr>
          <w:rFonts w:ascii="Times New Roman" w:hAnsi="Times New Roman" w:cs="Times New Roman"/>
        </w:rPr>
        <w:t xml:space="preserve">is not simply a matter of recognising power but requires us to make space for what </w:t>
      </w:r>
      <w:r w:rsidR="007A7125" w:rsidRPr="009D3659">
        <w:rPr>
          <w:rFonts w:ascii="Times New Roman" w:hAnsi="Times New Roman" w:cs="Times New Roman"/>
        </w:rPr>
        <w:t xml:space="preserve">Jill Stauffer describes as “ethical </w:t>
      </w:r>
      <w:r w:rsidR="00DB7A87" w:rsidRPr="009D3659">
        <w:rPr>
          <w:rFonts w:ascii="Times New Roman" w:hAnsi="Times New Roman" w:cs="Times New Roman"/>
        </w:rPr>
        <w:t>loneliness</w:t>
      </w:r>
      <w:r w:rsidR="007A7125" w:rsidRPr="009D3659">
        <w:rPr>
          <w:rFonts w:ascii="Times New Roman" w:hAnsi="Times New Roman" w:cs="Times New Roman"/>
        </w:rPr>
        <w:t xml:space="preserve">.” Ethical </w:t>
      </w:r>
      <w:r w:rsidR="00DB7A87" w:rsidRPr="009D3659">
        <w:rPr>
          <w:rFonts w:ascii="Times New Roman" w:hAnsi="Times New Roman" w:cs="Times New Roman"/>
        </w:rPr>
        <w:t>loneliness</w:t>
      </w:r>
      <w:r w:rsidR="007A7125" w:rsidRPr="009D3659">
        <w:rPr>
          <w:rFonts w:ascii="Times New Roman" w:hAnsi="Times New Roman" w:cs="Times New Roman"/>
        </w:rPr>
        <w:t xml:space="preserve"> describes the state of isolation caused by human and institutional abandonment (inequality, dehumanisation, oppression, injustice, etc) coupled with the inability to have one’s voice or testimony “heard” by the world around them.</w:t>
      </w:r>
      <w:r w:rsidR="00D855AD">
        <w:rPr>
          <w:rStyle w:val="FootnoteReference"/>
          <w:rFonts w:ascii="Times New Roman" w:hAnsi="Times New Roman" w:cs="Times New Roman"/>
        </w:rPr>
        <w:footnoteReference w:id="17"/>
      </w:r>
      <w:r w:rsidR="007A7125" w:rsidRPr="009D3659">
        <w:rPr>
          <w:rFonts w:ascii="Times New Roman" w:hAnsi="Times New Roman" w:cs="Times New Roman"/>
        </w:rPr>
        <w:t xml:space="preserve"> </w:t>
      </w:r>
    </w:p>
    <w:p w14:paraId="0AAD2B2D" w14:textId="73CDE1AC" w:rsidR="00CC0D4C" w:rsidRPr="009D3659" w:rsidRDefault="007A7125" w:rsidP="00721A26">
      <w:pPr>
        <w:spacing w:line="360" w:lineRule="auto"/>
        <w:ind w:firstLine="720"/>
        <w:jc w:val="both"/>
        <w:rPr>
          <w:rFonts w:ascii="Times New Roman" w:hAnsi="Times New Roman" w:cs="Times New Roman"/>
        </w:rPr>
      </w:pPr>
      <w:r w:rsidRPr="009D3659">
        <w:rPr>
          <w:rFonts w:ascii="Times New Roman" w:hAnsi="Times New Roman" w:cs="Times New Roman"/>
        </w:rPr>
        <w:t xml:space="preserve">If law seeks to engage with </w:t>
      </w:r>
      <w:r w:rsidR="003013E5" w:rsidRPr="009D3659">
        <w:rPr>
          <w:rFonts w:ascii="Times New Roman" w:hAnsi="Times New Roman" w:cs="Times New Roman"/>
        </w:rPr>
        <w:t>human experiences</w:t>
      </w:r>
      <w:r w:rsidRPr="009D3659">
        <w:rPr>
          <w:rFonts w:ascii="Times New Roman" w:hAnsi="Times New Roman" w:cs="Times New Roman"/>
        </w:rPr>
        <w:t xml:space="preserve"> of inequality</w:t>
      </w:r>
      <w:r w:rsidR="003013E5" w:rsidRPr="009D3659">
        <w:rPr>
          <w:rFonts w:ascii="Times New Roman" w:hAnsi="Times New Roman" w:cs="Times New Roman"/>
        </w:rPr>
        <w:t xml:space="preserve"> and abandonment</w:t>
      </w:r>
      <w:r w:rsidRPr="009D3659">
        <w:rPr>
          <w:rFonts w:ascii="Times New Roman" w:hAnsi="Times New Roman" w:cs="Times New Roman"/>
        </w:rPr>
        <w:t xml:space="preserve">, then law students need to be able to “hear” stories in a way that does not presume that the ideal (legal) listener to such stories is </w:t>
      </w:r>
      <w:r w:rsidR="003013E5" w:rsidRPr="009D3659">
        <w:rPr>
          <w:rFonts w:ascii="Times New Roman" w:hAnsi="Times New Roman" w:cs="Times New Roman"/>
        </w:rPr>
        <w:t xml:space="preserve">emotionally </w:t>
      </w:r>
      <w:r w:rsidRPr="009D3659">
        <w:rPr>
          <w:rFonts w:ascii="Times New Roman" w:hAnsi="Times New Roman" w:cs="Times New Roman"/>
        </w:rPr>
        <w:t xml:space="preserve">indifferent nor does it presume law is a </w:t>
      </w:r>
      <w:r w:rsidR="003013E5" w:rsidRPr="009D3659">
        <w:rPr>
          <w:rFonts w:ascii="Times New Roman" w:hAnsi="Times New Roman" w:cs="Times New Roman"/>
        </w:rPr>
        <w:t>rational</w:t>
      </w:r>
      <w:r w:rsidRPr="009D3659">
        <w:rPr>
          <w:rFonts w:ascii="Times New Roman" w:hAnsi="Times New Roman" w:cs="Times New Roman"/>
        </w:rPr>
        <w:t xml:space="preserve"> frame in which these stories can be told.</w:t>
      </w:r>
      <w:r w:rsidR="00D855AD">
        <w:rPr>
          <w:rStyle w:val="FootnoteReference"/>
          <w:rFonts w:ascii="Times New Roman" w:hAnsi="Times New Roman" w:cs="Times New Roman"/>
        </w:rPr>
        <w:footnoteReference w:id="18"/>
      </w:r>
      <w:r w:rsidRPr="009D3659">
        <w:rPr>
          <w:rFonts w:ascii="Times New Roman" w:hAnsi="Times New Roman" w:cs="Times New Roman"/>
        </w:rPr>
        <w:t xml:space="preserve"> </w:t>
      </w:r>
      <w:r w:rsidR="00930F37" w:rsidRPr="009D3659">
        <w:rPr>
          <w:rFonts w:ascii="Times New Roman" w:hAnsi="Times New Roman" w:cs="Times New Roman"/>
        </w:rPr>
        <w:t>Emotion</w:t>
      </w:r>
      <w:r w:rsidRPr="009D3659">
        <w:rPr>
          <w:rFonts w:ascii="Times New Roman" w:hAnsi="Times New Roman" w:cs="Times New Roman"/>
        </w:rPr>
        <w:t>, then</w:t>
      </w:r>
      <w:r w:rsidR="00C94AF4" w:rsidRPr="009D3659">
        <w:rPr>
          <w:rFonts w:ascii="Times New Roman" w:hAnsi="Times New Roman" w:cs="Times New Roman"/>
        </w:rPr>
        <w:t xml:space="preserve">, is not a </w:t>
      </w:r>
      <w:r w:rsidR="003013E5" w:rsidRPr="009D3659">
        <w:rPr>
          <w:rFonts w:ascii="Times New Roman" w:hAnsi="Times New Roman" w:cs="Times New Roman"/>
        </w:rPr>
        <w:t>state</w:t>
      </w:r>
      <w:r w:rsidR="00C94AF4" w:rsidRPr="009D3659">
        <w:rPr>
          <w:rFonts w:ascii="Times New Roman" w:hAnsi="Times New Roman" w:cs="Times New Roman"/>
        </w:rPr>
        <w:t xml:space="preserve"> that necessarily needs to</w:t>
      </w:r>
      <w:r w:rsidRPr="009D3659">
        <w:rPr>
          <w:rFonts w:ascii="Times New Roman" w:hAnsi="Times New Roman" w:cs="Times New Roman"/>
        </w:rPr>
        <w:t xml:space="preserve"> be “overcome” </w:t>
      </w:r>
      <w:r w:rsidR="003013E5" w:rsidRPr="009D3659">
        <w:rPr>
          <w:rFonts w:ascii="Times New Roman" w:hAnsi="Times New Roman" w:cs="Times New Roman"/>
        </w:rPr>
        <w:t>in</w:t>
      </w:r>
      <w:r w:rsidRPr="009D3659">
        <w:rPr>
          <w:rFonts w:ascii="Times New Roman" w:hAnsi="Times New Roman" w:cs="Times New Roman"/>
        </w:rPr>
        <w:t xml:space="preserve"> law or legal study</w:t>
      </w:r>
      <w:r w:rsidR="00C94AF4" w:rsidRPr="009D3659">
        <w:rPr>
          <w:rFonts w:ascii="Times New Roman" w:hAnsi="Times New Roman" w:cs="Times New Roman"/>
        </w:rPr>
        <w:t xml:space="preserve">. Rather, it is a relational </w:t>
      </w:r>
      <w:r w:rsidR="003013E5" w:rsidRPr="009D3659">
        <w:rPr>
          <w:rFonts w:ascii="Times New Roman" w:hAnsi="Times New Roman" w:cs="Times New Roman"/>
        </w:rPr>
        <w:t>space where</w:t>
      </w:r>
      <w:r w:rsidRPr="009D3659">
        <w:rPr>
          <w:rFonts w:ascii="Times New Roman" w:hAnsi="Times New Roman" w:cs="Times New Roman"/>
        </w:rPr>
        <w:t xml:space="preserve"> law students can intimately connect to matters of in</w:t>
      </w:r>
      <w:r w:rsidR="003013E5" w:rsidRPr="009D3659">
        <w:rPr>
          <w:rFonts w:ascii="Times New Roman" w:hAnsi="Times New Roman" w:cs="Times New Roman"/>
        </w:rPr>
        <w:t>justice</w:t>
      </w:r>
      <w:r w:rsidRPr="009D3659">
        <w:rPr>
          <w:rFonts w:ascii="Times New Roman" w:hAnsi="Times New Roman" w:cs="Times New Roman"/>
        </w:rPr>
        <w:t xml:space="preserve"> and </w:t>
      </w:r>
      <w:r w:rsidR="00C94AF4" w:rsidRPr="009D3659">
        <w:rPr>
          <w:rFonts w:ascii="Times New Roman" w:hAnsi="Times New Roman" w:cs="Times New Roman"/>
        </w:rPr>
        <w:t>affectively reflect on</w:t>
      </w:r>
      <w:r w:rsidRPr="009D3659">
        <w:rPr>
          <w:rFonts w:ascii="Times New Roman" w:hAnsi="Times New Roman" w:cs="Times New Roman"/>
        </w:rPr>
        <w:t xml:space="preserve"> the scope of law to repair them.</w:t>
      </w:r>
      <w:r w:rsidR="00E52529" w:rsidRPr="009D3659">
        <w:rPr>
          <w:rFonts w:ascii="Times New Roman" w:hAnsi="Times New Roman" w:cs="Times New Roman"/>
        </w:rPr>
        <w:t xml:space="preserve"> This requires </w:t>
      </w:r>
      <w:r w:rsidR="009E10E4" w:rsidRPr="009D3659">
        <w:rPr>
          <w:rFonts w:ascii="Times New Roman" w:hAnsi="Times New Roman" w:cs="Times New Roman"/>
        </w:rPr>
        <w:t xml:space="preserve">law teachers to </w:t>
      </w:r>
      <w:r w:rsidR="00787B49" w:rsidRPr="009D3659">
        <w:rPr>
          <w:rFonts w:ascii="Times New Roman" w:hAnsi="Times New Roman" w:cs="Times New Roman"/>
        </w:rPr>
        <w:t>challenge</w:t>
      </w:r>
      <w:r w:rsidR="00E52529" w:rsidRPr="009D3659">
        <w:rPr>
          <w:rFonts w:ascii="Times New Roman" w:hAnsi="Times New Roman" w:cs="Times New Roman"/>
        </w:rPr>
        <w:t xml:space="preserve"> the</w:t>
      </w:r>
      <w:r w:rsidR="009E10E4" w:rsidRPr="009D3659">
        <w:rPr>
          <w:rFonts w:ascii="Times New Roman" w:hAnsi="Times New Roman" w:cs="Times New Roman"/>
        </w:rPr>
        <w:t xml:space="preserve"> idealised</w:t>
      </w:r>
      <w:r w:rsidR="00E52529" w:rsidRPr="009D3659">
        <w:rPr>
          <w:rFonts w:ascii="Times New Roman" w:hAnsi="Times New Roman" w:cs="Times New Roman"/>
        </w:rPr>
        <w:t xml:space="preserve"> “</w:t>
      </w:r>
      <w:r w:rsidR="009E10E4" w:rsidRPr="009D3659">
        <w:rPr>
          <w:rFonts w:ascii="Times New Roman" w:hAnsi="Times New Roman" w:cs="Times New Roman"/>
        </w:rPr>
        <w:t xml:space="preserve">emotional </w:t>
      </w:r>
      <w:r w:rsidR="00E52529" w:rsidRPr="009D3659">
        <w:rPr>
          <w:rFonts w:ascii="Times New Roman" w:hAnsi="Times New Roman" w:cs="Times New Roman"/>
        </w:rPr>
        <w:t>distance” that structures teacher-student, teacher-subject, and student-subject relationships</w:t>
      </w:r>
      <w:r w:rsidR="0012276A">
        <w:rPr>
          <w:rFonts w:ascii="Times New Roman" w:hAnsi="Times New Roman" w:cs="Times New Roman"/>
        </w:rPr>
        <w:t>.</w:t>
      </w:r>
      <w:r w:rsidR="00D855AD">
        <w:rPr>
          <w:rStyle w:val="FootnoteReference"/>
          <w:rFonts w:ascii="Times New Roman" w:hAnsi="Times New Roman" w:cs="Times New Roman"/>
        </w:rPr>
        <w:footnoteReference w:id="19"/>
      </w:r>
      <w:r w:rsidR="0012276A">
        <w:rPr>
          <w:rFonts w:ascii="Times New Roman" w:hAnsi="Times New Roman" w:cs="Times New Roman"/>
        </w:rPr>
        <w:t xml:space="preserve"> </w:t>
      </w:r>
    </w:p>
    <w:p w14:paraId="537A781D" w14:textId="5B97935F" w:rsidR="00AD29AF" w:rsidRPr="009D3659" w:rsidRDefault="00787B49" w:rsidP="00CC0D4C">
      <w:pPr>
        <w:spacing w:line="360" w:lineRule="auto"/>
        <w:ind w:firstLine="720"/>
        <w:jc w:val="both"/>
        <w:rPr>
          <w:rFonts w:ascii="Times New Roman" w:hAnsi="Times New Roman" w:cs="Times New Roman"/>
        </w:rPr>
      </w:pPr>
      <w:r w:rsidRPr="009D3659">
        <w:rPr>
          <w:rFonts w:ascii="Times New Roman" w:hAnsi="Times New Roman" w:cs="Times New Roman"/>
        </w:rPr>
        <w:lastRenderedPageBreak/>
        <w:t>Challenging emotional distance</w:t>
      </w:r>
      <w:r w:rsidR="009E10E4" w:rsidRPr="009D3659">
        <w:rPr>
          <w:rFonts w:ascii="Times New Roman" w:hAnsi="Times New Roman" w:cs="Times New Roman"/>
        </w:rPr>
        <w:t xml:space="preserve"> is a</w:t>
      </w:r>
      <w:r w:rsidR="0092731F" w:rsidRPr="009D3659">
        <w:rPr>
          <w:rFonts w:ascii="Times New Roman" w:hAnsi="Times New Roman" w:cs="Times New Roman"/>
        </w:rPr>
        <w:t xml:space="preserve"> departure point</w:t>
      </w:r>
      <w:r w:rsidRPr="009D3659">
        <w:rPr>
          <w:rFonts w:ascii="Times New Roman" w:hAnsi="Times New Roman" w:cs="Times New Roman"/>
        </w:rPr>
        <w:t xml:space="preserve"> for law teachers</w:t>
      </w:r>
      <w:r w:rsidR="0092731F" w:rsidRPr="009D3659">
        <w:rPr>
          <w:rFonts w:ascii="Times New Roman" w:hAnsi="Times New Roman" w:cs="Times New Roman"/>
        </w:rPr>
        <w:t xml:space="preserve"> to</w:t>
      </w:r>
      <w:r w:rsidRPr="009D3659">
        <w:rPr>
          <w:rFonts w:ascii="Times New Roman" w:hAnsi="Times New Roman" w:cs="Times New Roman"/>
        </w:rPr>
        <w:t xml:space="preserve"> craft</w:t>
      </w:r>
      <w:r w:rsidR="00954DB7" w:rsidRPr="009D3659">
        <w:rPr>
          <w:rFonts w:ascii="Times New Roman" w:hAnsi="Times New Roman" w:cs="Times New Roman"/>
        </w:rPr>
        <w:t xml:space="preserve"> a critical </w:t>
      </w:r>
      <w:r w:rsidR="002C08A2" w:rsidRPr="009D3659">
        <w:rPr>
          <w:rFonts w:ascii="Times New Roman" w:hAnsi="Times New Roman" w:cs="Times New Roman"/>
        </w:rPr>
        <w:t>pedagogic</w:t>
      </w:r>
      <w:r w:rsidR="00611755" w:rsidRPr="009D3659">
        <w:rPr>
          <w:rFonts w:ascii="Times New Roman" w:hAnsi="Times New Roman" w:cs="Times New Roman"/>
        </w:rPr>
        <w:t>al</w:t>
      </w:r>
      <w:r w:rsidR="002C08A2" w:rsidRPr="009D3659">
        <w:rPr>
          <w:rFonts w:ascii="Times New Roman" w:hAnsi="Times New Roman" w:cs="Times New Roman"/>
        </w:rPr>
        <w:t xml:space="preserve"> </w:t>
      </w:r>
      <w:r w:rsidR="00954DB7" w:rsidRPr="009D3659">
        <w:rPr>
          <w:rFonts w:ascii="Times New Roman" w:hAnsi="Times New Roman" w:cs="Times New Roman"/>
        </w:rPr>
        <w:t xml:space="preserve">framework that </w:t>
      </w:r>
      <w:r w:rsidR="002C08A2" w:rsidRPr="009D3659">
        <w:rPr>
          <w:rFonts w:ascii="Times New Roman" w:hAnsi="Times New Roman" w:cs="Times New Roman"/>
        </w:rPr>
        <w:t xml:space="preserve">makes space for learning about, and learning with, </w:t>
      </w:r>
      <w:r w:rsidR="00930F37" w:rsidRPr="009D3659">
        <w:rPr>
          <w:rFonts w:ascii="Times New Roman" w:hAnsi="Times New Roman" w:cs="Times New Roman"/>
        </w:rPr>
        <w:t>emotions</w:t>
      </w:r>
      <w:r w:rsidR="0092731F" w:rsidRPr="009D3659">
        <w:rPr>
          <w:rFonts w:ascii="Times New Roman" w:hAnsi="Times New Roman" w:cs="Times New Roman"/>
        </w:rPr>
        <w:t xml:space="preserve"> when addressing </w:t>
      </w:r>
      <w:r w:rsidR="00C94AF4" w:rsidRPr="009D3659">
        <w:rPr>
          <w:rFonts w:ascii="Times New Roman" w:hAnsi="Times New Roman" w:cs="Times New Roman"/>
        </w:rPr>
        <w:t xml:space="preserve">legal topics concerned with </w:t>
      </w:r>
      <w:r w:rsidRPr="009D3659">
        <w:rPr>
          <w:rFonts w:ascii="Times New Roman" w:hAnsi="Times New Roman" w:cs="Times New Roman"/>
        </w:rPr>
        <w:t>(in)</w:t>
      </w:r>
      <w:r w:rsidR="00C94AF4" w:rsidRPr="009D3659">
        <w:rPr>
          <w:rFonts w:ascii="Times New Roman" w:hAnsi="Times New Roman" w:cs="Times New Roman"/>
        </w:rPr>
        <w:t xml:space="preserve">equality and </w:t>
      </w:r>
      <w:r w:rsidRPr="009D3659">
        <w:rPr>
          <w:rFonts w:ascii="Times New Roman" w:hAnsi="Times New Roman" w:cs="Times New Roman"/>
        </w:rPr>
        <w:t>(in)</w:t>
      </w:r>
      <w:r w:rsidR="00C94AF4" w:rsidRPr="009D3659">
        <w:rPr>
          <w:rFonts w:ascii="Times New Roman" w:hAnsi="Times New Roman" w:cs="Times New Roman"/>
        </w:rPr>
        <w:t>justice</w:t>
      </w:r>
      <w:r w:rsidR="002C08A2" w:rsidRPr="009D3659">
        <w:rPr>
          <w:rFonts w:ascii="Times New Roman" w:hAnsi="Times New Roman" w:cs="Times New Roman"/>
        </w:rPr>
        <w:t>.</w:t>
      </w:r>
      <w:r w:rsidR="001271F4" w:rsidRPr="009D3659">
        <w:rPr>
          <w:rStyle w:val="FootnoteReference"/>
          <w:rFonts w:ascii="Times New Roman" w:hAnsi="Times New Roman" w:cs="Times New Roman"/>
        </w:rPr>
        <w:footnoteReference w:id="20"/>
      </w:r>
      <w:r w:rsidR="002C08A2" w:rsidRPr="009D3659">
        <w:rPr>
          <w:rFonts w:ascii="Times New Roman" w:hAnsi="Times New Roman" w:cs="Times New Roman"/>
        </w:rPr>
        <w:t xml:space="preserve"> </w:t>
      </w:r>
      <w:r w:rsidR="00CC0D4C" w:rsidRPr="009D3659">
        <w:rPr>
          <w:rFonts w:ascii="Times New Roman" w:hAnsi="Times New Roman" w:cs="Times New Roman"/>
        </w:rPr>
        <w:t>This</w:t>
      </w:r>
      <w:r w:rsidRPr="009D3659">
        <w:rPr>
          <w:rFonts w:ascii="Times New Roman" w:hAnsi="Times New Roman" w:cs="Times New Roman"/>
        </w:rPr>
        <w:t xml:space="preserve"> challenge</w:t>
      </w:r>
      <w:r w:rsidR="00CC0D4C" w:rsidRPr="009D3659">
        <w:rPr>
          <w:rFonts w:ascii="Times New Roman" w:hAnsi="Times New Roman" w:cs="Times New Roman"/>
        </w:rPr>
        <w:t xml:space="preserve"> prompts a range of</w:t>
      </w:r>
      <w:r w:rsidRPr="009D3659">
        <w:rPr>
          <w:rFonts w:ascii="Times New Roman" w:hAnsi="Times New Roman" w:cs="Times New Roman"/>
        </w:rPr>
        <w:t xml:space="preserve"> pedagogic</w:t>
      </w:r>
      <w:r w:rsidR="00611755" w:rsidRPr="009D3659">
        <w:rPr>
          <w:rFonts w:ascii="Times New Roman" w:hAnsi="Times New Roman" w:cs="Times New Roman"/>
        </w:rPr>
        <w:t>al</w:t>
      </w:r>
      <w:r w:rsidR="00CC0D4C" w:rsidRPr="009D3659">
        <w:rPr>
          <w:rFonts w:ascii="Times New Roman" w:hAnsi="Times New Roman" w:cs="Times New Roman"/>
        </w:rPr>
        <w:t xml:space="preserve"> questions. </w:t>
      </w:r>
      <w:r w:rsidR="005F4FDE" w:rsidRPr="009D3659">
        <w:rPr>
          <w:rFonts w:ascii="Times New Roman" w:hAnsi="Times New Roman" w:cs="Times New Roman"/>
        </w:rPr>
        <w:t xml:space="preserve">What does it mean to </w:t>
      </w:r>
      <w:r w:rsidR="00CC0D4C" w:rsidRPr="009D3659">
        <w:rPr>
          <w:rFonts w:ascii="Times New Roman" w:hAnsi="Times New Roman" w:cs="Times New Roman"/>
        </w:rPr>
        <w:t>learn</w:t>
      </w:r>
      <w:r w:rsidR="005F4FDE" w:rsidRPr="009D3659">
        <w:rPr>
          <w:rFonts w:ascii="Times New Roman" w:hAnsi="Times New Roman" w:cs="Times New Roman"/>
        </w:rPr>
        <w:t xml:space="preserve"> about how law recognises and manages </w:t>
      </w:r>
      <w:r w:rsidR="00C94AF4" w:rsidRPr="009D3659">
        <w:rPr>
          <w:rFonts w:ascii="Times New Roman" w:hAnsi="Times New Roman" w:cs="Times New Roman"/>
        </w:rPr>
        <w:t xml:space="preserve">emotions and </w:t>
      </w:r>
      <w:r w:rsidR="00E52529" w:rsidRPr="009D3659">
        <w:rPr>
          <w:rFonts w:ascii="Times New Roman" w:hAnsi="Times New Roman" w:cs="Times New Roman"/>
        </w:rPr>
        <w:t>positionalities</w:t>
      </w:r>
      <w:r w:rsidR="005F4FDE" w:rsidRPr="009D3659">
        <w:rPr>
          <w:rFonts w:ascii="Times New Roman" w:hAnsi="Times New Roman" w:cs="Times New Roman"/>
        </w:rPr>
        <w:t xml:space="preserve">? </w:t>
      </w:r>
      <w:r w:rsidR="00CC0D4C" w:rsidRPr="009D3659">
        <w:rPr>
          <w:rFonts w:ascii="Times New Roman" w:hAnsi="Times New Roman" w:cs="Times New Roman"/>
        </w:rPr>
        <w:t xml:space="preserve">Why should law schools make space for </w:t>
      </w:r>
      <w:r w:rsidR="00C94AF4" w:rsidRPr="009D3659">
        <w:rPr>
          <w:rFonts w:ascii="Times New Roman" w:hAnsi="Times New Roman" w:cs="Times New Roman"/>
        </w:rPr>
        <w:t xml:space="preserve">emotions </w:t>
      </w:r>
      <w:r w:rsidR="005F4FDE" w:rsidRPr="009D3659">
        <w:rPr>
          <w:rFonts w:ascii="Times New Roman" w:hAnsi="Times New Roman" w:cs="Times New Roman"/>
        </w:rPr>
        <w:t>when reading cases or using statutes to understand “the law”</w:t>
      </w:r>
      <w:r w:rsidR="0092731F" w:rsidRPr="009D3659">
        <w:rPr>
          <w:rFonts w:ascii="Times New Roman" w:hAnsi="Times New Roman" w:cs="Times New Roman"/>
        </w:rPr>
        <w:t xml:space="preserve"> and its relationship to “justice”</w:t>
      </w:r>
      <w:r w:rsidR="005F4FDE" w:rsidRPr="009D3659">
        <w:rPr>
          <w:rFonts w:ascii="Times New Roman" w:hAnsi="Times New Roman" w:cs="Times New Roman"/>
        </w:rPr>
        <w:t xml:space="preserve">? </w:t>
      </w:r>
      <w:r w:rsidR="00CC0D4C" w:rsidRPr="009D3659">
        <w:rPr>
          <w:rFonts w:ascii="Times New Roman" w:hAnsi="Times New Roman" w:cs="Times New Roman"/>
        </w:rPr>
        <w:t xml:space="preserve">How might legal education </w:t>
      </w:r>
      <w:r w:rsidR="00C94AF4" w:rsidRPr="009D3659">
        <w:rPr>
          <w:rFonts w:ascii="Times New Roman" w:hAnsi="Times New Roman" w:cs="Times New Roman"/>
        </w:rPr>
        <w:t xml:space="preserve">that centres </w:t>
      </w:r>
      <w:r w:rsidR="00930F37" w:rsidRPr="009D3659">
        <w:rPr>
          <w:rFonts w:ascii="Times New Roman" w:hAnsi="Times New Roman" w:cs="Times New Roman"/>
        </w:rPr>
        <w:t>emotion</w:t>
      </w:r>
      <w:r w:rsidR="00C94AF4" w:rsidRPr="009D3659">
        <w:rPr>
          <w:rFonts w:ascii="Times New Roman" w:hAnsi="Times New Roman" w:cs="Times New Roman"/>
        </w:rPr>
        <w:t xml:space="preserve"> </w:t>
      </w:r>
      <w:r w:rsidR="00CC0D4C" w:rsidRPr="009D3659">
        <w:rPr>
          <w:rFonts w:ascii="Times New Roman" w:hAnsi="Times New Roman" w:cs="Times New Roman"/>
        </w:rPr>
        <w:t xml:space="preserve">allow students to </w:t>
      </w:r>
      <w:r w:rsidR="00C94AF4" w:rsidRPr="009D3659">
        <w:rPr>
          <w:rFonts w:ascii="Times New Roman" w:hAnsi="Times New Roman" w:cs="Times New Roman"/>
        </w:rPr>
        <w:t>critically engage with issues of</w:t>
      </w:r>
      <w:r w:rsidR="00CC0D4C" w:rsidRPr="009D3659">
        <w:rPr>
          <w:rFonts w:ascii="Times New Roman" w:hAnsi="Times New Roman" w:cs="Times New Roman"/>
        </w:rPr>
        <w:t xml:space="preserve"> </w:t>
      </w:r>
      <w:r w:rsidR="001271F4" w:rsidRPr="009D3659">
        <w:rPr>
          <w:rFonts w:ascii="Times New Roman" w:hAnsi="Times New Roman" w:cs="Times New Roman"/>
        </w:rPr>
        <w:t xml:space="preserve">social </w:t>
      </w:r>
      <w:r w:rsidR="0092731F" w:rsidRPr="009D3659">
        <w:rPr>
          <w:rFonts w:ascii="Times New Roman" w:hAnsi="Times New Roman" w:cs="Times New Roman"/>
        </w:rPr>
        <w:t>justice</w:t>
      </w:r>
      <w:r w:rsidR="00CC0D4C" w:rsidRPr="009D3659">
        <w:rPr>
          <w:rFonts w:ascii="Times New Roman" w:hAnsi="Times New Roman" w:cs="Times New Roman"/>
        </w:rPr>
        <w:t>?</w:t>
      </w:r>
    </w:p>
    <w:p w14:paraId="5BF42648" w14:textId="35048C12" w:rsidR="000E1B48" w:rsidRPr="009D3659" w:rsidRDefault="00CC0D4C" w:rsidP="00AD29AF">
      <w:pPr>
        <w:spacing w:line="360" w:lineRule="auto"/>
        <w:ind w:firstLine="720"/>
        <w:jc w:val="both"/>
        <w:rPr>
          <w:rFonts w:ascii="Times New Roman" w:hAnsi="Times New Roman" w:cs="Times New Roman"/>
        </w:rPr>
      </w:pPr>
      <w:r w:rsidRPr="009D3659">
        <w:rPr>
          <w:rFonts w:ascii="Times New Roman" w:hAnsi="Times New Roman" w:cs="Times New Roman"/>
        </w:rPr>
        <w:t xml:space="preserve">To answer these questions, </w:t>
      </w:r>
      <w:r w:rsidR="003D0552">
        <w:rPr>
          <w:rFonts w:ascii="Times New Roman" w:hAnsi="Times New Roman" w:cs="Times New Roman"/>
        </w:rPr>
        <w:t>we have to be clear about</w:t>
      </w:r>
      <w:r w:rsidRPr="009D3659">
        <w:rPr>
          <w:rFonts w:ascii="Times New Roman" w:hAnsi="Times New Roman" w:cs="Times New Roman"/>
        </w:rPr>
        <w:t xml:space="preserve"> </w:t>
      </w:r>
      <w:r w:rsidR="00787B49" w:rsidRPr="009D3659">
        <w:rPr>
          <w:rFonts w:ascii="Times New Roman" w:hAnsi="Times New Roman" w:cs="Times New Roman"/>
        </w:rPr>
        <w:t>the varied purposes of</w:t>
      </w:r>
      <w:r w:rsidRPr="009D3659">
        <w:rPr>
          <w:rFonts w:ascii="Times New Roman" w:hAnsi="Times New Roman" w:cs="Times New Roman"/>
        </w:rPr>
        <w:t xml:space="preserve"> “legal education.” L</w:t>
      </w:r>
      <w:r w:rsidR="00095751" w:rsidRPr="009D3659">
        <w:rPr>
          <w:rFonts w:ascii="Times New Roman" w:hAnsi="Times New Roman" w:cs="Times New Roman"/>
        </w:rPr>
        <w:t xml:space="preserve">egal education varies in terms of </w:t>
      </w:r>
      <w:r w:rsidR="00D04E8E" w:rsidRPr="009D3659">
        <w:rPr>
          <w:rFonts w:ascii="Times New Roman" w:hAnsi="Times New Roman" w:cs="Times New Roman"/>
        </w:rPr>
        <w:t xml:space="preserve">jurisdiction, </w:t>
      </w:r>
      <w:r w:rsidR="00095751" w:rsidRPr="009D3659">
        <w:rPr>
          <w:rFonts w:ascii="Times New Roman" w:hAnsi="Times New Roman" w:cs="Times New Roman"/>
        </w:rPr>
        <w:t>institution</w:t>
      </w:r>
      <w:r w:rsidR="00D04E8E" w:rsidRPr="009D3659">
        <w:rPr>
          <w:rFonts w:ascii="Times New Roman" w:hAnsi="Times New Roman" w:cs="Times New Roman"/>
        </w:rPr>
        <w:t>,</w:t>
      </w:r>
      <w:r w:rsidR="00095751" w:rsidRPr="009D3659">
        <w:rPr>
          <w:rFonts w:ascii="Times New Roman" w:hAnsi="Times New Roman" w:cs="Times New Roman"/>
        </w:rPr>
        <w:t xml:space="preserve"> and curriculum. In common law countries, these variations are contingent on whether programmes aim to be academic (to engage in a critical study of law), cli</w:t>
      </w:r>
      <w:r w:rsidR="006E214A" w:rsidRPr="009D3659">
        <w:rPr>
          <w:rFonts w:ascii="Times New Roman" w:hAnsi="Times New Roman" w:cs="Times New Roman"/>
        </w:rPr>
        <w:t>nical (to learn law and apply law</w:t>
      </w:r>
      <w:r w:rsidR="00095751" w:rsidRPr="009D3659">
        <w:rPr>
          <w:rFonts w:ascii="Times New Roman" w:hAnsi="Times New Roman" w:cs="Times New Roman"/>
        </w:rPr>
        <w:t xml:space="preserve"> in practical contexts), or vocational (to develop the professional skills necessary for legal practice) in orientation.</w:t>
      </w:r>
      <w:r w:rsidR="00D855AD">
        <w:rPr>
          <w:rStyle w:val="FootnoteReference"/>
          <w:rFonts w:ascii="Times New Roman" w:hAnsi="Times New Roman" w:cs="Times New Roman"/>
        </w:rPr>
        <w:footnoteReference w:id="21"/>
      </w:r>
      <w:r w:rsidR="00095751" w:rsidRPr="009D3659">
        <w:rPr>
          <w:rFonts w:ascii="Times New Roman" w:hAnsi="Times New Roman" w:cs="Times New Roman"/>
        </w:rPr>
        <w:t xml:space="preserve"> </w:t>
      </w:r>
      <w:r w:rsidR="001B0357">
        <w:rPr>
          <w:rFonts w:ascii="Times New Roman" w:hAnsi="Times New Roman" w:cs="Times New Roman"/>
        </w:rPr>
        <w:t>T</w:t>
      </w:r>
      <w:r w:rsidR="00095751" w:rsidRPr="009D3659">
        <w:rPr>
          <w:rFonts w:ascii="Times New Roman" w:hAnsi="Times New Roman" w:cs="Times New Roman"/>
        </w:rPr>
        <w:t xml:space="preserve">hese </w:t>
      </w:r>
      <w:r w:rsidR="002F39DA" w:rsidRPr="009D3659">
        <w:rPr>
          <w:rFonts w:ascii="Times New Roman" w:hAnsi="Times New Roman" w:cs="Times New Roman"/>
        </w:rPr>
        <w:t xml:space="preserve">programmatic </w:t>
      </w:r>
      <w:r w:rsidR="00095751" w:rsidRPr="009D3659">
        <w:rPr>
          <w:rFonts w:ascii="Times New Roman" w:hAnsi="Times New Roman" w:cs="Times New Roman"/>
        </w:rPr>
        <w:t xml:space="preserve">orientations, however, </w:t>
      </w:r>
      <w:r w:rsidR="002F39DA" w:rsidRPr="009D3659">
        <w:rPr>
          <w:rFonts w:ascii="Times New Roman" w:hAnsi="Times New Roman" w:cs="Times New Roman"/>
        </w:rPr>
        <w:t>make</w:t>
      </w:r>
      <w:r w:rsidR="00095751" w:rsidRPr="009D3659">
        <w:rPr>
          <w:rFonts w:ascii="Times New Roman" w:hAnsi="Times New Roman" w:cs="Times New Roman"/>
        </w:rPr>
        <w:t xml:space="preserve"> little room for emotion. Whether memorising civil procedure rules for litigation or theorising about </w:t>
      </w:r>
      <w:r w:rsidR="002F39DA" w:rsidRPr="009D3659">
        <w:rPr>
          <w:rFonts w:ascii="Times New Roman" w:hAnsi="Times New Roman" w:cs="Times New Roman"/>
        </w:rPr>
        <w:t>case law</w:t>
      </w:r>
      <w:r w:rsidR="00095751" w:rsidRPr="009D3659">
        <w:rPr>
          <w:rFonts w:ascii="Times New Roman" w:hAnsi="Times New Roman" w:cs="Times New Roman"/>
        </w:rPr>
        <w:t>, legal teaching</w:t>
      </w:r>
      <w:r w:rsidR="002F39DA" w:rsidRPr="009D3659">
        <w:rPr>
          <w:rFonts w:ascii="Times New Roman" w:hAnsi="Times New Roman" w:cs="Times New Roman"/>
        </w:rPr>
        <w:t xml:space="preserve"> primarily</w:t>
      </w:r>
      <w:r w:rsidR="00095751" w:rsidRPr="009D3659">
        <w:rPr>
          <w:rFonts w:ascii="Times New Roman" w:hAnsi="Times New Roman" w:cs="Times New Roman"/>
        </w:rPr>
        <w:t xml:space="preserve"> relies on</w:t>
      </w:r>
      <w:r w:rsidR="00F939A0" w:rsidRPr="009D3659">
        <w:rPr>
          <w:rFonts w:ascii="Times New Roman" w:hAnsi="Times New Roman" w:cs="Times New Roman"/>
        </w:rPr>
        <w:t xml:space="preserve"> engaging with students’ (rational) cognitive capacities</w:t>
      </w:r>
      <w:r w:rsidR="00095751" w:rsidRPr="009D3659">
        <w:rPr>
          <w:rFonts w:ascii="Times New Roman" w:hAnsi="Times New Roman" w:cs="Times New Roman"/>
        </w:rPr>
        <w:t xml:space="preserve"> </w:t>
      </w:r>
      <w:r w:rsidR="002F39DA" w:rsidRPr="009D3659">
        <w:rPr>
          <w:rFonts w:ascii="Times New Roman" w:hAnsi="Times New Roman" w:cs="Times New Roman"/>
        </w:rPr>
        <w:t>to develop</w:t>
      </w:r>
      <w:r w:rsidR="00F939A0" w:rsidRPr="009D3659">
        <w:rPr>
          <w:rFonts w:ascii="Times New Roman" w:hAnsi="Times New Roman" w:cs="Times New Roman"/>
        </w:rPr>
        <w:t xml:space="preserve"> their</w:t>
      </w:r>
      <w:r w:rsidR="002F39DA" w:rsidRPr="009D3659">
        <w:rPr>
          <w:rFonts w:ascii="Times New Roman" w:hAnsi="Times New Roman" w:cs="Times New Roman"/>
        </w:rPr>
        <w:t xml:space="preserve"> </w:t>
      </w:r>
      <w:r w:rsidR="00095751" w:rsidRPr="009D3659">
        <w:rPr>
          <w:rFonts w:ascii="Times New Roman" w:hAnsi="Times New Roman" w:cs="Times New Roman"/>
        </w:rPr>
        <w:t>legal knowledge and skills</w:t>
      </w:r>
      <w:r w:rsidR="002F39DA" w:rsidRPr="009D3659">
        <w:rPr>
          <w:rFonts w:ascii="Times New Roman" w:hAnsi="Times New Roman" w:cs="Times New Roman"/>
        </w:rPr>
        <w:t>.</w:t>
      </w:r>
      <w:r w:rsidR="00D855AD">
        <w:rPr>
          <w:rStyle w:val="FootnoteReference"/>
          <w:rFonts w:ascii="Times New Roman" w:hAnsi="Times New Roman" w:cs="Times New Roman"/>
        </w:rPr>
        <w:footnoteReference w:id="22"/>
      </w:r>
      <w:r w:rsidR="002F39DA" w:rsidRPr="009D3659">
        <w:rPr>
          <w:rFonts w:ascii="Times New Roman" w:hAnsi="Times New Roman" w:cs="Times New Roman"/>
        </w:rPr>
        <w:t xml:space="preserve"> </w:t>
      </w:r>
      <w:r w:rsidR="000E1B48" w:rsidRPr="009D3659">
        <w:rPr>
          <w:rFonts w:ascii="Times New Roman" w:hAnsi="Times New Roman" w:cs="Times New Roman"/>
        </w:rPr>
        <w:t>As Duncan Kennedy notes, such</w:t>
      </w:r>
      <w:r w:rsidR="00705F76" w:rsidRPr="009D3659">
        <w:rPr>
          <w:rFonts w:ascii="Times New Roman" w:hAnsi="Times New Roman" w:cs="Times New Roman"/>
        </w:rPr>
        <w:t xml:space="preserve"> forms of</w:t>
      </w:r>
      <w:r w:rsidR="000E1B48" w:rsidRPr="009D3659">
        <w:rPr>
          <w:rFonts w:ascii="Times New Roman" w:hAnsi="Times New Roman" w:cs="Times New Roman"/>
        </w:rPr>
        <w:t xml:space="preserve"> legal education</w:t>
      </w:r>
      <w:r w:rsidR="00705F76" w:rsidRPr="009D3659">
        <w:rPr>
          <w:rFonts w:ascii="Times New Roman" w:hAnsi="Times New Roman" w:cs="Times New Roman"/>
        </w:rPr>
        <w:t xml:space="preserve"> are</w:t>
      </w:r>
      <w:r w:rsidR="000E1B48" w:rsidRPr="009D3659">
        <w:rPr>
          <w:rFonts w:ascii="Times New Roman" w:hAnsi="Times New Roman" w:cs="Times New Roman"/>
        </w:rPr>
        <w:t xml:space="preserve"> impeded by the fiction, the ideology, that students should develop “autonomous legal reasoning” by distinguishing between law (as a field of demarcated </w:t>
      </w:r>
      <w:r w:rsidR="00264482" w:rsidRPr="009D3659">
        <w:rPr>
          <w:rFonts w:ascii="Times New Roman" w:hAnsi="Times New Roman" w:cs="Times New Roman"/>
        </w:rPr>
        <w:t>doctrines</w:t>
      </w:r>
      <w:r w:rsidR="000E1B48" w:rsidRPr="009D3659">
        <w:rPr>
          <w:rFonts w:ascii="Times New Roman" w:hAnsi="Times New Roman" w:cs="Times New Roman"/>
        </w:rPr>
        <w:t xml:space="preserve">) and policy (as a field that invites uncertainty and debate). </w:t>
      </w:r>
      <w:r w:rsidR="00705F76" w:rsidRPr="009D3659">
        <w:rPr>
          <w:rFonts w:ascii="Times New Roman" w:hAnsi="Times New Roman" w:cs="Times New Roman"/>
        </w:rPr>
        <w:t xml:space="preserve">He notes: </w:t>
      </w:r>
    </w:p>
    <w:p w14:paraId="6AD12EAD" w14:textId="204C4B4E" w:rsidR="00705F76" w:rsidRPr="009D3659" w:rsidRDefault="00705F76" w:rsidP="0092731F">
      <w:pPr>
        <w:ind w:left="851"/>
        <w:jc w:val="both"/>
        <w:rPr>
          <w:rFonts w:ascii="Times New Roman" w:hAnsi="Times New Roman" w:cs="Times New Roman"/>
        </w:rPr>
      </w:pPr>
      <w:r w:rsidRPr="009D3659">
        <w:rPr>
          <w:rFonts w:ascii="Times New Roman" w:hAnsi="Times New Roman" w:cs="Times New Roman"/>
        </w:rPr>
        <w:t>Law schools teach these rather rudimentary, essentially instrumental skills in a way that almost completely mystifies them for most law students … the schools teach skills through class discussions of cases in which it is asserted that law emerges from a rigorous analytical procedure called legal reasoning, which is unintelligible to the layperson but somehow both explains and validates the great majority of the rules in force in our system.</w:t>
      </w:r>
      <w:r w:rsidR="00D855AD">
        <w:rPr>
          <w:rStyle w:val="FootnoteReference"/>
          <w:rFonts w:ascii="Times New Roman" w:hAnsi="Times New Roman" w:cs="Times New Roman"/>
        </w:rPr>
        <w:footnoteReference w:id="23"/>
      </w:r>
    </w:p>
    <w:p w14:paraId="5DDB476C" w14:textId="77777777" w:rsidR="001271F4" w:rsidRPr="009D3659" w:rsidRDefault="001271F4" w:rsidP="0092731F">
      <w:pPr>
        <w:ind w:left="851"/>
        <w:jc w:val="both"/>
        <w:rPr>
          <w:rFonts w:ascii="Times New Roman" w:hAnsi="Times New Roman" w:cs="Times New Roman"/>
        </w:rPr>
      </w:pPr>
    </w:p>
    <w:p w14:paraId="1F352ABD" w14:textId="0452B6ED" w:rsidR="006E214A" w:rsidRPr="009D3659" w:rsidRDefault="000E1B48" w:rsidP="00DD0C19">
      <w:pPr>
        <w:spacing w:line="360" w:lineRule="auto"/>
        <w:jc w:val="both"/>
        <w:rPr>
          <w:rFonts w:ascii="Times New Roman" w:hAnsi="Times New Roman" w:cs="Times New Roman"/>
        </w:rPr>
      </w:pPr>
      <w:r w:rsidRPr="009D3659">
        <w:rPr>
          <w:rFonts w:ascii="Times New Roman" w:hAnsi="Times New Roman" w:cs="Times New Roman"/>
        </w:rPr>
        <w:lastRenderedPageBreak/>
        <w:t>With this in mind, it is unsurprising that a</w:t>
      </w:r>
      <w:r w:rsidR="00770EB6" w:rsidRPr="009D3659">
        <w:rPr>
          <w:rFonts w:ascii="Times New Roman" w:hAnsi="Times New Roman" w:cs="Times New Roman"/>
        </w:rPr>
        <w:t>ffect</w:t>
      </w:r>
      <w:r w:rsidR="009E27C7" w:rsidRPr="009D3659">
        <w:rPr>
          <w:rFonts w:ascii="Times New Roman" w:hAnsi="Times New Roman" w:cs="Times New Roman"/>
        </w:rPr>
        <w:t xml:space="preserve"> and emotion</w:t>
      </w:r>
      <w:r w:rsidR="00770EB6" w:rsidRPr="009D3659">
        <w:rPr>
          <w:rFonts w:ascii="Times New Roman" w:hAnsi="Times New Roman" w:cs="Times New Roman"/>
        </w:rPr>
        <w:t>, unlike cognition</w:t>
      </w:r>
      <w:r w:rsidR="009E27C7" w:rsidRPr="009D3659">
        <w:rPr>
          <w:rFonts w:ascii="Times New Roman" w:hAnsi="Times New Roman" w:cs="Times New Roman"/>
        </w:rPr>
        <w:t xml:space="preserve"> and reason</w:t>
      </w:r>
      <w:r w:rsidR="00770EB6" w:rsidRPr="009D3659">
        <w:rPr>
          <w:rFonts w:ascii="Times New Roman" w:hAnsi="Times New Roman" w:cs="Times New Roman"/>
        </w:rPr>
        <w:t xml:space="preserve">, </w:t>
      </w:r>
      <w:r w:rsidR="009E27C7" w:rsidRPr="009D3659">
        <w:rPr>
          <w:rFonts w:ascii="Times New Roman" w:hAnsi="Times New Roman" w:cs="Times New Roman"/>
        </w:rPr>
        <w:t>are</w:t>
      </w:r>
      <w:r w:rsidR="00770EB6" w:rsidRPr="009D3659">
        <w:rPr>
          <w:rFonts w:ascii="Times New Roman" w:hAnsi="Times New Roman" w:cs="Times New Roman"/>
        </w:rPr>
        <w:t xml:space="preserve"> not </w:t>
      </w:r>
      <w:r w:rsidRPr="009D3659">
        <w:rPr>
          <w:rFonts w:ascii="Times New Roman" w:hAnsi="Times New Roman" w:cs="Times New Roman"/>
        </w:rPr>
        <w:t xml:space="preserve">valued as </w:t>
      </w:r>
      <w:r w:rsidR="00770EB6" w:rsidRPr="009D3659">
        <w:rPr>
          <w:rFonts w:ascii="Times New Roman" w:hAnsi="Times New Roman" w:cs="Times New Roman"/>
        </w:rPr>
        <w:t>part</w:t>
      </w:r>
      <w:r w:rsidR="009E27C7" w:rsidRPr="009D3659">
        <w:rPr>
          <w:rFonts w:ascii="Times New Roman" w:hAnsi="Times New Roman" w:cs="Times New Roman"/>
        </w:rPr>
        <w:t>s</w:t>
      </w:r>
      <w:r w:rsidR="00770EB6" w:rsidRPr="009D3659">
        <w:rPr>
          <w:rFonts w:ascii="Times New Roman" w:hAnsi="Times New Roman" w:cs="Times New Roman"/>
        </w:rPr>
        <w:t xml:space="preserve"> of </w:t>
      </w:r>
      <w:r w:rsidR="006E214A" w:rsidRPr="009D3659">
        <w:rPr>
          <w:rFonts w:ascii="Times New Roman" w:hAnsi="Times New Roman" w:cs="Times New Roman"/>
        </w:rPr>
        <w:t>a</w:t>
      </w:r>
      <w:r w:rsidR="00770EB6" w:rsidRPr="009D3659">
        <w:rPr>
          <w:rFonts w:ascii="Times New Roman" w:hAnsi="Times New Roman" w:cs="Times New Roman"/>
        </w:rPr>
        <w:t xml:space="preserve"> formalised system of </w:t>
      </w:r>
      <w:r w:rsidRPr="009D3659">
        <w:rPr>
          <w:rFonts w:ascii="Times New Roman" w:hAnsi="Times New Roman" w:cs="Times New Roman"/>
        </w:rPr>
        <w:t xml:space="preserve">analytic </w:t>
      </w:r>
      <w:r w:rsidR="006E214A" w:rsidRPr="009D3659">
        <w:rPr>
          <w:rFonts w:ascii="Times New Roman" w:hAnsi="Times New Roman" w:cs="Times New Roman"/>
        </w:rPr>
        <w:t xml:space="preserve">legal </w:t>
      </w:r>
      <w:r w:rsidR="00770EB6" w:rsidRPr="009D3659">
        <w:rPr>
          <w:rFonts w:ascii="Times New Roman" w:hAnsi="Times New Roman" w:cs="Times New Roman"/>
        </w:rPr>
        <w:t xml:space="preserve">study. Rather, </w:t>
      </w:r>
      <w:r w:rsidR="00F939A0" w:rsidRPr="009D3659">
        <w:rPr>
          <w:rFonts w:ascii="Times New Roman" w:hAnsi="Times New Roman" w:cs="Times New Roman"/>
        </w:rPr>
        <w:t xml:space="preserve">many law teachers present </w:t>
      </w:r>
      <w:r w:rsidR="00770EB6" w:rsidRPr="009D3659">
        <w:rPr>
          <w:rFonts w:ascii="Times New Roman" w:hAnsi="Times New Roman" w:cs="Times New Roman"/>
        </w:rPr>
        <w:t xml:space="preserve">emotion </w:t>
      </w:r>
      <w:r w:rsidR="002F39DA" w:rsidRPr="009D3659">
        <w:rPr>
          <w:rFonts w:ascii="Times New Roman" w:hAnsi="Times New Roman" w:cs="Times New Roman"/>
        </w:rPr>
        <w:t xml:space="preserve">as the </w:t>
      </w:r>
      <w:r w:rsidR="00F939A0" w:rsidRPr="009D3659">
        <w:rPr>
          <w:rFonts w:ascii="Times New Roman" w:hAnsi="Times New Roman" w:cs="Times New Roman"/>
        </w:rPr>
        <w:t xml:space="preserve">antithesis of </w:t>
      </w:r>
      <w:r w:rsidRPr="009D3659">
        <w:rPr>
          <w:rFonts w:ascii="Times New Roman" w:hAnsi="Times New Roman" w:cs="Times New Roman"/>
        </w:rPr>
        <w:t>legal reasoning</w:t>
      </w:r>
      <w:r w:rsidR="00F939A0" w:rsidRPr="009D3659">
        <w:rPr>
          <w:rFonts w:ascii="Times New Roman" w:hAnsi="Times New Roman" w:cs="Times New Roman"/>
        </w:rPr>
        <w:t>. Feelings, unlike law, are disordered</w:t>
      </w:r>
      <w:r w:rsidR="002F39DA" w:rsidRPr="009D3659">
        <w:rPr>
          <w:rFonts w:ascii="Times New Roman" w:hAnsi="Times New Roman" w:cs="Times New Roman"/>
        </w:rPr>
        <w:t xml:space="preserve"> and </w:t>
      </w:r>
      <w:r w:rsidRPr="009D3659">
        <w:rPr>
          <w:rFonts w:ascii="Times New Roman" w:hAnsi="Times New Roman" w:cs="Times New Roman"/>
        </w:rPr>
        <w:t>unpredictable</w:t>
      </w:r>
      <w:r w:rsidR="002F39DA" w:rsidRPr="009D3659">
        <w:rPr>
          <w:rFonts w:ascii="Times New Roman" w:hAnsi="Times New Roman" w:cs="Times New Roman"/>
        </w:rPr>
        <w:t>.</w:t>
      </w:r>
      <w:r w:rsidR="00D855AD">
        <w:rPr>
          <w:rStyle w:val="FootnoteReference"/>
          <w:rFonts w:ascii="Times New Roman" w:hAnsi="Times New Roman" w:cs="Times New Roman"/>
        </w:rPr>
        <w:footnoteReference w:id="24"/>
      </w:r>
      <w:r w:rsidR="002F39DA" w:rsidRPr="009D3659">
        <w:rPr>
          <w:rFonts w:ascii="Times New Roman" w:hAnsi="Times New Roman" w:cs="Times New Roman"/>
        </w:rPr>
        <w:t xml:space="preserve"> Such framings of law also render emotion as a pedagogic</w:t>
      </w:r>
      <w:r w:rsidR="00611755" w:rsidRPr="009D3659">
        <w:rPr>
          <w:rFonts w:ascii="Times New Roman" w:hAnsi="Times New Roman" w:cs="Times New Roman"/>
        </w:rPr>
        <w:t>al</w:t>
      </w:r>
      <w:r w:rsidR="002F39DA" w:rsidRPr="009D3659">
        <w:rPr>
          <w:rFonts w:ascii="Times New Roman" w:hAnsi="Times New Roman" w:cs="Times New Roman"/>
        </w:rPr>
        <w:t xml:space="preserve"> </w:t>
      </w:r>
      <w:r w:rsidR="00770EB6" w:rsidRPr="009D3659">
        <w:rPr>
          <w:rFonts w:ascii="Times New Roman" w:hAnsi="Times New Roman" w:cs="Times New Roman"/>
        </w:rPr>
        <w:t>threat to</w:t>
      </w:r>
      <w:r w:rsidR="002F39DA" w:rsidRPr="009D3659">
        <w:rPr>
          <w:rFonts w:ascii="Times New Roman" w:hAnsi="Times New Roman" w:cs="Times New Roman"/>
        </w:rPr>
        <w:t xml:space="preserve"> </w:t>
      </w:r>
      <w:r w:rsidR="00705F76" w:rsidRPr="009D3659">
        <w:rPr>
          <w:rFonts w:ascii="Times New Roman" w:hAnsi="Times New Roman" w:cs="Times New Roman"/>
        </w:rPr>
        <w:t>effective legal learning</w:t>
      </w:r>
      <w:r w:rsidR="002F39DA" w:rsidRPr="009D3659">
        <w:rPr>
          <w:rFonts w:ascii="Times New Roman" w:hAnsi="Times New Roman" w:cs="Times New Roman"/>
        </w:rPr>
        <w:t>: emotions disrupt</w:t>
      </w:r>
      <w:r w:rsidR="00770EB6" w:rsidRPr="009D3659">
        <w:rPr>
          <w:rFonts w:ascii="Times New Roman" w:hAnsi="Times New Roman" w:cs="Times New Roman"/>
        </w:rPr>
        <w:t xml:space="preserve"> </w:t>
      </w:r>
      <w:r w:rsidR="002F39DA" w:rsidRPr="009D3659">
        <w:rPr>
          <w:rFonts w:ascii="Times New Roman" w:hAnsi="Times New Roman" w:cs="Times New Roman"/>
        </w:rPr>
        <w:t xml:space="preserve">and distract from </w:t>
      </w:r>
      <w:r w:rsidR="00770EB6" w:rsidRPr="009D3659">
        <w:rPr>
          <w:rFonts w:ascii="Times New Roman" w:hAnsi="Times New Roman" w:cs="Times New Roman"/>
        </w:rPr>
        <w:t>the development of proposit</w:t>
      </w:r>
      <w:r w:rsidR="002F39DA" w:rsidRPr="009D3659">
        <w:rPr>
          <w:rFonts w:ascii="Times New Roman" w:hAnsi="Times New Roman" w:cs="Times New Roman"/>
        </w:rPr>
        <w:t>ional knowledge and reasoning. Caroline Maughan</w:t>
      </w:r>
      <w:r w:rsidR="00705F76" w:rsidRPr="009D3659">
        <w:rPr>
          <w:rFonts w:ascii="Times New Roman" w:hAnsi="Times New Roman" w:cs="Times New Roman"/>
        </w:rPr>
        <w:t>, with a greater focus on emotion than Kennedy,</w:t>
      </w:r>
      <w:r w:rsidR="002F39DA" w:rsidRPr="009D3659">
        <w:rPr>
          <w:rFonts w:ascii="Times New Roman" w:hAnsi="Times New Roman" w:cs="Times New Roman"/>
        </w:rPr>
        <w:t xml:space="preserve"> contests </w:t>
      </w:r>
      <w:r w:rsidR="00F939A0" w:rsidRPr="009D3659">
        <w:rPr>
          <w:rFonts w:ascii="Times New Roman" w:hAnsi="Times New Roman" w:cs="Times New Roman"/>
        </w:rPr>
        <w:t>these</w:t>
      </w:r>
      <w:r w:rsidR="002F39DA" w:rsidRPr="009D3659">
        <w:rPr>
          <w:rFonts w:ascii="Times New Roman" w:hAnsi="Times New Roman" w:cs="Times New Roman"/>
        </w:rPr>
        <w:t xml:space="preserve"> framings and argues that </w:t>
      </w:r>
      <w:r w:rsidR="00F939A0" w:rsidRPr="009D3659">
        <w:rPr>
          <w:rFonts w:ascii="Times New Roman" w:hAnsi="Times New Roman" w:cs="Times New Roman"/>
        </w:rPr>
        <w:t>“</w:t>
      </w:r>
      <w:r w:rsidR="002F39DA" w:rsidRPr="009D3659">
        <w:rPr>
          <w:rFonts w:ascii="Times New Roman" w:hAnsi="Times New Roman" w:cs="Times New Roman"/>
        </w:rPr>
        <w:t>d</w:t>
      </w:r>
      <w:r w:rsidR="00770EB6" w:rsidRPr="009D3659">
        <w:rPr>
          <w:rFonts w:ascii="Times New Roman" w:hAnsi="Times New Roman" w:cs="Times New Roman"/>
        </w:rPr>
        <w:t>eep learning</w:t>
      </w:r>
      <w:r w:rsidR="00F939A0" w:rsidRPr="009D3659">
        <w:rPr>
          <w:rFonts w:ascii="Times New Roman" w:hAnsi="Times New Roman" w:cs="Times New Roman"/>
        </w:rPr>
        <w:t>”</w:t>
      </w:r>
      <w:r w:rsidR="00384A15" w:rsidRPr="009D3659">
        <w:rPr>
          <w:rFonts w:ascii="Times New Roman" w:hAnsi="Times New Roman" w:cs="Times New Roman"/>
        </w:rPr>
        <w:t xml:space="preserve"> in law school</w:t>
      </w:r>
      <w:r w:rsidR="00770EB6" w:rsidRPr="009D3659">
        <w:rPr>
          <w:rFonts w:ascii="Times New Roman" w:hAnsi="Times New Roman" w:cs="Times New Roman"/>
        </w:rPr>
        <w:t xml:space="preserve"> requ</w:t>
      </w:r>
      <w:r w:rsidR="009E27C7" w:rsidRPr="009D3659">
        <w:rPr>
          <w:rFonts w:ascii="Times New Roman" w:hAnsi="Times New Roman" w:cs="Times New Roman"/>
        </w:rPr>
        <w:t xml:space="preserve">ires an engagement with </w:t>
      </w:r>
      <w:r w:rsidR="006E214A" w:rsidRPr="009D3659">
        <w:rPr>
          <w:rFonts w:ascii="Times New Roman" w:hAnsi="Times New Roman" w:cs="Times New Roman"/>
        </w:rPr>
        <w:t>emotion</w:t>
      </w:r>
      <w:r w:rsidR="009E27C7" w:rsidRPr="009D3659">
        <w:rPr>
          <w:rFonts w:ascii="Times New Roman" w:hAnsi="Times New Roman" w:cs="Times New Roman"/>
        </w:rPr>
        <w:t>. She suggests</w:t>
      </w:r>
      <w:r w:rsidR="00770EB6" w:rsidRPr="009D3659">
        <w:rPr>
          <w:rFonts w:ascii="Times New Roman" w:hAnsi="Times New Roman" w:cs="Times New Roman"/>
        </w:rPr>
        <w:t xml:space="preserve"> </w:t>
      </w:r>
      <w:r w:rsidR="00F939A0" w:rsidRPr="009D3659">
        <w:rPr>
          <w:rFonts w:ascii="Times New Roman" w:hAnsi="Times New Roman" w:cs="Times New Roman"/>
        </w:rPr>
        <w:t xml:space="preserve">law </w:t>
      </w:r>
      <w:r w:rsidR="00384A15" w:rsidRPr="009D3659">
        <w:rPr>
          <w:rFonts w:ascii="Times New Roman" w:hAnsi="Times New Roman" w:cs="Times New Roman"/>
        </w:rPr>
        <w:t>teachers must engage with</w:t>
      </w:r>
      <w:r w:rsidR="00F939A0" w:rsidRPr="009D3659">
        <w:rPr>
          <w:rFonts w:ascii="Times New Roman" w:hAnsi="Times New Roman" w:cs="Times New Roman"/>
        </w:rPr>
        <w:t xml:space="preserve"> the </w:t>
      </w:r>
      <w:r w:rsidR="002F39DA" w:rsidRPr="009D3659">
        <w:rPr>
          <w:rFonts w:ascii="Times New Roman" w:hAnsi="Times New Roman" w:cs="Times New Roman"/>
        </w:rPr>
        <w:t xml:space="preserve">motivations </w:t>
      </w:r>
      <w:r w:rsidR="00F939A0" w:rsidRPr="009D3659">
        <w:rPr>
          <w:rFonts w:ascii="Times New Roman" w:hAnsi="Times New Roman" w:cs="Times New Roman"/>
        </w:rPr>
        <w:t xml:space="preserve">and emotional experiences </w:t>
      </w:r>
      <w:r w:rsidR="009E27C7" w:rsidRPr="009D3659">
        <w:rPr>
          <w:rFonts w:ascii="Times New Roman" w:hAnsi="Times New Roman" w:cs="Times New Roman"/>
        </w:rPr>
        <w:t>of students, as e</w:t>
      </w:r>
      <w:r w:rsidR="002F39DA" w:rsidRPr="009D3659">
        <w:rPr>
          <w:rFonts w:ascii="Times New Roman" w:hAnsi="Times New Roman" w:cs="Times New Roman"/>
        </w:rPr>
        <w:t>motion underscores the</w:t>
      </w:r>
      <w:r w:rsidR="00770EB6" w:rsidRPr="009D3659">
        <w:rPr>
          <w:rFonts w:ascii="Times New Roman" w:hAnsi="Times New Roman" w:cs="Times New Roman"/>
        </w:rPr>
        <w:t xml:space="preserve"> pleasure</w:t>
      </w:r>
      <w:r w:rsidR="002F39DA" w:rsidRPr="009D3659">
        <w:rPr>
          <w:rFonts w:ascii="Times New Roman" w:hAnsi="Times New Roman" w:cs="Times New Roman"/>
        </w:rPr>
        <w:t xml:space="preserve"> of learning</w:t>
      </w:r>
      <w:r w:rsidR="00770EB6" w:rsidRPr="009D3659">
        <w:rPr>
          <w:rFonts w:ascii="Times New Roman" w:hAnsi="Times New Roman" w:cs="Times New Roman"/>
        </w:rPr>
        <w:t xml:space="preserve"> and curiosity that stem from </w:t>
      </w:r>
      <w:r w:rsidR="00F939A0" w:rsidRPr="009D3659">
        <w:rPr>
          <w:rFonts w:ascii="Times New Roman" w:hAnsi="Times New Roman" w:cs="Times New Roman"/>
        </w:rPr>
        <w:t>deep</w:t>
      </w:r>
      <w:r w:rsidR="00770EB6" w:rsidRPr="009D3659">
        <w:rPr>
          <w:rFonts w:ascii="Times New Roman" w:hAnsi="Times New Roman" w:cs="Times New Roman"/>
        </w:rPr>
        <w:t xml:space="preserve"> l</w:t>
      </w:r>
      <w:r w:rsidR="00EE631C" w:rsidRPr="009D3659">
        <w:rPr>
          <w:rFonts w:ascii="Times New Roman" w:hAnsi="Times New Roman" w:cs="Times New Roman"/>
        </w:rPr>
        <w:t>earning approaches</w:t>
      </w:r>
      <w:r w:rsidR="00770EB6" w:rsidRPr="009D3659">
        <w:rPr>
          <w:rFonts w:ascii="Times New Roman" w:hAnsi="Times New Roman" w:cs="Times New Roman"/>
        </w:rPr>
        <w:t>.</w:t>
      </w:r>
      <w:r w:rsidR="00D855AD">
        <w:rPr>
          <w:rStyle w:val="FootnoteReference"/>
          <w:rFonts w:ascii="Times New Roman" w:hAnsi="Times New Roman" w:cs="Times New Roman"/>
        </w:rPr>
        <w:footnoteReference w:id="25"/>
      </w:r>
      <w:r w:rsidR="00770EB6" w:rsidRPr="009D3659">
        <w:rPr>
          <w:rFonts w:ascii="Times New Roman" w:hAnsi="Times New Roman" w:cs="Times New Roman"/>
        </w:rPr>
        <w:t xml:space="preserve"> </w:t>
      </w:r>
    </w:p>
    <w:p w14:paraId="68019E80" w14:textId="77777777" w:rsidR="009D3659" w:rsidRPr="009D3659" w:rsidRDefault="009D3659" w:rsidP="00DD0C19">
      <w:pPr>
        <w:spacing w:line="360" w:lineRule="auto"/>
        <w:jc w:val="both"/>
        <w:rPr>
          <w:rFonts w:ascii="Times New Roman" w:hAnsi="Times New Roman" w:cs="Times New Roman"/>
        </w:rPr>
      </w:pPr>
    </w:p>
    <w:p w14:paraId="11DA1072" w14:textId="74406096" w:rsidR="00770EB6" w:rsidRPr="009D3659" w:rsidRDefault="00557988" w:rsidP="00DD0C19">
      <w:pPr>
        <w:spacing w:line="360" w:lineRule="auto"/>
        <w:jc w:val="both"/>
        <w:rPr>
          <w:rFonts w:ascii="Times New Roman" w:hAnsi="Times New Roman" w:cs="Times New Roman"/>
          <w:b/>
        </w:rPr>
      </w:pPr>
      <w:r>
        <w:rPr>
          <w:rFonts w:ascii="Times New Roman" w:hAnsi="Times New Roman" w:cs="Times New Roman"/>
          <w:b/>
        </w:rPr>
        <w:t>Designing Law and Emotion</w:t>
      </w:r>
    </w:p>
    <w:p w14:paraId="362F1C43" w14:textId="5FC24D61" w:rsidR="00557988" w:rsidRDefault="003D0552" w:rsidP="000E1B48">
      <w:pPr>
        <w:spacing w:line="360" w:lineRule="auto"/>
        <w:jc w:val="both"/>
        <w:rPr>
          <w:rFonts w:ascii="Times New Roman" w:hAnsi="Times New Roman" w:cs="Times New Roman"/>
        </w:rPr>
      </w:pPr>
      <w:r w:rsidRPr="00557988">
        <w:rPr>
          <w:rFonts w:ascii="Times New Roman" w:hAnsi="Times New Roman" w:cs="Times New Roman"/>
        </w:rPr>
        <w:t xml:space="preserve">I </w:t>
      </w:r>
      <w:r>
        <w:rPr>
          <w:rFonts w:ascii="Times New Roman" w:hAnsi="Times New Roman" w:cs="Times New Roman"/>
        </w:rPr>
        <w:t>use</w:t>
      </w:r>
      <w:r w:rsidRPr="00557988">
        <w:rPr>
          <w:rFonts w:ascii="Times New Roman" w:hAnsi="Times New Roman" w:cs="Times New Roman"/>
        </w:rPr>
        <w:t xml:space="preserve"> autoethnograp</w:t>
      </w:r>
      <w:r>
        <w:rPr>
          <w:rFonts w:ascii="Times New Roman" w:hAnsi="Times New Roman" w:cs="Times New Roman"/>
        </w:rPr>
        <w:t>hy to</w:t>
      </w:r>
      <w:r w:rsidR="001B0357">
        <w:rPr>
          <w:rFonts w:ascii="Times New Roman" w:hAnsi="Times New Roman" w:cs="Times New Roman"/>
        </w:rPr>
        <w:t xml:space="preserve"> foreground </w:t>
      </w:r>
      <w:r>
        <w:rPr>
          <w:rFonts w:ascii="Times New Roman" w:hAnsi="Times New Roman" w:cs="Times New Roman"/>
        </w:rPr>
        <w:t>my practice</w:t>
      </w:r>
      <w:r w:rsidR="001B0357">
        <w:rPr>
          <w:rFonts w:ascii="Times New Roman" w:hAnsi="Times New Roman" w:cs="Times New Roman"/>
        </w:rPr>
        <w:t xml:space="preserve"> in </w:t>
      </w:r>
      <w:r>
        <w:rPr>
          <w:rFonts w:ascii="Times New Roman" w:hAnsi="Times New Roman" w:cs="Times New Roman"/>
        </w:rPr>
        <w:t>teaching Law and Emotion</w:t>
      </w:r>
      <w:r w:rsidR="00557988" w:rsidRPr="00557988">
        <w:rPr>
          <w:rFonts w:ascii="Times New Roman" w:hAnsi="Times New Roman" w:cs="Times New Roman"/>
        </w:rPr>
        <w:t xml:space="preserve">. </w:t>
      </w:r>
      <w:r w:rsidR="00557988">
        <w:rPr>
          <w:rFonts w:ascii="Times New Roman" w:hAnsi="Times New Roman" w:cs="Times New Roman"/>
        </w:rPr>
        <w:t>This method</w:t>
      </w:r>
      <w:r w:rsidR="00557988" w:rsidRPr="00557988">
        <w:rPr>
          <w:rFonts w:ascii="Times New Roman" w:hAnsi="Times New Roman" w:cs="Times New Roman"/>
        </w:rPr>
        <w:t xml:space="preserve"> situates the scholar within their field of study (legal pedagogy) and combines personal observations or reflections (pedagogical practice) with literature that frames those observations (pedagogical scholarship).</w:t>
      </w:r>
      <w:r w:rsidR="00557988" w:rsidRPr="00557988">
        <w:rPr>
          <w:rStyle w:val="FootnoteReference"/>
          <w:rFonts w:ascii="Times New Roman" w:hAnsi="Times New Roman" w:cs="Times New Roman"/>
        </w:rPr>
        <w:footnoteReference w:id="26"/>
      </w:r>
      <w:r w:rsidR="00557988" w:rsidRPr="00557988">
        <w:rPr>
          <w:rFonts w:ascii="Times New Roman" w:hAnsi="Times New Roman" w:cs="Times New Roman"/>
        </w:rPr>
        <w:t xml:space="preserve"> As Stephen Brookfield notes, this approach is commended </w:t>
      </w:r>
      <w:r w:rsidR="00557988">
        <w:rPr>
          <w:rFonts w:ascii="Times New Roman" w:hAnsi="Times New Roman" w:cs="Times New Roman"/>
        </w:rPr>
        <w:t>for academics who wish to “become</w:t>
      </w:r>
      <w:r w:rsidR="00557988" w:rsidRPr="00557988">
        <w:rPr>
          <w:rFonts w:ascii="Times New Roman" w:hAnsi="Times New Roman" w:cs="Times New Roman"/>
        </w:rPr>
        <w:t xml:space="preserve"> critically reflective teacher</w:t>
      </w:r>
      <w:r w:rsidR="00557988">
        <w:rPr>
          <w:rFonts w:ascii="Times New Roman" w:hAnsi="Times New Roman" w:cs="Times New Roman"/>
        </w:rPr>
        <w:t>s</w:t>
      </w:r>
      <w:r w:rsidR="00557988" w:rsidRPr="00557988">
        <w:rPr>
          <w:rFonts w:ascii="Times New Roman" w:hAnsi="Times New Roman" w:cs="Times New Roman"/>
        </w:rPr>
        <w:t xml:space="preserve">” </w:t>
      </w:r>
      <w:r w:rsidR="00557988">
        <w:rPr>
          <w:rFonts w:ascii="Times New Roman" w:hAnsi="Times New Roman" w:cs="Times New Roman"/>
        </w:rPr>
        <w:t>because it enables us to</w:t>
      </w:r>
      <w:r w:rsidR="00557988" w:rsidRPr="00557988">
        <w:rPr>
          <w:rFonts w:ascii="Times New Roman" w:hAnsi="Times New Roman" w:cs="Times New Roman"/>
        </w:rPr>
        <w:t xml:space="preserve"> </w:t>
      </w:r>
      <w:r w:rsidR="00557988">
        <w:rPr>
          <w:rFonts w:ascii="Times New Roman" w:hAnsi="Times New Roman" w:cs="Times New Roman"/>
        </w:rPr>
        <w:t>consider</w:t>
      </w:r>
      <w:r w:rsidR="00557988" w:rsidRPr="00DB7A87">
        <w:rPr>
          <w:rFonts w:ascii="Times New Roman" w:hAnsi="Times New Roman" w:cs="Times New Roman"/>
        </w:rPr>
        <w:t xml:space="preserve"> whether </w:t>
      </w:r>
      <w:r w:rsidR="00557988">
        <w:rPr>
          <w:rFonts w:ascii="Times New Roman" w:hAnsi="Times New Roman" w:cs="Times New Roman"/>
        </w:rPr>
        <w:t>our</w:t>
      </w:r>
      <w:r w:rsidR="00557988" w:rsidRPr="00DB7A87">
        <w:rPr>
          <w:rFonts w:ascii="Times New Roman" w:hAnsi="Times New Roman" w:cs="Times New Roman"/>
        </w:rPr>
        <w:t xml:space="preserve"> emotional impulses or responses to conversations or activities align with the students </w:t>
      </w:r>
      <w:r w:rsidR="00557988">
        <w:rPr>
          <w:rFonts w:ascii="Times New Roman" w:hAnsi="Times New Roman" w:cs="Times New Roman"/>
        </w:rPr>
        <w:t>we</w:t>
      </w:r>
      <w:r w:rsidR="00557988" w:rsidRPr="00DB7A87">
        <w:rPr>
          <w:rFonts w:ascii="Times New Roman" w:hAnsi="Times New Roman" w:cs="Times New Roman"/>
        </w:rPr>
        <w:t xml:space="preserve"> teach and </w:t>
      </w:r>
      <w:r w:rsidR="00557988">
        <w:rPr>
          <w:rFonts w:ascii="Times New Roman" w:hAnsi="Times New Roman" w:cs="Times New Roman"/>
        </w:rPr>
        <w:t>enables us to perceive</w:t>
      </w:r>
      <w:r w:rsidR="00557988" w:rsidRPr="00DB7A87">
        <w:rPr>
          <w:rFonts w:ascii="Times New Roman" w:hAnsi="Times New Roman" w:cs="Times New Roman"/>
        </w:rPr>
        <w:t xml:space="preserve"> the ways performance, classroom arrangements, and evaluative options structure learning environments.</w:t>
      </w:r>
      <w:r w:rsidR="00557988" w:rsidRPr="00DB7A87">
        <w:rPr>
          <w:rStyle w:val="FootnoteReference"/>
          <w:rFonts w:ascii="Times New Roman" w:hAnsi="Times New Roman" w:cs="Times New Roman"/>
        </w:rPr>
        <w:footnoteReference w:id="27"/>
      </w:r>
      <w:r w:rsidR="00557988">
        <w:rPr>
          <w:rFonts w:ascii="Calisto MT" w:hAnsi="Calisto MT"/>
        </w:rPr>
        <w:t xml:space="preserve"> </w:t>
      </w:r>
      <w:r w:rsidR="001B0357">
        <w:rPr>
          <w:rFonts w:ascii="Times New Roman" w:hAnsi="Times New Roman" w:cs="Times New Roman"/>
        </w:rPr>
        <w:t>An</w:t>
      </w:r>
      <w:r w:rsidR="00557988" w:rsidRPr="00557988">
        <w:rPr>
          <w:rFonts w:ascii="Times New Roman" w:hAnsi="Times New Roman" w:cs="Times New Roman"/>
        </w:rPr>
        <w:t xml:space="preserve"> autoethnographic approach is </w:t>
      </w:r>
      <w:r w:rsidR="00D77787">
        <w:rPr>
          <w:rFonts w:ascii="Times New Roman" w:hAnsi="Times New Roman" w:cs="Times New Roman"/>
        </w:rPr>
        <w:t>useful</w:t>
      </w:r>
      <w:r w:rsidR="00557988">
        <w:rPr>
          <w:rFonts w:ascii="Times New Roman" w:hAnsi="Times New Roman" w:cs="Times New Roman"/>
        </w:rPr>
        <w:t xml:space="preserve"> </w:t>
      </w:r>
      <w:r>
        <w:rPr>
          <w:rFonts w:ascii="Times New Roman" w:hAnsi="Times New Roman" w:cs="Times New Roman"/>
        </w:rPr>
        <w:t xml:space="preserve">to analyse Law and Emotion </w:t>
      </w:r>
      <w:r w:rsidR="00557988">
        <w:rPr>
          <w:rFonts w:ascii="Times New Roman" w:hAnsi="Times New Roman" w:cs="Times New Roman"/>
        </w:rPr>
        <w:t xml:space="preserve">because it allows me to situate my emotional experiences of teaching alongside the disciplinary expectations, institutional constraints, and classroom dynamics that come with teaching about emotion in law. </w:t>
      </w:r>
    </w:p>
    <w:p w14:paraId="46FEB038" w14:textId="4AD567E2" w:rsidR="00557988" w:rsidRPr="009D3659" w:rsidRDefault="00557988" w:rsidP="00557988">
      <w:pPr>
        <w:spacing w:line="360" w:lineRule="auto"/>
        <w:ind w:firstLine="720"/>
        <w:jc w:val="both"/>
        <w:rPr>
          <w:rFonts w:ascii="Times New Roman" w:hAnsi="Times New Roman" w:cs="Times New Roman"/>
        </w:rPr>
      </w:pPr>
      <w:r>
        <w:rPr>
          <w:rFonts w:ascii="Times New Roman" w:hAnsi="Times New Roman" w:cs="Times New Roman"/>
        </w:rPr>
        <w:t xml:space="preserve">The first point to note is that Law and Emotion was not a core module required for the LLB. </w:t>
      </w:r>
      <w:r w:rsidRPr="009D3659">
        <w:rPr>
          <w:rFonts w:ascii="Times New Roman" w:hAnsi="Times New Roman" w:cs="Times New Roman"/>
        </w:rPr>
        <w:t xml:space="preserve">Designing an elective law module – unlike compulsory ones – freed me from the </w:t>
      </w:r>
      <w:r>
        <w:rPr>
          <w:rFonts w:ascii="Times New Roman" w:hAnsi="Times New Roman" w:cs="Times New Roman"/>
        </w:rPr>
        <w:t>disciplinary</w:t>
      </w:r>
      <w:r w:rsidRPr="009D3659">
        <w:rPr>
          <w:rFonts w:ascii="Times New Roman" w:hAnsi="Times New Roman" w:cs="Times New Roman"/>
        </w:rPr>
        <w:t xml:space="preserve"> constraints prescribed by the Solicitor’s Regulation Authority and Bar Standards Board. In terms of content, I had the space to design a module according to my research expertise, which spanned law and cultural studies. This </w:t>
      </w:r>
      <w:r w:rsidR="00D77787">
        <w:rPr>
          <w:rFonts w:ascii="Times New Roman" w:hAnsi="Times New Roman" w:cs="Times New Roman"/>
        </w:rPr>
        <w:t xml:space="preserve">shifted my focus </w:t>
      </w:r>
      <w:r w:rsidR="00D77787">
        <w:rPr>
          <w:rFonts w:ascii="Times New Roman" w:hAnsi="Times New Roman" w:cs="Times New Roman"/>
        </w:rPr>
        <w:lastRenderedPageBreak/>
        <w:t>away from thinking about what I was required to teach and how to do it to</w:t>
      </w:r>
      <w:r>
        <w:rPr>
          <w:rFonts w:ascii="Times New Roman" w:hAnsi="Times New Roman" w:cs="Times New Roman"/>
        </w:rPr>
        <w:t xml:space="preserve"> </w:t>
      </w:r>
      <w:r w:rsidR="00D77787">
        <w:rPr>
          <w:rFonts w:ascii="Times New Roman" w:hAnsi="Times New Roman" w:cs="Times New Roman"/>
        </w:rPr>
        <w:t xml:space="preserve">thinking </w:t>
      </w:r>
      <w:r>
        <w:rPr>
          <w:rFonts w:ascii="Times New Roman" w:hAnsi="Times New Roman" w:cs="Times New Roman"/>
        </w:rPr>
        <w:t>about what I desired to teach and why</w:t>
      </w:r>
      <w:r w:rsidRPr="009D3659">
        <w:rPr>
          <w:rFonts w:ascii="Times New Roman" w:hAnsi="Times New Roman" w:cs="Times New Roman"/>
        </w:rPr>
        <w:t xml:space="preserve">. What did I value about law? What did I want my students to value about it? My initial responses to these questions took me back to the </w:t>
      </w:r>
      <w:r>
        <w:rPr>
          <w:rFonts w:ascii="Times New Roman" w:hAnsi="Times New Roman" w:cs="Times New Roman"/>
        </w:rPr>
        <w:t>passions</w:t>
      </w:r>
      <w:r w:rsidRPr="009D3659">
        <w:rPr>
          <w:rFonts w:ascii="Times New Roman" w:hAnsi="Times New Roman" w:cs="Times New Roman"/>
        </w:rPr>
        <w:t xml:space="preserve"> I had when I started law school</w:t>
      </w:r>
      <w:r>
        <w:rPr>
          <w:rFonts w:ascii="Times New Roman" w:hAnsi="Times New Roman" w:cs="Times New Roman"/>
        </w:rPr>
        <w:t xml:space="preserve"> as a precocious student</w:t>
      </w:r>
      <w:r w:rsidRPr="009D3659">
        <w:rPr>
          <w:rFonts w:ascii="Times New Roman" w:hAnsi="Times New Roman" w:cs="Times New Roman"/>
        </w:rPr>
        <w:t xml:space="preserve">: I wished to become a lawyer to instrumentalise law as a means of securing justice for marginalised groups of people. As an undergraduate, the study of law represented a means for me to achieve an end of social and political justice. This reflection prompted me to think about whether the students I taught in first year felt the same (some had already disclosed this to me in our first year classes) and, for those who did not share such concerns, I also wondered how I might be able to get them to think critically about law within its social and political context. </w:t>
      </w:r>
    </w:p>
    <w:p w14:paraId="41AFB1A4" w14:textId="735A9B61" w:rsidR="00557988" w:rsidRPr="009D3659" w:rsidRDefault="00557988" w:rsidP="00557988">
      <w:pPr>
        <w:spacing w:line="360" w:lineRule="auto"/>
        <w:ind w:firstLine="720"/>
        <w:jc w:val="both"/>
        <w:rPr>
          <w:rFonts w:ascii="Times New Roman" w:hAnsi="Times New Roman" w:cs="Times New Roman"/>
        </w:rPr>
      </w:pPr>
      <w:r w:rsidRPr="009D3659">
        <w:rPr>
          <w:rFonts w:ascii="Times New Roman" w:hAnsi="Times New Roman" w:cs="Times New Roman"/>
        </w:rPr>
        <w:t>Module design</w:t>
      </w:r>
      <w:r>
        <w:rPr>
          <w:rFonts w:ascii="Times New Roman" w:hAnsi="Times New Roman" w:cs="Times New Roman"/>
        </w:rPr>
        <w:t xml:space="preserve">, however, does not emerge simply from the passions of its designer. It </w:t>
      </w:r>
      <w:r w:rsidRPr="009D3659">
        <w:rPr>
          <w:rFonts w:ascii="Times New Roman" w:hAnsi="Times New Roman" w:cs="Times New Roman"/>
        </w:rPr>
        <w:t>is inevitably indexed against the changing institutional demands of higher education</w:t>
      </w:r>
      <w:r w:rsidR="00B04B76">
        <w:rPr>
          <w:rFonts w:ascii="Times New Roman" w:hAnsi="Times New Roman" w:cs="Times New Roman"/>
        </w:rPr>
        <w:t xml:space="preserve"> and internal policies on curriculum design</w:t>
      </w:r>
      <w:r w:rsidRPr="009D3659">
        <w:rPr>
          <w:rFonts w:ascii="Times New Roman" w:hAnsi="Times New Roman" w:cs="Times New Roman"/>
        </w:rPr>
        <w:t>.</w:t>
      </w:r>
      <w:r w:rsidR="00D855AD">
        <w:rPr>
          <w:rStyle w:val="FootnoteReference"/>
          <w:rFonts w:ascii="Times New Roman" w:hAnsi="Times New Roman" w:cs="Times New Roman"/>
        </w:rPr>
        <w:footnoteReference w:id="28"/>
      </w:r>
      <w:r w:rsidRPr="009D3659">
        <w:rPr>
          <w:rFonts w:ascii="Times New Roman" w:hAnsi="Times New Roman" w:cs="Times New Roman"/>
        </w:rPr>
        <w:t xml:space="preserve"> Stefan Collini identifies this as a challenge for academics that routinely find themselves in defensive positions, having to articulate what makes their research and teaching distinctive or valuable.</w:t>
      </w:r>
      <w:r w:rsidR="00D855AD">
        <w:rPr>
          <w:rStyle w:val="FootnoteReference"/>
          <w:rFonts w:ascii="Times New Roman" w:hAnsi="Times New Roman" w:cs="Times New Roman"/>
        </w:rPr>
        <w:footnoteReference w:id="29"/>
      </w:r>
      <w:r w:rsidRPr="009D3659">
        <w:rPr>
          <w:rFonts w:ascii="Times New Roman" w:hAnsi="Times New Roman" w:cs="Times New Roman"/>
        </w:rPr>
        <w:t xml:space="preserve"> He suggests academics need to focus more on the values of a particular discipline, rather than seeking to reduce it to a single “point” about impact.</w:t>
      </w:r>
      <w:r w:rsidR="00D855AD">
        <w:rPr>
          <w:rStyle w:val="FootnoteReference"/>
          <w:rFonts w:ascii="Times New Roman" w:hAnsi="Times New Roman" w:cs="Times New Roman"/>
        </w:rPr>
        <w:footnoteReference w:id="30"/>
      </w:r>
      <w:r w:rsidRPr="009D3659">
        <w:rPr>
          <w:rFonts w:ascii="Times New Roman" w:hAnsi="Times New Roman" w:cs="Times New Roman"/>
        </w:rPr>
        <w:t xml:space="preserve"> Keele University’s Teaching and Learning Strategy 2020, for example, sits within this context and some parts of it resonate with Collini’s proposition: it identifies the importance of interdisciplinary and inclusive education that fosters intellectual discussion (Strategic Aim 3) while providing opportunities for students to be more socially engaged beyond the curriculum (Strategic Aim 5).</w:t>
      </w:r>
      <w:r>
        <w:rPr>
          <w:rStyle w:val="FootnoteReference"/>
          <w:rFonts w:ascii="Times New Roman" w:hAnsi="Times New Roman" w:cs="Times New Roman"/>
        </w:rPr>
        <w:footnoteReference w:id="31"/>
      </w:r>
      <w:r w:rsidRPr="009D3659">
        <w:rPr>
          <w:rFonts w:ascii="Times New Roman" w:hAnsi="Times New Roman" w:cs="Times New Roman"/>
        </w:rPr>
        <w:t xml:space="preserve"> In the School of Law, the programme specification makes clear that what makes </w:t>
      </w:r>
      <w:r w:rsidR="00B04B76">
        <w:rPr>
          <w:rFonts w:ascii="Times New Roman" w:hAnsi="Times New Roman" w:cs="Times New Roman"/>
        </w:rPr>
        <w:t xml:space="preserve">the School’s </w:t>
      </w:r>
      <w:r w:rsidRPr="009D3659">
        <w:rPr>
          <w:rFonts w:ascii="Times New Roman" w:hAnsi="Times New Roman" w:cs="Times New Roman"/>
        </w:rPr>
        <w:t xml:space="preserve">curriculum “distinctive” is that </w:t>
      </w:r>
      <w:r w:rsidR="00B04B76">
        <w:rPr>
          <w:rFonts w:ascii="Times New Roman" w:hAnsi="Times New Roman" w:cs="Times New Roman"/>
        </w:rPr>
        <w:t>students are introduced to</w:t>
      </w:r>
      <w:r w:rsidRPr="009D3659">
        <w:rPr>
          <w:rFonts w:ascii="Times New Roman" w:hAnsi="Times New Roman" w:cs="Times New Roman"/>
        </w:rPr>
        <w:t xml:space="preserve"> law in its social, political, economic, and historical context </w:t>
      </w:r>
      <w:r w:rsidR="00B04B76">
        <w:rPr>
          <w:rFonts w:ascii="Times New Roman" w:hAnsi="Times New Roman" w:cs="Times New Roman"/>
        </w:rPr>
        <w:t>in an</w:t>
      </w:r>
      <w:r w:rsidRPr="009D3659">
        <w:rPr>
          <w:rFonts w:ascii="Times New Roman" w:hAnsi="Times New Roman" w:cs="Times New Roman"/>
        </w:rPr>
        <w:t xml:space="preserve"> interdisciplinary and research-led</w:t>
      </w:r>
      <w:r w:rsidR="00B04B76">
        <w:rPr>
          <w:rFonts w:ascii="Times New Roman" w:hAnsi="Times New Roman" w:cs="Times New Roman"/>
        </w:rPr>
        <w:t xml:space="preserve"> classroom</w:t>
      </w:r>
      <w:r w:rsidRPr="009D3659">
        <w:rPr>
          <w:rFonts w:ascii="Times New Roman" w:hAnsi="Times New Roman" w:cs="Times New Roman"/>
        </w:rPr>
        <w:t>.</w:t>
      </w:r>
      <w:r>
        <w:rPr>
          <w:rStyle w:val="FootnoteReference"/>
          <w:rFonts w:ascii="Times New Roman" w:hAnsi="Times New Roman" w:cs="Times New Roman"/>
        </w:rPr>
        <w:footnoteReference w:id="32"/>
      </w:r>
      <w:r>
        <w:rPr>
          <w:rFonts w:ascii="Times New Roman" w:hAnsi="Times New Roman" w:cs="Times New Roman"/>
        </w:rPr>
        <w:t xml:space="preserve"> </w:t>
      </w:r>
      <w:r w:rsidR="00B04B76">
        <w:rPr>
          <w:rFonts w:ascii="Times New Roman" w:hAnsi="Times New Roman" w:cs="Times New Roman"/>
        </w:rPr>
        <w:t xml:space="preserve">Such strategies and policies echo the “liberalisation” of law schools to embrace critical perspectives and social justice </w:t>
      </w:r>
      <w:r w:rsidR="00B04B76">
        <w:rPr>
          <w:rFonts w:ascii="Times New Roman" w:hAnsi="Times New Roman" w:cs="Times New Roman"/>
        </w:rPr>
        <w:lastRenderedPageBreak/>
        <w:t>agendas.</w:t>
      </w:r>
      <w:r w:rsidR="00B04B76">
        <w:rPr>
          <w:rStyle w:val="FootnoteReference"/>
          <w:rFonts w:ascii="Times New Roman" w:hAnsi="Times New Roman" w:cs="Times New Roman"/>
        </w:rPr>
        <w:footnoteReference w:id="33"/>
      </w:r>
      <w:r w:rsidR="00D77787">
        <w:rPr>
          <w:rFonts w:ascii="Times New Roman" w:hAnsi="Times New Roman" w:cs="Times New Roman"/>
        </w:rPr>
        <w:t xml:space="preserve"> </w:t>
      </w:r>
      <w:r w:rsidR="00B04B76">
        <w:rPr>
          <w:rFonts w:ascii="Times New Roman" w:hAnsi="Times New Roman" w:cs="Times New Roman"/>
        </w:rPr>
        <w:t>Higher education</w:t>
      </w:r>
      <w:r w:rsidRPr="009D3659">
        <w:rPr>
          <w:rFonts w:ascii="Times New Roman" w:hAnsi="Times New Roman" w:cs="Times New Roman"/>
        </w:rPr>
        <w:t xml:space="preserve"> </w:t>
      </w:r>
      <w:r>
        <w:rPr>
          <w:rFonts w:ascii="Times New Roman" w:hAnsi="Times New Roman" w:cs="Times New Roman"/>
        </w:rPr>
        <w:t>aspirations for student social or civic engagement coupled with</w:t>
      </w:r>
      <w:r w:rsidRPr="009D3659">
        <w:rPr>
          <w:rFonts w:ascii="Times New Roman" w:hAnsi="Times New Roman" w:cs="Times New Roman"/>
        </w:rPr>
        <w:t xml:space="preserve"> </w:t>
      </w:r>
      <w:r w:rsidR="00B04B76">
        <w:rPr>
          <w:rFonts w:ascii="Times New Roman" w:hAnsi="Times New Roman" w:cs="Times New Roman"/>
        </w:rPr>
        <w:t xml:space="preserve">law </w:t>
      </w:r>
      <w:r>
        <w:rPr>
          <w:rFonts w:ascii="Times New Roman" w:hAnsi="Times New Roman" w:cs="Times New Roman"/>
        </w:rPr>
        <w:t xml:space="preserve">programme expectations for </w:t>
      </w:r>
      <w:r w:rsidRPr="009D3659">
        <w:rPr>
          <w:rFonts w:ascii="Times New Roman" w:hAnsi="Times New Roman" w:cs="Times New Roman"/>
        </w:rPr>
        <w:t xml:space="preserve">interdisciplinary </w:t>
      </w:r>
      <w:r>
        <w:rPr>
          <w:rFonts w:ascii="Times New Roman" w:hAnsi="Times New Roman" w:cs="Times New Roman"/>
        </w:rPr>
        <w:t xml:space="preserve">learning </w:t>
      </w:r>
      <w:r w:rsidR="00D77787">
        <w:rPr>
          <w:rFonts w:ascii="Times New Roman" w:hAnsi="Times New Roman" w:cs="Times New Roman"/>
        </w:rPr>
        <w:t>were strategically important to anchor</w:t>
      </w:r>
      <w:r w:rsidRPr="009D3659">
        <w:rPr>
          <w:rFonts w:ascii="Times New Roman" w:hAnsi="Times New Roman" w:cs="Times New Roman"/>
        </w:rPr>
        <w:t xml:space="preserve"> </w:t>
      </w:r>
      <w:r w:rsidR="00D77787">
        <w:rPr>
          <w:rFonts w:ascii="Times New Roman" w:hAnsi="Times New Roman" w:cs="Times New Roman"/>
        </w:rPr>
        <w:t xml:space="preserve">the development of a </w:t>
      </w:r>
      <w:r w:rsidRPr="009D3659">
        <w:rPr>
          <w:rFonts w:ascii="Times New Roman" w:hAnsi="Times New Roman" w:cs="Times New Roman"/>
        </w:rPr>
        <w:t xml:space="preserve">module that introduced students to the study of law and emotion. </w:t>
      </w:r>
    </w:p>
    <w:p w14:paraId="1813C705" w14:textId="1845054E" w:rsidR="00E52E40" w:rsidRPr="009D3659" w:rsidRDefault="0041489F" w:rsidP="00E52E40">
      <w:pPr>
        <w:spacing w:line="360" w:lineRule="auto"/>
        <w:ind w:firstLine="720"/>
        <w:jc w:val="both"/>
        <w:rPr>
          <w:rFonts w:ascii="Times New Roman" w:hAnsi="Times New Roman" w:cs="Times New Roman"/>
        </w:rPr>
      </w:pPr>
      <w:r w:rsidRPr="009D3659">
        <w:rPr>
          <w:rFonts w:ascii="Times New Roman" w:hAnsi="Times New Roman" w:cs="Times New Roman"/>
        </w:rPr>
        <w:t xml:space="preserve">Law and Emotion took shape </w:t>
      </w:r>
      <w:r w:rsidR="003D2716" w:rsidRPr="009D3659">
        <w:rPr>
          <w:rFonts w:ascii="Times New Roman" w:hAnsi="Times New Roman" w:cs="Times New Roman"/>
        </w:rPr>
        <w:t xml:space="preserve">in response to </w:t>
      </w:r>
      <w:r w:rsidR="00D77787">
        <w:rPr>
          <w:rFonts w:ascii="Times New Roman" w:hAnsi="Times New Roman" w:cs="Times New Roman"/>
        </w:rPr>
        <w:t xml:space="preserve">my </w:t>
      </w:r>
      <w:r w:rsidR="00213F90" w:rsidRPr="009D3659">
        <w:rPr>
          <w:rFonts w:ascii="Times New Roman" w:hAnsi="Times New Roman" w:cs="Times New Roman"/>
        </w:rPr>
        <w:t xml:space="preserve">emotional </w:t>
      </w:r>
      <w:r w:rsidR="003D2716" w:rsidRPr="009D3659">
        <w:rPr>
          <w:rFonts w:ascii="Times New Roman" w:hAnsi="Times New Roman" w:cs="Times New Roman"/>
        </w:rPr>
        <w:t>questions about</w:t>
      </w:r>
      <w:r w:rsidRPr="009D3659">
        <w:rPr>
          <w:rFonts w:ascii="Times New Roman" w:hAnsi="Times New Roman" w:cs="Times New Roman"/>
        </w:rPr>
        <w:t xml:space="preserve"> </w:t>
      </w:r>
      <w:r w:rsidR="003D2716" w:rsidRPr="009D3659">
        <w:rPr>
          <w:rFonts w:ascii="Times New Roman" w:hAnsi="Times New Roman" w:cs="Times New Roman"/>
        </w:rPr>
        <w:t>how t</w:t>
      </w:r>
      <w:r w:rsidRPr="009D3659">
        <w:rPr>
          <w:rFonts w:ascii="Times New Roman" w:hAnsi="Times New Roman" w:cs="Times New Roman"/>
        </w:rPr>
        <w:t xml:space="preserve">o confront </w:t>
      </w:r>
      <w:r w:rsidR="00891DCB" w:rsidRPr="009D3659">
        <w:rPr>
          <w:rFonts w:ascii="Times New Roman" w:hAnsi="Times New Roman" w:cs="Times New Roman"/>
        </w:rPr>
        <w:t>matters</w:t>
      </w:r>
      <w:r w:rsidRPr="009D3659">
        <w:rPr>
          <w:rFonts w:ascii="Times New Roman" w:hAnsi="Times New Roman" w:cs="Times New Roman"/>
        </w:rPr>
        <w:t xml:space="preserve"> of justice and politics in/through law</w:t>
      </w:r>
      <w:r w:rsidR="00557988">
        <w:rPr>
          <w:rFonts w:ascii="Times New Roman" w:hAnsi="Times New Roman" w:cs="Times New Roman"/>
        </w:rPr>
        <w:t>,</w:t>
      </w:r>
      <w:r w:rsidR="003D2716" w:rsidRPr="009D3659">
        <w:rPr>
          <w:rFonts w:ascii="Times New Roman" w:hAnsi="Times New Roman" w:cs="Times New Roman"/>
        </w:rPr>
        <w:t xml:space="preserve"> and</w:t>
      </w:r>
      <w:r w:rsidR="00557988">
        <w:rPr>
          <w:rFonts w:ascii="Times New Roman" w:hAnsi="Times New Roman" w:cs="Times New Roman"/>
        </w:rPr>
        <w:t xml:space="preserve"> as such,</w:t>
      </w:r>
      <w:r w:rsidR="003D2716" w:rsidRPr="009D3659">
        <w:rPr>
          <w:rFonts w:ascii="Times New Roman" w:hAnsi="Times New Roman" w:cs="Times New Roman"/>
        </w:rPr>
        <w:t xml:space="preserve"> derived its </w:t>
      </w:r>
      <w:r w:rsidR="00557988">
        <w:rPr>
          <w:rFonts w:ascii="Times New Roman" w:hAnsi="Times New Roman" w:cs="Times New Roman"/>
        </w:rPr>
        <w:t xml:space="preserve">conceptual </w:t>
      </w:r>
      <w:r w:rsidR="003D2716" w:rsidRPr="009D3659">
        <w:rPr>
          <w:rFonts w:ascii="Times New Roman" w:hAnsi="Times New Roman" w:cs="Times New Roman"/>
        </w:rPr>
        <w:t>foundation</w:t>
      </w:r>
      <w:r w:rsidR="00557988">
        <w:rPr>
          <w:rFonts w:ascii="Times New Roman" w:hAnsi="Times New Roman" w:cs="Times New Roman"/>
        </w:rPr>
        <w:t>s</w:t>
      </w:r>
      <w:r w:rsidR="003D2716" w:rsidRPr="009D3659">
        <w:rPr>
          <w:rFonts w:ascii="Times New Roman" w:hAnsi="Times New Roman" w:cs="Times New Roman"/>
        </w:rPr>
        <w:t xml:space="preserve"> from</w:t>
      </w:r>
      <w:r w:rsidR="00557988">
        <w:rPr>
          <w:rFonts w:ascii="Times New Roman" w:hAnsi="Times New Roman" w:cs="Times New Roman"/>
        </w:rPr>
        <w:t xml:space="preserve"> existing work in</w:t>
      </w:r>
      <w:r w:rsidR="003D2716" w:rsidRPr="009D3659">
        <w:rPr>
          <w:rFonts w:ascii="Times New Roman" w:hAnsi="Times New Roman" w:cs="Times New Roman"/>
        </w:rPr>
        <w:t xml:space="preserve"> critical legal studies</w:t>
      </w:r>
      <w:r w:rsidR="00557988">
        <w:rPr>
          <w:rFonts w:ascii="Times New Roman" w:hAnsi="Times New Roman" w:cs="Times New Roman"/>
        </w:rPr>
        <w:t xml:space="preserve"> that has grappled with such questions</w:t>
      </w:r>
      <w:r w:rsidRPr="009D3659">
        <w:rPr>
          <w:rFonts w:ascii="Times New Roman" w:hAnsi="Times New Roman" w:cs="Times New Roman"/>
        </w:rPr>
        <w:t>.</w:t>
      </w:r>
      <w:r w:rsidR="00D855AD">
        <w:rPr>
          <w:rStyle w:val="FootnoteReference"/>
          <w:rFonts w:ascii="Times New Roman" w:hAnsi="Times New Roman" w:cs="Times New Roman"/>
        </w:rPr>
        <w:footnoteReference w:id="34"/>
      </w:r>
      <w:r w:rsidRPr="009D3659">
        <w:rPr>
          <w:rFonts w:ascii="Times New Roman" w:hAnsi="Times New Roman" w:cs="Times New Roman"/>
        </w:rPr>
        <w:t xml:space="preserve"> </w:t>
      </w:r>
      <w:r w:rsidR="00D04E8E" w:rsidRPr="009D3659">
        <w:rPr>
          <w:rFonts w:ascii="Times New Roman" w:hAnsi="Times New Roman" w:cs="Times New Roman"/>
        </w:rPr>
        <w:t xml:space="preserve">In writing about US law schools, Kennedy  argues that </w:t>
      </w:r>
      <w:r w:rsidR="00090272" w:rsidRPr="009D3659">
        <w:rPr>
          <w:rFonts w:ascii="Times New Roman" w:hAnsi="Times New Roman" w:cs="Times New Roman"/>
        </w:rPr>
        <w:t xml:space="preserve">doctrinal </w:t>
      </w:r>
      <w:r w:rsidR="00D04E8E" w:rsidRPr="009D3659">
        <w:rPr>
          <w:rFonts w:ascii="Times New Roman" w:hAnsi="Times New Roman" w:cs="Times New Roman"/>
        </w:rPr>
        <w:t>legal education recuperates ideological privileges and social hierarchies.</w:t>
      </w:r>
      <w:r w:rsidR="00D855AD">
        <w:rPr>
          <w:rStyle w:val="FootnoteReference"/>
          <w:rFonts w:ascii="Times New Roman" w:hAnsi="Times New Roman" w:cs="Times New Roman"/>
        </w:rPr>
        <w:footnoteReference w:id="35"/>
      </w:r>
      <w:r w:rsidR="00D04E8E" w:rsidRPr="009D3659">
        <w:rPr>
          <w:rFonts w:ascii="Times New Roman" w:hAnsi="Times New Roman" w:cs="Times New Roman"/>
        </w:rPr>
        <w:t xml:space="preserve"> Legal education no</w:t>
      </w:r>
      <w:r w:rsidR="00D8749F" w:rsidRPr="009D3659">
        <w:rPr>
          <w:rFonts w:ascii="Times New Roman" w:hAnsi="Times New Roman" w:cs="Times New Roman"/>
        </w:rPr>
        <w:t>rmalises the status quo through assessment practices,</w:t>
      </w:r>
      <w:r w:rsidR="00D04E8E" w:rsidRPr="009D3659">
        <w:rPr>
          <w:rFonts w:ascii="Times New Roman" w:hAnsi="Times New Roman" w:cs="Times New Roman"/>
        </w:rPr>
        <w:t xml:space="preserve"> valori</w:t>
      </w:r>
      <w:r w:rsidR="000E1B48" w:rsidRPr="009D3659">
        <w:rPr>
          <w:rFonts w:ascii="Times New Roman" w:hAnsi="Times New Roman" w:cs="Times New Roman"/>
        </w:rPr>
        <w:t>s</w:t>
      </w:r>
      <w:r w:rsidR="00D04E8E" w:rsidRPr="009D3659">
        <w:rPr>
          <w:rFonts w:ascii="Times New Roman" w:hAnsi="Times New Roman" w:cs="Times New Roman"/>
        </w:rPr>
        <w:t xml:space="preserve">ation of </w:t>
      </w:r>
      <w:r w:rsidR="00D8749F" w:rsidRPr="009D3659">
        <w:rPr>
          <w:rFonts w:ascii="Times New Roman" w:hAnsi="Times New Roman" w:cs="Times New Roman"/>
        </w:rPr>
        <w:t>certain forms of legal practice,</w:t>
      </w:r>
      <w:r w:rsidR="00D04E8E" w:rsidRPr="009D3659">
        <w:rPr>
          <w:rFonts w:ascii="Times New Roman" w:hAnsi="Times New Roman" w:cs="Times New Roman"/>
        </w:rPr>
        <w:t xml:space="preserve"> teaching o</w:t>
      </w:r>
      <w:r w:rsidR="00D8749F" w:rsidRPr="009D3659">
        <w:rPr>
          <w:rFonts w:ascii="Times New Roman" w:hAnsi="Times New Roman" w:cs="Times New Roman"/>
        </w:rPr>
        <w:t>f doctrine rather than practice,</w:t>
      </w:r>
      <w:r w:rsidR="00D04E8E" w:rsidRPr="009D3659">
        <w:rPr>
          <w:rFonts w:ascii="Times New Roman" w:hAnsi="Times New Roman" w:cs="Times New Roman"/>
        </w:rPr>
        <w:t xml:space="preserve"> relation</w:t>
      </w:r>
      <w:r w:rsidR="00D8749F" w:rsidRPr="009D3659">
        <w:rPr>
          <w:rFonts w:ascii="Times New Roman" w:hAnsi="Times New Roman" w:cs="Times New Roman"/>
        </w:rPr>
        <w:t>ship models offered by teachers,</w:t>
      </w:r>
      <w:r w:rsidR="00D04E8E" w:rsidRPr="009D3659">
        <w:rPr>
          <w:rFonts w:ascii="Times New Roman" w:hAnsi="Times New Roman" w:cs="Times New Roman"/>
        </w:rPr>
        <w:t xml:space="preserve"> race, class and gender </w:t>
      </w:r>
      <w:r w:rsidR="00D8749F" w:rsidRPr="009D3659">
        <w:rPr>
          <w:rFonts w:ascii="Times New Roman" w:hAnsi="Times New Roman" w:cs="Times New Roman"/>
        </w:rPr>
        <w:t>norms,</w:t>
      </w:r>
      <w:r w:rsidR="00D04E8E" w:rsidRPr="009D3659">
        <w:rPr>
          <w:rFonts w:ascii="Times New Roman" w:hAnsi="Times New Roman" w:cs="Times New Roman"/>
        </w:rPr>
        <w:t xml:space="preserve"> and ritualistic behaviours that</w:t>
      </w:r>
      <w:r w:rsidR="000E1B48" w:rsidRPr="009D3659">
        <w:rPr>
          <w:rFonts w:ascii="Times New Roman" w:hAnsi="Times New Roman" w:cs="Times New Roman"/>
        </w:rPr>
        <w:t xml:space="preserve"> rely on “masking”</w:t>
      </w:r>
      <w:r w:rsidR="00D04E8E" w:rsidRPr="009D3659">
        <w:rPr>
          <w:rFonts w:ascii="Times New Roman" w:hAnsi="Times New Roman" w:cs="Times New Roman"/>
        </w:rPr>
        <w:t xml:space="preserve"> </w:t>
      </w:r>
      <w:r w:rsidR="00891DCB" w:rsidRPr="009D3659">
        <w:rPr>
          <w:rFonts w:ascii="Times New Roman" w:hAnsi="Times New Roman" w:cs="Times New Roman"/>
        </w:rPr>
        <w:t xml:space="preserve">social </w:t>
      </w:r>
      <w:r w:rsidR="00D04E8E" w:rsidRPr="009D3659">
        <w:rPr>
          <w:rFonts w:ascii="Times New Roman" w:hAnsi="Times New Roman" w:cs="Times New Roman"/>
        </w:rPr>
        <w:t>hierarchies</w:t>
      </w:r>
      <w:r w:rsidR="00E855BF" w:rsidRPr="009D3659">
        <w:rPr>
          <w:rFonts w:ascii="Times New Roman" w:hAnsi="Times New Roman" w:cs="Times New Roman"/>
        </w:rPr>
        <w:t>.</w:t>
      </w:r>
      <w:r w:rsidR="00D855AD">
        <w:rPr>
          <w:rStyle w:val="FootnoteReference"/>
          <w:rFonts w:ascii="Times New Roman" w:hAnsi="Times New Roman" w:cs="Times New Roman"/>
        </w:rPr>
        <w:footnoteReference w:id="36"/>
      </w:r>
      <w:r w:rsidR="00E855BF" w:rsidRPr="009D3659">
        <w:rPr>
          <w:rFonts w:ascii="Times New Roman" w:hAnsi="Times New Roman" w:cs="Times New Roman"/>
        </w:rPr>
        <w:t xml:space="preserve"> </w:t>
      </w:r>
      <w:r w:rsidR="00090272" w:rsidRPr="009D3659">
        <w:rPr>
          <w:rFonts w:ascii="Times New Roman" w:hAnsi="Times New Roman" w:cs="Times New Roman"/>
        </w:rPr>
        <w:t>For Kennedy, legal classrooms must endeavour to address questions of justice by engaging with, and critiquing, law as it operates on a</w:t>
      </w:r>
      <w:r w:rsidR="00891DCB" w:rsidRPr="009D3659">
        <w:rPr>
          <w:rFonts w:ascii="Times New Roman" w:hAnsi="Times New Roman" w:cs="Times New Roman"/>
        </w:rPr>
        <w:t>n existing</w:t>
      </w:r>
      <w:r w:rsidR="00090272" w:rsidRPr="009D3659">
        <w:rPr>
          <w:rFonts w:ascii="Times New Roman" w:hAnsi="Times New Roman" w:cs="Times New Roman"/>
        </w:rPr>
        <w:t xml:space="preserve"> social terrain</w:t>
      </w:r>
      <w:r w:rsidR="00891DCB" w:rsidRPr="009D3659">
        <w:rPr>
          <w:rFonts w:ascii="Times New Roman" w:hAnsi="Times New Roman" w:cs="Times New Roman"/>
        </w:rPr>
        <w:t xml:space="preserve"> – rather than as an abstract set of rules or norms that are applied to hypothetical problems</w:t>
      </w:r>
      <w:r w:rsidR="00090272" w:rsidRPr="009D3659">
        <w:rPr>
          <w:rFonts w:ascii="Times New Roman" w:hAnsi="Times New Roman" w:cs="Times New Roman"/>
        </w:rPr>
        <w:t xml:space="preserve">. </w:t>
      </w:r>
      <w:r w:rsidR="00EA186F" w:rsidRPr="009D3659">
        <w:rPr>
          <w:rFonts w:ascii="Times New Roman" w:hAnsi="Times New Roman" w:cs="Times New Roman"/>
        </w:rPr>
        <w:t>As Patricia Williams writes, addressing inequalities or injustices requires us to think about that which is “underseen” in law</w:t>
      </w:r>
      <w:r w:rsidR="00D8749F" w:rsidRPr="009D3659">
        <w:rPr>
          <w:rFonts w:ascii="Times New Roman" w:hAnsi="Times New Roman" w:cs="Times New Roman"/>
        </w:rPr>
        <w:t xml:space="preserve"> and legal classrooms</w:t>
      </w:r>
      <w:r w:rsidR="00E52E40" w:rsidRPr="009D3659">
        <w:rPr>
          <w:rFonts w:ascii="Times New Roman" w:hAnsi="Times New Roman" w:cs="Times New Roman"/>
        </w:rPr>
        <w:t>, which typically relates to the emotions and identities of those who are socially marginalised.</w:t>
      </w:r>
      <w:r w:rsidR="00D855AD">
        <w:rPr>
          <w:rStyle w:val="FootnoteReference"/>
          <w:rFonts w:ascii="Times New Roman" w:hAnsi="Times New Roman" w:cs="Times New Roman"/>
        </w:rPr>
        <w:footnoteReference w:id="37"/>
      </w:r>
      <w:r w:rsidR="00E52E40" w:rsidRPr="009D3659">
        <w:rPr>
          <w:rFonts w:ascii="Times New Roman" w:hAnsi="Times New Roman" w:cs="Times New Roman"/>
        </w:rPr>
        <w:t xml:space="preserve"> </w:t>
      </w:r>
    </w:p>
    <w:p w14:paraId="53D12EA0" w14:textId="7D7E3609" w:rsidR="00A27CFB" w:rsidRPr="009D3659" w:rsidRDefault="00891DCB" w:rsidP="00891DCB">
      <w:pPr>
        <w:spacing w:line="360" w:lineRule="auto"/>
        <w:ind w:firstLine="720"/>
        <w:jc w:val="both"/>
        <w:rPr>
          <w:rFonts w:ascii="Times New Roman" w:hAnsi="Times New Roman" w:cs="Times New Roman"/>
        </w:rPr>
      </w:pPr>
      <w:r w:rsidRPr="009D3659">
        <w:rPr>
          <w:rFonts w:ascii="Times New Roman" w:hAnsi="Times New Roman" w:cs="Times New Roman"/>
        </w:rPr>
        <w:t>Critical legal studies make</w:t>
      </w:r>
      <w:r w:rsidR="00E52E40" w:rsidRPr="009D3659">
        <w:rPr>
          <w:rFonts w:ascii="Times New Roman" w:hAnsi="Times New Roman" w:cs="Times New Roman"/>
        </w:rPr>
        <w:t xml:space="preserve"> apparent the pedagogic</w:t>
      </w:r>
      <w:r w:rsidR="00611755" w:rsidRPr="009D3659">
        <w:rPr>
          <w:rFonts w:ascii="Times New Roman" w:hAnsi="Times New Roman" w:cs="Times New Roman"/>
        </w:rPr>
        <w:t>al</w:t>
      </w:r>
      <w:r w:rsidR="00E52E40" w:rsidRPr="009D3659">
        <w:rPr>
          <w:rFonts w:ascii="Times New Roman" w:hAnsi="Times New Roman" w:cs="Times New Roman"/>
        </w:rPr>
        <w:t xml:space="preserve"> value of teaching law in a social</w:t>
      </w:r>
      <w:r w:rsidR="00B04B76">
        <w:rPr>
          <w:rFonts w:ascii="Times New Roman" w:hAnsi="Times New Roman" w:cs="Times New Roman"/>
        </w:rPr>
        <w:t xml:space="preserve"> context. And, while not always explicitly foregrounding emotion in their work, critical legal studies highlight how </w:t>
      </w:r>
      <w:r w:rsidRPr="009D3659">
        <w:rPr>
          <w:rFonts w:ascii="Times New Roman" w:hAnsi="Times New Roman" w:cs="Times New Roman"/>
        </w:rPr>
        <w:t xml:space="preserve">emotion </w:t>
      </w:r>
      <w:r w:rsidR="00B04B76">
        <w:rPr>
          <w:rFonts w:ascii="Times New Roman" w:hAnsi="Times New Roman" w:cs="Times New Roman"/>
        </w:rPr>
        <w:t>can be used as both a</w:t>
      </w:r>
      <w:r w:rsidRPr="009D3659">
        <w:rPr>
          <w:rFonts w:ascii="Times New Roman" w:hAnsi="Times New Roman" w:cs="Times New Roman"/>
        </w:rPr>
        <w:t xml:space="preserve"> pedagogic</w:t>
      </w:r>
      <w:r w:rsidR="00611755" w:rsidRPr="009D3659">
        <w:rPr>
          <w:rFonts w:ascii="Times New Roman" w:hAnsi="Times New Roman" w:cs="Times New Roman"/>
        </w:rPr>
        <w:t>al</w:t>
      </w:r>
      <w:r w:rsidRPr="009D3659">
        <w:rPr>
          <w:rFonts w:ascii="Times New Roman" w:hAnsi="Times New Roman" w:cs="Times New Roman"/>
        </w:rPr>
        <w:t xml:space="preserve"> </w:t>
      </w:r>
      <w:r w:rsidR="00B04B76">
        <w:rPr>
          <w:rFonts w:ascii="Times New Roman" w:hAnsi="Times New Roman" w:cs="Times New Roman"/>
        </w:rPr>
        <w:t xml:space="preserve">strategy to </w:t>
      </w:r>
      <w:r w:rsidRPr="009D3659">
        <w:rPr>
          <w:rFonts w:ascii="Times New Roman" w:hAnsi="Times New Roman" w:cs="Times New Roman"/>
        </w:rPr>
        <w:t xml:space="preserve">think about </w:t>
      </w:r>
      <w:r w:rsidR="00B04B76">
        <w:rPr>
          <w:rFonts w:ascii="Times New Roman" w:hAnsi="Times New Roman" w:cs="Times New Roman"/>
        </w:rPr>
        <w:t>(in)</w:t>
      </w:r>
      <w:r w:rsidRPr="009D3659">
        <w:rPr>
          <w:rFonts w:ascii="Times New Roman" w:hAnsi="Times New Roman" w:cs="Times New Roman"/>
        </w:rPr>
        <w:t>justice</w:t>
      </w:r>
      <w:r w:rsidR="00B04B76">
        <w:rPr>
          <w:rFonts w:ascii="Times New Roman" w:hAnsi="Times New Roman" w:cs="Times New Roman"/>
        </w:rPr>
        <w:t xml:space="preserve"> and as an analytic framework to understand how particular justice claims are pursued and crystallised in law</w:t>
      </w:r>
      <w:r w:rsidRPr="009D3659">
        <w:rPr>
          <w:rFonts w:ascii="Times New Roman" w:hAnsi="Times New Roman" w:cs="Times New Roman"/>
        </w:rPr>
        <w:t>.</w:t>
      </w:r>
      <w:r w:rsidR="00B04B76">
        <w:rPr>
          <w:rStyle w:val="FootnoteReference"/>
          <w:rFonts w:ascii="Times New Roman" w:hAnsi="Times New Roman" w:cs="Times New Roman"/>
        </w:rPr>
        <w:footnoteReference w:id="38"/>
      </w:r>
      <w:r w:rsidRPr="009D3659">
        <w:rPr>
          <w:rFonts w:ascii="Times New Roman" w:hAnsi="Times New Roman" w:cs="Times New Roman"/>
        </w:rPr>
        <w:t xml:space="preserve"> </w:t>
      </w:r>
      <w:r w:rsidR="00B04B76">
        <w:rPr>
          <w:rFonts w:ascii="Times New Roman" w:hAnsi="Times New Roman" w:cs="Times New Roman"/>
        </w:rPr>
        <w:t>In other words, pursuing</w:t>
      </w:r>
      <w:r w:rsidR="00B04B76" w:rsidRPr="009D3659">
        <w:rPr>
          <w:rFonts w:ascii="Times New Roman" w:hAnsi="Times New Roman" w:cs="Times New Roman"/>
        </w:rPr>
        <w:t xml:space="preserve"> </w:t>
      </w:r>
      <w:r w:rsidR="00A27CFB" w:rsidRPr="009D3659">
        <w:rPr>
          <w:rFonts w:ascii="Times New Roman" w:hAnsi="Times New Roman" w:cs="Times New Roman"/>
        </w:rPr>
        <w:t xml:space="preserve">social justice </w:t>
      </w:r>
      <w:r w:rsidR="003C2A4D" w:rsidRPr="009D3659">
        <w:rPr>
          <w:rFonts w:ascii="Times New Roman" w:hAnsi="Times New Roman" w:cs="Times New Roman"/>
        </w:rPr>
        <w:t>through</w:t>
      </w:r>
      <w:r w:rsidR="00A27CFB" w:rsidRPr="009D3659">
        <w:rPr>
          <w:rFonts w:ascii="Times New Roman" w:hAnsi="Times New Roman" w:cs="Times New Roman"/>
        </w:rPr>
        <w:t xml:space="preserve"> legal education requires a focus on giving students experiential learning </w:t>
      </w:r>
      <w:r w:rsidR="00A27CFB" w:rsidRPr="009D3659">
        <w:rPr>
          <w:rFonts w:ascii="Times New Roman" w:hAnsi="Times New Roman" w:cs="Times New Roman"/>
        </w:rPr>
        <w:lastRenderedPageBreak/>
        <w:t xml:space="preserve">by </w:t>
      </w:r>
      <w:r w:rsidR="00E52E40" w:rsidRPr="009D3659">
        <w:rPr>
          <w:rFonts w:ascii="Times New Roman" w:hAnsi="Times New Roman" w:cs="Times New Roman"/>
        </w:rPr>
        <w:t>taking</w:t>
      </w:r>
      <w:r w:rsidR="00A27CFB" w:rsidRPr="009D3659">
        <w:rPr>
          <w:rFonts w:ascii="Times New Roman" w:hAnsi="Times New Roman" w:cs="Times New Roman"/>
        </w:rPr>
        <w:t xml:space="preserve"> responsibility for learning and applying theory to practice, developing a</w:t>
      </w:r>
      <w:r w:rsidR="00B04B76">
        <w:rPr>
          <w:rFonts w:ascii="Times New Roman" w:hAnsi="Times New Roman" w:cs="Times New Roman"/>
        </w:rPr>
        <w:t>n affective</w:t>
      </w:r>
      <w:r w:rsidR="00A27CFB" w:rsidRPr="009D3659">
        <w:rPr>
          <w:rFonts w:ascii="Times New Roman" w:hAnsi="Times New Roman" w:cs="Times New Roman"/>
        </w:rPr>
        <w:t xml:space="preserve"> social-legal consciousness that enables students to see the impact of law on society, and addressing community needs through the development of technic</w:t>
      </w:r>
      <w:r w:rsidR="00D8749F" w:rsidRPr="009D3659">
        <w:rPr>
          <w:rFonts w:ascii="Times New Roman" w:hAnsi="Times New Roman" w:cs="Times New Roman"/>
        </w:rPr>
        <w:t>ally proficient lawyers with ethical sensibilities</w:t>
      </w:r>
      <w:r w:rsidR="00A27CFB" w:rsidRPr="009D3659">
        <w:rPr>
          <w:rFonts w:ascii="Times New Roman" w:hAnsi="Times New Roman" w:cs="Times New Roman"/>
        </w:rPr>
        <w:t>.</w:t>
      </w:r>
      <w:r w:rsidR="00D855AD">
        <w:rPr>
          <w:rStyle w:val="FootnoteReference"/>
          <w:rFonts w:ascii="Times New Roman" w:hAnsi="Times New Roman" w:cs="Times New Roman"/>
        </w:rPr>
        <w:footnoteReference w:id="39"/>
      </w:r>
      <w:r w:rsidR="00A27CFB" w:rsidRPr="009D3659">
        <w:rPr>
          <w:rFonts w:ascii="Times New Roman" w:hAnsi="Times New Roman" w:cs="Times New Roman"/>
        </w:rPr>
        <w:t xml:space="preserve"> </w:t>
      </w:r>
      <w:r w:rsidRPr="009D3659">
        <w:rPr>
          <w:rFonts w:ascii="Times New Roman" w:hAnsi="Times New Roman" w:cs="Times New Roman"/>
        </w:rPr>
        <w:t>As Alan Lerner argues:</w:t>
      </w:r>
    </w:p>
    <w:p w14:paraId="638B5B84" w14:textId="10DDC17F" w:rsidR="00CF3169" w:rsidRPr="009D3659" w:rsidRDefault="00CF3169" w:rsidP="00EA186F">
      <w:pPr>
        <w:ind w:left="709"/>
        <w:jc w:val="both"/>
        <w:rPr>
          <w:rFonts w:ascii="Times New Roman" w:hAnsi="Times New Roman" w:cs="Times New Roman"/>
        </w:rPr>
      </w:pPr>
      <w:r w:rsidRPr="009D3659">
        <w:rPr>
          <w:rFonts w:ascii="Times New Roman" w:hAnsi="Times New Roman" w:cs="Times New Roman"/>
        </w:rPr>
        <w:t>If we want our law students to make the most of their cognitive powers, we need to help them understand the power of their emotional minds. We need to re-examine what it means to teach them to “think like [the] lawyers [we would like them to become]” and integrate awareness of the role of their, and everyone else’s, emotions in making the right decisions.</w:t>
      </w:r>
      <w:r w:rsidR="00D855AD">
        <w:rPr>
          <w:rStyle w:val="FootnoteReference"/>
          <w:rFonts w:ascii="Times New Roman" w:hAnsi="Times New Roman" w:cs="Times New Roman"/>
        </w:rPr>
        <w:footnoteReference w:id="40"/>
      </w:r>
      <w:r w:rsidRPr="009D3659">
        <w:rPr>
          <w:rFonts w:ascii="Times New Roman" w:hAnsi="Times New Roman" w:cs="Times New Roman"/>
        </w:rPr>
        <w:t xml:space="preserve"> </w:t>
      </w:r>
    </w:p>
    <w:p w14:paraId="68F6EA67" w14:textId="77777777" w:rsidR="00CF3169" w:rsidRPr="009D3659" w:rsidRDefault="00CF3169" w:rsidP="00DD0C19">
      <w:pPr>
        <w:spacing w:line="360" w:lineRule="auto"/>
        <w:jc w:val="both"/>
        <w:rPr>
          <w:rFonts w:ascii="Times New Roman" w:hAnsi="Times New Roman" w:cs="Times New Roman"/>
          <w:b/>
        </w:rPr>
      </w:pPr>
    </w:p>
    <w:p w14:paraId="16317053" w14:textId="5AC1DF83" w:rsidR="00B04B76" w:rsidRDefault="00D8749F" w:rsidP="000D0622">
      <w:pPr>
        <w:spacing w:line="360" w:lineRule="auto"/>
        <w:jc w:val="both"/>
        <w:rPr>
          <w:rFonts w:ascii="Times New Roman" w:hAnsi="Times New Roman" w:cs="Times New Roman"/>
        </w:rPr>
      </w:pPr>
      <w:r w:rsidRPr="009D3659">
        <w:rPr>
          <w:rFonts w:ascii="Times New Roman" w:hAnsi="Times New Roman" w:cs="Times New Roman"/>
        </w:rPr>
        <w:t>Cognitive dimensions of individual</w:t>
      </w:r>
      <w:r w:rsidR="00D979C9" w:rsidRPr="009D3659">
        <w:rPr>
          <w:rFonts w:ascii="Times New Roman" w:hAnsi="Times New Roman" w:cs="Times New Roman"/>
        </w:rPr>
        <w:t xml:space="preserve"> student learning focus on how individuals process and deal with new information. </w:t>
      </w:r>
      <w:r w:rsidR="00471354" w:rsidRPr="009D3659">
        <w:rPr>
          <w:rFonts w:ascii="Times New Roman" w:hAnsi="Times New Roman" w:cs="Times New Roman"/>
        </w:rPr>
        <w:t xml:space="preserve">Barbel Inhelder and </w:t>
      </w:r>
      <w:r w:rsidR="00D979C9" w:rsidRPr="009D3659">
        <w:rPr>
          <w:rFonts w:ascii="Times New Roman" w:hAnsi="Times New Roman" w:cs="Times New Roman"/>
        </w:rPr>
        <w:t xml:space="preserve">Jean Piaget explored the socialised context of how we process new information and developed </w:t>
      </w:r>
      <w:r w:rsidR="00471354" w:rsidRPr="009D3659">
        <w:rPr>
          <w:rFonts w:ascii="Times New Roman" w:hAnsi="Times New Roman" w:cs="Times New Roman"/>
        </w:rPr>
        <w:t>two key concepts to understand childhood</w:t>
      </w:r>
      <w:r w:rsidR="00D979C9" w:rsidRPr="009D3659">
        <w:rPr>
          <w:rFonts w:ascii="Times New Roman" w:hAnsi="Times New Roman" w:cs="Times New Roman"/>
        </w:rPr>
        <w:t xml:space="preserve"> learning: (1) stages of cognitive development </w:t>
      </w:r>
      <w:r w:rsidR="00471354" w:rsidRPr="009D3659">
        <w:rPr>
          <w:rFonts w:ascii="Times New Roman" w:hAnsi="Times New Roman" w:cs="Times New Roman"/>
        </w:rPr>
        <w:t xml:space="preserve">impact on how we learn </w:t>
      </w:r>
      <w:r w:rsidR="00303ECB" w:rsidRPr="009D3659">
        <w:rPr>
          <w:rFonts w:ascii="Times New Roman" w:hAnsi="Times New Roman" w:cs="Times New Roman"/>
        </w:rPr>
        <w:t xml:space="preserve">(such as </w:t>
      </w:r>
      <w:r w:rsidR="00D979C9" w:rsidRPr="009D3659">
        <w:rPr>
          <w:rFonts w:ascii="Times New Roman" w:hAnsi="Times New Roman" w:cs="Times New Roman"/>
        </w:rPr>
        <w:t>different forms of learning at different times i</w:t>
      </w:r>
      <w:r w:rsidR="00303ECB" w:rsidRPr="009D3659">
        <w:rPr>
          <w:rFonts w:ascii="Times New Roman" w:hAnsi="Times New Roman" w:cs="Times New Roman"/>
        </w:rPr>
        <w:t>n life) and (2) assimilation (such as</w:t>
      </w:r>
      <w:r w:rsidR="00D979C9" w:rsidRPr="009D3659">
        <w:rPr>
          <w:rFonts w:ascii="Times New Roman" w:hAnsi="Times New Roman" w:cs="Times New Roman"/>
        </w:rPr>
        <w:t xml:space="preserve"> familiar experiences are incorporated easily into an existing cognitive structure) and accommodation</w:t>
      </w:r>
      <w:r w:rsidR="00471354" w:rsidRPr="009D3659">
        <w:rPr>
          <w:rFonts w:ascii="Times New Roman" w:hAnsi="Times New Roman" w:cs="Times New Roman"/>
        </w:rPr>
        <w:t xml:space="preserve"> are key to processing of information</w:t>
      </w:r>
      <w:r w:rsidR="00D979C9" w:rsidRPr="009D3659">
        <w:rPr>
          <w:rFonts w:ascii="Times New Roman" w:hAnsi="Times New Roman" w:cs="Times New Roman"/>
        </w:rPr>
        <w:t xml:space="preserve"> (</w:t>
      </w:r>
      <w:r w:rsidR="00D77787">
        <w:rPr>
          <w:rFonts w:ascii="Times New Roman" w:hAnsi="Times New Roman" w:cs="Times New Roman"/>
        </w:rPr>
        <w:t>such as</w:t>
      </w:r>
      <w:r w:rsidR="00D979C9" w:rsidRPr="009D3659">
        <w:rPr>
          <w:rFonts w:ascii="Times New Roman" w:hAnsi="Times New Roman" w:cs="Times New Roman"/>
        </w:rPr>
        <w:t xml:space="preserve"> the way individuals adapt to new knowledge that challenge their preexisting cognitive structure).</w:t>
      </w:r>
      <w:r w:rsidR="00DF3687">
        <w:rPr>
          <w:rStyle w:val="FootnoteReference"/>
          <w:rFonts w:ascii="Times New Roman" w:hAnsi="Times New Roman" w:cs="Times New Roman"/>
        </w:rPr>
        <w:footnoteReference w:id="41"/>
      </w:r>
      <w:r w:rsidR="003C2A4D" w:rsidRPr="009D3659">
        <w:rPr>
          <w:rFonts w:ascii="Times New Roman" w:hAnsi="Times New Roman" w:cs="Times New Roman"/>
        </w:rPr>
        <w:t xml:space="preserve"> </w:t>
      </w:r>
      <w:r w:rsidR="00D979C9" w:rsidRPr="009D3659">
        <w:rPr>
          <w:rFonts w:ascii="Times New Roman" w:hAnsi="Times New Roman" w:cs="Times New Roman"/>
        </w:rPr>
        <w:t>Neuroscience provides an important explanatory</w:t>
      </w:r>
      <w:r w:rsidR="00471354" w:rsidRPr="009D3659">
        <w:rPr>
          <w:rFonts w:ascii="Times New Roman" w:hAnsi="Times New Roman" w:cs="Times New Roman"/>
        </w:rPr>
        <w:t xml:space="preserve"> framework for understanding this socialised</w:t>
      </w:r>
      <w:r w:rsidR="00D979C9" w:rsidRPr="009D3659">
        <w:rPr>
          <w:rFonts w:ascii="Times New Roman" w:hAnsi="Times New Roman" w:cs="Times New Roman"/>
        </w:rPr>
        <w:t xml:space="preserve"> processing and retention of information. Richard Roche notes that rich and evocative examples, for instance, promote improved retention of facts by locating the meaning of material in personal and social contexts.</w:t>
      </w:r>
      <w:r w:rsidR="00D855AD">
        <w:rPr>
          <w:rStyle w:val="FootnoteReference"/>
          <w:rFonts w:ascii="Times New Roman" w:hAnsi="Times New Roman" w:cs="Times New Roman"/>
        </w:rPr>
        <w:footnoteReference w:id="42"/>
      </w:r>
    </w:p>
    <w:p w14:paraId="7E88FCC9" w14:textId="62CE5899" w:rsidR="00891DCB" w:rsidRPr="009D3659" w:rsidRDefault="00D979C9" w:rsidP="000D0622">
      <w:pPr>
        <w:spacing w:line="360" w:lineRule="auto"/>
        <w:jc w:val="both"/>
        <w:rPr>
          <w:rFonts w:ascii="Times New Roman" w:hAnsi="Times New Roman" w:cs="Times New Roman"/>
        </w:rPr>
      </w:pPr>
      <w:r w:rsidRPr="009D3659">
        <w:rPr>
          <w:rFonts w:ascii="Times New Roman" w:hAnsi="Times New Roman" w:cs="Times New Roman"/>
        </w:rPr>
        <w:t xml:space="preserve"> </w:t>
      </w:r>
      <w:r w:rsidR="00B04B76">
        <w:rPr>
          <w:rFonts w:ascii="Times New Roman" w:hAnsi="Times New Roman" w:cs="Times New Roman"/>
        </w:rPr>
        <w:tab/>
      </w:r>
      <w:r w:rsidR="00FE6BAA" w:rsidRPr="009D3659">
        <w:rPr>
          <w:rFonts w:ascii="Times New Roman" w:hAnsi="Times New Roman" w:cs="Times New Roman"/>
        </w:rPr>
        <w:t>By bringing together</w:t>
      </w:r>
      <w:r w:rsidR="00471354" w:rsidRPr="009D3659">
        <w:rPr>
          <w:rFonts w:ascii="Times New Roman" w:hAnsi="Times New Roman" w:cs="Times New Roman"/>
        </w:rPr>
        <w:t xml:space="preserve"> </w:t>
      </w:r>
      <w:r w:rsidR="00D61F5F" w:rsidRPr="009D3659">
        <w:rPr>
          <w:rFonts w:ascii="Times New Roman" w:hAnsi="Times New Roman" w:cs="Times New Roman"/>
        </w:rPr>
        <w:t xml:space="preserve">Inhelder, </w:t>
      </w:r>
      <w:r w:rsidR="00471354" w:rsidRPr="009D3659">
        <w:rPr>
          <w:rFonts w:ascii="Times New Roman" w:hAnsi="Times New Roman" w:cs="Times New Roman"/>
        </w:rPr>
        <w:t>Piaget</w:t>
      </w:r>
      <w:r w:rsidR="00D61F5F" w:rsidRPr="009D3659">
        <w:rPr>
          <w:rFonts w:ascii="Times New Roman" w:hAnsi="Times New Roman" w:cs="Times New Roman"/>
        </w:rPr>
        <w:t>,</w:t>
      </w:r>
      <w:r w:rsidR="00471354" w:rsidRPr="009D3659">
        <w:rPr>
          <w:rFonts w:ascii="Times New Roman" w:hAnsi="Times New Roman" w:cs="Times New Roman"/>
        </w:rPr>
        <w:t xml:space="preserve"> and Roche’s ideas </w:t>
      </w:r>
      <w:r w:rsidR="00FE6BAA" w:rsidRPr="009D3659">
        <w:rPr>
          <w:rFonts w:ascii="Times New Roman" w:hAnsi="Times New Roman" w:cs="Times New Roman"/>
        </w:rPr>
        <w:t>of social learning</w:t>
      </w:r>
      <w:r w:rsidR="00D8749F" w:rsidRPr="009D3659">
        <w:rPr>
          <w:rFonts w:ascii="Times New Roman" w:hAnsi="Times New Roman" w:cs="Times New Roman"/>
        </w:rPr>
        <w:t xml:space="preserve"> with Kennedy and Williams’ </w:t>
      </w:r>
      <w:r w:rsidR="00D61F5F" w:rsidRPr="009D3659">
        <w:rPr>
          <w:rFonts w:ascii="Times New Roman" w:hAnsi="Times New Roman" w:cs="Times New Roman"/>
        </w:rPr>
        <w:t>insistence on social justice-informed legal study</w:t>
      </w:r>
      <w:r w:rsidR="00471354" w:rsidRPr="009D3659">
        <w:rPr>
          <w:rFonts w:ascii="Times New Roman" w:hAnsi="Times New Roman" w:cs="Times New Roman"/>
        </w:rPr>
        <w:t xml:space="preserve">, </w:t>
      </w:r>
      <w:r w:rsidR="00891DCB" w:rsidRPr="009D3659">
        <w:rPr>
          <w:rFonts w:ascii="Times New Roman" w:hAnsi="Times New Roman" w:cs="Times New Roman"/>
        </w:rPr>
        <w:t>I designed Law and Emotion</w:t>
      </w:r>
      <w:r w:rsidR="00471354" w:rsidRPr="009D3659">
        <w:rPr>
          <w:rFonts w:ascii="Times New Roman" w:hAnsi="Times New Roman" w:cs="Times New Roman"/>
        </w:rPr>
        <w:t xml:space="preserve"> </w:t>
      </w:r>
      <w:r w:rsidR="00891DCB" w:rsidRPr="009D3659">
        <w:rPr>
          <w:rFonts w:ascii="Times New Roman" w:hAnsi="Times New Roman" w:cs="Times New Roman"/>
        </w:rPr>
        <w:t>to scaffold</w:t>
      </w:r>
      <w:r w:rsidR="00471354" w:rsidRPr="009D3659">
        <w:rPr>
          <w:rFonts w:ascii="Times New Roman" w:hAnsi="Times New Roman" w:cs="Times New Roman"/>
        </w:rPr>
        <w:t xml:space="preserve"> </w:t>
      </w:r>
      <w:r w:rsidR="00891DCB" w:rsidRPr="009D3659">
        <w:rPr>
          <w:rFonts w:ascii="Times New Roman" w:hAnsi="Times New Roman" w:cs="Times New Roman"/>
        </w:rPr>
        <w:t>students’ own (emotional) experiences in relation</w:t>
      </w:r>
      <w:r w:rsidR="00471354" w:rsidRPr="009D3659">
        <w:rPr>
          <w:rFonts w:ascii="Times New Roman" w:hAnsi="Times New Roman" w:cs="Times New Roman"/>
        </w:rPr>
        <w:t xml:space="preserve"> to </w:t>
      </w:r>
      <w:r w:rsidR="00891DCB" w:rsidRPr="009D3659">
        <w:rPr>
          <w:rFonts w:ascii="Times New Roman" w:hAnsi="Times New Roman" w:cs="Times New Roman"/>
        </w:rPr>
        <w:t xml:space="preserve">a range of current (emotional) legal </w:t>
      </w:r>
      <w:r w:rsidR="00FE6BAA" w:rsidRPr="009D3659">
        <w:rPr>
          <w:rFonts w:ascii="Times New Roman" w:hAnsi="Times New Roman" w:cs="Times New Roman"/>
        </w:rPr>
        <w:t xml:space="preserve">case </w:t>
      </w:r>
      <w:r w:rsidR="00891DCB" w:rsidRPr="009D3659">
        <w:rPr>
          <w:rFonts w:ascii="Times New Roman" w:hAnsi="Times New Roman" w:cs="Times New Roman"/>
        </w:rPr>
        <w:t xml:space="preserve">examples or debates about social justice. </w:t>
      </w:r>
      <w:r w:rsidR="00B04B76">
        <w:rPr>
          <w:rFonts w:ascii="Times New Roman" w:hAnsi="Times New Roman" w:cs="Times New Roman"/>
        </w:rPr>
        <w:t xml:space="preserve">To that end, </w:t>
      </w:r>
      <w:r w:rsidR="00E47007" w:rsidRPr="009D3659">
        <w:rPr>
          <w:rFonts w:ascii="Times New Roman" w:hAnsi="Times New Roman" w:cs="Times New Roman"/>
        </w:rPr>
        <w:t>Law and Emotion had</w:t>
      </w:r>
      <w:r w:rsidR="00891DCB" w:rsidRPr="009D3659">
        <w:rPr>
          <w:rFonts w:ascii="Times New Roman" w:hAnsi="Times New Roman" w:cs="Times New Roman"/>
        </w:rPr>
        <w:t xml:space="preserve"> four key </w:t>
      </w:r>
      <w:r w:rsidR="00E47007" w:rsidRPr="009D3659">
        <w:rPr>
          <w:rFonts w:ascii="Times New Roman" w:hAnsi="Times New Roman" w:cs="Times New Roman"/>
        </w:rPr>
        <w:t>learning outcomes. I wanted students to</w:t>
      </w:r>
      <w:r w:rsidR="00891DCB" w:rsidRPr="009D3659">
        <w:rPr>
          <w:rFonts w:ascii="Times New Roman" w:hAnsi="Times New Roman" w:cs="Times New Roman"/>
        </w:rPr>
        <w:t>:</w:t>
      </w:r>
    </w:p>
    <w:p w14:paraId="01FB4FEB" w14:textId="15EA2F1C" w:rsidR="00E47007" w:rsidRPr="009D3659" w:rsidRDefault="00E47007" w:rsidP="00AF7C77">
      <w:pPr>
        <w:pStyle w:val="ListParagraph"/>
        <w:numPr>
          <w:ilvl w:val="0"/>
          <w:numId w:val="7"/>
        </w:numPr>
        <w:spacing w:line="360" w:lineRule="auto"/>
        <w:ind w:right="200"/>
        <w:jc w:val="both"/>
        <w:rPr>
          <w:rFonts w:ascii="Times New Roman" w:hAnsi="Times New Roman" w:cs="Times New Roman"/>
        </w:rPr>
      </w:pPr>
      <w:r w:rsidRPr="009D3659">
        <w:rPr>
          <w:rFonts w:ascii="Times New Roman" w:hAnsi="Times New Roman" w:cs="Times New Roman"/>
        </w:rPr>
        <w:t xml:space="preserve">Articulate current debates in the field of Law and Emotion. </w:t>
      </w:r>
    </w:p>
    <w:p w14:paraId="21359CF3" w14:textId="77777777" w:rsidR="00E47007" w:rsidRPr="009D3659" w:rsidRDefault="00E47007" w:rsidP="00E47007">
      <w:pPr>
        <w:pStyle w:val="ListParagraph"/>
        <w:numPr>
          <w:ilvl w:val="0"/>
          <w:numId w:val="7"/>
        </w:numPr>
        <w:spacing w:line="360" w:lineRule="auto"/>
        <w:ind w:right="200"/>
        <w:jc w:val="both"/>
        <w:rPr>
          <w:rFonts w:ascii="Times New Roman" w:hAnsi="Times New Roman" w:cs="Times New Roman"/>
        </w:rPr>
      </w:pPr>
      <w:r w:rsidRPr="009D3659">
        <w:rPr>
          <w:rFonts w:ascii="Times New Roman" w:hAnsi="Times New Roman" w:cs="Times New Roman"/>
        </w:rPr>
        <w:t>Differentiate between conceptual approaches when analysing the relationship between law and emotion.</w:t>
      </w:r>
    </w:p>
    <w:p w14:paraId="20D2E10F" w14:textId="77777777" w:rsidR="00E47007" w:rsidRPr="009D3659" w:rsidRDefault="00E47007" w:rsidP="00E47007">
      <w:pPr>
        <w:pStyle w:val="ListParagraph"/>
        <w:numPr>
          <w:ilvl w:val="0"/>
          <w:numId w:val="7"/>
        </w:numPr>
        <w:spacing w:line="360" w:lineRule="auto"/>
        <w:ind w:right="200"/>
        <w:jc w:val="both"/>
        <w:rPr>
          <w:rFonts w:ascii="Times New Roman" w:hAnsi="Times New Roman" w:cs="Times New Roman"/>
        </w:rPr>
      </w:pPr>
      <w:r w:rsidRPr="009D3659">
        <w:rPr>
          <w:rFonts w:ascii="Times New Roman" w:hAnsi="Times New Roman" w:cs="Times New Roman"/>
        </w:rPr>
        <w:lastRenderedPageBreak/>
        <w:t xml:space="preserve">Critically reflect on the role of emotion in various legal issues/problems (including by reflecting on core modules previously studied) and how to contextualise legal issues/problems by using emotion. </w:t>
      </w:r>
    </w:p>
    <w:p w14:paraId="5510D191" w14:textId="77777777" w:rsidR="00E47007" w:rsidRPr="009D3659" w:rsidRDefault="00E47007" w:rsidP="00E47007">
      <w:pPr>
        <w:pStyle w:val="ListParagraph"/>
        <w:numPr>
          <w:ilvl w:val="0"/>
          <w:numId w:val="7"/>
        </w:numPr>
        <w:spacing w:line="360" w:lineRule="auto"/>
        <w:ind w:right="200"/>
        <w:jc w:val="both"/>
        <w:rPr>
          <w:rFonts w:ascii="Times New Roman" w:hAnsi="Times New Roman" w:cs="Times New Roman"/>
        </w:rPr>
      </w:pPr>
      <w:r w:rsidRPr="009D3659">
        <w:rPr>
          <w:rFonts w:ascii="Times New Roman" w:hAnsi="Times New Roman" w:cs="Times New Roman"/>
        </w:rPr>
        <w:t xml:space="preserve">Evaluate the function and effect of emotions in addressing legal issues/problems. </w:t>
      </w:r>
    </w:p>
    <w:p w14:paraId="307A6CD8" w14:textId="77777777" w:rsidR="00891DCB" w:rsidRPr="009D3659" w:rsidRDefault="00891DCB" w:rsidP="000D0622">
      <w:pPr>
        <w:spacing w:line="360" w:lineRule="auto"/>
        <w:jc w:val="both"/>
        <w:rPr>
          <w:rFonts w:ascii="Times New Roman" w:hAnsi="Times New Roman" w:cs="Times New Roman"/>
        </w:rPr>
      </w:pPr>
    </w:p>
    <w:p w14:paraId="061DEA98" w14:textId="77777777" w:rsidR="003D0552" w:rsidRDefault="00B04B76" w:rsidP="00AD72D6">
      <w:pPr>
        <w:spacing w:line="360" w:lineRule="auto"/>
        <w:jc w:val="both"/>
        <w:rPr>
          <w:rFonts w:ascii="Times New Roman" w:hAnsi="Times New Roman" w:cs="Times New Roman"/>
        </w:rPr>
      </w:pPr>
      <w:r>
        <w:rPr>
          <w:rFonts w:ascii="Times New Roman" w:hAnsi="Times New Roman" w:cs="Times New Roman"/>
        </w:rPr>
        <w:t>To situate debates in Law and Emotion</w:t>
      </w:r>
      <w:r w:rsidR="00AF7C77" w:rsidRPr="009D3659">
        <w:rPr>
          <w:rFonts w:ascii="Times New Roman" w:hAnsi="Times New Roman" w:cs="Times New Roman"/>
        </w:rPr>
        <w:t xml:space="preserve">, I </w:t>
      </w:r>
      <w:r w:rsidR="00DF3687">
        <w:rPr>
          <w:rFonts w:ascii="Times New Roman" w:hAnsi="Times New Roman" w:cs="Times New Roman"/>
        </w:rPr>
        <w:t>crafted</w:t>
      </w:r>
      <w:r w:rsidR="00DF3687" w:rsidRPr="009D3659">
        <w:rPr>
          <w:rFonts w:ascii="Times New Roman" w:hAnsi="Times New Roman" w:cs="Times New Roman"/>
        </w:rPr>
        <w:t xml:space="preserve"> </w:t>
      </w:r>
      <w:r w:rsidR="00AF7C77" w:rsidRPr="009D3659">
        <w:rPr>
          <w:rFonts w:ascii="Times New Roman" w:hAnsi="Times New Roman" w:cs="Times New Roman"/>
        </w:rPr>
        <w:t xml:space="preserve">the theoretical foundations of the module </w:t>
      </w:r>
      <w:r w:rsidR="00DF3687">
        <w:rPr>
          <w:rFonts w:ascii="Times New Roman" w:hAnsi="Times New Roman" w:cs="Times New Roman"/>
        </w:rPr>
        <w:t>by drawing</w:t>
      </w:r>
      <w:r w:rsidR="00DF3687" w:rsidRPr="009D3659">
        <w:rPr>
          <w:rFonts w:ascii="Times New Roman" w:hAnsi="Times New Roman" w:cs="Times New Roman"/>
        </w:rPr>
        <w:t xml:space="preserve"> </w:t>
      </w:r>
      <w:r w:rsidR="00AF7C77" w:rsidRPr="009D3659">
        <w:rPr>
          <w:rFonts w:ascii="Times New Roman" w:hAnsi="Times New Roman" w:cs="Times New Roman"/>
        </w:rPr>
        <w:t xml:space="preserve">on </w:t>
      </w:r>
      <w:r w:rsidR="00DF3687">
        <w:rPr>
          <w:rFonts w:ascii="Times New Roman" w:hAnsi="Times New Roman" w:cs="Times New Roman"/>
        </w:rPr>
        <w:t>scholarship</w:t>
      </w:r>
      <w:r w:rsidR="00DF3687" w:rsidRPr="009D3659">
        <w:rPr>
          <w:rFonts w:ascii="Times New Roman" w:hAnsi="Times New Roman" w:cs="Times New Roman"/>
        </w:rPr>
        <w:t xml:space="preserve"> </w:t>
      </w:r>
      <w:r w:rsidR="00AF7C77" w:rsidRPr="009D3659">
        <w:rPr>
          <w:rFonts w:ascii="Times New Roman" w:hAnsi="Times New Roman" w:cs="Times New Roman"/>
        </w:rPr>
        <w:t>from neuroscience, psychology, behavioural economics, sociology, and cultural studies</w:t>
      </w:r>
      <w:r w:rsidR="00AD29AF" w:rsidRPr="009D3659">
        <w:rPr>
          <w:rFonts w:ascii="Times New Roman" w:hAnsi="Times New Roman" w:cs="Times New Roman"/>
        </w:rPr>
        <w:t xml:space="preserve"> to show how emotions come to matter in the law as sites of evaluation, thought, pedagogy, imagination, preference, and normativity</w:t>
      </w:r>
      <w:r w:rsidR="00AF7C77" w:rsidRPr="009D3659">
        <w:rPr>
          <w:rFonts w:ascii="Times New Roman" w:hAnsi="Times New Roman" w:cs="Times New Roman"/>
        </w:rPr>
        <w:t>.</w:t>
      </w:r>
      <w:r w:rsidR="00D855AD">
        <w:rPr>
          <w:rStyle w:val="FootnoteReference"/>
          <w:rFonts w:ascii="Times New Roman" w:hAnsi="Times New Roman" w:cs="Times New Roman"/>
        </w:rPr>
        <w:footnoteReference w:id="43"/>
      </w:r>
      <w:r w:rsidR="00AF7C77" w:rsidRPr="009D3659">
        <w:rPr>
          <w:rFonts w:ascii="Times New Roman" w:hAnsi="Times New Roman" w:cs="Times New Roman"/>
        </w:rPr>
        <w:t xml:space="preserve"> </w:t>
      </w:r>
      <w:r w:rsidR="008A406A" w:rsidRPr="009D3659">
        <w:rPr>
          <w:rFonts w:ascii="Times New Roman" w:hAnsi="Times New Roman" w:cs="Times New Roman"/>
        </w:rPr>
        <w:t xml:space="preserve">In sketching a taxonomy of emotion scholarship in law, </w:t>
      </w:r>
      <w:r w:rsidR="00D77787">
        <w:rPr>
          <w:rFonts w:ascii="Times New Roman" w:hAnsi="Times New Roman" w:cs="Times New Roman"/>
        </w:rPr>
        <w:t xml:space="preserve">Terry </w:t>
      </w:r>
      <w:r w:rsidR="008A406A" w:rsidRPr="009D3659">
        <w:rPr>
          <w:rFonts w:ascii="Times New Roman" w:hAnsi="Times New Roman" w:cs="Times New Roman"/>
        </w:rPr>
        <w:t>Maroney identifies what she sees as the six key approaches to study</w:t>
      </w:r>
      <w:r w:rsidR="00AD29AF" w:rsidRPr="009D3659">
        <w:rPr>
          <w:rFonts w:ascii="Times New Roman" w:hAnsi="Times New Roman" w:cs="Times New Roman"/>
        </w:rPr>
        <w:t>: (i) focus</w:t>
      </w:r>
      <w:r w:rsidR="008A406A" w:rsidRPr="009D3659">
        <w:rPr>
          <w:rFonts w:ascii="Times New Roman" w:hAnsi="Times New Roman" w:cs="Times New Roman"/>
        </w:rPr>
        <w:t xml:space="preserve"> on how an emotion can or should be reflected in law; (ii) identify the legal mechanisms that ex</w:t>
      </w:r>
      <w:r w:rsidR="00AD29AF" w:rsidRPr="009D3659">
        <w:rPr>
          <w:rFonts w:ascii="Times New Roman" w:hAnsi="Times New Roman" w:cs="Times New Roman"/>
        </w:rPr>
        <w:t>press emotion; (iii) elaborate</w:t>
      </w:r>
      <w:r w:rsidR="008A406A" w:rsidRPr="009D3659">
        <w:rPr>
          <w:rFonts w:ascii="Times New Roman" w:hAnsi="Times New Roman" w:cs="Times New Roman"/>
        </w:rPr>
        <w:t xml:space="preserve"> particular theories of emotion; (iv) examine how legal doctrine sediments emotion; (v) analyse the relationship between theories of emotion and law; and (vi) explore how legal actors are or should be influenced by emotion.</w:t>
      </w:r>
      <w:r w:rsidR="00DF3687">
        <w:rPr>
          <w:rStyle w:val="FootnoteReference"/>
          <w:rFonts w:ascii="Times New Roman" w:hAnsi="Times New Roman" w:cs="Times New Roman"/>
        </w:rPr>
        <w:footnoteReference w:id="44"/>
      </w:r>
      <w:r w:rsidR="008A406A" w:rsidRPr="009D3659">
        <w:rPr>
          <w:rFonts w:ascii="Times New Roman" w:hAnsi="Times New Roman" w:cs="Times New Roman"/>
        </w:rPr>
        <w:t xml:space="preserve"> </w:t>
      </w:r>
      <w:r w:rsidR="00AF7C77" w:rsidRPr="009D3659">
        <w:rPr>
          <w:rFonts w:ascii="Times New Roman" w:hAnsi="Times New Roman" w:cs="Times New Roman"/>
        </w:rPr>
        <w:t xml:space="preserve">Designing </w:t>
      </w:r>
      <w:r w:rsidR="00563D7C" w:rsidRPr="009D3659">
        <w:rPr>
          <w:rFonts w:ascii="Times New Roman" w:hAnsi="Times New Roman" w:cs="Times New Roman"/>
        </w:rPr>
        <w:t>a</w:t>
      </w:r>
      <w:r w:rsidR="00AF7C77" w:rsidRPr="009D3659">
        <w:rPr>
          <w:rFonts w:ascii="Times New Roman" w:hAnsi="Times New Roman" w:cs="Times New Roman"/>
        </w:rPr>
        <w:t xml:space="preserve"> module </w:t>
      </w:r>
      <w:r w:rsidR="00563D7C" w:rsidRPr="009D3659">
        <w:rPr>
          <w:rFonts w:ascii="Times New Roman" w:hAnsi="Times New Roman" w:cs="Times New Roman"/>
        </w:rPr>
        <w:t>within</w:t>
      </w:r>
      <w:r w:rsidR="00AF7C77" w:rsidRPr="009D3659">
        <w:rPr>
          <w:rFonts w:ascii="Times New Roman" w:hAnsi="Times New Roman" w:cs="Times New Roman"/>
        </w:rPr>
        <w:t xml:space="preserve"> this interdisciplinary </w:t>
      </w:r>
      <w:r w:rsidR="002A34B6" w:rsidRPr="009D3659">
        <w:rPr>
          <w:rFonts w:ascii="Times New Roman" w:hAnsi="Times New Roman" w:cs="Times New Roman"/>
        </w:rPr>
        <w:t>context</w:t>
      </w:r>
      <w:r w:rsidR="00AF7C77" w:rsidRPr="009D3659">
        <w:rPr>
          <w:rFonts w:ascii="Times New Roman" w:hAnsi="Times New Roman" w:cs="Times New Roman"/>
        </w:rPr>
        <w:t xml:space="preserve"> was </w:t>
      </w:r>
      <w:r w:rsidR="002A34B6" w:rsidRPr="009D3659">
        <w:rPr>
          <w:rFonts w:ascii="Times New Roman" w:hAnsi="Times New Roman" w:cs="Times New Roman"/>
        </w:rPr>
        <w:t>key</w:t>
      </w:r>
      <w:r w:rsidR="00AF7C77" w:rsidRPr="009D3659">
        <w:rPr>
          <w:rFonts w:ascii="Times New Roman" w:hAnsi="Times New Roman" w:cs="Times New Roman"/>
        </w:rPr>
        <w:t xml:space="preserve"> to </w:t>
      </w:r>
      <w:r w:rsidR="002A34B6" w:rsidRPr="009D3659">
        <w:rPr>
          <w:rFonts w:ascii="Times New Roman" w:hAnsi="Times New Roman" w:cs="Times New Roman"/>
        </w:rPr>
        <w:t>enable students to differentiate between theoretical approaches</w:t>
      </w:r>
      <w:r>
        <w:rPr>
          <w:rFonts w:ascii="Times New Roman" w:hAnsi="Times New Roman" w:cs="Times New Roman"/>
        </w:rPr>
        <w:t xml:space="preserve"> to understand emotion and law, and their relationship to each other</w:t>
      </w:r>
      <w:r w:rsidR="002A34B6" w:rsidRPr="009D3659">
        <w:rPr>
          <w:rFonts w:ascii="Times New Roman" w:hAnsi="Times New Roman" w:cs="Times New Roman"/>
        </w:rPr>
        <w:t xml:space="preserve">. </w:t>
      </w:r>
      <w:r w:rsidR="00801039" w:rsidRPr="009D3659">
        <w:rPr>
          <w:rFonts w:ascii="Times New Roman" w:hAnsi="Times New Roman" w:cs="Times New Roman"/>
        </w:rPr>
        <w:t>This p</w:t>
      </w:r>
      <w:r w:rsidR="00AD29AF" w:rsidRPr="009D3659">
        <w:rPr>
          <w:rFonts w:ascii="Times New Roman" w:hAnsi="Times New Roman" w:cs="Times New Roman"/>
        </w:rPr>
        <w:t>edagogical approach also relates</w:t>
      </w:r>
      <w:r w:rsidR="00801039" w:rsidRPr="009D3659">
        <w:rPr>
          <w:rFonts w:ascii="Times New Roman" w:hAnsi="Times New Roman" w:cs="Times New Roman"/>
        </w:rPr>
        <w:t xml:space="preserve"> to the social and political context of teaching law: the module would provide students with theoretical tools to explore the (elusive) nature of social justice, both what it means and how it is operationalised or subverted through law and legal processes.</w:t>
      </w:r>
      <w:r w:rsidR="00D855AD">
        <w:rPr>
          <w:rStyle w:val="FootnoteReference"/>
          <w:rFonts w:ascii="Times New Roman" w:hAnsi="Times New Roman" w:cs="Times New Roman"/>
        </w:rPr>
        <w:footnoteReference w:id="45"/>
      </w:r>
      <w:r w:rsidR="00801039" w:rsidRPr="009D3659">
        <w:rPr>
          <w:rFonts w:ascii="Times New Roman" w:hAnsi="Times New Roman" w:cs="Times New Roman"/>
        </w:rPr>
        <w:t xml:space="preserve"> </w:t>
      </w:r>
      <w:r w:rsidR="006B11B2" w:rsidRPr="009D3659">
        <w:rPr>
          <w:rFonts w:ascii="Times New Roman" w:hAnsi="Times New Roman" w:cs="Times New Roman"/>
        </w:rPr>
        <w:t xml:space="preserve">The module </w:t>
      </w:r>
      <w:r w:rsidR="003F6E28" w:rsidRPr="009D3659">
        <w:rPr>
          <w:rFonts w:ascii="Times New Roman" w:hAnsi="Times New Roman" w:cs="Times New Roman"/>
        </w:rPr>
        <w:t>connect</w:t>
      </w:r>
      <w:r w:rsidR="006B11B2" w:rsidRPr="009D3659">
        <w:rPr>
          <w:rFonts w:ascii="Times New Roman" w:hAnsi="Times New Roman" w:cs="Times New Roman"/>
        </w:rPr>
        <w:t>ed</w:t>
      </w:r>
      <w:r w:rsidR="002A34B6" w:rsidRPr="009D3659">
        <w:rPr>
          <w:rFonts w:ascii="Times New Roman" w:hAnsi="Times New Roman" w:cs="Times New Roman"/>
        </w:rPr>
        <w:t xml:space="preserve"> stude</w:t>
      </w:r>
      <w:r w:rsidR="003F6E28" w:rsidRPr="009D3659">
        <w:rPr>
          <w:rFonts w:ascii="Times New Roman" w:hAnsi="Times New Roman" w:cs="Times New Roman"/>
        </w:rPr>
        <w:t>nts’ existing legal knowledge and understanding of legal</w:t>
      </w:r>
      <w:r w:rsidR="002A34B6" w:rsidRPr="009D3659">
        <w:rPr>
          <w:rFonts w:ascii="Times New Roman" w:hAnsi="Times New Roman" w:cs="Times New Roman"/>
        </w:rPr>
        <w:t xml:space="preserve"> </w:t>
      </w:r>
      <w:r w:rsidR="003F6E28" w:rsidRPr="009D3659">
        <w:rPr>
          <w:rFonts w:ascii="Times New Roman" w:hAnsi="Times New Roman" w:cs="Times New Roman"/>
        </w:rPr>
        <w:t>issues</w:t>
      </w:r>
      <w:r w:rsidR="002A34B6" w:rsidRPr="009D3659">
        <w:rPr>
          <w:rFonts w:ascii="Times New Roman" w:hAnsi="Times New Roman" w:cs="Times New Roman"/>
        </w:rPr>
        <w:t xml:space="preserve"> (based on core modules like Torts and Public Law they previously studied) with new theoretical ideas. </w:t>
      </w:r>
      <w:r w:rsidR="00D61F5F" w:rsidRPr="009D3659">
        <w:rPr>
          <w:rFonts w:ascii="Times New Roman" w:hAnsi="Times New Roman" w:cs="Times New Roman"/>
        </w:rPr>
        <w:t>This</w:t>
      </w:r>
      <w:r w:rsidR="003F6E28" w:rsidRPr="009D3659">
        <w:rPr>
          <w:rFonts w:ascii="Times New Roman" w:hAnsi="Times New Roman" w:cs="Times New Roman"/>
        </w:rPr>
        <w:t xml:space="preserve"> connective approach</w:t>
      </w:r>
      <w:r w:rsidR="0081394E" w:rsidRPr="009D3659">
        <w:rPr>
          <w:rFonts w:ascii="Times New Roman" w:hAnsi="Times New Roman" w:cs="Times New Roman"/>
        </w:rPr>
        <w:t xml:space="preserve"> </w:t>
      </w:r>
      <w:r w:rsidR="003F6E28" w:rsidRPr="009D3659">
        <w:rPr>
          <w:rFonts w:ascii="Times New Roman" w:hAnsi="Times New Roman" w:cs="Times New Roman"/>
        </w:rPr>
        <w:t>gives students a familiar base or anchor</w:t>
      </w:r>
      <w:r w:rsidR="0081394E" w:rsidRPr="009D3659">
        <w:rPr>
          <w:rFonts w:ascii="Times New Roman" w:hAnsi="Times New Roman" w:cs="Times New Roman"/>
        </w:rPr>
        <w:t xml:space="preserve"> of knowledge</w:t>
      </w:r>
      <w:r w:rsidR="003F6E28" w:rsidRPr="009D3659">
        <w:rPr>
          <w:rFonts w:ascii="Times New Roman" w:hAnsi="Times New Roman" w:cs="Times New Roman"/>
        </w:rPr>
        <w:t xml:space="preserve"> to begin to navigate the role and nature of emotion in law.</w:t>
      </w:r>
      <w:r w:rsidR="00D855AD">
        <w:rPr>
          <w:rStyle w:val="FootnoteReference"/>
          <w:rFonts w:ascii="Times New Roman" w:hAnsi="Times New Roman" w:cs="Times New Roman"/>
        </w:rPr>
        <w:footnoteReference w:id="46"/>
      </w:r>
      <w:r w:rsidR="003F6E28" w:rsidRPr="009D3659">
        <w:rPr>
          <w:rFonts w:ascii="Times New Roman" w:hAnsi="Times New Roman" w:cs="Times New Roman"/>
        </w:rPr>
        <w:t xml:space="preserve"> </w:t>
      </w:r>
    </w:p>
    <w:p w14:paraId="50DCD69D" w14:textId="3976300B" w:rsidR="00AD72D6" w:rsidRPr="009D3659" w:rsidRDefault="00507C8C" w:rsidP="003D0552">
      <w:pPr>
        <w:spacing w:line="360" w:lineRule="auto"/>
        <w:ind w:firstLine="720"/>
        <w:jc w:val="both"/>
        <w:rPr>
          <w:rFonts w:ascii="Times New Roman" w:hAnsi="Times New Roman" w:cs="Times New Roman"/>
        </w:rPr>
      </w:pPr>
      <w:r w:rsidRPr="009D3659">
        <w:rPr>
          <w:rFonts w:ascii="Times New Roman" w:hAnsi="Times New Roman" w:cs="Times New Roman"/>
        </w:rPr>
        <w:lastRenderedPageBreak/>
        <w:t>Unlike core law modules that require students to learn “the law” to apply to specific factual scenarios, Law and Emotion sought to engage students’ in comprehension, analysis, synthesis, and evaluation of the function and effect of emotion in law rather than memorisation or recall of legal rules.</w:t>
      </w:r>
      <w:r w:rsidR="00DF3687">
        <w:rPr>
          <w:rStyle w:val="FootnoteReference"/>
          <w:rFonts w:ascii="Times New Roman" w:hAnsi="Times New Roman" w:cs="Times New Roman"/>
        </w:rPr>
        <w:footnoteReference w:id="47"/>
      </w:r>
      <w:r w:rsidRPr="009D3659">
        <w:rPr>
          <w:rFonts w:ascii="Times New Roman" w:hAnsi="Times New Roman" w:cs="Times New Roman"/>
        </w:rPr>
        <w:t xml:space="preserve"> </w:t>
      </w:r>
      <w:r w:rsidR="00F35BF5" w:rsidRPr="009D3659">
        <w:rPr>
          <w:rFonts w:ascii="Times New Roman" w:hAnsi="Times New Roman" w:cs="Times New Roman"/>
        </w:rPr>
        <w:t>Taking account of the “emotional fabric” of law also is not simply an academic exercise – it has vocational importance: it enables lawyers to better understand the needs and desires of those they represent or interact with in the profession.</w:t>
      </w:r>
      <w:r w:rsidR="00D855AD">
        <w:rPr>
          <w:rStyle w:val="FootnoteReference"/>
          <w:rFonts w:ascii="Times New Roman" w:hAnsi="Times New Roman" w:cs="Times New Roman"/>
        </w:rPr>
        <w:footnoteReference w:id="48"/>
      </w:r>
      <w:r w:rsidR="00F35BF5" w:rsidRPr="009D3659">
        <w:rPr>
          <w:rFonts w:ascii="Times New Roman" w:hAnsi="Times New Roman" w:cs="Times New Roman"/>
        </w:rPr>
        <w:t xml:space="preserve"> </w:t>
      </w:r>
    </w:p>
    <w:p w14:paraId="34CFE58D" w14:textId="77777777" w:rsidR="003D0552" w:rsidRDefault="00507C8C" w:rsidP="00DB7A87">
      <w:pPr>
        <w:spacing w:line="360" w:lineRule="auto"/>
        <w:ind w:firstLine="720"/>
        <w:jc w:val="both"/>
        <w:rPr>
          <w:rFonts w:ascii="Times New Roman" w:hAnsi="Times New Roman" w:cs="Times New Roman"/>
        </w:rPr>
      </w:pPr>
      <w:r w:rsidRPr="009D3659">
        <w:rPr>
          <w:rFonts w:ascii="Times New Roman" w:hAnsi="Times New Roman" w:cs="Times New Roman"/>
        </w:rPr>
        <w:t>Scaffolding</w:t>
      </w:r>
      <w:r w:rsidR="003F6E28" w:rsidRPr="009D3659">
        <w:rPr>
          <w:rFonts w:ascii="Times New Roman" w:hAnsi="Times New Roman" w:cs="Times New Roman"/>
        </w:rPr>
        <w:t xml:space="preserve"> </w:t>
      </w:r>
      <w:r w:rsidR="00B04B76">
        <w:rPr>
          <w:rFonts w:ascii="Times New Roman" w:hAnsi="Times New Roman" w:cs="Times New Roman"/>
        </w:rPr>
        <w:t>a teaching structure to assist students in</w:t>
      </w:r>
      <w:r w:rsidR="00801039" w:rsidRPr="009D3659">
        <w:rPr>
          <w:rFonts w:ascii="Times New Roman" w:hAnsi="Times New Roman" w:cs="Times New Roman"/>
        </w:rPr>
        <w:t xml:space="preserve"> </w:t>
      </w:r>
      <w:r w:rsidR="00B04B76">
        <w:rPr>
          <w:rFonts w:ascii="Times New Roman" w:hAnsi="Times New Roman" w:cs="Times New Roman"/>
        </w:rPr>
        <w:t xml:space="preserve">achieving the learning outcomes </w:t>
      </w:r>
      <w:r w:rsidR="00901E0C" w:rsidRPr="009D3659">
        <w:rPr>
          <w:rFonts w:ascii="Times New Roman" w:hAnsi="Times New Roman" w:cs="Times New Roman"/>
        </w:rPr>
        <w:t>necessitated thinking about how best to cultivate student curiosity, motivation, and capacities for critical reflection.</w:t>
      </w:r>
      <w:r w:rsidR="00D855AD">
        <w:rPr>
          <w:rStyle w:val="FootnoteReference"/>
          <w:rFonts w:ascii="Times New Roman" w:hAnsi="Times New Roman" w:cs="Times New Roman"/>
        </w:rPr>
        <w:footnoteReference w:id="49"/>
      </w:r>
      <w:r w:rsidR="00901E0C" w:rsidRPr="009D3659">
        <w:rPr>
          <w:rFonts w:ascii="Times New Roman" w:hAnsi="Times New Roman" w:cs="Times New Roman"/>
        </w:rPr>
        <w:t xml:space="preserve"> </w:t>
      </w:r>
      <w:r w:rsidR="00D77787">
        <w:rPr>
          <w:rFonts w:ascii="Times New Roman" w:hAnsi="Times New Roman" w:cs="Times New Roman"/>
        </w:rPr>
        <w:t>Facilitating</w:t>
      </w:r>
      <w:r w:rsidR="000D0622" w:rsidRPr="009D3659">
        <w:rPr>
          <w:rFonts w:ascii="Times New Roman" w:hAnsi="Times New Roman" w:cs="Times New Roman"/>
        </w:rPr>
        <w:t xml:space="preserve"> autonomous learning requires teachers to take seriously the personhoods of those they teach and what they care about, which may differ from those of teachers.</w:t>
      </w:r>
      <w:r w:rsidR="00D855AD">
        <w:rPr>
          <w:rStyle w:val="FootnoteReference"/>
          <w:rFonts w:ascii="Times New Roman" w:hAnsi="Times New Roman" w:cs="Times New Roman"/>
        </w:rPr>
        <w:footnoteReference w:id="50"/>
      </w:r>
      <w:r w:rsidR="000D0622" w:rsidRPr="009D3659">
        <w:rPr>
          <w:rFonts w:ascii="Times New Roman" w:hAnsi="Times New Roman" w:cs="Times New Roman"/>
        </w:rPr>
        <w:t xml:space="preserve"> </w:t>
      </w:r>
      <w:r w:rsidR="00944EFE" w:rsidRPr="009D3659">
        <w:rPr>
          <w:rFonts w:ascii="Times New Roman" w:hAnsi="Times New Roman" w:cs="Times New Roman"/>
        </w:rPr>
        <w:t xml:space="preserve">In terms of module content, I selected a range of emotions and legal issues or case studies to appeal to diverse interests. </w:t>
      </w:r>
      <w:r w:rsidR="00AD72D6" w:rsidRPr="009D3659">
        <w:rPr>
          <w:rFonts w:ascii="Times New Roman" w:hAnsi="Times New Roman" w:cs="Times New Roman"/>
        </w:rPr>
        <w:t xml:space="preserve">Rather than organise the module within a specific jurisdiction or area of law (which is typical of core law modules), this module would invite students to think about emotions – both “good” and “bad” ones – as a way to navigate legal debates across disciplines and jurisdictions. The first couple of seminars </w:t>
      </w:r>
      <w:r w:rsidR="00563D7C" w:rsidRPr="009D3659">
        <w:rPr>
          <w:rFonts w:ascii="Times New Roman" w:hAnsi="Times New Roman" w:cs="Times New Roman"/>
        </w:rPr>
        <w:t xml:space="preserve">would </w:t>
      </w:r>
      <w:r w:rsidR="00AD72D6" w:rsidRPr="009D3659">
        <w:rPr>
          <w:rFonts w:ascii="Times New Roman" w:hAnsi="Times New Roman" w:cs="Times New Roman"/>
        </w:rPr>
        <w:t xml:space="preserve">contextualise debates in Law and Emotion. </w:t>
      </w:r>
      <w:r w:rsidR="00563D7C" w:rsidRPr="009D3659">
        <w:rPr>
          <w:rFonts w:ascii="Times New Roman" w:hAnsi="Times New Roman" w:cs="Times New Roman"/>
        </w:rPr>
        <w:t>Each subsequent seminar</w:t>
      </w:r>
      <w:r w:rsidR="00AD72D6" w:rsidRPr="009D3659">
        <w:rPr>
          <w:rFonts w:ascii="Times New Roman" w:hAnsi="Times New Roman" w:cs="Times New Roman"/>
        </w:rPr>
        <w:t xml:space="preserve"> </w:t>
      </w:r>
      <w:r w:rsidR="00563D7C" w:rsidRPr="009D3659">
        <w:rPr>
          <w:rFonts w:ascii="Times New Roman" w:hAnsi="Times New Roman" w:cs="Times New Roman"/>
        </w:rPr>
        <w:t xml:space="preserve">would </w:t>
      </w:r>
      <w:r w:rsidR="00AD72D6" w:rsidRPr="009D3659">
        <w:rPr>
          <w:rFonts w:ascii="Times New Roman" w:hAnsi="Times New Roman" w:cs="Times New Roman"/>
        </w:rPr>
        <w:t xml:space="preserve">then focus on a specific emotion </w:t>
      </w:r>
      <w:r w:rsidR="00563D7C" w:rsidRPr="009D3659">
        <w:rPr>
          <w:rFonts w:ascii="Times New Roman" w:hAnsi="Times New Roman" w:cs="Times New Roman"/>
        </w:rPr>
        <w:t>and explore how such emotion</w:t>
      </w:r>
      <w:r w:rsidR="00AD72D6" w:rsidRPr="009D3659">
        <w:rPr>
          <w:rFonts w:ascii="Times New Roman" w:hAnsi="Times New Roman" w:cs="Times New Roman"/>
        </w:rPr>
        <w:t xml:space="preserve"> animates</w:t>
      </w:r>
      <w:r w:rsidR="00563D7C" w:rsidRPr="009D3659">
        <w:rPr>
          <w:rFonts w:ascii="Times New Roman" w:hAnsi="Times New Roman" w:cs="Times New Roman"/>
        </w:rPr>
        <w:t xml:space="preserve"> or addresses</w:t>
      </w:r>
      <w:r w:rsidR="00AD72D6" w:rsidRPr="009D3659">
        <w:rPr>
          <w:rFonts w:ascii="Times New Roman" w:hAnsi="Times New Roman" w:cs="Times New Roman"/>
        </w:rPr>
        <w:t xml:space="preserve"> a contemporary legal issue or problem.</w:t>
      </w:r>
      <w:r w:rsidR="00881BD6" w:rsidRPr="009D3659">
        <w:rPr>
          <w:rFonts w:ascii="Times New Roman" w:hAnsi="Times New Roman" w:cs="Times New Roman"/>
        </w:rPr>
        <w:t xml:space="preserve"> I paired disgust with sexual offences, hate with hate crime, shame with punishment, pain with transitional justice, fear with asylum, suspicion with psychiatric injury, love with </w:t>
      </w:r>
      <w:r w:rsidR="00213F90" w:rsidRPr="009D3659">
        <w:rPr>
          <w:rFonts w:ascii="Times New Roman" w:hAnsi="Times New Roman" w:cs="Times New Roman"/>
        </w:rPr>
        <w:t>kinship</w:t>
      </w:r>
      <w:r w:rsidR="00881BD6" w:rsidRPr="009D3659">
        <w:rPr>
          <w:rFonts w:ascii="Times New Roman" w:hAnsi="Times New Roman" w:cs="Times New Roman"/>
        </w:rPr>
        <w:t>, and hope with human rights. In order to maintain student interest and engage with the social justice desires animating the module, the module aimed to cover a range of emotions alongside a range of current law reform debates. The module also covered a range of legal subdisciplines (criminal law, tort law, international law, family law,</w:t>
      </w:r>
      <w:r w:rsidR="00930F37" w:rsidRPr="009D3659">
        <w:rPr>
          <w:rFonts w:ascii="Times New Roman" w:hAnsi="Times New Roman" w:cs="Times New Roman"/>
        </w:rPr>
        <w:t xml:space="preserve"> </w:t>
      </w:r>
      <w:r w:rsidR="00881BD6" w:rsidRPr="009D3659">
        <w:rPr>
          <w:rFonts w:ascii="Times New Roman" w:hAnsi="Times New Roman" w:cs="Times New Roman"/>
        </w:rPr>
        <w:t xml:space="preserve">refugee law, and family law, etc) and legal texts (statutes, policies, case law, law reform reports, etc). </w:t>
      </w:r>
    </w:p>
    <w:p w14:paraId="25AA8E6D" w14:textId="44BD7F78" w:rsidR="001271F4" w:rsidRDefault="00881BD6" w:rsidP="00DB7A87">
      <w:pPr>
        <w:spacing w:line="360" w:lineRule="auto"/>
        <w:ind w:firstLine="720"/>
        <w:jc w:val="both"/>
        <w:rPr>
          <w:rFonts w:ascii="Times New Roman" w:hAnsi="Times New Roman" w:cs="Times New Roman"/>
        </w:rPr>
      </w:pPr>
      <w:r w:rsidRPr="009D3659">
        <w:rPr>
          <w:rFonts w:ascii="Times New Roman" w:hAnsi="Times New Roman" w:cs="Times New Roman"/>
        </w:rPr>
        <w:lastRenderedPageBreak/>
        <w:t>This paired approach made it possible to anchor the wide-ranging scope of specific law reforms to a particular emotion. Drawing on Ahmed, emotion (such as fear) would be a social lens to explore the limits and possibilities of law reform aimed at addressing contemporary problems (such as refugee status determination).</w:t>
      </w:r>
      <w:r w:rsidR="00D855AD">
        <w:rPr>
          <w:rStyle w:val="FootnoteReference"/>
          <w:rFonts w:ascii="Times New Roman" w:hAnsi="Times New Roman" w:cs="Times New Roman"/>
        </w:rPr>
        <w:footnoteReference w:id="51"/>
      </w:r>
      <w:r w:rsidRPr="009D3659">
        <w:rPr>
          <w:rFonts w:ascii="Times New Roman" w:hAnsi="Times New Roman" w:cs="Times New Roman"/>
        </w:rPr>
        <w:t xml:space="preserve"> </w:t>
      </w:r>
      <w:r w:rsidR="00F724FD" w:rsidRPr="009D3659">
        <w:rPr>
          <w:rFonts w:ascii="Times New Roman" w:hAnsi="Times New Roman" w:cs="Times New Roman"/>
        </w:rPr>
        <w:t xml:space="preserve">The reading list for each week included an academic article about the topic and a current article from the news related to it. </w:t>
      </w:r>
      <w:r w:rsidR="00FB4859" w:rsidRPr="009D3659">
        <w:rPr>
          <w:rFonts w:ascii="Times New Roman" w:hAnsi="Times New Roman" w:cs="Times New Roman"/>
        </w:rPr>
        <w:t>The purpose of limiting the amount of</w:t>
      </w:r>
      <w:r w:rsidR="00815203" w:rsidRPr="009D3659">
        <w:rPr>
          <w:rFonts w:ascii="Times New Roman" w:hAnsi="Times New Roman" w:cs="Times New Roman"/>
        </w:rPr>
        <w:t xml:space="preserve"> required</w:t>
      </w:r>
      <w:r w:rsidR="00FB4859" w:rsidRPr="009D3659">
        <w:rPr>
          <w:rFonts w:ascii="Times New Roman" w:hAnsi="Times New Roman" w:cs="Times New Roman"/>
        </w:rPr>
        <w:t xml:space="preserve"> reading and including a topical news issue was to allow students time to reflect on what they had read and think about the connections between theorisations of emotion and expressions of emotion in </w:t>
      </w:r>
      <w:r w:rsidRPr="009D3659">
        <w:rPr>
          <w:rFonts w:ascii="Times New Roman" w:hAnsi="Times New Roman" w:cs="Times New Roman"/>
        </w:rPr>
        <w:t>legal</w:t>
      </w:r>
      <w:r w:rsidR="00FB4859" w:rsidRPr="009D3659">
        <w:rPr>
          <w:rFonts w:ascii="Times New Roman" w:hAnsi="Times New Roman" w:cs="Times New Roman"/>
        </w:rPr>
        <w:t xml:space="preserve"> sphere</w:t>
      </w:r>
      <w:r w:rsidRPr="009D3659">
        <w:rPr>
          <w:rFonts w:ascii="Times New Roman" w:hAnsi="Times New Roman" w:cs="Times New Roman"/>
        </w:rPr>
        <w:t>s</w:t>
      </w:r>
      <w:r w:rsidR="00FB4859" w:rsidRPr="009D3659">
        <w:rPr>
          <w:rFonts w:ascii="Times New Roman" w:hAnsi="Times New Roman" w:cs="Times New Roman"/>
        </w:rPr>
        <w:t xml:space="preserve">. </w:t>
      </w:r>
      <w:r w:rsidR="00815203" w:rsidRPr="009D3659">
        <w:rPr>
          <w:rFonts w:ascii="Times New Roman" w:hAnsi="Times New Roman" w:cs="Times New Roman"/>
        </w:rPr>
        <w:t xml:space="preserve">The module also had a soundtrack. The purpose of the soundtrack was to use music – drawn from a range of </w:t>
      </w:r>
      <w:r w:rsidR="00963FD9" w:rsidRPr="009D3659">
        <w:rPr>
          <w:rFonts w:ascii="Times New Roman" w:hAnsi="Times New Roman" w:cs="Times New Roman"/>
        </w:rPr>
        <w:t xml:space="preserve">cultures </w:t>
      </w:r>
      <w:r w:rsidR="00815203" w:rsidRPr="009D3659">
        <w:rPr>
          <w:rFonts w:ascii="Times New Roman" w:hAnsi="Times New Roman" w:cs="Times New Roman"/>
        </w:rPr>
        <w:t>and genres – to allow students to hear and feel emotion</w:t>
      </w:r>
      <w:r w:rsidR="001B0AEB" w:rsidRPr="009D3659">
        <w:rPr>
          <w:rFonts w:ascii="Times New Roman" w:hAnsi="Times New Roman" w:cs="Times New Roman"/>
        </w:rPr>
        <w:t>s</w:t>
      </w:r>
      <w:r w:rsidR="00815203" w:rsidRPr="009D3659">
        <w:rPr>
          <w:rFonts w:ascii="Times New Roman" w:hAnsi="Times New Roman" w:cs="Times New Roman"/>
        </w:rPr>
        <w:t xml:space="preserve"> </w:t>
      </w:r>
      <w:r w:rsidR="001B0AEB" w:rsidRPr="009D3659">
        <w:rPr>
          <w:rFonts w:ascii="Times New Roman" w:hAnsi="Times New Roman" w:cs="Times New Roman"/>
        </w:rPr>
        <w:t>as a way of making sense of the topic to be discussed each week</w:t>
      </w:r>
      <w:r w:rsidR="00815203" w:rsidRPr="009D3659">
        <w:rPr>
          <w:rFonts w:ascii="Times New Roman" w:hAnsi="Times New Roman" w:cs="Times New Roman"/>
        </w:rPr>
        <w:t xml:space="preserve">. </w:t>
      </w:r>
      <w:r w:rsidR="00963FD9" w:rsidRPr="009D3659">
        <w:rPr>
          <w:rFonts w:ascii="Times New Roman" w:hAnsi="Times New Roman" w:cs="Times New Roman"/>
        </w:rPr>
        <w:t>Law and Emotion embraced a</w:t>
      </w:r>
      <w:r w:rsidR="00E52E40" w:rsidRPr="009D3659">
        <w:rPr>
          <w:rFonts w:ascii="Times New Roman" w:hAnsi="Times New Roman" w:cs="Times New Roman"/>
        </w:rPr>
        <w:t xml:space="preserve"> “queer legal pedagogy” </w:t>
      </w:r>
      <w:r w:rsidR="002E115A" w:rsidRPr="009D3659">
        <w:rPr>
          <w:rFonts w:ascii="Times New Roman" w:hAnsi="Times New Roman" w:cs="Times New Roman"/>
        </w:rPr>
        <w:t>by</w:t>
      </w:r>
      <w:r w:rsidR="00E52E40" w:rsidRPr="009D3659">
        <w:rPr>
          <w:rFonts w:ascii="Times New Roman" w:hAnsi="Times New Roman" w:cs="Times New Roman"/>
        </w:rPr>
        <w:t xml:space="preserve"> troubling normative </w:t>
      </w:r>
      <w:r w:rsidR="004B093E" w:rsidRPr="009D3659">
        <w:rPr>
          <w:rFonts w:ascii="Times New Roman" w:hAnsi="Times New Roman" w:cs="Times New Roman"/>
        </w:rPr>
        <w:t>views</w:t>
      </w:r>
      <w:r w:rsidR="00563D7C" w:rsidRPr="009D3659">
        <w:rPr>
          <w:rFonts w:ascii="Times New Roman" w:hAnsi="Times New Roman" w:cs="Times New Roman"/>
        </w:rPr>
        <w:t xml:space="preserve"> of law and questioning </w:t>
      </w:r>
      <w:r w:rsidR="00E52E40" w:rsidRPr="009D3659">
        <w:rPr>
          <w:rFonts w:ascii="Times New Roman" w:hAnsi="Times New Roman" w:cs="Times New Roman"/>
        </w:rPr>
        <w:t>expectations of justice</w:t>
      </w:r>
      <w:r w:rsidR="00563D7C" w:rsidRPr="009D3659">
        <w:rPr>
          <w:rFonts w:ascii="Times New Roman" w:hAnsi="Times New Roman" w:cs="Times New Roman"/>
        </w:rPr>
        <w:t xml:space="preserve"> while also</w:t>
      </w:r>
      <w:r w:rsidR="00E52E40" w:rsidRPr="009D3659">
        <w:rPr>
          <w:rFonts w:ascii="Times New Roman" w:hAnsi="Times New Roman" w:cs="Times New Roman"/>
        </w:rPr>
        <w:t xml:space="preserve"> complicating how </w:t>
      </w:r>
      <w:r w:rsidR="004B093E" w:rsidRPr="009D3659">
        <w:rPr>
          <w:rFonts w:ascii="Times New Roman" w:hAnsi="Times New Roman" w:cs="Times New Roman"/>
        </w:rPr>
        <w:t>we</w:t>
      </w:r>
      <w:r w:rsidR="00E52E40" w:rsidRPr="009D3659">
        <w:rPr>
          <w:rFonts w:ascii="Times New Roman" w:hAnsi="Times New Roman" w:cs="Times New Roman"/>
        </w:rPr>
        <w:t xml:space="preserve"> define</w:t>
      </w:r>
      <w:r w:rsidR="00563D7C" w:rsidRPr="009D3659">
        <w:rPr>
          <w:rFonts w:ascii="Times New Roman" w:hAnsi="Times New Roman" w:cs="Times New Roman"/>
        </w:rPr>
        <w:t xml:space="preserve"> or understand</w:t>
      </w:r>
      <w:r w:rsidR="001B0AEB" w:rsidRPr="009D3659">
        <w:rPr>
          <w:rFonts w:ascii="Times New Roman" w:hAnsi="Times New Roman" w:cs="Times New Roman"/>
        </w:rPr>
        <w:t xml:space="preserve"> appropriate legal</w:t>
      </w:r>
      <w:r w:rsidR="00E52E40" w:rsidRPr="009D3659">
        <w:rPr>
          <w:rFonts w:ascii="Times New Roman" w:hAnsi="Times New Roman" w:cs="Times New Roman"/>
        </w:rPr>
        <w:t xml:space="preserve"> </w:t>
      </w:r>
      <w:r w:rsidR="001B0AEB" w:rsidRPr="009D3659">
        <w:rPr>
          <w:rFonts w:ascii="Times New Roman" w:hAnsi="Times New Roman" w:cs="Times New Roman"/>
        </w:rPr>
        <w:t xml:space="preserve">study or </w:t>
      </w:r>
      <w:r w:rsidR="00E52E40" w:rsidRPr="009D3659">
        <w:rPr>
          <w:rFonts w:ascii="Times New Roman" w:hAnsi="Times New Roman" w:cs="Times New Roman"/>
        </w:rPr>
        <w:t>scholarship.</w:t>
      </w:r>
      <w:r w:rsidR="00D855AD">
        <w:rPr>
          <w:rStyle w:val="FootnoteReference"/>
          <w:rFonts w:ascii="Times New Roman" w:hAnsi="Times New Roman" w:cs="Times New Roman"/>
        </w:rPr>
        <w:footnoteReference w:id="52"/>
      </w:r>
      <w:r w:rsidR="00E52E40" w:rsidRPr="009D3659">
        <w:rPr>
          <w:rFonts w:ascii="Times New Roman" w:hAnsi="Times New Roman" w:cs="Times New Roman"/>
        </w:rPr>
        <w:t xml:space="preserve"> </w:t>
      </w:r>
      <w:r w:rsidR="004B093E" w:rsidRPr="009D3659">
        <w:rPr>
          <w:rFonts w:ascii="Times New Roman" w:hAnsi="Times New Roman" w:cs="Times New Roman"/>
        </w:rPr>
        <w:t>This rationale was clear in the module outline (accessible online before the first class).</w:t>
      </w:r>
    </w:p>
    <w:p w14:paraId="245DAAE3" w14:textId="77777777" w:rsidR="001B0357" w:rsidRPr="009D3659" w:rsidRDefault="001B0357" w:rsidP="00DB7A87">
      <w:pPr>
        <w:spacing w:line="360" w:lineRule="auto"/>
        <w:jc w:val="both"/>
        <w:rPr>
          <w:rFonts w:ascii="Times New Roman" w:hAnsi="Times New Roman" w:cs="Times New Roman"/>
        </w:rPr>
      </w:pPr>
    </w:p>
    <w:p w14:paraId="76549714" w14:textId="7646E74D" w:rsidR="000D0622" w:rsidRPr="009D3659" w:rsidRDefault="00B04B76" w:rsidP="00DD0C19">
      <w:pPr>
        <w:spacing w:line="360" w:lineRule="auto"/>
        <w:jc w:val="both"/>
        <w:rPr>
          <w:rFonts w:ascii="Times New Roman" w:hAnsi="Times New Roman" w:cs="Times New Roman"/>
          <w:b/>
        </w:rPr>
      </w:pPr>
      <w:r>
        <w:rPr>
          <w:rFonts w:ascii="Times New Roman" w:hAnsi="Times New Roman" w:cs="Times New Roman"/>
          <w:b/>
        </w:rPr>
        <w:t>Teaching with Feeling</w:t>
      </w:r>
    </w:p>
    <w:p w14:paraId="6F4104A1" w14:textId="09C55E78" w:rsidR="00AD72D6" w:rsidRPr="009D3659" w:rsidRDefault="00A55DC5" w:rsidP="00A55DC5">
      <w:pPr>
        <w:spacing w:line="360" w:lineRule="auto"/>
        <w:jc w:val="both"/>
        <w:rPr>
          <w:rFonts w:ascii="Times New Roman" w:hAnsi="Times New Roman" w:cs="Times New Roman"/>
        </w:rPr>
      </w:pPr>
      <w:r w:rsidRPr="009D3659">
        <w:rPr>
          <w:rFonts w:ascii="Times New Roman" w:hAnsi="Times New Roman" w:cs="Times New Roman"/>
        </w:rPr>
        <w:t xml:space="preserve">Law and Emotion </w:t>
      </w:r>
      <w:r w:rsidR="003C2A4D" w:rsidRPr="009D3659">
        <w:rPr>
          <w:rFonts w:ascii="Times New Roman" w:hAnsi="Times New Roman" w:cs="Times New Roman"/>
        </w:rPr>
        <w:t>aimed to</w:t>
      </w:r>
      <w:r w:rsidR="00EF0A36" w:rsidRPr="009D3659">
        <w:rPr>
          <w:rFonts w:ascii="Times New Roman" w:hAnsi="Times New Roman" w:cs="Times New Roman"/>
        </w:rPr>
        <w:t xml:space="preserve"> </w:t>
      </w:r>
      <w:r w:rsidRPr="009D3659">
        <w:rPr>
          <w:rFonts w:ascii="Times New Roman" w:hAnsi="Times New Roman" w:cs="Times New Roman"/>
        </w:rPr>
        <w:t>creat</w:t>
      </w:r>
      <w:r w:rsidR="003C2A4D" w:rsidRPr="009D3659">
        <w:rPr>
          <w:rFonts w:ascii="Times New Roman" w:hAnsi="Times New Roman" w:cs="Times New Roman"/>
        </w:rPr>
        <w:t>e</w:t>
      </w:r>
      <w:r w:rsidRPr="009D3659">
        <w:rPr>
          <w:rFonts w:ascii="Times New Roman" w:hAnsi="Times New Roman" w:cs="Times New Roman"/>
        </w:rPr>
        <w:t xml:space="preserve"> spaces for critical discussion and reflection</w:t>
      </w:r>
      <w:r w:rsidR="00EF0A36" w:rsidRPr="009D3659">
        <w:rPr>
          <w:rFonts w:ascii="Times New Roman" w:hAnsi="Times New Roman" w:cs="Times New Roman"/>
        </w:rPr>
        <w:t xml:space="preserve"> on law</w:t>
      </w:r>
      <w:r w:rsidRPr="009D3659">
        <w:rPr>
          <w:rFonts w:ascii="Times New Roman" w:hAnsi="Times New Roman" w:cs="Times New Roman"/>
        </w:rPr>
        <w:t>. This required me to confront the fact that s</w:t>
      </w:r>
      <w:r w:rsidR="00E82458" w:rsidRPr="009D3659">
        <w:rPr>
          <w:rFonts w:ascii="Times New Roman" w:hAnsi="Times New Roman" w:cs="Times New Roman"/>
        </w:rPr>
        <w:t>tudents orient themselves to learning law in different ways. Some students focus exclusively on legal materials (such as cases, statutes, treaties) in order to think of the law as a discrete object to be studied. Others take a more interdisciplinary approach and consider the way law operates in a broader social context (not just statutes and case law). Facilitating a dialogue between these different orientations to the study of law is challenging. Students may be more capable of critical discussion when they are able to position how they personally think about the subject material.</w:t>
      </w:r>
      <w:r w:rsidR="00DF3687">
        <w:rPr>
          <w:rStyle w:val="FootnoteReference"/>
          <w:rFonts w:ascii="Times New Roman" w:hAnsi="Times New Roman" w:cs="Times New Roman"/>
        </w:rPr>
        <w:footnoteReference w:id="53"/>
      </w:r>
      <w:r w:rsidR="00E82458" w:rsidRPr="009D3659">
        <w:rPr>
          <w:rFonts w:ascii="Times New Roman" w:hAnsi="Times New Roman" w:cs="Times New Roman"/>
        </w:rPr>
        <w:t xml:space="preserve"> To that end, the </w:t>
      </w:r>
      <w:r w:rsidR="00F724FD" w:rsidRPr="009D3659">
        <w:rPr>
          <w:rFonts w:ascii="Times New Roman" w:hAnsi="Times New Roman" w:cs="Times New Roman"/>
        </w:rPr>
        <w:t>module was</w:t>
      </w:r>
      <w:r w:rsidR="008B065E" w:rsidRPr="009D3659">
        <w:rPr>
          <w:rFonts w:ascii="Times New Roman" w:hAnsi="Times New Roman" w:cs="Times New Roman"/>
        </w:rPr>
        <w:t xml:space="preserve"> structured as a small group seminar (there were 10 students in the class)</w:t>
      </w:r>
      <w:r w:rsidR="00AD72D6" w:rsidRPr="009D3659">
        <w:rPr>
          <w:rFonts w:ascii="Times New Roman" w:hAnsi="Times New Roman" w:cs="Times New Roman"/>
        </w:rPr>
        <w:t xml:space="preserve"> delivered </w:t>
      </w:r>
      <w:r w:rsidR="008B065E" w:rsidRPr="009D3659">
        <w:rPr>
          <w:rFonts w:ascii="Times New Roman" w:hAnsi="Times New Roman" w:cs="Times New Roman"/>
        </w:rPr>
        <w:t>over</w:t>
      </w:r>
      <w:r w:rsidR="00AD72D6" w:rsidRPr="009D3659">
        <w:rPr>
          <w:rFonts w:ascii="Times New Roman" w:hAnsi="Times New Roman" w:cs="Times New Roman"/>
        </w:rPr>
        <w:t xml:space="preserve"> 10 </w:t>
      </w:r>
      <w:r w:rsidR="00AD72D6" w:rsidRPr="009D3659">
        <w:rPr>
          <w:rFonts w:ascii="Times New Roman" w:eastAsia="MS Gothic" w:hAnsi="Times New Roman" w:cs="Times New Roman"/>
          <w:color w:val="000000"/>
        </w:rPr>
        <w:t xml:space="preserve">× 2 hour </w:t>
      </w:r>
      <w:r w:rsidR="008B065E" w:rsidRPr="009D3659">
        <w:rPr>
          <w:rFonts w:ascii="Times New Roman" w:eastAsia="MS Gothic" w:hAnsi="Times New Roman" w:cs="Times New Roman"/>
          <w:color w:val="000000"/>
        </w:rPr>
        <w:t>sessions over the semester. I</w:t>
      </w:r>
      <w:r w:rsidR="00CC5F6B" w:rsidRPr="009D3659">
        <w:rPr>
          <w:rFonts w:ascii="Times New Roman" w:eastAsia="MS Gothic" w:hAnsi="Times New Roman" w:cs="Times New Roman"/>
          <w:color w:val="000000"/>
        </w:rPr>
        <w:t xml:space="preserve"> relied on a range of learning activities to encourage wide-ranging student participation</w:t>
      </w:r>
      <w:r w:rsidR="00AD72D6" w:rsidRPr="009D3659">
        <w:rPr>
          <w:rFonts w:ascii="Times New Roman" w:eastAsia="MS Gothic" w:hAnsi="Times New Roman" w:cs="Times New Roman"/>
          <w:color w:val="000000"/>
        </w:rPr>
        <w:t xml:space="preserve">. </w:t>
      </w:r>
      <w:r w:rsidR="00E82458" w:rsidRPr="009D3659">
        <w:rPr>
          <w:rFonts w:ascii="Times New Roman" w:eastAsia="MS Gothic" w:hAnsi="Times New Roman" w:cs="Times New Roman"/>
          <w:color w:val="000000"/>
        </w:rPr>
        <w:t xml:space="preserve">In </w:t>
      </w:r>
      <w:r w:rsidR="00E82458" w:rsidRPr="009D3659">
        <w:rPr>
          <w:rFonts w:ascii="Times New Roman" w:hAnsi="Times New Roman" w:cs="Times New Roman"/>
        </w:rPr>
        <w:t>e</w:t>
      </w:r>
      <w:r w:rsidR="00AD72D6" w:rsidRPr="009D3659">
        <w:rPr>
          <w:rFonts w:ascii="Times New Roman" w:hAnsi="Times New Roman" w:cs="Times New Roman"/>
        </w:rPr>
        <w:t xml:space="preserve">ach seminar, </w:t>
      </w:r>
      <w:r w:rsidR="00E82458" w:rsidRPr="009D3659">
        <w:rPr>
          <w:rFonts w:ascii="Times New Roman" w:hAnsi="Times New Roman" w:cs="Times New Roman"/>
        </w:rPr>
        <w:t xml:space="preserve">we </w:t>
      </w:r>
      <w:r w:rsidR="00AD72D6" w:rsidRPr="009D3659">
        <w:rPr>
          <w:rFonts w:ascii="Times New Roman" w:hAnsi="Times New Roman" w:cs="Times New Roman"/>
        </w:rPr>
        <w:t>discuss</w:t>
      </w:r>
      <w:r w:rsidR="00F724FD" w:rsidRPr="009D3659">
        <w:rPr>
          <w:rFonts w:ascii="Times New Roman" w:hAnsi="Times New Roman" w:cs="Times New Roman"/>
        </w:rPr>
        <w:t>ed</w:t>
      </w:r>
      <w:r w:rsidR="00AD72D6" w:rsidRPr="009D3659">
        <w:rPr>
          <w:rFonts w:ascii="Times New Roman" w:hAnsi="Times New Roman" w:cs="Times New Roman"/>
        </w:rPr>
        <w:t xml:space="preserve"> a specific emotion and </w:t>
      </w:r>
      <w:r w:rsidR="00DF3687">
        <w:rPr>
          <w:rFonts w:ascii="Times New Roman" w:hAnsi="Times New Roman" w:cs="Times New Roman"/>
        </w:rPr>
        <w:t>paired</w:t>
      </w:r>
      <w:r w:rsidR="00DF3687" w:rsidRPr="009D3659">
        <w:rPr>
          <w:rFonts w:ascii="Times New Roman" w:hAnsi="Times New Roman" w:cs="Times New Roman"/>
        </w:rPr>
        <w:t xml:space="preserve"> </w:t>
      </w:r>
      <w:r w:rsidR="00AD72D6" w:rsidRPr="009D3659">
        <w:rPr>
          <w:rFonts w:ascii="Times New Roman" w:hAnsi="Times New Roman" w:cs="Times New Roman"/>
        </w:rPr>
        <w:t>it</w:t>
      </w:r>
      <w:r w:rsidR="00DF3687">
        <w:rPr>
          <w:rFonts w:ascii="Times New Roman" w:hAnsi="Times New Roman" w:cs="Times New Roman"/>
        </w:rPr>
        <w:t xml:space="preserve"> with</w:t>
      </w:r>
      <w:r w:rsidR="00AD72D6" w:rsidRPr="009D3659">
        <w:rPr>
          <w:rFonts w:ascii="Times New Roman" w:hAnsi="Times New Roman" w:cs="Times New Roman"/>
        </w:rPr>
        <w:t xml:space="preserve"> a current legal debate. </w:t>
      </w:r>
      <w:r w:rsidR="00DF3687">
        <w:rPr>
          <w:rFonts w:ascii="Times New Roman" w:hAnsi="Times New Roman" w:cs="Times New Roman"/>
        </w:rPr>
        <w:t xml:space="preserve">While the legal topics canvassed in the module (sexual offences, </w:t>
      </w:r>
      <w:r w:rsidR="00DF3687">
        <w:rPr>
          <w:rFonts w:ascii="Times New Roman" w:hAnsi="Times New Roman" w:cs="Times New Roman"/>
        </w:rPr>
        <w:lastRenderedPageBreak/>
        <w:t xml:space="preserve">hate crimes, refugee decision-making, trans legal recognition, marriage equality, etc) invite consideration of a range of different emotional responses (from litigants, lawyers, judges, etc), choosing a single emotion as a lens for each week provided a useful anchor to analyse the legal issue/problem set for the week’s class. </w:t>
      </w:r>
      <w:r w:rsidR="002E115A" w:rsidRPr="009D3659">
        <w:rPr>
          <w:rFonts w:ascii="Times New Roman" w:hAnsi="Times New Roman" w:cs="Times New Roman"/>
        </w:rPr>
        <w:t xml:space="preserve">In each seminar, I attempted to open up space for discussion by using a prompt (such as a Disney character from the movie </w:t>
      </w:r>
      <w:r w:rsidR="002E115A" w:rsidRPr="009D3659">
        <w:rPr>
          <w:rFonts w:ascii="Times New Roman" w:hAnsi="Times New Roman" w:cs="Times New Roman"/>
          <w:i/>
        </w:rPr>
        <w:t>Inside Out</w:t>
      </w:r>
      <w:r w:rsidR="002E115A" w:rsidRPr="009D3659">
        <w:rPr>
          <w:rFonts w:ascii="Times New Roman" w:hAnsi="Times New Roman" w:cs="Times New Roman"/>
        </w:rPr>
        <w:t>). In a class on disgust,</w:t>
      </w:r>
      <w:r w:rsidR="00DF3687">
        <w:rPr>
          <w:rFonts w:ascii="Times New Roman" w:hAnsi="Times New Roman" w:cs="Times New Roman"/>
        </w:rPr>
        <w:t xml:space="preserve"> for example,</w:t>
      </w:r>
      <w:r w:rsidR="002E115A" w:rsidRPr="009D3659">
        <w:rPr>
          <w:rFonts w:ascii="Times New Roman" w:hAnsi="Times New Roman" w:cs="Times New Roman"/>
        </w:rPr>
        <w:t xml:space="preserve"> I asked students to brainstorm how they felt or images that came to mind when I said the word “disgust.” This initial prompt generated some general responses </w:t>
      </w:r>
      <w:r w:rsidR="00CC5F6B" w:rsidRPr="009D3659">
        <w:rPr>
          <w:rFonts w:ascii="Times New Roman" w:hAnsi="Times New Roman" w:cs="Times New Roman"/>
        </w:rPr>
        <w:t>about “ickyness” or “</w:t>
      </w:r>
      <w:r w:rsidR="00367678" w:rsidRPr="009D3659">
        <w:rPr>
          <w:rFonts w:ascii="Times New Roman" w:hAnsi="Times New Roman" w:cs="Times New Roman"/>
        </w:rPr>
        <w:t>grossness</w:t>
      </w:r>
      <w:r w:rsidR="00CC5F6B" w:rsidRPr="009D3659">
        <w:rPr>
          <w:rFonts w:ascii="Times New Roman" w:hAnsi="Times New Roman" w:cs="Times New Roman"/>
        </w:rPr>
        <w:t xml:space="preserve">.” I then asked students to connect these </w:t>
      </w:r>
      <w:r w:rsidR="002E115A" w:rsidRPr="009D3659">
        <w:rPr>
          <w:rFonts w:ascii="Times New Roman" w:hAnsi="Times New Roman" w:cs="Times New Roman"/>
        </w:rPr>
        <w:t xml:space="preserve">single word responses </w:t>
      </w:r>
      <w:r w:rsidR="00CC5F6B" w:rsidRPr="009D3659">
        <w:rPr>
          <w:rFonts w:ascii="Times New Roman" w:hAnsi="Times New Roman" w:cs="Times New Roman"/>
        </w:rPr>
        <w:t>to personal experiences they had</w:t>
      </w:r>
      <w:r w:rsidR="002E115A" w:rsidRPr="009D3659">
        <w:rPr>
          <w:rFonts w:ascii="Times New Roman" w:hAnsi="Times New Roman" w:cs="Times New Roman"/>
        </w:rPr>
        <w:t>.</w:t>
      </w:r>
      <w:r w:rsidR="00CC5F6B" w:rsidRPr="009D3659">
        <w:rPr>
          <w:rFonts w:ascii="Times New Roman" w:hAnsi="Times New Roman" w:cs="Times New Roman"/>
        </w:rPr>
        <w:t xml:space="preserve"> I asked them to re-imagine that </w:t>
      </w:r>
      <w:r w:rsidR="00367678" w:rsidRPr="009D3659">
        <w:rPr>
          <w:rFonts w:ascii="Times New Roman" w:hAnsi="Times New Roman" w:cs="Times New Roman"/>
        </w:rPr>
        <w:t>experience and</w:t>
      </w:r>
      <w:r w:rsidR="00CC5F6B" w:rsidRPr="009D3659">
        <w:rPr>
          <w:rFonts w:ascii="Times New Roman" w:hAnsi="Times New Roman" w:cs="Times New Roman"/>
        </w:rPr>
        <w:t xml:space="preserve"> narrate what was involved (physical reactions, social responses, </w:t>
      </w:r>
      <w:r w:rsidR="00367678" w:rsidRPr="009D3659">
        <w:rPr>
          <w:rFonts w:ascii="Times New Roman" w:hAnsi="Times New Roman" w:cs="Times New Roman"/>
        </w:rPr>
        <w:t xml:space="preserve">personal consequences, etc). </w:t>
      </w:r>
      <w:r w:rsidR="00BD113A" w:rsidRPr="009D3659">
        <w:rPr>
          <w:rFonts w:ascii="Times New Roman" w:hAnsi="Times New Roman" w:cs="Times New Roman"/>
        </w:rPr>
        <w:t>The affective dimension of imagination structures how we grasp specific possibilities associated with certain terms, phrases, or experiences.</w:t>
      </w:r>
      <w:r w:rsidR="00DF3687">
        <w:rPr>
          <w:rStyle w:val="FootnoteReference"/>
          <w:rFonts w:ascii="Times New Roman" w:hAnsi="Times New Roman" w:cs="Times New Roman"/>
        </w:rPr>
        <w:footnoteReference w:id="54"/>
      </w:r>
      <w:r w:rsidR="00BD113A" w:rsidRPr="009D3659">
        <w:rPr>
          <w:rFonts w:ascii="Times New Roman" w:hAnsi="Times New Roman" w:cs="Times New Roman"/>
        </w:rPr>
        <w:t xml:space="preserve"> Asking students to reflect on emotional moments effectively demonstrated how they used their personal experiences to generate broader</w:t>
      </w:r>
      <w:r w:rsidR="002E115A" w:rsidRPr="009D3659">
        <w:rPr>
          <w:rFonts w:ascii="Times New Roman" w:hAnsi="Times New Roman" w:cs="Times New Roman"/>
        </w:rPr>
        <w:t xml:space="preserve"> </w:t>
      </w:r>
      <w:r w:rsidR="00367678" w:rsidRPr="009D3659">
        <w:rPr>
          <w:rFonts w:ascii="Times New Roman" w:hAnsi="Times New Roman" w:cs="Times New Roman"/>
        </w:rPr>
        <w:t xml:space="preserve">dialogue aimed at theorising </w:t>
      </w:r>
      <w:r w:rsidR="00DF3687">
        <w:rPr>
          <w:rFonts w:ascii="Times New Roman" w:hAnsi="Times New Roman" w:cs="Times New Roman"/>
        </w:rPr>
        <w:t>emotion</w:t>
      </w:r>
      <w:r w:rsidR="00BD113A" w:rsidRPr="009D3659">
        <w:rPr>
          <w:rFonts w:ascii="Times New Roman" w:hAnsi="Times New Roman" w:cs="Times New Roman"/>
        </w:rPr>
        <w:t>.</w:t>
      </w:r>
      <w:r w:rsidR="00367678" w:rsidRPr="009D3659">
        <w:rPr>
          <w:rFonts w:ascii="Times New Roman" w:hAnsi="Times New Roman" w:cs="Times New Roman"/>
        </w:rPr>
        <w:t xml:space="preserve"> </w:t>
      </w:r>
      <w:r w:rsidR="002E115A" w:rsidRPr="009D3659">
        <w:rPr>
          <w:rFonts w:ascii="Times New Roman" w:hAnsi="Times New Roman" w:cs="Times New Roman"/>
        </w:rPr>
        <w:t xml:space="preserve">I </w:t>
      </w:r>
      <w:r w:rsidR="00367678" w:rsidRPr="009D3659">
        <w:rPr>
          <w:rFonts w:ascii="Times New Roman" w:hAnsi="Times New Roman" w:cs="Times New Roman"/>
        </w:rPr>
        <w:t>could then</w:t>
      </w:r>
      <w:r w:rsidR="002E115A" w:rsidRPr="009D3659">
        <w:rPr>
          <w:rFonts w:ascii="Times New Roman" w:hAnsi="Times New Roman" w:cs="Times New Roman"/>
        </w:rPr>
        <w:t xml:space="preserve"> follow up </w:t>
      </w:r>
      <w:r w:rsidR="00367678" w:rsidRPr="009D3659">
        <w:rPr>
          <w:rFonts w:ascii="Times New Roman" w:hAnsi="Times New Roman" w:cs="Times New Roman"/>
        </w:rPr>
        <w:t xml:space="preserve">these points </w:t>
      </w:r>
      <w:r w:rsidR="002E115A" w:rsidRPr="009D3659">
        <w:rPr>
          <w:rFonts w:ascii="Times New Roman" w:hAnsi="Times New Roman" w:cs="Times New Roman"/>
        </w:rPr>
        <w:t>with further questions</w:t>
      </w:r>
      <w:r w:rsidR="00367678" w:rsidRPr="009D3659">
        <w:rPr>
          <w:rFonts w:ascii="Times New Roman" w:hAnsi="Times New Roman" w:cs="Times New Roman"/>
        </w:rPr>
        <w:t xml:space="preserve"> and comments </w:t>
      </w:r>
      <w:r w:rsidR="002E115A" w:rsidRPr="009D3659">
        <w:rPr>
          <w:rFonts w:ascii="Times New Roman" w:hAnsi="Times New Roman" w:cs="Times New Roman"/>
        </w:rPr>
        <w:t xml:space="preserve">in order to get students to </w:t>
      </w:r>
      <w:r w:rsidR="00BD113A" w:rsidRPr="009D3659">
        <w:rPr>
          <w:rFonts w:ascii="Times New Roman" w:hAnsi="Times New Roman" w:cs="Times New Roman"/>
        </w:rPr>
        <w:t>then focus on</w:t>
      </w:r>
      <w:r w:rsidR="002E115A" w:rsidRPr="009D3659">
        <w:rPr>
          <w:rFonts w:ascii="Times New Roman" w:hAnsi="Times New Roman" w:cs="Times New Roman"/>
        </w:rPr>
        <w:t xml:space="preserve"> </w:t>
      </w:r>
      <w:r w:rsidR="00BD113A" w:rsidRPr="009D3659">
        <w:rPr>
          <w:rFonts w:ascii="Times New Roman" w:hAnsi="Times New Roman" w:cs="Times New Roman"/>
        </w:rPr>
        <w:t xml:space="preserve">the legal subject material. </w:t>
      </w:r>
    </w:p>
    <w:p w14:paraId="74A43004" w14:textId="73D49480" w:rsidR="00C663C8" w:rsidRPr="009D3659" w:rsidRDefault="008B065E" w:rsidP="00C663C8">
      <w:pPr>
        <w:spacing w:line="360" w:lineRule="auto"/>
        <w:ind w:firstLine="720"/>
        <w:jc w:val="both"/>
        <w:rPr>
          <w:rFonts w:ascii="Times New Roman" w:hAnsi="Times New Roman" w:cs="Times New Roman"/>
        </w:rPr>
      </w:pPr>
      <w:r w:rsidRPr="009D3659">
        <w:rPr>
          <w:rFonts w:ascii="Times New Roman" w:hAnsi="Times New Roman" w:cs="Times New Roman"/>
        </w:rPr>
        <w:t>In the classroom</w:t>
      </w:r>
      <w:r w:rsidR="00CC5F6B" w:rsidRPr="009D3659">
        <w:rPr>
          <w:rFonts w:ascii="Times New Roman" w:hAnsi="Times New Roman" w:cs="Times New Roman"/>
        </w:rPr>
        <w:t>, students’ capacities to reflect on personal positioning</w:t>
      </w:r>
      <w:r w:rsidR="003D0552">
        <w:rPr>
          <w:rFonts w:ascii="Times New Roman" w:hAnsi="Times New Roman" w:cs="Times New Roman"/>
        </w:rPr>
        <w:t xml:space="preserve"> (to talk about their feelings)</w:t>
      </w:r>
      <w:r w:rsidR="00CC5F6B" w:rsidRPr="009D3659">
        <w:rPr>
          <w:rFonts w:ascii="Times New Roman" w:hAnsi="Times New Roman" w:cs="Times New Roman"/>
        </w:rPr>
        <w:t xml:space="preserve"> were key to our dialogues</w:t>
      </w:r>
      <w:r w:rsidR="00BD113A" w:rsidRPr="009D3659">
        <w:rPr>
          <w:rFonts w:ascii="Times New Roman" w:hAnsi="Times New Roman" w:cs="Times New Roman"/>
        </w:rPr>
        <w:t xml:space="preserve"> and promoting greater student participation. </w:t>
      </w:r>
      <w:r w:rsidR="00CC5F6B" w:rsidRPr="009D3659">
        <w:rPr>
          <w:rFonts w:ascii="Times New Roman" w:hAnsi="Times New Roman" w:cs="Times New Roman"/>
        </w:rPr>
        <w:t>Students who were able to recognise their “starting points” (such as their assumption about whether disgust was a negative emotion or whether</w:t>
      </w:r>
      <w:r w:rsidRPr="009D3659">
        <w:rPr>
          <w:rFonts w:ascii="Times New Roman" w:hAnsi="Times New Roman" w:cs="Times New Roman"/>
        </w:rPr>
        <w:t xml:space="preserve"> certain kinds of</w:t>
      </w:r>
      <w:r w:rsidR="00B0562E" w:rsidRPr="009D3659">
        <w:rPr>
          <w:rFonts w:ascii="Times New Roman" w:hAnsi="Times New Roman" w:cs="Times New Roman"/>
        </w:rPr>
        <w:t xml:space="preserve"> sex were</w:t>
      </w:r>
      <w:r w:rsidR="00CC5F6B" w:rsidRPr="009D3659">
        <w:rPr>
          <w:rFonts w:ascii="Times New Roman" w:hAnsi="Times New Roman" w:cs="Times New Roman"/>
        </w:rPr>
        <w:t xml:space="preserve"> disgusting) were better able to discuss issues in a respectful and rigorous way. Reflective practice involves thinking about what we do and how we learn through different lenses. </w:t>
      </w:r>
      <w:r w:rsidR="007C78D3" w:rsidRPr="009D3659">
        <w:rPr>
          <w:rFonts w:ascii="Times New Roman" w:hAnsi="Times New Roman" w:cs="Times New Roman"/>
        </w:rPr>
        <w:t>Brookfield</w:t>
      </w:r>
      <w:r w:rsidR="00DF3687">
        <w:rPr>
          <w:rFonts w:ascii="Times New Roman" w:hAnsi="Times New Roman" w:cs="Times New Roman"/>
        </w:rPr>
        <w:t xml:space="preserve"> </w:t>
      </w:r>
      <w:r w:rsidR="007C78D3" w:rsidRPr="009D3659">
        <w:rPr>
          <w:rFonts w:ascii="Times New Roman" w:hAnsi="Times New Roman" w:cs="Times New Roman"/>
        </w:rPr>
        <w:t>writes that reflective</w:t>
      </w:r>
      <w:r w:rsidR="00CC5F6B" w:rsidRPr="009D3659">
        <w:rPr>
          <w:rFonts w:ascii="Times New Roman" w:hAnsi="Times New Roman" w:cs="Times New Roman"/>
        </w:rPr>
        <w:t xml:space="preserve"> practice </w:t>
      </w:r>
      <w:r w:rsidR="007C78D3" w:rsidRPr="009D3659">
        <w:rPr>
          <w:rFonts w:ascii="Times New Roman" w:hAnsi="Times New Roman" w:cs="Times New Roman"/>
        </w:rPr>
        <w:t>is</w:t>
      </w:r>
      <w:r w:rsidR="00CC5F6B" w:rsidRPr="009D3659">
        <w:rPr>
          <w:rFonts w:ascii="Times New Roman" w:hAnsi="Times New Roman" w:cs="Times New Roman"/>
        </w:rPr>
        <w:t xml:space="preserve"> critical for </w:t>
      </w:r>
      <w:r w:rsidR="007C78D3" w:rsidRPr="009D3659">
        <w:rPr>
          <w:rFonts w:ascii="Times New Roman" w:hAnsi="Times New Roman" w:cs="Times New Roman"/>
        </w:rPr>
        <w:t>teachers</w:t>
      </w:r>
      <w:r w:rsidR="00CC5F6B" w:rsidRPr="009D3659">
        <w:rPr>
          <w:rFonts w:ascii="Times New Roman" w:hAnsi="Times New Roman" w:cs="Times New Roman"/>
        </w:rPr>
        <w:t xml:space="preserve"> to scrutinise assumptions and recognise how pedagogic</w:t>
      </w:r>
      <w:r w:rsidR="00611755" w:rsidRPr="009D3659">
        <w:rPr>
          <w:rFonts w:ascii="Times New Roman" w:hAnsi="Times New Roman" w:cs="Times New Roman"/>
        </w:rPr>
        <w:t>al</w:t>
      </w:r>
      <w:r w:rsidR="00CC5F6B" w:rsidRPr="009D3659">
        <w:rPr>
          <w:rFonts w:ascii="Times New Roman" w:hAnsi="Times New Roman" w:cs="Times New Roman"/>
        </w:rPr>
        <w:t xml:space="preserve"> practices can mask particular power relationships or dynamics and hegemonic beliefs about what constitute good practice.</w:t>
      </w:r>
      <w:r w:rsidR="00DF3687">
        <w:rPr>
          <w:rStyle w:val="FootnoteReference"/>
          <w:rFonts w:ascii="Times New Roman" w:hAnsi="Times New Roman" w:cs="Times New Roman"/>
        </w:rPr>
        <w:footnoteReference w:id="55"/>
      </w:r>
      <w:r w:rsidR="00CC5F6B" w:rsidRPr="009D3659">
        <w:rPr>
          <w:rFonts w:ascii="Times New Roman" w:hAnsi="Times New Roman" w:cs="Times New Roman"/>
        </w:rPr>
        <w:t xml:space="preserve"> </w:t>
      </w:r>
      <w:r w:rsidR="00B02B9B" w:rsidRPr="009D3659">
        <w:rPr>
          <w:rFonts w:ascii="Times New Roman" w:hAnsi="Times New Roman" w:cs="Times New Roman"/>
        </w:rPr>
        <w:t xml:space="preserve">I would </w:t>
      </w:r>
      <w:r w:rsidR="00180FFF" w:rsidRPr="009D3659">
        <w:rPr>
          <w:rFonts w:ascii="Times New Roman" w:hAnsi="Times New Roman" w:cs="Times New Roman"/>
        </w:rPr>
        <w:t>extend Brook</w:t>
      </w:r>
      <w:r w:rsidR="001B0357">
        <w:rPr>
          <w:rFonts w:ascii="Times New Roman" w:hAnsi="Times New Roman" w:cs="Times New Roman"/>
        </w:rPr>
        <w:t>field</w:t>
      </w:r>
      <w:r w:rsidR="00180FFF" w:rsidRPr="009D3659">
        <w:rPr>
          <w:rFonts w:ascii="Times New Roman" w:hAnsi="Times New Roman" w:cs="Times New Roman"/>
        </w:rPr>
        <w:t xml:space="preserve"> further and suggest this is a</w:t>
      </w:r>
      <w:r w:rsidR="00B02B9B" w:rsidRPr="009D3659">
        <w:rPr>
          <w:rFonts w:ascii="Times New Roman" w:hAnsi="Times New Roman" w:cs="Times New Roman"/>
        </w:rPr>
        <w:t xml:space="preserve"> practice to cultivate among students: scrutinising emotions allows them to understand how law can mask power dynamics and understand how emotions create hegemonic beliefs about law</w:t>
      </w:r>
      <w:r w:rsidRPr="009D3659">
        <w:rPr>
          <w:rFonts w:ascii="Times New Roman" w:hAnsi="Times New Roman" w:cs="Times New Roman"/>
        </w:rPr>
        <w:t xml:space="preserve"> and the value of law reform</w:t>
      </w:r>
      <w:r w:rsidR="00B02B9B" w:rsidRPr="009D3659">
        <w:rPr>
          <w:rFonts w:ascii="Times New Roman" w:hAnsi="Times New Roman" w:cs="Times New Roman"/>
        </w:rPr>
        <w:t>.</w:t>
      </w:r>
      <w:r w:rsidRPr="009D3659">
        <w:rPr>
          <w:rFonts w:ascii="Times New Roman" w:hAnsi="Times New Roman" w:cs="Times New Roman"/>
        </w:rPr>
        <w:t xml:space="preserve"> Disgust, for example, is routinely embraced in criminalising conduct (such as public nudity) that offends public sensibilities.</w:t>
      </w:r>
      <w:r w:rsidR="00DF3687">
        <w:rPr>
          <w:rStyle w:val="FootnoteReference"/>
          <w:rFonts w:ascii="Times New Roman" w:hAnsi="Times New Roman" w:cs="Times New Roman"/>
        </w:rPr>
        <w:footnoteReference w:id="56"/>
      </w:r>
      <w:r w:rsidR="00B02B9B" w:rsidRPr="009D3659">
        <w:rPr>
          <w:rFonts w:ascii="Times New Roman" w:hAnsi="Times New Roman" w:cs="Times New Roman"/>
        </w:rPr>
        <w:t xml:space="preserve"> </w:t>
      </w:r>
      <w:r w:rsidR="00C663C8" w:rsidRPr="009D3659">
        <w:rPr>
          <w:rFonts w:ascii="Times New Roman" w:hAnsi="Times New Roman" w:cs="Times New Roman"/>
        </w:rPr>
        <w:t>By “thinking somatically” we can see how learning is embodi</w:t>
      </w:r>
      <w:r w:rsidR="00B0562E" w:rsidRPr="009D3659">
        <w:rPr>
          <w:rFonts w:ascii="Times New Roman" w:hAnsi="Times New Roman" w:cs="Times New Roman"/>
        </w:rPr>
        <w:t>ed through</w:t>
      </w:r>
      <w:r w:rsidR="00C663C8" w:rsidRPr="009D3659">
        <w:rPr>
          <w:rFonts w:ascii="Times New Roman" w:hAnsi="Times New Roman" w:cs="Times New Roman"/>
        </w:rPr>
        <w:t xml:space="preserve"> the content of what we teach</w:t>
      </w:r>
      <w:r w:rsidRPr="009D3659">
        <w:rPr>
          <w:rFonts w:ascii="Times New Roman" w:hAnsi="Times New Roman" w:cs="Times New Roman"/>
        </w:rPr>
        <w:t xml:space="preserve"> </w:t>
      </w:r>
      <w:r w:rsidRPr="009D3659">
        <w:rPr>
          <w:rFonts w:ascii="Times New Roman" w:hAnsi="Times New Roman" w:cs="Times New Roman"/>
        </w:rPr>
        <w:lastRenderedPageBreak/>
        <w:t>(ie disgust in criminal law)</w:t>
      </w:r>
      <w:r w:rsidR="00C663C8" w:rsidRPr="009D3659">
        <w:rPr>
          <w:rFonts w:ascii="Times New Roman" w:hAnsi="Times New Roman" w:cs="Times New Roman"/>
        </w:rPr>
        <w:t xml:space="preserve"> and the methods we use to teach it</w:t>
      </w:r>
      <w:r w:rsidRPr="009D3659">
        <w:rPr>
          <w:rFonts w:ascii="Times New Roman" w:hAnsi="Times New Roman" w:cs="Times New Roman"/>
        </w:rPr>
        <w:t xml:space="preserve"> (ie reflecting on the disgust we feel towards the law or the conduct it addresses)</w:t>
      </w:r>
      <w:r w:rsidR="00C663C8" w:rsidRPr="009D3659">
        <w:rPr>
          <w:rFonts w:ascii="Times New Roman" w:hAnsi="Times New Roman" w:cs="Times New Roman"/>
        </w:rPr>
        <w:t xml:space="preserve">. </w:t>
      </w:r>
      <w:r w:rsidRPr="009D3659">
        <w:rPr>
          <w:rFonts w:ascii="Times New Roman" w:hAnsi="Times New Roman" w:cs="Times New Roman"/>
        </w:rPr>
        <w:t>Foregrounding this</w:t>
      </w:r>
      <w:r w:rsidR="00C663C8" w:rsidRPr="009D3659">
        <w:rPr>
          <w:rFonts w:ascii="Times New Roman" w:hAnsi="Times New Roman" w:cs="Times New Roman"/>
        </w:rPr>
        <w:t xml:space="preserve"> relationship allows us</w:t>
      </w:r>
      <w:r w:rsidRPr="009D3659">
        <w:rPr>
          <w:rFonts w:ascii="Times New Roman" w:hAnsi="Times New Roman" w:cs="Times New Roman"/>
        </w:rPr>
        <w:t xml:space="preserve"> as law teachers</w:t>
      </w:r>
      <w:r w:rsidR="00C663C8" w:rsidRPr="009D3659">
        <w:rPr>
          <w:rFonts w:ascii="Times New Roman" w:hAnsi="Times New Roman" w:cs="Times New Roman"/>
        </w:rPr>
        <w:t xml:space="preserve"> to construct an “affective interface between curriculum and pedagogy”.</w:t>
      </w:r>
      <w:r w:rsidR="00DF3687">
        <w:rPr>
          <w:rStyle w:val="FootnoteReference"/>
          <w:rFonts w:ascii="Times New Roman" w:hAnsi="Times New Roman" w:cs="Times New Roman"/>
        </w:rPr>
        <w:footnoteReference w:id="57"/>
      </w:r>
      <w:r w:rsidR="00C663C8" w:rsidRPr="009D3659">
        <w:rPr>
          <w:rFonts w:ascii="Times New Roman" w:hAnsi="Times New Roman" w:cs="Times New Roman"/>
        </w:rPr>
        <w:t xml:space="preserve"> </w:t>
      </w:r>
      <w:r w:rsidR="00B02B9B" w:rsidRPr="009D3659">
        <w:rPr>
          <w:rFonts w:ascii="Times New Roman" w:hAnsi="Times New Roman" w:cs="Times New Roman"/>
        </w:rPr>
        <w:t xml:space="preserve">Therefore, I encouraged students to explain their </w:t>
      </w:r>
      <w:r w:rsidR="00C663C8" w:rsidRPr="009D3659">
        <w:rPr>
          <w:rFonts w:ascii="Times New Roman" w:hAnsi="Times New Roman" w:cs="Times New Roman"/>
        </w:rPr>
        <w:t xml:space="preserve">emotional </w:t>
      </w:r>
      <w:r w:rsidR="00B02B9B" w:rsidRPr="009D3659">
        <w:rPr>
          <w:rFonts w:ascii="Times New Roman" w:hAnsi="Times New Roman" w:cs="Times New Roman"/>
        </w:rPr>
        <w:t xml:space="preserve">positioning through references to the module readings to ensure that discussion remained focused and relevant (this also helped students less comfortable drawing on their experiences or anecdotes). In doing so, I came to appreciate how </w:t>
      </w:r>
      <w:r w:rsidR="00EF0A36" w:rsidRPr="009D3659">
        <w:rPr>
          <w:rFonts w:ascii="Times New Roman" w:hAnsi="Times New Roman" w:cs="Times New Roman"/>
        </w:rPr>
        <w:t>could</w:t>
      </w:r>
      <w:r w:rsidR="00C663C8" w:rsidRPr="009D3659">
        <w:rPr>
          <w:rFonts w:ascii="Times New Roman" w:hAnsi="Times New Roman" w:cs="Times New Roman"/>
        </w:rPr>
        <w:t xml:space="preserve"> </w:t>
      </w:r>
      <w:r w:rsidR="00B02B9B" w:rsidRPr="009D3659">
        <w:rPr>
          <w:rFonts w:ascii="Times New Roman" w:hAnsi="Times New Roman" w:cs="Times New Roman"/>
        </w:rPr>
        <w:t xml:space="preserve">teachers play an important role in facilitating </w:t>
      </w:r>
      <w:r w:rsidR="00C663C8" w:rsidRPr="009D3659">
        <w:rPr>
          <w:rFonts w:ascii="Times New Roman" w:hAnsi="Times New Roman" w:cs="Times New Roman"/>
        </w:rPr>
        <w:t>reflective</w:t>
      </w:r>
      <w:r w:rsidR="00B02B9B" w:rsidRPr="009D3659">
        <w:rPr>
          <w:rFonts w:ascii="Times New Roman" w:hAnsi="Times New Roman" w:cs="Times New Roman"/>
        </w:rPr>
        <w:t xml:space="preserve"> discussion by initially asking broad questions that invite disparate responses and then anchoring (some of) those responses more specifically to the subject matter of the module. In </w:t>
      </w:r>
      <w:r w:rsidR="001B0357">
        <w:rPr>
          <w:rFonts w:ascii="Times New Roman" w:hAnsi="Times New Roman" w:cs="Times New Roman"/>
        </w:rPr>
        <w:t>each</w:t>
      </w:r>
      <w:r w:rsidR="00B02B9B" w:rsidRPr="009D3659">
        <w:rPr>
          <w:rFonts w:ascii="Times New Roman" w:hAnsi="Times New Roman" w:cs="Times New Roman"/>
        </w:rPr>
        <w:t xml:space="preserve"> seminar, this included: asking students to define the specific terms they used, clarifying the context of their statements, identifying or asking for connections to the reading materials, and acting as a “devil’s advocate” and urging students to consider counterpoints or counterfactual scenarios to points they raised. </w:t>
      </w:r>
      <w:r w:rsidR="00F35BF5" w:rsidRPr="009D3659">
        <w:rPr>
          <w:rFonts w:ascii="Times New Roman" w:hAnsi="Times New Roman" w:cs="Times New Roman"/>
        </w:rPr>
        <w:t xml:space="preserve">This </w:t>
      </w:r>
      <w:r w:rsidR="00B02B9B" w:rsidRPr="009D3659">
        <w:rPr>
          <w:rFonts w:ascii="Times New Roman" w:hAnsi="Times New Roman" w:cs="Times New Roman"/>
        </w:rPr>
        <w:t>pedagogic</w:t>
      </w:r>
      <w:r w:rsidR="00611755" w:rsidRPr="009D3659">
        <w:rPr>
          <w:rFonts w:ascii="Times New Roman" w:hAnsi="Times New Roman" w:cs="Times New Roman"/>
        </w:rPr>
        <w:t>al</w:t>
      </w:r>
      <w:r w:rsidR="00B02B9B" w:rsidRPr="009D3659">
        <w:rPr>
          <w:rFonts w:ascii="Times New Roman" w:hAnsi="Times New Roman" w:cs="Times New Roman"/>
        </w:rPr>
        <w:t xml:space="preserve"> </w:t>
      </w:r>
      <w:r w:rsidRPr="009D3659">
        <w:rPr>
          <w:rFonts w:ascii="Times New Roman" w:hAnsi="Times New Roman" w:cs="Times New Roman"/>
        </w:rPr>
        <w:t>use of emotion</w:t>
      </w:r>
      <w:r w:rsidR="00B02B9B" w:rsidRPr="009D3659">
        <w:rPr>
          <w:rFonts w:ascii="Times New Roman" w:hAnsi="Times New Roman" w:cs="Times New Roman"/>
        </w:rPr>
        <w:t xml:space="preserve"> helps students</w:t>
      </w:r>
      <w:r w:rsidR="00F35BF5" w:rsidRPr="009D3659">
        <w:rPr>
          <w:rFonts w:ascii="Times New Roman" w:hAnsi="Times New Roman" w:cs="Times New Roman"/>
        </w:rPr>
        <w:t xml:space="preserve"> break apart particular forms of knowledge and provide tools for </w:t>
      </w:r>
      <w:r w:rsidR="00B02B9B" w:rsidRPr="009D3659">
        <w:rPr>
          <w:rFonts w:ascii="Times New Roman" w:hAnsi="Times New Roman" w:cs="Times New Roman"/>
        </w:rPr>
        <w:t>them</w:t>
      </w:r>
      <w:r w:rsidR="00F35BF5" w:rsidRPr="009D3659">
        <w:rPr>
          <w:rFonts w:ascii="Times New Roman" w:hAnsi="Times New Roman" w:cs="Times New Roman"/>
        </w:rPr>
        <w:t xml:space="preserve"> to rebuild new schemas of knowledge. </w:t>
      </w:r>
    </w:p>
    <w:p w14:paraId="44369CB9" w14:textId="42757EA3" w:rsidR="00384A15" w:rsidRPr="009D3659" w:rsidRDefault="00D61F5F" w:rsidP="008B065E">
      <w:pPr>
        <w:spacing w:line="360" w:lineRule="auto"/>
        <w:ind w:firstLine="720"/>
        <w:jc w:val="both"/>
        <w:rPr>
          <w:rFonts w:ascii="Times New Roman" w:hAnsi="Times New Roman" w:cs="Times New Roman"/>
        </w:rPr>
      </w:pPr>
      <w:r w:rsidRPr="009D3659">
        <w:rPr>
          <w:rFonts w:ascii="Times New Roman" w:hAnsi="Times New Roman" w:cs="Times New Roman"/>
        </w:rPr>
        <w:t>Foregrounding</w:t>
      </w:r>
      <w:r w:rsidR="00180FFF" w:rsidRPr="009D3659">
        <w:rPr>
          <w:rFonts w:ascii="Times New Roman" w:hAnsi="Times New Roman" w:cs="Times New Roman"/>
        </w:rPr>
        <w:t xml:space="preserve"> emotion </w:t>
      </w:r>
      <w:r w:rsidRPr="009D3659">
        <w:rPr>
          <w:rFonts w:ascii="Times New Roman" w:hAnsi="Times New Roman" w:cs="Times New Roman"/>
        </w:rPr>
        <w:t xml:space="preserve">in the legal classroom </w:t>
      </w:r>
      <w:r w:rsidR="00D13CE2" w:rsidRPr="009D3659">
        <w:rPr>
          <w:rFonts w:ascii="Times New Roman" w:hAnsi="Times New Roman" w:cs="Times New Roman"/>
        </w:rPr>
        <w:t>generates vulnerability and</w:t>
      </w:r>
      <w:r w:rsidR="00180FFF" w:rsidRPr="009D3659">
        <w:rPr>
          <w:rFonts w:ascii="Times New Roman" w:hAnsi="Times New Roman" w:cs="Times New Roman"/>
        </w:rPr>
        <w:t xml:space="preserve"> </w:t>
      </w:r>
      <w:r w:rsidR="00D13CE2" w:rsidRPr="009D3659">
        <w:rPr>
          <w:rFonts w:ascii="Times New Roman" w:hAnsi="Times New Roman" w:cs="Times New Roman"/>
        </w:rPr>
        <w:t xml:space="preserve">this </w:t>
      </w:r>
      <w:r w:rsidR="00180FFF" w:rsidRPr="009D3659">
        <w:rPr>
          <w:rFonts w:ascii="Times New Roman" w:hAnsi="Times New Roman" w:cs="Times New Roman"/>
        </w:rPr>
        <w:t xml:space="preserve">carries certain </w:t>
      </w:r>
      <w:r w:rsidR="00D13CE2" w:rsidRPr="009D3659">
        <w:rPr>
          <w:rFonts w:ascii="Times New Roman" w:hAnsi="Times New Roman" w:cs="Times New Roman"/>
        </w:rPr>
        <w:t xml:space="preserve">opportunities and </w:t>
      </w:r>
      <w:r w:rsidR="00180FFF" w:rsidRPr="009D3659">
        <w:rPr>
          <w:rFonts w:ascii="Times New Roman" w:hAnsi="Times New Roman" w:cs="Times New Roman"/>
        </w:rPr>
        <w:t xml:space="preserve">risks. The classroom is </w:t>
      </w:r>
      <w:r w:rsidR="00C663C8" w:rsidRPr="009D3659">
        <w:rPr>
          <w:rFonts w:ascii="Times New Roman" w:hAnsi="Times New Roman" w:cs="Times New Roman"/>
        </w:rPr>
        <w:t>ill equipped</w:t>
      </w:r>
      <w:r w:rsidR="00180FFF" w:rsidRPr="009D3659">
        <w:rPr>
          <w:rFonts w:ascii="Times New Roman" w:hAnsi="Times New Roman" w:cs="Times New Roman"/>
        </w:rPr>
        <w:t xml:space="preserve"> to be a therapeutic space and we should be acutely aware that law </w:t>
      </w:r>
      <w:r w:rsidR="00E609C0" w:rsidRPr="009D3659">
        <w:rPr>
          <w:rFonts w:ascii="Times New Roman" w:hAnsi="Times New Roman" w:cs="Times New Roman"/>
        </w:rPr>
        <w:t>classrooms and curriculums</w:t>
      </w:r>
      <w:r w:rsidR="00180FFF" w:rsidRPr="009D3659">
        <w:rPr>
          <w:rFonts w:ascii="Times New Roman" w:hAnsi="Times New Roman" w:cs="Times New Roman"/>
        </w:rPr>
        <w:t xml:space="preserve"> (especially when taught in an adversarial and competitive context) have adverse impacts on the mental health of students</w:t>
      </w:r>
      <w:r w:rsidR="00E609C0" w:rsidRPr="009D3659">
        <w:rPr>
          <w:rFonts w:ascii="Times New Roman" w:hAnsi="Times New Roman" w:cs="Times New Roman"/>
        </w:rPr>
        <w:t>.</w:t>
      </w:r>
      <w:r w:rsidR="00DF3687">
        <w:rPr>
          <w:rStyle w:val="FootnoteReference"/>
          <w:rFonts w:ascii="Times New Roman" w:hAnsi="Times New Roman" w:cs="Times New Roman"/>
        </w:rPr>
        <w:footnoteReference w:id="58"/>
      </w:r>
      <w:r w:rsidR="00E609C0" w:rsidRPr="009D3659">
        <w:rPr>
          <w:rFonts w:ascii="Times New Roman" w:hAnsi="Times New Roman" w:cs="Times New Roman"/>
        </w:rPr>
        <w:t xml:space="preserve"> I aimed to address this challenge by making emotional literacy and personal wellbeing part of the module. </w:t>
      </w:r>
      <w:r w:rsidR="001B0BC6" w:rsidRPr="009D3659">
        <w:rPr>
          <w:rFonts w:ascii="Times New Roman" w:hAnsi="Times New Roman" w:cs="Times New Roman"/>
        </w:rPr>
        <w:t>The module outline identified the topics under discussion each week and students were advised they could leave if they found the content “triggering.” However, I also wanted the classroom to challenge student views and become a space of generating pedagogic</w:t>
      </w:r>
      <w:r w:rsidR="00611755" w:rsidRPr="009D3659">
        <w:rPr>
          <w:rFonts w:ascii="Times New Roman" w:hAnsi="Times New Roman" w:cs="Times New Roman"/>
        </w:rPr>
        <w:t>al</w:t>
      </w:r>
      <w:r w:rsidR="001B0BC6" w:rsidRPr="009D3659">
        <w:rPr>
          <w:rFonts w:ascii="Times New Roman" w:hAnsi="Times New Roman" w:cs="Times New Roman"/>
        </w:rPr>
        <w:t xml:space="preserve"> discomfort. </w:t>
      </w:r>
      <w:r w:rsidR="00C663C8" w:rsidRPr="009D3659">
        <w:rPr>
          <w:rFonts w:ascii="Times New Roman" w:hAnsi="Times New Roman" w:cs="Times New Roman"/>
        </w:rPr>
        <w:t>This tension could be partially addressed by</w:t>
      </w:r>
      <w:r w:rsidR="000D0622" w:rsidRPr="009D3659">
        <w:rPr>
          <w:rFonts w:ascii="Times New Roman" w:hAnsi="Times New Roman" w:cs="Times New Roman"/>
        </w:rPr>
        <w:t xml:space="preserve"> foreground</w:t>
      </w:r>
      <w:r w:rsidR="00C663C8" w:rsidRPr="009D3659">
        <w:rPr>
          <w:rFonts w:ascii="Times New Roman" w:hAnsi="Times New Roman" w:cs="Times New Roman"/>
        </w:rPr>
        <w:t>ing</w:t>
      </w:r>
      <w:r w:rsidR="000D0622" w:rsidRPr="009D3659">
        <w:rPr>
          <w:rFonts w:ascii="Times New Roman" w:hAnsi="Times New Roman" w:cs="Times New Roman"/>
        </w:rPr>
        <w:t xml:space="preserve"> emotion and embodiment in the legal classroom</w:t>
      </w:r>
      <w:r w:rsidR="001B0BC6" w:rsidRPr="009D3659">
        <w:rPr>
          <w:rFonts w:ascii="Times New Roman" w:hAnsi="Times New Roman" w:cs="Times New Roman"/>
        </w:rPr>
        <w:t xml:space="preserve"> to enable students to navigate their </w:t>
      </w:r>
      <w:r w:rsidR="00612BD6" w:rsidRPr="009D3659">
        <w:rPr>
          <w:rFonts w:ascii="Times New Roman" w:hAnsi="Times New Roman" w:cs="Times New Roman"/>
        </w:rPr>
        <w:t xml:space="preserve">personal </w:t>
      </w:r>
      <w:r w:rsidR="001B0BC6" w:rsidRPr="009D3659">
        <w:rPr>
          <w:rFonts w:ascii="Times New Roman" w:hAnsi="Times New Roman" w:cs="Times New Roman"/>
        </w:rPr>
        <w:t>emotions alongside challenging legal topics</w:t>
      </w:r>
      <w:r w:rsidR="000D0622" w:rsidRPr="009D3659">
        <w:rPr>
          <w:rFonts w:ascii="Times New Roman" w:hAnsi="Times New Roman" w:cs="Times New Roman"/>
        </w:rPr>
        <w:t>.</w:t>
      </w:r>
      <w:r w:rsidR="00DF3687">
        <w:rPr>
          <w:rStyle w:val="FootnoteReference"/>
          <w:rFonts w:ascii="Times New Roman" w:hAnsi="Times New Roman" w:cs="Times New Roman"/>
        </w:rPr>
        <w:footnoteReference w:id="59"/>
      </w:r>
      <w:r w:rsidR="000D0622" w:rsidRPr="009D3659">
        <w:rPr>
          <w:rFonts w:ascii="Times New Roman" w:hAnsi="Times New Roman" w:cs="Times New Roman"/>
        </w:rPr>
        <w:t xml:space="preserve"> </w:t>
      </w:r>
      <w:r w:rsidR="004843E9" w:rsidRPr="009D3659">
        <w:rPr>
          <w:rFonts w:ascii="Times New Roman" w:hAnsi="Times New Roman" w:cs="Times New Roman"/>
        </w:rPr>
        <w:t>The seminars utilised</w:t>
      </w:r>
      <w:r w:rsidR="00213F90" w:rsidRPr="009D3659">
        <w:rPr>
          <w:rFonts w:ascii="Times New Roman" w:hAnsi="Times New Roman" w:cs="Times New Roman"/>
        </w:rPr>
        <w:t xml:space="preserve"> a range of teaching activities:</w:t>
      </w:r>
      <w:r w:rsidR="004843E9" w:rsidRPr="009D3659">
        <w:rPr>
          <w:rFonts w:ascii="Times New Roman" w:hAnsi="Times New Roman" w:cs="Times New Roman"/>
        </w:rPr>
        <w:t xml:space="preserve"> visual material (graphics or memes), personal anecdotes</w:t>
      </w:r>
      <w:r w:rsidR="00C663C8" w:rsidRPr="009D3659">
        <w:rPr>
          <w:rFonts w:ascii="Times New Roman" w:hAnsi="Times New Roman" w:cs="Times New Roman"/>
        </w:rPr>
        <w:t xml:space="preserve"> (student experiences)</w:t>
      </w:r>
      <w:r w:rsidR="004843E9" w:rsidRPr="009D3659">
        <w:rPr>
          <w:rFonts w:ascii="Times New Roman" w:hAnsi="Times New Roman" w:cs="Times New Roman"/>
        </w:rPr>
        <w:t>, guided discussions</w:t>
      </w:r>
      <w:r w:rsidR="00C663C8" w:rsidRPr="009D3659">
        <w:rPr>
          <w:rFonts w:ascii="Times New Roman" w:hAnsi="Times New Roman" w:cs="Times New Roman"/>
        </w:rPr>
        <w:t xml:space="preserve"> (paired or group work to discuss a legal problem)</w:t>
      </w:r>
      <w:r w:rsidR="004843E9" w:rsidRPr="009D3659">
        <w:rPr>
          <w:rFonts w:ascii="Times New Roman" w:hAnsi="Times New Roman" w:cs="Times New Roman"/>
        </w:rPr>
        <w:t>, and reflections on the readings</w:t>
      </w:r>
      <w:r w:rsidR="00350231" w:rsidRPr="009D3659">
        <w:rPr>
          <w:rFonts w:ascii="Times New Roman" w:hAnsi="Times New Roman" w:cs="Times New Roman"/>
        </w:rPr>
        <w:t xml:space="preserve"> or song choice</w:t>
      </w:r>
      <w:r w:rsidR="004843E9" w:rsidRPr="009D3659">
        <w:rPr>
          <w:rFonts w:ascii="Times New Roman" w:hAnsi="Times New Roman" w:cs="Times New Roman"/>
        </w:rPr>
        <w:t xml:space="preserve"> </w:t>
      </w:r>
      <w:r w:rsidR="00C663C8" w:rsidRPr="009D3659">
        <w:rPr>
          <w:rFonts w:ascii="Times New Roman" w:hAnsi="Times New Roman" w:cs="Times New Roman"/>
        </w:rPr>
        <w:t xml:space="preserve">(sharing </w:t>
      </w:r>
      <w:r w:rsidR="00350231" w:rsidRPr="009D3659">
        <w:rPr>
          <w:rFonts w:ascii="Times New Roman" w:hAnsi="Times New Roman" w:cs="Times New Roman"/>
        </w:rPr>
        <w:t>key points, praise,</w:t>
      </w:r>
      <w:r w:rsidR="00C663C8" w:rsidRPr="009D3659">
        <w:rPr>
          <w:rFonts w:ascii="Times New Roman" w:hAnsi="Times New Roman" w:cs="Times New Roman"/>
        </w:rPr>
        <w:t xml:space="preserve"> and critiques) </w:t>
      </w:r>
      <w:r w:rsidR="004843E9" w:rsidRPr="009D3659">
        <w:rPr>
          <w:rFonts w:ascii="Times New Roman" w:hAnsi="Times New Roman" w:cs="Times New Roman"/>
        </w:rPr>
        <w:t xml:space="preserve">to create a space where students </w:t>
      </w:r>
      <w:r w:rsidR="004843E9" w:rsidRPr="009D3659">
        <w:rPr>
          <w:rFonts w:ascii="Times New Roman" w:hAnsi="Times New Roman" w:cs="Times New Roman"/>
        </w:rPr>
        <w:lastRenderedPageBreak/>
        <w:t>could:</w:t>
      </w:r>
      <w:r w:rsidR="00213F90" w:rsidRPr="009D3659">
        <w:rPr>
          <w:rFonts w:ascii="Times New Roman" w:hAnsi="Times New Roman" w:cs="Times New Roman"/>
        </w:rPr>
        <w:t xml:space="preserve"> </w:t>
      </w:r>
      <w:r w:rsidR="000D0622" w:rsidRPr="009D3659">
        <w:rPr>
          <w:rFonts w:ascii="Times New Roman" w:hAnsi="Times New Roman" w:cs="Times New Roman"/>
        </w:rPr>
        <w:t>examine</w:t>
      </w:r>
      <w:r w:rsidR="004843E9" w:rsidRPr="009D3659">
        <w:rPr>
          <w:rFonts w:ascii="Times New Roman" w:hAnsi="Times New Roman" w:cs="Times New Roman"/>
        </w:rPr>
        <w:t xml:space="preserve"> </w:t>
      </w:r>
      <w:r w:rsidRPr="009D3659">
        <w:rPr>
          <w:rFonts w:ascii="Times New Roman" w:hAnsi="Times New Roman" w:cs="Times New Roman"/>
        </w:rPr>
        <w:t>emotions; understand</w:t>
      </w:r>
      <w:r w:rsidR="000D0622" w:rsidRPr="009D3659">
        <w:rPr>
          <w:rFonts w:ascii="Times New Roman" w:hAnsi="Times New Roman" w:cs="Times New Roman"/>
        </w:rPr>
        <w:t xml:space="preserve"> the role of emotions in conflicts a</w:t>
      </w:r>
      <w:r w:rsidR="00213F90" w:rsidRPr="009D3659">
        <w:rPr>
          <w:rFonts w:ascii="Times New Roman" w:hAnsi="Times New Roman" w:cs="Times New Roman"/>
        </w:rPr>
        <w:t>nd dispute resolution;</w:t>
      </w:r>
      <w:r w:rsidR="000D0622" w:rsidRPr="009D3659">
        <w:rPr>
          <w:rFonts w:ascii="Times New Roman" w:hAnsi="Times New Roman" w:cs="Times New Roman"/>
        </w:rPr>
        <w:t xml:space="preserve"> reflect on their emotions</w:t>
      </w:r>
      <w:r w:rsidR="00213F90" w:rsidRPr="009D3659">
        <w:rPr>
          <w:rFonts w:ascii="Times New Roman" w:hAnsi="Times New Roman" w:cs="Times New Roman"/>
        </w:rPr>
        <w:t>;</w:t>
      </w:r>
      <w:r w:rsidR="000D0622" w:rsidRPr="009D3659">
        <w:rPr>
          <w:rFonts w:ascii="Times New Roman" w:hAnsi="Times New Roman" w:cs="Times New Roman"/>
        </w:rPr>
        <w:t xml:space="preserve"> and engage in “self-work” to </w:t>
      </w:r>
      <w:r w:rsidR="00213F90" w:rsidRPr="009D3659">
        <w:rPr>
          <w:rFonts w:ascii="Times New Roman" w:hAnsi="Times New Roman" w:cs="Times New Roman"/>
        </w:rPr>
        <w:t xml:space="preserve">recognise and </w:t>
      </w:r>
      <w:r w:rsidR="000D0622" w:rsidRPr="009D3659">
        <w:rPr>
          <w:rFonts w:ascii="Times New Roman" w:hAnsi="Times New Roman" w:cs="Times New Roman"/>
        </w:rPr>
        <w:t xml:space="preserve">manage their emotional </w:t>
      </w:r>
      <w:r w:rsidR="00213F90" w:rsidRPr="009D3659">
        <w:rPr>
          <w:rFonts w:ascii="Times New Roman" w:hAnsi="Times New Roman" w:cs="Times New Roman"/>
        </w:rPr>
        <w:t>responses in relation to what they were discussing in class</w:t>
      </w:r>
      <w:r w:rsidR="000D0622" w:rsidRPr="009D3659">
        <w:rPr>
          <w:rFonts w:ascii="Times New Roman" w:hAnsi="Times New Roman" w:cs="Times New Roman"/>
        </w:rPr>
        <w:t>.</w:t>
      </w:r>
      <w:r w:rsidR="00DF3687">
        <w:rPr>
          <w:rStyle w:val="FootnoteReference"/>
          <w:rFonts w:ascii="Times New Roman" w:hAnsi="Times New Roman" w:cs="Times New Roman"/>
        </w:rPr>
        <w:footnoteReference w:id="60"/>
      </w:r>
      <w:r w:rsidR="000D0622" w:rsidRPr="009D3659">
        <w:rPr>
          <w:rFonts w:ascii="Times New Roman" w:hAnsi="Times New Roman" w:cs="Times New Roman"/>
        </w:rPr>
        <w:t xml:space="preserve"> </w:t>
      </w:r>
    </w:p>
    <w:p w14:paraId="6CB63CF4" w14:textId="77777777" w:rsidR="00B0562E" w:rsidRPr="009D3659" w:rsidRDefault="00B0562E" w:rsidP="008B065E">
      <w:pPr>
        <w:spacing w:line="360" w:lineRule="auto"/>
        <w:ind w:firstLine="720"/>
        <w:jc w:val="both"/>
        <w:rPr>
          <w:rFonts w:ascii="Times New Roman" w:hAnsi="Times New Roman" w:cs="Times New Roman"/>
        </w:rPr>
      </w:pPr>
    </w:p>
    <w:p w14:paraId="0419F5C8" w14:textId="3087FFC9" w:rsidR="00770EB6" w:rsidRPr="009D3659" w:rsidRDefault="00B04B76" w:rsidP="00DD0C19">
      <w:pPr>
        <w:spacing w:line="360" w:lineRule="auto"/>
        <w:jc w:val="both"/>
        <w:rPr>
          <w:rFonts w:ascii="Times New Roman" w:hAnsi="Times New Roman" w:cs="Times New Roman"/>
          <w:b/>
        </w:rPr>
      </w:pPr>
      <w:r>
        <w:rPr>
          <w:rFonts w:ascii="Times New Roman" w:hAnsi="Times New Roman" w:cs="Times New Roman"/>
          <w:b/>
        </w:rPr>
        <w:t>Grounding Assessments</w:t>
      </w:r>
    </w:p>
    <w:p w14:paraId="3F0F8266" w14:textId="3A91E8D3" w:rsidR="00DF3687" w:rsidRDefault="009330AE" w:rsidP="00A27CFB">
      <w:pPr>
        <w:spacing w:line="360" w:lineRule="auto"/>
        <w:jc w:val="both"/>
        <w:rPr>
          <w:rFonts w:ascii="Times New Roman" w:hAnsi="Times New Roman" w:cs="Times New Roman"/>
        </w:rPr>
      </w:pPr>
      <w:r w:rsidRPr="009D3659">
        <w:rPr>
          <w:rFonts w:ascii="Times New Roman" w:hAnsi="Times New Roman" w:cs="Times New Roman"/>
        </w:rPr>
        <w:t xml:space="preserve">Teaching emotion also </w:t>
      </w:r>
      <w:r w:rsidR="00DF3687">
        <w:rPr>
          <w:rFonts w:ascii="Times New Roman" w:hAnsi="Times New Roman" w:cs="Times New Roman"/>
        </w:rPr>
        <w:t>had</w:t>
      </w:r>
      <w:r w:rsidRPr="009D3659">
        <w:rPr>
          <w:rFonts w:ascii="Times New Roman" w:hAnsi="Times New Roman" w:cs="Times New Roman"/>
        </w:rPr>
        <w:t xml:space="preserve"> an impact on assessment</w:t>
      </w:r>
      <w:r w:rsidR="00DF3687">
        <w:rPr>
          <w:rFonts w:ascii="Times New Roman" w:hAnsi="Times New Roman" w:cs="Times New Roman"/>
        </w:rPr>
        <w:t xml:space="preserve"> decisions</w:t>
      </w:r>
      <w:r w:rsidRPr="009D3659">
        <w:rPr>
          <w:rFonts w:ascii="Times New Roman" w:hAnsi="Times New Roman" w:cs="Times New Roman"/>
        </w:rPr>
        <w:t xml:space="preserve">. </w:t>
      </w:r>
      <w:r w:rsidR="00DF3687">
        <w:rPr>
          <w:rFonts w:ascii="Times New Roman" w:hAnsi="Times New Roman" w:cs="Times New Roman"/>
        </w:rPr>
        <w:t xml:space="preserve">In crafting an assessment regime, I was guided by </w:t>
      </w:r>
      <w:r w:rsidR="00507DFB">
        <w:rPr>
          <w:rFonts w:ascii="Times New Roman" w:hAnsi="Times New Roman" w:cs="Times New Roman"/>
        </w:rPr>
        <w:t>my u</w:t>
      </w:r>
      <w:r w:rsidR="00DF3687">
        <w:rPr>
          <w:rFonts w:ascii="Times New Roman" w:hAnsi="Times New Roman" w:cs="Times New Roman"/>
        </w:rPr>
        <w:t>niversity’s policy on</w:t>
      </w:r>
      <w:r w:rsidR="00A27CFB" w:rsidRPr="009D3659">
        <w:rPr>
          <w:rFonts w:ascii="Times New Roman" w:hAnsi="Times New Roman" w:cs="Times New Roman"/>
        </w:rPr>
        <w:t xml:space="preserve"> “assessment literacy” which involves ensuring students understand the reasons behind, and nature of, assessment.</w:t>
      </w:r>
      <w:r w:rsidR="00DF3687">
        <w:rPr>
          <w:rStyle w:val="FootnoteReference"/>
          <w:rFonts w:ascii="Times New Roman" w:hAnsi="Times New Roman" w:cs="Times New Roman"/>
        </w:rPr>
        <w:footnoteReference w:id="61"/>
      </w:r>
      <w:r w:rsidR="00A27CFB" w:rsidRPr="009D3659">
        <w:rPr>
          <w:rFonts w:ascii="Times New Roman" w:hAnsi="Times New Roman" w:cs="Times New Roman"/>
        </w:rPr>
        <w:t xml:space="preserve"> </w:t>
      </w:r>
      <w:r w:rsidR="00DF3687">
        <w:rPr>
          <w:rFonts w:ascii="Times New Roman" w:hAnsi="Times New Roman" w:cs="Times New Roman"/>
        </w:rPr>
        <w:t>The principles, which echo approaches taken by universities more broadly,</w:t>
      </w:r>
      <w:r w:rsidR="00471354" w:rsidRPr="009D3659">
        <w:rPr>
          <w:rFonts w:ascii="Times New Roman" w:hAnsi="Times New Roman" w:cs="Times New Roman"/>
        </w:rPr>
        <w:t xml:space="preserve"> prescribe that assessments should be designed at programme level, integral to curriculum, integral to students’ approach to learning, purpose clearly communicated, linked to learning outcomes, reliable, robust, and fair, students receive meaningful and timely feedback, transparent criteria, redeemable, inclusive, manageable, and efficient. </w:t>
      </w:r>
      <w:r w:rsidR="00B0562E" w:rsidRPr="009D3659">
        <w:rPr>
          <w:rFonts w:ascii="Times New Roman" w:hAnsi="Times New Roman" w:cs="Times New Roman"/>
        </w:rPr>
        <w:t xml:space="preserve">In </w:t>
      </w:r>
      <w:r w:rsidR="001B0357">
        <w:rPr>
          <w:rFonts w:ascii="Times New Roman" w:hAnsi="Times New Roman" w:cs="Times New Roman"/>
        </w:rPr>
        <w:t>law schools</w:t>
      </w:r>
      <w:r w:rsidR="00B0562E" w:rsidRPr="009D3659">
        <w:rPr>
          <w:rFonts w:ascii="Times New Roman" w:hAnsi="Times New Roman" w:cs="Times New Roman"/>
        </w:rPr>
        <w:t>, undergraduate assessments primarily involve exams (a combination of hypothetical problems and essays) or assignments (a research essay</w:t>
      </w:r>
      <w:r w:rsidRPr="009D3659">
        <w:rPr>
          <w:rFonts w:ascii="Times New Roman" w:hAnsi="Times New Roman" w:cs="Times New Roman"/>
        </w:rPr>
        <w:t xml:space="preserve"> or presentation</w:t>
      </w:r>
      <w:r w:rsidR="00B0562E" w:rsidRPr="009D3659">
        <w:rPr>
          <w:rFonts w:ascii="Times New Roman" w:hAnsi="Times New Roman" w:cs="Times New Roman"/>
        </w:rPr>
        <w:t xml:space="preserve">). I opted for a research essay. </w:t>
      </w:r>
      <w:r w:rsidR="00760D7E" w:rsidRPr="009D3659">
        <w:rPr>
          <w:rFonts w:ascii="Times New Roman" w:hAnsi="Times New Roman" w:cs="Times New Roman"/>
        </w:rPr>
        <w:t>The assessment was explicitly not about decontextualising knowledge to seek an “objective” understanding of specific legal rules or procedures.</w:t>
      </w:r>
      <w:r w:rsidR="00DF3687">
        <w:rPr>
          <w:rStyle w:val="FootnoteReference"/>
          <w:rFonts w:ascii="Times New Roman" w:hAnsi="Times New Roman" w:cs="Times New Roman"/>
        </w:rPr>
        <w:footnoteReference w:id="62"/>
      </w:r>
      <w:r w:rsidR="00760D7E" w:rsidRPr="009D3659">
        <w:rPr>
          <w:rFonts w:ascii="Times New Roman" w:hAnsi="Times New Roman" w:cs="Times New Roman"/>
        </w:rPr>
        <w:t xml:space="preserve"> A</w:t>
      </w:r>
      <w:r w:rsidR="00B0562E" w:rsidRPr="009D3659">
        <w:rPr>
          <w:rFonts w:ascii="Times New Roman" w:hAnsi="Times New Roman" w:cs="Times New Roman"/>
        </w:rPr>
        <w:t xml:space="preserve">s the module was designed to cultivate autonomous learning and reflection, I wanted to students to write about what interested them. This self-directed approach to assessment </w:t>
      </w:r>
      <w:r w:rsidR="002E75E9" w:rsidRPr="009D3659">
        <w:rPr>
          <w:rFonts w:ascii="Times New Roman" w:hAnsi="Times New Roman" w:cs="Times New Roman"/>
        </w:rPr>
        <w:t>would “</w:t>
      </w:r>
      <w:r w:rsidR="001D0D28" w:rsidRPr="009D3659">
        <w:rPr>
          <w:rFonts w:ascii="Times New Roman" w:hAnsi="Times New Roman" w:cs="Times New Roman"/>
        </w:rPr>
        <w:t>const</w:t>
      </w:r>
      <w:r w:rsidR="002E75E9" w:rsidRPr="009D3659">
        <w:rPr>
          <w:rFonts w:ascii="Times New Roman" w:hAnsi="Times New Roman" w:cs="Times New Roman"/>
        </w:rPr>
        <w:t>ructively align”</w:t>
      </w:r>
      <w:r w:rsidR="001D0D28" w:rsidRPr="009D3659">
        <w:rPr>
          <w:rFonts w:ascii="Times New Roman" w:hAnsi="Times New Roman" w:cs="Times New Roman"/>
        </w:rPr>
        <w:t xml:space="preserve"> students’ interests in relation to a legal topic and provide an opportunity for them to follow their feelings to critically reflect on how emotion shapes a particular legal issue.</w:t>
      </w:r>
      <w:r w:rsidR="00DF3687">
        <w:rPr>
          <w:rStyle w:val="FootnoteReference"/>
          <w:rFonts w:ascii="Times New Roman" w:hAnsi="Times New Roman" w:cs="Times New Roman"/>
        </w:rPr>
        <w:footnoteReference w:id="63"/>
      </w:r>
      <w:r w:rsidR="001D0D28" w:rsidRPr="009D3659">
        <w:rPr>
          <w:rFonts w:ascii="Times New Roman" w:hAnsi="Times New Roman" w:cs="Times New Roman"/>
        </w:rPr>
        <w:t xml:space="preserve"> </w:t>
      </w:r>
      <w:r w:rsidR="001736C1" w:rsidRPr="009D3659">
        <w:rPr>
          <w:rFonts w:ascii="Times New Roman" w:hAnsi="Times New Roman" w:cs="Times New Roman"/>
        </w:rPr>
        <w:t>This models what Bradford Imrie describes as “assessment for learning” where teachers provide guidance for students to develop their knowledge through the assessment process.</w:t>
      </w:r>
      <w:r w:rsidR="00DF3687">
        <w:rPr>
          <w:rStyle w:val="FootnoteReference"/>
          <w:rFonts w:ascii="Times New Roman" w:hAnsi="Times New Roman" w:cs="Times New Roman"/>
        </w:rPr>
        <w:footnoteReference w:id="64"/>
      </w:r>
      <w:r w:rsidR="001736C1" w:rsidRPr="009D3659">
        <w:rPr>
          <w:rFonts w:ascii="Times New Roman" w:hAnsi="Times New Roman" w:cs="Times New Roman"/>
        </w:rPr>
        <w:t xml:space="preserve"> </w:t>
      </w:r>
    </w:p>
    <w:p w14:paraId="4785C23D" w14:textId="53A7342C" w:rsidR="001D0D28" w:rsidRPr="009D3659" w:rsidRDefault="001736C1" w:rsidP="00DB7A87">
      <w:pPr>
        <w:spacing w:line="360" w:lineRule="auto"/>
        <w:ind w:firstLine="720"/>
        <w:jc w:val="both"/>
        <w:rPr>
          <w:rFonts w:ascii="Times New Roman" w:hAnsi="Times New Roman" w:cs="Times New Roman"/>
        </w:rPr>
      </w:pPr>
      <w:r w:rsidRPr="009D3659">
        <w:rPr>
          <w:rFonts w:ascii="Times New Roman" w:hAnsi="Times New Roman" w:cs="Times New Roman"/>
        </w:rPr>
        <w:t>In Law and Emotion, s</w:t>
      </w:r>
      <w:r w:rsidR="009330AE" w:rsidRPr="009D3659">
        <w:rPr>
          <w:rFonts w:ascii="Times New Roman" w:hAnsi="Times New Roman" w:cs="Times New Roman"/>
        </w:rPr>
        <w:t>tudents could adopt the seminar design as a structure for their essays (select an emotion and pair it with a legal topic</w:t>
      </w:r>
      <w:r w:rsidRPr="009D3659">
        <w:rPr>
          <w:rFonts w:ascii="Times New Roman" w:hAnsi="Times New Roman" w:cs="Times New Roman"/>
        </w:rPr>
        <w:t xml:space="preserve"> or debate</w:t>
      </w:r>
      <w:r w:rsidR="009330AE" w:rsidRPr="009D3659">
        <w:rPr>
          <w:rFonts w:ascii="Times New Roman" w:hAnsi="Times New Roman" w:cs="Times New Roman"/>
        </w:rPr>
        <w:t>). Students were encouraged to</w:t>
      </w:r>
      <w:r w:rsidRPr="009D3659">
        <w:rPr>
          <w:rFonts w:ascii="Times New Roman" w:hAnsi="Times New Roman" w:cs="Times New Roman"/>
        </w:rPr>
        <w:t xml:space="preserve"> use</w:t>
      </w:r>
      <w:r w:rsidR="009330AE" w:rsidRPr="009D3659">
        <w:rPr>
          <w:rFonts w:ascii="Times New Roman" w:hAnsi="Times New Roman" w:cs="Times New Roman"/>
        </w:rPr>
        <w:t xml:space="preserve"> stimulus from their own life (books, films, tweets, encounters, etc) to begin their essays. </w:t>
      </w:r>
      <w:r w:rsidR="00DF3687">
        <w:rPr>
          <w:rFonts w:ascii="Times New Roman" w:hAnsi="Times New Roman" w:cs="Times New Roman"/>
        </w:rPr>
        <w:t xml:space="preserve">I urged students at the beginning of the module to use the social media platform Pinterest to “pin” articles of interest that related (even tangentially) to </w:t>
      </w:r>
      <w:r w:rsidR="00DF3687">
        <w:rPr>
          <w:rFonts w:ascii="Times New Roman" w:hAnsi="Times New Roman" w:cs="Times New Roman"/>
        </w:rPr>
        <w:lastRenderedPageBreak/>
        <w:t xml:space="preserve">current legal issues. I advised that they should consult their Pinterest “board” for ideas when beginning to craft an essay question, as there may be shared themes and/or feelings in relation to the content they had “pinned.” </w:t>
      </w:r>
      <w:r w:rsidR="001B0357">
        <w:rPr>
          <w:rFonts w:ascii="Times New Roman" w:hAnsi="Times New Roman" w:cs="Times New Roman"/>
        </w:rPr>
        <w:t>S</w:t>
      </w:r>
      <w:r w:rsidR="00DF3687">
        <w:rPr>
          <w:rFonts w:ascii="Times New Roman" w:hAnsi="Times New Roman" w:cs="Times New Roman"/>
        </w:rPr>
        <w:t xml:space="preserve">tudents pursued essay questions on resentment in the criminal justice with reference to recent Twitter movements for #BlackLivesMatter and anger in the context of #MeToo and sexual harassment law citing contemporary media discourses. </w:t>
      </w:r>
      <w:r w:rsidR="00760D7E" w:rsidRPr="009D3659">
        <w:rPr>
          <w:rFonts w:ascii="Times New Roman" w:hAnsi="Times New Roman" w:cs="Times New Roman"/>
        </w:rPr>
        <w:t xml:space="preserve">This </w:t>
      </w:r>
      <w:r w:rsidR="00DF3687">
        <w:rPr>
          <w:rFonts w:ascii="Times New Roman" w:hAnsi="Times New Roman" w:cs="Times New Roman"/>
        </w:rPr>
        <w:t>assessment method would</w:t>
      </w:r>
      <w:r w:rsidR="00DF3687" w:rsidRPr="009D3659">
        <w:rPr>
          <w:rFonts w:ascii="Times New Roman" w:hAnsi="Times New Roman" w:cs="Times New Roman"/>
        </w:rPr>
        <w:t xml:space="preserve"> </w:t>
      </w:r>
      <w:r w:rsidR="00760D7E" w:rsidRPr="009D3659">
        <w:rPr>
          <w:rFonts w:ascii="Times New Roman" w:hAnsi="Times New Roman" w:cs="Times New Roman"/>
        </w:rPr>
        <w:t xml:space="preserve">also </w:t>
      </w:r>
      <w:r w:rsidR="00DF3687">
        <w:rPr>
          <w:rFonts w:ascii="Times New Roman" w:hAnsi="Times New Roman" w:cs="Times New Roman"/>
        </w:rPr>
        <w:t>prepare students for final year law</w:t>
      </w:r>
      <w:r w:rsidR="00F55BAF" w:rsidRPr="009D3659">
        <w:rPr>
          <w:rFonts w:ascii="Times New Roman" w:hAnsi="Times New Roman" w:cs="Times New Roman"/>
        </w:rPr>
        <w:t xml:space="preserve"> modules</w:t>
      </w:r>
      <w:r w:rsidR="00760D7E" w:rsidRPr="009D3659">
        <w:rPr>
          <w:rFonts w:ascii="Times New Roman" w:hAnsi="Times New Roman" w:cs="Times New Roman"/>
        </w:rPr>
        <w:t>, especially for students who wished to pursue a dissertation in their final year or undertake community or clinical placements (where they would be required to write a reflective essay about their work</w:t>
      </w:r>
      <w:r w:rsidR="00F55BAF" w:rsidRPr="009D3659">
        <w:rPr>
          <w:rFonts w:ascii="Times New Roman" w:hAnsi="Times New Roman" w:cs="Times New Roman"/>
        </w:rPr>
        <w:t xml:space="preserve"> with clients</w:t>
      </w:r>
      <w:r w:rsidR="00760D7E" w:rsidRPr="009D3659">
        <w:rPr>
          <w:rFonts w:ascii="Times New Roman" w:hAnsi="Times New Roman" w:cs="Times New Roman"/>
        </w:rPr>
        <w:t xml:space="preserve">). </w:t>
      </w:r>
    </w:p>
    <w:p w14:paraId="27E154A4" w14:textId="0F6FA45A" w:rsidR="00563D7C" w:rsidRPr="009D3659" w:rsidRDefault="001D0D28" w:rsidP="002E75E9">
      <w:pPr>
        <w:spacing w:line="360" w:lineRule="auto"/>
        <w:ind w:firstLine="720"/>
        <w:jc w:val="both"/>
        <w:rPr>
          <w:rFonts w:ascii="Times New Roman" w:hAnsi="Times New Roman" w:cs="Times New Roman"/>
        </w:rPr>
      </w:pPr>
      <w:r w:rsidRPr="009D3659">
        <w:rPr>
          <w:rFonts w:ascii="Times New Roman" w:hAnsi="Times New Roman" w:cs="Times New Roman"/>
        </w:rPr>
        <w:t>Th</w:t>
      </w:r>
      <w:r w:rsidR="00507DFB">
        <w:rPr>
          <w:rFonts w:ascii="Times New Roman" w:hAnsi="Times New Roman" w:cs="Times New Roman"/>
        </w:rPr>
        <w:t>e</w:t>
      </w:r>
      <w:r w:rsidRPr="009D3659">
        <w:rPr>
          <w:rFonts w:ascii="Times New Roman" w:hAnsi="Times New Roman" w:cs="Times New Roman"/>
        </w:rPr>
        <w:t xml:space="preserve"> </w:t>
      </w:r>
      <w:r w:rsidR="00F55BAF" w:rsidRPr="009D3659">
        <w:rPr>
          <w:rFonts w:ascii="Times New Roman" w:hAnsi="Times New Roman" w:cs="Times New Roman"/>
        </w:rPr>
        <w:t xml:space="preserve">assessment </w:t>
      </w:r>
      <w:r w:rsidRPr="009D3659">
        <w:rPr>
          <w:rFonts w:ascii="Times New Roman" w:hAnsi="Times New Roman" w:cs="Times New Roman"/>
        </w:rPr>
        <w:t xml:space="preserve">approach </w:t>
      </w:r>
      <w:r w:rsidR="00DF3687">
        <w:rPr>
          <w:rFonts w:ascii="Times New Roman" w:hAnsi="Times New Roman" w:cs="Times New Roman"/>
        </w:rPr>
        <w:t xml:space="preserve">required </w:t>
      </w:r>
      <w:r w:rsidR="002E75E9" w:rsidRPr="009D3659">
        <w:rPr>
          <w:rFonts w:ascii="Times New Roman" w:hAnsi="Times New Roman" w:cs="Times New Roman"/>
        </w:rPr>
        <w:t xml:space="preserve">clear expectations and </w:t>
      </w:r>
      <w:r w:rsidRPr="009D3659">
        <w:rPr>
          <w:rFonts w:ascii="Times New Roman" w:hAnsi="Times New Roman" w:cs="Times New Roman"/>
        </w:rPr>
        <w:t>guidance</w:t>
      </w:r>
      <w:r w:rsidR="002E75E9" w:rsidRPr="009D3659">
        <w:rPr>
          <w:rFonts w:ascii="Times New Roman" w:hAnsi="Times New Roman" w:cs="Times New Roman"/>
        </w:rPr>
        <w:t xml:space="preserve"> in relation to the </w:t>
      </w:r>
      <w:r w:rsidR="00DF3687">
        <w:rPr>
          <w:rFonts w:ascii="Times New Roman" w:hAnsi="Times New Roman" w:cs="Times New Roman"/>
        </w:rPr>
        <w:t xml:space="preserve">learning outcomes </w:t>
      </w:r>
      <w:r w:rsidR="001B0357">
        <w:rPr>
          <w:rFonts w:ascii="Times New Roman" w:hAnsi="Times New Roman" w:cs="Times New Roman"/>
        </w:rPr>
        <w:t>mentioned</w:t>
      </w:r>
      <w:r w:rsidR="00DF3687">
        <w:rPr>
          <w:rFonts w:ascii="Times New Roman" w:hAnsi="Times New Roman" w:cs="Times New Roman"/>
        </w:rPr>
        <w:t xml:space="preserve"> earlier</w:t>
      </w:r>
      <w:r w:rsidRPr="009D3659">
        <w:rPr>
          <w:rFonts w:ascii="Times New Roman" w:hAnsi="Times New Roman" w:cs="Times New Roman"/>
        </w:rPr>
        <w:t>. This was the first time students were undertaking an independent research project in the</w:t>
      </w:r>
      <w:r w:rsidR="00F55BAF" w:rsidRPr="009D3659">
        <w:rPr>
          <w:rFonts w:ascii="Times New Roman" w:hAnsi="Times New Roman" w:cs="Times New Roman"/>
        </w:rPr>
        <w:t>ir</w:t>
      </w:r>
      <w:r w:rsidRPr="009D3659">
        <w:rPr>
          <w:rFonts w:ascii="Times New Roman" w:hAnsi="Times New Roman" w:cs="Times New Roman"/>
        </w:rPr>
        <w:t xml:space="preserve"> law </w:t>
      </w:r>
      <w:r w:rsidR="00F55BAF" w:rsidRPr="009D3659">
        <w:rPr>
          <w:rFonts w:ascii="Times New Roman" w:hAnsi="Times New Roman" w:cs="Times New Roman"/>
        </w:rPr>
        <w:t>studies</w:t>
      </w:r>
      <w:r w:rsidRPr="009D3659">
        <w:rPr>
          <w:rFonts w:ascii="Times New Roman" w:hAnsi="Times New Roman" w:cs="Times New Roman"/>
        </w:rPr>
        <w:t xml:space="preserve">. </w:t>
      </w:r>
      <w:r w:rsidR="00563D7C" w:rsidRPr="009D3659">
        <w:rPr>
          <w:rFonts w:ascii="Times New Roman" w:hAnsi="Times New Roman" w:cs="Times New Roman"/>
        </w:rPr>
        <w:t xml:space="preserve">Students </w:t>
      </w:r>
      <w:r w:rsidR="00EF0A36" w:rsidRPr="009D3659">
        <w:rPr>
          <w:rFonts w:ascii="Times New Roman" w:hAnsi="Times New Roman" w:cs="Times New Roman"/>
        </w:rPr>
        <w:t xml:space="preserve">in the module were </w:t>
      </w:r>
      <w:r w:rsidR="002E75E9" w:rsidRPr="009D3659">
        <w:rPr>
          <w:rFonts w:ascii="Times New Roman" w:hAnsi="Times New Roman" w:cs="Times New Roman"/>
        </w:rPr>
        <w:t xml:space="preserve">first </w:t>
      </w:r>
      <w:r w:rsidR="00EF0A36" w:rsidRPr="009D3659">
        <w:rPr>
          <w:rFonts w:ascii="Times New Roman" w:hAnsi="Times New Roman" w:cs="Times New Roman"/>
        </w:rPr>
        <w:t>required to</w:t>
      </w:r>
      <w:r w:rsidR="00563D7C" w:rsidRPr="009D3659">
        <w:rPr>
          <w:rFonts w:ascii="Times New Roman" w:hAnsi="Times New Roman" w:cs="Times New Roman"/>
        </w:rPr>
        <w:t xml:space="preserve"> write a</w:t>
      </w:r>
      <w:r w:rsidR="002E75E9" w:rsidRPr="009D3659">
        <w:rPr>
          <w:rFonts w:ascii="Times New Roman" w:hAnsi="Times New Roman" w:cs="Times New Roman"/>
        </w:rPr>
        <w:t xml:space="preserve"> research proposal (1000 words), which was weighted at 20% of the course grade. I provided a handout outlining how to write a research proposal. The purpose of this assessment was to offer initial feedback on the question, theories, and case studies </w:t>
      </w:r>
      <w:r w:rsidR="00930F37" w:rsidRPr="009D3659">
        <w:rPr>
          <w:rFonts w:ascii="Times New Roman" w:hAnsi="Times New Roman" w:cs="Times New Roman"/>
        </w:rPr>
        <w:t>students</w:t>
      </w:r>
      <w:r w:rsidR="002E75E9" w:rsidRPr="009D3659">
        <w:rPr>
          <w:rFonts w:ascii="Times New Roman" w:hAnsi="Times New Roman" w:cs="Times New Roman"/>
        </w:rPr>
        <w:t xml:space="preserve"> had chosen to explore and offer direction to help them develop their essay ideas.</w:t>
      </w:r>
      <w:r w:rsidR="00DF3687">
        <w:rPr>
          <w:rStyle w:val="FootnoteReference"/>
          <w:rFonts w:ascii="Times New Roman" w:hAnsi="Times New Roman" w:cs="Times New Roman"/>
        </w:rPr>
        <w:footnoteReference w:id="65"/>
      </w:r>
      <w:r w:rsidR="002E75E9" w:rsidRPr="009D3659">
        <w:rPr>
          <w:rFonts w:ascii="Times New Roman" w:hAnsi="Times New Roman" w:cs="Times New Roman"/>
        </w:rPr>
        <w:t xml:space="preserve"> Students were given </w:t>
      </w:r>
      <w:r w:rsidR="00F55BAF" w:rsidRPr="009D3659">
        <w:rPr>
          <w:rFonts w:ascii="Times New Roman" w:hAnsi="Times New Roman" w:cs="Times New Roman"/>
        </w:rPr>
        <w:t xml:space="preserve">written </w:t>
      </w:r>
      <w:r w:rsidR="002E75E9" w:rsidRPr="009D3659">
        <w:rPr>
          <w:rFonts w:ascii="Times New Roman" w:hAnsi="Times New Roman" w:cs="Times New Roman"/>
        </w:rPr>
        <w:t xml:space="preserve">feedback within a week of submission in order to give them time (above five weeks) to use the feedback and write their final </w:t>
      </w:r>
      <w:r w:rsidR="00563D7C" w:rsidRPr="009D3659">
        <w:rPr>
          <w:rFonts w:ascii="Times New Roman" w:hAnsi="Times New Roman" w:cs="Times New Roman"/>
        </w:rPr>
        <w:t>research essay (3000 words</w:t>
      </w:r>
      <w:r w:rsidR="00BE042B" w:rsidRPr="009D3659">
        <w:rPr>
          <w:rFonts w:ascii="Times New Roman" w:hAnsi="Times New Roman" w:cs="Times New Roman"/>
        </w:rPr>
        <w:t>,</w:t>
      </w:r>
      <w:r w:rsidR="002E75E9" w:rsidRPr="009D3659">
        <w:rPr>
          <w:rFonts w:ascii="Times New Roman" w:hAnsi="Times New Roman" w:cs="Times New Roman"/>
        </w:rPr>
        <w:t xml:space="preserve"> weighted at 80% of the course grade)</w:t>
      </w:r>
      <w:r w:rsidR="00563D7C" w:rsidRPr="009D3659">
        <w:rPr>
          <w:rFonts w:ascii="Times New Roman" w:hAnsi="Times New Roman" w:cs="Times New Roman"/>
        </w:rPr>
        <w:t xml:space="preserve">. </w:t>
      </w:r>
      <w:r w:rsidR="009330AE" w:rsidRPr="009D3659">
        <w:rPr>
          <w:rFonts w:ascii="Times New Roman" w:hAnsi="Times New Roman" w:cs="Times New Roman"/>
        </w:rPr>
        <w:t xml:space="preserve">Extensive written feedback was provided on final essays to encourage further development in future modules. </w:t>
      </w:r>
    </w:p>
    <w:p w14:paraId="1B26A080" w14:textId="77777777" w:rsidR="001271F4" w:rsidRPr="009D3659" w:rsidRDefault="001271F4" w:rsidP="00DD0C19">
      <w:pPr>
        <w:spacing w:line="360" w:lineRule="auto"/>
        <w:jc w:val="both"/>
        <w:rPr>
          <w:rFonts w:ascii="Times New Roman" w:hAnsi="Times New Roman" w:cs="Times New Roman"/>
          <w:b/>
        </w:rPr>
      </w:pPr>
    </w:p>
    <w:p w14:paraId="044522F2" w14:textId="0DADD0B3" w:rsidR="002C52FD" w:rsidRPr="009D3659" w:rsidRDefault="00B04B76" w:rsidP="00CF3169">
      <w:pPr>
        <w:spacing w:line="360" w:lineRule="auto"/>
        <w:jc w:val="both"/>
        <w:rPr>
          <w:rFonts w:ascii="Times New Roman" w:hAnsi="Times New Roman" w:cs="Times New Roman"/>
          <w:b/>
        </w:rPr>
      </w:pPr>
      <w:r>
        <w:rPr>
          <w:rFonts w:ascii="Times New Roman" w:hAnsi="Times New Roman" w:cs="Times New Roman"/>
          <w:b/>
        </w:rPr>
        <w:t>Evaluating Emotions and Critique</w:t>
      </w:r>
      <w:r w:rsidR="00DF3687">
        <w:rPr>
          <w:rFonts w:ascii="Times New Roman" w:hAnsi="Times New Roman" w:cs="Times New Roman"/>
          <w:b/>
        </w:rPr>
        <w:t>s</w:t>
      </w:r>
    </w:p>
    <w:p w14:paraId="050012B9" w14:textId="5FFFF736" w:rsidR="00760D7E" w:rsidRPr="009D3659" w:rsidRDefault="00760D7E" w:rsidP="00CF3169">
      <w:pPr>
        <w:spacing w:line="360" w:lineRule="auto"/>
        <w:jc w:val="both"/>
        <w:rPr>
          <w:rFonts w:ascii="Times New Roman" w:hAnsi="Times New Roman" w:cs="Times New Roman"/>
        </w:rPr>
      </w:pPr>
      <w:r w:rsidRPr="009D3659">
        <w:rPr>
          <w:rFonts w:ascii="Times New Roman" w:hAnsi="Times New Roman" w:cs="Times New Roman"/>
        </w:rPr>
        <w:t>In offering feedback on the module, one student said:</w:t>
      </w:r>
    </w:p>
    <w:p w14:paraId="6EDAEE97" w14:textId="1430B9C3" w:rsidR="00760D7E" w:rsidRPr="009D3659" w:rsidRDefault="00760D7E" w:rsidP="00760D7E">
      <w:pPr>
        <w:ind w:left="709"/>
        <w:jc w:val="both"/>
        <w:rPr>
          <w:rFonts w:ascii="Times New Roman" w:hAnsi="Times New Roman" w:cs="Times New Roman"/>
        </w:rPr>
      </w:pPr>
      <w:r w:rsidRPr="009D3659">
        <w:rPr>
          <w:rFonts w:ascii="Times New Roman" w:eastAsia="Times New Roman" w:hAnsi="Times New Roman" w:cs="Times New Roman"/>
          <w:color w:val="000000"/>
          <w:lang w:val="en-GB"/>
        </w:rPr>
        <w:t>The module was both engaging and interesting as each topic enabled me to explore multiple areas of law, while also relating them to our own emotions and experiences</w:t>
      </w:r>
      <w:r w:rsidR="001B0357">
        <w:rPr>
          <w:rFonts w:ascii="Times New Roman" w:eastAsia="Times New Roman" w:hAnsi="Times New Roman" w:cs="Times New Roman"/>
          <w:color w:val="000000"/>
          <w:lang w:val="en-GB"/>
        </w:rPr>
        <w:t xml:space="preserve"> … </w:t>
      </w:r>
      <w:r w:rsidRPr="009D3659">
        <w:rPr>
          <w:rFonts w:ascii="Times New Roman" w:eastAsia="Times New Roman" w:hAnsi="Times New Roman" w:cs="Times New Roman"/>
          <w:color w:val="000000"/>
          <w:lang w:val="en-GB"/>
        </w:rPr>
        <w:t>I found it consistently allowed me to think about law in a way that other modules don’t encourage</w:t>
      </w:r>
      <w:r w:rsidR="005D1EC6" w:rsidRPr="009D3659">
        <w:rPr>
          <w:rFonts w:ascii="Times New Roman" w:eastAsia="Times New Roman" w:hAnsi="Times New Roman" w:cs="Times New Roman"/>
          <w:color w:val="000000"/>
          <w:lang w:val="en-GB"/>
        </w:rPr>
        <w:t xml:space="preserve">. </w:t>
      </w:r>
    </w:p>
    <w:p w14:paraId="79BBC33B" w14:textId="77777777" w:rsidR="00760D7E" w:rsidRPr="009D3659" w:rsidRDefault="00760D7E" w:rsidP="00CF3169">
      <w:pPr>
        <w:spacing w:line="360" w:lineRule="auto"/>
        <w:jc w:val="both"/>
        <w:rPr>
          <w:rFonts w:ascii="Times New Roman" w:hAnsi="Times New Roman" w:cs="Times New Roman"/>
        </w:rPr>
      </w:pPr>
    </w:p>
    <w:p w14:paraId="2A5586BF" w14:textId="4EE95A42" w:rsidR="00AE4167" w:rsidRPr="009D3659" w:rsidRDefault="00760D7E" w:rsidP="00CF3169">
      <w:pPr>
        <w:spacing w:line="360" w:lineRule="auto"/>
        <w:jc w:val="both"/>
        <w:rPr>
          <w:rFonts w:ascii="Times New Roman" w:hAnsi="Times New Roman" w:cs="Times New Roman"/>
        </w:rPr>
      </w:pPr>
      <w:r w:rsidRPr="009D3659">
        <w:rPr>
          <w:rFonts w:ascii="Times New Roman" w:hAnsi="Times New Roman" w:cs="Times New Roman"/>
        </w:rPr>
        <w:t>The student evaluations of the module were encouraging and positive</w:t>
      </w:r>
      <w:r w:rsidR="001736C1" w:rsidRPr="009D3659">
        <w:rPr>
          <w:rFonts w:ascii="Times New Roman" w:hAnsi="Times New Roman" w:cs="Times New Roman"/>
        </w:rPr>
        <w:t xml:space="preserve"> in relation to the passion underscoring the teaching</w:t>
      </w:r>
      <w:r w:rsidRPr="009D3659">
        <w:rPr>
          <w:rFonts w:ascii="Times New Roman" w:hAnsi="Times New Roman" w:cs="Times New Roman"/>
        </w:rPr>
        <w:t>.</w:t>
      </w:r>
      <w:r w:rsidR="00DF3687">
        <w:rPr>
          <w:rStyle w:val="FootnoteReference"/>
          <w:rFonts w:ascii="Times New Roman" w:hAnsi="Times New Roman" w:cs="Times New Roman"/>
        </w:rPr>
        <w:footnoteReference w:id="66"/>
      </w:r>
      <w:r w:rsidRPr="009D3659">
        <w:rPr>
          <w:rFonts w:ascii="Times New Roman" w:hAnsi="Times New Roman" w:cs="Times New Roman"/>
        </w:rPr>
        <w:t xml:space="preserve"> However, </w:t>
      </w:r>
      <w:r w:rsidR="00936E5E" w:rsidRPr="009D3659">
        <w:rPr>
          <w:rFonts w:ascii="Times New Roman" w:hAnsi="Times New Roman" w:cs="Times New Roman"/>
        </w:rPr>
        <w:t xml:space="preserve">I identified </w:t>
      </w:r>
      <w:r w:rsidRPr="009D3659">
        <w:rPr>
          <w:rFonts w:ascii="Times New Roman" w:hAnsi="Times New Roman" w:cs="Times New Roman"/>
        </w:rPr>
        <w:t xml:space="preserve">a number of key issues </w:t>
      </w:r>
      <w:r w:rsidR="00936E5E" w:rsidRPr="009D3659">
        <w:rPr>
          <w:rFonts w:ascii="Times New Roman" w:hAnsi="Times New Roman" w:cs="Times New Roman"/>
        </w:rPr>
        <w:t xml:space="preserve">that </w:t>
      </w:r>
      <w:r w:rsidRPr="009D3659">
        <w:rPr>
          <w:rFonts w:ascii="Times New Roman" w:hAnsi="Times New Roman" w:cs="Times New Roman"/>
        </w:rPr>
        <w:t xml:space="preserve">need to be addressed in future classes. </w:t>
      </w:r>
      <w:r w:rsidR="002E115A" w:rsidRPr="009D3659">
        <w:rPr>
          <w:rFonts w:ascii="Times New Roman" w:hAnsi="Times New Roman" w:cs="Times New Roman"/>
        </w:rPr>
        <w:t>In order to develop discus</w:t>
      </w:r>
      <w:r w:rsidR="00936E5E" w:rsidRPr="009D3659">
        <w:rPr>
          <w:rFonts w:ascii="Times New Roman" w:hAnsi="Times New Roman" w:cs="Times New Roman"/>
        </w:rPr>
        <w:t xml:space="preserve">sion-based “deep </w:t>
      </w:r>
      <w:r w:rsidR="002E115A" w:rsidRPr="009D3659">
        <w:rPr>
          <w:rFonts w:ascii="Times New Roman" w:hAnsi="Times New Roman" w:cs="Times New Roman"/>
        </w:rPr>
        <w:t>learning</w:t>
      </w:r>
      <w:r w:rsidR="00936E5E" w:rsidRPr="009D3659">
        <w:rPr>
          <w:rFonts w:ascii="Times New Roman" w:hAnsi="Times New Roman" w:cs="Times New Roman"/>
        </w:rPr>
        <w:t>”</w:t>
      </w:r>
      <w:r w:rsidR="002E115A" w:rsidRPr="009D3659">
        <w:rPr>
          <w:rFonts w:ascii="Times New Roman" w:hAnsi="Times New Roman" w:cs="Times New Roman"/>
        </w:rPr>
        <w:t xml:space="preserve"> in future seminars</w:t>
      </w:r>
      <w:r w:rsidR="00936E5E" w:rsidRPr="009D3659">
        <w:rPr>
          <w:rFonts w:ascii="Times New Roman" w:hAnsi="Times New Roman" w:cs="Times New Roman"/>
        </w:rPr>
        <w:t>,</w:t>
      </w:r>
      <w:r w:rsidR="002E115A" w:rsidRPr="009D3659">
        <w:rPr>
          <w:rFonts w:ascii="Times New Roman" w:hAnsi="Times New Roman" w:cs="Times New Roman"/>
        </w:rPr>
        <w:t xml:space="preserve"> I need to develop </w:t>
      </w:r>
      <w:r w:rsidR="00936E5E" w:rsidRPr="009D3659">
        <w:rPr>
          <w:rFonts w:ascii="Times New Roman" w:hAnsi="Times New Roman" w:cs="Times New Roman"/>
        </w:rPr>
        <w:t xml:space="preserve">some </w:t>
      </w:r>
      <w:r w:rsidR="002E115A" w:rsidRPr="009D3659">
        <w:rPr>
          <w:rFonts w:ascii="Times New Roman" w:hAnsi="Times New Roman" w:cs="Times New Roman"/>
        </w:rPr>
        <w:t>new le</w:t>
      </w:r>
      <w:r w:rsidR="00936E5E" w:rsidRPr="009D3659">
        <w:rPr>
          <w:rFonts w:ascii="Times New Roman" w:hAnsi="Times New Roman" w:cs="Times New Roman"/>
        </w:rPr>
        <w:t>arning activities.</w:t>
      </w:r>
      <w:r w:rsidR="002E115A" w:rsidRPr="009D3659">
        <w:rPr>
          <w:rFonts w:ascii="Times New Roman" w:hAnsi="Times New Roman" w:cs="Times New Roman"/>
        </w:rPr>
        <w:t xml:space="preserve"> </w:t>
      </w:r>
      <w:r w:rsidR="00936E5E" w:rsidRPr="009D3659">
        <w:rPr>
          <w:rFonts w:ascii="Times New Roman" w:hAnsi="Times New Roman" w:cs="Times New Roman"/>
        </w:rPr>
        <w:t xml:space="preserve">For </w:t>
      </w:r>
      <w:r w:rsidR="00936E5E" w:rsidRPr="009D3659">
        <w:rPr>
          <w:rFonts w:ascii="Times New Roman" w:hAnsi="Times New Roman" w:cs="Times New Roman"/>
        </w:rPr>
        <w:lastRenderedPageBreak/>
        <w:t xml:space="preserve">example, </w:t>
      </w:r>
      <w:r w:rsidR="002E115A" w:rsidRPr="009D3659">
        <w:rPr>
          <w:rFonts w:ascii="Times New Roman" w:hAnsi="Times New Roman" w:cs="Times New Roman"/>
        </w:rPr>
        <w:t xml:space="preserve">I </w:t>
      </w:r>
      <w:r w:rsidR="00936E5E" w:rsidRPr="009D3659">
        <w:rPr>
          <w:rFonts w:ascii="Times New Roman" w:hAnsi="Times New Roman" w:cs="Times New Roman"/>
        </w:rPr>
        <w:t>could</w:t>
      </w:r>
      <w:r w:rsidR="002E115A" w:rsidRPr="009D3659">
        <w:rPr>
          <w:rFonts w:ascii="Times New Roman" w:hAnsi="Times New Roman" w:cs="Times New Roman"/>
        </w:rPr>
        <w:t xml:space="preserve"> get a student (or two of t</w:t>
      </w:r>
      <w:r w:rsidR="004C038A" w:rsidRPr="009D3659">
        <w:rPr>
          <w:rFonts w:ascii="Times New Roman" w:hAnsi="Times New Roman" w:cs="Times New Roman"/>
        </w:rPr>
        <w:t>hem in ca</w:t>
      </w:r>
      <w:r w:rsidR="00936E5E" w:rsidRPr="009D3659">
        <w:rPr>
          <w:rFonts w:ascii="Times New Roman" w:hAnsi="Times New Roman" w:cs="Times New Roman"/>
        </w:rPr>
        <w:t xml:space="preserve">se one is away) to be “on call” to ensure all students participate. </w:t>
      </w:r>
      <w:r w:rsidR="002E115A" w:rsidRPr="009D3659">
        <w:rPr>
          <w:rFonts w:ascii="Times New Roman" w:hAnsi="Times New Roman" w:cs="Times New Roman"/>
        </w:rPr>
        <w:t xml:space="preserve">This student could deliver a short summary of the reading or be asked to share some media (article, tweet, YouTube clip, etc) to share with the class where a particular emotion (the topic of the week’s seminar) is relevant. </w:t>
      </w:r>
      <w:r w:rsidR="00DF3687">
        <w:rPr>
          <w:rFonts w:ascii="Times New Roman" w:hAnsi="Times New Roman" w:cs="Times New Roman"/>
        </w:rPr>
        <w:t>In addition to their independent research, they</w:t>
      </w:r>
      <w:r w:rsidR="00DF3687" w:rsidRPr="009D3659">
        <w:rPr>
          <w:rFonts w:ascii="Times New Roman" w:hAnsi="Times New Roman" w:cs="Times New Roman"/>
        </w:rPr>
        <w:t xml:space="preserve"> </w:t>
      </w:r>
      <w:r w:rsidR="004C038A" w:rsidRPr="009D3659">
        <w:rPr>
          <w:rFonts w:ascii="Times New Roman" w:hAnsi="Times New Roman" w:cs="Times New Roman"/>
        </w:rPr>
        <w:t xml:space="preserve">could </w:t>
      </w:r>
      <w:r w:rsidR="00DF3687">
        <w:rPr>
          <w:rFonts w:ascii="Times New Roman" w:hAnsi="Times New Roman" w:cs="Times New Roman"/>
        </w:rPr>
        <w:t xml:space="preserve">also </w:t>
      </w:r>
      <w:r w:rsidR="004C038A" w:rsidRPr="009D3659">
        <w:rPr>
          <w:rFonts w:ascii="Times New Roman" w:hAnsi="Times New Roman" w:cs="Times New Roman"/>
        </w:rPr>
        <w:t xml:space="preserve">use Pinterest to create boards of articles, </w:t>
      </w:r>
      <w:r w:rsidRPr="009D3659">
        <w:rPr>
          <w:rFonts w:ascii="Times New Roman" w:hAnsi="Times New Roman" w:cs="Times New Roman"/>
        </w:rPr>
        <w:t xml:space="preserve">clips, songs, </w:t>
      </w:r>
      <w:r w:rsidR="00936E5E" w:rsidRPr="009D3659">
        <w:rPr>
          <w:rFonts w:ascii="Times New Roman" w:hAnsi="Times New Roman" w:cs="Times New Roman"/>
        </w:rPr>
        <w:t xml:space="preserve">memes, and other </w:t>
      </w:r>
      <w:r w:rsidR="004C038A" w:rsidRPr="009D3659">
        <w:rPr>
          <w:rFonts w:ascii="Times New Roman" w:hAnsi="Times New Roman" w:cs="Times New Roman"/>
        </w:rPr>
        <w:t>content related to the specific topic</w:t>
      </w:r>
      <w:r w:rsidRPr="009D3659">
        <w:rPr>
          <w:rFonts w:ascii="Times New Roman" w:hAnsi="Times New Roman" w:cs="Times New Roman"/>
        </w:rPr>
        <w:t xml:space="preserve"> and bring them to class </w:t>
      </w:r>
      <w:r w:rsidR="00DF3687">
        <w:rPr>
          <w:rFonts w:ascii="Times New Roman" w:hAnsi="Times New Roman" w:cs="Times New Roman"/>
        </w:rPr>
        <w:t>for</w:t>
      </w:r>
      <w:r w:rsidRPr="009D3659">
        <w:rPr>
          <w:rFonts w:ascii="Times New Roman" w:hAnsi="Times New Roman" w:cs="Times New Roman"/>
        </w:rPr>
        <w:t xml:space="preserve"> discuss</w:t>
      </w:r>
      <w:r w:rsidR="00DF3687">
        <w:rPr>
          <w:rFonts w:ascii="Times New Roman" w:hAnsi="Times New Roman" w:cs="Times New Roman"/>
        </w:rPr>
        <w:t>ion</w:t>
      </w:r>
      <w:r w:rsidR="004C038A" w:rsidRPr="009D3659">
        <w:rPr>
          <w:rFonts w:ascii="Times New Roman" w:hAnsi="Times New Roman" w:cs="Times New Roman"/>
        </w:rPr>
        <w:t xml:space="preserve">. </w:t>
      </w:r>
      <w:r w:rsidR="002E115A" w:rsidRPr="009D3659">
        <w:rPr>
          <w:rFonts w:ascii="Times New Roman" w:hAnsi="Times New Roman" w:cs="Times New Roman"/>
        </w:rPr>
        <w:t xml:space="preserve">This would </w:t>
      </w:r>
      <w:r w:rsidRPr="009D3659">
        <w:rPr>
          <w:rFonts w:ascii="Times New Roman" w:hAnsi="Times New Roman" w:cs="Times New Roman"/>
        </w:rPr>
        <w:t>give student</w:t>
      </w:r>
      <w:r w:rsidR="002E115A" w:rsidRPr="009D3659">
        <w:rPr>
          <w:rFonts w:ascii="Times New Roman" w:hAnsi="Times New Roman" w:cs="Times New Roman"/>
        </w:rPr>
        <w:t>s</w:t>
      </w:r>
      <w:r w:rsidRPr="009D3659">
        <w:rPr>
          <w:rFonts w:ascii="Times New Roman" w:hAnsi="Times New Roman" w:cs="Times New Roman"/>
        </w:rPr>
        <w:t xml:space="preserve"> greater</w:t>
      </w:r>
      <w:r w:rsidR="002E115A" w:rsidRPr="009D3659">
        <w:rPr>
          <w:rFonts w:ascii="Times New Roman" w:hAnsi="Times New Roman" w:cs="Times New Roman"/>
        </w:rPr>
        <w:t xml:space="preserve"> </w:t>
      </w:r>
      <w:r w:rsidRPr="009D3659">
        <w:rPr>
          <w:rFonts w:ascii="Times New Roman" w:hAnsi="Times New Roman" w:cs="Times New Roman"/>
        </w:rPr>
        <w:t xml:space="preserve">control of the content used to trigger </w:t>
      </w:r>
      <w:r w:rsidR="00F55BAF" w:rsidRPr="009D3659">
        <w:rPr>
          <w:rFonts w:ascii="Times New Roman" w:hAnsi="Times New Roman" w:cs="Times New Roman"/>
        </w:rPr>
        <w:t>reflection on the topic</w:t>
      </w:r>
      <w:r w:rsidRPr="009D3659">
        <w:rPr>
          <w:rFonts w:ascii="Times New Roman" w:hAnsi="Times New Roman" w:cs="Times New Roman"/>
        </w:rPr>
        <w:t>, relevant to their own cultural and social background</w:t>
      </w:r>
      <w:r w:rsidR="002E115A" w:rsidRPr="009D3659">
        <w:rPr>
          <w:rFonts w:ascii="Times New Roman" w:hAnsi="Times New Roman" w:cs="Times New Roman"/>
        </w:rPr>
        <w:t>. This</w:t>
      </w:r>
      <w:r w:rsidR="00213F90" w:rsidRPr="009D3659">
        <w:rPr>
          <w:rFonts w:ascii="Times New Roman" w:hAnsi="Times New Roman" w:cs="Times New Roman"/>
        </w:rPr>
        <w:t xml:space="preserve"> sharing</w:t>
      </w:r>
      <w:r w:rsidR="002E115A" w:rsidRPr="009D3659">
        <w:rPr>
          <w:rFonts w:ascii="Times New Roman" w:hAnsi="Times New Roman" w:cs="Times New Roman"/>
        </w:rPr>
        <w:t xml:space="preserve"> could also </w:t>
      </w:r>
      <w:r w:rsidR="00F55BAF" w:rsidRPr="009D3659">
        <w:rPr>
          <w:rFonts w:ascii="Times New Roman" w:hAnsi="Times New Roman" w:cs="Times New Roman"/>
        </w:rPr>
        <w:t>be used</w:t>
      </w:r>
      <w:r w:rsidR="002E115A" w:rsidRPr="009D3659">
        <w:rPr>
          <w:rFonts w:ascii="Times New Roman" w:hAnsi="Times New Roman" w:cs="Times New Roman"/>
        </w:rPr>
        <w:t xml:space="preserve"> to</w:t>
      </w:r>
      <w:r w:rsidR="00213F90" w:rsidRPr="009D3659">
        <w:rPr>
          <w:rFonts w:ascii="Times New Roman" w:hAnsi="Times New Roman" w:cs="Times New Roman"/>
        </w:rPr>
        <w:t xml:space="preserve"> cultivate a collegial intimacy between students and this comfort could</w:t>
      </w:r>
      <w:r w:rsidR="002E115A" w:rsidRPr="009D3659">
        <w:rPr>
          <w:rFonts w:ascii="Times New Roman" w:hAnsi="Times New Roman" w:cs="Times New Roman"/>
        </w:rPr>
        <w:t xml:space="preserve"> facilitate </w:t>
      </w:r>
      <w:r w:rsidR="00213F90" w:rsidRPr="009D3659">
        <w:rPr>
          <w:rFonts w:ascii="Times New Roman" w:hAnsi="Times New Roman" w:cs="Times New Roman"/>
        </w:rPr>
        <w:t xml:space="preserve">greater </w:t>
      </w:r>
      <w:r w:rsidR="002E115A" w:rsidRPr="009D3659">
        <w:rPr>
          <w:rFonts w:ascii="Times New Roman" w:hAnsi="Times New Roman" w:cs="Times New Roman"/>
        </w:rPr>
        <w:t>conversation among their peers</w:t>
      </w:r>
      <w:r w:rsidR="00213F90" w:rsidRPr="009D3659">
        <w:rPr>
          <w:rFonts w:ascii="Times New Roman" w:hAnsi="Times New Roman" w:cs="Times New Roman"/>
        </w:rPr>
        <w:t xml:space="preserve"> in the class</w:t>
      </w:r>
      <w:r w:rsidR="002E115A" w:rsidRPr="009D3659">
        <w:rPr>
          <w:rFonts w:ascii="Times New Roman" w:hAnsi="Times New Roman" w:cs="Times New Roman"/>
        </w:rPr>
        <w:t xml:space="preserve"> on the topic (by using a </w:t>
      </w:r>
      <w:r w:rsidRPr="009D3659">
        <w:rPr>
          <w:rFonts w:ascii="Times New Roman" w:hAnsi="Times New Roman" w:cs="Times New Roman"/>
        </w:rPr>
        <w:t>variety of texts or stimuli</w:t>
      </w:r>
      <w:r w:rsidR="002E115A" w:rsidRPr="009D3659">
        <w:rPr>
          <w:rFonts w:ascii="Times New Roman" w:hAnsi="Times New Roman" w:cs="Times New Roman"/>
        </w:rPr>
        <w:t xml:space="preserve"> to anchor the initial class conversation</w:t>
      </w:r>
      <w:r w:rsidR="00213F90" w:rsidRPr="009D3659">
        <w:rPr>
          <w:rFonts w:ascii="Times New Roman" w:hAnsi="Times New Roman" w:cs="Times New Roman"/>
        </w:rPr>
        <w:t>s</w:t>
      </w:r>
      <w:r w:rsidR="002E115A" w:rsidRPr="009D3659">
        <w:rPr>
          <w:rFonts w:ascii="Times New Roman" w:hAnsi="Times New Roman" w:cs="Times New Roman"/>
        </w:rPr>
        <w:t>)</w:t>
      </w:r>
      <w:r w:rsidR="00507DFB">
        <w:rPr>
          <w:rFonts w:ascii="Times New Roman" w:hAnsi="Times New Roman" w:cs="Times New Roman"/>
        </w:rPr>
        <w:t xml:space="preserve">. </w:t>
      </w:r>
    </w:p>
    <w:p w14:paraId="4D006E8E" w14:textId="5399C5F3" w:rsidR="00EF0A36" w:rsidRPr="009D3659" w:rsidRDefault="00936E5E" w:rsidP="00D13CE2">
      <w:pPr>
        <w:spacing w:line="360" w:lineRule="auto"/>
        <w:ind w:firstLine="720"/>
        <w:jc w:val="both"/>
        <w:rPr>
          <w:rFonts w:ascii="Times New Roman" w:hAnsi="Times New Roman" w:cs="Times New Roman"/>
        </w:rPr>
      </w:pPr>
      <w:r w:rsidRPr="009D3659">
        <w:rPr>
          <w:rFonts w:ascii="Times New Roman" w:hAnsi="Times New Roman" w:cs="Times New Roman"/>
        </w:rPr>
        <w:t>The module feedback a</w:t>
      </w:r>
      <w:r w:rsidR="00F55BAF" w:rsidRPr="009D3659">
        <w:rPr>
          <w:rFonts w:ascii="Times New Roman" w:hAnsi="Times New Roman" w:cs="Times New Roman"/>
        </w:rPr>
        <w:t>lso</w:t>
      </w:r>
      <w:r w:rsidR="002E115A" w:rsidRPr="009D3659">
        <w:rPr>
          <w:rFonts w:ascii="Times New Roman" w:hAnsi="Times New Roman" w:cs="Times New Roman"/>
        </w:rPr>
        <w:t xml:space="preserve"> </w:t>
      </w:r>
      <w:r w:rsidRPr="009D3659">
        <w:rPr>
          <w:rFonts w:ascii="Times New Roman" w:hAnsi="Times New Roman" w:cs="Times New Roman"/>
        </w:rPr>
        <w:t>indicated to me that I should</w:t>
      </w:r>
      <w:r w:rsidR="002E115A" w:rsidRPr="009D3659">
        <w:rPr>
          <w:rFonts w:ascii="Times New Roman" w:hAnsi="Times New Roman" w:cs="Times New Roman"/>
        </w:rPr>
        <w:t xml:space="preserve"> provide some</w:t>
      </w:r>
      <w:r w:rsidR="00F55BAF" w:rsidRPr="009D3659">
        <w:rPr>
          <w:rFonts w:ascii="Times New Roman" w:hAnsi="Times New Roman" w:cs="Times New Roman"/>
        </w:rPr>
        <w:t xml:space="preserve"> greater</w:t>
      </w:r>
      <w:r w:rsidR="002E115A" w:rsidRPr="009D3659">
        <w:rPr>
          <w:rFonts w:ascii="Times New Roman" w:hAnsi="Times New Roman" w:cs="Times New Roman"/>
        </w:rPr>
        <w:t xml:space="preserve"> direction and </w:t>
      </w:r>
      <w:r w:rsidR="00930F37" w:rsidRPr="009D3659">
        <w:rPr>
          <w:rFonts w:ascii="Times New Roman" w:hAnsi="Times New Roman" w:cs="Times New Roman"/>
        </w:rPr>
        <w:t>feedback,</w:t>
      </w:r>
      <w:r w:rsidR="002E115A" w:rsidRPr="009D3659">
        <w:rPr>
          <w:rFonts w:ascii="Times New Roman" w:hAnsi="Times New Roman" w:cs="Times New Roman"/>
        </w:rPr>
        <w:t xml:space="preserve"> so students feel comfortable when discussing a topic</w:t>
      </w:r>
      <w:r w:rsidR="00DF3687">
        <w:rPr>
          <w:rFonts w:ascii="Times New Roman" w:hAnsi="Times New Roman" w:cs="Times New Roman"/>
        </w:rPr>
        <w:t>.</w:t>
      </w:r>
      <w:r w:rsidR="00DF3687">
        <w:rPr>
          <w:rStyle w:val="FootnoteReference"/>
          <w:rFonts w:ascii="Times New Roman" w:hAnsi="Times New Roman" w:cs="Times New Roman"/>
        </w:rPr>
        <w:footnoteReference w:id="67"/>
      </w:r>
      <w:r w:rsidR="002E115A" w:rsidRPr="009D3659">
        <w:rPr>
          <w:rFonts w:ascii="Times New Roman" w:hAnsi="Times New Roman" w:cs="Times New Roman"/>
        </w:rPr>
        <w:t xml:space="preserve"> For example, this could include initially providing some broad questions as a starting point for students when they are asked to prepare a short summary of the reading or tips for selecting a media extract. In a module that demands critical reflection on law and emotion, rather than rehearsing the</w:t>
      </w:r>
      <w:r w:rsidR="00F55BAF" w:rsidRPr="009D3659">
        <w:rPr>
          <w:rFonts w:ascii="Times New Roman" w:hAnsi="Times New Roman" w:cs="Times New Roman"/>
        </w:rPr>
        <w:t xml:space="preserve"> arguments made in the readings,</w:t>
      </w:r>
      <w:r w:rsidR="002E115A" w:rsidRPr="009D3659">
        <w:rPr>
          <w:rFonts w:ascii="Times New Roman" w:hAnsi="Times New Roman" w:cs="Times New Roman"/>
        </w:rPr>
        <w:t xml:space="preserve"> I could also offer alternative methods of presenting content (such online discussion forums, mini moots, etc) so students d</w:t>
      </w:r>
      <w:r w:rsidR="00F55BAF" w:rsidRPr="009D3659">
        <w:rPr>
          <w:rFonts w:ascii="Times New Roman" w:hAnsi="Times New Roman" w:cs="Times New Roman"/>
        </w:rPr>
        <w:t xml:space="preserve">o not feel confined to “traditional” </w:t>
      </w:r>
      <w:r w:rsidR="002E115A" w:rsidRPr="009D3659">
        <w:rPr>
          <w:rFonts w:ascii="Times New Roman" w:hAnsi="Times New Roman" w:cs="Times New Roman"/>
        </w:rPr>
        <w:t>formats (such</w:t>
      </w:r>
      <w:r w:rsidR="00F55BAF" w:rsidRPr="009D3659">
        <w:rPr>
          <w:rFonts w:ascii="Times New Roman" w:hAnsi="Times New Roman" w:cs="Times New Roman"/>
        </w:rPr>
        <w:t xml:space="preserve"> as PowerPoint presentations). “On call students” </w:t>
      </w:r>
      <w:r w:rsidR="002E115A" w:rsidRPr="009D3659">
        <w:rPr>
          <w:rFonts w:ascii="Times New Roman" w:hAnsi="Times New Roman" w:cs="Times New Roman"/>
        </w:rPr>
        <w:t>should ask questions to fellow students as a way to develop intragroup feedback rather than just demonstrating class participation by responding to the questions asked by the teacher.</w:t>
      </w:r>
      <w:r w:rsidR="001B0357" w:rsidRPr="001B0357">
        <w:rPr>
          <w:rStyle w:val="FootnoteReference"/>
          <w:rFonts w:ascii="Times New Roman" w:hAnsi="Times New Roman" w:cs="Times New Roman"/>
        </w:rPr>
        <w:t xml:space="preserve"> </w:t>
      </w:r>
      <w:r w:rsidR="001B0357">
        <w:rPr>
          <w:rStyle w:val="FootnoteReference"/>
          <w:rFonts w:ascii="Times New Roman" w:hAnsi="Times New Roman" w:cs="Times New Roman"/>
        </w:rPr>
        <w:footnoteReference w:id="68"/>
      </w:r>
      <w:r w:rsidR="001B0357" w:rsidRPr="009D3659">
        <w:rPr>
          <w:rFonts w:ascii="Times New Roman" w:hAnsi="Times New Roman" w:cs="Times New Roman"/>
        </w:rPr>
        <w:t xml:space="preserve"> </w:t>
      </w:r>
      <w:r w:rsidR="002E115A" w:rsidRPr="009D3659">
        <w:rPr>
          <w:rFonts w:ascii="Times New Roman" w:hAnsi="Times New Roman" w:cs="Times New Roman"/>
        </w:rPr>
        <w:t xml:space="preserve"> </w:t>
      </w:r>
    </w:p>
    <w:p w14:paraId="7450C552" w14:textId="41B65319" w:rsidR="00213F90" w:rsidRPr="009D3659" w:rsidRDefault="002C52FD" w:rsidP="00F55BAF">
      <w:pPr>
        <w:spacing w:line="360" w:lineRule="auto"/>
        <w:ind w:firstLine="720"/>
        <w:jc w:val="both"/>
        <w:rPr>
          <w:rFonts w:ascii="Times New Roman" w:hAnsi="Times New Roman" w:cs="Times New Roman"/>
        </w:rPr>
      </w:pPr>
      <w:r w:rsidRPr="009D3659">
        <w:rPr>
          <w:rFonts w:ascii="Times New Roman" w:hAnsi="Times New Roman" w:cs="Times New Roman"/>
        </w:rPr>
        <w:t>Surprise is an important part of teaching</w:t>
      </w:r>
      <w:r w:rsidR="00AA5DEC" w:rsidRPr="009D3659">
        <w:rPr>
          <w:rFonts w:ascii="Times New Roman" w:hAnsi="Times New Roman" w:cs="Times New Roman"/>
        </w:rPr>
        <w:t xml:space="preserve"> and learning</w:t>
      </w:r>
      <w:r w:rsidRPr="009D3659">
        <w:rPr>
          <w:rFonts w:ascii="Times New Roman" w:hAnsi="Times New Roman" w:cs="Times New Roman"/>
        </w:rPr>
        <w:t>.</w:t>
      </w:r>
      <w:r w:rsidR="00DF3687">
        <w:rPr>
          <w:rStyle w:val="FootnoteReference"/>
          <w:rFonts w:ascii="Times New Roman" w:hAnsi="Times New Roman" w:cs="Times New Roman"/>
        </w:rPr>
        <w:footnoteReference w:id="69"/>
      </w:r>
      <w:r w:rsidRPr="009D3659">
        <w:rPr>
          <w:rFonts w:ascii="Times New Roman" w:hAnsi="Times New Roman" w:cs="Times New Roman"/>
        </w:rPr>
        <w:t xml:space="preserve"> </w:t>
      </w:r>
      <w:r w:rsidR="00AA5DEC" w:rsidRPr="009D3659">
        <w:rPr>
          <w:rFonts w:ascii="Times New Roman" w:hAnsi="Times New Roman" w:cs="Times New Roman"/>
        </w:rPr>
        <w:t xml:space="preserve">There were </w:t>
      </w:r>
      <w:r w:rsidR="00213F90" w:rsidRPr="009D3659">
        <w:rPr>
          <w:rFonts w:ascii="Times New Roman" w:hAnsi="Times New Roman" w:cs="Times New Roman"/>
        </w:rPr>
        <w:t xml:space="preserve">several </w:t>
      </w:r>
      <w:r w:rsidR="00AA5DEC" w:rsidRPr="009D3659">
        <w:rPr>
          <w:rFonts w:ascii="Times New Roman" w:hAnsi="Times New Roman" w:cs="Times New Roman"/>
        </w:rPr>
        <w:t xml:space="preserve">moments </w:t>
      </w:r>
      <w:r w:rsidR="00213F90" w:rsidRPr="009D3659">
        <w:rPr>
          <w:rFonts w:ascii="Times New Roman" w:hAnsi="Times New Roman" w:cs="Times New Roman"/>
        </w:rPr>
        <w:t xml:space="preserve">in teaching </w:t>
      </w:r>
      <w:r w:rsidR="00AA5DEC" w:rsidRPr="009D3659">
        <w:rPr>
          <w:rFonts w:ascii="Times New Roman" w:hAnsi="Times New Roman" w:cs="Times New Roman"/>
        </w:rPr>
        <w:t>when I was</w:t>
      </w:r>
      <w:r w:rsidRPr="009D3659">
        <w:rPr>
          <w:rFonts w:ascii="Times New Roman" w:hAnsi="Times New Roman" w:cs="Times New Roman"/>
        </w:rPr>
        <w:t xml:space="preserve"> disoriented or surprised by a particular response to </w:t>
      </w:r>
      <w:r w:rsidR="0094191E" w:rsidRPr="009D3659">
        <w:rPr>
          <w:rFonts w:ascii="Times New Roman" w:hAnsi="Times New Roman" w:cs="Times New Roman"/>
        </w:rPr>
        <w:t xml:space="preserve">a question. For example, I was stunned </w:t>
      </w:r>
      <w:r w:rsidR="00AA5DEC" w:rsidRPr="009D3659">
        <w:rPr>
          <w:rFonts w:ascii="Times New Roman" w:hAnsi="Times New Roman" w:cs="Times New Roman"/>
        </w:rPr>
        <w:t>when a student im</w:t>
      </w:r>
      <w:r w:rsidR="0094191E" w:rsidRPr="009D3659">
        <w:rPr>
          <w:rFonts w:ascii="Times New Roman" w:hAnsi="Times New Roman" w:cs="Times New Roman"/>
        </w:rPr>
        <w:t>plied homosexuality was immoral</w:t>
      </w:r>
      <w:r w:rsidR="00AA5DEC" w:rsidRPr="009D3659">
        <w:rPr>
          <w:rFonts w:ascii="Times New Roman" w:hAnsi="Times New Roman" w:cs="Times New Roman"/>
        </w:rPr>
        <w:t xml:space="preserve">. </w:t>
      </w:r>
      <w:r w:rsidR="0094191E" w:rsidRPr="009D3659">
        <w:rPr>
          <w:rFonts w:ascii="Times New Roman" w:hAnsi="Times New Roman" w:cs="Times New Roman"/>
        </w:rPr>
        <w:t xml:space="preserve">As a gay man, such an implication became immediately emotional. </w:t>
      </w:r>
      <w:r w:rsidR="00AA5DEC" w:rsidRPr="009D3659">
        <w:rPr>
          <w:rFonts w:ascii="Times New Roman" w:hAnsi="Times New Roman" w:cs="Times New Roman"/>
        </w:rPr>
        <w:t xml:space="preserve">It was fortunate that, in that moment, another student was willing to </w:t>
      </w:r>
      <w:r w:rsidR="0094191E" w:rsidRPr="009D3659">
        <w:rPr>
          <w:rFonts w:ascii="Times New Roman" w:hAnsi="Times New Roman" w:cs="Times New Roman"/>
        </w:rPr>
        <w:t xml:space="preserve">respectfully </w:t>
      </w:r>
      <w:r w:rsidR="00AA5DEC" w:rsidRPr="009D3659">
        <w:rPr>
          <w:rFonts w:ascii="Times New Roman" w:hAnsi="Times New Roman" w:cs="Times New Roman"/>
        </w:rPr>
        <w:t xml:space="preserve">challenge it. Yet, </w:t>
      </w:r>
      <w:r w:rsidR="009C7A45" w:rsidRPr="009D3659">
        <w:rPr>
          <w:rFonts w:ascii="Times New Roman" w:hAnsi="Times New Roman" w:cs="Times New Roman"/>
        </w:rPr>
        <w:t xml:space="preserve">moments like that remind us why, as teachers, </w:t>
      </w:r>
      <w:r w:rsidR="0094191E" w:rsidRPr="009D3659">
        <w:rPr>
          <w:rFonts w:ascii="Times New Roman" w:hAnsi="Times New Roman" w:cs="Times New Roman"/>
        </w:rPr>
        <w:t xml:space="preserve">we </w:t>
      </w:r>
      <w:r w:rsidR="00213F90" w:rsidRPr="009D3659">
        <w:rPr>
          <w:rFonts w:ascii="Times New Roman" w:hAnsi="Times New Roman" w:cs="Times New Roman"/>
        </w:rPr>
        <w:t xml:space="preserve">must account for our own </w:t>
      </w:r>
      <w:r w:rsidR="00213F90" w:rsidRPr="009D3659">
        <w:rPr>
          <w:rFonts w:ascii="Times New Roman" w:hAnsi="Times New Roman" w:cs="Times New Roman"/>
        </w:rPr>
        <w:lastRenderedPageBreak/>
        <w:t xml:space="preserve">emotions when responding to students. We </w:t>
      </w:r>
      <w:r w:rsidR="009C7A45" w:rsidRPr="009D3659">
        <w:rPr>
          <w:rFonts w:ascii="Times New Roman" w:hAnsi="Times New Roman" w:cs="Times New Roman"/>
        </w:rPr>
        <w:t>should</w:t>
      </w:r>
      <w:r w:rsidR="0094191E" w:rsidRPr="009D3659">
        <w:rPr>
          <w:rFonts w:ascii="Times New Roman" w:hAnsi="Times New Roman" w:cs="Times New Roman"/>
        </w:rPr>
        <w:t xml:space="preserve"> be careful when probing what has generated </w:t>
      </w:r>
      <w:r w:rsidRPr="009D3659">
        <w:rPr>
          <w:rFonts w:ascii="Times New Roman" w:hAnsi="Times New Roman" w:cs="Times New Roman"/>
        </w:rPr>
        <w:t>the student’s response</w:t>
      </w:r>
      <w:r w:rsidR="00CE6F89" w:rsidRPr="009D3659">
        <w:rPr>
          <w:rFonts w:ascii="Times New Roman" w:hAnsi="Times New Roman" w:cs="Times New Roman"/>
        </w:rPr>
        <w:t xml:space="preserve"> to challenge </w:t>
      </w:r>
      <w:r w:rsidR="009C7A45" w:rsidRPr="009D3659">
        <w:rPr>
          <w:rFonts w:ascii="Times New Roman" w:hAnsi="Times New Roman" w:cs="Times New Roman"/>
        </w:rPr>
        <w:t>the assumptions underpinning a bigoted statement</w:t>
      </w:r>
      <w:r w:rsidR="0094191E" w:rsidRPr="009D3659">
        <w:rPr>
          <w:rFonts w:ascii="Times New Roman" w:hAnsi="Times New Roman" w:cs="Times New Roman"/>
        </w:rPr>
        <w:t xml:space="preserve"> without </w:t>
      </w:r>
      <w:r w:rsidR="00CE6F89" w:rsidRPr="009D3659">
        <w:rPr>
          <w:rFonts w:ascii="Times New Roman" w:hAnsi="Times New Roman" w:cs="Times New Roman"/>
        </w:rPr>
        <w:t xml:space="preserve">policing </w:t>
      </w:r>
      <w:r w:rsidR="0094191E" w:rsidRPr="009D3659">
        <w:rPr>
          <w:rFonts w:ascii="Times New Roman" w:hAnsi="Times New Roman" w:cs="Times New Roman"/>
        </w:rPr>
        <w:t>anger or hostility</w:t>
      </w:r>
      <w:r w:rsidRPr="009D3659">
        <w:rPr>
          <w:rFonts w:ascii="Times New Roman" w:hAnsi="Times New Roman" w:cs="Times New Roman"/>
        </w:rPr>
        <w:t>.</w:t>
      </w:r>
      <w:r w:rsidR="00DF3687">
        <w:rPr>
          <w:rStyle w:val="FootnoteReference"/>
          <w:rFonts w:ascii="Times New Roman" w:hAnsi="Times New Roman" w:cs="Times New Roman"/>
        </w:rPr>
        <w:footnoteReference w:id="70"/>
      </w:r>
      <w:r w:rsidRPr="009D3659">
        <w:rPr>
          <w:rFonts w:ascii="Times New Roman" w:hAnsi="Times New Roman" w:cs="Times New Roman"/>
        </w:rPr>
        <w:t xml:space="preserve"> </w:t>
      </w:r>
      <w:r w:rsidR="00213F90" w:rsidRPr="009D3659">
        <w:rPr>
          <w:rFonts w:ascii="Times New Roman" w:hAnsi="Times New Roman" w:cs="Times New Roman"/>
        </w:rPr>
        <w:t>This involves emotional, as well intellectual, labour that we need to find ways to manage.</w:t>
      </w:r>
      <w:r w:rsidR="00DF3687">
        <w:rPr>
          <w:rStyle w:val="FootnoteReference"/>
          <w:rFonts w:ascii="Times New Roman" w:hAnsi="Times New Roman" w:cs="Times New Roman"/>
        </w:rPr>
        <w:footnoteReference w:id="71"/>
      </w:r>
      <w:r w:rsidR="00213F90" w:rsidRPr="009D3659">
        <w:rPr>
          <w:rFonts w:ascii="Times New Roman" w:hAnsi="Times New Roman" w:cs="Times New Roman"/>
        </w:rPr>
        <w:t xml:space="preserve"> </w:t>
      </w:r>
    </w:p>
    <w:p w14:paraId="2A8C9176" w14:textId="5A9EE790" w:rsidR="00DF3687" w:rsidRPr="009D3659" w:rsidRDefault="0094191E" w:rsidP="003013E5">
      <w:pPr>
        <w:spacing w:line="360" w:lineRule="auto"/>
        <w:ind w:firstLine="720"/>
        <w:jc w:val="both"/>
        <w:rPr>
          <w:rFonts w:ascii="Times New Roman" w:hAnsi="Times New Roman" w:cs="Times New Roman"/>
        </w:rPr>
      </w:pPr>
      <w:r w:rsidRPr="009D3659">
        <w:rPr>
          <w:rFonts w:ascii="Times New Roman" w:hAnsi="Times New Roman" w:cs="Times New Roman"/>
        </w:rPr>
        <w:t>Surprise also generates pleasure</w:t>
      </w:r>
      <w:r w:rsidR="00213F90" w:rsidRPr="009D3659">
        <w:rPr>
          <w:rFonts w:ascii="Times New Roman" w:hAnsi="Times New Roman" w:cs="Times New Roman"/>
        </w:rPr>
        <w:t xml:space="preserve"> for students and teachers</w:t>
      </w:r>
      <w:r w:rsidRPr="009D3659">
        <w:rPr>
          <w:rFonts w:ascii="Times New Roman" w:hAnsi="Times New Roman" w:cs="Times New Roman"/>
        </w:rPr>
        <w:t xml:space="preserve">. The final essays, while varying in quality, demonstrated that </w:t>
      </w:r>
      <w:r w:rsidR="00213F90" w:rsidRPr="009D3659">
        <w:rPr>
          <w:rFonts w:ascii="Times New Roman" w:hAnsi="Times New Roman" w:cs="Times New Roman"/>
        </w:rPr>
        <w:t>students had genuinely engaged with a topic of interest to them and surprised themselves at what they discovered in writing about their topics</w:t>
      </w:r>
      <w:r w:rsidRPr="009D3659">
        <w:rPr>
          <w:rFonts w:ascii="Times New Roman" w:hAnsi="Times New Roman" w:cs="Times New Roman"/>
        </w:rPr>
        <w:t xml:space="preserve">. </w:t>
      </w:r>
      <w:r w:rsidR="00213F90" w:rsidRPr="009D3659">
        <w:rPr>
          <w:rFonts w:ascii="Times New Roman" w:hAnsi="Times New Roman" w:cs="Times New Roman"/>
        </w:rPr>
        <w:t xml:space="preserve">Having assessed their essays in first year, the depth of critical engagement was surprising. </w:t>
      </w:r>
      <w:r w:rsidRPr="009D3659">
        <w:rPr>
          <w:rFonts w:ascii="Times New Roman" w:hAnsi="Times New Roman" w:cs="Times New Roman"/>
        </w:rPr>
        <w:t>Many students, however, struggled to either develop their ideas beyond a superficial identification of emotion or lost track of emotion entirely in favour of mor</w:t>
      </w:r>
      <w:r w:rsidR="00D9071F" w:rsidRPr="009D3659">
        <w:rPr>
          <w:rFonts w:ascii="Times New Roman" w:hAnsi="Times New Roman" w:cs="Times New Roman"/>
        </w:rPr>
        <w:t>e familiar doctrinal analysis. From the feedback and assessments, I</w:t>
      </w:r>
      <w:r w:rsidRPr="009D3659">
        <w:rPr>
          <w:rFonts w:ascii="Times New Roman" w:hAnsi="Times New Roman" w:cs="Times New Roman"/>
        </w:rPr>
        <w:t xml:space="preserve"> had failed to anticipate that writing about emotion</w:t>
      </w:r>
      <w:r w:rsidR="00D9071F" w:rsidRPr="009D3659">
        <w:rPr>
          <w:rFonts w:ascii="Times New Roman" w:hAnsi="Times New Roman" w:cs="Times New Roman"/>
        </w:rPr>
        <w:t xml:space="preserve"> was an enormously confronting task for law students who have been trained to avoid using personal pronouns (“I”) in assessment and taught to avoid using non-legal sources when writing an essay. As law teachers, we need to reflect</w:t>
      </w:r>
      <w:r w:rsidR="002C52FD" w:rsidRPr="009D3659">
        <w:rPr>
          <w:rFonts w:ascii="Times New Roman" w:hAnsi="Times New Roman" w:cs="Times New Roman"/>
        </w:rPr>
        <w:t xml:space="preserve"> on the </w:t>
      </w:r>
      <w:r w:rsidR="00D9071F" w:rsidRPr="009D3659">
        <w:rPr>
          <w:rFonts w:ascii="Times New Roman" w:hAnsi="Times New Roman" w:cs="Times New Roman"/>
        </w:rPr>
        <w:t>pedagogic</w:t>
      </w:r>
      <w:r w:rsidR="00611755" w:rsidRPr="009D3659">
        <w:rPr>
          <w:rFonts w:ascii="Times New Roman" w:hAnsi="Times New Roman" w:cs="Times New Roman"/>
        </w:rPr>
        <w:t>al</w:t>
      </w:r>
      <w:r w:rsidR="00D9071F" w:rsidRPr="009D3659">
        <w:rPr>
          <w:rFonts w:ascii="Times New Roman" w:hAnsi="Times New Roman" w:cs="Times New Roman"/>
        </w:rPr>
        <w:t xml:space="preserve"> </w:t>
      </w:r>
      <w:r w:rsidR="002C52FD" w:rsidRPr="009D3659">
        <w:rPr>
          <w:rFonts w:ascii="Times New Roman" w:hAnsi="Times New Roman" w:cs="Times New Roman"/>
        </w:rPr>
        <w:t xml:space="preserve">ideology that structures our teaching and </w:t>
      </w:r>
      <w:r w:rsidR="00D9071F" w:rsidRPr="009D3659">
        <w:rPr>
          <w:rFonts w:ascii="Times New Roman" w:hAnsi="Times New Roman" w:cs="Times New Roman"/>
        </w:rPr>
        <w:t>find ways to</w:t>
      </w:r>
      <w:r w:rsidR="002C52FD" w:rsidRPr="009D3659">
        <w:rPr>
          <w:rFonts w:ascii="Times New Roman" w:hAnsi="Times New Roman" w:cs="Times New Roman"/>
        </w:rPr>
        <w:t xml:space="preserve"> anticipate</w:t>
      </w:r>
      <w:r w:rsidR="00D9071F" w:rsidRPr="009D3659">
        <w:rPr>
          <w:rFonts w:ascii="Times New Roman" w:hAnsi="Times New Roman" w:cs="Times New Roman"/>
        </w:rPr>
        <w:t xml:space="preserve"> (in order to address)</w:t>
      </w:r>
      <w:r w:rsidR="002C52FD" w:rsidRPr="009D3659">
        <w:rPr>
          <w:rFonts w:ascii="Times New Roman" w:hAnsi="Times New Roman" w:cs="Times New Roman"/>
        </w:rPr>
        <w:t xml:space="preserve"> a particular query or challenge.</w:t>
      </w:r>
      <w:r w:rsidR="00DF3687">
        <w:rPr>
          <w:rStyle w:val="FootnoteReference"/>
          <w:rFonts w:ascii="Times New Roman" w:hAnsi="Times New Roman" w:cs="Times New Roman"/>
        </w:rPr>
        <w:footnoteReference w:id="72"/>
      </w:r>
      <w:r w:rsidR="002C52FD" w:rsidRPr="009D3659">
        <w:rPr>
          <w:rFonts w:ascii="Times New Roman" w:hAnsi="Times New Roman" w:cs="Times New Roman"/>
        </w:rPr>
        <w:t xml:space="preserve"> </w:t>
      </w:r>
    </w:p>
    <w:p w14:paraId="0A7DEC68" w14:textId="77777777" w:rsidR="00787B49" w:rsidRPr="009D3659" w:rsidRDefault="00787B49" w:rsidP="00DB7A87">
      <w:pPr>
        <w:spacing w:line="360" w:lineRule="auto"/>
        <w:ind w:firstLine="720"/>
        <w:jc w:val="both"/>
        <w:rPr>
          <w:rFonts w:ascii="Times New Roman" w:hAnsi="Times New Roman" w:cs="Times New Roman"/>
        </w:rPr>
      </w:pPr>
    </w:p>
    <w:p w14:paraId="33A8713B" w14:textId="5457CD87" w:rsidR="00770EB6" w:rsidRPr="009D3659" w:rsidRDefault="00770EB6" w:rsidP="00DD0C19">
      <w:pPr>
        <w:spacing w:line="360" w:lineRule="auto"/>
        <w:jc w:val="both"/>
        <w:rPr>
          <w:rFonts w:ascii="Times New Roman" w:hAnsi="Times New Roman" w:cs="Times New Roman"/>
          <w:b/>
        </w:rPr>
      </w:pPr>
      <w:r w:rsidRPr="009D3659">
        <w:rPr>
          <w:rFonts w:ascii="Times New Roman" w:hAnsi="Times New Roman" w:cs="Times New Roman"/>
          <w:b/>
        </w:rPr>
        <w:t>Conclusion</w:t>
      </w:r>
    </w:p>
    <w:p w14:paraId="5AB08131" w14:textId="744315D8" w:rsidR="00DF3687" w:rsidRDefault="00DF3687" w:rsidP="00DD0C19">
      <w:pPr>
        <w:spacing w:line="360" w:lineRule="auto"/>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Pedagogy of the Oppressed</w:t>
      </w:r>
      <w:r>
        <w:rPr>
          <w:rFonts w:ascii="Times New Roman" w:hAnsi="Times New Roman" w:cs="Times New Roman"/>
        </w:rPr>
        <w:t xml:space="preserve">, Paulo Freire argues: </w:t>
      </w:r>
    </w:p>
    <w:p w14:paraId="36E654F8" w14:textId="2474A2F0" w:rsidR="00DF3687" w:rsidRDefault="00DF3687" w:rsidP="00DB7A87">
      <w:pPr>
        <w:ind w:left="720"/>
        <w:jc w:val="both"/>
        <w:rPr>
          <w:rFonts w:ascii="Times New Roman" w:hAnsi="Times New Roman" w:cs="Times New Roman"/>
        </w:rPr>
      </w:pPr>
      <w:r>
        <w:rPr>
          <w:rFonts w:ascii="Times New Roman" w:hAnsi="Times New Roman" w:cs="Times New Roman"/>
        </w:rPr>
        <w:t>In problem posing education, people develop their power to perceive critically the way they exist in the world with which and which they find themselves; they come to see the world not as a static reality, but as a reality in process, in transformation.</w:t>
      </w:r>
      <w:r>
        <w:rPr>
          <w:rStyle w:val="FootnoteReference"/>
          <w:rFonts w:ascii="Times New Roman" w:hAnsi="Times New Roman" w:cs="Times New Roman"/>
        </w:rPr>
        <w:footnoteReference w:id="73"/>
      </w:r>
    </w:p>
    <w:p w14:paraId="3CC360D3" w14:textId="77777777" w:rsidR="00DF3687" w:rsidRDefault="00DF3687" w:rsidP="00DD0C19">
      <w:pPr>
        <w:spacing w:line="360" w:lineRule="auto"/>
        <w:jc w:val="both"/>
        <w:rPr>
          <w:rFonts w:ascii="Times New Roman" w:hAnsi="Times New Roman" w:cs="Times New Roman"/>
        </w:rPr>
      </w:pPr>
    </w:p>
    <w:p w14:paraId="18DD0A18" w14:textId="7A6D1A9E" w:rsidR="00DF3687" w:rsidRDefault="00DF3687" w:rsidP="00DD0C19">
      <w:pPr>
        <w:spacing w:line="360" w:lineRule="auto"/>
        <w:jc w:val="both"/>
        <w:rPr>
          <w:rFonts w:ascii="Times New Roman" w:hAnsi="Times New Roman" w:cs="Times New Roman"/>
        </w:rPr>
      </w:pPr>
      <w:r>
        <w:rPr>
          <w:rFonts w:ascii="Times New Roman" w:hAnsi="Times New Roman" w:cs="Times New Roman"/>
        </w:rPr>
        <w:t xml:space="preserve">Freire’s work at the time spoke to the enormous challenges facing activist-teachers in Brazil who wished to engage in </w:t>
      </w:r>
      <w:r w:rsidR="00507DFB">
        <w:rPr>
          <w:rFonts w:ascii="Times New Roman" w:hAnsi="Times New Roman" w:cs="Times New Roman"/>
        </w:rPr>
        <w:t xml:space="preserve">critical </w:t>
      </w:r>
      <w:r>
        <w:rPr>
          <w:rFonts w:ascii="Times New Roman" w:hAnsi="Times New Roman" w:cs="Times New Roman"/>
        </w:rPr>
        <w:t xml:space="preserve">forms of pedagogy that </w:t>
      </w:r>
      <w:r w:rsidR="00507DFB">
        <w:rPr>
          <w:rFonts w:ascii="Times New Roman" w:hAnsi="Times New Roman" w:cs="Times New Roman"/>
        </w:rPr>
        <w:t>enabled</w:t>
      </w:r>
      <w:r>
        <w:rPr>
          <w:rFonts w:ascii="Times New Roman" w:hAnsi="Times New Roman" w:cs="Times New Roman"/>
        </w:rPr>
        <w:t xml:space="preserve"> people</w:t>
      </w:r>
      <w:r w:rsidR="00507DFB">
        <w:rPr>
          <w:rFonts w:ascii="Times New Roman" w:hAnsi="Times New Roman" w:cs="Times New Roman"/>
        </w:rPr>
        <w:t xml:space="preserve"> to</w:t>
      </w:r>
      <w:r>
        <w:rPr>
          <w:rFonts w:ascii="Times New Roman" w:hAnsi="Times New Roman" w:cs="Times New Roman"/>
        </w:rPr>
        <w:t xml:space="preserve"> understand the social and economic conditions that shaped how they thought and lived. His work was animated by hopes </w:t>
      </w:r>
      <w:r w:rsidR="00507DFB">
        <w:rPr>
          <w:rFonts w:ascii="Times New Roman" w:hAnsi="Times New Roman" w:cs="Times New Roman"/>
        </w:rPr>
        <w:t>for</w:t>
      </w:r>
      <w:r>
        <w:rPr>
          <w:rFonts w:ascii="Times New Roman" w:hAnsi="Times New Roman" w:cs="Times New Roman"/>
        </w:rPr>
        <w:t xml:space="preserve"> a future where education was </w:t>
      </w:r>
      <w:r w:rsidR="001B0357">
        <w:rPr>
          <w:rFonts w:ascii="Times New Roman" w:hAnsi="Times New Roman" w:cs="Times New Roman"/>
        </w:rPr>
        <w:t>pursued</w:t>
      </w:r>
      <w:r>
        <w:rPr>
          <w:rFonts w:ascii="Times New Roman" w:hAnsi="Times New Roman" w:cs="Times New Roman"/>
        </w:rPr>
        <w:t xml:space="preserve"> less as the passive “banking” of knowledge and more as a </w:t>
      </w:r>
      <w:r w:rsidR="001B0357">
        <w:rPr>
          <w:rFonts w:ascii="Times New Roman" w:hAnsi="Times New Roman" w:cs="Times New Roman"/>
        </w:rPr>
        <w:t>critical</w:t>
      </w:r>
      <w:r w:rsidR="00423EF3">
        <w:rPr>
          <w:rFonts w:ascii="Times New Roman" w:hAnsi="Times New Roman" w:cs="Times New Roman"/>
        </w:rPr>
        <w:t>, collective, self-reflexive</w:t>
      </w:r>
      <w:r w:rsidR="001B0357">
        <w:rPr>
          <w:rFonts w:ascii="Times New Roman" w:hAnsi="Times New Roman" w:cs="Times New Roman"/>
        </w:rPr>
        <w:t xml:space="preserve"> </w:t>
      </w:r>
      <w:r>
        <w:rPr>
          <w:rFonts w:ascii="Times New Roman" w:hAnsi="Times New Roman" w:cs="Times New Roman"/>
        </w:rPr>
        <w:t>practice of freedom.</w:t>
      </w:r>
      <w:r>
        <w:rPr>
          <w:rStyle w:val="FootnoteReference"/>
          <w:rFonts w:ascii="Times New Roman" w:hAnsi="Times New Roman" w:cs="Times New Roman"/>
        </w:rPr>
        <w:footnoteReference w:id="74"/>
      </w:r>
      <w:r>
        <w:rPr>
          <w:rFonts w:ascii="Times New Roman" w:hAnsi="Times New Roman" w:cs="Times New Roman"/>
        </w:rPr>
        <w:t xml:space="preserve"> </w:t>
      </w:r>
      <w:r w:rsidR="00FC47F7" w:rsidRPr="009D3659">
        <w:rPr>
          <w:rFonts w:ascii="Times New Roman" w:hAnsi="Times New Roman" w:cs="Times New Roman"/>
        </w:rPr>
        <w:t>Law and Emotion</w:t>
      </w:r>
      <w:r w:rsidR="00423EF3">
        <w:rPr>
          <w:rFonts w:ascii="Times New Roman" w:hAnsi="Times New Roman" w:cs="Times New Roman"/>
        </w:rPr>
        <w:t xml:space="preserve"> </w:t>
      </w:r>
      <w:r w:rsidR="006C3422">
        <w:rPr>
          <w:rFonts w:ascii="Times New Roman" w:hAnsi="Times New Roman" w:cs="Times New Roman"/>
        </w:rPr>
        <w:t>represents this</w:t>
      </w:r>
      <w:r w:rsidR="00507DFB">
        <w:rPr>
          <w:rFonts w:ascii="Times New Roman" w:hAnsi="Times New Roman" w:cs="Times New Roman"/>
        </w:rPr>
        <w:t xml:space="preserve"> </w:t>
      </w:r>
      <w:r w:rsidR="00423EF3">
        <w:rPr>
          <w:rFonts w:ascii="Times New Roman" w:hAnsi="Times New Roman" w:cs="Times New Roman"/>
        </w:rPr>
        <w:t>hope</w:t>
      </w:r>
      <w:r w:rsidR="006C3422">
        <w:rPr>
          <w:rFonts w:ascii="Times New Roman" w:hAnsi="Times New Roman" w:cs="Times New Roman"/>
        </w:rPr>
        <w:t>, within the context of an undergraduate legal curriculum, by</w:t>
      </w:r>
      <w:r w:rsidR="00FC47F7" w:rsidRPr="009D3659">
        <w:rPr>
          <w:rFonts w:ascii="Times New Roman" w:hAnsi="Times New Roman" w:cs="Times New Roman"/>
        </w:rPr>
        <w:t xml:space="preserve"> </w:t>
      </w:r>
      <w:r w:rsidR="00423EF3">
        <w:rPr>
          <w:rFonts w:ascii="Times New Roman" w:hAnsi="Times New Roman" w:cs="Times New Roman"/>
        </w:rPr>
        <w:t xml:space="preserve">critically </w:t>
      </w:r>
      <w:r w:rsidR="00FC47F7" w:rsidRPr="009D3659">
        <w:rPr>
          <w:rFonts w:ascii="Times New Roman" w:hAnsi="Times New Roman" w:cs="Times New Roman"/>
        </w:rPr>
        <w:t>engag</w:t>
      </w:r>
      <w:r w:rsidR="006C3422">
        <w:rPr>
          <w:rFonts w:ascii="Times New Roman" w:hAnsi="Times New Roman" w:cs="Times New Roman"/>
        </w:rPr>
        <w:t>ing</w:t>
      </w:r>
      <w:r w:rsidR="00FC47F7" w:rsidRPr="009D3659">
        <w:rPr>
          <w:rFonts w:ascii="Times New Roman" w:hAnsi="Times New Roman" w:cs="Times New Roman"/>
        </w:rPr>
        <w:t xml:space="preserve"> </w:t>
      </w:r>
      <w:r w:rsidR="00426D73" w:rsidRPr="009D3659">
        <w:rPr>
          <w:rFonts w:ascii="Times New Roman" w:hAnsi="Times New Roman" w:cs="Times New Roman"/>
        </w:rPr>
        <w:t xml:space="preserve">law </w:t>
      </w:r>
      <w:r w:rsidR="00FC47F7" w:rsidRPr="009D3659">
        <w:rPr>
          <w:rFonts w:ascii="Times New Roman" w:hAnsi="Times New Roman" w:cs="Times New Roman"/>
        </w:rPr>
        <w:t xml:space="preserve">students in </w:t>
      </w:r>
      <w:r w:rsidR="00507DFB">
        <w:rPr>
          <w:rFonts w:ascii="Times New Roman" w:hAnsi="Times New Roman" w:cs="Times New Roman"/>
        </w:rPr>
        <w:t>contemporary</w:t>
      </w:r>
      <w:r w:rsidR="00FC47F7" w:rsidRPr="009D3659">
        <w:rPr>
          <w:rFonts w:ascii="Times New Roman" w:hAnsi="Times New Roman" w:cs="Times New Roman"/>
        </w:rPr>
        <w:t xml:space="preserve"> legal debates about </w:t>
      </w:r>
      <w:r w:rsidR="00507DFB">
        <w:rPr>
          <w:rFonts w:ascii="Times New Roman" w:hAnsi="Times New Roman" w:cs="Times New Roman"/>
        </w:rPr>
        <w:t xml:space="preserve">social </w:t>
      </w:r>
      <w:r w:rsidR="00FC47F7" w:rsidRPr="009D3659">
        <w:rPr>
          <w:rFonts w:ascii="Times New Roman" w:hAnsi="Times New Roman" w:cs="Times New Roman"/>
        </w:rPr>
        <w:t>justice</w:t>
      </w:r>
      <w:r>
        <w:rPr>
          <w:rFonts w:ascii="Times New Roman" w:hAnsi="Times New Roman" w:cs="Times New Roman"/>
        </w:rPr>
        <w:t xml:space="preserve"> claims</w:t>
      </w:r>
      <w:r w:rsidR="00FC47F7" w:rsidRPr="009D3659">
        <w:rPr>
          <w:rFonts w:ascii="Times New Roman" w:hAnsi="Times New Roman" w:cs="Times New Roman"/>
        </w:rPr>
        <w:t xml:space="preserve"> and creat</w:t>
      </w:r>
      <w:r w:rsidR="006C3422">
        <w:rPr>
          <w:rFonts w:ascii="Times New Roman" w:hAnsi="Times New Roman" w:cs="Times New Roman"/>
        </w:rPr>
        <w:t>ing</w:t>
      </w:r>
      <w:r w:rsidR="00FC47F7" w:rsidRPr="009D3659">
        <w:rPr>
          <w:rFonts w:ascii="Times New Roman" w:hAnsi="Times New Roman" w:cs="Times New Roman"/>
        </w:rPr>
        <w:t xml:space="preserve"> spaces for </w:t>
      </w:r>
      <w:r w:rsidR="00507DFB">
        <w:rPr>
          <w:rFonts w:ascii="Times New Roman" w:hAnsi="Times New Roman" w:cs="Times New Roman"/>
        </w:rPr>
        <w:t xml:space="preserve">using emotion as a lens </w:t>
      </w:r>
      <w:r w:rsidR="00507DFB">
        <w:rPr>
          <w:rFonts w:ascii="Times New Roman" w:hAnsi="Times New Roman" w:cs="Times New Roman"/>
        </w:rPr>
        <w:lastRenderedPageBreak/>
        <w:t xml:space="preserve">to </w:t>
      </w:r>
      <w:r>
        <w:rPr>
          <w:rFonts w:ascii="Times New Roman" w:hAnsi="Times New Roman" w:cs="Times New Roman"/>
        </w:rPr>
        <w:t>reimagine</w:t>
      </w:r>
      <w:r w:rsidR="00507DFB">
        <w:rPr>
          <w:rFonts w:ascii="Times New Roman" w:hAnsi="Times New Roman" w:cs="Times New Roman"/>
        </w:rPr>
        <w:t>, discuss, and critique</w:t>
      </w:r>
      <w:r>
        <w:rPr>
          <w:rFonts w:ascii="Times New Roman" w:hAnsi="Times New Roman" w:cs="Times New Roman"/>
        </w:rPr>
        <w:t xml:space="preserve"> legal problems and pursuits</w:t>
      </w:r>
      <w:r w:rsidR="00303ECB" w:rsidRPr="009D3659">
        <w:rPr>
          <w:rFonts w:ascii="Times New Roman" w:hAnsi="Times New Roman" w:cs="Times New Roman"/>
        </w:rPr>
        <w:t xml:space="preserve">. </w:t>
      </w:r>
      <w:r w:rsidR="00423EF3">
        <w:rPr>
          <w:rFonts w:ascii="Times New Roman" w:hAnsi="Times New Roman" w:cs="Times New Roman"/>
        </w:rPr>
        <w:t xml:space="preserve">Instead of structuring the study of a legal problem or pursuit within the boundaries of a subdiscipline of law and/or national jurisdiction (which is typically the case with core LLB modules), I used emotion as a lens to highlight connections between the emotional personal experiences of students (such as sexual disgust and border fears) and the legal organisation of emotional public issues (such as the criminalisation of gay sex and restrictive refugee laws). </w:t>
      </w:r>
      <w:r>
        <w:rPr>
          <w:rFonts w:ascii="Times New Roman" w:hAnsi="Times New Roman" w:cs="Times New Roman"/>
        </w:rPr>
        <w:t xml:space="preserve">This </w:t>
      </w:r>
      <w:r w:rsidR="00507DFB">
        <w:rPr>
          <w:rFonts w:ascii="Times New Roman" w:hAnsi="Times New Roman" w:cs="Times New Roman"/>
        </w:rPr>
        <w:t xml:space="preserve">pedagogical approach </w:t>
      </w:r>
      <w:r w:rsidR="006C3422">
        <w:rPr>
          <w:rFonts w:ascii="Times New Roman" w:hAnsi="Times New Roman" w:cs="Times New Roman"/>
        </w:rPr>
        <w:t>presents an enormous disciplinary challenge</w:t>
      </w:r>
      <w:r>
        <w:rPr>
          <w:rFonts w:ascii="Times New Roman" w:hAnsi="Times New Roman" w:cs="Times New Roman"/>
        </w:rPr>
        <w:t>, especially as both the inclusion of emotion and the pursuit of critical legal studies are still treated with hostility in law schools</w:t>
      </w:r>
      <w:r w:rsidR="00423EF3">
        <w:rPr>
          <w:rFonts w:ascii="Times New Roman" w:hAnsi="Times New Roman" w:cs="Times New Roman"/>
        </w:rPr>
        <w:t xml:space="preserve"> that privilege doctrinal forms of study</w:t>
      </w:r>
      <w:r>
        <w:rPr>
          <w:rFonts w:ascii="Times New Roman" w:hAnsi="Times New Roman" w:cs="Times New Roman"/>
        </w:rPr>
        <w:t xml:space="preserve"> and the legal profession more generally.</w:t>
      </w:r>
      <w:r>
        <w:rPr>
          <w:rStyle w:val="FootnoteReference"/>
          <w:rFonts w:ascii="Times New Roman" w:hAnsi="Times New Roman" w:cs="Times New Roman"/>
        </w:rPr>
        <w:footnoteReference w:id="75"/>
      </w:r>
      <w:r>
        <w:rPr>
          <w:rFonts w:ascii="Times New Roman" w:hAnsi="Times New Roman" w:cs="Times New Roman"/>
        </w:rPr>
        <w:t xml:space="preserve"> But, emotions saturate both law and legal classrooms. We do a disservice to our students (many of whom will go on to work within the legal system) if we fail to take seriously how emotion organises the study of law and how the practice of law is fundamentally emotional.</w:t>
      </w:r>
    </w:p>
    <w:p w14:paraId="48F9A0EF" w14:textId="5FF2CF4E" w:rsidR="00426D73" w:rsidRPr="009D3659" w:rsidRDefault="006C3422" w:rsidP="00DB7A87">
      <w:pPr>
        <w:spacing w:line="360" w:lineRule="auto"/>
        <w:ind w:firstLine="720"/>
        <w:jc w:val="both"/>
        <w:rPr>
          <w:rFonts w:ascii="Times New Roman" w:hAnsi="Times New Roman" w:cs="Times New Roman"/>
        </w:rPr>
      </w:pPr>
      <w:r>
        <w:rPr>
          <w:rFonts w:ascii="Times New Roman" w:hAnsi="Times New Roman" w:cs="Times New Roman"/>
        </w:rPr>
        <w:t>This</w:t>
      </w:r>
      <w:r w:rsidRPr="009D3659">
        <w:rPr>
          <w:rFonts w:ascii="Times New Roman" w:hAnsi="Times New Roman" w:cs="Times New Roman"/>
        </w:rPr>
        <w:t xml:space="preserve"> paper has mapped out the design and development of such a pedagogical pursuit by showing how emotion can function both as a scholarly object of legal analysis and an academic strategy for reflective legal learning. </w:t>
      </w:r>
      <w:r w:rsidR="00DF3687">
        <w:rPr>
          <w:rFonts w:ascii="Times New Roman" w:hAnsi="Times New Roman" w:cs="Times New Roman"/>
        </w:rPr>
        <w:t>It is clear</w:t>
      </w:r>
      <w:r>
        <w:rPr>
          <w:rFonts w:ascii="Times New Roman" w:hAnsi="Times New Roman" w:cs="Times New Roman"/>
        </w:rPr>
        <w:t>, however,</w:t>
      </w:r>
      <w:r w:rsidR="00DF3687">
        <w:rPr>
          <w:rFonts w:ascii="Times New Roman" w:hAnsi="Times New Roman" w:cs="Times New Roman"/>
        </w:rPr>
        <w:t xml:space="preserve"> that institutional constraints limit the “queer” possibilities of teaching law and emotion.</w:t>
      </w:r>
      <w:r>
        <w:rPr>
          <w:rFonts w:ascii="Times New Roman" w:hAnsi="Times New Roman" w:cs="Times New Roman"/>
        </w:rPr>
        <w:t xml:space="preserve"> Law electives, especially those that rely on small group teaching (such as seminars of 10 students), are becoming increasingly difficult to justify as institutional demands for “cost effectiveness” increase.</w:t>
      </w:r>
      <w:r w:rsidR="00DF3687">
        <w:rPr>
          <w:rFonts w:ascii="Times New Roman" w:hAnsi="Times New Roman" w:cs="Times New Roman"/>
        </w:rPr>
        <w:t xml:space="preserve"> </w:t>
      </w:r>
      <w:r>
        <w:rPr>
          <w:rFonts w:ascii="Times New Roman" w:hAnsi="Times New Roman" w:cs="Times New Roman"/>
        </w:rPr>
        <w:t>However, t</w:t>
      </w:r>
      <w:r w:rsidR="008B2560" w:rsidRPr="009D3659">
        <w:rPr>
          <w:rFonts w:ascii="Times New Roman" w:hAnsi="Times New Roman" w:cs="Times New Roman"/>
        </w:rPr>
        <w:t>h</w:t>
      </w:r>
      <w:r>
        <w:rPr>
          <w:rFonts w:ascii="Times New Roman" w:hAnsi="Times New Roman" w:cs="Times New Roman"/>
        </w:rPr>
        <w:t>e</w:t>
      </w:r>
      <w:r w:rsidR="008B2560" w:rsidRPr="009D3659">
        <w:rPr>
          <w:rFonts w:ascii="Times New Roman" w:hAnsi="Times New Roman" w:cs="Times New Roman"/>
        </w:rPr>
        <w:t xml:space="preserve"> </w:t>
      </w:r>
      <w:r>
        <w:rPr>
          <w:rFonts w:ascii="Times New Roman" w:hAnsi="Times New Roman" w:cs="Times New Roman"/>
        </w:rPr>
        <w:t xml:space="preserve">pedagogical </w:t>
      </w:r>
      <w:r w:rsidR="008B2560" w:rsidRPr="009D3659">
        <w:rPr>
          <w:rFonts w:ascii="Times New Roman" w:hAnsi="Times New Roman" w:cs="Times New Roman"/>
        </w:rPr>
        <w:t>approach</w:t>
      </w:r>
      <w:r>
        <w:rPr>
          <w:rFonts w:ascii="Times New Roman" w:hAnsi="Times New Roman" w:cs="Times New Roman"/>
        </w:rPr>
        <w:t>es outlined in this paper</w:t>
      </w:r>
      <w:r w:rsidR="008B2560" w:rsidRPr="009D3659">
        <w:rPr>
          <w:rFonts w:ascii="Times New Roman" w:hAnsi="Times New Roman" w:cs="Times New Roman"/>
        </w:rPr>
        <w:t xml:space="preserve"> </w:t>
      </w:r>
      <w:r w:rsidR="00213F90" w:rsidRPr="009D3659">
        <w:rPr>
          <w:rFonts w:ascii="Times New Roman" w:hAnsi="Times New Roman" w:cs="Times New Roman"/>
        </w:rPr>
        <w:t>do</w:t>
      </w:r>
      <w:r w:rsidR="008B2560" w:rsidRPr="009D3659">
        <w:rPr>
          <w:rFonts w:ascii="Times New Roman" w:hAnsi="Times New Roman" w:cs="Times New Roman"/>
        </w:rPr>
        <w:t xml:space="preserve"> not be confined to</w:t>
      </w:r>
      <w:r w:rsidR="00213F90" w:rsidRPr="009D3659">
        <w:rPr>
          <w:rFonts w:ascii="Times New Roman" w:hAnsi="Times New Roman" w:cs="Times New Roman"/>
        </w:rPr>
        <w:t xml:space="preserve"> specially designed</w:t>
      </w:r>
      <w:r w:rsidR="008B2560" w:rsidRPr="009D3659">
        <w:rPr>
          <w:rFonts w:ascii="Times New Roman" w:hAnsi="Times New Roman" w:cs="Times New Roman"/>
        </w:rPr>
        <w:t xml:space="preserve"> Law and Emotion modules. </w:t>
      </w:r>
      <w:r w:rsidR="0007573F" w:rsidRPr="009D3659">
        <w:rPr>
          <w:rFonts w:ascii="Times New Roman" w:hAnsi="Times New Roman" w:cs="Times New Roman"/>
        </w:rPr>
        <w:t>Legal curricula, especially those that seek to understand</w:t>
      </w:r>
      <w:r w:rsidR="00A0212C" w:rsidRPr="009D3659">
        <w:rPr>
          <w:rFonts w:ascii="Times New Roman" w:hAnsi="Times New Roman" w:cs="Times New Roman"/>
        </w:rPr>
        <w:t xml:space="preserve"> and critique</w:t>
      </w:r>
      <w:r w:rsidR="0007573F" w:rsidRPr="009D3659">
        <w:rPr>
          <w:rFonts w:ascii="Times New Roman" w:hAnsi="Times New Roman" w:cs="Times New Roman"/>
        </w:rPr>
        <w:t xml:space="preserve"> the social </w:t>
      </w:r>
      <w:r w:rsidR="00303ECB" w:rsidRPr="009D3659">
        <w:rPr>
          <w:rFonts w:ascii="Times New Roman" w:hAnsi="Times New Roman" w:cs="Times New Roman"/>
        </w:rPr>
        <w:t>dimensions</w:t>
      </w:r>
      <w:r w:rsidR="0007573F" w:rsidRPr="009D3659">
        <w:rPr>
          <w:rFonts w:ascii="Times New Roman" w:hAnsi="Times New Roman" w:cs="Times New Roman"/>
        </w:rPr>
        <w:t xml:space="preserve"> of law, </w:t>
      </w:r>
      <w:r w:rsidR="00213F90" w:rsidRPr="009D3659">
        <w:rPr>
          <w:rFonts w:ascii="Times New Roman" w:hAnsi="Times New Roman" w:cs="Times New Roman"/>
        </w:rPr>
        <w:t>can</w:t>
      </w:r>
      <w:r w:rsidR="0007573F" w:rsidRPr="009D3659">
        <w:rPr>
          <w:rFonts w:ascii="Times New Roman" w:hAnsi="Times New Roman" w:cs="Times New Roman"/>
        </w:rPr>
        <w:t xml:space="preserve"> bring emotion (in)to the classroom</w:t>
      </w:r>
      <w:r w:rsidR="00423EF3">
        <w:rPr>
          <w:rFonts w:ascii="Times New Roman" w:hAnsi="Times New Roman" w:cs="Times New Roman"/>
        </w:rPr>
        <w:t xml:space="preserve"> by simply making space to acknowledge and address </w:t>
      </w:r>
      <w:r>
        <w:rPr>
          <w:rFonts w:ascii="Times New Roman" w:hAnsi="Times New Roman" w:cs="Times New Roman"/>
        </w:rPr>
        <w:t>how emotions</w:t>
      </w:r>
      <w:r w:rsidR="00423EF3">
        <w:rPr>
          <w:rFonts w:ascii="Times New Roman" w:hAnsi="Times New Roman" w:cs="Times New Roman"/>
        </w:rPr>
        <w:t xml:space="preserve"> impact on legal issues and</w:t>
      </w:r>
      <w:r>
        <w:rPr>
          <w:rFonts w:ascii="Times New Roman" w:hAnsi="Times New Roman" w:cs="Times New Roman"/>
        </w:rPr>
        <w:t>/or</w:t>
      </w:r>
      <w:r w:rsidR="00423EF3">
        <w:rPr>
          <w:rFonts w:ascii="Times New Roman" w:hAnsi="Times New Roman" w:cs="Times New Roman"/>
        </w:rPr>
        <w:t xml:space="preserve"> how students engage those issues</w:t>
      </w:r>
      <w:r w:rsidR="0007573F" w:rsidRPr="009D3659">
        <w:rPr>
          <w:rFonts w:ascii="Times New Roman" w:hAnsi="Times New Roman" w:cs="Times New Roman"/>
        </w:rPr>
        <w:t xml:space="preserve">. </w:t>
      </w:r>
      <w:r>
        <w:rPr>
          <w:rFonts w:ascii="Times New Roman" w:hAnsi="Times New Roman" w:cs="Times New Roman"/>
        </w:rPr>
        <w:t xml:space="preserve">This could be done as a complement to, rather than a substitute for, conventional classrooms discussions about precedents and how to apply them to hypothetical problem scenarios. </w:t>
      </w:r>
      <w:r w:rsidR="0007573F" w:rsidRPr="009D3659">
        <w:rPr>
          <w:rFonts w:ascii="Times New Roman" w:hAnsi="Times New Roman" w:cs="Times New Roman"/>
        </w:rPr>
        <w:t>This is not about creating “safe spaces” or</w:t>
      </w:r>
      <w:r w:rsidR="00303ECB" w:rsidRPr="009D3659">
        <w:rPr>
          <w:rFonts w:ascii="Times New Roman" w:hAnsi="Times New Roman" w:cs="Times New Roman"/>
        </w:rPr>
        <w:t xml:space="preserve"> generating “snowflake students</w:t>
      </w:r>
      <w:r w:rsidR="0007573F" w:rsidRPr="009D3659">
        <w:rPr>
          <w:rFonts w:ascii="Times New Roman" w:hAnsi="Times New Roman" w:cs="Times New Roman"/>
        </w:rPr>
        <w:t xml:space="preserve">.” </w:t>
      </w:r>
      <w:r w:rsidR="00213F90" w:rsidRPr="009D3659">
        <w:rPr>
          <w:rFonts w:ascii="Times New Roman" w:hAnsi="Times New Roman" w:cs="Times New Roman"/>
        </w:rPr>
        <w:t xml:space="preserve">Rather, it is about </w:t>
      </w:r>
      <w:r w:rsidR="00936E5E" w:rsidRPr="009D3659">
        <w:rPr>
          <w:rFonts w:ascii="Times New Roman" w:hAnsi="Times New Roman" w:cs="Times New Roman"/>
        </w:rPr>
        <w:t xml:space="preserve">developing students’ emotional literacy and using emotion </w:t>
      </w:r>
      <w:r w:rsidR="00303ECB" w:rsidRPr="009D3659">
        <w:rPr>
          <w:rFonts w:ascii="Times New Roman" w:hAnsi="Times New Roman" w:cs="Times New Roman"/>
        </w:rPr>
        <w:t xml:space="preserve">as </w:t>
      </w:r>
      <w:r w:rsidR="00936E5E" w:rsidRPr="009D3659">
        <w:rPr>
          <w:rFonts w:ascii="Times New Roman" w:hAnsi="Times New Roman" w:cs="Times New Roman"/>
        </w:rPr>
        <w:t xml:space="preserve">a resource to encourage </w:t>
      </w:r>
      <w:r w:rsidR="00303ECB" w:rsidRPr="009D3659">
        <w:rPr>
          <w:rFonts w:ascii="Times New Roman" w:hAnsi="Times New Roman" w:cs="Times New Roman"/>
        </w:rPr>
        <w:t>r</w:t>
      </w:r>
      <w:r w:rsidR="008067D9" w:rsidRPr="009D3659">
        <w:rPr>
          <w:rFonts w:ascii="Times New Roman" w:hAnsi="Times New Roman" w:cs="Times New Roman"/>
        </w:rPr>
        <w:t>icher</w:t>
      </w:r>
      <w:r w:rsidR="00936E5E" w:rsidRPr="009D3659">
        <w:rPr>
          <w:rFonts w:ascii="Times New Roman" w:hAnsi="Times New Roman" w:cs="Times New Roman"/>
        </w:rPr>
        <w:t xml:space="preserve"> intellectual debates</w:t>
      </w:r>
      <w:r w:rsidR="00C82ECE">
        <w:rPr>
          <w:rFonts w:ascii="Times New Roman" w:hAnsi="Times New Roman" w:cs="Times New Roman"/>
        </w:rPr>
        <w:t xml:space="preserve"> about the theory and practice (or, as Freire would say, “praxis”) of law</w:t>
      </w:r>
      <w:r w:rsidR="00936E5E" w:rsidRPr="009D3659">
        <w:rPr>
          <w:rFonts w:ascii="Times New Roman" w:hAnsi="Times New Roman" w:cs="Times New Roman"/>
        </w:rPr>
        <w:t xml:space="preserve">. </w:t>
      </w:r>
      <w:r w:rsidR="0007573F" w:rsidRPr="009D3659">
        <w:rPr>
          <w:rFonts w:ascii="Times New Roman" w:hAnsi="Times New Roman" w:cs="Times New Roman"/>
        </w:rPr>
        <w:t xml:space="preserve">Taking emotion seriously in </w:t>
      </w:r>
      <w:r w:rsidR="00C82ECE">
        <w:rPr>
          <w:rFonts w:ascii="Times New Roman" w:hAnsi="Times New Roman" w:cs="Times New Roman"/>
        </w:rPr>
        <w:t>law schools</w:t>
      </w:r>
      <w:r w:rsidR="00303ECB" w:rsidRPr="009D3659">
        <w:rPr>
          <w:rFonts w:ascii="Times New Roman" w:hAnsi="Times New Roman" w:cs="Times New Roman"/>
        </w:rPr>
        <w:t xml:space="preserve"> is vital if students, lawyers, and</w:t>
      </w:r>
      <w:r w:rsidR="0007573F" w:rsidRPr="009D3659">
        <w:rPr>
          <w:rFonts w:ascii="Times New Roman" w:hAnsi="Times New Roman" w:cs="Times New Roman"/>
        </w:rPr>
        <w:t xml:space="preserve"> scholars are to </w:t>
      </w:r>
      <w:r w:rsidR="00C82ECE">
        <w:rPr>
          <w:rFonts w:ascii="Times New Roman" w:hAnsi="Times New Roman" w:cs="Times New Roman"/>
        </w:rPr>
        <w:t>engage</w:t>
      </w:r>
      <w:r w:rsidR="0007573F" w:rsidRPr="009D3659">
        <w:rPr>
          <w:rFonts w:ascii="Times New Roman" w:hAnsi="Times New Roman" w:cs="Times New Roman"/>
        </w:rPr>
        <w:t xml:space="preserve"> </w:t>
      </w:r>
      <w:r w:rsidR="00C82ECE">
        <w:rPr>
          <w:rFonts w:ascii="Times New Roman" w:hAnsi="Times New Roman" w:cs="Times New Roman"/>
        </w:rPr>
        <w:t>with pressing legal problems</w:t>
      </w:r>
      <w:r w:rsidR="0007573F" w:rsidRPr="009D3659">
        <w:rPr>
          <w:rFonts w:ascii="Times New Roman" w:hAnsi="Times New Roman" w:cs="Times New Roman"/>
        </w:rPr>
        <w:t xml:space="preserve">. </w:t>
      </w:r>
    </w:p>
    <w:p w14:paraId="1F52415E" w14:textId="77777777" w:rsidR="00BE042B" w:rsidRPr="009D3659" w:rsidRDefault="00BE042B" w:rsidP="006C3422">
      <w:pPr>
        <w:spacing w:line="360" w:lineRule="auto"/>
        <w:jc w:val="both"/>
        <w:rPr>
          <w:rFonts w:ascii="Times New Roman" w:hAnsi="Times New Roman" w:cs="Times New Roman"/>
        </w:rPr>
      </w:pPr>
    </w:p>
    <w:sectPr w:rsidR="00BE042B" w:rsidRPr="009D3659" w:rsidSect="001271F4">
      <w:headerReference w:type="default" r:id="rId7"/>
      <w:footerReference w:type="even" r:id="rId8"/>
      <w:footerReference w:type="default" r:id="rId9"/>
      <w:pgSz w:w="11900" w:h="16840"/>
      <w:pgMar w:top="1440" w:right="1800" w:bottom="99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35DE" w14:textId="77777777" w:rsidR="008D0F38" w:rsidRDefault="008D0F38" w:rsidP="00261527">
      <w:r>
        <w:separator/>
      </w:r>
    </w:p>
  </w:endnote>
  <w:endnote w:type="continuationSeparator" w:id="0">
    <w:p w14:paraId="4333D71F" w14:textId="77777777" w:rsidR="008D0F38" w:rsidRDefault="008D0F38" w:rsidP="002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A5F3" w14:textId="77777777" w:rsidR="001271F4" w:rsidRDefault="001271F4" w:rsidP="00BE5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7279E" w14:textId="77777777" w:rsidR="001271F4" w:rsidRDefault="001271F4" w:rsidP="005E60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FD8A" w14:textId="77777777" w:rsidR="001271F4" w:rsidRPr="009D3659" w:rsidRDefault="001271F4" w:rsidP="00BE5D0E">
    <w:pPr>
      <w:pStyle w:val="Footer"/>
      <w:framePr w:wrap="around" w:vAnchor="text" w:hAnchor="margin" w:xAlign="right" w:y="1"/>
      <w:rPr>
        <w:rStyle w:val="PageNumber"/>
        <w:rFonts w:ascii="Times" w:hAnsi="Times" w:cs="Arial"/>
        <w:sz w:val="20"/>
        <w:szCs w:val="20"/>
      </w:rPr>
    </w:pPr>
    <w:r w:rsidRPr="009D3659">
      <w:rPr>
        <w:rStyle w:val="PageNumber"/>
        <w:rFonts w:ascii="Times" w:hAnsi="Times" w:cs="Arial"/>
        <w:sz w:val="20"/>
        <w:szCs w:val="20"/>
      </w:rPr>
      <w:fldChar w:fldCharType="begin"/>
    </w:r>
    <w:r w:rsidRPr="009D3659">
      <w:rPr>
        <w:rStyle w:val="PageNumber"/>
        <w:rFonts w:ascii="Times" w:hAnsi="Times" w:cs="Arial"/>
        <w:sz w:val="20"/>
        <w:szCs w:val="20"/>
      </w:rPr>
      <w:instrText xml:space="preserve">PAGE  </w:instrText>
    </w:r>
    <w:r w:rsidRPr="009D3659">
      <w:rPr>
        <w:rStyle w:val="PageNumber"/>
        <w:rFonts w:ascii="Times" w:hAnsi="Times" w:cs="Arial"/>
        <w:sz w:val="20"/>
        <w:szCs w:val="20"/>
      </w:rPr>
      <w:fldChar w:fldCharType="separate"/>
    </w:r>
    <w:r w:rsidR="005C6AFC" w:rsidRPr="009D3659">
      <w:rPr>
        <w:rStyle w:val="PageNumber"/>
        <w:rFonts w:ascii="Times" w:hAnsi="Times" w:cs="Arial"/>
        <w:noProof/>
        <w:sz w:val="20"/>
        <w:szCs w:val="20"/>
      </w:rPr>
      <w:t>1</w:t>
    </w:r>
    <w:r w:rsidRPr="009D3659">
      <w:rPr>
        <w:rStyle w:val="PageNumber"/>
        <w:rFonts w:ascii="Times" w:hAnsi="Times" w:cs="Arial"/>
        <w:sz w:val="20"/>
        <w:szCs w:val="20"/>
      </w:rPr>
      <w:fldChar w:fldCharType="end"/>
    </w:r>
  </w:p>
  <w:p w14:paraId="7B1DB1B2" w14:textId="77777777" w:rsidR="001271F4" w:rsidRDefault="001271F4" w:rsidP="005E60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6B4D" w14:textId="77777777" w:rsidR="008D0F38" w:rsidRDefault="008D0F38" w:rsidP="00261527">
      <w:r>
        <w:separator/>
      </w:r>
    </w:p>
  </w:footnote>
  <w:footnote w:type="continuationSeparator" w:id="0">
    <w:p w14:paraId="5AD754C8" w14:textId="77777777" w:rsidR="008D0F38" w:rsidRDefault="008D0F38" w:rsidP="00261527">
      <w:r>
        <w:continuationSeparator/>
      </w:r>
    </w:p>
  </w:footnote>
  <w:footnote w:id="1">
    <w:p w14:paraId="7E2F5DE4" w14:textId="19707367" w:rsidR="00B04B76" w:rsidRPr="00DF3687" w:rsidRDefault="00B04B76" w:rsidP="00DB7A87">
      <w:pPr>
        <w:pStyle w:val="FootnoteText"/>
        <w:jc w:val="both"/>
      </w:pPr>
      <w:r w:rsidRPr="00DF3687">
        <w:rPr>
          <w:rStyle w:val="FootnoteReference"/>
        </w:rPr>
        <w:footnoteRef/>
      </w:r>
      <w:r w:rsidRPr="00DF3687">
        <w:t xml:space="preserve"> </w:t>
      </w:r>
      <w:r w:rsidRPr="00DF3687">
        <w:rPr>
          <w:lang w:val="en-GB"/>
        </w:rPr>
        <w:t>David Matthews, “Gender studies under attack from the new right” (</w:t>
      </w:r>
      <w:r w:rsidRPr="00DF3687">
        <w:rPr>
          <w:i/>
          <w:lang w:val="en-GB"/>
        </w:rPr>
        <w:t>The Times Higher Education</w:t>
      </w:r>
      <w:r w:rsidRPr="00DF3687">
        <w:rPr>
          <w:iCs/>
          <w:lang w:val="en-GB"/>
        </w:rPr>
        <w:t>, 10</w:t>
      </w:r>
      <w:r w:rsidRPr="00DF3687">
        <w:rPr>
          <w:i/>
          <w:lang w:val="en-GB"/>
        </w:rPr>
        <w:t xml:space="preserve"> </w:t>
      </w:r>
      <w:r w:rsidRPr="00DF3687">
        <w:rPr>
          <w:lang w:val="en-GB"/>
        </w:rPr>
        <w:t xml:space="preserve">May 2017) </w:t>
      </w:r>
      <w:hyperlink r:id="rId1" w:history="1">
        <w:r w:rsidRPr="00DF3687">
          <w:rPr>
            <w:rStyle w:val="Hyperlink"/>
            <w:lang w:val="en-GB"/>
          </w:rPr>
          <w:t>https://www.timeshighereducation.com/news/gender-studies-under-attack-from-new-right accessed 1 June 2020</w:t>
        </w:r>
      </w:hyperlink>
      <w:r w:rsidRPr="00DF3687">
        <w:rPr>
          <w:lang w:val="en-GB"/>
        </w:rPr>
        <w:t xml:space="preserve">. </w:t>
      </w:r>
    </w:p>
  </w:footnote>
  <w:footnote w:id="2">
    <w:p w14:paraId="10216D91" w14:textId="26B45A79" w:rsidR="00B04B76" w:rsidRPr="00DF3687" w:rsidRDefault="00B04B76" w:rsidP="00DB7A87">
      <w:pPr>
        <w:pStyle w:val="FootnoteText"/>
        <w:jc w:val="both"/>
      </w:pPr>
      <w:r w:rsidRPr="00DF3687">
        <w:rPr>
          <w:rStyle w:val="FootnoteReference"/>
        </w:rPr>
        <w:footnoteRef/>
      </w:r>
      <w:r w:rsidRPr="00DF3687">
        <w:t xml:space="preserve"> </w:t>
      </w:r>
      <w:r w:rsidRPr="00DF3687">
        <w:rPr>
          <w:lang w:val="en-GB"/>
        </w:rPr>
        <w:t>Damon Linker, “How conservatives out-intellectualized progressives” (</w:t>
      </w:r>
      <w:r w:rsidRPr="00DF3687">
        <w:rPr>
          <w:i/>
          <w:lang w:val="en-GB"/>
        </w:rPr>
        <w:t>The Week</w:t>
      </w:r>
      <w:r w:rsidRPr="00DF3687">
        <w:rPr>
          <w:iCs/>
          <w:lang w:val="en-GB"/>
        </w:rPr>
        <w:t>, 6 December</w:t>
      </w:r>
      <w:r w:rsidRPr="00DF3687">
        <w:rPr>
          <w:lang w:val="en-GB"/>
        </w:rPr>
        <w:t xml:space="preserve"> 2016) </w:t>
      </w:r>
      <w:hyperlink r:id="rId2" w:history="1">
        <w:r w:rsidRPr="00DF3687">
          <w:rPr>
            <w:color w:val="0000FF"/>
            <w:u w:val="single"/>
            <w:lang w:val="en-GB"/>
          </w:rPr>
          <w:t>https://theweek.com/articles/665446/how-conservatives-outintellectualized-progressives</w:t>
        </w:r>
      </w:hyperlink>
      <w:r w:rsidRPr="00DF3687">
        <w:rPr>
          <w:lang w:val="en-GB"/>
        </w:rPr>
        <w:t xml:space="preserve"> accessed 1 June 2020. </w:t>
      </w:r>
    </w:p>
  </w:footnote>
  <w:footnote w:id="3">
    <w:p w14:paraId="0D136C8C" w14:textId="4BF53AAF" w:rsidR="00B04B76" w:rsidRPr="00DF3687" w:rsidRDefault="00B04B76" w:rsidP="00DB7A87">
      <w:pPr>
        <w:pStyle w:val="FootnoteText"/>
        <w:jc w:val="both"/>
      </w:pPr>
      <w:r w:rsidRPr="00DF3687">
        <w:rPr>
          <w:rStyle w:val="FootnoteReference"/>
        </w:rPr>
        <w:footnoteRef/>
      </w:r>
      <w:r w:rsidRPr="00DF3687">
        <w:t xml:space="preserve"> </w:t>
      </w:r>
      <w:r w:rsidRPr="00DF3687">
        <w:rPr>
          <w:lang w:val="en-GB"/>
        </w:rPr>
        <w:t>Katharine Gelber, “There’s no need for the ‘Chicago principles’ in Australian universities to protect freedom of speech” (</w:t>
      </w:r>
      <w:r w:rsidRPr="00DF3687">
        <w:rPr>
          <w:i/>
          <w:lang w:val="en-GB"/>
        </w:rPr>
        <w:t>The Conversation</w:t>
      </w:r>
      <w:r w:rsidRPr="00DF3687">
        <w:rPr>
          <w:lang w:val="en-GB"/>
        </w:rPr>
        <w:t xml:space="preserve">, 15 November 2018) </w:t>
      </w:r>
      <w:hyperlink r:id="rId3" w:history="1">
        <w:r w:rsidRPr="00DF3687">
          <w:rPr>
            <w:color w:val="0000FF"/>
            <w:u w:val="single"/>
            <w:lang w:val="en-GB"/>
          </w:rPr>
          <w:t>https://theconversation.com/theres-no-need-for-the-chicago-principles-in-australian-universities-to-protect-freedom-of-speech-107001</w:t>
        </w:r>
      </w:hyperlink>
      <w:r w:rsidRPr="00DF3687">
        <w:rPr>
          <w:lang w:val="en-GB"/>
        </w:rPr>
        <w:t xml:space="preserve"> accessed 1 June 2020. </w:t>
      </w:r>
    </w:p>
  </w:footnote>
  <w:footnote w:id="4">
    <w:p w14:paraId="17EBE41D" w14:textId="65510D8C" w:rsidR="00B04B76" w:rsidRPr="00DF3687" w:rsidRDefault="00B04B76" w:rsidP="00DB7A87">
      <w:pPr>
        <w:pStyle w:val="FootnoteText"/>
        <w:jc w:val="both"/>
      </w:pPr>
      <w:r w:rsidRPr="00DF3687">
        <w:rPr>
          <w:rStyle w:val="FootnoteReference"/>
        </w:rPr>
        <w:footnoteRef/>
      </w:r>
      <w:r w:rsidRPr="00DF3687">
        <w:t xml:space="preserve"> </w:t>
      </w:r>
      <w:r w:rsidRPr="00DF3687">
        <w:rPr>
          <w:lang w:val="en-GB"/>
        </w:rPr>
        <w:t xml:space="preserve">Fabian </w:t>
      </w:r>
      <w:r w:rsidRPr="00DF3687">
        <w:t>Cannizzo</w:t>
      </w:r>
      <w:r w:rsidRPr="00DF3687">
        <w:rPr>
          <w:lang w:val="en-GB"/>
        </w:rPr>
        <w:t>, “The Love of Labour in Academia” (</w:t>
      </w:r>
      <w:r w:rsidRPr="00DF3687">
        <w:rPr>
          <w:i/>
          <w:lang w:val="en-GB"/>
        </w:rPr>
        <w:t>The Sociological Review Blog</w:t>
      </w:r>
      <w:r w:rsidRPr="00DF3687">
        <w:rPr>
          <w:lang w:val="en-GB"/>
        </w:rPr>
        <w:t xml:space="preserve">, 11 August 2017) </w:t>
      </w:r>
      <w:hyperlink r:id="rId4" w:history="1">
        <w:r w:rsidRPr="00DF3687">
          <w:rPr>
            <w:color w:val="0000FF"/>
            <w:u w:val="single"/>
            <w:lang w:val="en-GB"/>
          </w:rPr>
          <w:t>https://www.thesociologicalreview.com/blog/the-love-of-labour-in-academia.html</w:t>
        </w:r>
      </w:hyperlink>
      <w:r w:rsidRPr="00DF3687">
        <w:rPr>
          <w:lang w:val="en-GB"/>
        </w:rPr>
        <w:t xml:space="preserve"> and </w:t>
      </w:r>
      <w:r w:rsidRPr="00DF3687">
        <w:t>Sabelo Ndlovu-Gatsheni, “Decolonising research methodology must include undoing its dirty history” (</w:t>
      </w:r>
      <w:r w:rsidRPr="00DF3687">
        <w:rPr>
          <w:i/>
        </w:rPr>
        <w:t>The Conversation</w:t>
      </w:r>
      <w:r w:rsidRPr="00DF3687">
        <w:rPr>
          <w:iCs/>
        </w:rPr>
        <w:t xml:space="preserve">, 26 </w:t>
      </w:r>
      <w:r w:rsidRPr="00DF3687">
        <w:t>September 26 2017)</w:t>
      </w:r>
      <w:r w:rsidRPr="00DF3687">
        <w:rPr>
          <w:i/>
        </w:rPr>
        <w:t xml:space="preserve"> </w:t>
      </w:r>
      <w:hyperlink r:id="rId5" w:history="1">
        <w:r w:rsidRPr="00DF3687">
          <w:rPr>
            <w:color w:val="0000FF"/>
            <w:u w:val="single"/>
            <w:lang w:val="en-GB"/>
          </w:rPr>
          <w:t>https://theconversation.com/decolonising-research-methodology-must-include-undoing-its-dirty-history-83912</w:t>
        </w:r>
      </w:hyperlink>
      <w:r w:rsidRPr="00DF3687">
        <w:rPr>
          <w:lang w:val="en-GB"/>
        </w:rPr>
        <w:t xml:space="preserve"> accessed 1 June 2020. </w:t>
      </w:r>
    </w:p>
  </w:footnote>
  <w:footnote w:id="5">
    <w:p w14:paraId="376EBB86" w14:textId="49CEA522" w:rsidR="00B04B76" w:rsidRPr="00DF3687" w:rsidRDefault="00B04B76" w:rsidP="00DB7A87">
      <w:pPr>
        <w:pStyle w:val="FootnoteText"/>
        <w:jc w:val="both"/>
      </w:pPr>
      <w:r w:rsidRPr="00DF3687">
        <w:rPr>
          <w:rStyle w:val="FootnoteReference"/>
        </w:rPr>
        <w:footnoteRef/>
      </w:r>
      <w:r w:rsidRPr="00DF3687">
        <w:t xml:space="preserve"> </w:t>
      </w:r>
      <w:r w:rsidRPr="00DF3687">
        <w:rPr>
          <w:color w:val="000000"/>
        </w:rPr>
        <w:t>Rosalind Dixon, “Studying law is about much more than becoming a lawyer, Malcolm Turnbull” (</w:t>
      </w:r>
      <w:r w:rsidRPr="00DF3687">
        <w:rPr>
          <w:i/>
          <w:color w:val="000000"/>
        </w:rPr>
        <w:t>ABC News</w:t>
      </w:r>
      <w:r w:rsidRPr="00DF3687">
        <w:rPr>
          <w:color w:val="000000"/>
        </w:rPr>
        <w:t xml:space="preserve">, 2 February 2018) </w:t>
      </w:r>
      <w:hyperlink r:id="rId6" w:history="1">
        <w:r w:rsidRPr="00DF3687">
          <w:rPr>
            <w:color w:val="0000FF"/>
            <w:u w:val="single"/>
            <w:lang w:val="en-GB"/>
          </w:rPr>
          <w:t>https://www.abc.net.au/news/2018-02-02/prime-minister-malcolm-turnbull-unsw-study-law-hass-atar/9390698?pfmredir=sm</w:t>
        </w:r>
      </w:hyperlink>
      <w:r w:rsidRPr="00DF3687">
        <w:rPr>
          <w:lang w:val="en-GB"/>
        </w:rPr>
        <w:t xml:space="preserve"> accessed 1 June 2020.</w:t>
      </w:r>
    </w:p>
  </w:footnote>
  <w:footnote w:id="6">
    <w:p w14:paraId="080B8F1E" w14:textId="46F5A7B1"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 xml:space="preserve">Gilles Deleuze, “Ethology: Spinoza and Us” in Jonathan Crary and Sanford Kwinter (eds), </w:t>
      </w:r>
      <w:r w:rsidRPr="00DF3687">
        <w:rPr>
          <w:i/>
          <w:color w:val="000000"/>
        </w:rPr>
        <w:t>Incorporation</w:t>
      </w:r>
      <w:r w:rsidRPr="00DF3687">
        <w:rPr>
          <w:color w:val="000000"/>
        </w:rPr>
        <w:t xml:space="preserve"> (Zone Books, 1992) 626.</w:t>
      </w:r>
    </w:p>
  </w:footnote>
  <w:footnote w:id="7">
    <w:p w14:paraId="3E53AE54" w14:textId="652D01F6"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 xml:space="preserve">Eric Shouse, </w:t>
      </w:r>
      <w:r w:rsidRPr="00DF3687">
        <w:rPr>
          <w:iCs/>
          <w:color w:val="000000"/>
        </w:rPr>
        <w:t>“Feeling, Emotion, Affect”</w:t>
      </w:r>
      <w:r w:rsidRPr="00DF3687">
        <w:rPr>
          <w:color w:val="000000"/>
        </w:rPr>
        <w:t xml:space="preserve"> (2004) 8(6) </w:t>
      </w:r>
      <w:r w:rsidRPr="00DF3687">
        <w:rPr>
          <w:i/>
          <w:color w:val="000000"/>
        </w:rPr>
        <w:t xml:space="preserve">M/C Journal </w:t>
      </w:r>
      <w:r w:rsidRPr="00DF3687">
        <w:rPr>
          <w:color w:val="000000"/>
        </w:rPr>
        <w:t>1, 1-2.</w:t>
      </w:r>
    </w:p>
  </w:footnote>
  <w:footnote w:id="8">
    <w:p w14:paraId="0FC9FD8A" w14:textId="4CAAB041"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 xml:space="preserve">Patricia Ticineto Clough, “Introduction” </w:t>
      </w:r>
      <w:r w:rsidRPr="00DF3687">
        <w:rPr>
          <w:iCs/>
          <w:color w:val="000000"/>
        </w:rPr>
        <w:t xml:space="preserve">in </w:t>
      </w:r>
      <w:r w:rsidRPr="00DF3687">
        <w:rPr>
          <w:color w:val="000000"/>
        </w:rPr>
        <w:t xml:space="preserve">Patricia Ticineto Clough (ed), </w:t>
      </w:r>
      <w:r w:rsidRPr="00DF3687">
        <w:rPr>
          <w:i/>
          <w:color w:val="000000"/>
        </w:rPr>
        <w:t>The Affective Turn: Theorizing the Social</w:t>
      </w:r>
      <w:r w:rsidRPr="00DF3687">
        <w:rPr>
          <w:color w:val="000000"/>
        </w:rPr>
        <w:t xml:space="preserve"> (Duke University Press, 2007) 2.</w:t>
      </w:r>
    </w:p>
  </w:footnote>
  <w:footnote w:id="9">
    <w:p w14:paraId="1FE44333" w14:textId="68B2147B"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Shouse</w:t>
      </w:r>
      <w:r w:rsidR="0076599F">
        <w:rPr>
          <w:color w:val="000000"/>
        </w:rPr>
        <w:t xml:space="preserve"> </w:t>
      </w:r>
      <w:r w:rsidR="0076599F">
        <w:rPr>
          <w:iCs/>
          <w:color w:val="000000"/>
        </w:rPr>
        <w:t>(n 7)</w:t>
      </w:r>
      <w:r w:rsidRPr="00DF3687">
        <w:rPr>
          <w:color w:val="000000"/>
        </w:rPr>
        <w:t xml:space="preserve"> 1.</w:t>
      </w:r>
    </w:p>
  </w:footnote>
  <w:footnote w:id="10">
    <w:p w14:paraId="026FBFA1" w14:textId="0074934D"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 xml:space="preserve">Lauren Berlant, </w:t>
      </w:r>
      <w:r w:rsidRPr="00DF3687">
        <w:rPr>
          <w:i/>
          <w:color w:val="000000"/>
        </w:rPr>
        <w:t>The Queen of America Goes to Washington City: Essays on Sex and Citizenship</w:t>
      </w:r>
      <w:r w:rsidRPr="00DF3687">
        <w:rPr>
          <w:color w:val="000000"/>
        </w:rPr>
        <w:t xml:space="preserve"> (Duke University Press, 1997) 5-6; </w:t>
      </w:r>
      <w:r w:rsidRPr="00DB7A87">
        <w:rPr>
          <w:color w:val="000000"/>
        </w:rPr>
        <w:t xml:space="preserve">Audre Lorde, </w:t>
      </w:r>
      <w:r w:rsidRPr="00DB7A87">
        <w:rPr>
          <w:i/>
          <w:color w:val="000000"/>
        </w:rPr>
        <w:t>Sister Outsider</w:t>
      </w:r>
      <w:r w:rsidRPr="00DB7A87">
        <w:rPr>
          <w:color w:val="000000"/>
        </w:rPr>
        <w:t xml:space="preserve"> (Crossing Press, 1984) 59; </w:t>
      </w:r>
      <w:r w:rsidRPr="00DF3687">
        <w:rPr>
          <w:color w:val="000000"/>
        </w:rPr>
        <w:t xml:space="preserve">Joan Scott, “Evidence of Experience” (1991) 17 </w:t>
      </w:r>
      <w:r w:rsidRPr="00DF3687">
        <w:rPr>
          <w:i/>
          <w:color w:val="000000"/>
        </w:rPr>
        <w:t xml:space="preserve">Critical Inquiry </w:t>
      </w:r>
      <w:r w:rsidRPr="00DF3687">
        <w:rPr>
          <w:color w:val="000000"/>
        </w:rPr>
        <w:t xml:space="preserve">773, 773. </w:t>
      </w:r>
    </w:p>
  </w:footnote>
  <w:footnote w:id="11">
    <w:p w14:paraId="0938F77C" w14:textId="037DCAA2" w:rsidR="00717E79" w:rsidRPr="00DF3687" w:rsidRDefault="00717E79" w:rsidP="00DB7A87">
      <w:pPr>
        <w:pStyle w:val="FootnoteText"/>
        <w:jc w:val="both"/>
      </w:pPr>
      <w:r w:rsidRPr="00DF3687">
        <w:rPr>
          <w:rStyle w:val="FootnoteReference"/>
        </w:rPr>
        <w:footnoteRef/>
      </w:r>
      <w:r w:rsidRPr="00DF3687">
        <w:t xml:space="preserve"> </w:t>
      </w:r>
      <w:r w:rsidRPr="00DF3687">
        <w:rPr>
          <w:color w:val="000000"/>
        </w:rPr>
        <w:t xml:space="preserve">Sara Ahmed, </w:t>
      </w:r>
      <w:r w:rsidRPr="00DF3687">
        <w:rPr>
          <w:i/>
          <w:iCs/>
          <w:color w:val="000000"/>
        </w:rPr>
        <w:t>The Cultural Politics of Emotion</w:t>
      </w:r>
      <w:r w:rsidRPr="00DF3687">
        <w:rPr>
          <w:color w:val="000000"/>
        </w:rPr>
        <w:t xml:space="preserve"> (Edinburgh University Press, 2004) 6.</w:t>
      </w:r>
    </w:p>
  </w:footnote>
  <w:footnote w:id="12">
    <w:p w14:paraId="3E23231E" w14:textId="4C4C37EF" w:rsidR="00D855AD" w:rsidRPr="00DF3687" w:rsidRDefault="00D855AD" w:rsidP="00DB7A87">
      <w:pPr>
        <w:pStyle w:val="FootnoteText"/>
        <w:jc w:val="both"/>
      </w:pPr>
      <w:r w:rsidRPr="00DF3687">
        <w:rPr>
          <w:rStyle w:val="FootnoteReference"/>
        </w:rPr>
        <w:footnoteRef/>
      </w:r>
      <w:r w:rsidRPr="00DF3687">
        <w:t xml:space="preserve"> </w:t>
      </w:r>
      <w:r w:rsidRPr="00DB7A87">
        <w:rPr>
          <w:color w:val="000000"/>
        </w:rPr>
        <w:t xml:space="preserve">HLA Hart, </w:t>
      </w:r>
      <w:r w:rsidRPr="00DB7A87">
        <w:rPr>
          <w:i/>
          <w:color w:val="000000"/>
        </w:rPr>
        <w:t>The Concept of Law</w:t>
      </w:r>
      <w:r w:rsidRPr="00DB7A87">
        <w:rPr>
          <w:color w:val="000000"/>
        </w:rPr>
        <w:t xml:space="preserve"> (Oxford University Press, 1994) 88-90. </w:t>
      </w:r>
    </w:p>
  </w:footnote>
  <w:footnote w:id="13">
    <w:p w14:paraId="29715871" w14:textId="37ABBAFD"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 xml:space="preserve">Kathryn Abrams and Hila Keren, “Who’s Afraid of Law and the Emotions?” (2010) 94 </w:t>
      </w:r>
      <w:r w:rsidRPr="00DF3687">
        <w:rPr>
          <w:i/>
          <w:color w:val="000000"/>
        </w:rPr>
        <w:t>Minnesota Law Review</w:t>
      </w:r>
      <w:r w:rsidRPr="00DF3687">
        <w:rPr>
          <w:color w:val="000000"/>
        </w:rPr>
        <w:t xml:space="preserve"> 1997, 1999; Terry </w:t>
      </w:r>
      <w:r w:rsidR="00DF3687" w:rsidRPr="00DF3687">
        <w:rPr>
          <w:color w:val="000000"/>
        </w:rPr>
        <w:t xml:space="preserve">A. </w:t>
      </w:r>
      <w:r w:rsidRPr="00DF3687">
        <w:rPr>
          <w:color w:val="000000"/>
        </w:rPr>
        <w:t xml:space="preserve">Maroney, “The Persistent Cultural Script of Judicial Dispassion.” (2011) 99 </w:t>
      </w:r>
      <w:r w:rsidRPr="00DF3687">
        <w:rPr>
          <w:i/>
          <w:color w:val="000000"/>
        </w:rPr>
        <w:t xml:space="preserve">California Law Review </w:t>
      </w:r>
      <w:r w:rsidRPr="00DF3687">
        <w:rPr>
          <w:color w:val="000000"/>
        </w:rPr>
        <w:t>629, 633-40.</w:t>
      </w:r>
    </w:p>
  </w:footnote>
  <w:footnote w:id="14">
    <w:p w14:paraId="10AC0197" w14:textId="4DA0D6D7" w:rsidR="00D855AD" w:rsidRPr="00DF3687" w:rsidRDefault="00D855AD" w:rsidP="00DB7A87">
      <w:pPr>
        <w:pStyle w:val="FootnoteText"/>
        <w:jc w:val="both"/>
      </w:pPr>
      <w:r w:rsidRPr="00DF3687">
        <w:rPr>
          <w:rStyle w:val="FootnoteReference"/>
        </w:rPr>
        <w:footnoteRef/>
      </w:r>
      <w:r w:rsidRPr="00DF3687">
        <w:t xml:space="preserve"> </w:t>
      </w:r>
      <w:r w:rsidRPr="00DB7A87">
        <w:rPr>
          <w:color w:val="000000"/>
        </w:rPr>
        <w:t xml:space="preserve">Bettina Lange, “The Emotional Dimension in Legal Regulation” (2002) 29(1) </w:t>
      </w:r>
      <w:r w:rsidRPr="00DB7A87">
        <w:rPr>
          <w:i/>
          <w:color w:val="000000"/>
        </w:rPr>
        <w:t xml:space="preserve">Journal of Law and Society </w:t>
      </w:r>
      <w:r w:rsidRPr="00DB7A87">
        <w:rPr>
          <w:color w:val="000000"/>
        </w:rPr>
        <w:t>197, 199.</w:t>
      </w:r>
    </w:p>
  </w:footnote>
  <w:footnote w:id="15">
    <w:p w14:paraId="7DEF80E9" w14:textId="7447270D"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Abrams and Keren</w:t>
      </w:r>
      <w:r w:rsidR="0076599F">
        <w:rPr>
          <w:color w:val="000000"/>
        </w:rPr>
        <w:t xml:space="preserve"> (n 13)</w:t>
      </w:r>
      <w:r w:rsidRPr="00DF3687">
        <w:rPr>
          <w:color w:val="000000"/>
        </w:rPr>
        <w:t xml:space="preserve"> 1999. </w:t>
      </w:r>
    </w:p>
  </w:footnote>
  <w:footnote w:id="16">
    <w:p w14:paraId="2E48710D" w14:textId="1ECCEB99"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 xml:space="preserve">Martha Fineman, “Vulnerability and Inevitable Inequality” (2017) 4 </w:t>
      </w:r>
      <w:r w:rsidRPr="00DF3687">
        <w:rPr>
          <w:i/>
          <w:color w:val="000000"/>
        </w:rPr>
        <w:t xml:space="preserve">Oslo Law Review </w:t>
      </w:r>
      <w:r w:rsidRPr="00DF3687">
        <w:rPr>
          <w:color w:val="000000"/>
        </w:rPr>
        <w:t>133, 142.</w:t>
      </w:r>
    </w:p>
  </w:footnote>
  <w:footnote w:id="17">
    <w:p w14:paraId="74F03708" w14:textId="159541BD"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 xml:space="preserve">Jill Stauffer, </w:t>
      </w:r>
      <w:r w:rsidRPr="00DF3687">
        <w:rPr>
          <w:i/>
          <w:color w:val="000000"/>
        </w:rPr>
        <w:t>Ethical Loneliness: The Injustice of Being Unheard</w:t>
      </w:r>
      <w:r w:rsidRPr="00DF3687">
        <w:rPr>
          <w:color w:val="000000"/>
        </w:rPr>
        <w:t xml:space="preserve"> (Columbia University Press, 2015) 1.</w:t>
      </w:r>
    </w:p>
  </w:footnote>
  <w:footnote w:id="18">
    <w:p w14:paraId="517A2655" w14:textId="4AE7A335" w:rsidR="00D855AD" w:rsidRPr="00DF3687" w:rsidRDefault="00D855AD" w:rsidP="00DB7A87">
      <w:pPr>
        <w:pStyle w:val="FootnoteText"/>
        <w:jc w:val="both"/>
      </w:pPr>
      <w:r w:rsidRPr="00DF3687">
        <w:rPr>
          <w:rStyle w:val="FootnoteReference"/>
        </w:rPr>
        <w:footnoteRef/>
      </w:r>
      <w:r w:rsidRPr="00DF3687">
        <w:t xml:space="preserve"> </w:t>
      </w:r>
      <w:r w:rsidR="0076599F">
        <w:rPr>
          <w:color w:val="000000"/>
        </w:rPr>
        <w:t>ibid</w:t>
      </w:r>
      <w:r w:rsidRPr="00DF3687">
        <w:rPr>
          <w:color w:val="000000"/>
        </w:rPr>
        <w:t xml:space="preserve"> 77.</w:t>
      </w:r>
    </w:p>
  </w:footnote>
  <w:footnote w:id="19">
    <w:p w14:paraId="458492D1" w14:textId="61CD58D3"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 xml:space="preserve">Garrett W. Nichols, “Queer Settlers in a One-Room Schoolhouse: A Decolonial Queerspace Pedagogy” in Elizabeth McNeil, James E. Wermers and Joshua O. Lunn (eds), </w:t>
      </w:r>
      <w:r w:rsidRPr="00DF3687">
        <w:rPr>
          <w:i/>
          <w:color w:val="000000"/>
        </w:rPr>
        <w:t xml:space="preserve">Mapping Queer Space(s) of Praxis and Pedagogy, </w:t>
      </w:r>
      <w:r w:rsidRPr="00DF3687">
        <w:rPr>
          <w:color w:val="000000"/>
        </w:rPr>
        <w:t xml:space="preserve">(Palgrave, 2018) 51. </w:t>
      </w:r>
    </w:p>
  </w:footnote>
  <w:footnote w:id="20">
    <w:p w14:paraId="1F41440A" w14:textId="17D7D425" w:rsidR="001271F4" w:rsidRPr="00DF3687" w:rsidRDefault="001271F4" w:rsidP="00DF3687">
      <w:pPr>
        <w:pStyle w:val="FootnoteText"/>
        <w:jc w:val="both"/>
        <w:rPr>
          <w:lang w:val="en-US"/>
        </w:rPr>
      </w:pPr>
      <w:r w:rsidRPr="00DF3687">
        <w:rPr>
          <w:rStyle w:val="FootnoteReference"/>
        </w:rPr>
        <w:footnoteRef/>
      </w:r>
      <w:r w:rsidRPr="00DF3687">
        <w:t xml:space="preserve"> </w:t>
      </w:r>
      <w:r w:rsidRPr="00DF3687">
        <w:rPr>
          <w:lang w:val="en-US"/>
        </w:rPr>
        <w:t>This is not to imply that emotions are universally experienced or useful in all contexts, especially when accounting for the diverse ways people learn and (do not) feel about a set topic</w:t>
      </w:r>
      <w:r w:rsidR="00D855AD" w:rsidRPr="00DF3687">
        <w:rPr>
          <w:lang w:val="en-US"/>
        </w:rPr>
        <w:t>. See Julian</w:t>
      </w:r>
      <w:r w:rsidRPr="00DF3687">
        <w:rPr>
          <w:lang w:val="en-US"/>
        </w:rPr>
        <w:t xml:space="preserve"> Webb</w:t>
      </w:r>
      <w:r w:rsidR="00D855AD" w:rsidRPr="00DF3687">
        <w:rPr>
          <w:lang w:val="en-US"/>
        </w:rPr>
        <w:t xml:space="preserve">, </w:t>
      </w:r>
      <w:r w:rsidR="00D855AD" w:rsidRPr="00DF3687">
        <w:rPr>
          <w:color w:val="000000"/>
        </w:rPr>
        <w:t xml:space="preserve">“The Body in (E)Motion: Thinking Through Embodiment and Legal Education” in Paul Maharg and Caroline Maughan (eds), </w:t>
      </w:r>
      <w:r w:rsidR="00D855AD" w:rsidRPr="00DF3687">
        <w:rPr>
          <w:i/>
          <w:color w:val="000000"/>
        </w:rPr>
        <w:t>Affect and Legal Education: Emotion in Learning and Teaching the Law</w:t>
      </w:r>
      <w:r w:rsidR="00D855AD" w:rsidRPr="00DF3687">
        <w:rPr>
          <w:color w:val="000000"/>
        </w:rPr>
        <w:t xml:space="preserve"> (Routledge, 2016). </w:t>
      </w:r>
    </w:p>
  </w:footnote>
  <w:footnote w:id="21">
    <w:p w14:paraId="346CA5AA" w14:textId="31E523C5"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 xml:space="preserve">Duncan Kennedy, “Legal Education as Training for Hierarchy” in David Kairys (ed), </w:t>
      </w:r>
      <w:r w:rsidRPr="00DF3687">
        <w:rPr>
          <w:i/>
          <w:color w:val="000000"/>
        </w:rPr>
        <w:t>The Politics of Law</w:t>
      </w:r>
      <w:r w:rsidRPr="00DF3687">
        <w:rPr>
          <w:color w:val="000000"/>
        </w:rPr>
        <w:t xml:space="preserve"> (Basic Books, 1998); Caroline Maughan, “Why Study Emotion?” in Paul Maharg and Caroline Maughan (eds), </w:t>
      </w:r>
      <w:r w:rsidRPr="00DF3687">
        <w:rPr>
          <w:i/>
          <w:color w:val="000000"/>
        </w:rPr>
        <w:t>Affect and Legal Education: Emotion in Learning and Teaching the Law</w:t>
      </w:r>
      <w:r w:rsidRPr="00DF3687">
        <w:rPr>
          <w:color w:val="000000"/>
        </w:rPr>
        <w:t xml:space="preserve"> (Routledge 2016) 20-4.</w:t>
      </w:r>
    </w:p>
  </w:footnote>
  <w:footnote w:id="22">
    <w:p w14:paraId="0D4B3685" w14:textId="741E5F20" w:rsidR="00D855AD" w:rsidRPr="00DF3687" w:rsidRDefault="00D855AD" w:rsidP="00DB7A87">
      <w:pPr>
        <w:pStyle w:val="FootnoteText"/>
        <w:jc w:val="both"/>
      </w:pPr>
      <w:r w:rsidRPr="00DF3687">
        <w:rPr>
          <w:rStyle w:val="FootnoteReference"/>
        </w:rPr>
        <w:footnoteRef/>
      </w:r>
      <w:r w:rsidRPr="00DF3687">
        <w:t xml:space="preserve"> Fiona Cownie, Anthony Bradney and Mandy Burton, </w:t>
      </w:r>
      <w:r w:rsidRPr="00DF3687">
        <w:rPr>
          <w:i/>
        </w:rPr>
        <w:t>English Legal System in Context</w:t>
      </w:r>
      <w:r w:rsidRPr="00DF3687">
        <w:t xml:space="preserve"> (6</w:t>
      </w:r>
      <w:r w:rsidRPr="00DB7A87">
        <w:rPr>
          <w:vertAlign w:val="superscript"/>
        </w:rPr>
        <w:t>th</w:t>
      </w:r>
      <w:r w:rsidRPr="00DF3687">
        <w:t xml:space="preserve"> edn, Oxford University Press, 2013) 125-6).  </w:t>
      </w:r>
    </w:p>
  </w:footnote>
  <w:footnote w:id="23">
    <w:p w14:paraId="49011C8A" w14:textId="160260C5" w:rsidR="00D855AD" w:rsidRPr="00DF3687" w:rsidRDefault="00D855AD" w:rsidP="00DB7A87">
      <w:pPr>
        <w:pStyle w:val="FootnoteText"/>
        <w:jc w:val="both"/>
      </w:pPr>
      <w:r w:rsidRPr="00DF3687">
        <w:rPr>
          <w:rStyle w:val="FootnoteReference"/>
        </w:rPr>
        <w:footnoteRef/>
      </w:r>
      <w:r w:rsidRPr="00DF3687">
        <w:rPr>
          <w:color w:val="000000"/>
        </w:rPr>
        <w:t xml:space="preserve"> Kennedy</w:t>
      </w:r>
      <w:r w:rsidR="0076599F">
        <w:rPr>
          <w:color w:val="000000"/>
        </w:rPr>
        <w:t xml:space="preserve"> (n 21)</w:t>
      </w:r>
      <w:r w:rsidRPr="00DF3687">
        <w:rPr>
          <w:color w:val="000000"/>
        </w:rPr>
        <w:t>; Maughan</w:t>
      </w:r>
      <w:r w:rsidR="0076599F">
        <w:rPr>
          <w:color w:val="000000"/>
        </w:rPr>
        <w:t xml:space="preserve"> (n 21) </w:t>
      </w:r>
      <w:r w:rsidRPr="00DF3687">
        <w:rPr>
          <w:color w:val="000000"/>
        </w:rPr>
        <w:t>59.</w:t>
      </w:r>
    </w:p>
  </w:footnote>
  <w:footnote w:id="24">
    <w:p w14:paraId="57EAAD05" w14:textId="6C222235"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Maughan</w:t>
      </w:r>
      <w:r w:rsidR="0076599F">
        <w:rPr>
          <w:color w:val="000000"/>
        </w:rPr>
        <w:t xml:space="preserve"> (n 21) </w:t>
      </w:r>
      <w:r w:rsidRPr="00DF3687">
        <w:rPr>
          <w:color w:val="000000"/>
        </w:rPr>
        <w:t>19.</w:t>
      </w:r>
    </w:p>
  </w:footnote>
  <w:footnote w:id="25">
    <w:p w14:paraId="46E65108" w14:textId="4196D007" w:rsidR="00D855AD" w:rsidRPr="00DF3687" w:rsidRDefault="00D855AD" w:rsidP="00DB7A87">
      <w:pPr>
        <w:pStyle w:val="FootnoteText"/>
        <w:jc w:val="both"/>
      </w:pPr>
      <w:r w:rsidRPr="00DF3687">
        <w:rPr>
          <w:rStyle w:val="FootnoteReference"/>
        </w:rPr>
        <w:footnoteRef/>
      </w:r>
      <w:r w:rsidRPr="00DF3687">
        <w:t xml:space="preserve"> </w:t>
      </w:r>
      <w:r w:rsidR="008359EA">
        <w:rPr>
          <w:color w:val="000000"/>
        </w:rPr>
        <w:t>i</w:t>
      </w:r>
      <w:r w:rsidR="0076599F">
        <w:rPr>
          <w:color w:val="000000"/>
        </w:rPr>
        <w:t xml:space="preserve">bid </w:t>
      </w:r>
      <w:r w:rsidRPr="00DF3687">
        <w:rPr>
          <w:color w:val="000000"/>
        </w:rPr>
        <w:t xml:space="preserve"> 27.</w:t>
      </w:r>
    </w:p>
  </w:footnote>
  <w:footnote w:id="26">
    <w:p w14:paraId="31C586F3" w14:textId="5FB70E0E" w:rsidR="00557988" w:rsidRPr="00DF3687" w:rsidRDefault="00557988" w:rsidP="00DB7A87">
      <w:pPr>
        <w:pStyle w:val="FootnoteText"/>
        <w:jc w:val="both"/>
      </w:pPr>
      <w:r w:rsidRPr="00DF3687">
        <w:rPr>
          <w:rStyle w:val="FootnoteReference"/>
        </w:rPr>
        <w:footnoteRef/>
      </w:r>
      <w:r w:rsidRPr="00DF3687">
        <w:t xml:space="preserve"> Patricia Williams is a critical legal scholar who has written extensively on the value of situating oneself in relation to one’s object of study, as a way to explore the “embodied” or “personal” dimensions of legal pedagogy and scholarship. See Patricia Williams, </w:t>
      </w:r>
      <w:r w:rsidRPr="00DB7A87">
        <w:rPr>
          <w:i/>
          <w:iCs/>
        </w:rPr>
        <w:t>The Alchemy of Race and Rights: The Diary of a Law Professor</w:t>
      </w:r>
      <w:r w:rsidRPr="00DF3687">
        <w:rPr>
          <w:i/>
          <w:iCs/>
        </w:rPr>
        <w:t xml:space="preserve"> </w:t>
      </w:r>
      <w:r w:rsidRPr="00DF3687">
        <w:t xml:space="preserve">(Harvard University Press, 1992). </w:t>
      </w:r>
    </w:p>
  </w:footnote>
  <w:footnote w:id="27">
    <w:p w14:paraId="13AB1497" w14:textId="2B4452FD" w:rsidR="00557988" w:rsidRPr="00DB7A87" w:rsidRDefault="00557988" w:rsidP="00DB7A87">
      <w:pPr>
        <w:pStyle w:val="FootnoteText"/>
        <w:jc w:val="both"/>
        <w:rPr>
          <w:i/>
          <w:iCs/>
        </w:rPr>
      </w:pPr>
      <w:r w:rsidRPr="00DF3687">
        <w:rPr>
          <w:rStyle w:val="FootnoteReference"/>
        </w:rPr>
        <w:footnoteRef/>
      </w:r>
      <w:r w:rsidRPr="00DF3687">
        <w:t xml:space="preserve"> Stephen Brookfield, </w:t>
      </w:r>
      <w:r w:rsidRPr="0076599F">
        <w:rPr>
          <w:i/>
          <w:iCs/>
        </w:rPr>
        <w:t>Becoming a Critically Reflective Teacher</w:t>
      </w:r>
      <w:r w:rsidRPr="00DF3687">
        <w:t xml:space="preserve"> (Jossey-Bass, 1995) 13, 51. </w:t>
      </w:r>
    </w:p>
  </w:footnote>
  <w:footnote w:id="28">
    <w:p w14:paraId="1CB727D8" w14:textId="66D81ABE" w:rsidR="00D855AD" w:rsidRPr="00DF3687" w:rsidRDefault="00D855AD" w:rsidP="0076599F">
      <w:pPr>
        <w:pStyle w:val="FootnoteText"/>
        <w:jc w:val="both"/>
      </w:pPr>
      <w:r w:rsidRPr="00DF3687">
        <w:rPr>
          <w:rStyle w:val="FootnoteReference"/>
        </w:rPr>
        <w:footnoteRef/>
      </w:r>
      <w:r w:rsidRPr="00DF3687">
        <w:t xml:space="preserve"> </w:t>
      </w:r>
      <w:r w:rsidRPr="00DF3687">
        <w:rPr>
          <w:color w:val="000000"/>
        </w:rPr>
        <w:t xml:space="preserve">Keith Trigwell, “Judging university teaching” (2001) 6(1) </w:t>
      </w:r>
      <w:r w:rsidRPr="00DF3687">
        <w:rPr>
          <w:i/>
          <w:color w:val="000000"/>
        </w:rPr>
        <w:t xml:space="preserve">International Journal for Academic Development </w:t>
      </w:r>
      <w:r w:rsidRPr="00DF3687">
        <w:rPr>
          <w:color w:val="000000"/>
        </w:rPr>
        <w:t>65, 69.</w:t>
      </w:r>
    </w:p>
  </w:footnote>
  <w:footnote w:id="29">
    <w:p w14:paraId="43D38686" w14:textId="7E994BF9" w:rsidR="00D855AD" w:rsidRPr="00DB7A87" w:rsidRDefault="00D855AD" w:rsidP="0076599F">
      <w:pPr>
        <w:tabs>
          <w:tab w:val="left" w:pos="9480"/>
        </w:tabs>
        <w:ind w:left="720" w:hanging="720"/>
        <w:jc w:val="both"/>
        <w:rPr>
          <w:color w:val="000000"/>
        </w:rPr>
      </w:pPr>
      <w:r w:rsidRPr="00DB7A87">
        <w:rPr>
          <w:rStyle w:val="FootnoteReference"/>
          <w:rFonts w:ascii="Times New Roman" w:hAnsi="Times New Roman" w:cs="Times New Roman"/>
          <w:sz w:val="20"/>
          <w:szCs w:val="20"/>
        </w:rPr>
        <w:footnoteRef/>
      </w:r>
      <w:r w:rsidRPr="00DB7A87">
        <w:rPr>
          <w:rFonts w:ascii="Times New Roman" w:hAnsi="Times New Roman" w:cs="Times New Roman"/>
          <w:sz w:val="20"/>
          <w:szCs w:val="20"/>
        </w:rPr>
        <w:t xml:space="preserve"> </w:t>
      </w:r>
      <w:r w:rsidRPr="00DB7A87">
        <w:rPr>
          <w:rFonts w:ascii="Times New Roman" w:hAnsi="Times New Roman" w:cs="Times New Roman"/>
          <w:color w:val="000000"/>
          <w:sz w:val="20"/>
          <w:szCs w:val="20"/>
        </w:rPr>
        <w:t xml:space="preserve">Stefan Collini, </w:t>
      </w:r>
      <w:r w:rsidRPr="00DB7A87">
        <w:rPr>
          <w:rFonts w:ascii="Times New Roman" w:hAnsi="Times New Roman" w:cs="Times New Roman"/>
          <w:i/>
          <w:color w:val="000000"/>
          <w:sz w:val="20"/>
          <w:szCs w:val="20"/>
        </w:rPr>
        <w:t xml:space="preserve">What Are Universities For? </w:t>
      </w:r>
      <w:r w:rsidRPr="00DB7A87">
        <w:rPr>
          <w:rFonts w:ascii="Times New Roman" w:hAnsi="Times New Roman" w:cs="Times New Roman"/>
          <w:iCs/>
          <w:color w:val="000000"/>
          <w:sz w:val="20"/>
          <w:szCs w:val="20"/>
        </w:rPr>
        <w:t>(</w:t>
      </w:r>
      <w:r w:rsidRPr="00DB7A87">
        <w:rPr>
          <w:rFonts w:ascii="Times New Roman" w:hAnsi="Times New Roman" w:cs="Times New Roman"/>
          <w:color w:val="000000"/>
          <w:sz w:val="20"/>
          <w:szCs w:val="20"/>
        </w:rPr>
        <w:t xml:space="preserve">Penguin Books, 2012) 89. </w:t>
      </w:r>
    </w:p>
  </w:footnote>
  <w:footnote w:id="30">
    <w:p w14:paraId="2A9968FE" w14:textId="25593DA0" w:rsidR="00D855AD" w:rsidRPr="00DF3687" w:rsidRDefault="00D855AD" w:rsidP="0076599F">
      <w:pPr>
        <w:pStyle w:val="FootnoteText"/>
        <w:jc w:val="both"/>
      </w:pPr>
      <w:r w:rsidRPr="00DF3687">
        <w:rPr>
          <w:rStyle w:val="FootnoteReference"/>
        </w:rPr>
        <w:footnoteRef/>
      </w:r>
      <w:r w:rsidRPr="00DF3687">
        <w:t xml:space="preserve"> </w:t>
      </w:r>
      <w:r w:rsidR="0076599F">
        <w:rPr>
          <w:color w:val="000000"/>
        </w:rPr>
        <w:t xml:space="preserve">ibid </w:t>
      </w:r>
      <w:r w:rsidRPr="00DF3687">
        <w:rPr>
          <w:color w:val="000000"/>
        </w:rPr>
        <w:t xml:space="preserve">101. </w:t>
      </w:r>
    </w:p>
  </w:footnote>
  <w:footnote w:id="31">
    <w:p w14:paraId="2768B283" w14:textId="3C1F5EC6" w:rsidR="00557988" w:rsidRPr="00DB7A87" w:rsidRDefault="00557988" w:rsidP="0076599F">
      <w:pPr>
        <w:jc w:val="both"/>
        <w:rPr>
          <w:rFonts w:ascii="Times New Roman" w:hAnsi="Times New Roman" w:cs="Times New Roman"/>
          <w:sz w:val="20"/>
          <w:szCs w:val="20"/>
        </w:rPr>
      </w:pPr>
      <w:r w:rsidRPr="00DB7A87">
        <w:rPr>
          <w:rStyle w:val="FootnoteReference"/>
          <w:rFonts w:ascii="Times New Roman" w:hAnsi="Times New Roman" w:cs="Times New Roman"/>
          <w:sz w:val="20"/>
          <w:szCs w:val="20"/>
        </w:rPr>
        <w:footnoteRef/>
      </w:r>
      <w:r w:rsidR="00D855AD" w:rsidRPr="00DB7A87">
        <w:rPr>
          <w:rFonts w:ascii="Times New Roman" w:hAnsi="Times New Roman" w:cs="Times New Roman"/>
          <w:sz w:val="20"/>
          <w:szCs w:val="20"/>
        </w:rPr>
        <w:t xml:space="preserve">Keele University, “Teaching and Learning Strategy to 2020” (2015), </w:t>
      </w:r>
      <w:hyperlink r:id="rId7" w:history="1">
        <w:r w:rsidR="00D855AD" w:rsidRPr="00DB7A87">
          <w:rPr>
            <w:rStyle w:val="Hyperlink"/>
            <w:rFonts w:ascii="Times New Roman" w:hAnsi="Times New Roman" w:cs="Times New Roman"/>
            <w:sz w:val="20"/>
            <w:szCs w:val="20"/>
          </w:rPr>
          <w:t>https://www.keele.ac.uk/media/keeleuniversity/policyzone20/studentandacademicservices/L&amp;T%20Strategy%20FinalWEB.pdf</w:t>
        </w:r>
      </w:hyperlink>
      <w:r w:rsidR="00D855AD" w:rsidRPr="00DB7A87">
        <w:rPr>
          <w:rFonts w:ascii="Times New Roman" w:hAnsi="Times New Roman" w:cs="Times New Roman"/>
          <w:sz w:val="20"/>
          <w:szCs w:val="20"/>
        </w:rPr>
        <w:t xml:space="preserve"> accessed 1</w:t>
      </w:r>
      <w:r w:rsidR="00D855AD" w:rsidRPr="00DB7A87">
        <w:rPr>
          <w:rFonts w:ascii="Times New Roman" w:hAnsi="Times New Roman" w:cs="Times New Roman"/>
          <w:sz w:val="20"/>
          <w:szCs w:val="20"/>
          <w:vertAlign w:val="superscript"/>
        </w:rPr>
        <w:t xml:space="preserve"> </w:t>
      </w:r>
      <w:r w:rsidR="00D855AD" w:rsidRPr="00DB7A87">
        <w:rPr>
          <w:rFonts w:ascii="Times New Roman" w:hAnsi="Times New Roman" w:cs="Times New Roman"/>
          <w:sz w:val="20"/>
          <w:szCs w:val="20"/>
        </w:rPr>
        <w:t xml:space="preserve">June 2020. </w:t>
      </w:r>
    </w:p>
  </w:footnote>
  <w:footnote w:id="32">
    <w:p w14:paraId="4A56E19A" w14:textId="3DF3382E" w:rsidR="00557988" w:rsidRPr="00DB7A87" w:rsidRDefault="00557988" w:rsidP="0076599F">
      <w:pPr>
        <w:jc w:val="both"/>
        <w:rPr>
          <w:rFonts w:ascii="Times New Roman" w:hAnsi="Times New Roman" w:cs="Times New Roman"/>
          <w:sz w:val="20"/>
          <w:szCs w:val="20"/>
        </w:rPr>
      </w:pPr>
      <w:r w:rsidRPr="00DB7A87">
        <w:rPr>
          <w:rStyle w:val="FootnoteReference"/>
          <w:rFonts w:ascii="Times New Roman" w:hAnsi="Times New Roman" w:cs="Times New Roman"/>
          <w:sz w:val="20"/>
          <w:szCs w:val="20"/>
        </w:rPr>
        <w:footnoteRef/>
      </w:r>
      <w:r w:rsidRPr="00DB7A87">
        <w:rPr>
          <w:rFonts w:ascii="Times New Roman" w:hAnsi="Times New Roman" w:cs="Times New Roman"/>
          <w:sz w:val="20"/>
          <w:szCs w:val="20"/>
        </w:rPr>
        <w:t xml:space="preserve"> </w:t>
      </w:r>
      <w:r w:rsidR="00D855AD" w:rsidRPr="00DB7A87">
        <w:rPr>
          <w:rFonts w:ascii="Times New Roman" w:hAnsi="Times New Roman" w:cs="Times New Roman"/>
          <w:sz w:val="20"/>
          <w:szCs w:val="20"/>
        </w:rPr>
        <w:t xml:space="preserve">Keele University School of Law, </w:t>
      </w:r>
      <w:hyperlink r:id="rId8" w:history="1">
        <w:r w:rsidR="00D855AD" w:rsidRPr="00DB7A87">
          <w:rPr>
            <w:rStyle w:val="Hyperlink"/>
            <w:rFonts w:ascii="Times New Roman" w:hAnsi="Times New Roman" w:cs="Times New Roman"/>
            <w:sz w:val="20"/>
            <w:szCs w:val="20"/>
          </w:rPr>
          <w:t>https://www.keele.ac.uk/law/</w:t>
        </w:r>
      </w:hyperlink>
      <w:r w:rsidR="00D855AD" w:rsidRPr="00DB7A87">
        <w:rPr>
          <w:rFonts w:ascii="Times New Roman" w:hAnsi="Times New Roman" w:cs="Times New Roman"/>
          <w:sz w:val="20"/>
          <w:szCs w:val="20"/>
        </w:rPr>
        <w:t xml:space="preserve"> accessed 1 June 2020.</w:t>
      </w:r>
    </w:p>
  </w:footnote>
  <w:footnote w:id="33">
    <w:p w14:paraId="4A361504" w14:textId="6D8AA519" w:rsidR="00B04B76" w:rsidRPr="00DB7A87" w:rsidRDefault="00B04B76" w:rsidP="00DB7A87">
      <w:pPr>
        <w:ind w:left="720" w:hanging="720"/>
        <w:jc w:val="both"/>
        <w:rPr>
          <w:color w:val="000000"/>
        </w:rPr>
      </w:pPr>
      <w:r w:rsidRPr="00DB7A87">
        <w:rPr>
          <w:rStyle w:val="FootnoteReference"/>
          <w:rFonts w:ascii="Times New Roman" w:hAnsi="Times New Roman" w:cs="Times New Roman"/>
          <w:sz w:val="20"/>
          <w:szCs w:val="20"/>
        </w:rPr>
        <w:footnoteRef/>
      </w:r>
      <w:r w:rsidRPr="00DB7A87">
        <w:rPr>
          <w:rFonts w:ascii="Times New Roman" w:hAnsi="Times New Roman" w:cs="Times New Roman"/>
          <w:sz w:val="20"/>
          <w:szCs w:val="20"/>
        </w:rPr>
        <w:t xml:space="preserve"> Jessica Guth, </w:t>
      </w:r>
      <w:r w:rsidRPr="00DB7A87">
        <w:rPr>
          <w:rFonts w:ascii="Times New Roman" w:hAnsi="Times New Roman" w:cs="Times New Roman"/>
          <w:color w:val="000000"/>
          <w:sz w:val="20"/>
          <w:szCs w:val="20"/>
        </w:rPr>
        <w:t xml:space="preserve">“Social Justice: Education for Sustainable Development in Law Schools” in Chris Ashford and Paul McKeown (eds), </w:t>
      </w:r>
      <w:r w:rsidRPr="00DB7A87">
        <w:rPr>
          <w:rFonts w:ascii="Times New Roman" w:hAnsi="Times New Roman" w:cs="Times New Roman"/>
          <w:i/>
          <w:iCs/>
          <w:color w:val="000000"/>
          <w:sz w:val="20"/>
          <w:szCs w:val="20"/>
        </w:rPr>
        <w:t>Social Justice and Legal Education</w:t>
      </w:r>
      <w:r w:rsidRPr="00DB7A87">
        <w:rPr>
          <w:rFonts w:ascii="Times New Roman" w:hAnsi="Times New Roman" w:cs="Times New Roman"/>
          <w:color w:val="000000"/>
          <w:sz w:val="20"/>
          <w:szCs w:val="20"/>
        </w:rPr>
        <w:t xml:space="preserve">  Cambridge Scholars Publishing, 2018) 307. </w:t>
      </w:r>
    </w:p>
  </w:footnote>
  <w:footnote w:id="34">
    <w:p w14:paraId="488FE229" w14:textId="5A1F9871" w:rsidR="00D855AD" w:rsidRPr="00DF3687" w:rsidRDefault="00D855AD" w:rsidP="00DB7A87">
      <w:pPr>
        <w:pStyle w:val="FootnoteText"/>
        <w:jc w:val="both"/>
      </w:pPr>
      <w:r w:rsidRPr="00DF3687">
        <w:rPr>
          <w:rStyle w:val="FootnoteReference"/>
        </w:rPr>
        <w:footnoteRef/>
      </w:r>
      <w:r w:rsidRPr="00DF3687">
        <w:t xml:space="preserve"> See Ronald Dworkin, </w:t>
      </w:r>
      <w:r w:rsidRPr="00DF3687">
        <w:rPr>
          <w:i/>
        </w:rPr>
        <w:t>Law’s Empire</w:t>
      </w:r>
      <w:r w:rsidRPr="00DF3687">
        <w:t xml:space="preserve"> (Harvard University Press, 1987); </w:t>
      </w:r>
      <w:r w:rsidRPr="00DF3687">
        <w:rPr>
          <w:color w:val="000000"/>
        </w:rPr>
        <w:t xml:space="preserve">Ruthann Robson, </w:t>
      </w:r>
      <w:r w:rsidRPr="00DF3687">
        <w:rPr>
          <w:i/>
          <w:color w:val="000000"/>
        </w:rPr>
        <w:t>Sappho Goes To Law School: Fragments in Lesbian Legal Theory</w:t>
      </w:r>
      <w:r w:rsidRPr="00DF3687">
        <w:rPr>
          <w:color w:val="000000"/>
        </w:rPr>
        <w:t xml:space="preserve"> (Columbia University Press, 1998), </w:t>
      </w:r>
      <w:r w:rsidRPr="00DF3687">
        <w:t xml:space="preserve">Robin West, “Communities, Texts and Law: Reflections on the Law and Literature Movement” (1988) 1 </w:t>
      </w:r>
      <w:r w:rsidRPr="00DF3687">
        <w:rPr>
          <w:i/>
        </w:rPr>
        <w:t xml:space="preserve">Yale Journal of Law &amp; Humanities </w:t>
      </w:r>
      <w:r w:rsidRPr="00DF3687">
        <w:t xml:space="preserve">129; James Boyd White, “Law as Language: Reading Law and Reading Literature” 1981 60(3) </w:t>
      </w:r>
      <w:r w:rsidRPr="00DF3687">
        <w:rPr>
          <w:i/>
        </w:rPr>
        <w:t xml:space="preserve">Texas Law Review </w:t>
      </w:r>
      <w:r w:rsidRPr="00DF3687">
        <w:t xml:space="preserve">415; Patricia Williams, “On Being the Object of Property” (1988) 14(1) </w:t>
      </w:r>
      <w:r w:rsidRPr="00DF3687">
        <w:rPr>
          <w:i/>
        </w:rPr>
        <w:t>Signs: Journal of Women in Culture and Society</w:t>
      </w:r>
      <w:r w:rsidRPr="00DF3687">
        <w:t xml:space="preserve"> 5.  </w:t>
      </w:r>
    </w:p>
  </w:footnote>
  <w:footnote w:id="35">
    <w:p w14:paraId="649F7DA5" w14:textId="4B5BB39B" w:rsidR="00D855AD" w:rsidRPr="00DF3687" w:rsidRDefault="00D855AD" w:rsidP="00DB7A87">
      <w:pPr>
        <w:pStyle w:val="FootnoteText"/>
        <w:jc w:val="both"/>
      </w:pPr>
      <w:r w:rsidRPr="00DF3687">
        <w:rPr>
          <w:rStyle w:val="FootnoteReference"/>
        </w:rPr>
        <w:footnoteRef/>
      </w:r>
      <w:r w:rsidRPr="00DF3687">
        <w:t xml:space="preserve"> </w:t>
      </w:r>
      <w:r w:rsidRPr="00DF3687">
        <w:rPr>
          <w:color w:val="000000"/>
        </w:rPr>
        <w:t>Kennedy</w:t>
      </w:r>
      <w:r w:rsidR="0076599F">
        <w:rPr>
          <w:color w:val="000000"/>
        </w:rPr>
        <w:t xml:space="preserve"> (n 21) </w:t>
      </w:r>
      <w:r w:rsidRPr="00DF3687">
        <w:rPr>
          <w:color w:val="000000"/>
        </w:rPr>
        <w:t>58-60.</w:t>
      </w:r>
    </w:p>
  </w:footnote>
  <w:footnote w:id="36">
    <w:p w14:paraId="10D2BF5D" w14:textId="7031EAEE" w:rsidR="00D855AD" w:rsidRPr="00DF3687" w:rsidRDefault="00D855AD" w:rsidP="00DB7A87">
      <w:pPr>
        <w:pStyle w:val="FootnoteText"/>
        <w:jc w:val="both"/>
      </w:pPr>
      <w:r w:rsidRPr="00DF3687">
        <w:rPr>
          <w:rStyle w:val="FootnoteReference"/>
        </w:rPr>
        <w:footnoteRef/>
      </w:r>
      <w:r w:rsidRPr="00DF3687">
        <w:t xml:space="preserve"> </w:t>
      </w:r>
      <w:r w:rsidR="0076599F">
        <w:rPr>
          <w:color w:val="000000"/>
        </w:rPr>
        <w:t>ibid</w:t>
      </w:r>
      <w:r w:rsidRPr="00DF3687">
        <w:rPr>
          <w:color w:val="000000"/>
        </w:rPr>
        <w:t xml:space="preserve"> 60-2.</w:t>
      </w:r>
    </w:p>
  </w:footnote>
  <w:footnote w:id="37">
    <w:p w14:paraId="33C6F4E2" w14:textId="186936CE" w:rsidR="00D855AD" w:rsidRPr="00DF3687" w:rsidRDefault="00D855AD" w:rsidP="00DB7A87">
      <w:pPr>
        <w:pStyle w:val="FootnoteText"/>
        <w:jc w:val="both"/>
      </w:pPr>
      <w:r w:rsidRPr="00DF3687">
        <w:rPr>
          <w:rStyle w:val="FootnoteReference"/>
        </w:rPr>
        <w:footnoteRef/>
      </w:r>
      <w:r w:rsidRPr="00DF3687">
        <w:t xml:space="preserve"> Williams</w:t>
      </w:r>
      <w:r w:rsidR="0076599F">
        <w:t xml:space="preserve"> (n 34) </w:t>
      </w:r>
      <w:r w:rsidRPr="00DF3687">
        <w:t xml:space="preserve">5. </w:t>
      </w:r>
    </w:p>
  </w:footnote>
  <w:footnote w:id="38">
    <w:p w14:paraId="4846EE4B" w14:textId="75F0CAB7" w:rsidR="00B04B76" w:rsidRPr="00DF3687" w:rsidRDefault="00B04B76" w:rsidP="00DB7A87">
      <w:pPr>
        <w:pStyle w:val="FootnoteText"/>
        <w:jc w:val="both"/>
      </w:pPr>
      <w:r w:rsidRPr="00DF3687">
        <w:rPr>
          <w:rStyle w:val="FootnoteReference"/>
        </w:rPr>
        <w:footnoteRef/>
      </w:r>
      <w:r w:rsidRPr="00DF3687">
        <w:t xml:space="preserve"> I have written in much more detail about the latter point when it comes to how “reading emotion” is useful for legal scholars, activists, lawyers, and judges interested in unpacking the limits and possibilities of pro-LGBT rights jurisprudence. See Senthorun Sunil Raj, </w:t>
      </w:r>
      <w:r w:rsidRPr="00DF3687">
        <w:rPr>
          <w:i/>
          <w:iCs/>
        </w:rPr>
        <w:t xml:space="preserve">Feeling Queer Jurisprudence: Injury, Intimacy, Identity </w:t>
      </w:r>
      <w:r w:rsidRPr="00DF3687">
        <w:t xml:space="preserve">(Routledge, 2020). </w:t>
      </w:r>
    </w:p>
  </w:footnote>
  <w:footnote w:id="39">
    <w:p w14:paraId="0310F167" w14:textId="01733224"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Richard Grimes, “Experimental Learning, Legal Schools and a Social Mission: Whose Justice, What Justice” in Chris Ashford and Paul McKeown (eds), </w:t>
      </w:r>
      <w:r w:rsidR="00DF3687" w:rsidRPr="00DB7A87">
        <w:rPr>
          <w:i/>
          <w:iCs/>
          <w:color w:val="000000"/>
        </w:rPr>
        <w:t>Social Justice and Legal Education</w:t>
      </w:r>
      <w:r w:rsidR="00DF3687" w:rsidRPr="00DF3687">
        <w:rPr>
          <w:color w:val="000000"/>
        </w:rPr>
        <w:t xml:space="preserve"> (Cambridge Scholars Publishing, 2018) 257.</w:t>
      </w:r>
    </w:p>
  </w:footnote>
  <w:footnote w:id="40">
    <w:p w14:paraId="4646A939" w14:textId="6105337D"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Alan M. Lerner, “From Socrates to Damasio, from Langdell to Kandel” in Paul Maharg and Caroline Maughan (eds), </w:t>
      </w:r>
      <w:r w:rsidR="00DF3687" w:rsidRPr="00DF3687">
        <w:rPr>
          <w:i/>
          <w:color w:val="000000"/>
        </w:rPr>
        <w:t>Affect and Legal Education: Emotion in Learning and Teaching the Law</w:t>
      </w:r>
      <w:r w:rsidR="00DF3687" w:rsidRPr="00DF3687">
        <w:rPr>
          <w:color w:val="000000"/>
        </w:rPr>
        <w:t xml:space="preserve"> (Routledge, 2016) 172. </w:t>
      </w:r>
    </w:p>
  </w:footnote>
  <w:footnote w:id="41">
    <w:p w14:paraId="1B386F7C" w14:textId="74BBCBD5" w:rsidR="00DF3687" w:rsidRPr="00DF3687" w:rsidRDefault="00DF3687" w:rsidP="00DB7A87">
      <w:pPr>
        <w:pStyle w:val="FootnoteText"/>
        <w:jc w:val="both"/>
      </w:pPr>
      <w:r w:rsidRPr="00DF3687">
        <w:rPr>
          <w:rStyle w:val="FootnoteReference"/>
        </w:rPr>
        <w:footnoteRef/>
      </w:r>
      <w:r w:rsidRPr="00DF3687">
        <w:t xml:space="preserve"> See </w:t>
      </w:r>
      <w:r w:rsidRPr="00DF3687">
        <w:rPr>
          <w:color w:val="000000"/>
        </w:rPr>
        <w:t>Barbel Inhelder and Jean Piaget</w:t>
      </w:r>
      <w:r w:rsidR="001B0357">
        <w:rPr>
          <w:color w:val="000000"/>
        </w:rPr>
        <w:t>,</w:t>
      </w:r>
      <w:r w:rsidRPr="00DF3687">
        <w:rPr>
          <w:color w:val="000000"/>
        </w:rPr>
        <w:t xml:space="preserve"> </w:t>
      </w:r>
      <w:r w:rsidRPr="00DF3687">
        <w:rPr>
          <w:i/>
          <w:color w:val="000000"/>
        </w:rPr>
        <w:t>The Growth of Logical Thinking from Childhood to Adolescence</w:t>
      </w:r>
      <w:r w:rsidRPr="00DF3687">
        <w:rPr>
          <w:color w:val="000000"/>
        </w:rPr>
        <w:t xml:space="preserve">: </w:t>
      </w:r>
      <w:r w:rsidRPr="00DF3687">
        <w:rPr>
          <w:i/>
          <w:color w:val="000000"/>
        </w:rPr>
        <w:t xml:space="preserve">An Essay on the Construction of Formal Operational Structures </w:t>
      </w:r>
      <w:r w:rsidRPr="00DF3687">
        <w:rPr>
          <w:iCs/>
          <w:color w:val="000000"/>
        </w:rPr>
        <w:t>(</w:t>
      </w:r>
      <w:r w:rsidRPr="00DF3687">
        <w:rPr>
          <w:color w:val="000000"/>
        </w:rPr>
        <w:t>Routledge and Kegan Paul, 1958).</w:t>
      </w:r>
    </w:p>
  </w:footnote>
  <w:footnote w:id="42">
    <w:p w14:paraId="379438BD" w14:textId="2EF7573A"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Richard Roche, “</w:t>
      </w:r>
      <w:r w:rsidR="0076599F">
        <w:rPr>
          <w:color w:val="000000"/>
        </w:rPr>
        <w:t>Learning and the Brain – An Overview</w:t>
      </w:r>
      <w:r w:rsidR="00DF3687" w:rsidRPr="00DF3687">
        <w:rPr>
          <w:color w:val="000000"/>
        </w:rPr>
        <w:t>” in Paul Maharg and Caroline Maughan</w:t>
      </w:r>
      <w:r w:rsidR="00DF3687" w:rsidRPr="00DF3687">
        <w:rPr>
          <w:i/>
          <w:color w:val="000000"/>
        </w:rPr>
        <w:t xml:space="preserve"> </w:t>
      </w:r>
      <w:r w:rsidR="00DF3687" w:rsidRPr="00DF3687">
        <w:rPr>
          <w:iCs/>
          <w:color w:val="000000"/>
        </w:rPr>
        <w:t xml:space="preserve">(eds), </w:t>
      </w:r>
      <w:r w:rsidR="00DF3687" w:rsidRPr="00DF3687">
        <w:rPr>
          <w:i/>
          <w:color w:val="000000"/>
        </w:rPr>
        <w:t>Affect and Legal Education: Emotion in Learning and Teaching the Law</w:t>
      </w:r>
      <w:r w:rsidR="00DF3687" w:rsidRPr="00DF3687">
        <w:rPr>
          <w:color w:val="000000"/>
        </w:rPr>
        <w:t xml:space="preserve"> (Routledge, 2016) 63.</w:t>
      </w:r>
    </w:p>
  </w:footnote>
  <w:footnote w:id="43">
    <w:p w14:paraId="1D1E32AC" w14:textId="5C975BFD"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David J. Arkush, “Situating Emotion: A Critical Realist View of Emotion and Nonconscious Cognitive Processes for Law and Legal Theory” (2008) 5 </w:t>
      </w:r>
      <w:r w:rsidR="00DF3687" w:rsidRPr="00DF3687">
        <w:rPr>
          <w:i/>
          <w:color w:val="000000"/>
        </w:rPr>
        <w:t xml:space="preserve">Brigham Young University Law Review </w:t>
      </w:r>
      <w:r w:rsidR="00DF3687" w:rsidRPr="00DF3687">
        <w:rPr>
          <w:color w:val="000000"/>
        </w:rPr>
        <w:t xml:space="preserve">1275; Terry A. Maroney, “Law and Emotion: A Proposed Taxonomy of an Emerging Field” (2006) 30 </w:t>
      </w:r>
      <w:r w:rsidR="00DF3687" w:rsidRPr="00DF3687">
        <w:rPr>
          <w:i/>
          <w:color w:val="000000"/>
        </w:rPr>
        <w:t xml:space="preserve">Law and Human Behavior </w:t>
      </w:r>
      <w:r w:rsidR="00DF3687" w:rsidRPr="00DF3687">
        <w:rPr>
          <w:color w:val="000000"/>
        </w:rPr>
        <w:t xml:space="preserve">119; Terry A. Maroney, “The Persistent Cultural Script of Judicial Dispassion.” (2011) 99 </w:t>
      </w:r>
      <w:r w:rsidR="00DF3687" w:rsidRPr="00DF3687">
        <w:rPr>
          <w:i/>
          <w:color w:val="000000"/>
        </w:rPr>
        <w:t xml:space="preserve">California Law Review </w:t>
      </w:r>
      <w:r w:rsidR="00DF3687" w:rsidRPr="00DF3687">
        <w:rPr>
          <w:color w:val="000000"/>
        </w:rPr>
        <w:t xml:space="preserve">629; Eric A. Posner, “Law and the Emotions” (2001) 89(6) </w:t>
      </w:r>
      <w:r w:rsidR="00DF3687" w:rsidRPr="00DF3687">
        <w:rPr>
          <w:i/>
          <w:color w:val="000000"/>
        </w:rPr>
        <w:t xml:space="preserve">Georgetown Law Journal </w:t>
      </w:r>
      <w:r w:rsidR="00DF3687" w:rsidRPr="00DF3687">
        <w:rPr>
          <w:color w:val="000000"/>
        </w:rPr>
        <w:t>1977.</w:t>
      </w:r>
    </w:p>
  </w:footnote>
  <w:footnote w:id="44">
    <w:p w14:paraId="7AB1750F" w14:textId="35B1BCF3"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Maroney</w:t>
      </w:r>
      <w:r w:rsidR="0076599F">
        <w:rPr>
          <w:color w:val="000000"/>
        </w:rPr>
        <w:t xml:space="preserve"> (n 43)</w:t>
      </w:r>
      <w:r w:rsidRPr="00DF3687">
        <w:rPr>
          <w:color w:val="000000"/>
        </w:rPr>
        <w:t xml:space="preserve">. </w:t>
      </w:r>
    </w:p>
  </w:footnote>
  <w:footnote w:id="45">
    <w:p w14:paraId="7AE55029" w14:textId="265738AD"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Lucy Yeatman, “Law in the Community and Access to Justice: Linking Theory and Practice” in Chris Ashford and Paul McKeown (eds), </w:t>
      </w:r>
      <w:r w:rsidR="00DF3687" w:rsidRPr="00DB7A87">
        <w:rPr>
          <w:i/>
          <w:iCs/>
          <w:color w:val="000000"/>
        </w:rPr>
        <w:t>Social Justice and Legal Education</w:t>
      </w:r>
      <w:r w:rsidR="00DF3687" w:rsidRPr="00DF3687">
        <w:rPr>
          <w:i/>
          <w:iCs/>
          <w:color w:val="000000"/>
        </w:rPr>
        <w:t xml:space="preserve"> </w:t>
      </w:r>
      <w:r w:rsidR="00DF3687" w:rsidRPr="00DF3687">
        <w:rPr>
          <w:color w:val="000000"/>
        </w:rPr>
        <w:t>(Cambridge Scholars Publishing, 2018), 132.</w:t>
      </w:r>
    </w:p>
  </w:footnote>
  <w:footnote w:id="46">
    <w:p w14:paraId="23E51717" w14:textId="7868AF09" w:rsidR="00D855AD" w:rsidRPr="00DF3687" w:rsidRDefault="00D855AD" w:rsidP="00DB7A87">
      <w:pPr>
        <w:pStyle w:val="FootnoteText"/>
        <w:jc w:val="both"/>
      </w:pPr>
      <w:r w:rsidRPr="00DF3687">
        <w:rPr>
          <w:rStyle w:val="FootnoteReference"/>
        </w:rPr>
        <w:footnoteRef/>
      </w:r>
      <w:r w:rsidRPr="00DF3687">
        <w:t xml:space="preserve"> </w:t>
      </w:r>
      <w:r w:rsidR="00DF3687" w:rsidRPr="00DF3687">
        <w:t xml:space="preserve">See Jerome Bruner, </w:t>
      </w:r>
      <w:r w:rsidR="00DF3687" w:rsidRPr="00DF3687">
        <w:rPr>
          <w:i/>
        </w:rPr>
        <w:t>The Process of Education</w:t>
      </w:r>
      <w:r w:rsidR="00DF3687" w:rsidRPr="00DF3687">
        <w:t xml:space="preserve"> (Harvard University Press, 1960). </w:t>
      </w:r>
    </w:p>
  </w:footnote>
  <w:footnote w:id="47">
    <w:p w14:paraId="4F39E483" w14:textId="48F10C85" w:rsidR="00DF3687" w:rsidRPr="00DF3687" w:rsidRDefault="00DF3687" w:rsidP="00DB7A87">
      <w:pPr>
        <w:pStyle w:val="FootnoteText"/>
        <w:jc w:val="both"/>
      </w:pPr>
      <w:r w:rsidRPr="00DF3687">
        <w:rPr>
          <w:rStyle w:val="FootnoteReference"/>
        </w:rPr>
        <w:footnoteRef/>
      </w:r>
      <w:r w:rsidRPr="00DF3687">
        <w:t xml:space="preserve"> See Benjamin S. Bloom, </w:t>
      </w:r>
      <w:r w:rsidRPr="00DF3687">
        <w:rPr>
          <w:i/>
        </w:rPr>
        <w:t>Taxonomy of Educational Objectives</w:t>
      </w:r>
      <w:r w:rsidRPr="00DF3687">
        <w:t xml:space="preserve"> (Allyn and Bacon Press, 1956).</w:t>
      </w:r>
    </w:p>
  </w:footnote>
  <w:footnote w:id="48">
    <w:p w14:paraId="014EEDDF" w14:textId="006057FF" w:rsidR="00D855AD" w:rsidRPr="00DB7A87" w:rsidRDefault="00D855AD" w:rsidP="00DB7A87">
      <w:pPr>
        <w:pStyle w:val="FootnoteText"/>
        <w:jc w:val="both"/>
        <w:rPr>
          <w:color w:val="000000"/>
        </w:rPr>
      </w:pPr>
      <w:r w:rsidRPr="00DF3687">
        <w:rPr>
          <w:rStyle w:val="FootnoteReference"/>
        </w:rPr>
        <w:footnoteRef/>
      </w:r>
      <w:r w:rsidRPr="00DF3687">
        <w:t xml:space="preserve"> </w:t>
      </w:r>
      <w:r w:rsidR="00DF3687" w:rsidRPr="00DF3687">
        <w:rPr>
          <w:color w:val="000000"/>
        </w:rPr>
        <w:t xml:space="preserve">Maksymilian Del Mar, “Legal Understanding and the Affective Imagination” in Paul Maharg and Caroline Maughan (eds), </w:t>
      </w:r>
      <w:r w:rsidR="00DF3687" w:rsidRPr="00DF3687">
        <w:rPr>
          <w:i/>
          <w:color w:val="000000"/>
        </w:rPr>
        <w:t>Affect and Legal Education: Emotion in Learning and Teaching the Law</w:t>
      </w:r>
      <w:r w:rsidR="00DF3687" w:rsidRPr="00DF3687">
        <w:rPr>
          <w:color w:val="000000"/>
        </w:rPr>
        <w:t xml:space="preserve"> (Routledge, 2016) 187; Marcia Devlin and Gayani </w:t>
      </w:r>
      <w:r w:rsidR="00DF3687" w:rsidRPr="00DF3687">
        <w:t xml:space="preserve">Samarawickrema, “The criteria of effective teaching in a changing higher education context” (2011) 29(2) </w:t>
      </w:r>
      <w:r w:rsidR="00DF3687" w:rsidRPr="00DF3687">
        <w:rPr>
          <w:i/>
        </w:rPr>
        <w:t xml:space="preserve">Higher Education Research &amp; Development </w:t>
      </w:r>
      <w:r w:rsidR="00DF3687" w:rsidRPr="00DF3687">
        <w:t>111, 121.</w:t>
      </w:r>
    </w:p>
  </w:footnote>
  <w:footnote w:id="49">
    <w:p w14:paraId="4840C7A4" w14:textId="44F58ACD" w:rsidR="00D855AD" w:rsidRPr="00DF3687" w:rsidRDefault="00D855AD" w:rsidP="00DB7A87">
      <w:pPr>
        <w:pStyle w:val="FootnoteText"/>
        <w:jc w:val="both"/>
      </w:pPr>
      <w:r w:rsidRPr="00DF3687">
        <w:rPr>
          <w:rStyle w:val="FootnoteReference"/>
        </w:rPr>
        <w:footnoteRef/>
      </w:r>
      <w:r w:rsidRPr="00DF3687">
        <w:t xml:space="preserve"> </w:t>
      </w:r>
      <w:r w:rsidR="00DF3687" w:rsidRPr="00DB7A87">
        <w:rPr>
          <w:color w:val="000000"/>
        </w:rPr>
        <w:t xml:space="preserve">George Hess, “The Teaching and Learning Environment in Law School” (2002) 52 </w:t>
      </w:r>
      <w:r w:rsidR="00DF3687" w:rsidRPr="00DB7A87">
        <w:rPr>
          <w:i/>
          <w:color w:val="000000"/>
        </w:rPr>
        <w:t xml:space="preserve">Journal of Legal Education </w:t>
      </w:r>
      <w:r w:rsidR="00DF3687" w:rsidRPr="00DB7A87">
        <w:rPr>
          <w:color w:val="000000"/>
        </w:rPr>
        <w:t xml:space="preserve">75, 83; </w:t>
      </w:r>
      <w:r w:rsidR="00DF3687" w:rsidRPr="00DF3687">
        <w:rPr>
          <w:color w:val="000000"/>
        </w:rPr>
        <w:t xml:space="preserve">Devlin and </w:t>
      </w:r>
      <w:r w:rsidR="00DF3687" w:rsidRPr="00DF3687">
        <w:t>Samarawickrema</w:t>
      </w:r>
      <w:r w:rsidR="0076599F">
        <w:t xml:space="preserve"> (n 48) </w:t>
      </w:r>
      <w:r w:rsidR="00DF3687" w:rsidRPr="00DF3687">
        <w:t xml:space="preserve">112. </w:t>
      </w:r>
    </w:p>
  </w:footnote>
  <w:footnote w:id="50">
    <w:p w14:paraId="7A41A8E6" w14:textId="2C796E76"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Graham Ferris and Rebecca Huxley-Binns, “What Students Care About and Why We Should Care” in Paul Maharg and Caroline Maughan</w:t>
      </w:r>
      <w:r w:rsidR="00DF3687" w:rsidRPr="00DF3687">
        <w:rPr>
          <w:i/>
          <w:color w:val="000000"/>
        </w:rPr>
        <w:t xml:space="preserve"> </w:t>
      </w:r>
      <w:r w:rsidR="00DF3687" w:rsidRPr="00DF3687">
        <w:rPr>
          <w:iCs/>
          <w:color w:val="000000"/>
        </w:rPr>
        <w:t xml:space="preserve">(eds), </w:t>
      </w:r>
      <w:r w:rsidR="00DF3687" w:rsidRPr="00DF3687">
        <w:rPr>
          <w:i/>
          <w:color w:val="000000"/>
        </w:rPr>
        <w:t>Affect and Legal Education: Emotion in Learning and Teaching the Law</w:t>
      </w:r>
      <w:r w:rsidR="00DF3687" w:rsidRPr="00DF3687">
        <w:rPr>
          <w:color w:val="000000"/>
        </w:rPr>
        <w:t xml:space="preserve"> (Routledge, 2016) 198. </w:t>
      </w:r>
    </w:p>
  </w:footnote>
  <w:footnote w:id="51">
    <w:p w14:paraId="306EE7FC" w14:textId="28502745"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Ahmed, </w:t>
      </w:r>
      <w:r w:rsidR="0076599F">
        <w:rPr>
          <w:color w:val="000000"/>
        </w:rPr>
        <w:t>(n 11</w:t>
      </w:r>
      <w:r w:rsidR="00DF3687" w:rsidRPr="00DF3687">
        <w:rPr>
          <w:color w:val="000000"/>
        </w:rPr>
        <w:t xml:space="preserve">) 1-19. </w:t>
      </w:r>
    </w:p>
  </w:footnote>
  <w:footnote w:id="52">
    <w:p w14:paraId="04E83541" w14:textId="7E133D40" w:rsidR="00D855AD" w:rsidRPr="00DF3687" w:rsidRDefault="00D855AD" w:rsidP="00DB7A87">
      <w:pPr>
        <w:pStyle w:val="FootnoteText"/>
        <w:jc w:val="both"/>
      </w:pPr>
      <w:r w:rsidRPr="00DF3687">
        <w:rPr>
          <w:rStyle w:val="FootnoteReference"/>
        </w:rPr>
        <w:footnoteRef/>
      </w:r>
      <w:r w:rsidRPr="00DF3687">
        <w:t xml:space="preserve"> </w:t>
      </w:r>
      <w:r w:rsidR="00DF3687" w:rsidRPr="00DF3687">
        <w:rPr>
          <w:color w:val="000000"/>
        </w:rPr>
        <w:t xml:space="preserve">Ruthann Robson, “Educating the Next Generation of LGBTQ Social Justice Attorneys” in Chris Ashford and Paul McKeown (eds), </w:t>
      </w:r>
      <w:r w:rsidR="00DF3687" w:rsidRPr="00DB7A87">
        <w:rPr>
          <w:i/>
          <w:iCs/>
          <w:color w:val="000000"/>
        </w:rPr>
        <w:t>Social Justice and Legal Education</w:t>
      </w:r>
      <w:r w:rsidR="00DF3687" w:rsidRPr="00DF3687">
        <w:rPr>
          <w:color w:val="000000"/>
        </w:rPr>
        <w:t xml:space="preserve"> (Cambridge Scholars Publishing, 2018). </w:t>
      </w:r>
    </w:p>
  </w:footnote>
  <w:footnote w:id="53">
    <w:p w14:paraId="400E54EB" w14:textId="730247FF"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 xml:space="preserve">Emily M. Gray and Lucy Nicholas, “‘You’re actually the problem’: manifestations of populist masculinist anxieties in Australian higher education” (2019) 18 </w:t>
      </w:r>
      <w:r w:rsidRPr="00DF3687">
        <w:rPr>
          <w:i/>
          <w:color w:val="000000"/>
        </w:rPr>
        <w:t xml:space="preserve">British Journal of Sociology of Education </w:t>
      </w:r>
      <w:r w:rsidRPr="00DF3687">
        <w:rPr>
          <w:color w:val="000000"/>
        </w:rPr>
        <w:t xml:space="preserve">269, 274. </w:t>
      </w:r>
    </w:p>
  </w:footnote>
  <w:footnote w:id="54">
    <w:p w14:paraId="7E446289" w14:textId="7F6B2A34"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 xml:space="preserve">Del Mar, </w:t>
      </w:r>
      <w:r w:rsidR="0076599F">
        <w:rPr>
          <w:color w:val="000000"/>
        </w:rPr>
        <w:t xml:space="preserve">(n 48) </w:t>
      </w:r>
      <w:r w:rsidRPr="00DF3687">
        <w:rPr>
          <w:color w:val="000000"/>
        </w:rPr>
        <w:t>182.</w:t>
      </w:r>
    </w:p>
  </w:footnote>
  <w:footnote w:id="55">
    <w:p w14:paraId="4420932E" w14:textId="515A78F9" w:rsidR="00DF3687" w:rsidRPr="00DF3687" w:rsidRDefault="00DF3687" w:rsidP="00DB7A87">
      <w:pPr>
        <w:pStyle w:val="FootnoteText"/>
        <w:jc w:val="both"/>
      </w:pPr>
      <w:r w:rsidRPr="00DF3687">
        <w:rPr>
          <w:rStyle w:val="FootnoteReference"/>
        </w:rPr>
        <w:footnoteRef/>
      </w:r>
      <w:r w:rsidRPr="00DF3687">
        <w:t xml:space="preserve"> Brookfield</w:t>
      </w:r>
      <w:r w:rsidR="0076599F">
        <w:t xml:space="preserve"> (n 27) </w:t>
      </w:r>
      <w:r w:rsidRPr="00DF3687">
        <w:t>xiii.</w:t>
      </w:r>
    </w:p>
  </w:footnote>
  <w:footnote w:id="56">
    <w:p w14:paraId="1063EE3A" w14:textId="646C5CFD"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 xml:space="preserve">Martha C. Nussbaum, </w:t>
      </w:r>
      <w:r w:rsidRPr="00DF3687">
        <w:rPr>
          <w:i/>
          <w:color w:val="000000"/>
        </w:rPr>
        <w:t>Hiding From Humanity: Disgust, Shame and the Law</w:t>
      </w:r>
      <w:r w:rsidRPr="00DF3687">
        <w:rPr>
          <w:color w:val="000000"/>
        </w:rPr>
        <w:t xml:space="preserve"> (Princeton University Press, 2004). </w:t>
      </w:r>
    </w:p>
  </w:footnote>
  <w:footnote w:id="57">
    <w:p w14:paraId="3890C689" w14:textId="1A3BC7B6" w:rsidR="00DF3687" w:rsidRPr="0076599F" w:rsidRDefault="00DF3687" w:rsidP="00DB7A87">
      <w:pPr>
        <w:pStyle w:val="FootnoteText"/>
        <w:jc w:val="both"/>
        <w:rPr>
          <w:lang w:val="en-US"/>
        </w:rPr>
      </w:pPr>
      <w:r w:rsidRPr="00DF3687">
        <w:rPr>
          <w:rStyle w:val="FootnoteReference"/>
        </w:rPr>
        <w:footnoteRef/>
      </w:r>
      <w:r w:rsidRPr="00DF3687">
        <w:t xml:space="preserve"> </w:t>
      </w:r>
      <w:r w:rsidRPr="00DF3687">
        <w:rPr>
          <w:lang w:val="en-US"/>
        </w:rPr>
        <w:t xml:space="preserve">Webb, </w:t>
      </w:r>
      <w:r w:rsidR="0076599F">
        <w:rPr>
          <w:color w:val="000000"/>
        </w:rPr>
        <w:t>(n 20)</w:t>
      </w:r>
      <w:r w:rsidRPr="00DF3687">
        <w:rPr>
          <w:color w:val="000000"/>
        </w:rPr>
        <w:t xml:space="preserve"> 212. </w:t>
      </w:r>
    </w:p>
  </w:footnote>
  <w:footnote w:id="58">
    <w:p w14:paraId="7A5B4E4B" w14:textId="56996C48" w:rsidR="00DF3687" w:rsidRPr="00DF3687" w:rsidRDefault="00DF3687" w:rsidP="00DB7A87">
      <w:pPr>
        <w:pStyle w:val="FootnoteText"/>
        <w:jc w:val="both"/>
      </w:pPr>
      <w:r w:rsidRPr="00DF3687">
        <w:rPr>
          <w:rStyle w:val="FootnoteReference"/>
        </w:rPr>
        <w:footnoteRef/>
      </w:r>
      <w:r w:rsidRPr="00DF3687">
        <w:t xml:space="preserve"> See </w:t>
      </w:r>
      <w:r w:rsidRPr="00DF3687">
        <w:rPr>
          <w:color w:val="000000"/>
        </w:rPr>
        <w:t xml:space="preserve">Jerome Doraisamy, </w:t>
      </w:r>
      <w:r w:rsidRPr="00DF3687">
        <w:rPr>
          <w:i/>
          <w:color w:val="000000"/>
        </w:rPr>
        <w:t>The Wellness Doctrines: For Law Students and Young Lawyers</w:t>
      </w:r>
      <w:r w:rsidRPr="00DF3687">
        <w:rPr>
          <w:color w:val="000000"/>
        </w:rPr>
        <w:t xml:space="preserve"> (Self-Published, 2015); Hess, </w:t>
      </w:r>
      <w:r w:rsidR="0076599F">
        <w:rPr>
          <w:color w:val="000000"/>
        </w:rPr>
        <w:t>(n 49)</w:t>
      </w:r>
      <w:r w:rsidRPr="00DF3687">
        <w:rPr>
          <w:color w:val="000000"/>
        </w:rPr>
        <w:t xml:space="preserve"> 77. </w:t>
      </w:r>
    </w:p>
  </w:footnote>
  <w:footnote w:id="59">
    <w:p w14:paraId="4AD62E21" w14:textId="54D2E569" w:rsidR="00DF3687" w:rsidRPr="00DF3687" w:rsidRDefault="00DF3687" w:rsidP="00DB7A87">
      <w:pPr>
        <w:pStyle w:val="FootnoteText"/>
        <w:jc w:val="both"/>
      </w:pPr>
      <w:r w:rsidRPr="00DF3687">
        <w:rPr>
          <w:rStyle w:val="FootnoteReference"/>
        </w:rPr>
        <w:footnoteRef/>
      </w:r>
      <w:r w:rsidRPr="00DF3687">
        <w:t xml:space="preserve"> See Sarah Schulman, </w:t>
      </w:r>
      <w:r w:rsidRPr="00DF3687">
        <w:rPr>
          <w:i/>
        </w:rPr>
        <w:t>Conflict Is Not Abuse: Overstating Harm, Community Responsibility, and the Duty of Repair</w:t>
      </w:r>
      <w:r w:rsidRPr="00DF3687">
        <w:t xml:space="preserve"> (Arsenal Pulp Press, 2016). </w:t>
      </w:r>
    </w:p>
  </w:footnote>
  <w:footnote w:id="60">
    <w:p w14:paraId="598B1A9C" w14:textId="436B79E6"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Hess</w:t>
      </w:r>
      <w:r w:rsidR="0076599F">
        <w:rPr>
          <w:color w:val="000000"/>
        </w:rPr>
        <w:t xml:space="preserve"> (n 49) </w:t>
      </w:r>
      <w:r w:rsidRPr="00DF3687">
        <w:rPr>
          <w:color w:val="000000"/>
        </w:rPr>
        <w:t xml:space="preserve">105; </w:t>
      </w:r>
      <w:r w:rsidRPr="00DF3687">
        <w:rPr>
          <w:lang w:val="en-US"/>
        </w:rPr>
        <w:t>Webb</w:t>
      </w:r>
      <w:r w:rsidR="0076599F">
        <w:rPr>
          <w:lang w:val="en-US"/>
        </w:rPr>
        <w:t xml:space="preserve"> (n 20) </w:t>
      </w:r>
      <w:r w:rsidRPr="00DF3687">
        <w:rPr>
          <w:color w:val="000000"/>
        </w:rPr>
        <w:t>214.</w:t>
      </w:r>
    </w:p>
  </w:footnote>
  <w:footnote w:id="61">
    <w:p w14:paraId="14C83D4C" w14:textId="77777777" w:rsidR="00DF3687" w:rsidRPr="00DF3687" w:rsidRDefault="00DF3687" w:rsidP="00DF3687">
      <w:pPr>
        <w:jc w:val="both"/>
        <w:rPr>
          <w:rFonts w:ascii="Times New Roman" w:hAnsi="Times New Roman" w:cs="Times New Roman"/>
          <w:sz w:val="20"/>
          <w:szCs w:val="20"/>
        </w:rPr>
      </w:pPr>
      <w:r w:rsidRPr="00DB7A87">
        <w:rPr>
          <w:rStyle w:val="FootnoteReference"/>
          <w:rFonts w:ascii="Times New Roman" w:hAnsi="Times New Roman" w:cs="Times New Roman"/>
          <w:sz w:val="20"/>
          <w:szCs w:val="20"/>
        </w:rPr>
        <w:footnoteRef/>
      </w:r>
      <w:r w:rsidRPr="00DB7A87">
        <w:rPr>
          <w:rFonts w:ascii="Times New Roman" w:hAnsi="Times New Roman" w:cs="Times New Roman"/>
          <w:sz w:val="20"/>
          <w:szCs w:val="20"/>
        </w:rPr>
        <w:t>Keele University, “Assessment Principles” (2018),</w:t>
      </w:r>
    </w:p>
    <w:p w14:paraId="2ECBA7AB" w14:textId="56DBE457" w:rsidR="00DF3687" w:rsidRPr="0076599F" w:rsidRDefault="00DF3687" w:rsidP="0076599F">
      <w:pPr>
        <w:jc w:val="both"/>
        <w:rPr>
          <w:rFonts w:ascii="Times New Roman" w:hAnsi="Times New Roman" w:cs="Times New Roman"/>
          <w:sz w:val="20"/>
          <w:szCs w:val="20"/>
        </w:rPr>
      </w:pPr>
      <w:r w:rsidRPr="00DB7A87">
        <w:rPr>
          <w:rFonts w:ascii="Times New Roman" w:hAnsi="Times New Roman" w:cs="Times New Roman"/>
          <w:sz w:val="20"/>
          <w:szCs w:val="20"/>
        </w:rPr>
        <w:t xml:space="preserve"> </w:t>
      </w:r>
      <w:hyperlink r:id="rId9" w:history="1">
        <w:r w:rsidRPr="00DB7A87">
          <w:rPr>
            <w:rStyle w:val="Hyperlink"/>
            <w:rFonts w:ascii="Times New Roman" w:hAnsi="Times New Roman" w:cs="Times New Roman"/>
            <w:sz w:val="20"/>
            <w:szCs w:val="20"/>
          </w:rPr>
          <w:t>https://www.keele.ac.uk/policyzone/data/assessmentprinciples/</w:t>
        </w:r>
      </w:hyperlink>
      <w:r w:rsidRPr="00DB7A87">
        <w:rPr>
          <w:rFonts w:ascii="Times New Roman" w:hAnsi="Times New Roman" w:cs="Times New Roman"/>
          <w:sz w:val="20"/>
          <w:szCs w:val="20"/>
        </w:rPr>
        <w:t xml:space="preserve"> accessed 1 June 2020. </w:t>
      </w:r>
    </w:p>
  </w:footnote>
  <w:footnote w:id="62">
    <w:p w14:paraId="257F9FE2" w14:textId="56D2CBA5" w:rsidR="00DF3687" w:rsidRPr="00DF3687" w:rsidRDefault="00DF3687" w:rsidP="00DB7A87">
      <w:pPr>
        <w:pStyle w:val="FootnoteText"/>
        <w:jc w:val="both"/>
      </w:pPr>
      <w:r w:rsidRPr="00DF3687">
        <w:rPr>
          <w:rStyle w:val="FootnoteReference"/>
        </w:rPr>
        <w:footnoteRef/>
      </w:r>
      <w:r w:rsidRPr="00DF3687">
        <w:t xml:space="preserve"> </w:t>
      </w:r>
      <w:r w:rsidRPr="00DB7A87">
        <w:rPr>
          <w:color w:val="000000"/>
        </w:rPr>
        <w:t xml:space="preserve">Bradford W. Imrie, “Assessment for Learning: quality and taxonomies” (1995) 20(2) </w:t>
      </w:r>
      <w:r w:rsidRPr="00DB7A87">
        <w:rPr>
          <w:i/>
          <w:color w:val="000000"/>
        </w:rPr>
        <w:t xml:space="preserve">Assessment and Evaluation in Higher Education </w:t>
      </w:r>
      <w:r w:rsidRPr="00DB7A87">
        <w:rPr>
          <w:color w:val="000000"/>
        </w:rPr>
        <w:t xml:space="preserve">175, 180; </w:t>
      </w:r>
      <w:r w:rsidRPr="00DF3687">
        <w:rPr>
          <w:lang w:val="en-US"/>
        </w:rPr>
        <w:t>Webb</w:t>
      </w:r>
      <w:r w:rsidR="0076599F">
        <w:rPr>
          <w:lang w:val="en-US"/>
        </w:rPr>
        <w:t xml:space="preserve"> (n 20) </w:t>
      </w:r>
      <w:r w:rsidRPr="00DF3687">
        <w:rPr>
          <w:color w:val="000000"/>
        </w:rPr>
        <w:t>219.</w:t>
      </w:r>
    </w:p>
  </w:footnote>
  <w:footnote w:id="63">
    <w:p w14:paraId="6460DC73" w14:textId="2D86CF10"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 xml:space="preserve">John Biggs, “Enhancing teaching through constructive alignment” (1996) 32 </w:t>
      </w:r>
      <w:r w:rsidRPr="00DF3687">
        <w:rPr>
          <w:i/>
          <w:color w:val="000000"/>
        </w:rPr>
        <w:t xml:space="preserve">Higher Education </w:t>
      </w:r>
      <w:r w:rsidRPr="00DF3687">
        <w:rPr>
          <w:color w:val="000000"/>
        </w:rPr>
        <w:t>347, 348; Hess</w:t>
      </w:r>
      <w:r w:rsidR="0076599F">
        <w:rPr>
          <w:color w:val="000000"/>
        </w:rPr>
        <w:t xml:space="preserve"> (n 49) </w:t>
      </w:r>
      <w:r w:rsidRPr="00DF3687">
        <w:rPr>
          <w:color w:val="000000"/>
        </w:rPr>
        <w:t xml:space="preserve">97. </w:t>
      </w:r>
    </w:p>
  </w:footnote>
  <w:footnote w:id="64">
    <w:p w14:paraId="5F575CCC" w14:textId="159EAABD" w:rsidR="00DF3687" w:rsidRPr="00DF3687" w:rsidRDefault="00DF3687" w:rsidP="00DB7A87">
      <w:pPr>
        <w:pStyle w:val="FootnoteText"/>
        <w:jc w:val="both"/>
      </w:pPr>
      <w:r w:rsidRPr="00DF3687">
        <w:rPr>
          <w:rStyle w:val="FootnoteReference"/>
        </w:rPr>
        <w:footnoteRef/>
      </w:r>
      <w:r w:rsidRPr="00DF3687">
        <w:t xml:space="preserve"> </w:t>
      </w:r>
      <w:r w:rsidRPr="00DF3687">
        <w:rPr>
          <w:color w:val="000000"/>
        </w:rPr>
        <w:t>Imrie</w:t>
      </w:r>
      <w:r w:rsidR="0076599F">
        <w:rPr>
          <w:color w:val="000000"/>
        </w:rPr>
        <w:t xml:space="preserve"> (n 62) </w:t>
      </w:r>
      <w:r w:rsidRPr="00DF3687">
        <w:rPr>
          <w:color w:val="000000"/>
        </w:rPr>
        <w:t xml:space="preserve">188. </w:t>
      </w:r>
    </w:p>
  </w:footnote>
  <w:footnote w:id="65">
    <w:p w14:paraId="28DF604E" w14:textId="5A94058F" w:rsidR="00DF3687" w:rsidRPr="00DF3687" w:rsidRDefault="00DF3687" w:rsidP="00DB7A87">
      <w:pPr>
        <w:pStyle w:val="FootnoteText"/>
        <w:jc w:val="both"/>
      </w:pPr>
      <w:r w:rsidRPr="00DF3687">
        <w:rPr>
          <w:rStyle w:val="FootnoteReference"/>
        </w:rPr>
        <w:footnoteRef/>
      </w:r>
      <w:r w:rsidRPr="00DF3687">
        <w:t xml:space="preserve"> Alex Deagon, “Collaborating with Students to Create Law Assessment: A Case Study” (2017) 29(1) </w:t>
      </w:r>
      <w:r w:rsidRPr="00DF3687">
        <w:rPr>
          <w:i/>
        </w:rPr>
        <w:t xml:space="preserve">Bond Law Review </w:t>
      </w:r>
      <w:r w:rsidRPr="00DF3687">
        <w:t xml:space="preserve">1, 26. </w:t>
      </w:r>
    </w:p>
  </w:footnote>
  <w:footnote w:id="66">
    <w:p w14:paraId="216B4F98" w14:textId="15E06D0B" w:rsidR="00DF3687" w:rsidRPr="00DF3687" w:rsidRDefault="00DF3687" w:rsidP="00DB7A87">
      <w:pPr>
        <w:pStyle w:val="FootnoteText"/>
        <w:jc w:val="both"/>
      </w:pPr>
      <w:r w:rsidRPr="00DF3687">
        <w:rPr>
          <w:rStyle w:val="FootnoteReference"/>
        </w:rPr>
        <w:footnoteRef/>
      </w:r>
      <w:r w:rsidRPr="00DF3687">
        <w:t xml:space="preserve"> See Sally Bradley, Emma Kirby and Manuel Madriaga, “What students value as inspirational and transformative teaching” (2015) 52(3) </w:t>
      </w:r>
      <w:r w:rsidRPr="00DF3687">
        <w:rPr>
          <w:i/>
        </w:rPr>
        <w:t>Innovations in Education and Teaching International</w:t>
      </w:r>
      <w:r w:rsidRPr="00DF3687">
        <w:t xml:space="preserve"> 231.</w:t>
      </w:r>
    </w:p>
  </w:footnote>
  <w:footnote w:id="67">
    <w:p w14:paraId="06C4C2BC" w14:textId="3F08473F" w:rsidR="00DF3687" w:rsidRPr="001B0357" w:rsidRDefault="00DF3687" w:rsidP="00DB7A87">
      <w:pPr>
        <w:pStyle w:val="FootnoteText"/>
        <w:jc w:val="both"/>
      </w:pPr>
      <w:r w:rsidRPr="001B0357">
        <w:rPr>
          <w:rStyle w:val="FootnoteReference"/>
        </w:rPr>
        <w:footnoteRef/>
      </w:r>
      <w:r w:rsidRPr="001B0357">
        <w:t xml:space="preserve"> </w:t>
      </w:r>
      <w:r w:rsidRPr="001B0357">
        <w:rPr>
          <w:color w:val="000000"/>
        </w:rPr>
        <w:t>Hess</w:t>
      </w:r>
      <w:r w:rsidR="0076599F">
        <w:rPr>
          <w:color w:val="000000"/>
        </w:rPr>
        <w:t xml:space="preserve"> (n 49) </w:t>
      </w:r>
      <w:r w:rsidRPr="001B0357">
        <w:rPr>
          <w:color w:val="000000"/>
        </w:rPr>
        <w:t>87.</w:t>
      </w:r>
    </w:p>
  </w:footnote>
  <w:footnote w:id="68">
    <w:p w14:paraId="0495011C" w14:textId="77777777" w:rsidR="001B0357" w:rsidRPr="00D46DF8" w:rsidRDefault="001B0357" w:rsidP="001B0357">
      <w:pPr>
        <w:jc w:val="both"/>
        <w:rPr>
          <w:rFonts w:ascii="Times New Roman" w:hAnsi="Times New Roman" w:cs="Times New Roman"/>
          <w:sz w:val="20"/>
          <w:szCs w:val="20"/>
        </w:rPr>
      </w:pPr>
      <w:r w:rsidRPr="00D46DF8">
        <w:rPr>
          <w:rStyle w:val="FootnoteReference"/>
          <w:rFonts w:ascii="Times New Roman" w:hAnsi="Times New Roman" w:cs="Times New Roman"/>
          <w:sz w:val="20"/>
          <w:szCs w:val="20"/>
        </w:rPr>
        <w:footnoteRef/>
      </w:r>
      <w:r w:rsidRPr="00D46DF8">
        <w:rPr>
          <w:rFonts w:ascii="Times New Roman" w:hAnsi="Times New Roman" w:cs="Times New Roman"/>
          <w:sz w:val="20"/>
          <w:szCs w:val="20"/>
        </w:rPr>
        <w:t xml:space="preserve"> This is particularly relevant given COVID-19 and the need to transition to online learning (at least for lecture formats) for the foreseeable future. For an excellent discussion of ways to build inclusive online learning communities during the pandemic, see Jesse Stommel, “How to Build an Online Learning Community: 6 Theses” (</w:t>
      </w:r>
      <w:r w:rsidRPr="00D46DF8">
        <w:rPr>
          <w:rFonts w:ascii="Times New Roman" w:hAnsi="Times New Roman" w:cs="Times New Roman"/>
          <w:i/>
          <w:iCs/>
          <w:sz w:val="20"/>
          <w:szCs w:val="20"/>
        </w:rPr>
        <w:t>Jesse Stommel</w:t>
      </w:r>
      <w:r w:rsidRPr="00D46DF8">
        <w:rPr>
          <w:rFonts w:ascii="Times New Roman" w:hAnsi="Times New Roman" w:cs="Times New Roman"/>
          <w:sz w:val="20"/>
          <w:szCs w:val="20"/>
        </w:rPr>
        <w:t xml:space="preserve">, 19 May 2020), </w:t>
      </w:r>
      <w:hyperlink r:id="rId10" w:history="1">
        <w:r w:rsidRPr="00D46DF8">
          <w:rPr>
            <w:rStyle w:val="Hyperlink"/>
            <w:rFonts w:ascii="Times New Roman" w:hAnsi="Times New Roman" w:cs="Times New Roman"/>
            <w:sz w:val="20"/>
            <w:szCs w:val="20"/>
          </w:rPr>
          <w:t>https://www.jessestommel.com/how-to-build-an-online-learning-community-6-theses/</w:t>
        </w:r>
      </w:hyperlink>
      <w:r w:rsidRPr="00D46DF8">
        <w:rPr>
          <w:rFonts w:ascii="Times New Roman" w:hAnsi="Times New Roman" w:cs="Times New Roman"/>
          <w:sz w:val="20"/>
          <w:szCs w:val="20"/>
        </w:rPr>
        <w:t xml:space="preserve"> accessed 2 June 2020. </w:t>
      </w:r>
    </w:p>
  </w:footnote>
  <w:footnote w:id="69">
    <w:p w14:paraId="75958803" w14:textId="16DC9DE3" w:rsidR="00DF3687" w:rsidRPr="001B0357" w:rsidRDefault="00DF3687" w:rsidP="00DB7A87">
      <w:pPr>
        <w:pStyle w:val="FootnoteText"/>
        <w:jc w:val="both"/>
      </w:pPr>
      <w:r w:rsidRPr="001B0357">
        <w:rPr>
          <w:rStyle w:val="FootnoteReference"/>
        </w:rPr>
        <w:footnoteRef/>
      </w:r>
      <w:r w:rsidRPr="001B0357">
        <w:t xml:space="preserve"> See Eve Kosofsky Sedgwick, </w:t>
      </w:r>
      <w:r w:rsidRPr="001B0357">
        <w:rPr>
          <w:i/>
        </w:rPr>
        <w:t>Touching Feeling: Affect, Pedagogy, Performativity</w:t>
      </w:r>
      <w:r w:rsidRPr="001B0357">
        <w:t xml:space="preserve"> (Duke University Press, 2003) 146. </w:t>
      </w:r>
    </w:p>
  </w:footnote>
  <w:footnote w:id="70">
    <w:p w14:paraId="05835E90" w14:textId="6AC7B86D" w:rsidR="00DF3687" w:rsidRPr="00DB7A87" w:rsidRDefault="00DF3687" w:rsidP="00DB7A87">
      <w:pPr>
        <w:pStyle w:val="FootnoteText"/>
        <w:jc w:val="both"/>
      </w:pPr>
      <w:r w:rsidRPr="001B0357">
        <w:rPr>
          <w:rStyle w:val="FootnoteReference"/>
        </w:rPr>
        <w:footnoteRef/>
      </w:r>
      <w:r w:rsidRPr="001B0357">
        <w:t xml:space="preserve"> </w:t>
      </w:r>
      <w:r w:rsidRPr="001B0357">
        <w:rPr>
          <w:color w:val="000000"/>
        </w:rPr>
        <w:t>Gray and Nichola</w:t>
      </w:r>
      <w:r w:rsidR="0076599F">
        <w:rPr>
          <w:color w:val="000000"/>
        </w:rPr>
        <w:t>s (n 53)</w:t>
      </w:r>
      <w:r w:rsidRPr="00DB7A87">
        <w:rPr>
          <w:color w:val="000000"/>
        </w:rPr>
        <w:t xml:space="preserve"> 279-281. </w:t>
      </w:r>
    </w:p>
  </w:footnote>
  <w:footnote w:id="71">
    <w:p w14:paraId="147489F2" w14:textId="4E89FC0A" w:rsidR="00DF3687" w:rsidRPr="00DF3687" w:rsidRDefault="00DF3687" w:rsidP="00DB7A87">
      <w:pPr>
        <w:pStyle w:val="FootnoteText"/>
        <w:jc w:val="both"/>
      </w:pPr>
      <w:r w:rsidRPr="001B0357">
        <w:rPr>
          <w:rStyle w:val="FootnoteReference"/>
        </w:rPr>
        <w:footnoteRef/>
      </w:r>
      <w:r w:rsidRPr="001B0357">
        <w:t xml:space="preserve"> See </w:t>
      </w:r>
      <w:r w:rsidRPr="001B0357">
        <w:rPr>
          <w:color w:val="000000"/>
        </w:rPr>
        <w:t xml:space="preserve">Arlie Russell Hochschild, </w:t>
      </w:r>
      <w:r w:rsidRPr="001B0357">
        <w:rPr>
          <w:i/>
          <w:color w:val="000000"/>
        </w:rPr>
        <w:t>The Managed Heart: Commercialization of Human Feeling</w:t>
      </w:r>
      <w:r w:rsidRPr="001B0357">
        <w:rPr>
          <w:color w:val="000000"/>
        </w:rPr>
        <w:t xml:space="preserve"> (University of California Press, 1983).</w:t>
      </w:r>
      <w:r w:rsidRPr="00DF3687">
        <w:rPr>
          <w:color w:val="000000"/>
        </w:rPr>
        <w:t xml:space="preserve"> </w:t>
      </w:r>
    </w:p>
  </w:footnote>
  <w:footnote w:id="72">
    <w:p w14:paraId="1B7187D5" w14:textId="69EF8DD0" w:rsidR="00DF3687" w:rsidRDefault="00DF3687" w:rsidP="00DB7A87">
      <w:pPr>
        <w:pStyle w:val="FootnoteText"/>
        <w:jc w:val="both"/>
      </w:pPr>
      <w:r w:rsidRPr="00DF3687">
        <w:rPr>
          <w:rStyle w:val="FootnoteReference"/>
        </w:rPr>
        <w:footnoteRef/>
      </w:r>
      <w:r w:rsidRPr="00DF3687">
        <w:t xml:space="preserve"> Brookfield</w:t>
      </w:r>
      <w:r w:rsidR="0076599F">
        <w:t xml:space="preserve"> (n27) </w:t>
      </w:r>
      <w:r w:rsidRPr="00DF3687">
        <w:t xml:space="preserve">88; </w:t>
      </w:r>
      <w:r w:rsidRPr="00DF3687">
        <w:rPr>
          <w:color w:val="000000"/>
        </w:rPr>
        <w:t>Hess</w:t>
      </w:r>
      <w:r w:rsidR="0076599F">
        <w:rPr>
          <w:color w:val="000000"/>
        </w:rPr>
        <w:t xml:space="preserve"> (n49) </w:t>
      </w:r>
      <w:r w:rsidRPr="00DF3687">
        <w:rPr>
          <w:color w:val="000000"/>
        </w:rPr>
        <w:t>107.</w:t>
      </w:r>
    </w:p>
  </w:footnote>
  <w:footnote w:id="73">
    <w:p w14:paraId="299B8411" w14:textId="1EE8C30D" w:rsidR="00DF3687" w:rsidRPr="00DF3687" w:rsidRDefault="00DF3687" w:rsidP="00DB7A87">
      <w:pPr>
        <w:pStyle w:val="FootnoteText"/>
        <w:jc w:val="both"/>
      </w:pPr>
      <w:r>
        <w:rPr>
          <w:rStyle w:val="FootnoteReference"/>
        </w:rPr>
        <w:footnoteRef/>
      </w:r>
      <w:r>
        <w:t xml:space="preserve"> Paulo Freire, </w:t>
      </w:r>
      <w:r>
        <w:rPr>
          <w:i/>
          <w:iCs/>
        </w:rPr>
        <w:t xml:space="preserve">Pedagogy of the Oppressed </w:t>
      </w:r>
      <w:r>
        <w:t xml:space="preserve">(trans. Myra Bergman Ramos, Penguin, 1970) 56. </w:t>
      </w:r>
    </w:p>
  </w:footnote>
  <w:footnote w:id="74">
    <w:p w14:paraId="41A185D9" w14:textId="457F8D3B" w:rsidR="00DF3687" w:rsidRDefault="00DF3687" w:rsidP="00DB7A87">
      <w:pPr>
        <w:pStyle w:val="FootnoteText"/>
        <w:jc w:val="both"/>
      </w:pPr>
      <w:r>
        <w:rPr>
          <w:rStyle w:val="FootnoteReference"/>
        </w:rPr>
        <w:footnoteRef/>
      </w:r>
      <w:r>
        <w:t xml:space="preserve"> </w:t>
      </w:r>
      <w:r w:rsidR="0076599F">
        <w:t>ibid</w:t>
      </w:r>
      <w:r>
        <w:t xml:space="preserve"> 81. </w:t>
      </w:r>
    </w:p>
  </w:footnote>
  <w:footnote w:id="75">
    <w:p w14:paraId="3F2F4F39" w14:textId="70E3EA44" w:rsidR="00DF3687" w:rsidRDefault="00DF3687" w:rsidP="00DB7A87">
      <w:pPr>
        <w:pStyle w:val="FootnoteText"/>
        <w:jc w:val="both"/>
      </w:pPr>
      <w:r>
        <w:rPr>
          <w:rStyle w:val="FootnoteReference"/>
        </w:rPr>
        <w:footnoteRef/>
      </w:r>
      <w:r>
        <w:t xml:space="preserve"> See Susan Bandes (eds), </w:t>
      </w:r>
      <w:r w:rsidRPr="00DB7A87">
        <w:rPr>
          <w:i/>
          <w:iCs/>
        </w:rPr>
        <w:t>The Passions of Law</w:t>
      </w:r>
      <w:r>
        <w:t xml:space="preserve"> (NYU Press,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A1AF" w14:textId="416EC87E" w:rsidR="006E28B7" w:rsidRPr="009D3659" w:rsidRDefault="006E28B7" w:rsidP="006E28B7">
    <w:pPr>
      <w:pStyle w:val="Header"/>
      <w:jc w:val="right"/>
      <w:rPr>
        <w:rFonts w:ascii="Times New Roman" w:hAnsi="Times New Roman" w:cs="Times New Roman"/>
        <w:b/>
        <w:sz w:val="20"/>
        <w:szCs w:val="20"/>
        <w:lang w:val="en-AU"/>
      </w:rPr>
    </w:pPr>
    <w:r>
      <w:rPr>
        <w:rFonts w:ascii="Times New Roman" w:hAnsi="Times New Roman" w:cs="Times New Roman"/>
        <w:b/>
        <w:sz w:val="20"/>
        <w:szCs w:val="20"/>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3B0"/>
    <w:multiLevelType w:val="hybridMultilevel"/>
    <w:tmpl w:val="70D2C008"/>
    <w:lvl w:ilvl="0" w:tplc="CEA8980C">
      <w:start w:val="10"/>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F14B7"/>
    <w:multiLevelType w:val="hybridMultilevel"/>
    <w:tmpl w:val="43BE66DE"/>
    <w:lvl w:ilvl="0" w:tplc="2C1EEB08">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26E73"/>
    <w:multiLevelType w:val="hybridMultilevel"/>
    <w:tmpl w:val="7A00EABE"/>
    <w:lvl w:ilvl="0" w:tplc="2348CDF2">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76D81"/>
    <w:multiLevelType w:val="hybridMultilevel"/>
    <w:tmpl w:val="9026742A"/>
    <w:lvl w:ilvl="0" w:tplc="6810A946">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D3738"/>
    <w:multiLevelType w:val="hybridMultilevel"/>
    <w:tmpl w:val="BAE432B6"/>
    <w:lvl w:ilvl="0" w:tplc="70A41106">
      <w:start w:val="1"/>
      <w:numFmt w:val="bullet"/>
      <w:lvlText w:val=""/>
      <w:lvlJc w:val="left"/>
      <w:pPr>
        <w:tabs>
          <w:tab w:val="num" w:pos="720"/>
        </w:tabs>
        <w:ind w:left="720" w:hanging="360"/>
      </w:pPr>
      <w:rPr>
        <w:rFonts w:ascii="Symbol" w:eastAsia="Times New Roman"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6644C"/>
    <w:multiLevelType w:val="hybridMultilevel"/>
    <w:tmpl w:val="F9F0FF2E"/>
    <w:lvl w:ilvl="0" w:tplc="E724DCB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B254A"/>
    <w:multiLevelType w:val="hybridMultilevel"/>
    <w:tmpl w:val="A83A3914"/>
    <w:lvl w:ilvl="0" w:tplc="44B6899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27"/>
    <w:rsid w:val="00002BFD"/>
    <w:rsid w:val="000558EE"/>
    <w:rsid w:val="000574D5"/>
    <w:rsid w:val="0007573F"/>
    <w:rsid w:val="00090272"/>
    <w:rsid w:val="00095751"/>
    <w:rsid w:val="000A1803"/>
    <w:rsid w:val="000A68E4"/>
    <w:rsid w:val="000C2A31"/>
    <w:rsid w:val="000D0622"/>
    <w:rsid w:val="000E1B48"/>
    <w:rsid w:val="001034B2"/>
    <w:rsid w:val="0012276A"/>
    <w:rsid w:val="001271F4"/>
    <w:rsid w:val="001374D7"/>
    <w:rsid w:val="0015491F"/>
    <w:rsid w:val="001736C1"/>
    <w:rsid w:val="00180978"/>
    <w:rsid w:val="00180FFF"/>
    <w:rsid w:val="001B0357"/>
    <w:rsid w:val="001B0AEB"/>
    <w:rsid w:val="001B0BC6"/>
    <w:rsid w:val="001D0D28"/>
    <w:rsid w:val="001D19C6"/>
    <w:rsid w:val="00213F90"/>
    <w:rsid w:val="0024252D"/>
    <w:rsid w:val="00261527"/>
    <w:rsid w:val="00264482"/>
    <w:rsid w:val="002A2801"/>
    <w:rsid w:val="002A34B6"/>
    <w:rsid w:val="002C08A2"/>
    <w:rsid w:val="002C52FD"/>
    <w:rsid w:val="002E115A"/>
    <w:rsid w:val="002E75E9"/>
    <w:rsid w:val="002F39DA"/>
    <w:rsid w:val="003013E5"/>
    <w:rsid w:val="00303ECB"/>
    <w:rsid w:val="0032683A"/>
    <w:rsid w:val="0033177D"/>
    <w:rsid w:val="00350231"/>
    <w:rsid w:val="003549A7"/>
    <w:rsid w:val="00367678"/>
    <w:rsid w:val="00384A15"/>
    <w:rsid w:val="003C2A4D"/>
    <w:rsid w:val="003D0552"/>
    <w:rsid w:val="003D2716"/>
    <w:rsid w:val="003F6E28"/>
    <w:rsid w:val="0041489F"/>
    <w:rsid w:val="00423EF3"/>
    <w:rsid w:val="00426D73"/>
    <w:rsid w:val="00471354"/>
    <w:rsid w:val="004843E9"/>
    <w:rsid w:val="00492307"/>
    <w:rsid w:val="004B093E"/>
    <w:rsid w:val="004C038A"/>
    <w:rsid w:val="004C1D30"/>
    <w:rsid w:val="00507C8C"/>
    <w:rsid w:val="00507DFB"/>
    <w:rsid w:val="00542D18"/>
    <w:rsid w:val="00547460"/>
    <w:rsid w:val="00554C68"/>
    <w:rsid w:val="00557988"/>
    <w:rsid w:val="00563D7C"/>
    <w:rsid w:val="005A66C9"/>
    <w:rsid w:val="005C6AFC"/>
    <w:rsid w:val="005D1EC6"/>
    <w:rsid w:val="005E60BE"/>
    <w:rsid w:val="005F4FDE"/>
    <w:rsid w:val="00606EBC"/>
    <w:rsid w:val="00611755"/>
    <w:rsid w:val="00612BD6"/>
    <w:rsid w:val="00662862"/>
    <w:rsid w:val="00672A11"/>
    <w:rsid w:val="006A39E4"/>
    <w:rsid w:val="006B11B2"/>
    <w:rsid w:val="006C3422"/>
    <w:rsid w:val="006E214A"/>
    <w:rsid w:val="006E28B7"/>
    <w:rsid w:val="006E3F75"/>
    <w:rsid w:val="00705F76"/>
    <w:rsid w:val="00717E79"/>
    <w:rsid w:val="00721A26"/>
    <w:rsid w:val="007406BD"/>
    <w:rsid w:val="00760D7E"/>
    <w:rsid w:val="0076599F"/>
    <w:rsid w:val="00767AF2"/>
    <w:rsid w:val="00770EB6"/>
    <w:rsid w:val="0077705D"/>
    <w:rsid w:val="00787B49"/>
    <w:rsid w:val="007A7125"/>
    <w:rsid w:val="007C763A"/>
    <w:rsid w:val="007C78D3"/>
    <w:rsid w:val="007E1007"/>
    <w:rsid w:val="00801039"/>
    <w:rsid w:val="008067D9"/>
    <w:rsid w:val="0081394E"/>
    <w:rsid w:val="00815203"/>
    <w:rsid w:val="008306A4"/>
    <w:rsid w:val="008359EA"/>
    <w:rsid w:val="008548EA"/>
    <w:rsid w:val="00881BD6"/>
    <w:rsid w:val="00891DCB"/>
    <w:rsid w:val="008A406A"/>
    <w:rsid w:val="008B065E"/>
    <w:rsid w:val="008B156A"/>
    <w:rsid w:val="008B2560"/>
    <w:rsid w:val="008D0F38"/>
    <w:rsid w:val="008F36E5"/>
    <w:rsid w:val="00901E0C"/>
    <w:rsid w:val="0092731F"/>
    <w:rsid w:val="00930F37"/>
    <w:rsid w:val="009330AE"/>
    <w:rsid w:val="00936E5E"/>
    <w:rsid w:val="0094191E"/>
    <w:rsid w:val="00944EFE"/>
    <w:rsid w:val="00954DB7"/>
    <w:rsid w:val="00963FD9"/>
    <w:rsid w:val="009764B1"/>
    <w:rsid w:val="009C7A45"/>
    <w:rsid w:val="009D3659"/>
    <w:rsid w:val="009E10E4"/>
    <w:rsid w:val="009E27C7"/>
    <w:rsid w:val="00A0212C"/>
    <w:rsid w:val="00A27CFB"/>
    <w:rsid w:val="00A3739C"/>
    <w:rsid w:val="00A55DC5"/>
    <w:rsid w:val="00A61CFE"/>
    <w:rsid w:val="00A66F8D"/>
    <w:rsid w:val="00A914AC"/>
    <w:rsid w:val="00AA5DEC"/>
    <w:rsid w:val="00AA7851"/>
    <w:rsid w:val="00AB334A"/>
    <w:rsid w:val="00AC1833"/>
    <w:rsid w:val="00AD08DD"/>
    <w:rsid w:val="00AD29AF"/>
    <w:rsid w:val="00AD72D6"/>
    <w:rsid w:val="00AE4167"/>
    <w:rsid w:val="00AF7C77"/>
    <w:rsid w:val="00B02B9B"/>
    <w:rsid w:val="00B04B76"/>
    <w:rsid w:val="00B0562E"/>
    <w:rsid w:val="00BA5213"/>
    <w:rsid w:val="00BD113A"/>
    <w:rsid w:val="00BE042B"/>
    <w:rsid w:val="00BE5D0E"/>
    <w:rsid w:val="00C16C3A"/>
    <w:rsid w:val="00C3747B"/>
    <w:rsid w:val="00C450E0"/>
    <w:rsid w:val="00C47C81"/>
    <w:rsid w:val="00C52A40"/>
    <w:rsid w:val="00C663C8"/>
    <w:rsid w:val="00C82ECE"/>
    <w:rsid w:val="00C94AF4"/>
    <w:rsid w:val="00CB2B89"/>
    <w:rsid w:val="00CC0D4C"/>
    <w:rsid w:val="00CC5F6B"/>
    <w:rsid w:val="00CD7332"/>
    <w:rsid w:val="00CE6F89"/>
    <w:rsid w:val="00CF3169"/>
    <w:rsid w:val="00D04E8E"/>
    <w:rsid w:val="00D13CE2"/>
    <w:rsid w:val="00D217C0"/>
    <w:rsid w:val="00D53B70"/>
    <w:rsid w:val="00D61F5F"/>
    <w:rsid w:val="00D77787"/>
    <w:rsid w:val="00D855AD"/>
    <w:rsid w:val="00D8749F"/>
    <w:rsid w:val="00D9071F"/>
    <w:rsid w:val="00D979C9"/>
    <w:rsid w:val="00DB7A87"/>
    <w:rsid w:val="00DD0C19"/>
    <w:rsid w:val="00DE355D"/>
    <w:rsid w:val="00DE55CD"/>
    <w:rsid w:val="00DF3687"/>
    <w:rsid w:val="00E05FA2"/>
    <w:rsid w:val="00E268C2"/>
    <w:rsid w:val="00E41B46"/>
    <w:rsid w:val="00E47007"/>
    <w:rsid w:val="00E52529"/>
    <w:rsid w:val="00E52E40"/>
    <w:rsid w:val="00E609C0"/>
    <w:rsid w:val="00E82458"/>
    <w:rsid w:val="00E855BF"/>
    <w:rsid w:val="00EA186F"/>
    <w:rsid w:val="00EE631C"/>
    <w:rsid w:val="00EF0A36"/>
    <w:rsid w:val="00F35BF5"/>
    <w:rsid w:val="00F55BAF"/>
    <w:rsid w:val="00F6499D"/>
    <w:rsid w:val="00F724FD"/>
    <w:rsid w:val="00F800D1"/>
    <w:rsid w:val="00F939A0"/>
    <w:rsid w:val="00FB4859"/>
    <w:rsid w:val="00FC47F7"/>
    <w:rsid w:val="00FE6BAA"/>
    <w:rsid w:val="00FF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8881"/>
  <w14:defaultImageDpi w14:val="300"/>
  <w15:docId w15:val="{84E3101C-214C-3048-93FD-F80C827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27"/>
    <w:pPr>
      <w:ind w:left="720"/>
      <w:contextualSpacing/>
    </w:pPr>
  </w:style>
  <w:style w:type="paragraph" w:styleId="FootnoteText">
    <w:name w:val="footnote text"/>
    <w:aliases w:val="FN,Footnote Text Char1 Char,Footnote Text Char Char Char,Footnote Text Char1 Char Char Char,Footnote Text Char Char Char Char Char,Footnote Text Char2 Char Char Char Char Char,Footnote Text Char Char,Ca"/>
    <w:basedOn w:val="Normal"/>
    <w:link w:val="FootnoteTextChar"/>
    <w:uiPriority w:val="99"/>
    <w:rsid w:val="00261527"/>
    <w:rPr>
      <w:rFonts w:ascii="Times New Roman" w:eastAsia="Times New Roman" w:hAnsi="Times New Roman" w:cs="Times New Roman"/>
      <w:sz w:val="20"/>
      <w:szCs w:val="20"/>
      <w:lang w:val="en-AU"/>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2 Char Char Char Char Char Char,Ca Char"/>
    <w:basedOn w:val="DefaultParagraphFont"/>
    <w:link w:val="FootnoteText"/>
    <w:uiPriority w:val="99"/>
    <w:rsid w:val="00261527"/>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rsid w:val="00261527"/>
    <w:rPr>
      <w:vertAlign w:val="superscript"/>
    </w:rPr>
  </w:style>
  <w:style w:type="paragraph" w:styleId="Footer">
    <w:name w:val="footer"/>
    <w:basedOn w:val="Normal"/>
    <w:link w:val="FooterChar"/>
    <w:uiPriority w:val="99"/>
    <w:unhideWhenUsed/>
    <w:rsid w:val="005E60BE"/>
    <w:pPr>
      <w:tabs>
        <w:tab w:val="center" w:pos="4320"/>
        <w:tab w:val="right" w:pos="8640"/>
      </w:tabs>
    </w:pPr>
  </w:style>
  <w:style w:type="character" w:customStyle="1" w:styleId="FooterChar">
    <w:name w:val="Footer Char"/>
    <w:basedOn w:val="DefaultParagraphFont"/>
    <w:link w:val="Footer"/>
    <w:uiPriority w:val="99"/>
    <w:rsid w:val="005E60BE"/>
  </w:style>
  <w:style w:type="character" w:styleId="PageNumber">
    <w:name w:val="page number"/>
    <w:basedOn w:val="DefaultParagraphFont"/>
    <w:uiPriority w:val="99"/>
    <w:semiHidden/>
    <w:unhideWhenUsed/>
    <w:rsid w:val="005E60BE"/>
  </w:style>
  <w:style w:type="paragraph" w:styleId="Header">
    <w:name w:val="header"/>
    <w:basedOn w:val="Normal"/>
    <w:link w:val="HeaderChar"/>
    <w:uiPriority w:val="99"/>
    <w:unhideWhenUsed/>
    <w:rsid w:val="005E60BE"/>
    <w:pPr>
      <w:tabs>
        <w:tab w:val="center" w:pos="4320"/>
        <w:tab w:val="right" w:pos="8640"/>
      </w:tabs>
    </w:pPr>
  </w:style>
  <w:style w:type="character" w:customStyle="1" w:styleId="HeaderChar">
    <w:name w:val="Header Char"/>
    <w:basedOn w:val="DefaultParagraphFont"/>
    <w:link w:val="Header"/>
    <w:uiPriority w:val="99"/>
    <w:rsid w:val="005E60BE"/>
  </w:style>
  <w:style w:type="character" w:styleId="Hyperlink">
    <w:name w:val="Hyperlink"/>
    <w:basedOn w:val="DefaultParagraphFont"/>
    <w:uiPriority w:val="99"/>
    <w:unhideWhenUsed/>
    <w:rsid w:val="008306A4"/>
    <w:rPr>
      <w:color w:val="0000FF"/>
      <w:u w:val="single"/>
    </w:rPr>
  </w:style>
  <w:style w:type="paragraph" w:styleId="BalloonText">
    <w:name w:val="Balloon Text"/>
    <w:basedOn w:val="Normal"/>
    <w:link w:val="BalloonTextChar"/>
    <w:uiPriority w:val="99"/>
    <w:semiHidden/>
    <w:unhideWhenUsed/>
    <w:rsid w:val="00557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98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04B76"/>
    <w:rPr>
      <w:color w:val="605E5C"/>
      <w:shd w:val="clear" w:color="auto" w:fill="E1DFDD"/>
    </w:rPr>
  </w:style>
  <w:style w:type="paragraph" w:styleId="Caption">
    <w:name w:val="caption"/>
    <w:basedOn w:val="Normal"/>
    <w:next w:val="Normal"/>
    <w:uiPriority w:val="35"/>
    <w:unhideWhenUsed/>
    <w:qFormat/>
    <w:rsid w:val="00D855A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AD0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0854">
      <w:bodyDiv w:val="1"/>
      <w:marLeft w:val="0"/>
      <w:marRight w:val="0"/>
      <w:marTop w:val="0"/>
      <w:marBottom w:val="0"/>
      <w:divBdr>
        <w:top w:val="none" w:sz="0" w:space="0" w:color="auto"/>
        <w:left w:val="none" w:sz="0" w:space="0" w:color="auto"/>
        <w:bottom w:val="none" w:sz="0" w:space="0" w:color="auto"/>
        <w:right w:val="none" w:sz="0" w:space="0" w:color="auto"/>
      </w:divBdr>
    </w:div>
    <w:div w:id="156531202">
      <w:bodyDiv w:val="1"/>
      <w:marLeft w:val="0"/>
      <w:marRight w:val="0"/>
      <w:marTop w:val="0"/>
      <w:marBottom w:val="0"/>
      <w:divBdr>
        <w:top w:val="none" w:sz="0" w:space="0" w:color="auto"/>
        <w:left w:val="none" w:sz="0" w:space="0" w:color="auto"/>
        <w:bottom w:val="none" w:sz="0" w:space="0" w:color="auto"/>
        <w:right w:val="none" w:sz="0" w:space="0" w:color="auto"/>
      </w:divBdr>
    </w:div>
    <w:div w:id="242104045">
      <w:bodyDiv w:val="1"/>
      <w:marLeft w:val="0"/>
      <w:marRight w:val="0"/>
      <w:marTop w:val="0"/>
      <w:marBottom w:val="0"/>
      <w:divBdr>
        <w:top w:val="none" w:sz="0" w:space="0" w:color="auto"/>
        <w:left w:val="none" w:sz="0" w:space="0" w:color="auto"/>
        <w:bottom w:val="none" w:sz="0" w:space="0" w:color="auto"/>
        <w:right w:val="none" w:sz="0" w:space="0" w:color="auto"/>
      </w:divBdr>
    </w:div>
    <w:div w:id="412514301">
      <w:bodyDiv w:val="1"/>
      <w:marLeft w:val="0"/>
      <w:marRight w:val="0"/>
      <w:marTop w:val="0"/>
      <w:marBottom w:val="0"/>
      <w:divBdr>
        <w:top w:val="none" w:sz="0" w:space="0" w:color="auto"/>
        <w:left w:val="none" w:sz="0" w:space="0" w:color="auto"/>
        <w:bottom w:val="none" w:sz="0" w:space="0" w:color="auto"/>
        <w:right w:val="none" w:sz="0" w:space="0" w:color="auto"/>
      </w:divBdr>
    </w:div>
    <w:div w:id="516579024">
      <w:bodyDiv w:val="1"/>
      <w:marLeft w:val="0"/>
      <w:marRight w:val="0"/>
      <w:marTop w:val="0"/>
      <w:marBottom w:val="0"/>
      <w:divBdr>
        <w:top w:val="none" w:sz="0" w:space="0" w:color="auto"/>
        <w:left w:val="none" w:sz="0" w:space="0" w:color="auto"/>
        <w:bottom w:val="none" w:sz="0" w:space="0" w:color="auto"/>
        <w:right w:val="none" w:sz="0" w:space="0" w:color="auto"/>
      </w:divBdr>
    </w:div>
    <w:div w:id="754714213">
      <w:bodyDiv w:val="1"/>
      <w:marLeft w:val="0"/>
      <w:marRight w:val="0"/>
      <w:marTop w:val="0"/>
      <w:marBottom w:val="0"/>
      <w:divBdr>
        <w:top w:val="none" w:sz="0" w:space="0" w:color="auto"/>
        <w:left w:val="none" w:sz="0" w:space="0" w:color="auto"/>
        <w:bottom w:val="none" w:sz="0" w:space="0" w:color="auto"/>
        <w:right w:val="none" w:sz="0" w:space="0" w:color="auto"/>
      </w:divBdr>
    </w:div>
    <w:div w:id="954605244">
      <w:bodyDiv w:val="1"/>
      <w:marLeft w:val="0"/>
      <w:marRight w:val="0"/>
      <w:marTop w:val="0"/>
      <w:marBottom w:val="0"/>
      <w:divBdr>
        <w:top w:val="none" w:sz="0" w:space="0" w:color="auto"/>
        <w:left w:val="none" w:sz="0" w:space="0" w:color="auto"/>
        <w:bottom w:val="none" w:sz="0" w:space="0" w:color="auto"/>
        <w:right w:val="none" w:sz="0" w:space="0" w:color="auto"/>
      </w:divBdr>
    </w:div>
    <w:div w:id="1209756603">
      <w:bodyDiv w:val="1"/>
      <w:marLeft w:val="0"/>
      <w:marRight w:val="0"/>
      <w:marTop w:val="0"/>
      <w:marBottom w:val="0"/>
      <w:divBdr>
        <w:top w:val="none" w:sz="0" w:space="0" w:color="auto"/>
        <w:left w:val="none" w:sz="0" w:space="0" w:color="auto"/>
        <w:bottom w:val="none" w:sz="0" w:space="0" w:color="auto"/>
        <w:right w:val="none" w:sz="0" w:space="0" w:color="auto"/>
      </w:divBdr>
    </w:div>
    <w:div w:id="1609853072">
      <w:bodyDiv w:val="1"/>
      <w:marLeft w:val="0"/>
      <w:marRight w:val="0"/>
      <w:marTop w:val="0"/>
      <w:marBottom w:val="0"/>
      <w:divBdr>
        <w:top w:val="none" w:sz="0" w:space="0" w:color="auto"/>
        <w:left w:val="none" w:sz="0" w:space="0" w:color="auto"/>
        <w:bottom w:val="none" w:sz="0" w:space="0" w:color="auto"/>
        <w:right w:val="none" w:sz="0" w:space="0" w:color="auto"/>
      </w:divBdr>
    </w:div>
    <w:div w:id="1790197840">
      <w:bodyDiv w:val="1"/>
      <w:marLeft w:val="0"/>
      <w:marRight w:val="0"/>
      <w:marTop w:val="0"/>
      <w:marBottom w:val="0"/>
      <w:divBdr>
        <w:top w:val="none" w:sz="0" w:space="0" w:color="auto"/>
        <w:left w:val="none" w:sz="0" w:space="0" w:color="auto"/>
        <w:bottom w:val="none" w:sz="0" w:space="0" w:color="auto"/>
        <w:right w:val="none" w:sz="0" w:space="0" w:color="auto"/>
      </w:divBdr>
    </w:div>
    <w:div w:id="2081904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keele.ac.uk/law/" TargetMode="External"/><Relationship Id="rId3" Type="http://schemas.openxmlformats.org/officeDocument/2006/relationships/hyperlink" Target="https://theconversation.com/theres-no-need-for-the-chicago-principles-in-australian-universities-to-protect-freedom-of-speech-107001" TargetMode="External"/><Relationship Id="rId7" Type="http://schemas.openxmlformats.org/officeDocument/2006/relationships/hyperlink" Target="https://www.keele.ac.uk/media/keeleuniversity/policyzone20/studentandacademicservices/L&amp;T%20Strategy%20FinalWEB.pdf" TargetMode="External"/><Relationship Id="rId2" Type="http://schemas.openxmlformats.org/officeDocument/2006/relationships/hyperlink" Target="https://theweek.com/articles/665446/how-conservatives-outintellectualized-progressives" TargetMode="External"/><Relationship Id="rId1" Type="http://schemas.openxmlformats.org/officeDocument/2006/relationships/hyperlink" Target="https://www.timeshighereducation.com/news/gender-studies-under-attack-from-new-right%20accessed%201%20June%202020" TargetMode="External"/><Relationship Id="rId6" Type="http://schemas.openxmlformats.org/officeDocument/2006/relationships/hyperlink" Target="https://www.abc.net.au/news/2018-02-02/prime-minister-malcolm-turnbull-unsw-study-law-hass-atar/9390698?pfmredir=sm" TargetMode="External"/><Relationship Id="rId5" Type="http://schemas.openxmlformats.org/officeDocument/2006/relationships/hyperlink" Target="https://theconversation.com/decolonising-research-methodology-must-include-undoing-its-dirty-history-83912" TargetMode="External"/><Relationship Id="rId10" Type="http://schemas.openxmlformats.org/officeDocument/2006/relationships/hyperlink" Target="https://www.jessestommel.com/how-to-build-an-online-learning-community-6-theses/" TargetMode="External"/><Relationship Id="rId4" Type="http://schemas.openxmlformats.org/officeDocument/2006/relationships/hyperlink" Target="https://www.thesociologicalreview.com/blog/the-love-of-labour-in-academia.html" TargetMode="External"/><Relationship Id="rId9" Type="http://schemas.openxmlformats.org/officeDocument/2006/relationships/hyperlink" Target="https://www.keele.ac.uk/policyzone/data/assess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6293</Words>
  <Characters>34990</Characters>
  <Application>Microsoft Office Word</Application>
  <DocSecurity>0</DocSecurity>
  <Lines>530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Senthorun Raj</dc:creator>
  <cp:keywords/>
  <dc:description/>
  <cp:lastModifiedBy>Sen Sunil Raj</cp:lastModifiedBy>
  <cp:revision>5</cp:revision>
  <dcterms:created xsi:type="dcterms:W3CDTF">2020-06-09T01:31:00Z</dcterms:created>
  <dcterms:modified xsi:type="dcterms:W3CDTF">2020-06-09T02:00:00Z</dcterms:modified>
</cp:coreProperties>
</file>