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E4489" w:rsidR="008A45CD" w:rsidP="008A53CC" w:rsidRDefault="008A45CD" w14:paraId="73231437" w14:textId="77777777">
      <w:pPr>
        <w:pStyle w:val="Heading1"/>
      </w:pPr>
      <w:r w:rsidRPr="00CE4489">
        <w:t>Prevalence, characteristics and clinical course of neuropathic pain in primary care patients consulting with low back-related leg pain</w:t>
      </w:r>
    </w:p>
    <w:p w:rsidRPr="00CE4489" w:rsidR="008A45CD" w:rsidP="008A45CD" w:rsidRDefault="008A45CD" w14:paraId="23CB724D" w14:textId="77777777">
      <w:pPr>
        <w:rPr>
          <w:vertAlign w:val="superscript"/>
        </w:rPr>
      </w:pPr>
      <w:r w:rsidRPr="00CE4489">
        <w:t>Sarah A. Harrisson PhD*</w:t>
      </w:r>
      <w:r w:rsidRPr="00CE4489">
        <w:rPr>
          <w:vertAlign w:val="superscript"/>
        </w:rPr>
        <w:t xml:space="preserve"> a, c</w:t>
      </w:r>
      <w:r w:rsidRPr="00CE4489">
        <w:t>, Reuben Ogollah PhD</w:t>
      </w:r>
      <w:r w:rsidRPr="00CE4489">
        <w:rPr>
          <w:vertAlign w:val="superscript"/>
        </w:rPr>
        <w:t xml:space="preserve"> b</w:t>
      </w:r>
      <w:r w:rsidRPr="00CE4489">
        <w:t>, Kate M. Dunn PhD</w:t>
      </w:r>
      <w:r w:rsidRPr="00CE4489">
        <w:rPr>
          <w:vertAlign w:val="superscript"/>
        </w:rPr>
        <w:t xml:space="preserve"> a</w:t>
      </w:r>
      <w:r w:rsidRPr="00CE4489">
        <w:t>, Nadine E. Foster PhD</w:t>
      </w:r>
      <w:r w:rsidRPr="00CE4489">
        <w:rPr>
          <w:vertAlign w:val="superscript"/>
        </w:rPr>
        <w:t xml:space="preserve"> a</w:t>
      </w:r>
      <w:r w:rsidRPr="00CE4489">
        <w:t>, Kika Konstantinou PhD</w:t>
      </w:r>
      <w:r w:rsidRPr="00CE4489">
        <w:rPr>
          <w:vertAlign w:val="superscript"/>
        </w:rPr>
        <w:t xml:space="preserve"> a, c</w:t>
      </w:r>
      <w:r w:rsidRPr="00CE4489">
        <w:rPr>
          <w:rStyle w:val="CommentReference"/>
        </w:rPr>
        <w:t xml:space="preserve">. </w:t>
      </w:r>
    </w:p>
    <w:p w:rsidRPr="00CE4489" w:rsidR="008A45CD" w:rsidP="008A45CD" w:rsidRDefault="008A45CD" w14:paraId="4EECB23D" w14:textId="77777777"/>
    <w:p w:rsidRPr="00CE4489" w:rsidR="008A45CD" w:rsidP="008A45CD" w:rsidRDefault="008A45CD" w14:paraId="697EA5D3" w14:textId="354213C4">
      <w:r w:rsidRPr="00CE4489">
        <w:rPr>
          <w:vertAlign w:val="superscript"/>
        </w:rPr>
        <w:t>a</w:t>
      </w:r>
      <w:r w:rsidRPr="00CE4489">
        <w:t xml:space="preserve"> </w:t>
      </w:r>
      <w:r w:rsidRPr="00CE4489" w:rsidR="007379B5">
        <w:t>Primary Care Centre Versus Arthritis, School of Primary, Community and Social Care, Keele University, Staffordshire, ST5 5BG, UK.</w:t>
      </w:r>
    </w:p>
    <w:p w:rsidRPr="00CE4489" w:rsidR="008A45CD" w:rsidP="008A45CD" w:rsidRDefault="008A45CD" w14:paraId="3AAC7D6C" w14:textId="77777777">
      <w:r w:rsidRPr="00CE4489">
        <w:rPr>
          <w:vertAlign w:val="superscript"/>
        </w:rPr>
        <w:t xml:space="preserve">b </w:t>
      </w:r>
      <w:r w:rsidRPr="00CE4489">
        <w:t>Nottingham Clinical Trials Unit, University of Nottingham, Nottingham, NG7 2NR, UK.</w:t>
      </w:r>
    </w:p>
    <w:p w:rsidRPr="00CE4489" w:rsidR="008A45CD" w:rsidP="008A45CD" w:rsidRDefault="008A45CD" w14:paraId="0654760C" w14:textId="77777777">
      <w:pPr>
        <w:pStyle w:val="CommentText"/>
      </w:pPr>
      <w:r w:rsidRPr="00CE4489">
        <w:rPr>
          <w:vertAlign w:val="superscript"/>
        </w:rPr>
        <w:t xml:space="preserve">c </w:t>
      </w:r>
      <w:r w:rsidRPr="00CE4489">
        <w:t>Haywood Hospital, Midlands Partnership Foundation Trust, Staffordshire, UK, ST6 7AG, UK.</w:t>
      </w:r>
    </w:p>
    <w:p w:rsidRPr="00CE4489" w:rsidR="008A45CD" w:rsidP="008A45CD" w:rsidRDefault="008A45CD" w14:paraId="71416DB8" w14:textId="77777777">
      <w:r w:rsidRPr="00CE4489">
        <w:t xml:space="preserve">*Corresponding author: </w:t>
      </w:r>
    </w:p>
    <w:p w:rsidRPr="00CE4489" w:rsidR="008A45CD" w:rsidP="008A45CD" w:rsidRDefault="008A45CD" w14:paraId="761B10FE" w14:textId="77777777">
      <w:r w:rsidRPr="00CE4489">
        <w:t>Sarah Harrisson. Primary Care Centre Versus Arthritis, Research Institute for Primary Care and Health Sciences, Keele University, Staffordshire, ST5 5BG, UK.</w:t>
      </w:r>
    </w:p>
    <w:p w:rsidRPr="00CE4489" w:rsidR="008A45CD" w:rsidP="008A45CD" w:rsidRDefault="008A45CD" w14:paraId="0767E8DF" w14:textId="77777777">
      <w:r w:rsidRPr="00CE4489">
        <w:t>Tel 01782 734928. Fax 01782 734719. </w:t>
      </w:r>
      <w:hyperlink w:history="1" r:id="rId8">
        <w:r w:rsidRPr="00CE4489">
          <w:rPr>
            <w:color w:val="0563C1" w:themeColor="hyperlink"/>
            <w:u w:val="single"/>
          </w:rPr>
          <w:t>s.a.harrisson@keele.ac.uk</w:t>
        </w:r>
      </w:hyperlink>
      <w:r w:rsidRPr="00CE4489">
        <w:t xml:space="preserve">. </w:t>
      </w:r>
    </w:p>
    <w:p w:rsidRPr="00CE4489" w:rsidR="008A45CD" w:rsidP="008A45CD" w:rsidRDefault="008A45CD" w14:paraId="385D6B95" w14:textId="77777777"/>
    <w:p w:rsidRPr="00CE4489" w:rsidR="008A45CD" w:rsidP="008A45CD" w:rsidRDefault="008A45CD" w14:paraId="72F51249" w14:textId="77777777">
      <w:r w:rsidRPr="00CE4489">
        <w:t>Category for which this manuscript is being submitted: Clinical Investigation</w:t>
      </w:r>
    </w:p>
    <w:p w:rsidRPr="00CE4489" w:rsidR="008A45CD" w:rsidP="008A45CD" w:rsidRDefault="008A45CD" w14:paraId="3ECB6E95" w14:textId="77777777"/>
    <w:p w:rsidRPr="00CE4489" w:rsidR="008A45CD" w:rsidP="008A45CD" w:rsidRDefault="008A45CD" w14:paraId="1D5E31E8" w14:textId="77777777">
      <w:r w:rsidRPr="00CE4489">
        <w:t>Conflict of Interest and Source of Funding:</w:t>
      </w:r>
    </w:p>
    <w:p w:rsidRPr="00CE4489" w:rsidR="008A45CD" w:rsidP="008A45CD" w:rsidRDefault="008A45CD" w14:paraId="41AD5AB6" w14:textId="77777777">
      <w:r w:rsidRPr="00CE4489">
        <w:t>The authors declare that they have no competing interests.</w:t>
      </w:r>
    </w:p>
    <w:p w:rsidRPr="00CE4489" w:rsidR="007379B5" w:rsidP="007379B5" w:rsidRDefault="008A45CD" w14:paraId="51A1339A" w14:textId="77777777">
      <w:r w:rsidRPr="00CE4489">
        <w:t xml:space="preserve">During the period in which this work was undertaken Sarah A. Harrisson was supported by a National Institute for Health Research (NIHR) Clinical Doctoral Fellowship funded through an NIHR Research Professorship for Nadine E. Foster (NIHR-RP-011-015).  Nadine Foster is also a Senior NIHR Investigator. Kika Konstantinou was supported by a Higher Education Funding Council for England/ National Institute for Health Research Senior Clinical Lectureship. The views expressed in this publication are those of the author(s) and not necessarily those of the NHS, the NIHR or the Department of Health and Social Care. This work also relates to an Education and Continued Professional Development (level 2) award by the Musculoskeletal Association of Chartered Physiotherapists (MACP) </w:t>
      </w:r>
      <w:r w:rsidRPr="00CE4489" w:rsidR="007379B5">
        <w:t>and a Travel Fellowship awarded by the Society of Back Pain Research to Sarah A. Harrisson in 2016.</w:t>
      </w:r>
    </w:p>
    <w:p w:rsidRPr="00CE4489" w:rsidR="007379B5" w:rsidP="007379B5" w:rsidRDefault="007379B5" w14:paraId="30457C21" w14:textId="77777777"/>
    <w:p w:rsidRPr="00CE4489" w:rsidR="00610505" w:rsidP="00610505" w:rsidRDefault="00610505" w14:paraId="373DAC10" w14:textId="440F54CC">
      <w:pPr>
        <w:keepNext/>
        <w:keepLines/>
        <w:spacing w:before="40"/>
        <w:outlineLvl w:val="1"/>
        <w:rPr>
          <w:rFonts w:asciiTheme="majorHAnsi" w:hAnsiTheme="majorHAnsi" w:eastAsiaTheme="majorEastAsia" w:cstheme="majorBidi"/>
          <w:color w:val="1F4E79" w:themeColor="accent1" w:themeShade="80"/>
          <w:sz w:val="28"/>
          <w:szCs w:val="26"/>
        </w:rPr>
      </w:pPr>
      <w:r w:rsidRPr="00CE4489">
        <w:rPr>
          <w:rFonts w:asciiTheme="majorHAnsi" w:hAnsiTheme="majorHAnsi" w:eastAsiaTheme="majorEastAsia" w:cstheme="majorBidi"/>
          <w:color w:val="1F4E79" w:themeColor="accent1" w:themeShade="80"/>
          <w:sz w:val="28"/>
          <w:szCs w:val="26"/>
        </w:rPr>
        <w:lastRenderedPageBreak/>
        <w:t xml:space="preserve">Abstract </w:t>
      </w:r>
    </w:p>
    <w:p w:rsidRPr="00CE4489" w:rsidR="00610505" w:rsidP="00610505" w:rsidRDefault="00610505" w14:paraId="53FEBD86" w14:textId="77777777">
      <w:pPr>
        <w:keepNext/>
        <w:keepLines/>
        <w:spacing w:before="40"/>
        <w:outlineLvl w:val="2"/>
        <w:rPr>
          <w:rFonts w:asciiTheme="majorHAnsi" w:hAnsiTheme="majorHAnsi" w:eastAsiaTheme="majorEastAsia" w:cstheme="majorBidi"/>
          <w:color w:val="1F4D78" w:themeColor="accent1" w:themeShade="7F"/>
        </w:rPr>
      </w:pPr>
      <w:r w:rsidRPr="00CE4489">
        <w:rPr>
          <w:rFonts w:asciiTheme="majorHAnsi" w:hAnsiTheme="majorHAnsi" w:eastAsiaTheme="majorEastAsia" w:cstheme="majorBidi"/>
          <w:color w:val="1F4D78" w:themeColor="accent1" w:themeShade="7F"/>
        </w:rPr>
        <w:t>Objectives</w:t>
      </w:r>
    </w:p>
    <w:p w:rsidRPr="00CE4489" w:rsidR="00610505" w:rsidP="00610505" w:rsidRDefault="00610505" w14:paraId="6EB9A41B" w14:textId="77777777">
      <w:r w:rsidRPr="00CE4489">
        <w:t>Little is known about the epidemiology of neuropathic pain in primary care patients consulting with low back-related leg pain. We aimed to describe prevalence, characteristics and clinical course of low back-related leg pain</w:t>
      </w:r>
      <w:r w:rsidRPr="00CE4489" w:rsidDel="00472DBD">
        <w:t xml:space="preserve"> </w:t>
      </w:r>
      <w:r w:rsidRPr="00CE4489">
        <w:t xml:space="preserve">patients with and without neuropathic pain, consulting with their family doctor in the UK. </w:t>
      </w:r>
    </w:p>
    <w:p w:rsidRPr="00CE4489" w:rsidR="00610505" w:rsidP="00610505" w:rsidRDefault="00610505" w14:paraId="62D98542" w14:textId="77777777">
      <w:pPr>
        <w:keepNext/>
        <w:keepLines/>
        <w:spacing w:before="40"/>
        <w:outlineLvl w:val="2"/>
        <w:rPr>
          <w:rFonts w:asciiTheme="majorHAnsi" w:hAnsiTheme="majorHAnsi" w:eastAsiaTheme="majorEastAsia" w:cstheme="majorBidi"/>
          <w:color w:val="1F4D78" w:themeColor="accent1" w:themeShade="7F"/>
        </w:rPr>
      </w:pPr>
      <w:r w:rsidRPr="00CE4489">
        <w:rPr>
          <w:rFonts w:asciiTheme="majorHAnsi" w:hAnsiTheme="majorHAnsi" w:eastAsiaTheme="majorEastAsia" w:cstheme="majorBidi"/>
          <w:color w:val="1F4D78" w:themeColor="accent1" w:themeShade="7F"/>
        </w:rPr>
        <w:t>Methods</w:t>
      </w:r>
    </w:p>
    <w:p w:rsidRPr="00CE4489" w:rsidR="009027D1" w:rsidP="00610505" w:rsidRDefault="00610505" w14:paraId="5B6AB8E9" w14:textId="26C2E687">
      <w:r w:rsidRPr="00CE4489">
        <w:t>This was a prospective cohort study. Data were collected using a standardised baseline clinical examination and self-report questionnaires at baseline, 4, 12</w:t>
      </w:r>
      <w:r w:rsidRPr="00CE4489" w:rsidR="009027D1">
        <w:t xml:space="preserve"> and </w:t>
      </w:r>
      <w:r w:rsidRPr="00CE4489">
        <w:t xml:space="preserve">36-months. </w:t>
      </w:r>
    </w:p>
    <w:p w:rsidRPr="00CE4489" w:rsidR="009027D1" w:rsidP="00610505" w:rsidRDefault="00610505" w14:paraId="3B21CB69" w14:textId="2AC2738E">
      <w:r w:rsidRPr="00CE4489">
        <w:t>We identified cases of neuropathic pain using three definitions: two based on clinical diagnosis (sciatica, with and without evidence of nerve root compression on MRI), one on</w:t>
      </w:r>
      <w:r w:rsidRPr="00CE4489" w:rsidR="00E13F37">
        <w:t xml:space="preserve"> the</w:t>
      </w:r>
      <w:r w:rsidRPr="00CE4489">
        <w:t xml:space="preserve"> self-report version of Leeds Assessment for Neurological Symptoms and Signs (S-LANSS). </w:t>
      </w:r>
    </w:p>
    <w:p w:rsidRPr="00CE4489" w:rsidR="00E13F37" w:rsidP="00610505" w:rsidRDefault="00610505" w14:paraId="0634B306" w14:textId="01C6E6FA">
      <w:r w:rsidRPr="00CE4489">
        <w:t>Differences between patients with and without neuropathic pain were analysed comparing each definition. Clinical course (</w:t>
      </w:r>
      <w:r w:rsidRPr="00CE4489" w:rsidR="00E13F37">
        <w:t xml:space="preserve">mean pain intensity measured as the </w:t>
      </w:r>
      <w:r w:rsidRPr="00CE4489">
        <w:t>highest of</w:t>
      </w:r>
      <w:r w:rsidRPr="00CE4489" w:rsidR="00E13F37">
        <w:t xml:space="preserve"> </w:t>
      </w:r>
      <w:r w:rsidRPr="00CE4489">
        <w:t>leg or back pain intensity</w:t>
      </w:r>
      <w:r w:rsidRPr="00CE4489" w:rsidR="00E13F37">
        <w:t xml:space="preserve">: </w:t>
      </w:r>
      <w:r w:rsidRPr="00CE4489">
        <w:t>mean of three</w:t>
      </w:r>
      <w:r w:rsidRPr="00CE4489" w:rsidR="00E13F37">
        <w:t xml:space="preserve"> </w:t>
      </w:r>
      <w:r w:rsidRPr="00CE4489">
        <w:t>Numerical Rating Scales</w:t>
      </w:r>
      <w:r w:rsidRPr="00CE4489" w:rsidR="008E3AED">
        <w:t>, each 0-10</w:t>
      </w:r>
      <w:r w:rsidRPr="00CE4489" w:rsidR="00E13F37">
        <w:t>)</w:t>
      </w:r>
      <w:r w:rsidRPr="00CE4489">
        <w:t xml:space="preserve"> was investigated using linear mixed models over 3</w:t>
      </w:r>
      <w:r w:rsidRPr="00CE4489" w:rsidR="00E13F37">
        <w:t>6-months.</w:t>
      </w:r>
      <w:r w:rsidRPr="00CE4489" w:rsidR="005251AC">
        <w:t xml:space="preserve"> </w:t>
      </w:r>
    </w:p>
    <w:p w:rsidRPr="00CE4489" w:rsidR="00610505" w:rsidP="00610505" w:rsidRDefault="00610505" w14:paraId="46E67B01" w14:textId="77777777">
      <w:pPr>
        <w:keepNext/>
        <w:keepLines/>
        <w:spacing w:before="40"/>
        <w:outlineLvl w:val="2"/>
        <w:rPr>
          <w:rFonts w:asciiTheme="majorHAnsi" w:hAnsiTheme="majorHAnsi" w:eastAsiaTheme="majorEastAsia" w:cstheme="majorBidi"/>
          <w:color w:val="1F4D78" w:themeColor="accent1" w:themeShade="7F"/>
        </w:rPr>
      </w:pPr>
      <w:r w:rsidRPr="00CE4489">
        <w:rPr>
          <w:rFonts w:asciiTheme="majorHAnsi" w:hAnsiTheme="majorHAnsi" w:eastAsiaTheme="majorEastAsia" w:cstheme="majorBidi"/>
          <w:color w:val="1F4D78" w:themeColor="accent1" w:themeShade="7F"/>
        </w:rPr>
        <w:t>Results</w:t>
      </w:r>
    </w:p>
    <w:p w:rsidRPr="00CE4489" w:rsidR="00610505" w:rsidP="00610505" w:rsidRDefault="00610505" w14:paraId="1309AF0E" w14:textId="4D96CC5B">
      <w:r w:rsidRPr="00CE4489">
        <w:t xml:space="preserve">Prevalence of neuropathic pain varied from 48% to 74% according to definition used. At baseline, patients with neuropathic pain had more severe leg pain intensity, lower pain self-efficacy, more patients had sensory loss than those without. Distinct profiles were apparent depending on neuropathic pain definition. Mean pain intensity reduced after 4-months (6.1 to 3.9 (sciatica)), most rapidly in cases defined by clinical diagnosis. </w:t>
      </w:r>
    </w:p>
    <w:p w:rsidRPr="00CE4489" w:rsidR="00610505" w:rsidP="00610505" w:rsidRDefault="00610505" w14:paraId="758D6FD1" w14:textId="77777777">
      <w:pPr>
        <w:keepNext/>
        <w:keepLines/>
        <w:spacing w:before="40"/>
        <w:outlineLvl w:val="2"/>
        <w:rPr>
          <w:rFonts w:asciiTheme="majorHAnsi" w:hAnsiTheme="majorHAnsi" w:eastAsiaTheme="majorEastAsia" w:cstheme="majorBidi"/>
          <w:color w:val="1F4D78" w:themeColor="accent1" w:themeShade="7F"/>
        </w:rPr>
      </w:pPr>
      <w:r w:rsidRPr="00CE4489">
        <w:rPr>
          <w:rFonts w:asciiTheme="majorHAnsi" w:hAnsiTheme="majorHAnsi" w:eastAsiaTheme="majorEastAsia" w:cstheme="majorBidi"/>
          <w:color w:val="1F4D78" w:themeColor="accent1" w:themeShade="7F"/>
        </w:rPr>
        <w:t>Discussion</w:t>
      </w:r>
    </w:p>
    <w:p w:rsidRPr="00CE4489" w:rsidR="00610505" w:rsidP="00610505" w:rsidRDefault="00610505" w14:paraId="4E07ACEC" w14:textId="77777777">
      <w:r w:rsidRPr="00CE4489">
        <w:t>This research provides new information on the clinical course of neuropathic pain and a better understanding of neuropathic pain in low back-related leg pain</w:t>
      </w:r>
      <w:r w:rsidRPr="00CE4489" w:rsidDel="00472DBD">
        <w:t xml:space="preserve"> </w:t>
      </w:r>
      <w:r w:rsidRPr="00CE4489">
        <w:t>patients consulting in primary care.</w:t>
      </w:r>
    </w:p>
    <w:p w:rsidRPr="00CE4489" w:rsidR="00610505" w:rsidP="00610505" w:rsidRDefault="00610505" w14:paraId="1781A74A" w14:textId="77777777">
      <w:pPr>
        <w:keepNext/>
        <w:keepLines/>
        <w:spacing w:before="40"/>
        <w:outlineLvl w:val="2"/>
        <w:rPr>
          <w:rFonts w:asciiTheme="majorHAnsi" w:hAnsiTheme="majorHAnsi" w:eastAsiaTheme="majorEastAsia" w:cstheme="majorBidi"/>
          <w:color w:val="1F4D78" w:themeColor="accent1" w:themeShade="7F"/>
        </w:rPr>
      </w:pPr>
      <w:r w:rsidRPr="00CE4489">
        <w:rPr>
          <w:rFonts w:asciiTheme="majorHAnsi" w:hAnsiTheme="majorHAnsi" w:eastAsiaTheme="majorEastAsia" w:cstheme="majorBidi"/>
          <w:color w:val="1F4D78" w:themeColor="accent1" w:themeShade="7F"/>
        </w:rPr>
        <w:t>Key words</w:t>
      </w:r>
    </w:p>
    <w:p w:rsidRPr="00CE4489" w:rsidR="00610505" w:rsidP="00610505" w:rsidRDefault="00610505" w14:paraId="63FB7548" w14:textId="77777777">
      <w:pPr>
        <w:rPr>
          <w:rFonts w:asciiTheme="majorHAnsi" w:hAnsiTheme="majorHAnsi" w:eastAsiaTheme="majorEastAsia" w:cstheme="majorBidi"/>
          <w:color w:val="1F4D78" w:themeColor="accent1" w:themeShade="7F"/>
        </w:rPr>
      </w:pPr>
      <w:r w:rsidRPr="00CE4489">
        <w:t>Low back pain; leg pain; primary care; neuropathic pain; epidemiology</w:t>
      </w:r>
    </w:p>
    <w:p w:rsidRPr="00CE4489" w:rsidR="00610505" w:rsidRDefault="00610505" w14:paraId="1459D672" w14:textId="4C611447">
      <w:pPr>
        <w:spacing w:line="240" w:lineRule="auto"/>
        <w:rPr>
          <w:rFonts w:asciiTheme="majorHAnsi" w:hAnsiTheme="majorHAnsi" w:eastAsiaTheme="majorEastAsia" w:cstheme="majorBidi"/>
          <w:color w:val="1F4E79" w:themeColor="accent1" w:themeShade="80"/>
          <w:sz w:val="28"/>
          <w:szCs w:val="26"/>
        </w:rPr>
      </w:pPr>
      <w:r w:rsidRPr="00CE4489">
        <w:br w:type="page"/>
      </w:r>
    </w:p>
    <w:p w:rsidRPr="00CE4489" w:rsidR="00F674A1" w:rsidRDefault="00F674A1" w14:paraId="5A635E4D" w14:textId="08F0AE42">
      <w:pPr>
        <w:pStyle w:val="Heading2"/>
      </w:pPr>
      <w:r w:rsidRPr="00CE4489">
        <w:lastRenderedPageBreak/>
        <w:t>Introduction</w:t>
      </w:r>
    </w:p>
    <w:p w:rsidRPr="00CE4489" w:rsidR="00F674A1" w:rsidP="00273F68" w:rsidRDefault="00F674A1" w14:paraId="3125A037" w14:textId="4EA461D5">
      <w:pPr>
        <w:spacing w:line="480" w:lineRule="auto"/>
      </w:pPr>
      <w:r w:rsidRPr="00CE4489">
        <w:t>Neuropathic pa</w:t>
      </w:r>
      <w:r w:rsidRPr="00CE4489" w:rsidR="003323FB">
        <w:t xml:space="preserve">in, </w:t>
      </w:r>
      <w:r w:rsidRPr="00CE4489">
        <w:t>defined as pain caused by injury or disease of the somatosensory system</w:t>
      </w:r>
      <w:r w:rsidRPr="00CE4489" w:rsidR="00C3097A">
        <w:t>,</w:t>
      </w:r>
      <w:r w:rsidRPr="00CE4489" w:rsidR="00C3097A">
        <w:rPr>
          <w:vertAlign w:val="superscript"/>
        </w:rPr>
        <w:t>1</w:t>
      </w:r>
      <w:r w:rsidRPr="00CE4489">
        <w:t xml:space="preserve"> is considered to be challenging to manage. The symptoms of </w:t>
      </w:r>
      <w:r w:rsidRPr="00CE4489" w:rsidR="000C6837">
        <w:t>neuropathic pain</w:t>
      </w:r>
      <w:r w:rsidRPr="00CE4489">
        <w:t>, which may include feelings of burning, electric-shock and/or prickling,</w:t>
      </w:r>
      <w:r w:rsidRPr="00CE4489" w:rsidR="00273927">
        <w:rPr>
          <w:vertAlign w:val="superscript"/>
        </w:rPr>
        <w:t>2</w:t>
      </w:r>
      <w:r w:rsidRPr="00CE4489">
        <w:rPr>
          <w:vertAlign w:val="superscript"/>
        </w:rPr>
        <w:t xml:space="preserve"> </w:t>
      </w:r>
      <w:r w:rsidRPr="00CE4489">
        <w:t xml:space="preserve">can be very distressing for patients. There is no gold standard for defining cases of </w:t>
      </w:r>
      <w:r w:rsidRPr="00CE4489" w:rsidR="000C6837">
        <w:t xml:space="preserve">neuropathic pain </w:t>
      </w:r>
      <w:r w:rsidRPr="00CE4489">
        <w:t xml:space="preserve">but there is some consensus for a hierarchical grading system to assist researchers and clinicians to identify cases of </w:t>
      </w:r>
      <w:r w:rsidRPr="00CE4489" w:rsidR="00C3097A">
        <w:t>neuropathic pain.</w:t>
      </w:r>
      <w:r w:rsidRPr="00CE4489" w:rsidR="00C3097A">
        <w:rPr>
          <w:vertAlign w:val="superscript"/>
        </w:rPr>
        <w:t xml:space="preserve">1 </w:t>
      </w:r>
      <w:r w:rsidRPr="00CE4489">
        <w:t xml:space="preserve">Patients with a pain condition, plausible clinical history and with relevant findings from neurological examination meet the criteria for having ‘possible’ </w:t>
      </w:r>
      <w:r w:rsidRPr="00CE4489" w:rsidR="000C6837">
        <w:t>neuropathic pain</w:t>
      </w:r>
      <w:r w:rsidRPr="00CE4489">
        <w:t xml:space="preserve">. With the addition of appropriate findings from diagnostic tests, patients meet </w:t>
      </w:r>
      <w:r w:rsidRPr="00CE4489" w:rsidR="00A55FEC">
        <w:t xml:space="preserve">the </w:t>
      </w:r>
      <w:r w:rsidRPr="00CE4489">
        <w:t xml:space="preserve">criteria for having ‘probable’ </w:t>
      </w:r>
      <w:r w:rsidRPr="00CE4489" w:rsidR="00E6720F">
        <w:t>neuropathic pain</w:t>
      </w:r>
      <w:r w:rsidRPr="00CE4489">
        <w:t xml:space="preserve">. </w:t>
      </w:r>
      <w:r w:rsidRPr="00CE4489">
        <w:rPr>
          <w:lang w:val="en-US"/>
        </w:rPr>
        <w:t xml:space="preserve">The majority of patients with </w:t>
      </w:r>
      <w:r w:rsidRPr="00CE4489" w:rsidR="000C6837">
        <w:t>neuropathic pain</w:t>
      </w:r>
      <w:r w:rsidRPr="00CE4489" w:rsidR="000C6837">
        <w:rPr>
          <w:lang w:val="en-US"/>
        </w:rPr>
        <w:t xml:space="preserve"> </w:t>
      </w:r>
      <w:r w:rsidRPr="00CE4489" w:rsidR="00C3097A">
        <w:rPr>
          <w:lang w:val="en-US"/>
        </w:rPr>
        <w:t>are managed in primary care</w:t>
      </w:r>
      <w:r w:rsidRPr="00CE4489">
        <w:rPr>
          <w:lang w:val="en-US"/>
        </w:rPr>
        <w:t>,</w:t>
      </w:r>
      <w:r w:rsidRPr="00CE4489" w:rsidR="0004262D">
        <w:rPr>
          <w:vertAlign w:val="superscript"/>
          <w:lang w:val="en-US"/>
        </w:rPr>
        <w:t>3</w:t>
      </w:r>
      <w:r w:rsidRPr="00CE4489">
        <w:rPr>
          <w:lang w:val="en-US"/>
        </w:rPr>
        <w:t xml:space="preserve"> even if consulting with severe and bothersome pain. In primary care, where clinicians are non-specialists, </w:t>
      </w:r>
      <w:r w:rsidRPr="00CE4489" w:rsidR="00E6720F">
        <w:t xml:space="preserve">neuropathic pain </w:t>
      </w:r>
      <w:r w:rsidRPr="00CE4489">
        <w:t>screening tools (for example self-report version of Leeds Assessment of Neuropathic Symptoms and Signs (s-LANSS)</w:t>
      </w:r>
      <w:r w:rsidRPr="00CE4489" w:rsidR="0004262D">
        <w:rPr>
          <w:vertAlign w:val="superscript"/>
        </w:rPr>
        <w:t>4</w:t>
      </w:r>
      <w:r w:rsidRPr="00CE4489">
        <w:t xml:space="preserve"> have been suggested as useful to identify patients with possible </w:t>
      </w:r>
      <w:r w:rsidRPr="00CE4489" w:rsidR="00C3097A">
        <w:t>neuropathic pain</w:t>
      </w:r>
      <w:r w:rsidRPr="00CE4489">
        <w:t>.</w:t>
      </w:r>
      <w:r w:rsidRPr="00CE4489" w:rsidR="0004262D">
        <w:rPr>
          <w:vertAlign w:val="superscript"/>
        </w:rPr>
        <w:t>5</w:t>
      </w:r>
      <w:r w:rsidRPr="00CE4489">
        <w:t xml:space="preserve"> </w:t>
      </w:r>
    </w:p>
    <w:p w:rsidRPr="00CE4489" w:rsidR="00F674A1" w:rsidP="00273F68" w:rsidRDefault="00F674A1" w14:paraId="0B803B92" w14:textId="77777777">
      <w:pPr>
        <w:spacing w:line="480" w:lineRule="auto"/>
      </w:pPr>
    </w:p>
    <w:p w:rsidRPr="00CE4489" w:rsidR="002B4E47" w:rsidP="00273F68" w:rsidRDefault="00F674A1" w14:paraId="3CB9661F" w14:textId="4DC125B2">
      <w:pPr>
        <w:spacing w:line="480" w:lineRule="auto"/>
        <w:rPr>
          <w:lang w:val="en-US"/>
        </w:rPr>
      </w:pPr>
      <w:r w:rsidRPr="00CE4489">
        <w:t xml:space="preserve">Low back pain (LBP) is thought to be one of the most common </w:t>
      </w:r>
      <w:r w:rsidRPr="00CE4489" w:rsidR="00E6720F">
        <w:t xml:space="preserve">neuropathic pain </w:t>
      </w:r>
      <w:r w:rsidRPr="00CE4489">
        <w:t>presentations</w:t>
      </w:r>
      <w:r w:rsidRPr="00CE4489" w:rsidR="0004262D">
        <w:rPr>
          <w:vertAlign w:val="superscript"/>
        </w:rPr>
        <w:t>6</w:t>
      </w:r>
      <w:r w:rsidRPr="00CE4489">
        <w:t xml:space="preserve"> and is the leading cause of disability globally</w:t>
      </w:r>
      <w:r w:rsidRPr="00CE4489" w:rsidR="00C3097A">
        <w:t>.</w:t>
      </w:r>
      <w:r w:rsidRPr="00CE4489" w:rsidR="0004262D">
        <w:rPr>
          <w:vertAlign w:val="superscript"/>
        </w:rPr>
        <w:t>7</w:t>
      </w:r>
      <w:r w:rsidRPr="00CE4489">
        <w:t xml:space="preserve"> </w:t>
      </w:r>
      <w:r w:rsidRPr="00CE4489">
        <w:rPr>
          <w:lang w:val="en-US"/>
        </w:rPr>
        <w:t>Leg pain related to back pain (LBLP) is one of the most common presentations of LBP</w:t>
      </w:r>
      <w:r w:rsidRPr="00CE4489" w:rsidR="00C3097A">
        <w:rPr>
          <w:vertAlign w:val="superscript"/>
          <w:lang w:val="en-US"/>
        </w:rPr>
        <w:t>8</w:t>
      </w:r>
      <w:r w:rsidRPr="00CE4489" w:rsidR="0004262D">
        <w:rPr>
          <w:vertAlign w:val="superscript"/>
          <w:lang w:val="en-US"/>
        </w:rPr>
        <w:t>,9</w:t>
      </w:r>
      <w:r w:rsidRPr="00CE4489">
        <w:rPr>
          <w:lang w:val="en-US"/>
        </w:rPr>
        <w:t xml:space="preserve"> and is associated with increased pain, disability and poorer quality of life compared to LBP alone</w:t>
      </w:r>
      <w:r w:rsidRPr="00CE4489" w:rsidR="00C3097A">
        <w:rPr>
          <w:lang w:val="en-US"/>
        </w:rPr>
        <w:t>.</w:t>
      </w:r>
      <w:r w:rsidRPr="00CE4489" w:rsidR="0004262D">
        <w:rPr>
          <w:vertAlign w:val="superscript"/>
          <w:lang w:val="en-US"/>
        </w:rPr>
        <w:t>10</w:t>
      </w:r>
      <w:r w:rsidRPr="00CE4489">
        <w:rPr>
          <w:lang w:val="en-US"/>
        </w:rPr>
        <w:t xml:space="preserve"> For this reason there is an argument that LBLP patients should be considered as distinct for research purposes from those with LBP</w:t>
      </w:r>
      <w:r w:rsidRPr="00CE4489" w:rsidR="00C3097A">
        <w:rPr>
          <w:lang w:val="en-US"/>
        </w:rPr>
        <w:t>.</w:t>
      </w:r>
      <w:r w:rsidRPr="00CE4489" w:rsidR="00C3097A">
        <w:rPr>
          <w:vertAlign w:val="superscript"/>
          <w:lang w:val="en-US"/>
        </w:rPr>
        <w:t>1</w:t>
      </w:r>
      <w:r w:rsidRPr="00CE4489" w:rsidR="00291400">
        <w:rPr>
          <w:vertAlign w:val="superscript"/>
          <w:lang w:val="en-US"/>
        </w:rPr>
        <w:t>1</w:t>
      </w:r>
      <w:r w:rsidRPr="00CE4489">
        <w:rPr>
          <w:lang w:val="en-US"/>
        </w:rPr>
        <w:t xml:space="preserve"> LBLP is clinically diagnosed as having sciatica</w:t>
      </w:r>
      <w:r w:rsidRPr="00CE4489" w:rsidR="00AB1CA7">
        <w:rPr>
          <w:lang w:val="en-US"/>
        </w:rPr>
        <w:t xml:space="preserve"> (also termed lumbar spinal </w:t>
      </w:r>
      <w:r w:rsidRPr="00CE4489" w:rsidR="00AB1CA7">
        <w:rPr>
          <w:lang w:val="en-US"/>
        </w:rPr>
        <w:lastRenderedPageBreak/>
        <w:t>nerve root pain or radicular pain)</w:t>
      </w:r>
      <w:r w:rsidRPr="00CE4489">
        <w:rPr>
          <w:lang w:val="en-US"/>
        </w:rPr>
        <w:t xml:space="preserve"> or referred leg pain, where sciatica is thought to be neuropathic</w:t>
      </w:r>
      <w:r w:rsidRPr="00CE4489" w:rsidR="00045B88">
        <w:rPr>
          <w:vertAlign w:val="superscript"/>
          <w:lang w:val="en-US"/>
        </w:rPr>
        <w:t>1</w:t>
      </w:r>
      <w:r w:rsidRPr="00CE4489" w:rsidR="00291400">
        <w:rPr>
          <w:vertAlign w:val="superscript"/>
          <w:lang w:val="en-US"/>
        </w:rPr>
        <w:t>2</w:t>
      </w:r>
      <w:r w:rsidRPr="00CE4489" w:rsidR="004159C4">
        <w:rPr>
          <w:lang w:val="en-US"/>
        </w:rPr>
        <w:t xml:space="preserve"> </w:t>
      </w:r>
      <w:r w:rsidRPr="00CE4489">
        <w:rPr>
          <w:lang w:val="en-US"/>
        </w:rPr>
        <w:t xml:space="preserve">and referred leg pain to be nociceptive. </w:t>
      </w:r>
    </w:p>
    <w:p w:rsidRPr="00CE4489" w:rsidR="007E5D2D" w:rsidP="00273F68" w:rsidRDefault="007E5D2D" w14:paraId="385001D0" w14:textId="77777777">
      <w:pPr>
        <w:spacing w:line="480" w:lineRule="auto"/>
        <w:rPr>
          <w:lang w:val="en-US"/>
        </w:rPr>
      </w:pPr>
    </w:p>
    <w:p w:rsidRPr="00CE4489" w:rsidR="000A0BB2" w:rsidP="00273F68" w:rsidRDefault="00EF2D18" w14:paraId="0CEC3564" w14:textId="3F460EFE">
      <w:pPr>
        <w:spacing w:line="480" w:lineRule="auto"/>
        <w:rPr>
          <w:lang w:val="en-US"/>
        </w:rPr>
      </w:pPr>
      <w:r w:rsidRPr="00CE4489">
        <w:rPr>
          <w:lang w:val="en-US"/>
        </w:rPr>
        <w:t xml:space="preserve">There are specific pharmacological and non-pharmacological treatments (physiotherapy, cognitive behavioural therapy) available to </w:t>
      </w:r>
      <w:r w:rsidRPr="00CE4489" w:rsidR="002435E6">
        <w:rPr>
          <w:lang w:val="en-US"/>
        </w:rPr>
        <w:t xml:space="preserve">LBLP </w:t>
      </w:r>
      <w:r w:rsidRPr="00CE4489">
        <w:rPr>
          <w:lang w:val="en-US"/>
        </w:rPr>
        <w:t>patients with</w:t>
      </w:r>
      <w:r w:rsidRPr="00CE4489" w:rsidR="002435E6">
        <w:rPr>
          <w:lang w:val="en-US"/>
        </w:rPr>
        <w:t xml:space="preserve"> and without</w:t>
      </w:r>
      <w:r w:rsidRPr="00CE4489">
        <w:rPr>
          <w:lang w:val="en-US"/>
        </w:rPr>
        <w:t xml:space="preserve"> neuropathic pain in primary care. Guidelines advocate that neuropathic pain medications are considered for patients with sciatica</w:t>
      </w:r>
      <w:r w:rsidRPr="00CE4489" w:rsidR="000A0BB2">
        <w:rPr>
          <w:lang w:val="en-US"/>
        </w:rPr>
        <w:t>.</w:t>
      </w:r>
      <w:r w:rsidRPr="00CE4489" w:rsidR="000A0BB2">
        <w:rPr>
          <w:vertAlign w:val="superscript"/>
        </w:rPr>
        <w:t>1</w:t>
      </w:r>
      <w:r w:rsidRPr="00CE4489" w:rsidR="007E5D2D">
        <w:rPr>
          <w:vertAlign w:val="superscript"/>
        </w:rPr>
        <w:t>3,14</w:t>
      </w:r>
      <w:r w:rsidRPr="00CE4489" w:rsidR="003C750A">
        <w:rPr>
          <w:lang w:val="en-US"/>
        </w:rPr>
        <w:t xml:space="preserve"> A diagnostic approach is important when it enables the provision of timely and targeted interventions as in acute illnesses, it is not clear whether this approach is useful for LBLP patients consulting in primary care. For many LBLP patients consulting in primary care, identifying neuropathic pain does not provide sufficient knowledge or evidence of likely future health outcomes.</w:t>
      </w:r>
      <w:r w:rsidRPr="00CE4489" w:rsidR="003C750A">
        <w:rPr>
          <w:vertAlign w:val="superscript"/>
        </w:rPr>
        <w:t>15</w:t>
      </w:r>
      <w:r w:rsidRPr="00CE4489" w:rsidR="003C750A">
        <w:rPr>
          <w:lang w:val="en-US"/>
        </w:rPr>
        <w:t xml:space="preserve"> </w:t>
      </w:r>
      <w:r w:rsidRPr="00CE4489" w:rsidR="0043388F">
        <w:rPr>
          <w:lang w:val="en-US"/>
        </w:rPr>
        <w:t>I</w:t>
      </w:r>
      <w:r w:rsidRPr="00CE4489" w:rsidR="00F674A1">
        <w:rPr>
          <w:lang w:val="en-US"/>
        </w:rPr>
        <w:t xml:space="preserve">t is widely thought that LBLP patients with </w:t>
      </w:r>
      <w:r w:rsidRPr="00CE4489" w:rsidR="00E6720F">
        <w:t>neuropathic pain</w:t>
      </w:r>
      <w:r w:rsidRPr="00CE4489" w:rsidR="00E6720F">
        <w:rPr>
          <w:lang w:val="en-US"/>
        </w:rPr>
        <w:t xml:space="preserve"> </w:t>
      </w:r>
      <w:r w:rsidRPr="00CE4489" w:rsidR="00F674A1">
        <w:rPr>
          <w:lang w:val="en-US"/>
        </w:rPr>
        <w:t>do worse over time compared to those without</w:t>
      </w:r>
      <w:r w:rsidRPr="00CE4489" w:rsidR="00155341">
        <w:rPr>
          <w:lang w:val="en-US"/>
        </w:rPr>
        <w:t>,</w:t>
      </w:r>
      <w:r w:rsidRPr="00CE4489" w:rsidR="00F674A1">
        <w:rPr>
          <w:lang w:val="en-US"/>
        </w:rPr>
        <w:t xml:space="preserve"> but evidence from a recent systematic review</w:t>
      </w:r>
      <w:r w:rsidRPr="00CE4489" w:rsidR="00C3097A">
        <w:rPr>
          <w:vertAlign w:val="superscript"/>
          <w:lang w:val="en-US"/>
        </w:rPr>
        <w:t>1</w:t>
      </w:r>
      <w:r w:rsidRPr="00CE4489" w:rsidR="007E5D2D">
        <w:rPr>
          <w:vertAlign w:val="superscript"/>
          <w:lang w:val="en-US"/>
        </w:rPr>
        <w:t xml:space="preserve">6 </w:t>
      </w:r>
      <w:r w:rsidRPr="00CE4489" w:rsidR="00F674A1">
        <w:rPr>
          <w:lang w:val="en-US"/>
        </w:rPr>
        <w:t xml:space="preserve">highlighted </w:t>
      </w:r>
      <w:r w:rsidRPr="00CE4489" w:rsidR="00066CF9">
        <w:rPr>
          <w:lang w:val="en-US"/>
        </w:rPr>
        <w:t xml:space="preserve">the </w:t>
      </w:r>
      <w:r w:rsidRPr="00CE4489" w:rsidR="00F674A1">
        <w:rPr>
          <w:lang w:val="en-US"/>
        </w:rPr>
        <w:t xml:space="preserve">paucity of evidence describing the prognosis of LBLP patients with </w:t>
      </w:r>
      <w:r w:rsidRPr="00CE4489" w:rsidR="00E6720F">
        <w:t>neuropathic pain</w:t>
      </w:r>
      <w:r w:rsidRPr="00CE4489" w:rsidR="00E6720F">
        <w:rPr>
          <w:lang w:val="en-US"/>
        </w:rPr>
        <w:t xml:space="preserve"> </w:t>
      </w:r>
      <w:r w:rsidRPr="00CE4489" w:rsidR="00F674A1">
        <w:rPr>
          <w:lang w:val="en-US"/>
        </w:rPr>
        <w:t xml:space="preserve">consulting in primary care. </w:t>
      </w:r>
    </w:p>
    <w:p w:rsidRPr="00CE4489" w:rsidR="00F674A1" w:rsidP="00273F68" w:rsidRDefault="00F674A1" w14:paraId="5025194A" w14:textId="77777777">
      <w:pPr>
        <w:spacing w:line="480" w:lineRule="auto"/>
        <w:rPr>
          <w:lang w:val="en-US"/>
        </w:rPr>
      </w:pPr>
    </w:p>
    <w:p w:rsidRPr="00CE4489" w:rsidR="00526BC3" w:rsidP="00273F68" w:rsidRDefault="00526BC3" w14:paraId="579CBBD2" w14:textId="12E0B3F5">
      <w:pPr>
        <w:spacing w:line="480" w:lineRule="auto"/>
      </w:pPr>
      <w:r w:rsidRPr="00CE4489">
        <w:t xml:space="preserve">The aims of this study were to </w:t>
      </w:r>
      <w:r w:rsidRPr="00CE4489" w:rsidR="00155341">
        <w:t>describe</w:t>
      </w:r>
      <w:r w:rsidRPr="00CE4489" w:rsidR="00DA6D1F">
        <w:t>: i)</w:t>
      </w:r>
      <w:r w:rsidRPr="00CE4489" w:rsidR="00F674A1">
        <w:t xml:space="preserve"> prevalence of </w:t>
      </w:r>
      <w:r w:rsidRPr="00CE4489" w:rsidR="00E6720F">
        <w:t xml:space="preserve">neuropathic pain </w:t>
      </w:r>
      <w:r w:rsidRPr="00CE4489" w:rsidR="00F674A1">
        <w:t>in LBLP patients consulting in primary care</w:t>
      </w:r>
      <w:r w:rsidRPr="00CE4489" w:rsidR="00A323BC">
        <w:t>; ii)</w:t>
      </w:r>
      <w:r w:rsidRPr="00CE4489" w:rsidR="00F674A1">
        <w:t xml:space="preserve"> characteristics of LBLP patients with </w:t>
      </w:r>
      <w:r w:rsidRPr="00CE4489" w:rsidR="00E6720F">
        <w:t>neuropathic pain</w:t>
      </w:r>
      <w:r w:rsidRPr="00CE4489" w:rsidR="008F280A">
        <w:t>;</w:t>
      </w:r>
      <w:r w:rsidRPr="00CE4489" w:rsidR="00A323BC">
        <w:t xml:space="preserve"> iii) </w:t>
      </w:r>
      <w:r w:rsidRPr="00CE4489" w:rsidR="00F674A1">
        <w:t xml:space="preserve">the clinical course of LBLP patients with </w:t>
      </w:r>
      <w:r w:rsidRPr="00CE4489" w:rsidR="00E6720F">
        <w:t xml:space="preserve">neuropathic pain </w:t>
      </w:r>
      <w:r w:rsidRPr="00CE4489" w:rsidR="00F674A1">
        <w:t>at baseline in terms of pain intensity over short, intermediate and long-term time-points.</w:t>
      </w:r>
      <w:r w:rsidRPr="00CE4489" w:rsidR="00F660A2">
        <w:t xml:space="preserve"> </w:t>
      </w:r>
      <w:r w:rsidRPr="00CE4489" w:rsidR="00215675">
        <w:t xml:space="preserve">Given there is no perfect standard for identifying cases of </w:t>
      </w:r>
      <w:r w:rsidRPr="00CE4489" w:rsidR="00E6720F">
        <w:t>neuropathic pain</w:t>
      </w:r>
      <w:r w:rsidRPr="00CE4489" w:rsidR="00215675">
        <w:t xml:space="preserve">, we provide </w:t>
      </w:r>
      <w:r w:rsidRPr="00CE4489" w:rsidR="00EF51ED">
        <w:t xml:space="preserve">and compare </w:t>
      </w:r>
      <w:r w:rsidRPr="00CE4489" w:rsidR="00215675">
        <w:t xml:space="preserve">data on </w:t>
      </w:r>
      <w:r w:rsidRPr="00CE4489" w:rsidR="00261332">
        <w:t xml:space="preserve">prevalence, characteristics and clinical course, by describing cases using clinical definitions for </w:t>
      </w:r>
      <w:r w:rsidRPr="00CE4489" w:rsidR="00E6720F">
        <w:t xml:space="preserve">neuropathic pain </w:t>
      </w:r>
      <w:r w:rsidRPr="00CE4489" w:rsidR="00261332">
        <w:t xml:space="preserve">and </w:t>
      </w:r>
      <w:r w:rsidRPr="00CE4489" w:rsidR="00EF51ED">
        <w:t>also</w:t>
      </w:r>
      <w:r w:rsidRPr="00CE4489" w:rsidR="000771B6">
        <w:t xml:space="preserve"> a </w:t>
      </w:r>
      <w:r w:rsidRPr="00CE4489" w:rsidR="00E6720F">
        <w:t xml:space="preserve">neuropathic pain </w:t>
      </w:r>
      <w:r w:rsidRPr="00CE4489" w:rsidR="000771B6">
        <w:t>screening tool.</w:t>
      </w:r>
    </w:p>
    <w:p w:rsidRPr="00CE4489" w:rsidR="00F674A1" w:rsidP="00273F68" w:rsidRDefault="00F674A1" w14:paraId="79216F97" w14:textId="77777777">
      <w:pPr>
        <w:spacing w:line="480" w:lineRule="auto"/>
      </w:pPr>
    </w:p>
    <w:p w:rsidRPr="00CE4489" w:rsidR="00F674A1" w:rsidRDefault="00F11FA7" w14:paraId="12C2EBBE" w14:textId="67AD8739">
      <w:pPr>
        <w:pStyle w:val="Heading2"/>
      </w:pPr>
      <w:r w:rsidRPr="00CE4489">
        <w:lastRenderedPageBreak/>
        <w:t xml:space="preserve">Materials and </w:t>
      </w:r>
      <w:r w:rsidRPr="00CE4489" w:rsidR="00F674A1">
        <w:t xml:space="preserve">Methods </w:t>
      </w:r>
    </w:p>
    <w:p w:rsidRPr="00CE4489" w:rsidR="00F674A1" w:rsidP="00273F68" w:rsidRDefault="00F674A1" w14:paraId="5ADAA37A" w14:textId="77777777">
      <w:pPr>
        <w:pStyle w:val="Heading3"/>
        <w:spacing w:line="480" w:lineRule="auto"/>
      </w:pPr>
      <w:r w:rsidRPr="00CE4489">
        <w:t>Study design and patient recruitment</w:t>
      </w:r>
    </w:p>
    <w:p w:rsidRPr="00CE4489" w:rsidR="00F674A1" w:rsidP="00273F68" w:rsidRDefault="00F674A1" w14:paraId="10BE55CA" w14:textId="1C1875D3">
      <w:pPr>
        <w:spacing w:line="480" w:lineRule="auto"/>
      </w:pPr>
      <w:r w:rsidRPr="00CE4489">
        <w:t xml:space="preserve">This is secondary analysis of a prospective, multi-centre cohort study, the Assessment and Treatment of Leg pain Associated with the Spine (ATLAS) study, of LBLP patients consulting and receiving treatment in primary care. </w:t>
      </w:r>
      <w:r w:rsidRPr="00CE4489" w:rsidR="00E04C3C">
        <w:t xml:space="preserve">Ethical approval was granted by the South Birmingham Research Ethics Committee (REC ref 10/H1207/82) in October 2010 for the original study, and by NRES Committees North of Scotland (REC Ref. 13/NS/0170) for the longer-term follow-up. All analyses in this report were nested within this programme of work. </w:t>
      </w:r>
      <w:r w:rsidRPr="00CE4489">
        <w:t>Adults aged 18 years and over with LBLP of any duration and severity</w:t>
      </w:r>
      <w:r w:rsidRPr="00CE4489" w:rsidR="0020432A">
        <w:t>,</w:t>
      </w:r>
      <w:r w:rsidRPr="00CE4489">
        <w:t xml:space="preserve"> who consulted with their family doctor</w:t>
      </w:r>
      <w:r w:rsidRPr="00CE4489" w:rsidR="0020432A">
        <w:t>,</w:t>
      </w:r>
      <w:r w:rsidRPr="00CE4489">
        <w:t xml:space="preserve"> were invited to take part in the ATLAS study. For the full details of the recruitment procedure see the ATLAS study protocol</w:t>
      </w:r>
      <w:r w:rsidRPr="00CE4489" w:rsidR="00C3097A">
        <w:t>,</w:t>
      </w:r>
      <w:r w:rsidRPr="00CE4489" w:rsidR="00C3097A">
        <w:rPr>
          <w:vertAlign w:val="superscript"/>
        </w:rPr>
        <w:t>1</w:t>
      </w:r>
      <w:r w:rsidRPr="00CE4489" w:rsidR="00FB5DFC">
        <w:rPr>
          <w:vertAlign w:val="superscript"/>
        </w:rPr>
        <w:t>7</w:t>
      </w:r>
      <w:r w:rsidRPr="00CE4489">
        <w:t xml:space="preserve"> the flow of patients in the ATLAS study is summarised in Fig</w:t>
      </w:r>
      <w:r w:rsidRPr="00CE4489" w:rsidR="00C3097A">
        <w:t xml:space="preserve">ure </w:t>
      </w:r>
      <w:r w:rsidRPr="00CE4489">
        <w:t>1. Patients were considered to have LBLP if they presented with leg pain that spread from the lower back beyond the gluteal fold to anywhere in the leg. Pain was considered to include u</w:t>
      </w:r>
      <w:r w:rsidRPr="00CE4489" w:rsidR="00B40108">
        <w:t>np</w:t>
      </w:r>
      <w:r w:rsidRPr="00CE4489">
        <w:t>leasant sensations such as pins and needles or numbness. Patients were excluded if there was suspected serious spinal pathology, previous spinal surgery, pregnancy, they were receiving physiotherapy treatment (or osteopathy</w:t>
      </w:r>
      <w:r w:rsidRPr="00CE4489" w:rsidR="00066CF9">
        <w:t xml:space="preserve"> or </w:t>
      </w:r>
      <w:r w:rsidRPr="00CE4489">
        <w:t>chiropractic) or were under the care of a specialist consultant in secondary care for the same condition, those with serious physical or mental co-morbidity that would prevent them attend</w:t>
      </w:r>
      <w:r w:rsidRPr="00CE4489" w:rsidR="00066CF9">
        <w:t>ing</w:t>
      </w:r>
      <w:r w:rsidRPr="00CE4489">
        <w:t xml:space="preserve"> the research clinic or undergo</w:t>
      </w:r>
      <w:r w:rsidRPr="00CE4489" w:rsidR="00066CF9">
        <w:t>ing</w:t>
      </w:r>
      <w:r w:rsidRPr="00CE4489">
        <w:t xml:space="preserve"> the study’s procedures, or inability to read and speak English. </w:t>
      </w:r>
    </w:p>
    <w:p w:rsidRPr="00CE4489" w:rsidR="00F674A1" w:rsidP="00182449" w:rsidRDefault="00F674A1" w14:paraId="70EDF162" w14:textId="0BE98B46">
      <w:pPr>
        <w:spacing w:line="240" w:lineRule="auto"/>
      </w:pPr>
    </w:p>
    <w:p w:rsidRPr="00CE4489" w:rsidR="0041430E" w:rsidP="00273F68" w:rsidRDefault="00FC0437" w14:paraId="4E7F6CAF" w14:textId="2986286A">
      <w:pPr>
        <w:spacing w:line="480" w:lineRule="auto"/>
      </w:pPr>
      <w:r w:rsidRPr="00CE4489">
        <w:t>All participants in the study were assessed by physiotherapists and a neurological examination was carried out as part of the clinical examination as recommended in LBP guidelines</w:t>
      </w:r>
      <w:r w:rsidRPr="00CE4489">
        <w:rPr>
          <w:vertAlign w:val="superscript"/>
        </w:rPr>
        <w:t>19</w:t>
      </w:r>
      <w:r w:rsidRPr="00CE4489">
        <w:t xml:space="preserve"> and specialist books (for example, Examination of the Lumbar Region in </w:t>
      </w:r>
      <w:r w:rsidRPr="00CE4489">
        <w:lastRenderedPageBreak/>
        <w:t>Neuromusculoskeletal Examination and Assessment, pages 329 to 330).</w:t>
      </w:r>
      <w:r w:rsidRPr="00CE4489">
        <w:rPr>
          <w:vertAlign w:val="superscript"/>
        </w:rPr>
        <w:t>20</w:t>
      </w:r>
      <w:r w:rsidRPr="00CE4489">
        <w:t xml:space="preserve"> At the time of the clinical examination, a clinical diagnosis of either sciatica or referred leg pain was made. In this research, a clinical diagnosis of sciatica was characterised by leg pain that may radiate to beyond the knee and into the foot or toes, and may be accompanied by muscle weakness and/or reflex change and/or pins and needles or numbness (paraesthesia), in a specific nerve root(s) distribution.</w:t>
      </w:r>
      <w:r w:rsidRPr="00CE4489">
        <w:rPr>
          <w:vertAlign w:val="superscript"/>
        </w:rPr>
        <w:t>21</w:t>
      </w:r>
      <w:r w:rsidRPr="00CE4489">
        <w:t xml:space="preserve"> The term sciatica is indicative of nerve root compression causing radicular pain with or without neurological deficits and the criteria for clinical diagnosis was pre-determined following consensus from a Delphi study.</w:t>
      </w:r>
      <w:r w:rsidRPr="00CE4489">
        <w:rPr>
          <w:vertAlign w:val="superscript"/>
        </w:rPr>
        <w:t>22</w:t>
      </w:r>
    </w:p>
    <w:p w:rsidRPr="00CE4489" w:rsidR="00FC0437" w:rsidP="00273F68" w:rsidRDefault="00FC0437" w14:paraId="39FCC843" w14:textId="77777777">
      <w:pPr>
        <w:spacing w:line="480" w:lineRule="auto"/>
        <w:rPr>
          <w:rFonts w:eastAsia="Times New Roman"/>
        </w:rPr>
      </w:pPr>
    </w:p>
    <w:p w:rsidRPr="00CE4489" w:rsidR="00F674A1" w:rsidP="00273F68" w:rsidRDefault="00F674A1" w14:paraId="735235FC" w14:textId="2A3F6C1E">
      <w:pPr>
        <w:spacing w:line="480" w:lineRule="auto"/>
        <w:rPr>
          <w:rFonts w:eastAsia="Times New Roman"/>
        </w:rPr>
      </w:pPr>
      <w:r w:rsidRPr="00CE4489">
        <w:t>All physiotherapists in the ATLAS study were given training in the study’s procedures.</w:t>
      </w:r>
      <w:r w:rsidRPr="00CE4489">
        <w:rPr>
          <w:rFonts w:eastAsia="Times New Roman"/>
        </w:rPr>
        <w:t xml:space="preserve"> </w:t>
      </w:r>
      <w:r w:rsidRPr="00CE4489">
        <w:t>There was fair agreement between physiotherapists in this study when making a diagnosis o</w:t>
      </w:r>
      <w:r w:rsidRPr="00CE4489" w:rsidR="00C3097A">
        <w:t xml:space="preserve">f sciatica or referred leg pain. </w:t>
      </w:r>
      <w:r w:rsidRPr="00CE4489" w:rsidR="009B0FBF">
        <w:t xml:space="preserve">The full details of the agreement and reliability amongst the clinicians in the ATLAS study when diagnosing low back-related leg pain are </w:t>
      </w:r>
      <w:r w:rsidRPr="00CE4489" w:rsidR="00C3097A">
        <w:t>provided elsewhere</w:t>
      </w:r>
      <w:r w:rsidRPr="00CE4489">
        <w:t>.</w:t>
      </w:r>
      <w:r w:rsidRPr="00CE4489" w:rsidR="00FB5DFC">
        <w:rPr>
          <w:vertAlign w:val="superscript"/>
        </w:rPr>
        <w:t>2</w:t>
      </w:r>
      <w:r w:rsidRPr="00CE4489" w:rsidR="005A7A0D">
        <w:rPr>
          <w:vertAlign w:val="superscript"/>
        </w:rPr>
        <w:t>3</w:t>
      </w:r>
      <w:r w:rsidRPr="00CE4489">
        <w:t xml:space="preserve"> All patients in the ATLAS study were invited for a magnetic </w:t>
      </w:r>
      <w:r w:rsidRPr="00CE4489">
        <w:rPr>
          <w:shd w:val="clear" w:color="auto" w:fill="FFFFFF" w:themeFill="background1"/>
        </w:rPr>
        <w:t xml:space="preserve">resonance </w:t>
      </w:r>
      <w:r w:rsidRPr="00CE4489">
        <w:t xml:space="preserve">imaging (MRI) scan within ten days of attending </w:t>
      </w:r>
      <w:r w:rsidRPr="00CE4489" w:rsidR="0056336E">
        <w:t>their</w:t>
      </w:r>
      <w:r w:rsidRPr="00CE4489">
        <w:t xml:space="preserve"> assessment at the ATLAS research clinic, except in cases where this imaging was contraindicated, or when the patient did not wish to have a scan, or when an MRI scan was already available in the previous 6-months for the same clinical presentation. Data used in this analysis were collected at baseline and at three follow-up points at 4-months, 12-months and 3-years using postal self-complete questionnaires.</w:t>
      </w:r>
    </w:p>
    <w:p w:rsidRPr="00CE4489" w:rsidR="00F674A1" w:rsidP="00273F68" w:rsidRDefault="00F674A1" w14:paraId="33EDE847" w14:textId="77777777">
      <w:pPr>
        <w:spacing w:line="480" w:lineRule="auto"/>
      </w:pPr>
    </w:p>
    <w:p w:rsidRPr="00CE4489" w:rsidR="00F674A1" w:rsidP="00273F68" w:rsidRDefault="00F674A1" w14:paraId="48F4BCA4" w14:textId="77777777">
      <w:pPr>
        <w:pStyle w:val="Heading3"/>
        <w:spacing w:line="480" w:lineRule="auto"/>
      </w:pPr>
      <w:r w:rsidRPr="00CE4489">
        <w:t>Treatment pathways</w:t>
      </w:r>
    </w:p>
    <w:p w:rsidRPr="00CE4489" w:rsidR="00F674A1" w:rsidP="00273F68" w:rsidRDefault="00F674A1" w14:paraId="6FF5B90A" w14:textId="5A1B8B3C">
      <w:pPr>
        <w:spacing w:line="480" w:lineRule="auto"/>
      </w:pPr>
      <w:r w:rsidRPr="00CE4489">
        <w:t xml:space="preserve">Treatment plans </w:t>
      </w:r>
      <w:r w:rsidRPr="00CE4489" w:rsidR="00D90E28">
        <w:t xml:space="preserve">for patients in the study </w:t>
      </w:r>
      <w:r w:rsidRPr="00CE4489">
        <w:t>were agreed between the treating physiotherapist and the patient</w:t>
      </w:r>
      <w:r w:rsidRPr="00CE4489" w:rsidR="00853176">
        <w:t>, and according to current best clinical evidence and practice guidelines</w:t>
      </w:r>
      <w:r w:rsidRPr="00CE4489">
        <w:t xml:space="preserve">. For </w:t>
      </w:r>
      <w:r w:rsidRPr="00CE4489">
        <w:lastRenderedPageBreak/>
        <w:t>those patients where physiotherapy management was indicated, up to six (on average) treatment sessions (of 30 minutes) were delivered over six to eight week</w:t>
      </w:r>
      <w:r w:rsidRPr="00CE4489" w:rsidR="00066CF9">
        <w:t>s</w:t>
      </w:r>
      <w:r w:rsidRPr="00CE4489">
        <w:t>. If a patient’s symptoms worsened or failed to improve, pathways were in place so that appropriate referrals could be made to specialist spinal services for further assessment and management including onward referral to spinal surgeons and pain specialists.</w:t>
      </w:r>
    </w:p>
    <w:p w:rsidRPr="00CE4489" w:rsidR="00F674A1" w:rsidP="00273F68" w:rsidRDefault="00F674A1" w14:paraId="40C8B031" w14:textId="77777777">
      <w:pPr>
        <w:spacing w:line="480" w:lineRule="auto"/>
      </w:pPr>
    </w:p>
    <w:p w:rsidRPr="00CE4489" w:rsidR="00F674A1" w:rsidP="00273F68" w:rsidRDefault="00F674A1" w14:paraId="6E1C0F81" w14:textId="77777777">
      <w:pPr>
        <w:pStyle w:val="Heading3"/>
        <w:spacing w:line="480" w:lineRule="auto"/>
      </w:pPr>
      <w:r w:rsidRPr="00CE4489">
        <w:t>Selected characteristics of interest</w:t>
      </w:r>
    </w:p>
    <w:p w:rsidRPr="00CE4489" w:rsidR="00F674A1" w:rsidP="00273F68" w:rsidRDefault="00F674A1" w14:paraId="458BC18C" w14:textId="0003FF7D">
      <w:pPr>
        <w:spacing w:line="480" w:lineRule="auto"/>
      </w:pPr>
      <w:r w:rsidRPr="00CE4489">
        <w:t xml:space="preserve">The characteristics chosen to describe LBLP patients with and without </w:t>
      </w:r>
      <w:r w:rsidRPr="00CE4489" w:rsidR="00B40108">
        <w:t xml:space="preserve">neuropathic pain </w:t>
      </w:r>
      <w:r w:rsidRPr="00CE4489">
        <w:t>were based on sociodemographic information (age, sex, socioeconomic status based on type of work, smoking status and body mass index (BMI)), health status (presence of diabetes, general health</w:t>
      </w:r>
      <w:r w:rsidRPr="00CE4489" w:rsidR="00FB5DFC">
        <w:rPr>
          <w:vertAlign w:val="superscript"/>
        </w:rPr>
        <w:t>2</w:t>
      </w:r>
      <w:r w:rsidRPr="00CE4489" w:rsidR="005A7A0D">
        <w:rPr>
          <w:vertAlign w:val="superscript"/>
        </w:rPr>
        <w:t>4</w:t>
      </w:r>
      <w:r w:rsidRPr="00CE4489">
        <w:t>, fatigue and sleep difficulties),  information about pain (mean back pain intensity, mean leg pain intensity</w:t>
      </w:r>
      <w:r w:rsidRPr="00CE4489" w:rsidR="00F82812">
        <w:t>,</w:t>
      </w:r>
      <w:r w:rsidRPr="00CE4489" w:rsidR="005A7A0D">
        <w:rPr>
          <w:vertAlign w:val="superscript"/>
        </w:rPr>
        <w:t>25</w:t>
      </w:r>
      <w:r w:rsidRPr="00CE4489">
        <w:t xml:space="preserve"> pain described as burning, duration of pain, pain location, presence of widespread pain), limitations in activities (back and leg pain related disability using the Roland and Morris Disability Questionnaire (RMDQ)</w:t>
      </w:r>
      <w:r w:rsidRPr="00CE4489" w:rsidR="005A7A0D">
        <w:rPr>
          <w:vertAlign w:val="superscript"/>
        </w:rPr>
        <w:t>26</w:t>
      </w:r>
      <w:r w:rsidRPr="00CE4489">
        <w:t xml:space="preserve"> leg version</w:t>
      </w:r>
      <w:r w:rsidRPr="00CE4489" w:rsidR="00F82812">
        <w:t>,</w:t>
      </w:r>
      <w:r w:rsidRPr="00CE4489" w:rsidR="00CB2E18">
        <w:rPr>
          <w:vertAlign w:val="superscript"/>
        </w:rPr>
        <w:t>2</w:t>
      </w:r>
      <w:r w:rsidRPr="00CE4489" w:rsidR="005A7A0D">
        <w:rPr>
          <w:vertAlign w:val="superscript"/>
        </w:rPr>
        <w:t>7</w:t>
      </w:r>
      <w:r w:rsidRPr="00CE4489">
        <w:t xml:space="preserve"> psychological variables (symptoms of depression and anxiety using the Hospital Anxiety and Depression Scale (HADS)</w:t>
      </w:r>
      <w:r w:rsidRPr="00CE4489" w:rsidR="00CB2E18">
        <w:rPr>
          <w:vertAlign w:val="superscript"/>
        </w:rPr>
        <w:t xml:space="preserve"> 2</w:t>
      </w:r>
      <w:r w:rsidRPr="00CE4489" w:rsidR="005A7A0D">
        <w:rPr>
          <w:vertAlign w:val="superscript"/>
        </w:rPr>
        <w:t>8</w:t>
      </w:r>
      <w:r w:rsidRPr="00CE4489" w:rsidR="00F82812">
        <w:t>),</w:t>
      </w:r>
      <w:r w:rsidRPr="00CE4489">
        <w:t xml:space="preserve"> pain self-efficacy beliefs using the Pain Self-Efficacy Questionnaire</w:t>
      </w:r>
      <w:r w:rsidRPr="00CE4489" w:rsidR="00340A38">
        <w:t xml:space="preserve"> (PSEQ)</w:t>
      </w:r>
      <w:r w:rsidRPr="00CE4489" w:rsidR="00F82812">
        <w:t>,</w:t>
      </w:r>
      <w:r w:rsidRPr="00CE4489" w:rsidR="00CB2E18">
        <w:rPr>
          <w:vertAlign w:val="superscript"/>
        </w:rPr>
        <w:t>2</w:t>
      </w:r>
      <w:r w:rsidRPr="00CE4489" w:rsidR="005A7A0D">
        <w:rPr>
          <w:vertAlign w:val="superscript"/>
        </w:rPr>
        <w:t>9</w:t>
      </w:r>
      <w:r w:rsidRPr="00CE4489" w:rsidR="00C763E0">
        <w:t xml:space="preserve"> </w:t>
      </w:r>
      <w:r w:rsidRPr="00CE4489">
        <w:t>findings from neurological examination</w:t>
      </w:r>
      <w:r w:rsidRPr="00CE4489" w:rsidR="00C763E0">
        <w:t xml:space="preserve"> </w:t>
      </w:r>
      <w:r w:rsidRPr="00CE4489">
        <w:t>(presence of muscle weakness, tendon reflex, sensation to pin p</w:t>
      </w:r>
      <w:r w:rsidRPr="00CE4489" w:rsidR="00C763E0">
        <w:t>r</w:t>
      </w:r>
      <w:r w:rsidRPr="00CE4489">
        <w:t>ick, presence of pins and needles, pain affecting the colour of patients skin, presence of allodynia or hyperalgesia in the leg(s), neural tension test and imaging using MRI</w:t>
      </w:r>
      <w:r w:rsidRPr="00CE4489" w:rsidR="00C763E0">
        <w:t>)</w:t>
      </w:r>
      <w:r w:rsidRPr="00CE4489" w:rsidR="00BB027C">
        <w:t>,</w:t>
      </w:r>
      <w:r w:rsidRPr="00CE4489">
        <w:t xml:space="preserve"> and the number of pain medi</w:t>
      </w:r>
      <w:r w:rsidRPr="00CE4489" w:rsidR="00D74E8A">
        <w:t xml:space="preserve">cations used. See </w:t>
      </w:r>
      <w:r w:rsidRPr="00CE4489" w:rsidR="00803638">
        <w:t>T</w:t>
      </w:r>
      <w:r w:rsidRPr="00CE4489" w:rsidR="00540A6E">
        <w:t>able</w:t>
      </w:r>
      <w:r w:rsidRPr="00CE4489" w:rsidR="00F82812">
        <w:t xml:space="preserve"> S1, Supplemental Digital Content</w:t>
      </w:r>
      <w:r w:rsidRPr="00CE4489" w:rsidR="00ED2A60">
        <w:t>,</w:t>
      </w:r>
      <w:r w:rsidRPr="00CE4489">
        <w:t xml:space="preserve"> for full details of all the characteristics collected in this study. </w:t>
      </w:r>
    </w:p>
    <w:p w:rsidRPr="00CE4489" w:rsidR="00F674A1" w:rsidP="00273F68" w:rsidRDefault="00F674A1" w14:paraId="1D8CF11A" w14:textId="77777777">
      <w:pPr>
        <w:spacing w:line="480" w:lineRule="auto"/>
      </w:pPr>
    </w:p>
    <w:p w:rsidRPr="00CE4489" w:rsidR="00CF704E" w:rsidP="00CF704E" w:rsidRDefault="00CF704E" w14:paraId="18138E8B" w14:textId="77777777">
      <w:pPr>
        <w:pStyle w:val="Heading3"/>
      </w:pPr>
      <w:r w:rsidRPr="00CE4489">
        <w:lastRenderedPageBreak/>
        <w:t>Data Analysis</w:t>
      </w:r>
    </w:p>
    <w:p w:rsidRPr="00CE4489" w:rsidR="00CF704E" w:rsidP="00CF704E" w:rsidRDefault="00975CA6" w14:paraId="41503A5F" w14:textId="23F719B7">
      <w:pPr>
        <w:spacing w:line="480" w:lineRule="auto"/>
      </w:pPr>
      <w:r w:rsidRPr="00CE4489">
        <w:t xml:space="preserve">Cases of neuropathic pain were identified using three definitions of neuropathic pain: two </w:t>
      </w:r>
      <w:r w:rsidRPr="00CE4489" w:rsidR="00202579">
        <w:t>based on clinical diagnosis (sciatica</w:t>
      </w:r>
      <w:r w:rsidRPr="00CE4489" w:rsidR="00F127C4">
        <w:rPr>
          <w:vertAlign w:val="superscript"/>
        </w:rPr>
        <w:t>21, 22</w:t>
      </w:r>
      <w:r w:rsidRPr="00CE4489" w:rsidR="00202579">
        <w:t xml:space="preserve"> with and without evidence of nerve root compression on MRI), one on the self-report using s-LANSS</w:t>
      </w:r>
      <w:r w:rsidRPr="00CE4489" w:rsidR="00202579">
        <w:rPr>
          <w:vertAlign w:val="superscript"/>
        </w:rPr>
        <w:t>4</w:t>
      </w:r>
      <w:r w:rsidRPr="00CE4489" w:rsidR="00202579">
        <w:t xml:space="preserve"> </w:t>
      </w:r>
      <w:r w:rsidRPr="00CE4489" w:rsidR="00CF704E">
        <w:t xml:space="preserve">(see Table 1. for a </w:t>
      </w:r>
      <w:r w:rsidRPr="00CE4489" w:rsidR="00202579">
        <w:t xml:space="preserve">detailed </w:t>
      </w:r>
      <w:r w:rsidRPr="00CE4489" w:rsidR="00CF704E">
        <w:t xml:space="preserve">description of each of the three definitions of neuropathic pain used in this research). </w:t>
      </w:r>
      <w:r w:rsidRPr="00CE4489">
        <w:t xml:space="preserve">Prevalence was estimated for three definitions of neuropathic pain. </w:t>
      </w:r>
      <w:r w:rsidRPr="00CE4489" w:rsidR="00CF704E">
        <w:t>Descriptive statistics (mean and standard deviation (SD) for continuous variables and frequency and percentage for categorical variables) were used to describe characteristics of interest in those with neuropathic pain for each of the neuropathic pain definitions. Logistic regression was used to examine the association between neuropathic pain (based on the three definitions), characteristics of interest and was based on the analysis of complete cases.</w:t>
      </w:r>
    </w:p>
    <w:p w:rsidRPr="00CE4489" w:rsidR="00CF704E" w:rsidP="00CF704E" w:rsidRDefault="00CF704E" w14:paraId="3DDC1A1D" w14:textId="77777777"/>
    <w:p w:rsidRPr="00CE4489" w:rsidR="00CF704E" w:rsidP="00CF704E" w:rsidRDefault="00CF704E" w14:paraId="3FE2AEF0" w14:textId="10DDA868">
      <w:pPr>
        <w:spacing w:line="480" w:lineRule="auto"/>
      </w:pPr>
      <w:r w:rsidRPr="00CE4489">
        <w:t>For describing the clinical course, linear mixed models, with a neuropathic pain indicator variable (according to neuropathic pain definition used) by time interaction, were used to estimate the unadjusted mean and 95% confidence intervals (CI) of pain intensity at all three follow-up time-points. CIs were obtained to evaluate the uncertainty of estimates taking into account the missing data.</w:t>
      </w:r>
      <w:r w:rsidRPr="00CE4489" w:rsidR="005A7A0D">
        <w:rPr>
          <w:vertAlign w:val="superscript"/>
        </w:rPr>
        <w:t>30</w:t>
      </w:r>
      <w:r w:rsidRPr="00CE4489" w:rsidR="004070AD">
        <w:rPr>
          <w:vertAlign w:val="superscript"/>
        </w:rPr>
        <w:t xml:space="preserve"> </w:t>
      </w:r>
      <w:r w:rsidRPr="00CE4489">
        <w:rPr>
          <w:vertAlign w:val="superscript"/>
        </w:rPr>
        <w:t xml:space="preserve"> </w:t>
      </w:r>
      <w:r w:rsidRPr="00CE4489">
        <w:t xml:space="preserve">Margins plots were used to graphically summarise the information on the clinical course. </w:t>
      </w:r>
    </w:p>
    <w:p w:rsidRPr="00CE4489" w:rsidR="00CF704E" w:rsidP="00CF704E" w:rsidRDefault="00CF704E" w14:paraId="765E164F" w14:textId="77777777">
      <w:pPr>
        <w:spacing w:line="480" w:lineRule="auto"/>
      </w:pPr>
    </w:p>
    <w:p w:rsidRPr="00CE4489" w:rsidR="00CF704E" w:rsidP="00CF704E" w:rsidRDefault="00CF704E" w14:paraId="128ACED6" w14:textId="29482A29">
      <w:pPr>
        <w:spacing w:line="480" w:lineRule="auto"/>
      </w:pPr>
      <w:r w:rsidRPr="00CE4489">
        <w:t>All statistical analyses were performed using Stata version 14.0.</w:t>
      </w:r>
      <w:r w:rsidRPr="00CE4489" w:rsidR="005A7A0D">
        <w:rPr>
          <w:vertAlign w:val="superscript"/>
        </w:rPr>
        <w:t>31</w:t>
      </w:r>
      <w:r w:rsidRPr="00CE4489">
        <w:t xml:space="preserve"> </w:t>
      </w:r>
      <w:r w:rsidRPr="00CE4489">
        <w:rPr>
          <w:color w:val="000000"/>
          <w:shd w:val="clear" w:color="auto" w:fill="FFFFFF"/>
        </w:rPr>
        <w:t>The STrengthening the Reporting of OBserv</w:t>
      </w:r>
      <w:r w:rsidRPr="00CE4489" w:rsidR="004070AD">
        <w:rPr>
          <w:color w:val="000000"/>
          <w:shd w:val="clear" w:color="auto" w:fill="FFFFFF"/>
        </w:rPr>
        <w:t>ational studies in Epidemiology (STROBE) checklist for cohort studies</w:t>
      </w:r>
      <w:r w:rsidRPr="00CE4489">
        <w:rPr>
          <w:color w:val="000000"/>
          <w:shd w:val="clear" w:color="auto" w:fill="FFFFFF"/>
        </w:rPr>
        <w:t xml:space="preserve"> was used when writing the report.</w:t>
      </w:r>
      <w:r w:rsidRPr="00CE4489" w:rsidR="005A7A0D">
        <w:rPr>
          <w:color w:val="000000"/>
          <w:shd w:val="clear" w:color="auto" w:fill="FFFFFF"/>
          <w:vertAlign w:val="superscript"/>
        </w:rPr>
        <w:t>32</w:t>
      </w:r>
    </w:p>
    <w:p w:rsidRPr="00CE4489" w:rsidR="00CF704E" w:rsidP="00CF704E" w:rsidRDefault="00CF704E" w14:paraId="722D9E36" w14:textId="77777777">
      <w:pPr>
        <w:spacing w:line="480" w:lineRule="auto"/>
      </w:pPr>
    </w:p>
    <w:p w:rsidRPr="00CE4489" w:rsidR="00F674A1" w:rsidP="00273F68" w:rsidRDefault="00F674A1" w14:paraId="430A32BC" w14:textId="77777777">
      <w:pPr>
        <w:pStyle w:val="Heading3"/>
        <w:spacing w:line="480" w:lineRule="auto"/>
      </w:pPr>
      <w:r w:rsidRPr="00CE4489">
        <w:lastRenderedPageBreak/>
        <w:t>Measures of clinical course</w:t>
      </w:r>
    </w:p>
    <w:p w:rsidRPr="00CE4489" w:rsidR="00F674A1" w:rsidP="00273F68" w:rsidRDefault="00F674A1" w14:paraId="06E84A7A" w14:textId="26C80331">
      <w:pPr>
        <w:spacing w:line="480" w:lineRule="auto"/>
      </w:pPr>
      <w:r w:rsidRPr="00CE4489">
        <w:t xml:space="preserve">Pain intensity </w:t>
      </w:r>
      <w:r w:rsidRPr="00CE4489" w:rsidR="00DE7CFB">
        <w:t xml:space="preserve">scores </w:t>
      </w:r>
      <w:r w:rsidRPr="00CE4489">
        <w:t xml:space="preserve">at baseline, 4-months, 12-months and 3-years, </w:t>
      </w:r>
      <w:r w:rsidRPr="00CE4489" w:rsidR="00DE7CFB">
        <w:t xml:space="preserve">were </w:t>
      </w:r>
      <w:r w:rsidRPr="00CE4489">
        <w:t>used to describe the clinical course of this patient population. Pain intensity was determined as the highest of mean leg pain intensity or mean back pain intensity in the previous two weeks</w:t>
      </w:r>
      <w:r w:rsidRPr="00CE4489" w:rsidR="00D46C40">
        <w:t>,</w:t>
      </w:r>
      <w:r w:rsidRPr="00CE4489">
        <w:t xml:space="preserve"> where leg pain intensity was determined as the mean of three 0-10 NRS for current, usual and least leg pain over the previous two weeks</w:t>
      </w:r>
      <w:r w:rsidRPr="00CE4489" w:rsidR="00816074">
        <w:t>,</w:t>
      </w:r>
      <w:r w:rsidRPr="00CE4489">
        <w:t xml:space="preserve"> and back pain intensity as the mean of current, usual and least back pain over the previous two weeks</w:t>
      </w:r>
      <w:r w:rsidRPr="00CE4489" w:rsidR="00ED2A60">
        <w:t>.</w:t>
      </w:r>
      <w:r w:rsidRPr="00CE4489" w:rsidR="004070AD">
        <w:rPr>
          <w:vertAlign w:val="superscript"/>
        </w:rPr>
        <w:t>2</w:t>
      </w:r>
      <w:r w:rsidRPr="00CE4489" w:rsidR="0040315B">
        <w:rPr>
          <w:vertAlign w:val="superscript"/>
        </w:rPr>
        <w:t>5</w:t>
      </w:r>
    </w:p>
    <w:p w:rsidRPr="00CE4489" w:rsidR="00F674A1" w:rsidRDefault="00F674A1" w14:paraId="537EBA93" w14:textId="77777777">
      <w:pPr>
        <w:pStyle w:val="Heading2"/>
      </w:pPr>
      <w:r w:rsidRPr="00CE4489">
        <w:t>Results</w:t>
      </w:r>
    </w:p>
    <w:p w:rsidRPr="00CE4489" w:rsidR="00F674A1" w:rsidP="00273F68" w:rsidRDefault="00F674A1" w14:paraId="3FC873EB" w14:textId="77777777">
      <w:pPr>
        <w:pStyle w:val="Heading3"/>
        <w:spacing w:line="480" w:lineRule="auto"/>
      </w:pPr>
      <w:r w:rsidRPr="00CE4489">
        <w:t>Study population</w:t>
      </w:r>
    </w:p>
    <w:p w:rsidRPr="00CE4489" w:rsidR="00F674A1" w:rsidP="00A569F4" w:rsidRDefault="00F674A1" w14:paraId="7C79FFDD" w14:textId="7DC5732E">
      <w:pPr>
        <w:autoSpaceDE w:val="0"/>
        <w:autoSpaceDN w:val="0"/>
        <w:adjustRightInd w:val="0"/>
        <w:spacing w:line="480" w:lineRule="auto"/>
      </w:pPr>
      <w:r w:rsidRPr="00CE4489">
        <w:t>In total, 609 patients with LBLP were eligible and consented to participate in the study</w:t>
      </w:r>
      <w:r w:rsidRPr="00CE4489" w:rsidR="0068431B">
        <w:t>;</w:t>
      </w:r>
      <w:r w:rsidRPr="00CE4489">
        <w:t xml:space="preserve"> patients received a clinical diagnosis of either referred leg pain or sciatica and 554 had an MRI. Three </w:t>
      </w:r>
      <w:r w:rsidRPr="00CE4489" w:rsidR="00ED3F80">
        <w:t xml:space="preserve">out of 609 </w:t>
      </w:r>
      <w:r w:rsidRPr="00CE4489">
        <w:t>patients did not complete all seven items of the s-LANSS. In total, 402 (66.0%) completed the study questionnaire at 4-months, 450 (73.9%) at 12-months, and 316 (51.9%) at 3-years. Patients who responded to follow-up at 4-months were older than non-responders</w:t>
      </w:r>
      <w:r w:rsidRPr="00CE4489" w:rsidR="00417B19">
        <w:t xml:space="preserve"> (mean 54 years compared to 42 years)</w:t>
      </w:r>
      <w:r w:rsidRPr="00CE4489">
        <w:t xml:space="preserve">, fewer scored 12 or greater on s-LANSS (45% compared to 55%), a slightly higher proportion had a clinical diagnosis of sciatica (77% compared to 70%) and they had slightly lower LBLP-related disability (mean RMDQ 12.1 compared to 13.7) at baseline. This was consistent at 12-months and 3-years. Nearly nine out of ten (88.0%) patients in the ATLAS cohort received a course of physiotherapy treatment and 11.4% of patients were referred </w:t>
      </w:r>
      <w:r w:rsidRPr="00CE4489" w:rsidR="004E3B34">
        <w:t xml:space="preserve">to specialist services </w:t>
      </w:r>
      <w:r w:rsidRPr="00CE4489">
        <w:t>for further treatment or investigations.</w:t>
      </w:r>
      <w:r w:rsidRPr="00CE4489" w:rsidR="00F14CA0">
        <w:t xml:space="preserve"> </w:t>
      </w:r>
      <w:r w:rsidRPr="00CE4489" w:rsidR="007902D2">
        <w:t>A slightly higher prop</w:t>
      </w:r>
      <w:r w:rsidRPr="00CE4489" w:rsidR="00F11FA7">
        <w:t>ortion (14.3%) of patients with neuropathic pain</w:t>
      </w:r>
      <w:r w:rsidRPr="00CE4489" w:rsidR="007902D2">
        <w:t xml:space="preserve"> based on a clinical diagnosis of sciatica with evidence NRC were referred for a</w:t>
      </w:r>
      <w:r w:rsidRPr="00CE4489" w:rsidR="006C58D6">
        <w:t>n</w:t>
      </w:r>
      <w:r w:rsidRPr="00CE4489" w:rsidR="007902D2">
        <w:t xml:space="preserve"> epidural injection</w:t>
      </w:r>
      <w:r w:rsidRPr="00CE4489" w:rsidR="006C58D6">
        <w:t xml:space="preserve"> </w:t>
      </w:r>
      <w:r w:rsidRPr="00CE4489" w:rsidR="00703067">
        <w:t xml:space="preserve">or to spinal surgeons. </w:t>
      </w:r>
      <w:r w:rsidRPr="00CE4489" w:rsidR="003E2FC6">
        <w:t xml:space="preserve">Table S2 (Supplemental Digital Content) gives details on the care </w:t>
      </w:r>
      <w:r w:rsidRPr="00CE4489" w:rsidR="003E2FC6">
        <w:lastRenderedPageBreak/>
        <w:t>provided to patients in the ATLAS study according to the three definitions of neuropathic pain.</w:t>
      </w:r>
    </w:p>
    <w:p w:rsidRPr="00CE4489" w:rsidR="00F674A1" w:rsidP="00273F68" w:rsidRDefault="00F674A1" w14:paraId="6F59BA11" w14:textId="037F5ED6">
      <w:pPr>
        <w:pStyle w:val="Heading3"/>
        <w:spacing w:line="480" w:lineRule="auto"/>
      </w:pPr>
      <w:bookmarkStart w:name="_Ref482620953" w:id="0"/>
      <w:r w:rsidRPr="00CE4489">
        <w:t xml:space="preserve">Prevalence of </w:t>
      </w:r>
      <w:r w:rsidRPr="00CE4489" w:rsidR="00E0526E">
        <w:t xml:space="preserve">neuropathic pain </w:t>
      </w:r>
      <w:r w:rsidRPr="00CE4489">
        <w:t>in LBLP patients</w:t>
      </w:r>
      <w:bookmarkEnd w:id="0"/>
    </w:p>
    <w:p w:rsidRPr="00CE4489" w:rsidR="00F674A1" w:rsidP="00273F68" w:rsidRDefault="00954C48" w14:paraId="604416E2" w14:textId="0F8B0129">
      <w:pPr>
        <w:spacing w:line="480" w:lineRule="auto"/>
      </w:pPr>
      <w:r w:rsidRPr="00CE4489">
        <w:t xml:space="preserve">The prevalence of </w:t>
      </w:r>
      <w:r w:rsidRPr="00CE4489" w:rsidR="00E0526E">
        <w:t xml:space="preserve">neuropathic pain </w:t>
      </w:r>
      <w:r w:rsidRPr="00CE4489">
        <w:t xml:space="preserve">was </w:t>
      </w:r>
      <w:r w:rsidRPr="00CE4489" w:rsidR="00E0526E">
        <w:t xml:space="preserve">74.2% based on a clinical diagnosis of sciatica (452 out of 609), </w:t>
      </w:r>
      <w:r w:rsidRPr="00CE4489">
        <w:t>48.8</w:t>
      </w:r>
      <w:r w:rsidRPr="00CE4489" w:rsidR="00F674A1">
        <w:t xml:space="preserve">% based on s-LANSS (296 out of 606), </w:t>
      </w:r>
      <w:r w:rsidRPr="00CE4489" w:rsidR="00E0526E">
        <w:t xml:space="preserve">and </w:t>
      </w:r>
      <w:r w:rsidRPr="00CE4489" w:rsidR="00F674A1">
        <w:t xml:space="preserve">45.5% based on sciatica with evidence of possible or clear NRC (252 out of 554). Just under one quarter (23.0%, 127 out of 551) of LBLP patients were defined as having </w:t>
      </w:r>
      <w:r w:rsidRPr="00CE4489" w:rsidR="00E0526E">
        <w:t>neuropathic pain</w:t>
      </w:r>
      <w:r w:rsidRPr="00CE4489" w:rsidR="00F674A1">
        <w:t xml:space="preserve"> using all three definitions. Nearly four in ten patients (38.3%, 232 out of 606) were defined as having </w:t>
      </w:r>
      <w:r w:rsidRPr="00CE4489" w:rsidR="00E64AC5">
        <w:t xml:space="preserve">neuropathic pain </w:t>
      </w:r>
      <w:r w:rsidRPr="00CE4489" w:rsidR="00F674A1">
        <w:t xml:space="preserve">based on s-LANSS and clinical diagnosis of sciatica. </w:t>
      </w:r>
      <w:r w:rsidRPr="00CE4489" w:rsidR="00902D67">
        <w:t>Around o</w:t>
      </w:r>
      <w:r w:rsidRPr="00CE4489" w:rsidR="00F674A1">
        <w:t xml:space="preserve">ne in ten (10.7%, 61 out of 606) were defined as having </w:t>
      </w:r>
      <w:r w:rsidRPr="00CE4489" w:rsidR="00E64AC5">
        <w:t xml:space="preserve">neuropathic pain </w:t>
      </w:r>
      <w:r w:rsidRPr="00CE4489" w:rsidR="00F674A1">
        <w:t xml:space="preserve">based on s-LANSS, but were not by clinical diagnosis of sciatica either with or without evidence of NRC. The distributions and overlap of LBLP patients with or without </w:t>
      </w:r>
      <w:r w:rsidRPr="00CE4489" w:rsidR="00E64AC5">
        <w:t>neuropathic pain</w:t>
      </w:r>
      <w:r w:rsidRPr="00CE4489" w:rsidR="00F674A1">
        <w:t>,</w:t>
      </w:r>
      <w:r w:rsidRPr="00CE4489">
        <w:t xml:space="preserve"> based on the three definitions,</w:t>
      </w:r>
      <w:r w:rsidRPr="00CE4489" w:rsidR="00F674A1">
        <w:t xml:space="preserve"> are summarised in Fig</w:t>
      </w:r>
      <w:r w:rsidRPr="00CE4489" w:rsidR="00703067">
        <w:t>ure</w:t>
      </w:r>
      <w:r w:rsidRPr="00CE4489" w:rsidR="00F674A1">
        <w:t xml:space="preserve"> 2.</w:t>
      </w:r>
    </w:p>
    <w:p w:rsidRPr="00CE4489" w:rsidR="00364168" w:rsidP="00364168" w:rsidRDefault="00364168" w14:paraId="7AB5E9FE" w14:textId="07B4ABBA"/>
    <w:p w:rsidRPr="00CE4489" w:rsidR="00F674A1" w:rsidP="00273F68" w:rsidRDefault="00F674A1" w14:paraId="319E86D7" w14:textId="65FDDE90">
      <w:pPr>
        <w:pStyle w:val="Heading3"/>
        <w:spacing w:line="480" w:lineRule="auto"/>
      </w:pPr>
      <w:r w:rsidRPr="00CE4489">
        <w:t xml:space="preserve">Characteristics of LBLP patients with </w:t>
      </w:r>
      <w:r w:rsidRPr="00CE4489" w:rsidR="00703067">
        <w:t>neuropathic pain.</w:t>
      </w:r>
      <w:r w:rsidRPr="00CE4489">
        <w:t xml:space="preserve"> </w:t>
      </w:r>
    </w:p>
    <w:p w:rsidRPr="00CE4489" w:rsidR="0046059B" w:rsidP="0046059B" w:rsidRDefault="0046059B" w14:paraId="20E4F6AD" w14:textId="77777777">
      <w:pPr>
        <w:spacing w:line="480" w:lineRule="auto"/>
        <w:rPr>
          <w:lang w:val="en-US"/>
        </w:rPr>
      </w:pPr>
      <w:r w:rsidRPr="00CE4489">
        <w:rPr>
          <w:lang w:val="en-US"/>
        </w:rPr>
        <w:t>The profile of patients with neuropathic pain based on s-LANSS was quite distinct compared</w:t>
      </w:r>
    </w:p>
    <w:p w:rsidRPr="00CE4489" w:rsidR="00337414" w:rsidP="0046059B" w:rsidRDefault="0046059B" w14:paraId="589E9C38" w14:textId="4B12B073">
      <w:pPr>
        <w:spacing w:line="480" w:lineRule="auto"/>
        <w:rPr>
          <w:lang w:val="en-US"/>
        </w:rPr>
      </w:pPr>
      <w:r w:rsidRPr="00CE4489">
        <w:rPr>
          <w:lang w:val="en-US"/>
        </w:rPr>
        <w:t xml:space="preserve">to those without; they were more often current smokers, presented with more severe back pain intensity, more scored higher for depression and anxiety, more had an increased response to either non-painful or painful stimuli on clinical examination and more often used two or more pain medications compared to those without neuropathic pain. The profile of patients with neuropathic LBLP based on s-LANSS was also quite distinct compared to those with neuropathic pain based on clinical diagnosis of sciatica either with or without evidence of NRC on MRI. There were few differences in terms of health status, limitations in activities, psychological variables and pain medication use between patients with </w:t>
      </w:r>
      <w:r w:rsidRPr="00CE4489">
        <w:rPr>
          <w:lang w:val="en-US"/>
        </w:rPr>
        <w:lastRenderedPageBreak/>
        <w:t xml:space="preserve">neuropathic pain based on clinical diagnosis of sciatica compared to those more stringently defined as having a clinical diagnosis of sciatica with evidence of NRC based on MRI. </w:t>
      </w:r>
    </w:p>
    <w:p w:rsidRPr="00CE4489" w:rsidR="00D37BAB" w:rsidP="00273F68" w:rsidRDefault="00D37BAB" w14:paraId="3D5F334D" w14:textId="77777777">
      <w:pPr>
        <w:spacing w:line="480" w:lineRule="auto"/>
        <w:rPr>
          <w:lang w:val="en-US"/>
        </w:rPr>
      </w:pPr>
    </w:p>
    <w:p w:rsidRPr="00CE4489" w:rsidR="00B30818" w:rsidP="00B30818" w:rsidRDefault="00B30818" w14:paraId="1EA0AA58" w14:textId="1A7DE90F">
      <w:pPr>
        <w:spacing w:line="480" w:lineRule="auto"/>
        <w:rPr>
          <w:lang w:val="en-US"/>
        </w:rPr>
      </w:pPr>
      <w:r w:rsidRPr="00CE4489">
        <w:rPr>
          <w:lang w:val="en-US"/>
        </w:rPr>
        <w:t>The characteristics of LBLP patients with and without neuropathic pain based on s-LANSS, those with neuropathic pain based on a clinical diagnosis of sciatica, and those with LBLP based on clinical diagnosis of sciatica plus evidence of possible or clear NRC on MRI, respectively are provided in Tables 2, 3 and 4. LBLP patients with neuropathic pain, across all three neuropathic pain definitions, reported more severe leg pain (for a one-unit increase in NRS score for leg pain intensity, the odds (95% CI) presenting with neuropathic pain based on s-LANSS increased by 1.20 (1.12, 1.29), the odds of having a clinical diagnosis of sciatica increased by 1.32 (1.21, 1.44) and the odds of having a clinical diagnosis of sciatica plus evidence of NRC based on MRI increased by 1.29 (1.19, 1.40)); patients with pain below the knee were more likely to present with neuropathic pain compared to those without with the odds ratios (95% CI) of 1.98 (1.38, 2.87), 9.03(6.00, 13.60), and 4.18 (2.74, 6.37) for definition based on s-LANSS, clinical diagnosis of sciatica and clinical diagnosis of sciatica plus evidence of NRC based on MRI, respectively; and more had a weaker belief in the ability to cope with normal activities despite the pain (pain self-efficacy) compared to those without (for a one unit decrease in PSEQ score, the odds of presenting with neuropathic pain based on s-LANSS increased by 0.97 (0.97, 0.98), by 0.98 (0.98, 0.997) for those with a clinical diagnosis of sciatica and by 0.98 (0.97, 0.99) for those with a clinical diagnosis of sciatica plus evidence of NRC based on MRI).</w:t>
      </w:r>
    </w:p>
    <w:p w:rsidRPr="00CE4489" w:rsidR="00B30818" w:rsidP="00B30818" w:rsidRDefault="00B30818" w14:paraId="5E0C5846" w14:textId="77777777">
      <w:pPr>
        <w:spacing w:line="480" w:lineRule="auto"/>
        <w:rPr>
          <w:lang w:val="en-US"/>
        </w:rPr>
      </w:pPr>
    </w:p>
    <w:p w:rsidRPr="00CE4489" w:rsidR="00A804CC" w:rsidP="00B30818" w:rsidRDefault="00B30818" w14:paraId="341F6FC4" w14:textId="798FD55C">
      <w:pPr>
        <w:spacing w:line="480" w:lineRule="auto"/>
        <w:rPr>
          <w:lang w:val="en-US"/>
        </w:rPr>
      </w:pPr>
      <w:r w:rsidRPr="00CE4489">
        <w:rPr>
          <w:lang w:val="en-US"/>
        </w:rPr>
        <w:t xml:space="preserve">Based on findings from neurological examination and consistently across all three definitions of neuropathic pain, patients with a reduction in sensation to pin-prick were </w:t>
      </w:r>
      <w:r w:rsidRPr="00CE4489">
        <w:rPr>
          <w:lang w:val="en-US"/>
        </w:rPr>
        <w:lastRenderedPageBreak/>
        <w:t>more likely to present with neuropathic pain (odds ratios (95% CI) 1.64 (1.16 to 2.33), 3.87 (2.43, 6.16), 1.76 (1.22, 2.54) for definition based on s-LANSS, clinical diagnosis of sciatica and clinical diagnosis of sciatica plus evidence of NRC based on MRI, respectively) and those with a significant reduction or absence of tendon reflex (odds ratios (95% CI) 1.68 (1.06, 2.65), 4.42 (2.09, 9.38), 5.63 (3.22, 9.86) for definition based on s-LANSS, clinical diagnosis of sciatica and clinical diagnosis of sciatica plus evidence of NRC based on MRI, respectively) were more likely to present with neuropathic pain compared to those without. The presence of mild muscle weakness (myotomal) was found in 100% of patients with a clinical diagnosis of sciatica with or without evidence of NRC on MRI, and was associated with those patients with ne</w:t>
      </w:r>
      <w:r w:rsidRPr="00CE4489">
        <w:rPr>
          <w:lang w:val="en-US"/>
        </w:rPr>
        <w:t>uropathic pain based on s-LANSS</w:t>
      </w:r>
      <w:r w:rsidRPr="00CE4489">
        <w:rPr>
          <w:lang w:val="en-US"/>
        </w:rPr>
        <w:t>.</w:t>
      </w:r>
    </w:p>
    <w:p w:rsidRPr="00CE4489" w:rsidR="00F674A1" w:rsidP="00273F68" w:rsidRDefault="00F674A1" w14:paraId="275BCE35" w14:textId="77777777">
      <w:pPr>
        <w:pStyle w:val="Heading3"/>
        <w:spacing w:line="480" w:lineRule="auto"/>
      </w:pPr>
      <w:r w:rsidRPr="00CE4489">
        <w:t xml:space="preserve">Clinical course </w:t>
      </w:r>
    </w:p>
    <w:p w:rsidRPr="00CE4489" w:rsidR="000C24DF" w:rsidP="000C24DF" w:rsidRDefault="00F674A1" w14:paraId="0CD418F9" w14:textId="77777777">
      <w:pPr>
        <w:spacing w:line="480" w:lineRule="auto"/>
      </w:pPr>
      <w:r w:rsidRPr="00CE4489">
        <w:t xml:space="preserve">Pain intensity decreased over time and most of the change occurred between baseline and </w:t>
      </w:r>
      <w:r w:rsidRPr="00CE4489" w:rsidR="00254A66">
        <w:t>4</w:t>
      </w:r>
      <w:r w:rsidRPr="00CE4489">
        <w:t>-months</w:t>
      </w:r>
      <w:r w:rsidRPr="00CE4489" w:rsidR="004A5406">
        <w:t>,</w:t>
      </w:r>
      <w:r w:rsidRPr="00CE4489">
        <w:t xml:space="preserve"> irrespective of the </w:t>
      </w:r>
      <w:r w:rsidRPr="00CE4489" w:rsidR="00E64AC5">
        <w:t xml:space="preserve">neuropathic pain </w:t>
      </w:r>
      <w:r w:rsidRPr="00CE4489" w:rsidR="00BA6DDA">
        <w:t xml:space="preserve">case </w:t>
      </w:r>
      <w:r w:rsidRPr="00CE4489">
        <w:t>definition used</w:t>
      </w:r>
      <w:r w:rsidRPr="00CE4489" w:rsidR="00A47CA9">
        <w:t>. M</w:t>
      </w:r>
      <w:r w:rsidRPr="00CE4489" w:rsidR="009F577D">
        <w:t>ean</w:t>
      </w:r>
      <w:r w:rsidRPr="00CE4489">
        <w:t xml:space="preserve"> pain intensity in patients with </w:t>
      </w:r>
      <w:r w:rsidRPr="00CE4489" w:rsidR="00E64AC5">
        <w:t xml:space="preserve">neuropathic pain </w:t>
      </w:r>
      <w:r w:rsidRPr="00CE4489">
        <w:t>at baseline (across the three definitions) ranged from 6.1 to 6.3, decreasing to between 3.8 and 4.3 at 4-months (see Fig</w:t>
      </w:r>
      <w:r w:rsidRPr="00CE4489" w:rsidR="00703067">
        <w:t>ures</w:t>
      </w:r>
      <w:r w:rsidRPr="00CE4489">
        <w:t xml:space="preserve"> 3a</w:t>
      </w:r>
      <w:r w:rsidRPr="00CE4489" w:rsidR="00E93770">
        <w:t>-3</w:t>
      </w:r>
      <w:r w:rsidRPr="00CE4489">
        <w:t xml:space="preserve">c). Improvement in pain intensity plateaued around 4-months and changed very little up to 36-months for all </w:t>
      </w:r>
      <w:r w:rsidRPr="00CE4489" w:rsidR="00E64AC5">
        <w:t xml:space="preserve">neuropathic pain </w:t>
      </w:r>
      <w:r w:rsidRPr="00CE4489">
        <w:t>definitions (</w:t>
      </w:r>
      <w:r w:rsidRPr="00CE4489" w:rsidR="00DE7CFB">
        <w:t xml:space="preserve">mean </w:t>
      </w:r>
      <w:r w:rsidRPr="00CE4489">
        <w:t xml:space="preserve">pain intensity of patients with </w:t>
      </w:r>
      <w:r w:rsidRPr="00CE4489" w:rsidR="00E64AC5">
        <w:t xml:space="preserve">neuropathic pain </w:t>
      </w:r>
      <w:r w:rsidRPr="00CE4489">
        <w:t xml:space="preserve">at 3-years ranged from 3.3 to 3.9 for the three definitions). </w:t>
      </w:r>
    </w:p>
    <w:p w:rsidRPr="00CE4489" w:rsidR="000C24DF" w:rsidP="000C24DF" w:rsidRDefault="000C24DF" w14:paraId="137B5E62" w14:textId="77777777">
      <w:pPr>
        <w:spacing w:line="480" w:lineRule="auto"/>
      </w:pPr>
    </w:p>
    <w:p w:rsidRPr="00CE4489" w:rsidR="00364168" w:rsidP="000C24DF" w:rsidRDefault="000C24DF" w14:paraId="3B21C1D9" w14:textId="56F8C79D">
      <w:pPr>
        <w:spacing w:line="480" w:lineRule="auto"/>
      </w:pPr>
      <w:r w:rsidRPr="00CE4489">
        <w:t xml:space="preserve">Patients with neuropathic pain (based on s-LANSS) had higher mean pain intensity (95% CI) compared to those without at 12-months (4.4 (4.1, 4.7) vs 3.0 (2.7, 3.3)), but not at 3-years (3.9 (3.5, 4.3) vs 3.0 (2.7, 3.4)). Patients with neuropathic pain (based on a clinical diagnosis of sciatica) had lower mean pain intensity compared to those without at twelve months (3.6 (3.3, 3.8) vs 4.0 (3.5, 4.4)) and at 3-years (3.3 (3.1, 3.6) vs 3.8 (4.4, 4.3)). Those patients with </w:t>
      </w:r>
      <w:r w:rsidRPr="00CE4489">
        <w:lastRenderedPageBreak/>
        <w:t>sciatica plus MRI evidence of NRC had lower mean pain intensity at 4-months (3.8 (3.5, 4.2) vs 4.1 (3.8, 4.3)), 12-months (3.3 (3.0, 3.7) vs 4.0 (3.7, 4.4)) and 3-years (3.3 (3.9, 3.6) vs 3.6 (3.2, 4.0)).</w:t>
      </w:r>
    </w:p>
    <w:p w:rsidRPr="00CE4489" w:rsidR="00F674A1" w:rsidRDefault="00F674A1" w14:paraId="35CEDB7C" w14:textId="79F30A9A">
      <w:pPr>
        <w:pStyle w:val="Heading2"/>
      </w:pPr>
      <w:r w:rsidRPr="00CE4489">
        <w:t>Discussion</w:t>
      </w:r>
      <w:r w:rsidRPr="00CE4489" w:rsidR="009F3057">
        <w:t xml:space="preserve"> </w:t>
      </w:r>
    </w:p>
    <w:p w:rsidRPr="00CE4489" w:rsidR="00F674A1" w:rsidP="00273F68" w:rsidRDefault="00BF6058" w14:paraId="5BC6EFA6" w14:textId="41F12C01">
      <w:pPr>
        <w:spacing w:line="480" w:lineRule="auto"/>
      </w:pPr>
      <w:r w:rsidRPr="00CE4489">
        <w:rPr>
          <w:lang w:val="en-US"/>
        </w:rPr>
        <w:t xml:space="preserve">This is the first prospective cohort </w:t>
      </w:r>
      <w:r w:rsidRPr="00CE4489" w:rsidR="008D1AF0">
        <w:rPr>
          <w:lang w:val="en-US"/>
        </w:rPr>
        <w:t xml:space="preserve">including </w:t>
      </w:r>
      <w:r w:rsidRPr="00CE4489">
        <w:rPr>
          <w:lang w:val="en-US"/>
        </w:rPr>
        <w:t>LBLP patients consulting in primary care</w:t>
      </w:r>
      <w:r w:rsidRPr="00CE4489">
        <w:t xml:space="preserve"> with </w:t>
      </w:r>
      <w:r w:rsidRPr="00CE4489" w:rsidR="00E64AC5">
        <w:t>neuropathic pain</w:t>
      </w:r>
      <w:r w:rsidRPr="00CE4489" w:rsidR="008D1AF0">
        <w:t>,</w:t>
      </w:r>
      <w:r w:rsidRPr="00CE4489" w:rsidR="00730C1C">
        <w:t xml:space="preserve"> </w:t>
      </w:r>
      <w:r w:rsidRPr="00CE4489" w:rsidR="00AB7341">
        <w:t xml:space="preserve">and the first time that data on the clinical course of neuropathic LBLP </w:t>
      </w:r>
      <w:r w:rsidRPr="00CE4489" w:rsidR="00730C1C">
        <w:t>over short, intermediate and long-term time-points</w:t>
      </w:r>
      <w:r w:rsidRPr="00CE4489" w:rsidR="00AB7341">
        <w:t>, has been reported.</w:t>
      </w:r>
      <w:r w:rsidRPr="00CE4489" w:rsidR="007E05BD">
        <w:t xml:space="preserve"> </w:t>
      </w:r>
      <w:r w:rsidRPr="00CE4489" w:rsidR="002C4EB3">
        <w:t>Prevalence</w:t>
      </w:r>
      <w:r w:rsidRPr="00CE4489" w:rsidR="00FE04AF">
        <w:t xml:space="preserve"> estimates of </w:t>
      </w:r>
      <w:r w:rsidRPr="00CE4489" w:rsidR="00E64AC5">
        <w:t xml:space="preserve">neuropathic pain </w:t>
      </w:r>
      <w:r w:rsidRPr="00CE4489" w:rsidR="00FE04AF">
        <w:t xml:space="preserve">in this patient population </w:t>
      </w:r>
      <w:r w:rsidRPr="00CE4489" w:rsidR="002C4EB3">
        <w:t xml:space="preserve">varied from 48% to 74% depending on </w:t>
      </w:r>
      <w:r w:rsidRPr="00CE4489" w:rsidR="00DE7CFB">
        <w:t xml:space="preserve">the </w:t>
      </w:r>
      <w:r w:rsidRPr="00CE4489" w:rsidR="00E64AC5">
        <w:t xml:space="preserve">neuropathic pain </w:t>
      </w:r>
      <w:r w:rsidRPr="00CE4489" w:rsidR="002C4EB3">
        <w:t>definition</w:t>
      </w:r>
      <w:r w:rsidRPr="00CE4489" w:rsidR="00DE7CFB">
        <w:t xml:space="preserve"> used</w:t>
      </w:r>
      <w:r w:rsidRPr="00CE4489" w:rsidR="002C4EB3">
        <w:t xml:space="preserve">. </w:t>
      </w:r>
      <w:r w:rsidRPr="00CE4489" w:rsidR="00037EFC">
        <w:t>Irrespective of case definition, o</w:t>
      </w:r>
      <w:r w:rsidRPr="00CE4489" w:rsidR="00F674A1">
        <w:t xml:space="preserve">ur study shows that </w:t>
      </w:r>
      <w:r w:rsidRPr="00CE4489" w:rsidR="00037EFC">
        <w:t xml:space="preserve">the presence of </w:t>
      </w:r>
      <w:r w:rsidRPr="00CE4489" w:rsidR="00E64AC5">
        <w:t>neuropathic pain</w:t>
      </w:r>
      <w:r w:rsidRPr="00CE4489" w:rsidR="00F674A1">
        <w:t xml:space="preserve"> in LBLP patients consulting in primary care</w:t>
      </w:r>
      <w:r w:rsidRPr="00CE4489" w:rsidR="00037EFC">
        <w:t>,</w:t>
      </w:r>
      <w:r w:rsidRPr="00CE4489" w:rsidR="00F674A1">
        <w:t xml:space="preserve"> is common. </w:t>
      </w:r>
      <w:r w:rsidRPr="00CE4489" w:rsidR="00F93BB8">
        <w:t>LBLP p</w:t>
      </w:r>
      <w:r w:rsidRPr="00CE4489" w:rsidR="00F674A1">
        <w:t xml:space="preserve">atients with </w:t>
      </w:r>
      <w:r w:rsidRPr="00CE4489" w:rsidR="00A04033">
        <w:t xml:space="preserve">neuropathic pain </w:t>
      </w:r>
      <w:r w:rsidRPr="00CE4489" w:rsidR="00F674A1">
        <w:t>based on s-LANSS presented with a more severe profile</w:t>
      </w:r>
      <w:r w:rsidRPr="00CE4489" w:rsidR="002C4EB3">
        <w:t xml:space="preserve"> overall</w:t>
      </w:r>
      <w:r w:rsidRPr="00CE4489" w:rsidR="00F674A1">
        <w:t xml:space="preserve"> compared to those with </w:t>
      </w:r>
      <w:r w:rsidRPr="00CE4489" w:rsidR="00A04033">
        <w:t xml:space="preserve">neuropathic pain </w:t>
      </w:r>
      <w:r w:rsidRPr="00CE4489" w:rsidR="00F674A1">
        <w:t xml:space="preserve">based on a clinical diagnosis of sciatica with or without </w:t>
      </w:r>
      <w:r w:rsidRPr="00CE4489" w:rsidR="00372EED">
        <w:t xml:space="preserve">MRI </w:t>
      </w:r>
      <w:r w:rsidRPr="00CE4489" w:rsidR="00F674A1">
        <w:t xml:space="preserve">evidence of NRC. </w:t>
      </w:r>
      <w:r w:rsidRPr="00CE4489" w:rsidR="00DE7CFB">
        <w:t>We found</w:t>
      </w:r>
      <w:r w:rsidRPr="00CE4489" w:rsidR="00F674A1">
        <w:t xml:space="preserve"> </w:t>
      </w:r>
      <w:r w:rsidRPr="00CE4489" w:rsidR="00BD2E2A">
        <w:t xml:space="preserve">several </w:t>
      </w:r>
      <w:r w:rsidRPr="00CE4489" w:rsidR="00F674A1">
        <w:t>characteristics</w:t>
      </w:r>
      <w:r w:rsidRPr="00CE4489" w:rsidR="00DE7CFB">
        <w:t xml:space="preserve"> that were</w:t>
      </w:r>
      <w:r w:rsidRPr="00CE4489" w:rsidR="00F674A1">
        <w:t xml:space="preserve"> common across </w:t>
      </w:r>
      <w:r w:rsidRPr="00CE4489" w:rsidR="003E201F">
        <w:t>the</w:t>
      </w:r>
      <w:r w:rsidRPr="00CE4489" w:rsidR="00F674A1">
        <w:t xml:space="preserve"> three definitions of </w:t>
      </w:r>
      <w:r w:rsidRPr="00CE4489" w:rsidR="00A04033">
        <w:t>neuropathic pain</w:t>
      </w:r>
      <w:r w:rsidRPr="00CE4489" w:rsidR="00F674A1">
        <w:t xml:space="preserve">; higher leg pain intensity, lower pain self-efficacy, higher proportion </w:t>
      </w:r>
      <w:r w:rsidRPr="00CE4489" w:rsidR="00372EED">
        <w:t xml:space="preserve">of patients </w:t>
      </w:r>
      <w:r w:rsidRPr="00CE4489" w:rsidR="00DE7CFB">
        <w:t xml:space="preserve">with </w:t>
      </w:r>
      <w:r w:rsidRPr="00CE4489" w:rsidR="00F674A1">
        <w:t xml:space="preserve">pain below the knee, </w:t>
      </w:r>
      <w:r w:rsidRPr="00CE4489" w:rsidR="00046249">
        <w:t>sensory deficits in the painful leg</w:t>
      </w:r>
      <w:r w:rsidRPr="00CE4489" w:rsidR="00F674A1">
        <w:rPr>
          <w:lang w:val="en-US"/>
        </w:rPr>
        <w:t xml:space="preserve">, mild muscle weakness (myotomal) and </w:t>
      </w:r>
      <w:r w:rsidRPr="00CE4489" w:rsidR="00571BA2">
        <w:rPr>
          <w:lang w:val="en-US"/>
        </w:rPr>
        <w:t xml:space="preserve">reduction </w:t>
      </w:r>
      <w:r w:rsidRPr="00CE4489" w:rsidR="00046249">
        <w:rPr>
          <w:lang w:val="en-US"/>
        </w:rPr>
        <w:t>in reflex.</w:t>
      </w:r>
      <w:r w:rsidRPr="00CE4489" w:rsidR="00F674A1">
        <w:t xml:space="preserve"> </w:t>
      </w:r>
      <w:r w:rsidRPr="00CE4489" w:rsidR="0088641A">
        <w:t>On average, t</w:t>
      </w:r>
      <w:r w:rsidRPr="00CE4489" w:rsidR="00F674A1">
        <w:t>here was early improvement in the clinical course in terms of pain intensity</w:t>
      </w:r>
      <w:r w:rsidRPr="00CE4489" w:rsidR="0088641A">
        <w:t xml:space="preserve"> reduction</w:t>
      </w:r>
      <w:r w:rsidRPr="00CE4489" w:rsidR="00F674A1">
        <w:t xml:space="preserve"> followed by a plateau</w:t>
      </w:r>
      <w:r w:rsidRPr="00CE4489" w:rsidR="00211CA9">
        <w:t>, with clinical course</w:t>
      </w:r>
      <w:r w:rsidRPr="00CE4489" w:rsidR="008369DE">
        <w:t xml:space="preserve"> being</w:t>
      </w:r>
      <w:r w:rsidRPr="00CE4489" w:rsidR="00F674A1">
        <w:t xml:space="preserve"> worse </w:t>
      </w:r>
      <w:r w:rsidRPr="00CE4489" w:rsidR="00211CA9">
        <w:t xml:space="preserve">only </w:t>
      </w:r>
      <w:r w:rsidRPr="00CE4489" w:rsidR="00F674A1">
        <w:t xml:space="preserve">for those patients with </w:t>
      </w:r>
      <w:r w:rsidRPr="00CE4489" w:rsidR="00A04033">
        <w:t xml:space="preserve">neuropathic pain </w:t>
      </w:r>
      <w:r w:rsidRPr="00CE4489" w:rsidR="00211CA9">
        <w:t xml:space="preserve">identified using the s-LANSS </w:t>
      </w:r>
      <w:r w:rsidRPr="00CE4489" w:rsidR="00F674A1">
        <w:t>compared to those without</w:t>
      </w:r>
      <w:r w:rsidRPr="00CE4489" w:rsidR="00211CA9">
        <w:t>.</w:t>
      </w:r>
    </w:p>
    <w:p w:rsidRPr="00CE4489" w:rsidR="00F674A1" w:rsidP="00273F68" w:rsidRDefault="00F674A1" w14:paraId="79E497B5" w14:textId="77777777">
      <w:pPr>
        <w:spacing w:line="480" w:lineRule="auto"/>
      </w:pPr>
    </w:p>
    <w:p w:rsidRPr="00CE4489" w:rsidR="00AE1E2A" w:rsidP="00273F68" w:rsidRDefault="00F674A1" w14:paraId="02149909" w14:textId="36D7389E">
      <w:pPr>
        <w:spacing w:line="480" w:lineRule="auto"/>
      </w:pPr>
      <w:r w:rsidRPr="00CE4489">
        <w:t xml:space="preserve">Many patients with </w:t>
      </w:r>
      <w:r w:rsidRPr="00CE4489" w:rsidR="00A04033">
        <w:t xml:space="preserve">neuropathic pain </w:t>
      </w:r>
      <w:r w:rsidRPr="00CE4489">
        <w:t xml:space="preserve">defined by a diagnosis of sciatica were not identified as having </w:t>
      </w:r>
      <w:r w:rsidRPr="00CE4489" w:rsidR="00A04033">
        <w:t xml:space="preserve">neuropathic pain </w:t>
      </w:r>
      <w:r w:rsidRPr="00CE4489">
        <w:t xml:space="preserve">based on s-LANSS. This finding is consistent with previous literature reporting that many patients with </w:t>
      </w:r>
      <w:r w:rsidRPr="00CE4489" w:rsidR="00A04033">
        <w:t xml:space="preserve">neuropathic pain </w:t>
      </w:r>
      <w:r w:rsidRPr="00CE4489">
        <w:t xml:space="preserve">based on </w:t>
      </w:r>
      <w:r w:rsidRPr="00CE4489" w:rsidR="0088641A">
        <w:t xml:space="preserve">a clinical diagnosis </w:t>
      </w:r>
      <w:r w:rsidRPr="00CE4489" w:rsidR="0088641A">
        <w:lastRenderedPageBreak/>
        <w:t xml:space="preserve">of </w:t>
      </w:r>
      <w:r w:rsidRPr="00CE4489">
        <w:t>sciatica</w:t>
      </w:r>
      <w:r w:rsidRPr="00CE4489" w:rsidR="00EC0C15">
        <w:t xml:space="preserve"> </w:t>
      </w:r>
      <w:r w:rsidRPr="00CE4489">
        <w:t xml:space="preserve">were not identified as having </w:t>
      </w:r>
      <w:r w:rsidRPr="00CE4489" w:rsidR="00A04033">
        <w:t xml:space="preserve">neuropathic pain </w:t>
      </w:r>
      <w:r w:rsidRPr="00CE4489">
        <w:t xml:space="preserve">based on </w:t>
      </w:r>
      <w:r w:rsidRPr="00CE4489" w:rsidR="00A04033">
        <w:t xml:space="preserve">neuropathic pain </w:t>
      </w:r>
      <w:r w:rsidRPr="00CE4489">
        <w:t>screening tools such as PainD</w:t>
      </w:r>
      <w:r w:rsidRPr="00CE4489" w:rsidR="00703067">
        <w:t>ETECT and DN4.</w:t>
      </w:r>
      <w:r w:rsidRPr="00CE4489" w:rsidR="00CB2E18">
        <w:rPr>
          <w:vertAlign w:val="superscript"/>
        </w:rPr>
        <w:t>1</w:t>
      </w:r>
      <w:r w:rsidRPr="00CE4489" w:rsidR="00D429B7">
        <w:rPr>
          <w:vertAlign w:val="superscript"/>
        </w:rPr>
        <w:t>6</w:t>
      </w:r>
      <w:r w:rsidRPr="00CE4489" w:rsidR="00CB2E18">
        <w:rPr>
          <w:vertAlign w:val="superscript"/>
        </w:rPr>
        <w:t>,</w:t>
      </w:r>
      <w:r w:rsidRPr="00CE4489" w:rsidR="0040315B">
        <w:rPr>
          <w:vertAlign w:val="superscript"/>
        </w:rPr>
        <w:t>33</w:t>
      </w:r>
      <w:r w:rsidRPr="00CE4489" w:rsidR="00774FDB">
        <w:t xml:space="preserve"> S</w:t>
      </w:r>
      <w:r w:rsidRPr="00CE4489" w:rsidR="006A5AE0">
        <w:t xml:space="preserve">creening tools such as </w:t>
      </w:r>
      <w:r w:rsidRPr="00CE4489" w:rsidR="00254A66">
        <w:t>s-</w:t>
      </w:r>
      <w:r w:rsidRPr="00CE4489" w:rsidR="006A5AE0">
        <w:t>LANSS which are completed by self-report and where higher score</w:t>
      </w:r>
      <w:r w:rsidRPr="00CE4489" w:rsidR="00774FDB">
        <w:t>s</w:t>
      </w:r>
      <w:r w:rsidRPr="00CE4489" w:rsidR="006A5AE0">
        <w:t xml:space="preserve"> indicate </w:t>
      </w:r>
      <w:r w:rsidRPr="00CE4489" w:rsidR="00774FDB">
        <w:t>the possible presence of neuropathic pain</w:t>
      </w:r>
      <w:r w:rsidRPr="00CE4489" w:rsidR="006A5AE0">
        <w:t xml:space="preserve">, may not be representative of </w:t>
      </w:r>
      <w:r w:rsidRPr="00CE4489" w:rsidR="00774FDB">
        <w:t>underlying neuropathic mechanisms</w:t>
      </w:r>
      <w:r w:rsidRPr="00CE4489" w:rsidR="00A04033">
        <w:t xml:space="preserve"> </w:t>
      </w:r>
      <w:r w:rsidRPr="00CE4489" w:rsidR="006A5AE0">
        <w:t>specifically, in th</w:t>
      </w:r>
      <w:r w:rsidRPr="00CE4489" w:rsidR="003058C4">
        <w:t>ese patients with sciatica</w:t>
      </w:r>
      <w:r w:rsidRPr="00CE4489" w:rsidR="00270C21">
        <w:t xml:space="preserve">. </w:t>
      </w:r>
    </w:p>
    <w:p w:rsidRPr="00CE4489" w:rsidR="00F674A1" w:rsidP="00273F68" w:rsidRDefault="00F674A1" w14:paraId="0ADF0296" w14:textId="77777777">
      <w:pPr>
        <w:spacing w:line="480" w:lineRule="auto"/>
      </w:pPr>
    </w:p>
    <w:p w:rsidRPr="00CE4489" w:rsidR="00F674A1" w:rsidP="00273F68" w:rsidRDefault="00F674A1" w14:paraId="2872F1C9" w14:textId="3CCC4FF9">
      <w:pPr>
        <w:spacing w:line="480" w:lineRule="auto"/>
      </w:pPr>
      <w:r w:rsidRPr="00CE4489">
        <w:t xml:space="preserve">This research provides the highest quality evidence to date on the characteristics of this patient population. </w:t>
      </w:r>
      <w:r w:rsidRPr="00CE4489" w:rsidR="00AD0DFD">
        <w:t>As expected, t</w:t>
      </w:r>
      <w:r w:rsidRPr="00CE4489">
        <w:t xml:space="preserve">he characteristics of patients with </w:t>
      </w:r>
      <w:r w:rsidRPr="00CE4489" w:rsidR="007B6A78">
        <w:t xml:space="preserve">neuropathic pain </w:t>
      </w:r>
      <w:r w:rsidRPr="00CE4489">
        <w:t xml:space="preserve">varied depending on the method used to define cases. Patients with </w:t>
      </w:r>
      <w:r w:rsidRPr="00CE4489" w:rsidR="007B6A78">
        <w:t xml:space="preserve">neuropathic pain </w:t>
      </w:r>
      <w:r w:rsidRPr="00CE4489">
        <w:t>based on s-LANSS presented with a distinct</w:t>
      </w:r>
      <w:r w:rsidRPr="00CE4489" w:rsidR="0088641A">
        <w:t>ly different</w:t>
      </w:r>
      <w:r w:rsidRPr="00CE4489">
        <w:t xml:space="preserve"> profile compared to those with </w:t>
      </w:r>
      <w:r w:rsidRPr="00CE4489" w:rsidR="007B6A78">
        <w:t xml:space="preserve">neuropathic pain </w:t>
      </w:r>
      <w:r w:rsidRPr="00CE4489" w:rsidR="0088641A">
        <w:t>based on</w:t>
      </w:r>
      <w:r w:rsidRPr="00CE4489">
        <w:t xml:space="preserve"> </w:t>
      </w:r>
      <w:r w:rsidRPr="00CE4489" w:rsidR="00616037">
        <w:t xml:space="preserve">clinical </w:t>
      </w:r>
      <w:r w:rsidRPr="00CE4489">
        <w:t xml:space="preserve">diagnosis of sciatica. </w:t>
      </w:r>
      <w:r w:rsidRPr="00CE4489" w:rsidR="00616037">
        <w:t>D</w:t>
      </w:r>
      <w:r w:rsidRPr="00CE4489" w:rsidR="00526CE0">
        <w:t xml:space="preserve">epression, anxiety </w:t>
      </w:r>
      <w:r w:rsidRPr="00CE4489">
        <w:t xml:space="preserve">and use of two or more pain medications were more common in patients with </w:t>
      </w:r>
      <w:r w:rsidRPr="00CE4489" w:rsidR="007B6A78">
        <w:t xml:space="preserve">neuropathic pain </w:t>
      </w:r>
      <w:r w:rsidRPr="00CE4489">
        <w:t xml:space="preserve">based on s-LANSS </w:t>
      </w:r>
      <w:r w:rsidRPr="00CE4489">
        <w:rPr>
          <w:bCs/>
        </w:rPr>
        <w:t xml:space="preserve">compared to those with </w:t>
      </w:r>
      <w:r w:rsidRPr="00CE4489" w:rsidR="007B6A78">
        <w:t xml:space="preserve">neuropathic pain </w:t>
      </w:r>
      <w:r w:rsidRPr="00CE4489">
        <w:rPr>
          <w:bCs/>
        </w:rPr>
        <w:t xml:space="preserve">based on clinical diagnosis of sciatica with or without MRI evidence of NRC. This is consistent with previous research </w:t>
      </w:r>
      <w:r w:rsidRPr="00CE4489" w:rsidR="00475EF0">
        <w:t xml:space="preserve">of patients with and without </w:t>
      </w:r>
      <w:r w:rsidRPr="00CE4489" w:rsidR="007B6A78">
        <w:t xml:space="preserve">neuropathic pain </w:t>
      </w:r>
      <w:r w:rsidRPr="00CE4489" w:rsidR="00703067">
        <w:t>based on clinical examination</w:t>
      </w:r>
      <w:r w:rsidRPr="00CE4489" w:rsidR="00E27A2D">
        <w:rPr>
          <w:noProof/>
        </w:rPr>
        <w:t>,</w:t>
      </w:r>
      <w:r w:rsidRPr="00CE4489" w:rsidR="0040315B">
        <w:rPr>
          <w:vertAlign w:val="superscript"/>
        </w:rPr>
        <w:t>33-35</w:t>
      </w:r>
      <w:r w:rsidRPr="00CE4489" w:rsidR="008D4F63">
        <w:rPr>
          <w:noProof/>
        </w:rPr>
        <w:t xml:space="preserve"> </w:t>
      </w:r>
      <w:r w:rsidRPr="00CE4489" w:rsidR="00703067">
        <w:t>which f</w:t>
      </w:r>
      <w:r w:rsidRPr="00CE4489">
        <w:t>ound few</w:t>
      </w:r>
      <w:r w:rsidRPr="00CE4489" w:rsidR="00486BC3">
        <w:t>er</w:t>
      </w:r>
      <w:r w:rsidRPr="00CE4489">
        <w:t xml:space="preserve"> differences in pain duration, LBLP-related disability, depression, anxiety, and health-related quality of life between patients with and without </w:t>
      </w:r>
      <w:r w:rsidRPr="00CE4489" w:rsidR="007B6A78">
        <w:t xml:space="preserve">neuropathic pain </w:t>
      </w:r>
      <w:r w:rsidRPr="00CE4489">
        <w:t>compared to those</w:t>
      </w:r>
      <w:r w:rsidRPr="00CE4489" w:rsidR="002F3AB2">
        <w:t xml:space="preserve"> research studies using </w:t>
      </w:r>
      <w:r w:rsidRPr="00CE4489">
        <w:t>screening tools</w:t>
      </w:r>
      <w:r w:rsidRPr="00CE4489" w:rsidR="002F3AB2">
        <w:t xml:space="preserve"> to identify cases of </w:t>
      </w:r>
      <w:r w:rsidRPr="00CE4489" w:rsidR="007B6A78">
        <w:t>neuropathic pain</w:t>
      </w:r>
      <w:r w:rsidRPr="00CE4489">
        <w:t>.</w:t>
      </w:r>
      <w:r w:rsidRPr="00CE4489" w:rsidR="0040315B">
        <w:rPr>
          <w:vertAlign w:val="superscript"/>
        </w:rPr>
        <w:t>36</w:t>
      </w:r>
      <w:r w:rsidRPr="00CE4489" w:rsidR="00CB2E18">
        <w:rPr>
          <w:vertAlign w:val="superscript"/>
        </w:rPr>
        <w:t>-3</w:t>
      </w:r>
      <w:r w:rsidRPr="00CE4489" w:rsidR="0040315B">
        <w:rPr>
          <w:vertAlign w:val="superscript"/>
        </w:rPr>
        <w:t>8</w:t>
      </w:r>
      <w:r w:rsidRPr="00CE4489">
        <w:t xml:space="preserve"> None of the previous studies</w:t>
      </w:r>
      <w:r w:rsidRPr="00CE4489" w:rsidR="0040315B">
        <w:rPr>
          <w:vertAlign w:val="superscript"/>
        </w:rPr>
        <w:t>33</w:t>
      </w:r>
      <w:r w:rsidRPr="00CE4489" w:rsidR="00CB2E18">
        <w:rPr>
          <w:vertAlign w:val="superscript"/>
        </w:rPr>
        <w:t>-3</w:t>
      </w:r>
      <w:r w:rsidRPr="00CE4489" w:rsidR="0040315B">
        <w:rPr>
          <w:vertAlign w:val="superscript"/>
        </w:rPr>
        <w:t>8</w:t>
      </w:r>
      <w:r w:rsidRPr="00CE4489">
        <w:t xml:space="preserve"> aimed to describe the characteristics of LBLP patients with or without </w:t>
      </w:r>
      <w:r w:rsidRPr="00CE4489" w:rsidR="007B6A78">
        <w:t xml:space="preserve">neuropathic pain </w:t>
      </w:r>
      <w:r w:rsidRPr="00CE4489">
        <w:t>and</w:t>
      </w:r>
      <w:r w:rsidRPr="00CE4489" w:rsidR="0088641A">
        <w:t>,</w:t>
      </w:r>
      <w:r w:rsidRPr="00CE4489">
        <w:t xml:space="preserve"> in part</w:t>
      </w:r>
      <w:r w:rsidRPr="00CE4489" w:rsidR="0088641A">
        <w:t>,</w:t>
      </w:r>
      <w:r w:rsidRPr="00CE4489">
        <w:t xml:space="preserve"> were limited by either small sample sizes or poorly defined comparator groups. </w:t>
      </w:r>
    </w:p>
    <w:p w:rsidRPr="00CE4489" w:rsidR="00E87A21" w:rsidP="00273F68" w:rsidRDefault="00E87A21" w14:paraId="2124F5D3" w14:textId="77777777">
      <w:pPr>
        <w:spacing w:line="480" w:lineRule="auto"/>
      </w:pPr>
    </w:p>
    <w:p w:rsidRPr="00CE4489" w:rsidR="006A5AE0" w:rsidP="00273F68" w:rsidRDefault="00F674A1" w14:paraId="379C0F83" w14:textId="41FB5E9E">
      <w:pPr>
        <w:spacing w:line="480" w:lineRule="auto"/>
      </w:pPr>
      <w:r w:rsidRPr="00CE4489">
        <w:t xml:space="preserve">The clinical course of patients with and without </w:t>
      </w:r>
      <w:r w:rsidRPr="00CE4489" w:rsidR="007B6A78">
        <w:t xml:space="preserve">neuropathic pain </w:t>
      </w:r>
      <w:r w:rsidRPr="00CE4489">
        <w:t>at baseline</w:t>
      </w:r>
      <w:r w:rsidRPr="00CE4489" w:rsidR="00E27A2D">
        <w:t>,</w:t>
      </w:r>
      <w:r w:rsidRPr="00CE4489">
        <w:t xml:space="preserve"> in terms of pain intensity, showed some consistent similarities</w:t>
      </w:r>
      <w:r w:rsidRPr="00CE4489" w:rsidR="00893731">
        <w:t xml:space="preserve"> across the three </w:t>
      </w:r>
      <w:r w:rsidRPr="00CE4489" w:rsidR="007B6A78">
        <w:t xml:space="preserve">neuropathic pain </w:t>
      </w:r>
      <w:r w:rsidRPr="00CE4489" w:rsidR="00893731">
        <w:lastRenderedPageBreak/>
        <w:t>definitions used</w:t>
      </w:r>
      <w:r w:rsidRPr="00CE4489">
        <w:t xml:space="preserve">. </w:t>
      </w:r>
      <w:r w:rsidRPr="00CE4489" w:rsidR="003222DF">
        <w:t>On average, m</w:t>
      </w:r>
      <w:r w:rsidRPr="00CE4489">
        <w:t xml:space="preserve">ost improvement in pain intensity occurred between baseline and </w:t>
      </w:r>
      <w:r w:rsidRPr="00CE4489" w:rsidR="00254A66">
        <w:t>4-</w:t>
      </w:r>
      <w:r w:rsidRPr="00CE4489">
        <w:t xml:space="preserve">months, followed by a plateau through to </w:t>
      </w:r>
      <w:r w:rsidRPr="00CE4489" w:rsidR="00254A66">
        <w:t>3-</w:t>
      </w:r>
      <w:r w:rsidRPr="00CE4489">
        <w:t xml:space="preserve">years. This pattern of </w:t>
      </w:r>
      <w:r w:rsidRPr="00CE4489" w:rsidR="003222DF">
        <w:t xml:space="preserve">mean </w:t>
      </w:r>
      <w:r w:rsidRPr="00CE4489">
        <w:t>improvement is similar to the clinical course of LBP patients</w:t>
      </w:r>
      <w:r w:rsidRPr="00CE4489" w:rsidR="00CB2E18">
        <w:rPr>
          <w:vertAlign w:val="superscript"/>
        </w:rPr>
        <w:t>3</w:t>
      </w:r>
      <w:r w:rsidRPr="00CE4489" w:rsidR="0040315B">
        <w:rPr>
          <w:vertAlign w:val="superscript"/>
        </w:rPr>
        <w:t>9</w:t>
      </w:r>
      <w:r w:rsidRPr="00CE4489" w:rsidR="00D538E7">
        <w:t xml:space="preserve"> </w:t>
      </w:r>
      <w:r w:rsidRPr="00CE4489">
        <w:t>and patients with other musculoskeletal pain conditions.</w:t>
      </w:r>
      <w:r w:rsidRPr="00CE4489" w:rsidR="0040315B">
        <w:rPr>
          <w:vertAlign w:val="superscript"/>
        </w:rPr>
        <w:t>40</w:t>
      </w:r>
    </w:p>
    <w:p w:rsidRPr="00CE4489" w:rsidR="00F674A1" w:rsidP="00273F68" w:rsidRDefault="00F674A1" w14:paraId="671A8E01" w14:textId="77777777">
      <w:pPr>
        <w:spacing w:line="480" w:lineRule="auto"/>
      </w:pPr>
    </w:p>
    <w:p w:rsidRPr="00CE4489" w:rsidR="00F674A1" w:rsidP="00273F68" w:rsidRDefault="00F674A1" w14:paraId="60FB1257" w14:textId="34B914C6">
      <w:pPr>
        <w:spacing w:line="480" w:lineRule="auto"/>
      </w:pPr>
      <w:r w:rsidRPr="00CE4489">
        <w:t xml:space="preserve">One of the assumptions underpinning this research is that the prognosis of patients with </w:t>
      </w:r>
      <w:r w:rsidRPr="00CE4489" w:rsidR="007B6A78">
        <w:t xml:space="preserve">neuropathic pain </w:t>
      </w:r>
      <w:r w:rsidRPr="00CE4489">
        <w:t xml:space="preserve">is considered to be worse compared to those without. The clinical course of patients with </w:t>
      </w:r>
      <w:r w:rsidRPr="00CE4489" w:rsidR="007B6A78">
        <w:t xml:space="preserve">neuropathic pain </w:t>
      </w:r>
      <w:r w:rsidRPr="00CE4489">
        <w:t>based on s-LANSS was</w:t>
      </w:r>
      <w:r w:rsidRPr="00CE4489" w:rsidR="0088641A">
        <w:t xml:space="preserve"> </w:t>
      </w:r>
      <w:r w:rsidRPr="00CE4489">
        <w:t>worse than those without</w:t>
      </w:r>
      <w:r w:rsidRPr="00CE4489" w:rsidR="00F9245E">
        <w:t xml:space="preserve"> 12-months after initially consulting in primary care with LBLP</w:t>
      </w:r>
      <w:r w:rsidRPr="00CE4489">
        <w:t xml:space="preserve">, </w:t>
      </w:r>
      <w:r w:rsidRPr="00CE4489" w:rsidR="0088641A">
        <w:t xml:space="preserve">but </w:t>
      </w:r>
      <w:r w:rsidRPr="00CE4489">
        <w:t xml:space="preserve">this was not the case for the two other definitions of </w:t>
      </w:r>
      <w:r w:rsidRPr="00CE4489" w:rsidR="007B6A78">
        <w:t>neuropathic pain</w:t>
      </w:r>
      <w:r w:rsidRPr="00CE4489">
        <w:t xml:space="preserve">. The finding that the clinical course is worse in patients with s-LANSS ≥ 12 is consistent with previous research </w:t>
      </w:r>
      <w:r w:rsidRPr="00CE4489" w:rsidR="00DA5154">
        <w:t xml:space="preserve">using PainDETECT to define </w:t>
      </w:r>
      <w:r w:rsidRPr="00CE4489" w:rsidR="007B6A78">
        <w:t xml:space="preserve">neuropathic pain </w:t>
      </w:r>
      <w:r w:rsidRPr="00CE4489" w:rsidR="00836159">
        <w:t>cases</w:t>
      </w:r>
      <w:r w:rsidRPr="00CE4489" w:rsidR="008C5CC1">
        <w:rPr>
          <w:vertAlign w:val="superscript"/>
        </w:rPr>
        <w:t>3</w:t>
      </w:r>
      <w:r w:rsidRPr="00CE4489" w:rsidR="0040315B">
        <w:rPr>
          <w:vertAlign w:val="superscript"/>
        </w:rPr>
        <w:t>6</w:t>
      </w:r>
      <w:r w:rsidRPr="00CE4489">
        <w:t xml:space="preserve">.  </w:t>
      </w:r>
      <w:r w:rsidRPr="00CE4489" w:rsidR="0088641A">
        <w:t>We did not find that</w:t>
      </w:r>
      <w:r w:rsidRPr="00CE4489">
        <w:t xml:space="preserve"> patients with “probable” </w:t>
      </w:r>
      <w:r w:rsidRPr="00CE4489" w:rsidR="007B6A78">
        <w:t xml:space="preserve">neuropathic pain </w:t>
      </w:r>
      <w:r w:rsidRPr="00CE4489">
        <w:t xml:space="preserve">(those patients with a clinical diagnosis of sciatica with </w:t>
      </w:r>
      <w:r w:rsidRPr="00CE4489" w:rsidR="00836159">
        <w:t xml:space="preserve">MRI </w:t>
      </w:r>
      <w:r w:rsidRPr="00CE4489">
        <w:t xml:space="preserve">evidence of NRC) </w:t>
      </w:r>
      <w:r w:rsidRPr="00CE4489" w:rsidR="0088641A">
        <w:t>has a worse</w:t>
      </w:r>
      <w:r w:rsidRPr="00CE4489" w:rsidR="00F14CA0">
        <w:t xml:space="preserve"> </w:t>
      </w:r>
      <w:r w:rsidRPr="00CE4489">
        <w:t xml:space="preserve">clinical course </w:t>
      </w:r>
      <w:r w:rsidRPr="00CE4489" w:rsidR="0088641A">
        <w:t>than</w:t>
      </w:r>
      <w:r w:rsidRPr="00CE4489">
        <w:t xml:space="preserve"> those with “possible” </w:t>
      </w:r>
      <w:r w:rsidRPr="00CE4489" w:rsidR="007B6A78">
        <w:t xml:space="preserve">neuropathic pain </w:t>
      </w:r>
      <w:r w:rsidRPr="00CE4489">
        <w:t xml:space="preserve">(those more broadly defined </w:t>
      </w:r>
      <w:r w:rsidRPr="00CE4489" w:rsidR="00836159">
        <w:t>by the</w:t>
      </w:r>
      <w:r w:rsidRPr="00CE4489">
        <w:t xml:space="preserve"> clinical diagnosis of sciatica without </w:t>
      </w:r>
      <w:r w:rsidRPr="00CE4489" w:rsidR="00C840C7">
        <w:t xml:space="preserve">MRI </w:t>
      </w:r>
      <w:r w:rsidRPr="00CE4489">
        <w:t>evidence of NRC)</w:t>
      </w:r>
      <w:r w:rsidRPr="00CE4489" w:rsidR="00F14CA0">
        <w:t xml:space="preserve">. </w:t>
      </w:r>
      <w:r w:rsidRPr="00CE4489">
        <w:t xml:space="preserve">Our study shows that it is not the presence of </w:t>
      </w:r>
      <w:r w:rsidRPr="00CE4489" w:rsidR="007B6A78">
        <w:t xml:space="preserve">neuropathic pain </w:t>
      </w:r>
      <w:r w:rsidRPr="00CE4489">
        <w:rPr>
          <w:i/>
        </w:rPr>
        <w:t>per se</w:t>
      </w:r>
      <w:r w:rsidRPr="00CE4489">
        <w:t xml:space="preserve"> that is associated with poor prognosis, but specifically the presence of </w:t>
      </w:r>
      <w:r w:rsidRPr="00CE4489" w:rsidR="008028B3">
        <w:t xml:space="preserve">self-reported </w:t>
      </w:r>
      <w:r w:rsidRPr="00CE4489" w:rsidR="007B6A78">
        <w:t>neuropathic pain</w:t>
      </w:r>
      <w:r w:rsidRPr="00CE4489" w:rsidR="008028B3">
        <w:t>.</w:t>
      </w:r>
    </w:p>
    <w:p w:rsidRPr="00CE4489" w:rsidR="006A5AE0" w:rsidP="00273F68" w:rsidRDefault="006A5AE0" w14:paraId="0CE33083" w14:textId="77777777">
      <w:pPr>
        <w:spacing w:line="480" w:lineRule="auto"/>
      </w:pPr>
    </w:p>
    <w:p w:rsidRPr="00CE4489" w:rsidR="00F674A1" w:rsidP="00273F68" w:rsidRDefault="00F674A1" w14:paraId="1AFB83B4" w14:textId="4EA13957">
      <w:pPr>
        <w:spacing w:line="480" w:lineRule="auto"/>
      </w:pPr>
      <w:r w:rsidRPr="00CE4489">
        <w:t>In patients with a clinical diagnosis of sciatica (with or without evidence of NRC)</w:t>
      </w:r>
      <w:r w:rsidRPr="00CE4489" w:rsidR="004E07A8">
        <w:t>,</w:t>
      </w:r>
      <w:r w:rsidRPr="00CE4489">
        <w:t xml:space="preserve"> the clinical course seemed more favourable compared to those without</w:t>
      </w:r>
      <w:r w:rsidRPr="00CE4489" w:rsidR="00927FFB">
        <w:t xml:space="preserve"> (</w:t>
      </w:r>
      <w:r w:rsidRPr="00CE4489" w:rsidR="008D1AF0">
        <w:t>i.e.</w:t>
      </w:r>
      <w:r w:rsidRPr="00CE4489" w:rsidR="0088641A">
        <w:t xml:space="preserve"> those with a </w:t>
      </w:r>
      <w:r w:rsidRPr="00CE4489" w:rsidR="004E07A8">
        <w:t xml:space="preserve">diagnosis of </w:t>
      </w:r>
      <w:r w:rsidRPr="00CE4489" w:rsidR="00927FFB">
        <w:t>referred leg pain)</w:t>
      </w:r>
      <w:r w:rsidRPr="00CE4489">
        <w:t>. There was some evidence that a higher proportion of patients with a clinical diagnosis of sciatica (wit</w:t>
      </w:r>
      <w:r w:rsidRPr="00CE4489" w:rsidR="00AC7FE6">
        <w:t>h</w:t>
      </w:r>
      <w:r w:rsidRPr="00CE4489">
        <w:t xml:space="preserve"> evidence of NRC) may have received more targeted care (for example epidural injection) compared to those without and compared to those with </w:t>
      </w:r>
      <w:r w:rsidRPr="00CE4489" w:rsidR="00481FB1">
        <w:t xml:space="preserve">neuropathic pain </w:t>
      </w:r>
      <w:r w:rsidRPr="00CE4489">
        <w:t xml:space="preserve">based on s-LANSS. The absolute difference in the numbers receiving more </w:t>
      </w:r>
      <w:r w:rsidRPr="00CE4489">
        <w:lastRenderedPageBreak/>
        <w:t xml:space="preserve">targeted care across the three definitions was low and the differences in pain intensity between patients with and without </w:t>
      </w:r>
      <w:r w:rsidRPr="00CE4489" w:rsidR="00481FB1">
        <w:t xml:space="preserve">neuropathic pain </w:t>
      </w:r>
      <w:r w:rsidRPr="00CE4489">
        <w:t>based on a clinical diagnosis of sciatica (with or without evidence of NRC) were often small with no obvious clinical relevance. This provides confidence that the course of patients with sciatica (either with or without evidence of NRC) was not confounded by treatmen</w:t>
      </w:r>
      <w:r w:rsidRPr="00CE4489" w:rsidR="0088641A">
        <w:t>t in this cohort</w:t>
      </w:r>
      <w:r w:rsidRPr="00CE4489">
        <w:t xml:space="preserve"> and is similar to those without. </w:t>
      </w:r>
    </w:p>
    <w:p w:rsidRPr="00CE4489" w:rsidR="00F674A1" w:rsidP="00273F68" w:rsidRDefault="00F674A1" w14:paraId="3DF84524" w14:textId="77777777">
      <w:pPr>
        <w:spacing w:line="480" w:lineRule="auto"/>
      </w:pPr>
    </w:p>
    <w:p w:rsidRPr="00CE4489" w:rsidR="00F674A1" w:rsidP="00273F68" w:rsidRDefault="00F674A1" w14:paraId="132BC453" w14:textId="67433829">
      <w:pPr>
        <w:spacing w:line="480" w:lineRule="auto"/>
      </w:pPr>
      <w:r w:rsidRPr="00CE4489">
        <w:rPr>
          <w:lang w:val="en-US"/>
        </w:rPr>
        <w:t>The strengths of this research include: i) the collection of a broad range of self-report data and clinical assessment findings from standardised clinical examinations including MRI scans; ii) the</w:t>
      </w:r>
      <w:r w:rsidRPr="00CE4489" w:rsidR="008D1AF0">
        <w:rPr>
          <w:lang w:val="en-US"/>
        </w:rPr>
        <w:t xml:space="preserve"> long-term prospective</w:t>
      </w:r>
      <w:r w:rsidRPr="00CE4489">
        <w:rPr>
          <w:lang w:val="en-US"/>
        </w:rPr>
        <w:t xml:space="preserve"> cohort study design allowed for investigation of the temporal relationship between </w:t>
      </w:r>
      <w:r w:rsidRPr="00CE4489" w:rsidR="00481FB1">
        <w:t xml:space="preserve">neuropathic pain </w:t>
      </w:r>
      <w:r w:rsidRPr="00CE4489">
        <w:rPr>
          <w:lang w:val="en-US"/>
        </w:rPr>
        <w:t>at baseline and pain intensity over 3-years</w:t>
      </w:r>
      <w:r w:rsidRPr="00CE4489" w:rsidR="00122BE1">
        <w:rPr>
          <w:lang w:val="en-US"/>
        </w:rPr>
        <w:t>, t</w:t>
      </w:r>
      <w:r w:rsidRPr="00CE4489">
        <w:rPr>
          <w:lang w:val="en-US"/>
        </w:rPr>
        <w:t>his addresses the limitations of previous research with this pati</w:t>
      </w:r>
      <w:r w:rsidRPr="00CE4489" w:rsidR="00D82EEB">
        <w:rPr>
          <w:lang w:val="en-US"/>
        </w:rPr>
        <w:t>ent population,</w:t>
      </w:r>
      <w:r w:rsidRPr="00CE4489" w:rsidR="0040315B">
        <w:rPr>
          <w:vertAlign w:val="superscript"/>
          <w:lang w:val="en-US"/>
        </w:rPr>
        <w:t>41</w:t>
      </w:r>
      <w:r w:rsidRPr="00CE4489">
        <w:rPr>
          <w:lang w:val="en-US"/>
        </w:rPr>
        <w:t xml:space="preserve"> and; iii) </w:t>
      </w:r>
      <w:r w:rsidRPr="00CE4489">
        <w:t xml:space="preserve">the use of mixed-effect models for repeated measures which take into account fixed effects (presence or absence of </w:t>
      </w:r>
      <w:r w:rsidRPr="00CE4489" w:rsidR="00481FB1">
        <w:t xml:space="preserve">neuropathic pain </w:t>
      </w:r>
      <w:r w:rsidRPr="00CE4489">
        <w:t xml:space="preserve">at baseline), random effects (individual patients), interaction between time and the outcome (pain intensity) and missing data (using likelihood-based approaches) during model development. </w:t>
      </w:r>
    </w:p>
    <w:p w:rsidRPr="00CE4489" w:rsidR="00F674A1" w:rsidP="00273F68" w:rsidRDefault="00F674A1" w14:paraId="11175289" w14:textId="77777777">
      <w:pPr>
        <w:spacing w:line="480" w:lineRule="auto"/>
      </w:pPr>
    </w:p>
    <w:p w:rsidRPr="00CE4489" w:rsidR="00F674A1" w:rsidP="00273F68" w:rsidRDefault="00F674A1" w14:paraId="46C615F4" w14:textId="77777777">
      <w:pPr>
        <w:pStyle w:val="Heading3"/>
        <w:spacing w:line="480" w:lineRule="auto"/>
        <w:rPr>
          <w:lang w:val="en-US"/>
        </w:rPr>
      </w:pPr>
      <w:r w:rsidRPr="00CE4489">
        <w:rPr>
          <w:lang w:val="en-US"/>
        </w:rPr>
        <w:t>Limitations</w:t>
      </w:r>
    </w:p>
    <w:p w:rsidRPr="00CE4489" w:rsidR="00AB55F7" w:rsidP="00273F68" w:rsidRDefault="00F674A1" w14:paraId="58456CDD" w14:textId="394A8CCD">
      <w:pPr>
        <w:spacing w:line="480" w:lineRule="auto"/>
      </w:pPr>
      <w:r w:rsidRPr="00CE4489">
        <w:t xml:space="preserve">Given that a number of characteristics were found to be very strongly associated with </w:t>
      </w:r>
      <w:r w:rsidRPr="00CE4489" w:rsidR="00481FB1">
        <w:t xml:space="preserve">neuropathic pain </w:t>
      </w:r>
      <w:r w:rsidRPr="00CE4489" w:rsidR="001F6600">
        <w:t>(e.g</w:t>
      </w:r>
      <w:r w:rsidRPr="00CE4489">
        <w:t xml:space="preserve">. neurological examination findings were strongly associated with </w:t>
      </w:r>
      <w:r w:rsidRPr="00CE4489" w:rsidR="0088641A">
        <w:t xml:space="preserve">a </w:t>
      </w:r>
      <w:r w:rsidRPr="00CE4489">
        <w:t xml:space="preserve">clinical diagnosis of sciatica; </w:t>
      </w:r>
      <w:r w:rsidRPr="00CE4489" w:rsidR="0088641A">
        <w:t>self-report of</w:t>
      </w:r>
      <w:r w:rsidRPr="00CE4489">
        <w:t xml:space="preserve"> burning pain was strongly associated with </w:t>
      </w:r>
      <w:r w:rsidRPr="00CE4489" w:rsidR="00481FB1">
        <w:t xml:space="preserve">neuropathic pain </w:t>
      </w:r>
      <w:r w:rsidRPr="00CE4489">
        <w:t xml:space="preserve">based on s-LANSS), there is a risk of bias due to the incorporation of characteristics that were used to determine cases of </w:t>
      </w:r>
      <w:r w:rsidRPr="00CE4489" w:rsidR="00481FB1">
        <w:t>neuropathic pain</w:t>
      </w:r>
      <w:r w:rsidRPr="00CE4489">
        <w:t xml:space="preserve">. Incorporation bias can lead to an overestimation of the strength of an association between a characteristic and </w:t>
      </w:r>
      <w:r w:rsidRPr="00CE4489">
        <w:lastRenderedPageBreak/>
        <w:t xml:space="preserve">an outcome, in this research </w:t>
      </w:r>
      <w:r w:rsidRPr="00CE4489" w:rsidR="00481FB1">
        <w:t xml:space="preserve">neuropathic pain </w:t>
      </w:r>
      <w:r w:rsidRPr="00CE4489" w:rsidR="0090223C">
        <w:t>being the outcome</w:t>
      </w:r>
      <w:r w:rsidRPr="00CE4489" w:rsidR="0040315B">
        <w:rPr>
          <w:vertAlign w:val="superscript"/>
        </w:rPr>
        <w:t>42</w:t>
      </w:r>
      <w:r w:rsidRPr="00CE4489">
        <w:t xml:space="preserve"> However,</w:t>
      </w:r>
      <w:r w:rsidRPr="00CE4489" w:rsidR="00D026C7">
        <w:t xml:space="preserve"> using three accepted </w:t>
      </w:r>
      <w:r w:rsidRPr="00CE4489" w:rsidR="00481FB1">
        <w:t xml:space="preserve">neuropathic pain </w:t>
      </w:r>
      <w:r w:rsidRPr="00CE4489" w:rsidR="00D026C7">
        <w:t>case definitions, and comparing the characteristics</w:t>
      </w:r>
      <w:r w:rsidRPr="00CE4489" w:rsidR="0088641A">
        <w:t xml:space="preserve"> of patients with </w:t>
      </w:r>
      <w:r w:rsidRPr="00CE4489" w:rsidR="00481FB1">
        <w:t>neuropathic pain</w:t>
      </w:r>
      <w:r w:rsidRPr="00CE4489" w:rsidR="0088641A">
        <w:t xml:space="preserve"> using each definition</w:t>
      </w:r>
      <w:r w:rsidRPr="00CE4489" w:rsidR="00D026C7">
        <w:t>,</w:t>
      </w:r>
      <w:r w:rsidRPr="00CE4489">
        <w:t xml:space="preserve"> adds confidence about the characteristics of these patients. Despite some evidence of incorporation bias, overall there </w:t>
      </w:r>
      <w:r w:rsidRPr="00CE4489" w:rsidR="00317C52">
        <w:t>seems to be limited</w:t>
      </w:r>
      <w:r w:rsidRPr="00CE4489">
        <w:t xml:space="preserve"> impact on the main findings of the study.</w:t>
      </w:r>
    </w:p>
    <w:p w:rsidRPr="00CE4489" w:rsidR="00F674A1" w:rsidP="00273F68" w:rsidRDefault="00F674A1" w14:paraId="4D856BF5" w14:textId="77777777">
      <w:pPr>
        <w:spacing w:line="480" w:lineRule="auto"/>
      </w:pPr>
    </w:p>
    <w:p w:rsidRPr="00CE4489" w:rsidR="00F674A1" w:rsidP="00273F68" w:rsidRDefault="00F674A1" w14:paraId="128B6B0D" w14:textId="77777777">
      <w:pPr>
        <w:pStyle w:val="Heading3"/>
        <w:spacing w:line="480" w:lineRule="auto"/>
        <w:rPr>
          <w:lang w:val="en-US"/>
        </w:rPr>
      </w:pPr>
      <w:r w:rsidRPr="00CE4489">
        <w:rPr>
          <w:lang w:val="en-US"/>
        </w:rPr>
        <w:t>Implications for clinical practice and research</w:t>
      </w:r>
    </w:p>
    <w:p w:rsidRPr="00CE4489" w:rsidR="00245EC0" w:rsidP="00245EC0" w:rsidRDefault="009640AA" w14:paraId="062EF340" w14:textId="4B6D9A33">
      <w:pPr>
        <w:spacing w:line="480" w:lineRule="auto"/>
        <w:rPr>
          <w:shd w:val="clear" w:color="auto" w:fill="FFFFFF"/>
        </w:rPr>
      </w:pPr>
      <w:r w:rsidRPr="00CE4489">
        <w:t xml:space="preserve">The implication of using different methods to identify cases of neuropathic pain is inevitably variation in prevalence estimates, characteristics and clinical course; it is not clear what the implication is in terms of variation in response to treatment. </w:t>
      </w:r>
      <w:r w:rsidRPr="00CE4489">
        <w:rPr>
          <w:shd w:val="clear" w:color="auto" w:fill="FFFFFF"/>
        </w:rPr>
        <w:t>Gi</w:t>
      </w:r>
      <w:r w:rsidRPr="00CE4489" w:rsidR="00F674A1">
        <w:rPr>
          <w:shd w:val="clear" w:color="auto" w:fill="FFFFFF"/>
        </w:rPr>
        <w:t xml:space="preserve">ven </w:t>
      </w:r>
      <w:r w:rsidRPr="00CE4489" w:rsidR="0067583A">
        <w:rPr>
          <w:shd w:val="clear" w:color="auto" w:fill="FFFFFF"/>
        </w:rPr>
        <w:t xml:space="preserve">the </w:t>
      </w:r>
      <w:r w:rsidRPr="00CE4489" w:rsidR="00F674A1">
        <w:rPr>
          <w:shd w:val="clear" w:color="auto" w:fill="FFFFFF"/>
        </w:rPr>
        <w:t>few differences between patients with sciatica with or without evidence of NRC on MRI</w:t>
      </w:r>
      <w:r w:rsidRPr="00CE4489" w:rsidR="007F51FF">
        <w:rPr>
          <w:shd w:val="clear" w:color="auto" w:fill="FFFFFF"/>
        </w:rPr>
        <w:t>,</w:t>
      </w:r>
      <w:r w:rsidRPr="00CE4489" w:rsidR="00F674A1">
        <w:rPr>
          <w:shd w:val="clear" w:color="auto" w:fill="FFFFFF"/>
        </w:rPr>
        <w:t xml:space="preserve"> both at baseline and in terms of clinical course</w:t>
      </w:r>
      <w:r w:rsidRPr="00CE4489" w:rsidR="0008400B">
        <w:rPr>
          <w:shd w:val="clear" w:color="auto" w:fill="FFFFFF"/>
        </w:rPr>
        <w:t xml:space="preserve"> over 3-years</w:t>
      </w:r>
      <w:r w:rsidRPr="00CE4489" w:rsidR="00F674A1">
        <w:rPr>
          <w:shd w:val="clear" w:color="auto" w:fill="FFFFFF"/>
        </w:rPr>
        <w:t xml:space="preserve">, </w:t>
      </w:r>
      <w:r w:rsidRPr="00CE4489" w:rsidR="00F674A1">
        <w:rPr>
          <w:lang w:val="en-US"/>
        </w:rPr>
        <w:t xml:space="preserve">the clinical implication of our study is that in the absence of widespread </w:t>
      </w:r>
      <w:r w:rsidRPr="00CE4489" w:rsidR="000E45AB">
        <w:rPr>
          <w:lang w:val="en-US"/>
        </w:rPr>
        <w:t>or progressive neurological deficit</w:t>
      </w:r>
      <w:r w:rsidRPr="00CE4489" w:rsidR="00F674A1">
        <w:rPr>
          <w:lang w:val="en-US"/>
        </w:rPr>
        <w:t xml:space="preserve">, </w:t>
      </w:r>
      <w:r w:rsidRPr="00CE4489" w:rsidR="006250CD">
        <w:rPr>
          <w:lang w:val="en-US"/>
        </w:rPr>
        <w:t xml:space="preserve">most </w:t>
      </w:r>
      <w:r w:rsidRPr="00CE4489" w:rsidR="00F674A1">
        <w:rPr>
          <w:lang w:val="en-US"/>
        </w:rPr>
        <w:t>LBLP patients with a clinical diag</w:t>
      </w:r>
      <w:r w:rsidRPr="00CE4489" w:rsidR="000E45AB">
        <w:rPr>
          <w:lang w:val="en-US"/>
        </w:rPr>
        <w:t>nosis of sciatica (with or with</w:t>
      </w:r>
      <w:r w:rsidRPr="00CE4489" w:rsidR="00F674A1">
        <w:rPr>
          <w:lang w:val="en-US"/>
        </w:rPr>
        <w:t>out evidence of NRC) should be treated, at least initially</w:t>
      </w:r>
      <w:r w:rsidRPr="00CE4489" w:rsidR="009D6EAF">
        <w:rPr>
          <w:lang w:val="en-US"/>
        </w:rPr>
        <w:t>,</w:t>
      </w:r>
      <w:r w:rsidRPr="00CE4489" w:rsidR="00F674A1">
        <w:rPr>
          <w:lang w:val="en-US"/>
        </w:rPr>
        <w:t xml:space="preserve"> </w:t>
      </w:r>
      <w:r w:rsidRPr="00CE4489" w:rsidR="00A81109">
        <w:rPr>
          <w:lang w:val="en-US"/>
        </w:rPr>
        <w:t>con</w:t>
      </w:r>
      <w:r w:rsidRPr="00CE4489" w:rsidR="00866E1E">
        <w:rPr>
          <w:lang w:val="en-US"/>
        </w:rPr>
        <w:t>servatively.</w:t>
      </w:r>
      <w:r w:rsidRPr="00CE4489" w:rsidR="00F674A1">
        <w:rPr>
          <w:lang w:val="en-US"/>
        </w:rPr>
        <w:t xml:space="preserve"> Imaging should be reserved for those patients for whom the result is likely to change clinical management. </w:t>
      </w:r>
      <w:r w:rsidRPr="00CE4489" w:rsidR="003E400D">
        <w:rPr>
          <w:lang w:val="en-US"/>
        </w:rPr>
        <w:t>In this research, p</w:t>
      </w:r>
      <w:r w:rsidRPr="00CE4489" w:rsidR="00F674A1">
        <w:rPr>
          <w:lang w:val="en-US"/>
        </w:rPr>
        <w:t xml:space="preserve">atients with </w:t>
      </w:r>
      <w:r w:rsidRPr="00CE4489" w:rsidR="00481FB1">
        <w:t xml:space="preserve">neuropathic pain </w:t>
      </w:r>
      <w:r w:rsidRPr="00CE4489" w:rsidR="00F674A1">
        <w:rPr>
          <w:lang w:val="en-US"/>
        </w:rPr>
        <w:t xml:space="preserve">based on s-LANSS </w:t>
      </w:r>
      <w:r w:rsidRPr="00CE4489" w:rsidR="003222DF">
        <w:rPr>
          <w:lang w:val="en-US"/>
        </w:rPr>
        <w:t>had</w:t>
      </w:r>
      <w:r w:rsidRPr="00CE4489" w:rsidR="0008400B">
        <w:rPr>
          <w:lang w:val="en-US"/>
        </w:rPr>
        <w:t>, on average,</w:t>
      </w:r>
      <w:r w:rsidRPr="00CE4489" w:rsidR="00F674A1">
        <w:rPr>
          <w:lang w:val="en-US"/>
        </w:rPr>
        <w:t xml:space="preserve"> a more severe phenotype compared to those with </w:t>
      </w:r>
      <w:r w:rsidRPr="00CE4489" w:rsidR="00481FB1">
        <w:t xml:space="preserve">neuropathic pain </w:t>
      </w:r>
      <w:r w:rsidRPr="00CE4489" w:rsidR="00F674A1">
        <w:rPr>
          <w:lang w:val="en-US"/>
        </w:rPr>
        <w:t>based on clinical diagnosis</w:t>
      </w:r>
      <w:r w:rsidRPr="00CE4489" w:rsidR="0008400B">
        <w:rPr>
          <w:lang w:val="en-US"/>
        </w:rPr>
        <w:t>,</w:t>
      </w:r>
      <w:r w:rsidRPr="00CE4489" w:rsidR="00F674A1">
        <w:rPr>
          <w:lang w:val="en-US"/>
        </w:rPr>
        <w:t xml:space="preserve"> </w:t>
      </w:r>
      <w:r w:rsidRPr="00CE4489" w:rsidR="00746CCA">
        <w:rPr>
          <w:lang w:val="en-US"/>
        </w:rPr>
        <w:t>however</w:t>
      </w:r>
      <w:r w:rsidRPr="00CE4489" w:rsidR="00530F7E">
        <w:rPr>
          <w:lang w:val="en-US"/>
        </w:rPr>
        <w:t xml:space="preserve"> it is not known if</w:t>
      </w:r>
      <w:r w:rsidRPr="00CE4489" w:rsidR="00F674A1">
        <w:rPr>
          <w:lang w:val="en-US"/>
        </w:rPr>
        <w:t xml:space="preserve"> routine use of s-LANSS in clinical practice would benefit patients. </w:t>
      </w:r>
      <w:r w:rsidRPr="00CE4489" w:rsidR="00245EC0">
        <w:rPr>
          <w:lang w:val="en-US"/>
        </w:rPr>
        <w:t xml:space="preserve">Our study provides empirical evidence that questions the </w:t>
      </w:r>
      <w:r w:rsidRPr="00CE4489" w:rsidR="00245EC0">
        <w:rPr>
          <w:shd w:val="clear" w:color="auto" w:fill="FFFFFF"/>
        </w:rPr>
        <w:t>usefulness of the hierarchical grading system</w:t>
      </w:r>
      <w:r w:rsidRPr="00CE4489" w:rsidR="00245EC0">
        <w:rPr>
          <w:shd w:val="clear" w:color="auto" w:fill="FFFFFF"/>
          <w:vertAlign w:val="superscript"/>
        </w:rPr>
        <w:t>1</w:t>
      </w:r>
      <w:r w:rsidRPr="00CE4489" w:rsidR="00245EC0">
        <w:rPr>
          <w:shd w:val="clear" w:color="auto" w:fill="FFFFFF"/>
        </w:rPr>
        <w:t xml:space="preserve"> to classify cases of neuropathic LBLP by clinical examination. </w:t>
      </w:r>
      <w:r w:rsidRPr="00CE4489" w:rsidR="00245EC0">
        <w:rPr>
          <w:lang w:val="en-US"/>
        </w:rPr>
        <w:t xml:space="preserve">Future epidemiological research is needed to investigate whether characteristics identified from self-report and routine neurological examination that are thought to be important for defining cases of neuropathic LBLP can predict a poor outcome </w:t>
      </w:r>
      <w:r w:rsidRPr="00CE4489" w:rsidR="00245EC0">
        <w:rPr>
          <w:lang w:val="en-US"/>
        </w:rPr>
        <w:lastRenderedPageBreak/>
        <w:t>in patients with self-reported signs and symptoms of neuropathic pain who do worse over time.</w:t>
      </w:r>
    </w:p>
    <w:p w:rsidRPr="00CE4489" w:rsidR="002435E6" w:rsidP="00340A38" w:rsidRDefault="002435E6" w14:paraId="3142E3AD" w14:textId="467A3C69">
      <w:pPr>
        <w:spacing w:line="480" w:lineRule="auto"/>
        <w:rPr>
          <w:shd w:val="clear" w:color="auto" w:fill="FFFFFF"/>
        </w:rPr>
      </w:pPr>
    </w:p>
    <w:p w:rsidRPr="00CE4489" w:rsidR="00F674A1" w:rsidP="00273F68" w:rsidRDefault="00F674A1" w14:paraId="5CF4AE6D" w14:textId="77777777">
      <w:pPr>
        <w:pStyle w:val="Heading3"/>
        <w:spacing w:line="480" w:lineRule="auto"/>
        <w:rPr>
          <w:lang w:val="en-US"/>
        </w:rPr>
      </w:pPr>
      <w:r w:rsidRPr="00CE4489">
        <w:rPr>
          <w:lang w:val="en-US"/>
        </w:rPr>
        <w:t>Conclusions</w:t>
      </w:r>
    </w:p>
    <w:p w:rsidRPr="00CE4489" w:rsidR="00F674A1" w:rsidP="00273F68" w:rsidRDefault="00481FB1" w14:paraId="3C586A74" w14:textId="63DFBD1F">
      <w:pPr>
        <w:spacing w:line="480" w:lineRule="auto"/>
      </w:pPr>
      <w:r w:rsidRPr="00CE4489">
        <w:t xml:space="preserve">Neuropathic pain </w:t>
      </w:r>
      <w:r w:rsidRPr="00CE4489" w:rsidR="00F674A1">
        <w:t xml:space="preserve">in LBLP patients consulting in primary care is common, with a prevalence between 48% and 74% depending on </w:t>
      </w:r>
      <w:r w:rsidRPr="00CE4489" w:rsidR="0008400B">
        <w:t xml:space="preserve">the </w:t>
      </w:r>
      <w:r w:rsidRPr="00CE4489">
        <w:t xml:space="preserve">neuropathic pain </w:t>
      </w:r>
      <w:r w:rsidRPr="00CE4489" w:rsidR="0008400B">
        <w:t>case</w:t>
      </w:r>
      <w:r w:rsidRPr="00CE4489" w:rsidR="00F674A1">
        <w:t xml:space="preserve"> definition. Many patients with sciatica did not have </w:t>
      </w:r>
      <w:r w:rsidRPr="00CE4489">
        <w:t xml:space="preserve">neuropathic pain </w:t>
      </w:r>
      <w:r w:rsidRPr="00CE4489" w:rsidR="00F674A1">
        <w:t>based on s-LANSS</w:t>
      </w:r>
      <w:r w:rsidRPr="00CE4489" w:rsidR="0008400B">
        <w:t>,</w:t>
      </w:r>
      <w:r w:rsidRPr="00CE4489" w:rsidR="00F674A1">
        <w:t xml:space="preserve"> suggesting that sciatica is not always a </w:t>
      </w:r>
      <w:r w:rsidRPr="00CE4489">
        <w:t xml:space="preserve">neuropathic pain </w:t>
      </w:r>
      <w:r w:rsidRPr="00CE4489" w:rsidR="00F674A1">
        <w:t xml:space="preserve">condition. </w:t>
      </w:r>
      <w:r w:rsidRPr="00CE4489" w:rsidR="007D544C">
        <w:t xml:space="preserve">Prevalence and characteristics </w:t>
      </w:r>
      <w:r w:rsidRPr="00CE4489" w:rsidR="00F674A1">
        <w:t xml:space="preserve">varied depending on </w:t>
      </w:r>
      <w:r w:rsidRPr="00CE4489" w:rsidR="00D248A0">
        <w:t xml:space="preserve">the </w:t>
      </w:r>
      <w:r w:rsidRPr="00CE4489" w:rsidR="00F674A1">
        <w:t xml:space="preserve">method used to define </w:t>
      </w:r>
      <w:r w:rsidRPr="00CE4489">
        <w:t>neuropathic pain</w:t>
      </w:r>
      <w:r w:rsidRPr="00CE4489" w:rsidR="00F674A1">
        <w:t xml:space="preserve">. </w:t>
      </w:r>
      <w:r w:rsidRPr="00CE4489" w:rsidR="00F674A1">
        <w:rPr>
          <w:lang w:val="en-US"/>
        </w:rPr>
        <w:t xml:space="preserve">At baseline, LBLP-related morbidities such as depression, anxiety and worse general health were more common in patients with </w:t>
      </w:r>
      <w:r w:rsidRPr="00CE4489" w:rsidR="00C60343">
        <w:t xml:space="preserve">neuropathic pain </w:t>
      </w:r>
      <w:r w:rsidRPr="00CE4489" w:rsidR="00F674A1">
        <w:rPr>
          <w:lang w:val="en-US"/>
        </w:rPr>
        <w:t xml:space="preserve">based on s-LANSS compared to those with </w:t>
      </w:r>
      <w:r w:rsidRPr="00CE4489" w:rsidR="00C60343">
        <w:t xml:space="preserve">neuropathic pain </w:t>
      </w:r>
      <w:r w:rsidRPr="00CE4489" w:rsidR="00F674A1">
        <w:rPr>
          <w:lang w:val="en-US"/>
        </w:rPr>
        <w:t xml:space="preserve">based on </w:t>
      </w:r>
      <w:r w:rsidRPr="00CE4489" w:rsidR="002F2831">
        <w:rPr>
          <w:lang w:val="en-US"/>
        </w:rPr>
        <w:t xml:space="preserve">clinical diagnosis of </w:t>
      </w:r>
      <w:r w:rsidRPr="00CE4489" w:rsidR="00F674A1">
        <w:rPr>
          <w:lang w:val="en-US"/>
        </w:rPr>
        <w:t>sciatica.</w:t>
      </w:r>
      <w:r w:rsidRPr="00CE4489" w:rsidR="00F674A1">
        <w:t xml:space="preserve"> </w:t>
      </w:r>
      <w:r w:rsidRPr="00CE4489" w:rsidR="00F674A1">
        <w:rPr>
          <w:lang w:val="en-US"/>
        </w:rPr>
        <w:t xml:space="preserve">Evidence of NRC from MRI </w:t>
      </w:r>
      <w:r w:rsidRPr="00CE4489" w:rsidR="0008400B">
        <w:rPr>
          <w:lang w:val="en-US"/>
        </w:rPr>
        <w:t xml:space="preserve">increased </w:t>
      </w:r>
      <w:r w:rsidRPr="00CE4489" w:rsidR="00F674A1">
        <w:rPr>
          <w:lang w:val="en-US"/>
        </w:rPr>
        <w:t xml:space="preserve">the certainty of </w:t>
      </w:r>
      <w:r w:rsidRPr="00CE4489" w:rsidR="00C60343">
        <w:t xml:space="preserve">neuropathic pain </w:t>
      </w:r>
      <w:r w:rsidRPr="00CE4489" w:rsidR="00F674A1">
        <w:rPr>
          <w:lang w:val="en-US"/>
        </w:rPr>
        <w:t xml:space="preserve">but </w:t>
      </w:r>
      <w:r w:rsidRPr="00CE4489" w:rsidR="002F2831">
        <w:rPr>
          <w:lang w:val="en-US"/>
        </w:rPr>
        <w:t xml:space="preserve">the prognosis of sciatica patients with </w:t>
      </w:r>
      <w:r w:rsidRPr="00CE4489" w:rsidR="0008400B">
        <w:rPr>
          <w:lang w:val="en-US"/>
        </w:rPr>
        <w:t>or</w:t>
      </w:r>
      <w:r w:rsidRPr="00CE4489" w:rsidR="002F2831">
        <w:rPr>
          <w:lang w:val="en-US"/>
        </w:rPr>
        <w:t xml:space="preserve"> without NRC on MRI</w:t>
      </w:r>
      <w:r w:rsidRPr="00CE4489" w:rsidR="00B8288C">
        <w:rPr>
          <w:lang w:val="en-US"/>
        </w:rPr>
        <w:t xml:space="preserve">, </w:t>
      </w:r>
      <w:r w:rsidRPr="00CE4489" w:rsidR="0008400B">
        <w:rPr>
          <w:lang w:val="en-US"/>
        </w:rPr>
        <w:t>wa</w:t>
      </w:r>
      <w:r w:rsidRPr="00CE4489" w:rsidR="00B8288C">
        <w:rPr>
          <w:lang w:val="en-US"/>
        </w:rPr>
        <w:t>s similar.</w:t>
      </w:r>
      <w:r w:rsidRPr="00CE4489" w:rsidR="00F674A1">
        <w:t xml:space="preserve"> The extent of the improvement in patients with </w:t>
      </w:r>
      <w:r w:rsidRPr="00CE4489" w:rsidR="00C60343">
        <w:t xml:space="preserve">neuropathic pain </w:t>
      </w:r>
      <w:r w:rsidRPr="00CE4489" w:rsidR="00F674A1">
        <w:t xml:space="preserve">depended on the definition of </w:t>
      </w:r>
      <w:r w:rsidRPr="00CE4489" w:rsidR="00C60343">
        <w:t>neuropathic pain</w:t>
      </w:r>
      <w:r w:rsidRPr="00CE4489" w:rsidR="00F674A1">
        <w:t xml:space="preserve">, only the clinical course of LBLP patients </w:t>
      </w:r>
      <w:r w:rsidRPr="00CE4489" w:rsidR="00C60343">
        <w:t>neuropathic pain</w:t>
      </w:r>
      <w:r w:rsidRPr="00CE4489" w:rsidR="00F674A1">
        <w:t xml:space="preserve"> defined using s-LANSS </w:t>
      </w:r>
      <w:r w:rsidRPr="00CE4489" w:rsidR="0008400B">
        <w:t xml:space="preserve">seemed </w:t>
      </w:r>
      <w:r w:rsidRPr="00CE4489" w:rsidR="00F674A1">
        <w:t>to be worse compared to those without.</w:t>
      </w:r>
      <w:r w:rsidRPr="00CE4489" w:rsidR="003058C4">
        <w:t xml:space="preserve"> This study challenges the </w:t>
      </w:r>
      <w:r w:rsidRPr="00CE4489" w:rsidR="009F3057">
        <w:t>commonly</w:t>
      </w:r>
      <w:r w:rsidRPr="00CE4489" w:rsidR="00773C82">
        <w:t xml:space="preserve"> </w:t>
      </w:r>
      <w:r w:rsidRPr="00CE4489" w:rsidR="003058C4">
        <w:t xml:space="preserve">held </w:t>
      </w:r>
      <w:r w:rsidRPr="00CE4489" w:rsidR="009F3057">
        <w:t>assumption</w:t>
      </w:r>
      <w:r w:rsidRPr="00CE4489" w:rsidR="003222DF">
        <w:t>s</w:t>
      </w:r>
      <w:r w:rsidRPr="00CE4489" w:rsidR="003058C4">
        <w:t xml:space="preserve"> that</w:t>
      </w:r>
      <w:r w:rsidRPr="00CE4489" w:rsidR="003222DF">
        <w:t xml:space="preserve"> the</w:t>
      </w:r>
      <w:r w:rsidRPr="00CE4489" w:rsidR="007B0C75">
        <w:t xml:space="preserve"> </w:t>
      </w:r>
      <w:r w:rsidRPr="00CE4489" w:rsidR="007420C4">
        <w:t xml:space="preserve">clinical course </w:t>
      </w:r>
      <w:r w:rsidRPr="00CE4489" w:rsidR="003222DF">
        <w:t xml:space="preserve">of </w:t>
      </w:r>
      <w:r w:rsidRPr="00CE4489" w:rsidR="00C60343">
        <w:t xml:space="preserve">neuropathic pain </w:t>
      </w:r>
      <w:r w:rsidRPr="00CE4489" w:rsidR="003222DF">
        <w:t xml:space="preserve">is </w:t>
      </w:r>
      <w:r w:rsidRPr="00CE4489" w:rsidR="00BA09F9">
        <w:t>mostly poo</w:t>
      </w:r>
      <w:r w:rsidRPr="00CE4489" w:rsidR="00C46F62">
        <w:t>r.</w:t>
      </w:r>
    </w:p>
    <w:p w:rsidRPr="00CE4489" w:rsidR="00F674A1" w:rsidP="00273F68" w:rsidRDefault="00F674A1" w14:paraId="3117CA0E" w14:textId="2C571728">
      <w:pPr>
        <w:spacing w:line="480" w:lineRule="auto"/>
      </w:pPr>
    </w:p>
    <w:p w:rsidRPr="00CE4489" w:rsidR="00F674A1" w:rsidRDefault="00F674A1" w14:paraId="78AF5885" w14:textId="77777777">
      <w:pPr>
        <w:pStyle w:val="Heading2"/>
      </w:pPr>
      <w:r w:rsidRPr="00CE4489">
        <w:t>References</w:t>
      </w:r>
    </w:p>
    <w:p w:rsidRPr="00CE4489" w:rsidR="00CE0A16" w:rsidP="00CE0A16" w:rsidRDefault="00CE0A16" w14:paraId="21B6F6FA" w14:textId="05EE4171">
      <w:pPr>
        <w:pStyle w:val="EndNoteBibliography"/>
        <w:ind w:left="720" w:hanging="720"/>
        <w:rPr>
          <w:rStyle w:val="Hyperlink"/>
        </w:rPr>
      </w:pPr>
      <w:r w:rsidRPr="00CE4489">
        <w:t xml:space="preserve">1. </w:t>
      </w:r>
      <w:r w:rsidRPr="00CE4489" w:rsidR="00A8154A">
        <w:t xml:space="preserve">Treede RD, Jensen TS, Campbell JN, et al. Neuropathic pain: redefinition and a grading system for clinical and research purposes. </w:t>
      </w:r>
      <w:r w:rsidRPr="00CE4489" w:rsidR="00A8154A">
        <w:rPr>
          <w:i/>
        </w:rPr>
        <w:t>Neurology</w:t>
      </w:r>
      <w:r w:rsidRPr="00CE4489" w:rsidR="00A8154A">
        <w:t>. 2008;70(18):1630‐1635. doi:10.1212/01.wnl.0000282763.29778.59</w:t>
      </w:r>
    </w:p>
    <w:p w:rsidRPr="00CE4489" w:rsidR="00045B88" w:rsidP="00045B88" w:rsidRDefault="00045B88" w14:paraId="2574ED2B" w14:textId="56653818">
      <w:pPr>
        <w:pStyle w:val="EndNoteBibliography"/>
        <w:ind w:left="720" w:hanging="720"/>
      </w:pPr>
      <w:r w:rsidRPr="00CE4489">
        <w:lastRenderedPageBreak/>
        <w:t>2</w:t>
      </w:r>
      <w:r w:rsidRPr="00CE4489" w:rsidR="00FD1637">
        <w:t xml:space="preserve">. Baron R, Binder A, Wasner G. Neuropathic pain: diagnosis, pathophysiological mechanisms, and treatment. </w:t>
      </w:r>
      <w:r w:rsidRPr="00CE4489" w:rsidR="00FD1637">
        <w:rPr>
          <w:i/>
        </w:rPr>
        <w:t>Lancet Neurol</w:t>
      </w:r>
      <w:r w:rsidRPr="00CE4489" w:rsidR="00FD1637">
        <w:t>. 2010;9(8):807‐819. doi:10.1016/S1474-4422(10)70143-5</w:t>
      </w:r>
    </w:p>
    <w:p w:rsidRPr="00CE4489" w:rsidR="00CE0A16" w:rsidP="00DC017F" w:rsidRDefault="00291400" w14:paraId="5C7FEF44" w14:textId="5FCB2253">
      <w:pPr>
        <w:pStyle w:val="EndNoteBibliography"/>
        <w:ind w:left="720" w:hanging="720"/>
      </w:pPr>
      <w:r w:rsidRPr="00CE4489">
        <w:t>3</w:t>
      </w:r>
      <w:r w:rsidRPr="00CE4489" w:rsidR="00DC017F">
        <w:t xml:space="preserve">. </w:t>
      </w:r>
      <w:r w:rsidRPr="00CE4489" w:rsidR="00A8154A">
        <w:t xml:space="preserve">Breivik H, Collett B, Ventafridda V, </w:t>
      </w:r>
      <w:r w:rsidRPr="00CE4489" w:rsidR="00756A6D">
        <w:t>et al</w:t>
      </w:r>
      <w:r w:rsidRPr="00CE4489" w:rsidR="00A8154A">
        <w:t xml:space="preserve">. Survey of chronic pain in Europe: prevalence, impact on daily life, and treatment. </w:t>
      </w:r>
      <w:r w:rsidRPr="00CE4489" w:rsidR="00A8154A">
        <w:rPr>
          <w:i/>
        </w:rPr>
        <w:t>Eur J Pain</w:t>
      </w:r>
      <w:r w:rsidRPr="00CE4489" w:rsidR="00A8154A">
        <w:t>. 2006;10(4):287‐333. doi:10.1016/j.ejpain.2005.06.009</w:t>
      </w:r>
    </w:p>
    <w:p w:rsidRPr="00CE4489" w:rsidR="00F674A1" w:rsidP="00273F68" w:rsidRDefault="00291400" w14:paraId="34380EDC" w14:textId="6F790AE6">
      <w:pPr>
        <w:pStyle w:val="EndNoteBibliography"/>
        <w:ind w:left="720" w:hanging="720"/>
        <w:rPr>
          <w:rStyle w:val="Hyperlink"/>
        </w:rPr>
      </w:pPr>
      <w:r w:rsidRPr="00CE4489">
        <w:t>4</w:t>
      </w:r>
      <w:r w:rsidRPr="00CE4489" w:rsidR="00CD014F">
        <w:t xml:space="preserve">. </w:t>
      </w:r>
      <w:r w:rsidRPr="00CE4489" w:rsidR="00A8154A">
        <w:t xml:space="preserve">Bennett MI, Smith BH, Torrance N, </w:t>
      </w:r>
      <w:r w:rsidRPr="00CE4489" w:rsidR="00756A6D">
        <w:t>et al</w:t>
      </w:r>
      <w:r w:rsidRPr="00CE4489" w:rsidR="00A8154A">
        <w:t>. The S-LANSS score for identifying pain of predominantly neuropathic origin: validation for use in clinical and postal research.</w:t>
      </w:r>
      <w:r w:rsidRPr="00CE4489" w:rsidR="00A8154A">
        <w:rPr>
          <w:i/>
        </w:rPr>
        <w:t xml:space="preserve"> J Pain</w:t>
      </w:r>
      <w:r w:rsidRPr="00CE4489" w:rsidR="00A8154A">
        <w:t>. 2005;6(3):149‐158. doi:10.1016/j.jpain.2004.11.007</w:t>
      </w:r>
    </w:p>
    <w:p w:rsidRPr="00CE4489" w:rsidR="00DC017F" w:rsidP="00DC017F" w:rsidRDefault="00291400" w14:paraId="0603CD74" w14:textId="05D2E1B3">
      <w:pPr>
        <w:pStyle w:val="EndNoteBibliography"/>
        <w:ind w:left="720" w:hanging="720"/>
      </w:pPr>
      <w:r w:rsidRPr="00CE4489">
        <w:t>5</w:t>
      </w:r>
      <w:r w:rsidRPr="00CE4489" w:rsidR="00DC017F">
        <w:t xml:space="preserve">. </w:t>
      </w:r>
      <w:r w:rsidRPr="00CE4489" w:rsidR="00A8154A">
        <w:t xml:space="preserve">Smith BH, Torrance N, Ferguson JA, Bennett MI, Serpell MG, Dunn KM. Towards a definition of refractory neuropathic pain for epidemiological research. An international Delphi survey of experts. </w:t>
      </w:r>
      <w:r w:rsidRPr="00CE4489" w:rsidR="00A8154A">
        <w:rPr>
          <w:i/>
        </w:rPr>
        <w:t>BMC Neurol</w:t>
      </w:r>
      <w:r w:rsidRPr="00CE4489" w:rsidR="00A8154A">
        <w:t>. 2012;12:29. doi:10.1186/1471-2377-12-29</w:t>
      </w:r>
    </w:p>
    <w:p w:rsidRPr="00CE4489" w:rsidR="00F674A1" w:rsidP="00273F68" w:rsidRDefault="00291400" w14:paraId="659ED5C7" w14:textId="32297CF6">
      <w:pPr>
        <w:pStyle w:val="EndNoteBibliography"/>
        <w:ind w:left="720" w:hanging="720"/>
        <w:rPr>
          <w:rStyle w:val="Hyperlink"/>
        </w:rPr>
      </w:pPr>
      <w:r w:rsidRPr="00CE4489">
        <w:t>6</w:t>
      </w:r>
      <w:r w:rsidRPr="00CE4489" w:rsidR="00CD014F">
        <w:t xml:space="preserve">. </w:t>
      </w:r>
      <w:r w:rsidRPr="00CE4489" w:rsidR="00A8154A">
        <w:t xml:space="preserve">Berger A, Sadosky A, Dukes E, </w:t>
      </w:r>
      <w:r w:rsidRPr="00CE4489" w:rsidR="00756A6D">
        <w:t xml:space="preserve">et al. </w:t>
      </w:r>
      <w:r w:rsidRPr="00CE4489" w:rsidR="00A8154A">
        <w:t xml:space="preserve">Clinical characteristics and patterns of healthcare utilization in patients with painful neuropathic disorders in UK general practice: a retrospective cohort study. </w:t>
      </w:r>
      <w:r w:rsidRPr="00CE4489" w:rsidR="00A8154A">
        <w:rPr>
          <w:i/>
        </w:rPr>
        <w:t>BMC Neurol</w:t>
      </w:r>
      <w:r w:rsidRPr="00CE4489" w:rsidR="00A8154A">
        <w:t>. 2012;12:8. Published 2012 Mar 6. doi:10.1186/1471-2377-12-8</w:t>
      </w:r>
    </w:p>
    <w:p w:rsidRPr="00CE4489" w:rsidR="00DC017F" w:rsidP="00DC017F" w:rsidRDefault="00291400" w14:paraId="69E8629F" w14:textId="725D493B">
      <w:pPr>
        <w:pStyle w:val="EndNoteBibliography"/>
        <w:ind w:left="720" w:hanging="720"/>
        <w:rPr>
          <w:rStyle w:val="Hyperlink"/>
        </w:rPr>
      </w:pPr>
      <w:r w:rsidRPr="00CE4489">
        <w:t>7</w:t>
      </w:r>
      <w:r w:rsidRPr="00CE4489" w:rsidR="00DC017F">
        <w:t xml:space="preserve">. </w:t>
      </w:r>
      <w:r w:rsidRPr="00CE4489" w:rsidR="00756A6D">
        <w:t xml:space="preserve">Hoy D, March L, Brooks P, et al. The global burden of low back pain: estimates from the Global Burden of Disease 2010 study. </w:t>
      </w:r>
      <w:r w:rsidRPr="00CE4489" w:rsidR="00756A6D">
        <w:rPr>
          <w:i/>
        </w:rPr>
        <w:t>Ann Rheum Dis</w:t>
      </w:r>
      <w:r w:rsidRPr="00CE4489" w:rsidR="00756A6D">
        <w:t>. 2014;73(6):968‐974. doi:10.1136/annrheumdis-2013-204428</w:t>
      </w:r>
    </w:p>
    <w:p w:rsidRPr="00CE4489" w:rsidR="00DC017F" w:rsidP="00DC017F" w:rsidRDefault="00291400" w14:paraId="131C5FA8" w14:textId="29B18FBD">
      <w:pPr>
        <w:pStyle w:val="EndNoteBibliography"/>
        <w:ind w:left="720" w:hanging="720"/>
      </w:pPr>
      <w:r w:rsidRPr="00CE4489">
        <w:t>8</w:t>
      </w:r>
      <w:r w:rsidRPr="00CE4489" w:rsidR="00DC017F">
        <w:t xml:space="preserve">. </w:t>
      </w:r>
      <w:r w:rsidRPr="00CE4489" w:rsidR="00756A6D">
        <w:t xml:space="preserve">Hill JC, Konstantinou K, Egbewale BE, et al. Clinical outcomes among low back pain consulters with referred leg pain in primary care [published correction appears in </w:t>
      </w:r>
      <w:r w:rsidRPr="00CE4489" w:rsidR="00756A6D">
        <w:rPr>
          <w:i/>
        </w:rPr>
        <w:t>Spine</w:t>
      </w:r>
      <w:r w:rsidRPr="00CE4489" w:rsidR="00756A6D">
        <w:t xml:space="preserve"> (Phila Pa 1976). 2012 Nov 15;37(24):E1541]. Spine (Phila Pa 1976). 2011;36(25):2168‐2175. doi:10.1097/BRS.0b013e31820712bb</w:t>
      </w:r>
    </w:p>
    <w:p w:rsidRPr="00CE4489" w:rsidR="00DC017F" w:rsidP="00DC017F" w:rsidRDefault="00291400" w14:paraId="640C1B62" w14:textId="75DCE09C">
      <w:pPr>
        <w:pStyle w:val="EndNoteBibliography"/>
        <w:ind w:left="720" w:hanging="720"/>
      </w:pPr>
      <w:r w:rsidRPr="00CE4489">
        <w:lastRenderedPageBreak/>
        <w:t>9</w:t>
      </w:r>
      <w:r w:rsidRPr="00CE4489" w:rsidR="00DC017F">
        <w:t xml:space="preserve">. </w:t>
      </w:r>
      <w:r w:rsidRPr="00CE4489" w:rsidR="00756A6D">
        <w:t xml:space="preserve">Kongsted A, Kent P, Albert H, et al. Patients with low back pain differ from those who also have leg pain or signs of nerve root involvement - a cross-sectional study. </w:t>
      </w:r>
      <w:r w:rsidRPr="00CE4489" w:rsidR="00756A6D">
        <w:rPr>
          <w:i/>
        </w:rPr>
        <w:t>BMC Musculoskelet Disord</w:t>
      </w:r>
      <w:r w:rsidRPr="00CE4489" w:rsidR="00756A6D">
        <w:t>. 2012;13:236. Published 2012 Nov 28. doi:10.1186/1471-2474-13-236</w:t>
      </w:r>
    </w:p>
    <w:p w:rsidRPr="00CE4489" w:rsidR="00045B88" w:rsidP="00045B88" w:rsidRDefault="00291400" w14:paraId="12EE495B" w14:textId="43CFD34A">
      <w:pPr>
        <w:pStyle w:val="EndNoteBibliography"/>
        <w:ind w:left="720" w:hanging="720"/>
        <w:rPr>
          <w:color w:val="0563C1" w:themeColor="hyperlink"/>
          <w:u w:val="single"/>
        </w:rPr>
      </w:pPr>
      <w:r w:rsidRPr="00CE4489">
        <w:t>10</w:t>
      </w:r>
      <w:r w:rsidRPr="00CE4489" w:rsidR="00732ACB">
        <w:t xml:space="preserve">. </w:t>
      </w:r>
      <w:r w:rsidRPr="00CE4489" w:rsidR="00756A6D">
        <w:t>Konstantinou K, Hider SL, Jordan JL, et al. The impact of low back-related leg pain on outcomes as compared with low back pain alone: a systematic review of the literature. Clin J Pain. 2013;29(7):644‐654. doi:10.1097/AJP.0b013e31826f9a52</w:t>
      </w:r>
    </w:p>
    <w:p w:rsidRPr="00CE4489" w:rsidR="00F674A1" w:rsidP="00273F68" w:rsidRDefault="00CD014F" w14:paraId="482D3638" w14:textId="768839A2">
      <w:pPr>
        <w:pStyle w:val="EndNoteBibliography"/>
        <w:rPr>
          <w:rStyle w:val="Hyperlink"/>
        </w:rPr>
      </w:pPr>
      <w:r w:rsidRPr="00CE4489">
        <w:t>1</w:t>
      </w:r>
      <w:r w:rsidRPr="00CE4489" w:rsidR="00291400">
        <w:t>1</w:t>
      </w:r>
      <w:r w:rsidRPr="00CE4489">
        <w:t xml:space="preserve">. </w:t>
      </w:r>
      <w:r w:rsidRPr="00CE4489" w:rsidR="00756A6D">
        <w:t>Coggon D, Ntani G, Walker-Bone K, et al. Epidemiological Differences Between Localized and Nonlocalized Low Back Pain. Spine (Phila Pa 1976). 2017;42(10):740‐747. doi:10.1097/BRS.0000000000001956</w:t>
      </w:r>
    </w:p>
    <w:p w:rsidRPr="00CE4489" w:rsidR="00045B88" w:rsidP="00273F68" w:rsidRDefault="00291400" w14:paraId="2C3DB9E9" w14:textId="07CB1E90">
      <w:pPr>
        <w:pStyle w:val="EndNoteBibliography"/>
        <w:rPr>
          <w:rStyle w:val="Hyperlink"/>
          <w:color w:val="auto"/>
          <w:u w:val="none"/>
        </w:rPr>
      </w:pPr>
      <w:r w:rsidRPr="00CE4489">
        <w:rPr>
          <w:rStyle w:val="Hyperlink"/>
          <w:color w:val="auto"/>
          <w:u w:val="none"/>
        </w:rPr>
        <w:t>12</w:t>
      </w:r>
      <w:r w:rsidRPr="00CE4489" w:rsidR="00045B88">
        <w:rPr>
          <w:rStyle w:val="Hyperlink"/>
          <w:color w:val="auto"/>
          <w:u w:val="none"/>
        </w:rPr>
        <w:t xml:space="preserve">. </w:t>
      </w:r>
      <w:r w:rsidRPr="00CE4489" w:rsidR="00756A6D">
        <w:t>Scholz J, Finnerup NB, Attal N, et al. The IASP classification of chronic pain for ICD-11: chronic neuropathic pain. </w:t>
      </w:r>
      <w:r w:rsidRPr="00CE4489" w:rsidR="00756A6D">
        <w:rPr>
          <w:i/>
          <w:iCs/>
        </w:rPr>
        <w:t>Pain</w:t>
      </w:r>
      <w:r w:rsidRPr="00CE4489" w:rsidR="00756A6D">
        <w:t>. 2019;160(1):53‐59. doi:10.1097/j.pain.0000000000001365</w:t>
      </w:r>
    </w:p>
    <w:p w:rsidRPr="00CE4489" w:rsidR="007E5D2D" w:rsidP="007E5D2D" w:rsidRDefault="007E5D2D" w14:paraId="66E55B08" w14:textId="5CFAD051">
      <w:pPr>
        <w:pStyle w:val="EndNoteBibliography"/>
        <w:ind w:left="720" w:hanging="720"/>
      </w:pPr>
      <w:r w:rsidRPr="00CE4489">
        <w:t xml:space="preserve">13. Finnerup NB, Attal N, Haroutounian S, et al. Pharmacotherapy for neuropathic pain in adults: a systematic review and meta-analysis. </w:t>
      </w:r>
      <w:r w:rsidRPr="00CE4489">
        <w:rPr>
          <w:i/>
        </w:rPr>
        <w:t>Lancet Neurol</w:t>
      </w:r>
      <w:r w:rsidRPr="00CE4489">
        <w:t xml:space="preserve"> 2015;14:162-173. </w:t>
      </w:r>
      <w:hyperlink w:history="1" r:id="rId9">
        <w:r w:rsidRPr="00CE4489">
          <w:rPr>
            <w:rStyle w:val="Hyperlink"/>
          </w:rPr>
          <w:t>http://dx.doi.org/10.1016/s1474-4422(14)70251-0</w:t>
        </w:r>
      </w:hyperlink>
    </w:p>
    <w:p w:rsidRPr="00CE4489" w:rsidR="007E5D2D" w:rsidP="00A569F4" w:rsidRDefault="007E5D2D" w14:paraId="74B1F7E6" w14:textId="0249C125">
      <w:pPr>
        <w:pStyle w:val="EndNoteBibliography"/>
        <w:ind w:left="720" w:hanging="720"/>
        <w:rPr>
          <w:rStyle w:val="Hyperlink"/>
          <w:color w:val="auto"/>
          <w:u w:val="none"/>
        </w:rPr>
      </w:pPr>
      <w:r w:rsidRPr="00CE4489" w:rsidDel="001277E0">
        <w:t xml:space="preserve"> </w:t>
      </w:r>
      <w:r w:rsidRPr="00CE4489">
        <w:t>14. National Institute for Health and Care Excellence. Neuropathic pain in adults: pharmacological management in non-specialist settings</w:t>
      </w:r>
      <w:r w:rsidRPr="00CE4489">
        <w:rPr>
          <w:i/>
        </w:rPr>
        <w:t>.</w:t>
      </w:r>
      <w:r w:rsidRPr="00CE4489">
        <w:t xml:space="preserve"> NICE guideline CG173  2013. Retrieved from </w:t>
      </w:r>
      <w:hyperlink w:history="1" r:id="rId10">
        <w:r w:rsidRPr="00CE4489">
          <w:rPr>
            <w:rStyle w:val="Hyperlink"/>
          </w:rPr>
          <w:t>http://nice.org.uk/guidance/cg173</w:t>
        </w:r>
      </w:hyperlink>
      <w:r w:rsidRPr="00CE4489">
        <w:t>. Last accessed 3 June 2019.</w:t>
      </w:r>
      <w:r w:rsidRPr="00CE4489" w:rsidDel="00766D6A">
        <w:t xml:space="preserve"> </w:t>
      </w:r>
    </w:p>
    <w:p w:rsidRPr="00CE4489" w:rsidR="008F5763" w:rsidP="007B333E" w:rsidRDefault="007E5D2D" w14:paraId="754F829F" w14:textId="1ADD9C4D">
      <w:pPr>
        <w:pStyle w:val="EndNoteBibliography"/>
        <w:ind w:left="720" w:hanging="720"/>
      </w:pPr>
      <w:r w:rsidRPr="00CE4489">
        <w:t>15</w:t>
      </w:r>
      <w:r w:rsidRPr="00CE4489">
        <w:rPr>
          <w:rFonts w:asciiTheme="minorHAnsi" w:hAnsiTheme="minorHAnsi" w:cstheme="minorHAnsi"/>
        </w:rPr>
        <w:t xml:space="preserve">. </w:t>
      </w:r>
      <w:r w:rsidRPr="00CE4489" w:rsidR="00B71BA4">
        <w:rPr>
          <w:rFonts w:asciiTheme="minorHAnsi" w:hAnsiTheme="minorHAnsi" w:cstheme="minorHAnsi"/>
          <w:color w:val="212121"/>
          <w:shd w:val="clear" w:color="auto" w:fill="FFFFFF"/>
        </w:rPr>
        <w:t>Croft P, Dinant GJ, Coventry P</w:t>
      </w:r>
      <w:r w:rsidRPr="00CE4489" w:rsidR="008F5763">
        <w:rPr>
          <w:rFonts w:asciiTheme="minorHAnsi" w:hAnsiTheme="minorHAnsi" w:cstheme="minorHAnsi"/>
          <w:color w:val="212121"/>
          <w:shd w:val="clear" w:color="auto" w:fill="FFFFFF"/>
        </w:rPr>
        <w:t>,</w:t>
      </w:r>
      <w:r w:rsidRPr="00CE4489" w:rsidR="00B71BA4">
        <w:rPr>
          <w:rFonts w:asciiTheme="minorHAnsi" w:hAnsiTheme="minorHAnsi" w:cstheme="minorHAnsi"/>
          <w:color w:val="212121"/>
          <w:shd w:val="clear" w:color="auto" w:fill="FFFFFF"/>
        </w:rPr>
        <w:t xml:space="preserve"> et al</w:t>
      </w:r>
      <w:r w:rsidRPr="00CE4489" w:rsidR="008F5763">
        <w:rPr>
          <w:rFonts w:asciiTheme="minorHAnsi" w:hAnsiTheme="minorHAnsi" w:cstheme="minorHAnsi"/>
          <w:color w:val="212121"/>
          <w:shd w:val="clear" w:color="auto" w:fill="FFFFFF"/>
        </w:rPr>
        <w:t>. Looking to the future: should 'prognosis' be heard as often as 'diagnosis' in medical education?. </w:t>
      </w:r>
      <w:r w:rsidRPr="00CE4489" w:rsidR="008F5763">
        <w:rPr>
          <w:rFonts w:asciiTheme="minorHAnsi" w:hAnsiTheme="minorHAnsi" w:cstheme="minorHAnsi"/>
          <w:i/>
          <w:iCs/>
          <w:color w:val="212121"/>
          <w:shd w:val="clear" w:color="auto" w:fill="FFFFFF"/>
        </w:rPr>
        <w:t>Educ Prim Care</w:t>
      </w:r>
      <w:r w:rsidRPr="00CE4489" w:rsidR="008F5763">
        <w:rPr>
          <w:rFonts w:asciiTheme="minorHAnsi" w:hAnsiTheme="minorHAnsi" w:cstheme="minorHAnsi"/>
          <w:color w:val="212121"/>
          <w:shd w:val="clear" w:color="auto" w:fill="FFFFFF"/>
        </w:rPr>
        <w:t>. 2015;26(6):367–371. doi:10.1080/14739879.2015.1101863</w:t>
      </w:r>
    </w:p>
    <w:p w:rsidRPr="00CE4489" w:rsidR="008F5763" w:rsidP="00FB5DFC" w:rsidRDefault="007E5D2D" w14:paraId="081EF239" w14:textId="637EEEC2">
      <w:pPr>
        <w:pStyle w:val="EndNoteBibliography"/>
        <w:ind w:left="720" w:hanging="720"/>
      </w:pPr>
      <w:r w:rsidRPr="00CE4489">
        <w:t xml:space="preserve">16. </w:t>
      </w:r>
      <w:r w:rsidRPr="00CE4489" w:rsidR="00B71BA4">
        <w:t xml:space="preserve">Harrisson SA, Stynes S, Dunn KM, et al. Neuropathic Pain in Low Back-Related Leg Pain Patients: What Is the Evidence of Prevalence, Characteristics, and Prognosis in </w:t>
      </w:r>
      <w:r w:rsidRPr="00CE4489" w:rsidR="00B71BA4">
        <w:lastRenderedPageBreak/>
        <w:t xml:space="preserve">Primary Care? A Systematic Review of the Literature. </w:t>
      </w:r>
      <w:r w:rsidRPr="00CE4489" w:rsidR="00B71BA4">
        <w:rPr>
          <w:i/>
        </w:rPr>
        <w:t>J Pain.</w:t>
      </w:r>
      <w:r w:rsidRPr="00CE4489" w:rsidR="00B71BA4">
        <w:t xml:space="preserve"> 2017;18(11):1295‐1312. doi:10.1016/j.jpain.2017.04.012</w:t>
      </w:r>
    </w:p>
    <w:p w:rsidRPr="00CE4489" w:rsidR="007B333E" w:rsidP="007B333E" w:rsidRDefault="00CD014F" w14:paraId="2854E7F8" w14:textId="19B7F5AB">
      <w:pPr>
        <w:pStyle w:val="EndNoteBibliography"/>
        <w:ind w:left="720" w:hanging="720"/>
        <w:rPr>
          <w:color w:val="0563C1" w:themeColor="hyperlink"/>
          <w:u w:val="single"/>
        </w:rPr>
      </w:pPr>
      <w:r w:rsidRPr="00CE4489">
        <w:t>1</w:t>
      </w:r>
      <w:r w:rsidRPr="00CE4489" w:rsidR="00FB5DFC">
        <w:t>7</w:t>
      </w:r>
      <w:r w:rsidRPr="00CE4489">
        <w:t xml:space="preserve"> </w:t>
      </w:r>
      <w:r w:rsidRPr="00CE4489" w:rsidR="00B71BA4">
        <w:t xml:space="preserve">Konstantinou K, Beardmore R, Dunn KM, et al. Clinical course, characteristics and prognostic indicators in patients presenting with back and leg pain in primary care. The ATLAS study protocol. </w:t>
      </w:r>
      <w:r w:rsidRPr="00CE4489" w:rsidR="00B71BA4">
        <w:rPr>
          <w:i/>
        </w:rPr>
        <w:t>BMC Musculoskelet Disord</w:t>
      </w:r>
      <w:r w:rsidRPr="00CE4489" w:rsidR="00B71BA4">
        <w:t>. 2012;13:4. Published 2012 Jan 20. doi:10.1186/1471-2474-13-4</w:t>
      </w:r>
    </w:p>
    <w:p w:rsidRPr="00CE4489" w:rsidR="007B333E" w:rsidP="007B333E" w:rsidRDefault="007B333E" w14:paraId="046B4AAF" w14:textId="02087E5F">
      <w:pPr>
        <w:pStyle w:val="EndNoteBibliography"/>
        <w:ind w:left="720" w:hanging="720"/>
        <w:rPr>
          <w:rStyle w:val="Hyperlink"/>
        </w:rPr>
      </w:pPr>
      <w:r w:rsidRPr="00CE4489">
        <w:t>1</w:t>
      </w:r>
      <w:r w:rsidRPr="00CE4489" w:rsidR="00FB5DFC">
        <w:t>8</w:t>
      </w:r>
      <w:r w:rsidRPr="00CE4489">
        <w:t xml:space="preserve">. </w:t>
      </w:r>
      <w:r w:rsidRPr="00CE4489" w:rsidR="00B71BA4">
        <w:t>Konstantinou K, Dunn KM, Ogollah R,</w:t>
      </w:r>
      <w:r w:rsidRPr="00CE4489" w:rsidR="00B71F42">
        <w:t xml:space="preserve"> et al.</w:t>
      </w:r>
      <w:r w:rsidRPr="00CE4489" w:rsidR="00B71BA4">
        <w:t xml:space="preserve"> Characteristics of patients with low back and leg pain seeking treatment in primary care: baseline results from the ATLAS cohort study. </w:t>
      </w:r>
      <w:r w:rsidRPr="00CE4489" w:rsidR="00B71BA4">
        <w:rPr>
          <w:i/>
        </w:rPr>
        <w:t xml:space="preserve">BMC Musculoskelet Disord. </w:t>
      </w:r>
      <w:r w:rsidRPr="00CE4489" w:rsidR="00B71BA4">
        <w:t>2015;16:332. Published 2015 Nov 4. doi:10.1186/s12891-015-0787-8</w:t>
      </w:r>
    </w:p>
    <w:p w:rsidRPr="00CE4489" w:rsidR="00352D2B" w:rsidP="007B333E" w:rsidRDefault="00352D2B" w14:paraId="548D3812" w14:textId="72044296">
      <w:pPr>
        <w:pStyle w:val="EndNoteBibliography"/>
        <w:ind w:left="720" w:hanging="720"/>
      </w:pPr>
      <w:r w:rsidRPr="00CE4489">
        <w:t>1</w:t>
      </w:r>
      <w:r w:rsidRPr="00CE4489" w:rsidR="00FB5DFC">
        <w:t xml:space="preserve">9. </w:t>
      </w:r>
      <w:r w:rsidRPr="00CE4489" w:rsidR="00B71F42">
        <w:t xml:space="preserve">Chou R, Qaseem A, Snow V, et al. Diagnosis and treatment of low back pain: a joint clinical practice guideline from the American College of Physicians and the American Pain Society [published correction appears in Ann Intern Med. 2008 Feb 5;148(3):247-8]. </w:t>
      </w:r>
      <w:r w:rsidRPr="00CE4489" w:rsidR="00B71F42">
        <w:rPr>
          <w:i/>
        </w:rPr>
        <w:t>Ann Intern Med</w:t>
      </w:r>
      <w:r w:rsidRPr="00CE4489" w:rsidR="00B71F42">
        <w:t>. 2007;147(7):478‐491. doi:10.7326/0003-4819-147-7-200710020-00006</w:t>
      </w:r>
    </w:p>
    <w:p w:rsidRPr="00CE4489" w:rsidR="00352D2B" w:rsidP="00B71F42" w:rsidRDefault="00FB5DFC" w14:paraId="59C08206" w14:textId="17E3D4B6">
      <w:pPr>
        <w:pStyle w:val="EndNoteBibliography"/>
        <w:ind w:left="720" w:hanging="720"/>
      </w:pPr>
      <w:r w:rsidRPr="00CE4489">
        <w:t xml:space="preserve">20. </w:t>
      </w:r>
      <w:r w:rsidRPr="00CE4489" w:rsidR="00352D2B">
        <w:t>Mercer</w:t>
      </w:r>
      <w:r w:rsidRPr="00CE4489" w:rsidR="00B71F42">
        <w:t xml:space="preserve"> C</w:t>
      </w:r>
      <w:r w:rsidRPr="00CE4489" w:rsidR="00253103">
        <w:t>,</w:t>
      </w:r>
      <w:r w:rsidRPr="00CE4489" w:rsidR="00352D2B">
        <w:t xml:space="preserve"> Finucane</w:t>
      </w:r>
      <w:r w:rsidRPr="00CE4489" w:rsidR="00253103">
        <w:t xml:space="preserve"> L. Examination of the lumbar region. In: Petty, N.J., (ed) Neuromusculoskeletal Examination and Assessment: A Handbook for </w:t>
      </w:r>
      <w:r w:rsidRPr="00CE4489" w:rsidR="00253103">
        <w:rPr>
          <w:i/>
        </w:rPr>
        <w:t>Therapists</w:t>
      </w:r>
      <w:r w:rsidRPr="00CE4489" w:rsidR="00253103">
        <w:t>. 4</w:t>
      </w:r>
      <w:r w:rsidRPr="00CE4489" w:rsidR="00253103">
        <w:rPr>
          <w:vertAlign w:val="superscript"/>
        </w:rPr>
        <w:t>th</w:t>
      </w:r>
      <w:r w:rsidRPr="00CE4489" w:rsidR="00253103">
        <w:t xml:space="preserve"> edition (p317-335): Elsevier Health Sciences.  </w:t>
      </w:r>
    </w:p>
    <w:p w:rsidRPr="00CE4489" w:rsidR="00B71F42" w:rsidP="00F127C4" w:rsidRDefault="00F127C4" w14:paraId="282FA83E" w14:textId="77777777">
      <w:pPr>
        <w:pStyle w:val="EndNoteBibliography"/>
        <w:ind w:left="720" w:hanging="720"/>
      </w:pPr>
      <w:r w:rsidRPr="00CE4489">
        <w:t>2</w:t>
      </w:r>
      <w:r w:rsidRPr="00CE4489">
        <w:t>1</w:t>
      </w:r>
      <w:r w:rsidRPr="00CE4489">
        <w:t xml:space="preserve">. </w:t>
      </w:r>
      <w:r w:rsidRPr="00CE4489" w:rsidR="00B71F42">
        <w:t>Koes BW, van Tulder MW, Peul WC. Diagnosis and treatment of sciatica. BMJ. 2007;334(7607):1313‐1317. doi:10.1136/bmj.39223.428495.BE</w:t>
      </w:r>
    </w:p>
    <w:p w:rsidRPr="00CE4489" w:rsidR="00F127C4" w:rsidP="00F127C4" w:rsidRDefault="00B71F42" w14:paraId="6B9F82BB" w14:textId="348DFD01">
      <w:pPr>
        <w:pStyle w:val="EndNoteBibliography"/>
        <w:ind w:left="720" w:hanging="720"/>
      </w:pPr>
      <w:r w:rsidRPr="00CE4489">
        <w:rPr>
          <w:rStyle w:val="Hyperlink"/>
          <w:color w:val="auto"/>
          <w:u w:val="none"/>
        </w:rPr>
        <w:t xml:space="preserve"> </w:t>
      </w:r>
      <w:r w:rsidRPr="00CE4489" w:rsidR="00F127C4">
        <w:rPr>
          <w:rStyle w:val="Hyperlink"/>
          <w:color w:val="auto"/>
          <w:u w:val="none"/>
        </w:rPr>
        <w:t xml:space="preserve">22. </w:t>
      </w:r>
      <w:r w:rsidRPr="00CE4489" w:rsidR="00FD1637">
        <w:rPr>
          <w:rStyle w:val="Hyperlink"/>
          <w:color w:val="auto"/>
          <w:u w:val="none"/>
        </w:rPr>
        <w:t xml:space="preserve">Konstantinou K, Hider SL, Vogel S, et al. Development of an assessment schedule for patients with low back-associated leg pain in primary care: a Delphi consensus study. </w:t>
      </w:r>
      <w:r w:rsidRPr="00CE4489" w:rsidR="00FD1637">
        <w:rPr>
          <w:rStyle w:val="Hyperlink"/>
          <w:i/>
          <w:color w:val="auto"/>
          <w:u w:val="none"/>
        </w:rPr>
        <w:t>Eur Spine J</w:t>
      </w:r>
      <w:r w:rsidRPr="00CE4489" w:rsidR="00FD1637">
        <w:rPr>
          <w:rStyle w:val="Hyperlink"/>
          <w:color w:val="auto"/>
          <w:u w:val="none"/>
        </w:rPr>
        <w:t>. 2012;21(7):1241‐1249. doi:10.1007/s00586-011-2057-2</w:t>
      </w:r>
    </w:p>
    <w:p w:rsidRPr="00CE4489" w:rsidR="00F127C4" w:rsidP="002A6FCB" w:rsidRDefault="00F127C4" w14:paraId="1E15D002" w14:textId="77777777">
      <w:pPr>
        <w:pStyle w:val="EndNoteBibliography"/>
        <w:ind w:left="720" w:hanging="720"/>
      </w:pPr>
    </w:p>
    <w:p w:rsidRPr="00CE4489" w:rsidR="00F127C4" w:rsidP="002A6FCB" w:rsidRDefault="00F127C4" w14:paraId="72B478AA" w14:textId="77777777">
      <w:pPr>
        <w:pStyle w:val="EndNoteBibliography"/>
        <w:ind w:left="720" w:hanging="720"/>
      </w:pPr>
      <w:bookmarkStart w:name="_GoBack" w:id="1"/>
      <w:bookmarkEnd w:id="1"/>
    </w:p>
    <w:p w:rsidRPr="00CE4489" w:rsidR="00F674A1" w:rsidP="00273F68" w:rsidRDefault="00291400" w14:paraId="3C8B5586" w14:textId="7C599CAB">
      <w:pPr>
        <w:pStyle w:val="EndNoteBibliography"/>
        <w:ind w:left="720" w:hanging="720"/>
      </w:pPr>
      <w:r w:rsidRPr="00CE4489">
        <w:t>2</w:t>
      </w:r>
      <w:r w:rsidRPr="00CE4489" w:rsidR="00F127C4">
        <w:t>3</w:t>
      </w:r>
      <w:r w:rsidRPr="00CE4489" w:rsidR="00CE0A16">
        <w:t xml:space="preserve">. </w:t>
      </w:r>
      <w:r w:rsidRPr="00CE4489" w:rsidR="00B71F42">
        <w:t xml:space="preserve">Stynes S, Konstantinou K, Dunn KM, et al. Reliability among clinicians diagnosing low back-related leg pain. </w:t>
      </w:r>
      <w:r w:rsidRPr="00CE4489" w:rsidR="00B71F42">
        <w:rPr>
          <w:i/>
        </w:rPr>
        <w:t>Eur Spine J</w:t>
      </w:r>
      <w:r w:rsidRPr="00CE4489" w:rsidR="00B71F42">
        <w:t>. 2016;25(9):2734‐2740. doi:10.1007/s00586-015-4359-2</w:t>
      </w:r>
    </w:p>
    <w:p w:rsidRPr="00CE4489" w:rsidR="00F674A1" w:rsidP="00273F68" w:rsidRDefault="00F127C4" w14:paraId="380A9F7C" w14:textId="153D7120">
      <w:pPr>
        <w:pStyle w:val="EndNoteBibliography"/>
        <w:ind w:left="720" w:hanging="720"/>
      </w:pPr>
      <w:r w:rsidRPr="00CE4489">
        <w:t>24</w:t>
      </w:r>
      <w:r w:rsidRPr="00CE4489" w:rsidR="00FB5DFC">
        <w:t xml:space="preserve">. </w:t>
      </w:r>
      <w:r w:rsidRPr="00CE4489" w:rsidR="00B71F42">
        <w:t xml:space="preserve">Ware JE Jr. SF-36 health survey update. </w:t>
      </w:r>
      <w:r w:rsidRPr="00CE4489" w:rsidR="00B71F42">
        <w:rPr>
          <w:i/>
        </w:rPr>
        <w:t xml:space="preserve">Spine </w:t>
      </w:r>
      <w:r w:rsidRPr="00CE4489" w:rsidR="00B71F42">
        <w:t>(Phila Pa 1976). 2000;25(24):3130‐3139. doi:10.1097/00007632-200012150-00008</w:t>
      </w:r>
    </w:p>
    <w:p w:rsidRPr="00CE4489" w:rsidR="00DC017F" w:rsidP="00732ACB" w:rsidRDefault="00F127C4" w14:paraId="15399FFC" w14:textId="37CC7535">
      <w:pPr>
        <w:pStyle w:val="EndNoteBibliography"/>
        <w:ind w:left="720" w:hanging="720"/>
      </w:pPr>
      <w:r w:rsidRPr="00CE4489">
        <w:t>25</w:t>
      </w:r>
      <w:r w:rsidRPr="00CE4489" w:rsidR="00DC017F">
        <w:t xml:space="preserve">. Dunn KM, Croft P, Jordan K. Recall of medication use, self-care activities and pain intensity: a comparison of daily diaries and self-report questionnaires among low back pain patients. </w:t>
      </w:r>
      <w:r w:rsidRPr="00CE4489" w:rsidR="00DC017F">
        <w:rPr>
          <w:i/>
        </w:rPr>
        <w:t>Prim Health Care Res Dev</w:t>
      </w:r>
      <w:r w:rsidRPr="00CE4489" w:rsidR="009A38C6">
        <w:t xml:space="preserve"> 2010</w:t>
      </w:r>
      <w:r w:rsidRPr="00CE4489" w:rsidR="00DC017F">
        <w:t>;11:93-102.</w:t>
      </w:r>
      <w:r w:rsidRPr="00CE4489" w:rsidR="003623E6">
        <w:t xml:space="preserve"> </w:t>
      </w:r>
      <w:hyperlink w:history="1" r:id="rId11">
        <w:r w:rsidRPr="00CE4489" w:rsidR="003623E6">
          <w:rPr>
            <w:rStyle w:val="Hyperlink"/>
            <w:color w:val="auto"/>
            <w:u w:val="none"/>
          </w:rPr>
          <w:t>doi:</w:t>
        </w:r>
        <w:r w:rsidRPr="00CE4489" w:rsidR="00DC017F">
          <w:rPr>
            <w:rStyle w:val="Hyperlink"/>
            <w:color w:val="auto"/>
            <w:u w:val="none"/>
          </w:rPr>
          <w:t>10.1017/S1463423609990296</w:t>
        </w:r>
      </w:hyperlink>
    </w:p>
    <w:p w:rsidRPr="00CE4489" w:rsidR="00DC017F" w:rsidP="00DC017F" w:rsidRDefault="00291400" w14:paraId="4F4DEF94" w14:textId="13D0D6F2">
      <w:pPr>
        <w:pStyle w:val="EndNoteBibliography"/>
        <w:ind w:left="720" w:hanging="720"/>
      </w:pPr>
      <w:r w:rsidRPr="00CE4489">
        <w:t>2</w:t>
      </w:r>
      <w:r w:rsidRPr="00CE4489" w:rsidR="00F127C4">
        <w:t>6</w:t>
      </w:r>
      <w:r w:rsidRPr="00CE4489" w:rsidR="00FB5DFC">
        <w:t xml:space="preserve">. </w:t>
      </w:r>
      <w:r w:rsidRPr="00CE4489" w:rsidR="003623E6">
        <w:t xml:space="preserve">Roland M, Morris R. A study of the natural history of back pain. Part I: development of a reliable and sensitive measure of disability in low-back pain. </w:t>
      </w:r>
      <w:r w:rsidRPr="00CE4489" w:rsidR="003623E6">
        <w:rPr>
          <w:i/>
        </w:rPr>
        <w:t>Spine</w:t>
      </w:r>
      <w:r w:rsidRPr="00CE4489" w:rsidR="003623E6">
        <w:t xml:space="preserve"> (Phila Pa 1976). 1983;8(2):141‐144. doi:10.1097/00007632-198303000-00004</w:t>
      </w:r>
    </w:p>
    <w:p w:rsidRPr="00CE4489" w:rsidR="00DC017F" w:rsidP="00732ACB" w:rsidRDefault="009C12FB" w14:paraId="05E22402" w14:textId="084FFCD4">
      <w:pPr>
        <w:pStyle w:val="EndNoteBibliography"/>
      </w:pPr>
      <w:r w:rsidRPr="00CE4489">
        <w:t>2</w:t>
      </w:r>
      <w:r w:rsidRPr="00CE4489" w:rsidR="00F127C4">
        <w:t>7</w:t>
      </w:r>
      <w:r w:rsidRPr="00CE4489" w:rsidR="00DC017F">
        <w:t xml:space="preserve">. </w:t>
      </w:r>
      <w:r w:rsidRPr="00CE4489" w:rsidR="003623E6">
        <w:t xml:space="preserve">Patrick DL, Deyo RA, Atlas SJ, et al. Assessing health-related quality of life in patients with sciatica. </w:t>
      </w:r>
      <w:r w:rsidRPr="00CE4489" w:rsidR="003623E6">
        <w:rPr>
          <w:i/>
        </w:rPr>
        <w:t>Spine</w:t>
      </w:r>
      <w:r w:rsidRPr="00CE4489" w:rsidR="003623E6">
        <w:t xml:space="preserve"> (Phila Pa 1976). 1995;20(17):1899‐1909. doi:10.1097/00007632-199509000-00011</w:t>
      </w:r>
    </w:p>
    <w:p w:rsidRPr="00CE4489" w:rsidR="00F674A1" w:rsidP="00273F68" w:rsidRDefault="009C12FB" w14:paraId="0A9538DC" w14:textId="41AEAC37">
      <w:pPr>
        <w:pStyle w:val="EndNoteBibliography"/>
        <w:ind w:left="720" w:hanging="720"/>
      </w:pPr>
      <w:r w:rsidRPr="00CE4489">
        <w:t>2</w:t>
      </w:r>
      <w:r w:rsidRPr="00CE4489" w:rsidR="00F127C4">
        <w:t>8</w:t>
      </w:r>
      <w:r w:rsidRPr="00CE4489" w:rsidR="00CE0A16">
        <w:t xml:space="preserve">. </w:t>
      </w:r>
      <w:r w:rsidRPr="00CE4489" w:rsidR="003623E6">
        <w:t xml:space="preserve">Zigmond AS, Snaith RP. The hospital anxiety and depression scale. </w:t>
      </w:r>
      <w:r w:rsidRPr="00CE4489" w:rsidR="003623E6">
        <w:rPr>
          <w:i/>
        </w:rPr>
        <w:t>Acta Psychiatr Scand</w:t>
      </w:r>
      <w:r w:rsidRPr="00CE4489" w:rsidR="003623E6">
        <w:t>. 1983;67(6):361‐370. doi:10.1111/j.1600-0447.1983.tb09716.x</w:t>
      </w:r>
    </w:p>
    <w:p w:rsidRPr="00CE4489" w:rsidR="00DC017F" w:rsidP="00DC017F" w:rsidRDefault="009C12FB" w14:paraId="493D9AF4" w14:textId="6ECC0802">
      <w:pPr>
        <w:pStyle w:val="EndNoteBibliography"/>
        <w:ind w:left="720" w:hanging="720"/>
        <w:rPr>
          <w:rStyle w:val="Hyperlink"/>
        </w:rPr>
      </w:pPr>
      <w:r w:rsidRPr="00CE4489">
        <w:t>2</w:t>
      </w:r>
      <w:r w:rsidRPr="00CE4489" w:rsidR="00F127C4">
        <w:t>9</w:t>
      </w:r>
      <w:r w:rsidRPr="00CE4489" w:rsidR="00FB5DFC">
        <w:t xml:space="preserve">. </w:t>
      </w:r>
      <w:r w:rsidRPr="00CE4489" w:rsidR="003623E6">
        <w:t xml:space="preserve">Nicholas MK. The pain self-efficacy questionnaire: Taking pain into account. </w:t>
      </w:r>
      <w:r w:rsidRPr="00CE4489" w:rsidR="003623E6">
        <w:rPr>
          <w:i/>
        </w:rPr>
        <w:t>Eur J Pain</w:t>
      </w:r>
      <w:r w:rsidRPr="00CE4489" w:rsidR="003623E6">
        <w:t>. 2007;11(2):153‐163. doi:10.1016/j.ejpain.2005.12.008</w:t>
      </w:r>
    </w:p>
    <w:p w:rsidRPr="00CE4489" w:rsidR="00DC017F" w:rsidP="00DC017F" w:rsidRDefault="00F127C4" w14:paraId="255B0428" w14:textId="2D12DFD0">
      <w:pPr>
        <w:pStyle w:val="EndNoteBibliography"/>
        <w:ind w:left="720" w:hanging="720"/>
        <w:rPr>
          <w:rStyle w:val="Hyperlink"/>
        </w:rPr>
      </w:pPr>
      <w:r w:rsidRPr="00CE4489">
        <w:t>30</w:t>
      </w:r>
      <w:r w:rsidRPr="00CE4489" w:rsidR="00DC017F">
        <w:t xml:space="preserve">. </w:t>
      </w:r>
      <w:r w:rsidRPr="00CE4489" w:rsidR="003623E6">
        <w:t>Ibrahim JG, Chu H, Chen MH. Missing data in clinical studies: issues and methods</w:t>
      </w:r>
      <w:r w:rsidRPr="00CE4489" w:rsidR="003623E6">
        <w:rPr>
          <w:i/>
        </w:rPr>
        <w:t>. J Clin Oncol</w:t>
      </w:r>
      <w:r w:rsidRPr="00CE4489" w:rsidR="003623E6">
        <w:t>. 2012;30(26):3297‐3303. doi:10.1200/JCO.2011.38.7589</w:t>
      </w:r>
    </w:p>
    <w:p w:rsidRPr="00CE4489" w:rsidR="00CB2E18" w:rsidP="00CB2E18" w:rsidRDefault="00F127C4" w14:paraId="77D5AF1C" w14:textId="74792FA5">
      <w:pPr>
        <w:pStyle w:val="EndNoteBibliography"/>
        <w:ind w:left="720" w:hanging="720"/>
      </w:pPr>
      <w:r w:rsidRPr="00CE4489">
        <w:t>31</w:t>
      </w:r>
      <w:r w:rsidRPr="00CE4489" w:rsidR="00CB2E18">
        <w:t>. StataCorp. Stata Statistical Software: Release 14. College Station, TX: StataCorp LP, 2015.</w:t>
      </w:r>
    </w:p>
    <w:p w:rsidRPr="00CE4489" w:rsidR="00CE0A16" w:rsidP="00CE0A16" w:rsidRDefault="00F127C4" w14:paraId="0D374494" w14:textId="11B950DA">
      <w:pPr>
        <w:pStyle w:val="EndNoteBibliography"/>
        <w:ind w:left="720" w:hanging="720"/>
        <w:rPr>
          <w:rStyle w:val="Hyperlink"/>
          <w:shd w:val="clear" w:color="auto" w:fill="FFFFFF"/>
        </w:rPr>
      </w:pPr>
      <w:r w:rsidRPr="00CE4489">
        <w:rPr>
          <w:color w:val="000000"/>
          <w:shd w:val="clear" w:color="auto" w:fill="FFFFFF"/>
        </w:rPr>
        <w:lastRenderedPageBreak/>
        <w:t>32</w:t>
      </w:r>
      <w:r w:rsidRPr="00CE4489" w:rsidR="00CE0A16">
        <w:rPr>
          <w:color w:val="000000"/>
          <w:shd w:val="clear" w:color="auto" w:fill="FFFFFF"/>
        </w:rPr>
        <w:t xml:space="preserve">. </w:t>
      </w:r>
      <w:r w:rsidRPr="00CE4489" w:rsidR="003623E6">
        <w:rPr>
          <w:color w:val="000000"/>
          <w:shd w:val="clear" w:color="auto" w:fill="FFFFFF"/>
        </w:rPr>
        <w:t xml:space="preserve">von Elm E, Altman DG, Egger M, et al. The Strengthening the Reporting of Observational Studies in Epidemiology (STROBE) statement: guidelines for reporting observational studies. </w:t>
      </w:r>
      <w:r w:rsidRPr="00CE4489" w:rsidR="003623E6">
        <w:rPr>
          <w:i/>
          <w:color w:val="000000"/>
          <w:shd w:val="clear" w:color="auto" w:fill="FFFFFF"/>
        </w:rPr>
        <w:t>Lancet</w:t>
      </w:r>
      <w:r w:rsidRPr="00CE4489" w:rsidR="003623E6">
        <w:rPr>
          <w:color w:val="000000"/>
          <w:shd w:val="clear" w:color="auto" w:fill="FFFFFF"/>
        </w:rPr>
        <w:t>. 2007;370(9596):1453‐1457. doi:10.1016/S0140-6736(07)61602-X</w:t>
      </w:r>
    </w:p>
    <w:p w:rsidRPr="00CE4489" w:rsidR="00DC017F" w:rsidP="00732ACB" w:rsidRDefault="00F127C4" w14:paraId="4F980B7E" w14:textId="05032963">
      <w:pPr>
        <w:pStyle w:val="EndNoteBibliography"/>
        <w:ind w:left="720" w:hanging="720"/>
      </w:pPr>
      <w:r w:rsidRPr="00CE4489">
        <w:t>33</w:t>
      </w:r>
      <w:r w:rsidRPr="00CE4489" w:rsidR="009C12FB">
        <w:t xml:space="preserve">. </w:t>
      </w:r>
      <w:r w:rsidRPr="00CE4489" w:rsidR="00DC017F">
        <w:t xml:space="preserve">Gierthmühlen J, Greinacher J, Höper J, et al. Sensory symptoms in low back pain - how do they matter? </w:t>
      </w:r>
      <w:r w:rsidRPr="00CE4489" w:rsidR="00DC017F">
        <w:rPr>
          <w:i/>
        </w:rPr>
        <w:t>Curr Med Res Opin</w:t>
      </w:r>
      <w:r w:rsidRPr="00CE4489" w:rsidR="003623E6">
        <w:rPr>
          <w:i/>
        </w:rPr>
        <w:t>.</w:t>
      </w:r>
      <w:r w:rsidRPr="00CE4489" w:rsidR="001464BF">
        <w:t xml:space="preserve"> 2017</w:t>
      </w:r>
      <w:r w:rsidRPr="00CE4489" w:rsidR="00DC017F">
        <w:t>;24:1-12.</w:t>
      </w:r>
      <w:r w:rsidRPr="00CE4489" w:rsidR="003623E6">
        <w:t xml:space="preserve"> </w:t>
      </w:r>
      <w:hyperlink w:history="1" r:id="rId12">
        <w:r w:rsidRPr="00CE4489" w:rsidR="003623E6">
          <w:rPr>
            <w:rStyle w:val="Hyperlink"/>
            <w:color w:val="auto"/>
            <w:u w:val="none"/>
          </w:rPr>
          <w:t>doi:</w:t>
        </w:r>
        <w:r w:rsidRPr="00CE4489" w:rsidR="00DC017F">
          <w:rPr>
            <w:rStyle w:val="Hyperlink"/>
            <w:color w:val="auto"/>
            <w:u w:val="none"/>
          </w:rPr>
          <w:t>10.1080/03007995.2017.1360851</w:t>
        </w:r>
      </w:hyperlink>
    </w:p>
    <w:p w:rsidRPr="00CE4489" w:rsidR="00CE0A16" w:rsidP="00CE0A16" w:rsidRDefault="00F127C4" w14:paraId="58028B4B" w14:textId="678B334C">
      <w:pPr>
        <w:pStyle w:val="EndNoteBibliography"/>
        <w:ind w:left="720" w:hanging="720"/>
        <w:rPr>
          <w:rStyle w:val="Hyperlink"/>
        </w:rPr>
      </w:pPr>
      <w:r w:rsidRPr="00CE4489">
        <w:t>34</w:t>
      </w:r>
      <w:r w:rsidRPr="00CE4489" w:rsidR="00CE0A16">
        <w:t xml:space="preserve">. </w:t>
      </w:r>
      <w:r w:rsidRPr="00CE4489" w:rsidR="003623E6">
        <w:t xml:space="preserve">Walsh J, Hall T. Classification of low back-related leg pain: do subgroups differ in disability and psychosocial factors?. </w:t>
      </w:r>
      <w:r w:rsidRPr="00CE4489" w:rsidR="003623E6">
        <w:rPr>
          <w:i/>
        </w:rPr>
        <w:t>J Man Manip Ther</w:t>
      </w:r>
      <w:r w:rsidRPr="00CE4489" w:rsidR="003623E6">
        <w:t>. 2009;17(2):118‐123. doi:10.1179/106698109790824703</w:t>
      </w:r>
    </w:p>
    <w:p w:rsidRPr="00CE4489" w:rsidR="00DC017F" w:rsidP="00DC017F" w:rsidRDefault="00F127C4" w14:paraId="6FD5134E" w14:textId="47C45E45">
      <w:pPr>
        <w:pStyle w:val="EndNoteBibliography"/>
        <w:ind w:left="720" w:hanging="720"/>
      </w:pPr>
      <w:r w:rsidRPr="00CE4489">
        <w:t>35</w:t>
      </w:r>
      <w:r w:rsidRPr="00CE4489" w:rsidR="00DC017F">
        <w:t xml:space="preserve">. Schafer A, Hall T, Muller G, et al. Outcomes differ between subgroups of patients with low back and leg pain following neural manual therapy: a prospective cohort study. </w:t>
      </w:r>
      <w:r w:rsidRPr="00CE4489" w:rsidR="00DC017F">
        <w:rPr>
          <w:i/>
        </w:rPr>
        <w:t>Eur Spine J</w:t>
      </w:r>
      <w:r w:rsidRPr="00CE4489" w:rsidR="003623E6">
        <w:rPr>
          <w:i/>
        </w:rPr>
        <w:t>.</w:t>
      </w:r>
      <w:r w:rsidRPr="00CE4489" w:rsidR="001464BF">
        <w:rPr>
          <w:i/>
        </w:rPr>
        <w:t xml:space="preserve"> </w:t>
      </w:r>
      <w:r w:rsidRPr="00CE4489" w:rsidR="001464BF">
        <w:t>2011</w:t>
      </w:r>
      <w:r w:rsidRPr="00CE4489" w:rsidR="00DC017F">
        <w:t xml:space="preserve">;20:482-490. </w:t>
      </w:r>
      <w:hyperlink w:history="1" r:id="rId13">
        <w:r w:rsidRPr="00CE4489" w:rsidR="003623E6">
          <w:rPr>
            <w:rStyle w:val="Hyperlink"/>
            <w:color w:val="auto"/>
            <w:u w:val="none"/>
          </w:rPr>
          <w:t>doi:</w:t>
        </w:r>
        <w:r w:rsidRPr="00CE4489" w:rsidR="00DC017F">
          <w:rPr>
            <w:rStyle w:val="Hyperlink"/>
            <w:color w:val="auto"/>
            <w:u w:val="none"/>
          </w:rPr>
          <w:t>10.1007/s00586-010-1632-2</w:t>
        </w:r>
      </w:hyperlink>
    </w:p>
    <w:p w:rsidRPr="00CE4489" w:rsidR="00DC017F" w:rsidP="00DC017F" w:rsidRDefault="00F127C4" w14:paraId="01E2F845" w14:textId="5D5F4EFE">
      <w:pPr>
        <w:pStyle w:val="EndNoteBibliography"/>
        <w:ind w:left="720" w:hanging="720"/>
        <w:rPr>
          <w:rStyle w:val="Hyperlink"/>
          <w:color w:val="auto"/>
          <w:u w:val="none"/>
        </w:rPr>
      </w:pPr>
      <w:r w:rsidRPr="00CE4489">
        <w:t>36</w:t>
      </w:r>
      <w:r w:rsidRPr="00CE4489" w:rsidR="00DC017F">
        <w:t>. Morsø L</w:t>
      </w:r>
      <w:r w:rsidRPr="00CE4489" w:rsidR="003623E6">
        <w:t>, Kent P</w:t>
      </w:r>
      <w:r w:rsidRPr="00CE4489" w:rsidR="00DC017F">
        <w:t xml:space="preserve">, Albert H. Are self-reported pain characteristics, classified using the PainDETECT questionnaire, predictive of outcome in people with low back pain and associated leg pain? </w:t>
      </w:r>
      <w:r w:rsidRPr="00CE4489" w:rsidR="00DC017F">
        <w:rPr>
          <w:i/>
        </w:rPr>
        <w:t>Clin J Pain</w:t>
      </w:r>
      <w:r w:rsidRPr="00CE4489" w:rsidR="003623E6">
        <w:rPr>
          <w:i/>
        </w:rPr>
        <w:t>.</w:t>
      </w:r>
      <w:r w:rsidRPr="00CE4489" w:rsidR="001464BF">
        <w:t xml:space="preserve"> 2011;</w:t>
      </w:r>
      <w:r w:rsidRPr="00CE4489" w:rsidR="00DC017F">
        <w:t>27:535-541.</w:t>
      </w:r>
      <w:r w:rsidRPr="00CE4489" w:rsidR="003623E6">
        <w:t xml:space="preserve"> </w:t>
      </w:r>
      <w:hyperlink w:history="1" r:id="rId14">
        <w:r w:rsidRPr="00CE4489" w:rsidR="00DC017F">
          <w:rPr>
            <w:rStyle w:val="Hyperlink"/>
            <w:color w:val="auto"/>
            <w:u w:val="none"/>
          </w:rPr>
          <w:t>doi</w:t>
        </w:r>
        <w:r w:rsidRPr="00CE4489" w:rsidR="003623E6">
          <w:rPr>
            <w:rStyle w:val="Hyperlink"/>
            <w:color w:val="auto"/>
            <w:u w:val="none"/>
          </w:rPr>
          <w:t>:</w:t>
        </w:r>
        <w:r w:rsidRPr="00CE4489" w:rsidR="00DC017F">
          <w:rPr>
            <w:rStyle w:val="Hyperlink"/>
            <w:color w:val="auto"/>
            <w:u w:val="none"/>
          </w:rPr>
          <w:t>10.1097/AJP.0b013e318208c941</w:t>
        </w:r>
        <w:r w:rsidRPr="00CE4489" w:rsidR="00DC017F">
          <w:rPr>
            <w:rStyle w:val="Hyperlink"/>
            <w:color w:val="auto"/>
          </w:rPr>
          <w:t xml:space="preserve"> </w:t>
        </w:r>
      </w:hyperlink>
      <w:r w:rsidRPr="00CE4489" w:rsidR="00DC017F">
        <w:t xml:space="preserve"> </w:t>
      </w:r>
    </w:p>
    <w:p w:rsidRPr="00CE4489" w:rsidR="00DC017F" w:rsidP="00DC017F" w:rsidRDefault="009C12FB" w14:paraId="0E3F595C" w14:textId="5D392F73">
      <w:pPr>
        <w:pStyle w:val="EndNoteBibliography"/>
        <w:ind w:left="720" w:hanging="720"/>
      </w:pPr>
      <w:r w:rsidRPr="00CE4489">
        <w:t>3</w:t>
      </w:r>
      <w:r w:rsidRPr="00CE4489" w:rsidR="00F127C4">
        <w:t>7</w:t>
      </w:r>
      <w:r w:rsidRPr="00CE4489" w:rsidR="00DC017F">
        <w:t xml:space="preserve">. Uher T, Bob P. Neuropathic pain, depressive symptoms, and C-reactive protein in sciatica patients. </w:t>
      </w:r>
      <w:r w:rsidRPr="00CE4489" w:rsidR="00DC017F">
        <w:rPr>
          <w:i/>
        </w:rPr>
        <w:t>Int J Neurosci</w:t>
      </w:r>
      <w:r w:rsidRPr="00CE4489" w:rsidR="003623E6">
        <w:rPr>
          <w:i/>
        </w:rPr>
        <w:t>.</w:t>
      </w:r>
      <w:r w:rsidRPr="00CE4489" w:rsidR="001464BF">
        <w:t xml:space="preserve"> 2013</w:t>
      </w:r>
      <w:r w:rsidRPr="00CE4489" w:rsidR="00DC017F">
        <w:t xml:space="preserve">;123:204-208. </w:t>
      </w:r>
      <w:hyperlink w:history="1" r:id="rId15">
        <w:r w:rsidRPr="00CE4489" w:rsidR="00DC017F">
          <w:rPr>
            <w:rStyle w:val="Hyperlink"/>
            <w:color w:val="auto"/>
            <w:u w:val="none"/>
          </w:rPr>
          <w:t>doi</w:t>
        </w:r>
        <w:r w:rsidRPr="00CE4489" w:rsidR="003623E6">
          <w:rPr>
            <w:rStyle w:val="Hyperlink"/>
            <w:color w:val="auto"/>
            <w:u w:val="none"/>
          </w:rPr>
          <w:t>:</w:t>
        </w:r>
        <w:r w:rsidRPr="00CE4489" w:rsidR="00DC017F">
          <w:rPr>
            <w:rStyle w:val="Hyperlink"/>
            <w:color w:val="auto"/>
            <w:u w:val="none"/>
          </w:rPr>
          <w:t>10.3109/00207454.2012.746335</w:t>
        </w:r>
      </w:hyperlink>
    </w:p>
    <w:p w:rsidRPr="00CE4489" w:rsidR="00DC017F" w:rsidP="00732ACB" w:rsidRDefault="009C12FB" w14:paraId="62D216D9" w14:textId="0DFDAB40">
      <w:pPr>
        <w:pStyle w:val="EndNoteBibliography"/>
        <w:ind w:left="720" w:hanging="720"/>
      </w:pPr>
      <w:r w:rsidRPr="00CE4489">
        <w:t>3</w:t>
      </w:r>
      <w:r w:rsidRPr="00CE4489" w:rsidR="00F127C4">
        <w:t>8</w:t>
      </w:r>
      <w:r w:rsidRPr="00CE4489" w:rsidR="00DC017F">
        <w:t xml:space="preserve">. Tutoglu A, Boyaci A, Karababa IF, et al. Psychological defensive profile of sciatica patients with neuropathic pain and its relationship to quality of life. </w:t>
      </w:r>
      <w:r w:rsidRPr="00CE4489" w:rsidR="00DC017F">
        <w:rPr>
          <w:i/>
        </w:rPr>
        <w:t>Z Rheumatol</w:t>
      </w:r>
      <w:r w:rsidRPr="00CE4489" w:rsidR="003623E6">
        <w:rPr>
          <w:i/>
        </w:rPr>
        <w:t>.</w:t>
      </w:r>
      <w:r w:rsidRPr="00CE4489" w:rsidR="001464BF">
        <w:rPr>
          <w:i/>
        </w:rPr>
        <w:t xml:space="preserve"> </w:t>
      </w:r>
      <w:r w:rsidRPr="00CE4489" w:rsidR="001464BF">
        <w:t xml:space="preserve"> 2015</w:t>
      </w:r>
      <w:r w:rsidRPr="00CE4489" w:rsidR="00DC017F">
        <w:t xml:space="preserve">;74:646-651. </w:t>
      </w:r>
      <w:hyperlink w:history="1" r:id="rId16">
        <w:r w:rsidRPr="00CE4489" w:rsidR="003623E6">
          <w:rPr>
            <w:rStyle w:val="Hyperlink"/>
            <w:color w:val="auto"/>
            <w:u w:val="none"/>
          </w:rPr>
          <w:t>doi:</w:t>
        </w:r>
        <w:r w:rsidRPr="00CE4489" w:rsidR="00DC017F">
          <w:rPr>
            <w:rStyle w:val="Hyperlink"/>
            <w:color w:val="auto"/>
            <w:u w:val="none"/>
          </w:rPr>
          <w:t>10.1007/s00393-014-1527-4</w:t>
        </w:r>
      </w:hyperlink>
    </w:p>
    <w:p w:rsidRPr="00CE4489" w:rsidR="00CE0A16" w:rsidP="00CE0A16" w:rsidRDefault="009C12FB" w14:paraId="1330B46A" w14:textId="0E2A58DC">
      <w:pPr>
        <w:pStyle w:val="EndNoteBibliography"/>
        <w:ind w:left="720" w:hanging="720"/>
        <w:rPr>
          <w:rStyle w:val="Hyperlink"/>
        </w:rPr>
      </w:pPr>
      <w:r w:rsidRPr="00CE4489">
        <w:t>3</w:t>
      </w:r>
      <w:r w:rsidRPr="00CE4489" w:rsidR="00F127C4">
        <w:t>9</w:t>
      </w:r>
      <w:r w:rsidRPr="00CE4489" w:rsidR="00FB5DFC">
        <w:t xml:space="preserve">. </w:t>
      </w:r>
      <w:r w:rsidRPr="00CE4489" w:rsidR="00CE0A16">
        <w:t xml:space="preserve">Artus M, van der Windt D, Jordan KP, et al. The clinical course of low back pain: a meta-analysis comparing outcomes in randomised clinical trials (RCTs) and observational studies. </w:t>
      </w:r>
      <w:r w:rsidRPr="00CE4489" w:rsidR="00CE0A16">
        <w:rPr>
          <w:i/>
        </w:rPr>
        <w:t>BMC Musculoskelet Disord</w:t>
      </w:r>
      <w:r w:rsidRPr="00CE4489" w:rsidR="003623E6">
        <w:rPr>
          <w:i/>
        </w:rPr>
        <w:t>.</w:t>
      </w:r>
      <w:r w:rsidRPr="00CE4489" w:rsidR="001464BF">
        <w:rPr>
          <w:i/>
        </w:rPr>
        <w:t xml:space="preserve"> </w:t>
      </w:r>
      <w:r w:rsidRPr="00CE4489" w:rsidR="001464BF">
        <w:t>2014</w:t>
      </w:r>
      <w:r w:rsidRPr="00CE4489" w:rsidR="00CE0A16">
        <w:t xml:space="preserve">;15:68. </w:t>
      </w:r>
      <w:hyperlink w:history="1" r:id="rId17">
        <w:r w:rsidRPr="00CE4489" w:rsidR="003623E6">
          <w:rPr>
            <w:rStyle w:val="Hyperlink"/>
            <w:color w:val="auto"/>
            <w:u w:val="none"/>
          </w:rPr>
          <w:t>doi:</w:t>
        </w:r>
        <w:r w:rsidRPr="00CE4489" w:rsidR="00CE0A16">
          <w:rPr>
            <w:rStyle w:val="Hyperlink"/>
            <w:color w:val="auto"/>
            <w:u w:val="none"/>
          </w:rPr>
          <w:t>10.1186/1471-2474-15-68</w:t>
        </w:r>
      </w:hyperlink>
    </w:p>
    <w:p w:rsidRPr="00CE4489" w:rsidR="00DC017F" w:rsidP="00732ACB" w:rsidRDefault="00F127C4" w14:paraId="6279CE37" w14:textId="427E8662">
      <w:pPr>
        <w:pStyle w:val="EndNoteBibliography"/>
        <w:ind w:left="720" w:hanging="720"/>
      </w:pPr>
      <w:r w:rsidRPr="00CE4489">
        <w:lastRenderedPageBreak/>
        <w:t>40</w:t>
      </w:r>
      <w:r w:rsidRPr="00CE4489" w:rsidR="00DC017F">
        <w:t xml:space="preserve">. Green DJ, Lewis M, Mansell G, et al. Clinical course and prognostic factors across different musculoskeletal pain sites: A secondary analysis of individual patient data from randomised clinical trials. </w:t>
      </w:r>
      <w:r w:rsidRPr="00CE4489" w:rsidR="00DC017F">
        <w:rPr>
          <w:i/>
        </w:rPr>
        <w:t>Eur J Pain</w:t>
      </w:r>
      <w:r w:rsidRPr="00CE4489" w:rsidR="00B2180D">
        <w:rPr>
          <w:i/>
        </w:rPr>
        <w:t>.</w:t>
      </w:r>
      <w:r w:rsidRPr="00CE4489" w:rsidR="001464BF">
        <w:rPr>
          <w:i/>
        </w:rPr>
        <w:t xml:space="preserve"> </w:t>
      </w:r>
      <w:r w:rsidRPr="00CE4489" w:rsidR="001464BF">
        <w:t>2018</w:t>
      </w:r>
      <w:r w:rsidRPr="00CE4489" w:rsidR="00DC017F">
        <w:t>; 22: 1057-1070</w:t>
      </w:r>
      <w:r w:rsidRPr="00CE4489" w:rsidR="00B2180D">
        <w:t xml:space="preserve">. </w:t>
      </w:r>
      <w:hyperlink w:history="1" r:id="rId18">
        <w:r w:rsidRPr="00CE4489" w:rsidR="00B2180D">
          <w:rPr>
            <w:rStyle w:val="Hyperlink"/>
            <w:color w:val="auto"/>
            <w:u w:val="none"/>
          </w:rPr>
          <w:t>doi:</w:t>
        </w:r>
        <w:r w:rsidRPr="00CE4489" w:rsidR="00DC017F">
          <w:rPr>
            <w:rStyle w:val="Hyperlink"/>
            <w:color w:val="auto"/>
            <w:u w:val="none"/>
          </w:rPr>
          <w:t>10.1002/ejp.1190</w:t>
        </w:r>
      </w:hyperlink>
    </w:p>
    <w:p w:rsidRPr="00CE4489" w:rsidR="00DC017F" w:rsidP="00732ACB" w:rsidRDefault="00F127C4" w14:paraId="084EEDB7" w14:textId="7F0809BE">
      <w:pPr>
        <w:pStyle w:val="EndNoteBibliography"/>
        <w:ind w:left="720" w:hanging="720"/>
      </w:pPr>
      <w:r w:rsidRPr="00CE4489">
        <w:t>41</w:t>
      </w:r>
      <w:r w:rsidRPr="00CE4489" w:rsidR="00291400">
        <w:t xml:space="preserve">. </w:t>
      </w:r>
      <w:r w:rsidRPr="00CE4489" w:rsidR="00DC017F">
        <w:t xml:space="preserve">Hüllemann P, Keller T, Kabelitz M, et al. Pain Drawings Improve Subgrouping of Low Back Pain Patients. </w:t>
      </w:r>
      <w:r w:rsidRPr="00CE4489" w:rsidR="00DC017F">
        <w:rPr>
          <w:i/>
        </w:rPr>
        <w:t>Pain Pract</w:t>
      </w:r>
      <w:r w:rsidRPr="00CE4489" w:rsidR="00B2180D">
        <w:rPr>
          <w:i/>
        </w:rPr>
        <w:t>.</w:t>
      </w:r>
      <w:r w:rsidRPr="00CE4489" w:rsidR="001464BF">
        <w:rPr>
          <w:i/>
        </w:rPr>
        <w:t xml:space="preserve"> </w:t>
      </w:r>
      <w:r w:rsidRPr="00CE4489" w:rsidR="001464BF">
        <w:t>2017</w:t>
      </w:r>
      <w:r w:rsidRPr="00CE4489" w:rsidR="00DC017F">
        <w:t xml:space="preserve">;17:293-304. </w:t>
      </w:r>
      <w:hyperlink w:history="1" r:id="rId19">
        <w:r w:rsidRPr="00CE4489" w:rsidR="00B2180D">
          <w:rPr>
            <w:rStyle w:val="Hyperlink"/>
            <w:color w:val="auto"/>
            <w:u w:val="none"/>
          </w:rPr>
          <w:t>doi:</w:t>
        </w:r>
        <w:r w:rsidRPr="00CE4489" w:rsidR="00DC017F">
          <w:rPr>
            <w:rStyle w:val="Hyperlink"/>
            <w:color w:val="auto"/>
            <w:u w:val="none"/>
          </w:rPr>
          <w:t>10.1111/papr.12470</w:t>
        </w:r>
      </w:hyperlink>
    </w:p>
    <w:p w:rsidRPr="00CE4489" w:rsidR="00CE0A16" w:rsidP="00CE0A16" w:rsidRDefault="00F127C4" w14:paraId="2BE79B89" w14:textId="5E7C1A80">
      <w:pPr>
        <w:pStyle w:val="EndNoteBibliography"/>
        <w:ind w:left="720" w:hanging="720"/>
      </w:pPr>
      <w:r w:rsidRPr="00CE4489">
        <w:t>42</w:t>
      </w:r>
      <w:r w:rsidRPr="00CE4489" w:rsidR="00CE0A16">
        <w:t xml:space="preserve">. </w:t>
      </w:r>
      <w:r w:rsidRPr="00CE4489" w:rsidR="00B2180D">
        <w:t>Worster A, Carpenter C. Incorporation bias in studies of diagnostic tests: how to avoid being biased about bias. CJEM. 2008;10(2):174‐175. doi:10.1017/s1481803500009891</w:t>
      </w:r>
    </w:p>
    <w:p w:rsidRPr="00CE4489" w:rsidR="00CE0A16" w:rsidP="00273F68" w:rsidRDefault="00CE0A16" w14:paraId="53DEF2EC" w14:textId="77777777">
      <w:pPr>
        <w:pStyle w:val="EndNoteBibliography"/>
        <w:ind w:left="720" w:hanging="720"/>
      </w:pPr>
    </w:p>
    <w:p w:rsidRPr="00CE4489" w:rsidR="007425B2" w:rsidRDefault="00F674A1" w14:paraId="565BAA9D" w14:textId="20DDC335">
      <w:pPr>
        <w:pStyle w:val="Heading2"/>
      </w:pPr>
      <w:r w:rsidRPr="00CE4489">
        <w:br w:type="page"/>
      </w:r>
      <w:r w:rsidRPr="00CE4489" w:rsidR="0044019F">
        <w:lastRenderedPageBreak/>
        <w:t xml:space="preserve">Table, </w:t>
      </w:r>
      <w:r w:rsidRPr="00CE4489" w:rsidR="00732ACB">
        <w:t xml:space="preserve">Figure </w:t>
      </w:r>
      <w:r w:rsidRPr="00CE4489" w:rsidR="0044019F">
        <w:t>l</w:t>
      </w:r>
      <w:r w:rsidRPr="00CE4489">
        <w:t>egends</w:t>
      </w:r>
    </w:p>
    <w:p w:rsidRPr="00CE4489" w:rsidR="009B7B34" w:rsidP="00273F68" w:rsidRDefault="00D54994" w14:paraId="45E50A75" w14:textId="089FB060">
      <w:pPr>
        <w:spacing w:line="480" w:lineRule="auto"/>
        <w:rPr>
          <w:rStyle w:val="Heading4Char"/>
          <w:rFonts w:asciiTheme="minorHAnsi" w:hAnsiTheme="minorHAnsi" w:eastAsiaTheme="minorHAnsi" w:cstheme="minorBidi"/>
          <w:color w:val="auto"/>
        </w:rPr>
      </w:pPr>
      <w:r w:rsidRPr="00CE4489">
        <w:rPr>
          <w:rStyle w:val="Heading4Char"/>
        </w:rPr>
        <w:t xml:space="preserve">Table </w:t>
      </w:r>
      <w:r w:rsidRPr="00CE4489" w:rsidR="009B7B34">
        <w:rPr>
          <w:rStyle w:val="Heading4Char"/>
        </w:rPr>
        <w:t>1.</w:t>
      </w:r>
      <w:r w:rsidRPr="00CE4489" w:rsidR="009B7B34">
        <w:t xml:space="preserve"> Methods used to identify cases of neuropathic pain</w:t>
      </w:r>
    </w:p>
    <w:p w:rsidRPr="00CE4489" w:rsidR="007425B2" w:rsidP="00273F68" w:rsidRDefault="00F674A1" w14:paraId="15AD2EF1" w14:textId="75EDA0B0">
      <w:pPr>
        <w:spacing w:line="480" w:lineRule="auto"/>
      </w:pPr>
      <w:r w:rsidRPr="00CE4489">
        <w:rPr>
          <w:rStyle w:val="Heading4Char"/>
        </w:rPr>
        <w:t xml:space="preserve">Table </w:t>
      </w:r>
      <w:r w:rsidRPr="00CE4489" w:rsidR="00D54994">
        <w:rPr>
          <w:rStyle w:val="Heading4Char"/>
        </w:rPr>
        <w:t>2</w:t>
      </w:r>
      <w:r w:rsidRPr="00CE4489">
        <w:rPr>
          <w:rStyle w:val="Heading4Char"/>
        </w:rPr>
        <w:t>.</w:t>
      </w:r>
      <w:r w:rsidRPr="00CE4489">
        <w:t xml:space="preserve"> </w:t>
      </w:r>
      <w:r w:rsidRPr="00CE4489" w:rsidR="00416AD5">
        <w:t>B</w:t>
      </w:r>
      <w:r w:rsidRPr="00CE4489">
        <w:t>aseline characteristics of patients with ne</w:t>
      </w:r>
      <w:r w:rsidRPr="00CE4489" w:rsidR="00C56068">
        <w:t>uropathic pain based on s-LANSS</w:t>
      </w:r>
    </w:p>
    <w:p w:rsidRPr="00CE4489" w:rsidR="007425B2" w:rsidP="00273F68" w:rsidRDefault="00F674A1" w14:paraId="2FEE883A" w14:textId="3752B6D3">
      <w:pPr>
        <w:spacing w:line="480" w:lineRule="auto"/>
      </w:pPr>
      <w:r w:rsidRPr="00CE4489">
        <w:rPr>
          <w:rStyle w:val="Heading4Char"/>
        </w:rPr>
        <w:t xml:space="preserve">Table </w:t>
      </w:r>
      <w:r w:rsidRPr="00CE4489" w:rsidR="00D54994">
        <w:rPr>
          <w:rStyle w:val="Heading4Char"/>
        </w:rPr>
        <w:t>3</w:t>
      </w:r>
      <w:r w:rsidRPr="00CE4489">
        <w:rPr>
          <w:rStyle w:val="Heading4Char"/>
        </w:rPr>
        <w:t>.</w:t>
      </w:r>
      <w:r w:rsidRPr="00CE4489">
        <w:t xml:space="preserve"> </w:t>
      </w:r>
      <w:r w:rsidRPr="00CE4489" w:rsidR="00416AD5">
        <w:t>B</w:t>
      </w:r>
      <w:r w:rsidRPr="00CE4489">
        <w:t>aseline characteristics of patients with neuropathic pain defined by</w:t>
      </w:r>
      <w:r w:rsidRPr="00CE4489" w:rsidR="00C56068">
        <w:t xml:space="preserve"> clinical diagnosis of sciatica</w:t>
      </w:r>
    </w:p>
    <w:p w:rsidRPr="00CE4489" w:rsidR="00677116" w:rsidP="00273F68" w:rsidRDefault="00F674A1" w14:paraId="0F00B99D" w14:textId="5F604631">
      <w:pPr>
        <w:spacing w:line="480" w:lineRule="auto"/>
      </w:pPr>
      <w:r w:rsidRPr="00CE4489">
        <w:rPr>
          <w:rStyle w:val="Heading4Char"/>
        </w:rPr>
        <w:t xml:space="preserve">Table </w:t>
      </w:r>
      <w:r w:rsidRPr="00CE4489" w:rsidR="00D54994">
        <w:rPr>
          <w:rStyle w:val="Heading4Char"/>
        </w:rPr>
        <w:t>4</w:t>
      </w:r>
      <w:r w:rsidRPr="00CE4489">
        <w:rPr>
          <w:rStyle w:val="Heading4Char"/>
        </w:rPr>
        <w:t>.</w:t>
      </w:r>
      <w:r w:rsidRPr="00CE4489">
        <w:t xml:space="preserve"> </w:t>
      </w:r>
      <w:r w:rsidRPr="00CE4489" w:rsidR="00416AD5">
        <w:t>B</w:t>
      </w:r>
      <w:r w:rsidRPr="00CE4489">
        <w:t>aseline characteristics of patients with neuropathic pain based on a clinical diagnosis of sciatica and evidence of nerve root compression on MRI</w:t>
      </w:r>
    </w:p>
    <w:p w:rsidRPr="00CE4489" w:rsidR="00677116" w:rsidP="00273F68" w:rsidRDefault="00677116" w14:paraId="40F44573" w14:textId="77777777">
      <w:pPr>
        <w:spacing w:line="480" w:lineRule="auto"/>
      </w:pPr>
    </w:p>
    <w:p w:rsidRPr="00CE4489" w:rsidR="007425B2" w:rsidP="00273F68" w:rsidRDefault="00F674A1" w14:paraId="5A5BE847" w14:textId="1DC8E90B">
      <w:pPr>
        <w:spacing w:line="480" w:lineRule="auto"/>
      </w:pPr>
      <w:r w:rsidRPr="00CE4489">
        <w:rPr>
          <w:rStyle w:val="Heading4Char"/>
        </w:rPr>
        <w:t>Figure 1.</w:t>
      </w:r>
      <w:r w:rsidRPr="00CE4489">
        <w:t xml:space="preserve"> Study flow diagram (adapted from </w:t>
      </w:r>
      <w:r w:rsidRPr="00CE4489" w:rsidR="008733F6">
        <w:t>Konst</w:t>
      </w:r>
      <w:r w:rsidRPr="00CE4489" w:rsidR="00CB2E18">
        <w:t xml:space="preserve">antinou </w:t>
      </w:r>
      <w:r w:rsidRPr="00CE4489" w:rsidR="008733F6">
        <w:t>et al</w:t>
      </w:r>
      <w:r w:rsidRPr="00CE4489" w:rsidR="00CB2E18">
        <w:t xml:space="preserve"> 2015</w:t>
      </w:r>
      <w:r w:rsidRPr="00CE4489" w:rsidR="00CB2E18">
        <w:rPr>
          <w:vertAlign w:val="superscript"/>
        </w:rPr>
        <w:t>1</w:t>
      </w:r>
      <w:r w:rsidRPr="00CE4489" w:rsidR="00FB5DFC">
        <w:rPr>
          <w:vertAlign w:val="superscript"/>
        </w:rPr>
        <w:t>8</w:t>
      </w:r>
      <w:r w:rsidRPr="00CE4489" w:rsidR="00DC5C13">
        <w:t>)</w:t>
      </w:r>
      <w:r w:rsidRPr="00CE4489" w:rsidR="00C56068">
        <w:t xml:space="preserve"> </w:t>
      </w:r>
    </w:p>
    <w:p w:rsidRPr="00CE4489" w:rsidR="007425B2" w:rsidP="00273F68" w:rsidRDefault="00F674A1" w14:paraId="12EAD78B" w14:textId="20FAA9B5">
      <w:pPr>
        <w:spacing w:line="480" w:lineRule="auto"/>
      </w:pPr>
      <w:r w:rsidRPr="00CE4489">
        <w:rPr>
          <w:rStyle w:val="Heading4Char"/>
        </w:rPr>
        <w:t>Figure 2.</w:t>
      </w:r>
      <w:r w:rsidRPr="00CE4489">
        <w:t xml:space="preserve"> Venn diagram depicting the overlap between patients with and without neuropathic pain at baseline </w:t>
      </w:r>
      <w:r w:rsidRPr="00CE4489" w:rsidR="00C56068">
        <w:t>based on three case definitions</w:t>
      </w:r>
    </w:p>
    <w:p w:rsidRPr="00CE4489" w:rsidR="00F674A1" w:rsidP="00273F68" w:rsidRDefault="00F674A1" w14:paraId="5B887BBF" w14:textId="77777777">
      <w:pPr>
        <w:spacing w:line="480" w:lineRule="auto"/>
      </w:pPr>
      <w:r w:rsidRPr="00CE4489">
        <w:rPr>
          <w:rStyle w:val="Heading4Char"/>
        </w:rPr>
        <w:t>Figure 3.</w:t>
      </w:r>
      <w:r w:rsidRPr="00CE4489">
        <w:t xml:space="preserve"> Clinical course of patients with and without neuropathic pain </w:t>
      </w:r>
    </w:p>
    <w:p w:rsidRPr="00CE4489" w:rsidR="00F674A1" w:rsidP="00273F68" w:rsidRDefault="00F674A1" w14:paraId="1E002BC0" w14:textId="77777777">
      <w:pPr>
        <w:pStyle w:val="ListParagraph"/>
        <w:numPr>
          <w:ilvl w:val="0"/>
          <w:numId w:val="25"/>
        </w:numPr>
        <w:spacing w:line="480" w:lineRule="auto"/>
      </w:pPr>
      <w:r w:rsidRPr="00CE4489">
        <w:t xml:space="preserve">Patients with neuropathic pain based on s-LANSS </w:t>
      </w:r>
    </w:p>
    <w:p w:rsidRPr="00CE4489" w:rsidR="00F674A1" w:rsidP="00273F68" w:rsidRDefault="00F674A1" w14:paraId="079B24AB" w14:textId="77777777">
      <w:pPr>
        <w:pStyle w:val="ListParagraph"/>
        <w:numPr>
          <w:ilvl w:val="0"/>
          <w:numId w:val="25"/>
        </w:numPr>
        <w:spacing w:line="480" w:lineRule="auto"/>
      </w:pPr>
      <w:r w:rsidRPr="00CE4489">
        <w:t xml:space="preserve">Patients with neuropathic pain defined by clinical diagnosis of sciatica </w:t>
      </w:r>
    </w:p>
    <w:p w:rsidRPr="00CE4489" w:rsidR="00F674A1" w:rsidP="00273F68" w:rsidRDefault="00F674A1" w14:paraId="65DA6546" w14:textId="77777777">
      <w:pPr>
        <w:pStyle w:val="ListParagraph"/>
        <w:numPr>
          <w:ilvl w:val="0"/>
          <w:numId w:val="25"/>
        </w:numPr>
        <w:spacing w:line="480" w:lineRule="auto"/>
      </w:pPr>
      <w:r w:rsidRPr="00CE4489">
        <w:t>Patients with neuropathic pain defined by clinical diagnosis of sciatica and evidence of nerve root compression on MRI</w:t>
      </w:r>
    </w:p>
    <w:p w:rsidRPr="00CE4489" w:rsidR="00F674A1" w:rsidP="00273F68" w:rsidRDefault="00F674A1" w14:paraId="71775D3E" w14:textId="487DBE19">
      <w:pPr>
        <w:spacing w:line="480" w:lineRule="auto"/>
      </w:pPr>
    </w:p>
    <w:p w:rsidRPr="00CE4489" w:rsidR="00732ACB" w:rsidP="00FF4E6C" w:rsidRDefault="00CD7FBF" w14:paraId="1AF2A0B9" w14:textId="441CCDB7">
      <w:pPr>
        <w:pStyle w:val="Heading2"/>
      </w:pPr>
      <w:r w:rsidRPr="00CE4489">
        <w:t xml:space="preserve">List of </w:t>
      </w:r>
      <w:r w:rsidRPr="00CE4489" w:rsidR="00732ACB">
        <w:t>Supplemental Digital Content</w:t>
      </w:r>
    </w:p>
    <w:p w:rsidRPr="00CE4489" w:rsidR="00382AB2" w:rsidP="00273F68" w:rsidRDefault="00521C3A" w14:paraId="0ADF47B6" w14:textId="54F4591C">
      <w:pPr>
        <w:spacing w:line="480" w:lineRule="auto"/>
      </w:pPr>
      <w:r w:rsidRPr="00CE4489">
        <w:t>SDC_Table 1.docx</w:t>
      </w:r>
    </w:p>
    <w:p w:rsidR="00EE5457" w:rsidP="00D8758C" w:rsidRDefault="00521C3A" w14:paraId="57939B4A" w14:textId="6A29BC29">
      <w:pPr>
        <w:spacing w:line="480" w:lineRule="auto"/>
      </w:pPr>
      <w:proofErr w:type="spellStart"/>
      <w:r w:rsidR="00521C3A">
        <w:rPr/>
        <w:t>SDC_Table</w:t>
      </w:r>
      <w:proofErr w:type="spellEnd"/>
      <w:r w:rsidR="00521C3A">
        <w:rPr/>
        <w:t xml:space="preserve"> 2.docx</w:t>
      </w:r>
      <w:r w:rsidR="00521C3A">
        <w:rPr/>
        <w:t xml:space="preserve"> </w:t>
      </w:r>
    </w:p>
    <w:p w:rsidR="45ED05C8" w:rsidRDefault="45ED05C8" w14:paraId="11851699" w14:textId="36256E4D">
      <w:r>
        <w:br w:type="page"/>
      </w:r>
    </w:p>
    <w:p w:rsidR="09AD4A54" w:rsidP="45ED05C8" w:rsidRDefault="09AD4A54" w14:paraId="07AB3E98" w14:textId="15C79D18">
      <w:pPr>
        <w:spacing w:after="160" w:line="480" w:lineRule="auto"/>
        <w:rPr>
          <w:rFonts w:ascii="Calibri" w:hAnsi="Calibri" w:eastAsia="Calibri" w:cs="Calibri"/>
          <w:noProof w:val="0"/>
          <w:sz w:val="24"/>
          <w:szCs w:val="24"/>
          <w:lang w:val="en-GB"/>
        </w:rPr>
      </w:pPr>
      <w:r w:rsidRPr="45ED05C8" w:rsidR="09AD4A54">
        <w:rPr>
          <w:rFonts w:ascii="Calibri" w:hAnsi="Calibri" w:eastAsia="Calibri" w:cs="Calibri"/>
          <w:noProof w:val="0"/>
          <w:sz w:val="24"/>
          <w:szCs w:val="24"/>
          <w:lang w:val="en-GB"/>
        </w:rPr>
        <w:t>Table 1.</w:t>
      </w:r>
    </w:p>
    <w:tbl>
      <w:tblPr>
        <w:tblStyle w:val="TableGrid"/>
        <w:tblW w:w="0" w:type="auto"/>
        <w:tblLayout w:type="fixed"/>
        <w:tblLook w:val="0000" w:firstRow="0" w:lastRow="0" w:firstColumn="0" w:lastColumn="0" w:noHBand="0" w:noVBand="0"/>
      </w:tblPr>
      <w:tblGrid>
        <w:gridCol w:w="3009"/>
        <w:gridCol w:w="3009"/>
        <w:gridCol w:w="3009"/>
      </w:tblGrid>
      <w:tr w:rsidR="45ED05C8" w:rsidTr="45ED05C8" w14:paraId="65446C44">
        <w:tc>
          <w:tcPr>
            <w:tcW w:w="3009" w:type="dxa"/>
            <w:tcMar/>
          </w:tcPr>
          <w:p w:rsidR="45ED05C8" w:rsidP="45ED05C8" w:rsidRDefault="45ED05C8" w14:paraId="3CEB6E10" w14:textId="5D53B0E5">
            <w:pPr>
              <w:pStyle w:val="EndNoteBibliography"/>
              <w:spacing w:after="0" w:line="360" w:lineRule="auto"/>
              <w:rPr>
                <w:rFonts w:ascii="Calibri" w:hAnsi="Calibri" w:eastAsia="Calibri" w:cs="Calibri"/>
                <w:b w:val="1"/>
                <w:bCs w:val="1"/>
                <w:sz w:val="24"/>
                <w:szCs w:val="24"/>
              </w:rPr>
            </w:pPr>
            <w:r w:rsidRPr="45ED05C8" w:rsidR="45ED05C8">
              <w:rPr>
                <w:rFonts w:ascii="Calibri" w:hAnsi="Calibri" w:eastAsia="Calibri" w:cs="Calibri"/>
                <w:b w:val="1"/>
                <w:bCs w:val="1"/>
                <w:sz w:val="24"/>
                <w:szCs w:val="24"/>
                <w:lang w:val="en-US"/>
              </w:rPr>
              <w:t>Approach</w:t>
            </w:r>
          </w:p>
        </w:tc>
        <w:tc>
          <w:tcPr>
            <w:tcW w:w="3009" w:type="dxa"/>
            <w:tcMar/>
          </w:tcPr>
          <w:p w:rsidR="45ED05C8" w:rsidP="45ED05C8" w:rsidRDefault="45ED05C8" w14:paraId="5C9D7FFB" w14:textId="5CDD470B">
            <w:pPr>
              <w:pStyle w:val="EndNoteBibliography"/>
              <w:spacing w:after="0" w:line="360" w:lineRule="auto"/>
              <w:rPr>
                <w:rFonts w:ascii="Calibri" w:hAnsi="Calibri" w:eastAsia="Calibri" w:cs="Calibri"/>
                <w:b w:val="1"/>
                <w:bCs w:val="1"/>
                <w:sz w:val="24"/>
                <w:szCs w:val="24"/>
              </w:rPr>
            </w:pPr>
            <w:r w:rsidRPr="45ED05C8" w:rsidR="45ED05C8">
              <w:rPr>
                <w:rFonts w:ascii="Calibri" w:hAnsi="Calibri" w:eastAsia="Calibri" w:cs="Calibri"/>
                <w:b w:val="1"/>
                <w:bCs w:val="1"/>
                <w:sz w:val="24"/>
                <w:szCs w:val="24"/>
                <w:lang w:val="en-US"/>
              </w:rPr>
              <w:t>Description of definition</w:t>
            </w:r>
          </w:p>
        </w:tc>
        <w:tc>
          <w:tcPr>
            <w:tcW w:w="3009" w:type="dxa"/>
            <w:tcMar/>
          </w:tcPr>
          <w:p w:rsidR="45ED05C8" w:rsidP="45ED05C8" w:rsidRDefault="45ED05C8" w14:paraId="61ECF381" w14:textId="3B7B8526">
            <w:pPr>
              <w:pStyle w:val="EndNoteBibliography"/>
              <w:spacing w:after="0" w:line="360" w:lineRule="auto"/>
              <w:rPr>
                <w:rFonts w:ascii="Calibri" w:hAnsi="Calibri" w:eastAsia="Calibri" w:cs="Calibri"/>
                <w:b w:val="1"/>
                <w:bCs w:val="1"/>
                <w:sz w:val="24"/>
                <w:szCs w:val="24"/>
              </w:rPr>
            </w:pPr>
            <w:r w:rsidRPr="45ED05C8" w:rsidR="45ED05C8">
              <w:rPr>
                <w:rFonts w:ascii="Calibri" w:hAnsi="Calibri" w:eastAsia="Calibri" w:cs="Calibri"/>
                <w:b w:val="1"/>
                <w:bCs w:val="1"/>
                <w:sz w:val="24"/>
                <w:szCs w:val="24"/>
                <w:lang w:val="en-US"/>
              </w:rPr>
              <w:t>Level of certainty</w:t>
            </w:r>
          </w:p>
        </w:tc>
      </w:tr>
      <w:tr w:rsidR="45ED05C8" w:rsidTr="45ED05C8" w14:paraId="2918F6B3">
        <w:tc>
          <w:tcPr>
            <w:tcW w:w="3009" w:type="dxa"/>
            <w:tcMar/>
          </w:tcPr>
          <w:p w:rsidR="45ED05C8" w:rsidP="45ED05C8" w:rsidRDefault="45ED05C8" w14:paraId="3E363D0D" w14:textId="0C765FB9">
            <w:pPr>
              <w:pStyle w:val="EndNoteBibliography"/>
              <w:spacing w:after="0" w:line="480" w:lineRule="auto"/>
              <w:rPr>
                <w:rFonts w:ascii="Calibri" w:hAnsi="Calibri" w:eastAsia="Calibri" w:cs="Calibri"/>
                <w:b w:val="1"/>
                <w:bCs w:val="1"/>
                <w:sz w:val="24"/>
                <w:szCs w:val="24"/>
              </w:rPr>
            </w:pPr>
            <w:r w:rsidRPr="45ED05C8" w:rsidR="45ED05C8">
              <w:rPr>
                <w:rFonts w:ascii="Calibri" w:hAnsi="Calibri" w:eastAsia="Calibri" w:cs="Calibri"/>
                <w:b w:val="1"/>
                <w:bCs w:val="1"/>
                <w:sz w:val="24"/>
                <w:szCs w:val="24"/>
                <w:lang w:val="en-US"/>
              </w:rPr>
              <w:t>Clinical examination</w:t>
            </w:r>
          </w:p>
        </w:tc>
        <w:tc>
          <w:tcPr>
            <w:tcW w:w="3009" w:type="dxa"/>
            <w:tcMar/>
          </w:tcPr>
          <w:p w:rsidR="45ED05C8" w:rsidP="45ED05C8" w:rsidRDefault="45ED05C8" w14:paraId="779C5B79" w14:textId="69ACE532">
            <w:pPr>
              <w:pStyle w:val="EndNoteBibliography"/>
              <w:spacing w:after="0" w:line="480" w:lineRule="auto"/>
              <w:rPr>
                <w:rFonts w:ascii="Calibri" w:hAnsi="Calibri" w:eastAsia="Calibri" w:cs="Calibri"/>
                <w:sz w:val="24"/>
                <w:szCs w:val="24"/>
              </w:rPr>
            </w:pPr>
            <w:r w:rsidRPr="45ED05C8" w:rsidR="45ED05C8">
              <w:rPr>
                <w:rFonts w:ascii="Calibri" w:hAnsi="Calibri" w:eastAsia="Calibri" w:cs="Calibri"/>
                <w:sz w:val="24"/>
                <w:szCs w:val="24"/>
                <w:lang w:val="en-US"/>
              </w:rPr>
              <w:t>Clinical diagnosis of sciatica</w:t>
            </w:r>
            <w:r w:rsidRPr="45ED05C8" w:rsidR="45ED05C8">
              <w:rPr>
                <w:rFonts w:ascii="Calibri" w:hAnsi="Calibri" w:eastAsia="Calibri" w:cs="Calibri"/>
                <w:sz w:val="24"/>
                <w:szCs w:val="24"/>
                <w:vertAlign w:val="superscript"/>
                <w:lang w:val="en-US"/>
              </w:rPr>
              <w:t>a</w:t>
            </w:r>
            <w:r w:rsidRPr="45ED05C8" w:rsidR="45ED05C8">
              <w:rPr>
                <w:rFonts w:ascii="Calibri" w:hAnsi="Calibri" w:eastAsia="Calibri" w:cs="Calibri"/>
                <w:i w:val="1"/>
                <w:iCs w:val="1"/>
                <w:sz w:val="24"/>
                <w:szCs w:val="24"/>
                <w:lang w:val="en-US"/>
              </w:rPr>
              <w:t xml:space="preserve"> with</w:t>
            </w:r>
            <w:r w:rsidRPr="45ED05C8" w:rsidR="45ED05C8">
              <w:rPr>
                <w:rFonts w:ascii="Calibri" w:hAnsi="Calibri" w:eastAsia="Calibri" w:cs="Calibri"/>
                <w:sz w:val="24"/>
                <w:szCs w:val="24"/>
                <w:lang w:val="en-US"/>
              </w:rPr>
              <w:t xml:space="preserve"> evidence of possible or clear nerve root compression on MRI scan</w:t>
            </w:r>
          </w:p>
        </w:tc>
        <w:tc>
          <w:tcPr>
            <w:tcW w:w="3009" w:type="dxa"/>
            <w:tcMar/>
          </w:tcPr>
          <w:p w:rsidR="45ED05C8" w:rsidP="45ED05C8" w:rsidRDefault="45ED05C8" w14:paraId="07AD51A8" w14:textId="1B4DD192">
            <w:pPr>
              <w:pStyle w:val="EndNoteBibliography"/>
              <w:spacing w:after="0" w:line="480" w:lineRule="auto"/>
              <w:rPr>
                <w:rFonts w:ascii="Calibri" w:hAnsi="Calibri" w:eastAsia="Calibri" w:cs="Calibri"/>
                <w:sz w:val="19"/>
                <w:szCs w:val="19"/>
              </w:rPr>
            </w:pPr>
            <w:r w:rsidRPr="45ED05C8" w:rsidR="45ED05C8">
              <w:rPr>
                <w:rFonts w:ascii="Calibri" w:hAnsi="Calibri" w:eastAsia="Calibri" w:cs="Calibri"/>
                <w:sz w:val="24"/>
                <w:szCs w:val="24"/>
                <w:lang w:val="en-US"/>
              </w:rPr>
              <w:t>Probable</w:t>
            </w:r>
            <w:r w:rsidRPr="45ED05C8" w:rsidR="45ED05C8">
              <w:rPr>
                <w:rFonts w:ascii="Calibri" w:hAnsi="Calibri" w:eastAsia="Calibri" w:cs="Calibri"/>
                <w:sz w:val="24"/>
                <w:szCs w:val="24"/>
                <w:vertAlign w:val="superscript"/>
                <w:lang w:val="en-US"/>
              </w:rPr>
              <w:t>b</w:t>
            </w:r>
          </w:p>
        </w:tc>
      </w:tr>
      <w:tr w:rsidR="45ED05C8" w:rsidTr="45ED05C8" w14:paraId="07A07B98">
        <w:tc>
          <w:tcPr>
            <w:tcW w:w="3009" w:type="dxa"/>
            <w:tcMar/>
          </w:tcPr>
          <w:p w:rsidR="45ED05C8" w:rsidP="45ED05C8" w:rsidRDefault="45ED05C8" w14:paraId="6987B78F" w14:textId="06E07521">
            <w:pPr>
              <w:pStyle w:val="EndNoteBibliography"/>
              <w:spacing w:after="0" w:line="480" w:lineRule="auto"/>
              <w:rPr>
                <w:rFonts w:ascii="Calibri" w:hAnsi="Calibri" w:eastAsia="Calibri" w:cs="Calibri"/>
                <w:b w:val="1"/>
                <w:bCs w:val="1"/>
                <w:sz w:val="24"/>
                <w:szCs w:val="24"/>
              </w:rPr>
            </w:pPr>
            <w:r w:rsidRPr="45ED05C8" w:rsidR="45ED05C8">
              <w:rPr>
                <w:rFonts w:ascii="Calibri" w:hAnsi="Calibri" w:eastAsia="Calibri" w:cs="Calibri"/>
                <w:b w:val="1"/>
                <w:bCs w:val="1"/>
                <w:sz w:val="24"/>
                <w:szCs w:val="24"/>
                <w:lang w:val="en-US"/>
              </w:rPr>
              <w:t>Clinical examination</w:t>
            </w:r>
          </w:p>
        </w:tc>
        <w:tc>
          <w:tcPr>
            <w:tcW w:w="3009" w:type="dxa"/>
            <w:tcMar/>
          </w:tcPr>
          <w:p w:rsidR="45ED05C8" w:rsidP="45ED05C8" w:rsidRDefault="45ED05C8" w14:paraId="4CAF6AD1" w14:textId="1A993442">
            <w:pPr>
              <w:pStyle w:val="EndNoteBibliography"/>
              <w:spacing w:after="0" w:line="480" w:lineRule="auto"/>
              <w:rPr>
                <w:rFonts w:ascii="Calibri" w:hAnsi="Calibri" w:eastAsia="Calibri" w:cs="Calibri"/>
                <w:sz w:val="24"/>
                <w:szCs w:val="24"/>
              </w:rPr>
            </w:pPr>
            <w:r w:rsidRPr="45ED05C8" w:rsidR="45ED05C8">
              <w:rPr>
                <w:rFonts w:ascii="Calibri" w:hAnsi="Calibri" w:eastAsia="Calibri" w:cs="Calibri"/>
                <w:sz w:val="24"/>
                <w:szCs w:val="24"/>
                <w:lang w:val="en-US"/>
              </w:rPr>
              <w:t>Clinical diagnosis of sciatica</w:t>
            </w:r>
            <w:r w:rsidRPr="45ED05C8" w:rsidR="45ED05C8">
              <w:rPr>
                <w:rFonts w:ascii="Calibri" w:hAnsi="Calibri" w:eastAsia="Calibri" w:cs="Calibri"/>
                <w:sz w:val="24"/>
                <w:szCs w:val="24"/>
                <w:vertAlign w:val="superscript"/>
                <w:lang w:val="en-US"/>
              </w:rPr>
              <w:t xml:space="preserve"> a</w:t>
            </w:r>
            <w:r w:rsidRPr="45ED05C8" w:rsidR="45ED05C8">
              <w:rPr>
                <w:rFonts w:ascii="Calibri" w:hAnsi="Calibri" w:eastAsia="Calibri" w:cs="Calibri"/>
                <w:sz w:val="24"/>
                <w:szCs w:val="24"/>
                <w:lang w:val="en-US"/>
              </w:rPr>
              <w:t xml:space="preserve"> </w:t>
            </w:r>
            <w:r w:rsidRPr="45ED05C8" w:rsidR="45ED05C8">
              <w:rPr>
                <w:rFonts w:ascii="Calibri" w:hAnsi="Calibri" w:eastAsia="Calibri" w:cs="Calibri"/>
                <w:i w:val="1"/>
                <w:iCs w:val="1"/>
                <w:sz w:val="24"/>
                <w:szCs w:val="24"/>
                <w:lang w:val="en-US"/>
              </w:rPr>
              <w:t>without</w:t>
            </w:r>
            <w:r w:rsidRPr="45ED05C8" w:rsidR="45ED05C8">
              <w:rPr>
                <w:rFonts w:ascii="Calibri" w:hAnsi="Calibri" w:eastAsia="Calibri" w:cs="Calibri"/>
                <w:sz w:val="24"/>
                <w:szCs w:val="24"/>
                <w:lang w:val="en-US"/>
              </w:rPr>
              <w:t xml:space="preserve"> evidence of nerve root compression on MRI scan</w:t>
            </w:r>
          </w:p>
        </w:tc>
        <w:tc>
          <w:tcPr>
            <w:tcW w:w="3009" w:type="dxa"/>
            <w:tcMar/>
          </w:tcPr>
          <w:p w:rsidR="45ED05C8" w:rsidP="45ED05C8" w:rsidRDefault="45ED05C8" w14:paraId="18DA8073" w14:textId="76D2F0DA">
            <w:pPr>
              <w:pStyle w:val="EndNoteBibliography"/>
              <w:spacing w:after="0" w:line="480" w:lineRule="auto"/>
              <w:rPr>
                <w:rFonts w:ascii="Calibri" w:hAnsi="Calibri" w:eastAsia="Calibri" w:cs="Calibri"/>
                <w:sz w:val="19"/>
                <w:szCs w:val="19"/>
              </w:rPr>
            </w:pPr>
            <w:r w:rsidRPr="45ED05C8" w:rsidR="45ED05C8">
              <w:rPr>
                <w:rFonts w:ascii="Calibri" w:hAnsi="Calibri" w:eastAsia="Calibri" w:cs="Calibri"/>
                <w:sz w:val="24"/>
                <w:szCs w:val="24"/>
                <w:lang w:val="en-US"/>
              </w:rPr>
              <w:t>Possible</w:t>
            </w:r>
            <w:r w:rsidRPr="45ED05C8" w:rsidR="45ED05C8">
              <w:rPr>
                <w:rFonts w:ascii="Calibri" w:hAnsi="Calibri" w:eastAsia="Calibri" w:cs="Calibri"/>
                <w:sz w:val="24"/>
                <w:szCs w:val="24"/>
                <w:vertAlign w:val="superscript"/>
                <w:lang w:val="en-US"/>
              </w:rPr>
              <w:t>b</w:t>
            </w:r>
          </w:p>
        </w:tc>
      </w:tr>
      <w:tr w:rsidR="45ED05C8" w:rsidTr="45ED05C8" w14:paraId="787EF3AD">
        <w:tc>
          <w:tcPr>
            <w:tcW w:w="3009" w:type="dxa"/>
            <w:tcMar/>
          </w:tcPr>
          <w:p w:rsidR="45ED05C8" w:rsidP="45ED05C8" w:rsidRDefault="45ED05C8" w14:paraId="15B119EE" w14:textId="399DF0C4">
            <w:pPr>
              <w:pStyle w:val="EndNoteBibliography"/>
              <w:spacing w:after="0" w:line="480" w:lineRule="auto"/>
              <w:rPr>
                <w:rFonts w:ascii="Calibri" w:hAnsi="Calibri" w:eastAsia="Calibri" w:cs="Calibri"/>
                <w:b w:val="1"/>
                <w:bCs w:val="1"/>
                <w:sz w:val="24"/>
                <w:szCs w:val="24"/>
              </w:rPr>
            </w:pPr>
            <w:r w:rsidRPr="45ED05C8" w:rsidR="45ED05C8">
              <w:rPr>
                <w:rFonts w:ascii="Calibri" w:hAnsi="Calibri" w:eastAsia="Calibri" w:cs="Calibri"/>
                <w:b w:val="1"/>
                <w:bCs w:val="1"/>
                <w:sz w:val="24"/>
                <w:szCs w:val="24"/>
                <w:lang w:val="en-US"/>
              </w:rPr>
              <w:t>Neuropathic pain screening tool</w:t>
            </w:r>
          </w:p>
        </w:tc>
        <w:tc>
          <w:tcPr>
            <w:tcW w:w="3009" w:type="dxa"/>
            <w:tcMar/>
          </w:tcPr>
          <w:p w:rsidR="45ED05C8" w:rsidP="45ED05C8" w:rsidRDefault="45ED05C8" w14:paraId="31340CFF" w14:textId="67D592BC">
            <w:pPr>
              <w:pStyle w:val="EndNoteBibliography"/>
              <w:spacing w:after="0" w:line="480" w:lineRule="auto"/>
              <w:rPr>
                <w:rFonts w:ascii="Calibri" w:hAnsi="Calibri" w:eastAsia="Calibri" w:cs="Calibri"/>
                <w:sz w:val="24"/>
                <w:szCs w:val="24"/>
              </w:rPr>
            </w:pPr>
            <w:r w:rsidRPr="45ED05C8" w:rsidR="45ED05C8">
              <w:rPr>
                <w:rFonts w:ascii="Calibri" w:hAnsi="Calibri" w:eastAsia="Calibri" w:cs="Calibri"/>
                <w:sz w:val="24"/>
                <w:szCs w:val="24"/>
                <w:lang w:val="en-US"/>
              </w:rPr>
              <w:t xml:space="preserve">S-LANSS score of </w:t>
            </w:r>
            <w:r w:rsidRPr="45ED05C8" w:rsidR="45ED05C8">
              <w:rPr>
                <w:rFonts w:ascii="Symbol" w:hAnsi="Symbol" w:eastAsia="Symbol" w:cs="Symbol"/>
                <w:sz w:val="24"/>
                <w:szCs w:val="24"/>
                <w:lang w:val="en-US"/>
              </w:rPr>
              <w:t>³</w:t>
            </w:r>
            <w:r w:rsidRPr="45ED05C8" w:rsidR="45ED05C8">
              <w:rPr>
                <w:rFonts w:ascii="Calibri" w:hAnsi="Calibri" w:eastAsia="Calibri" w:cs="Calibri"/>
                <w:sz w:val="24"/>
                <w:szCs w:val="24"/>
                <w:lang w:val="en-US"/>
              </w:rPr>
              <w:t xml:space="preserve"> 12</w:t>
            </w:r>
          </w:p>
        </w:tc>
        <w:tc>
          <w:tcPr>
            <w:tcW w:w="3009" w:type="dxa"/>
            <w:tcMar/>
          </w:tcPr>
          <w:p w:rsidR="45ED05C8" w:rsidP="45ED05C8" w:rsidRDefault="45ED05C8" w14:paraId="50A160CC" w14:textId="026B5036">
            <w:pPr>
              <w:pStyle w:val="EndNoteBibliography"/>
              <w:spacing w:after="0" w:line="480" w:lineRule="auto"/>
              <w:rPr>
                <w:rFonts w:ascii="Calibri" w:hAnsi="Calibri" w:eastAsia="Calibri" w:cs="Calibri"/>
                <w:sz w:val="19"/>
                <w:szCs w:val="19"/>
              </w:rPr>
            </w:pPr>
            <w:r w:rsidRPr="45ED05C8" w:rsidR="45ED05C8">
              <w:rPr>
                <w:rFonts w:ascii="Calibri" w:hAnsi="Calibri" w:eastAsia="Calibri" w:cs="Calibri"/>
                <w:sz w:val="24"/>
                <w:szCs w:val="24"/>
                <w:lang w:val="en-US"/>
              </w:rPr>
              <w:t>Possible</w:t>
            </w:r>
            <w:r w:rsidRPr="45ED05C8" w:rsidR="45ED05C8">
              <w:rPr>
                <w:rFonts w:ascii="Calibri" w:hAnsi="Calibri" w:eastAsia="Calibri" w:cs="Calibri"/>
                <w:sz w:val="24"/>
                <w:szCs w:val="24"/>
                <w:vertAlign w:val="superscript"/>
                <w:lang w:val="en-US"/>
              </w:rPr>
              <w:t>c</w:t>
            </w:r>
          </w:p>
        </w:tc>
      </w:tr>
      <w:tr w:rsidR="45ED05C8" w:rsidTr="45ED05C8" w14:paraId="0EB475E3">
        <w:tc>
          <w:tcPr>
            <w:tcW w:w="3009" w:type="dxa"/>
            <w:tcMar/>
          </w:tcPr>
          <w:p w:rsidR="45ED05C8" w:rsidP="45ED05C8" w:rsidRDefault="45ED05C8" w14:paraId="78BD12A6" w14:textId="1A5C7F39">
            <w:pPr>
              <w:pStyle w:val="EndNoteBibliography"/>
              <w:spacing w:after="0" w:line="480" w:lineRule="auto"/>
              <w:rPr>
                <w:rFonts w:ascii="Calibri" w:hAnsi="Calibri" w:eastAsia="Calibri" w:cs="Calibri"/>
                <w:b w:val="1"/>
                <w:bCs w:val="1"/>
                <w:sz w:val="24"/>
                <w:szCs w:val="24"/>
              </w:rPr>
            </w:pPr>
            <w:r w:rsidRPr="45ED05C8" w:rsidR="45ED05C8">
              <w:rPr>
                <w:rFonts w:ascii="Calibri" w:hAnsi="Calibri" w:eastAsia="Calibri" w:cs="Calibri"/>
                <w:b w:val="1"/>
                <w:bCs w:val="1"/>
                <w:sz w:val="24"/>
                <w:szCs w:val="24"/>
                <w:lang w:val="en-US"/>
              </w:rPr>
              <w:t>Clinical examination</w:t>
            </w:r>
          </w:p>
        </w:tc>
        <w:tc>
          <w:tcPr>
            <w:tcW w:w="3009" w:type="dxa"/>
            <w:tcMar/>
          </w:tcPr>
          <w:p w:rsidR="45ED05C8" w:rsidP="45ED05C8" w:rsidRDefault="45ED05C8" w14:paraId="536DFBFC" w14:textId="2456ED32">
            <w:pPr>
              <w:pStyle w:val="EndNoteBibliography"/>
              <w:spacing w:after="0" w:line="480" w:lineRule="auto"/>
              <w:rPr>
                <w:rFonts w:ascii="Calibri" w:hAnsi="Calibri" w:eastAsia="Calibri" w:cs="Calibri"/>
                <w:sz w:val="24"/>
                <w:szCs w:val="24"/>
              </w:rPr>
            </w:pPr>
            <w:r w:rsidRPr="45ED05C8" w:rsidR="45ED05C8">
              <w:rPr>
                <w:rFonts w:ascii="Calibri" w:hAnsi="Calibri" w:eastAsia="Calibri" w:cs="Calibri"/>
                <w:sz w:val="24"/>
                <w:szCs w:val="24"/>
                <w:lang w:val="en-US"/>
              </w:rPr>
              <w:t>Clinical diagnosis of referred leg pain</w:t>
            </w:r>
          </w:p>
        </w:tc>
        <w:tc>
          <w:tcPr>
            <w:tcW w:w="3009" w:type="dxa"/>
            <w:tcMar/>
          </w:tcPr>
          <w:p w:rsidR="45ED05C8" w:rsidP="45ED05C8" w:rsidRDefault="45ED05C8" w14:paraId="613F5D43" w14:textId="22E7FA69">
            <w:pPr>
              <w:pStyle w:val="EndNoteBibliography"/>
              <w:spacing w:after="0" w:line="480" w:lineRule="auto"/>
              <w:rPr>
                <w:rFonts w:ascii="Calibri" w:hAnsi="Calibri" w:eastAsia="Calibri" w:cs="Calibri"/>
                <w:sz w:val="19"/>
                <w:szCs w:val="19"/>
              </w:rPr>
            </w:pPr>
            <w:r w:rsidRPr="45ED05C8" w:rsidR="45ED05C8">
              <w:rPr>
                <w:rFonts w:ascii="Calibri" w:hAnsi="Calibri" w:eastAsia="Calibri" w:cs="Calibri"/>
                <w:sz w:val="24"/>
                <w:szCs w:val="24"/>
                <w:lang w:val="en-US"/>
              </w:rPr>
              <w:t>Unlikely</w:t>
            </w:r>
            <w:r w:rsidRPr="45ED05C8" w:rsidR="45ED05C8">
              <w:rPr>
                <w:rFonts w:ascii="Calibri" w:hAnsi="Calibri" w:eastAsia="Calibri" w:cs="Calibri"/>
                <w:sz w:val="24"/>
                <w:szCs w:val="24"/>
                <w:vertAlign w:val="superscript"/>
                <w:lang w:val="en-US"/>
              </w:rPr>
              <w:t>b</w:t>
            </w:r>
          </w:p>
        </w:tc>
      </w:tr>
      <w:tr w:rsidR="45ED05C8" w:rsidTr="45ED05C8" w14:paraId="77E81202">
        <w:tc>
          <w:tcPr>
            <w:tcW w:w="9027" w:type="dxa"/>
            <w:gridSpan w:val="3"/>
            <w:tcMar/>
          </w:tcPr>
          <w:p w:rsidR="45ED05C8" w:rsidP="45ED05C8" w:rsidRDefault="45ED05C8" w14:paraId="649E889B" w14:textId="0B186299">
            <w:pPr>
              <w:pStyle w:val="FootnoteText"/>
              <w:spacing w:after="0" w:line="480" w:lineRule="auto"/>
              <w:ind w:left="0"/>
              <w:rPr>
                <w:rFonts w:ascii="Calibri" w:hAnsi="Calibri" w:eastAsia="Calibri" w:cs="Calibri"/>
                <w:b w:val="1"/>
                <w:bCs w:val="1"/>
                <w:sz w:val="20"/>
                <w:szCs w:val="20"/>
              </w:rPr>
            </w:pPr>
            <w:r w:rsidRPr="45ED05C8" w:rsidR="45ED05C8">
              <w:rPr>
                <w:rFonts w:ascii="Calibri" w:hAnsi="Calibri" w:eastAsia="Calibri" w:cs="Calibri"/>
                <w:b w:val="0"/>
                <w:bCs w:val="0"/>
                <w:sz w:val="20"/>
                <w:szCs w:val="20"/>
                <w:lang w:val="en-US"/>
              </w:rPr>
              <w:t>Abbreviations: MRI, magnetic resonance imaging; s-LANSS, self-report version of Leeds Assessment for Neurological Symptoms and Signs</w:t>
            </w:r>
          </w:p>
          <w:p w:rsidR="45ED05C8" w:rsidP="45ED05C8" w:rsidRDefault="45ED05C8" w14:paraId="465CB248" w14:textId="7D2AF57D">
            <w:pPr>
              <w:pStyle w:val="FootnoteText"/>
              <w:spacing w:after="0" w:line="480" w:lineRule="auto"/>
              <w:ind w:left="0"/>
              <w:rPr>
                <w:rFonts w:ascii="Calibri" w:hAnsi="Calibri" w:eastAsia="Calibri" w:cs="Calibri"/>
                <w:b w:val="1"/>
                <w:bCs w:val="1"/>
                <w:sz w:val="16"/>
                <w:szCs w:val="16"/>
              </w:rPr>
            </w:pPr>
            <w:r w:rsidRPr="45ED05C8" w:rsidR="45ED05C8">
              <w:rPr>
                <w:rFonts w:ascii="Calibri" w:hAnsi="Calibri" w:eastAsia="Calibri" w:cs="Calibri"/>
                <w:b w:val="0"/>
                <w:bCs w:val="0"/>
                <w:sz w:val="20"/>
                <w:szCs w:val="20"/>
                <w:vertAlign w:val="superscript"/>
                <w:lang w:val="en-US"/>
              </w:rPr>
              <w:t>a</w:t>
            </w:r>
            <w:r w:rsidRPr="45ED05C8" w:rsidR="45ED05C8">
              <w:rPr>
                <w:rFonts w:ascii="Calibri" w:hAnsi="Calibri" w:eastAsia="Calibri" w:cs="Calibri"/>
                <w:b w:val="0"/>
                <w:bCs w:val="0"/>
                <w:sz w:val="20"/>
                <w:szCs w:val="20"/>
                <w:lang w:val="en-US"/>
              </w:rPr>
              <w:t xml:space="preserve"> Described by Koes et al.</w:t>
            </w:r>
            <w:r w:rsidRPr="45ED05C8" w:rsidR="45ED05C8">
              <w:rPr>
                <w:rFonts w:ascii="Calibri" w:hAnsi="Calibri" w:eastAsia="Calibri" w:cs="Calibri"/>
                <w:b w:val="0"/>
                <w:bCs w:val="0"/>
                <w:sz w:val="20"/>
                <w:szCs w:val="20"/>
                <w:vertAlign w:val="superscript"/>
                <w:lang w:val="en-US"/>
              </w:rPr>
              <w:t xml:space="preserve">21 </w:t>
            </w:r>
            <w:r w:rsidRPr="45ED05C8" w:rsidR="45ED05C8">
              <w:rPr>
                <w:rFonts w:ascii="Calibri" w:hAnsi="Calibri" w:eastAsia="Calibri" w:cs="Calibri"/>
                <w:b w:val="0"/>
                <w:bCs w:val="0"/>
                <w:sz w:val="20"/>
                <w:szCs w:val="20"/>
                <w:lang w:val="en-US"/>
              </w:rPr>
              <w:t>Criteria for clinical diagnosis agreed by consensus by Konstantinou et al</w:t>
            </w:r>
            <w:r w:rsidRPr="45ED05C8" w:rsidR="45ED05C8">
              <w:rPr>
                <w:rFonts w:ascii="Calibri" w:hAnsi="Calibri" w:eastAsia="Calibri" w:cs="Calibri"/>
                <w:b w:val="0"/>
                <w:bCs w:val="0"/>
                <w:sz w:val="20"/>
                <w:szCs w:val="20"/>
                <w:vertAlign w:val="superscript"/>
                <w:lang w:val="en-GB"/>
              </w:rPr>
              <w:t>22</w:t>
            </w:r>
          </w:p>
          <w:p w:rsidR="45ED05C8" w:rsidP="45ED05C8" w:rsidRDefault="45ED05C8" w14:paraId="3D62B390" w14:textId="705A9D5B">
            <w:pPr>
              <w:pStyle w:val="FootnoteText"/>
              <w:spacing w:after="0" w:line="480" w:lineRule="auto"/>
              <w:ind w:left="0"/>
              <w:rPr>
                <w:rFonts w:ascii="Calibri" w:hAnsi="Calibri" w:eastAsia="Calibri" w:cs="Calibri"/>
                <w:b w:val="1"/>
                <w:bCs w:val="1"/>
                <w:sz w:val="16"/>
                <w:szCs w:val="16"/>
              </w:rPr>
            </w:pPr>
            <w:r w:rsidRPr="45ED05C8" w:rsidR="45ED05C8">
              <w:rPr>
                <w:rFonts w:ascii="Calibri" w:hAnsi="Calibri" w:eastAsia="Calibri" w:cs="Calibri"/>
                <w:b w:val="0"/>
                <w:bCs w:val="0"/>
                <w:sz w:val="20"/>
                <w:szCs w:val="20"/>
                <w:vertAlign w:val="superscript"/>
                <w:lang w:val="en-US"/>
              </w:rPr>
              <w:t>b</w:t>
            </w:r>
            <w:r w:rsidRPr="45ED05C8" w:rsidR="45ED05C8">
              <w:rPr>
                <w:rFonts w:ascii="Calibri" w:hAnsi="Calibri" w:eastAsia="Calibri" w:cs="Calibri"/>
                <w:b w:val="0"/>
                <w:bCs w:val="0"/>
                <w:sz w:val="20"/>
                <w:szCs w:val="20"/>
                <w:lang w:val="en-US"/>
              </w:rPr>
              <w:t xml:space="preserve"> Described by </w:t>
            </w:r>
            <w:proofErr w:type="spellStart"/>
            <w:r w:rsidRPr="45ED05C8" w:rsidR="45ED05C8">
              <w:rPr>
                <w:rFonts w:ascii="Calibri" w:hAnsi="Calibri" w:eastAsia="Calibri" w:cs="Calibri"/>
                <w:b w:val="0"/>
                <w:bCs w:val="0"/>
                <w:sz w:val="20"/>
                <w:szCs w:val="20"/>
                <w:lang w:val="en-US"/>
              </w:rPr>
              <w:t>Treede</w:t>
            </w:r>
            <w:proofErr w:type="spellEnd"/>
            <w:r w:rsidRPr="45ED05C8" w:rsidR="45ED05C8">
              <w:rPr>
                <w:rFonts w:ascii="Calibri" w:hAnsi="Calibri" w:eastAsia="Calibri" w:cs="Calibri"/>
                <w:b w:val="0"/>
                <w:bCs w:val="0"/>
                <w:sz w:val="20"/>
                <w:szCs w:val="20"/>
                <w:lang w:val="en-US"/>
              </w:rPr>
              <w:t xml:space="preserve"> et al</w:t>
            </w:r>
            <w:r w:rsidRPr="45ED05C8" w:rsidR="45ED05C8">
              <w:rPr>
                <w:rFonts w:ascii="Calibri" w:hAnsi="Calibri" w:eastAsia="Calibri" w:cs="Calibri"/>
                <w:b w:val="0"/>
                <w:bCs w:val="0"/>
                <w:sz w:val="20"/>
                <w:szCs w:val="20"/>
                <w:vertAlign w:val="superscript"/>
                <w:lang w:val="en-US"/>
              </w:rPr>
              <w:t>1</w:t>
            </w:r>
            <w:r w:rsidRPr="45ED05C8" w:rsidR="45ED05C8">
              <w:rPr>
                <w:rFonts w:ascii="Calibri" w:hAnsi="Calibri" w:eastAsia="Calibri" w:cs="Calibri"/>
                <w:b w:val="0"/>
                <w:bCs w:val="0"/>
                <w:sz w:val="20"/>
                <w:szCs w:val="20"/>
                <w:lang w:val="en-US"/>
              </w:rPr>
              <w:t>and later updated by Finnerup et al</w:t>
            </w:r>
            <w:r w:rsidRPr="45ED05C8" w:rsidR="45ED05C8">
              <w:rPr>
                <w:rFonts w:ascii="Calibri" w:hAnsi="Calibri" w:eastAsia="Calibri" w:cs="Calibri"/>
                <w:b w:val="0"/>
                <w:bCs w:val="0"/>
                <w:sz w:val="20"/>
                <w:szCs w:val="20"/>
                <w:vertAlign w:val="superscript"/>
                <w:lang w:val="en-US"/>
              </w:rPr>
              <w:t>14</w:t>
            </w:r>
          </w:p>
          <w:p w:rsidR="45ED05C8" w:rsidP="45ED05C8" w:rsidRDefault="45ED05C8" w14:paraId="44604BE0" w14:textId="261A8947">
            <w:pPr>
              <w:pStyle w:val="FootnoteText"/>
              <w:spacing w:after="0" w:line="480" w:lineRule="auto"/>
              <w:ind w:left="0"/>
              <w:rPr>
                <w:rFonts w:ascii="Calibri" w:hAnsi="Calibri" w:eastAsia="Calibri" w:cs="Calibri"/>
                <w:b w:val="1"/>
                <w:bCs w:val="1"/>
                <w:sz w:val="16"/>
                <w:szCs w:val="16"/>
              </w:rPr>
            </w:pPr>
            <w:r w:rsidRPr="45ED05C8" w:rsidR="45ED05C8">
              <w:rPr>
                <w:rFonts w:ascii="Calibri" w:hAnsi="Calibri" w:eastAsia="Calibri" w:cs="Calibri"/>
                <w:b w:val="0"/>
                <w:bCs w:val="0"/>
                <w:sz w:val="20"/>
                <w:szCs w:val="20"/>
                <w:vertAlign w:val="superscript"/>
                <w:lang w:val="en-US"/>
              </w:rPr>
              <w:t>c</w:t>
            </w:r>
            <w:r w:rsidRPr="45ED05C8" w:rsidR="45ED05C8">
              <w:rPr>
                <w:rFonts w:ascii="Calibri" w:hAnsi="Calibri" w:eastAsia="Calibri" w:cs="Calibri"/>
                <w:b w:val="0"/>
                <w:bCs w:val="0"/>
                <w:sz w:val="20"/>
                <w:szCs w:val="20"/>
                <w:lang w:val="en-US"/>
              </w:rPr>
              <w:t xml:space="preserve"> Described by Smith et al</w:t>
            </w:r>
            <w:r w:rsidRPr="45ED05C8" w:rsidR="45ED05C8">
              <w:rPr>
                <w:rFonts w:ascii="Calibri" w:hAnsi="Calibri" w:eastAsia="Calibri" w:cs="Calibri"/>
                <w:b w:val="0"/>
                <w:bCs w:val="0"/>
                <w:sz w:val="20"/>
                <w:szCs w:val="20"/>
                <w:vertAlign w:val="superscript"/>
                <w:lang w:val="en-US"/>
              </w:rPr>
              <w:t>5</w:t>
            </w:r>
          </w:p>
        </w:tc>
      </w:tr>
    </w:tbl>
    <w:p w:rsidR="45ED05C8" w:rsidP="45ED05C8" w:rsidRDefault="45ED05C8" w14:paraId="3CA83C5A" w14:textId="25DB5C5E">
      <w:pPr>
        <w:spacing w:after="160" w:line="480" w:lineRule="auto"/>
        <w:rPr>
          <w:rFonts w:ascii="Calibri" w:hAnsi="Calibri" w:eastAsia="Calibri" w:cs="Calibri"/>
          <w:noProof w:val="0"/>
          <w:sz w:val="24"/>
          <w:szCs w:val="24"/>
          <w:lang w:val="en-GB"/>
        </w:rPr>
      </w:pPr>
    </w:p>
    <w:p w:rsidR="45ED05C8" w:rsidRDefault="45ED05C8" w14:paraId="7629F94B" w14:textId="39EA137E">
      <w:r>
        <w:br w:type="page"/>
      </w:r>
    </w:p>
    <w:p w:rsidR="6772EFC1" w:rsidRDefault="6772EFC1" w14:paraId="2BE522FD" w14:textId="5035295C">
      <w:r w:rsidR="6772EFC1">
        <w:rPr/>
        <w:t xml:space="preserve">Table 2. </w:t>
      </w:r>
    </w:p>
    <w:tbl>
      <w:tblPr>
        <w:tblStyle w:val="TableGrid"/>
        <w:tblW w:w="0" w:type="auto"/>
        <w:tblLayout w:type="fixed"/>
        <w:tblLook w:val="0000" w:firstRow="0" w:lastRow="0" w:firstColumn="0" w:lastColumn="0" w:noHBand="0" w:noVBand="0"/>
      </w:tblPr>
      <w:tblGrid>
        <w:gridCol w:w="1805"/>
        <w:gridCol w:w="1805"/>
        <w:gridCol w:w="1805"/>
        <w:gridCol w:w="1805"/>
        <w:gridCol w:w="1805"/>
      </w:tblGrid>
      <w:tr w:rsidR="45ED05C8" w:rsidTr="45ED05C8" w14:paraId="5AA4CAAF">
        <w:tc>
          <w:tcPr>
            <w:tcW w:w="1805" w:type="dxa"/>
            <w:tcMar/>
          </w:tcPr>
          <w:p w:rsidR="45ED05C8" w:rsidP="45ED05C8" w:rsidRDefault="45ED05C8" w14:paraId="008F42A9" w14:textId="4F913E8B">
            <w:pPr>
              <w:spacing w:line="240" w:lineRule="auto"/>
              <w:rPr>
                <w:rFonts w:ascii="Calibri" w:hAnsi="Calibri" w:eastAsia="Calibri" w:cs="Calibri"/>
                <w:b w:val="1"/>
                <w:bCs w:val="1"/>
                <w:i w:val="0"/>
                <w:iCs w:val="0"/>
                <w:color w:val="000000" w:themeColor="text1" w:themeTint="FF" w:themeShade="FF"/>
                <w:sz w:val="19"/>
                <w:szCs w:val="19"/>
              </w:rPr>
            </w:pPr>
            <w:r w:rsidRPr="45ED05C8" w:rsidR="45ED05C8">
              <w:rPr>
                <w:rFonts w:ascii="Calibri" w:hAnsi="Calibri" w:eastAsia="Calibri" w:cs="Calibri"/>
                <w:b w:val="1"/>
                <w:bCs w:val="1"/>
                <w:i w:val="0"/>
                <w:iCs w:val="0"/>
                <w:color w:val="000000" w:themeColor="text1" w:themeTint="FF" w:themeShade="FF"/>
                <w:sz w:val="24"/>
                <w:szCs w:val="24"/>
                <w:lang w:val="en-US"/>
              </w:rPr>
              <w:t>Characteristics</w:t>
            </w:r>
            <w:r w:rsidRPr="45ED05C8" w:rsidR="45ED05C8">
              <w:rPr>
                <w:rFonts w:ascii="Calibri" w:hAnsi="Calibri" w:eastAsia="Calibri" w:cs="Calibri"/>
                <w:b w:val="0"/>
                <w:bCs w:val="0"/>
                <w:i w:val="0"/>
                <w:iCs w:val="0"/>
                <w:color w:val="000000" w:themeColor="text1" w:themeTint="FF" w:themeShade="FF"/>
                <w:sz w:val="24"/>
                <w:szCs w:val="24"/>
                <w:vertAlign w:val="superscript"/>
                <w:lang w:val="en-US"/>
              </w:rPr>
              <w:t>a</w:t>
            </w:r>
          </w:p>
        </w:tc>
        <w:tc>
          <w:tcPr>
            <w:tcW w:w="1805" w:type="dxa"/>
            <w:tcMar/>
          </w:tcPr>
          <w:p w:rsidR="45ED05C8" w:rsidRDefault="45ED05C8" w14:paraId="731FEBE2" w14:textId="5D3E1917"/>
        </w:tc>
        <w:tc>
          <w:tcPr>
            <w:tcW w:w="1805" w:type="dxa"/>
            <w:tcMar/>
          </w:tcPr>
          <w:p w:rsidR="45ED05C8" w:rsidP="45ED05C8" w:rsidRDefault="45ED05C8" w14:paraId="0B77195A" w14:textId="6760CB4F">
            <w:pPr>
              <w:spacing w:line="240" w:lineRule="auto"/>
              <w:jc w:val="center"/>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1"/>
                <w:bCs w:val="1"/>
                <w:i w:val="0"/>
                <w:iCs w:val="0"/>
                <w:color w:val="000000" w:themeColor="text1" w:themeTint="FF" w:themeShade="FF"/>
                <w:sz w:val="24"/>
                <w:szCs w:val="24"/>
                <w:lang w:val="en-US"/>
              </w:rPr>
              <w:t xml:space="preserve">Neuropathic pain  </w:t>
            </w:r>
          </w:p>
          <w:p w:rsidR="45ED05C8" w:rsidP="45ED05C8" w:rsidRDefault="45ED05C8" w14:paraId="4A4F93E4" w14:textId="7A50CF4C">
            <w:pPr>
              <w:spacing w:line="240" w:lineRule="auto"/>
              <w:jc w:val="center"/>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1"/>
                <w:bCs w:val="1"/>
                <w:i w:val="0"/>
                <w:iCs w:val="0"/>
                <w:color w:val="000000" w:themeColor="text1" w:themeTint="FF" w:themeShade="FF"/>
                <w:sz w:val="24"/>
                <w:szCs w:val="24"/>
                <w:lang w:val="en-US"/>
              </w:rPr>
              <w:t xml:space="preserve">(s-LANSS </w:t>
            </w:r>
            <w:r w:rsidRPr="45ED05C8" w:rsidR="45ED05C8">
              <w:rPr>
                <w:rFonts w:ascii="Symbol" w:hAnsi="Symbol" w:eastAsia="Symbol" w:cs="Symbol"/>
                <w:b w:val="1"/>
                <w:bCs w:val="1"/>
                <w:i w:val="0"/>
                <w:iCs w:val="0"/>
                <w:color w:val="000000" w:themeColor="text1" w:themeTint="FF" w:themeShade="FF"/>
                <w:sz w:val="24"/>
                <w:szCs w:val="24"/>
                <w:lang w:val="en-US"/>
              </w:rPr>
              <w:t>³</w:t>
            </w:r>
            <w:r w:rsidRPr="45ED05C8" w:rsidR="45ED05C8">
              <w:rPr>
                <w:rFonts w:ascii="Calibri" w:hAnsi="Calibri" w:eastAsia="Calibri" w:cs="Calibri"/>
                <w:b w:val="1"/>
                <w:bCs w:val="1"/>
                <w:i w:val="0"/>
                <w:iCs w:val="0"/>
                <w:color w:val="000000" w:themeColor="text1" w:themeTint="FF" w:themeShade="FF"/>
                <w:sz w:val="24"/>
                <w:szCs w:val="24"/>
                <w:lang w:val="en-US"/>
              </w:rPr>
              <w:t xml:space="preserve"> 12)</w:t>
            </w:r>
          </w:p>
        </w:tc>
        <w:tc>
          <w:tcPr>
            <w:tcW w:w="1805" w:type="dxa"/>
            <w:tcMar/>
          </w:tcPr>
          <w:p w:rsidR="45ED05C8" w:rsidRDefault="45ED05C8" w14:paraId="436EB80D" w14:textId="65DE8BB5"/>
        </w:tc>
        <w:tc>
          <w:tcPr>
            <w:tcW w:w="1805" w:type="dxa"/>
            <w:tcMar/>
          </w:tcPr>
          <w:p w:rsidR="45ED05C8" w:rsidP="45ED05C8" w:rsidRDefault="45ED05C8" w14:paraId="09AAB5E0" w14:textId="3BB4A473">
            <w:pPr>
              <w:spacing w:line="240" w:lineRule="auto"/>
              <w:jc w:val="center"/>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1"/>
                <w:bCs w:val="1"/>
                <w:i w:val="0"/>
                <w:iCs w:val="0"/>
                <w:color w:val="000000" w:themeColor="text1" w:themeTint="FF" w:themeShade="FF"/>
                <w:sz w:val="24"/>
                <w:szCs w:val="24"/>
                <w:lang w:val="en-US"/>
              </w:rPr>
              <w:t>Unadjusted odds ratio</w:t>
            </w:r>
          </w:p>
          <w:p w:rsidR="45ED05C8" w:rsidP="45ED05C8" w:rsidRDefault="45ED05C8" w14:paraId="1ACDBB3D" w14:textId="0DFEE564">
            <w:pPr>
              <w:spacing w:line="240" w:lineRule="auto"/>
              <w:jc w:val="center"/>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1"/>
                <w:bCs w:val="1"/>
                <w:i w:val="0"/>
                <w:iCs w:val="0"/>
                <w:color w:val="000000" w:themeColor="text1" w:themeTint="FF" w:themeShade="FF"/>
                <w:sz w:val="24"/>
                <w:szCs w:val="24"/>
                <w:lang w:val="en-US"/>
              </w:rPr>
              <w:t>(95% CI)</w:t>
            </w:r>
          </w:p>
        </w:tc>
      </w:tr>
      <w:tr w:rsidR="45ED05C8" w:rsidTr="45ED05C8" w14:paraId="25A6E3B4">
        <w:tc>
          <w:tcPr>
            <w:tcW w:w="1805" w:type="dxa"/>
            <w:tcMar/>
          </w:tcPr>
          <w:p w:rsidR="45ED05C8" w:rsidRDefault="45ED05C8" w14:paraId="2B5EC1BD" w14:textId="33E9063A"/>
        </w:tc>
        <w:tc>
          <w:tcPr>
            <w:tcW w:w="1805" w:type="dxa"/>
            <w:tcMar/>
          </w:tcPr>
          <w:p w:rsidR="45ED05C8" w:rsidRDefault="45ED05C8" w14:paraId="2C12DC3C" w14:textId="78BEE5AA"/>
        </w:tc>
        <w:tc>
          <w:tcPr>
            <w:tcW w:w="1805" w:type="dxa"/>
            <w:tcMar/>
          </w:tcPr>
          <w:p w:rsidR="45ED05C8" w:rsidP="45ED05C8" w:rsidRDefault="45ED05C8" w14:paraId="53C25395" w14:textId="1B47F807">
            <w:pPr>
              <w:spacing w:line="240" w:lineRule="auto"/>
              <w:jc w:val="center"/>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1"/>
                <w:iCs w:val="1"/>
                <w:color w:val="000000" w:themeColor="text1" w:themeTint="FF" w:themeShade="FF"/>
                <w:sz w:val="24"/>
                <w:szCs w:val="24"/>
                <w:lang w:val="en-US"/>
              </w:rPr>
              <w:t xml:space="preserve">Yes, </w:t>
            </w:r>
          </w:p>
          <w:p w:rsidR="45ED05C8" w:rsidP="45ED05C8" w:rsidRDefault="45ED05C8" w14:paraId="5E694033" w14:textId="5D2E9B58">
            <w:pPr>
              <w:spacing w:line="240" w:lineRule="auto"/>
              <w:jc w:val="center"/>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1"/>
                <w:iCs w:val="1"/>
                <w:color w:val="000000" w:themeColor="text1" w:themeTint="FF" w:themeShade="FF"/>
                <w:sz w:val="24"/>
                <w:szCs w:val="24"/>
                <w:lang w:val="en-US"/>
              </w:rPr>
              <w:t xml:space="preserve">n=293 </w:t>
            </w:r>
          </w:p>
          <w:p w:rsidR="45ED05C8" w:rsidP="45ED05C8" w:rsidRDefault="45ED05C8" w14:paraId="627070F4" w14:textId="31B639EE">
            <w:pPr>
              <w:spacing w:line="240" w:lineRule="auto"/>
              <w:jc w:val="center"/>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1"/>
                <w:iCs w:val="1"/>
                <w:color w:val="000000" w:themeColor="text1" w:themeTint="FF" w:themeShade="FF"/>
                <w:sz w:val="24"/>
                <w:szCs w:val="24"/>
                <w:lang w:val="en-US"/>
              </w:rPr>
              <w:t>(48.4%)</w:t>
            </w:r>
          </w:p>
        </w:tc>
        <w:tc>
          <w:tcPr>
            <w:tcW w:w="1805" w:type="dxa"/>
            <w:tcMar/>
          </w:tcPr>
          <w:p w:rsidR="45ED05C8" w:rsidP="45ED05C8" w:rsidRDefault="45ED05C8" w14:paraId="6F853AE1" w14:textId="1636C3C4">
            <w:pPr>
              <w:spacing w:line="240" w:lineRule="auto"/>
              <w:jc w:val="center"/>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1"/>
                <w:iCs w:val="1"/>
                <w:color w:val="000000" w:themeColor="text1" w:themeTint="FF" w:themeShade="FF"/>
                <w:sz w:val="24"/>
                <w:szCs w:val="24"/>
                <w:lang w:val="en-US"/>
              </w:rPr>
              <w:t xml:space="preserve">No, </w:t>
            </w:r>
          </w:p>
          <w:p w:rsidR="45ED05C8" w:rsidP="45ED05C8" w:rsidRDefault="45ED05C8" w14:paraId="656BFCC7" w14:textId="2BA940E3">
            <w:pPr>
              <w:spacing w:line="240" w:lineRule="auto"/>
              <w:jc w:val="center"/>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1"/>
                <w:iCs w:val="1"/>
                <w:color w:val="000000" w:themeColor="text1" w:themeTint="FF" w:themeShade="FF"/>
                <w:sz w:val="24"/>
                <w:szCs w:val="24"/>
                <w:lang w:val="en-US"/>
              </w:rPr>
              <w:t>n=313 (51.7%)</w:t>
            </w:r>
          </w:p>
        </w:tc>
        <w:tc>
          <w:tcPr>
            <w:tcW w:w="1805" w:type="dxa"/>
            <w:tcMar/>
          </w:tcPr>
          <w:p w:rsidR="45ED05C8" w:rsidRDefault="45ED05C8" w14:paraId="35807823" w14:textId="56EB0250"/>
        </w:tc>
      </w:tr>
      <w:tr w:rsidR="45ED05C8" w:rsidTr="45ED05C8" w14:paraId="02AC22FC">
        <w:tc>
          <w:tcPr>
            <w:tcW w:w="1805" w:type="dxa"/>
            <w:tcMar/>
          </w:tcPr>
          <w:p w:rsidR="45ED05C8" w:rsidP="45ED05C8" w:rsidRDefault="45ED05C8" w14:paraId="639F3720" w14:textId="5DAEC2CE">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1"/>
                <w:bCs w:val="1"/>
                <w:i w:val="0"/>
                <w:iCs w:val="0"/>
                <w:color w:val="000000" w:themeColor="text1" w:themeTint="FF" w:themeShade="FF"/>
                <w:sz w:val="24"/>
                <w:szCs w:val="24"/>
                <w:lang w:val="en-US"/>
              </w:rPr>
              <w:t>Sociodemographic characteristics</w:t>
            </w:r>
          </w:p>
        </w:tc>
        <w:tc>
          <w:tcPr>
            <w:tcW w:w="1805" w:type="dxa"/>
            <w:tcMar/>
          </w:tcPr>
          <w:p w:rsidR="45ED05C8" w:rsidRDefault="45ED05C8" w14:paraId="50B1BFD8" w14:textId="36823C92"/>
        </w:tc>
        <w:tc>
          <w:tcPr>
            <w:tcW w:w="1805" w:type="dxa"/>
            <w:tcMar/>
          </w:tcPr>
          <w:p w:rsidR="45ED05C8" w:rsidP="45ED05C8" w:rsidRDefault="45ED05C8" w14:paraId="7520C358" w14:textId="18F8E2A1">
            <w:pPr>
              <w:spacing w:line="480" w:lineRule="auto"/>
              <w:jc w:val="center"/>
              <w:rPr>
                <w:rFonts w:ascii="Calibri" w:hAnsi="Calibri" w:eastAsia="Calibri" w:cs="Calibri"/>
                <w:b w:val="0"/>
                <w:bCs w:val="0"/>
                <w:i w:val="0"/>
                <w:iCs w:val="0"/>
                <w:color w:val="000000" w:themeColor="text1" w:themeTint="FF" w:themeShade="FF"/>
                <w:sz w:val="24"/>
                <w:szCs w:val="24"/>
              </w:rPr>
            </w:pPr>
          </w:p>
        </w:tc>
        <w:tc>
          <w:tcPr>
            <w:tcW w:w="1805" w:type="dxa"/>
            <w:tcMar/>
          </w:tcPr>
          <w:p w:rsidR="45ED05C8" w:rsidP="45ED05C8" w:rsidRDefault="45ED05C8" w14:paraId="4AAF1435" w14:textId="1DE69062">
            <w:pPr>
              <w:spacing w:line="480" w:lineRule="auto"/>
              <w:jc w:val="center"/>
              <w:rPr>
                <w:rFonts w:ascii="Calibri" w:hAnsi="Calibri" w:eastAsia="Calibri" w:cs="Calibri"/>
                <w:b w:val="0"/>
                <w:bCs w:val="0"/>
                <w:i w:val="0"/>
                <w:iCs w:val="0"/>
                <w:color w:val="000000" w:themeColor="text1" w:themeTint="FF" w:themeShade="FF"/>
                <w:sz w:val="24"/>
                <w:szCs w:val="24"/>
              </w:rPr>
            </w:pPr>
          </w:p>
        </w:tc>
        <w:tc>
          <w:tcPr>
            <w:tcW w:w="1805" w:type="dxa"/>
            <w:tcMar/>
          </w:tcPr>
          <w:p w:rsidR="45ED05C8" w:rsidP="45ED05C8" w:rsidRDefault="45ED05C8" w14:paraId="62035721" w14:textId="50CE78F4">
            <w:pPr>
              <w:spacing w:line="480" w:lineRule="auto"/>
              <w:jc w:val="center"/>
              <w:rPr>
                <w:rFonts w:ascii="Calibri" w:hAnsi="Calibri" w:eastAsia="Calibri" w:cs="Calibri"/>
                <w:b w:val="0"/>
                <w:bCs w:val="0"/>
                <w:i w:val="0"/>
                <w:iCs w:val="0"/>
                <w:color w:val="000000" w:themeColor="text1" w:themeTint="FF" w:themeShade="FF"/>
                <w:sz w:val="24"/>
                <w:szCs w:val="24"/>
              </w:rPr>
            </w:pPr>
          </w:p>
        </w:tc>
      </w:tr>
      <w:tr w:rsidR="45ED05C8" w:rsidTr="45ED05C8" w14:paraId="17354D61">
        <w:tc>
          <w:tcPr>
            <w:tcW w:w="1805" w:type="dxa"/>
            <w:tcMar/>
          </w:tcPr>
          <w:p w:rsidR="45ED05C8" w:rsidP="45ED05C8" w:rsidRDefault="45ED05C8" w14:paraId="241E8A7B" w14:textId="11AC64E5">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Female (n=606)</w:t>
            </w:r>
          </w:p>
        </w:tc>
        <w:tc>
          <w:tcPr>
            <w:tcW w:w="1805" w:type="dxa"/>
            <w:tcMar/>
          </w:tcPr>
          <w:p w:rsidR="45ED05C8" w:rsidRDefault="45ED05C8" w14:paraId="116B284D" w14:textId="2FCFD06B"/>
        </w:tc>
        <w:tc>
          <w:tcPr>
            <w:tcW w:w="1805" w:type="dxa"/>
            <w:tcMar/>
          </w:tcPr>
          <w:p w:rsidR="45ED05C8" w:rsidP="45ED05C8" w:rsidRDefault="45ED05C8" w14:paraId="0E69C93E" w14:textId="24B5033C">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200 (68.3)</w:t>
            </w:r>
          </w:p>
        </w:tc>
        <w:tc>
          <w:tcPr>
            <w:tcW w:w="1805" w:type="dxa"/>
            <w:tcMar/>
          </w:tcPr>
          <w:p w:rsidR="45ED05C8" w:rsidP="45ED05C8" w:rsidRDefault="45ED05C8" w14:paraId="70A082A0" w14:textId="013F1334">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182 (58.2)</w:t>
            </w:r>
          </w:p>
        </w:tc>
        <w:tc>
          <w:tcPr>
            <w:tcW w:w="1805" w:type="dxa"/>
            <w:tcMar/>
          </w:tcPr>
          <w:p w:rsidR="45ED05C8" w:rsidP="45ED05C8" w:rsidRDefault="45ED05C8" w14:paraId="194CE480" w14:textId="4C74ACF6">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1.55 (1.10, 2.16)</w:t>
            </w:r>
          </w:p>
        </w:tc>
      </w:tr>
      <w:tr w:rsidR="45ED05C8" w:rsidTr="45ED05C8" w14:paraId="401AF3AB">
        <w:tc>
          <w:tcPr>
            <w:tcW w:w="1805" w:type="dxa"/>
            <w:tcMar/>
          </w:tcPr>
          <w:p w:rsidR="45ED05C8" w:rsidP="45ED05C8" w:rsidRDefault="45ED05C8" w14:paraId="6E8BC0EA" w14:textId="0F814356">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Age, mean (SD) (n=606)</w:t>
            </w:r>
          </w:p>
        </w:tc>
        <w:tc>
          <w:tcPr>
            <w:tcW w:w="1805" w:type="dxa"/>
            <w:tcMar/>
          </w:tcPr>
          <w:p w:rsidR="45ED05C8" w:rsidRDefault="45ED05C8" w14:paraId="4FCCF05D" w14:textId="6CA98EC8"/>
        </w:tc>
        <w:tc>
          <w:tcPr>
            <w:tcW w:w="1805" w:type="dxa"/>
            <w:tcMar/>
          </w:tcPr>
          <w:p w:rsidR="45ED05C8" w:rsidP="45ED05C8" w:rsidRDefault="45ED05C8" w14:paraId="6A88F5E5" w14:textId="41D63843">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49.8 (13.5)</w:t>
            </w:r>
          </w:p>
        </w:tc>
        <w:tc>
          <w:tcPr>
            <w:tcW w:w="1805" w:type="dxa"/>
            <w:tcMar/>
          </w:tcPr>
          <w:p w:rsidR="45ED05C8" w:rsidP="45ED05C8" w:rsidRDefault="45ED05C8" w14:paraId="6EB2EF10" w14:textId="261E9A82">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50.4 (14.2)</w:t>
            </w:r>
          </w:p>
        </w:tc>
        <w:tc>
          <w:tcPr>
            <w:tcW w:w="1805" w:type="dxa"/>
            <w:tcMar/>
          </w:tcPr>
          <w:p w:rsidR="45ED05C8" w:rsidP="45ED05C8" w:rsidRDefault="45ED05C8" w14:paraId="457D9DF8" w14:textId="5761B19B">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1.00 (0.99, 1.01)</w:t>
            </w:r>
          </w:p>
        </w:tc>
      </w:tr>
      <w:tr w:rsidR="45ED05C8" w:rsidTr="45ED05C8" w14:paraId="77425140">
        <w:tc>
          <w:tcPr>
            <w:tcW w:w="1805" w:type="dxa"/>
            <w:tcMar/>
          </w:tcPr>
          <w:p w:rsidR="45ED05C8" w:rsidP="45ED05C8" w:rsidRDefault="45ED05C8" w14:paraId="5D216395" w14:textId="47680B03">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Socio-economic status (n=590)</w:t>
            </w:r>
          </w:p>
        </w:tc>
        <w:tc>
          <w:tcPr>
            <w:tcW w:w="1805" w:type="dxa"/>
            <w:tcMar/>
          </w:tcPr>
          <w:p w:rsidR="45ED05C8" w:rsidP="45ED05C8" w:rsidRDefault="45ED05C8" w14:paraId="7C34AAD9" w14:textId="2B924624">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Higher managerial, administrative and professional occupations</w:t>
            </w:r>
          </w:p>
        </w:tc>
        <w:tc>
          <w:tcPr>
            <w:tcW w:w="1805" w:type="dxa"/>
            <w:tcMar/>
          </w:tcPr>
          <w:p w:rsidR="45ED05C8" w:rsidP="45ED05C8" w:rsidRDefault="45ED05C8" w14:paraId="3167DF1B" w14:textId="1DD73FB2">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49 (17.4)</w:t>
            </w:r>
          </w:p>
        </w:tc>
        <w:tc>
          <w:tcPr>
            <w:tcW w:w="1805" w:type="dxa"/>
            <w:tcMar/>
          </w:tcPr>
          <w:p w:rsidR="45ED05C8" w:rsidP="45ED05C8" w:rsidRDefault="45ED05C8" w14:paraId="13F42F46" w14:textId="23C7A558">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79 (25.7)</w:t>
            </w:r>
          </w:p>
        </w:tc>
        <w:tc>
          <w:tcPr>
            <w:tcW w:w="1805" w:type="dxa"/>
            <w:tcMar/>
          </w:tcPr>
          <w:p w:rsidR="45ED05C8" w:rsidP="45ED05C8" w:rsidRDefault="45ED05C8" w14:paraId="6203B305" w14:textId="09458FC7">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w:t>
            </w:r>
          </w:p>
        </w:tc>
      </w:tr>
      <w:tr w:rsidR="45ED05C8" w:rsidTr="45ED05C8" w14:paraId="3EF4D713">
        <w:tc>
          <w:tcPr>
            <w:tcW w:w="1805" w:type="dxa"/>
            <w:tcMar/>
          </w:tcPr>
          <w:p w:rsidR="45ED05C8" w:rsidRDefault="45ED05C8" w14:paraId="723CE9EA" w14:textId="361B3E94"/>
        </w:tc>
        <w:tc>
          <w:tcPr>
            <w:tcW w:w="1805" w:type="dxa"/>
            <w:tcMar/>
          </w:tcPr>
          <w:p w:rsidR="45ED05C8" w:rsidP="45ED05C8" w:rsidRDefault="45ED05C8" w14:paraId="6C19A694" w14:textId="5A729FCD">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Intermediate occupations</w:t>
            </w:r>
          </w:p>
        </w:tc>
        <w:tc>
          <w:tcPr>
            <w:tcW w:w="1805" w:type="dxa"/>
            <w:tcMar/>
          </w:tcPr>
          <w:p w:rsidR="45ED05C8" w:rsidP="45ED05C8" w:rsidRDefault="45ED05C8" w14:paraId="350E1494" w14:textId="5F985E71">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71 (25.2)</w:t>
            </w:r>
          </w:p>
        </w:tc>
        <w:tc>
          <w:tcPr>
            <w:tcW w:w="1805" w:type="dxa"/>
            <w:tcMar/>
          </w:tcPr>
          <w:p w:rsidR="45ED05C8" w:rsidP="45ED05C8" w:rsidRDefault="45ED05C8" w14:paraId="71C85417" w14:textId="48489C17">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86 (27.9)</w:t>
            </w:r>
          </w:p>
        </w:tc>
        <w:tc>
          <w:tcPr>
            <w:tcW w:w="1805" w:type="dxa"/>
            <w:tcMar/>
          </w:tcPr>
          <w:p w:rsidR="45ED05C8" w:rsidP="45ED05C8" w:rsidRDefault="45ED05C8" w14:paraId="43B2485B" w14:textId="5F729231">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1.33 (0.83, 2.14)</w:t>
            </w:r>
          </w:p>
        </w:tc>
      </w:tr>
      <w:tr w:rsidR="45ED05C8" w:rsidTr="45ED05C8" w14:paraId="346313FC">
        <w:tc>
          <w:tcPr>
            <w:tcW w:w="1805" w:type="dxa"/>
            <w:tcMar/>
          </w:tcPr>
          <w:p w:rsidR="45ED05C8" w:rsidRDefault="45ED05C8" w14:paraId="34A9D3FF" w14:textId="592116D3"/>
        </w:tc>
        <w:tc>
          <w:tcPr>
            <w:tcW w:w="1805" w:type="dxa"/>
            <w:tcMar/>
          </w:tcPr>
          <w:p w:rsidR="45ED05C8" w:rsidP="45ED05C8" w:rsidRDefault="45ED05C8" w14:paraId="373C3898" w14:textId="25010A16">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Routine and manual occupations</w:t>
            </w:r>
          </w:p>
        </w:tc>
        <w:tc>
          <w:tcPr>
            <w:tcW w:w="1805" w:type="dxa"/>
            <w:tcMar/>
          </w:tcPr>
          <w:p w:rsidR="45ED05C8" w:rsidP="45ED05C8" w:rsidRDefault="45ED05C8" w14:paraId="1A7A1CAA" w14:textId="48EFD5FD">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142 (50.4)</w:t>
            </w:r>
          </w:p>
        </w:tc>
        <w:tc>
          <w:tcPr>
            <w:tcW w:w="1805" w:type="dxa"/>
            <w:tcMar/>
          </w:tcPr>
          <w:p w:rsidR="45ED05C8" w:rsidP="45ED05C8" w:rsidRDefault="45ED05C8" w14:paraId="194A7194" w14:textId="269F792C">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140 (45.5)</w:t>
            </w:r>
          </w:p>
        </w:tc>
        <w:tc>
          <w:tcPr>
            <w:tcW w:w="1805" w:type="dxa"/>
            <w:tcMar/>
          </w:tcPr>
          <w:p w:rsidR="45ED05C8" w:rsidP="45ED05C8" w:rsidRDefault="45ED05C8" w14:paraId="2BDBFF18" w14:textId="61BC9F90">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u w:val="single"/>
                <w:lang w:val="en-US"/>
              </w:rPr>
              <w:t>1.64 (1.07, 2.5)</w:t>
            </w:r>
          </w:p>
        </w:tc>
      </w:tr>
      <w:tr w:rsidR="45ED05C8" w:rsidTr="45ED05C8" w14:paraId="39BB1766">
        <w:tc>
          <w:tcPr>
            <w:tcW w:w="1805" w:type="dxa"/>
            <w:tcMar/>
          </w:tcPr>
          <w:p w:rsidR="45ED05C8" w:rsidRDefault="45ED05C8" w14:paraId="1154E067" w14:textId="3BF73CD6"/>
        </w:tc>
        <w:tc>
          <w:tcPr>
            <w:tcW w:w="1805" w:type="dxa"/>
            <w:tcMar/>
          </w:tcPr>
          <w:p w:rsidR="45ED05C8" w:rsidP="45ED05C8" w:rsidRDefault="45ED05C8" w14:paraId="5F1EFCB8" w14:textId="11BAA752">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Never worked and long-term unemployed</w:t>
            </w:r>
          </w:p>
        </w:tc>
        <w:tc>
          <w:tcPr>
            <w:tcW w:w="1805" w:type="dxa"/>
            <w:tcMar/>
          </w:tcPr>
          <w:p w:rsidR="45ED05C8" w:rsidP="45ED05C8" w:rsidRDefault="45ED05C8" w14:paraId="4DA9920C" w14:textId="078B8847">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20 (7.1)</w:t>
            </w:r>
          </w:p>
        </w:tc>
        <w:tc>
          <w:tcPr>
            <w:tcW w:w="1805" w:type="dxa"/>
            <w:tcMar/>
          </w:tcPr>
          <w:p w:rsidR="45ED05C8" w:rsidP="45ED05C8" w:rsidRDefault="45ED05C8" w14:paraId="08A1BEDC" w14:textId="0BE15A98">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3 (1.0)</w:t>
            </w:r>
          </w:p>
        </w:tc>
        <w:tc>
          <w:tcPr>
            <w:tcW w:w="1805" w:type="dxa"/>
            <w:tcMar/>
          </w:tcPr>
          <w:p w:rsidR="45ED05C8" w:rsidP="45ED05C8" w:rsidRDefault="45ED05C8" w14:paraId="2DCADE02" w14:textId="38B900F7">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u w:val="single"/>
                <w:lang w:val="en-US"/>
              </w:rPr>
              <w:t>10.75 (3.03, 38.07)</w:t>
            </w:r>
          </w:p>
        </w:tc>
      </w:tr>
      <w:tr w:rsidR="45ED05C8" w:rsidTr="45ED05C8" w14:paraId="6D9E98C0">
        <w:tc>
          <w:tcPr>
            <w:tcW w:w="1805" w:type="dxa"/>
            <w:tcMar/>
          </w:tcPr>
          <w:p w:rsidR="45ED05C8" w:rsidP="45ED05C8" w:rsidRDefault="45ED05C8" w14:paraId="52D25208" w14:textId="10861C49">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Smoking status (n=605)</w:t>
            </w:r>
          </w:p>
        </w:tc>
        <w:tc>
          <w:tcPr>
            <w:tcW w:w="1805" w:type="dxa"/>
            <w:tcMar/>
          </w:tcPr>
          <w:p w:rsidR="45ED05C8" w:rsidP="45ED05C8" w:rsidRDefault="45ED05C8" w14:paraId="23463A78" w14:textId="1CF0BFCA">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Never</w:t>
            </w:r>
          </w:p>
        </w:tc>
        <w:tc>
          <w:tcPr>
            <w:tcW w:w="1805" w:type="dxa"/>
            <w:tcMar/>
          </w:tcPr>
          <w:p w:rsidR="45ED05C8" w:rsidP="45ED05C8" w:rsidRDefault="45ED05C8" w14:paraId="61143199" w14:textId="09A06B85">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99 (33.9)</w:t>
            </w:r>
          </w:p>
        </w:tc>
        <w:tc>
          <w:tcPr>
            <w:tcW w:w="1805" w:type="dxa"/>
            <w:tcMar/>
          </w:tcPr>
          <w:p w:rsidR="45ED05C8" w:rsidP="45ED05C8" w:rsidRDefault="45ED05C8" w14:paraId="05BDB5EB" w14:textId="655AC513">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127 (40.6)</w:t>
            </w:r>
          </w:p>
        </w:tc>
        <w:tc>
          <w:tcPr>
            <w:tcW w:w="1805" w:type="dxa"/>
            <w:tcMar/>
          </w:tcPr>
          <w:p w:rsidR="45ED05C8" w:rsidP="45ED05C8" w:rsidRDefault="45ED05C8" w14:paraId="3C7F1D41" w14:textId="430D0BC5">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w:t>
            </w:r>
          </w:p>
        </w:tc>
      </w:tr>
      <w:tr w:rsidR="45ED05C8" w:rsidTr="45ED05C8" w14:paraId="5801B118">
        <w:tc>
          <w:tcPr>
            <w:tcW w:w="1805" w:type="dxa"/>
            <w:tcMar/>
          </w:tcPr>
          <w:p w:rsidR="45ED05C8" w:rsidRDefault="45ED05C8" w14:paraId="48BFE07F" w14:textId="5E07C5C3"/>
        </w:tc>
        <w:tc>
          <w:tcPr>
            <w:tcW w:w="1805" w:type="dxa"/>
            <w:tcMar/>
          </w:tcPr>
          <w:p w:rsidR="45ED05C8" w:rsidP="45ED05C8" w:rsidRDefault="45ED05C8" w14:paraId="0EB460C2" w14:textId="4A64982A">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Ex-smoker</w:t>
            </w:r>
          </w:p>
        </w:tc>
        <w:tc>
          <w:tcPr>
            <w:tcW w:w="1805" w:type="dxa"/>
            <w:tcMar/>
          </w:tcPr>
          <w:p w:rsidR="45ED05C8" w:rsidP="45ED05C8" w:rsidRDefault="45ED05C8" w14:paraId="7C1F4F9F" w14:textId="786E1FD0">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80 (27.4)</w:t>
            </w:r>
          </w:p>
        </w:tc>
        <w:tc>
          <w:tcPr>
            <w:tcW w:w="1805" w:type="dxa"/>
            <w:tcMar/>
          </w:tcPr>
          <w:p w:rsidR="45ED05C8" w:rsidP="45ED05C8" w:rsidRDefault="45ED05C8" w14:paraId="2A414C9F" w14:textId="6BE787B2">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105 (33.6)</w:t>
            </w:r>
          </w:p>
        </w:tc>
        <w:tc>
          <w:tcPr>
            <w:tcW w:w="1805" w:type="dxa"/>
            <w:tcMar/>
          </w:tcPr>
          <w:p w:rsidR="45ED05C8" w:rsidP="45ED05C8" w:rsidRDefault="45ED05C8" w14:paraId="144DD81F" w14:textId="6DEDEE45">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0.98 (0.66, 1.45)</w:t>
            </w:r>
          </w:p>
        </w:tc>
      </w:tr>
      <w:tr w:rsidR="45ED05C8" w:rsidTr="45ED05C8" w14:paraId="0B372B7E">
        <w:tc>
          <w:tcPr>
            <w:tcW w:w="1805" w:type="dxa"/>
            <w:tcMar/>
          </w:tcPr>
          <w:p w:rsidR="45ED05C8" w:rsidRDefault="45ED05C8" w14:paraId="5A5DFE75" w14:textId="0F84F586"/>
        </w:tc>
        <w:tc>
          <w:tcPr>
            <w:tcW w:w="1805" w:type="dxa"/>
            <w:tcMar/>
          </w:tcPr>
          <w:p w:rsidR="45ED05C8" w:rsidP="45ED05C8" w:rsidRDefault="45ED05C8" w14:paraId="571ED1F5" w14:textId="4074905C">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Current</w:t>
            </w:r>
          </w:p>
        </w:tc>
        <w:tc>
          <w:tcPr>
            <w:tcW w:w="1805" w:type="dxa"/>
            <w:tcMar/>
          </w:tcPr>
          <w:p w:rsidR="45ED05C8" w:rsidP="45ED05C8" w:rsidRDefault="45ED05C8" w14:paraId="24333E7E" w14:textId="0B432C5C">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113 (38.7)</w:t>
            </w:r>
          </w:p>
        </w:tc>
        <w:tc>
          <w:tcPr>
            <w:tcW w:w="1805" w:type="dxa"/>
            <w:tcMar/>
          </w:tcPr>
          <w:p w:rsidR="45ED05C8" w:rsidP="45ED05C8" w:rsidRDefault="45ED05C8" w14:paraId="1022BBC1" w14:textId="77920E01">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81 (25.9)</w:t>
            </w:r>
          </w:p>
        </w:tc>
        <w:tc>
          <w:tcPr>
            <w:tcW w:w="1805" w:type="dxa"/>
            <w:tcMar/>
          </w:tcPr>
          <w:p w:rsidR="45ED05C8" w:rsidP="45ED05C8" w:rsidRDefault="45ED05C8" w14:paraId="50951D14" w14:textId="6EB5C636">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u w:val="single"/>
                <w:lang w:val="en-US"/>
              </w:rPr>
              <w:t>1.79 (1.21, 2.64)</w:t>
            </w:r>
          </w:p>
        </w:tc>
      </w:tr>
      <w:tr w:rsidR="45ED05C8" w:rsidTr="45ED05C8" w14:paraId="6EB2857B">
        <w:tc>
          <w:tcPr>
            <w:tcW w:w="1805" w:type="dxa"/>
            <w:tcMar/>
          </w:tcPr>
          <w:p w:rsidR="45ED05C8" w:rsidP="45ED05C8" w:rsidRDefault="45ED05C8" w14:paraId="7E1EADD0" w14:textId="5AE548C6">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BMI (kg/m</w:t>
            </w:r>
            <w:r w:rsidRPr="45ED05C8" w:rsidR="45ED05C8">
              <w:rPr>
                <w:rFonts w:ascii="Calibri" w:hAnsi="Calibri" w:eastAsia="Calibri" w:cs="Calibri"/>
                <w:b w:val="0"/>
                <w:bCs w:val="0"/>
                <w:i w:val="0"/>
                <w:iCs w:val="0"/>
                <w:color w:val="000000" w:themeColor="text1" w:themeTint="FF" w:themeShade="FF"/>
                <w:sz w:val="24"/>
                <w:szCs w:val="24"/>
                <w:vertAlign w:val="superscript"/>
                <w:lang w:val="en-US"/>
              </w:rPr>
              <w:t>2</w:t>
            </w:r>
            <w:r w:rsidRPr="45ED05C8" w:rsidR="45ED05C8">
              <w:rPr>
                <w:rFonts w:ascii="Calibri" w:hAnsi="Calibri" w:eastAsia="Calibri" w:cs="Calibri"/>
                <w:b w:val="0"/>
                <w:bCs w:val="0"/>
                <w:i w:val="0"/>
                <w:iCs w:val="0"/>
                <w:color w:val="000000" w:themeColor="text1" w:themeTint="FF" w:themeShade="FF"/>
                <w:sz w:val="24"/>
                <w:szCs w:val="24"/>
                <w:lang w:val="en-US"/>
              </w:rPr>
              <w:t>),</w:t>
            </w:r>
            <w:r w:rsidRPr="45ED05C8" w:rsidR="45ED05C8">
              <w:rPr>
                <w:rFonts w:ascii="Calibri" w:hAnsi="Calibri" w:eastAsia="Calibri" w:cs="Calibri"/>
                <w:b w:val="0"/>
                <w:bCs w:val="0"/>
                <w:i w:val="0"/>
                <w:iCs w:val="0"/>
                <w:color w:val="000000" w:themeColor="text1" w:themeTint="FF" w:themeShade="FF"/>
                <w:sz w:val="24"/>
                <w:szCs w:val="24"/>
                <w:vertAlign w:val="superscript"/>
                <w:lang w:val="en-US"/>
              </w:rPr>
              <w:t xml:space="preserve"> </w:t>
            </w:r>
            <w:r w:rsidRPr="45ED05C8" w:rsidR="45ED05C8">
              <w:rPr>
                <w:rFonts w:ascii="Calibri" w:hAnsi="Calibri" w:eastAsia="Calibri" w:cs="Calibri"/>
                <w:b w:val="0"/>
                <w:bCs w:val="0"/>
                <w:i w:val="0"/>
                <w:iCs w:val="0"/>
                <w:color w:val="000000" w:themeColor="text1" w:themeTint="FF" w:themeShade="FF"/>
                <w:sz w:val="24"/>
                <w:szCs w:val="24"/>
                <w:lang w:val="en-US"/>
              </w:rPr>
              <w:t>mean (SD) (n=598)</w:t>
            </w:r>
          </w:p>
        </w:tc>
        <w:tc>
          <w:tcPr>
            <w:tcW w:w="1805" w:type="dxa"/>
            <w:tcMar/>
          </w:tcPr>
          <w:p w:rsidR="45ED05C8" w:rsidRDefault="45ED05C8" w14:paraId="321681C9" w14:textId="1E98F51B"/>
        </w:tc>
        <w:tc>
          <w:tcPr>
            <w:tcW w:w="1805" w:type="dxa"/>
            <w:tcMar/>
          </w:tcPr>
          <w:p w:rsidR="45ED05C8" w:rsidP="45ED05C8" w:rsidRDefault="45ED05C8" w14:paraId="015999DA" w14:textId="54050F7C">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29.7 (6.1)</w:t>
            </w:r>
          </w:p>
        </w:tc>
        <w:tc>
          <w:tcPr>
            <w:tcW w:w="1805" w:type="dxa"/>
            <w:tcMar/>
          </w:tcPr>
          <w:p w:rsidR="45ED05C8" w:rsidP="45ED05C8" w:rsidRDefault="45ED05C8" w14:paraId="345DEF47" w14:textId="0EB7C608">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29.5 (5.6)</w:t>
            </w:r>
          </w:p>
        </w:tc>
        <w:tc>
          <w:tcPr>
            <w:tcW w:w="1805" w:type="dxa"/>
            <w:tcMar/>
          </w:tcPr>
          <w:p w:rsidR="45ED05C8" w:rsidP="45ED05C8" w:rsidRDefault="45ED05C8" w14:paraId="77C00AE9" w14:textId="5495B8F2">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1.01 (0.98, 1.03)</w:t>
            </w:r>
          </w:p>
        </w:tc>
      </w:tr>
      <w:tr w:rsidR="45ED05C8" w:rsidTr="45ED05C8" w14:paraId="473E7545">
        <w:tc>
          <w:tcPr>
            <w:tcW w:w="1805" w:type="dxa"/>
            <w:tcMar/>
          </w:tcPr>
          <w:p w:rsidR="45ED05C8" w:rsidP="45ED05C8" w:rsidRDefault="45ED05C8" w14:paraId="6F6619B1" w14:textId="589C13CB">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1"/>
                <w:bCs w:val="1"/>
                <w:i w:val="0"/>
                <w:iCs w:val="0"/>
                <w:color w:val="000000" w:themeColor="text1" w:themeTint="FF" w:themeShade="FF"/>
                <w:sz w:val="24"/>
                <w:szCs w:val="24"/>
                <w:lang w:val="en-US"/>
              </w:rPr>
              <w:t>Health status</w:t>
            </w:r>
          </w:p>
        </w:tc>
        <w:tc>
          <w:tcPr>
            <w:tcW w:w="1805" w:type="dxa"/>
            <w:tcMar/>
          </w:tcPr>
          <w:p w:rsidR="45ED05C8" w:rsidP="45ED05C8" w:rsidRDefault="45ED05C8" w14:paraId="712CFF93" w14:textId="31D36CF4">
            <w:pPr>
              <w:spacing w:line="480" w:lineRule="auto"/>
              <w:rPr>
                <w:rFonts w:ascii="Calibri" w:hAnsi="Calibri" w:eastAsia="Calibri" w:cs="Calibri"/>
                <w:b w:val="0"/>
                <w:bCs w:val="0"/>
                <w:i w:val="0"/>
                <w:iCs w:val="0"/>
                <w:color w:val="000000" w:themeColor="text1" w:themeTint="FF" w:themeShade="FF"/>
                <w:sz w:val="24"/>
                <w:szCs w:val="24"/>
              </w:rPr>
            </w:pPr>
          </w:p>
        </w:tc>
        <w:tc>
          <w:tcPr>
            <w:tcW w:w="1805" w:type="dxa"/>
            <w:tcMar/>
          </w:tcPr>
          <w:p w:rsidR="45ED05C8" w:rsidP="45ED05C8" w:rsidRDefault="45ED05C8" w14:paraId="6BEF34E9" w14:textId="49340150">
            <w:pPr>
              <w:spacing w:line="480" w:lineRule="auto"/>
              <w:jc w:val="center"/>
              <w:rPr>
                <w:rFonts w:ascii="Calibri" w:hAnsi="Calibri" w:eastAsia="Calibri" w:cs="Calibri"/>
                <w:b w:val="0"/>
                <w:bCs w:val="0"/>
                <w:i w:val="0"/>
                <w:iCs w:val="0"/>
                <w:color w:val="000000" w:themeColor="text1" w:themeTint="FF" w:themeShade="FF"/>
                <w:sz w:val="24"/>
                <w:szCs w:val="24"/>
              </w:rPr>
            </w:pPr>
          </w:p>
        </w:tc>
        <w:tc>
          <w:tcPr>
            <w:tcW w:w="1805" w:type="dxa"/>
            <w:tcMar/>
          </w:tcPr>
          <w:p w:rsidR="45ED05C8" w:rsidP="45ED05C8" w:rsidRDefault="45ED05C8" w14:paraId="687BD1E9" w14:textId="3939DFEB">
            <w:pPr>
              <w:spacing w:line="480" w:lineRule="auto"/>
              <w:jc w:val="center"/>
              <w:rPr>
                <w:rFonts w:ascii="Calibri" w:hAnsi="Calibri" w:eastAsia="Calibri" w:cs="Calibri"/>
                <w:b w:val="0"/>
                <w:bCs w:val="0"/>
                <w:i w:val="0"/>
                <w:iCs w:val="0"/>
                <w:color w:val="000000" w:themeColor="text1" w:themeTint="FF" w:themeShade="FF"/>
                <w:sz w:val="24"/>
                <w:szCs w:val="24"/>
              </w:rPr>
            </w:pPr>
          </w:p>
        </w:tc>
        <w:tc>
          <w:tcPr>
            <w:tcW w:w="1805" w:type="dxa"/>
            <w:tcMar/>
          </w:tcPr>
          <w:p w:rsidR="45ED05C8" w:rsidP="45ED05C8" w:rsidRDefault="45ED05C8" w14:paraId="481924EB" w14:textId="64E91858">
            <w:pPr>
              <w:spacing w:line="480" w:lineRule="auto"/>
              <w:jc w:val="center"/>
              <w:rPr>
                <w:rFonts w:ascii="Calibri" w:hAnsi="Calibri" w:eastAsia="Calibri" w:cs="Calibri"/>
                <w:b w:val="0"/>
                <w:bCs w:val="0"/>
                <w:i w:val="0"/>
                <w:iCs w:val="0"/>
                <w:color w:val="000000" w:themeColor="text1" w:themeTint="FF" w:themeShade="FF"/>
                <w:sz w:val="24"/>
                <w:szCs w:val="24"/>
              </w:rPr>
            </w:pPr>
          </w:p>
        </w:tc>
      </w:tr>
      <w:tr w:rsidR="45ED05C8" w:rsidTr="45ED05C8" w14:paraId="3F94CF2C">
        <w:tc>
          <w:tcPr>
            <w:tcW w:w="1805" w:type="dxa"/>
            <w:tcMar/>
          </w:tcPr>
          <w:p w:rsidR="45ED05C8" w:rsidP="45ED05C8" w:rsidRDefault="45ED05C8" w14:paraId="72B2BC7E" w14:textId="1380FB5F">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Self-reported diabetes (n=606)</w:t>
            </w:r>
          </w:p>
        </w:tc>
        <w:tc>
          <w:tcPr>
            <w:tcW w:w="1805" w:type="dxa"/>
            <w:tcMar/>
          </w:tcPr>
          <w:p w:rsidR="45ED05C8" w:rsidRDefault="45ED05C8" w14:paraId="7C041132" w14:textId="2EFB00C8"/>
        </w:tc>
        <w:tc>
          <w:tcPr>
            <w:tcW w:w="1805" w:type="dxa"/>
            <w:tcMar/>
          </w:tcPr>
          <w:p w:rsidR="45ED05C8" w:rsidP="45ED05C8" w:rsidRDefault="45ED05C8" w14:paraId="3EA7E6C8" w14:textId="255DBDD8">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25 (8.5)</w:t>
            </w:r>
          </w:p>
        </w:tc>
        <w:tc>
          <w:tcPr>
            <w:tcW w:w="1805" w:type="dxa"/>
            <w:tcMar/>
          </w:tcPr>
          <w:p w:rsidR="45ED05C8" w:rsidP="45ED05C8" w:rsidRDefault="45ED05C8" w14:paraId="116E108A" w14:textId="5EA8D6A4">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22 (7.0)</w:t>
            </w:r>
          </w:p>
        </w:tc>
        <w:tc>
          <w:tcPr>
            <w:tcW w:w="1805" w:type="dxa"/>
            <w:tcMar/>
          </w:tcPr>
          <w:p w:rsidR="45ED05C8" w:rsidP="45ED05C8" w:rsidRDefault="45ED05C8" w14:paraId="1507D7AD" w14:textId="50BD503A">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1.23 (0.68, 2.24)</w:t>
            </w:r>
          </w:p>
        </w:tc>
      </w:tr>
      <w:tr w:rsidR="45ED05C8" w:rsidTr="45ED05C8" w14:paraId="40733172">
        <w:tc>
          <w:tcPr>
            <w:tcW w:w="1805" w:type="dxa"/>
            <w:tcMar/>
          </w:tcPr>
          <w:p w:rsidR="45ED05C8" w:rsidP="45ED05C8" w:rsidRDefault="45ED05C8" w14:paraId="5AE21B89" w14:textId="32948BF1">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Self-reported general health (n=605)</w:t>
            </w:r>
          </w:p>
        </w:tc>
        <w:tc>
          <w:tcPr>
            <w:tcW w:w="1805" w:type="dxa"/>
            <w:tcMar/>
          </w:tcPr>
          <w:p w:rsidR="45ED05C8" w:rsidP="45ED05C8" w:rsidRDefault="45ED05C8" w14:paraId="6F642C3E" w14:textId="72B3EDC8">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Excellent/ very good</w:t>
            </w:r>
          </w:p>
        </w:tc>
        <w:tc>
          <w:tcPr>
            <w:tcW w:w="1805" w:type="dxa"/>
            <w:tcMar/>
          </w:tcPr>
          <w:p w:rsidR="45ED05C8" w:rsidP="45ED05C8" w:rsidRDefault="45ED05C8" w14:paraId="15A90C65" w14:textId="151DD7E3">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52 (17.8)</w:t>
            </w:r>
          </w:p>
        </w:tc>
        <w:tc>
          <w:tcPr>
            <w:tcW w:w="1805" w:type="dxa"/>
            <w:tcMar/>
          </w:tcPr>
          <w:p w:rsidR="45ED05C8" w:rsidP="45ED05C8" w:rsidRDefault="45ED05C8" w14:paraId="6A485BB9" w14:textId="2427467D">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93 (29.7)</w:t>
            </w:r>
          </w:p>
        </w:tc>
        <w:tc>
          <w:tcPr>
            <w:tcW w:w="1805" w:type="dxa"/>
            <w:tcMar/>
          </w:tcPr>
          <w:p w:rsidR="45ED05C8" w:rsidP="45ED05C8" w:rsidRDefault="45ED05C8" w14:paraId="2D8F34C2" w14:textId="33F628CA">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w:t>
            </w:r>
          </w:p>
        </w:tc>
      </w:tr>
      <w:tr w:rsidR="45ED05C8" w:rsidTr="45ED05C8" w14:paraId="3BF65488">
        <w:tc>
          <w:tcPr>
            <w:tcW w:w="1805" w:type="dxa"/>
            <w:tcMar/>
          </w:tcPr>
          <w:p w:rsidR="45ED05C8" w:rsidRDefault="45ED05C8" w14:paraId="20073EC2" w14:textId="652B7C61"/>
        </w:tc>
        <w:tc>
          <w:tcPr>
            <w:tcW w:w="1805" w:type="dxa"/>
            <w:tcMar/>
          </w:tcPr>
          <w:p w:rsidR="45ED05C8" w:rsidP="45ED05C8" w:rsidRDefault="45ED05C8" w14:paraId="33BFC10E" w14:textId="61C8614C">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Good</w:t>
            </w:r>
          </w:p>
        </w:tc>
        <w:tc>
          <w:tcPr>
            <w:tcW w:w="1805" w:type="dxa"/>
            <w:tcMar/>
          </w:tcPr>
          <w:p w:rsidR="45ED05C8" w:rsidP="45ED05C8" w:rsidRDefault="45ED05C8" w14:paraId="2F7F6391" w14:textId="3CD37E3A">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93 (31.9)</w:t>
            </w:r>
          </w:p>
        </w:tc>
        <w:tc>
          <w:tcPr>
            <w:tcW w:w="1805" w:type="dxa"/>
            <w:tcMar/>
          </w:tcPr>
          <w:p w:rsidR="45ED05C8" w:rsidP="45ED05C8" w:rsidRDefault="45ED05C8" w14:paraId="373F07D5" w14:textId="4E6DC7BC">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78 (24.9)</w:t>
            </w:r>
          </w:p>
        </w:tc>
        <w:tc>
          <w:tcPr>
            <w:tcW w:w="1805" w:type="dxa"/>
            <w:tcMar/>
          </w:tcPr>
          <w:p w:rsidR="45ED05C8" w:rsidP="45ED05C8" w:rsidRDefault="45ED05C8" w14:paraId="43C03437" w14:textId="035668AE">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u w:val="single"/>
                <w:lang w:val="en-US"/>
              </w:rPr>
              <w:t>2.13 (1.35, 3.36)</w:t>
            </w:r>
          </w:p>
        </w:tc>
      </w:tr>
      <w:tr w:rsidR="45ED05C8" w:rsidTr="45ED05C8" w14:paraId="2BD99DA1">
        <w:tc>
          <w:tcPr>
            <w:tcW w:w="1805" w:type="dxa"/>
            <w:tcMar/>
          </w:tcPr>
          <w:p w:rsidR="45ED05C8" w:rsidRDefault="45ED05C8" w14:paraId="6A7E913C" w14:textId="40DE8EDB"/>
        </w:tc>
        <w:tc>
          <w:tcPr>
            <w:tcW w:w="1805" w:type="dxa"/>
            <w:tcMar/>
          </w:tcPr>
          <w:p w:rsidR="45ED05C8" w:rsidP="45ED05C8" w:rsidRDefault="45ED05C8" w14:paraId="22CB05D9" w14:textId="34B47C00">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Fair</w:t>
            </w:r>
          </w:p>
        </w:tc>
        <w:tc>
          <w:tcPr>
            <w:tcW w:w="1805" w:type="dxa"/>
            <w:tcMar/>
          </w:tcPr>
          <w:p w:rsidR="45ED05C8" w:rsidP="45ED05C8" w:rsidRDefault="45ED05C8" w14:paraId="60D62FD6" w14:textId="64F2D8C5">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116 (39.7)</w:t>
            </w:r>
          </w:p>
        </w:tc>
        <w:tc>
          <w:tcPr>
            <w:tcW w:w="1805" w:type="dxa"/>
            <w:tcMar/>
          </w:tcPr>
          <w:p w:rsidR="45ED05C8" w:rsidP="45ED05C8" w:rsidRDefault="45ED05C8" w14:paraId="2E455739" w14:textId="5A62D774">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123 (39.3)</w:t>
            </w:r>
          </w:p>
        </w:tc>
        <w:tc>
          <w:tcPr>
            <w:tcW w:w="1805" w:type="dxa"/>
            <w:tcMar/>
          </w:tcPr>
          <w:p w:rsidR="45ED05C8" w:rsidP="45ED05C8" w:rsidRDefault="45ED05C8" w14:paraId="41253449" w14:textId="0D5CE98E">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u w:val="single"/>
                <w:lang w:val="en-US"/>
              </w:rPr>
              <w:t>1.69 (1.10, 2.58)</w:t>
            </w:r>
          </w:p>
        </w:tc>
      </w:tr>
      <w:tr w:rsidR="45ED05C8" w:rsidTr="45ED05C8" w14:paraId="30FBCF42">
        <w:tc>
          <w:tcPr>
            <w:tcW w:w="1805" w:type="dxa"/>
            <w:tcMar/>
          </w:tcPr>
          <w:p w:rsidR="45ED05C8" w:rsidRDefault="45ED05C8" w14:paraId="295A0987" w14:textId="4F370E9F"/>
        </w:tc>
        <w:tc>
          <w:tcPr>
            <w:tcW w:w="1805" w:type="dxa"/>
            <w:tcMar/>
          </w:tcPr>
          <w:p w:rsidR="45ED05C8" w:rsidP="45ED05C8" w:rsidRDefault="45ED05C8" w14:paraId="0275D601" w14:textId="627C3CA9">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Poor</w:t>
            </w:r>
          </w:p>
        </w:tc>
        <w:tc>
          <w:tcPr>
            <w:tcW w:w="1805" w:type="dxa"/>
            <w:tcMar/>
          </w:tcPr>
          <w:p w:rsidR="45ED05C8" w:rsidP="45ED05C8" w:rsidRDefault="45ED05C8" w14:paraId="7D7E21A5" w14:textId="0ED18314">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31 (10.6)</w:t>
            </w:r>
          </w:p>
        </w:tc>
        <w:tc>
          <w:tcPr>
            <w:tcW w:w="1805" w:type="dxa"/>
            <w:tcMar/>
          </w:tcPr>
          <w:p w:rsidR="45ED05C8" w:rsidP="45ED05C8" w:rsidRDefault="45ED05C8" w14:paraId="54013C56" w14:textId="21E09D4B">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19 (6.1)</w:t>
            </w:r>
          </w:p>
        </w:tc>
        <w:tc>
          <w:tcPr>
            <w:tcW w:w="1805" w:type="dxa"/>
            <w:tcMar/>
          </w:tcPr>
          <w:p w:rsidR="45ED05C8" w:rsidP="45ED05C8" w:rsidRDefault="45ED05C8" w14:paraId="59E716A1" w14:textId="7E20BC6B">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u w:val="single"/>
                <w:lang w:val="en-US"/>
              </w:rPr>
              <w:t>2.92 (1.50, 5.67)</w:t>
            </w:r>
          </w:p>
        </w:tc>
      </w:tr>
      <w:tr w:rsidR="45ED05C8" w:rsidTr="45ED05C8" w14:paraId="218DF276">
        <w:tc>
          <w:tcPr>
            <w:tcW w:w="1805" w:type="dxa"/>
            <w:tcMar/>
          </w:tcPr>
          <w:p w:rsidR="45ED05C8" w:rsidP="45ED05C8" w:rsidRDefault="45ED05C8" w14:paraId="1B02C302" w14:textId="53A4A618">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Fatigue (n=593)</w:t>
            </w:r>
          </w:p>
        </w:tc>
        <w:tc>
          <w:tcPr>
            <w:tcW w:w="1805" w:type="dxa"/>
            <w:tcMar/>
          </w:tcPr>
          <w:p w:rsidR="45ED05C8" w:rsidP="45ED05C8" w:rsidRDefault="45ED05C8" w14:paraId="30853938" w14:textId="77840331">
            <w:pPr>
              <w:spacing w:line="480" w:lineRule="auto"/>
              <w:rPr>
                <w:rFonts w:ascii="Calibri" w:hAnsi="Calibri" w:eastAsia="Calibri" w:cs="Calibri"/>
                <w:b w:val="0"/>
                <w:bCs w:val="0"/>
                <w:i w:val="0"/>
                <w:iCs w:val="0"/>
                <w:color w:val="000000" w:themeColor="text1" w:themeTint="FF" w:themeShade="FF"/>
                <w:sz w:val="24"/>
                <w:szCs w:val="24"/>
              </w:rPr>
            </w:pPr>
          </w:p>
        </w:tc>
        <w:tc>
          <w:tcPr>
            <w:tcW w:w="1805" w:type="dxa"/>
            <w:tcMar/>
          </w:tcPr>
          <w:p w:rsidR="45ED05C8" w:rsidP="45ED05C8" w:rsidRDefault="45ED05C8" w14:paraId="4891C982" w14:textId="7F661A43">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214 (74.3)</w:t>
            </w:r>
          </w:p>
        </w:tc>
        <w:tc>
          <w:tcPr>
            <w:tcW w:w="1805" w:type="dxa"/>
            <w:tcMar/>
          </w:tcPr>
          <w:p w:rsidR="45ED05C8" w:rsidP="45ED05C8" w:rsidRDefault="45ED05C8" w14:paraId="0A47CE94" w14:textId="78D2E45F">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198 (64.9)</w:t>
            </w:r>
          </w:p>
        </w:tc>
        <w:tc>
          <w:tcPr>
            <w:tcW w:w="1805" w:type="dxa"/>
            <w:tcMar/>
          </w:tcPr>
          <w:p w:rsidR="45ED05C8" w:rsidP="45ED05C8" w:rsidRDefault="45ED05C8" w14:paraId="0B8CBD51" w14:textId="794E0B43">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u w:val="single"/>
                <w:lang w:val="en-US"/>
              </w:rPr>
              <w:t>1.56 (1.10, 2.23)</w:t>
            </w:r>
          </w:p>
        </w:tc>
      </w:tr>
      <w:tr w:rsidR="45ED05C8" w:rsidTr="45ED05C8" w14:paraId="3A866958">
        <w:tc>
          <w:tcPr>
            <w:tcW w:w="1805" w:type="dxa"/>
            <w:tcMar/>
          </w:tcPr>
          <w:p w:rsidR="45ED05C8" w:rsidP="45ED05C8" w:rsidRDefault="45ED05C8" w14:paraId="65ED4520" w14:textId="4424AEAA">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Sleep difficulties (n=601)</w:t>
            </w:r>
          </w:p>
        </w:tc>
        <w:tc>
          <w:tcPr>
            <w:tcW w:w="1805" w:type="dxa"/>
            <w:tcMar/>
          </w:tcPr>
          <w:p w:rsidR="45ED05C8" w:rsidRDefault="45ED05C8" w14:paraId="25F86B04" w14:textId="58890D36"/>
        </w:tc>
        <w:tc>
          <w:tcPr>
            <w:tcW w:w="1805" w:type="dxa"/>
            <w:tcMar/>
          </w:tcPr>
          <w:p w:rsidR="45ED05C8" w:rsidP="45ED05C8" w:rsidRDefault="45ED05C8" w14:paraId="3B9E130A" w14:textId="0109ACE5">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258 (88.4)</w:t>
            </w:r>
          </w:p>
        </w:tc>
        <w:tc>
          <w:tcPr>
            <w:tcW w:w="1805" w:type="dxa"/>
            <w:tcMar/>
          </w:tcPr>
          <w:p w:rsidR="45ED05C8" w:rsidP="45ED05C8" w:rsidRDefault="45ED05C8" w14:paraId="7CDD166E" w14:textId="0FE56404">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253 (81.9)</w:t>
            </w:r>
          </w:p>
        </w:tc>
        <w:tc>
          <w:tcPr>
            <w:tcW w:w="1805" w:type="dxa"/>
            <w:tcMar/>
          </w:tcPr>
          <w:p w:rsidR="45ED05C8" w:rsidP="45ED05C8" w:rsidRDefault="45ED05C8" w14:paraId="4B503FB1" w14:textId="786F3168">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u w:val="single"/>
                <w:lang w:val="en-US"/>
              </w:rPr>
              <w:t>1.68 (1.06, 2.66)</w:t>
            </w:r>
          </w:p>
        </w:tc>
      </w:tr>
      <w:tr w:rsidR="45ED05C8" w:rsidTr="45ED05C8" w14:paraId="0CA24030">
        <w:tc>
          <w:tcPr>
            <w:tcW w:w="1805" w:type="dxa"/>
            <w:tcMar/>
          </w:tcPr>
          <w:p w:rsidR="45ED05C8" w:rsidP="45ED05C8" w:rsidRDefault="45ED05C8" w14:paraId="32A30B15" w14:textId="0B6F1B94">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1"/>
                <w:bCs w:val="1"/>
                <w:i w:val="0"/>
                <w:iCs w:val="0"/>
                <w:color w:val="000000" w:themeColor="text1" w:themeTint="FF" w:themeShade="FF"/>
                <w:sz w:val="24"/>
                <w:szCs w:val="24"/>
                <w:lang w:val="en-US"/>
              </w:rPr>
              <w:t>Pain characteristics</w:t>
            </w:r>
          </w:p>
        </w:tc>
        <w:tc>
          <w:tcPr>
            <w:tcW w:w="1805" w:type="dxa"/>
            <w:tcMar/>
          </w:tcPr>
          <w:p w:rsidR="45ED05C8" w:rsidRDefault="45ED05C8" w14:paraId="24050D76" w14:textId="24DCD3CC"/>
        </w:tc>
        <w:tc>
          <w:tcPr>
            <w:tcW w:w="1805" w:type="dxa"/>
            <w:tcMar/>
          </w:tcPr>
          <w:p w:rsidR="45ED05C8" w:rsidRDefault="45ED05C8" w14:paraId="3B372653" w14:textId="127F4B3E"/>
        </w:tc>
        <w:tc>
          <w:tcPr>
            <w:tcW w:w="1805" w:type="dxa"/>
            <w:tcMar/>
          </w:tcPr>
          <w:p w:rsidR="45ED05C8" w:rsidP="45ED05C8" w:rsidRDefault="45ED05C8" w14:paraId="3BB50B2F" w14:textId="52368922">
            <w:pPr>
              <w:spacing w:line="480" w:lineRule="auto"/>
              <w:jc w:val="center"/>
              <w:rPr>
                <w:rFonts w:ascii="Calibri" w:hAnsi="Calibri" w:eastAsia="Calibri" w:cs="Calibri"/>
                <w:b w:val="0"/>
                <w:bCs w:val="0"/>
                <w:i w:val="0"/>
                <w:iCs w:val="0"/>
                <w:color w:val="000000" w:themeColor="text1" w:themeTint="FF" w:themeShade="FF"/>
                <w:sz w:val="24"/>
                <w:szCs w:val="24"/>
              </w:rPr>
            </w:pPr>
          </w:p>
        </w:tc>
        <w:tc>
          <w:tcPr>
            <w:tcW w:w="1805" w:type="dxa"/>
            <w:tcMar/>
          </w:tcPr>
          <w:p w:rsidR="45ED05C8" w:rsidP="45ED05C8" w:rsidRDefault="45ED05C8" w14:paraId="0DE4332A" w14:textId="77EF96F2">
            <w:pPr>
              <w:spacing w:line="480" w:lineRule="auto"/>
              <w:jc w:val="center"/>
              <w:rPr>
                <w:rFonts w:ascii="Calibri" w:hAnsi="Calibri" w:eastAsia="Calibri" w:cs="Calibri"/>
                <w:b w:val="0"/>
                <w:bCs w:val="0"/>
                <w:i w:val="0"/>
                <w:iCs w:val="0"/>
                <w:color w:val="000000" w:themeColor="text1" w:themeTint="FF" w:themeShade="FF"/>
                <w:sz w:val="24"/>
                <w:szCs w:val="24"/>
              </w:rPr>
            </w:pPr>
          </w:p>
        </w:tc>
      </w:tr>
      <w:tr w:rsidR="45ED05C8" w:rsidTr="45ED05C8" w14:paraId="1B322A5A">
        <w:tc>
          <w:tcPr>
            <w:tcW w:w="1805" w:type="dxa"/>
            <w:tcMar/>
          </w:tcPr>
          <w:p w:rsidR="45ED05C8" w:rsidP="45ED05C8" w:rsidRDefault="45ED05C8" w14:paraId="1A35644F" w14:textId="65FB2C22">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Back pain intensity (0-10), mean (SD) (n=600)</w:t>
            </w:r>
          </w:p>
        </w:tc>
        <w:tc>
          <w:tcPr>
            <w:tcW w:w="1805" w:type="dxa"/>
            <w:tcMar/>
          </w:tcPr>
          <w:p w:rsidR="45ED05C8" w:rsidRDefault="45ED05C8" w14:paraId="313C2673" w14:textId="73AFB696"/>
        </w:tc>
        <w:tc>
          <w:tcPr>
            <w:tcW w:w="1805" w:type="dxa"/>
            <w:tcMar/>
          </w:tcPr>
          <w:p w:rsidR="45ED05C8" w:rsidP="45ED05C8" w:rsidRDefault="45ED05C8" w14:paraId="38652867" w14:textId="13E4709B">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5.5 (1.6)</w:t>
            </w:r>
          </w:p>
        </w:tc>
        <w:tc>
          <w:tcPr>
            <w:tcW w:w="1805" w:type="dxa"/>
            <w:tcMar/>
          </w:tcPr>
          <w:p w:rsidR="45ED05C8" w:rsidP="45ED05C8" w:rsidRDefault="45ED05C8" w14:paraId="54A4C998" w14:textId="12EE06C3">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5.1 (1.6)</w:t>
            </w:r>
          </w:p>
        </w:tc>
        <w:tc>
          <w:tcPr>
            <w:tcW w:w="1805" w:type="dxa"/>
            <w:tcMar/>
          </w:tcPr>
          <w:p w:rsidR="45ED05C8" w:rsidP="45ED05C8" w:rsidRDefault="45ED05C8" w14:paraId="77EA2AF8" w14:textId="5D09A90D">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u w:val="single"/>
                <w:lang w:val="en-US"/>
              </w:rPr>
              <w:t>1.15 (1.04, 1.27)</w:t>
            </w:r>
          </w:p>
        </w:tc>
      </w:tr>
      <w:tr w:rsidR="45ED05C8" w:rsidTr="45ED05C8" w14:paraId="451E04A5">
        <w:tc>
          <w:tcPr>
            <w:tcW w:w="1805" w:type="dxa"/>
            <w:tcMar/>
          </w:tcPr>
          <w:p w:rsidR="45ED05C8" w:rsidP="45ED05C8" w:rsidRDefault="45ED05C8" w14:paraId="37CDFC16" w14:textId="2A6B72F0">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Leg pain intensity (0-10) mean (SD), (n=578)</w:t>
            </w:r>
          </w:p>
        </w:tc>
        <w:tc>
          <w:tcPr>
            <w:tcW w:w="1805" w:type="dxa"/>
            <w:tcMar/>
          </w:tcPr>
          <w:p w:rsidR="45ED05C8" w:rsidRDefault="45ED05C8" w14:paraId="6DF02555" w14:textId="3D6BB606"/>
        </w:tc>
        <w:tc>
          <w:tcPr>
            <w:tcW w:w="1805" w:type="dxa"/>
            <w:tcMar/>
          </w:tcPr>
          <w:p w:rsidR="45ED05C8" w:rsidP="45ED05C8" w:rsidRDefault="45ED05C8" w14:paraId="7D668211" w14:textId="4A592DC6">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5.8 (2.3)</w:t>
            </w:r>
          </w:p>
        </w:tc>
        <w:tc>
          <w:tcPr>
            <w:tcW w:w="1805" w:type="dxa"/>
            <w:tcMar/>
          </w:tcPr>
          <w:p w:rsidR="45ED05C8" w:rsidP="45ED05C8" w:rsidRDefault="45ED05C8" w14:paraId="7370C274" w14:textId="1AA4F827">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4.7 (2.4)</w:t>
            </w:r>
          </w:p>
        </w:tc>
        <w:tc>
          <w:tcPr>
            <w:tcW w:w="1805" w:type="dxa"/>
            <w:tcMar/>
          </w:tcPr>
          <w:p w:rsidR="45ED05C8" w:rsidP="45ED05C8" w:rsidRDefault="45ED05C8" w14:paraId="3500CBBB" w14:textId="56D29AD2">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u w:val="single"/>
                <w:lang w:val="en-US"/>
              </w:rPr>
              <w:t>1.20 (1.12, 1.29)</w:t>
            </w:r>
          </w:p>
        </w:tc>
      </w:tr>
      <w:tr w:rsidR="45ED05C8" w:rsidTr="45ED05C8" w14:paraId="702E225C">
        <w:tc>
          <w:tcPr>
            <w:tcW w:w="1805" w:type="dxa"/>
            <w:tcMar/>
          </w:tcPr>
          <w:p w:rsidR="45ED05C8" w:rsidP="45ED05C8" w:rsidRDefault="45ED05C8" w14:paraId="22CDA31B" w14:textId="3C363466">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Constant pain symptoms (n=594)</w:t>
            </w:r>
          </w:p>
        </w:tc>
        <w:tc>
          <w:tcPr>
            <w:tcW w:w="1805" w:type="dxa"/>
            <w:tcMar/>
          </w:tcPr>
          <w:p w:rsidR="45ED05C8" w:rsidRDefault="45ED05C8" w14:paraId="099E26DF" w14:textId="6B04B3B4"/>
        </w:tc>
        <w:tc>
          <w:tcPr>
            <w:tcW w:w="1805" w:type="dxa"/>
            <w:tcMar/>
          </w:tcPr>
          <w:p w:rsidR="45ED05C8" w:rsidP="45ED05C8" w:rsidRDefault="45ED05C8" w14:paraId="2F9BAE3D" w14:textId="41DC9E2D">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221 (75.4)</w:t>
            </w:r>
          </w:p>
        </w:tc>
        <w:tc>
          <w:tcPr>
            <w:tcW w:w="1805" w:type="dxa"/>
            <w:tcMar/>
          </w:tcPr>
          <w:p w:rsidR="45ED05C8" w:rsidP="45ED05C8" w:rsidRDefault="45ED05C8" w14:paraId="7A44EBA6" w14:textId="776BEDBC">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177 (58.8)</w:t>
            </w:r>
          </w:p>
        </w:tc>
        <w:tc>
          <w:tcPr>
            <w:tcW w:w="1805" w:type="dxa"/>
            <w:tcMar/>
          </w:tcPr>
          <w:p w:rsidR="45ED05C8" w:rsidP="45ED05C8" w:rsidRDefault="45ED05C8" w14:paraId="20B3DBB3" w14:textId="49CCED92">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u w:val="single"/>
                <w:lang w:val="en-US"/>
              </w:rPr>
              <w:t>2.15 (1.51, 3.06)</w:t>
            </w:r>
          </w:p>
        </w:tc>
      </w:tr>
      <w:tr w:rsidR="45ED05C8" w:rsidTr="45ED05C8" w14:paraId="429F2095">
        <w:tc>
          <w:tcPr>
            <w:tcW w:w="1805" w:type="dxa"/>
            <w:tcMar/>
          </w:tcPr>
          <w:p w:rsidR="45ED05C8" w:rsidP="45ED05C8" w:rsidRDefault="45ED05C8" w14:paraId="3C5604D8" w14:textId="25D86290">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Pain described as burning pain (n=606)</w:t>
            </w:r>
          </w:p>
        </w:tc>
        <w:tc>
          <w:tcPr>
            <w:tcW w:w="1805" w:type="dxa"/>
            <w:tcMar/>
          </w:tcPr>
          <w:p w:rsidR="45ED05C8" w:rsidRDefault="45ED05C8" w14:paraId="1E0103E7" w14:textId="3D4CE63C"/>
        </w:tc>
        <w:tc>
          <w:tcPr>
            <w:tcW w:w="1805" w:type="dxa"/>
            <w:tcMar/>
          </w:tcPr>
          <w:p w:rsidR="45ED05C8" w:rsidP="45ED05C8" w:rsidRDefault="45ED05C8" w14:paraId="480339D2" w14:textId="58ED0219">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165 (56.3)</w:t>
            </w:r>
          </w:p>
        </w:tc>
        <w:tc>
          <w:tcPr>
            <w:tcW w:w="1805" w:type="dxa"/>
            <w:tcMar/>
          </w:tcPr>
          <w:p w:rsidR="45ED05C8" w:rsidP="45ED05C8" w:rsidRDefault="45ED05C8" w14:paraId="7DA07A9B" w14:textId="35A6EC4E">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55 (17.6)</w:t>
            </w:r>
          </w:p>
        </w:tc>
        <w:tc>
          <w:tcPr>
            <w:tcW w:w="1805" w:type="dxa"/>
            <w:tcMar/>
          </w:tcPr>
          <w:p w:rsidR="45ED05C8" w:rsidP="45ED05C8" w:rsidRDefault="45ED05C8" w14:paraId="14F83383" w14:textId="71027ADD">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u w:val="single"/>
                <w:lang w:val="en-US"/>
              </w:rPr>
              <w:t>6.05 (4.18, 8.77)</w:t>
            </w:r>
          </w:p>
        </w:tc>
      </w:tr>
      <w:tr w:rsidR="45ED05C8" w:rsidTr="45ED05C8" w14:paraId="468C8DE4">
        <w:tc>
          <w:tcPr>
            <w:tcW w:w="1805" w:type="dxa"/>
            <w:tcMar/>
          </w:tcPr>
          <w:p w:rsidR="45ED05C8" w:rsidP="45ED05C8" w:rsidRDefault="45ED05C8" w14:paraId="7C225CBB" w14:textId="429E2E78">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Duration of back pain symptoms in current episode (n=604)</w:t>
            </w:r>
          </w:p>
        </w:tc>
        <w:tc>
          <w:tcPr>
            <w:tcW w:w="1805" w:type="dxa"/>
            <w:tcMar/>
          </w:tcPr>
          <w:p w:rsidR="45ED05C8" w:rsidP="45ED05C8" w:rsidRDefault="45ED05C8" w14:paraId="20258E19" w14:textId="52EEE4E5">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&lt; 6 weeks</w:t>
            </w:r>
          </w:p>
        </w:tc>
        <w:tc>
          <w:tcPr>
            <w:tcW w:w="1805" w:type="dxa"/>
            <w:tcMar/>
          </w:tcPr>
          <w:p w:rsidR="45ED05C8" w:rsidP="45ED05C8" w:rsidRDefault="45ED05C8" w14:paraId="6D8E9147" w14:textId="23A0211D">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98 (33.7)</w:t>
            </w:r>
          </w:p>
        </w:tc>
        <w:tc>
          <w:tcPr>
            <w:tcW w:w="1805" w:type="dxa"/>
            <w:tcMar/>
          </w:tcPr>
          <w:p w:rsidR="45ED05C8" w:rsidP="45ED05C8" w:rsidRDefault="45ED05C8" w14:paraId="41254E64" w14:textId="43141DA3">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119 (38.0)</w:t>
            </w:r>
          </w:p>
        </w:tc>
        <w:tc>
          <w:tcPr>
            <w:tcW w:w="1805" w:type="dxa"/>
            <w:tcMar/>
          </w:tcPr>
          <w:p w:rsidR="45ED05C8" w:rsidP="45ED05C8" w:rsidRDefault="45ED05C8" w14:paraId="547342A6" w14:textId="680DB9E1">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w:t>
            </w:r>
          </w:p>
        </w:tc>
      </w:tr>
      <w:tr w:rsidR="45ED05C8" w:rsidTr="45ED05C8" w14:paraId="12DB3C2E">
        <w:tc>
          <w:tcPr>
            <w:tcW w:w="1805" w:type="dxa"/>
            <w:tcMar/>
          </w:tcPr>
          <w:p w:rsidR="45ED05C8" w:rsidRDefault="45ED05C8" w14:paraId="1431813B" w14:textId="47AA01F8"/>
        </w:tc>
        <w:tc>
          <w:tcPr>
            <w:tcW w:w="1805" w:type="dxa"/>
            <w:tcMar/>
          </w:tcPr>
          <w:p w:rsidR="45ED05C8" w:rsidP="45ED05C8" w:rsidRDefault="45ED05C8" w14:paraId="7E2633A1" w14:textId="63888769">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6 to 12 weeks</w:t>
            </w:r>
          </w:p>
        </w:tc>
        <w:tc>
          <w:tcPr>
            <w:tcW w:w="1805" w:type="dxa"/>
            <w:tcMar/>
          </w:tcPr>
          <w:p w:rsidR="45ED05C8" w:rsidP="45ED05C8" w:rsidRDefault="45ED05C8" w14:paraId="4C885CA7" w14:textId="1B0CB366">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65 (22.3)</w:t>
            </w:r>
          </w:p>
        </w:tc>
        <w:tc>
          <w:tcPr>
            <w:tcW w:w="1805" w:type="dxa"/>
            <w:tcMar/>
          </w:tcPr>
          <w:p w:rsidR="45ED05C8" w:rsidP="45ED05C8" w:rsidRDefault="45ED05C8" w14:paraId="10B47B3A" w14:textId="73BEBCAC">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60 (19.2)</w:t>
            </w:r>
          </w:p>
        </w:tc>
        <w:tc>
          <w:tcPr>
            <w:tcW w:w="1805" w:type="dxa"/>
            <w:tcMar/>
          </w:tcPr>
          <w:p w:rsidR="45ED05C8" w:rsidP="45ED05C8" w:rsidRDefault="45ED05C8" w14:paraId="06BD9180" w14:textId="6C076E65">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1.32 (0.87, 2.04)</w:t>
            </w:r>
          </w:p>
        </w:tc>
      </w:tr>
      <w:tr w:rsidR="45ED05C8" w:rsidTr="45ED05C8" w14:paraId="0C3689B1">
        <w:tc>
          <w:tcPr>
            <w:tcW w:w="1805" w:type="dxa"/>
            <w:tcMar/>
          </w:tcPr>
          <w:p w:rsidR="45ED05C8" w:rsidRDefault="45ED05C8" w14:paraId="5225358E" w14:textId="737EF588"/>
        </w:tc>
        <w:tc>
          <w:tcPr>
            <w:tcW w:w="1805" w:type="dxa"/>
            <w:tcMar/>
          </w:tcPr>
          <w:p w:rsidR="45ED05C8" w:rsidP="45ED05C8" w:rsidRDefault="45ED05C8" w14:paraId="2F9F646A" w14:textId="0D68E8E4">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&gt; 3 months</w:t>
            </w:r>
          </w:p>
        </w:tc>
        <w:tc>
          <w:tcPr>
            <w:tcW w:w="1805" w:type="dxa"/>
            <w:tcMar/>
          </w:tcPr>
          <w:p w:rsidR="45ED05C8" w:rsidP="45ED05C8" w:rsidRDefault="45ED05C8" w14:paraId="372BCE01" w14:textId="15B50EE2">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128 (44.0)</w:t>
            </w:r>
          </w:p>
        </w:tc>
        <w:tc>
          <w:tcPr>
            <w:tcW w:w="1805" w:type="dxa"/>
            <w:tcMar/>
          </w:tcPr>
          <w:p w:rsidR="45ED05C8" w:rsidP="45ED05C8" w:rsidRDefault="45ED05C8" w14:paraId="4ACF21F2" w14:textId="23DD4355">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134 (42.8)</w:t>
            </w:r>
          </w:p>
        </w:tc>
        <w:tc>
          <w:tcPr>
            <w:tcW w:w="1805" w:type="dxa"/>
            <w:tcMar/>
          </w:tcPr>
          <w:p w:rsidR="45ED05C8" w:rsidP="45ED05C8" w:rsidRDefault="45ED05C8" w14:paraId="23753A93" w14:textId="287C3D16">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1.16 (0.81, 1.66)</w:t>
            </w:r>
          </w:p>
        </w:tc>
      </w:tr>
      <w:tr w:rsidR="45ED05C8" w:rsidTr="45ED05C8" w14:paraId="684590ED">
        <w:tc>
          <w:tcPr>
            <w:tcW w:w="1805" w:type="dxa"/>
            <w:tcMar/>
          </w:tcPr>
          <w:p w:rsidR="45ED05C8" w:rsidP="45ED05C8" w:rsidRDefault="45ED05C8" w14:paraId="574AB6F0" w14:textId="0ADA643D">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Duration of leg pain symptoms in current episode (n=580)</w:t>
            </w:r>
          </w:p>
        </w:tc>
        <w:tc>
          <w:tcPr>
            <w:tcW w:w="1805" w:type="dxa"/>
            <w:tcMar/>
          </w:tcPr>
          <w:p w:rsidR="45ED05C8" w:rsidP="45ED05C8" w:rsidRDefault="45ED05C8" w14:paraId="03DE4CBF" w14:textId="34F5CB59">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&lt; 6 weeks</w:t>
            </w:r>
          </w:p>
        </w:tc>
        <w:tc>
          <w:tcPr>
            <w:tcW w:w="1805" w:type="dxa"/>
            <w:tcMar/>
          </w:tcPr>
          <w:p w:rsidR="45ED05C8" w:rsidP="45ED05C8" w:rsidRDefault="45ED05C8" w14:paraId="2847A372" w14:textId="5A7F2BB7">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110 (39.3)</w:t>
            </w:r>
          </w:p>
        </w:tc>
        <w:tc>
          <w:tcPr>
            <w:tcW w:w="1805" w:type="dxa"/>
            <w:tcMar/>
          </w:tcPr>
          <w:p w:rsidR="45ED05C8" w:rsidP="45ED05C8" w:rsidRDefault="45ED05C8" w14:paraId="55B8E6B6" w14:textId="13ADD479">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141 (47.0)</w:t>
            </w:r>
          </w:p>
        </w:tc>
        <w:tc>
          <w:tcPr>
            <w:tcW w:w="1805" w:type="dxa"/>
            <w:tcMar/>
          </w:tcPr>
          <w:p w:rsidR="45ED05C8" w:rsidP="45ED05C8" w:rsidRDefault="45ED05C8" w14:paraId="7E206A02" w14:textId="1A62E867">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w:t>
            </w:r>
          </w:p>
        </w:tc>
      </w:tr>
      <w:tr w:rsidR="45ED05C8" w:rsidTr="45ED05C8" w14:paraId="3D679EB2">
        <w:tc>
          <w:tcPr>
            <w:tcW w:w="1805" w:type="dxa"/>
            <w:tcMar/>
          </w:tcPr>
          <w:p w:rsidR="45ED05C8" w:rsidRDefault="45ED05C8" w14:paraId="347502B2" w14:textId="74A436B3"/>
        </w:tc>
        <w:tc>
          <w:tcPr>
            <w:tcW w:w="1805" w:type="dxa"/>
            <w:tcMar/>
          </w:tcPr>
          <w:p w:rsidR="45ED05C8" w:rsidP="45ED05C8" w:rsidRDefault="45ED05C8" w14:paraId="7BB5A0B7" w14:textId="5F955D8D">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6 to 12 weeks</w:t>
            </w:r>
          </w:p>
        </w:tc>
        <w:tc>
          <w:tcPr>
            <w:tcW w:w="1805" w:type="dxa"/>
            <w:tcMar/>
          </w:tcPr>
          <w:p w:rsidR="45ED05C8" w:rsidP="45ED05C8" w:rsidRDefault="45ED05C8" w14:paraId="01841A59" w14:textId="3E14D6F4">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61 (21.8)</w:t>
            </w:r>
          </w:p>
        </w:tc>
        <w:tc>
          <w:tcPr>
            <w:tcW w:w="1805" w:type="dxa"/>
            <w:tcMar/>
          </w:tcPr>
          <w:p w:rsidR="45ED05C8" w:rsidP="45ED05C8" w:rsidRDefault="45ED05C8" w14:paraId="7ED723A2" w14:textId="20E0879D">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58 (19.3)</w:t>
            </w:r>
          </w:p>
        </w:tc>
        <w:tc>
          <w:tcPr>
            <w:tcW w:w="1805" w:type="dxa"/>
            <w:tcMar/>
          </w:tcPr>
          <w:p w:rsidR="45ED05C8" w:rsidP="45ED05C8" w:rsidRDefault="45ED05C8" w14:paraId="17880574" w14:textId="67EF73D8">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1.18 (0.75, 1.86)</w:t>
            </w:r>
          </w:p>
        </w:tc>
      </w:tr>
      <w:tr w:rsidR="45ED05C8" w:rsidTr="45ED05C8" w14:paraId="1C38D892">
        <w:tc>
          <w:tcPr>
            <w:tcW w:w="1805" w:type="dxa"/>
            <w:tcMar/>
          </w:tcPr>
          <w:p w:rsidR="45ED05C8" w:rsidRDefault="45ED05C8" w14:paraId="3B0B4602" w14:textId="1BD8BCA7"/>
        </w:tc>
        <w:tc>
          <w:tcPr>
            <w:tcW w:w="1805" w:type="dxa"/>
            <w:tcMar/>
          </w:tcPr>
          <w:p w:rsidR="45ED05C8" w:rsidP="45ED05C8" w:rsidRDefault="45ED05C8" w14:paraId="082E49CC" w14:textId="52D03751">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&gt; 3 months</w:t>
            </w:r>
          </w:p>
        </w:tc>
        <w:tc>
          <w:tcPr>
            <w:tcW w:w="1805" w:type="dxa"/>
            <w:tcMar/>
          </w:tcPr>
          <w:p w:rsidR="45ED05C8" w:rsidP="45ED05C8" w:rsidRDefault="45ED05C8" w14:paraId="2A695684" w14:textId="11103260">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109 (38.9)</w:t>
            </w:r>
          </w:p>
        </w:tc>
        <w:tc>
          <w:tcPr>
            <w:tcW w:w="1805" w:type="dxa"/>
            <w:tcMar/>
          </w:tcPr>
          <w:p w:rsidR="45ED05C8" w:rsidP="45ED05C8" w:rsidRDefault="45ED05C8" w14:paraId="722F5541" w14:textId="66F2C1DE">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101 (33.7)</w:t>
            </w:r>
          </w:p>
        </w:tc>
        <w:tc>
          <w:tcPr>
            <w:tcW w:w="1805" w:type="dxa"/>
            <w:tcMar/>
          </w:tcPr>
          <w:p w:rsidR="45ED05C8" w:rsidP="45ED05C8" w:rsidRDefault="45ED05C8" w14:paraId="45B5C8F3" w14:textId="75CFA5E9">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1.41 (0.96, 2.08)</w:t>
            </w:r>
          </w:p>
        </w:tc>
      </w:tr>
      <w:tr w:rsidR="45ED05C8" w:rsidTr="45ED05C8" w14:paraId="3480862C">
        <w:tc>
          <w:tcPr>
            <w:tcW w:w="1805" w:type="dxa"/>
            <w:tcMar/>
          </w:tcPr>
          <w:p w:rsidR="45ED05C8" w:rsidP="45ED05C8" w:rsidRDefault="45ED05C8" w14:paraId="2B9AABE1" w14:textId="22D7EFA7">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 xml:space="preserve">Widespread pain </w:t>
            </w:r>
            <w:r w:rsidRPr="45ED05C8" w:rsidR="45ED05C8">
              <w:rPr>
                <w:rFonts w:ascii="Calibri" w:hAnsi="Calibri" w:eastAsia="Calibri" w:cs="Calibri"/>
                <w:b w:val="0"/>
                <w:bCs w:val="0"/>
                <w:i w:val="0"/>
                <w:iCs w:val="0"/>
                <w:color w:val="000000" w:themeColor="text1" w:themeTint="FF" w:themeShade="FF"/>
                <w:sz w:val="24"/>
                <w:szCs w:val="24"/>
                <w:vertAlign w:val="superscript"/>
                <w:lang w:val="en-US"/>
              </w:rPr>
              <w:t xml:space="preserve">b </w:t>
            </w:r>
            <w:r w:rsidRPr="45ED05C8" w:rsidR="45ED05C8">
              <w:rPr>
                <w:rFonts w:ascii="Calibri" w:hAnsi="Calibri" w:eastAsia="Calibri" w:cs="Calibri"/>
                <w:b w:val="0"/>
                <w:bCs w:val="0"/>
                <w:i w:val="0"/>
                <w:iCs w:val="0"/>
                <w:color w:val="000000" w:themeColor="text1" w:themeTint="FF" w:themeShade="FF"/>
                <w:sz w:val="24"/>
                <w:szCs w:val="24"/>
                <w:lang w:val="en-US"/>
              </w:rPr>
              <w:t>(n=590)</w:t>
            </w:r>
          </w:p>
        </w:tc>
        <w:tc>
          <w:tcPr>
            <w:tcW w:w="1805" w:type="dxa"/>
            <w:tcMar/>
          </w:tcPr>
          <w:p w:rsidR="45ED05C8" w:rsidRDefault="45ED05C8" w14:paraId="16C5AF80" w14:textId="4510EE00"/>
        </w:tc>
        <w:tc>
          <w:tcPr>
            <w:tcW w:w="1805" w:type="dxa"/>
            <w:tcMar/>
          </w:tcPr>
          <w:p w:rsidR="45ED05C8" w:rsidP="45ED05C8" w:rsidRDefault="45ED05C8" w14:paraId="3AB5C33A" w14:textId="2691C5BA">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124 (42.9)</w:t>
            </w:r>
          </w:p>
        </w:tc>
        <w:tc>
          <w:tcPr>
            <w:tcW w:w="1805" w:type="dxa"/>
            <w:tcMar/>
          </w:tcPr>
          <w:p w:rsidR="45ED05C8" w:rsidP="45ED05C8" w:rsidRDefault="45ED05C8" w14:paraId="6654B57B" w14:textId="1438A97F">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125 (41.5)</w:t>
            </w:r>
          </w:p>
        </w:tc>
        <w:tc>
          <w:tcPr>
            <w:tcW w:w="1805" w:type="dxa"/>
            <w:tcMar/>
          </w:tcPr>
          <w:p w:rsidR="45ED05C8" w:rsidP="45ED05C8" w:rsidRDefault="45ED05C8" w14:paraId="04ECD467" w14:textId="05A1FC5E">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1.05 (0.74, 1.47)</w:t>
            </w:r>
          </w:p>
        </w:tc>
      </w:tr>
      <w:tr w:rsidR="45ED05C8" w:rsidTr="45ED05C8" w14:paraId="57A52CFE">
        <w:tc>
          <w:tcPr>
            <w:tcW w:w="1805" w:type="dxa"/>
            <w:tcMar/>
          </w:tcPr>
          <w:p w:rsidR="45ED05C8" w:rsidP="45ED05C8" w:rsidRDefault="45ED05C8" w14:paraId="0D6D4461" w14:textId="108B8352">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Leg pain worse (n=604)</w:t>
            </w:r>
          </w:p>
        </w:tc>
        <w:tc>
          <w:tcPr>
            <w:tcW w:w="1805" w:type="dxa"/>
            <w:tcMar/>
          </w:tcPr>
          <w:p w:rsidR="45ED05C8" w:rsidRDefault="45ED05C8" w14:paraId="4B0DAE05" w14:textId="26D78C63"/>
        </w:tc>
        <w:tc>
          <w:tcPr>
            <w:tcW w:w="1805" w:type="dxa"/>
            <w:tcMar/>
          </w:tcPr>
          <w:p w:rsidR="45ED05C8" w:rsidP="45ED05C8" w:rsidRDefault="45ED05C8" w14:paraId="58BDD608" w14:textId="55C3EC38">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138 (47.4)</w:t>
            </w:r>
          </w:p>
        </w:tc>
        <w:tc>
          <w:tcPr>
            <w:tcW w:w="1805" w:type="dxa"/>
            <w:tcMar/>
          </w:tcPr>
          <w:p w:rsidR="45ED05C8" w:rsidP="45ED05C8" w:rsidRDefault="45ED05C8" w14:paraId="1932626F" w14:textId="7115763F">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139 (44.4)</w:t>
            </w:r>
          </w:p>
        </w:tc>
        <w:tc>
          <w:tcPr>
            <w:tcW w:w="1805" w:type="dxa"/>
            <w:tcMar/>
          </w:tcPr>
          <w:p w:rsidR="45ED05C8" w:rsidP="45ED05C8" w:rsidRDefault="45ED05C8" w14:paraId="666D6E04" w14:textId="1938B2DD">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1.13 (0.82, 1.56)</w:t>
            </w:r>
          </w:p>
        </w:tc>
      </w:tr>
      <w:tr w:rsidR="45ED05C8" w:rsidTr="45ED05C8" w14:paraId="0B7EDCD1">
        <w:tc>
          <w:tcPr>
            <w:tcW w:w="1805" w:type="dxa"/>
            <w:tcMar/>
          </w:tcPr>
          <w:p w:rsidR="45ED05C8" w:rsidP="45ED05C8" w:rsidRDefault="45ED05C8" w14:paraId="38B24ED6" w14:textId="2229BF13">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Pain location (n=606)</w:t>
            </w:r>
          </w:p>
        </w:tc>
        <w:tc>
          <w:tcPr>
            <w:tcW w:w="1805" w:type="dxa"/>
            <w:tcMar/>
          </w:tcPr>
          <w:p w:rsidR="45ED05C8" w:rsidP="45ED05C8" w:rsidRDefault="45ED05C8" w14:paraId="3F4FC813" w14:textId="5B283F95">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 xml:space="preserve">Pain below the knee </w:t>
            </w:r>
          </w:p>
        </w:tc>
        <w:tc>
          <w:tcPr>
            <w:tcW w:w="1805" w:type="dxa"/>
            <w:tcMar/>
          </w:tcPr>
          <w:p w:rsidR="45ED05C8" w:rsidP="45ED05C8" w:rsidRDefault="45ED05C8" w14:paraId="35FD64EE" w14:textId="782DD34B">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228 (77.8)</w:t>
            </w:r>
          </w:p>
        </w:tc>
        <w:tc>
          <w:tcPr>
            <w:tcW w:w="1805" w:type="dxa"/>
            <w:tcMar/>
          </w:tcPr>
          <w:p w:rsidR="45ED05C8" w:rsidP="45ED05C8" w:rsidRDefault="45ED05C8" w14:paraId="679238A6" w14:textId="3DED2231">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200 (63.9)</w:t>
            </w:r>
          </w:p>
        </w:tc>
        <w:tc>
          <w:tcPr>
            <w:tcW w:w="1805" w:type="dxa"/>
            <w:tcMar/>
          </w:tcPr>
          <w:p w:rsidR="45ED05C8" w:rsidP="45ED05C8" w:rsidRDefault="45ED05C8" w14:paraId="45FE0851" w14:textId="58AD65A7">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u w:val="single"/>
                <w:lang w:val="en-US"/>
              </w:rPr>
              <w:t>1.98 (1.38, 2.87)</w:t>
            </w:r>
          </w:p>
        </w:tc>
      </w:tr>
      <w:tr w:rsidR="45ED05C8" w:rsidTr="45ED05C8" w14:paraId="4CC53420">
        <w:tc>
          <w:tcPr>
            <w:tcW w:w="1805" w:type="dxa"/>
            <w:tcMar/>
          </w:tcPr>
          <w:p w:rsidR="45ED05C8" w:rsidRDefault="45ED05C8" w14:paraId="11425CB8" w14:textId="2BF89C91"/>
        </w:tc>
        <w:tc>
          <w:tcPr>
            <w:tcW w:w="1805" w:type="dxa"/>
            <w:tcMar/>
          </w:tcPr>
          <w:p w:rsidR="45ED05C8" w:rsidP="45ED05C8" w:rsidRDefault="45ED05C8" w14:paraId="2324CBC8" w14:textId="5F9EF38A">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Pain in one leg</w:t>
            </w:r>
          </w:p>
        </w:tc>
        <w:tc>
          <w:tcPr>
            <w:tcW w:w="1805" w:type="dxa"/>
            <w:tcMar/>
          </w:tcPr>
          <w:p w:rsidR="45ED05C8" w:rsidP="45ED05C8" w:rsidRDefault="45ED05C8" w14:paraId="14F63BB3" w14:textId="15D6C4AE">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211 (72.0)</w:t>
            </w:r>
          </w:p>
        </w:tc>
        <w:tc>
          <w:tcPr>
            <w:tcW w:w="1805" w:type="dxa"/>
            <w:tcMar/>
          </w:tcPr>
          <w:p w:rsidR="45ED05C8" w:rsidP="45ED05C8" w:rsidRDefault="45ED05C8" w14:paraId="0B9F7B4C" w14:textId="4F5AD7C1">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244 (78.0)</w:t>
            </w:r>
          </w:p>
        </w:tc>
        <w:tc>
          <w:tcPr>
            <w:tcW w:w="1805" w:type="dxa"/>
            <w:tcMar/>
          </w:tcPr>
          <w:p w:rsidR="45ED05C8" w:rsidP="45ED05C8" w:rsidRDefault="45ED05C8" w14:paraId="629393F6" w14:textId="4B0FFB61">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0.73 (0.50, 1.06)</w:t>
            </w:r>
          </w:p>
        </w:tc>
      </w:tr>
      <w:tr w:rsidR="45ED05C8" w:rsidTr="45ED05C8" w14:paraId="20ADEFCE">
        <w:tc>
          <w:tcPr>
            <w:tcW w:w="1805" w:type="dxa"/>
            <w:tcMar/>
          </w:tcPr>
          <w:p w:rsidR="45ED05C8" w:rsidP="45ED05C8" w:rsidRDefault="45ED05C8" w14:paraId="7605D11E" w14:textId="7830F086">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1"/>
                <w:bCs w:val="1"/>
                <w:i w:val="0"/>
                <w:iCs w:val="0"/>
                <w:color w:val="000000" w:themeColor="text1" w:themeTint="FF" w:themeShade="FF"/>
                <w:sz w:val="24"/>
                <w:szCs w:val="24"/>
                <w:lang w:val="en-US"/>
              </w:rPr>
              <w:t>Limitations in activities, participation and risk of persistent disabling pain</w:t>
            </w:r>
          </w:p>
        </w:tc>
        <w:tc>
          <w:tcPr>
            <w:tcW w:w="1805" w:type="dxa"/>
            <w:tcMar/>
          </w:tcPr>
          <w:p w:rsidR="45ED05C8" w:rsidRDefault="45ED05C8" w14:paraId="06D0FCF6" w14:textId="160CD231"/>
        </w:tc>
        <w:tc>
          <w:tcPr>
            <w:tcW w:w="1805" w:type="dxa"/>
            <w:tcMar/>
          </w:tcPr>
          <w:p w:rsidR="45ED05C8" w:rsidRDefault="45ED05C8" w14:paraId="67FEAF8D" w14:textId="0A8872B4"/>
        </w:tc>
        <w:tc>
          <w:tcPr>
            <w:tcW w:w="1805" w:type="dxa"/>
            <w:tcMar/>
          </w:tcPr>
          <w:p w:rsidR="45ED05C8" w:rsidRDefault="45ED05C8" w14:paraId="7F065CB9" w14:textId="366894C1"/>
        </w:tc>
        <w:tc>
          <w:tcPr>
            <w:tcW w:w="1805" w:type="dxa"/>
            <w:tcMar/>
          </w:tcPr>
          <w:p w:rsidR="45ED05C8" w:rsidRDefault="45ED05C8" w14:paraId="1EB42DF6" w14:textId="0B37BA90"/>
        </w:tc>
      </w:tr>
      <w:tr w:rsidR="45ED05C8" w:rsidTr="45ED05C8" w14:paraId="78D4AA29">
        <w:tc>
          <w:tcPr>
            <w:tcW w:w="1805" w:type="dxa"/>
            <w:tcMar/>
          </w:tcPr>
          <w:p w:rsidR="45ED05C8" w:rsidP="45ED05C8" w:rsidRDefault="45ED05C8" w14:paraId="0F0D3DF9" w14:textId="7D12C8F0">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LBLP-related disability (RMDQ, 0-23), mean (SD) (n=606)</w:t>
            </w:r>
          </w:p>
        </w:tc>
        <w:tc>
          <w:tcPr>
            <w:tcW w:w="1805" w:type="dxa"/>
            <w:tcMar/>
          </w:tcPr>
          <w:p w:rsidR="45ED05C8" w:rsidRDefault="45ED05C8" w14:paraId="7326CD41" w14:textId="30AE3070"/>
        </w:tc>
        <w:tc>
          <w:tcPr>
            <w:tcW w:w="1805" w:type="dxa"/>
            <w:tcMar/>
          </w:tcPr>
          <w:p w:rsidR="45ED05C8" w:rsidP="45ED05C8" w:rsidRDefault="45ED05C8" w14:paraId="380AFC11" w14:textId="7DEB6BE9">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13.8 (5.6)</w:t>
            </w:r>
          </w:p>
        </w:tc>
        <w:tc>
          <w:tcPr>
            <w:tcW w:w="1805" w:type="dxa"/>
            <w:tcMar/>
          </w:tcPr>
          <w:p w:rsidR="45ED05C8" w:rsidP="45ED05C8" w:rsidRDefault="45ED05C8" w14:paraId="342C0B7D" w14:textId="36806AA7">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11.5 (5.6)</w:t>
            </w:r>
          </w:p>
        </w:tc>
        <w:tc>
          <w:tcPr>
            <w:tcW w:w="1805" w:type="dxa"/>
            <w:tcMar/>
          </w:tcPr>
          <w:p w:rsidR="45ED05C8" w:rsidP="45ED05C8" w:rsidRDefault="45ED05C8" w14:paraId="2CA9EA83" w14:textId="0CB19458">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u w:val="single"/>
                <w:lang w:val="en-US"/>
              </w:rPr>
              <w:t>1.08 (1.05, 1.11)</w:t>
            </w:r>
          </w:p>
        </w:tc>
      </w:tr>
      <w:tr w:rsidR="45ED05C8" w:rsidTr="45ED05C8" w14:paraId="27060EFF">
        <w:tc>
          <w:tcPr>
            <w:tcW w:w="1805" w:type="dxa"/>
            <w:tcMar/>
          </w:tcPr>
          <w:p w:rsidR="45ED05C8" w:rsidP="45ED05C8" w:rsidRDefault="45ED05C8" w14:paraId="756E5737" w14:textId="00B28E76">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Risk of persistent disability due to back pain (STarT Back) (n=530)</w:t>
            </w:r>
          </w:p>
        </w:tc>
        <w:tc>
          <w:tcPr>
            <w:tcW w:w="1805" w:type="dxa"/>
            <w:tcMar/>
          </w:tcPr>
          <w:p w:rsidR="45ED05C8" w:rsidP="45ED05C8" w:rsidRDefault="45ED05C8" w14:paraId="3363296F" w14:textId="58E08C71">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Low risk</w:t>
            </w:r>
          </w:p>
        </w:tc>
        <w:tc>
          <w:tcPr>
            <w:tcW w:w="1805" w:type="dxa"/>
            <w:tcMar/>
          </w:tcPr>
          <w:p w:rsidR="45ED05C8" w:rsidP="45ED05C8" w:rsidRDefault="45ED05C8" w14:paraId="2A214BA7" w14:textId="44732AAE">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29 (10.2)</w:t>
            </w:r>
          </w:p>
        </w:tc>
        <w:tc>
          <w:tcPr>
            <w:tcW w:w="1805" w:type="dxa"/>
            <w:tcMar/>
          </w:tcPr>
          <w:p w:rsidR="45ED05C8" w:rsidP="45ED05C8" w:rsidRDefault="45ED05C8" w14:paraId="2E005C13" w14:textId="160FBD2E">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53 (17.6)</w:t>
            </w:r>
          </w:p>
        </w:tc>
        <w:tc>
          <w:tcPr>
            <w:tcW w:w="1805" w:type="dxa"/>
            <w:tcMar/>
          </w:tcPr>
          <w:p w:rsidR="45ED05C8" w:rsidP="45ED05C8" w:rsidRDefault="45ED05C8" w14:paraId="7B129B65" w14:textId="1A9E26BC">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w:t>
            </w:r>
          </w:p>
        </w:tc>
      </w:tr>
      <w:tr w:rsidR="45ED05C8" w:rsidTr="45ED05C8" w14:paraId="2BF8C7E8">
        <w:tc>
          <w:tcPr>
            <w:tcW w:w="1805" w:type="dxa"/>
            <w:tcMar/>
          </w:tcPr>
          <w:p w:rsidR="45ED05C8" w:rsidRDefault="45ED05C8" w14:paraId="1F998672" w14:textId="58236387"/>
        </w:tc>
        <w:tc>
          <w:tcPr>
            <w:tcW w:w="1805" w:type="dxa"/>
            <w:tcMar/>
          </w:tcPr>
          <w:p w:rsidR="45ED05C8" w:rsidP="45ED05C8" w:rsidRDefault="45ED05C8" w14:paraId="290E3666" w14:textId="54AE5058">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Medium risk</w:t>
            </w:r>
          </w:p>
        </w:tc>
        <w:tc>
          <w:tcPr>
            <w:tcW w:w="1805" w:type="dxa"/>
            <w:tcMar/>
          </w:tcPr>
          <w:p w:rsidR="45ED05C8" w:rsidP="45ED05C8" w:rsidRDefault="45ED05C8" w14:paraId="2F8044C1" w14:textId="77BE787F">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120 (42.3)</w:t>
            </w:r>
          </w:p>
        </w:tc>
        <w:tc>
          <w:tcPr>
            <w:tcW w:w="1805" w:type="dxa"/>
            <w:tcMar/>
          </w:tcPr>
          <w:p w:rsidR="45ED05C8" w:rsidP="45ED05C8" w:rsidRDefault="45ED05C8" w14:paraId="3A9F9E50" w14:textId="728E9DDD">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154 (51.0)</w:t>
            </w:r>
          </w:p>
        </w:tc>
        <w:tc>
          <w:tcPr>
            <w:tcW w:w="1805" w:type="dxa"/>
            <w:tcMar/>
          </w:tcPr>
          <w:p w:rsidR="45ED05C8" w:rsidP="45ED05C8" w:rsidRDefault="45ED05C8" w14:paraId="70E6B80C" w14:textId="2EA1C01A">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1.57 (0.92, 2.7)</w:t>
            </w:r>
          </w:p>
        </w:tc>
      </w:tr>
      <w:tr w:rsidR="45ED05C8" w:rsidTr="45ED05C8" w14:paraId="57A604B7">
        <w:tc>
          <w:tcPr>
            <w:tcW w:w="1805" w:type="dxa"/>
            <w:tcMar/>
          </w:tcPr>
          <w:p w:rsidR="45ED05C8" w:rsidRDefault="45ED05C8" w14:paraId="70EC8365" w14:textId="36D40A06"/>
        </w:tc>
        <w:tc>
          <w:tcPr>
            <w:tcW w:w="1805" w:type="dxa"/>
            <w:tcMar/>
          </w:tcPr>
          <w:p w:rsidR="45ED05C8" w:rsidP="45ED05C8" w:rsidRDefault="45ED05C8" w14:paraId="1D12F772" w14:textId="107F1DD1">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High risk</w:t>
            </w:r>
          </w:p>
        </w:tc>
        <w:tc>
          <w:tcPr>
            <w:tcW w:w="1805" w:type="dxa"/>
            <w:tcMar/>
          </w:tcPr>
          <w:p w:rsidR="45ED05C8" w:rsidP="45ED05C8" w:rsidRDefault="45ED05C8" w14:paraId="77E98846" w14:textId="05497CB1">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135 (47.5)</w:t>
            </w:r>
          </w:p>
        </w:tc>
        <w:tc>
          <w:tcPr>
            <w:tcW w:w="1805" w:type="dxa"/>
            <w:tcMar/>
          </w:tcPr>
          <w:p w:rsidR="45ED05C8" w:rsidP="45ED05C8" w:rsidRDefault="45ED05C8" w14:paraId="15DCC317" w14:textId="2EB191BE">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95 (31.5)</w:t>
            </w:r>
          </w:p>
        </w:tc>
        <w:tc>
          <w:tcPr>
            <w:tcW w:w="1805" w:type="dxa"/>
            <w:tcMar/>
          </w:tcPr>
          <w:p w:rsidR="45ED05C8" w:rsidP="45ED05C8" w:rsidRDefault="45ED05C8" w14:paraId="4F17E4DE" w14:textId="344DB99C">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u w:val="single"/>
                <w:lang w:val="en-US"/>
              </w:rPr>
              <w:t>2.7 (1.56, 4.7)</w:t>
            </w:r>
          </w:p>
        </w:tc>
      </w:tr>
      <w:tr w:rsidR="45ED05C8" w:rsidTr="45ED05C8" w14:paraId="0E2103E5">
        <w:tc>
          <w:tcPr>
            <w:tcW w:w="1805" w:type="dxa"/>
            <w:tcMar/>
          </w:tcPr>
          <w:p w:rsidR="45ED05C8" w:rsidP="45ED05C8" w:rsidRDefault="45ED05C8" w14:paraId="4B432721" w14:textId="4F1B2767">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1"/>
                <w:bCs w:val="1"/>
                <w:i w:val="0"/>
                <w:iCs w:val="0"/>
                <w:color w:val="000000" w:themeColor="text1" w:themeTint="FF" w:themeShade="FF"/>
                <w:sz w:val="24"/>
                <w:szCs w:val="24"/>
                <w:lang w:val="en-US"/>
              </w:rPr>
              <w:t xml:space="preserve">Psychological characteristics </w:t>
            </w:r>
          </w:p>
        </w:tc>
        <w:tc>
          <w:tcPr>
            <w:tcW w:w="1805" w:type="dxa"/>
            <w:tcMar/>
          </w:tcPr>
          <w:p w:rsidR="45ED05C8" w:rsidRDefault="45ED05C8" w14:paraId="239E3757" w14:textId="1E37D135"/>
        </w:tc>
        <w:tc>
          <w:tcPr>
            <w:tcW w:w="1805" w:type="dxa"/>
            <w:tcMar/>
          </w:tcPr>
          <w:p w:rsidR="45ED05C8" w:rsidRDefault="45ED05C8" w14:paraId="172D3647" w14:textId="3589C312"/>
        </w:tc>
        <w:tc>
          <w:tcPr>
            <w:tcW w:w="1805" w:type="dxa"/>
            <w:tcMar/>
          </w:tcPr>
          <w:p w:rsidR="45ED05C8" w:rsidRDefault="45ED05C8" w14:paraId="4AFC2B6E" w14:textId="14E1322F"/>
        </w:tc>
        <w:tc>
          <w:tcPr>
            <w:tcW w:w="1805" w:type="dxa"/>
            <w:tcMar/>
          </w:tcPr>
          <w:p w:rsidR="45ED05C8" w:rsidRDefault="45ED05C8" w14:paraId="441CBFC9" w14:textId="5CBAFC5A"/>
        </w:tc>
      </w:tr>
      <w:tr w:rsidR="45ED05C8" w:rsidTr="45ED05C8" w14:paraId="4E1A9A2F">
        <w:tc>
          <w:tcPr>
            <w:tcW w:w="1805" w:type="dxa"/>
            <w:tcMar/>
          </w:tcPr>
          <w:p w:rsidR="45ED05C8" w:rsidP="45ED05C8" w:rsidRDefault="45ED05C8" w14:paraId="1FC2137D" w14:textId="64C03347">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Depression (HADS) (n=606)</w:t>
            </w:r>
          </w:p>
        </w:tc>
        <w:tc>
          <w:tcPr>
            <w:tcW w:w="1805" w:type="dxa"/>
            <w:tcMar/>
          </w:tcPr>
          <w:p w:rsidR="45ED05C8" w:rsidP="45ED05C8" w:rsidRDefault="45ED05C8" w14:paraId="0B9057D6" w14:textId="273C7A94">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Normal (0 to 7)</w:t>
            </w:r>
          </w:p>
        </w:tc>
        <w:tc>
          <w:tcPr>
            <w:tcW w:w="1805" w:type="dxa"/>
            <w:tcMar/>
          </w:tcPr>
          <w:p w:rsidR="45ED05C8" w:rsidP="45ED05C8" w:rsidRDefault="45ED05C8" w14:paraId="25947EF3" w14:textId="0BA01014">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155 (52.9)</w:t>
            </w:r>
          </w:p>
        </w:tc>
        <w:tc>
          <w:tcPr>
            <w:tcW w:w="1805" w:type="dxa"/>
            <w:tcMar/>
          </w:tcPr>
          <w:p w:rsidR="45ED05C8" w:rsidP="45ED05C8" w:rsidRDefault="45ED05C8" w14:paraId="5F17A1BE" w14:textId="49819C22">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235 (75.1)</w:t>
            </w:r>
          </w:p>
        </w:tc>
        <w:tc>
          <w:tcPr>
            <w:tcW w:w="1805" w:type="dxa"/>
            <w:tcMar/>
          </w:tcPr>
          <w:p w:rsidR="45ED05C8" w:rsidP="45ED05C8" w:rsidRDefault="45ED05C8" w14:paraId="1840AF02" w14:textId="6FD9A627">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w:t>
            </w:r>
          </w:p>
        </w:tc>
      </w:tr>
      <w:tr w:rsidR="45ED05C8" w:rsidTr="45ED05C8" w14:paraId="2D2E94DA">
        <w:tc>
          <w:tcPr>
            <w:tcW w:w="1805" w:type="dxa"/>
            <w:tcMar/>
          </w:tcPr>
          <w:p w:rsidR="45ED05C8" w:rsidRDefault="45ED05C8" w14:paraId="70B9490A" w14:textId="018806D3"/>
        </w:tc>
        <w:tc>
          <w:tcPr>
            <w:tcW w:w="1805" w:type="dxa"/>
            <w:tcMar/>
          </w:tcPr>
          <w:p w:rsidR="45ED05C8" w:rsidP="45ED05C8" w:rsidRDefault="45ED05C8" w14:paraId="2351DA4E" w14:textId="0958BFBF">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Possible (mild) cases (8 to 10)</w:t>
            </w:r>
          </w:p>
        </w:tc>
        <w:tc>
          <w:tcPr>
            <w:tcW w:w="1805" w:type="dxa"/>
            <w:tcMar/>
          </w:tcPr>
          <w:p w:rsidR="45ED05C8" w:rsidP="45ED05C8" w:rsidRDefault="45ED05C8" w14:paraId="3DA7CBD4" w14:textId="7FB8E127">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67 (22.9)</w:t>
            </w:r>
          </w:p>
        </w:tc>
        <w:tc>
          <w:tcPr>
            <w:tcW w:w="1805" w:type="dxa"/>
            <w:tcMar/>
          </w:tcPr>
          <w:p w:rsidR="45ED05C8" w:rsidP="45ED05C8" w:rsidRDefault="45ED05C8" w14:paraId="2F67FDC7" w14:textId="19FD9BF9">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52 (16.6)</w:t>
            </w:r>
          </w:p>
        </w:tc>
        <w:tc>
          <w:tcPr>
            <w:tcW w:w="1805" w:type="dxa"/>
            <w:tcMar/>
          </w:tcPr>
          <w:p w:rsidR="45ED05C8" w:rsidP="45ED05C8" w:rsidRDefault="45ED05C8" w14:paraId="5AF7AF6A" w14:textId="4CBC02AA">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u w:val="single"/>
                <w:lang w:val="en-US"/>
              </w:rPr>
              <w:t>1.95 (1.29, 2.96)</w:t>
            </w:r>
          </w:p>
        </w:tc>
      </w:tr>
      <w:tr w:rsidR="45ED05C8" w:rsidTr="45ED05C8" w14:paraId="457FC84D">
        <w:tc>
          <w:tcPr>
            <w:tcW w:w="1805" w:type="dxa"/>
            <w:tcMar/>
          </w:tcPr>
          <w:p w:rsidR="45ED05C8" w:rsidRDefault="45ED05C8" w14:paraId="646402AF" w14:textId="6F5383FB"/>
        </w:tc>
        <w:tc>
          <w:tcPr>
            <w:tcW w:w="1805" w:type="dxa"/>
            <w:tcMar/>
          </w:tcPr>
          <w:p w:rsidR="45ED05C8" w:rsidP="45ED05C8" w:rsidRDefault="45ED05C8" w14:paraId="63B5DA79" w14:textId="6DC6540D">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 xml:space="preserve">Probable (moderate/severe) cases (≥11) </w:t>
            </w:r>
          </w:p>
        </w:tc>
        <w:tc>
          <w:tcPr>
            <w:tcW w:w="1805" w:type="dxa"/>
            <w:tcMar/>
          </w:tcPr>
          <w:p w:rsidR="45ED05C8" w:rsidP="45ED05C8" w:rsidRDefault="45ED05C8" w14:paraId="1D6E27E9" w14:textId="61F116DF">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71 (24.2)</w:t>
            </w:r>
          </w:p>
        </w:tc>
        <w:tc>
          <w:tcPr>
            <w:tcW w:w="1805" w:type="dxa"/>
            <w:tcMar/>
          </w:tcPr>
          <w:p w:rsidR="45ED05C8" w:rsidP="45ED05C8" w:rsidRDefault="45ED05C8" w14:paraId="120833C6" w14:textId="62AB5654">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26 (8.3)</w:t>
            </w:r>
          </w:p>
        </w:tc>
        <w:tc>
          <w:tcPr>
            <w:tcW w:w="1805" w:type="dxa"/>
            <w:tcMar/>
          </w:tcPr>
          <w:p w:rsidR="45ED05C8" w:rsidP="45ED05C8" w:rsidRDefault="45ED05C8" w14:paraId="088907B2" w14:textId="53590D7C">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u w:val="single"/>
                <w:lang w:val="en-US"/>
              </w:rPr>
              <w:t>4.14 (2.53, 6.78)</w:t>
            </w:r>
          </w:p>
        </w:tc>
      </w:tr>
      <w:tr w:rsidR="45ED05C8" w:rsidTr="45ED05C8" w14:paraId="4A420044">
        <w:tc>
          <w:tcPr>
            <w:tcW w:w="1805" w:type="dxa"/>
            <w:tcMar/>
          </w:tcPr>
          <w:p w:rsidR="45ED05C8" w:rsidP="45ED05C8" w:rsidRDefault="45ED05C8" w14:paraId="0EC22BD8" w14:textId="0776921F">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Anxiety (HADS) (n=604)</w:t>
            </w:r>
          </w:p>
        </w:tc>
        <w:tc>
          <w:tcPr>
            <w:tcW w:w="1805" w:type="dxa"/>
            <w:tcMar/>
          </w:tcPr>
          <w:p w:rsidR="45ED05C8" w:rsidP="45ED05C8" w:rsidRDefault="45ED05C8" w14:paraId="5D689E35" w14:textId="6833EEC8">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Normal (0 to 7)</w:t>
            </w:r>
          </w:p>
        </w:tc>
        <w:tc>
          <w:tcPr>
            <w:tcW w:w="1805" w:type="dxa"/>
            <w:tcMar/>
          </w:tcPr>
          <w:p w:rsidR="45ED05C8" w:rsidP="45ED05C8" w:rsidRDefault="45ED05C8" w14:paraId="46E333AC" w14:textId="6DC1A048">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118 (40.6)</w:t>
            </w:r>
          </w:p>
        </w:tc>
        <w:tc>
          <w:tcPr>
            <w:tcW w:w="1805" w:type="dxa"/>
            <w:tcMar/>
          </w:tcPr>
          <w:p w:rsidR="45ED05C8" w:rsidP="45ED05C8" w:rsidRDefault="45ED05C8" w14:paraId="4833B690" w14:textId="60BF9817">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196 (62.6)</w:t>
            </w:r>
          </w:p>
        </w:tc>
        <w:tc>
          <w:tcPr>
            <w:tcW w:w="1805" w:type="dxa"/>
            <w:tcMar/>
          </w:tcPr>
          <w:p w:rsidR="45ED05C8" w:rsidP="45ED05C8" w:rsidRDefault="45ED05C8" w14:paraId="175E6CD2" w14:textId="0DF89D9E">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w:t>
            </w:r>
          </w:p>
        </w:tc>
      </w:tr>
      <w:tr w:rsidR="45ED05C8" w:rsidTr="45ED05C8" w14:paraId="3002317F">
        <w:tc>
          <w:tcPr>
            <w:tcW w:w="1805" w:type="dxa"/>
            <w:tcMar/>
          </w:tcPr>
          <w:p w:rsidR="45ED05C8" w:rsidRDefault="45ED05C8" w14:paraId="26F18D01" w14:textId="25A48422"/>
        </w:tc>
        <w:tc>
          <w:tcPr>
            <w:tcW w:w="1805" w:type="dxa"/>
            <w:tcMar/>
          </w:tcPr>
          <w:p w:rsidR="45ED05C8" w:rsidP="45ED05C8" w:rsidRDefault="45ED05C8" w14:paraId="2688674A" w14:textId="1D2C18FE">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Possible (mild) cases (8 to 10)</w:t>
            </w:r>
          </w:p>
        </w:tc>
        <w:tc>
          <w:tcPr>
            <w:tcW w:w="1805" w:type="dxa"/>
            <w:tcMar/>
          </w:tcPr>
          <w:p w:rsidR="45ED05C8" w:rsidP="45ED05C8" w:rsidRDefault="45ED05C8" w14:paraId="655ECA81" w14:textId="69C0EE9B">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60 (20.6)</w:t>
            </w:r>
          </w:p>
        </w:tc>
        <w:tc>
          <w:tcPr>
            <w:tcW w:w="1805" w:type="dxa"/>
            <w:tcMar/>
          </w:tcPr>
          <w:p w:rsidR="45ED05C8" w:rsidP="45ED05C8" w:rsidRDefault="45ED05C8" w14:paraId="7E7491AA" w14:textId="5DB26937">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60 (19.2)</w:t>
            </w:r>
          </w:p>
        </w:tc>
        <w:tc>
          <w:tcPr>
            <w:tcW w:w="1805" w:type="dxa"/>
            <w:tcMar/>
          </w:tcPr>
          <w:p w:rsidR="45ED05C8" w:rsidP="45ED05C8" w:rsidRDefault="45ED05C8" w14:paraId="2E035595" w14:textId="4EE6A2FB">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u w:val="single"/>
                <w:lang w:val="en-US"/>
              </w:rPr>
              <w:t>1.66 (1.08, 2.54)</w:t>
            </w:r>
          </w:p>
        </w:tc>
      </w:tr>
      <w:tr w:rsidR="45ED05C8" w:rsidTr="45ED05C8" w14:paraId="2599F9C0">
        <w:tc>
          <w:tcPr>
            <w:tcW w:w="1805" w:type="dxa"/>
            <w:tcMar/>
          </w:tcPr>
          <w:p w:rsidR="45ED05C8" w:rsidRDefault="45ED05C8" w14:paraId="74C64F1A" w14:textId="59B3CA60"/>
        </w:tc>
        <w:tc>
          <w:tcPr>
            <w:tcW w:w="1805" w:type="dxa"/>
            <w:tcMar/>
          </w:tcPr>
          <w:p w:rsidR="45ED05C8" w:rsidP="45ED05C8" w:rsidRDefault="45ED05C8" w14:paraId="6D362909" w14:textId="38240ACA">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Probable (moderate/ severe) cases (≥11)</w:t>
            </w:r>
          </w:p>
        </w:tc>
        <w:tc>
          <w:tcPr>
            <w:tcW w:w="1805" w:type="dxa"/>
            <w:tcMar/>
          </w:tcPr>
          <w:p w:rsidR="45ED05C8" w:rsidP="45ED05C8" w:rsidRDefault="45ED05C8" w14:paraId="58DB7B43" w14:textId="6CBAEC63">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113 (38.8)</w:t>
            </w:r>
          </w:p>
        </w:tc>
        <w:tc>
          <w:tcPr>
            <w:tcW w:w="1805" w:type="dxa"/>
            <w:tcMar/>
          </w:tcPr>
          <w:p w:rsidR="45ED05C8" w:rsidP="45ED05C8" w:rsidRDefault="45ED05C8" w14:paraId="16F080F8" w14:textId="21BAEE92">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57 (18.2)</w:t>
            </w:r>
          </w:p>
        </w:tc>
        <w:tc>
          <w:tcPr>
            <w:tcW w:w="1805" w:type="dxa"/>
            <w:tcMar/>
          </w:tcPr>
          <w:p w:rsidR="45ED05C8" w:rsidP="45ED05C8" w:rsidRDefault="45ED05C8" w14:paraId="3B2396C9" w14:textId="6353610B">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u w:val="single"/>
                <w:lang w:val="en-US"/>
              </w:rPr>
              <w:t>3.30 (2.22, 4.87)</w:t>
            </w:r>
          </w:p>
        </w:tc>
      </w:tr>
      <w:tr w:rsidR="45ED05C8" w:rsidTr="45ED05C8" w14:paraId="0C02F734">
        <w:tc>
          <w:tcPr>
            <w:tcW w:w="1805" w:type="dxa"/>
            <w:tcMar/>
          </w:tcPr>
          <w:p w:rsidR="45ED05C8" w:rsidP="45ED05C8" w:rsidRDefault="45ED05C8" w14:paraId="6BC7D526" w14:textId="531B4C1B">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 xml:space="preserve">Pain self-efficacy (PSEQ, 0-60) </w:t>
            </w:r>
            <w:r w:rsidRPr="45ED05C8" w:rsidR="45ED05C8">
              <w:rPr>
                <w:rFonts w:ascii="Calibri" w:hAnsi="Calibri" w:eastAsia="Calibri" w:cs="Calibri"/>
                <w:b w:val="0"/>
                <w:bCs w:val="0"/>
                <w:i w:val="0"/>
                <w:iCs w:val="0"/>
                <w:color w:val="000000" w:themeColor="text1" w:themeTint="FF" w:themeShade="FF"/>
                <w:sz w:val="24"/>
                <w:szCs w:val="24"/>
                <w:vertAlign w:val="superscript"/>
                <w:lang w:val="en-US"/>
              </w:rPr>
              <w:t>c</w:t>
            </w:r>
            <w:r w:rsidRPr="45ED05C8" w:rsidR="45ED05C8">
              <w:rPr>
                <w:rFonts w:ascii="Calibri" w:hAnsi="Calibri" w:eastAsia="Calibri" w:cs="Calibri"/>
                <w:b w:val="0"/>
                <w:bCs w:val="0"/>
                <w:i w:val="0"/>
                <w:iCs w:val="0"/>
                <w:color w:val="000000" w:themeColor="text1" w:themeTint="FF" w:themeShade="FF"/>
                <w:sz w:val="24"/>
                <w:szCs w:val="24"/>
                <w:lang w:val="en-US"/>
              </w:rPr>
              <w:t xml:space="preserve"> (n=590), mean (SD)</w:t>
            </w:r>
          </w:p>
        </w:tc>
        <w:tc>
          <w:tcPr>
            <w:tcW w:w="1805" w:type="dxa"/>
            <w:tcMar/>
          </w:tcPr>
          <w:p w:rsidR="45ED05C8" w:rsidRDefault="45ED05C8" w14:paraId="3EDF70A8" w14:textId="3E464CD7"/>
        </w:tc>
        <w:tc>
          <w:tcPr>
            <w:tcW w:w="1805" w:type="dxa"/>
            <w:tcMar/>
          </w:tcPr>
          <w:p w:rsidR="45ED05C8" w:rsidP="45ED05C8" w:rsidRDefault="45ED05C8" w14:paraId="7ACE1881" w14:textId="5C061BC3">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30.8 (14.6)</w:t>
            </w:r>
          </w:p>
        </w:tc>
        <w:tc>
          <w:tcPr>
            <w:tcW w:w="1805" w:type="dxa"/>
            <w:tcMar/>
          </w:tcPr>
          <w:p w:rsidR="45ED05C8" w:rsidP="45ED05C8" w:rsidRDefault="45ED05C8" w14:paraId="7F0C9226" w14:textId="56D8B347">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37.4 (13.8)</w:t>
            </w:r>
          </w:p>
        </w:tc>
        <w:tc>
          <w:tcPr>
            <w:tcW w:w="1805" w:type="dxa"/>
            <w:tcMar/>
          </w:tcPr>
          <w:p w:rsidR="45ED05C8" w:rsidP="45ED05C8" w:rsidRDefault="45ED05C8" w14:paraId="0441532D" w14:textId="624F84E0">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u w:val="single"/>
                <w:lang w:val="en-US"/>
              </w:rPr>
              <w:t>0.97 (0.96, 0.98)</w:t>
            </w:r>
          </w:p>
        </w:tc>
      </w:tr>
      <w:tr w:rsidR="45ED05C8" w:rsidTr="45ED05C8" w14:paraId="75E734B9">
        <w:tc>
          <w:tcPr>
            <w:tcW w:w="1805" w:type="dxa"/>
            <w:tcMar/>
          </w:tcPr>
          <w:p w:rsidR="45ED05C8" w:rsidP="45ED05C8" w:rsidRDefault="45ED05C8" w14:paraId="2CEE3B83" w14:textId="60F85CCA">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1"/>
                <w:bCs w:val="1"/>
                <w:i w:val="0"/>
                <w:iCs w:val="0"/>
                <w:color w:val="000000" w:themeColor="text1" w:themeTint="FF" w:themeShade="FF"/>
                <w:sz w:val="24"/>
                <w:szCs w:val="24"/>
                <w:lang w:val="en-US"/>
              </w:rPr>
              <w:t>Neurological examination findings</w:t>
            </w:r>
          </w:p>
        </w:tc>
        <w:tc>
          <w:tcPr>
            <w:tcW w:w="1805" w:type="dxa"/>
            <w:tcMar/>
          </w:tcPr>
          <w:p w:rsidR="45ED05C8" w:rsidRDefault="45ED05C8" w14:paraId="2D506FE3" w14:textId="40A0E45E"/>
        </w:tc>
        <w:tc>
          <w:tcPr>
            <w:tcW w:w="1805" w:type="dxa"/>
            <w:tcMar/>
          </w:tcPr>
          <w:p w:rsidR="45ED05C8" w:rsidRDefault="45ED05C8" w14:paraId="5813E759" w14:textId="5CC8EE62"/>
        </w:tc>
        <w:tc>
          <w:tcPr>
            <w:tcW w:w="1805" w:type="dxa"/>
            <w:tcMar/>
          </w:tcPr>
          <w:p w:rsidR="45ED05C8" w:rsidRDefault="45ED05C8" w14:paraId="0DD06AC3" w14:textId="6A423FAF"/>
        </w:tc>
        <w:tc>
          <w:tcPr>
            <w:tcW w:w="1805" w:type="dxa"/>
            <w:tcMar/>
          </w:tcPr>
          <w:p w:rsidR="45ED05C8" w:rsidRDefault="45ED05C8" w14:paraId="1A167E85" w14:textId="29833D04"/>
        </w:tc>
      </w:tr>
      <w:tr w:rsidR="45ED05C8" w:rsidTr="45ED05C8" w14:paraId="6F83FB2C">
        <w:tc>
          <w:tcPr>
            <w:tcW w:w="1805" w:type="dxa"/>
            <w:tcMar/>
          </w:tcPr>
          <w:p w:rsidR="45ED05C8" w:rsidP="45ED05C8" w:rsidRDefault="45ED05C8" w14:paraId="5728A1C0" w14:textId="1F22A5D8">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 xml:space="preserve">Muscle strength </w:t>
            </w:r>
            <w:r w:rsidRPr="45ED05C8" w:rsidR="45ED05C8">
              <w:rPr>
                <w:rFonts w:ascii="Calibri" w:hAnsi="Calibri" w:eastAsia="Calibri" w:cs="Calibri"/>
                <w:b w:val="0"/>
                <w:bCs w:val="0"/>
                <w:i w:val="0"/>
                <w:iCs w:val="0"/>
                <w:color w:val="000000" w:themeColor="text1" w:themeTint="FF" w:themeShade="FF"/>
                <w:sz w:val="24"/>
                <w:szCs w:val="24"/>
                <w:vertAlign w:val="superscript"/>
                <w:lang w:val="en-US"/>
              </w:rPr>
              <w:t xml:space="preserve">d </w:t>
            </w:r>
            <w:r w:rsidRPr="45ED05C8" w:rsidR="45ED05C8">
              <w:rPr>
                <w:rFonts w:ascii="Calibri" w:hAnsi="Calibri" w:eastAsia="Calibri" w:cs="Calibri"/>
                <w:b w:val="0"/>
                <w:bCs w:val="0"/>
                <w:i w:val="0"/>
                <w:iCs w:val="0"/>
                <w:color w:val="000000" w:themeColor="text1" w:themeTint="FF" w:themeShade="FF"/>
                <w:sz w:val="24"/>
                <w:szCs w:val="24"/>
                <w:lang w:val="en-US"/>
              </w:rPr>
              <w:t>(n=606)</w:t>
            </w:r>
          </w:p>
        </w:tc>
        <w:tc>
          <w:tcPr>
            <w:tcW w:w="1805" w:type="dxa"/>
            <w:tcMar/>
          </w:tcPr>
          <w:p w:rsidR="45ED05C8" w:rsidP="45ED05C8" w:rsidRDefault="45ED05C8" w14:paraId="725F199F" w14:textId="18B93185">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5/5</w:t>
            </w:r>
          </w:p>
        </w:tc>
        <w:tc>
          <w:tcPr>
            <w:tcW w:w="1805" w:type="dxa"/>
            <w:tcMar/>
          </w:tcPr>
          <w:p w:rsidR="45ED05C8" w:rsidP="45ED05C8" w:rsidRDefault="45ED05C8" w14:paraId="0FC8974D" w14:textId="28A3DB97">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231 (78.8)</w:t>
            </w:r>
          </w:p>
        </w:tc>
        <w:tc>
          <w:tcPr>
            <w:tcW w:w="1805" w:type="dxa"/>
            <w:tcMar/>
          </w:tcPr>
          <w:p w:rsidR="45ED05C8" w:rsidP="45ED05C8" w:rsidRDefault="45ED05C8" w14:paraId="49BBD40B" w14:textId="73ECE8EF">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270 (86.3)</w:t>
            </w:r>
          </w:p>
        </w:tc>
        <w:tc>
          <w:tcPr>
            <w:tcW w:w="1805" w:type="dxa"/>
            <w:tcMar/>
          </w:tcPr>
          <w:p w:rsidR="45ED05C8" w:rsidP="45ED05C8" w:rsidRDefault="45ED05C8" w14:paraId="7A2CC107" w14:textId="5872141E">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w:t>
            </w:r>
          </w:p>
        </w:tc>
      </w:tr>
      <w:tr w:rsidR="45ED05C8" w:rsidTr="45ED05C8" w14:paraId="19F65807">
        <w:tc>
          <w:tcPr>
            <w:tcW w:w="1805" w:type="dxa"/>
            <w:tcMar/>
          </w:tcPr>
          <w:p w:rsidR="45ED05C8" w:rsidRDefault="45ED05C8" w14:paraId="5A381D87" w14:textId="4FCF72A5"/>
        </w:tc>
        <w:tc>
          <w:tcPr>
            <w:tcW w:w="1805" w:type="dxa"/>
            <w:tcMar/>
          </w:tcPr>
          <w:p w:rsidR="45ED05C8" w:rsidP="45ED05C8" w:rsidRDefault="45ED05C8" w14:paraId="7033AA28" w14:textId="7026FB68">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4/5</w:t>
            </w:r>
          </w:p>
        </w:tc>
        <w:tc>
          <w:tcPr>
            <w:tcW w:w="1805" w:type="dxa"/>
            <w:tcMar/>
          </w:tcPr>
          <w:p w:rsidR="45ED05C8" w:rsidP="45ED05C8" w:rsidRDefault="45ED05C8" w14:paraId="4CED6C4E" w14:textId="38D46261">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56 (19.1)</w:t>
            </w:r>
          </w:p>
        </w:tc>
        <w:tc>
          <w:tcPr>
            <w:tcW w:w="1805" w:type="dxa"/>
            <w:tcMar/>
          </w:tcPr>
          <w:p w:rsidR="45ED05C8" w:rsidP="45ED05C8" w:rsidRDefault="45ED05C8" w14:paraId="0E46D752" w14:textId="6160BDAB">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36 (11.5)</w:t>
            </w:r>
          </w:p>
        </w:tc>
        <w:tc>
          <w:tcPr>
            <w:tcW w:w="1805" w:type="dxa"/>
            <w:tcMar/>
          </w:tcPr>
          <w:p w:rsidR="45ED05C8" w:rsidP="45ED05C8" w:rsidRDefault="45ED05C8" w14:paraId="3A491C8B" w14:textId="16487AF1">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u w:val="single"/>
                <w:lang w:val="en-US"/>
              </w:rPr>
              <w:t>1.81 (1.15, 2.86)</w:t>
            </w:r>
          </w:p>
        </w:tc>
      </w:tr>
      <w:tr w:rsidR="45ED05C8" w:rsidTr="45ED05C8" w14:paraId="6FB7C833">
        <w:tc>
          <w:tcPr>
            <w:tcW w:w="1805" w:type="dxa"/>
            <w:tcMar/>
          </w:tcPr>
          <w:p w:rsidR="45ED05C8" w:rsidRDefault="45ED05C8" w14:paraId="177948DD" w14:textId="620391E0"/>
        </w:tc>
        <w:tc>
          <w:tcPr>
            <w:tcW w:w="1805" w:type="dxa"/>
            <w:tcMar/>
          </w:tcPr>
          <w:p w:rsidR="45ED05C8" w:rsidP="45ED05C8" w:rsidRDefault="45ED05C8" w14:paraId="293D9272" w14:textId="289385D4">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0 to 3/5</w:t>
            </w:r>
          </w:p>
        </w:tc>
        <w:tc>
          <w:tcPr>
            <w:tcW w:w="1805" w:type="dxa"/>
            <w:tcMar/>
          </w:tcPr>
          <w:p w:rsidR="45ED05C8" w:rsidP="45ED05C8" w:rsidRDefault="45ED05C8" w14:paraId="4AFF6841" w14:textId="306F4880">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6 (2.1)</w:t>
            </w:r>
          </w:p>
        </w:tc>
        <w:tc>
          <w:tcPr>
            <w:tcW w:w="1805" w:type="dxa"/>
            <w:tcMar/>
          </w:tcPr>
          <w:p w:rsidR="45ED05C8" w:rsidP="45ED05C8" w:rsidRDefault="45ED05C8" w14:paraId="0507D8E6" w14:textId="4D8C0496">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7 (2.2)</w:t>
            </w:r>
          </w:p>
        </w:tc>
        <w:tc>
          <w:tcPr>
            <w:tcW w:w="1805" w:type="dxa"/>
            <w:tcMar/>
          </w:tcPr>
          <w:p w:rsidR="45ED05C8" w:rsidP="45ED05C8" w:rsidRDefault="45ED05C8" w14:paraId="0EEB48F9" w14:textId="6927B78A">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1.00 (0.33, 3.02)</w:t>
            </w:r>
          </w:p>
        </w:tc>
      </w:tr>
      <w:tr w:rsidR="45ED05C8" w:rsidTr="45ED05C8" w14:paraId="4EAF7B72">
        <w:tc>
          <w:tcPr>
            <w:tcW w:w="1805" w:type="dxa"/>
            <w:tcMar/>
          </w:tcPr>
          <w:p w:rsidR="45ED05C8" w:rsidP="45ED05C8" w:rsidRDefault="45ED05C8" w14:paraId="559B98B8" w14:textId="122F1871">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Reflex (tendon) change (n=606)</w:t>
            </w:r>
          </w:p>
        </w:tc>
        <w:tc>
          <w:tcPr>
            <w:tcW w:w="1805" w:type="dxa"/>
            <w:tcMar/>
          </w:tcPr>
          <w:p w:rsidR="45ED05C8" w:rsidP="45ED05C8" w:rsidRDefault="45ED05C8" w14:paraId="49F3F2CF" w14:textId="7912B89E">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None</w:t>
            </w:r>
          </w:p>
        </w:tc>
        <w:tc>
          <w:tcPr>
            <w:tcW w:w="1805" w:type="dxa"/>
            <w:tcMar/>
          </w:tcPr>
          <w:p w:rsidR="45ED05C8" w:rsidP="45ED05C8" w:rsidRDefault="45ED05C8" w14:paraId="53343A41" w14:textId="3C4DA231">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222 (75.8)</w:t>
            </w:r>
          </w:p>
        </w:tc>
        <w:tc>
          <w:tcPr>
            <w:tcW w:w="1805" w:type="dxa"/>
            <w:tcMar/>
          </w:tcPr>
          <w:p w:rsidR="45ED05C8" w:rsidP="45ED05C8" w:rsidRDefault="45ED05C8" w14:paraId="77ABE0E0" w14:textId="05D40AFB">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265 (84.7)</w:t>
            </w:r>
          </w:p>
        </w:tc>
        <w:tc>
          <w:tcPr>
            <w:tcW w:w="1805" w:type="dxa"/>
            <w:tcMar/>
          </w:tcPr>
          <w:p w:rsidR="45ED05C8" w:rsidP="45ED05C8" w:rsidRDefault="45ED05C8" w14:paraId="44F49A93" w14:textId="02D56715">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w:t>
            </w:r>
          </w:p>
        </w:tc>
      </w:tr>
      <w:tr w:rsidR="45ED05C8" w:rsidTr="45ED05C8" w14:paraId="61FEDB82">
        <w:tc>
          <w:tcPr>
            <w:tcW w:w="1805" w:type="dxa"/>
            <w:tcMar/>
          </w:tcPr>
          <w:p w:rsidR="45ED05C8" w:rsidRDefault="45ED05C8" w14:paraId="1E1EC5A6" w14:textId="73C630AA"/>
        </w:tc>
        <w:tc>
          <w:tcPr>
            <w:tcW w:w="1805" w:type="dxa"/>
            <w:tcMar/>
          </w:tcPr>
          <w:p w:rsidR="45ED05C8" w:rsidP="45ED05C8" w:rsidRDefault="45ED05C8" w14:paraId="37E55C6E" w14:textId="223AB0E1">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Slightly reduced</w:t>
            </w:r>
          </w:p>
        </w:tc>
        <w:tc>
          <w:tcPr>
            <w:tcW w:w="1805" w:type="dxa"/>
            <w:tcMar/>
          </w:tcPr>
          <w:p w:rsidR="45ED05C8" w:rsidP="45ED05C8" w:rsidRDefault="45ED05C8" w14:paraId="75CE52FD" w14:textId="521ACAF0">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19 (6.5)</w:t>
            </w:r>
          </w:p>
        </w:tc>
        <w:tc>
          <w:tcPr>
            <w:tcW w:w="1805" w:type="dxa"/>
            <w:tcMar/>
          </w:tcPr>
          <w:p w:rsidR="45ED05C8" w:rsidP="45ED05C8" w:rsidRDefault="45ED05C8" w14:paraId="55F88302" w14:textId="31085EDF">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11 (3.5)</w:t>
            </w:r>
          </w:p>
        </w:tc>
        <w:tc>
          <w:tcPr>
            <w:tcW w:w="1805" w:type="dxa"/>
            <w:tcMar/>
          </w:tcPr>
          <w:p w:rsidR="45ED05C8" w:rsidP="45ED05C8" w:rsidRDefault="45ED05C8" w14:paraId="4E69EA8A" w14:textId="1C7806FD">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2.06 (0.96, 4.43)</w:t>
            </w:r>
          </w:p>
        </w:tc>
      </w:tr>
      <w:tr w:rsidR="45ED05C8" w:rsidTr="45ED05C8" w14:paraId="30AAD440">
        <w:tc>
          <w:tcPr>
            <w:tcW w:w="1805" w:type="dxa"/>
            <w:tcMar/>
          </w:tcPr>
          <w:p w:rsidR="45ED05C8" w:rsidRDefault="45ED05C8" w14:paraId="02F8E874" w14:textId="3FACDE03"/>
        </w:tc>
        <w:tc>
          <w:tcPr>
            <w:tcW w:w="1805" w:type="dxa"/>
            <w:tcMar/>
          </w:tcPr>
          <w:p w:rsidR="45ED05C8" w:rsidP="45ED05C8" w:rsidRDefault="45ED05C8" w14:paraId="5CE411F1" w14:textId="1BD2FAED">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Significantly reduced or absent</w:t>
            </w:r>
          </w:p>
        </w:tc>
        <w:tc>
          <w:tcPr>
            <w:tcW w:w="1805" w:type="dxa"/>
            <w:tcMar/>
          </w:tcPr>
          <w:p w:rsidR="45ED05C8" w:rsidP="45ED05C8" w:rsidRDefault="45ED05C8" w14:paraId="053D18C5" w14:textId="1CB3086E">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52 (17.8)</w:t>
            </w:r>
          </w:p>
        </w:tc>
        <w:tc>
          <w:tcPr>
            <w:tcW w:w="1805" w:type="dxa"/>
            <w:tcMar/>
          </w:tcPr>
          <w:p w:rsidR="45ED05C8" w:rsidP="45ED05C8" w:rsidRDefault="45ED05C8" w14:paraId="55034AC1" w14:textId="0166FDF9">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37 (11.8)</w:t>
            </w:r>
          </w:p>
        </w:tc>
        <w:tc>
          <w:tcPr>
            <w:tcW w:w="1805" w:type="dxa"/>
            <w:tcMar/>
          </w:tcPr>
          <w:p w:rsidR="45ED05C8" w:rsidP="45ED05C8" w:rsidRDefault="45ED05C8" w14:paraId="0B67A3BE" w14:textId="6CD6C479">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u w:val="single"/>
                <w:lang w:val="en-US"/>
              </w:rPr>
              <w:t>1.68 (1.06, 2.65)</w:t>
            </w:r>
          </w:p>
        </w:tc>
      </w:tr>
      <w:tr w:rsidR="45ED05C8" w:rsidTr="45ED05C8" w14:paraId="0F5D00BC">
        <w:tc>
          <w:tcPr>
            <w:tcW w:w="1805" w:type="dxa"/>
            <w:tcMar/>
          </w:tcPr>
          <w:p w:rsidR="45ED05C8" w:rsidP="45ED05C8" w:rsidRDefault="45ED05C8" w14:paraId="27543E66" w14:textId="569848EF">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Sensation to pin-prick in the leg(s) (n=606)</w:t>
            </w:r>
          </w:p>
        </w:tc>
        <w:tc>
          <w:tcPr>
            <w:tcW w:w="1805" w:type="dxa"/>
            <w:tcMar/>
          </w:tcPr>
          <w:p w:rsidR="45ED05C8" w:rsidP="45ED05C8" w:rsidRDefault="45ED05C8" w14:paraId="650BC1EB" w14:textId="243C840D">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Normal</w:t>
            </w:r>
          </w:p>
        </w:tc>
        <w:tc>
          <w:tcPr>
            <w:tcW w:w="1805" w:type="dxa"/>
            <w:tcMar/>
          </w:tcPr>
          <w:p w:rsidR="45ED05C8" w:rsidP="45ED05C8" w:rsidRDefault="45ED05C8" w14:paraId="6EC689C3" w14:textId="569138EC">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150 (51.2)</w:t>
            </w:r>
          </w:p>
        </w:tc>
        <w:tc>
          <w:tcPr>
            <w:tcW w:w="1805" w:type="dxa"/>
            <w:tcMar/>
          </w:tcPr>
          <w:p w:rsidR="45ED05C8" w:rsidP="45ED05C8" w:rsidRDefault="45ED05C8" w14:paraId="1B336656" w14:textId="50502067">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204 (65.2)</w:t>
            </w:r>
          </w:p>
        </w:tc>
        <w:tc>
          <w:tcPr>
            <w:tcW w:w="1805" w:type="dxa"/>
            <w:tcMar/>
          </w:tcPr>
          <w:p w:rsidR="45ED05C8" w:rsidP="45ED05C8" w:rsidRDefault="45ED05C8" w14:paraId="1E0CDBD5" w14:textId="0300E29C">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w:t>
            </w:r>
          </w:p>
        </w:tc>
      </w:tr>
      <w:tr w:rsidR="45ED05C8" w:rsidTr="45ED05C8" w14:paraId="1EBA3143">
        <w:tc>
          <w:tcPr>
            <w:tcW w:w="1805" w:type="dxa"/>
            <w:tcMar/>
          </w:tcPr>
          <w:p w:rsidR="45ED05C8" w:rsidRDefault="45ED05C8" w14:paraId="090F105E" w14:textId="1820DB21"/>
        </w:tc>
        <w:tc>
          <w:tcPr>
            <w:tcW w:w="1805" w:type="dxa"/>
            <w:tcMar/>
          </w:tcPr>
          <w:p w:rsidR="45ED05C8" w:rsidP="45ED05C8" w:rsidRDefault="45ED05C8" w14:paraId="2FFDCE72" w14:textId="0108A083">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Reduction or loss to pin-prick</w:t>
            </w:r>
          </w:p>
        </w:tc>
        <w:tc>
          <w:tcPr>
            <w:tcW w:w="1805" w:type="dxa"/>
            <w:tcMar/>
          </w:tcPr>
          <w:p w:rsidR="45ED05C8" w:rsidP="45ED05C8" w:rsidRDefault="45ED05C8" w14:paraId="2858410B" w14:textId="58056A7A">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143 (48.8)</w:t>
            </w:r>
          </w:p>
        </w:tc>
        <w:tc>
          <w:tcPr>
            <w:tcW w:w="1805" w:type="dxa"/>
            <w:tcMar/>
          </w:tcPr>
          <w:p w:rsidR="45ED05C8" w:rsidP="45ED05C8" w:rsidRDefault="45ED05C8" w14:paraId="30D488BF" w14:textId="6DD16814">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109 (34.8)</w:t>
            </w:r>
          </w:p>
        </w:tc>
        <w:tc>
          <w:tcPr>
            <w:tcW w:w="1805" w:type="dxa"/>
            <w:tcMar/>
          </w:tcPr>
          <w:p w:rsidR="45ED05C8" w:rsidP="45ED05C8" w:rsidRDefault="45ED05C8" w14:paraId="0EE9A958" w14:textId="5B12EE8E">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u w:val="single"/>
                <w:lang w:val="en-US"/>
              </w:rPr>
              <w:t>1.78 (1.29, 2.47)</w:t>
            </w:r>
          </w:p>
        </w:tc>
      </w:tr>
      <w:tr w:rsidR="45ED05C8" w:rsidTr="45ED05C8" w14:paraId="194B6012">
        <w:tc>
          <w:tcPr>
            <w:tcW w:w="1805" w:type="dxa"/>
            <w:tcMar/>
          </w:tcPr>
          <w:p w:rsidR="45ED05C8" w:rsidP="45ED05C8" w:rsidRDefault="45ED05C8" w14:paraId="2117C64B" w14:textId="020A4DB6">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Presence of allodynia or hyperalgesia in the leg(s)</w:t>
            </w:r>
            <w:r w:rsidRPr="45ED05C8" w:rsidR="45ED05C8">
              <w:rPr>
                <w:rFonts w:ascii="Calibri" w:hAnsi="Calibri" w:eastAsia="Calibri" w:cs="Calibri"/>
                <w:b w:val="0"/>
                <w:bCs w:val="0"/>
                <w:i w:val="0"/>
                <w:iCs w:val="0"/>
                <w:color w:val="000000" w:themeColor="text1" w:themeTint="FF" w:themeShade="FF"/>
                <w:sz w:val="24"/>
                <w:szCs w:val="24"/>
                <w:vertAlign w:val="superscript"/>
                <w:lang w:val="en-US"/>
              </w:rPr>
              <w:t xml:space="preserve"> e</w:t>
            </w:r>
            <w:r w:rsidRPr="45ED05C8" w:rsidR="45ED05C8">
              <w:rPr>
                <w:rFonts w:ascii="Calibri" w:hAnsi="Calibri" w:eastAsia="Calibri" w:cs="Calibri"/>
                <w:b w:val="0"/>
                <w:bCs w:val="0"/>
                <w:i w:val="0"/>
                <w:iCs w:val="0"/>
                <w:color w:val="000000" w:themeColor="text1" w:themeTint="FF" w:themeShade="FF"/>
                <w:sz w:val="24"/>
                <w:szCs w:val="24"/>
                <w:lang w:val="en-US"/>
              </w:rPr>
              <w:t xml:space="preserve"> (n=606)</w:t>
            </w:r>
          </w:p>
        </w:tc>
        <w:tc>
          <w:tcPr>
            <w:tcW w:w="1805" w:type="dxa"/>
            <w:tcMar/>
          </w:tcPr>
          <w:p w:rsidR="45ED05C8" w:rsidRDefault="45ED05C8" w14:paraId="08479446" w14:textId="34EBCEF2"/>
        </w:tc>
        <w:tc>
          <w:tcPr>
            <w:tcW w:w="1805" w:type="dxa"/>
            <w:tcMar/>
          </w:tcPr>
          <w:p w:rsidR="45ED05C8" w:rsidP="45ED05C8" w:rsidRDefault="45ED05C8" w14:paraId="03E2EC8C" w14:textId="292221C6">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40 (13.7)</w:t>
            </w:r>
          </w:p>
        </w:tc>
        <w:tc>
          <w:tcPr>
            <w:tcW w:w="1805" w:type="dxa"/>
            <w:tcMar/>
          </w:tcPr>
          <w:p w:rsidR="45ED05C8" w:rsidP="45ED05C8" w:rsidRDefault="45ED05C8" w14:paraId="20601D33" w14:textId="6BA10358">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17 (5.4)</w:t>
            </w:r>
          </w:p>
        </w:tc>
        <w:tc>
          <w:tcPr>
            <w:tcW w:w="1805" w:type="dxa"/>
            <w:tcMar/>
          </w:tcPr>
          <w:p w:rsidR="45ED05C8" w:rsidP="45ED05C8" w:rsidRDefault="45ED05C8" w14:paraId="37F690FD" w14:textId="70B9E85F">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u w:val="single"/>
                <w:lang w:val="en-US"/>
              </w:rPr>
              <w:t>2.75 (1.52, 4.97)</w:t>
            </w:r>
          </w:p>
        </w:tc>
      </w:tr>
      <w:tr w:rsidR="45ED05C8" w:rsidTr="45ED05C8" w14:paraId="6636F6C3">
        <w:tc>
          <w:tcPr>
            <w:tcW w:w="1805" w:type="dxa"/>
            <w:tcMar/>
          </w:tcPr>
          <w:p w:rsidR="45ED05C8" w:rsidP="45ED05C8" w:rsidRDefault="45ED05C8" w14:paraId="7E8A5197" w14:textId="7935A94E">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 xml:space="preserve">Neural tension test </w:t>
            </w:r>
            <w:r w:rsidRPr="45ED05C8" w:rsidR="45ED05C8">
              <w:rPr>
                <w:rFonts w:ascii="Calibri" w:hAnsi="Calibri" w:eastAsia="Calibri" w:cs="Calibri"/>
                <w:b w:val="0"/>
                <w:bCs w:val="0"/>
                <w:i w:val="0"/>
                <w:iCs w:val="0"/>
                <w:color w:val="000000" w:themeColor="text1" w:themeTint="FF" w:themeShade="FF"/>
                <w:sz w:val="24"/>
                <w:szCs w:val="24"/>
                <w:vertAlign w:val="superscript"/>
                <w:lang w:val="en-US"/>
              </w:rPr>
              <w:t xml:space="preserve">f </w:t>
            </w:r>
            <w:r w:rsidRPr="45ED05C8" w:rsidR="45ED05C8">
              <w:rPr>
                <w:rFonts w:ascii="Calibri" w:hAnsi="Calibri" w:eastAsia="Calibri" w:cs="Calibri"/>
                <w:b w:val="0"/>
                <w:bCs w:val="0"/>
                <w:i w:val="0"/>
                <w:iCs w:val="0"/>
                <w:color w:val="000000" w:themeColor="text1" w:themeTint="FF" w:themeShade="FF"/>
                <w:sz w:val="24"/>
                <w:szCs w:val="24"/>
                <w:lang w:val="en-US"/>
              </w:rPr>
              <w:t>(any positive test, n=606)</w:t>
            </w:r>
          </w:p>
        </w:tc>
        <w:tc>
          <w:tcPr>
            <w:tcW w:w="1805" w:type="dxa"/>
            <w:tcMar/>
          </w:tcPr>
          <w:p w:rsidR="45ED05C8" w:rsidRDefault="45ED05C8" w14:paraId="7EB4275B" w14:textId="47AC1AD7"/>
        </w:tc>
        <w:tc>
          <w:tcPr>
            <w:tcW w:w="1805" w:type="dxa"/>
            <w:tcMar/>
          </w:tcPr>
          <w:p w:rsidR="45ED05C8" w:rsidP="45ED05C8" w:rsidRDefault="45ED05C8" w14:paraId="7283DE5D" w14:textId="0E634751">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168 (57.3)</w:t>
            </w:r>
          </w:p>
        </w:tc>
        <w:tc>
          <w:tcPr>
            <w:tcW w:w="1805" w:type="dxa"/>
            <w:tcMar/>
          </w:tcPr>
          <w:p w:rsidR="45ED05C8" w:rsidP="45ED05C8" w:rsidRDefault="45ED05C8" w14:paraId="3F7AD171" w14:textId="0FB7FE74">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165 (52.7)</w:t>
            </w:r>
          </w:p>
        </w:tc>
        <w:tc>
          <w:tcPr>
            <w:tcW w:w="1805" w:type="dxa"/>
            <w:tcMar/>
          </w:tcPr>
          <w:p w:rsidR="45ED05C8" w:rsidP="45ED05C8" w:rsidRDefault="45ED05C8" w14:paraId="13C71BDD" w14:textId="0792141F">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1.21 (0.87, 1.66)</w:t>
            </w:r>
          </w:p>
        </w:tc>
      </w:tr>
      <w:tr w:rsidR="45ED05C8" w:rsidTr="45ED05C8" w14:paraId="22F7D7BB">
        <w:tc>
          <w:tcPr>
            <w:tcW w:w="1805" w:type="dxa"/>
            <w:tcMar/>
          </w:tcPr>
          <w:p w:rsidR="45ED05C8" w:rsidP="45ED05C8" w:rsidRDefault="45ED05C8" w14:paraId="1E862CB8" w14:textId="452DE3B7">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Pins and needles in the leg(s) (n=606)</w:t>
            </w:r>
          </w:p>
        </w:tc>
        <w:tc>
          <w:tcPr>
            <w:tcW w:w="1805" w:type="dxa"/>
            <w:tcMar/>
          </w:tcPr>
          <w:p w:rsidR="45ED05C8" w:rsidRDefault="45ED05C8" w14:paraId="17631BEA" w14:textId="73027045"/>
        </w:tc>
        <w:tc>
          <w:tcPr>
            <w:tcW w:w="1805" w:type="dxa"/>
            <w:tcMar/>
          </w:tcPr>
          <w:p w:rsidR="45ED05C8" w:rsidP="45ED05C8" w:rsidRDefault="45ED05C8" w14:paraId="5A84CC1F" w14:textId="0DAEA780">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209 (71.3)</w:t>
            </w:r>
          </w:p>
        </w:tc>
        <w:tc>
          <w:tcPr>
            <w:tcW w:w="1805" w:type="dxa"/>
            <w:tcMar/>
          </w:tcPr>
          <w:p w:rsidR="45ED05C8" w:rsidP="45ED05C8" w:rsidRDefault="45ED05C8" w14:paraId="0F5AD7FF" w14:textId="6247FBF5">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84 (28.7)</w:t>
            </w:r>
          </w:p>
        </w:tc>
        <w:tc>
          <w:tcPr>
            <w:tcW w:w="1805" w:type="dxa"/>
            <w:tcMar/>
          </w:tcPr>
          <w:p w:rsidR="45ED05C8" w:rsidP="45ED05C8" w:rsidRDefault="45ED05C8" w14:paraId="61FE324C" w14:textId="06A2AB27">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u w:val="single"/>
                <w:lang w:val="en-US"/>
              </w:rPr>
              <w:t>5.80 (4.08, 8.23)</w:t>
            </w:r>
          </w:p>
        </w:tc>
      </w:tr>
      <w:tr w:rsidR="45ED05C8" w:rsidTr="45ED05C8" w14:paraId="73CC676E">
        <w:tc>
          <w:tcPr>
            <w:tcW w:w="1805" w:type="dxa"/>
            <w:tcMar/>
          </w:tcPr>
          <w:p w:rsidR="45ED05C8" w:rsidP="45ED05C8" w:rsidRDefault="45ED05C8" w14:paraId="4845B6CC" w14:textId="3FFC8926">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Pain affects the colour of patients skin (n=606)</w:t>
            </w:r>
          </w:p>
        </w:tc>
        <w:tc>
          <w:tcPr>
            <w:tcW w:w="1805" w:type="dxa"/>
            <w:tcMar/>
          </w:tcPr>
          <w:p w:rsidR="45ED05C8" w:rsidRDefault="45ED05C8" w14:paraId="62718597" w14:textId="026453E5"/>
        </w:tc>
        <w:tc>
          <w:tcPr>
            <w:tcW w:w="1805" w:type="dxa"/>
            <w:tcMar/>
          </w:tcPr>
          <w:p w:rsidR="45ED05C8" w:rsidP="45ED05C8" w:rsidRDefault="45ED05C8" w14:paraId="5DBE6ABD" w14:textId="67B26D7B">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61 (20.8)</w:t>
            </w:r>
          </w:p>
        </w:tc>
        <w:tc>
          <w:tcPr>
            <w:tcW w:w="1805" w:type="dxa"/>
            <w:tcMar/>
          </w:tcPr>
          <w:p w:rsidR="45ED05C8" w:rsidP="45ED05C8" w:rsidRDefault="45ED05C8" w14:paraId="35CC077F" w14:textId="401D5669">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6 (1.9)</w:t>
            </w:r>
          </w:p>
        </w:tc>
        <w:tc>
          <w:tcPr>
            <w:tcW w:w="1805" w:type="dxa"/>
            <w:tcMar/>
          </w:tcPr>
          <w:p w:rsidR="45ED05C8" w:rsidP="45ED05C8" w:rsidRDefault="45ED05C8" w14:paraId="059AA99F" w14:textId="1B25A7E2">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u w:val="single"/>
                <w:lang w:val="en-US"/>
              </w:rPr>
              <w:t>13.45 (5.70, 31.7)</w:t>
            </w:r>
          </w:p>
        </w:tc>
      </w:tr>
      <w:tr w:rsidR="45ED05C8" w:rsidTr="45ED05C8" w14:paraId="53F1FB05">
        <w:tc>
          <w:tcPr>
            <w:tcW w:w="1805" w:type="dxa"/>
            <w:tcMar/>
          </w:tcPr>
          <w:p w:rsidR="45ED05C8" w:rsidP="45ED05C8" w:rsidRDefault="45ED05C8" w14:paraId="0429FCD8" w14:textId="23390918">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1"/>
                <w:bCs w:val="1"/>
                <w:i w:val="0"/>
                <w:iCs w:val="0"/>
                <w:color w:val="000000" w:themeColor="text1" w:themeTint="FF" w:themeShade="FF"/>
                <w:sz w:val="24"/>
                <w:szCs w:val="24"/>
                <w:lang w:val="en-US"/>
              </w:rPr>
              <w:t>Neuroimaging</w:t>
            </w:r>
          </w:p>
        </w:tc>
        <w:tc>
          <w:tcPr>
            <w:tcW w:w="1805" w:type="dxa"/>
            <w:tcMar/>
          </w:tcPr>
          <w:p w:rsidR="45ED05C8" w:rsidP="45ED05C8" w:rsidRDefault="45ED05C8" w14:paraId="45343378" w14:textId="0A1AFA97">
            <w:pPr>
              <w:spacing w:line="480" w:lineRule="auto"/>
              <w:rPr>
                <w:rFonts w:ascii="Calibri" w:hAnsi="Calibri" w:eastAsia="Calibri" w:cs="Calibri"/>
                <w:b w:val="0"/>
                <w:bCs w:val="0"/>
                <w:i w:val="0"/>
                <w:iCs w:val="0"/>
                <w:color w:val="000000" w:themeColor="text1" w:themeTint="FF" w:themeShade="FF"/>
                <w:sz w:val="24"/>
                <w:szCs w:val="24"/>
              </w:rPr>
            </w:pPr>
          </w:p>
        </w:tc>
        <w:tc>
          <w:tcPr>
            <w:tcW w:w="1805" w:type="dxa"/>
            <w:tcMar/>
          </w:tcPr>
          <w:p w:rsidR="45ED05C8" w:rsidP="45ED05C8" w:rsidRDefault="45ED05C8" w14:paraId="08233814" w14:textId="42F1743D">
            <w:pPr>
              <w:spacing w:line="480" w:lineRule="auto"/>
              <w:jc w:val="center"/>
              <w:rPr>
                <w:rFonts w:ascii="Calibri" w:hAnsi="Calibri" w:eastAsia="Calibri" w:cs="Calibri"/>
                <w:b w:val="0"/>
                <w:bCs w:val="0"/>
                <w:i w:val="0"/>
                <w:iCs w:val="0"/>
                <w:color w:val="000000" w:themeColor="text1" w:themeTint="FF" w:themeShade="FF"/>
                <w:sz w:val="24"/>
                <w:szCs w:val="24"/>
              </w:rPr>
            </w:pPr>
          </w:p>
        </w:tc>
        <w:tc>
          <w:tcPr>
            <w:tcW w:w="1805" w:type="dxa"/>
            <w:tcMar/>
          </w:tcPr>
          <w:p w:rsidR="45ED05C8" w:rsidP="45ED05C8" w:rsidRDefault="45ED05C8" w14:paraId="5936B0FF" w14:textId="14994788">
            <w:pPr>
              <w:spacing w:line="480" w:lineRule="auto"/>
              <w:jc w:val="center"/>
              <w:rPr>
                <w:rFonts w:ascii="Calibri" w:hAnsi="Calibri" w:eastAsia="Calibri" w:cs="Calibri"/>
                <w:b w:val="0"/>
                <w:bCs w:val="0"/>
                <w:i w:val="0"/>
                <w:iCs w:val="0"/>
                <w:color w:val="000000" w:themeColor="text1" w:themeTint="FF" w:themeShade="FF"/>
                <w:sz w:val="24"/>
                <w:szCs w:val="24"/>
              </w:rPr>
            </w:pPr>
          </w:p>
        </w:tc>
        <w:tc>
          <w:tcPr>
            <w:tcW w:w="1805" w:type="dxa"/>
            <w:tcMar/>
          </w:tcPr>
          <w:p w:rsidR="45ED05C8" w:rsidP="45ED05C8" w:rsidRDefault="45ED05C8" w14:paraId="218777D1" w14:textId="232E3CBD">
            <w:pPr>
              <w:spacing w:line="480" w:lineRule="auto"/>
              <w:jc w:val="center"/>
              <w:rPr>
                <w:rFonts w:ascii="Calibri" w:hAnsi="Calibri" w:eastAsia="Calibri" w:cs="Calibri"/>
                <w:b w:val="0"/>
                <w:bCs w:val="0"/>
                <w:i w:val="0"/>
                <w:iCs w:val="0"/>
                <w:color w:val="000000" w:themeColor="text1" w:themeTint="FF" w:themeShade="FF"/>
                <w:sz w:val="24"/>
                <w:szCs w:val="24"/>
              </w:rPr>
            </w:pPr>
          </w:p>
        </w:tc>
      </w:tr>
      <w:tr w:rsidR="45ED05C8" w:rsidTr="45ED05C8" w14:paraId="01BA8C44">
        <w:tc>
          <w:tcPr>
            <w:tcW w:w="1805" w:type="dxa"/>
            <w:tcMar/>
          </w:tcPr>
          <w:p w:rsidR="45ED05C8" w:rsidP="45ED05C8" w:rsidRDefault="45ED05C8" w14:paraId="28CBD720" w14:textId="57892511">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Clear or possible nerve root compression (n=551)</w:t>
            </w:r>
          </w:p>
        </w:tc>
        <w:tc>
          <w:tcPr>
            <w:tcW w:w="1805" w:type="dxa"/>
            <w:tcMar/>
          </w:tcPr>
          <w:p w:rsidR="45ED05C8" w:rsidRDefault="45ED05C8" w14:paraId="18F24F88" w14:textId="215D8BA2"/>
        </w:tc>
        <w:tc>
          <w:tcPr>
            <w:tcW w:w="1805" w:type="dxa"/>
            <w:tcMar/>
          </w:tcPr>
          <w:p w:rsidR="45ED05C8" w:rsidP="45ED05C8" w:rsidRDefault="45ED05C8" w14:paraId="446BD3B3" w14:textId="3BCF3183">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142 (52.8)</w:t>
            </w:r>
          </w:p>
        </w:tc>
        <w:tc>
          <w:tcPr>
            <w:tcW w:w="1805" w:type="dxa"/>
            <w:tcMar/>
          </w:tcPr>
          <w:p w:rsidR="45ED05C8" w:rsidP="45ED05C8" w:rsidRDefault="45ED05C8" w14:paraId="106FD972" w14:textId="4DF79DB4">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154 (54.6)</w:t>
            </w:r>
          </w:p>
        </w:tc>
        <w:tc>
          <w:tcPr>
            <w:tcW w:w="1805" w:type="dxa"/>
            <w:tcMar/>
          </w:tcPr>
          <w:p w:rsidR="45ED05C8" w:rsidP="45ED05C8" w:rsidRDefault="45ED05C8" w14:paraId="0BA54D90" w14:textId="0CE66478">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0.93 (0.66, 1.30)</w:t>
            </w:r>
          </w:p>
        </w:tc>
      </w:tr>
      <w:tr w:rsidR="45ED05C8" w:rsidTr="45ED05C8" w14:paraId="7533544F">
        <w:tc>
          <w:tcPr>
            <w:tcW w:w="1805" w:type="dxa"/>
            <w:tcMar/>
          </w:tcPr>
          <w:p w:rsidR="45ED05C8" w:rsidP="45ED05C8" w:rsidRDefault="45ED05C8" w14:paraId="377FCFB0" w14:textId="22B11B55">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1"/>
                <w:bCs w:val="1"/>
                <w:i w:val="0"/>
                <w:iCs w:val="0"/>
                <w:color w:val="000000" w:themeColor="text1" w:themeTint="FF" w:themeShade="FF"/>
                <w:sz w:val="24"/>
                <w:szCs w:val="24"/>
                <w:lang w:val="en-US"/>
              </w:rPr>
              <w:t xml:space="preserve">Pain medications </w:t>
            </w:r>
          </w:p>
        </w:tc>
        <w:tc>
          <w:tcPr>
            <w:tcW w:w="1805" w:type="dxa"/>
            <w:tcMar/>
          </w:tcPr>
          <w:p w:rsidR="45ED05C8" w:rsidRDefault="45ED05C8" w14:paraId="14CC9E97" w14:textId="218DE38C"/>
        </w:tc>
        <w:tc>
          <w:tcPr>
            <w:tcW w:w="1805" w:type="dxa"/>
            <w:tcMar/>
          </w:tcPr>
          <w:p w:rsidR="45ED05C8" w:rsidP="45ED05C8" w:rsidRDefault="45ED05C8" w14:paraId="04B03A30" w14:textId="355ADB14">
            <w:pPr>
              <w:spacing w:line="480" w:lineRule="auto"/>
              <w:jc w:val="center"/>
              <w:rPr>
                <w:rFonts w:ascii="Calibri" w:hAnsi="Calibri" w:eastAsia="Calibri" w:cs="Calibri"/>
                <w:b w:val="0"/>
                <w:bCs w:val="0"/>
                <w:i w:val="0"/>
                <w:iCs w:val="0"/>
                <w:color w:val="000000" w:themeColor="text1" w:themeTint="FF" w:themeShade="FF"/>
                <w:sz w:val="24"/>
                <w:szCs w:val="24"/>
              </w:rPr>
            </w:pPr>
          </w:p>
        </w:tc>
        <w:tc>
          <w:tcPr>
            <w:tcW w:w="1805" w:type="dxa"/>
            <w:tcMar/>
          </w:tcPr>
          <w:p w:rsidR="45ED05C8" w:rsidP="45ED05C8" w:rsidRDefault="45ED05C8" w14:paraId="396DF77D" w14:textId="47C790C5">
            <w:pPr>
              <w:spacing w:line="480" w:lineRule="auto"/>
              <w:jc w:val="center"/>
              <w:rPr>
                <w:rFonts w:ascii="Calibri" w:hAnsi="Calibri" w:eastAsia="Calibri" w:cs="Calibri"/>
                <w:b w:val="0"/>
                <w:bCs w:val="0"/>
                <w:i w:val="0"/>
                <w:iCs w:val="0"/>
                <w:color w:val="000000" w:themeColor="text1" w:themeTint="FF" w:themeShade="FF"/>
                <w:sz w:val="24"/>
                <w:szCs w:val="24"/>
              </w:rPr>
            </w:pPr>
          </w:p>
        </w:tc>
        <w:tc>
          <w:tcPr>
            <w:tcW w:w="1805" w:type="dxa"/>
            <w:tcMar/>
          </w:tcPr>
          <w:p w:rsidR="45ED05C8" w:rsidP="45ED05C8" w:rsidRDefault="45ED05C8" w14:paraId="06BB8BD7" w14:textId="71E45666">
            <w:pPr>
              <w:spacing w:line="480" w:lineRule="auto"/>
              <w:jc w:val="center"/>
              <w:rPr>
                <w:rFonts w:ascii="Calibri" w:hAnsi="Calibri" w:eastAsia="Calibri" w:cs="Calibri"/>
                <w:b w:val="0"/>
                <w:bCs w:val="0"/>
                <w:i w:val="0"/>
                <w:iCs w:val="0"/>
                <w:color w:val="000000" w:themeColor="text1" w:themeTint="FF" w:themeShade="FF"/>
                <w:sz w:val="24"/>
                <w:szCs w:val="24"/>
              </w:rPr>
            </w:pPr>
          </w:p>
        </w:tc>
      </w:tr>
      <w:tr w:rsidR="45ED05C8" w:rsidTr="45ED05C8" w14:paraId="15B2F7C3">
        <w:tc>
          <w:tcPr>
            <w:tcW w:w="1805" w:type="dxa"/>
            <w:tcMar/>
          </w:tcPr>
          <w:p w:rsidR="45ED05C8" w:rsidP="45ED05C8" w:rsidRDefault="45ED05C8" w14:paraId="38B930DB" w14:textId="3654C996">
            <w:pPr>
              <w:spacing w:line="480" w:lineRule="auto"/>
              <w:rPr>
                <w:rFonts w:ascii="Calibri" w:hAnsi="Calibri" w:eastAsia="Calibri" w:cs="Calibri"/>
                <w:b w:val="1"/>
                <w:bCs w:val="1"/>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Number of pain medications</w:t>
            </w:r>
            <w:r w:rsidRPr="45ED05C8" w:rsidR="45ED05C8">
              <w:rPr>
                <w:rFonts w:ascii="Calibri" w:hAnsi="Calibri" w:eastAsia="Calibri" w:cs="Calibri"/>
                <w:b w:val="0"/>
                <w:bCs w:val="0"/>
                <w:i w:val="0"/>
                <w:iCs w:val="0"/>
                <w:color w:val="000000" w:themeColor="text1" w:themeTint="FF" w:themeShade="FF"/>
                <w:sz w:val="24"/>
                <w:szCs w:val="24"/>
                <w:vertAlign w:val="superscript"/>
                <w:lang w:val="en-US"/>
              </w:rPr>
              <w:t xml:space="preserve"> g</w:t>
            </w:r>
            <w:r w:rsidRPr="45ED05C8" w:rsidR="45ED05C8">
              <w:rPr>
                <w:rFonts w:ascii="Calibri" w:hAnsi="Calibri" w:eastAsia="Calibri" w:cs="Calibri"/>
                <w:b w:val="0"/>
                <w:bCs w:val="0"/>
                <w:i w:val="0"/>
                <w:iCs w:val="0"/>
                <w:color w:val="000000" w:themeColor="text1" w:themeTint="FF" w:themeShade="FF"/>
                <w:sz w:val="24"/>
                <w:szCs w:val="24"/>
                <w:lang w:val="en-US"/>
              </w:rPr>
              <w:t xml:space="preserve"> (n=606)</w:t>
            </w:r>
          </w:p>
        </w:tc>
        <w:tc>
          <w:tcPr>
            <w:tcW w:w="1805" w:type="dxa"/>
            <w:tcMar/>
          </w:tcPr>
          <w:p w:rsidR="45ED05C8" w:rsidP="45ED05C8" w:rsidRDefault="45ED05C8" w14:paraId="540B47D3" w14:textId="0AF74B15">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None</w:t>
            </w:r>
          </w:p>
        </w:tc>
        <w:tc>
          <w:tcPr>
            <w:tcW w:w="1805" w:type="dxa"/>
            <w:tcMar/>
          </w:tcPr>
          <w:p w:rsidR="45ED05C8" w:rsidP="45ED05C8" w:rsidRDefault="45ED05C8" w14:paraId="6D32D4C0" w14:textId="2A4407BC">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34 (11.6)</w:t>
            </w:r>
          </w:p>
        </w:tc>
        <w:tc>
          <w:tcPr>
            <w:tcW w:w="1805" w:type="dxa"/>
            <w:tcMar/>
          </w:tcPr>
          <w:p w:rsidR="45ED05C8" w:rsidP="45ED05C8" w:rsidRDefault="45ED05C8" w14:paraId="69E0ED2D" w14:textId="43BC329F">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49 (15.7)</w:t>
            </w:r>
          </w:p>
        </w:tc>
        <w:tc>
          <w:tcPr>
            <w:tcW w:w="1805" w:type="dxa"/>
            <w:tcMar/>
          </w:tcPr>
          <w:p w:rsidR="45ED05C8" w:rsidP="45ED05C8" w:rsidRDefault="45ED05C8" w14:paraId="50528899" w14:textId="1CF0B156">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w:t>
            </w:r>
          </w:p>
        </w:tc>
      </w:tr>
      <w:tr w:rsidR="45ED05C8" w:rsidTr="45ED05C8" w14:paraId="0194C0C3">
        <w:tc>
          <w:tcPr>
            <w:tcW w:w="1805" w:type="dxa"/>
            <w:tcMar/>
          </w:tcPr>
          <w:p w:rsidR="45ED05C8" w:rsidRDefault="45ED05C8" w14:paraId="5F076DE1" w14:textId="4A60963B"/>
        </w:tc>
        <w:tc>
          <w:tcPr>
            <w:tcW w:w="1805" w:type="dxa"/>
            <w:tcMar/>
          </w:tcPr>
          <w:p w:rsidR="45ED05C8" w:rsidP="45ED05C8" w:rsidRDefault="45ED05C8" w14:paraId="157AA2D6" w14:textId="28082C9B">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One</w:t>
            </w:r>
          </w:p>
        </w:tc>
        <w:tc>
          <w:tcPr>
            <w:tcW w:w="1805" w:type="dxa"/>
            <w:tcMar/>
          </w:tcPr>
          <w:p w:rsidR="45ED05C8" w:rsidP="45ED05C8" w:rsidRDefault="45ED05C8" w14:paraId="09E0F8C6" w14:textId="7F6A346C">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103 (35.2)</w:t>
            </w:r>
          </w:p>
        </w:tc>
        <w:tc>
          <w:tcPr>
            <w:tcW w:w="1805" w:type="dxa"/>
            <w:tcMar/>
          </w:tcPr>
          <w:p w:rsidR="45ED05C8" w:rsidP="45ED05C8" w:rsidRDefault="45ED05C8" w14:paraId="215AFED5" w14:textId="64943D3A">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141 (45.1)</w:t>
            </w:r>
          </w:p>
        </w:tc>
        <w:tc>
          <w:tcPr>
            <w:tcW w:w="1805" w:type="dxa"/>
            <w:tcMar/>
          </w:tcPr>
          <w:p w:rsidR="45ED05C8" w:rsidP="45ED05C8" w:rsidRDefault="45ED05C8" w14:paraId="48696005" w14:textId="2A632D94">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1.05 (0.63, 1.75)</w:t>
            </w:r>
          </w:p>
        </w:tc>
      </w:tr>
      <w:tr w:rsidR="45ED05C8" w:rsidTr="45ED05C8" w14:paraId="3BEF8760">
        <w:tc>
          <w:tcPr>
            <w:tcW w:w="1805" w:type="dxa"/>
            <w:tcMar/>
          </w:tcPr>
          <w:p w:rsidR="45ED05C8" w:rsidRDefault="45ED05C8" w14:paraId="47CADFBF" w14:textId="6F3E17EC"/>
        </w:tc>
        <w:tc>
          <w:tcPr>
            <w:tcW w:w="1805" w:type="dxa"/>
            <w:tcMar/>
          </w:tcPr>
          <w:p w:rsidR="45ED05C8" w:rsidP="45ED05C8" w:rsidRDefault="45ED05C8" w14:paraId="4BFCB9C2" w14:textId="745528F4">
            <w:pPr>
              <w:spacing w:line="480" w:lineRule="auto"/>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Two or more</w:t>
            </w:r>
          </w:p>
        </w:tc>
        <w:tc>
          <w:tcPr>
            <w:tcW w:w="1805" w:type="dxa"/>
            <w:tcMar/>
          </w:tcPr>
          <w:p w:rsidR="45ED05C8" w:rsidP="45ED05C8" w:rsidRDefault="45ED05C8" w14:paraId="3288933C" w14:textId="4614361F">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156 (53.2)</w:t>
            </w:r>
          </w:p>
        </w:tc>
        <w:tc>
          <w:tcPr>
            <w:tcW w:w="1805" w:type="dxa"/>
            <w:tcMar/>
          </w:tcPr>
          <w:p w:rsidR="45ED05C8" w:rsidP="45ED05C8" w:rsidRDefault="45ED05C8" w14:paraId="58181285" w14:textId="04E37D13">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lang w:val="en-US"/>
              </w:rPr>
              <w:t>123 (39.3)</w:t>
            </w:r>
          </w:p>
        </w:tc>
        <w:tc>
          <w:tcPr>
            <w:tcW w:w="1805" w:type="dxa"/>
            <w:tcMar/>
          </w:tcPr>
          <w:p w:rsidR="45ED05C8" w:rsidP="45ED05C8" w:rsidRDefault="45ED05C8" w14:paraId="224CFEAA" w14:textId="53757462">
            <w:pPr>
              <w:spacing w:line="480" w:lineRule="auto"/>
              <w:jc w:val="center"/>
              <w:rPr>
                <w:rFonts w:ascii="Calibri" w:hAnsi="Calibri" w:eastAsia="Calibri" w:cs="Calibri"/>
                <w:b w:val="0"/>
                <w:bCs w:val="0"/>
                <w:i w:val="0"/>
                <w:iCs w:val="0"/>
                <w:color w:val="000000" w:themeColor="text1" w:themeTint="FF" w:themeShade="FF"/>
                <w:sz w:val="24"/>
                <w:szCs w:val="24"/>
              </w:rPr>
            </w:pPr>
            <w:r w:rsidRPr="45ED05C8" w:rsidR="45ED05C8">
              <w:rPr>
                <w:rFonts w:ascii="Calibri" w:hAnsi="Calibri" w:eastAsia="Calibri" w:cs="Calibri"/>
                <w:b w:val="0"/>
                <w:bCs w:val="0"/>
                <w:i w:val="0"/>
                <w:iCs w:val="0"/>
                <w:color w:val="000000" w:themeColor="text1" w:themeTint="FF" w:themeShade="FF"/>
                <w:sz w:val="24"/>
                <w:szCs w:val="24"/>
                <w:u w:val="single"/>
                <w:lang w:val="en-US"/>
              </w:rPr>
              <w:t>1.83 (1.11, 3.01)</w:t>
            </w:r>
          </w:p>
        </w:tc>
      </w:tr>
    </w:tbl>
    <w:p w:rsidR="45ED05C8" w:rsidP="45ED05C8" w:rsidRDefault="45ED05C8" w14:paraId="49FBB6FE" w14:textId="7CD9FB19">
      <w:pPr>
        <w:pStyle w:val="Normal"/>
        <w:spacing w:line="480" w:lineRule="auto"/>
      </w:pPr>
    </w:p>
    <w:sectPr w:rsidR="00EE5457" w:rsidSect="00D8758C">
      <w:footerReference w:type="default" r:id="rId2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8DB" w:rsidRDefault="002208DB" w14:paraId="2F483FDE" w14:textId="77777777">
      <w:pPr>
        <w:spacing w:line="240" w:lineRule="auto"/>
      </w:pPr>
      <w:r>
        <w:separator/>
      </w:r>
    </w:p>
  </w:endnote>
  <w:endnote w:type="continuationSeparator" w:id="0">
    <w:p w:rsidR="002208DB" w:rsidRDefault="002208DB" w14:paraId="476C0E4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77813"/>
      <w:docPartObj>
        <w:docPartGallery w:val="Page Numbers (Bottom of Page)"/>
        <w:docPartUnique/>
      </w:docPartObj>
    </w:sdtPr>
    <w:sdtEndPr>
      <w:rPr>
        <w:noProof/>
      </w:rPr>
    </w:sdtEndPr>
    <w:sdtContent>
      <w:p w:rsidR="00F638FC" w:rsidRDefault="00F638FC" w14:paraId="4758B805" w14:textId="2F3C94A5">
        <w:pPr>
          <w:pStyle w:val="Footer"/>
          <w:jc w:val="center"/>
        </w:pPr>
        <w:r>
          <w:fldChar w:fldCharType="begin"/>
        </w:r>
        <w:r>
          <w:instrText xml:space="preserve"> PAGE   \* MERGEFORMAT </w:instrText>
        </w:r>
        <w:r>
          <w:fldChar w:fldCharType="separate"/>
        </w:r>
        <w:r w:rsidR="00CE4489">
          <w:rPr>
            <w:noProof/>
          </w:rPr>
          <w:t>25</w:t>
        </w:r>
        <w:r>
          <w:rPr>
            <w:noProof/>
          </w:rPr>
          <w:fldChar w:fldCharType="end"/>
        </w:r>
      </w:p>
    </w:sdtContent>
  </w:sdt>
  <w:p w:rsidR="00F638FC" w:rsidRDefault="00F638FC" w14:paraId="31987DF2" w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8DB" w:rsidRDefault="002208DB" w14:paraId="5C62041F" w14:textId="77777777">
      <w:pPr>
        <w:spacing w:line="240" w:lineRule="auto"/>
      </w:pPr>
      <w:r>
        <w:separator/>
      </w:r>
    </w:p>
  </w:footnote>
  <w:footnote w:type="continuationSeparator" w:id="0">
    <w:p w:rsidR="002208DB" w:rsidRDefault="002208DB" w14:paraId="6C5430EC"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5D6D740"/>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2F228BF0"/>
    <w:lvl w:ilvl="0">
      <w:start w:val="1"/>
      <w:numFmt w:val="decimal"/>
      <w:lvlText w:val="%1."/>
      <w:lvlJc w:val="left"/>
      <w:pPr>
        <w:tabs>
          <w:tab w:val="num" w:pos="1209"/>
        </w:tabs>
        <w:ind w:left="1209" w:hanging="360"/>
      </w:pPr>
    </w:lvl>
  </w:abstractNum>
  <w:abstractNum w:abstractNumId="2" w15:restartNumberingAfterBreak="0">
    <w:nsid w:val="FFFFFF7E"/>
    <w:multiLevelType w:val="hybridMultilevel"/>
    <w:tmpl w:val="E07A5610"/>
    <w:lvl w:ilvl="0">
      <w:start w:val="1"/>
      <w:numFmt w:val="decimal"/>
      <w:lvlText w:val="%1."/>
      <w:lvlJc w:val="left"/>
      <w:pPr>
        <w:tabs>
          <w:tab w:val="num" w:pos="926"/>
        </w:tabs>
        <w:ind w:left="926" w:hanging="360"/>
      </w:pPr>
    </w:lvl>
  </w:abstractNum>
  <w:abstractNum w:abstractNumId="3" w15:restartNumberingAfterBreak="0">
    <w:nsid w:val="FFFFFF7F"/>
    <w:multiLevelType w:val="multilevel"/>
    <w:tmpl w:val="46BC3170"/>
    <w:lvl w:ilvl="0">
      <w:start w:val="1"/>
      <w:numFmt w:val="decimal"/>
      <w:lvlText w:val="%1."/>
      <w:lvlJc w:val="left"/>
      <w:pPr>
        <w:tabs>
          <w:tab w:val="num" w:pos="643"/>
        </w:tabs>
        <w:ind w:left="643" w:hanging="360"/>
      </w:pPr>
    </w:lvl>
  </w:abstractNum>
  <w:abstractNum w:abstractNumId="4" w15:restartNumberingAfterBreak="0">
    <w:nsid w:val="FFFFFF80"/>
    <w:multiLevelType w:val="multilevel"/>
    <w:tmpl w:val="ACA82026"/>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multilevel"/>
    <w:tmpl w:val="C1E04C08"/>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multilevel"/>
    <w:tmpl w:val="69F090D4"/>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hybridMultilevel"/>
    <w:tmpl w:val="2C669D1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multilevel"/>
    <w:tmpl w:val="8C3EC29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1874857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9D2555"/>
    <w:multiLevelType w:val="hybridMultilevel"/>
    <w:tmpl w:val="F2F2E0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51A2833"/>
    <w:multiLevelType w:val="multilevel"/>
    <w:tmpl w:val="199E4B02"/>
    <w:lvl w:ilvl="0" w:tplc="DC10D2A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346704"/>
    <w:multiLevelType w:val="hybridMultilevel"/>
    <w:tmpl w:val="9D2E981C"/>
    <w:lvl w:ilvl="0" w:tplc="FE2CA0CC">
      <w:start w:val="1"/>
      <w:numFmt w:val="bullet"/>
      <w:lvlText w:val="•"/>
      <w:lvlJc w:val="left"/>
      <w:pPr>
        <w:tabs>
          <w:tab w:val="num" w:pos="720"/>
        </w:tabs>
        <w:ind w:left="720" w:hanging="360"/>
      </w:pPr>
      <w:rPr>
        <w:rFonts w:hint="default" w:ascii="Times New Roman" w:hAnsi="Times New Roman"/>
      </w:rPr>
    </w:lvl>
    <w:lvl w:ilvl="1" w:tplc="28407D4E" w:tentative="1">
      <w:start w:val="1"/>
      <w:numFmt w:val="bullet"/>
      <w:lvlText w:val="•"/>
      <w:lvlJc w:val="left"/>
      <w:pPr>
        <w:tabs>
          <w:tab w:val="num" w:pos="1440"/>
        </w:tabs>
        <w:ind w:left="1440" w:hanging="360"/>
      </w:pPr>
      <w:rPr>
        <w:rFonts w:hint="default" w:ascii="Times New Roman" w:hAnsi="Times New Roman"/>
      </w:rPr>
    </w:lvl>
    <w:lvl w:ilvl="2" w:tplc="C100D4FC" w:tentative="1">
      <w:start w:val="1"/>
      <w:numFmt w:val="bullet"/>
      <w:lvlText w:val="•"/>
      <w:lvlJc w:val="left"/>
      <w:pPr>
        <w:tabs>
          <w:tab w:val="num" w:pos="2160"/>
        </w:tabs>
        <w:ind w:left="2160" w:hanging="360"/>
      </w:pPr>
      <w:rPr>
        <w:rFonts w:hint="default" w:ascii="Times New Roman" w:hAnsi="Times New Roman"/>
      </w:rPr>
    </w:lvl>
    <w:lvl w:ilvl="3" w:tplc="53CE9270" w:tentative="1">
      <w:start w:val="1"/>
      <w:numFmt w:val="bullet"/>
      <w:lvlText w:val="•"/>
      <w:lvlJc w:val="left"/>
      <w:pPr>
        <w:tabs>
          <w:tab w:val="num" w:pos="2880"/>
        </w:tabs>
        <w:ind w:left="2880" w:hanging="360"/>
      </w:pPr>
      <w:rPr>
        <w:rFonts w:hint="default" w:ascii="Times New Roman" w:hAnsi="Times New Roman"/>
      </w:rPr>
    </w:lvl>
    <w:lvl w:ilvl="4" w:tplc="39EEEEB8" w:tentative="1">
      <w:start w:val="1"/>
      <w:numFmt w:val="bullet"/>
      <w:lvlText w:val="•"/>
      <w:lvlJc w:val="left"/>
      <w:pPr>
        <w:tabs>
          <w:tab w:val="num" w:pos="3600"/>
        </w:tabs>
        <w:ind w:left="3600" w:hanging="360"/>
      </w:pPr>
      <w:rPr>
        <w:rFonts w:hint="default" w:ascii="Times New Roman" w:hAnsi="Times New Roman"/>
      </w:rPr>
    </w:lvl>
    <w:lvl w:ilvl="5" w:tplc="9312B25A" w:tentative="1">
      <w:start w:val="1"/>
      <w:numFmt w:val="bullet"/>
      <w:lvlText w:val="•"/>
      <w:lvlJc w:val="left"/>
      <w:pPr>
        <w:tabs>
          <w:tab w:val="num" w:pos="4320"/>
        </w:tabs>
        <w:ind w:left="4320" w:hanging="360"/>
      </w:pPr>
      <w:rPr>
        <w:rFonts w:hint="default" w:ascii="Times New Roman" w:hAnsi="Times New Roman"/>
      </w:rPr>
    </w:lvl>
    <w:lvl w:ilvl="6" w:tplc="D974C238" w:tentative="1">
      <w:start w:val="1"/>
      <w:numFmt w:val="bullet"/>
      <w:lvlText w:val="•"/>
      <w:lvlJc w:val="left"/>
      <w:pPr>
        <w:tabs>
          <w:tab w:val="num" w:pos="5040"/>
        </w:tabs>
        <w:ind w:left="5040" w:hanging="360"/>
      </w:pPr>
      <w:rPr>
        <w:rFonts w:hint="default" w:ascii="Times New Roman" w:hAnsi="Times New Roman"/>
      </w:rPr>
    </w:lvl>
    <w:lvl w:ilvl="7" w:tplc="8ECCBB02" w:tentative="1">
      <w:start w:val="1"/>
      <w:numFmt w:val="bullet"/>
      <w:lvlText w:val="•"/>
      <w:lvlJc w:val="left"/>
      <w:pPr>
        <w:tabs>
          <w:tab w:val="num" w:pos="5760"/>
        </w:tabs>
        <w:ind w:left="5760" w:hanging="360"/>
      </w:pPr>
      <w:rPr>
        <w:rFonts w:hint="default" w:ascii="Times New Roman" w:hAnsi="Times New Roman"/>
      </w:rPr>
    </w:lvl>
    <w:lvl w:ilvl="8" w:tplc="CEDA18F2" w:tentative="1">
      <w:start w:val="1"/>
      <w:numFmt w:val="bullet"/>
      <w:lvlText w:val="•"/>
      <w:lvlJc w:val="left"/>
      <w:pPr>
        <w:tabs>
          <w:tab w:val="num" w:pos="6480"/>
        </w:tabs>
        <w:ind w:left="6480" w:hanging="360"/>
      </w:pPr>
      <w:rPr>
        <w:rFonts w:hint="default" w:ascii="Times New Roman" w:hAnsi="Times New Roman"/>
      </w:rPr>
    </w:lvl>
  </w:abstractNum>
  <w:abstractNum w:abstractNumId="13" w15:restartNumberingAfterBreak="0">
    <w:nsid w:val="31CC2838"/>
    <w:multiLevelType w:val="hybridMultilevel"/>
    <w:tmpl w:val="B76C261E"/>
    <w:lvl w:ilvl="0" w:tplc="ED5C7A54">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8554391"/>
    <w:multiLevelType w:val="hybridMultilevel"/>
    <w:tmpl w:val="9050CEEC"/>
    <w:lvl w:ilvl="0" w:tplc="E4263950">
      <w:start w:val="1"/>
      <w:numFmt w:val="bullet"/>
      <w:lvlText w:val="•"/>
      <w:lvlJc w:val="left"/>
      <w:pPr>
        <w:tabs>
          <w:tab w:val="num" w:pos="720"/>
        </w:tabs>
        <w:ind w:left="720" w:hanging="360"/>
      </w:pPr>
      <w:rPr>
        <w:rFonts w:hint="default" w:ascii="Times New Roman" w:hAnsi="Times New Roman"/>
      </w:rPr>
    </w:lvl>
    <w:lvl w:ilvl="1" w:tplc="33A822C0" w:tentative="1">
      <w:start w:val="1"/>
      <w:numFmt w:val="bullet"/>
      <w:lvlText w:val="•"/>
      <w:lvlJc w:val="left"/>
      <w:pPr>
        <w:tabs>
          <w:tab w:val="num" w:pos="1440"/>
        </w:tabs>
        <w:ind w:left="1440" w:hanging="360"/>
      </w:pPr>
      <w:rPr>
        <w:rFonts w:hint="default" w:ascii="Times New Roman" w:hAnsi="Times New Roman"/>
      </w:rPr>
    </w:lvl>
    <w:lvl w:ilvl="2" w:tplc="A620A77C" w:tentative="1">
      <w:start w:val="1"/>
      <w:numFmt w:val="bullet"/>
      <w:lvlText w:val="•"/>
      <w:lvlJc w:val="left"/>
      <w:pPr>
        <w:tabs>
          <w:tab w:val="num" w:pos="2160"/>
        </w:tabs>
        <w:ind w:left="2160" w:hanging="360"/>
      </w:pPr>
      <w:rPr>
        <w:rFonts w:hint="default" w:ascii="Times New Roman" w:hAnsi="Times New Roman"/>
      </w:rPr>
    </w:lvl>
    <w:lvl w:ilvl="3" w:tplc="B2808392" w:tentative="1">
      <w:start w:val="1"/>
      <w:numFmt w:val="bullet"/>
      <w:lvlText w:val="•"/>
      <w:lvlJc w:val="left"/>
      <w:pPr>
        <w:tabs>
          <w:tab w:val="num" w:pos="2880"/>
        </w:tabs>
        <w:ind w:left="2880" w:hanging="360"/>
      </w:pPr>
      <w:rPr>
        <w:rFonts w:hint="default" w:ascii="Times New Roman" w:hAnsi="Times New Roman"/>
      </w:rPr>
    </w:lvl>
    <w:lvl w:ilvl="4" w:tplc="07BAA9EE" w:tentative="1">
      <w:start w:val="1"/>
      <w:numFmt w:val="bullet"/>
      <w:lvlText w:val="•"/>
      <w:lvlJc w:val="left"/>
      <w:pPr>
        <w:tabs>
          <w:tab w:val="num" w:pos="3600"/>
        </w:tabs>
        <w:ind w:left="3600" w:hanging="360"/>
      </w:pPr>
      <w:rPr>
        <w:rFonts w:hint="default" w:ascii="Times New Roman" w:hAnsi="Times New Roman"/>
      </w:rPr>
    </w:lvl>
    <w:lvl w:ilvl="5" w:tplc="78ACE3E0" w:tentative="1">
      <w:start w:val="1"/>
      <w:numFmt w:val="bullet"/>
      <w:lvlText w:val="•"/>
      <w:lvlJc w:val="left"/>
      <w:pPr>
        <w:tabs>
          <w:tab w:val="num" w:pos="4320"/>
        </w:tabs>
        <w:ind w:left="4320" w:hanging="360"/>
      </w:pPr>
      <w:rPr>
        <w:rFonts w:hint="default" w:ascii="Times New Roman" w:hAnsi="Times New Roman"/>
      </w:rPr>
    </w:lvl>
    <w:lvl w:ilvl="6" w:tplc="A768B07C" w:tentative="1">
      <w:start w:val="1"/>
      <w:numFmt w:val="bullet"/>
      <w:lvlText w:val="•"/>
      <w:lvlJc w:val="left"/>
      <w:pPr>
        <w:tabs>
          <w:tab w:val="num" w:pos="5040"/>
        </w:tabs>
        <w:ind w:left="5040" w:hanging="360"/>
      </w:pPr>
      <w:rPr>
        <w:rFonts w:hint="default" w:ascii="Times New Roman" w:hAnsi="Times New Roman"/>
      </w:rPr>
    </w:lvl>
    <w:lvl w:ilvl="7" w:tplc="1910FC9A" w:tentative="1">
      <w:start w:val="1"/>
      <w:numFmt w:val="bullet"/>
      <w:lvlText w:val="•"/>
      <w:lvlJc w:val="left"/>
      <w:pPr>
        <w:tabs>
          <w:tab w:val="num" w:pos="5760"/>
        </w:tabs>
        <w:ind w:left="5760" w:hanging="360"/>
      </w:pPr>
      <w:rPr>
        <w:rFonts w:hint="default" w:ascii="Times New Roman" w:hAnsi="Times New Roman"/>
      </w:rPr>
    </w:lvl>
    <w:lvl w:ilvl="8" w:tplc="50727B7C" w:tentative="1">
      <w:start w:val="1"/>
      <w:numFmt w:val="bullet"/>
      <w:lvlText w:val="•"/>
      <w:lvlJc w:val="left"/>
      <w:pPr>
        <w:tabs>
          <w:tab w:val="num" w:pos="6480"/>
        </w:tabs>
        <w:ind w:left="6480" w:hanging="360"/>
      </w:pPr>
      <w:rPr>
        <w:rFonts w:hint="default" w:ascii="Times New Roman" w:hAnsi="Times New Roman"/>
      </w:rPr>
    </w:lvl>
  </w:abstractNum>
  <w:abstractNum w:abstractNumId="15" w15:restartNumberingAfterBreak="0">
    <w:nsid w:val="3A767F07"/>
    <w:multiLevelType w:val="hybridMultilevel"/>
    <w:tmpl w:val="199E4B02"/>
    <w:lvl w:ilvl="0" w:tplc="DC10D2A8">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EEC2988"/>
    <w:multiLevelType w:val="hybridMultilevel"/>
    <w:tmpl w:val="049081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005415"/>
    <w:multiLevelType w:val="hybridMultilevel"/>
    <w:tmpl w:val="199E4B02"/>
    <w:lvl w:ilvl="0" w:tplc="DC10D2A8">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202635E"/>
    <w:multiLevelType w:val="hybridMultilevel"/>
    <w:tmpl w:val="CB76ED86"/>
    <w:lvl w:ilvl="0" w:tplc="F028DE26">
      <w:start w:val="1"/>
      <w:numFmt w:val="bullet"/>
      <w:lvlText w:val="•"/>
      <w:lvlJc w:val="left"/>
      <w:pPr>
        <w:tabs>
          <w:tab w:val="num" w:pos="720"/>
        </w:tabs>
        <w:ind w:left="720" w:hanging="360"/>
      </w:pPr>
      <w:rPr>
        <w:rFonts w:hint="default" w:ascii="Times New Roman" w:hAnsi="Times New Roman"/>
      </w:rPr>
    </w:lvl>
    <w:lvl w:ilvl="1" w:tplc="0FFEE3FE" w:tentative="1">
      <w:start w:val="1"/>
      <w:numFmt w:val="bullet"/>
      <w:lvlText w:val="•"/>
      <w:lvlJc w:val="left"/>
      <w:pPr>
        <w:tabs>
          <w:tab w:val="num" w:pos="1440"/>
        </w:tabs>
        <w:ind w:left="1440" w:hanging="360"/>
      </w:pPr>
      <w:rPr>
        <w:rFonts w:hint="default" w:ascii="Times New Roman" w:hAnsi="Times New Roman"/>
      </w:rPr>
    </w:lvl>
    <w:lvl w:ilvl="2" w:tplc="389C17E8" w:tentative="1">
      <w:start w:val="1"/>
      <w:numFmt w:val="bullet"/>
      <w:lvlText w:val="•"/>
      <w:lvlJc w:val="left"/>
      <w:pPr>
        <w:tabs>
          <w:tab w:val="num" w:pos="2160"/>
        </w:tabs>
        <w:ind w:left="2160" w:hanging="360"/>
      </w:pPr>
      <w:rPr>
        <w:rFonts w:hint="default" w:ascii="Times New Roman" w:hAnsi="Times New Roman"/>
      </w:rPr>
    </w:lvl>
    <w:lvl w:ilvl="3" w:tplc="78E68E6C" w:tentative="1">
      <w:start w:val="1"/>
      <w:numFmt w:val="bullet"/>
      <w:lvlText w:val="•"/>
      <w:lvlJc w:val="left"/>
      <w:pPr>
        <w:tabs>
          <w:tab w:val="num" w:pos="2880"/>
        </w:tabs>
        <w:ind w:left="2880" w:hanging="360"/>
      </w:pPr>
      <w:rPr>
        <w:rFonts w:hint="default" w:ascii="Times New Roman" w:hAnsi="Times New Roman"/>
      </w:rPr>
    </w:lvl>
    <w:lvl w:ilvl="4" w:tplc="330CBE54" w:tentative="1">
      <w:start w:val="1"/>
      <w:numFmt w:val="bullet"/>
      <w:lvlText w:val="•"/>
      <w:lvlJc w:val="left"/>
      <w:pPr>
        <w:tabs>
          <w:tab w:val="num" w:pos="3600"/>
        </w:tabs>
        <w:ind w:left="3600" w:hanging="360"/>
      </w:pPr>
      <w:rPr>
        <w:rFonts w:hint="default" w:ascii="Times New Roman" w:hAnsi="Times New Roman"/>
      </w:rPr>
    </w:lvl>
    <w:lvl w:ilvl="5" w:tplc="30AA548E" w:tentative="1">
      <w:start w:val="1"/>
      <w:numFmt w:val="bullet"/>
      <w:lvlText w:val="•"/>
      <w:lvlJc w:val="left"/>
      <w:pPr>
        <w:tabs>
          <w:tab w:val="num" w:pos="4320"/>
        </w:tabs>
        <w:ind w:left="4320" w:hanging="360"/>
      </w:pPr>
      <w:rPr>
        <w:rFonts w:hint="default" w:ascii="Times New Roman" w:hAnsi="Times New Roman"/>
      </w:rPr>
    </w:lvl>
    <w:lvl w:ilvl="6" w:tplc="29A4DEAC" w:tentative="1">
      <w:start w:val="1"/>
      <w:numFmt w:val="bullet"/>
      <w:lvlText w:val="•"/>
      <w:lvlJc w:val="left"/>
      <w:pPr>
        <w:tabs>
          <w:tab w:val="num" w:pos="5040"/>
        </w:tabs>
        <w:ind w:left="5040" w:hanging="360"/>
      </w:pPr>
      <w:rPr>
        <w:rFonts w:hint="default" w:ascii="Times New Roman" w:hAnsi="Times New Roman"/>
      </w:rPr>
    </w:lvl>
    <w:lvl w:ilvl="7" w:tplc="FC32A496" w:tentative="1">
      <w:start w:val="1"/>
      <w:numFmt w:val="bullet"/>
      <w:lvlText w:val="•"/>
      <w:lvlJc w:val="left"/>
      <w:pPr>
        <w:tabs>
          <w:tab w:val="num" w:pos="5760"/>
        </w:tabs>
        <w:ind w:left="5760" w:hanging="360"/>
      </w:pPr>
      <w:rPr>
        <w:rFonts w:hint="default" w:ascii="Times New Roman" w:hAnsi="Times New Roman"/>
      </w:rPr>
    </w:lvl>
    <w:lvl w:ilvl="8" w:tplc="A98009D6" w:tentative="1">
      <w:start w:val="1"/>
      <w:numFmt w:val="bullet"/>
      <w:lvlText w:val="•"/>
      <w:lvlJc w:val="left"/>
      <w:pPr>
        <w:tabs>
          <w:tab w:val="num" w:pos="6480"/>
        </w:tabs>
        <w:ind w:left="6480" w:hanging="360"/>
      </w:pPr>
      <w:rPr>
        <w:rFonts w:hint="default" w:ascii="Times New Roman" w:hAnsi="Times New Roman"/>
      </w:rPr>
    </w:lvl>
  </w:abstractNum>
  <w:abstractNum w:abstractNumId="19" w15:restartNumberingAfterBreak="0">
    <w:nsid w:val="525A1ED6"/>
    <w:multiLevelType w:val="multilevel"/>
    <w:tmpl w:val="6FDCE8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20F1AED"/>
    <w:multiLevelType w:val="multilevel"/>
    <w:tmpl w:val="A0B2546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6AA21B68"/>
    <w:multiLevelType w:val="hybridMultilevel"/>
    <w:tmpl w:val="A64658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7C092B"/>
    <w:multiLevelType w:val="multilevel"/>
    <w:tmpl w:val="B7108E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77D04ADE"/>
    <w:multiLevelType w:val="hybridMultilevel"/>
    <w:tmpl w:val="7250E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8F57BF"/>
    <w:multiLevelType w:val="hybridMultilevel"/>
    <w:tmpl w:val="2D4401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3"/>
  </w:num>
  <w:num w:numId="3">
    <w:abstractNumId w:val="20"/>
  </w:num>
  <w:num w:numId="4">
    <w:abstractNumId w:val="20"/>
  </w:num>
  <w:num w:numId="5">
    <w:abstractNumId w:val="10"/>
  </w:num>
  <w:num w:numId="6">
    <w:abstractNumId w:val="20"/>
  </w:num>
  <w:num w:numId="7">
    <w:abstractNumId w:val="23"/>
  </w:num>
  <w:num w:numId="8">
    <w:abstractNumId w:val="19"/>
  </w:num>
  <w:num w:numId="9">
    <w:abstractNumId w:val="12"/>
  </w:num>
  <w:num w:numId="10">
    <w:abstractNumId w:val="18"/>
  </w:num>
  <w:num w:numId="11">
    <w:abstractNumId w:val="22"/>
  </w:num>
  <w:num w:numId="12">
    <w:abstractNumId w:val="24"/>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4"/>
  </w:num>
  <w:num w:numId="24">
    <w:abstractNumId w:val="16"/>
  </w:num>
  <w:num w:numId="25">
    <w:abstractNumId w:val="21"/>
  </w:num>
  <w:num w:numId="26">
    <w:abstractNumId w:val="11"/>
  </w:num>
  <w:num w:numId="27">
    <w:abstractNumId w:val="1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F674A1"/>
    <w:rsid w:val="00001CFF"/>
    <w:rsid w:val="0001130A"/>
    <w:rsid w:val="00011613"/>
    <w:rsid w:val="00026793"/>
    <w:rsid w:val="00027618"/>
    <w:rsid w:val="00031E35"/>
    <w:rsid w:val="000338E5"/>
    <w:rsid w:val="00034E0F"/>
    <w:rsid w:val="00035617"/>
    <w:rsid w:val="00035BFA"/>
    <w:rsid w:val="00037EFC"/>
    <w:rsid w:val="0004262D"/>
    <w:rsid w:val="00045B88"/>
    <w:rsid w:val="00046249"/>
    <w:rsid w:val="00060B7E"/>
    <w:rsid w:val="00062D8B"/>
    <w:rsid w:val="00066CF9"/>
    <w:rsid w:val="00070F8E"/>
    <w:rsid w:val="0007174B"/>
    <w:rsid w:val="0007192F"/>
    <w:rsid w:val="00072542"/>
    <w:rsid w:val="00073266"/>
    <w:rsid w:val="00074213"/>
    <w:rsid w:val="00074588"/>
    <w:rsid w:val="000771B6"/>
    <w:rsid w:val="0008400B"/>
    <w:rsid w:val="000927BC"/>
    <w:rsid w:val="000943A9"/>
    <w:rsid w:val="000A0BB2"/>
    <w:rsid w:val="000A1031"/>
    <w:rsid w:val="000B0C92"/>
    <w:rsid w:val="000B0DC2"/>
    <w:rsid w:val="000B125C"/>
    <w:rsid w:val="000B303D"/>
    <w:rsid w:val="000B43EA"/>
    <w:rsid w:val="000B6938"/>
    <w:rsid w:val="000C1ADD"/>
    <w:rsid w:val="000C24DF"/>
    <w:rsid w:val="000C5177"/>
    <w:rsid w:val="000C65C6"/>
    <w:rsid w:val="000C6837"/>
    <w:rsid w:val="000C7139"/>
    <w:rsid w:val="000D2D42"/>
    <w:rsid w:val="000E45AB"/>
    <w:rsid w:val="000E530F"/>
    <w:rsid w:val="000F0FE1"/>
    <w:rsid w:val="000F1490"/>
    <w:rsid w:val="0010435D"/>
    <w:rsid w:val="00113669"/>
    <w:rsid w:val="00114885"/>
    <w:rsid w:val="00120AA6"/>
    <w:rsid w:val="00122BE1"/>
    <w:rsid w:val="00123B30"/>
    <w:rsid w:val="001256F3"/>
    <w:rsid w:val="001277E0"/>
    <w:rsid w:val="00136581"/>
    <w:rsid w:val="001374FA"/>
    <w:rsid w:val="001415F6"/>
    <w:rsid w:val="00142BC2"/>
    <w:rsid w:val="00144F54"/>
    <w:rsid w:val="0014519A"/>
    <w:rsid w:val="001455F6"/>
    <w:rsid w:val="001464BF"/>
    <w:rsid w:val="00153766"/>
    <w:rsid w:val="00155341"/>
    <w:rsid w:val="00175B6D"/>
    <w:rsid w:val="00182449"/>
    <w:rsid w:val="00191C93"/>
    <w:rsid w:val="00193425"/>
    <w:rsid w:val="00193EA9"/>
    <w:rsid w:val="001A00ED"/>
    <w:rsid w:val="001A7278"/>
    <w:rsid w:val="001A7C7E"/>
    <w:rsid w:val="001B2C50"/>
    <w:rsid w:val="001B40DB"/>
    <w:rsid w:val="001B56AE"/>
    <w:rsid w:val="001C0315"/>
    <w:rsid w:val="001C0D5B"/>
    <w:rsid w:val="001C778C"/>
    <w:rsid w:val="001E2135"/>
    <w:rsid w:val="001F6600"/>
    <w:rsid w:val="00200301"/>
    <w:rsid w:val="00202579"/>
    <w:rsid w:val="0020432A"/>
    <w:rsid w:val="00211CA9"/>
    <w:rsid w:val="00215675"/>
    <w:rsid w:val="002166D0"/>
    <w:rsid w:val="002208DB"/>
    <w:rsid w:val="00221ADD"/>
    <w:rsid w:val="002252C5"/>
    <w:rsid w:val="00233C95"/>
    <w:rsid w:val="00242888"/>
    <w:rsid w:val="00242B15"/>
    <w:rsid w:val="00243476"/>
    <w:rsid w:val="002435E6"/>
    <w:rsid w:val="002458BB"/>
    <w:rsid w:val="00245EC0"/>
    <w:rsid w:val="0024777B"/>
    <w:rsid w:val="00247D4E"/>
    <w:rsid w:val="0025202C"/>
    <w:rsid w:val="00253103"/>
    <w:rsid w:val="00254A66"/>
    <w:rsid w:val="00261332"/>
    <w:rsid w:val="00265E3C"/>
    <w:rsid w:val="00266E89"/>
    <w:rsid w:val="00270C21"/>
    <w:rsid w:val="00273927"/>
    <w:rsid w:val="00273D16"/>
    <w:rsid w:val="00273F68"/>
    <w:rsid w:val="00276C2D"/>
    <w:rsid w:val="002869FE"/>
    <w:rsid w:val="00287E96"/>
    <w:rsid w:val="00290A69"/>
    <w:rsid w:val="00291400"/>
    <w:rsid w:val="00291763"/>
    <w:rsid w:val="0029637B"/>
    <w:rsid w:val="002A3F5C"/>
    <w:rsid w:val="002A6FCB"/>
    <w:rsid w:val="002B0888"/>
    <w:rsid w:val="002B1F88"/>
    <w:rsid w:val="002B4E47"/>
    <w:rsid w:val="002B58C4"/>
    <w:rsid w:val="002C4EB3"/>
    <w:rsid w:val="002C58C7"/>
    <w:rsid w:val="002C59C9"/>
    <w:rsid w:val="002D4506"/>
    <w:rsid w:val="002F2831"/>
    <w:rsid w:val="002F3AB2"/>
    <w:rsid w:val="00304174"/>
    <w:rsid w:val="003058C4"/>
    <w:rsid w:val="00306CB7"/>
    <w:rsid w:val="00310655"/>
    <w:rsid w:val="00311BCD"/>
    <w:rsid w:val="0031242F"/>
    <w:rsid w:val="00317C52"/>
    <w:rsid w:val="003212E3"/>
    <w:rsid w:val="003222DF"/>
    <w:rsid w:val="0033192E"/>
    <w:rsid w:val="003323FB"/>
    <w:rsid w:val="00333E85"/>
    <w:rsid w:val="00334536"/>
    <w:rsid w:val="00337414"/>
    <w:rsid w:val="00340A38"/>
    <w:rsid w:val="0034554B"/>
    <w:rsid w:val="003455A8"/>
    <w:rsid w:val="003464BE"/>
    <w:rsid w:val="00351594"/>
    <w:rsid w:val="003518FB"/>
    <w:rsid w:val="00352D2B"/>
    <w:rsid w:val="003540C0"/>
    <w:rsid w:val="003548DC"/>
    <w:rsid w:val="003552CE"/>
    <w:rsid w:val="003623E6"/>
    <w:rsid w:val="00363B5E"/>
    <w:rsid w:val="00364168"/>
    <w:rsid w:val="003660E4"/>
    <w:rsid w:val="003705A0"/>
    <w:rsid w:val="0037077D"/>
    <w:rsid w:val="00372EED"/>
    <w:rsid w:val="00381CD6"/>
    <w:rsid w:val="00382AB2"/>
    <w:rsid w:val="00385357"/>
    <w:rsid w:val="003904FA"/>
    <w:rsid w:val="003978F5"/>
    <w:rsid w:val="003A2F93"/>
    <w:rsid w:val="003B006A"/>
    <w:rsid w:val="003B5BF6"/>
    <w:rsid w:val="003B76B0"/>
    <w:rsid w:val="003B7BF3"/>
    <w:rsid w:val="003C56ED"/>
    <w:rsid w:val="003C6D38"/>
    <w:rsid w:val="003C750A"/>
    <w:rsid w:val="003D4D1D"/>
    <w:rsid w:val="003D586F"/>
    <w:rsid w:val="003D6594"/>
    <w:rsid w:val="003D6D85"/>
    <w:rsid w:val="003E201F"/>
    <w:rsid w:val="003E22CD"/>
    <w:rsid w:val="003E2FC6"/>
    <w:rsid w:val="003E3F19"/>
    <w:rsid w:val="003E400D"/>
    <w:rsid w:val="003F1B17"/>
    <w:rsid w:val="0040195C"/>
    <w:rsid w:val="0040315B"/>
    <w:rsid w:val="00403EF8"/>
    <w:rsid w:val="004070AD"/>
    <w:rsid w:val="0041430E"/>
    <w:rsid w:val="004159C4"/>
    <w:rsid w:val="00416AD5"/>
    <w:rsid w:val="00417B19"/>
    <w:rsid w:val="00420147"/>
    <w:rsid w:val="00423D74"/>
    <w:rsid w:val="00423ED9"/>
    <w:rsid w:val="00426E4E"/>
    <w:rsid w:val="0043388F"/>
    <w:rsid w:val="00434B10"/>
    <w:rsid w:val="004363CF"/>
    <w:rsid w:val="0044019F"/>
    <w:rsid w:val="00444D6B"/>
    <w:rsid w:val="004450AA"/>
    <w:rsid w:val="00447ECF"/>
    <w:rsid w:val="004559CB"/>
    <w:rsid w:val="0046059B"/>
    <w:rsid w:val="00463450"/>
    <w:rsid w:val="00472DBD"/>
    <w:rsid w:val="004751F7"/>
    <w:rsid w:val="00475EF0"/>
    <w:rsid w:val="00480A18"/>
    <w:rsid w:val="00481FB1"/>
    <w:rsid w:val="00486BC3"/>
    <w:rsid w:val="00492D8A"/>
    <w:rsid w:val="00493B12"/>
    <w:rsid w:val="004A1D0F"/>
    <w:rsid w:val="004A3E2A"/>
    <w:rsid w:val="004A5406"/>
    <w:rsid w:val="004B236B"/>
    <w:rsid w:val="004C26CA"/>
    <w:rsid w:val="004C5D16"/>
    <w:rsid w:val="004D5A55"/>
    <w:rsid w:val="004D6F72"/>
    <w:rsid w:val="004D7B79"/>
    <w:rsid w:val="004D7E8B"/>
    <w:rsid w:val="004E07A8"/>
    <w:rsid w:val="004E3A19"/>
    <w:rsid w:val="004E3B34"/>
    <w:rsid w:val="004F1801"/>
    <w:rsid w:val="004F68A4"/>
    <w:rsid w:val="004F7E86"/>
    <w:rsid w:val="0050056D"/>
    <w:rsid w:val="00514689"/>
    <w:rsid w:val="0051602D"/>
    <w:rsid w:val="00516FCD"/>
    <w:rsid w:val="00521C3A"/>
    <w:rsid w:val="00524382"/>
    <w:rsid w:val="005251AC"/>
    <w:rsid w:val="00525252"/>
    <w:rsid w:val="00526BC3"/>
    <w:rsid w:val="00526CE0"/>
    <w:rsid w:val="00530F7E"/>
    <w:rsid w:val="0054052C"/>
    <w:rsid w:val="00540A6E"/>
    <w:rsid w:val="00541349"/>
    <w:rsid w:val="005522D3"/>
    <w:rsid w:val="0055516D"/>
    <w:rsid w:val="0056336E"/>
    <w:rsid w:val="00571BA2"/>
    <w:rsid w:val="00593FC7"/>
    <w:rsid w:val="00594CC9"/>
    <w:rsid w:val="00596893"/>
    <w:rsid w:val="005A4343"/>
    <w:rsid w:val="005A6B4A"/>
    <w:rsid w:val="005A7A0D"/>
    <w:rsid w:val="005B0362"/>
    <w:rsid w:val="005B17EC"/>
    <w:rsid w:val="005B55EC"/>
    <w:rsid w:val="005C7B67"/>
    <w:rsid w:val="005D2B03"/>
    <w:rsid w:val="005D3347"/>
    <w:rsid w:val="005D61E5"/>
    <w:rsid w:val="005E3DF8"/>
    <w:rsid w:val="005E6F0C"/>
    <w:rsid w:val="005E78D9"/>
    <w:rsid w:val="005F12DC"/>
    <w:rsid w:val="00603E80"/>
    <w:rsid w:val="006043A3"/>
    <w:rsid w:val="006043AC"/>
    <w:rsid w:val="00610505"/>
    <w:rsid w:val="0061136A"/>
    <w:rsid w:val="00611D97"/>
    <w:rsid w:val="00616037"/>
    <w:rsid w:val="00617082"/>
    <w:rsid w:val="006170C8"/>
    <w:rsid w:val="006203CA"/>
    <w:rsid w:val="00624672"/>
    <w:rsid w:val="006250CD"/>
    <w:rsid w:val="0062675D"/>
    <w:rsid w:val="00633FF0"/>
    <w:rsid w:val="00640EB7"/>
    <w:rsid w:val="00643F35"/>
    <w:rsid w:val="00647DDF"/>
    <w:rsid w:val="00654526"/>
    <w:rsid w:val="00660E06"/>
    <w:rsid w:val="00665E2C"/>
    <w:rsid w:val="00670B3B"/>
    <w:rsid w:val="006735E5"/>
    <w:rsid w:val="00673D41"/>
    <w:rsid w:val="0067583A"/>
    <w:rsid w:val="00676F6C"/>
    <w:rsid w:val="00677116"/>
    <w:rsid w:val="0067774A"/>
    <w:rsid w:val="006837E5"/>
    <w:rsid w:val="0068431B"/>
    <w:rsid w:val="00684621"/>
    <w:rsid w:val="00693194"/>
    <w:rsid w:val="006A161B"/>
    <w:rsid w:val="006A5AE0"/>
    <w:rsid w:val="006B08C3"/>
    <w:rsid w:val="006B2B1F"/>
    <w:rsid w:val="006B3F8B"/>
    <w:rsid w:val="006B6332"/>
    <w:rsid w:val="006B742A"/>
    <w:rsid w:val="006C222D"/>
    <w:rsid w:val="006C3BBA"/>
    <w:rsid w:val="006C58D6"/>
    <w:rsid w:val="006C6372"/>
    <w:rsid w:val="006D2EC3"/>
    <w:rsid w:val="006D529F"/>
    <w:rsid w:val="006D6072"/>
    <w:rsid w:val="006E3A3D"/>
    <w:rsid w:val="006F1525"/>
    <w:rsid w:val="006F3346"/>
    <w:rsid w:val="006F6395"/>
    <w:rsid w:val="00701948"/>
    <w:rsid w:val="00703067"/>
    <w:rsid w:val="00706017"/>
    <w:rsid w:val="007079FD"/>
    <w:rsid w:val="00710020"/>
    <w:rsid w:val="00712134"/>
    <w:rsid w:val="00714D30"/>
    <w:rsid w:val="00722C6A"/>
    <w:rsid w:val="0072500B"/>
    <w:rsid w:val="0072729D"/>
    <w:rsid w:val="0073073E"/>
    <w:rsid w:val="00730C1C"/>
    <w:rsid w:val="0073174C"/>
    <w:rsid w:val="00732ACB"/>
    <w:rsid w:val="00734B03"/>
    <w:rsid w:val="007379B5"/>
    <w:rsid w:val="0074129A"/>
    <w:rsid w:val="007420C4"/>
    <w:rsid w:val="007425B2"/>
    <w:rsid w:val="00746CCA"/>
    <w:rsid w:val="00746CD4"/>
    <w:rsid w:val="00752B36"/>
    <w:rsid w:val="00754DDA"/>
    <w:rsid w:val="00756A6D"/>
    <w:rsid w:val="0076396C"/>
    <w:rsid w:val="00766D6A"/>
    <w:rsid w:val="00773C82"/>
    <w:rsid w:val="00774105"/>
    <w:rsid w:val="00774FDB"/>
    <w:rsid w:val="0077783D"/>
    <w:rsid w:val="00780331"/>
    <w:rsid w:val="007808D1"/>
    <w:rsid w:val="00781BF2"/>
    <w:rsid w:val="00781D6A"/>
    <w:rsid w:val="0078221E"/>
    <w:rsid w:val="007832B2"/>
    <w:rsid w:val="007902D2"/>
    <w:rsid w:val="00790AB5"/>
    <w:rsid w:val="00790C84"/>
    <w:rsid w:val="0079274D"/>
    <w:rsid w:val="007A0DE1"/>
    <w:rsid w:val="007A0FC2"/>
    <w:rsid w:val="007A1C2F"/>
    <w:rsid w:val="007A4590"/>
    <w:rsid w:val="007A714C"/>
    <w:rsid w:val="007B0C75"/>
    <w:rsid w:val="007B333E"/>
    <w:rsid w:val="007B3BE3"/>
    <w:rsid w:val="007B6A78"/>
    <w:rsid w:val="007C0CEC"/>
    <w:rsid w:val="007C0FE9"/>
    <w:rsid w:val="007C306F"/>
    <w:rsid w:val="007C3235"/>
    <w:rsid w:val="007C5031"/>
    <w:rsid w:val="007D4153"/>
    <w:rsid w:val="007D544C"/>
    <w:rsid w:val="007D593B"/>
    <w:rsid w:val="007D66A4"/>
    <w:rsid w:val="007D6A71"/>
    <w:rsid w:val="007E05BD"/>
    <w:rsid w:val="007E0DB6"/>
    <w:rsid w:val="007E474C"/>
    <w:rsid w:val="007E5D2D"/>
    <w:rsid w:val="007F3278"/>
    <w:rsid w:val="007F51FF"/>
    <w:rsid w:val="008028B3"/>
    <w:rsid w:val="00803638"/>
    <w:rsid w:val="00816074"/>
    <w:rsid w:val="0082126D"/>
    <w:rsid w:val="008262F8"/>
    <w:rsid w:val="00836159"/>
    <w:rsid w:val="008369DE"/>
    <w:rsid w:val="00840DA3"/>
    <w:rsid w:val="008428C7"/>
    <w:rsid w:val="008456E1"/>
    <w:rsid w:val="008507E1"/>
    <w:rsid w:val="00852D24"/>
    <w:rsid w:val="00853176"/>
    <w:rsid w:val="00856B02"/>
    <w:rsid w:val="00866E1E"/>
    <w:rsid w:val="00867A25"/>
    <w:rsid w:val="008733F6"/>
    <w:rsid w:val="00873CCE"/>
    <w:rsid w:val="00875AB8"/>
    <w:rsid w:val="00882F34"/>
    <w:rsid w:val="00883C07"/>
    <w:rsid w:val="008845D2"/>
    <w:rsid w:val="0088641A"/>
    <w:rsid w:val="008879F4"/>
    <w:rsid w:val="00887CA0"/>
    <w:rsid w:val="00890915"/>
    <w:rsid w:val="00891533"/>
    <w:rsid w:val="00893731"/>
    <w:rsid w:val="008A09F4"/>
    <w:rsid w:val="008A2F3B"/>
    <w:rsid w:val="008A43F4"/>
    <w:rsid w:val="008A45BF"/>
    <w:rsid w:val="008A45CD"/>
    <w:rsid w:val="008A5161"/>
    <w:rsid w:val="008A53CC"/>
    <w:rsid w:val="008A7920"/>
    <w:rsid w:val="008B2938"/>
    <w:rsid w:val="008B4509"/>
    <w:rsid w:val="008B59A4"/>
    <w:rsid w:val="008C5CC1"/>
    <w:rsid w:val="008D118A"/>
    <w:rsid w:val="008D1AF0"/>
    <w:rsid w:val="008D3E97"/>
    <w:rsid w:val="008D4F63"/>
    <w:rsid w:val="008D53B7"/>
    <w:rsid w:val="008E1CA3"/>
    <w:rsid w:val="008E3AED"/>
    <w:rsid w:val="008F1D74"/>
    <w:rsid w:val="008F280A"/>
    <w:rsid w:val="008F5763"/>
    <w:rsid w:val="0090223C"/>
    <w:rsid w:val="009027D1"/>
    <w:rsid w:val="00902D67"/>
    <w:rsid w:val="009030F1"/>
    <w:rsid w:val="009046CB"/>
    <w:rsid w:val="009108E5"/>
    <w:rsid w:val="0091694D"/>
    <w:rsid w:val="00927288"/>
    <w:rsid w:val="00927FFB"/>
    <w:rsid w:val="009318A3"/>
    <w:rsid w:val="00931C8E"/>
    <w:rsid w:val="00933D45"/>
    <w:rsid w:val="00937AA6"/>
    <w:rsid w:val="00940346"/>
    <w:rsid w:val="0094303B"/>
    <w:rsid w:val="009455F5"/>
    <w:rsid w:val="009507E1"/>
    <w:rsid w:val="0095470A"/>
    <w:rsid w:val="00954C48"/>
    <w:rsid w:val="009640AA"/>
    <w:rsid w:val="00965106"/>
    <w:rsid w:val="00970E97"/>
    <w:rsid w:val="00974BF4"/>
    <w:rsid w:val="00975CA6"/>
    <w:rsid w:val="0097752A"/>
    <w:rsid w:val="00990689"/>
    <w:rsid w:val="009913D9"/>
    <w:rsid w:val="00991E64"/>
    <w:rsid w:val="00994089"/>
    <w:rsid w:val="00997B03"/>
    <w:rsid w:val="009A3896"/>
    <w:rsid w:val="009A38C6"/>
    <w:rsid w:val="009B058E"/>
    <w:rsid w:val="009B0FBF"/>
    <w:rsid w:val="009B7B34"/>
    <w:rsid w:val="009C05ED"/>
    <w:rsid w:val="009C12FB"/>
    <w:rsid w:val="009C3461"/>
    <w:rsid w:val="009D58CC"/>
    <w:rsid w:val="009D6EAF"/>
    <w:rsid w:val="009E7E85"/>
    <w:rsid w:val="009F0BA9"/>
    <w:rsid w:val="009F13AE"/>
    <w:rsid w:val="009F24EC"/>
    <w:rsid w:val="009F3057"/>
    <w:rsid w:val="009F46D5"/>
    <w:rsid w:val="009F577D"/>
    <w:rsid w:val="00A04033"/>
    <w:rsid w:val="00A135CC"/>
    <w:rsid w:val="00A235E0"/>
    <w:rsid w:val="00A23CB5"/>
    <w:rsid w:val="00A242A9"/>
    <w:rsid w:val="00A323BC"/>
    <w:rsid w:val="00A47CA9"/>
    <w:rsid w:val="00A533E3"/>
    <w:rsid w:val="00A55EEF"/>
    <w:rsid w:val="00A55FEC"/>
    <w:rsid w:val="00A569F4"/>
    <w:rsid w:val="00A56D8C"/>
    <w:rsid w:val="00A5722E"/>
    <w:rsid w:val="00A61206"/>
    <w:rsid w:val="00A71347"/>
    <w:rsid w:val="00A71D92"/>
    <w:rsid w:val="00A804CC"/>
    <w:rsid w:val="00A81109"/>
    <w:rsid w:val="00A8154A"/>
    <w:rsid w:val="00A82870"/>
    <w:rsid w:val="00A87366"/>
    <w:rsid w:val="00AA50F8"/>
    <w:rsid w:val="00AA5264"/>
    <w:rsid w:val="00AA5520"/>
    <w:rsid w:val="00AA6817"/>
    <w:rsid w:val="00AB0319"/>
    <w:rsid w:val="00AB1CA7"/>
    <w:rsid w:val="00AB55F7"/>
    <w:rsid w:val="00AB5814"/>
    <w:rsid w:val="00AB7341"/>
    <w:rsid w:val="00AC3057"/>
    <w:rsid w:val="00AC7FE6"/>
    <w:rsid w:val="00AD0DFD"/>
    <w:rsid w:val="00AD131C"/>
    <w:rsid w:val="00AD49DE"/>
    <w:rsid w:val="00AE0CBD"/>
    <w:rsid w:val="00AE1E2A"/>
    <w:rsid w:val="00AE625C"/>
    <w:rsid w:val="00AF6229"/>
    <w:rsid w:val="00B07502"/>
    <w:rsid w:val="00B16F61"/>
    <w:rsid w:val="00B20620"/>
    <w:rsid w:val="00B2180D"/>
    <w:rsid w:val="00B220A0"/>
    <w:rsid w:val="00B24136"/>
    <w:rsid w:val="00B24A8C"/>
    <w:rsid w:val="00B30818"/>
    <w:rsid w:val="00B34039"/>
    <w:rsid w:val="00B3418A"/>
    <w:rsid w:val="00B342C9"/>
    <w:rsid w:val="00B36D97"/>
    <w:rsid w:val="00B37840"/>
    <w:rsid w:val="00B40108"/>
    <w:rsid w:val="00B41959"/>
    <w:rsid w:val="00B42318"/>
    <w:rsid w:val="00B425E0"/>
    <w:rsid w:val="00B46991"/>
    <w:rsid w:val="00B50237"/>
    <w:rsid w:val="00B56485"/>
    <w:rsid w:val="00B57D4B"/>
    <w:rsid w:val="00B60BF4"/>
    <w:rsid w:val="00B648B9"/>
    <w:rsid w:val="00B66F85"/>
    <w:rsid w:val="00B67316"/>
    <w:rsid w:val="00B71235"/>
    <w:rsid w:val="00B71BA4"/>
    <w:rsid w:val="00B71F42"/>
    <w:rsid w:val="00B752D4"/>
    <w:rsid w:val="00B8288C"/>
    <w:rsid w:val="00B85A57"/>
    <w:rsid w:val="00B91B61"/>
    <w:rsid w:val="00B95DDE"/>
    <w:rsid w:val="00BA09F9"/>
    <w:rsid w:val="00BA6DDA"/>
    <w:rsid w:val="00BB027C"/>
    <w:rsid w:val="00BB0D2E"/>
    <w:rsid w:val="00BB2AD9"/>
    <w:rsid w:val="00BB5BE6"/>
    <w:rsid w:val="00BC6E84"/>
    <w:rsid w:val="00BD19DA"/>
    <w:rsid w:val="00BD2E2A"/>
    <w:rsid w:val="00BD73A9"/>
    <w:rsid w:val="00BD774A"/>
    <w:rsid w:val="00BE2943"/>
    <w:rsid w:val="00BF6058"/>
    <w:rsid w:val="00BF7FD2"/>
    <w:rsid w:val="00C00401"/>
    <w:rsid w:val="00C0070D"/>
    <w:rsid w:val="00C01821"/>
    <w:rsid w:val="00C05CAB"/>
    <w:rsid w:val="00C20E2E"/>
    <w:rsid w:val="00C24393"/>
    <w:rsid w:val="00C257AC"/>
    <w:rsid w:val="00C3097A"/>
    <w:rsid w:val="00C44950"/>
    <w:rsid w:val="00C46F62"/>
    <w:rsid w:val="00C53D63"/>
    <w:rsid w:val="00C53E60"/>
    <w:rsid w:val="00C54EE5"/>
    <w:rsid w:val="00C56068"/>
    <w:rsid w:val="00C560AA"/>
    <w:rsid w:val="00C60343"/>
    <w:rsid w:val="00C64109"/>
    <w:rsid w:val="00C72449"/>
    <w:rsid w:val="00C763E0"/>
    <w:rsid w:val="00C77FBE"/>
    <w:rsid w:val="00C808A6"/>
    <w:rsid w:val="00C840C7"/>
    <w:rsid w:val="00C849D8"/>
    <w:rsid w:val="00C86B9C"/>
    <w:rsid w:val="00CA1764"/>
    <w:rsid w:val="00CA36B4"/>
    <w:rsid w:val="00CB2E18"/>
    <w:rsid w:val="00CB74EC"/>
    <w:rsid w:val="00CC1CA7"/>
    <w:rsid w:val="00CC4FE9"/>
    <w:rsid w:val="00CC7EF7"/>
    <w:rsid w:val="00CD014F"/>
    <w:rsid w:val="00CD7FBF"/>
    <w:rsid w:val="00CE0A16"/>
    <w:rsid w:val="00CE4489"/>
    <w:rsid w:val="00CF07CE"/>
    <w:rsid w:val="00CF07FA"/>
    <w:rsid w:val="00CF2448"/>
    <w:rsid w:val="00CF676B"/>
    <w:rsid w:val="00CF704E"/>
    <w:rsid w:val="00D026C7"/>
    <w:rsid w:val="00D04DBD"/>
    <w:rsid w:val="00D14138"/>
    <w:rsid w:val="00D152D7"/>
    <w:rsid w:val="00D2107E"/>
    <w:rsid w:val="00D210D6"/>
    <w:rsid w:val="00D223CE"/>
    <w:rsid w:val="00D226B8"/>
    <w:rsid w:val="00D248A0"/>
    <w:rsid w:val="00D35402"/>
    <w:rsid w:val="00D35E07"/>
    <w:rsid w:val="00D37421"/>
    <w:rsid w:val="00D37BAB"/>
    <w:rsid w:val="00D429B7"/>
    <w:rsid w:val="00D42F5E"/>
    <w:rsid w:val="00D46C40"/>
    <w:rsid w:val="00D538E7"/>
    <w:rsid w:val="00D54994"/>
    <w:rsid w:val="00D60EB8"/>
    <w:rsid w:val="00D6197E"/>
    <w:rsid w:val="00D64969"/>
    <w:rsid w:val="00D64F6A"/>
    <w:rsid w:val="00D74E8A"/>
    <w:rsid w:val="00D74F3B"/>
    <w:rsid w:val="00D76434"/>
    <w:rsid w:val="00D810CE"/>
    <w:rsid w:val="00D82EEB"/>
    <w:rsid w:val="00D8306A"/>
    <w:rsid w:val="00D83E51"/>
    <w:rsid w:val="00D8758C"/>
    <w:rsid w:val="00D90E28"/>
    <w:rsid w:val="00D92329"/>
    <w:rsid w:val="00DA5154"/>
    <w:rsid w:val="00DA6D1F"/>
    <w:rsid w:val="00DB1D4B"/>
    <w:rsid w:val="00DB3398"/>
    <w:rsid w:val="00DB466C"/>
    <w:rsid w:val="00DB508A"/>
    <w:rsid w:val="00DB5460"/>
    <w:rsid w:val="00DC017F"/>
    <w:rsid w:val="00DC48E4"/>
    <w:rsid w:val="00DC54F5"/>
    <w:rsid w:val="00DC5C13"/>
    <w:rsid w:val="00DC631E"/>
    <w:rsid w:val="00DC76BC"/>
    <w:rsid w:val="00DD20BD"/>
    <w:rsid w:val="00DD478E"/>
    <w:rsid w:val="00DD6701"/>
    <w:rsid w:val="00DE08C9"/>
    <w:rsid w:val="00DE1276"/>
    <w:rsid w:val="00DE2A2D"/>
    <w:rsid w:val="00DE7C6C"/>
    <w:rsid w:val="00DE7CFB"/>
    <w:rsid w:val="00DF111E"/>
    <w:rsid w:val="00DF1DC5"/>
    <w:rsid w:val="00DF6CAC"/>
    <w:rsid w:val="00E03153"/>
    <w:rsid w:val="00E04C3C"/>
    <w:rsid w:val="00E0526E"/>
    <w:rsid w:val="00E105F5"/>
    <w:rsid w:val="00E13F37"/>
    <w:rsid w:val="00E16054"/>
    <w:rsid w:val="00E21CF1"/>
    <w:rsid w:val="00E23488"/>
    <w:rsid w:val="00E23491"/>
    <w:rsid w:val="00E27A2D"/>
    <w:rsid w:val="00E30E30"/>
    <w:rsid w:val="00E50D3D"/>
    <w:rsid w:val="00E53AFB"/>
    <w:rsid w:val="00E64AC5"/>
    <w:rsid w:val="00E6528E"/>
    <w:rsid w:val="00E658F1"/>
    <w:rsid w:val="00E6720F"/>
    <w:rsid w:val="00E74DD6"/>
    <w:rsid w:val="00E764D6"/>
    <w:rsid w:val="00E846DA"/>
    <w:rsid w:val="00E84C32"/>
    <w:rsid w:val="00E85DCF"/>
    <w:rsid w:val="00E87A21"/>
    <w:rsid w:val="00E93770"/>
    <w:rsid w:val="00E97586"/>
    <w:rsid w:val="00E97DF6"/>
    <w:rsid w:val="00EA2927"/>
    <w:rsid w:val="00EA3D5D"/>
    <w:rsid w:val="00EB76CE"/>
    <w:rsid w:val="00EC0C15"/>
    <w:rsid w:val="00EC7346"/>
    <w:rsid w:val="00ED2A60"/>
    <w:rsid w:val="00ED3F80"/>
    <w:rsid w:val="00ED5793"/>
    <w:rsid w:val="00EE1A02"/>
    <w:rsid w:val="00EE34D9"/>
    <w:rsid w:val="00EE4827"/>
    <w:rsid w:val="00EE5457"/>
    <w:rsid w:val="00EF18FA"/>
    <w:rsid w:val="00EF2D18"/>
    <w:rsid w:val="00EF51ED"/>
    <w:rsid w:val="00EF5AE3"/>
    <w:rsid w:val="00EF67F6"/>
    <w:rsid w:val="00EF7E81"/>
    <w:rsid w:val="00F01B23"/>
    <w:rsid w:val="00F11FA7"/>
    <w:rsid w:val="00F127C4"/>
    <w:rsid w:val="00F14CA0"/>
    <w:rsid w:val="00F170E4"/>
    <w:rsid w:val="00F17417"/>
    <w:rsid w:val="00F20F21"/>
    <w:rsid w:val="00F21219"/>
    <w:rsid w:val="00F27FF2"/>
    <w:rsid w:val="00F408F1"/>
    <w:rsid w:val="00F46E4C"/>
    <w:rsid w:val="00F47B8D"/>
    <w:rsid w:val="00F50C8B"/>
    <w:rsid w:val="00F638FC"/>
    <w:rsid w:val="00F660A2"/>
    <w:rsid w:val="00F674A1"/>
    <w:rsid w:val="00F74118"/>
    <w:rsid w:val="00F82812"/>
    <w:rsid w:val="00F832E0"/>
    <w:rsid w:val="00F858DF"/>
    <w:rsid w:val="00F913CE"/>
    <w:rsid w:val="00F91ECA"/>
    <w:rsid w:val="00F9245E"/>
    <w:rsid w:val="00F93BB8"/>
    <w:rsid w:val="00F9506A"/>
    <w:rsid w:val="00F97809"/>
    <w:rsid w:val="00FA0ED4"/>
    <w:rsid w:val="00FA1289"/>
    <w:rsid w:val="00FA6250"/>
    <w:rsid w:val="00FB3560"/>
    <w:rsid w:val="00FB452D"/>
    <w:rsid w:val="00FB59A4"/>
    <w:rsid w:val="00FB5DFC"/>
    <w:rsid w:val="00FC0437"/>
    <w:rsid w:val="00FC149F"/>
    <w:rsid w:val="00FC29D2"/>
    <w:rsid w:val="00FC342D"/>
    <w:rsid w:val="00FC37F8"/>
    <w:rsid w:val="00FC646B"/>
    <w:rsid w:val="00FC773E"/>
    <w:rsid w:val="00FD134B"/>
    <w:rsid w:val="00FD1637"/>
    <w:rsid w:val="00FD32E2"/>
    <w:rsid w:val="00FD3C4C"/>
    <w:rsid w:val="00FE04AF"/>
    <w:rsid w:val="00FE1441"/>
    <w:rsid w:val="00FE33FC"/>
    <w:rsid w:val="00FE7439"/>
    <w:rsid w:val="00FF12C6"/>
    <w:rsid w:val="00FF3981"/>
    <w:rsid w:val="00FF4E6C"/>
    <w:rsid w:val="00FF5589"/>
    <w:rsid w:val="09AD4A54"/>
    <w:rsid w:val="0A7FADF5"/>
    <w:rsid w:val="308667CF"/>
    <w:rsid w:val="40B3C501"/>
    <w:rsid w:val="40B3C501"/>
    <w:rsid w:val="45ED05C8"/>
    <w:rsid w:val="4A0F0F77"/>
    <w:rsid w:val="5B1D8C19"/>
    <w:rsid w:val="6772EFC1"/>
    <w:rsid w:val="6E6C7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245E1"/>
  <w15:chartTrackingRefBased/>
  <w15:docId w15:val="{6BB253A3-45BF-4859-9669-54536105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aliases w:val="Normal_thesis"/>
    <w:qFormat/>
    <w:rsid w:val="00F674A1"/>
    <w:pPr>
      <w:spacing w:line="360" w:lineRule="auto"/>
    </w:pPr>
  </w:style>
  <w:style w:type="paragraph" w:styleId="Heading1">
    <w:name w:val="heading 1"/>
    <w:basedOn w:val="Normal"/>
    <w:next w:val="Normal"/>
    <w:link w:val="Heading1Char"/>
    <w:autoRedefine/>
    <w:uiPriority w:val="9"/>
    <w:qFormat/>
    <w:rsid w:val="008A53CC"/>
    <w:pPr>
      <w:keepNext/>
      <w:keepLines/>
      <w:spacing w:before="240" w:after="240" w:line="480" w:lineRule="auto"/>
      <w:outlineLvl w:val="0"/>
    </w:pPr>
    <w:rPr>
      <w:rFonts w:asciiTheme="majorHAnsi" w:hAnsiTheme="majorHAnsi" w:eastAsiaTheme="majorEastAsia" w:cstheme="majorBidi"/>
      <w:b/>
      <w:color w:val="1F4E79" w:themeColor="accent1" w:themeShade="80"/>
      <w:sz w:val="32"/>
      <w:szCs w:val="32"/>
    </w:rPr>
  </w:style>
  <w:style w:type="paragraph" w:styleId="Heading2">
    <w:name w:val="heading 2"/>
    <w:basedOn w:val="Normal"/>
    <w:next w:val="Normal"/>
    <w:link w:val="Heading2Char"/>
    <w:autoRedefine/>
    <w:uiPriority w:val="9"/>
    <w:unhideWhenUsed/>
    <w:qFormat/>
    <w:rsid w:val="00FF4E6C"/>
    <w:pPr>
      <w:keepNext/>
      <w:keepLines/>
      <w:spacing w:before="40" w:line="480" w:lineRule="auto"/>
      <w:outlineLvl w:val="1"/>
    </w:pPr>
    <w:rPr>
      <w:rFonts w:asciiTheme="majorHAnsi" w:hAnsiTheme="majorHAnsi" w:eastAsiaTheme="majorEastAsia" w:cstheme="majorBidi"/>
      <w:color w:val="1F4E79" w:themeColor="accent1" w:themeShade="80"/>
      <w:sz w:val="28"/>
      <w:szCs w:val="26"/>
    </w:rPr>
  </w:style>
  <w:style w:type="paragraph" w:styleId="Heading3">
    <w:name w:val="heading 3"/>
    <w:basedOn w:val="Normal"/>
    <w:next w:val="Normal"/>
    <w:link w:val="Heading3Char"/>
    <w:uiPriority w:val="9"/>
    <w:unhideWhenUsed/>
    <w:qFormat/>
    <w:rsid w:val="00F674A1"/>
    <w:pPr>
      <w:keepNext/>
      <w:keepLines/>
      <w:spacing w:before="40"/>
      <w:outlineLvl w:val="2"/>
    </w:pPr>
    <w:rPr>
      <w:rFonts w:asciiTheme="majorHAnsi" w:hAnsiTheme="majorHAnsi" w:eastAsiaTheme="majorEastAsia" w:cstheme="majorBidi"/>
      <w:color w:val="1F4D78" w:themeColor="accent1" w:themeShade="7F"/>
    </w:rPr>
  </w:style>
  <w:style w:type="paragraph" w:styleId="Heading4">
    <w:name w:val="heading 4"/>
    <w:basedOn w:val="Heading3"/>
    <w:next w:val="Normal"/>
    <w:link w:val="Heading4Char"/>
    <w:autoRedefine/>
    <w:unhideWhenUsed/>
    <w:qFormat/>
    <w:rsid w:val="00C56068"/>
    <w:pPr>
      <w:outlineLvl w:val="3"/>
    </w:pPr>
  </w:style>
  <w:style w:type="paragraph" w:styleId="Heading5">
    <w:name w:val="heading 5"/>
    <w:basedOn w:val="Normal"/>
    <w:next w:val="Normal"/>
    <w:link w:val="Heading5Char"/>
    <w:uiPriority w:val="9"/>
    <w:unhideWhenUsed/>
    <w:qFormat/>
    <w:rsid w:val="00F674A1"/>
    <w:pPr>
      <w:keepNext/>
      <w:keepLines/>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qFormat/>
    <w:rsid w:val="00F674A1"/>
    <w:pPr>
      <w:keepNext/>
      <w:keepLines/>
      <w:spacing w:before="200" w:after="40" w:line="240" w:lineRule="auto"/>
      <w:contextualSpacing/>
      <w:outlineLvl w:val="5"/>
    </w:pPr>
    <w:rPr>
      <w:i/>
      <w:color w:val="2E74B5" w:themeColor="accent1" w:themeShade="BF"/>
      <w:szCs w:val="20"/>
    </w:rPr>
  </w:style>
  <w:style w:type="paragraph" w:styleId="Heading7">
    <w:name w:val="heading 7"/>
    <w:basedOn w:val="Normal"/>
    <w:next w:val="Normal"/>
    <w:link w:val="Heading7Char"/>
    <w:unhideWhenUsed/>
    <w:qFormat/>
    <w:rsid w:val="009455F5"/>
    <w:pPr>
      <w:keepNext/>
      <w:keepLines/>
      <w:spacing w:before="40"/>
      <w:outlineLvl w:val="6"/>
    </w:pPr>
    <w:rPr>
      <w:rFonts w:asciiTheme="majorHAnsi" w:hAnsiTheme="majorHAnsi" w:eastAsiaTheme="majorEastAsia" w:cstheme="majorBidi"/>
      <w:i/>
      <w:iCs/>
      <w:color w:val="1F4D78" w:themeColor="accent1" w:themeShade="7F"/>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qFormat/>
    <w:rsid w:val="00F674A1"/>
    <w:pPr>
      <w:tabs>
        <w:tab w:val="center" w:pos="4513"/>
        <w:tab w:val="right" w:pos="9026"/>
      </w:tabs>
    </w:pPr>
  </w:style>
  <w:style w:type="character" w:styleId="FooterChar" w:customStyle="1">
    <w:name w:val="Footer Char"/>
    <w:basedOn w:val="DefaultParagraphFont"/>
    <w:link w:val="Footer"/>
    <w:uiPriority w:val="99"/>
    <w:rsid w:val="00F674A1"/>
  </w:style>
  <w:style w:type="paragraph" w:styleId="Newnormal" w:customStyle="1">
    <w:name w:val="New normal"/>
    <w:basedOn w:val="Normal"/>
    <w:link w:val="NewnormalChar"/>
    <w:qFormat/>
    <w:rsid w:val="00F674A1"/>
    <w:pPr>
      <w:spacing w:line="480" w:lineRule="auto"/>
    </w:pPr>
    <w:rPr>
      <w:rFonts w:asciiTheme="majorHAnsi" w:hAnsiTheme="majorHAnsi" w:eastAsiaTheme="majorEastAsia" w:cstheme="majorBidi"/>
      <w:szCs w:val="32"/>
    </w:rPr>
  </w:style>
  <w:style w:type="character" w:styleId="NewnormalChar" w:customStyle="1">
    <w:name w:val="New normal Char"/>
    <w:basedOn w:val="DefaultParagraphFont"/>
    <w:link w:val="Newnormal"/>
    <w:rsid w:val="00F674A1"/>
    <w:rPr>
      <w:rFonts w:asciiTheme="majorHAnsi" w:hAnsiTheme="majorHAnsi" w:eastAsiaTheme="majorEastAsia" w:cstheme="majorBidi"/>
      <w:szCs w:val="32"/>
    </w:rPr>
  </w:style>
  <w:style w:type="character" w:styleId="Heading1Char" w:customStyle="1">
    <w:name w:val="Heading 1 Char"/>
    <w:basedOn w:val="DefaultParagraphFont"/>
    <w:link w:val="Heading1"/>
    <w:uiPriority w:val="9"/>
    <w:rsid w:val="008A53CC"/>
    <w:rPr>
      <w:rFonts w:asciiTheme="majorHAnsi" w:hAnsiTheme="majorHAnsi" w:eastAsiaTheme="majorEastAsia" w:cstheme="majorBidi"/>
      <w:b/>
      <w:color w:val="1F4E79" w:themeColor="accent1" w:themeShade="80"/>
      <w:sz w:val="32"/>
      <w:szCs w:val="32"/>
    </w:rPr>
  </w:style>
  <w:style w:type="character" w:styleId="Heading3Char" w:customStyle="1">
    <w:name w:val="Heading 3 Char"/>
    <w:basedOn w:val="DefaultParagraphFont"/>
    <w:link w:val="Heading3"/>
    <w:uiPriority w:val="9"/>
    <w:rsid w:val="00F674A1"/>
    <w:rPr>
      <w:rFonts w:asciiTheme="majorHAnsi" w:hAnsiTheme="majorHAnsi" w:eastAsiaTheme="majorEastAsia" w:cstheme="majorBidi"/>
      <w:color w:val="1F4D78" w:themeColor="accent1" w:themeShade="7F"/>
    </w:rPr>
  </w:style>
  <w:style w:type="character" w:styleId="Heading2Char" w:customStyle="1">
    <w:name w:val="Heading 2 Char"/>
    <w:basedOn w:val="DefaultParagraphFont"/>
    <w:link w:val="Heading2"/>
    <w:uiPriority w:val="9"/>
    <w:rsid w:val="00FF4E6C"/>
    <w:rPr>
      <w:rFonts w:asciiTheme="majorHAnsi" w:hAnsiTheme="majorHAnsi" w:eastAsiaTheme="majorEastAsia" w:cstheme="majorBidi"/>
      <w:color w:val="1F4E79" w:themeColor="accent1" w:themeShade="80"/>
      <w:sz w:val="28"/>
      <w:szCs w:val="26"/>
    </w:rPr>
  </w:style>
  <w:style w:type="character" w:styleId="Heading4Char" w:customStyle="1">
    <w:name w:val="Heading 4 Char"/>
    <w:basedOn w:val="DefaultParagraphFont"/>
    <w:link w:val="Heading4"/>
    <w:rsid w:val="00C56068"/>
    <w:rPr>
      <w:rFonts w:asciiTheme="majorHAnsi" w:hAnsiTheme="majorHAnsi" w:eastAsiaTheme="majorEastAsia" w:cstheme="majorBidi"/>
      <w:color w:val="1F4D78" w:themeColor="accent1" w:themeShade="7F"/>
    </w:rPr>
  </w:style>
  <w:style w:type="paragraph" w:styleId="Caption">
    <w:name w:val="caption"/>
    <w:basedOn w:val="Normal"/>
    <w:next w:val="Normal"/>
    <w:uiPriority w:val="35"/>
    <w:unhideWhenUsed/>
    <w:qFormat/>
    <w:rsid w:val="00F674A1"/>
    <w:pPr>
      <w:spacing w:after="200"/>
    </w:pPr>
    <w:rPr>
      <w:i/>
      <w:iCs/>
      <w:color w:val="44546A" w:themeColor="text2"/>
      <w:szCs w:val="18"/>
    </w:rPr>
  </w:style>
  <w:style w:type="paragraph" w:styleId="CommentText">
    <w:name w:val="annotation text"/>
    <w:basedOn w:val="Normal"/>
    <w:link w:val="CommentTextChar"/>
    <w:uiPriority w:val="99"/>
    <w:unhideWhenUsed/>
    <w:rsid w:val="00F674A1"/>
  </w:style>
  <w:style w:type="character" w:styleId="CommentTextChar" w:customStyle="1">
    <w:name w:val="Comment Text Char"/>
    <w:basedOn w:val="DefaultParagraphFont"/>
    <w:link w:val="CommentText"/>
    <w:uiPriority w:val="99"/>
    <w:rsid w:val="00F674A1"/>
  </w:style>
  <w:style w:type="paragraph" w:styleId="Header">
    <w:name w:val="header"/>
    <w:basedOn w:val="Normal"/>
    <w:link w:val="HeaderChar"/>
    <w:uiPriority w:val="99"/>
    <w:unhideWhenUsed/>
    <w:rsid w:val="00F674A1"/>
    <w:pPr>
      <w:tabs>
        <w:tab w:val="center" w:pos="4513"/>
        <w:tab w:val="right" w:pos="9026"/>
      </w:tabs>
    </w:pPr>
  </w:style>
  <w:style w:type="character" w:styleId="HeaderChar" w:customStyle="1">
    <w:name w:val="Header Char"/>
    <w:basedOn w:val="DefaultParagraphFont"/>
    <w:link w:val="Header"/>
    <w:uiPriority w:val="99"/>
    <w:rsid w:val="00F674A1"/>
  </w:style>
  <w:style w:type="character" w:styleId="CommentReference">
    <w:name w:val="annotation reference"/>
    <w:basedOn w:val="DefaultParagraphFont"/>
    <w:uiPriority w:val="99"/>
    <w:semiHidden/>
    <w:unhideWhenUsed/>
    <w:rsid w:val="00F674A1"/>
    <w:rPr>
      <w:sz w:val="18"/>
      <w:szCs w:val="18"/>
    </w:rPr>
  </w:style>
  <w:style w:type="paragraph" w:styleId="Subtitle">
    <w:name w:val="Subtitle"/>
    <w:basedOn w:val="Normal"/>
    <w:next w:val="Normal"/>
    <w:link w:val="SubtitleChar"/>
    <w:uiPriority w:val="11"/>
    <w:qFormat/>
    <w:rsid w:val="00F674A1"/>
    <w:pPr>
      <w:numPr>
        <w:ilvl w:val="1"/>
      </w:numPr>
      <w:spacing w:after="160"/>
    </w:pPr>
    <w:rPr>
      <w:rFonts w:eastAsiaTheme="minorEastAsia"/>
      <w:color w:val="5A5A5A" w:themeColor="text1" w:themeTint="A5"/>
      <w:spacing w:val="15"/>
      <w:sz w:val="22"/>
      <w:szCs w:val="22"/>
    </w:rPr>
  </w:style>
  <w:style w:type="character" w:styleId="SubtitleChar" w:customStyle="1">
    <w:name w:val="Subtitle Char"/>
    <w:basedOn w:val="DefaultParagraphFont"/>
    <w:link w:val="Subtitle"/>
    <w:uiPriority w:val="11"/>
    <w:rsid w:val="00F674A1"/>
    <w:rPr>
      <w:rFonts w:eastAsiaTheme="minorEastAsia"/>
      <w:color w:val="5A5A5A" w:themeColor="text1" w:themeTint="A5"/>
      <w:spacing w:val="15"/>
      <w:sz w:val="22"/>
      <w:szCs w:val="22"/>
    </w:rPr>
  </w:style>
  <w:style w:type="paragraph" w:styleId="BalloonText">
    <w:name w:val="Balloon Text"/>
    <w:basedOn w:val="Normal"/>
    <w:link w:val="BalloonTextChar"/>
    <w:uiPriority w:val="99"/>
    <w:semiHidden/>
    <w:unhideWhenUsed/>
    <w:rsid w:val="00F674A1"/>
    <w:rPr>
      <w:rFonts w:ascii="Times New Roman" w:hAnsi="Times New Roman" w:cs="Segoe UI"/>
      <w:sz w:val="18"/>
      <w:szCs w:val="18"/>
    </w:rPr>
  </w:style>
  <w:style w:type="character" w:styleId="BalloonTextChar" w:customStyle="1">
    <w:name w:val="Balloon Text Char"/>
    <w:basedOn w:val="DefaultParagraphFont"/>
    <w:link w:val="BalloonText"/>
    <w:uiPriority w:val="99"/>
    <w:semiHidden/>
    <w:rsid w:val="00F674A1"/>
    <w:rPr>
      <w:rFonts w:ascii="Times New Roman" w:hAnsi="Times New Roman" w:cs="Segoe UI"/>
      <w:sz w:val="18"/>
      <w:szCs w:val="18"/>
    </w:rPr>
  </w:style>
  <w:style w:type="paragraph" w:styleId="ListParagraph">
    <w:name w:val="List Paragraph"/>
    <w:aliases w:val="List Paragraph_a"/>
    <w:basedOn w:val="Normal"/>
    <w:uiPriority w:val="34"/>
    <w:qFormat/>
    <w:rsid w:val="00F674A1"/>
    <w:pPr>
      <w:spacing w:line="240" w:lineRule="auto"/>
      <w:ind w:left="720"/>
      <w:contextualSpacing/>
    </w:pPr>
  </w:style>
  <w:style w:type="paragraph" w:styleId="Quote">
    <w:name w:val="Quote"/>
    <w:basedOn w:val="Normal"/>
    <w:next w:val="Normal"/>
    <w:link w:val="QuoteChar"/>
    <w:uiPriority w:val="29"/>
    <w:qFormat/>
    <w:rsid w:val="00F674A1"/>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F674A1"/>
    <w:rPr>
      <w:i/>
      <w:iCs/>
      <w:color w:val="404040" w:themeColor="text1" w:themeTint="BF"/>
    </w:rPr>
  </w:style>
  <w:style w:type="character" w:styleId="SubtleEmphasis">
    <w:name w:val="Subtle Emphasis"/>
    <w:basedOn w:val="DefaultParagraphFont"/>
    <w:uiPriority w:val="19"/>
    <w:qFormat/>
    <w:rsid w:val="00F674A1"/>
    <w:rPr>
      <w:i/>
      <w:iCs/>
      <w:color w:val="404040" w:themeColor="text1" w:themeTint="BF"/>
    </w:rPr>
  </w:style>
  <w:style w:type="character" w:styleId="IntenseEmphasis">
    <w:name w:val="Intense Emphasis"/>
    <w:basedOn w:val="DefaultParagraphFont"/>
    <w:uiPriority w:val="21"/>
    <w:qFormat/>
    <w:rsid w:val="00F674A1"/>
    <w:rPr>
      <w:i/>
      <w:iCs/>
      <w:color w:val="5B9BD5" w:themeColor="accent1"/>
    </w:rPr>
  </w:style>
  <w:style w:type="character" w:styleId="SubtleReference">
    <w:name w:val="Subtle Reference"/>
    <w:basedOn w:val="DefaultParagraphFont"/>
    <w:uiPriority w:val="31"/>
    <w:qFormat/>
    <w:rsid w:val="00F674A1"/>
    <w:rPr>
      <w:smallCaps/>
      <w:color w:val="5A5A5A" w:themeColor="text1" w:themeTint="A5"/>
    </w:rPr>
  </w:style>
  <w:style w:type="paragraph" w:styleId="NewEndNoteBibliography" w:customStyle="1">
    <w:name w:val="New End Note Bibliography"/>
    <w:basedOn w:val="Normal"/>
    <w:autoRedefine/>
    <w:qFormat/>
    <w:rsid w:val="00F674A1"/>
    <w:pPr>
      <w:spacing w:line="480" w:lineRule="auto"/>
    </w:pPr>
  </w:style>
  <w:style w:type="paragraph" w:styleId="NewEndNoteBibliography0" w:customStyle="1">
    <w:name w:val="New EndNote Bibliography"/>
    <w:basedOn w:val="Normal"/>
    <w:link w:val="NewEndNoteBibliographyChar"/>
    <w:qFormat/>
    <w:rsid w:val="00F674A1"/>
    <w:rPr>
      <w:rFonts w:asciiTheme="majorHAnsi" w:hAnsiTheme="majorHAnsi" w:eastAsiaTheme="majorEastAsia" w:cstheme="majorBidi"/>
      <w:noProof/>
      <w:szCs w:val="32"/>
    </w:rPr>
  </w:style>
  <w:style w:type="character" w:styleId="NewEndNoteBibliographyChar" w:customStyle="1">
    <w:name w:val="New EndNote Bibliography Char"/>
    <w:basedOn w:val="NewnormalChar"/>
    <w:link w:val="NewEndNoteBibliography0"/>
    <w:rsid w:val="00F674A1"/>
    <w:rPr>
      <w:rFonts w:asciiTheme="majorHAnsi" w:hAnsiTheme="majorHAnsi" w:eastAsiaTheme="majorEastAsia" w:cstheme="majorBidi"/>
      <w:noProof/>
      <w:szCs w:val="32"/>
    </w:rPr>
  </w:style>
  <w:style w:type="paragraph" w:styleId="Newbullet" w:customStyle="1">
    <w:name w:val="New bullet"/>
    <w:basedOn w:val="Newnormal"/>
    <w:qFormat/>
    <w:rsid w:val="00F674A1"/>
    <w:pPr>
      <w:ind w:left="720" w:hanging="360"/>
    </w:pPr>
  </w:style>
  <w:style w:type="paragraph" w:styleId="New3Heading" w:customStyle="1">
    <w:name w:val="New 3 Heading"/>
    <w:basedOn w:val="Heading3"/>
    <w:qFormat/>
    <w:rsid w:val="00F674A1"/>
    <w:rPr>
      <w:b/>
      <w:i/>
      <w:color w:val="auto"/>
    </w:rPr>
  </w:style>
  <w:style w:type="paragraph" w:styleId="EndNoteBibliographyTitle" w:customStyle="1">
    <w:name w:val="EndNote Bibliography Title"/>
    <w:basedOn w:val="Normal"/>
    <w:link w:val="EndNoteBibliographyTitleChar"/>
    <w:rsid w:val="00F674A1"/>
    <w:pPr>
      <w:jc w:val="center"/>
    </w:pPr>
    <w:rPr>
      <w:rFonts w:ascii="Calibri" w:hAnsi="Calibri"/>
      <w:noProof/>
    </w:rPr>
  </w:style>
  <w:style w:type="character" w:styleId="EndNoteBibliographyTitleChar" w:customStyle="1">
    <w:name w:val="EndNote Bibliography Title Char"/>
    <w:basedOn w:val="DefaultParagraphFont"/>
    <w:link w:val="EndNoteBibliographyTitle"/>
    <w:rsid w:val="00F674A1"/>
    <w:rPr>
      <w:rFonts w:ascii="Calibri" w:hAnsi="Calibri"/>
      <w:noProof/>
    </w:rPr>
  </w:style>
  <w:style w:type="paragraph" w:styleId="EndNoteBibliography" w:customStyle="1">
    <w:name w:val="EndNote Bibliography"/>
    <w:basedOn w:val="Normal"/>
    <w:link w:val="EndNoteBibliographyChar"/>
    <w:rsid w:val="00F674A1"/>
    <w:pPr>
      <w:spacing w:line="480" w:lineRule="auto"/>
    </w:pPr>
    <w:rPr>
      <w:rFonts w:ascii="Calibri" w:hAnsi="Calibri"/>
      <w:noProof/>
    </w:rPr>
  </w:style>
  <w:style w:type="character" w:styleId="EndNoteBibliographyChar" w:customStyle="1">
    <w:name w:val="EndNote Bibliography Char"/>
    <w:basedOn w:val="DefaultParagraphFont"/>
    <w:link w:val="EndNoteBibliography"/>
    <w:rsid w:val="00F674A1"/>
    <w:rPr>
      <w:rFonts w:ascii="Calibri" w:hAnsi="Calibri"/>
      <w:noProof/>
    </w:rPr>
  </w:style>
  <w:style w:type="table" w:styleId="TableGridLight1" w:customStyle="1">
    <w:name w:val="Table Grid Light1"/>
    <w:basedOn w:val="TableNormal"/>
    <w:uiPriority w:val="40"/>
    <w:rsid w:val="00F674A1"/>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21" w:customStyle="1">
    <w:name w:val="Plain Table 21"/>
    <w:basedOn w:val="TableNormal"/>
    <w:next w:val="PlainTable22"/>
    <w:uiPriority w:val="42"/>
    <w:rsid w:val="00F674A1"/>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2">
    <w:name w:val="Plain Table 2"/>
    <w:basedOn w:val="TableNormal"/>
    <w:uiPriority w:val="42"/>
    <w:rsid w:val="009C05ED"/>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character" w:styleId="Heading5Char" w:customStyle="1">
    <w:name w:val="Heading 5 Char"/>
    <w:basedOn w:val="DefaultParagraphFont"/>
    <w:link w:val="Heading5"/>
    <w:uiPriority w:val="9"/>
    <w:rsid w:val="00F674A1"/>
    <w:rPr>
      <w:rFonts w:asciiTheme="majorHAnsi" w:hAnsiTheme="majorHAnsi" w:eastAsiaTheme="majorEastAsia" w:cstheme="majorBidi"/>
      <w:color w:val="2E74B5" w:themeColor="accent1" w:themeShade="BF"/>
    </w:rPr>
  </w:style>
  <w:style w:type="character" w:styleId="Heading6Char" w:customStyle="1">
    <w:name w:val="Heading 6 Char"/>
    <w:basedOn w:val="DefaultParagraphFont"/>
    <w:link w:val="Heading6"/>
    <w:uiPriority w:val="9"/>
    <w:rsid w:val="00F674A1"/>
    <w:rPr>
      <w:i/>
      <w:color w:val="2E74B5" w:themeColor="accent1" w:themeShade="BF"/>
      <w:szCs w:val="20"/>
    </w:rPr>
  </w:style>
  <w:style w:type="paragraph" w:styleId="TOC1">
    <w:name w:val="toc 1"/>
    <w:basedOn w:val="Normal"/>
    <w:next w:val="Normal"/>
    <w:autoRedefine/>
    <w:uiPriority w:val="39"/>
    <w:unhideWhenUsed/>
    <w:rsid w:val="00F674A1"/>
    <w:pPr>
      <w:spacing w:after="100"/>
    </w:pPr>
  </w:style>
  <w:style w:type="paragraph" w:styleId="TOC2">
    <w:name w:val="toc 2"/>
    <w:basedOn w:val="Normal"/>
    <w:next w:val="Normal"/>
    <w:autoRedefine/>
    <w:uiPriority w:val="39"/>
    <w:unhideWhenUsed/>
    <w:rsid w:val="00F674A1"/>
    <w:pPr>
      <w:spacing w:after="100"/>
      <w:ind w:left="240"/>
    </w:pPr>
  </w:style>
  <w:style w:type="paragraph" w:styleId="TOC3">
    <w:name w:val="toc 3"/>
    <w:basedOn w:val="Normal"/>
    <w:next w:val="Normal"/>
    <w:autoRedefine/>
    <w:uiPriority w:val="39"/>
    <w:unhideWhenUsed/>
    <w:rsid w:val="00F674A1"/>
    <w:pPr>
      <w:spacing w:after="100"/>
      <w:ind w:left="480"/>
    </w:pPr>
  </w:style>
  <w:style w:type="paragraph" w:styleId="Title">
    <w:name w:val="Title"/>
    <w:aliases w:val="title"/>
    <w:basedOn w:val="Normal"/>
    <w:next w:val="Normal"/>
    <w:link w:val="TitleChar"/>
    <w:uiPriority w:val="10"/>
    <w:qFormat/>
    <w:rsid w:val="00F674A1"/>
    <w:pPr>
      <w:contextualSpacing/>
    </w:pPr>
    <w:rPr>
      <w:rFonts w:asciiTheme="majorHAnsi" w:hAnsiTheme="majorHAnsi" w:eastAsiaTheme="majorEastAsia" w:cstheme="majorBidi"/>
      <w:spacing w:val="-10"/>
      <w:kern w:val="28"/>
      <w:sz w:val="56"/>
      <w:szCs w:val="56"/>
    </w:rPr>
  </w:style>
  <w:style w:type="character" w:styleId="TitleChar" w:customStyle="1">
    <w:name w:val="Title Char"/>
    <w:aliases w:val="title Char"/>
    <w:basedOn w:val="DefaultParagraphFont"/>
    <w:link w:val="Title"/>
    <w:uiPriority w:val="10"/>
    <w:rsid w:val="00F674A1"/>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sid w:val="00F674A1"/>
    <w:rPr>
      <w:color w:val="0563C1" w:themeColor="hyperlink"/>
      <w:u w:val="single"/>
    </w:rPr>
  </w:style>
  <w:style w:type="paragraph" w:styleId="NormalWeb">
    <w:name w:val="Normal (Web)"/>
    <w:basedOn w:val="Normal"/>
    <w:uiPriority w:val="99"/>
    <w:semiHidden/>
    <w:unhideWhenUsed/>
    <w:rsid w:val="00F674A1"/>
    <w:pPr>
      <w:spacing w:before="100" w:beforeAutospacing="1" w:after="100" w:afterAutospacing="1"/>
    </w:pPr>
    <w:rPr>
      <w:rFonts w:ascii="Times New Roman" w:hAnsi="Times New Roman" w:eastAsia="Times New Roman"/>
    </w:rPr>
  </w:style>
  <w:style w:type="paragraph" w:styleId="CommentSubject">
    <w:name w:val="annotation subject"/>
    <w:basedOn w:val="CommentText"/>
    <w:next w:val="CommentText"/>
    <w:link w:val="CommentSubjectChar"/>
    <w:uiPriority w:val="99"/>
    <w:semiHidden/>
    <w:unhideWhenUsed/>
    <w:rsid w:val="00F674A1"/>
    <w:rPr>
      <w:b/>
      <w:bCs/>
      <w:sz w:val="20"/>
      <w:szCs w:val="20"/>
    </w:rPr>
  </w:style>
  <w:style w:type="character" w:styleId="CommentSubjectChar" w:customStyle="1">
    <w:name w:val="Comment Subject Char"/>
    <w:basedOn w:val="CommentTextChar"/>
    <w:link w:val="CommentSubject"/>
    <w:uiPriority w:val="99"/>
    <w:semiHidden/>
    <w:rsid w:val="00F674A1"/>
    <w:rPr>
      <w:b/>
      <w:bCs/>
      <w:sz w:val="20"/>
      <w:szCs w:val="20"/>
    </w:rPr>
  </w:style>
  <w:style w:type="paragraph" w:styleId="NoSpacing">
    <w:name w:val="No Spacing"/>
    <w:link w:val="NoSpacingChar"/>
    <w:uiPriority w:val="1"/>
    <w:qFormat/>
    <w:rsid w:val="00F674A1"/>
  </w:style>
  <w:style w:type="paragraph" w:styleId="TOCHeading">
    <w:name w:val="TOC Heading"/>
    <w:basedOn w:val="Heading1"/>
    <w:next w:val="Normal"/>
    <w:uiPriority w:val="39"/>
    <w:unhideWhenUsed/>
    <w:qFormat/>
    <w:rsid w:val="00F674A1"/>
    <w:pPr>
      <w:spacing w:line="259" w:lineRule="auto"/>
      <w:outlineLvl w:val="9"/>
    </w:pPr>
  </w:style>
  <w:style w:type="table" w:styleId="TableGridLight">
    <w:name w:val="Grid Table Light"/>
    <w:basedOn w:val="TableNormal"/>
    <w:uiPriority w:val="40"/>
    <w:rsid w:val="009C05ED"/>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FootnoteText">
    <w:name w:val="footnote text"/>
    <w:basedOn w:val="Normal"/>
    <w:link w:val="FootnoteTextChar"/>
    <w:uiPriority w:val="99"/>
    <w:unhideWhenUsed/>
    <w:qFormat/>
    <w:rsid w:val="00F674A1"/>
    <w:pPr>
      <w:spacing w:after="80"/>
      <w:ind w:left="720"/>
    </w:pPr>
    <w:rPr>
      <w:rFonts w:cs="Times New Roman"/>
      <w:sz w:val="20"/>
      <w:szCs w:val="20"/>
    </w:rPr>
  </w:style>
  <w:style w:type="character" w:styleId="FootnoteTextChar" w:customStyle="1">
    <w:name w:val="Footnote Text Char"/>
    <w:basedOn w:val="DefaultParagraphFont"/>
    <w:link w:val="FootnoteText"/>
    <w:uiPriority w:val="99"/>
    <w:rsid w:val="00F674A1"/>
    <w:rPr>
      <w:rFonts w:cs="Times New Roman"/>
      <w:sz w:val="20"/>
      <w:szCs w:val="20"/>
    </w:rPr>
  </w:style>
  <w:style w:type="character" w:styleId="Heading7Char" w:customStyle="1">
    <w:name w:val="Heading 7 Char"/>
    <w:basedOn w:val="DefaultParagraphFont"/>
    <w:link w:val="Heading7"/>
    <w:rsid w:val="009455F5"/>
    <w:rPr>
      <w:rFonts w:asciiTheme="majorHAnsi" w:hAnsiTheme="majorHAnsi" w:eastAsiaTheme="majorEastAsia" w:cstheme="majorBidi"/>
      <w:i/>
      <w:iCs/>
      <w:color w:val="1F4D78" w:themeColor="accent1" w:themeShade="7F"/>
      <w:lang w:val="en-US"/>
    </w:rPr>
  </w:style>
  <w:style w:type="table" w:styleId="PlainTable22" w:customStyle="1">
    <w:name w:val="Plain Table 22"/>
    <w:basedOn w:val="TableNormal"/>
    <w:uiPriority w:val="42"/>
    <w:rsid w:val="00F674A1"/>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TableGridLight2" w:customStyle="1">
    <w:name w:val="Table Grid Light2"/>
    <w:basedOn w:val="TableNormal"/>
    <w:uiPriority w:val="40"/>
    <w:rsid w:val="00F674A1"/>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NoSpacingChar" w:customStyle="1">
    <w:name w:val="No Spacing Char"/>
    <w:basedOn w:val="DefaultParagraphFont"/>
    <w:link w:val="NoSpacing"/>
    <w:uiPriority w:val="1"/>
    <w:rsid w:val="00F674A1"/>
  </w:style>
  <w:style w:type="paragraph" w:styleId="MessageHeader">
    <w:name w:val="Message Header"/>
    <w:basedOn w:val="Normal"/>
    <w:link w:val="MessageHeaderChar"/>
    <w:uiPriority w:val="99"/>
    <w:unhideWhenUsed/>
    <w:rsid w:val="00F674A1"/>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rsid w:val="00F674A1"/>
    <w:rPr>
      <w:rFonts w:asciiTheme="majorHAnsi" w:hAnsiTheme="majorHAnsi" w:eastAsiaTheme="majorEastAsia" w:cstheme="majorBidi"/>
      <w:shd w:val="pct20" w:color="auto" w:fill="auto"/>
    </w:rPr>
  </w:style>
  <w:style w:type="paragraph" w:styleId="Revision">
    <w:name w:val="Revision"/>
    <w:hidden/>
    <w:uiPriority w:val="99"/>
    <w:semiHidden/>
    <w:rsid w:val="00F674A1"/>
  </w:style>
  <w:style w:type="character" w:styleId="FollowedHyperlink">
    <w:name w:val="FollowedHyperlink"/>
    <w:basedOn w:val="DefaultParagraphFont"/>
    <w:uiPriority w:val="99"/>
    <w:semiHidden/>
    <w:unhideWhenUsed/>
    <w:rsid w:val="00F01B23"/>
    <w:rPr>
      <w:color w:val="954F72" w:themeColor="followedHyperlink"/>
      <w:u w:val="single"/>
    </w:rPr>
  </w:style>
  <w:style w:type="character" w:styleId="Emphasis">
    <w:name w:val="Emphasis"/>
    <w:basedOn w:val="DefaultParagraphFont"/>
    <w:uiPriority w:val="20"/>
    <w:qFormat/>
    <w:rsid w:val="009A38C6"/>
    <w:rPr>
      <w:i/>
      <w:iCs/>
    </w:rPr>
  </w:style>
  <w:style w:type="table" w:styleId="PlainTable25" w:customStyle="1">
    <w:name w:val="Plain Table 25"/>
    <w:basedOn w:val="TableNormal"/>
    <w:uiPriority w:val="42"/>
    <w:rsid w:val="00364168"/>
    <w:rPr>
      <w:lang w:val="en-US"/>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241" w:customStyle="1">
    <w:name w:val="Plain Table 241"/>
    <w:basedOn w:val="TableNormal"/>
    <w:uiPriority w:val="42"/>
    <w:rsid w:val="00F638FC"/>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23" w:customStyle="1">
    <w:name w:val="Plain Table 23"/>
    <w:basedOn w:val="TableNormal"/>
    <w:next w:val="TableNormal"/>
    <w:uiPriority w:val="42"/>
    <w:rsid w:val="00444D6B"/>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211" w:customStyle="1">
    <w:name w:val="Plain Table 211"/>
    <w:basedOn w:val="TableNormal"/>
    <w:next w:val="PlainTable21"/>
    <w:uiPriority w:val="42"/>
    <w:rsid w:val="00444D6B"/>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94417">
      <w:bodyDiv w:val="1"/>
      <w:marLeft w:val="0"/>
      <w:marRight w:val="0"/>
      <w:marTop w:val="0"/>
      <w:marBottom w:val="0"/>
      <w:divBdr>
        <w:top w:val="none" w:sz="0" w:space="0" w:color="auto"/>
        <w:left w:val="none" w:sz="0" w:space="0" w:color="auto"/>
        <w:bottom w:val="none" w:sz="0" w:space="0" w:color="auto"/>
        <w:right w:val="none" w:sz="0" w:space="0" w:color="auto"/>
      </w:divBdr>
      <w:divsChild>
        <w:div w:id="10497523">
          <w:marLeft w:val="0"/>
          <w:marRight w:val="0"/>
          <w:marTop w:val="0"/>
          <w:marBottom w:val="0"/>
          <w:divBdr>
            <w:top w:val="none" w:sz="0" w:space="0" w:color="auto"/>
            <w:left w:val="none" w:sz="0" w:space="0" w:color="auto"/>
            <w:bottom w:val="none" w:sz="0" w:space="0" w:color="auto"/>
            <w:right w:val="none" w:sz="0" w:space="0" w:color="auto"/>
          </w:divBdr>
        </w:div>
        <w:div w:id="283393792">
          <w:marLeft w:val="0"/>
          <w:marRight w:val="0"/>
          <w:marTop w:val="0"/>
          <w:marBottom w:val="0"/>
          <w:divBdr>
            <w:top w:val="none" w:sz="0" w:space="0" w:color="auto"/>
            <w:left w:val="none" w:sz="0" w:space="0" w:color="auto"/>
            <w:bottom w:val="none" w:sz="0" w:space="0" w:color="auto"/>
            <w:right w:val="none" w:sz="0" w:space="0" w:color="auto"/>
          </w:divBdr>
        </w:div>
        <w:div w:id="289824142">
          <w:marLeft w:val="0"/>
          <w:marRight w:val="0"/>
          <w:marTop w:val="0"/>
          <w:marBottom w:val="0"/>
          <w:divBdr>
            <w:top w:val="none" w:sz="0" w:space="0" w:color="auto"/>
            <w:left w:val="none" w:sz="0" w:space="0" w:color="auto"/>
            <w:bottom w:val="none" w:sz="0" w:space="0" w:color="auto"/>
            <w:right w:val="none" w:sz="0" w:space="0" w:color="auto"/>
          </w:divBdr>
        </w:div>
        <w:div w:id="318078849">
          <w:marLeft w:val="0"/>
          <w:marRight w:val="0"/>
          <w:marTop w:val="0"/>
          <w:marBottom w:val="0"/>
          <w:divBdr>
            <w:top w:val="none" w:sz="0" w:space="0" w:color="auto"/>
            <w:left w:val="none" w:sz="0" w:space="0" w:color="auto"/>
            <w:bottom w:val="none" w:sz="0" w:space="0" w:color="auto"/>
            <w:right w:val="none" w:sz="0" w:space="0" w:color="auto"/>
          </w:divBdr>
        </w:div>
        <w:div w:id="331447818">
          <w:marLeft w:val="0"/>
          <w:marRight w:val="0"/>
          <w:marTop w:val="0"/>
          <w:marBottom w:val="0"/>
          <w:divBdr>
            <w:top w:val="none" w:sz="0" w:space="0" w:color="auto"/>
            <w:left w:val="none" w:sz="0" w:space="0" w:color="auto"/>
            <w:bottom w:val="none" w:sz="0" w:space="0" w:color="auto"/>
            <w:right w:val="none" w:sz="0" w:space="0" w:color="auto"/>
          </w:divBdr>
        </w:div>
        <w:div w:id="350112223">
          <w:marLeft w:val="0"/>
          <w:marRight w:val="0"/>
          <w:marTop w:val="0"/>
          <w:marBottom w:val="0"/>
          <w:divBdr>
            <w:top w:val="none" w:sz="0" w:space="0" w:color="auto"/>
            <w:left w:val="none" w:sz="0" w:space="0" w:color="auto"/>
            <w:bottom w:val="none" w:sz="0" w:space="0" w:color="auto"/>
            <w:right w:val="none" w:sz="0" w:space="0" w:color="auto"/>
          </w:divBdr>
        </w:div>
        <w:div w:id="493184828">
          <w:marLeft w:val="0"/>
          <w:marRight w:val="0"/>
          <w:marTop w:val="0"/>
          <w:marBottom w:val="0"/>
          <w:divBdr>
            <w:top w:val="none" w:sz="0" w:space="0" w:color="auto"/>
            <w:left w:val="none" w:sz="0" w:space="0" w:color="auto"/>
            <w:bottom w:val="none" w:sz="0" w:space="0" w:color="auto"/>
            <w:right w:val="none" w:sz="0" w:space="0" w:color="auto"/>
          </w:divBdr>
        </w:div>
        <w:div w:id="618992703">
          <w:marLeft w:val="0"/>
          <w:marRight w:val="0"/>
          <w:marTop w:val="0"/>
          <w:marBottom w:val="0"/>
          <w:divBdr>
            <w:top w:val="none" w:sz="0" w:space="0" w:color="auto"/>
            <w:left w:val="none" w:sz="0" w:space="0" w:color="auto"/>
            <w:bottom w:val="none" w:sz="0" w:space="0" w:color="auto"/>
            <w:right w:val="none" w:sz="0" w:space="0" w:color="auto"/>
          </w:divBdr>
        </w:div>
        <w:div w:id="716970956">
          <w:marLeft w:val="0"/>
          <w:marRight w:val="0"/>
          <w:marTop w:val="0"/>
          <w:marBottom w:val="0"/>
          <w:divBdr>
            <w:top w:val="none" w:sz="0" w:space="0" w:color="auto"/>
            <w:left w:val="none" w:sz="0" w:space="0" w:color="auto"/>
            <w:bottom w:val="none" w:sz="0" w:space="0" w:color="auto"/>
            <w:right w:val="none" w:sz="0" w:space="0" w:color="auto"/>
          </w:divBdr>
        </w:div>
        <w:div w:id="830604846">
          <w:marLeft w:val="0"/>
          <w:marRight w:val="0"/>
          <w:marTop w:val="0"/>
          <w:marBottom w:val="0"/>
          <w:divBdr>
            <w:top w:val="none" w:sz="0" w:space="0" w:color="auto"/>
            <w:left w:val="none" w:sz="0" w:space="0" w:color="auto"/>
            <w:bottom w:val="none" w:sz="0" w:space="0" w:color="auto"/>
            <w:right w:val="none" w:sz="0" w:space="0" w:color="auto"/>
          </w:divBdr>
        </w:div>
        <w:div w:id="1115054206">
          <w:marLeft w:val="0"/>
          <w:marRight w:val="0"/>
          <w:marTop w:val="0"/>
          <w:marBottom w:val="0"/>
          <w:divBdr>
            <w:top w:val="none" w:sz="0" w:space="0" w:color="auto"/>
            <w:left w:val="none" w:sz="0" w:space="0" w:color="auto"/>
            <w:bottom w:val="none" w:sz="0" w:space="0" w:color="auto"/>
            <w:right w:val="none" w:sz="0" w:space="0" w:color="auto"/>
          </w:divBdr>
        </w:div>
        <w:div w:id="1126435771">
          <w:marLeft w:val="0"/>
          <w:marRight w:val="0"/>
          <w:marTop w:val="0"/>
          <w:marBottom w:val="0"/>
          <w:divBdr>
            <w:top w:val="none" w:sz="0" w:space="0" w:color="auto"/>
            <w:left w:val="none" w:sz="0" w:space="0" w:color="auto"/>
            <w:bottom w:val="none" w:sz="0" w:space="0" w:color="auto"/>
            <w:right w:val="none" w:sz="0" w:space="0" w:color="auto"/>
          </w:divBdr>
        </w:div>
        <w:div w:id="1169061229">
          <w:marLeft w:val="0"/>
          <w:marRight w:val="0"/>
          <w:marTop w:val="0"/>
          <w:marBottom w:val="0"/>
          <w:divBdr>
            <w:top w:val="none" w:sz="0" w:space="0" w:color="auto"/>
            <w:left w:val="none" w:sz="0" w:space="0" w:color="auto"/>
            <w:bottom w:val="none" w:sz="0" w:space="0" w:color="auto"/>
            <w:right w:val="none" w:sz="0" w:space="0" w:color="auto"/>
          </w:divBdr>
        </w:div>
        <w:div w:id="1414163584">
          <w:marLeft w:val="0"/>
          <w:marRight w:val="0"/>
          <w:marTop w:val="0"/>
          <w:marBottom w:val="0"/>
          <w:divBdr>
            <w:top w:val="none" w:sz="0" w:space="0" w:color="auto"/>
            <w:left w:val="none" w:sz="0" w:space="0" w:color="auto"/>
            <w:bottom w:val="none" w:sz="0" w:space="0" w:color="auto"/>
            <w:right w:val="none" w:sz="0" w:space="0" w:color="auto"/>
          </w:divBdr>
        </w:div>
        <w:div w:id="1446539471">
          <w:marLeft w:val="0"/>
          <w:marRight w:val="0"/>
          <w:marTop w:val="0"/>
          <w:marBottom w:val="0"/>
          <w:divBdr>
            <w:top w:val="none" w:sz="0" w:space="0" w:color="auto"/>
            <w:left w:val="none" w:sz="0" w:space="0" w:color="auto"/>
            <w:bottom w:val="none" w:sz="0" w:space="0" w:color="auto"/>
            <w:right w:val="none" w:sz="0" w:space="0" w:color="auto"/>
          </w:divBdr>
        </w:div>
        <w:div w:id="1514224773">
          <w:marLeft w:val="0"/>
          <w:marRight w:val="0"/>
          <w:marTop w:val="0"/>
          <w:marBottom w:val="0"/>
          <w:divBdr>
            <w:top w:val="none" w:sz="0" w:space="0" w:color="auto"/>
            <w:left w:val="none" w:sz="0" w:space="0" w:color="auto"/>
            <w:bottom w:val="none" w:sz="0" w:space="0" w:color="auto"/>
            <w:right w:val="none" w:sz="0" w:space="0" w:color="auto"/>
          </w:divBdr>
        </w:div>
        <w:div w:id="1574660479">
          <w:marLeft w:val="0"/>
          <w:marRight w:val="0"/>
          <w:marTop w:val="0"/>
          <w:marBottom w:val="0"/>
          <w:divBdr>
            <w:top w:val="none" w:sz="0" w:space="0" w:color="auto"/>
            <w:left w:val="none" w:sz="0" w:space="0" w:color="auto"/>
            <w:bottom w:val="none" w:sz="0" w:space="0" w:color="auto"/>
            <w:right w:val="none" w:sz="0" w:space="0" w:color="auto"/>
          </w:divBdr>
        </w:div>
        <w:div w:id="1637030169">
          <w:marLeft w:val="0"/>
          <w:marRight w:val="0"/>
          <w:marTop w:val="0"/>
          <w:marBottom w:val="0"/>
          <w:divBdr>
            <w:top w:val="none" w:sz="0" w:space="0" w:color="auto"/>
            <w:left w:val="none" w:sz="0" w:space="0" w:color="auto"/>
            <w:bottom w:val="none" w:sz="0" w:space="0" w:color="auto"/>
            <w:right w:val="none" w:sz="0" w:space="0" w:color="auto"/>
          </w:divBdr>
        </w:div>
        <w:div w:id="1796101763">
          <w:marLeft w:val="0"/>
          <w:marRight w:val="0"/>
          <w:marTop w:val="0"/>
          <w:marBottom w:val="0"/>
          <w:divBdr>
            <w:top w:val="none" w:sz="0" w:space="0" w:color="auto"/>
            <w:left w:val="none" w:sz="0" w:space="0" w:color="auto"/>
            <w:bottom w:val="none" w:sz="0" w:space="0" w:color="auto"/>
            <w:right w:val="none" w:sz="0" w:space="0" w:color="auto"/>
          </w:divBdr>
        </w:div>
        <w:div w:id="1829831283">
          <w:marLeft w:val="0"/>
          <w:marRight w:val="0"/>
          <w:marTop w:val="0"/>
          <w:marBottom w:val="0"/>
          <w:divBdr>
            <w:top w:val="none" w:sz="0" w:space="0" w:color="auto"/>
            <w:left w:val="none" w:sz="0" w:space="0" w:color="auto"/>
            <w:bottom w:val="none" w:sz="0" w:space="0" w:color="auto"/>
            <w:right w:val="none" w:sz="0" w:space="0" w:color="auto"/>
          </w:divBdr>
        </w:div>
        <w:div w:id="1831216616">
          <w:marLeft w:val="0"/>
          <w:marRight w:val="0"/>
          <w:marTop w:val="0"/>
          <w:marBottom w:val="0"/>
          <w:divBdr>
            <w:top w:val="none" w:sz="0" w:space="0" w:color="auto"/>
            <w:left w:val="none" w:sz="0" w:space="0" w:color="auto"/>
            <w:bottom w:val="none" w:sz="0" w:space="0" w:color="auto"/>
            <w:right w:val="none" w:sz="0" w:space="0" w:color="auto"/>
          </w:divBdr>
        </w:div>
        <w:div w:id="1859806956">
          <w:marLeft w:val="0"/>
          <w:marRight w:val="0"/>
          <w:marTop w:val="0"/>
          <w:marBottom w:val="0"/>
          <w:divBdr>
            <w:top w:val="none" w:sz="0" w:space="0" w:color="auto"/>
            <w:left w:val="none" w:sz="0" w:space="0" w:color="auto"/>
            <w:bottom w:val="none" w:sz="0" w:space="0" w:color="auto"/>
            <w:right w:val="none" w:sz="0" w:space="0" w:color="auto"/>
          </w:divBdr>
        </w:div>
        <w:div w:id="1884250349">
          <w:marLeft w:val="0"/>
          <w:marRight w:val="0"/>
          <w:marTop w:val="0"/>
          <w:marBottom w:val="0"/>
          <w:divBdr>
            <w:top w:val="none" w:sz="0" w:space="0" w:color="auto"/>
            <w:left w:val="none" w:sz="0" w:space="0" w:color="auto"/>
            <w:bottom w:val="none" w:sz="0" w:space="0" w:color="auto"/>
            <w:right w:val="none" w:sz="0" w:space="0" w:color="auto"/>
          </w:divBdr>
        </w:div>
        <w:div w:id="1898780390">
          <w:marLeft w:val="0"/>
          <w:marRight w:val="0"/>
          <w:marTop w:val="0"/>
          <w:marBottom w:val="0"/>
          <w:divBdr>
            <w:top w:val="none" w:sz="0" w:space="0" w:color="auto"/>
            <w:left w:val="none" w:sz="0" w:space="0" w:color="auto"/>
            <w:bottom w:val="none" w:sz="0" w:space="0" w:color="auto"/>
            <w:right w:val="none" w:sz="0" w:space="0" w:color="auto"/>
          </w:divBdr>
        </w:div>
      </w:divsChild>
    </w:div>
    <w:div w:id="901408299">
      <w:bodyDiv w:val="1"/>
      <w:marLeft w:val="0"/>
      <w:marRight w:val="0"/>
      <w:marTop w:val="0"/>
      <w:marBottom w:val="0"/>
      <w:divBdr>
        <w:top w:val="none" w:sz="0" w:space="0" w:color="auto"/>
        <w:left w:val="none" w:sz="0" w:space="0" w:color="auto"/>
        <w:bottom w:val="none" w:sz="0" w:space="0" w:color="auto"/>
        <w:right w:val="none" w:sz="0" w:space="0" w:color="auto"/>
      </w:divBdr>
      <w:divsChild>
        <w:div w:id="21324992">
          <w:marLeft w:val="0"/>
          <w:marRight w:val="0"/>
          <w:marTop w:val="0"/>
          <w:marBottom w:val="0"/>
          <w:divBdr>
            <w:top w:val="none" w:sz="0" w:space="0" w:color="auto"/>
            <w:left w:val="none" w:sz="0" w:space="0" w:color="auto"/>
            <w:bottom w:val="none" w:sz="0" w:space="0" w:color="auto"/>
            <w:right w:val="none" w:sz="0" w:space="0" w:color="auto"/>
          </w:divBdr>
        </w:div>
        <w:div w:id="85881928">
          <w:marLeft w:val="0"/>
          <w:marRight w:val="0"/>
          <w:marTop w:val="0"/>
          <w:marBottom w:val="0"/>
          <w:divBdr>
            <w:top w:val="none" w:sz="0" w:space="0" w:color="auto"/>
            <w:left w:val="none" w:sz="0" w:space="0" w:color="auto"/>
            <w:bottom w:val="none" w:sz="0" w:space="0" w:color="auto"/>
            <w:right w:val="none" w:sz="0" w:space="0" w:color="auto"/>
          </w:divBdr>
        </w:div>
        <w:div w:id="140775931">
          <w:marLeft w:val="0"/>
          <w:marRight w:val="0"/>
          <w:marTop w:val="0"/>
          <w:marBottom w:val="0"/>
          <w:divBdr>
            <w:top w:val="none" w:sz="0" w:space="0" w:color="auto"/>
            <w:left w:val="none" w:sz="0" w:space="0" w:color="auto"/>
            <w:bottom w:val="none" w:sz="0" w:space="0" w:color="auto"/>
            <w:right w:val="none" w:sz="0" w:space="0" w:color="auto"/>
          </w:divBdr>
        </w:div>
        <w:div w:id="195970107">
          <w:marLeft w:val="0"/>
          <w:marRight w:val="0"/>
          <w:marTop w:val="0"/>
          <w:marBottom w:val="0"/>
          <w:divBdr>
            <w:top w:val="none" w:sz="0" w:space="0" w:color="auto"/>
            <w:left w:val="none" w:sz="0" w:space="0" w:color="auto"/>
            <w:bottom w:val="none" w:sz="0" w:space="0" w:color="auto"/>
            <w:right w:val="none" w:sz="0" w:space="0" w:color="auto"/>
          </w:divBdr>
        </w:div>
        <w:div w:id="450897550">
          <w:marLeft w:val="0"/>
          <w:marRight w:val="0"/>
          <w:marTop w:val="0"/>
          <w:marBottom w:val="0"/>
          <w:divBdr>
            <w:top w:val="none" w:sz="0" w:space="0" w:color="auto"/>
            <w:left w:val="none" w:sz="0" w:space="0" w:color="auto"/>
            <w:bottom w:val="none" w:sz="0" w:space="0" w:color="auto"/>
            <w:right w:val="none" w:sz="0" w:space="0" w:color="auto"/>
          </w:divBdr>
        </w:div>
        <w:div w:id="513610345">
          <w:marLeft w:val="0"/>
          <w:marRight w:val="0"/>
          <w:marTop w:val="0"/>
          <w:marBottom w:val="0"/>
          <w:divBdr>
            <w:top w:val="none" w:sz="0" w:space="0" w:color="auto"/>
            <w:left w:val="none" w:sz="0" w:space="0" w:color="auto"/>
            <w:bottom w:val="none" w:sz="0" w:space="0" w:color="auto"/>
            <w:right w:val="none" w:sz="0" w:space="0" w:color="auto"/>
          </w:divBdr>
        </w:div>
        <w:div w:id="739984428">
          <w:marLeft w:val="0"/>
          <w:marRight w:val="0"/>
          <w:marTop w:val="0"/>
          <w:marBottom w:val="0"/>
          <w:divBdr>
            <w:top w:val="none" w:sz="0" w:space="0" w:color="auto"/>
            <w:left w:val="none" w:sz="0" w:space="0" w:color="auto"/>
            <w:bottom w:val="none" w:sz="0" w:space="0" w:color="auto"/>
            <w:right w:val="none" w:sz="0" w:space="0" w:color="auto"/>
          </w:divBdr>
        </w:div>
        <w:div w:id="742215283">
          <w:marLeft w:val="0"/>
          <w:marRight w:val="0"/>
          <w:marTop w:val="0"/>
          <w:marBottom w:val="0"/>
          <w:divBdr>
            <w:top w:val="none" w:sz="0" w:space="0" w:color="auto"/>
            <w:left w:val="none" w:sz="0" w:space="0" w:color="auto"/>
            <w:bottom w:val="none" w:sz="0" w:space="0" w:color="auto"/>
            <w:right w:val="none" w:sz="0" w:space="0" w:color="auto"/>
          </w:divBdr>
        </w:div>
        <w:div w:id="819226347">
          <w:marLeft w:val="0"/>
          <w:marRight w:val="0"/>
          <w:marTop w:val="0"/>
          <w:marBottom w:val="0"/>
          <w:divBdr>
            <w:top w:val="none" w:sz="0" w:space="0" w:color="auto"/>
            <w:left w:val="none" w:sz="0" w:space="0" w:color="auto"/>
            <w:bottom w:val="none" w:sz="0" w:space="0" w:color="auto"/>
            <w:right w:val="none" w:sz="0" w:space="0" w:color="auto"/>
          </w:divBdr>
        </w:div>
        <w:div w:id="883716827">
          <w:marLeft w:val="0"/>
          <w:marRight w:val="0"/>
          <w:marTop w:val="0"/>
          <w:marBottom w:val="0"/>
          <w:divBdr>
            <w:top w:val="none" w:sz="0" w:space="0" w:color="auto"/>
            <w:left w:val="none" w:sz="0" w:space="0" w:color="auto"/>
            <w:bottom w:val="none" w:sz="0" w:space="0" w:color="auto"/>
            <w:right w:val="none" w:sz="0" w:space="0" w:color="auto"/>
          </w:divBdr>
        </w:div>
        <w:div w:id="930771428">
          <w:marLeft w:val="0"/>
          <w:marRight w:val="0"/>
          <w:marTop w:val="0"/>
          <w:marBottom w:val="0"/>
          <w:divBdr>
            <w:top w:val="none" w:sz="0" w:space="0" w:color="auto"/>
            <w:left w:val="none" w:sz="0" w:space="0" w:color="auto"/>
            <w:bottom w:val="none" w:sz="0" w:space="0" w:color="auto"/>
            <w:right w:val="none" w:sz="0" w:space="0" w:color="auto"/>
          </w:divBdr>
        </w:div>
        <w:div w:id="1249388982">
          <w:marLeft w:val="0"/>
          <w:marRight w:val="0"/>
          <w:marTop w:val="0"/>
          <w:marBottom w:val="0"/>
          <w:divBdr>
            <w:top w:val="none" w:sz="0" w:space="0" w:color="auto"/>
            <w:left w:val="none" w:sz="0" w:space="0" w:color="auto"/>
            <w:bottom w:val="none" w:sz="0" w:space="0" w:color="auto"/>
            <w:right w:val="none" w:sz="0" w:space="0" w:color="auto"/>
          </w:divBdr>
        </w:div>
        <w:div w:id="1381828037">
          <w:marLeft w:val="0"/>
          <w:marRight w:val="0"/>
          <w:marTop w:val="0"/>
          <w:marBottom w:val="0"/>
          <w:divBdr>
            <w:top w:val="none" w:sz="0" w:space="0" w:color="auto"/>
            <w:left w:val="none" w:sz="0" w:space="0" w:color="auto"/>
            <w:bottom w:val="none" w:sz="0" w:space="0" w:color="auto"/>
            <w:right w:val="none" w:sz="0" w:space="0" w:color="auto"/>
          </w:divBdr>
        </w:div>
        <w:div w:id="1429696383">
          <w:marLeft w:val="0"/>
          <w:marRight w:val="0"/>
          <w:marTop w:val="0"/>
          <w:marBottom w:val="0"/>
          <w:divBdr>
            <w:top w:val="none" w:sz="0" w:space="0" w:color="auto"/>
            <w:left w:val="none" w:sz="0" w:space="0" w:color="auto"/>
            <w:bottom w:val="none" w:sz="0" w:space="0" w:color="auto"/>
            <w:right w:val="none" w:sz="0" w:space="0" w:color="auto"/>
          </w:divBdr>
        </w:div>
        <w:div w:id="1481730328">
          <w:marLeft w:val="0"/>
          <w:marRight w:val="0"/>
          <w:marTop w:val="0"/>
          <w:marBottom w:val="0"/>
          <w:divBdr>
            <w:top w:val="none" w:sz="0" w:space="0" w:color="auto"/>
            <w:left w:val="none" w:sz="0" w:space="0" w:color="auto"/>
            <w:bottom w:val="none" w:sz="0" w:space="0" w:color="auto"/>
            <w:right w:val="none" w:sz="0" w:space="0" w:color="auto"/>
          </w:divBdr>
        </w:div>
        <w:div w:id="1488086793">
          <w:marLeft w:val="0"/>
          <w:marRight w:val="0"/>
          <w:marTop w:val="0"/>
          <w:marBottom w:val="0"/>
          <w:divBdr>
            <w:top w:val="none" w:sz="0" w:space="0" w:color="auto"/>
            <w:left w:val="none" w:sz="0" w:space="0" w:color="auto"/>
            <w:bottom w:val="none" w:sz="0" w:space="0" w:color="auto"/>
            <w:right w:val="none" w:sz="0" w:space="0" w:color="auto"/>
          </w:divBdr>
        </w:div>
        <w:div w:id="1498813195">
          <w:marLeft w:val="0"/>
          <w:marRight w:val="0"/>
          <w:marTop w:val="0"/>
          <w:marBottom w:val="0"/>
          <w:divBdr>
            <w:top w:val="none" w:sz="0" w:space="0" w:color="auto"/>
            <w:left w:val="none" w:sz="0" w:space="0" w:color="auto"/>
            <w:bottom w:val="none" w:sz="0" w:space="0" w:color="auto"/>
            <w:right w:val="none" w:sz="0" w:space="0" w:color="auto"/>
          </w:divBdr>
        </w:div>
        <w:div w:id="1567951940">
          <w:marLeft w:val="0"/>
          <w:marRight w:val="0"/>
          <w:marTop w:val="0"/>
          <w:marBottom w:val="0"/>
          <w:divBdr>
            <w:top w:val="none" w:sz="0" w:space="0" w:color="auto"/>
            <w:left w:val="none" w:sz="0" w:space="0" w:color="auto"/>
            <w:bottom w:val="none" w:sz="0" w:space="0" w:color="auto"/>
            <w:right w:val="none" w:sz="0" w:space="0" w:color="auto"/>
          </w:divBdr>
        </w:div>
        <w:div w:id="1569730555">
          <w:marLeft w:val="0"/>
          <w:marRight w:val="0"/>
          <w:marTop w:val="0"/>
          <w:marBottom w:val="0"/>
          <w:divBdr>
            <w:top w:val="none" w:sz="0" w:space="0" w:color="auto"/>
            <w:left w:val="none" w:sz="0" w:space="0" w:color="auto"/>
            <w:bottom w:val="none" w:sz="0" w:space="0" w:color="auto"/>
            <w:right w:val="none" w:sz="0" w:space="0" w:color="auto"/>
          </w:divBdr>
        </w:div>
        <w:div w:id="1598752844">
          <w:marLeft w:val="0"/>
          <w:marRight w:val="0"/>
          <w:marTop w:val="0"/>
          <w:marBottom w:val="0"/>
          <w:divBdr>
            <w:top w:val="none" w:sz="0" w:space="0" w:color="auto"/>
            <w:left w:val="none" w:sz="0" w:space="0" w:color="auto"/>
            <w:bottom w:val="none" w:sz="0" w:space="0" w:color="auto"/>
            <w:right w:val="none" w:sz="0" w:space="0" w:color="auto"/>
          </w:divBdr>
        </w:div>
        <w:div w:id="1616061349">
          <w:marLeft w:val="0"/>
          <w:marRight w:val="0"/>
          <w:marTop w:val="0"/>
          <w:marBottom w:val="0"/>
          <w:divBdr>
            <w:top w:val="none" w:sz="0" w:space="0" w:color="auto"/>
            <w:left w:val="none" w:sz="0" w:space="0" w:color="auto"/>
            <w:bottom w:val="none" w:sz="0" w:space="0" w:color="auto"/>
            <w:right w:val="none" w:sz="0" w:space="0" w:color="auto"/>
          </w:divBdr>
        </w:div>
        <w:div w:id="1683891726">
          <w:marLeft w:val="0"/>
          <w:marRight w:val="0"/>
          <w:marTop w:val="0"/>
          <w:marBottom w:val="0"/>
          <w:divBdr>
            <w:top w:val="none" w:sz="0" w:space="0" w:color="auto"/>
            <w:left w:val="none" w:sz="0" w:space="0" w:color="auto"/>
            <w:bottom w:val="none" w:sz="0" w:space="0" w:color="auto"/>
            <w:right w:val="none" w:sz="0" w:space="0" w:color="auto"/>
          </w:divBdr>
        </w:div>
        <w:div w:id="1697003186">
          <w:marLeft w:val="0"/>
          <w:marRight w:val="0"/>
          <w:marTop w:val="0"/>
          <w:marBottom w:val="0"/>
          <w:divBdr>
            <w:top w:val="none" w:sz="0" w:space="0" w:color="auto"/>
            <w:left w:val="none" w:sz="0" w:space="0" w:color="auto"/>
            <w:bottom w:val="none" w:sz="0" w:space="0" w:color="auto"/>
            <w:right w:val="none" w:sz="0" w:space="0" w:color="auto"/>
          </w:divBdr>
        </w:div>
        <w:div w:id="1984918469">
          <w:marLeft w:val="0"/>
          <w:marRight w:val="0"/>
          <w:marTop w:val="0"/>
          <w:marBottom w:val="0"/>
          <w:divBdr>
            <w:top w:val="none" w:sz="0" w:space="0" w:color="auto"/>
            <w:left w:val="none" w:sz="0" w:space="0" w:color="auto"/>
            <w:bottom w:val="none" w:sz="0" w:space="0" w:color="auto"/>
            <w:right w:val="none" w:sz="0" w:space="0" w:color="auto"/>
          </w:divBdr>
        </w:div>
        <w:div w:id="1985815657">
          <w:marLeft w:val="0"/>
          <w:marRight w:val="0"/>
          <w:marTop w:val="0"/>
          <w:marBottom w:val="0"/>
          <w:divBdr>
            <w:top w:val="none" w:sz="0" w:space="0" w:color="auto"/>
            <w:left w:val="none" w:sz="0" w:space="0" w:color="auto"/>
            <w:bottom w:val="none" w:sz="0" w:space="0" w:color="auto"/>
            <w:right w:val="none" w:sz="0" w:space="0" w:color="auto"/>
          </w:divBdr>
        </w:div>
      </w:divsChild>
    </w:div>
    <w:div w:id="971984617">
      <w:bodyDiv w:val="1"/>
      <w:marLeft w:val="0"/>
      <w:marRight w:val="0"/>
      <w:marTop w:val="0"/>
      <w:marBottom w:val="0"/>
      <w:divBdr>
        <w:top w:val="none" w:sz="0" w:space="0" w:color="auto"/>
        <w:left w:val="none" w:sz="0" w:space="0" w:color="auto"/>
        <w:bottom w:val="none" w:sz="0" w:space="0" w:color="auto"/>
        <w:right w:val="none" w:sz="0" w:space="0" w:color="auto"/>
      </w:divBdr>
      <w:divsChild>
        <w:div w:id="515193548">
          <w:marLeft w:val="0"/>
          <w:marRight w:val="0"/>
          <w:marTop w:val="0"/>
          <w:marBottom w:val="0"/>
          <w:divBdr>
            <w:top w:val="none" w:sz="0" w:space="0" w:color="auto"/>
            <w:left w:val="none" w:sz="0" w:space="0" w:color="auto"/>
            <w:bottom w:val="none" w:sz="0" w:space="0" w:color="auto"/>
            <w:right w:val="none" w:sz="0" w:space="0" w:color="auto"/>
          </w:divBdr>
        </w:div>
      </w:divsChild>
    </w:div>
    <w:div w:id="149221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a.harrisson@keele.ac.uk" TargetMode="External" Id="rId8" /><Relationship Type="http://schemas.openxmlformats.org/officeDocument/2006/relationships/hyperlink" Target="http://dx.doi.org/10.1007/s00586-010-1632-2" TargetMode="External" Id="rId13" /><Relationship Type="http://schemas.openxmlformats.org/officeDocument/2006/relationships/hyperlink" Target="https://doi.org/10.1002/ejp.1190" TargetMode="Externa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http://dx.doi.org/10.1080/03007995.2017.1360851" TargetMode="External" Id="rId12" /><Relationship Type="http://schemas.openxmlformats.org/officeDocument/2006/relationships/hyperlink" Target="http://dx.doi.org/10.1186/1471-2474-15-68" TargetMode="External" Id="rId17" /><Relationship Type="http://schemas.openxmlformats.org/officeDocument/2006/relationships/numbering" Target="numbering.xml" Id="rId2" /><Relationship Type="http://schemas.openxmlformats.org/officeDocument/2006/relationships/hyperlink" Target="http://dx.doi.org/10.1007/s00393-014-1527-4"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dx.doi.org/10.1017/S1463423609990296" TargetMode="External" Id="rId11" /><Relationship Type="http://schemas.openxmlformats.org/officeDocument/2006/relationships/webSettings" Target="webSettings.xml" Id="rId5" /><Relationship Type="http://schemas.openxmlformats.org/officeDocument/2006/relationships/hyperlink" Target="http://dx.doi.org/10.3109/00207454.2012.746335" TargetMode="External" Id="rId15" /><Relationship Type="http://schemas.openxmlformats.org/officeDocument/2006/relationships/hyperlink" Target="http://nice.org.uk/guidance/cg173" TargetMode="External" Id="rId10" /><Relationship Type="http://schemas.openxmlformats.org/officeDocument/2006/relationships/hyperlink" Target="http://dx.doi.org/10.1111/papr.12470" TargetMode="External" Id="rId19" /><Relationship Type="http://schemas.openxmlformats.org/officeDocument/2006/relationships/settings" Target="settings.xml" Id="rId4" /><Relationship Type="http://schemas.openxmlformats.org/officeDocument/2006/relationships/hyperlink" Target="http://dx.doi.org/10.1016/s1474-4422(14)70251-0" TargetMode="External" Id="rId9" /><Relationship Type="http://schemas.openxmlformats.org/officeDocument/2006/relationships/hyperlink" Target="http://dx.doi.org/10.1097/AJP.0b013e318208c941%20%20" TargetMode="External" Id="rId14" /><Relationship Type="http://schemas.openxmlformats.org/officeDocument/2006/relationships/theme" Target="theme/theme1.xml" Id="rId22" /><Relationship Type="http://schemas.openxmlformats.org/officeDocument/2006/relationships/glossaryDocument" Target="/word/glossary/document.xml" Id="R5efa6e3191f6452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d03c799-0793-46c8-b97b-3bd2395206fc}"/>
      </w:docPartPr>
      <w:docPartBody>
        <w:p w14:paraId="782581C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5F426-24D5-491E-BD7C-100AA22B26E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Primary Care Sciences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Harrisson</dc:creator>
  <keywords/>
  <dc:description/>
  <lastModifiedBy>Sarah Harrisson</lastModifiedBy>
  <revision>4</revision>
  <lastPrinted>2019-07-10T11:05:00.0000000Z</lastPrinted>
  <dcterms:created xsi:type="dcterms:W3CDTF">2020-05-15T11:45:00.0000000Z</dcterms:created>
  <dcterms:modified xsi:type="dcterms:W3CDTF">2020-11-02T17:32:52.5724958Z</dcterms:modified>
</coreProperties>
</file>