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5EC9" w14:textId="2F12D5CE" w:rsidR="00C07C4D" w:rsidRDefault="00E928A0" w:rsidP="00C07C4D">
      <w:pPr>
        <w:pStyle w:val="Title"/>
        <w:rPr>
          <w:rFonts w:ascii="Times New Roman" w:hAnsi="Times New Roman" w:cs="Times New Roman"/>
        </w:rPr>
      </w:pPr>
      <w:r>
        <w:rPr>
          <w:rFonts w:ascii="Times New Roman" w:hAnsi="Times New Roman" w:cs="Times New Roman"/>
        </w:rPr>
        <w:t xml:space="preserve">COVID-19 vaccination intention </w:t>
      </w:r>
      <w:r w:rsidR="007F1359">
        <w:rPr>
          <w:rFonts w:ascii="Times New Roman" w:hAnsi="Times New Roman" w:cs="Times New Roman"/>
        </w:rPr>
        <w:t>in the UK</w:t>
      </w:r>
      <w:r w:rsidR="001871E3">
        <w:rPr>
          <w:rFonts w:ascii="Times New Roman" w:hAnsi="Times New Roman" w:cs="Times New Roman"/>
        </w:rPr>
        <w:t xml:space="preserve">: Results from the </w:t>
      </w:r>
      <w:r w:rsidR="001871E3" w:rsidRPr="001871E3">
        <w:rPr>
          <w:rFonts w:ascii="Times New Roman" w:hAnsi="Times New Roman" w:cs="Times New Roman"/>
        </w:rPr>
        <w:t>COVID-19 Vaccination Acceptability Study (</w:t>
      </w:r>
      <w:proofErr w:type="spellStart"/>
      <w:r w:rsidR="001871E3" w:rsidRPr="001871E3">
        <w:rPr>
          <w:rFonts w:ascii="Times New Roman" w:hAnsi="Times New Roman" w:cs="Times New Roman"/>
        </w:rPr>
        <w:t>CoVAccS</w:t>
      </w:r>
      <w:proofErr w:type="spellEnd"/>
      <w:r w:rsidR="001871E3" w:rsidRPr="001871E3">
        <w:rPr>
          <w:rFonts w:ascii="Times New Roman" w:hAnsi="Times New Roman" w:cs="Times New Roman"/>
        </w:rPr>
        <w:t>)</w:t>
      </w:r>
      <w:r w:rsidR="001871E3">
        <w:rPr>
          <w:rFonts w:ascii="Times New Roman" w:hAnsi="Times New Roman" w:cs="Times New Roman"/>
        </w:rPr>
        <w:t xml:space="preserve">, </w:t>
      </w:r>
      <w:r w:rsidR="00292398">
        <w:rPr>
          <w:rFonts w:ascii="Times New Roman" w:hAnsi="Times New Roman" w:cs="Times New Roman"/>
        </w:rPr>
        <w:t xml:space="preserve">a </w:t>
      </w:r>
      <w:r w:rsidR="00D703FC">
        <w:rPr>
          <w:rFonts w:ascii="Times New Roman" w:hAnsi="Times New Roman" w:cs="Times New Roman"/>
        </w:rPr>
        <w:t>nationally</w:t>
      </w:r>
      <w:r w:rsidR="003B07AC">
        <w:rPr>
          <w:rFonts w:ascii="Times New Roman" w:hAnsi="Times New Roman" w:cs="Times New Roman"/>
        </w:rPr>
        <w:t xml:space="preserve"> </w:t>
      </w:r>
      <w:r w:rsidR="00D703FC">
        <w:rPr>
          <w:rFonts w:ascii="Times New Roman" w:hAnsi="Times New Roman" w:cs="Times New Roman"/>
        </w:rPr>
        <w:t xml:space="preserve">representative </w:t>
      </w:r>
      <w:r w:rsidR="00292398">
        <w:rPr>
          <w:rFonts w:ascii="Times New Roman" w:hAnsi="Times New Roman" w:cs="Times New Roman"/>
        </w:rPr>
        <w:t>cross-sectional survey</w:t>
      </w:r>
    </w:p>
    <w:p w14:paraId="74B8B5FB" w14:textId="77777777" w:rsidR="00DC1423" w:rsidRDefault="00DC1423" w:rsidP="00DC1423"/>
    <w:p w14:paraId="7B299FDC" w14:textId="77777777" w:rsidR="001F5446" w:rsidRDefault="001F5446" w:rsidP="001F5446">
      <w:r>
        <w:t>Susan M. Sherman*</w:t>
      </w:r>
      <w:r w:rsidRPr="008A31DE">
        <w:rPr>
          <w:vertAlign w:val="superscript"/>
        </w:rPr>
        <w:t>1</w:t>
      </w:r>
      <w:r>
        <w:t xml:space="preserve"> PhD, Louise E. Smith*</w:t>
      </w:r>
      <w:r>
        <w:rPr>
          <w:vertAlign w:val="superscript"/>
        </w:rPr>
        <w:t>2,3</w:t>
      </w:r>
      <w:r>
        <w:t xml:space="preserve"> PhD, Julius Sim</w:t>
      </w:r>
      <w:r>
        <w:rPr>
          <w:vertAlign w:val="superscript"/>
        </w:rPr>
        <w:t>4</w:t>
      </w:r>
      <w:r>
        <w:t xml:space="preserve"> PhD, Richard Amlôt</w:t>
      </w:r>
      <w:r w:rsidRPr="007C5231">
        <w:rPr>
          <w:vertAlign w:val="superscript"/>
        </w:rPr>
        <w:t>3,</w:t>
      </w:r>
      <w:r>
        <w:rPr>
          <w:vertAlign w:val="superscript"/>
        </w:rPr>
        <w:t>5</w:t>
      </w:r>
      <w:r>
        <w:t xml:space="preserve"> PhD, Megan Cutts</w:t>
      </w:r>
      <w:r>
        <w:rPr>
          <w:vertAlign w:val="superscript"/>
        </w:rPr>
        <w:t>1</w:t>
      </w:r>
      <w:r>
        <w:t xml:space="preserve"> MSc, Hannah Dasch</w:t>
      </w:r>
      <w:r>
        <w:rPr>
          <w:vertAlign w:val="superscript"/>
        </w:rPr>
        <w:t>2,6</w:t>
      </w:r>
      <w:r>
        <w:t xml:space="preserve"> BSc, G James Rubin</w:t>
      </w:r>
      <w:r>
        <w:rPr>
          <w:vertAlign w:val="superscript"/>
        </w:rPr>
        <w:t>2,3</w:t>
      </w:r>
      <w:r>
        <w:t xml:space="preserve"> PhD, Nick Sevdalis</w:t>
      </w:r>
      <w:r>
        <w:rPr>
          <w:vertAlign w:val="superscript"/>
        </w:rPr>
        <w:t>2,6</w:t>
      </w:r>
      <w:r>
        <w:t xml:space="preserve"> PhD</w:t>
      </w:r>
    </w:p>
    <w:p w14:paraId="06E6B762" w14:textId="77777777" w:rsidR="001F5446" w:rsidRDefault="001F5446" w:rsidP="001F5446">
      <w:r w:rsidRPr="00A652D6">
        <w:t xml:space="preserve">1 </w:t>
      </w:r>
      <w:proofErr w:type="spellStart"/>
      <w:r>
        <w:t>Keele</w:t>
      </w:r>
      <w:proofErr w:type="spellEnd"/>
      <w:r>
        <w:t xml:space="preserve"> University, School of Psychology</w:t>
      </w:r>
    </w:p>
    <w:p w14:paraId="5C15D2D6" w14:textId="77777777" w:rsidR="001F5446" w:rsidRPr="0017772C" w:rsidRDefault="001F5446" w:rsidP="001F5446">
      <w:r>
        <w:t xml:space="preserve">2 </w:t>
      </w:r>
      <w:r w:rsidRPr="00A652D6">
        <w:t xml:space="preserve">King’s College London, Institute </w:t>
      </w:r>
      <w:r w:rsidRPr="0017772C">
        <w:t xml:space="preserve">of Psychiatry, Psychology and Neuroscience </w:t>
      </w:r>
    </w:p>
    <w:p w14:paraId="4C464A56" w14:textId="77777777" w:rsidR="001F5446" w:rsidRDefault="001F5446" w:rsidP="001F5446">
      <w:r>
        <w:t xml:space="preserve">3 </w:t>
      </w:r>
      <w:r w:rsidRPr="004D3AC5">
        <w:t>NIHR Health Protection Research Unit in</w:t>
      </w:r>
      <w:r>
        <w:t xml:space="preserve"> Emergency Preparedness and Response</w:t>
      </w:r>
    </w:p>
    <w:p w14:paraId="3F9EA2FA" w14:textId="77777777" w:rsidR="001F5446" w:rsidRDefault="001F5446" w:rsidP="001F5446">
      <w:r>
        <w:t xml:space="preserve">4 </w:t>
      </w:r>
      <w:proofErr w:type="spellStart"/>
      <w:r>
        <w:t>Keele</w:t>
      </w:r>
      <w:proofErr w:type="spellEnd"/>
      <w:r>
        <w:t xml:space="preserve"> University, School of Medicine</w:t>
      </w:r>
    </w:p>
    <w:p w14:paraId="43DF3393" w14:textId="77777777" w:rsidR="001F5446" w:rsidRDefault="001F5446" w:rsidP="001F5446">
      <w:r>
        <w:t>5 Public Health England, Behavioural Science Team, Emergency Response Department Science and Technology</w:t>
      </w:r>
    </w:p>
    <w:p w14:paraId="64CA77AD" w14:textId="77777777" w:rsidR="001F5446" w:rsidRDefault="001F5446" w:rsidP="001F5446">
      <w:pPr>
        <w:rPr>
          <w:rStyle w:val="Hyperlink"/>
          <w:rFonts w:ascii="Times New Roman" w:hAnsi="Times New Roman"/>
          <w:color w:val="auto"/>
          <w:u w:val="none"/>
        </w:rPr>
      </w:pPr>
      <w:r>
        <w:rPr>
          <w:rStyle w:val="Hyperlink"/>
          <w:rFonts w:ascii="Times New Roman" w:hAnsi="Times New Roman"/>
          <w:color w:val="auto"/>
          <w:u w:val="none"/>
        </w:rPr>
        <w:t>6 King’s College London, Centre for Implementation Science</w:t>
      </w:r>
    </w:p>
    <w:p w14:paraId="465E098E" w14:textId="77777777" w:rsidR="001F5446" w:rsidRDefault="001F5446" w:rsidP="001F5446">
      <w:pPr>
        <w:rPr>
          <w:rStyle w:val="Hyperlink"/>
          <w:rFonts w:ascii="Times New Roman" w:hAnsi="Times New Roman"/>
          <w:color w:val="auto"/>
          <w:u w:val="none"/>
        </w:rPr>
      </w:pPr>
    </w:p>
    <w:p w14:paraId="20A16108" w14:textId="77777777" w:rsidR="001F5446" w:rsidRDefault="001F5446" w:rsidP="001F5446">
      <w:pPr>
        <w:rPr>
          <w:rStyle w:val="Hyperlink"/>
          <w:rFonts w:ascii="Times New Roman" w:hAnsi="Times New Roman"/>
          <w:color w:val="auto"/>
          <w:u w:val="none"/>
        </w:rPr>
      </w:pPr>
      <w:r>
        <w:rPr>
          <w:rStyle w:val="Hyperlink"/>
          <w:rFonts w:ascii="Times New Roman" w:hAnsi="Times New Roman"/>
          <w:color w:val="auto"/>
          <w:u w:val="none"/>
        </w:rPr>
        <w:t>*Sherman and Smith contributed equally to the work and are joint first authors.</w:t>
      </w:r>
    </w:p>
    <w:p w14:paraId="6A143E94" w14:textId="77777777" w:rsidR="001F5446" w:rsidRDefault="001F5446" w:rsidP="001F5446">
      <w:pPr>
        <w:rPr>
          <w:rStyle w:val="Hyperlink"/>
          <w:rFonts w:ascii="Times New Roman" w:hAnsi="Times New Roman"/>
          <w:color w:val="auto"/>
          <w:u w:val="none"/>
        </w:rPr>
      </w:pPr>
    </w:p>
    <w:p w14:paraId="25B1A954" w14:textId="77777777" w:rsidR="001F5446" w:rsidRDefault="001F5446" w:rsidP="001F5446">
      <w:pPr>
        <w:rPr>
          <w:rFonts w:ascii="Times New Roman" w:hAnsi="Times New Roman"/>
        </w:rPr>
      </w:pPr>
      <w:r w:rsidRPr="00DB06D6">
        <w:rPr>
          <w:rStyle w:val="Hyperlink"/>
          <w:rFonts w:ascii="Times New Roman" w:hAnsi="Times New Roman"/>
          <w:color w:val="auto"/>
          <w:u w:val="none"/>
        </w:rPr>
        <w:t>Corresponding author</w:t>
      </w:r>
      <w:r w:rsidRPr="00DB06D6">
        <w:rPr>
          <w:rFonts w:ascii="Times New Roman" w:hAnsi="Times New Roman"/>
        </w:rPr>
        <w:t xml:space="preserve">: </w:t>
      </w:r>
      <w:r>
        <w:rPr>
          <w:rFonts w:ascii="Times New Roman" w:hAnsi="Times New Roman"/>
        </w:rPr>
        <w:t>Susan M. Sherman, s.m.sherman@keele.ac.uk</w:t>
      </w:r>
    </w:p>
    <w:p w14:paraId="2BB9D522" w14:textId="77777777" w:rsidR="001F5446" w:rsidRDefault="001F5446" w:rsidP="001F5446">
      <w:pPr>
        <w:rPr>
          <w:rFonts w:ascii="Times New Roman" w:hAnsi="Times New Roman"/>
        </w:rPr>
      </w:pPr>
    </w:p>
    <w:p w14:paraId="1332361F" w14:textId="77777777" w:rsidR="001F5446" w:rsidRDefault="001F5446" w:rsidP="001F5446">
      <w:pPr>
        <w:rPr>
          <w:rFonts w:ascii="Times New Roman" w:hAnsi="Times New Roman"/>
        </w:rPr>
      </w:pPr>
      <w:r>
        <w:rPr>
          <w:rFonts w:ascii="Times New Roman" w:hAnsi="Times New Roman"/>
        </w:rPr>
        <w:t xml:space="preserve">Susan M. Sherman, Senior Lecturer in Psychology. School of Psychology, </w:t>
      </w:r>
      <w:proofErr w:type="spellStart"/>
      <w:r>
        <w:rPr>
          <w:rFonts w:ascii="Times New Roman" w:hAnsi="Times New Roman"/>
        </w:rPr>
        <w:t>Keele</w:t>
      </w:r>
      <w:proofErr w:type="spellEnd"/>
      <w:r>
        <w:rPr>
          <w:rFonts w:ascii="Times New Roman" w:hAnsi="Times New Roman"/>
        </w:rPr>
        <w:t xml:space="preserve"> University, </w:t>
      </w:r>
      <w:proofErr w:type="spellStart"/>
      <w:r>
        <w:rPr>
          <w:rFonts w:ascii="Times New Roman" w:hAnsi="Times New Roman"/>
        </w:rPr>
        <w:t>Keele</w:t>
      </w:r>
      <w:proofErr w:type="spellEnd"/>
      <w:r>
        <w:rPr>
          <w:rFonts w:ascii="Times New Roman" w:hAnsi="Times New Roman"/>
        </w:rPr>
        <w:t xml:space="preserve">, ST5 5BG, UK. </w:t>
      </w:r>
      <w:r w:rsidRPr="00585F6C">
        <w:rPr>
          <w:rFonts w:ascii="Times New Roman" w:hAnsi="Times New Roman"/>
        </w:rPr>
        <w:t xml:space="preserve">ORCID: </w:t>
      </w:r>
      <w:hyperlink r:id="rId11" w:history="1">
        <w:r w:rsidRPr="00CE7855">
          <w:rPr>
            <w:rStyle w:val="Hyperlink"/>
            <w:rFonts w:ascii="Times New Roman" w:hAnsi="Times New Roman"/>
          </w:rPr>
          <w:t>https://orcid.org/0000-0001-6708-3398</w:t>
        </w:r>
      </w:hyperlink>
      <w:r>
        <w:rPr>
          <w:rFonts w:ascii="Times New Roman" w:hAnsi="Times New Roman"/>
        </w:rPr>
        <w:t xml:space="preserve"> </w:t>
      </w:r>
    </w:p>
    <w:p w14:paraId="085302A8" w14:textId="77777777" w:rsidR="001F5446" w:rsidRDefault="001F5446" w:rsidP="001F5446">
      <w:r>
        <w:rPr>
          <w:rFonts w:ascii="Times New Roman" w:hAnsi="Times New Roman"/>
        </w:rPr>
        <w:t xml:space="preserve">Louise E. Smith, </w:t>
      </w:r>
      <w:r>
        <w:t xml:space="preserve">Post-doctoral Researcher. Department of Psychological Medicine, King’s College London, Weston Education Centre, </w:t>
      </w:r>
      <w:proofErr w:type="spellStart"/>
      <w:r w:rsidRPr="00412E9A">
        <w:t>Cutcombe</w:t>
      </w:r>
      <w:proofErr w:type="spellEnd"/>
      <w:r w:rsidRPr="00412E9A">
        <w:t xml:space="preserve"> Road, London</w:t>
      </w:r>
      <w:r>
        <w:t>,</w:t>
      </w:r>
      <w:r w:rsidRPr="00412E9A">
        <w:t xml:space="preserve"> SE5 9RJ</w:t>
      </w:r>
      <w:r>
        <w:t xml:space="preserve">, UK. </w:t>
      </w:r>
      <w:r w:rsidRPr="00585F6C">
        <w:rPr>
          <w:rFonts w:ascii="Times New Roman" w:hAnsi="Times New Roman"/>
        </w:rPr>
        <w:t xml:space="preserve">ORCID: </w:t>
      </w:r>
      <w:hyperlink r:id="rId12" w:history="1">
        <w:r>
          <w:rPr>
            <w:rStyle w:val="Hyperlink"/>
          </w:rPr>
          <w:t>https://orcid.org/0000-0002-1277-2564</w:t>
        </w:r>
      </w:hyperlink>
    </w:p>
    <w:p w14:paraId="73998DC4" w14:textId="77777777" w:rsidR="001F5446" w:rsidRDefault="001F5446" w:rsidP="001F5446">
      <w:pPr>
        <w:rPr>
          <w:rStyle w:val="Hyperlink"/>
        </w:rPr>
      </w:pPr>
      <w:r>
        <w:lastRenderedPageBreak/>
        <w:t xml:space="preserve">Julius Sim. Professor of Health Care Research, School of Medicine, </w:t>
      </w:r>
      <w:proofErr w:type="spellStart"/>
      <w:r>
        <w:t>Keele</w:t>
      </w:r>
      <w:proofErr w:type="spellEnd"/>
      <w:r>
        <w:t xml:space="preserve"> University, ST5 5BG, UK. ORCID: </w:t>
      </w:r>
      <w:hyperlink r:id="rId13" w:history="1">
        <w:r w:rsidRPr="00145EC8">
          <w:rPr>
            <w:rStyle w:val="Hyperlink"/>
            <w:rFonts w:ascii="Times New Roman" w:hAnsi="Times New Roman"/>
            <w:szCs w:val="24"/>
            <w:shd w:val="clear" w:color="auto" w:fill="FFFFFF"/>
          </w:rPr>
          <w:t>https://orcid.org/0000-0002-1816-1676</w:t>
        </w:r>
      </w:hyperlink>
      <w:r>
        <w:rPr>
          <w:rFonts w:ascii="Times New Roman" w:hAnsi="Times New Roman"/>
          <w:color w:val="494A4C"/>
          <w:szCs w:val="24"/>
          <w:shd w:val="clear" w:color="auto" w:fill="FFFFFF"/>
        </w:rPr>
        <w:t xml:space="preserve"> </w:t>
      </w:r>
    </w:p>
    <w:p w14:paraId="64E094E2" w14:textId="77777777" w:rsidR="001F5446" w:rsidRDefault="001F5446" w:rsidP="001F5446">
      <w:r>
        <w:t xml:space="preserve">Richard </w:t>
      </w:r>
      <w:proofErr w:type="spellStart"/>
      <w:r>
        <w:t>Amlôt</w:t>
      </w:r>
      <w:proofErr w:type="spellEnd"/>
      <w:r>
        <w:t xml:space="preserve">, </w:t>
      </w:r>
      <w:r w:rsidRPr="008A3818">
        <w:t>Head of Behavioural Science in the Emergency Response Department</w:t>
      </w:r>
      <w:r>
        <w:t xml:space="preserve"> at Public Health England.</w:t>
      </w:r>
      <w:r w:rsidRPr="004F5A3B">
        <w:t xml:space="preserve"> </w:t>
      </w:r>
      <w:proofErr w:type="spellStart"/>
      <w:r w:rsidRPr="004F5A3B">
        <w:t>Porton</w:t>
      </w:r>
      <w:proofErr w:type="spellEnd"/>
      <w:r w:rsidRPr="004F5A3B">
        <w:t xml:space="preserve"> Down, Salisbury, Wiltshire, SP4 0JG</w:t>
      </w:r>
      <w:r>
        <w:t xml:space="preserve">, UK.  </w:t>
      </w:r>
    </w:p>
    <w:p w14:paraId="16BC8589" w14:textId="77777777" w:rsidR="001F5446" w:rsidRDefault="001F5446" w:rsidP="001F5446">
      <w:r>
        <w:t xml:space="preserve">Megan Cutts, Research Assistant. </w:t>
      </w:r>
      <w:r w:rsidRPr="009B737A">
        <w:t xml:space="preserve">School of Psychology, </w:t>
      </w:r>
      <w:proofErr w:type="spellStart"/>
      <w:r w:rsidRPr="009B737A">
        <w:t>Keele</w:t>
      </w:r>
      <w:proofErr w:type="spellEnd"/>
      <w:r w:rsidRPr="009B737A">
        <w:t xml:space="preserve"> University, </w:t>
      </w:r>
      <w:proofErr w:type="spellStart"/>
      <w:r w:rsidRPr="009B737A">
        <w:t>Keele</w:t>
      </w:r>
      <w:proofErr w:type="spellEnd"/>
      <w:r w:rsidRPr="009B737A">
        <w:t>, ST5 5BG</w:t>
      </w:r>
      <w:r>
        <w:t>, UK</w:t>
      </w:r>
    </w:p>
    <w:p w14:paraId="595B8DAB" w14:textId="77777777" w:rsidR="001F5446" w:rsidRDefault="001F5446" w:rsidP="001F5446">
      <w:r>
        <w:t>Hannah Dasch,</w:t>
      </w:r>
      <w:r w:rsidRPr="009B737A">
        <w:t xml:space="preserve"> Research Assistant</w:t>
      </w:r>
      <w:r>
        <w:t xml:space="preserve">. Centre for Implementation Science, Health Service and Population Research Department, Institute of Psychiatry, Psychology and Neuroscience, King’s College London, De </w:t>
      </w:r>
      <w:proofErr w:type="spellStart"/>
      <w:r>
        <w:t>Crespigny</w:t>
      </w:r>
      <w:proofErr w:type="spellEnd"/>
      <w:r>
        <w:t xml:space="preserve"> Park, London SE5 8AF, UK </w:t>
      </w:r>
    </w:p>
    <w:p w14:paraId="2856BC1A" w14:textId="77777777" w:rsidR="001F5446" w:rsidRDefault="001F5446" w:rsidP="001F5446">
      <w:r>
        <w:t>G James Rubin,</w:t>
      </w:r>
      <w:r w:rsidRPr="00C91D01">
        <w:t xml:space="preserve"> Reader in the Psychology of Emerging Health Risks. Department of Psychological Medicine, King’s College London, Weston Education Centre, </w:t>
      </w:r>
      <w:proofErr w:type="spellStart"/>
      <w:r w:rsidRPr="00C91D01">
        <w:t>Cutcombe</w:t>
      </w:r>
      <w:proofErr w:type="spellEnd"/>
      <w:r w:rsidRPr="00C91D01">
        <w:t xml:space="preserve"> Road, London, SE5 9RJ</w:t>
      </w:r>
      <w:r>
        <w:t>, UK</w:t>
      </w:r>
      <w:r w:rsidRPr="00C91D01">
        <w:t>.</w:t>
      </w:r>
      <w:r>
        <w:t xml:space="preserve"> ORCID: </w:t>
      </w:r>
      <w:hyperlink r:id="rId14" w:history="1">
        <w:r w:rsidRPr="00894C3F">
          <w:rPr>
            <w:rStyle w:val="Hyperlink"/>
          </w:rPr>
          <w:t>https://orcid.org/0000-0002-4440-0570</w:t>
        </w:r>
      </w:hyperlink>
      <w:r>
        <w:t xml:space="preserve"> </w:t>
      </w:r>
    </w:p>
    <w:p w14:paraId="227B0943" w14:textId="77777777" w:rsidR="001F5446" w:rsidRDefault="001F5446" w:rsidP="001F5446">
      <w:r>
        <w:t xml:space="preserve">Nick Sevdalis, </w:t>
      </w:r>
      <w:r w:rsidRPr="00292398">
        <w:t>Professor of Implementation Science and Patient Safety</w:t>
      </w:r>
      <w:r>
        <w:t>.</w:t>
      </w:r>
      <w:r w:rsidRPr="001871E3">
        <w:t xml:space="preserve"> Centre for Implementation Science, Health Service and Population Research Department, Institute of Psychiatry, Psychology and Neuroscience, King’s College London, De </w:t>
      </w:r>
      <w:proofErr w:type="spellStart"/>
      <w:r w:rsidRPr="001871E3">
        <w:t>Crespigny</w:t>
      </w:r>
      <w:proofErr w:type="spellEnd"/>
      <w:r w:rsidRPr="001871E3">
        <w:t xml:space="preserve"> Park, London SE5 8AF, UK</w:t>
      </w:r>
      <w:r>
        <w:t xml:space="preserve">. ORCID: </w:t>
      </w:r>
      <w:hyperlink r:id="rId15" w:history="1">
        <w:r w:rsidRPr="00894C3F">
          <w:rPr>
            <w:rStyle w:val="Hyperlink"/>
          </w:rPr>
          <w:t>https://orcid.org/0000-0001-7560-8924</w:t>
        </w:r>
      </w:hyperlink>
      <w:r>
        <w:t xml:space="preserve"> </w:t>
      </w:r>
    </w:p>
    <w:p w14:paraId="651F24AE" w14:textId="77777777" w:rsidR="001F5446" w:rsidRDefault="001F5446" w:rsidP="001F5446"/>
    <w:p w14:paraId="0912C027" w14:textId="77777777" w:rsidR="00DC1423" w:rsidRDefault="00DC1423" w:rsidP="00DC1423"/>
    <w:p w14:paraId="763929C0" w14:textId="4AAE1E37" w:rsidR="00C5742D" w:rsidRDefault="008A31DE" w:rsidP="00191971">
      <w:r>
        <w:rPr>
          <w:rFonts w:ascii="Arial" w:hAnsi="Arial" w:cs="Arial"/>
        </w:rPr>
        <w:br/>
      </w:r>
    </w:p>
    <w:p w14:paraId="1CDF9BE6" w14:textId="496C8E30" w:rsidR="00117491" w:rsidRDefault="00117491" w:rsidP="00DC1423"/>
    <w:p w14:paraId="2AD1CB3D" w14:textId="77777777" w:rsidR="00D172BF" w:rsidRDefault="00D172BF">
      <w:pPr>
        <w:spacing w:after="160" w:line="259" w:lineRule="auto"/>
      </w:pPr>
      <w:r>
        <w:br w:type="page"/>
      </w:r>
    </w:p>
    <w:p w14:paraId="0AEED543" w14:textId="08472ED3" w:rsidR="00E672B7" w:rsidRDefault="00982E47" w:rsidP="00E672B7">
      <w:pPr>
        <w:pStyle w:val="BMJHeading1"/>
      </w:pPr>
      <w:bookmarkStart w:id="0" w:name="_Hlk48570232"/>
      <w:r>
        <w:lastRenderedPageBreak/>
        <w:t>A</w:t>
      </w:r>
      <w:r w:rsidR="00E672B7">
        <w:t>bstract</w:t>
      </w:r>
    </w:p>
    <w:p w14:paraId="24B003FD" w14:textId="52030E48" w:rsidR="00533DB7" w:rsidRDefault="00533DB7" w:rsidP="00A104A8">
      <w:bookmarkStart w:id="1" w:name="_Hlk33029112"/>
      <w:r>
        <w:t>To investigate factors associated with</w:t>
      </w:r>
      <w:r w:rsidR="00D43684">
        <w:t xml:space="preserve"> </w:t>
      </w:r>
      <w:r w:rsidR="00C5742D">
        <w:t xml:space="preserve">intention to be vaccinated </w:t>
      </w:r>
      <w:r w:rsidR="009F742E">
        <w:t>against</w:t>
      </w:r>
      <w:r>
        <w:t xml:space="preserve"> </w:t>
      </w:r>
      <w:r w:rsidR="00770EAB">
        <w:t>COVID-19</w:t>
      </w:r>
      <w:r w:rsidR="00A104A8">
        <w:t xml:space="preserve"> we conducted a</w:t>
      </w:r>
      <w:r>
        <w:t xml:space="preserve"> cross-sectional survey</w:t>
      </w:r>
      <w:r w:rsidR="00C77F1C">
        <w:t xml:space="preserve"> of 1,500 UK adults</w:t>
      </w:r>
      <w:r w:rsidR="0035635D">
        <w:t xml:space="preserve">, recruited from </w:t>
      </w:r>
      <w:r w:rsidR="009F742E">
        <w:t xml:space="preserve">an existing </w:t>
      </w:r>
      <w:r w:rsidR="0035635D">
        <w:t>online research panel</w:t>
      </w:r>
      <w:r>
        <w:t xml:space="preserve">. Data were collected </w:t>
      </w:r>
      <w:r w:rsidRPr="00C811E3">
        <w:t xml:space="preserve">between </w:t>
      </w:r>
      <w:r w:rsidR="00C5742D">
        <w:t>14</w:t>
      </w:r>
      <w:r w:rsidRPr="00C811E3">
        <w:rPr>
          <w:vertAlign w:val="superscript"/>
        </w:rPr>
        <w:t>th</w:t>
      </w:r>
      <w:r w:rsidRPr="00C811E3">
        <w:t xml:space="preserve"> and </w:t>
      </w:r>
      <w:r w:rsidR="00C5742D">
        <w:t>1</w:t>
      </w:r>
      <w:r w:rsidR="00770EAB">
        <w:t>7</w:t>
      </w:r>
      <w:r w:rsidR="00770EAB" w:rsidRPr="00770EAB">
        <w:rPr>
          <w:vertAlign w:val="superscript"/>
        </w:rPr>
        <w:t>th</w:t>
      </w:r>
      <w:r w:rsidR="00770EAB">
        <w:t xml:space="preserve"> </w:t>
      </w:r>
      <w:r w:rsidR="00C5742D">
        <w:t>July</w:t>
      </w:r>
      <w:r w:rsidR="00B107EF">
        <w:t xml:space="preserve"> 2020</w:t>
      </w:r>
      <w:r w:rsidRPr="00C811E3">
        <w:t xml:space="preserve">. </w:t>
      </w:r>
      <w:r w:rsidR="00B837DA">
        <w:t xml:space="preserve">We used linear regression analyses to investigate associations between intention to be vaccinated for COVID-19 “when a vaccine becomes available to you” and sociodemographic factors, previous influenza vaccination, </w:t>
      </w:r>
      <w:r w:rsidR="00047C20">
        <w:t>general vaccine attitudes and beliefs, attitudes and beliefs about COVID-19, and attitudes and beliefs about a COVID-19 vaccination.</w:t>
      </w:r>
      <w:r w:rsidR="00A104A8">
        <w:t xml:space="preserve"> </w:t>
      </w:r>
      <w:r w:rsidR="00076540">
        <w:t>64</w:t>
      </w:r>
      <w:r w:rsidR="00E06526">
        <w:t>%</w:t>
      </w:r>
      <w:r w:rsidR="00001856">
        <w:t xml:space="preserve"> of participants </w:t>
      </w:r>
      <w:r w:rsidR="00E06526">
        <w:t xml:space="preserve">reported being likely to </w:t>
      </w:r>
      <w:r w:rsidR="00001856">
        <w:t>be vaccinated against COVID-19</w:t>
      </w:r>
      <w:r w:rsidR="003E34E7">
        <w:t>,</w:t>
      </w:r>
      <w:r w:rsidR="00001856">
        <w:t xml:space="preserve"> </w:t>
      </w:r>
      <w:r w:rsidR="00E06526">
        <w:t>27%</w:t>
      </w:r>
      <w:r w:rsidR="00001856">
        <w:t xml:space="preserve"> were unsure</w:t>
      </w:r>
      <w:r w:rsidR="003E34E7">
        <w:t>,</w:t>
      </w:r>
      <w:r w:rsidR="00001856">
        <w:t xml:space="preserve"> and </w:t>
      </w:r>
      <w:r w:rsidR="008A5B2A">
        <w:t>9% reported being unlik</w:t>
      </w:r>
      <w:r w:rsidR="00E06526">
        <w:t>ely to be vaccinated</w:t>
      </w:r>
      <w:r w:rsidR="00E62B63">
        <w:t>. Personal and clinical characteristics, previous influenza vaccination, general vaccination beliefs, and beliefs and attitudes about COVID-19 and a COVID-19 vaccination explained 7</w:t>
      </w:r>
      <w:r w:rsidR="00595DA0">
        <w:t>6</w:t>
      </w:r>
      <w:r w:rsidR="00E62B63">
        <w:t xml:space="preserve">% of the variance in vaccination intention. </w:t>
      </w:r>
      <w:r w:rsidR="001F014B">
        <w:t>Intention to be vaccinated</w:t>
      </w:r>
      <w:r w:rsidR="00E62B63">
        <w:t xml:space="preserve"> was associated with </w:t>
      </w:r>
      <w:r w:rsidR="00580120">
        <w:t xml:space="preserve">more positive general COVID-19 vaccination beliefs and attitudes, </w:t>
      </w:r>
      <w:r w:rsidR="00AD12FE">
        <w:t>weaker</w:t>
      </w:r>
      <w:r w:rsidR="00580120">
        <w:t xml:space="preserve"> beliefs that the vaccination would cause side effects or be unsafe, greater perceived information sufficiency to make an informed decision about COVID-19 vaccination, greater perceived risk of COVID-19</w:t>
      </w:r>
      <w:r w:rsidR="00B3122D">
        <w:t xml:space="preserve"> to others </w:t>
      </w:r>
      <w:r w:rsidR="00B23514">
        <w:t>(</w:t>
      </w:r>
      <w:r w:rsidR="00B3122D">
        <w:t>but not</w:t>
      </w:r>
      <w:r w:rsidR="00B23514">
        <w:t xml:space="preserve"> risk to</w:t>
      </w:r>
      <w:r w:rsidR="00B3122D">
        <w:t xml:space="preserve"> oneself</w:t>
      </w:r>
      <w:r w:rsidR="00B23514">
        <w:t>)</w:t>
      </w:r>
      <w:r w:rsidR="00580120">
        <w:t xml:space="preserve">, older age, and having </w:t>
      </w:r>
      <w:r w:rsidR="00E62B63">
        <w:t>been vaccinated for influenza last winter (2019/20)</w:t>
      </w:r>
      <w:r w:rsidR="00580120">
        <w:t>.</w:t>
      </w:r>
      <w:r>
        <w:t xml:space="preserve"> </w:t>
      </w:r>
      <w:r w:rsidR="00D61A78">
        <w:t xml:space="preserve">Despite uncertainty around the details of a COVID-19 vaccination, most participants reported intending to be vaccinated for COVID-19. </w:t>
      </w:r>
      <w:r w:rsidR="00385818">
        <w:t xml:space="preserve">Actual uptake </w:t>
      </w:r>
      <w:r w:rsidR="00926A39">
        <w:t>may</w:t>
      </w:r>
      <w:r w:rsidR="00385818">
        <w:t xml:space="preserve"> be lower</w:t>
      </w:r>
      <w:r w:rsidR="00D61A78">
        <w:t xml:space="preserve">. </w:t>
      </w:r>
      <w:r w:rsidR="00EC1791">
        <w:t>Vaccination intention reflect</w:t>
      </w:r>
      <w:r w:rsidR="002257D3">
        <w:t>s</w:t>
      </w:r>
      <w:r w:rsidR="00EC1791">
        <w:t xml:space="preserve"> general vaccine beliefs and attitudes. Campaigns and messaging about a COVID-19 vaccination </w:t>
      </w:r>
      <w:r w:rsidR="00F6518C">
        <w:t xml:space="preserve">could consider </w:t>
      </w:r>
      <w:r w:rsidR="00013D5D">
        <w:t>emphasi</w:t>
      </w:r>
      <w:r w:rsidR="007F1102">
        <w:t>z</w:t>
      </w:r>
      <w:r w:rsidR="00F6518C">
        <w:t>ing</w:t>
      </w:r>
      <w:r w:rsidR="00013D5D">
        <w:t xml:space="preserve"> the risk of COVID-19 </w:t>
      </w:r>
      <w:r w:rsidR="00B3122D">
        <w:t xml:space="preserve">to others </w:t>
      </w:r>
      <w:r w:rsidR="00013D5D">
        <w:t xml:space="preserve">and </w:t>
      </w:r>
      <w:r w:rsidR="00B3122D">
        <w:t>necessity for everyone to be vaccinated.</w:t>
      </w:r>
    </w:p>
    <w:bookmarkEnd w:id="0"/>
    <w:bookmarkEnd w:id="1"/>
    <w:p w14:paraId="073FF5C0" w14:textId="54CCB7E1" w:rsidR="006410B6" w:rsidRDefault="00533DB7" w:rsidP="00533DB7">
      <w:r>
        <w:t xml:space="preserve">Keywords: </w:t>
      </w:r>
      <w:r w:rsidR="00D703FC">
        <w:t xml:space="preserve">hesitancy; </w:t>
      </w:r>
      <w:r w:rsidR="00385818">
        <w:t>beliefs; attitudes; barriers</w:t>
      </w:r>
      <w:r w:rsidR="007B429F">
        <w:t>; vaccine; COVID-19</w:t>
      </w:r>
      <w:r w:rsidR="00385818">
        <w:t>.</w:t>
      </w:r>
    </w:p>
    <w:p w14:paraId="5A0C181E" w14:textId="77777777" w:rsidR="002D7886" w:rsidRDefault="002D7886">
      <w:pPr>
        <w:spacing w:after="160" w:line="259" w:lineRule="auto"/>
        <w:rPr>
          <w:rFonts w:ascii="Times New Roman" w:eastAsiaTheme="majorEastAsia" w:hAnsi="Times New Roman"/>
          <w:b/>
          <w:caps/>
          <w:sz w:val="28"/>
          <w:szCs w:val="32"/>
        </w:rPr>
      </w:pPr>
      <w:r>
        <w:rPr>
          <w:rFonts w:ascii="Times New Roman" w:hAnsi="Times New Roman"/>
        </w:rPr>
        <w:br w:type="page"/>
      </w:r>
    </w:p>
    <w:p w14:paraId="4BFC04F7" w14:textId="2E8FB47E" w:rsidR="00814340" w:rsidRDefault="00982E47" w:rsidP="009157DB">
      <w:pPr>
        <w:pStyle w:val="BMJHeading1"/>
        <w:rPr>
          <w:rFonts w:ascii="Times New Roman" w:hAnsi="Times New Roman" w:cs="Times New Roman"/>
        </w:rPr>
      </w:pPr>
      <w:r>
        <w:rPr>
          <w:rFonts w:ascii="Times New Roman" w:hAnsi="Times New Roman" w:cs="Times New Roman"/>
        </w:rPr>
        <w:lastRenderedPageBreak/>
        <w:t>I</w:t>
      </w:r>
      <w:r w:rsidR="00814340" w:rsidRPr="00E15BD2">
        <w:rPr>
          <w:rFonts w:ascii="Times New Roman" w:hAnsi="Times New Roman" w:cs="Times New Roman"/>
        </w:rPr>
        <w:t>ntroduction</w:t>
      </w:r>
    </w:p>
    <w:p w14:paraId="5DF2FC29" w14:textId="509C94AE" w:rsidR="00891467" w:rsidRDefault="00535AED" w:rsidP="0064492F">
      <w:r>
        <w:t xml:space="preserve">The COVID-19 pandemic has </w:t>
      </w:r>
      <w:r w:rsidR="00E9161D">
        <w:t xml:space="preserve">had </w:t>
      </w:r>
      <w:r w:rsidR="00E437B3">
        <w:t xml:space="preserve">a huge impact </w:t>
      </w:r>
      <w:r w:rsidR="009F742E">
        <w:t>across societies</w:t>
      </w:r>
      <w:r w:rsidR="006007FD">
        <w:t xml:space="preserve">, with </w:t>
      </w:r>
      <w:r w:rsidR="000126BA">
        <w:t>g</w:t>
      </w:r>
      <w:r w:rsidR="006007FD">
        <w:t xml:space="preserve">overnments worldwide imposing restrictions of movement and other measures such as </w:t>
      </w:r>
      <w:r w:rsidR="00C453E5">
        <w:t xml:space="preserve">mandatory use of face </w:t>
      </w:r>
      <w:r w:rsidR="00CA2296">
        <w:t>coverings</w:t>
      </w:r>
      <w:r w:rsidR="00C453E5">
        <w:t xml:space="preserve"> </w:t>
      </w:r>
      <w:r w:rsidR="009F742E">
        <w:t xml:space="preserve">or quarantine </w:t>
      </w:r>
      <w:r w:rsidR="00C453E5">
        <w:t>to prevent the spread of the virus</w:t>
      </w:r>
      <w:r w:rsidR="00E10FF0">
        <w:t>.</w:t>
      </w:r>
      <w:r w:rsidR="0002423C">
        <w:t xml:space="preserve"> </w:t>
      </w:r>
      <w:bookmarkStart w:id="2" w:name="_Hlk52548715"/>
      <w:r w:rsidR="0002423C">
        <w:t>As of 2</w:t>
      </w:r>
      <w:r w:rsidR="0002423C" w:rsidRPr="0002423C">
        <w:rPr>
          <w:vertAlign w:val="superscript"/>
        </w:rPr>
        <w:t>nd</w:t>
      </w:r>
      <w:r w:rsidR="0002423C">
        <w:t xml:space="preserve"> October 2020, there have been </w:t>
      </w:r>
      <w:r w:rsidR="00957488">
        <w:t>467,146 confirmed cases of COVID-19</w:t>
      </w:r>
      <w:r w:rsidR="0002423C">
        <w:t xml:space="preserve"> and 42,268 confirmed deaths in the UK</w:t>
      </w:r>
      <w:bookmarkEnd w:id="2"/>
      <w:r w:rsidR="0002423C">
        <w:t>[1].</w:t>
      </w:r>
      <w:r w:rsidR="00E10FF0">
        <w:t xml:space="preserve"> </w:t>
      </w:r>
      <w:r w:rsidR="00BE55C0">
        <w:t xml:space="preserve">Hopes of returning to normality </w:t>
      </w:r>
      <w:r w:rsidR="000760E8">
        <w:t xml:space="preserve">have been </w:t>
      </w:r>
      <w:r w:rsidR="0015123C">
        <w:t xml:space="preserve">pinned on the </w:t>
      </w:r>
      <w:r w:rsidR="0083244B">
        <w:t>availability of a COVID-19 vaccine</w:t>
      </w:r>
      <w:r w:rsidR="002B4593">
        <w:t xml:space="preserve">, and vaccination is central to the UK </w:t>
      </w:r>
      <w:r w:rsidR="000126BA">
        <w:t>g</w:t>
      </w:r>
      <w:r w:rsidR="002B4593">
        <w:t>overnment</w:t>
      </w:r>
      <w:r w:rsidR="0088010B">
        <w:t>’s COVID-19 recovery strategy</w:t>
      </w:r>
      <w:r w:rsidR="004F4E47">
        <w:t>[</w:t>
      </w:r>
      <w:r w:rsidR="0002423C">
        <w:rPr>
          <w:noProof/>
        </w:rPr>
        <w:t>2</w:t>
      </w:r>
      <w:r w:rsidR="004F4E47">
        <w:rPr>
          <w:noProof/>
        </w:rPr>
        <w:t>].</w:t>
      </w:r>
      <w:r w:rsidR="00C453E5">
        <w:t xml:space="preserve"> </w:t>
      </w:r>
      <w:r w:rsidR="005C083C">
        <w:t>Vaccine trials have reported e</w:t>
      </w:r>
      <w:r w:rsidR="00C453E5">
        <w:t xml:space="preserve">ncouraging </w:t>
      </w:r>
      <w:r w:rsidR="009D6356">
        <w:t xml:space="preserve">results indicating that </w:t>
      </w:r>
      <w:r w:rsidR="008D55E8">
        <w:t>a COVID-19 vaccine is safe and produces a good immune response</w:t>
      </w:r>
      <w:r w:rsidR="004F4E47">
        <w:t>[</w:t>
      </w:r>
      <w:r w:rsidR="0002423C">
        <w:rPr>
          <w:noProof/>
        </w:rPr>
        <w:t>3,4</w:t>
      </w:r>
      <w:r w:rsidR="004F4E47">
        <w:rPr>
          <w:noProof/>
        </w:rPr>
        <w:t>].</w:t>
      </w:r>
      <w:r w:rsidR="005C083C">
        <w:t xml:space="preserve"> </w:t>
      </w:r>
      <w:r w:rsidR="001610DC">
        <w:t xml:space="preserve">However, </w:t>
      </w:r>
      <w:r w:rsidR="005228DD">
        <w:t xml:space="preserve">the success of a vaccination programme will depend on </w:t>
      </w:r>
      <w:r w:rsidR="009F742E">
        <w:t xml:space="preserve">rates of </w:t>
      </w:r>
      <w:r w:rsidR="005228DD">
        <w:t xml:space="preserve">uptake </w:t>
      </w:r>
      <w:r w:rsidR="009F742E">
        <w:t>among the population</w:t>
      </w:r>
      <w:r w:rsidR="005228DD">
        <w:t>.</w:t>
      </w:r>
      <w:r w:rsidR="00F259F7">
        <w:t xml:space="preserve"> </w:t>
      </w:r>
      <w:r w:rsidR="00B702DF">
        <w:t>I</w:t>
      </w:r>
      <w:r w:rsidR="00B25ED2">
        <w:t xml:space="preserve">t is important to </w:t>
      </w:r>
      <w:r w:rsidR="00534641">
        <w:t xml:space="preserve">prepare and </w:t>
      </w:r>
      <w:r w:rsidR="00B25ED2">
        <w:t xml:space="preserve">develop effective </w:t>
      </w:r>
      <w:r w:rsidR="0011691F">
        <w:t xml:space="preserve">policies and </w:t>
      </w:r>
      <w:r w:rsidR="00B25ED2">
        <w:t>messaging</w:t>
      </w:r>
      <w:r w:rsidR="00B051B9">
        <w:t xml:space="preserve"> </w:t>
      </w:r>
      <w:r w:rsidR="0011691F">
        <w:t xml:space="preserve">for vaccination </w:t>
      </w:r>
      <w:r w:rsidR="00B702DF">
        <w:t xml:space="preserve">now, </w:t>
      </w:r>
      <w:r w:rsidR="0011691F">
        <w:t xml:space="preserve">in order to </w:t>
      </w:r>
      <w:r w:rsidR="009F742E">
        <w:t>maxim</w:t>
      </w:r>
      <w:r w:rsidR="007F1102">
        <w:t>iz</w:t>
      </w:r>
      <w:r w:rsidR="009F742E">
        <w:t xml:space="preserve">e uptake when a vaccine </w:t>
      </w:r>
      <w:r w:rsidR="0011691F">
        <w:t>becomes available.</w:t>
      </w:r>
    </w:p>
    <w:p w14:paraId="6F080FEC" w14:textId="59E258CB" w:rsidR="003535D2" w:rsidRDefault="00544A07" w:rsidP="0064492F">
      <w:r>
        <w:t xml:space="preserve">There is a wealth of literature investigating factors associated with vaccine uptake. Research is underpinned by multiple theories of health behaviour, including the </w:t>
      </w:r>
      <w:r w:rsidR="009E4B7D">
        <w:t>Health Belief Model</w:t>
      </w:r>
      <w:r w:rsidR="004F4E47">
        <w:t>[</w:t>
      </w:r>
      <w:r w:rsidR="0002423C">
        <w:rPr>
          <w:noProof/>
        </w:rPr>
        <w:t>5</w:t>
      </w:r>
      <w:r w:rsidR="004F4E47">
        <w:rPr>
          <w:noProof/>
        </w:rPr>
        <w:t>],</w:t>
      </w:r>
      <w:r w:rsidR="009E4B7D">
        <w:t xml:space="preserve"> the </w:t>
      </w:r>
      <w:r>
        <w:t>Theory of Planned Behaviour</w:t>
      </w:r>
      <w:r w:rsidR="004F4E47">
        <w:t>[</w:t>
      </w:r>
      <w:r w:rsidR="0002423C">
        <w:t>6</w:t>
      </w:r>
      <w:r w:rsidR="004F4E47">
        <w:t>],</w:t>
      </w:r>
      <w:r w:rsidR="009E4B7D">
        <w:t xml:space="preserve"> and</w:t>
      </w:r>
      <w:r>
        <w:t xml:space="preserve"> Protection Motivation Theory</w:t>
      </w:r>
      <w:r w:rsidR="004F4E47">
        <w:t>[</w:t>
      </w:r>
      <w:r w:rsidR="0002423C">
        <w:t>7</w:t>
      </w:r>
      <w:r w:rsidR="004F4E47">
        <w:t>]</w:t>
      </w:r>
      <w:r>
        <w:t>.</w:t>
      </w:r>
      <w:r w:rsidR="005305B1">
        <w:t xml:space="preserve"> </w:t>
      </w:r>
      <w:r w:rsidR="0059200F">
        <w:t>C</w:t>
      </w:r>
      <w:r w:rsidR="00AC25FE">
        <w:t>onstructs</w:t>
      </w:r>
      <w:r w:rsidR="0059200F">
        <w:t xml:space="preserve"> outlined by these theories</w:t>
      </w:r>
      <w:r w:rsidR="00560B48">
        <w:t xml:space="preserve"> –</w:t>
      </w:r>
      <w:r w:rsidR="00705A1C">
        <w:t xml:space="preserve"> </w:t>
      </w:r>
      <w:r w:rsidR="00BE7C00">
        <w:t xml:space="preserve">including </w:t>
      </w:r>
      <w:r w:rsidR="00CF68A8">
        <w:t>threat appraisal, coping appraisal, cues to action, self-efficacy, perceived benefits and barriers</w:t>
      </w:r>
      <w:r w:rsidR="00873867">
        <w:t>, subjective norms, perceived behavioural control</w:t>
      </w:r>
      <w:r w:rsidR="002F70AB">
        <w:t>,</w:t>
      </w:r>
      <w:r w:rsidR="00873867">
        <w:t xml:space="preserve"> and attitudes</w:t>
      </w:r>
      <w:r w:rsidR="00705A1C">
        <w:t>,</w:t>
      </w:r>
      <w:r w:rsidR="00560B48">
        <w:t xml:space="preserve"> – </w:t>
      </w:r>
      <w:r w:rsidR="0059200F">
        <w:t>have</w:t>
      </w:r>
      <w:r w:rsidR="00774081">
        <w:t xml:space="preserve"> consistently been associated with </w:t>
      </w:r>
      <w:r w:rsidR="00541194">
        <w:t xml:space="preserve">uptake of routine </w:t>
      </w:r>
      <w:r w:rsidR="00CF0BDF">
        <w:t>vaccination</w:t>
      </w:r>
      <w:r w:rsidR="00774081">
        <w:t xml:space="preserve"> </w:t>
      </w:r>
      <w:r w:rsidR="004F4E47">
        <w:rPr>
          <w:noProof/>
        </w:rPr>
        <w:t>[</w:t>
      </w:r>
      <w:r w:rsidR="0002423C">
        <w:rPr>
          <w:noProof/>
        </w:rPr>
        <w:t>8,9</w:t>
      </w:r>
      <w:r w:rsidR="004F4E47">
        <w:rPr>
          <w:noProof/>
        </w:rPr>
        <w:t>]</w:t>
      </w:r>
      <w:r w:rsidR="00541194">
        <w:t xml:space="preserve"> </w:t>
      </w:r>
      <w:r w:rsidR="00705A1C">
        <w:t>as well as vaccine uptake</w:t>
      </w:r>
      <w:r w:rsidR="00541194">
        <w:t xml:space="preserve"> </w:t>
      </w:r>
      <w:r w:rsidR="00681C53">
        <w:t>during the H1N1 influenza</w:t>
      </w:r>
      <w:r w:rsidR="0098685B">
        <w:t xml:space="preserve"> </w:t>
      </w:r>
      <w:r w:rsidR="00541194">
        <w:t>pandemic</w:t>
      </w:r>
      <w:r w:rsidR="004F4E47">
        <w:t>[</w:t>
      </w:r>
      <w:r w:rsidR="0002423C">
        <w:rPr>
          <w:noProof/>
        </w:rPr>
        <w:t>10</w:t>
      </w:r>
      <w:r w:rsidR="004F4E47">
        <w:rPr>
          <w:noProof/>
        </w:rPr>
        <w:t>].</w:t>
      </w:r>
      <w:r w:rsidR="00672772">
        <w:t xml:space="preserve"> In addition to these theoretical constructs, contextual </w:t>
      </w:r>
      <w:r w:rsidR="000E0AC8">
        <w:t>factors</w:t>
      </w:r>
      <w:r w:rsidR="00CF0BDF">
        <w:t xml:space="preserve"> </w:t>
      </w:r>
      <w:r w:rsidR="00893A6F">
        <w:t xml:space="preserve">are also known to </w:t>
      </w:r>
      <w:r w:rsidR="00560B48">
        <w:t xml:space="preserve">influence </w:t>
      </w:r>
      <w:r w:rsidR="00893A6F">
        <w:t xml:space="preserve">vaccine </w:t>
      </w:r>
      <w:r w:rsidR="000E0AC8">
        <w:t>uptake</w:t>
      </w:r>
      <w:r w:rsidR="004F4E47">
        <w:t>[</w:t>
      </w:r>
      <w:r w:rsidR="0002423C">
        <w:rPr>
          <w:noProof/>
        </w:rPr>
        <w:t>8</w:t>
      </w:r>
      <w:r w:rsidR="004F4E47">
        <w:rPr>
          <w:noProof/>
        </w:rPr>
        <w:t>].</w:t>
      </w:r>
      <w:r w:rsidR="00C36C29">
        <w:t xml:space="preserve"> </w:t>
      </w:r>
      <w:r w:rsidR="00494390">
        <w:t xml:space="preserve">Perceptions and attitudes are in part driven by </w:t>
      </w:r>
      <w:r w:rsidR="00560B48">
        <w:t xml:space="preserve">these </w:t>
      </w:r>
      <w:r w:rsidR="00494390">
        <w:t>c</w:t>
      </w:r>
      <w:r w:rsidR="00BD066F">
        <w:t>ontextual factors, such as current events in the news</w:t>
      </w:r>
      <w:r w:rsidR="002D25D9">
        <w:t xml:space="preserve"> and how the vaccine is being portrayed in the media</w:t>
      </w:r>
      <w:r w:rsidR="0014561C">
        <w:t>.</w:t>
      </w:r>
      <w:r w:rsidR="00000E10">
        <w:t xml:space="preserve"> </w:t>
      </w:r>
      <w:r w:rsidR="003535D2" w:rsidRPr="003535D2">
        <w:t>Since a coronavirus vaccine is not yet available, we measured intention to have the vaccination rather than uptake. Previous research around the seasonal influenza and the H1N1 influenza vaccinations has demonstrated that vaccine beliefs and attitudes are related to vaccine intentions, which in turn were found to be a good predictor of uptake of those vaccinations [11, 12].</w:t>
      </w:r>
    </w:p>
    <w:p w14:paraId="6F200F4E" w14:textId="2314B15F" w:rsidR="00D42960" w:rsidRDefault="00762D5E" w:rsidP="0064492F">
      <w:r>
        <w:t xml:space="preserve">To date, there have been </w:t>
      </w:r>
      <w:r w:rsidR="00F412BC">
        <w:t>two</w:t>
      </w:r>
      <w:r>
        <w:t xml:space="preserve"> studies </w:t>
      </w:r>
      <w:r w:rsidR="00A04704">
        <w:t xml:space="preserve">to our knowledge </w:t>
      </w:r>
      <w:r>
        <w:t xml:space="preserve">investigating </w:t>
      </w:r>
      <w:r w:rsidR="00FC058A">
        <w:t xml:space="preserve">factors associated with intention to </w:t>
      </w:r>
      <w:r w:rsidR="00642FD9">
        <w:t>be vaccinated against COVID-19</w:t>
      </w:r>
      <w:r w:rsidR="007C3D32">
        <w:t xml:space="preserve"> in the UK</w:t>
      </w:r>
      <w:r w:rsidR="00E83E2B">
        <w:t xml:space="preserve"> in clinically vulnerable populations</w:t>
      </w:r>
      <w:r w:rsidR="004F4E47">
        <w:t>[</w:t>
      </w:r>
      <w:r w:rsidR="00000E10">
        <w:rPr>
          <w:noProof/>
        </w:rPr>
        <w:t>13, 14</w:t>
      </w:r>
      <w:r w:rsidR="004F4E47">
        <w:rPr>
          <w:noProof/>
        </w:rPr>
        <w:t>].</w:t>
      </w:r>
      <w:r w:rsidR="007C3D32">
        <w:t xml:space="preserve"> </w:t>
      </w:r>
      <w:r w:rsidR="0025268A">
        <w:t>O</w:t>
      </w:r>
      <w:r w:rsidR="00643E49">
        <w:t xml:space="preserve">ne study </w:t>
      </w:r>
      <w:r w:rsidR="00A52FAC">
        <w:t>found</w:t>
      </w:r>
      <w:r w:rsidR="000D084D">
        <w:t xml:space="preserve"> that </w:t>
      </w:r>
      <w:r w:rsidR="00A04704">
        <w:t xml:space="preserve">increased </w:t>
      </w:r>
      <w:r w:rsidR="00663024">
        <w:t>intention</w:t>
      </w:r>
      <w:r w:rsidR="000D084D">
        <w:t xml:space="preserve"> to be vaccinated was associated with </w:t>
      </w:r>
      <w:r w:rsidR="00CC0158">
        <w:t xml:space="preserve">thinking that the COVID-19 outbreak would last for a long time, while </w:t>
      </w:r>
      <w:r w:rsidR="00663024">
        <w:t>decreased intention was associated with thinking that the risks of COVID-19 have been exaggerated by the media</w:t>
      </w:r>
      <w:r w:rsidR="004F4E47">
        <w:t>[</w:t>
      </w:r>
      <w:r w:rsidR="002257D3">
        <w:rPr>
          <w:noProof/>
        </w:rPr>
        <w:t>1</w:t>
      </w:r>
      <w:r w:rsidR="00000E10">
        <w:rPr>
          <w:noProof/>
        </w:rPr>
        <w:t>3</w:t>
      </w:r>
      <w:r w:rsidR="004F4E47">
        <w:rPr>
          <w:noProof/>
        </w:rPr>
        <w:t>].</w:t>
      </w:r>
      <w:r w:rsidR="00663024">
        <w:t xml:space="preserve"> </w:t>
      </w:r>
      <w:r w:rsidR="008705F0">
        <w:t xml:space="preserve">These results should be </w:t>
      </w:r>
      <w:r w:rsidR="0025268A">
        <w:t>interpreted</w:t>
      </w:r>
      <w:r w:rsidR="008705F0">
        <w:t xml:space="preserve"> cauti</w:t>
      </w:r>
      <w:r w:rsidR="0025268A">
        <w:t>ously</w:t>
      </w:r>
      <w:r w:rsidR="008705F0">
        <w:t xml:space="preserve"> as they did not account for the influence of </w:t>
      </w:r>
      <w:r w:rsidR="00A04704">
        <w:t xml:space="preserve">participants’ </w:t>
      </w:r>
      <w:r w:rsidR="008705F0">
        <w:t xml:space="preserve">sociodemographic characteristics. </w:t>
      </w:r>
      <w:r w:rsidR="0099397F">
        <w:t xml:space="preserve">The second study </w:t>
      </w:r>
      <w:r w:rsidR="008E05AC">
        <w:t xml:space="preserve">investigated </w:t>
      </w:r>
      <w:r w:rsidR="00DD3D34">
        <w:lastRenderedPageBreak/>
        <w:t xml:space="preserve">associations </w:t>
      </w:r>
      <w:r w:rsidR="008E05AC">
        <w:t>between vaccine intention and s</w:t>
      </w:r>
      <w:r w:rsidR="00DD3D34">
        <w:t>ociodemographic factors</w:t>
      </w:r>
      <w:r w:rsidR="009C5167">
        <w:t xml:space="preserve">, finding that </w:t>
      </w:r>
      <w:r w:rsidR="00F775C5">
        <w:t xml:space="preserve">decreased intention was associated with </w:t>
      </w:r>
      <w:r w:rsidR="002257D3">
        <w:t>younger</w:t>
      </w:r>
      <w:r w:rsidR="00FE4757">
        <w:t xml:space="preserve"> age</w:t>
      </w:r>
      <w:r w:rsidR="007E323C">
        <w:t xml:space="preserve"> and</w:t>
      </w:r>
      <w:r w:rsidR="00FE4757">
        <w:t xml:space="preserve"> Black and minority ethnicit</w:t>
      </w:r>
      <w:r w:rsidR="00046394">
        <w:t>y</w:t>
      </w:r>
      <w:r w:rsidR="008E54D9">
        <w:t xml:space="preserve">, but did not investigate the influence of psychological factors on </w:t>
      </w:r>
      <w:r w:rsidR="00A04704">
        <w:t xml:space="preserve">vaccination </w:t>
      </w:r>
      <w:r w:rsidR="008E54D9">
        <w:t>intention</w:t>
      </w:r>
      <w:r w:rsidR="004F4E47">
        <w:t>[</w:t>
      </w:r>
      <w:r w:rsidR="002257D3">
        <w:rPr>
          <w:noProof/>
        </w:rPr>
        <w:t>1</w:t>
      </w:r>
      <w:r w:rsidR="00000E10">
        <w:rPr>
          <w:noProof/>
        </w:rPr>
        <w:t>4</w:t>
      </w:r>
      <w:r w:rsidR="004F4E47">
        <w:rPr>
          <w:noProof/>
        </w:rPr>
        <w:t>].</w:t>
      </w:r>
      <w:r w:rsidR="003B170B">
        <w:t xml:space="preserve"> </w:t>
      </w:r>
      <w:r w:rsidR="00494390">
        <w:t>R</w:t>
      </w:r>
      <w:r w:rsidR="00C02DE1">
        <w:t xml:space="preserve">esults from these studies should be </w:t>
      </w:r>
      <w:r w:rsidR="0025268A">
        <w:t xml:space="preserve">interpreted </w:t>
      </w:r>
      <w:r w:rsidR="00C02DE1">
        <w:t xml:space="preserve">with caution due to the protracted nature of data collection in both studies and </w:t>
      </w:r>
      <w:r w:rsidR="0025268A">
        <w:t xml:space="preserve">the </w:t>
      </w:r>
      <w:r w:rsidR="00C02DE1">
        <w:t>analyses used</w:t>
      </w:r>
      <w:r w:rsidR="00494390">
        <w:t>. However</w:t>
      </w:r>
      <w:r w:rsidR="00C02DE1">
        <w:t>, they provide some initial insight into factors associated with COVID-19 vaccination intention.</w:t>
      </w:r>
      <w:r w:rsidR="00494390" w:rsidRPr="00494390">
        <w:t xml:space="preserve"> </w:t>
      </w:r>
      <w:r w:rsidR="00D35B0B">
        <w:t>I</w:t>
      </w:r>
      <w:r w:rsidR="00494390">
        <w:t>t is likely that a COVID-19 vaccination will become available first to those in at</w:t>
      </w:r>
      <w:r w:rsidR="0025268A">
        <w:t>-</w:t>
      </w:r>
      <w:r w:rsidR="00494390">
        <w:t>risk groups and those who have increased exposure to the virus through their job</w:t>
      </w:r>
      <w:r w:rsidR="004F4E47">
        <w:t>[</w:t>
      </w:r>
      <w:r w:rsidR="00494390">
        <w:rPr>
          <w:noProof/>
        </w:rPr>
        <w:t>1</w:t>
      </w:r>
      <w:r w:rsidR="00000E10">
        <w:rPr>
          <w:noProof/>
        </w:rPr>
        <w:t>5</w:t>
      </w:r>
      <w:r w:rsidR="004F4E47">
        <w:rPr>
          <w:noProof/>
        </w:rPr>
        <w:t>].</w:t>
      </w:r>
      <w:r w:rsidR="00494390">
        <w:t xml:space="preserve"> </w:t>
      </w:r>
      <w:r w:rsidR="00D35B0B">
        <w:t xml:space="preserve">However, </w:t>
      </w:r>
      <w:r w:rsidR="00494390">
        <w:t>vaccination intention in the general population should be investigated</w:t>
      </w:r>
      <w:r w:rsidR="002B7B8B">
        <w:t>,</w:t>
      </w:r>
      <w:r w:rsidR="00494390">
        <w:t xml:space="preserve"> as vaccination may be rolled out more widely</w:t>
      </w:r>
      <w:r w:rsidR="001F014B">
        <w:t xml:space="preserve"> soon afterwards</w:t>
      </w:r>
      <w:r w:rsidR="00D35B0B">
        <w:t xml:space="preserve">, and </w:t>
      </w:r>
      <w:proofErr w:type="gramStart"/>
      <w:r w:rsidR="00D35B0B">
        <w:t>sufficient</w:t>
      </w:r>
      <w:proofErr w:type="gramEnd"/>
      <w:r w:rsidR="00D35B0B">
        <w:t xml:space="preserve"> uptake will be critical to eliminating COVID-19</w:t>
      </w:r>
      <w:r w:rsidR="00494390">
        <w:t xml:space="preserve">. </w:t>
      </w:r>
      <w:bookmarkStart w:id="3" w:name="_Hlk52546192"/>
      <w:r w:rsidR="00494390">
        <w:t xml:space="preserve">Furthermore, it remains a possibility that people </w:t>
      </w:r>
      <w:bookmarkStart w:id="4" w:name="_Hlk52617816"/>
      <w:r w:rsidR="007247E3">
        <w:t>who are not</w:t>
      </w:r>
      <w:r w:rsidR="007247E3" w:rsidRPr="007247E3">
        <w:t xml:space="preserve"> in at-risk groups </w:t>
      </w:r>
      <w:r w:rsidR="007247E3">
        <w:t xml:space="preserve">and </w:t>
      </w:r>
      <w:r w:rsidR="00140DED">
        <w:t>do not have increased exposure</w:t>
      </w:r>
      <w:r w:rsidR="007247E3">
        <w:t xml:space="preserve"> </w:t>
      </w:r>
      <w:r w:rsidR="007247E3" w:rsidRPr="007247E3">
        <w:t>to the virus through their job</w:t>
      </w:r>
      <w:r w:rsidR="007247E3">
        <w:t xml:space="preserve"> </w:t>
      </w:r>
      <w:bookmarkEnd w:id="4"/>
      <w:r w:rsidR="00494390">
        <w:t>may be able to be vaccinated for COVID-19 privately, much like the seasonal influenza vaccine</w:t>
      </w:r>
      <w:r w:rsidR="00401A84">
        <w:t xml:space="preserve">, </w:t>
      </w:r>
      <w:r w:rsidR="007247E3">
        <w:t xml:space="preserve">so understanding intentions across the </w:t>
      </w:r>
      <w:r w:rsidR="00140DED">
        <w:t xml:space="preserve">whole </w:t>
      </w:r>
      <w:r w:rsidR="007247E3">
        <w:t>population is important</w:t>
      </w:r>
      <w:bookmarkEnd w:id="3"/>
      <w:r w:rsidR="00494390">
        <w:t xml:space="preserve">. </w:t>
      </w:r>
    </w:p>
    <w:p w14:paraId="02144BAD" w14:textId="6B169530" w:rsidR="006A28A0" w:rsidRDefault="008E54D9" w:rsidP="001D48CD">
      <w:r>
        <w:t xml:space="preserve">The aim of this study was to investigate associations between </w:t>
      </w:r>
      <w:r w:rsidR="00C667FA">
        <w:t xml:space="preserve">vaccination intention and </w:t>
      </w:r>
      <w:proofErr w:type="gramStart"/>
      <w:r>
        <w:t>theoretically-grounded</w:t>
      </w:r>
      <w:proofErr w:type="gramEnd"/>
      <w:r w:rsidR="00C667FA">
        <w:t>, contextual</w:t>
      </w:r>
      <w:r>
        <w:t xml:space="preserve"> </w:t>
      </w:r>
      <w:r w:rsidR="00C667FA">
        <w:t xml:space="preserve">and sociodemographic </w:t>
      </w:r>
      <w:r>
        <w:t>factors</w:t>
      </w:r>
      <w:r w:rsidR="00C667FA">
        <w:t xml:space="preserve"> in a </w:t>
      </w:r>
      <w:r w:rsidR="00C9142A">
        <w:t>demographically</w:t>
      </w:r>
      <w:r w:rsidR="002B7B8B">
        <w:t xml:space="preserve"> </w:t>
      </w:r>
      <w:r w:rsidR="00C667FA">
        <w:t>representative sample</w:t>
      </w:r>
      <w:r w:rsidR="006456E8">
        <w:t xml:space="preserve"> of the UK adult population</w:t>
      </w:r>
      <w:r w:rsidR="00C9142A">
        <w:t>.</w:t>
      </w:r>
    </w:p>
    <w:p w14:paraId="700CD2FF" w14:textId="77777777" w:rsidR="008063C4" w:rsidRDefault="008063C4" w:rsidP="001D48CD"/>
    <w:p w14:paraId="727146B5" w14:textId="3ECE0EA3" w:rsidR="007A09DE" w:rsidRPr="00E15BD2" w:rsidRDefault="007A09DE" w:rsidP="009157DB">
      <w:pPr>
        <w:pStyle w:val="BMJHeading1"/>
        <w:rPr>
          <w:rFonts w:ascii="Times New Roman" w:hAnsi="Times New Roman" w:cs="Times New Roman"/>
        </w:rPr>
      </w:pPr>
      <w:r w:rsidRPr="00E15BD2">
        <w:rPr>
          <w:rFonts w:ascii="Times New Roman" w:hAnsi="Times New Roman" w:cs="Times New Roman"/>
        </w:rPr>
        <w:t>Method</w:t>
      </w:r>
    </w:p>
    <w:p w14:paraId="0BB288CB" w14:textId="13F7FD51" w:rsidR="007A09DE" w:rsidRPr="00E15BD2" w:rsidRDefault="003C474A" w:rsidP="009157DB">
      <w:pPr>
        <w:pStyle w:val="BMJHeading2"/>
        <w:rPr>
          <w:rFonts w:ascii="Times New Roman" w:hAnsi="Times New Roman"/>
        </w:rPr>
      </w:pPr>
      <w:r w:rsidRPr="00E15BD2">
        <w:rPr>
          <w:rFonts w:ascii="Times New Roman" w:hAnsi="Times New Roman"/>
        </w:rPr>
        <w:t>Design</w:t>
      </w:r>
    </w:p>
    <w:p w14:paraId="2BBDB5F0" w14:textId="78BAC909" w:rsidR="003C474A" w:rsidRPr="00E15BD2" w:rsidRDefault="00665083" w:rsidP="007A09DE">
      <w:pPr>
        <w:rPr>
          <w:rFonts w:ascii="Times New Roman" w:hAnsi="Times New Roman"/>
        </w:rPr>
      </w:pPr>
      <w:r w:rsidRPr="00E15BD2">
        <w:rPr>
          <w:rFonts w:ascii="Times New Roman" w:hAnsi="Times New Roman"/>
        </w:rPr>
        <w:t xml:space="preserve">We </w:t>
      </w:r>
      <w:r w:rsidR="007F1359">
        <w:rPr>
          <w:rFonts w:ascii="Times New Roman" w:hAnsi="Times New Roman"/>
        </w:rPr>
        <w:t>conducted a cross-sectional survey</w:t>
      </w:r>
      <w:r w:rsidR="00BC6A27" w:rsidRPr="00E15BD2">
        <w:rPr>
          <w:rFonts w:ascii="Times New Roman" w:hAnsi="Times New Roman"/>
        </w:rPr>
        <w:t xml:space="preserve">, </w:t>
      </w:r>
      <w:r w:rsidR="00481FF3" w:rsidRPr="00E15BD2">
        <w:rPr>
          <w:rFonts w:ascii="Times New Roman" w:hAnsi="Times New Roman"/>
        </w:rPr>
        <w:t xml:space="preserve">between </w:t>
      </w:r>
      <w:r w:rsidR="007F1359">
        <w:rPr>
          <w:rFonts w:ascii="Times New Roman" w:hAnsi="Times New Roman"/>
        </w:rPr>
        <w:t>14</w:t>
      </w:r>
      <w:r w:rsidR="00481FF3" w:rsidRPr="00E15BD2">
        <w:rPr>
          <w:rFonts w:ascii="Times New Roman" w:hAnsi="Times New Roman"/>
          <w:vertAlign w:val="superscript"/>
        </w:rPr>
        <w:t>th</w:t>
      </w:r>
      <w:r w:rsidR="00481FF3" w:rsidRPr="00E15BD2">
        <w:rPr>
          <w:rFonts w:ascii="Times New Roman" w:hAnsi="Times New Roman"/>
        </w:rPr>
        <w:t xml:space="preserve"> and </w:t>
      </w:r>
      <w:r w:rsidR="007F1359">
        <w:rPr>
          <w:rFonts w:ascii="Times New Roman" w:hAnsi="Times New Roman"/>
        </w:rPr>
        <w:t>1</w:t>
      </w:r>
      <w:r w:rsidR="00481FF3" w:rsidRPr="00E15BD2">
        <w:rPr>
          <w:rFonts w:ascii="Times New Roman" w:hAnsi="Times New Roman"/>
        </w:rPr>
        <w:t>7</w:t>
      </w:r>
      <w:r w:rsidR="00481FF3" w:rsidRPr="00E15BD2">
        <w:rPr>
          <w:rFonts w:ascii="Times New Roman" w:hAnsi="Times New Roman"/>
          <w:vertAlign w:val="superscript"/>
        </w:rPr>
        <w:t>th</w:t>
      </w:r>
      <w:r w:rsidR="00481FF3" w:rsidRPr="00E15BD2">
        <w:rPr>
          <w:rFonts w:ascii="Times New Roman" w:hAnsi="Times New Roman"/>
        </w:rPr>
        <w:t xml:space="preserve"> </w:t>
      </w:r>
      <w:r w:rsidR="007F1359">
        <w:rPr>
          <w:rFonts w:ascii="Times New Roman" w:hAnsi="Times New Roman"/>
        </w:rPr>
        <w:t>July</w:t>
      </w:r>
      <w:r w:rsidR="00481FF3" w:rsidRPr="00E15BD2">
        <w:rPr>
          <w:rFonts w:ascii="Times New Roman" w:hAnsi="Times New Roman"/>
        </w:rPr>
        <w:t xml:space="preserve"> 2020.</w:t>
      </w:r>
      <w:r w:rsidR="002D30B6">
        <w:rPr>
          <w:rFonts w:ascii="Times New Roman" w:hAnsi="Times New Roman"/>
        </w:rPr>
        <w:t xml:space="preserve"> Participants completed the survey </w:t>
      </w:r>
      <w:r w:rsidR="00F35B78">
        <w:rPr>
          <w:rFonts w:ascii="Times New Roman" w:hAnsi="Times New Roman"/>
        </w:rPr>
        <w:t xml:space="preserve">online, </w:t>
      </w:r>
      <w:r w:rsidR="002D30B6">
        <w:rPr>
          <w:rFonts w:ascii="Times New Roman" w:hAnsi="Times New Roman"/>
        </w:rPr>
        <w:t>on Qualtrics.</w:t>
      </w:r>
    </w:p>
    <w:p w14:paraId="430F6549" w14:textId="5C664E84" w:rsidR="008B5ACE" w:rsidRPr="00E15BD2" w:rsidRDefault="005355DF" w:rsidP="009157DB">
      <w:pPr>
        <w:pStyle w:val="BMJHeading2"/>
        <w:rPr>
          <w:rFonts w:ascii="Times New Roman" w:hAnsi="Times New Roman"/>
        </w:rPr>
      </w:pPr>
      <w:r>
        <w:rPr>
          <w:rFonts w:ascii="Times New Roman" w:hAnsi="Times New Roman"/>
        </w:rPr>
        <w:t>Sample</w:t>
      </w:r>
    </w:p>
    <w:p w14:paraId="00E4E05C" w14:textId="39B5594F" w:rsidR="008B5ACE" w:rsidRPr="00E15BD2" w:rsidRDefault="008B5ACE" w:rsidP="008B5ACE">
      <w:pPr>
        <w:rPr>
          <w:rFonts w:ascii="Times New Roman" w:hAnsi="Times New Roman"/>
        </w:rPr>
      </w:pPr>
      <w:r w:rsidRPr="00E15BD2">
        <w:rPr>
          <w:rFonts w:ascii="Times New Roman" w:hAnsi="Times New Roman"/>
        </w:rPr>
        <w:t>Participants (n=</w:t>
      </w:r>
      <w:r w:rsidR="007F1359">
        <w:rPr>
          <w:rFonts w:ascii="Times New Roman" w:hAnsi="Times New Roman"/>
        </w:rPr>
        <w:t>1</w:t>
      </w:r>
      <w:r w:rsidR="00F35B78">
        <w:rPr>
          <w:rFonts w:ascii="Times New Roman" w:hAnsi="Times New Roman"/>
        </w:rPr>
        <w:t>,</w:t>
      </w:r>
      <w:r w:rsidR="007F1359">
        <w:rPr>
          <w:rFonts w:ascii="Times New Roman" w:hAnsi="Times New Roman"/>
        </w:rPr>
        <w:t>500</w:t>
      </w:r>
      <w:r w:rsidRPr="00E15BD2">
        <w:rPr>
          <w:rFonts w:ascii="Times New Roman" w:hAnsi="Times New Roman"/>
        </w:rPr>
        <w:t xml:space="preserve">) were recruited </w:t>
      </w:r>
      <w:r w:rsidR="007F1359">
        <w:rPr>
          <w:rFonts w:ascii="Times New Roman" w:hAnsi="Times New Roman"/>
        </w:rPr>
        <w:t xml:space="preserve">through </w:t>
      </w:r>
      <w:proofErr w:type="spellStart"/>
      <w:r w:rsidR="007F1359">
        <w:rPr>
          <w:rFonts w:ascii="Times New Roman" w:hAnsi="Times New Roman"/>
        </w:rPr>
        <w:t>Prol</w:t>
      </w:r>
      <w:r w:rsidR="0019659A">
        <w:rPr>
          <w:rFonts w:ascii="Times New Roman" w:hAnsi="Times New Roman"/>
        </w:rPr>
        <w:t>i</w:t>
      </w:r>
      <w:r w:rsidR="007F1359">
        <w:rPr>
          <w:rFonts w:ascii="Times New Roman" w:hAnsi="Times New Roman"/>
        </w:rPr>
        <w:t>fic’s</w:t>
      </w:r>
      <w:proofErr w:type="spellEnd"/>
      <w:r w:rsidR="007F1359">
        <w:rPr>
          <w:rFonts w:ascii="Times New Roman" w:hAnsi="Times New Roman"/>
        </w:rPr>
        <w:t xml:space="preserve"> </w:t>
      </w:r>
      <w:r w:rsidRPr="00E15BD2">
        <w:rPr>
          <w:rFonts w:ascii="Times New Roman" w:hAnsi="Times New Roman"/>
        </w:rPr>
        <w:t>online research panel and were eligible for the study if they were aged eighteen years or over and lived in the UK</w:t>
      </w:r>
      <w:r w:rsidR="006C37DC">
        <w:rPr>
          <w:rFonts w:ascii="Times New Roman" w:hAnsi="Times New Roman"/>
        </w:rPr>
        <w:t xml:space="preserve"> (</w:t>
      </w:r>
      <w:r w:rsidR="00D35B0B">
        <w:rPr>
          <w:rFonts w:ascii="Times New Roman" w:hAnsi="Times New Roman"/>
        </w:rPr>
        <w:t xml:space="preserve">n=38,000+ </w:t>
      </w:r>
      <w:r w:rsidR="006C37DC">
        <w:rPr>
          <w:rFonts w:ascii="Times New Roman" w:hAnsi="Times New Roman"/>
        </w:rPr>
        <w:t>eligible participants)</w:t>
      </w:r>
      <w:r w:rsidRPr="00E15BD2">
        <w:rPr>
          <w:rFonts w:ascii="Times New Roman" w:hAnsi="Times New Roman"/>
        </w:rPr>
        <w:t xml:space="preserve">. </w:t>
      </w:r>
      <w:r w:rsidR="00321DE6" w:rsidRPr="00E15BD2">
        <w:rPr>
          <w:rFonts w:ascii="Times New Roman" w:hAnsi="Times New Roman"/>
        </w:rPr>
        <w:t xml:space="preserve">Quota sampling was used, based on </w:t>
      </w:r>
      <w:r w:rsidR="00F77DEC" w:rsidRPr="00214ED3">
        <w:rPr>
          <w:rFonts w:ascii="Times New Roman" w:hAnsi="Times New Roman"/>
        </w:rPr>
        <w:t xml:space="preserve">age, </w:t>
      </w:r>
      <w:r w:rsidR="007F1359">
        <w:rPr>
          <w:rFonts w:ascii="Times New Roman" w:hAnsi="Times New Roman"/>
        </w:rPr>
        <w:t>sex</w:t>
      </w:r>
      <w:r w:rsidR="002F3564" w:rsidRPr="00214ED3">
        <w:rPr>
          <w:rFonts w:ascii="Times New Roman" w:hAnsi="Times New Roman"/>
        </w:rPr>
        <w:t xml:space="preserve">, </w:t>
      </w:r>
      <w:r w:rsidR="007F1359">
        <w:rPr>
          <w:rFonts w:ascii="Times New Roman" w:hAnsi="Times New Roman"/>
        </w:rPr>
        <w:t>and ethnicity</w:t>
      </w:r>
      <w:r w:rsidR="002B7B8B">
        <w:rPr>
          <w:rFonts w:ascii="Times New Roman" w:hAnsi="Times New Roman"/>
        </w:rPr>
        <w:t>,</w:t>
      </w:r>
      <w:r w:rsidR="0075559F" w:rsidRPr="000101A3">
        <w:rPr>
          <w:rFonts w:ascii="Times New Roman" w:hAnsi="Times New Roman"/>
        </w:rPr>
        <w:t xml:space="preserve"> </w:t>
      </w:r>
      <w:r w:rsidR="002E7A46" w:rsidRPr="000101A3">
        <w:rPr>
          <w:rFonts w:ascii="Times New Roman" w:hAnsi="Times New Roman"/>
        </w:rPr>
        <w:t xml:space="preserve">to ensure that the sample was broadly representative of the UK general </w:t>
      </w:r>
      <w:r w:rsidR="002E7A46" w:rsidRPr="001D48CD">
        <w:rPr>
          <w:rFonts w:ascii="Times New Roman" w:hAnsi="Times New Roman"/>
        </w:rPr>
        <w:t xml:space="preserve">population. </w:t>
      </w:r>
      <w:r w:rsidR="00A64034" w:rsidRPr="001D48CD">
        <w:rPr>
          <w:rFonts w:ascii="Times New Roman" w:hAnsi="Times New Roman"/>
        </w:rPr>
        <w:t>Of</w:t>
      </w:r>
      <w:r w:rsidR="00600305" w:rsidRPr="001D48CD">
        <w:rPr>
          <w:rFonts w:ascii="Times New Roman" w:hAnsi="Times New Roman"/>
        </w:rPr>
        <w:t xml:space="preserve"> </w:t>
      </w:r>
      <w:r w:rsidR="00786126" w:rsidRPr="001D48CD">
        <w:rPr>
          <w:rFonts w:ascii="Times New Roman" w:hAnsi="Times New Roman"/>
        </w:rPr>
        <w:t>1</w:t>
      </w:r>
      <w:r w:rsidR="00F35B78" w:rsidRPr="001D48CD">
        <w:rPr>
          <w:rFonts w:ascii="Times New Roman" w:hAnsi="Times New Roman"/>
        </w:rPr>
        <w:t>,</w:t>
      </w:r>
      <w:r w:rsidR="00786126" w:rsidRPr="001D48CD">
        <w:rPr>
          <w:rFonts w:ascii="Times New Roman" w:hAnsi="Times New Roman"/>
        </w:rPr>
        <w:t xml:space="preserve">532 </w:t>
      </w:r>
      <w:r w:rsidR="00600305" w:rsidRPr="001D48CD">
        <w:rPr>
          <w:rFonts w:ascii="Times New Roman" w:hAnsi="Times New Roman"/>
        </w:rPr>
        <w:t xml:space="preserve">people who </w:t>
      </w:r>
      <w:r w:rsidR="00AD4E91" w:rsidRPr="001D48CD">
        <w:rPr>
          <w:rFonts w:ascii="Times New Roman" w:hAnsi="Times New Roman"/>
        </w:rPr>
        <w:t>began</w:t>
      </w:r>
      <w:r w:rsidR="00600305" w:rsidRPr="001D48CD">
        <w:rPr>
          <w:rFonts w:ascii="Times New Roman" w:hAnsi="Times New Roman"/>
        </w:rPr>
        <w:t xml:space="preserve"> the survey, </w:t>
      </w:r>
      <w:r w:rsidR="00786126" w:rsidRPr="001D48CD">
        <w:rPr>
          <w:rFonts w:ascii="Times New Roman" w:hAnsi="Times New Roman"/>
        </w:rPr>
        <w:t>1</w:t>
      </w:r>
      <w:r w:rsidR="00F35B78" w:rsidRPr="001D48CD">
        <w:rPr>
          <w:rFonts w:ascii="Times New Roman" w:hAnsi="Times New Roman"/>
        </w:rPr>
        <w:t>,</w:t>
      </w:r>
      <w:r w:rsidR="00786126" w:rsidRPr="001D48CD">
        <w:rPr>
          <w:rFonts w:ascii="Times New Roman" w:hAnsi="Times New Roman"/>
        </w:rPr>
        <w:t xml:space="preserve">504 </w:t>
      </w:r>
      <w:r w:rsidR="00600305" w:rsidRPr="001D48CD">
        <w:rPr>
          <w:rFonts w:ascii="Times New Roman" w:hAnsi="Times New Roman"/>
        </w:rPr>
        <w:t>completed it</w:t>
      </w:r>
      <w:r w:rsidR="00D35B0B" w:rsidRPr="001D48CD">
        <w:rPr>
          <w:rFonts w:ascii="Times New Roman" w:hAnsi="Times New Roman"/>
        </w:rPr>
        <w:t xml:space="preserve"> (98% completion rate)</w:t>
      </w:r>
      <w:r w:rsidR="00600305" w:rsidRPr="001D48CD">
        <w:rPr>
          <w:rFonts w:ascii="Times New Roman" w:hAnsi="Times New Roman"/>
        </w:rPr>
        <w:t>.</w:t>
      </w:r>
      <w:r w:rsidR="00724120" w:rsidRPr="001D48CD">
        <w:rPr>
          <w:rFonts w:ascii="Times New Roman" w:hAnsi="Times New Roman"/>
        </w:rPr>
        <w:t xml:space="preserve"> </w:t>
      </w:r>
      <w:r w:rsidR="001E6A65" w:rsidRPr="001D48CD">
        <w:rPr>
          <w:rFonts w:ascii="Times New Roman" w:hAnsi="Times New Roman"/>
        </w:rPr>
        <w:t>F</w:t>
      </w:r>
      <w:r w:rsidR="0063633C" w:rsidRPr="001D48CD">
        <w:rPr>
          <w:rFonts w:ascii="Times New Roman" w:hAnsi="Times New Roman"/>
        </w:rPr>
        <w:t>our participants were not included in the sample</w:t>
      </w:r>
      <w:r w:rsidR="001E6A65" w:rsidRPr="001D48CD">
        <w:rPr>
          <w:rFonts w:ascii="Times New Roman" w:hAnsi="Times New Roman"/>
        </w:rPr>
        <w:t xml:space="preserve"> as they did not meet quality control checks</w:t>
      </w:r>
      <w:r w:rsidR="00BD2E6F" w:rsidRPr="001D48CD">
        <w:rPr>
          <w:rFonts w:ascii="Times New Roman" w:hAnsi="Times New Roman"/>
        </w:rPr>
        <w:t xml:space="preserve">. </w:t>
      </w:r>
      <w:r w:rsidR="00724120" w:rsidRPr="001D48CD">
        <w:rPr>
          <w:rFonts w:ascii="Times New Roman" w:hAnsi="Times New Roman"/>
        </w:rPr>
        <w:t>Participants</w:t>
      </w:r>
      <w:r w:rsidR="00724120" w:rsidRPr="00FD1EA5">
        <w:rPr>
          <w:rFonts w:ascii="Times New Roman" w:hAnsi="Times New Roman"/>
        </w:rPr>
        <w:t xml:space="preserve"> were </w:t>
      </w:r>
      <w:r w:rsidR="00786126">
        <w:rPr>
          <w:rFonts w:ascii="Times New Roman" w:hAnsi="Times New Roman"/>
        </w:rPr>
        <w:t>paid £2 for a completed survey</w:t>
      </w:r>
      <w:r w:rsidR="004B1CB4" w:rsidRPr="000101A3">
        <w:rPr>
          <w:rFonts w:ascii="Times New Roman" w:hAnsi="Times New Roman"/>
        </w:rPr>
        <w:t>.</w:t>
      </w:r>
    </w:p>
    <w:p w14:paraId="78B31D04" w14:textId="5BDF165D" w:rsidR="004B1CB4" w:rsidRDefault="005355DF" w:rsidP="009157DB">
      <w:pPr>
        <w:pStyle w:val="BMJHeading2"/>
        <w:rPr>
          <w:rFonts w:ascii="Times New Roman" w:hAnsi="Times New Roman"/>
        </w:rPr>
      </w:pPr>
      <w:r>
        <w:rPr>
          <w:rFonts w:ascii="Times New Roman" w:hAnsi="Times New Roman"/>
        </w:rPr>
        <w:lastRenderedPageBreak/>
        <w:t>Measures</w:t>
      </w:r>
    </w:p>
    <w:p w14:paraId="2F5EEBB1" w14:textId="02B511C5" w:rsidR="00C87E5C" w:rsidRDefault="00C87E5C" w:rsidP="006C5980">
      <w:pPr>
        <w:rPr>
          <w:rFonts w:ascii="Times New Roman" w:hAnsi="Times New Roman"/>
          <w:noProof/>
        </w:rPr>
      </w:pPr>
      <w:r>
        <w:t xml:space="preserve">Full survey materials </w:t>
      </w:r>
      <w:r w:rsidR="006C5980">
        <w:t xml:space="preserve">are </w:t>
      </w:r>
      <w:r w:rsidR="003F327D">
        <w:t xml:space="preserve">available </w:t>
      </w:r>
      <w:r w:rsidR="00B55BAC">
        <w:t>online</w:t>
      </w:r>
      <w:r w:rsidR="004F4E47">
        <w:t>[</w:t>
      </w:r>
      <w:r w:rsidR="00B55BAC">
        <w:rPr>
          <w:noProof/>
        </w:rPr>
        <w:t>1</w:t>
      </w:r>
      <w:r w:rsidR="00000E10">
        <w:rPr>
          <w:noProof/>
        </w:rPr>
        <w:t>6</w:t>
      </w:r>
      <w:r w:rsidR="004F4E47">
        <w:rPr>
          <w:noProof/>
        </w:rPr>
        <w:t>].</w:t>
      </w:r>
      <w:r w:rsidR="00B55BAC">
        <w:t xml:space="preserve"> I</w:t>
      </w:r>
      <w:r w:rsidR="006455B5">
        <w:rPr>
          <w:rFonts w:ascii="Times New Roman" w:hAnsi="Times New Roman"/>
        </w:rPr>
        <w:t>tems were based on previous literature</w:t>
      </w:r>
      <w:r w:rsidR="004F4E47">
        <w:rPr>
          <w:rFonts w:ascii="Times New Roman" w:hAnsi="Times New Roman"/>
        </w:rPr>
        <w:t>[</w:t>
      </w:r>
      <w:r w:rsidR="00000E10">
        <w:rPr>
          <w:rFonts w:ascii="Times New Roman" w:hAnsi="Times New Roman"/>
          <w:noProof/>
        </w:rPr>
        <w:t>17-21</w:t>
      </w:r>
      <w:r w:rsidR="004F4E47">
        <w:rPr>
          <w:rFonts w:ascii="Times New Roman" w:hAnsi="Times New Roman"/>
          <w:noProof/>
        </w:rPr>
        <w:t>].</w:t>
      </w:r>
    </w:p>
    <w:p w14:paraId="3204EEDD" w14:textId="77777777" w:rsidR="005355DF" w:rsidRPr="007A6401" w:rsidRDefault="005355DF" w:rsidP="005355DF">
      <w:pPr>
        <w:rPr>
          <w:i/>
          <w:iCs/>
        </w:rPr>
      </w:pPr>
      <w:r w:rsidRPr="007A6401">
        <w:rPr>
          <w:i/>
          <w:iCs/>
        </w:rPr>
        <w:t>Personal and clinical characteristics</w:t>
      </w:r>
    </w:p>
    <w:p w14:paraId="024C55A0" w14:textId="77777777" w:rsidR="005355DF" w:rsidRDefault="005355DF" w:rsidP="005355DF">
      <w:r>
        <w:t>We asked participants to report their age, gender, ethnicity, religion, employment status, highest educational or professional qualification, and total household income. We also asked participants what UK region they lived in, how many people lived in their household, whether they or someone else in their household (if applicable) had a chronic illness that made them clinically vulnerable to serious illness from COVID-19, and if they worked or volunteered in roles considered critical to the COVID-19 response (‘key worker’ roles).</w:t>
      </w:r>
    </w:p>
    <w:p w14:paraId="6AEB468C" w14:textId="457D9D96" w:rsidR="005355DF" w:rsidRPr="00E15BD2" w:rsidRDefault="005355DF" w:rsidP="005355DF">
      <w:r>
        <w:t>Lastly, we asked participants if they had been vaccinated for seasonal influenza last winter (yes/no), and how likely they would be to have the seasonal influenza vaccine this winter (eleven point scale, from “extremely unlikely” to “extremely likely”).</w:t>
      </w:r>
    </w:p>
    <w:p w14:paraId="08E597B2" w14:textId="32E6E16D" w:rsidR="003A5795" w:rsidRPr="007A6401" w:rsidRDefault="00BD1418" w:rsidP="003A5795">
      <w:pPr>
        <w:pStyle w:val="BMJHeading3"/>
        <w:rPr>
          <w:rFonts w:cs="Times New Roman"/>
          <w:iCs/>
          <w:sz w:val="24"/>
        </w:rPr>
      </w:pPr>
      <w:r w:rsidRPr="007A6401">
        <w:rPr>
          <w:rFonts w:cs="Times New Roman"/>
          <w:iCs/>
          <w:sz w:val="24"/>
        </w:rPr>
        <w:t>Psychological factors</w:t>
      </w:r>
    </w:p>
    <w:p w14:paraId="002BF1D4" w14:textId="269CE1B4" w:rsidR="0011080E" w:rsidRDefault="0011080E" w:rsidP="000C75AD">
      <w:pPr>
        <w:rPr>
          <w:rFonts w:ascii="Times New Roman" w:hAnsi="Times New Roman"/>
        </w:rPr>
      </w:pPr>
      <w:r w:rsidRPr="00E15BD2">
        <w:rPr>
          <w:rFonts w:ascii="Times New Roman" w:hAnsi="Times New Roman"/>
        </w:rPr>
        <w:t xml:space="preserve">We asked participants </w:t>
      </w:r>
      <w:r w:rsidR="000C75AD">
        <w:rPr>
          <w:rFonts w:ascii="Times New Roman" w:hAnsi="Times New Roman"/>
        </w:rPr>
        <w:t>to what extent they thought “coronavirus poses a risk to” people in the UK and to themselves personally, on a five-point scale</w:t>
      </w:r>
      <w:r w:rsidR="00104217">
        <w:rPr>
          <w:rFonts w:ascii="Times New Roman" w:hAnsi="Times New Roman"/>
        </w:rPr>
        <w:t>,</w:t>
      </w:r>
      <w:r w:rsidR="000C75AD">
        <w:rPr>
          <w:rFonts w:ascii="Times New Roman" w:hAnsi="Times New Roman"/>
        </w:rPr>
        <w:t xml:space="preserve"> from “no risk at all” to “major risk”. </w:t>
      </w:r>
    </w:p>
    <w:p w14:paraId="4F9A8225" w14:textId="62A9A918" w:rsidR="00C31DDA" w:rsidRDefault="00C31DDA" w:rsidP="00C31DDA">
      <w:pPr>
        <w:rPr>
          <w:rFonts w:ascii="Times New Roman" w:hAnsi="Times New Roman"/>
        </w:rPr>
      </w:pPr>
      <w:r>
        <w:rPr>
          <w:rFonts w:ascii="Times New Roman" w:hAnsi="Times New Roman"/>
        </w:rPr>
        <w:t>We asked participants</w:t>
      </w:r>
      <w:r w:rsidR="000C75AD">
        <w:rPr>
          <w:rFonts w:ascii="Times New Roman" w:hAnsi="Times New Roman"/>
        </w:rPr>
        <w:t xml:space="preserve"> if they thought they </w:t>
      </w:r>
      <w:r w:rsidRPr="00E15BD2">
        <w:rPr>
          <w:rFonts w:ascii="Times New Roman" w:hAnsi="Times New Roman"/>
        </w:rPr>
        <w:t>“</w:t>
      </w:r>
      <w:r w:rsidR="00242007">
        <w:rPr>
          <w:rFonts w:ascii="Times New Roman" w:hAnsi="Times New Roman"/>
        </w:rPr>
        <w:t xml:space="preserve">have </w:t>
      </w:r>
      <w:r w:rsidRPr="00E15BD2">
        <w:rPr>
          <w:rFonts w:ascii="Times New Roman" w:hAnsi="Times New Roman"/>
        </w:rPr>
        <w:t>had, or currently have, coronavirus”.</w:t>
      </w:r>
      <w:r w:rsidRPr="00C31DDA">
        <w:rPr>
          <w:rFonts w:ascii="Times New Roman" w:hAnsi="Times New Roman"/>
        </w:rPr>
        <w:t xml:space="preserve"> </w:t>
      </w:r>
      <w:r>
        <w:rPr>
          <w:rFonts w:ascii="Times New Roman" w:hAnsi="Times New Roman"/>
        </w:rPr>
        <w:t>Participants could answer</w:t>
      </w:r>
      <w:r w:rsidRPr="00E15BD2">
        <w:rPr>
          <w:rFonts w:ascii="Times New Roman" w:hAnsi="Times New Roman"/>
        </w:rPr>
        <w:t xml:space="preserve"> “I have definitely had it or definitely have it now”, “I have probably had it or probably have it now”, “I have probably not had it and probably don’t have it now”, and “I have definitely not had it and definitely don’t have it now”.</w:t>
      </w:r>
      <w:r>
        <w:rPr>
          <w:rFonts w:ascii="Times New Roman" w:hAnsi="Times New Roman"/>
        </w:rPr>
        <w:t xml:space="preserve"> We also asked participants if they personally knew anyone who had had COVID-19 (yes/no).</w:t>
      </w:r>
      <w:r w:rsidR="00B50C54">
        <w:rPr>
          <w:rFonts w:ascii="Times New Roman" w:hAnsi="Times New Roman"/>
        </w:rPr>
        <w:t xml:space="preserve"> </w:t>
      </w:r>
    </w:p>
    <w:p w14:paraId="6CD921C2" w14:textId="36ACF528" w:rsidR="000C75AD" w:rsidRPr="00E15BD2" w:rsidRDefault="00C31DDA" w:rsidP="000C75AD">
      <w:pPr>
        <w:rPr>
          <w:rFonts w:ascii="Times New Roman" w:hAnsi="Times New Roman"/>
        </w:rPr>
      </w:pPr>
      <w:r>
        <w:rPr>
          <w:rFonts w:ascii="Times New Roman" w:hAnsi="Times New Roman"/>
        </w:rPr>
        <w:t>Participants were asked a series of statements about COVID-19</w:t>
      </w:r>
      <w:r w:rsidR="006731CF">
        <w:rPr>
          <w:rFonts w:ascii="Times New Roman" w:hAnsi="Times New Roman"/>
        </w:rPr>
        <w:t xml:space="preserve"> (n=8) and </w:t>
      </w:r>
      <w:r w:rsidR="0025268A">
        <w:rPr>
          <w:rFonts w:ascii="Times New Roman" w:hAnsi="Times New Roman"/>
        </w:rPr>
        <w:t xml:space="preserve">about </w:t>
      </w:r>
      <w:r w:rsidR="006731CF">
        <w:rPr>
          <w:rFonts w:ascii="Times New Roman" w:hAnsi="Times New Roman"/>
        </w:rPr>
        <w:t xml:space="preserve">a possible COVID-19 vaccination (n=24). </w:t>
      </w:r>
      <w:r w:rsidR="00C10C99">
        <w:rPr>
          <w:rFonts w:ascii="Times New Roman" w:hAnsi="Times New Roman"/>
        </w:rPr>
        <w:t xml:space="preserve">For questions about the COVID-19 vaccination, participants were asked to imagine that a COVID-19 vaccine was widely available. </w:t>
      </w:r>
      <w:r w:rsidR="006731CF">
        <w:rPr>
          <w:rFonts w:ascii="Times New Roman" w:hAnsi="Times New Roman"/>
        </w:rPr>
        <w:t xml:space="preserve">Statements </w:t>
      </w:r>
      <w:r w:rsidR="00C10C99">
        <w:rPr>
          <w:rFonts w:ascii="Times New Roman" w:hAnsi="Times New Roman"/>
        </w:rPr>
        <w:t>measured theoretical constructs including</w:t>
      </w:r>
      <w:r w:rsidR="006731CF">
        <w:rPr>
          <w:rFonts w:ascii="Times New Roman" w:hAnsi="Times New Roman"/>
        </w:rPr>
        <w:t xml:space="preserve"> perceived susceptibility to COVID-19, severity of COVID-19, benefits of a COVID-19 vaccine, barriers to being vaccinated against COVID-19, </w:t>
      </w:r>
      <w:r w:rsidR="00C10C99">
        <w:rPr>
          <w:rFonts w:ascii="Times New Roman" w:hAnsi="Times New Roman"/>
        </w:rPr>
        <w:t>ability to be vaccinated (self-efficacy), subjective norms, behavioural control, anticipated regret,</w:t>
      </w:r>
      <w:r w:rsidR="003502B0">
        <w:rPr>
          <w:rFonts w:ascii="Times New Roman" w:hAnsi="Times New Roman"/>
        </w:rPr>
        <w:t xml:space="preserve"> </w:t>
      </w:r>
      <w:r w:rsidR="00C10C99">
        <w:rPr>
          <w:rFonts w:ascii="Times New Roman" w:hAnsi="Times New Roman"/>
        </w:rPr>
        <w:t xml:space="preserve">knowledge, trust in the Government and </w:t>
      </w:r>
      <w:r w:rsidR="0042165B">
        <w:rPr>
          <w:rFonts w:ascii="Times New Roman" w:hAnsi="Times New Roman"/>
        </w:rPr>
        <w:t xml:space="preserve">in the </w:t>
      </w:r>
      <w:r w:rsidR="00C10C99">
        <w:rPr>
          <w:rFonts w:ascii="Times New Roman" w:hAnsi="Times New Roman"/>
        </w:rPr>
        <w:t xml:space="preserve">NHS. </w:t>
      </w:r>
      <w:r w:rsidR="003502B0">
        <w:rPr>
          <w:rFonts w:ascii="Times New Roman" w:hAnsi="Times New Roman"/>
        </w:rPr>
        <w:t xml:space="preserve">These items also </w:t>
      </w:r>
      <w:r w:rsidR="00C10C99">
        <w:rPr>
          <w:rFonts w:ascii="Times New Roman" w:hAnsi="Times New Roman"/>
        </w:rPr>
        <w:t xml:space="preserve">investigated </w:t>
      </w:r>
      <w:r w:rsidR="003502B0">
        <w:rPr>
          <w:rFonts w:ascii="Times New Roman" w:hAnsi="Times New Roman"/>
        </w:rPr>
        <w:t xml:space="preserve">concerns about commercial profiteering, and participants’ beliefs about vaccination allowing life to get back to </w:t>
      </w:r>
      <w:r w:rsidR="001D48CD">
        <w:rPr>
          <w:rFonts w:ascii="Times New Roman" w:hAnsi="Times New Roman"/>
        </w:rPr>
        <w:t>‘</w:t>
      </w:r>
      <w:r w:rsidR="003502B0">
        <w:rPr>
          <w:rFonts w:ascii="Times New Roman" w:hAnsi="Times New Roman"/>
        </w:rPr>
        <w:t>normal</w:t>
      </w:r>
      <w:r w:rsidR="001D48CD">
        <w:rPr>
          <w:rFonts w:ascii="Times New Roman" w:hAnsi="Times New Roman"/>
        </w:rPr>
        <w:t>’</w:t>
      </w:r>
      <w:r w:rsidR="003502B0">
        <w:rPr>
          <w:rFonts w:ascii="Times New Roman" w:hAnsi="Times New Roman"/>
        </w:rPr>
        <w:t xml:space="preserve"> and having to follow social distancing and other restrictions for COVID-19 if vaccinated. </w:t>
      </w:r>
      <w:r>
        <w:rPr>
          <w:rFonts w:ascii="Times New Roman" w:hAnsi="Times New Roman"/>
        </w:rPr>
        <w:t xml:space="preserve">Participants rated </w:t>
      </w:r>
      <w:r w:rsidR="003502B0">
        <w:rPr>
          <w:rFonts w:ascii="Times New Roman" w:hAnsi="Times New Roman"/>
        </w:rPr>
        <w:t xml:space="preserve">perception statements on an eleven-point scale </w:t>
      </w:r>
      <w:r w:rsidR="0025268A">
        <w:rPr>
          <w:rFonts w:ascii="Times New Roman" w:hAnsi="Times New Roman"/>
        </w:rPr>
        <w:t xml:space="preserve">(0–10) </w:t>
      </w:r>
      <w:r w:rsidR="003502B0">
        <w:rPr>
          <w:rFonts w:ascii="Times New Roman" w:hAnsi="Times New Roman"/>
        </w:rPr>
        <w:t xml:space="preserve">from </w:t>
      </w:r>
      <w:r w:rsidR="003502B0">
        <w:rPr>
          <w:rFonts w:ascii="Times New Roman" w:hAnsi="Times New Roman"/>
        </w:rPr>
        <w:lastRenderedPageBreak/>
        <w:t>“strongly disagree” to “strongly agree”. We also asked participants if their employer would want them to have the COVID-19 vaccination.</w:t>
      </w:r>
      <w:r w:rsidR="00575F18">
        <w:rPr>
          <w:rFonts w:ascii="Times New Roman" w:hAnsi="Times New Roman"/>
        </w:rPr>
        <w:t xml:space="preserve"> Order of </w:t>
      </w:r>
      <w:r w:rsidR="00A12546">
        <w:rPr>
          <w:rFonts w:ascii="Times New Roman" w:hAnsi="Times New Roman"/>
        </w:rPr>
        <w:t xml:space="preserve">items </w:t>
      </w:r>
      <w:r w:rsidR="00575F18">
        <w:rPr>
          <w:rFonts w:ascii="Times New Roman" w:hAnsi="Times New Roman"/>
        </w:rPr>
        <w:t>was quasi-randomi</w:t>
      </w:r>
      <w:r w:rsidR="00A12546">
        <w:rPr>
          <w:rFonts w:ascii="Times New Roman" w:hAnsi="Times New Roman"/>
        </w:rPr>
        <w:t>z</w:t>
      </w:r>
      <w:r w:rsidR="00575F18">
        <w:rPr>
          <w:rFonts w:ascii="Times New Roman" w:hAnsi="Times New Roman"/>
        </w:rPr>
        <w:t>ed.</w:t>
      </w:r>
    </w:p>
    <w:p w14:paraId="473C0C02" w14:textId="09B21C97" w:rsidR="005355DF" w:rsidRPr="005355DF" w:rsidRDefault="005355DF" w:rsidP="005355DF">
      <w:pPr>
        <w:pStyle w:val="BMJHeading3"/>
        <w:rPr>
          <w:rFonts w:cs="Times New Roman"/>
          <w:iCs/>
          <w:sz w:val="24"/>
        </w:rPr>
      </w:pPr>
      <w:r w:rsidRPr="005355DF">
        <w:rPr>
          <w:rFonts w:cs="Times New Roman"/>
          <w:iCs/>
          <w:sz w:val="24"/>
        </w:rPr>
        <w:t>Outcome measure</w:t>
      </w:r>
    </w:p>
    <w:p w14:paraId="6CCC8955" w14:textId="1461DEEE" w:rsidR="00AA13E2" w:rsidRPr="00E15BD2" w:rsidRDefault="005355DF" w:rsidP="00AA13E2">
      <w:pPr>
        <w:pStyle w:val="BMJHeading2"/>
        <w:rPr>
          <w:rFonts w:ascii="Times New Roman" w:hAnsi="Times New Roman"/>
        </w:rPr>
      </w:pPr>
      <w:r w:rsidRPr="007A6401">
        <w:rPr>
          <w:b w:val="0"/>
          <w:bCs/>
          <w:sz w:val="24"/>
        </w:rPr>
        <w:t>To measure vaccination intention, we asked participants to state how likely they would be to have a COVID-19 vaccination “when a coronavirus vaccination becomes available to [them]” on an eleven-point scale from “extremely unlikely” (0) to “extremely likely” (10).</w:t>
      </w:r>
      <w:r w:rsidR="00AA13E2" w:rsidRPr="00E15BD2">
        <w:rPr>
          <w:rFonts w:ascii="Times New Roman" w:hAnsi="Times New Roman"/>
        </w:rPr>
        <w:t>Ethics</w:t>
      </w:r>
    </w:p>
    <w:p w14:paraId="187C11A5" w14:textId="75C6F90E" w:rsidR="007851DB" w:rsidRPr="00E15BD2" w:rsidRDefault="007851DB" w:rsidP="00585F6C">
      <w:pPr>
        <w:rPr>
          <w:rFonts w:ascii="Times New Roman" w:hAnsi="Times New Roman"/>
          <w:b/>
        </w:rPr>
      </w:pPr>
      <w:r w:rsidRPr="00E15BD2">
        <w:rPr>
          <w:rFonts w:ascii="Times New Roman" w:hAnsi="Times New Roman"/>
        </w:rPr>
        <w:t xml:space="preserve">Ethical approval for this study was granted by </w:t>
      </w:r>
      <w:proofErr w:type="spellStart"/>
      <w:r w:rsidR="002D30B6">
        <w:rPr>
          <w:rFonts w:ascii="Times New Roman" w:hAnsi="Times New Roman"/>
        </w:rPr>
        <w:t>Keele</w:t>
      </w:r>
      <w:proofErr w:type="spellEnd"/>
      <w:r w:rsidR="002D30B6">
        <w:rPr>
          <w:rFonts w:ascii="Times New Roman" w:hAnsi="Times New Roman"/>
        </w:rPr>
        <w:t xml:space="preserve"> University’s </w:t>
      </w:r>
      <w:r w:rsidRPr="00E15BD2">
        <w:rPr>
          <w:rFonts w:ascii="Times New Roman" w:hAnsi="Times New Roman"/>
        </w:rPr>
        <w:t>Research Ethics Committee (reference:</w:t>
      </w:r>
      <w:r w:rsidR="00E560D2" w:rsidRPr="00E15BD2">
        <w:rPr>
          <w:rFonts w:ascii="Times New Roman" w:hAnsi="Times New Roman"/>
        </w:rPr>
        <w:t xml:space="preserve"> </w:t>
      </w:r>
      <w:r w:rsidR="00585F6C" w:rsidRPr="00585F6C">
        <w:rPr>
          <w:rFonts w:ascii="Times New Roman" w:hAnsi="Times New Roman"/>
        </w:rPr>
        <w:t>PS-200129</w:t>
      </w:r>
      <w:r w:rsidRPr="00E15BD2">
        <w:rPr>
          <w:rFonts w:ascii="Times New Roman" w:hAnsi="Times New Roman"/>
        </w:rPr>
        <w:t>).</w:t>
      </w:r>
    </w:p>
    <w:p w14:paraId="2F9FBE91" w14:textId="3E23CD10" w:rsidR="00AA13E2" w:rsidRPr="00E15BD2" w:rsidRDefault="00AA13E2" w:rsidP="00AA13E2">
      <w:pPr>
        <w:pStyle w:val="BMJHeading2"/>
        <w:rPr>
          <w:rFonts w:ascii="Times New Roman" w:hAnsi="Times New Roman"/>
        </w:rPr>
      </w:pPr>
      <w:r w:rsidRPr="00E15BD2">
        <w:rPr>
          <w:rFonts w:ascii="Times New Roman" w:hAnsi="Times New Roman"/>
        </w:rPr>
        <w:t>Patient and public involvement</w:t>
      </w:r>
    </w:p>
    <w:p w14:paraId="7E7EAF22" w14:textId="16EFD212" w:rsidR="00642C14" w:rsidRPr="00E15BD2" w:rsidRDefault="00642C14" w:rsidP="00642C14">
      <w:pPr>
        <w:rPr>
          <w:rFonts w:ascii="Times New Roman" w:hAnsi="Times New Roman"/>
        </w:rPr>
      </w:pPr>
      <w:r w:rsidRPr="00E15BD2">
        <w:rPr>
          <w:rFonts w:ascii="Times New Roman" w:hAnsi="Times New Roman"/>
        </w:rPr>
        <w:t xml:space="preserve">Due to the rapid nature of this research, the public was not involved in the development of the survey materials. </w:t>
      </w:r>
    </w:p>
    <w:p w14:paraId="74BBAC12" w14:textId="2DE7FAEA" w:rsidR="00AA13E2" w:rsidRPr="00E15BD2" w:rsidRDefault="0042165B" w:rsidP="00AA13E2">
      <w:pPr>
        <w:pStyle w:val="BMJHeading2"/>
        <w:rPr>
          <w:rFonts w:ascii="Times New Roman" w:hAnsi="Times New Roman"/>
        </w:rPr>
      </w:pPr>
      <w:r>
        <w:rPr>
          <w:rFonts w:ascii="Times New Roman" w:hAnsi="Times New Roman"/>
        </w:rPr>
        <w:t>Sample size</w:t>
      </w:r>
    </w:p>
    <w:p w14:paraId="1D98AB0F" w14:textId="24F3DE09" w:rsidR="00256BAE" w:rsidRPr="00034B7D" w:rsidRDefault="00256BAE" w:rsidP="00256BAE">
      <w:pPr>
        <w:rPr>
          <w:rFonts w:ascii="Times New Roman" w:hAnsi="Times New Roman"/>
          <w:szCs w:val="24"/>
        </w:rPr>
      </w:pPr>
      <w:r w:rsidRPr="00292912">
        <w:rPr>
          <w:rFonts w:ascii="Times New Roman" w:hAnsi="Times New Roman"/>
          <w:szCs w:val="24"/>
        </w:rPr>
        <w:t xml:space="preserve">A </w:t>
      </w:r>
      <w:r>
        <w:rPr>
          <w:rFonts w:ascii="Times New Roman" w:hAnsi="Times New Roman"/>
          <w:szCs w:val="24"/>
        </w:rPr>
        <w:t xml:space="preserve">target </w:t>
      </w:r>
      <w:r w:rsidRPr="00292912">
        <w:rPr>
          <w:rFonts w:ascii="Times New Roman" w:hAnsi="Times New Roman"/>
          <w:szCs w:val="24"/>
        </w:rPr>
        <w:t xml:space="preserve">sample size of 1500 was chosen to </w:t>
      </w:r>
      <w:r w:rsidRPr="00292912">
        <w:rPr>
          <w:rFonts w:ascii="Times New Roman" w:hAnsi="Times New Roman"/>
          <w:noProof/>
          <w:szCs w:val="24"/>
        </w:rPr>
        <w:t>provide a high ratio of cases to estimated parameters in order to avoid overfitting and loss of generalizability in the regression model</w:t>
      </w:r>
      <w:r w:rsidR="004F4E47">
        <w:rPr>
          <w:rFonts w:ascii="Times New Roman" w:hAnsi="Times New Roman"/>
          <w:noProof/>
          <w:szCs w:val="24"/>
        </w:rPr>
        <w:t>[</w:t>
      </w:r>
      <w:r w:rsidR="0002423C">
        <w:rPr>
          <w:rFonts w:ascii="Times New Roman" w:hAnsi="Times New Roman"/>
          <w:noProof/>
          <w:szCs w:val="24"/>
        </w:rPr>
        <w:t>2</w:t>
      </w:r>
      <w:r w:rsidR="00000E10">
        <w:rPr>
          <w:rFonts w:ascii="Times New Roman" w:hAnsi="Times New Roman"/>
          <w:noProof/>
          <w:szCs w:val="24"/>
        </w:rPr>
        <w:t>2</w:t>
      </w:r>
      <w:r w:rsidR="004F4E47">
        <w:rPr>
          <w:rFonts w:ascii="Times New Roman" w:hAnsi="Times New Roman"/>
          <w:noProof/>
          <w:szCs w:val="24"/>
        </w:rPr>
        <w:t>].</w:t>
      </w:r>
      <w:r w:rsidRPr="00034B7D">
        <w:rPr>
          <w:rFonts w:ascii="Times New Roman" w:hAnsi="Times New Roman"/>
          <w:szCs w:val="24"/>
        </w:rPr>
        <w:t xml:space="preserve"> </w:t>
      </w:r>
    </w:p>
    <w:p w14:paraId="6376722E" w14:textId="7F04B3C3" w:rsidR="000C10A4" w:rsidRPr="00E15BD2" w:rsidRDefault="000C10A4" w:rsidP="009157DB">
      <w:pPr>
        <w:pStyle w:val="BMJHeading2"/>
        <w:rPr>
          <w:rFonts w:ascii="Times New Roman" w:hAnsi="Times New Roman"/>
        </w:rPr>
      </w:pPr>
      <w:r w:rsidRPr="00E15BD2">
        <w:rPr>
          <w:rFonts w:ascii="Times New Roman" w:hAnsi="Times New Roman"/>
        </w:rPr>
        <w:t>Analysis</w:t>
      </w:r>
    </w:p>
    <w:p w14:paraId="7A0A34DE" w14:textId="21D9400E" w:rsidR="00585C4B" w:rsidRDefault="005F3D4A" w:rsidP="00CF21F2">
      <w:pPr>
        <w:rPr>
          <w:rFonts w:ascii="Times New Roman" w:hAnsi="Times New Roman"/>
        </w:rPr>
      </w:pPr>
      <w:r w:rsidRPr="00292912">
        <w:rPr>
          <w:rFonts w:ascii="Times New Roman" w:hAnsi="Times New Roman"/>
          <w:szCs w:val="24"/>
        </w:rPr>
        <w:t xml:space="preserve">To identify variables associated with an intention to </w:t>
      </w:r>
      <w:r w:rsidR="00A96658">
        <w:rPr>
          <w:rFonts w:ascii="Times New Roman" w:hAnsi="Times New Roman"/>
          <w:szCs w:val="24"/>
        </w:rPr>
        <w:t xml:space="preserve">have the COVID-19 </w:t>
      </w:r>
      <w:r w:rsidRPr="00292912">
        <w:rPr>
          <w:rFonts w:ascii="Times New Roman" w:hAnsi="Times New Roman"/>
          <w:szCs w:val="24"/>
        </w:rPr>
        <w:t>vaccinat</w:t>
      </w:r>
      <w:r w:rsidR="00A96658">
        <w:rPr>
          <w:rFonts w:ascii="Times New Roman" w:hAnsi="Times New Roman"/>
          <w:szCs w:val="24"/>
        </w:rPr>
        <w:t>ion</w:t>
      </w:r>
      <w:r w:rsidRPr="00292912">
        <w:rPr>
          <w:rFonts w:ascii="Times New Roman" w:hAnsi="Times New Roman"/>
          <w:szCs w:val="24"/>
        </w:rPr>
        <w:t xml:space="preserve">, </w:t>
      </w:r>
      <w:r>
        <w:rPr>
          <w:rFonts w:ascii="Times New Roman" w:hAnsi="Times New Roman"/>
          <w:szCs w:val="24"/>
        </w:rPr>
        <w:t xml:space="preserve">we constructed </w:t>
      </w:r>
      <w:r w:rsidRPr="00292912">
        <w:rPr>
          <w:rFonts w:ascii="Times New Roman" w:hAnsi="Times New Roman"/>
          <w:szCs w:val="24"/>
        </w:rPr>
        <w:t xml:space="preserve">a linear regression model. </w:t>
      </w:r>
      <w:r w:rsidR="007D1A5C">
        <w:rPr>
          <w:rFonts w:ascii="Times New Roman" w:hAnsi="Times New Roman"/>
          <w:szCs w:val="24"/>
        </w:rPr>
        <w:t>O</w:t>
      </w:r>
      <w:r w:rsidR="007D1A5C" w:rsidRPr="00292912">
        <w:rPr>
          <w:rFonts w:ascii="Times New Roman" w:hAnsi="Times New Roman"/>
          <w:szCs w:val="24"/>
        </w:rPr>
        <w:t xml:space="preserve">rdinal and multinomial predictors </w:t>
      </w:r>
      <w:r w:rsidR="007D1A5C">
        <w:rPr>
          <w:rFonts w:ascii="Times New Roman" w:hAnsi="Times New Roman"/>
          <w:szCs w:val="24"/>
        </w:rPr>
        <w:t xml:space="preserve">were </w:t>
      </w:r>
      <w:r w:rsidR="007D1A5C" w:rsidRPr="00292912">
        <w:rPr>
          <w:rFonts w:ascii="Times New Roman" w:hAnsi="Times New Roman"/>
          <w:szCs w:val="24"/>
        </w:rPr>
        <w:t>converted to dummy variables</w:t>
      </w:r>
      <w:r w:rsidR="007D1A5C">
        <w:rPr>
          <w:rFonts w:ascii="Times New Roman" w:hAnsi="Times New Roman"/>
          <w:szCs w:val="24"/>
        </w:rPr>
        <w:t xml:space="preserve">. </w:t>
      </w:r>
      <w:r w:rsidR="001269F8">
        <w:rPr>
          <w:rFonts w:ascii="Times New Roman" w:hAnsi="Times New Roman"/>
          <w:szCs w:val="24"/>
        </w:rPr>
        <w:t>T</w:t>
      </w:r>
      <w:r w:rsidR="001269F8" w:rsidRPr="00292912">
        <w:rPr>
          <w:rFonts w:ascii="Times New Roman" w:hAnsi="Times New Roman"/>
          <w:szCs w:val="24"/>
        </w:rPr>
        <w:t xml:space="preserve">o aid interpretation of the model, and </w:t>
      </w:r>
      <w:r w:rsidR="001269F8">
        <w:rPr>
          <w:rFonts w:ascii="Times New Roman" w:hAnsi="Times New Roman"/>
          <w:szCs w:val="24"/>
        </w:rPr>
        <w:t xml:space="preserve">to </w:t>
      </w:r>
      <w:r w:rsidR="001269F8" w:rsidRPr="00292912">
        <w:rPr>
          <w:rFonts w:ascii="Times New Roman" w:hAnsi="Times New Roman"/>
          <w:szCs w:val="24"/>
        </w:rPr>
        <w:t>address collinearity</w:t>
      </w:r>
      <w:r w:rsidR="001269F8">
        <w:rPr>
          <w:rFonts w:ascii="Times New Roman" w:hAnsi="Times New Roman"/>
          <w:szCs w:val="24"/>
        </w:rPr>
        <w:t xml:space="preserve"> in some variables</w:t>
      </w:r>
      <w:r w:rsidR="001269F8" w:rsidRPr="00292912">
        <w:rPr>
          <w:rFonts w:ascii="Times New Roman" w:hAnsi="Times New Roman"/>
          <w:szCs w:val="24"/>
        </w:rPr>
        <w:t>,</w:t>
      </w:r>
      <w:r w:rsidR="00800762">
        <w:rPr>
          <w:rFonts w:ascii="Times New Roman" w:hAnsi="Times New Roman"/>
          <w:szCs w:val="24"/>
        </w:rPr>
        <w:t xml:space="preserve"> we </w:t>
      </w:r>
      <w:r w:rsidR="002D5BB5">
        <w:rPr>
          <w:rFonts w:ascii="Times New Roman" w:hAnsi="Times New Roman"/>
          <w:szCs w:val="24"/>
        </w:rPr>
        <w:t xml:space="preserve">ran </w:t>
      </w:r>
      <w:r w:rsidR="002D5BB5">
        <w:rPr>
          <w:rFonts w:ascii="Times New Roman" w:hAnsi="Times New Roman"/>
        </w:rPr>
        <w:t>principal component analyses on</w:t>
      </w:r>
      <w:r w:rsidR="00494B7B">
        <w:rPr>
          <w:rFonts w:ascii="Times New Roman" w:hAnsi="Times New Roman"/>
        </w:rPr>
        <w:t xml:space="preserve"> items </w:t>
      </w:r>
      <w:r w:rsidR="008B3C59">
        <w:rPr>
          <w:rFonts w:ascii="Times New Roman" w:hAnsi="Times New Roman"/>
        </w:rPr>
        <w:t>investigating beliefs and attitudes about COVID-19 and a</w:t>
      </w:r>
      <w:r w:rsidR="00163F65">
        <w:rPr>
          <w:rFonts w:ascii="Times New Roman" w:hAnsi="Times New Roman"/>
        </w:rPr>
        <w:t xml:space="preserve"> COVID-19 vaccination</w:t>
      </w:r>
      <w:r w:rsidR="00664C5F">
        <w:rPr>
          <w:rFonts w:ascii="Times New Roman" w:hAnsi="Times New Roman"/>
        </w:rPr>
        <w:t xml:space="preserve">. </w:t>
      </w:r>
    </w:p>
    <w:p w14:paraId="588F1CC3" w14:textId="1B0138D6" w:rsidR="00CF21F2" w:rsidRDefault="00C01680" w:rsidP="00CF21F2">
      <w:pPr>
        <w:rPr>
          <w:rFonts w:ascii="Times New Roman" w:hAnsi="Times New Roman"/>
          <w:szCs w:val="24"/>
        </w:rPr>
      </w:pPr>
      <w:r>
        <w:rPr>
          <w:rFonts w:ascii="Times New Roman" w:hAnsi="Times New Roman"/>
        </w:rPr>
        <w:t xml:space="preserve">Variables </w:t>
      </w:r>
      <w:proofErr w:type="gramStart"/>
      <w:r>
        <w:rPr>
          <w:rFonts w:ascii="Times New Roman" w:hAnsi="Times New Roman"/>
        </w:rPr>
        <w:t>entered into</w:t>
      </w:r>
      <w:proofErr w:type="gramEnd"/>
      <w:r>
        <w:rPr>
          <w:rFonts w:ascii="Times New Roman" w:hAnsi="Times New Roman"/>
        </w:rPr>
        <w:t xml:space="preserve"> the model were selected a</w:t>
      </w:r>
      <w:r w:rsidR="00107B03">
        <w:rPr>
          <w:rFonts w:ascii="Times New Roman" w:hAnsi="Times New Roman"/>
        </w:rPr>
        <w:t xml:space="preserve"> </w:t>
      </w:r>
      <w:r>
        <w:rPr>
          <w:rFonts w:ascii="Times New Roman" w:hAnsi="Times New Roman"/>
        </w:rPr>
        <w:t>priori</w:t>
      </w:r>
      <w:r w:rsidR="00F3401A">
        <w:rPr>
          <w:rFonts w:ascii="Times New Roman" w:hAnsi="Times New Roman"/>
        </w:rPr>
        <w:t xml:space="preserve"> based on their theoretical relevance</w:t>
      </w:r>
      <w:r w:rsidR="00BD0990">
        <w:rPr>
          <w:rFonts w:ascii="Times New Roman" w:hAnsi="Times New Roman"/>
        </w:rPr>
        <w:t>;</w:t>
      </w:r>
      <w:r w:rsidR="00BD0990" w:rsidRPr="00BD0990">
        <w:rPr>
          <w:rFonts w:ascii="Times New Roman" w:hAnsi="Times New Roman"/>
          <w:szCs w:val="24"/>
        </w:rPr>
        <w:t xml:space="preserve"> </w:t>
      </w:r>
      <w:r w:rsidR="00BD0990">
        <w:rPr>
          <w:rFonts w:ascii="Times New Roman" w:hAnsi="Times New Roman"/>
          <w:szCs w:val="24"/>
        </w:rPr>
        <w:t>no variable selection procedures were employed</w:t>
      </w:r>
      <w:r w:rsidR="00F3401A">
        <w:rPr>
          <w:rFonts w:ascii="Times New Roman" w:hAnsi="Times New Roman"/>
        </w:rPr>
        <w:t xml:space="preserve">. </w:t>
      </w:r>
      <w:r w:rsidR="00834F50" w:rsidRPr="00292912">
        <w:rPr>
          <w:rFonts w:ascii="Times New Roman" w:hAnsi="Times New Roman"/>
          <w:szCs w:val="24"/>
        </w:rPr>
        <w:t>Five groups of variables were included in the model</w:t>
      </w:r>
      <w:r w:rsidR="000D0D9D">
        <w:rPr>
          <w:rFonts w:ascii="Times New Roman" w:hAnsi="Times New Roman"/>
          <w:szCs w:val="24"/>
        </w:rPr>
        <w:t xml:space="preserve">: </w:t>
      </w:r>
      <w:r w:rsidR="00834F50" w:rsidRPr="00292912">
        <w:rPr>
          <w:rFonts w:ascii="Times New Roman" w:hAnsi="Times New Roman"/>
          <w:szCs w:val="24"/>
        </w:rPr>
        <w:t xml:space="preserve">personal and clinical characteristics; seasonal influenza vaccination; general beliefs and attitudes relating to vaccination; </w:t>
      </w:r>
      <w:r w:rsidR="000D0D9D">
        <w:rPr>
          <w:rFonts w:ascii="Times New Roman" w:hAnsi="Times New Roman"/>
          <w:szCs w:val="24"/>
        </w:rPr>
        <w:t>b</w:t>
      </w:r>
      <w:r w:rsidR="00834F50" w:rsidRPr="00292912">
        <w:rPr>
          <w:rFonts w:ascii="Times New Roman" w:hAnsi="Times New Roman"/>
          <w:szCs w:val="24"/>
        </w:rPr>
        <w:t xml:space="preserve">eliefs and attitudes relating to COVID-19 illness; </w:t>
      </w:r>
      <w:r w:rsidR="000D0D9D">
        <w:rPr>
          <w:rFonts w:ascii="Times New Roman" w:hAnsi="Times New Roman"/>
          <w:szCs w:val="24"/>
        </w:rPr>
        <w:t>and b</w:t>
      </w:r>
      <w:r w:rsidR="00834F50" w:rsidRPr="00292912">
        <w:rPr>
          <w:rFonts w:ascii="Times New Roman" w:hAnsi="Times New Roman"/>
          <w:szCs w:val="24"/>
        </w:rPr>
        <w:t xml:space="preserve">eliefs and attitudes relating to COVID-19 vaccination. </w:t>
      </w:r>
      <w:r w:rsidR="00AE1BAD" w:rsidRPr="00292912">
        <w:rPr>
          <w:rFonts w:ascii="Times New Roman" w:hAnsi="Times New Roman"/>
          <w:szCs w:val="24"/>
        </w:rPr>
        <w:t>The percentage of variance in the outcome variable explained by each predictor was calculated as the squared semi</w:t>
      </w:r>
      <w:r w:rsidR="00AE1BAD">
        <w:rPr>
          <w:rFonts w:ascii="Times New Roman" w:hAnsi="Times New Roman"/>
          <w:szCs w:val="24"/>
        </w:rPr>
        <w:t>-</w:t>
      </w:r>
      <w:r w:rsidR="00AE1BAD" w:rsidRPr="00292912">
        <w:rPr>
          <w:rFonts w:ascii="Times New Roman" w:hAnsi="Times New Roman"/>
          <w:szCs w:val="24"/>
        </w:rPr>
        <w:t xml:space="preserve">partial correlation for a numerical predictor and the change in </w:t>
      </w:r>
      <w:r w:rsidR="00AE1BAD" w:rsidRPr="00292912">
        <w:rPr>
          <w:rFonts w:ascii="Times New Roman" w:hAnsi="Times New Roman"/>
          <w:i/>
          <w:iCs/>
          <w:szCs w:val="24"/>
        </w:rPr>
        <w:t>R</w:t>
      </w:r>
      <w:r w:rsidR="00AE1BAD" w:rsidRPr="00292912">
        <w:rPr>
          <w:rFonts w:ascii="Times New Roman" w:hAnsi="Times New Roman"/>
          <w:szCs w:val="24"/>
          <w:vertAlign w:val="superscript"/>
        </w:rPr>
        <w:t>2</w:t>
      </w:r>
      <w:r w:rsidR="00AE1BAD" w:rsidRPr="00292912">
        <w:rPr>
          <w:rFonts w:ascii="Times New Roman" w:hAnsi="Times New Roman"/>
          <w:szCs w:val="24"/>
        </w:rPr>
        <w:t xml:space="preserve"> </w:t>
      </w:r>
      <w:r w:rsidR="00AE1BAD">
        <w:rPr>
          <w:rFonts w:ascii="Times New Roman" w:hAnsi="Times New Roman"/>
          <w:szCs w:val="24"/>
        </w:rPr>
        <w:t>attributable to</w:t>
      </w:r>
      <w:r w:rsidR="00AE1BAD" w:rsidRPr="00292912">
        <w:rPr>
          <w:rFonts w:ascii="Times New Roman" w:hAnsi="Times New Roman"/>
          <w:szCs w:val="24"/>
        </w:rPr>
        <w:t xml:space="preserve"> a set of dummy variables.</w:t>
      </w:r>
      <w:r w:rsidR="00CF21F2" w:rsidRPr="00CF21F2">
        <w:rPr>
          <w:rFonts w:ascii="Times New Roman" w:hAnsi="Times New Roman"/>
          <w:szCs w:val="24"/>
        </w:rPr>
        <w:t xml:space="preserve"> </w:t>
      </w:r>
    </w:p>
    <w:p w14:paraId="6ECC6F69" w14:textId="26AD11C3" w:rsidR="00CF21F2" w:rsidRPr="00292912" w:rsidRDefault="00CF21F2" w:rsidP="00CF21F2">
      <w:pPr>
        <w:rPr>
          <w:rFonts w:ascii="Times New Roman" w:hAnsi="Times New Roman"/>
          <w:szCs w:val="24"/>
        </w:rPr>
      </w:pPr>
      <w:r w:rsidRPr="00292912">
        <w:rPr>
          <w:rFonts w:ascii="Times New Roman" w:hAnsi="Times New Roman"/>
          <w:szCs w:val="24"/>
        </w:rPr>
        <w:lastRenderedPageBreak/>
        <w:t xml:space="preserve">As well as fitting the full model, we also added the groups of variables as successive blocks in a hierarchical model, to determine the incremental increase in the adjusted </w:t>
      </w:r>
      <w:r w:rsidRPr="00292912">
        <w:rPr>
          <w:rFonts w:ascii="Times New Roman" w:hAnsi="Times New Roman"/>
          <w:i/>
          <w:iCs/>
          <w:szCs w:val="24"/>
        </w:rPr>
        <w:t>R</w:t>
      </w:r>
      <w:r w:rsidRPr="00292912">
        <w:rPr>
          <w:rFonts w:ascii="Times New Roman" w:hAnsi="Times New Roman"/>
          <w:szCs w:val="24"/>
          <w:vertAlign w:val="superscript"/>
        </w:rPr>
        <w:t>2</w:t>
      </w:r>
      <w:r w:rsidRPr="00292912">
        <w:rPr>
          <w:rFonts w:ascii="Times New Roman" w:hAnsi="Times New Roman"/>
          <w:szCs w:val="24"/>
        </w:rPr>
        <w:t xml:space="preserve"> value as the groups of variables </w:t>
      </w:r>
      <w:r>
        <w:rPr>
          <w:rFonts w:ascii="Times New Roman" w:hAnsi="Times New Roman"/>
          <w:szCs w:val="24"/>
        </w:rPr>
        <w:t>were</w:t>
      </w:r>
      <w:r w:rsidRPr="00292912">
        <w:rPr>
          <w:rFonts w:ascii="Times New Roman" w:hAnsi="Times New Roman"/>
          <w:szCs w:val="24"/>
        </w:rPr>
        <w:t xml:space="preserve"> added to the model.</w:t>
      </w:r>
    </w:p>
    <w:p w14:paraId="28E87E7D" w14:textId="37077CCB" w:rsidR="005B36B1" w:rsidRDefault="005B36B1" w:rsidP="005B36B1">
      <w:pPr>
        <w:rPr>
          <w:rFonts w:ascii="Times New Roman" w:hAnsi="Times New Roman"/>
          <w:szCs w:val="24"/>
        </w:rPr>
      </w:pPr>
      <w:r>
        <w:rPr>
          <w:rFonts w:ascii="Times New Roman" w:hAnsi="Times New Roman"/>
          <w:szCs w:val="24"/>
        </w:rPr>
        <w:t xml:space="preserve">Due to the large number of </w:t>
      </w:r>
      <w:r w:rsidRPr="00292912">
        <w:rPr>
          <w:rFonts w:ascii="Times New Roman" w:hAnsi="Times New Roman"/>
          <w:szCs w:val="24"/>
        </w:rPr>
        <w:t>predictors in the model</w:t>
      </w:r>
      <w:r>
        <w:rPr>
          <w:rFonts w:ascii="Times New Roman" w:hAnsi="Times New Roman"/>
          <w:szCs w:val="24"/>
        </w:rPr>
        <w:t xml:space="preserve">, </w:t>
      </w:r>
      <w:r w:rsidRPr="00292912">
        <w:rPr>
          <w:rFonts w:ascii="Times New Roman" w:hAnsi="Times New Roman"/>
          <w:szCs w:val="24"/>
        </w:rPr>
        <w:t xml:space="preserve">statistical significance was set at </w:t>
      </w:r>
      <w:r w:rsidRPr="00292912">
        <w:rPr>
          <w:rFonts w:ascii="Times New Roman" w:hAnsi="Times New Roman"/>
          <w:i/>
          <w:iCs/>
          <w:szCs w:val="24"/>
        </w:rPr>
        <w:t>p</w:t>
      </w:r>
      <w:r w:rsidRPr="00292912">
        <w:rPr>
          <w:rFonts w:ascii="Times New Roman" w:hAnsi="Times New Roman"/>
          <w:szCs w:val="24"/>
        </w:rPr>
        <w:t>≤.01</w:t>
      </w:r>
      <w:r>
        <w:rPr>
          <w:rFonts w:ascii="Times New Roman" w:hAnsi="Times New Roman"/>
          <w:szCs w:val="24"/>
        </w:rPr>
        <w:t xml:space="preserve"> t</w:t>
      </w:r>
      <w:r w:rsidRPr="00292912">
        <w:rPr>
          <w:rFonts w:ascii="Times New Roman" w:hAnsi="Times New Roman"/>
          <w:szCs w:val="24"/>
        </w:rPr>
        <w:t>o control Type 1 error</w:t>
      </w:r>
      <w:r>
        <w:rPr>
          <w:rFonts w:ascii="Times New Roman" w:hAnsi="Times New Roman"/>
          <w:szCs w:val="24"/>
        </w:rPr>
        <w:t>s</w:t>
      </w:r>
      <w:r w:rsidR="0028692B">
        <w:rPr>
          <w:rFonts w:ascii="Times New Roman" w:hAnsi="Times New Roman"/>
          <w:szCs w:val="24"/>
        </w:rPr>
        <w:t xml:space="preserve"> and</w:t>
      </w:r>
      <w:r w:rsidRPr="00292912">
        <w:rPr>
          <w:rFonts w:ascii="Times New Roman" w:hAnsi="Times New Roman"/>
          <w:szCs w:val="24"/>
        </w:rPr>
        <w:t xml:space="preserve"> 99% confidence intervals </w:t>
      </w:r>
      <w:r w:rsidR="0075393D">
        <w:rPr>
          <w:rFonts w:ascii="Times New Roman" w:hAnsi="Times New Roman"/>
          <w:szCs w:val="24"/>
        </w:rPr>
        <w:t xml:space="preserve">(CIs) </w:t>
      </w:r>
      <w:r w:rsidRPr="00292912">
        <w:rPr>
          <w:rFonts w:ascii="Times New Roman" w:hAnsi="Times New Roman"/>
          <w:szCs w:val="24"/>
        </w:rPr>
        <w:t xml:space="preserve">were </w:t>
      </w:r>
      <w:r w:rsidR="0075393D">
        <w:rPr>
          <w:rFonts w:ascii="Times New Roman" w:hAnsi="Times New Roman"/>
          <w:szCs w:val="24"/>
        </w:rPr>
        <w:t xml:space="preserve">correspondingly </w:t>
      </w:r>
      <w:r w:rsidRPr="00292912">
        <w:rPr>
          <w:rFonts w:ascii="Times New Roman" w:hAnsi="Times New Roman"/>
          <w:szCs w:val="24"/>
        </w:rPr>
        <w:t xml:space="preserve">calculated for the regression coefficients. Assumptions of the analysis were checked. </w:t>
      </w:r>
      <w:r>
        <w:rPr>
          <w:rFonts w:ascii="Times New Roman" w:hAnsi="Times New Roman"/>
          <w:szCs w:val="24"/>
        </w:rPr>
        <w:t>Analyses were conducted in SPSS 26.</w:t>
      </w:r>
    </w:p>
    <w:p w14:paraId="354B50D6" w14:textId="77777777" w:rsidR="008063C4" w:rsidRPr="00292912" w:rsidRDefault="008063C4" w:rsidP="005B36B1">
      <w:pPr>
        <w:rPr>
          <w:rFonts w:ascii="Times New Roman" w:hAnsi="Times New Roman"/>
          <w:szCs w:val="24"/>
        </w:rPr>
      </w:pPr>
    </w:p>
    <w:p w14:paraId="6403DDBA" w14:textId="40D2B399" w:rsidR="000C10A4" w:rsidRPr="00E15BD2" w:rsidRDefault="00DF5BD9" w:rsidP="009157DB">
      <w:pPr>
        <w:pStyle w:val="BMJHeading1"/>
        <w:rPr>
          <w:rFonts w:ascii="Times New Roman" w:hAnsi="Times New Roman" w:cs="Times New Roman"/>
        </w:rPr>
      </w:pPr>
      <w:r w:rsidRPr="00E15BD2">
        <w:rPr>
          <w:rFonts w:ascii="Times New Roman" w:hAnsi="Times New Roman" w:cs="Times New Roman"/>
        </w:rPr>
        <w:t>Results</w:t>
      </w:r>
    </w:p>
    <w:p w14:paraId="034D780C" w14:textId="12F999AE" w:rsidR="008B436A" w:rsidRDefault="008E36C1" w:rsidP="007A613E">
      <w:r>
        <w:t>As intended, p</w:t>
      </w:r>
      <w:r w:rsidR="003C73E1">
        <w:t>articipants were broadly representative of the UK population (mean age 4</w:t>
      </w:r>
      <w:r w:rsidR="006C50D4">
        <w:t>6.0</w:t>
      </w:r>
      <w:r w:rsidR="003C73E1">
        <w:t xml:space="preserve"> years</w:t>
      </w:r>
      <w:r w:rsidR="006C50D4">
        <w:t>, SD=15.8, range 18 to 87;</w:t>
      </w:r>
      <w:r w:rsidR="003C73E1">
        <w:t xml:space="preserve"> </w:t>
      </w:r>
      <w:r w:rsidR="00191C8D">
        <w:t xml:space="preserve">51% female; </w:t>
      </w:r>
      <w:r w:rsidR="00B36431">
        <w:t>85</w:t>
      </w:r>
      <w:r w:rsidR="00191C8D">
        <w:t>% white ethnicity; Table 1</w:t>
      </w:r>
      <w:r w:rsidR="008E2CE5">
        <w:t xml:space="preserve">, see supplementary materials </w:t>
      </w:r>
      <w:r w:rsidR="00861EC9">
        <w:t xml:space="preserve">1 </w:t>
      </w:r>
      <w:r w:rsidR="008E2CE5">
        <w:t>for further breakdown</w:t>
      </w:r>
      <w:r w:rsidR="00191C8D">
        <w:t>)</w:t>
      </w:r>
      <w:r w:rsidR="001215E7">
        <w:t>.</w:t>
      </w:r>
    </w:p>
    <w:p w14:paraId="0C895CAA" w14:textId="77777777" w:rsidR="001C0F6D" w:rsidRDefault="001C0F6D" w:rsidP="007A613E"/>
    <w:p w14:paraId="7B11939A" w14:textId="3A99D669" w:rsidR="008063C4" w:rsidRDefault="005355DF" w:rsidP="007A6401">
      <w:pPr>
        <w:jc w:val="center"/>
      </w:pPr>
      <w:r>
        <w:t>TABLE 1 ABOUT HERE</w:t>
      </w:r>
    </w:p>
    <w:p w14:paraId="60C1DD22" w14:textId="3AC35D80" w:rsidR="006F5312" w:rsidRDefault="006F5312" w:rsidP="00E57824">
      <w:pPr>
        <w:jc w:val="center"/>
      </w:pPr>
    </w:p>
    <w:p w14:paraId="258E40DC" w14:textId="412A8946" w:rsidR="003535D2" w:rsidRDefault="00446936" w:rsidP="00036EEA">
      <w:bookmarkStart w:id="5" w:name="_Hlk52783555"/>
      <w:r>
        <w:t xml:space="preserve">Descriptive statistics for items </w:t>
      </w:r>
      <w:r w:rsidR="006E4997">
        <w:t xml:space="preserve">assessing </w:t>
      </w:r>
      <w:r>
        <w:t>psychological factors are reported in Table</w:t>
      </w:r>
      <w:r w:rsidR="006E4997">
        <w:t>s</w:t>
      </w:r>
      <w:r>
        <w:t xml:space="preserve"> 2</w:t>
      </w:r>
      <w:r w:rsidR="00694023">
        <w:t xml:space="preserve"> and 3</w:t>
      </w:r>
      <w:r>
        <w:t>.</w:t>
      </w:r>
      <w:r w:rsidR="00D45384">
        <w:t xml:space="preserve"> </w:t>
      </w:r>
      <w:bookmarkStart w:id="6" w:name="_Hlk52787795"/>
      <w:bookmarkStart w:id="7" w:name="_Hlk52612460"/>
      <w:r w:rsidR="003535D2" w:rsidRPr="003535D2">
        <w:t>Participants perceived a greater risk of COVID-19 to others (73.4% reporting a significant or major risk of COVID-19 to people in the UK) than to themselves personally (35.6% significant or major risk). Endorsement of the item “we are all responsible for reducing the spread of coronavirus” was also high. Participants reported greater likelihood of having a coronavirus vaccination than a seasonal influenza vaccination. It is also noteworthy that participants reported considerably more trust in the NHS compared to the Government regarding managing the pandemic.</w:t>
      </w:r>
      <w:r w:rsidR="003535D2">
        <w:t xml:space="preserve"> </w:t>
      </w:r>
    </w:p>
    <w:bookmarkEnd w:id="5"/>
    <w:bookmarkEnd w:id="6"/>
    <w:p w14:paraId="1C4C384F" w14:textId="77777777" w:rsidR="003535D2" w:rsidRDefault="003535D2" w:rsidP="007A6401">
      <w:pPr>
        <w:jc w:val="center"/>
      </w:pPr>
    </w:p>
    <w:p w14:paraId="522A099D" w14:textId="35C3316F" w:rsidR="00B23514" w:rsidRDefault="00B23514" w:rsidP="007A6401">
      <w:pPr>
        <w:jc w:val="center"/>
      </w:pPr>
      <w:r w:rsidRPr="00B23514">
        <w:t>TABLES 2 and 3 ABOUT HERE</w:t>
      </w:r>
    </w:p>
    <w:p w14:paraId="1259FBCC" w14:textId="77777777" w:rsidR="001C0F6D" w:rsidRDefault="001C0F6D" w:rsidP="00036EEA"/>
    <w:bookmarkEnd w:id="7"/>
    <w:p w14:paraId="0A43F39A" w14:textId="1AA0B3D8" w:rsidR="00356D1A" w:rsidRDefault="00B52CAB" w:rsidP="00E37825">
      <w:pPr>
        <w:pStyle w:val="BMJHeading2"/>
      </w:pPr>
      <w:r>
        <w:t>Principal component analyses</w:t>
      </w:r>
    </w:p>
    <w:p w14:paraId="4F037EA3" w14:textId="042BF655" w:rsidR="00E67043" w:rsidRDefault="003B4224" w:rsidP="00E67043">
      <w:r>
        <w:t xml:space="preserve">Two components emerged from </w:t>
      </w:r>
      <w:r w:rsidR="001F4854">
        <w:t xml:space="preserve">the </w:t>
      </w:r>
      <w:r>
        <w:t>principal component analys</w:t>
      </w:r>
      <w:r w:rsidR="001F4854">
        <w:t>i</w:t>
      </w:r>
      <w:r>
        <w:t>s on beliefs and attitudes about COVID-19</w:t>
      </w:r>
      <w:r w:rsidR="000F7040">
        <w:t xml:space="preserve"> (see supplementary materials</w:t>
      </w:r>
      <w:r w:rsidR="004C7D60">
        <w:t xml:space="preserve"> 2</w:t>
      </w:r>
      <w:r w:rsidR="000F7040">
        <w:t>)</w:t>
      </w:r>
      <w:r>
        <w:t xml:space="preserve">. </w:t>
      </w:r>
      <w:r w:rsidR="00F52F2C">
        <w:t xml:space="preserve">The first </w:t>
      </w:r>
      <w:r w:rsidR="00FD7BE0">
        <w:t>component</w:t>
      </w:r>
      <w:r w:rsidR="006F3227">
        <w:t xml:space="preserve"> </w:t>
      </w:r>
      <w:r w:rsidR="001F4854">
        <w:t>reflected</w:t>
      </w:r>
      <w:r w:rsidR="00FD7BE0">
        <w:t xml:space="preserve"> items about </w:t>
      </w:r>
      <w:r w:rsidR="00FD7BE0">
        <w:lastRenderedPageBreak/>
        <w:t xml:space="preserve">perceived </w:t>
      </w:r>
      <w:r w:rsidR="00D95F43">
        <w:t xml:space="preserve">severity of </w:t>
      </w:r>
      <w:r w:rsidR="00C50643">
        <w:t>COVID-19</w:t>
      </w:r>
      <w:r w:rsidR="00D95F43">
        <w:t>, perceived immunity to</w:t>
      </w:r>
      <w:r w:rsidR="00C50643">
        <w:t xml:space="preserve"> the virus</w:t>
      </w:r>
      <w:r w:rsidR="00D95F43">
        <w:t>,</w:t>
      </w:r>
      <w:r w:rsidR="00B64E62">
        <w:t xml:space="preserve"> and</w:t>
      </w:r>
      <w:r w:rsidR="00D95F43">
        <w:t xml:space="preserve"> </w:t>
      </w:r>
      <w:r w:rsidR="00C50643">
        <w:t>impact of the pandemic on one’s life</w:t>
      </w:r>
      <w:r w:rsidR="006F3227">
        <w:t xml:space="preserve"> (“</w:t>
      </w:r>
      <w:r w:rsidR="006F3227" w:rsidRPr="00E243B3">
        <w:rPr>
          <w:i/>
          <w:iCs/>
        </w:rPr>
        <w:t>perceived threat and impact of COVID-19</w:t>
      </w:r>
      <w:r w:rsidR="006F3227">
        <w:t xml:space="preserve">”). </w:t>
      </w:r>
      <w:r w:rsidR="0035576C">
        <w:t xml:space="preserve">The second component measured trust in </w:t>
      </w:r>
      <w:r w:rsidR="00D30BBB">
        <w:t xml:space="preserve">the NHS and the Government </w:t>
      </w:r>
      <w:r w:rsidR="0035576C">
        <w:t>to manage the COVID-19 pandemic in the UK</w:t>
      </w:r>
      <w:r w:rsidR="005955EA">
        <w:t xml:space="preserve"> (“</w:t>
      </w:r>
      <w:r w:rsidR="005955EA" w:rsidRPr="00E243B3">
        <w:rPr>
          <w:i/>
          <w:iCs/>
        </w:rPr>
        <w:t>trust in COVID-19 management</w:t>
      </w:r>
      <w:r w:rsidR="00AC05B0">
        <w:t>”</w:t>
      </w:r>
      <w:r w:rsidR="005955EA">
        <w:t>)</w:t>
      </w:r>
      <w:r w:rsidR="0035576C">
        <w:t>.</w:t>
      </w:r>
    </w:p>
    <w:p w14:paraId="57C9DC15" w14:textId="674E469B" w:rsidR="005028C1" w:rsidRDefault="00D8177E" w:rsidP="004D5BE7">
      <w:r>
        <w:t xml:space="preserve">When investigating items related to a COVID-19 vaccination, four components emerged from </w:t>
      </w:r>
      <w:r w:rsidR="001F4854">
        <w:t xml:space="preserve">this </w:t>
      </w:r>
      <w:r>
        <w:t>principal component analys</w:t>
      </w:r>
      <w:r w:rsidR="001F4854">
        <w:t>i</w:t>
      </w:r>
      <w:r>
        <w:t>s (see supplementary materials</w:t>
      </w:r>
      <w:r w:rsidR="001F4854">
        <w:t xml:space="preserve"> 2</w:t>
      </w:r>
      <w:r>
        <w:t>).</w:t>
      </w:r>
      <w:r w:rsidR="00B7681F">
        <w:t xml:space="preserve"> </w:t>
      </w:r>
      <w:r w:rsidR="0041332F">
        <w:t>The first component</w:t>
      </w:r>
      <w:r w:rsidR="008E55FF">
        <w:t xml:space="preserve"> measured </w:t>
      </w:r>
      <w:r w:rsidR="00EE0098">
        <w:t>“</w:t>
      </w:r>
      <w:r w:rsidR="008E55FF" w:rsidRPr="00E243B3">
        <w:rPr>
          <w:i/>
          <w:iCs/>
        </w:rPr>
        <w:t xml:space="preserve">general </w:t>
      </w:r>
      <w:r w:rsidR="00625A31" w:rsidRPr="00E243B3">
        <w:rPr>
          <w:i/>
          <w:iCs/>
        </w:rPr>
        <w:t xml:space="preserve">COVID-19 </w:t>
      </w:r>
      <w:r w:rsidR="008E55FF" w:rsidRPr="00E243B3">
        <w:rPr>
          <w:i/>
          <w:iCs/>
        </w:rPr>
        <w:t>vaccination beliefs and attitudes</w:t>
      </w:r>
      <w:r w:rsidR="00EE0098">
        <w:t>”</w:t>
      </w:r>
      <w:r w:rsidR="008E55FF">
        <w:t xml:space="preserve">, with items loading onto this factor investigating </w:t>
      </w:r>
      <w:r w:rsidR="00B83AF0">
        <w:t xml:space="preserve">perceived vaccine effectiveness, social norms, </w:t>
      </w:r>
      <w:r w:rsidR="00393751">
        <w:t xml:space="preserve">likelihood of catching COVID-19 without a vaccine, </w:t>
      </w:r>
      <w:r w:rsidR="00B83AF0">
        <w:t xml:space="preserve">beliefs about mandatory vaccination, </w:t>
      </w:r>
      <w:r w:rsidR="00121C35">
        <w:t>the influence of vaccine recommendations from different sources</w:t>
      </w:r>
      <w:r w:rsidR="00393751">
        <w:t>, anticipated regret of not being vaccinated, and perceived ease of vaccination</w:t>
      </w:r>
      <w:r w:rsidR="00121C35">
        <w:t>.</w:t>
      </w:r>
      <w:r w:rsidR="0041332F">
        <w:t xml:space="preserve"> </w:t>
      </w:r>
      <w:r w:rsidR="00660719">
        <w:t>The</w:t>
      </w:r>
      <w:r w:rsidR="00871D88">
        <w:t xml:space="preserve"> second component</w:t>
      </w:r>
      <w:r w:rsidR="007D7FA3">
        <w:t>, termed “</w:t>
      </w:r>
      <w:r w:rsidR="002C6E31" w:rsidRPr="00E243B3">
        <w:rPr>
          <w:i/>
          <w:iCs/>
        </w:rPr>
        <w:t xml:space="preserve">COVID-19 </w:t>
      </w:r>
      <w:r w:rsidR="007D7FA3" w:rsidRPr="00E243B3">
        <w:rPr>
          <w:i/>
          <w:iCs/>
        </w:rPr>
        <w:t xml:space="preserve">vaccination </w:t>
      </w:r>
      <w:r w:rsidR="002C6E31" w:rsidRPr="00E243B3">
        <w:rPr>
          <w:i/>
          <w:iCs/>
        </w:rPr>
        <w:t>adverse effects</w:t>
      </w:r>
      <w:r w:rsidR="007D7FA3">
        <w:t>”</w:t>
      </w:r>
      <w:r w:rsidR="00871D88">
        <w:t xml:space="preserve"> measured </w:t>
      </w:r>
      <w:r w:rsidR="00FA18E8">
        <w:t xml:space="preserve">perception of adverse effects and </w:t>
      </w:r>
      <w:r w:rsidR="007D7FA3">
        <w:t>novelty</w:t>
      </w:r>
      <w:r w:rsidR="00660719">
        <w:t xml:space="preserve"> of the vaccine. </w:t>
      </w:r>
      <w:r w:rsidR="00324ADE">
        <w:t xml:space="preserve">The third component measured perceived information sufficiency </w:t>
      </w:r>
      <w:r w:rsidR="003F7E80">
        <w:t>to be able to make an informed decision about vaccination</w:t>
      </w:r>
      <w:r w:rsidR="00EE0098">
        <w:t xml:space="preserve"> (“</w:t>
      </w:r>
      <w:r w:rsidR="007369C4" w:rsidRPr="00E243B3">
        <w:rPr>
          <w:i/>
          <w:iCs/>
        </w:rPr>
        <w:t xml:space="preserve">perceived </w:t>
      </w:r>
      <w:r w:rsidR="00EE0098" w:rsidRPr="00E243B3">
        <w:rPr>
          <w:i/>
          <w:iCs/>
        </w:rPr>
        <w:t>knowledge sufficiency</w:t>
      </w:r>
      <w:r w:rsidR="00EE0098">
        <w:t>”)</w:t>
      </w:r>
      <w:r w:rsidR="003F7E80">
        <w:t>.</w:t>
      </w:r>
      <w:r w:rsidR="004D5BE7">
        <w:t xml:space="preserve"> </w:t>
      </w:r>
      <w:r w:rsidR="00820D58">
        <w:t>I</w:t>
      </w:r>
      <w:r w:rsidR="004D5BE7">
        <w:t>tems about vaccination allowing a return to ‘normal’ life and not having to follow social distancing and other restrictions if one were vaccinated loaded on to the fourth component (</w:t>
      </w:r>
      <w:r w:rsidR="00D07AA4">
        <w:t>“</w:t>
      </w:r>
      <w:r w:rsidR="006E3AAF" w:rsidRPr="00E243B3">
        <w:rPr>
          <w:i/>
          <w:iCs/>
        </w:rPr>
        <w:t>return to</w:t>
      </w:r>
      <w:r w:rsidR="004D5BE7" w:rsidRPr="00E243B3">
        <w:rPr>
          <w:i/>
          <w:iCs/>
        </w:rPr>
        <w:t xml:space="preserve"> </w:t>
      </w:r>
      <w:r w:rsidR="001D48CD">
        <w:rPr>
          <w:i/>
          <w:iCs/>
        </w:rPr>
        <w:t>‘</w:t>
      </w:r>
      <w:r w:rsidR="004D5BE7" w:rsidRPr="00E243B3">
        <w:rPr>
          <w:i/>
          <w:iCs/>
        </w:rPr>
        <w:t>normal</w:t>
      </w:r>
      <w:r w:rsidR="001D48CD">
        <w:rPr>
          <w:i/>
          <w:iCs/>
        </w:rPr>
        <w:t>’</w:t>
      </w:r>
      <w:r w:rsidR="004D5BE7" w:rsidRPr="00E243B3">
        <w:rPr>
          <w:i/>
          <w:iCs/>
        </w:rPr>
        <w:t xml:space="preserve"> life</w:t>
      </w:r>
      <w:r w:rsidR="00D07AA4">
        <w:rPr>
          <w:i/>
          <w:iCs/>
        </w:rPr>
        <w:t>”</w:t>
      </w:r>
      <w:r w:rsidR="004D5BE7">
        <w:t>).</w:t>
      </w:r>
    </w:p>
    <w:p w14:paraId="64DD37D5" w14:textId="60061C50" w:rsidR="0009276D" w:rsidRDefault="00E37825" w:rsidP="00E37825">
      <w:pPr>
        <w:pStyle w:val="BMJHeading2"/>
      </w:pPr>
      <w:r>
        <w:t>Vaccination intention</w:t>
      </w:r>
    </w:p>
    <w:p w14:paraId="638E3A0A" w14:textId="71E4AEFC" w:rsidR="00CB301F" w:rsidRDefault="00687D1C" w:rsidP="00CB301F">
      <w:bookmarkStart w:id="8" w:name="_Hlk47696533"/>
      <w:r>
        <w:t xml:space="preserve">Participants’ </w:t>
      </w:r>
      <w:r w:rsidR="00D307E2">
        <w:t>vaccination intention</w:t>
      </w:r>
      <w:r>
        <w:t xml:space="preserve"> </w:t>
      </w:r>
      <w:r w:rsidR="00AF430B">
        <w:t>is</w:t>
      </w:r>
      <w:r>
        <w:t xml:space="preserve"> presented in Figure 1.</w:t>
      </w:r>
      <w:r w:rsidR="0045131C">
        <w:t xml:space="preserve"> </w:t>
      </w:r>
      <w:r w:rsidR="00E02175">
        <w:t>Vaccination intention exhibited a marked negative skew (</w:t>
      </w:r>
      <w:r w:rsidR="0022439B">
        <w:t>mean=7.55, standard deviation=2.92, median=9)</w:t>
      </w:r>
      <w:r w:rsidR="00E02175">
        <w:t>.</w:t>
      </w:r>
      <w:r w:rsidR="005177E7">
        <w:t xml:space="preserve"> </w:t>
      </w:r>
      <w:r w:rsidR="0091422E" w:rsidRPr="0091422E">
        <w:t xml:space="preserve">In order to categorize respondents in terms of their vaccination intention, we applied a priori </w:t>
      </w:r>
      <w:proofErr w:type="spellStart"/>
      <w:r w:rsidR="0091422E" w:rsidRPr="0091422E">
        <w:t>cutpoints</w:t>
      </w:r>
      <w:proofErr w:type="spellEnd"/>
      <w:r w:rsidR="0091422E" w:rsidRPr="0091422E">
        <w:t xml:space="preserve"> to the 0</w:t>
      </w:r>
      <w:r w:rsidR="00D07AA4">
        <w:t>–</w:t>
      </w:r>
      <w:r w:rsidR="0091422E" w:rsidRPr="0091422E">
        <w:t xml:space="preserve">10 scale (with </w:t>
      </w:r>
      <w:r w:rsidR="002B1F78">
        <w:rPr>
          <w:rFonts w:ascii="Times New Roman" w:hAnsi="Times New Roman"/>
          <w:szCs w:val="24"/>
        </w:rPr>
        <w:t>scores of zero to two as “very unlikely”, three to seven as “uncertain” and eight to ten as “very likely”</w:t>
      </w:r>
      <w:r w:rsidR="00AF430B">
        <w:t>)</w:t>
      </w:r>
      <w:r w:rsidR="005177E7">
        <w:t xml:space="preserve">, 9.1% </w:t>
      </w:r>
      <w:r w:rsidR="0075393D">
        <w:t xml:space="preserve">(95% CI 7.8%, 10.7%) </w:t>
      </w:r>
      <w:r w:rsidR="005177E7">
        <w:t>reported being very unlikely to be vaccinated (</w:t>
      </w:r>
      <w:r w:rsidR="005177E7" w:rsidRPr="00107DA6">
        <w:rPr>
          <w:i/>
          <w:iCs/>
        </w:rPr>
        <w:t>n</w:t>
      </w:r>
      <w:r w:rsidR="005177E7">
        <w:t>=1</w:t>
      </w:r>
      <w:r w:rsidR="00107DA6">
        <w:t>3</w:t>
      </w:r>
      <w:r w:rsidR="005177E7">
        <w:t>7)</w:t>
      </w:r>
      <w:r w:rsidR="005D7926">
        <w:t>, 26.</w:t>
      </w:r>
      <w:r w:rsidR="002B1F78">
        <w:t>9</w:t>
      </w:r>
      <w:r w:rsidR="005D7926">
        <w:t xml:space="preserve">% </w:t>
      </w:r>
      <w:r w:rsidR="0075393D">
        <w:t xml:space="preserve">(95% CI 24.7%, 29.2%) </w:t>
      </w:r>
      <w:r w:rsidR="005D7926">
        <w:t>reported being uncertain about their likelihood of vaccination (</w:t>
      </w:r>
      <w:r w:rsidR="005D7926" w:rsidRPr="00107DA6">
        <w:rPr>
          <w:i/>
          <w:iCs/>
        </w:rPr>
        <w:t>n</w:t>
      </w:r>
      <w:r w:rsidR="005D7926">
        <w:t xml:space="preserve">=403), and </w:t>
      </w:r>
      <w:r w:rsidR="00107DA6">
        <w:t>64.0</w:t>
      </w:r>
      <w:r w:rsidR="00DD0E19">
        <w:t xml:space="preserve">% </w:t>
      </w:r>
      <w:r w:rsidR="0075393D">
        <w:t>(95% CI 61.5</w:t>
      </w:r>
      <w:r w:rsidR="0081482B">
        <w:t>%, 66.4%</w:t>
      </w:r>
      <w:r w:rsidR="0075393D">
        <w:t xml:space="preserve">) </w:t>
      </w:r>
      <w:r w:rsidR="00DD0E19">
        <w:t xml:space="preserve">reported being very likely to be vaccinated </w:t>
      </w:r>
      <w:r w:rsidR="0081482B">
        <w:t>(</w:t>
      </w:r>
      <w:r w:rsidR="0081482B" w:rsidRPr="00107DA6">
        <w:rPr>
          <w:i/>
          <w:iCs/>
        </w:rPr>
        <w:t>n</w:t>
      </w:r>
      <w:r w:rsidR="0081482B">
        <w:t>=960)</w:t>
      </w:r>
      <w:r w:rsidR="00DD0E19">
        <w:t>.</w:t>
      </w:r>
    </w:p>
    <w:p w14:paraId="5666939A" w14:textId="77777777" w:rsidR="00D74ADC" w:rsidRDefault="00D74ADC" w:rsidP="00CB301F"/>
    <w:p w14:paraId="061ECD22" w14:textId="6D19FE3E" w:rsidR="005028C1" w:rsidRPr="006E4924" w:rsidRDefault="00041D51" w:rsidP="00C7643C">
      <w:pPr>
        <w:jc w:val="center"/>
      </w:pPr>
      <w:r>
        <w:t xml:space="preserve">FIGURE 1 ABOUT HERE: </w:t>
      </w:r>
      <w:bookmarkEnd w:id="8"/>
      <w:r w:rsidR="005028C1" w:rsidRPr="006E4924">
        <w:t>Perceived likelihood of having a vaccination (</w:t>
      </w:r>
      <w:r w:rsidR="005028C1">
        <w:t>0=</w:t>
      </w:r>
      <w:r w:rsidR="005028C1">
        <w:rPr>
          <w:rFonts w:ascii="Times New Roman" w:hAnsi="Times New Roman"/>
        </w:rPr>
        <w:t>“extremely unlikely” to 10=“extremely likely”</w:t>
      </w:r>
      <w:r w:rsidR="005028C1" w:rsidRPr="006E4924">
        <w:t>)</w:t>
      </w:r>
      <w:r w:rsidR="0091422E">
        <w:t xml:space="preserve">. </w:t>
      </w:r>
      <w:r w:rsidR="0091422E" w:rsidRPr="0091422E">
        <w:t xml:space="preserve">The figure also shows </w:t>
      </w:r>
      <w:proofErr w:type="spellStart"/>
      <w:r w:rsidR="0091422E" w:rsidRPr="0091422E">
        <w:t>cutpoints</w:t>
      </w:r>
      <w:proofErr w:type="spellEnd"/>
      <w:r w:rsidR="0091422E" w:rsidRPr="0091422E">
        <w:t xml:space="preserve"> that we used to categorize respondents in terms of their vaccination intention</w:t>
      </w:r>
      <w:r w:rsidR="00D74ADC">
        <w:t xml:space="preserve"> </w:t>
      </w:r>
      <w:r w:rsidR="003535D2" w:rsidRPr="003535D2">
        <w:t>(into three categories of very unlikely, uncertain, and very likely to be vaccinated).</w:t>
      </w:r>
    </w:p>
    <w:p w14:paraId="7D9A8E82" w14:textId="68CC5E40" w:rsidR="006E4924" w:rsidRDefault="006E4924" w:rsidP="00E37825"/>
    <w:p w14:paraId="239CC086" w14:textId="743601B6" w:rsidR="00614CC6" w:rsidRDefault="00614CC6" w:rsidP="00614CC6">
      <w:r>
        <w:lastRenderedPageBreak/>
        <w:t>The final model explained 7</w:t>
      </w:r>
      <w:r w:rsidR="00446530">
        <w:t>6</w:t>
      </w:r>
      <w:r>
        <w:t xml:space="preserve">% of the variance in intention to vaccinate (Table </w:t>
      </w:r>
      <w:r w:rsidR="005355DF">
        <w:t>4</w:t>
      </w:r>
      <w:r>
        <w:t xml:space="preserve">). Increased likelihood of being vaccinated for COVID-19 was </w:t>
      </w:r>
      <w:r w:rsidR="00D307E2">
        <w:t xml:space="preserve">significantly </w:t>
      </w:r>
      <w:r>
        <w:t>associated with older age, having been vacci</w:t>
      </w:r>
      <w:r w:rsidRPr="00681B5F">
        <w:t xml:space="preserve">nated for influenza last winter, perceiving a greater risk of COVID-19 to people in the UK, more </w:t>
      </w:r>
      <w:r>
        <w:t xml:space="preserve">positive general COVID-19 vaccination beliefs and attitudes, </w:t>
      </w:r>
      <w:r w:rsidR="00BF6CC8">
        <w:t xml:space="preserve">weaker </w:t>
      </w:r>
      <w:r>
        <w:t>beliefs that the vaccination would cause side effects or be unsafe, greater perceived information sufficiency to make an informed decision about COVID-19 vaccination, and lower endorsement of the notion that only people who are at risk of serious illness should be vaccinated for COVID-19.</w:t>
      </w:r>
      <w:r w:rsidR="000F5106">
        <w:t xml:space="preserve"> In terms of explained variance, the strongest predictors were the principal components representing general COVID-19 vaccination beliefs and attitudes (19.5% of variance explained)</w:t>
      </w:r>
      <w:r w:rsidR="00BF6CC8">
        <w:t xml:space="preserve">, followed by </w:t>
      </w:r>
      <w:r w:rsidR="000F5106">
        <w:t>vaccination adverse effects and novelty (8.2% of variance explained).</w:t>
      </w:r>
    </w:p>
    <w:p w14:paraId="3195926F" w14:textId="77777777" w:rsidR="001C0F6D" w:rsidRDefault="001C0F6D" w:rsidP="00614CC6"/>
    <w:p w14:paraId="0C48D5F2" w14:textId="116A2EE4" w:rsidR="005355DF" w:rsidRDefault="005355DF" w:rsidP="003535D2">
      <w:pPr>
        <w:jc w:val="center"/>
      </w:pPr>
      <w:r>
        <w:t>TABLE 4 ABOUT HERE</w:t>
      </w:r>
    </w:p>
    <w:p w14:paraId="20284533" w14:textId="4B5822C0" w:rsidR="00614CC6" w:rsidRDefault="00614CC6">
      <w:pPr>
        <w:spacing w:after="160" w:line="259" w:lineRule="auto"/>
      </w:pPr>
    </w:p>
    <w:p w14:paraId="7AAECB07" w14:textId="4042ECEF" w:rsidR="00453D2D" w:rsidRDefault="00085B61" w:rsidP="00E37825">
      <w:r>
        <w:t xml:space="preserve">When the groups of variables were entered hierarchically as blocks, </w:t>
      </w:r>
      <w:r w:rsidR="00C14F08">
        <w:t xml:space="preserve">we can infer the percentage of </w:t>
      </w:r>
      <w:r w:rsidR="001E10C3">
        <w:t xml:space="preserve">additional </w:t>
      </w:r>
      <w:r w:rsidR="00C14F08">
        <w:t>variance explained by each block</w:t>
      </w:r>
      <w:r w:rsidR="004C37FA">
        <w:t xml:space="preserve"> from the change in incremental adjusted </w:t>
      </w:r>
      <w:r w:rsidR="00B63244" w:rsidRPr="00D61464">
        <w:rPr>
          <w:i/>
          <w:iCs/>
        </w:rPr>
        <w:t>R</w:t>
      </w:r>
      <w:r w:rsidR="00B63244" w:rsidRPr="00D61464">
        <w:rPr>
          <w:vertAlign w:val="superscript"/>
        </w:rPr>
        <w:t>2</w:t>
      </w:r>
      <w:r w:rsidR="00B63244">
        <w:t xml:space="preserve">. </w:t>
      </w:r>
      <w:r w:rsidR="008B7C0D">
        <w:t xml:space="preserve">Addition of each subsequent </w:t>
      </w:r>
      <w:r w:rsidR="008057C3">
        <w:t xml:space="preserve">block </w:t>
      </w:r>
      <w:r w:rsidR="008B7C0D">
        <w:t>explained a statistically significant proportion of the variance</w:t>
      </w:r>
      <w:r w:rsidR="00993A47">
        <w:t xml:space="preserve"> (</w:t>
      </w:r>
      <w:r w:rsidR="00993A47" w:rsidRPr="00993A47">
        <w:rPr>
          <w:i/>
          <w:iCs/>
        </w:rPr>
        <w:t>p</w:t>
      </w:r>
      <w:r w:rsidR="00993A47">
        <w:t>&lt;.001 in each case)</w:t>
      </w:r>
      <w:r w:rsidR="008B7C0D">
        <w:t xml:space="preserve">. </w:t>
      </w:r>
      <w:r w:rsidR="005761F1">
        <w:t xml:space="preserve">Personal and clinical characteristics </w:t>
      </w:r>
      <w:r w:rsidR="002A0C03">
        <w:t>(</w:t>
      </w:r>
      <w:r w:rsidR="00C34E4A">
        <w:t>block</w:t>
      </w:r>
      <w:r w:rsidR="002A0C03">
        <w:t xml:space="preserve"> 1) </w:t>
      </w:r>
      <w:r w:rsidR="005761F1">
        <w:t xml:space="preserve">alone </w:t>
      </w:r>
      <w:r w:rsidR="00E327C5">
        <w:t>explain</w:t>
      </w:r>
      <w:r w:rsidR="00717CAA">
        <w:t>ed</w:t>
      </w:r>
      <w:r w:rsidR="00E327C5">
        <w:t xml:space="preserve"> very little (</w:t>
      </w:r>
      <w:r w:rsidR="002B6E1B">
        <w:t>4</w:t>
      </w:r>
      <w:r w:rsidR="00E327C5">
        <w:t>%) of the variance in intention to be vaccinated</w:t>
      </w:r>
      <w:r w:rsidR="00B63244">
        <w:t xml:space="preserve">. </w:t>
      </w:r>
      <w:r w:rsidR="00EE57EC">
        <w:t>When p</w:t>
      </w:r>
      <w:r w:rsidR="00EF5ABA">
        <w:t xml:space="preserve">revious influenza vaccination </w:t>
      </w:r>
      <w:r w:rsidR="002A0C03">
        <w:t>(</w:t>
      </w:r>
      <w:r w:rsidR="00C34E4A">
        <w:t>block</w:t>
      </w:r>
      <w:r w:rsidR="002A0C03">
        <w:t xml:space="preserve"> 2) </w:t>
      </w:r>
      <w:r w:rsidR="00EE57EC">
        <w:t xml:space="preserve">was added, it </w:t>
      </w:r>
      <w:r w:rsidR="00EF5ABA">
        <w:t>explain</w:t>
      </w:r>
      <w:r w:rsidR="00C1494B">
        <w:t>ed</w:t>
      </w:r>
      <w:r w:rsidR="00EF5ABA">
        <w:t xml:space="preserve"> </w:t>
      </w:r>
      <w:r w:rsidR="00BE23D9">
        <w:t xml:space="preserve">an additional </w:t>
      </w:r>
      <w:r w:rsidR="00EF5ABA">
        <w:t xml:space="preserve">7% of the </w:t>
      </w:r>
      <w:r w:rsidR="00FA50B7">
        <w:t xml:space="preserve">variance. </w:t>
      </w:r>
      <w:r w:rsidR="00EE57EC">
        <w:t>Adding g</w:t>
      </w:r>
      <w:r w:rsidR="00FA50B7">
        <w:t xml:space="preserve">eneral vaccination beliefs and attitudes </w:t>
      </w:r>
      <w:r w:rsidR="002A0C03">
        <w:t>(</w:t>
      </w:r>
      <w:r w:rsidR="00C34E4A">
        <w:t>block</w:t>
      </w:r>
      <w:r w:rsidR="002A0C03">
        <w:t xml:space="preserve"> 3) </w:t>
      </w:r>
      <w:r w:rsidR="00BF6CC8">
        <w:t xml:space="preserve">resulted in </w:t>
      </w:r>
      <w:r w:rsidR="00EE57EC">
        <w:t xml:space="preserve">the largest increase in proportion </w:t>
      </w:r>
      <w:r w:rsidR="002A0C03">
        <w:t>(3</w:t>
      </w:r>
      <w:r w:rsidR="002B6E1B">
        <w:t>4</w:t>
      </w:r>
      <w:r w:rsidR="002A0C03">
        <w:t xml:space="preserve">%) </w:t>
      </w:r>
      <w:r w:rsidR="00EE57EC">
        <w:t xml:space="preserve">of </w:t>
      </w:r>
      <w:r w:rsidR="00BF6CC8">
        <w:t xml:space="preserve">explained </w:t>
      </w:r>
      <w:r w:rsidR="00EE57EC">
        <w:t xml:space="preserve">variance </w:t>
      </w:r>
      <w:r w:rsidR="002A0C03">
        <w:t>(though in the full model the predictors in this group were</w:t>
      </w:r>
      <w:r w:rsidR="00BF5D70">
        <w:t xml:space="preserve"> no longer significant</w:t>
      </w:r>
      <w:r w:rsidR="002A0C03">
        <w:t>)</w:t>
      </w:r>
      <w:r w:rsidR="00BF5D70">
        <w:t xml:space="preserve">. </w:t>
      </w:r>
      <w:r w:rsidR="00EE57EC">
        <w:t>When b</w:t>
      </w:r>
      <w:r w:rsidR="00F26BED">
        <w:t xml:space="preserve">eliefs and attitudes about COVID-19 </w:t>
      </w:r>
      <w:r w:rsidR="002A0C03">
        <w:t>(</w:t>
      </w:r>
      <w:r w:rsidR="00C34E4A">
        <w:t>block</w:t>
      </w:r>
      <w:r w:rsidR="002A0C03">
        <w:t xml:space="preserve"> 4) </w:t>
      </w:r>
      <w:r w:rsidR="00EE57EC">
        <w:t xml:space="preserve">were added to the model, they </w:t>
      </w:r>
      <w:r w:rsidR="008B4684">
        <w:t xml:space="preserve">explained </w:t>
      </w:r>
      <w:r w:rsidR="007D4CEF">
        <w:t xml:space="preserve">4% </w:t>
      </w:r>
      <w:r w:rsidR="00F338CB">
        <w:t xml:space="preserve">more </w:t>
      </w:r>
      <w:r w:rsidR="007D4CEF">
        <w:t>of the variance</w:t>
      </w:r>
      <w:r w:rsidR="00F338CB">
        <w:t xml:space="preserve"> in vaccination intention. A</w:t>
      </w:r>
      <w:r w:rsidR="000F5106">
        <w:t>dding</w:t>
      </w:r>
      <w:r w:rsidR="007D4CEF">
        <w:t xml:space="preserve"> </w:t>
      </w:r>
      <w:r w:rsidR="00236FE4">
        <w:t xml:space="preserve">positive </w:t>
      </w:r>
      <w:r w:rsidR="007D4CEF">
        <w:t xml:space="preserve">beliefs and attitudes about a COVID-19 </w:t>
      </w:r>
      <w:r w:rsidR="00F26BED">
        <w:t xml:space="preserve">vaccination </w:t>
      </w:r>
      <w:r w:rsidR="002A0C03">
        <w:t>(</w:t>
      </w:r>
      <w:r w:rsidR="00C34E4A">
        <w:t>block</w:t>
      </w:r>
      <w:r w:rsidR="002A0C03">
        <w:t xml:space="preserve"> 5) </w:t>
      </w:r>
      <w:r w:rsidR="00F26BED">
        <w:t xml:space="preserve">explained </w:t>
      </w:r>
      <w:r w:rsidR="000F5106">
        <w:t xml:space="preserve">a further </w:t>
      </w:r>
      <w:r w:rsidR="007D4CEF">
        <w:t>28% of the variance.</w:t>
      </w:r>
    </w:p>
    <w:p w14:paraId="6288652A" w14:textId="77777777" w:rsidR="00D74ADC" w:rsidRDefault="00D74ADC" w:rsidP="00E37825"/>
    <w:p w14:paraId="03E6691E" w14:textId="0A3CE5F8" w:rsidR="007B7819" w:rsidRDefault="007B7819" w:rsidP="002C19F2">
      <w:pPr>
        <w:pStyle w:val="BMJHeading1"/>
      </w:pPr>
      <w:r w:rsidRPr="00E15BD2">
        <w:t>Discussion</w:t>
      </w:r>
    </w:p>
    <w:p w14:paraId="163F5618" w14:textId="7A3BB561" w:rsidR="00267B9F" w:rsidRDefault="001050DE" w:rsidP="00B47E86">
      <w:r>
        <w:t xml:space="preserve">If COVID-19 vaccination were to be offered to the general population, one advantage might be the ability to achieve herd immunity. </w:t>
      </w:r>
      <w:bookmarkStart w:id="9" w:name="_Hlk52787223"/>
      <w:r w:rsidR="003535D2" w:rsidRPr="003535D2">
        <w:t>Information about herd immunity and vaccination estimates are rapidly changing. While some e</w:t>
      </w:r>
      <w:r w:rsidR="00F17A33">
        <w:t>stimates indicat</w:t>
      </w:r>
      <w:r w:rsidR="003508A6">
        <w:t>e</w:t>
      </w:r>
      <w:r w:rsidR="00F17A33">
        <w:t xml:space="preserve"> that </w:t>
      </w:r>
      <w:r w:rsidR="009458A1">
        <w:t xml:space="preserve">up to 60% of the </w:t>
      </w:r>
      <w:r w:rsidR="009458A1">
        <w:lastRenderedPageBreak/>
        <w:t xml:space="preserve">population </w:t>
      </w:r>
      <w:r w:rsidR="003508A6">
        <w:t>might</w:t>
      </w:r>
      <w:r w:rsidR="009458A1">
        <w:t xml:space="preserve"> need to be vaccinated to </w:t>
      </w:r>
      <w:r>
        <w:t>achieve this</w:t>
      </w:r>
      <w:r w:rsidR="004F4E47">
        <w:t>[</w:t>
      </w:r>
      <w:r w:rsidR="00B55BAC">
        <w:rPr>
          <w:noProof/>
        </w:rPr>
        <w:t>2</w:t>
      </w:r>
      <w:r w:rsidR="00000E10">
        <w:rPr>
          <w:noProof/>
        </w:rPr>
        <w:t>3</w:t>
      </w:r>
      <w:r w:rsidR="004F4E47">
        <w:rPr>
          <w:noProof/>
        </w:rPr>
        <w:t>]</w:t>
      </w:r>
      <w:r w:rsidR="000D0824">
        <w:rPr>
          <w:noProof/>
        </w:rPr>
        <w:t xml:space="preserve">, </w:t>
      </w:r>
      <w:bookmarkStart w:id="10" w:name="_Hlk52552521"/>
      <w:r w:rsidR="000D0824">
        <w:rPr>
          <w:noProof/>
        </w:rPr>
        <w:t xml:space="preserve">recent research suggests this </w:t>
      </w:r>
      <w:r w:rsidR="003535D2" w:rsidRPr="003535D2">
        <w:rPr>
          <w:noProof/>
        </w:rPr>
        <w:t xml:space="preserve">percentage </w:t>
      </w:r>
      <w:r w:rsidR="0063016A">
        <w:rPr>
          <w:noProof/>
        </w:rPr>
        <w:t xml:space="preserve">could be </w:t>
      </w:r>
      <w:r w:rsidR="00B57E93">
        <w:rPr>
          <w:noProof/>
        </w:rPr>
        <w:t xml:space="preserve">considerably </w:t>
      </w:r>
      <w:r w:rsidR="0063016A">
        <w:rPr>
          <w:noProof/>
        </w:rPr>
        <w:t>lower depending on variation in population characteristics such as susceptibility and exposure</w:t>
      </w:r>
      <w:r w:rsidR="000D0824">
        <w:rPr>
          <w:noProof/>
        </w:rPr>
        <w:t xml:space="preserve"> [2</w:t>
      </w:r>
      <w:r w:rsidR="00000E10">
        <w:rPr>
          <w:noProof/>
        </w:rPr>
        <w:t>4</w:t>
      </w:r>
      <w:r w:rsidR="0063016A">
        <w:rPr>
          <w:noProof/>
        </w:rPr>
        <w:t>, 2</w:t>
      </w:r>
      <w:r w:rsidR="00000E10">
        <w:rPr>
          <w:noProof/>
        </w:rPr>
        <w:t>5</w:t>
      </w:r>
      <w:r w:rsidR="000D0824">
        <w:rPr>
          <w:noProof/>
        </w:rPr>
        <w:t>]</w:t>
      </w:r>
      <w:r w:rsidR="004F4E47">
        <w:rPr>
          <w:noProof/>
        </w:rPr>
        <w:t>.</w:t>
      </w:r>
      <w:bookmarkEnd w:id="10"/>
      <w:r w:rsidR="009458A1">
        <w:t xml:space="preserve"> </w:t>
      </w:r>
      <w:bookmarkEnd w:id="9"/>
      <w:r w:rsidR="005236AF" w:rsidRPr="00D76C10">
        <w:rPr>
          <w:rFonts w:ascii="Times New Roman" w:hAnsi="Times New Roman"/>
        </w:rPr>
        <w:t>Sixty-four percent</w:t>
      </w:r>
      <w:r w:rsidR="00874E27" w:rsidRPr="00D76C10">
        <w:rPr>
          <w:rFonts w:ascii="Times New Roman" w:hAnsi="Times New Roman"/>
        </w:rPr>
        <w:t xml:space="preserve"> </w:t>
      </w:r>
      <w:r w:rsidR="00874E27">
        <w:rPr>
          <w:rFonts w:ascii="Times New Roman" w:hAnsi="Times New Roman"/>
        </w:rPr>
        <w:t>of</w:t>
      </w:r>
      <w:r w:rsidR="006C4FAE">
        <w:rPr>
          <w:rFonts w:ascii="Times New Roman" w:hAnsi="Times New Roman"/>
        </w:rPr>
        <w:t xml:space="preserve"> people surveyed reported intending to be vaccinated for COVID-19 when a vaccine becomes available to them. While intention is a key driver of </w:t>
      </w:r>
      <w:r w:rsidR="003E7D1E">
        <w:rPr>
          <w:rFonts w:ascii="Times New Roman" w:hAnsi="Times New Roman"/>
        </w:rPr>
        <w:t xml:space="preserve">the </w:t>
      </w:r>
      <w:r w:rsidR="006C4FAE">
        <w:rPr>
          <w:rFonts w:ascii="Times New Roman" w:hAnsi="Times New Roman"/>
        </w:rPr>
        <w:t>uptake</w:t>
      </w:r>
      <w:r w:rsidR="00003C66">
        <w:rPr>
          <w:rFonts w:ascii="Times New Roman" w:hAnsi="Times New Roman"/>
        </w:rPr>
        <w:t xml:space="preserve"> of health behaviours</w:t>
      </w:r>
      <w:r w:rsidR="004F4E47">
        <w:rPr>
          <w:rFonts w:ascii="Times New Roman" w:hAnsi="Times New Roman"/>
        </w:rPr>
        <w:t>[</w:t>
      </w:r>
      <w:r w:rsidR="0002423C">
        <w:rPr>
          <w:rFonts w:ascii="Times New Roman" w:hAnsi="Times New Roman"/>
          <w:noProof/>
        </w:rPr>
        <w:t>6, 7</w:t>
      </w:r>
      <w:r w:rsidR="004F4E47">
        <w:rPr>
          <w:rFonts w:ascii="Times New Roman" w:hAnsi="Times New Roman"/>
          <w:noProof/>
        </w:rPr>
        <w:t>],</w:t>
      </w:r>
      <w:r w:rsidR="006C4FAE">
        <w:rPr>
          <w:rFonts w:ascii="Times New Roman" w:hAnsi="Times New Roman"/>
        </w:rPr>
        <w:t xml:space="preserve"> vaccination intention is likely to be </w:t>
      </w:r>
      <w:r w:rsidR="007D2AFC">
        <w:rPr>
          <w:rFonts w:ascii="Times New Roman" w:hAnsi="Times New Roman"/>
        </w:rPr>
        <w:t xml:space="preserve">greater </w:t>
      </w:r>
      <w:r w:rsidR="006D16C3">
        <w:rPr>
          <w:rFonts w:ascii="Times New Roman" w:hAnsi="Times New Roman"/>
        </w:rPr>
        <w:t xml:space="preserve">than </w:t>
      </w:r>
      <w:r w:rsidR="006C4FAE">
        <w:rPr>
          <w:rFonts w:ascii="Times New Roman" w:hAnsi="Times New Roman"/>
        </w:rPr>
        <w:t>actual vaccine uptake</w:t>
      </w:r>
      <w:r w:rsidR="004F4E47">
        <w:rPr>
          <w:rFonts w:ascii="Times New Roman" w:hAnsi="Times New Roman"/>
        </w:rPr>
        <w:t>[</w:t>
      </w:r>
      <w:r w:rsidR="00B55BAC">
        <w:rPr>
          <w:noProof/>
        </w:rPr>
        <w:t>2</w:t>
      </w:r>
      <w:r w:rsidR="00000E10">
        <w:rPr>
          <w:noProof/>
        </w:rPr>
        <w:t>6</w:t>
      </w:r>
      <w:r w:rsidR="004F4E47">
        <w:rPr>
          <w:noProof/>
        </w:rPr>
        <w:t>].</w:t>
      </w:r>
      <w:r w:rsidR="00874E27">
        <w:t xml:space="preserve"> </w:t>
      </w:r>
      <w:r w:rsidR="00003C66">
        <w:t>Therefore</w:t>
      </w:r>
      <w:r w:rsidR="003B07AC">
        <w:t>,</w:t>
      </w:r>
      <w:r w:rsidR="00003C66">
        <w:t xml:space="preserve"> it is important to identify factors associated with vaccination intention early on, to support </w:t>
      </w:r>
      <w:r w:rsidR="00E92F9D">
        <w:t xml:space="preserve">policy and communications when a vaccine becomes available. </w:t>
      </w:r>
      <w:r w:rsidR="004B19F6">
        <w:t>We found that</w:t>
      </w:r>
      <w:r w:rsidR="0065080A">
        <w:t xml:space="preserve">, taken together, </w:t>
      </w:r>
      <w:r w:rsidR="004B19F6">
        <w:t>p</w:t>
      </w:r>
      <w:r w:rsidR="00267B9F">
        <w:t xml:space="preserve">ersonal and clinical characteristics, previous influenza vaccination, general vaccination beliefs, and beliefs and attitudes about COVID-19 and a COVID-19 vaccination explained </w:t>
      </w:r>
      <w:r w:rsidR="00030F2D">
        <w:t>7</w:t>
      </w:r>
      <w:r w:rsidR="002B6E1B">
        <w:t>6</w:t>
      </w:r>
      <w:r w:rsidR="00030F2D">
        <w:t xml:space="preserve">% </w:t>
      </w:r>
      <w:r w:rsidR="00267B9F">
        <w:t xml:space="preserve">of the variance in </w:t>
      </w:r>
      <w:r w:rsidR="00021667">
        <w:t xml:space="preserve">vaccination </w:t>
      </w:r>
      <w:r w:rsidR="000E0C4D">
        <w:t>intention</w:t>
      </w:r>
      <w:r w:rsidR="00341F55">
        <w:t>.</w:t>
      </w:r>
    </w:p>
    <w:p w14:paraId="6DA671D0" w14:textId="025DABE1" w:rsidR="00C37E1A" w:rsidRPr="00FA6F6A" w:rsidRDefault="0065080A" w:rsidP="00B47E86">
      <w:r>
        <w:t>Importantly, we found that t</w:t>
      </w:r>
      <w:r w:rsidR="00D76C10">
        <w:t xml:space="preserve">he factor that explained the greatest proportion of the variance in vaccination intention (20%) was </w:t>
      </w:r>
      <w:r w:rsidR="00236FE4">
        <w:t xml:space="preserve">COVID-19 vaccination </w:t>
      </w:r>
      <w:r w:rsidR="00D76C10">
        <w:t>beliefs and attitudes</w:t>
      </w:r>
      <w:r w:rsidR="00236FE4">
        <w:t xml:space="preserve">. </w:t>
      </w:r>
      <w:r w:rsidR="00D76C10">
        <w:t xml:space="preserve">This factor </w:t>
      </w:r>
      <w:r w:rsidR="006C70C3">
        <w:t xml:space="preserve">encompassed </w:t>
      </w:r>
      <w:r w:rsidR="00B8418A">
        <w:t xml:space="preserve">items </w:t>
      </w:r>
      <w:r w:rsidR="009352AC">
        <w:t xml:space="preserve">measuring </w:t>
      </w:r>
      <w:r w:rsidR="003B43E4">
        <w:t xml:space="preserve">positive influence of </w:t>
      </w:r>
      <w:r w:rsidR="00884A97">
        <w:t xml:space="preserve">recommendations </w:t>
      </w:r>
      <w:r w:rsidR="00311CD6">
        <w:t xml:space="preserve">from authorities to be vaccinated, </w:t>
      </w:r>
      <w:r w:rsidR="003B43E4">
        <w:t xml:space="preserve">greater </w:t>
      </w:r>
      <w:r w:rsidR="00311CD6">
        <w:t>perceived social norms about vaccination,</w:t>
      </w:r>
      <w:r w:rsidR="003B43E4">
        <w:t xml:space="preserve"> greater</w:t>
      </w:r>
      <w:r w:rsidR="00311CD6">
        <w:t xml:space="preserve"> </w:t>
      </w:r>
      <w:r w:rsidR="00B25E65">
        <w:t xml:space="preserve">perceived effectiveness, </w:t>
      </w:r>
      <w:r w:rsidR="003B43E4">
        <w:t xml:space="preserve">greater </w:t>
      </w:r>
      <w:r w:rsidR="008703F0">
        <w:t>perceived likelihood of catching COVID-19 without a vaccine,</w:t>
      </w:r>
      <w:r w:rsidR="003B43E4">
        <w:t xml:space="preserve"> greater</w:t>
      </w:r>
      <w:r w:rsidR="008703F0">
        <w:t xml:space="preserve"> </w:t>
      </w:r>
      <w:r w:rsidR="00271FB8">
        <w:t xml:space="preserve">anticipated regret of not being vaccinated, </w:t>
      </w:r>
      <w:r w:rsidR="00381E77">
        <w:t xml:space="preserve">beliefs </w:t>
      </w:r>
      <w:r w:rsidR="003B43E4">
        <w:t>that</w:t>
      </w:r>
      <w:r w:rsidR="00381E77">
        <w:t xml:space="preserve"> COVID-19 vaccination </w:t>
      </w:r>
      <w:r w:rsidR="003B43E4">
        <w:t xml:space="preserve">should be mandatory </w:t>
      </w:r>
      <w:r w:rsidR="00381E77">
        <w:t xml:space="preserve">and </w:t>
      </w:r>
      <w:r w:rsidR="003B43E4">
        <w:t xml:space="preserve">greater </w:t>
      </w:r>
      <w:r w:rsidR="00271FB8">
        <w:t>perceived ease of vaccination</w:t>
      </w:r>
      <w:r w:rsidR="00381E77">
        <w:t>.</w:t>
      </w:r>
      <w:r w:rsidR="00EB281D">
        <w:t xml:space="preserve"> These map on to theoretical constructs of </w:t>
      </w:r>
      <w:r w:rsidR="0008241B">
        <w:t>threat appraisal, coping appraisal, subjective norms, and self-efficacy</w:t>
      </w:r>
      <w:r w:rsidR="005302DB">
        <w:t xml:space="preserve"> outlined by theories of uptake </w:t>
      </w:r>
      <w:r>
        <w:t xml:space="preserve">of </w:t>
      </w:r>
      <w:r w:rsidR="005302DB">
        <w:t>health behaviours</w:t>
      </w:r>
      <w:r w:rsidR="004F4E47">
        <w:t>[</w:t>
      </w:r>
      <w:r w:rsidR="0002423C">
        <w:rPr>
          <w:noProof/>
        </w:rPr>
        <w:t>5-7</w:t>
      </w:r>
      <w:r w:rsidR="004F4E47">
        <w:rPr>
          <w:noProof/>
        </w:rPr>
        <w:t>],</w:t>
      </w:r>
      <w:r w:rsidR="00FF2C08">
        <w:t xml:space="preserve"> </w:t>
      </w:r>
      <w:r w:rsidR="008F510D">
        <w:t xml:space="preserve">which were </w:t>
      </w:r>
      <w:r w:rsidR="00312F57">
        <w:t xml:space="preserve">also </w:t>
      </w:r>
      <w:r w:rsidR="008F510D">
        <w:t xml:space="preserve">associated with uptake of vaccination during the </w:t>
      </w:r>
      <w:r w:rsidR="00FF2C08">
        <w:t>H1N1 influenza pandemic</w:t>
      </w:r>
      <w:r w:rsidR="004F4E47">
        <w:t>[</w:t>
      </w:r>
      <w:r w:rsidR="0002423C">
        <w:rPr>
          <w:noProof/>
        </w:rPr>
        <w:t>10</w:t>
      </w:r>
      <w:r w:rsidR="004F4E47">
        <w:rPr>
          <w:noProof/>
        </w:rPr>
        <w:t>].</w:t>
      </w:r>
      <w:r w:rsidR="00973A72">
        <w:t xml:space="preserve"> </w:t>
      </w:r>
      <w:r w:rsidR="000E171F">
        <w:t xml:space="preserve">Earlier </w:t>
      </w:r>
      <w:r w:rsidR="00C71C48">
        <w:t xml:space="preserve">research investigating COVID-19 vaccine willingness in the UK found no association with perceived likelihood of catching COVID-19, trust in authorities, </w:t>
      </w:r>
      <w:r>
        <w:t>or</w:t>
      </w:r>
      <w:r w:rsidR="00C71C48">
        <w:t xml:space="preserve"> clarity of information about the virus</w:t>
      </w:r>
      <w:r w:rsidR="004F4E47">
        <w:t>[</w:t>
      </w:r>
      <w:r w:rsidR="002257D3">
        <w:rPr>
          <w:noProof/>
        </w:rPr>
        <w:t>1</w:t>
      </w:r>
      <w:r w:rsidR="00000E10">
        <w:rPr>
          <w:noProof/>
        </w:rPr>
        <w:t>3</w:t>
      </w:r>
      <w:r w:rsidR="004F4E47">
        <w:rPr>
          <w:noProof/>
        </w:rPr>
        <w:t>].</w:t>
      </w:r>
      <w:r w:rsidR="00C71C48">
        <w:t xml:space="preserve"> However, th</w:t>
      </w:r>
      <w:r w:rsidR="000E171F">
        <w:t>o</w:t>
      </w:r>
      <w:r w:rsidR="00C71C48">
        <w:t xml:space="preserve">se </w:t>
      </w:r>
      <w:r>
        <w:t xml:space="preserve">earlier </w:t>
      </w:r>
      <w:r w:rsidR="00C71C48">
        <w:t xml:space="preserve">results should be </w:t>
      </w:r>
      <w:r w:rsidR="003B07AC">
        <w:t xml:space="preserve">interpreted </w:t>
      </w:r>
      <w:r w:rsidR="00C71C48">
        <w:t xml:space="preserve">with caution as analyses did not control for personal or clinical characteristics and data were collected early in the pandemic. </w:t>
      </w:r>
      <w:r w:rsidR="00C71C48" w:rsidRPr="004059FA">
        <w:t>Our results</w:t>
      </w:r>
      <w:r w:rsidR="00F32BE7" w:rsidRPr="004059FA">
        <w:t xml:space="preserve"> suggest that people may hold general positive or negative beliefs and attitude</w:t>
      </w:r>
      <w:r w:rsidR="003B07AC" w:rsidRPr="004059FA">
        <w:t>s</w:t>
      </w:r>
      <w:r w:rsidR="00F32BE7" w:rsidRPr="004059FA">
        <w:t xml:space="preserve"> towards the vaccination and this general sense is driving vaccination intention</w:t>
      </w:r>
      <w:r w:rsidRPr="004059FA">
        <w:t xml:space="preserve"> at this point</w:t>
      </w:r>
      <w:r w:rsidR="00F32BE7" w:rsidRPr="004059FA">
        <w:t xml:space="preserve">. While a COVID-19 vaccination has so far </w:t>
      </w:r>
      <w:r w:rsidR="004059FA">
        <w:t xml:space="preserve">generally </w:t>
      </w:r>
      <w:r w:rsidR="00F32BE7" w:rsidRPr="004059FA">
        <w:t xml:space="preserve">been positively framed in the media, as more information – and misinformation – about the vaccine comes to light, </w:t>
      </w:r>
      <w:r w:rsidR="00C71C48" w:rsidRPr="004059FA">
        <w:t xml:space="preserve">there is the potential for </w:t>
      </w:r>
      <w:r w:rsidR="00F32BE7" w:rsidRPr="004059FA">
        <w:t xml:space="preserve">this general positive sentiment </w:t>
      </w:r>
      <w:r w:rsidR="00C71C48" w:rsidRPr="004059FA">
        <w:t xml:space="preserve">to be eroded, negatively </w:t>
      </w:r>
      <w:r w:rsidR="003B07AC" w:rsidRPr="004059FA">
        <w:t xml:space="preserve">influencing </w:t>
      </w:r>
      <w:r w:rsidR="00C71C48" w:rsidRPr="004059FA">
        <w:t>vaccination intention and uptake.</w:t>
      </w:r>
      <w:r w:rsidR="004059FA">
        <w:t xml:space="preserve"> </w:t>
      </w:r>
      <w:r w:rsidR="003535D2" w:rsidRPr="003535D2">
        <w:t xml:space="preserve">Since our survey was conducted, the UK trial of a coronavirus vaccine by the University of Oxford and AstraZeneca was halted for a week in September 2020 following the adverse reaction of a patient [27]. It is unclear what impact, if any, this might have on vaccination </w:t>
      </w:r>
      <w:r w:rsidR="003535D2" w:rsidRPr="003535D2">
        <w:lastRenderedPageBreak/>
        <w:t>intentions and how long any impact might last. Regular and longitudinal assessments such as the one we report here can help clarify such impacts.</w:t>
      </w:r>
    </w:p>
    <w:p w14:paraId="62FBEFC8" w14:textId="5E978A36" w:rsidR="00C24466" w:rsidRDefault="00A853B0" w:rsidP="00A853B0">
      <w:r>
        <w:t xml:space="preserve">Details around COVID-19 vaccination remain uncertain until a vaccine has been </w:t>
      </w:r>
      <w:proofErr w:type="gramStart"/>
      <w:r>
        <w:t>developed, but</w:t>
      </w:r>
      <w:proofErr w:type="gramEnd"/>
      <w:r>
        <w:t xml:space="preserve"> will become clearer as more information is available regarding vaccine composition (immunogenicity and safety), and immunity after having contracted COVID-19</w:t>
      </w:r>
      <w:r w:rsidR="0002423C">
        <w:t xml:space="preserve"> </w:t>
      </w:r>
      <w:r w:rsidR="0002423C">
        <w:rPr>
          <w:noProof/>
        </w:rPr>
        <w:t>[</w:t>
      </w:r>
      <w:r>
        <w:rPr>
          <w:noProof/>
        </w:rPr>
        <w:t>1</w:t>
      </w:r>
      <w:r w:rsidR="00000E10">
        <w:rPr>
          <w:noProof/>
        </w:rPr>
        <w:t>5</w:t>
      </w:r>
      <w:r w:rsidR="0002423C">
        <w:rPr>
          <w:noProof/>
        </w:rPr>
        <w:t>].</w:t>
      </w:r>
      <w:r>
        <w:t xml:space="preserve"> We found that vaccination intention was associated with greater perceived information sufficiency about COVID-19 and a COVID-19 vaccination. In the case of COVID-19</w:t>
      </w:r>
      <w:r w:rsidR="00C24466">
        <w:t xml:space="preserve">, </w:t>
      </w:r>
      <w:r w:rsidR="001469F3">
        <w:t xml:space="preserve">a perception of </w:t>
      </w:r>
      <w:proofErr w:type="gramStart"/>
      <w:r w:rsidR="001469F3">
        <w:t>sufficient</w:t>
      </w:r>
      <w:proofErr w:type="gramEnd"/>
      <w:r w:rsidR="001469F3">
        <w:t xml:space="preserve"> </w:t>
      </w:r>
      <w:r w:rsidR="00C24466">
        <w:t xml:space="preserve">information about the vaccination is interesting as </w:t>
      </w:r>
      <w:r w:rsidR="00461BE1">
        <w:t xml:space="preserve">there is </w:t>
      </w:r>
      <w:r w:rsidR="00D07ECE">
        <w:t xml:space="preserve">currently </w:t>
      </w:r>
      <w:r w:rsidR="00461BE1">
        <w:t xml:space="preserve">little </w:t>
      </w:r>
      <w:r w:rsidR="00B2026D">
        <w:t xml:space="preserve">such </w:t>
      </w:r>
      <w:r w:rsidR="00461BE1">
        <w:t xml:space="preserve">information available. What information there is comes from results of vaccine trials </w:t>
      </w:r>
      <w:r w:rsidR="001469F3">
        <w:t xml:space="preserve">that </w:t>
      </w:r>
      <w:r w:rsidR="00461BE1">
        <w:t xml:space="preserve">were still underway at the time of data collection. These results may therefore reflect participants’ general vaccine beliefs and attitudes. </w:t>
      </w:r>
    </w:p>
    <w:p w14:paraId="68890C9F" w14:textId="15E55EF9" w:rsidR="002E78E3" w:rsidRDefault="00F32BE7" w:rsidP="00B47E86">
      <w:r>
        <w:t xml:space="preserve">In </w:t>
      </w:r>
      <w:r w:rsidR="000E171F">
        <w:t>contrast</w:t>
      </w:r>
      <w:r w:rsidR="007209E0">
        <w:t xml:space="preserve"> to </w:t>
      </w:r>
      <w:r>
        <w:t>previous research</w:t>
      </w:r>
      <w:r w:rsidR="004F4E47">
        <w:t>[</w:t>
      </w:r>
      <w:r w:rsidR="0002423C">
        <w:rPr>
          <w:noProof/>
        </w:rPr>
        <w:t>10</w:t>
      </w:r>
      <w:r w:rsidR="004F4E47">
        <w:rPr>
          <w:noProof/>
        </w:rPr>
        <w:t>],</w:t>
      </w:r>
      <w:r>
        <w:t xml:space="preserve"> </w:t>
      </w:r>
      <w:r w:rsidR="007209E0">
        <w:t xml:space="preserve">we found no evidence </w:t>
      </w:r>
      <w:r w:rsidR="004677AC">
        <w:t xml:space="preserve">of </w:t>
      </w:r>
      <w:r w:rsidR="007209E0">
        <w:t xml:space="preserve">an association between </w:t>
      </w:r>
      <w:r>
        <w:t>g</w:t>
      </w:r>
      <w:r w:rsidR="00220485">
        <w:t>reater perceived risk of COVID-19 to oneself</w:t>
      </w:r>
      <w:r w:rsidR="007209E0">
        <w:t xml:space="preserve"> and vaccin</w:t>
      </w:r>
      <w:r w:rsidR="00D07ECE">
        <w:t>ation</w:t>
      </w:r>
      <w:r w:rsidR="007209E0">
        <w:t xml:space="preserve"> intention. However, greater perceived risk to others </w:t>
      </w:r>
      <w:r w:rsidR="00220485">
        <w:t xml:space="preserve">was associated with vaccination intention in </w:t>
      </w:r>
      <w:r w:rsidR="00FA1ECC">
        <w:t>our</w:t>
      </w:r>
      <w:r w:rsidR="00220485">
        <w:t xml:space="preserve"> study. </w:t>
      </w:r>
      <w:r w:rsidR="007209E0">
        <w:t xml:space="preserve">This suggests that </w:t>
      </w:r>
      <w:r w:rsidR="00CD2D24">
        <w:t xml:space="preserve">vaccination campaigns and messaging highlighting the need for vaccination </w:t>
      </w:r>
      <w:r w:rsidR="00D07ECE">
        <w:t xml:space="preserve">for altruistic reasons (i.e. </w:t>
      </w:r>
      <w:r w:rsidR="00CD2D24">
        <w:t>to protect others</w:t>
      </w:r>
      <w:r w:rsidR="00D07ECE">
        <w:t>)</w:t>
      </w:r>
      <w:r w:rsidR="00CD2D24">
        <w:t xml:space="preserve"> might be particularly effective. </w:t>
      </w:r>
      <w:r w:rsidR="00220485">
        <w:t>We also found that c</w:t>
      </w:r>
      <w:r w:rsidR="00697762">
        <w:t xml:space="preserve">oncerns about adverse effects </w:t>
      </w:r>
      <w:r w:rsidR="00C6247A">
        <w:t xml:space="preserve">and </w:t>
      </w:r>
      <w:r w:rsidR="00F85BEE">
        <w:t>vaccine novelty were associated with vaccination</w:t>
      </w:r>
      <w:r w:rsidR="007A09B9">
        <w:t xml:space="preserve"> intention. </w:t>
      </w:r>
      <w:r w:rsidR="005013DD">
        <w:t xml:space="preserve">As novel </w:t>
      </w:r>
      <w:r w:rsidR="002E02BD">
        <w:t>threats</w:t>
      </w:r>
      <w:r w:rsidR="005013DD">
        <w:t xml:space="preserve"> are perceived as inherently </w:t>
      </w:r>
      <w:proofErr w:type="gramStart"/>
      <w:r w:rsidR="005013DD">
        <w:t>more risky</w:t>
      </w:r>
      <w:proofErr w:type="gramEnd"/>
      <w:r w:rsidR="004F4E47">
        <w:t>[</w:t>
      </w:r>
      <w:r w:rsidR="00B55BAC">
        <w:rPr>
          <w:noProof/>
        </w:rPr>
        <w:t>2</w:t>
      </w:r>
      <w:r w:rsidR="00000E10">
        <w:rPr>
          <w:noProof/>
        </w:rPr>
        <w:t>8</w:t>
      </w:r>
      <w:r w:rsidR="004F4E47">
        <w:rPr>
          <w:noProof/>
        </w:rPr>
        <w:t>],</w:t>
      </w:r>
      <w:r w:rsidR="005013DD">
        <w:t xml:space="preserve"> </w:t>
      </w:r>
      <w:r w:rsidR="00765776">
        <w:t>and perceiving adverse effects is consistently associated with vaccination refusal</w:t>
      </w:r>
      <w:r w:rsidR="004F4E47">
        <w:t>[</w:t>
      </w:r>
      <w:r w:rsidR="0002423C">
        <w:rPr>
          <w:noProof/>
        </w:rPr>
        <w:t>9, 10</w:t>
      </w:r>
      <w:r w:rsidR="004F4E47">
        <w:rPr>
          <w:noProof/>
        </w:rPr>
        <w:t>],</w:t>
      </w:r>
      <w:r w:rsidR="00765776">
        <w:t xml:space="preserve"> this is unsurprising. </w:t>
      </w:r>
    </w:p>
    <w:p w14:paraId="36C5126E" w14:textId="1B794309" w:rsidR="00F9279C" w:rsidRDefault="00AC4585" w:rsidP="00B47E86">
      <w:r>
        <w:t>Eligibility criteria</w:t>
      </w:r>
      <w:r w:rsidR="000C7B40">
        <w:t xml:space="preserve"> for a COVID-19 vaccination are not yet clear. </w:t>
      </w:r>
      <w:r w:rsidR="0080414D">
        <w:t>Initial guidance from the Joint Committee on Vaccination and Immunisation suggests that vaccination should be prioriti</w:t>
      </w:r>
      <w:r w:rsidR="004677AC">
        <w:t>z</w:t>
      </w:r>
      <w:r w:rsidR="0080414D">
        <w:t>ed among frontline health and social care workers and those at increased risk of critical illness or death from COVID-19</w:t>
      </w:r>
      <w:r w:rsidR="004F4E47">
        <w:t>[</w:t>
      </w:r>
      <w:r w:rsidR="00494390">
        <w:rPr>
          <w:noProof/>
        </w:rPr>
        <w:t>1</w:t>
      </w:r>
      <w:r w:rsidR="00BC20ED">
        <w:rPr>
          <w:noProof/>
        </w:rPr>
        <w:t>5</w:t>
      </w:r>
      <w:r w:rsidR="004F4E47">
        <w:rPr>
          <w:noProof/>
        </w:rPr>
        <w:t>].</w:t>
      </w:r>
      <w:r w:rsidR="0080414D">
        <w:t xml:space="preserve"> We found no evidence </w:t>
      </w:r>
      <w:r w:rsidR="004677AC">
        <w:t xml:space="preserve">of </w:t>
      </w:r>
      <w:r w:rsidR="0080414D">
        <w:t>a</w:t>
      </w:r>
      <w:r w:rsidR="00C94083">
        <w:t xml:space="preserve">n association between </w:t>
      </w:r>
      <w:r w:rsidR="00A33D88">
        <w:t>clinical vulnerability</w:t>
      </w:r>
      <w:r w:rsidR="00C94083">
        <w:t xml:space="preserve"> to COVID-19</w:t>
      </w:r>
      <w:r w:rsidR="00A33D88">
        <w:t xml:space="preserve"> and vaccination intention. However, vaccination intention was lower in those who thought that only those who are at risk of serious illness need to be vaccinated. This may be because </w:t>
      </w:r>
      <w:r w:rsidR="004567B5">
        <w:t>most of</w:t>
      </w:r>
      <w:r w:rsidR="00A33D88">
        <w:t xml:space="preserve"> the sample did not think that they were </w:t>
      </w:r>
      <w:r w:rsidR="004567B5">
        <w:t xml:space="preserve">at increased clinical risk of COVID-19. </w:t>
      </w:r>
      <w:r w:rsidR="00F12F8E">
        <w:t xml:space="preserve">Our finding that thinking that </w:t>
      </w:r>
      <w:r w:rsidR="00D07ECE">
        <w:t xml:space="preserve">one has </w:t>
      </w:r>
      <w:r w:rsidR="00F12F8E">
        <w:t xml:space="preserve">had COVID-19 </w:t>
      </w:r>
      <w:r w:rsidR="00C65B31">
        <w:t xml:space="preserve">was not associated with vaccination intention </w:t>
      </w:r>
      <w:r w:rsidR="00F12F8E">
        <w:t>is reassuring</w:t>
      </w:r>
      <w:r w:rsidR="00C65B31">
        <w:t>.</w:t>
      </w:r>
    </w:p>
    <w:p w14:paraId="0DF2D393" w14:textId="57478201" w:rsidR="005923F6" w:rsidRDefault="00DB5D81" w:rsidP="006F0743">
      <w:r>
        <w:rPr>
          <w:rFonts w:ascii="Times New Roman" w:hAnsi="Times New Roman"/>
        </w:rPr>
        <w:t xml:space="preserve">With some evidence suggesting that </w:t>
      </w:r>
      <w:r w:rsidR="00C331A8">
        <w:rPr>
          <w:rFonts w:ascii="Times New Roman" w:hAnsi="Times New Roman"/>
        </w:rPr>
        <w:t xml:space="preserve">repeated </w:t>
      </w:r>
      <w:r>
        <w:rPr>
          <w:rFonts w:ascii="Times New Roman" w:hAnsi="Times New Roman"/>
        </w:rPr>
        <w:t>vaccination for COVID-19 may be necessary</w:t>
      </w:r>
      <w:r w:rsidR="004F4E47">
        <w:rPr>
          <w:rFonts w:ascii="Times New Roman" w:hAnsi="Times New Roman"/>
        </w:rPr>
        <w:t>[</w:t>
      </w:r>
      <w:r w:rsidR="00B55BAC">
        <w:rPr>
          <w:rFonts w:ascii="Times New Roman" w:hAnsi="Times New Roman"/>
          <w:noProof/>
        </w:rPr>
        <w:t>2</w:t>
      </w:r>
      <w:r w:rsidR="00BC20ED">
        <w:rPr>
          <w:rFonts w:ascii="Times New Roman" w:hAnsi="Times New Roman"/>
          <w:noProof/>
        </w:rPr>
        <w:t>3</w:t>
      </w:r>
      <w:r w:rsidR="004F4E47">
        <w:rPr>
          <w:rFonts w:ascii="Times New Roman" w:hAnsi="Times New Roman"/>
          <w:noProof/>
        </w:rPr>
        <w:t>],</w:t>
      </w:r>
      <w:r>
        <w:rPr>
          <w:rFonts w:ascii="Times New Roman" w:hAnsi="Times New Roman"/>
        </w:rPr>
        <w:t xml:space="preserve"> parallels with seasonal influenza vaccination can be drawn and lessons learned to promote vaccination uptake. </w:t>
      </w:r>
      <w:r w:rsidR="005523F5">
        <w:t xml:space="preserve">Populations at greater clinical risk of serious illness from COVID-19 are </w:t>
      </w:r>
      <w:r>
        <w:t xml:space="preserve">also </w:t>
      </w:r>
      <w:proofErr w:type="gramStart"/>
      <w:r w:rsidR="005523F5">
        <w:t>similar to</w:t>
      </w:r>
      <w:proofErr w:type="gramEnd"/>
      <w:r w:rsidR="005523F5">
        <w:t xml:space="preserve"> those at</w:t>
      </w:r>
      <w:r w:rsidR="00B2026D">
        <w:t xml:space="preserve"> </w:t>
      </w:r>
      <w:r w:rsidR="005523F5">
        <w:t>risk of serious illness from influenza</w:t>
      </w:r>
      <w:r w:rsidR="00F26A11">
        <w:t xml:space="preserve">, and target </w:t>
      </w:r>
      <w:r w:rsidR="00F26A11">
        <w:lastRenderedPageBreak/>
        <w:t xml:space="preserve">populations for vaccines are likely to be similar. </w:t>
      </w:r>
      <w:r w:rsidR="00D158F5">
        <w:t>W</w:t>
      </w:r>
      <w:r w:rsidR="00F26A11">
        <w:t>e found that seasonal influenza vaccination</w:t>
      </w:r>
      <w:r w:rsidR="00715DA2">
        <w:t xml:space="preserve"> was </w:t>
      </w:r>
      <w:r w:rsidR="00067E04">
        <w:t>strongly associated with COVID-19 vaccination intention.</w:t>
      </w:r>
      <w:r w:rsidR="00F317B7" w:rsidRPr="00F317B7">
        <w:rPr>
          <w:rFonts w:ascii="Times New Roman" w:hAnsi="Times New Roman"/>
        </w:rPr>
        <w:t xml:space="preserve"> </w:t>
      </w:r>
      <w:bookmarkStart w:id="11" w:name="_Hlk52552881"/>
      <w:r w:rsidR="002C318D">
        <w:rPr>
          <w:rFonts w:ascii="Times New Roman" w:hAnsi="Times New Roman"/>
        </w:rPr>
        <w:t>T</w:t>
      </w:r>
      <w:r w:rsidR="000F4AC3">
        <w:rPr>
          <w:rFonts w:ascii="Times New Roman" w:hAnsi="Times New Roman"/>
        </w:rPr>
        <w:t>aken together</w:t>
      </w:r>
      <w:r w:rsidR="002C318D">
        <w:rPr>
          <w:rFonts w:ascii="Times New Roman" w:hAnsi="Times New Roman"/>
        </w:rPr>
        <w:t xml:space="preserve">, these factors </w:t>
      </w:r>
      <w:r w:rsidR="000F4AC3">
        <w:rPr>
          <w:rFonts w:ascii="Times New Roman" w:hAnsi="Times New Roman"/>
        </w:rPr>
        <w:t>may suggest that in future years, co-administration of the seasonal influenza and COVID</w:t>
      </w:r>
      <w:r w:rsidR="003535D2" w:rsidRPr="003535D2">
        <w:rPr>
          <w:rFonts w:ascii="Times New Roman" w:hAnsi="Times New Roman"/>
        </w:rPr>
        <w:t xml:space="preserve">-19 </w:t>
      </w:r>
      <w:r w:rsidR="000F4AC3">
        <w:rPr>
          <w:rFonts w:ascii="Times New Roman" w:hAnsi="Times New Roman"/>
        </w:rPr>
        <w:t xml:space="preserve">vaccines could be considered. </w:t>
      </w:r>
      <w:bookmarkEnd w:id="11"/>
      <w:r w:rsidR="000F4AC3">
        <w:rPr>
          <w:rFonts w:ascii="Times New Roman" w:hAnsi="Times New Roman"/>
        </w:rPr>
        <w:t xml:space="preserve">In the meantime, with </w:t>
      </w:r>
      <w:r w:rsidR="005923F6">
        <w:rPr>
          <w:rFonts w:ascii="Times New Roman" w:hAnsi="Times New Roman"/>
        </w:rPr>
        <w:t xml:space="preserve">the 2020/21 </w:t>
      </w:r>
      <w:r w:rsidR="00F317B7">
        <w:rPr>
          <w:rFonts w:ascii="Times New Roman" w:hAnsi="Times New Roman"/>
        </w:rPr>
        <w:t>influenza season</w:t>
      </w:r>
      <w:r w:rsidR="005923F6" w:rsidRPr="005923F6">
        <w:rPr>
          <w:rFonts w:ascii="Times New Roman" w:hAnsi="Times New Roman"/>
        </w:rPr>
        <w:t xml:space="preserve"> </w:t>
      </w:r>
      <w:r w:rsidR="005923F6">
        <w:rPr>
          <w:rFonts w:ascii="Times New Roman" w:hAnsi="Times New Roman"/>
        </w:rPr>
        <w:t>fast approaching in the UK</w:t>
      </w:r>
      <w:r w:rsidR="00F75A47">
        <w:rPr>
          <w:rFonts w:ascii="Times New Roman" w:hAnsi="Times New Roman"/>
        </w:rPr>
        <w:t xml:space="preserve"> at the time of writing</w:t>
      </w:r>
      <w:r w:rsidR="00F317B7">
        <w:rPr>
          <w:rFonts w:ascii="Times New Roman" w:hAnsi="Times New Roman"/>
        </w:rPr>
        <w:t xml:space="preserve">, and </w:t>
      </w:r>
      <w:r w:rsidR="004677AC">
        <w:rPr>
          <w:rFonts w:ascii="Times New Roman" w:hAnsi="Times New Roman"/>
        </w:rPr>
        <w:t xml:space="preserve">an </w:t>
      </w:r>
      <w:r w:rsidR="00F317B7">
        <w:t>increasing strain that concurrent circulation of seasonal influenza and COVID-19 will put on healthcare services</w:t>
      </w:r>
      <w:r w:rsidR="004F4E47">
        <w:t>[</w:t>
      </w:r>
      <w:r w:rsidR="00B55BAC">
        <w:rPr>
          <w:noProof/>
        </w:rPr>
        <w:t>2</w:t>
      </w:r>
      <w:r w:rsidR="00BC20ED">
        <w:rPr>
          <w:noProof/>
        </w:rPr>
        <w:t>9</w:t>
      </w:r>
      <w:r w:rsidR="004F4E47">
        <w:rPr>
          <w:noProof/>
        </w:rPr>
        <w:t>],</w:t>
      </w:r>
      <w:r w:rsidR="00F317B7">
        <w:t xml:space="preserve"> </w:t>
      </w:r>
      <w:r w:rsidR="005923F6">
        <w:t xml:space="preserve">it is crucial that uptake of </w:t>
      </w:r>
      <w:r w:rsidR="009C7427">
        <w:t>the seasonal influenza vaccine increases</w:t>
      </w:r>
      <w:r w:rsidR="00194FFA">
        <w:t xml:space="preserve"> compared to uptake in 2019/20 (</w:t>
      </w:r>
      <w:r w:rsidR="00361A1E">
        <w:t>England: 72% in 65+ year olds, 45% in a clinical risk category</w:t>
      </w:r>
      <w:r w:rsidR="006C0457">
        <w:t>; 44% in pregnant women</w:t>
      </w:r>
      <w:r w:rsidR="008B3110">
        <w:t xml:space="preserve">; and 44% in pre-school children and </w:t>
      </w:r>
      <w:r w:rsidR="00092128">
        <w:t>60% in school-aged children</w:t>
      </w:r>
      <w:r w:rsidR="006C0457">
        <w:t xml:space="preserve"> </w:t>
      </w:r>
      <w:r w:rsidR="004F4E47">
        <w:t>[</w:t>
      </w:r>
      <w:r w:rsidR="00BC20ED">
        <w:rPr>
          <w:noProof/>
        </w:rPr>
        <w:t>30</w:t>
      </w:r>
      <w:r w:rsidR="004F4E47">
        <w:rPr>
          <w:noProof/>
        </w:rPr>
        <w:t>]</w:t>
      </w:r>
      <w:r w:rsidR="006C0457">
        <w:t>)</w:t>
      </w:r>
      <w:r w:rsidR="006852E0">
        <w:t>.</w:t>
      </w:r>
    </w:p>
    <w:p w14:paraId="68CFB098" w14:textId="2827AD1D" w:rsidR="00BD77A5" w:rsidRDefault="00504882" w:rsidP="006F0743">
      <w:r>
        <w:t>Given the</w:t>
      </w:r>
      <w:r w:rsidR="00307E37">
        <w:t xml:space="preserve"> prominence of COVID-19 in the media, c</w:t>
      </w:r>
      <w:r w:rsidR="002D4604">
        <w:t xml:space="preserve">ontextual </w:t>
      </w:r>
      <w:r>
        <w:t>factors</w:t>
      </w:r>
      <w:r w:rsidR="00307E37">
        <w:t xml:space="preserve"> are likely to be strongly influential in vaccination uptake</w:t>
      </w:r>
      <w:r w:rsidR="004F4E47">
        <w:t>[</w:t>
      </w:r>
      <w:r w:rsidR="0002423C">
        <w:rPr>
          <w:noProof/>
        </w:rPr>
        <w:t>8</w:t>
      </w:r>
      <w:r w:rsidR="004F4E47">
        <w:rPr>
          <w:noProof/>
        </w:rPr>
        <w:t>],</w:t>
      </w:r>
      <w:r w:rsidR="004E5333">
        <w:t xml:space="preserve"> with v</w:t>
      </w:r>
      <w:r w:rsidR="00F366A5">
        <w:t>accine sentiments likely reflect</w:t>
      </w:r>
      <w:r w:rsidR="004E5333">
        <w:t>ing</w:t>
      </w:r>
      <w:r w:rsidR="00F366A5">
        <w:t xml:space="preserve"> </w:t>
      </w:r>
      <w:r w:rsidR="003153A3">
        <w:t xml:space="preserve">the media discourse. </w:t>
      </w:r>
      <w:r w:rsidR="008B2A68">
        <w:t xml:space="preserve">However, there was no evidence for an association between beliefs about a return to </w:t>
      </w:r>
      <w:r w:rsidR="001D48CD">
        <w:t>‘</w:t>
      </w:r>
      <w:r w:rsidR="008B2A68">
        <w:t>normal</w:t>
      </w:r>
      <w:r w:rsidR="001D48CD">
        <w:t>’</w:t>
      </w:r>
      <w:r w:rsidR="008B2A68">
        <w:t xml:space="preserve"> and COVID-19 vaccination intention using our stringent criteria for statistical significance (</w:t>
      </w:r>
      <w:r w:rsidR="008B2A68" w:rsidRPr="004E5333">
        <w:rPr>
          <w:i/>
          <w:iCs/>
        </w:rPr>
        <w:t>p</w:t>
      </w:r>
      <w:r w:rsidR="008B2A68">
        <w:rPr>
          <w:rFonts w:cs="Times"/>
        </w:rPr>
        <w:t>≤</w:t>
      </w:r>
      <w:r w:rsidR="008B2A68">
        <w:t xml:space="preserve">.01). This may be due to the continuing uncertainties surrounding a COVID-19 vaccination. </w:t>
      </w:r>
      <w:r w:rsidR="00256921">
        <w:t>Given the potential for sensationali</w:t>
      </w:r>
      <w:r w:rsidR="004677AC">
        <w:t>z</w:t>
      </w:r>
      <w:r w:rsidR="00256921">
        <w:t>ed stories to increase perceptions of the likelihood and severity of adverse effects</w:t>
      </w:r>
      <w:r w:rsidR="00F366A5">
        <w:t xml:space="preserve">, </w:t>
      </w:r>
      <w:r w:rsidR="00256921">
        <w:t>decrease vaccine uptake</w:t>
      </w:r>
      <w:r w:rsidR="00F366A5">
        <w:t xml:space="preserve">, and in some cases lead to </w:t>
      </w:r>
      <w:r w:rsidR="00CC29FD">
        <w:t>political responses including the suspension of vaccination programmes</w:t>
      </w:r>
      <w:r w:rsidR="004F4E47">
        <w:t>[</w:t>
      </w:r>
      <w:r w:rsidR="00BC20ED">
        <w:rPr>
          <w:noProof/>
        </w:rPr>
        <w:t>31</w:t>
      </w:r>
      <w:r w:rsidR="004F4E47">
        <w:rPr>
          <w:noProof/>
        </w:rPr>
        <w:t>],</w:t>
      </w:r>
      <w:r w:rsidR="00256921">
        <w:t xml:space="preserve"> it is important that w</w:t>
      </w:r>
      <w:r w:rsidR="00D30288">
        <w:t>hen more information about a vaccine becomes available</w:t>
      </w:r>
      <w:r w:rsidR="00256921">
        <w:t xml:space="preserve">, </w:t>
      </w:r>
      <w:r w:rsidR="00EA1CF5">
        <w:t>a clear factual account is portrayed</w:t>
      </w:r>
      <w:r w:rsidR="00977C8B">
        <w:t xml:space="preserve"> in the media</w:t>
      </w:r>
      <w:r w:rsidR="00256921">
        <w:t>.</w:t>
      </w:r>
      <w:r w:rsidR="00CC29FD">
        <w:t xml:space="preserve"> It remains to be seen how this </w:t>
      </w:r>
      <w:r w:rsidR="00DC3536">
        <w:t>might be</w:t>
      </w:r>
      <w:r w:rsidR="00D07ECE">
        <w:t xml:space="preserve"> implemented </w:t>
      </w:r>
      <w:r w:rsidR="00CC29FD">
        <w:t xml:space="preserve">in practice. </w:t>
      </w:r>
      <w:r w:rsidR="00977C8B">
        <w:t xml:space="preserve"> </w:t>
      </w:r>
    </w:p>
    <w:p w14:paraId="75E5CF9C" w14:textId="1528E889" w:rsidR="008E54D9" w:rsidRDefault="000D0606" w:rsidP="006F0743">
      <w:r>
        <w:t xml:space="preserve">In </w:t>
      </w:r>
      <w:r w:rsidR="00134A21">
        <w:t>line with other research conducted on COVID-19 vaccine willingness in the UK</w:t>
      </w:r>
      <w:r w:rsidR="004F4E47">
        <w:t>[</w:t>
      </w:r>
      <w:r w:rsidR="002257D3">
        <w:rPr>
          <w:noProof/>
        </w:rPr>
        <w:t>1</w:t>
      </w:r>
      <w:r w:rsidR="00BC20ED">
        <w:rPr>
          <w:noProof/>
        </w:rPr>
        <w:t>4</w:t>
      </w:r>
      <w:r w:rsidR="004F4E47">
        <w:rPr>
          <w:noProof/>
        </w:rPr>
        <w:t>],</w:t>
      </w:r>
      <w:r w:rsidR="00134A21">
        <w:t xml:space="preserve"> we found that older age was associated with greater </w:t>
      </w:r>
      <w:r w:rsidR="00DC3536">
        <w:t xml:space="preserve">intention to be </w:t>
      </w:r>
      <w:r w:rsidR="00134A21">
        <w:t>vaccinat</w:t>
      </w:r>
      <w:r w:rsidR="00DC3536">
        <w:t>ed</w:t>
      </w:r>
      <w:r w:rsidR="00134A21">
        <w:t xml:space="preserve">. </w:t>
      </w:r>
      <w:r w:rsidR="000E742E">
        <w:t xml:space="preserve">This finding may reflect </w:t>
      </w:r>
      <w:r w:rsidR="00D07ECE">
        <w:t xml:space="preserve">the related </w:t>
      </w:r>
      <w:r w:rsidR="00EB3563">
        <w:t>increased uptake of seasonal influenza vaccination in older age groups.</w:t>
      </w:r>
      <w:r w:rsidR="000458AB">
        <w:t xml:space="preserve"> </w:t>
      </w:r>
      <w:bookmarkStart w:id="12" w:name="_Hlk52550833"/>
      <w:r w:rsidR="000458AB">
        <w:t>It may also reflect the well-publici</w:t>
      </w:r>
      <w:r w:rsidR="00B2026D">
        <w:t>z</w:t>
      </w:r>
      <w:r w:rsidR="000458AB">
        <w:t xml:space="preserve">ed increased risk of </w:t>
      </w:r>
      <w:r w:rsidR="000458AB" w:rsidRPr="000458AB">
        <w:t xml:space="preserve">COVID-19-associated morbidity </w:t>
      </w:r>
      <w:r w:rsidR="000458AB">
        <w:t>and</w:t>
      </w:r>
      <w:r w:rsidR="000458AB" w:rsidRPr="000458AB">
        <w:t xml:space="preserve"> mortality</w:t>
      </w:r>
      <w:r w:rsidR="000458AB">
        <w:t xml:space="preserve"> [</w:t>
      </w:r>
      <w:r w:rsidR="00F970A1">
        <w:t>3</w:t>
      </w:r>
      <w:r w:rsidR="00BC20ED">
        <w:t>2</w:t>
      </w:r>
      <w:r w:rsidR="000458AB">
        <w:t>].</w:t>
      </w:r>
    </w:p>
    <w:bookmarkEnd w:id="12"/>
    <w:p w14:paraId="7BE02103" w14:textId="205CEDB4" w:rsidR="00F749C9" w:rsidRDefault="00CC29FD" w:rsidP="00D350D3">
      <w:r>
        <w:t>T</w:t>
      </w:r>
      <w:r w:rsidR="00F749C9">
        <w:t xml:space="preserve">his study has limitations. First, </w:t>
      </w:r>
      <w:r w:rsidR="00813AAC">
        <w:t>although we used a demographically</w:t>
      </w:r>
      <w:r w:rsidR="004677AC">
        <w:t xml:space="preserve"> </w:t>
      </w:r>
      <w:r w:rsidR="00813AAC">
        <w:t>representative sample of the UK population, we cannot be sure how representative survey respondents are of the views and behaviours of the general population</w:t>
      </w:r>
      <w:r w:rsidR="004F4E47">
        <w:t>[</w:t>
      </w:r>
      <w:r w:rsidR="00BC20ED">
        <w:rPr>
          <w:noProof/>
        </w:rPr>
        <w:t>33, 34</w:t>
      </w:r>
      <w:r w:rsidR="004F4E47">
        <w:rPr>
          <w:noProof/>
        </w:rPr>
        <w:t>].</w:t>
      </w:r>
      <w:r w:rsidR="00AA0CDB">
        <w:t xml:space="preserve"> However, </w:t>
      </w:r>
      <w:r>
        <w:t>we assume</w:t>
      </w:r>
      <w:r w:rsidR="00D350D3">
        <w:t xml:space="preserve"> that </w:t>
      </w:r>
      <w:r w:rsidR="00312778">
        <w:t xml:space="preserve">the </w:t>
      </w:r>
      <w:r w:rsidR="00D350D3">
        <w:t>associations between variables follow the same pattern as those in the general population</w:t>
      </w:r>
      <w:r w:rsidR="004F4E47">
        <w:t>[</w:t>
      </w:r>
      <w:r w:rsidR="000458AB">
        <w:rPr>
          <w:noProof/>
        </w:rPr>
        <w:t>3</w:t>
      </w:r>
      <w:r w:rsidR="00BC20ED">
        <w:rPr>
          <w:noProof/>
        </w:rPr>
        <w:t>5</w:t>
      </w:r>
      <w:r w:rsidR="004F4E47">
        <w:rPr>
          <w:noProof/>
        </w:rPr>
        <w:t>].</w:t>
      </w:r>
      <w:r w:rsidR="00AA0CDB">
        <w:t xml:space="preserve"> </w:t>
      </w:r>
      <w:r w:rsidR="008970E4">
        <w:t xml:space="preserve">Second, we cannot infer causality due to the cross-sectional nature of the study. Third, </w:t>
      </w:r>
      <w:r w:rsidR="00E258B1">
        <w:t>we investigated vaccination intention. Actual vaccination uptake is likely to be lower</w:t>
      </w:r>
      <w:r w:rsidR="004F4E47">
        <w:t>[</w:t>
      </w:r>
      <w:r w:rsidR="00B55BAC">
        <w:rPr>
          <w:noProof/>
        </w:rPr>
        <w:t>2</w:t>
      </w:r>
      <w:r w:rsidR="00C7643C">
        <w:rPr>
          <w:noProof/>
        </w:rPr>
        <w:t>6</w:t>
      </w:r>
      <w:r w:rsidR="004F4E47">
        <w:rPr>
          <w:noProof/>
        </w:rPr>
        <w:t>].</w:t>
      </w:r>
      <w:r w:rsidR="008C7FB0">
        <w:t xml:space="preserve"> Given the theoretical importance of intention in theories of uptake of health behaviours</w:t>
      </w:r>
      <w:r w:rsidR="004F4E47">
        <w:t>[</w:t>
      </w:r>
      <w:r w:rsidR="0002423C">
        <w:rPr>
          <w:noProof/>
        </w:rPr>
        <w:t>6, 7</w:t>
      </w:r>
      <w:r w:rsidR="004F4E47">
        <w:rPr>
          <w:noProof/>
        </w:rPr>
        <w:t>],</w:t>
      </w:r>
      <w:r w:rsidR="008C7FB0">
        <w:t xml:space="preserve"> it is likely that factors </w:t>
      </w:r>
      <w:r w:rsidR="004828CE">
        <w:t>associated with vaccination intention in this study will also influence vaccination uptake.</w:t>
      </w:r>
      <w:r w:rsidR="00092128">
        <w:t xml:space="preserve"> Fourth</w:t>
      </w:r>
      <w:r w:rsidR="00ED11FE">
        <w:t xml:space="preserve">, </w:t>
      </w:r>
      <w:r w:rsidR="000174C5">
        <w:t xml:space="preserve">due to unclear evidence of the role of children in transmission of </w:t>
      </w:r>
      <w:r w:rsidR="000174C5">
        <w:lastRenderedPageBreak/>
        <w:t xml:space="preserve">COVID-19 in the UK </w:t>
      </w:r>
      <w:r w:rsidR="004F4E47">
        <w:rPr>
          <w:noProof/>
        </w:rPr>
        <w:t>[</w:t>
      </w:r>
      <w:r w:rsidR="00494390">
        <w:rPr>
          <w:noProof/>
        </w:rPr>
        <w:t>1</w:t>
      </w:r>
      <w:r w:rsidR="00BC20ED">
        <w:rPr>
          <w:noProof/>
        </w:rPr>
        <w:t>5</w:t>
      </w:r>
      <w:r w:rsidR="004F4E47">
        <w:rPr>
          <w:noProof/>
        </w:rPr>
        <w:t>]</w:t>
      </w:r>
      <w:r w:rsidR="000A730C">
        <w:t xml:space="preserve"> </w:t>
      </w:r>
      <w:r w:rsidR="000174C5">
        <w:t xml:space="preserve">and </w:t>
      </w:r>
      <w:r w:rsidR="000A730C">
        <w:t xml:space="preserve">space </w:t>
      </w:r>
      <w:r w:rsidR="00BC7DFF">
        <w:t>con</w:t>
      </w:r>
      <w:r w:rsidR="000A730C">
        <w:t xml:space="preserve">straints in the survey, </w:t>
      </w:r>
      <w:r w:rsidR="00ED11FE">
        <w:t xml:space="preserve">we chose not to investigate </w:t>
      </w:r>
      <w:r w:rsidR="009672E8">
        <w:t>intention to vaccinate one</w:t>
      </w:r>
      <w:r w:rsidR="006756E9">
        <w:t>’</w:t>
      </w:r>
      <w:r w:rsidR="009672E8">
        <w:t xml:space="preserve">s child </w:t>
      </w:r>
      <w:r w:rsidR="006756E9">
        <w:t>for COVID-19</w:t>
      </w:r>
      <w:r w:rsidR="000174C5">
        <w:t xml:space="preserve">. </w:t>
      </w:r>
      <w:bookmarkStart w:id="13" w:name="_Hlk52611428"/>
      <w:r w:rsidR="003535D2">
        <w:t xml:space="preserve">Future research could usefully consider the impact of any details that emerge about a COVID-19 vaccine, such as how effective the vaccine is and how long immunity conferred by the vaccine lasts. It would also be useful to conduct age-stratified research to further understand how beliefs </w:t>
      </w:r>
      <w:bookmarkStart w:id="14" w:name="_Hlk52611489"/>
      <w:r w:rsidR="003535D2">
        <w:t xml:space="preserve">such as personal risk perception </w:t>
      </w:r>
      <w:bookmarkEnd w:id="14"/>
      <w:r w:rsidR="003535D2">
        <w:t>might vary and interact with intention to get vaccinated by age.</w:t>
      </w:r>
    </w:p>
    <w:bookmarkEnd w:id="13"/>
    <w:p w14:paraId="7C84E260" w14:textId="0056C2AB" w:rsidR="00FC0446" w:rsidRDefault="004E52DA" w:rsidP="00170B58">
      <w:r>
        <w:t xml:space="preserve">High levels of uptake of a COVID-19 vaccination when one becomes available will be necessary </w:t>
      </w:r>
      <w:proofErr w:type="gramStart"/>
      <w:r>
        <w:t>in order for</w:t>
      </w:r>
      <w:proofErr w:type="gramEnd"/>
      <w:r>
        <w:t xml:space="preserve"> the </w:t>
      </w:r>
      <w:r w:rsidR="00D07ECE">
        <w:t>UK g</w:t>
      </w:r>
      <w:r>
        <w:t xml:space="preserve">overnment’s COVID-19 recovery strategy to be fulfilled. </w:t>
      </w:r>
      <w:r w:rsidR="00F749C9">
        <w:t>T</w:t>
      </w:r>
      <w:r w:rsidR="00D07ECE">
        <w:t>o the best of our knowledge, t</w:t>
      </w:r>
      <w:r w:rsidR="00F749C9">
        <w:t>his is the first methodologically rigorous study investigating intention to receive a COVID-19 vaccination in a demographically</w:t>
      </w:r>
      <w:r w:rsidR="00312778">
        <w:t xml:space="preserve"> </w:t>
      </w:r>
      <w:r w:rsidR="00F749C9">
        <w:t xml:space="preserve">representative sample of the UK population. While there is still much uncertainty surrounding COVID-19 and vaccination, results from this study provide useful insights </w:t>
      </w:r>
      <w:r w:rsidR="004677AC">
        <w:t xml:space="preserve">that </w:t>
      </w:r>
      <w:r w:rsidR="00F749C9">
        <w:t>can help guide policy and communications when a vaccine becomes available.</w:t>
      </w:r>
      <w:r w:rsidR="00A97F9F">
        <w:t xml:space="preserve"> </w:t>
      </w:r>
      <w:r w:rsidR="00A21BCC">
        <w:t xml:space="preserve">The UK population is </w:t>
      </w:r>
      <w:r w:rsidR="001D48CD">
        <w:t>still divide</w:t>
      </w:r>
      <w:r w:rsidR="00243BE3">
        <w:t>d</w:t>
      </w:r>
      <w:r w:rsidR="001D48CD">
        <w:t xml:space="preserve"> in their </w:t>
      </w:r>
      <w:r w:rsidR="00831089">
        <w:t xml:space="preserve">intention to be vaccinated for COVID-19. </w:t>
      </w:r>
      <w:r w:rsidR="007D7DEC" w:rsidRPr="00FA1ECC">
        <w:t>Approximately two-thirds</w:t>
      </w:r>
      <w:r w:rsidR="00831089" w:rsidRPr="00FA1ECC">
        <w:t xml:space="preserve"> </w:t>
      </w:r>
      <w:r w:rsidR="00BD32A5" w:rsidRPr="00FA1ECC">
        <w:t xml:space="preserve">report </w:t>
      </w:r>
      <w:r w:rsidR="00BD32A5">
        <w:t xml:space="preserve">being likely </w:t>
      </w:r>
      <w:r w:rsidR="00092128">
        <w:t xml:space="preserve">to be vaccinated </w:t>
      </w:r>
      <w:r w:rsidR="00BD32A5">
        <w:t>when a vaccine becomes available to them</w:t>
      </w:r>
      <w:r w:rsidR="00092128">
        <w:t xml:space="preserve"> despite the dearth of information about a COVID-19 vaccination. </w:t>
      </w:r>
      <w:r w:rsidR="00F00D60">
        <w:t>As vaccine uptake is likely to be lower than vaccination intention, it is worrying that the remaining third were</w:t>
      </w:r>
      <w:r w:rsidR="00BD32A5">
        <w:t xml:space="preserve"> </w:t>
      </w:r>
      <w:r w:rsidR="00F00D60">
        <w:t>unsure or did not intend to be vaccinated for COVID-19</w:t>
      </w:r>
      <w:r w:rsidR="00BC7DFF">
        <w:t>,</w:t>
      </w:r>
      <w:r w:rsidR="00F00D60">
        <w:t xml:space="preserve"> g</w:t>
      </w:r>
      <w:r w:rsidR="008B1505">
        <w:t>iven t</w:t>
      </w:r>
      <w:r w:rsidR="009F7779">
        <w:t xml:space="preserve">he impact of COVID-19 on </w:t>
      </w:r>
      <w:r w:rsidR="00092128">
        <w:t>day-to-day life</w:t>
      </w:r>
      <w:r w:rsidR="009F7779">
        <w:t xml:space="preserve"> and prominence of the virus in the media</w:t>
      </w:r>
      <w:r w:rsidR="008B1505">
        <w:t xml:space="preserve">. </w:t>
      </w:r>
      <w:r w:rsidR="00092128">
        <w:t>These findings are likely to reflect general vaccine attitudes and beliefs</w:t>
      </w:r>
      <w:r w:rsidR="002C318D" w:rsidRPr="002C318D">
        <w:t xml:space="preserve"> </w:t>
      </w:r>
      <w:bookmarkStart w:id="15" w:name="_Hlk52614554"/>
      <w:r w:rsidR="002C318D">
        <w:t>and clear information about the safety and effectiveness of the vaccine may be needed to increase vaccination intentions</w:t>
      </w:r>
      <w:r w:rsidR="00092128">
        <w:t xml:space="preserve">. </w:t>
      </w:r>
      <w:bookmarkEnd w:id="15"/>
      <w:r w:rsidR="00C96C56">
        <w:t xml:space="preserve">Our results indicate that </w:t>
      </w:r>
      <w:r w:rsidR="00AA0601">
        <w:t xml:space="preserve">vaccination campaigns and </w:t>
      </w:r>
      <w:r w:rsidR="009336E4">
        <w:t>communications should draw o</w:t>
      </w:r>
      <w:r w:rsidR="00C96C56">
        <w:t>n theoretical constructs</w:t>
      </w:r>
      <w:r w:rsidR="00FA1ECC">
        <w:t>. Contextual factors, such as the media discourse</w:t>
      </w:r>
      <w:r w:rsidR="00FC0446">
        <w:t xml:space="preserve"> around a COVID-19 vaccination</w:t>
      </w:r>
      <w:r w:rsidR="00D07ECE">
        <w:t>,</w:t>
      </w:r>
      <w:r w:rsidR="00FC0446">
        <w:t xml:space="preserve"> </w:t>
      </w:r>
      <w:r w:rsidR="00D07ECE">
        <w:t>are</w:t>
      </w:r>
      <w:r w:rsidR="00FC0446">
        <w:t xml:space="preserve"> likely to influence beliefs and attitudes towards the vaccine.</w:t>
      </w:r>
      <w:r w:rsidR="00BE140E">
        <w:t xml:space="preserve"> </w:t>
      </w:r>
      <w:r w:rsidR="00AA0601">
        <w:t>Communications should also explain and highlight how vaccination can stop the spread of COVID-19 to others</w:t>
      </w:r>
      <w:r w:rsidR="00BC7DFF">
        <w:t xml:space="preserve"> and facilitate a return to normality</w:t>
      </w:r>
      <w:r w:rsidR="00AA0601">
        <w:t>.</w:t>
      </w:r>
      <w:r w:rsidR="00FC0446">
        <w:br w:type="page"/>
      </w:r>
    </w:p>
    <w:p w14:paraId="597F258F" w14:textId="77777777" w:rsidR="001F5446" w:rsidRDefault="001F5446" w:rsidP="001F5446">
      <w:pPr>
        <w:pStyle w:val="BMJHeading1"/>
        <w:rPr>
          <w:rFonts w:ascii="Times New Roman" w:hAnsi="Times New Roman" w:cs="Times New Roman"/>
        </w:rPr>
      </w:pPr>
      <w:r>
        <w:rPr>
          <w:rFonts w:ascii="Times New Roman" w:hAnsi="Times New Roman" w:cs="Times New Roman"/>
        </w:rPr>
        <w:lastRenderedPageBreak/>
        <w:t>Funding sources</w:t>
      </w:r>
    </w:p>
    <w:p w14:paraId="7DD0C3CD" w14:textId="09EC553D" w:rsidR="001F5446" w:rsidRDefault="001F5446" w:rsidP="001F5446">
      <w:r>
        <w:t xml:space="preserve">Data collection was funded by a </w:t>
      </w:r>
      <w:proofErr w:type="spellStart"/>
      <w:r w:rsidRPr="003249AC">
        <w:t>Keele</w:t>
      </w:r>
      <w:proofErr w:type="spellEnd"/>
      <w:r w:rsidRPr="003249AC">
        <w:t xml:space="preserve"> </w:t>
      </w:r>
      <w:r>
        <w:t xml:space="preserve">University </w:t>
      </w:r>
      <w:r w:rsidRPr="003249AC">
        <w:t>Faculty of Natural Sciences</w:t>
      </w:r>
      <w:r>
        <w:t xml:space="preserve"> Research Development award to SS, JS and NS, and a King’s Together Rapid COVID-19 award granted jointly to LS, GJR, RA, NS, SS and JS. LS, RA and GJR are supported </w:t>
      </w:r>
      <w:r w:rsidRPr="007F1409">
        <w:t xml:space="preserve">by the National Institute for Health Research Health Protection Research Unit (NIHR HPRU) in Emergency Preparedness and Response, a partnership between Public Health England, King’s College London and the University of East Anglia. </w:t>
      </w:r>
      <w:r w:rsidRPr="001871E3">
        <w:t>NS’ research is supported by the National Institute for Health Research (NIHR) Applied Research Collaboration (ARC) South London at King’s College Hospital NHS Foundation Trust. NS is a member of King’s Improvement Science, which offers co-funding to the NIHR ARC South London and is funded by King’s Health Partners (Guy’s and St Thomas’ NHS Foundation Trust, King’s College Hospital NHS Foundation Trust, King’s College London and South London and Maudsley NHS Foundation Trust), Guy’s and St Thomas’ Charity and the Maudsley Charity.</w:t>
      </w:r>
      <w:r>
        <w:t xml:space="preserve"> </w:t>
      </w:r>
      <w:r w:rsidRPr="007F1409">
        <w:t xml:space="preserve">The views expressed are those of the authors and not necessarily those of the NIHR, </w:t>
      </w:r>
      <w:r>
        <w:t xml:space="preserve">the charities, </w:t>
      </w:r>
      <w:r w:rsidRPr="007F1409">
        <w:t>Public Health England or the Department of Health and Social Care</w:t>
      </w:r>
      <w:r>
        <w:t>.</w:t>
      </w:r>
    </w:p>
    <w:p w14:paraId="4CF47C0B" w14:textId="77777777" w:rsidR="001F5446" w:rsidRDefault="001F5446" w:rsidP="001F5446">
      <w:pPr>
        <w:pStyle w:val="BMJHeading1"/>
        <w:rPr>
          <w:rFonts w:ascii="Times New Roman" w:hAnsi="Times New Roman" w:cs="Times New Roman"/>
        </w:rPr>
      </w:pPr>
      <w:r>
        <w:rPr>
          <w:rFonts w:ascii="Times New Roman" w:hAnsi="Times New Roman" w:cs="Times New Roman"/>
        </w:rPr>
        <w:t>Transparency declaration</w:t>
      </w:r>
    </w:p>
    <w:p w14:paraId="5A47937A" w14:textId="77777777" w:rsidR="001F5446" w:rsidRDefault="001F5446" w:rsidP="001F5446">
      <w:pPr>
        <w:rPr>
          <w:rFonts w:cs="Arial"/>
        </w:rPr>
      </w:pPr>
      <w:r>
        <w:rPr>
          <w:rFonts w:cs="Arial"/>
        </w:rPr>
        <w:t xml:space="preserve">The authors affirm </w:t>
      </w:r>
      <w:r w:rsidRPr="00180853">
        <w:rPr>
          <w:rFonts w:cs="Arial"/>
        </w:rPr>
        <w:t>that the manuscript is an honest, accurate, and transparent account of the study being reported; that no important aspects of the study have been omitted; and that any discrepancies from the study as originally planned have been explained.</w:t>
      </w:r>
    </w:p>
    <w:p w14:paraId="06F1953A" w14:textId="77777777" w:rsidR="001F5446" w:rsidRDefault="001F5446" w:rsidP="001F5446">
      <w:pPr>
        <w:pStyle w:val="BMJHeading1"/>
        <w:rPr>
          <w:rFonts w:ascii="Times New Roman" w:hAnsi="Times New Roman" w:cs="Times New Roman"/>
        </w:rPr>
      </w:pPr>
      <w:r>
        <w:rPr>
          <w:rFonts w:ascii="Times New Roman" w:hAnsi="Times New Roman" w:cs="Times New Roman"/>
        </w:rPr>
        <w:t>Data sharing statement</w:t>
      </w:r>
    </w:p>
    <w:p w14:paraId="7CF686BE" w14:textId="77777777" w:rsidR="001F5446" w:rsidRDefault="001F5446" w:rsidP="001F5446">
      <w:r>
        <w:t>Data are available online.</w:t>
      </w:r>
      <w:r>
        <w:rPr>
          <w:noProof/>
        </w:rPr>
        <w:t>(13)</w:t>
      </w:r>
    </w:p>
    <w:p w14:paraId="3681FA52" w14:textId="77777777" w:rsidR="001F5446" w:rsidRPr="00D7390C" w:rsidRDefault="001F5446" w:rsidP="001F5446">
      <w:pPr>
        <w:pStyle w:val="BMJHeading1"/>
      </w:pPr>
      <w:r w:rsidRPr="00D7390C">
        <w:t xml:space="preserve">CONFLICT OF INTEREST STATEMENT </w:t>
      </w:r>
    </w:p>
    <w:p w14:paraId="336CF3AE" w14:textId="77777777" w:rsidR="001F5446" w:rsidRPr="001871E3" w:rsidRDefault="001F5446" w:rsidP="001F5446">
      <w:r w:rsidRPr="001871E3">
        <w:t>NS is the director of the London Safety and Training Solutions Ltd, which offers training in patient safety, implementation solutions and human factors to healthcare organisations. The other authors have no conflicts of interest to declare.</w:t>
      </w:r>
    </w:p>
    <w:p w14:paraId="75CD3685" w14:textId="77777777" w:rsidR="001F5446" w:rsidRDefault="001F5446" w:rsidP="001F5446"/>
    <w:p w14:paraId="5CB18420" w14:textId="77777777" w:rsidR="001F5446" w:rsidRDefault="001F5446" w:rsidP="001F5446">
      <w:pPr>
        <w:rPr>
          <w:rFonts w:eastAsiaTheme="majorEastAsia"/>
          <w:b/>
          <w:caps/>
          <w:sz w:val="28"/>
          <w:szCs w:val="32"/>
        </w:rPr>
      </w:pPr>
      <w:r>
        <w:br w:type="page"/>
      </w:r>
    </w:p>
    <w:p w14:paraId="1F304FEC" w14:textId="115058DF" w:rsidR="00A31ECC" w:rsidRPr="00E15BD2" w:rsidRDefault="00C4005B" w:rsidP="009157DB">
      <w:pPr>
        <w:pStyle w:val="BMJHeading1"/>
        <w:rPr>
          <w:rFonts w:ascii="Times New Roman" w:hAnsi="Times New Roman" w:cs="Times New Roman"/>
        </w:rPr>
      </w:pPr>
      <w:r w:rsidRPr="00E15BD2">
        <w:rPr>
          <w:rFonts w:ascii="Times New Roman" w:hAnsi="Times New Roman" w:cs="Times New Roman"/>
        </w:rPr>
        <w:lastRenderedPageBreak/>
        <w:t>References</w:t>
      </w:r>
    </w:p>
    <w:p w14:paraId="213987D7" w14:textId="0D81BDEE" w:rsidR="00957488" w:rsidRDefault="00957488" w:rsidP="00590C05">
      <w:pPr>
        <w:rPr>
          <w:noProof/>
        </w:rPr>
      </w:pPr>
      <w:r>
        <w:rPr>
          <w:noProof/>
        </w:rPr>
        <w:t xml:space="preserve">1. </w:t>
      </w:r>
      <w:r>
        <w:rPr>
          <w:noProof/>
        </w:rPr>
        <w:tab/>
        <w:t xml:space="preserve">HM Government. </w:t>
      </w:r>
      <w:r w:rsidRPr="00957488">
        <w:rPr>
          <w:noProof/>
        </w:rPr>
        <w:t>Coronavirus (COVID-19) in the UK</w:t>
      </w:r>
      <w:r>
        <w:rPr>
          <w:noProof/>
        </w:rPr>
        <w:t xml:space="preserve">. 2020. Retrieved from </w:t>
      </w:r>
      <w:hyperlink r:id="rId16" w:history="1">
        <w:r w:rsidRPr="007040F4">
          <w:rPr>
            <w:rStyle w:val="Hyperlink"/>
            <w:noProof/>
          </w:rPr>
          <w:t>https://coronavirus.data.gov.uk/</w:t>
        </w:r>
      </w:hyperlink>
      <w:r>
        <w:rPr>
          <w:noProof/>
        </w:rPr>
        <w:t xml:space="preserve"> on 2</w:t>
      </w:r>
      <w:r w:rsidRPr="00957488">
        <w:rPr>
          <w:noProof/>
          <w:vertAlign w:val="superscript"/>
        </w:rPr>
        <w:t>nd</w:t>
      </w:r>
      <w:r>
        <w:rPr>
          <w:noProof/>
        </w:rPr>
        <w:t xml:space="preserve"> October 2020</w:t>
      </w:r>
    </w:p>
    <w:p w14:paraId="7D44F5F4" w14:textId="3842AC38" w:rsidR="00D7390C" w:rsidRPr="00D7390C" w:rsidRDefault="00957488" w:rsidP="00590C05">
      <w:pPr>
        <w:rPr>
          <w:noProof/>
        </w:rPr>
      </w:pPr>
      <w:r>
        <w:rPr>
          <w:noProof/>
        </w:rPr>
        <w:t>2</w:t>
      </w:r>
      <w:r w:rsidR="00D7390C" w:rsidRPr="00D7390C">
        <w:rPr>
          <w:noProof/>
        </w:rPr>
        <w:t>.</w:t>
      </w:r>
      <w:r w:rsidR="00D7390C" w:rsidRPr="00D7390C">
        <w:rPr>
          <w:noProof/>
        </w:rPr>
        <w:tab/>
        <w:t>HM Government. Our plan to rebuild: The UK Government's COVID-19 recovery strategy. 2020.</w:t>
      </w:r>
      <w:r w:rsidR="00590C05">
        <w:rPr>
          <w:noProof/>
        </w:rPr>
        <w:t xml:space="preserve"> Available from:</w:t>
      </w:r>
      <w:r w:rsidR="00590C05" w:rsidRPr="00590C05">
        <w:t xml:space="preserve"> </w:t>
      </w:r>
      <w:hyperlink r:id="rId17" w:history="1">
        <w:r w:rsidR="00590C05" w:rsidRPr="00E631AA">
          <w:rPr>
            <w:rStyle w:val="Hyperlink"/>
            <w:noProof/>
          </w:rPr>
          <w:t>https://assets.publishing.service.gov.uk/government/uploads/system/uploads/attachment_data/file/884760/Our_plan_to_rebuild_The_UK_Government_s_COVID-19_recovery_strategy.pdf</w:t>
        </w:r>
      </w:hyperlink>
      <w:r w:rsidR="00590C05">
        <w:rPr>
          <w:noProof/>
        </w:rPr>
        <w:t>.</w:t>
      </w:r>
    </w:p>
    <w:p w14:paraId="6B0EAACF" w14:textId="70D5B1F0" w:rsidR="00D7390C" w:rsidRPr="00D7390C" w:rsidRDefault="00957488" w:rsidP="00590C05">
      <w:pPr>
        <w:rPr>
          <w:noProof/>
        </w:rPr>
      </w:pPr>
      <w:r>
        <w:rPr>
          <w:noProof/>
        </w:rPr>
        <w:t>3</w:t>
      </w:r>
      <w:r w:rsidR="00D7390C" w:rsidRPr="00D7390C">
        <w:rPr>
          <w:noProof/>
        </w:rPr>
        <w:t>.</w:t>
      </w:r>
      <w:r w:rsidR="00D7390C" w:rsidRPr="00D7390C">
        <w:rPr>
          <w:noProof/>
        </w:rPr>
        <w:tab/>
        <w:t>Zhu F-C, Guan X-H, Li Y-H, Huang J-Y, Jiang T, Hou L-H, et al. Immunogenicity and safety of a recombinant adenovirus type-5-vectored COVID-19 vaccine in healthy adults aged 18 years or older: a randomised, double-blind, placebo-controlled, phase 2 trial. The Lancet. 2020.</w:t>
      </w:r>
      <w:r w:rsidR="008B4E06">
        <w:rPr>
          <w:noProof/>
        </w:rPr>
        <w:t xml:space="preserve"> doi:</w:t>
      </w:r>
      <w:r w:rsidR="008B4E06" w:rsidRPr="008B4E06">
        <w:t xml:space="preserve"> </w:t>
      </w:r>
      <w:r w:rsidR="008B4E06" w:rsidRPr="008B4E06">
        <w:rPr>
          <w:noProof/>
        </w:rPr>
        <w:t>10.1016/S0140-6736(20)31605-6</w:t>
      </w:r>
      <w:r w:rsidR="008B4E06">
        <w:rPr>
          <w:noProof/>
        </w:rPr>
        <w:t>.</w:t>
      </w:r>
    </w:p>
    <w:p w14:paraId="5D05B3EA" w14:textId="51183CF9" w:rsidR="00D7390C" w:rsidRPr="00D7390C" w:rsidRDefault="00957488" w:rsidP="00590C05">
      <w:pPr>
        <w:rPr>
          <w:noProof/>
        </w:rPr>
      </w:pPr>
      <w:r>
        <w:rPr>
          <w:noProof/>
        </w:rPr>
        <w:t>4</w:t>
      </w:r>
      <w:r w:rsidR="00D7390C" w:rsidRPr="00D7390C">
        <w:rPr>
          <w:noProof/>
        </w:rPr>
        <w:t>.</w:t>
      </w:r>
      <w:r w:rsidR="00D7390C" w:rsidRPr="00D7390C">
        <w:rPr>
          <w:noProof/>
        </w:rPr>
        <w:tab/>
        <w:t>Folegatti PM, Ewer KJ, Aley PK, Angus B, Becker S, Belij-Rammerstorfer S, et al. Safety and immunogenicity of the ChAdOx1 nCoV-19 vaccine against SARS-CoV-2: a preliminary report of a phase 1/2, single-blind, randomised controlled trial. The Lancet. 2020.</w:t>
      </w:r>
      <w:r w:rsidR="008B4E06">
        <w:rPr>
          <w:noProof/>
        </w:rPr>
        <w:t xml:space="preserve"> doi: </w:t>
      </w:r>
      <w:r w:rsidR="008B4E06" w:rsidRPr="008B4E06">
        <w:rPr>
          <w:noProof/>
        </w:rPr>
        <w:t>10.1016/S0140-6736(20)31604-4</w:t>
      </w:r>
      <w:r w:rsidR="008B4E06">
        <w:rPr>
          <w:noProof/>
        </w:rPr>
        <w:t>.</w:t>
      </w:r>
    </w:p>
    <w:p w14:paraId="65F18C7B" w14:textId="29E7EECE" w:rsidR="00D7390C" w:rsidRPr="00D7390C" w:rsidRDefault="00957488" w:rsidP="00590C05">
      <w:pPr>
        <w:rPr>
          <w:noProof/>
        </w:rPr>
      </w:pPr>
      <w:r>
        <w:rPr>
          <w:noProof/>
        </w:rPr>
        <w:t>5</w:t>
      </w:r>
      <w:r w:rsidR="00D7390C" w:rsidRPr="00D7390C">
        <w:rPr>
          <w:noProof/>
        </w:rPr>
        <w:t>.</w:t>
      </w:r>
      <w:r w:rsidR="00D7390C" w:rsidRPr="00D7390C">
        <w:rPr>
          <w:noProof/>
        </w:rPr>
        <w:tab/>
        <w:t>Janz NK, Becker MH. The Health Belief Model: a decade later. Health Educ Q. 1984;11(1):1-47.</w:t>
      </w:r>
    </w:p>
    <w:p w14:paraId="4D20CFB0" w14:textId="41C12037" w:rsidR="00D7390C" w:rsidRPr="00D7390C" w:rsidRDefault="00957488" w:rsidP="00590C05">
      <w:pPr>
        <w:rPr>
          <w:noProof/>
        </w:rPr>
      </w:pPr>
      <w:r>
        <w:rPr>
          <w:noProof/>
        </w:rPr>
        <w:t>6</w:t>
      </w:r>
      <w:r w:rsidR="00D7390C" w:rsidRPr="00D7390C">
        <w:rPr>
          <w:noProof/>
        </w:rPr>
        <w:t>.</w:t>
      </w:r>
      <w:r w:rsidR="00D7390C" w:rsidRPr="00D7390C">
        <w:rPr>
          <w:noProof/>
        </w:rPr>
        <w:tab/>
        <w:t>Ajzen I. The Theory of Planned Behavior. Organ Behav Hum. 1991;50(2):179-211.</w:t>
      </w:r>
      <w:r w:rsidR="008B4E06">
        <w:rPr>
          <w:noProof/>
        </w:rPr>
        <w:t xml:space="preserve"> doi:</w:t>
      </w:r>
      <w:r w:rsidR="008B4E06" w:rsidRPr="008B4E06">
        <w:t xml:space="preserve"> </w:t>
      </w:r>
      <w:r w:rsidR="008B4E06" w:rsidRPr="008B4E06">
        <w:rPr>
          <w:noProof/>
        </w:rPr>
        <w:t>10.1016/0749-5978(91)90020-T</w:t>
      </w:r>
      <w:r w:rsidR="008B4E06">
        <w:rPr>
          <w:noProof/>
        </w:rPr>
        <w:t>.</w:t>
      </w:r>
    </w:p>
    <w:p w14:paraId="05C04596" w14:textId="28FDAD7B" w:rsidR="00D7390C" w:rsidRPr="00D7390C" w:rsidRDefault="00957488" w:rsidP="001D1443">
      <w:pPr>
        <w:rPr>
          <w:noProof/>
        </w:rPr>
      </w:pPr>
      <w:r>
        <w:rPr>
          <w:noProof/>
        </w:rPr>
        <w:t>7</w:t>
      </w:r>
      <w:r w:rsidR="00D7390C" w:rsidRPr="00D7390C">
        <w:rPr>
          <w:noProof/>
        </w:rPr>
        <w:t>.</w:t>
      </w:r>
      <w:r w:rsidR="00D7390C" w:rsidRPr="00D7390C">
        <w:rPr>
          <w:noProof/>
        </w:rPr>
        <w:tab/>
      </w:r>
      <w:r w:rsidR="001D1443">
        <w:rPr>
          <w:noProof/>
        </w:rPr>
        <w:t>Rogers RW, Prentice-Dunn S. Protection motivation theory. In: Gochman DS (ed.) Handbook of health behavior research 1: Personal and social determinants. New York: Plenum Press, 1997, 113-132.</w:t>
      </w:r>
    </w:p>
    <w:p w14:paraId="2E15A138" w14:textId="26F516CF" w:rsidR="00D7390C" w:rsidRPr="00D7390C" w:rsidRDefault="00957488" w:rsidP="00590C05">
      <w:pPr>
        <w:rPr>
          <w:noProof/>
        </w:rPr>
      </w:pPr>
      <w:r>
        <w:rPr>
          <w:noProof/>
        </w:rPr>
        <w:t>8</w:t>
      </w:r>
      <w:r w:rsidR="00D7390C" w:rsidRPr="00D7390C">
        <w:rPr>
          <w:noProof/>
        </w:rPr>
        <w:t>.</w:t>
      </w:r>
      <w:r w:rsidR="00D7390C" w:rsidRPr="00D7390C">
        <w:rPr>
          <w:noProof/>
        </w:rPr>
        <w:tab/>
        <w:t>Larson HJ, Jarrett C, Eckersberger E, Smith DM, Paterson P. Understanding vaccine hesitancy around vaccines and vaccination from a global perspective: a systematic review of published literature, 2007-2012. Vaccine. 2014;32(19):2150-9.</w:t>
      </w:r>
      <w:r w:rsidR="008B4E06">
        <w:rPr>
          <w:noProof/>
        </w:rPr>
        <w:t xml:space="preserve"> doi: </w:t>
      </w:r>
      <w:r w:rsidR="008B4E06" w:rsidRPr="008B4E06">
        <w:rPr>
          <w:noProof/>
        </w:rPr>
        <w:t>10.1016/j.vaccine.2014.01.081</w:t>
      </w:r>
      <w:r w:rsidR="008B4E06">
        <w:rPr>
          <w:noProof/>
        </w:rPr>
        <w:t>.</w:t>
      </w:r>
    </w:p>
    <w:p w14:paraId="5F5925ED" w14:textId="2378D5D9" w:rsidR="00D7390C" w:rsidRPr="00D7390C" w:rsidRDefault="00957488" w:rsidP="00590C05">
      <w:pPr>
        <w:rPr>
          <w:noProof/>
        </w:rPr>
      </w:pPr>
      <w:r>
        <w:rPr>
          <w:noProof/>
        </w:rPr>
        <w:t>9</w:t>
      </w:r>
      <w:r w:rsidR="00D7390C" w:rsidRPr="00D7390C">
        <w:rPr>
          <w:noProof/>
        </w:rPr>
        <w:t>.</w:t>
      </w:r>
      <w:r w:rsidR="00D7390C" w:rsidRPr="00D7390C">
        <w:rPr>
          <w:noProof/>
        </w:rPr>
        <w:tab/>
        <w:t>Smith LE, Amlôt R, Weinman J, Yiend J, Rubin GJ. A systematic review of factors affecting vaccine uptake in young children. Vaccine. 2017;35(45):6059-69.</w:t>
      </w:r>
      <w:r w:rsidR="008B4E06">
        <w:rPr>
          <w:noProof/>
        </w:rPr>
        <w:t xml:space="preserve"> doi: </w:t>
      </w:r>
      <w:r w:rsidR="008B4E06" w:rsidRPr="008B4E06">
        <w:rPr>
          <w:noProof/>
        </w:rPr>
        <w:t>10.1016/j.vaccine.2017.09.046</w:t>
      </w:r>
      <w:r w:rsidR="008B4E06">
        <w:rPr>
          <w:noProof/>
        </w:rPr>
        <w:t>.</w:t>
      </w:r>
    </w:p>
    <w:p w14:paraId="3298E4C0" w14:textId="6DB0A6B8" w:rsidR="00D7390C" w:rsidRDefault="00957488" w:rsidP="00590C05">
      <w:pPr>
        <w:rPr>
          <w:noProof/>
        </w:rPr>
      </w:pPr>
      <w:r>
        <w:rPr>
          <w:noProof/>
        </w:rPr>
        <w:lastRenderedPageBreak/>
        <w:t>10</w:t>
      </w:r>
      <w:r w:rsidR="00D7390C" w:rsidRPr="00D7390C">
        <w:rPr>
          <w:noProof/>
        </w:rPr>
        <w:t>.</w:t>
      </w:r>
      <w:r w:rsidR="00D7390C" w:rsidRPr="00D7390C">
        <w:rPr>
          <w:noProof/>
        </w:rPr>
        <w:tab/>
        <w:t xml:space="preserve">Bish A, Yardley L, Nicoll A, Michie S. Factors associated with uptake of vaccination against pandemic influenza: </w:t>
      </w:r>
      <w:r w:rsidR="00EA4BEA">
        <w:rPr>
          <w:noProof/>
        </w:rPr>
        <w:t>a</w:t>
      </w:r>
      <w:r w:rsidR="00D7390C" w:rsidRPr="00D7390C">
        <w:rPr>
          <w:noProof/>
        </w:rPr>
        <w:t xml:space="preserve"> systematic review. Vaccine. 2011;29(38):6472-84.</w:t>
      </w:r>
      <w:r w:rsidR="008B4E06">
        <w:rPr>
          <w:noProof/>
        </w:rPr>
        <w:t xml:space="preserve"> doi: </w:t>
      </w:r>
      <w:r w:rsidR="008B4E06" w:rsidRPr="008B4E06">
        <w:rPr>
          <w:noProof/>
        </w:rPr>
        <w:t>10.1016/j.vaccine.2011.06.107</w:t>
      </w:r>
      <w:r w:rsidR="008B4E06">
        <w:rPr>
          <w:noProof/>
        </w:rPr>
        <w:t>.</w:t>
      </w:r>
    </w:p>
    <w:p w14:paraId="2EFC27D6" w14:textId="0560871E" w:rsidR="00BC20ED" w:rsidRDefault="00BC20ED" w:rsidP="00BC20ED">
      <w:pPr>
        <w:rPr>
          <w:noProof/>
        </w:rPr>
      </w:pPr>
      <w:r>
        <w:rPr>
          <w:noProof/>
        </w:rPr>
        <w:t>11.</w:t>
      </w:r>
      <w:r>
        <w:rPr>
          <w:noProof/>
        </w:rPr>
        <w:tab/>
        <w:t xml:space="preserve">Lehmann BA, Ruiter RA, Chapman G, Kok G. The intention to get vaccinated against influenza and actual vaccination uptake of Dutch healthcare personnel. Vaccine. 201;32(51):6986-91. </w:t>
      </w:r>
    </w:p>
    <w:p w14:paraId="106CD2FD" w14:textId="5CA0303B" w:rsidR="00BC20ED" w:rsidRPr="00D7390C" w:rsidRDefault="00BC20ED" w:rsidP="00BC20ED">
      <w:pPr>
        <w:rPr>
          <w:noProof/>
        </w:rPr>
      </w:pPr>
      <w:r>
        <w:rPr>
          <w:noProof/>
        </w:rPr>
        <w:t>12.</w:t>
      </w:r>
      <w:r>
        <w:rPr>
          <w:noProof/>
        </w:rPr>
        <w:tab/>
        <w:t>Renner B, Reuter T. Predicting vaccination using numerical and affective risk perceptions: the case of A/H1N1 influenza. Vaccine. 2012;30(49):7019-26.</w:t>
      </w:r>
    </w:p>
    <w:p w14:paraId="172528E6" w14:textId="2CF8C639" w:rsidR="00D7390C" w:rsidRPr="00D7390C" w:rsidRDefault="00D7390C" w:rsidP="00590C05">
      <w:pPr>
        <w:rPr>
          <w:noProof/>
        </w:rPr>
      </w:pPr>
      <w:r w:rsidRPr="00D7390C">
        <w:rPr>
          <w:noProof/>
        </w:rPr>
        <w:t>1</w:t>
      </w:r>
      <w:r w:rsidR="00BC20ED">
        <w:rPr>
          <w:noProof/>
        </w:rPr>
        <w:t>3</w:t>
      </w:r>
      <w:r w:rsidRPr="00D7390C">
        <w:rPr>
          <w:noProof/>
        </w:rPr>
        <w:t>.</w:t>
      </w:r>
      <w:r w:rsidRPr="00D7390C">
        <w:rPr>
          <w:noProof/>
        </w:rPr>
        <w:tab/>
        <w:t>Williams L, Gallant AJ, Rasmussen S, Brown Nicholls LA, Cogan N, Deakin K, et al. Towards intervention development to increase the uptake of COVID-19 vaccination among those at high risk: outlining evidence-based and theoretically informed future intervention content. MedRxiv. 2020.</w:t>
      </w:r>
    </w:p>
    <w:p w14:paraId="2ACD5674" w14:textId="5ED94967" w:rsidR="00D7390C" w:rsidRPr="00D7390C" w:rsidRDefault="00D7390C" w:rsidP="00590C05">
      <w:pPr>
        <w:rPr>
          <w:noProof/>
        </w:rPr>
      </w:pPr>
      <w:r w:rsidRPr="00D7390C">
        <w:rPr>
          <w:noProof/>
        </w:rPr>
        <w:t>1</w:t>
      </w:r>
      <w:r w:rsidR="00BC20ED">
        <w:rPr>
          <w:noProof/>
        </w:rPr>
        <w:t>4</w:t>
      </w:r>
      <w:r w:rsidRPr="00D7390C">
        <w:rPr>
          <w:noProof/>
        </w:rPr>
        <w:t>.</w:t>
      </w:r>
      <w:r w:rsidRPr="00D7390C">
        <w:rPr>
          <w:noProof/>
        </w:rPr>
        <w:tab/>
        <w:t>Thorneloe RT, Wilcockon H, Lamb MA, Jordan C, Arden M. Willingness to receive a COVID-19 vaccine among adults at high-risk of COVID-19: a UK-wide survey. PsyArXiv</w:t>
      </w:r>
      <w:r w:rsidR="008B4E06">
        <w:rPr>
          <w:noProof/>
        </w:rPr>
        <w:t xml:space="preserve"> [Preprint]</w:t>
      </w:r>
      <w:r w:rsidRPr="00D7390C">
        <w:rPr>
          <w:noProof/>
        </w:rPr>
        <w:t>. 2020</w:t>
      </w:r>
      <w:r w:rsidR="008B4E06">
        <w:rPr>
          <w:noProof/>
        </w:rPr>
        <w:t xml:space="preserve"> [cited 2020 July 30]. Available from: </w:t>
      </w:r>
      <w:hyperlink r:id="rId18" w:history="1">
        <w:r w:rsidR="008B4E06">
          <w:rPr>
            <w:rStyle w:val="Hyperlink"/>
          </w:rPr>
          <w:t>https://psyarxiv.com/fs9wk/</w:t>
        </w:r>
      </w:hyperlink>
      <w:r w:rsidRPr="00D7390C">
        <w:rPr>
          <w:noProof/>
        </w:rPr>
        <w:t>.</w:t>
      </w:r>
    </w:p>
    <w:p w14:paraId="3DCE1660" w14:textId="50E1E64F" w:rsidR="00D7390C" w:rsidRPr="00D7390C" w:rsidRDefault="00D7390C" w:rsidP="00590C05">
      <w:pPr>
        <w:rPr>
          <w:noProof/>
        </w:rPr>
      </w:pPr>
      <w:r w:rsidRPr="00D7390C">
        <w:rPr>
          <w:noProof/>
        </w:rPr>
        <w:t>1</w:t>
      </w:r>
      <w:r w:rsidR="00BC20ED">
        <w:rPr>
          <w:noProof/>
        </w:rPr>
        <w:t>5</w:t>
      </w:r>
      <w:r w:rsidRPr="00D7390C">
        <w:rPr>
          <w:noProof/>
        </w:rPr>
        <w:t>.</w:t>
      </w:r>
      <w:r w:rsidRPr="00D7390C">
        <w:rPr>
          <w:noProof/>
        </w:rPr>
        <w:tab/>
        <w:t xml:space="preserve">Joint Committee on Vaccination and Immunisation. Joint Committee on Vaccination and Immunisation: interim advice on priority groups for COVID-19 vaccination. 2020 </w:t>
      </w:r>
      <w:r w:rsidR="001819EF">
        <w:rPr>
          <w:noProof/>
        </w:rPr>
        <w:t xml:space="preserve">June </w:t>
      </w:r>
      <w:r w:rsidRPr="00D7390C">
        <w:rPr>
          <w:noProof/>
        </w:rPr>
        <w:t xml:space="preserve">18 </w:t>
      </w:r>
      <w:r w:rsidR="001819EF">
        <w:rPr>
          <w:noProof/>
        </w:rPr>
        <w:t>[cited 2020 July 30]</w:t>
      </w:r>
      <w:r w:rsidRPr="00D7390C">
        <w:rPr>
          <w:noProof/>
        </w:rPr>
        <w:t>.</w:t>
      </w:r>
      <w:r w:rsidR="001819EF">
        <w:rPr>
          <w:noProof/>
        </w:rPr>
        <w:t xml:space="preserve"> Available from:</w:t>
      </w:r>
      <w:r w:rsidR="001819EF" w:rsidRPr="001819EF">
        <w:t xml:space="preserve"> </w:t>
      </w:r>
      <w:hyperlink r:id="rId19" w:history="1">
        <w:r w:rsidR="001819EF" w:rsidRPr="00E631AA">
          <w:rPr>
            <w:rStyle w:val="Hyperlink"/>
            <w:noProof/>
          </w:rPr>
          <w:t>https://www.gov.uk/government/publications/priority-groups-for-coronavirus-covid-19-vaccination-advice-from-the-jcvi/interim-advice-on-priority-groups-for-covid-19-vaccination</w:t>
        </w:r>
      </w:hyperlink>
      <w:r w:rsidR="001819EF">
        <w:rPr>
          <w:noProof/>
        </w:rPr>
        <w:t xml:space="preserve">. </w:t>
      </w:r>
    </w:p>
    <w:p w14:paraId="16EB25AE" w14:textId="054D4224" w:rsidR="00D7390C" w:rsidRPr="00D7390C" w:rsidRDefault="00D7390C" w:rsidP="00590C05">
      <w:pPr>
        <w:rPr>
          <w:noProof/>
        </w:rPr>
      </w:pPr>
      <w:r w:rsidRPr="00D7390C">
        <w:rPr>
          <w:noProof/>
        </w:rPr>
        <w:t>1</w:t>
      </w:r>
      <w:r w:rsidR="00BC20ED">
        <w:rPr>
          <w:noProof/>
        </w:rPr>
        <w:t>6</w:t>
      </w:r>
      <w:r w:rsidRPr="00D7390C">
        <w:rPr>
          <w:noProof/>
        </w:rPr>
        <w:t>.</w:t>
      </w:r>
      <w:r w:rsidRPr="00D7390C">
        <w:rPr>
          <w:noProof/>
        </w:rPr>
        <w:tab/>
        <w:t xml:space="preserve">Coronavirus vaccination acceptability study (CoVAccS) 2020 [updated </w:t>
      </w:r>
      <w:r w:rsidR="001819EF">
        <w:rPr>
          <w:noProof/>
        </w:rPr>
        <w:t>2020</w:t>
      </w:r>
      <w:r w:rsidRPr="00D7390C">
        <w:rPr>
          <w:noProof/>
        </w:rPr>
        <w:t xml:space="preserve"> August </w:t>
      </w:r>
      <w:r w:rsidR="001819EF">
        <w:rPr>
          <w:noProof/>
        </w:rPr>
        <w:t>1</w:t>
      </w:r>
      <w:r w:rsidRPr="00D7390C">
        <w:rPr>
          <w:noProof/>
        </w:rPr>
        <w:t>0</w:t>
      </w:r>
      <w:r w:rsidR="001819EF">
        <w:rPr>
          <w:noProof/>
        </w:rPr>
        <w:t>; cited 2020 August 11]</w:t>
      </w:r>
      <w:r w:rsidRPr="00D7390C">
        <w:rPr>
          <w:noProof/>
        </w:rPr>
        <w:t xml:space="preserve">. Available from: </w:t>
      </w:r>
      <w:hyperlink r:id="rId20" w:history="1">
        <w:r w:rsidR="00590C05" w:rsidRPr="00E631AA">
          <w:rPr>
            <w:rStyle w:val="Hyperlink"/>
          </w:rPr>
          <w:t>https://osf.io/94856/?view_only=c85fd2666a204c67b2c41f0ded105ec2</w:t>
        </w:r>
      </w:hyperlink>
      <w:r w:rsidRPr="00D7390C">
        <w:rPr>
          <w:noProof/>
        </w:rPr>
        <w:t>.</w:t>
      </w:r>
    </w:p>
    <w:p w14:paraId="6E3503FC" w14:textId="7FEEFF98" w:rsidR="00D7390C" w:rsidRPr="00D7390C" w:rsidRDefault="00D7390C" w:rsidP="00590C05">
      <w:pPr>
        <w:rPr>
          <w:noProof/>
        </w:rPr>
      </w:pPr>
      <w:r w:rsidRPr="00D7390C">
        <w:rPr>
          <w:noProof/>
        </w:rPr>
        <w:t>1</w:t>
      </w:r>
      <w:r w:rsidR="00BC20ED">
        <w:rPr>
          <w:noProof/>
        </w:rPr>
        <w:t>7</w:t>
      </w:r>
      <w:r w:rsidRPr="00D7390C">
        <w:rPr>
          <w:noProof/>
        </w:rPr>
        <w:t>.</w:t>
      </w:r>
      <w:r w:rsidRPr="00D7390C">
        <w:rPr>
          <w:noProof/>
        </w:rPr>
        <w:tab/>
        <w:t>Rubin GJ, Bakhshi S, Aml</w:t>
      </w:r>
      <w:r w:rsidR="000C1816">
        <w:rPr>
          <w:noProof/>
        </w:rPr>
        <w:t>ô</w:t>
      </w:r>
      <w:r w:rsidRPr="00D7390C">
        <w:rPr>
          <w:noProof/>
        </w:rPr>
        <w:t>t R, Fear N, Potts HWW, Michie S. The design of a survey questionnaire to measure perceptions and behaviour during an influenza pandemic: the Flu TElephone Survey Template (FluTEST). Health Services and Delivery Research. 2014;2(41).</w:t>
      </w:r>
      <w:r w:rsidR="001819EF">
        <w:rPr>
          <w:noProof/>
        </w:rPr>
        <w:t xml:space="preserve"> doi: </w:t>
      </w:r>
      <w:r w:rsidR="001819EF" w:rsidRPr="001819EF">
        <w:rPr>
          <w:noProof/>
        </w:rPr>
        <w:t>10.3310/hsdr02410</w:t>
      </w:r>
      <w:r w:rsidR="001819EF">
        <w:rPr>
          <w:noProof/>
        </w:rPr>
        <w:t>.</w:t>
      </w:r>
    </w:p>
    <w:p w14:paraId="4C8D0E10" w14:textId="0ED063FB" w:rsidR="00D7390C" w:rsidRPr="00D7390C" w:rsidRDefault="00D7390C" w:rsidP="00590C05">
      <w:pPr>
        <w:rPr>
          <w:noProof/>
        </w:rPr>
      </w:pPr>
      <w:r w:rsidRPr="00D7390C">
        <w:rPr>
          <w:noProof/>
        </w:rPr>
        <w:t>1</w:t>
      </w:r>
      <w:r w:rsidR="00BC20ED">
        <w:rPr>
          <w:noProof/>
        </w:rPr>
        <w:t>8</w:t>
      </w:r>
      <w:r w:rsidRPr="00D7390C">
        <w:rPr>
          <w:noProof/>
        </w:rPr>
        <w:t>.</w:t>
      </w:r>
      <w:r w:rsidRPr="00D7390C">
        <w:rPr>
          <w:noProof/>
        </w:rPr>
        <w:tab/>
        <w:t>Lee Mortensen G, Adam M, Idtaleb L. Parental attitudes towards male human papillomavirus vaccination: a pan-European cross-sectional survey. BMC Public Health. 2015;15:624.</w:t>
      </w:r>
      <w:r w:rsidR="001819EF">
        <w:rPr>
          <w:noProof/>
        </w:rPr>
        <w:t xml:space="preserve"> doi: </w:t>
      </w:r>
      <w:r w:rsidR="001819EF" w:rsidRPr="001819EF">
        <w:rPr>
          <w:noProof/>
        </w:rPr>
        <w:t>10.1186/s12889-015-1863-6</w:t>
      </w:r>
      <w:r w:rsidR="001819EF">
        <w:rPr>
          <w:noProof/>
        </w:rPr>
        <w:t>.</w:t>
      </w:r>
    </w:p>
    <w:p w14:paraId="72BB7C15" w14:textId="6B984E1A" w:rsidR="00D7390C" w:rsidRPr="00D7390C" w:rsidRDefault="00D7390C" w:rsidP="00590C05">
      <w:pPr>
        <w:rPr>
          <w:noProof/>
        </w:rPr>
      </w:pPr>
      <w:r w:rsidRPr="00D7390C">
        <w:rPr>
          <w:noProof/>
        </w:rPr>
        <w:lastRenderedPageBreak/>
        <w:t>1</w:t>
      </w:r>
      <w:r w:rsidR="00BC20ED">
        <w:rPr>
          <w:noProof/>
        </w:rPr>
        <w:t>9</w:t>
      </w:r>
      <w:r w:rsidRPr="00D7390C">
        <w:rPr>
          <w:noProof/>
        </w:rPr>
        <w:t>.</w:t>
      </w:r>
      <w:r w:rsidRPr="00D7390C">
        <w:rPr>
          <w:noProof/>
        </w:rPr>
        <w:tab/>
        <w:t>Myers LB, Goodwin R. Determinants of adults' intention to vaccinate against pandemic swine flu. BMC Public Health. 2011;11(1):15.</w:t>
      </w:r>
      <w:r w:rsidR="001819EF">
        <w:rPr>
          <w:noProof/>
        </w:rPr>
        <w:t xml:space="preserve"> doi: </w:t>
      </w:r>
      <w:r w:rsidR="001819EF" w:rsidRPr="001819EF">
        <w:rPr>
          <w:noProof/>
        </w:rPr>
        <w:t>10.1186/1471-2458-11-15</w:t>
      </w:r>
    </w:p>
    <w:p w14:paraId="59232BE1" w14:textId="0D0B282A" w:rsidR="00D7390C" w:rsidRPr="00D7390C" w:rsidRDefault="00BC20ED" w:rsidP="00590C05">
      <w:pPr>
        <w:rPr>
          <w:noProof/>
        </w:rPr>
      </w:pPr>
      <w:r>
        <w:rPr>
          <w:noProof/>
        </w:rPr>
        <w:t>20</w:t>
      </w:r>
      <w:r w:rsidR="00D7390C" w:rsidRPr="00D7390C">
        <w:rPr>
          <w:noProof/>
        </w:rPr>
        <w:t>.</w:t>
      </w:r>
      <w:r w:rsidR="00D7390C" w:rsidRPr="00D7390C">
        <w:rPr>
          <w:noProof/>
        </w:rPr>
        <w:tab/>
        <w:t>Wheelock A, Miraldo M, Thomson A, Vincent C, Sevdalis N. Evaluating the importance of policy amenable factors in explaining influenza vaccination: a cross-sectional multinational study. BMJ Open. 2017;7(7):e014668.</w:t>
      </w:r>
      <w:r w:rsidR="001819EF">
        <w:rPr>
          <w:noProof/>
        </w:rPr>
        <w:t xml:space="preserve"> doi: </w:t>
      </w:r>
      <w:r w:rsidR="001819EF" w:rsidRPr="001819EF">
        <w:rPr>
          <w:noProof/>
        </w:rPr>
        <w:t>10.1136/bmjopen-2016-014668</w:t>
      </w:r>
    </w:p>
    <w:p w14:paraId="33EB6134" w14:textId="18242868" w:rsidR="00D7390C" w:rsidRPr="00D7390C" w:rsidRDefault="00BC20ED" w:rsidP="00590C05">
      <w:pPr>
        <w:rPr>
          <w:noProof/>
        </w:rPr>
      </w:pPr>
      <w:r>
        <w:rPr>
          <w:noProof/>
        </w:rPr>
        <w:t>21</w:t>
      </w:r>
      <w:r w:rsidR="00D7390C" w:rsidRPr="00D7390C">
        <w:rPr>
          <w:noProof/>
        </w:rPr>
        <w:t>.</w:t>
      </w:r>
      <w:r w:rsidR="00D7390C" w:rsidRPr="00D7390C">
        <w:rPr>
          <w:noProof/>
        </w:rPr>
        <w:tab/>
        <w:t xml:space="preserve">Smith LE, Mottershaw AL, Egan M, Waller J, Marteau TM, Rubin GJ. The impact of believing you have had COVID-19 on behaviour: </w:t>
      </w:r>
      <w:r w:rsidR="00EA4BEA">
        <w:rPr>
          <w:noProof/>
        </w:rPr>
        <w:t>c</w:t>
      </w:r>
      <w:r w:rsidR="00D7390C" w:rsidRPr="00D7390C">
        <w:rPr>
          <w:noProof/>
        </w:rPr>
        <w:t>ross-sectional survey. medRxiv</w:t>
      </w:r>
      <w:r w:rsidR="001819EF">
        <w:rPr>
          <w:noProof/>
        </w:rPr>
        <w:t xml:space="preserve"> [Preprint]</w:t>
      </w:r>
      <w:r w:rsidR="00D7390C" w:rsidRPr="00D7390C">
        <w:rPr>
          <w:noProof/>
        </w:rPr>
        <w:t>. 2020</w:t>
      </w:r>
      <w:r w:rsidR="001819EF">
        <w:rPr>
          <w:noProof/>
        </w:rPr>
        <w:t xml:space="preserve"> [cited 2020 July 30]</w:t>
      </w:r>
      <w:r w:rsidR="00D7390C" w:rsidRPr="00D7390C">
        <w:rPr>
          <w:noProof/>
        </w:rPr>
        <w:t>.</w:t>
      </w:r>
      <w:r w:rsidR="001819EF">
        <w:rPr>
          <w:noProof/>
        </w:rPr>
        <w:t xml:space="preserve"> Available from: </w:t>
      </w:r>
      <w:hyperlink r:id="rId21" w:history="1">
        <w:r w:rsidR="001819EF">
          <w:rPr>
            <w:rStyle w:val="Hyperlink"/>
          </w:rPr>
          <w:t>https://www.medrxiv.org/content/10.1101/2020.04.30.20086223v1</w:t>
        </w:r>
      </w:hyperlink>
      <w:r w:rsidR="001819EF">
        <w:rPr>
          <w:noProof/>
        </w:rPr>
        <w:t xml:space="preserve"> doi: </w:t>
      </w:r>
      <w:r w:rsidR="001819EF" w:rsidRPr="001819EF">
        <w:rPr>
          <w:noProof/>
        </w:rPr>
        <w:t>10.1101/2020.04.30.20086223</w:t>
      </w:r>
    </w:p>
    <w:p w14:paraId="3056B730" w14:textId="3E2EE26B" w:rsidR="00D7390C" w:rsidRPr="00D7390C" w:rsidRDefault="00957488" w:rsidP="00590C05">
      <w:pPr>
        <w:rPr>
          <w:noProof/>
        </w:rPr>
      </w:pPr>
      <w:r>
        <w:rPr>
          <w:noProof/>
        </w:rPr>
        <w:t>2</w:t>
      </w:r>
      <w:r w:rsidR="00BC20ED">
        <w:rPr>
          <w:noProof/>
        </w:rPr>
        <w:t>2</w:t>
      </w:r>
      <w:r w:rsidR="00D7390C" w:rsidRPr="00D7390C">
        <w:rPr>
          <w:noProof/>
        </w:rPr>
        <w:t>.</w:t>
      </w:r>
      <w:r w:rsidR="00D7390C" w:rsidRPr="00D7390C">
        <w:rPr>
          <w:noProof/>
        </w:rPr>
        <w:tab/>
        <w:t xml:space="preserve">Riley RD, Snell KIE, Ensor J, Burke DL, Harrell FE, Moons KGM, et al. Minimum sample size for developing a multivariable prediction model: </w:t>
      </w:r>
      <w:r w:rsidR="00EA4BEA">
        <w:rPr>
          <w:noProof/>
        </w:rPr>
        <w:t>p</w:t>
      </w:r>
      <w:r w:rsidR="00D7390C" w:rsidRPr="00D7390C">
        <w:rPr>
          <w:noProof/>
        </w:rPr>
        <w:t xml:space="preserve">art I – Continuous outcomes. Stat </w:t>
      </w:r>
      <w:r w:rsidR="001D1443">
        <w:rPr>
          <w:noProof/>
        </w:rPr>
        <w:t>Med</w:t>
      </w:r>
      <w:r w:rsidR="00D7390C" w:rsidRPr="00D7390C">
        <w:rPr>
          <w:noProof/>
        </w:rPr>
        <w:t>. 2019;38(7):1262-75.</w:t>
      </w:r>
      <w:r w:rsidR="001819EF">
        <w:rPr>
          <w:noProof/>
        </w:rPr>
        <w:t xml:space="preserve"> doi: </w:t>
      </w:r>
      <w:r w:rsidR="001819EF" w:rsidRPr="001819EF">
        <w:rPr>
          <w:noProof/>
        </w:rPr>
        <w:t>10.1002/sim.7993</w:t>
      </w:r>
    </w:p>
    <w:p w14:paraId="4D4CFE12" w14:textId="27B0F2B1" w:rsidR="00D7390C" w:rsidRDefault="00D7390C" w:rsidP="00590C05">
      <w:pPr>
        <w:rPr>
          <w:noProof/>
        </w:rPr>
      </w:pPr>
      <w:r w:rsidRPr="00D7390C">
        <w:rPr>
          <w:noProof/>
        </w:rPr>
        <w:t>2</w:t>
      </w:r>
      <w:r w:rsidR="00BC20ED">
        <w:rPr>
          <w:noProof/>
        </w:rPr>
        <w:t>3</w:t>
      </w:r>
      <w:r w:rsidRPr="00D7390C">
        <w:rPr>
          <w:noProof/>
        </w:rPr>
        <w:t>.</w:t>
      </w:r>
      <w:r w:rsidRPr="00D7390C">
        <w:rPr>
          <w:noProof/>
        </w:rPr>
        <w:tab/>
        <w:t>Anderson RM, Hollingsworth TD, Baggaley RF, Maddren R, Vegvari C. COVID-19 spread in the UK: the end of the beginning? The Lancet. 2020.</w:t>
      </w:r>
      <w:r w:rsidR="001819EF">
        <w:rPr>
          <w:noProof/>
        </w:rPr>
        <w:t xml:space="preserve"> doi: </w:t>
      </w:r>
      <w:r w:rsidR="001819EF" w:rsidRPr="001819EF">
        <w:rPr>
          <w:noProof/>
        </w:rPr>
        <w:t>10.1016/S0140-6736(20)31689-5</w:t>
      </w:r>
    </w:p>
    <w:p w14:paraId="6AA189DD" w14:textId="180D1033" w:rsidR="000D0824" w:rsidRDefault="000D0824" w:rsidP="00590C05">
      <w:pPr>
        <w:rPr>
          <w:noProof/>
        </w:rPr>
      </w:pPr>
      <w:r>
        <w:rPr>
          <w:noProof/>
        </w:rPr>
        <w:t>2</w:t>
      </w:r>
      <w:r w:rsidR="00BC20ED">
        <w:rPr>
          <w:noProof/>
        </w:rPr>
        <w:t>4</w:t>
      </w:r>
      <w:r>
        <w:rPr>
          <w:noProof/>
        </w:rPr>
        <w:t xml:space="preserve">. </w:t>
      </w:r>
      <w:r>
        <w:rPr>
          <w:noProof/>
        </w:rPr>
        <w:tab/>
      </w:r>
      <w:r w:rsidRPr="000D0824">
        <w:rPr>
          <w:noProof/>
        </w:rPr>
        <w:t>Britton T, Ball F, Trapman P. A mathematical model reveals the influence of population heterogeneity on herd immunity to SARS-CoV-2. Science. 2020</w:t>
      </w:r>
      <w:r>
        <w:rPr>
          <w:noProof/>
        </w:rPr>
        <w:t>;</w:t>
      </w:r>
      <w:r w:rsidRPr="000D0824">
        <w:rPr>
          <w:noProof/>
        </w:rPr>
        <w:t>369(6505):846-9.</w:t>
      </w:r>
    </w:p>
    <w:p w14:paraId="44C9A0EB" w14:textId="6FAC07D9" w:rsidR="0063016A" w:rsidRPr="00D7390C" w:rsidRDefault="0063016A" w:rsidP="00590C05">
      <w:pPr>
        <w:rPr>
          <w:noProof/>
        </w:rPr>
      </w:pPr>
      <w:r>
        <w:rPr>
          <w:noProof/>
        </w:rPr>
        <w:t>2</w:t>
      </w:r>
      <w:r w:rsidR="00BC20ED">
        <w:rPr>
          <w:noProof/>
        </w:rPr>
        <w:t>5</w:t>
      </w:r>
      <w:r>
        <w:rPr>
          <w:noProof/>
        </w:rPr>
        <w:t>.</w:t>
      </w:r>
      <w:r>
        <w:rPr>
          <w:noProof/>
        </w:rPr>
        <w:tab/>
      </w:r>
      <w:r w:rsidRPr="0063016A">
        <w:rPr>
          <w:noProof/>
        </w:rPr>
        <w:t>Gomes MG, Aguas R, Corder RM, King JG, Langwig KE, Souto-Maior C, Carneiro J, Ferreira MU, Penha-Goncalves C. Individual variation in susceptibility or exposure to SARS-CoV-2 lowers the herd immunity threshold. medRxiv. 2020</w:t>
      </w:r>
      <w:r>
        <w:rPr>
          <w:noProof/>
        </w:rPr>
        <w:t xml:space="preserve">. </w:t>
      </w:r>
      <w:r w:rsidRPr="0063016A">
        <w:rPr>
          <w:noProof/>
        </w:rPr>
        <w:t>doi:10.1101/2020.04.27.20081893</w:t>
      </w:r>
    </w:p>
    <w:p w14:paraId="4A3A9CA2" w14:textId="4A5B2D11" w:rsidR="00D7390C" w:rsidRDefault="00D7390C" w:rsidP="00590C05">
      <w:pPr>
        <w:rPr>
          <w:noProof/>
        </w:rPr>
      </w:pPr>
      <w:r w:rsidRPr="00D7390C">
        <w:rPr>
          <w:noProof/>
        </w:rPr>
        <w:t>2</w:t>
      </w:r>
      <w:r w:rsidR="00BC20ED">
        <w:rPr>
          <w:noProof/>
        </w:rPr>
        <w:t>6</w:t>
      </w:r>
      <w:r w:rsidRPr="00D7390C">
        <w:rPr>
          <w:noProof/>
        </w:rPr>
        <w:t>.</w:t>
      </w:r>
      <w:r w:rsidRPr="00D7390C">
        <w:rPr>
          <w:noProof/>
        </w:rPr>
        <w:tab/>
        <w:t>Sniehotta FF, Scholz U, Schwarzer R. Bridging the intention-behaviour gap: Planning, self-efficacy, and action control in the adoption and maintenance of physical exercise. Psychol Health. 2005;20(2):143-60.</w:t>
      </w:r>
      <w:r w:rsidR="001819EF">
        <w:rPr>
          <w:noProof/>
        </w:rPr>
        <w:t xml:space="preserve"> doi: </w:t>
      </w:r>
      <w:r w:rsidR="001819EF" w:rsidRPr="001819EF">
        <w:rPr>
          <w:noProof/>
        </w:rPr>
        <w:t>10.1080/08870440512331317670</w:t>
      </w:r>
    </w:p>
    <w:p w14:paraId="0929FBBA" w14:textId="1A799970" w:rsidR="00F970A1" w:rsidRPr="00D7390C" w:rsidRDefault="00F970A1" w:rsidP="00590C05">
      <w:pPr>
        <w:rPr>
          <w:noProof/>
        </w:rPr>
      </w:pPr>
      <w:r>
        <w:rPr>
          <w:noProof/>
        </w:rPr>
        <w:t>2</w:t>
      </w:r>
      <w:r w:rsidR="00BC20ED">
        <w:rPr>
          <w:noProof/>
        </w:rPr>
        <w:t>7</w:t>
      </w:r>
      <w:r>
        <w:rPr>
          <w:noProof/>
        </w:rPr>
        <w:t>.</w:t>
      </w:r>
      <w:r>
        <w:rPr>
          <w:noProof/>
        </w:rPr>
        <w:tab/>
      </w:r>
      <w:r w:rsidRPr="00F970A1">
        <w:rPr>
          <w:noProof/>
        </w:rPr>
        <w:t>Cyranoski D, Mallapaty S. Scientists relieved as coronavirus vaccine trial restarts-but question lack of transparency. Nature. 2020</w:t>
      </w:r>
      <w:r>
        <w:rPr>
          <w:noProof/>
        </w:rPr>
        <w:t>;</w:t>
      </w:r>
      <w:r w:rsidRPr="00F970A1">
        <w:rPr>
          <w:noProof/>
        </w:rPr>
        <w:t>585(7825):331-2.</w:t>
      </w:r>
    </w:p>
    <w:p w14:paraId="3525EE82" w14:textId="26DCCAEE" w:rsidR="00D7390C" w:rsidRPr="00D7390C" w:rsidRDefault="00D7390C" w:rsidP="00590C05">
      <w:pPr>
        <w:rPr>
          <w:noProof/>
        </w:rPr>
      </w:pPr>
      <w:r w:rsidRPr="00D7390C">
        <w:rPr>
          <w:noProof/>
        </w:rPr>
        <w:t>2</w:t>
      </w:r>
      <w:r w:rsidR="00BC20ED">
        <w:rPr>
          <w:noProof/>
        </w:rPr>
        <w:t>8</w:t>
      </w:r>
      <w:r w:rsidRPr="00D7390C">
        <w:rPr>
          <w:noProof/>
        </w:rPr>
        <w:t>.</w:t>
      </w:r>
      <w:r w:rsidRPr="00D7390C">
        <w:rPr>
          <w:noProof/>
        </w:rPr>
        <w:tab/>
        <w:t>Slovic P. Perception of risk. Science. 1987;236(4799):280-5.</w:t>
      </w:r>
    </w:p>
    <w:p w14:paraId="0BB14D7A" w14:textId="7F61D98F" w:rsidR="00D7390C" w:rsidRPr="00D7390C" w:rsidRDefault="00D7390C" w:rsidP="00590C05">
      <w:pPr>
        <w:rPr>
          <w:noProof/>
        </w:rPr>
      </w:pPr>
      <w:r w:rsidRPr="00D7390C">
        <w:rPr>
          <w:noProof/>
        </w:rPr>
        <w:t>2</w:t>
      </w:r>
      <w:r w:rsidR="00BC20ED">
        <w:rPr>
          <w:noProof/>
        </w:rPr>
        <w:t>9</w:t>
      </w:r>
      <w:r w:rsidRPr="00D7390C">
        <w:rPr>
          <w:noProof/>
        </w:rPr>
        <w:t>.</w:t>
      </w:r>
      <w:r w:rsidRPr="00D7390C">
        <w:rPr>
          <w:noProof/>
        </w:rPr>
        <w:tab/>
        <w:t xml:space="preserve">Gostin LO, Salmon DA. The </w:t>
      </w:r>
      <w:r w:rsidR="000C1816">
        <w:rPr>
          <w:noProof/>
        </w:rPr>
        <w:t>d</w:t>
      </w:r>
      <w:r w:rsidRPr="00D7390C">
        <w:rPr>
          <w:noProof/>
        </w:rPr>
        <w:t xml:space="preserve">ual </w:t>
      </w:r>
      <w:r w:rsidR="000C1816">
        <w:rPr>
          <w:noProof/>
        </w:rPr>
        <w:t>e</w:t>
      </w:r>
      <w:r w:rsidRPr="00D7390C">
        <w:rPr>
          <w:noProof/>
        </w:rPr>
        <w:t xml:space="preserve">pidemics of COVID-19 and </w:t>
      </w:r>
      <w:r w:rsidR="000C1816">
        <w:rPr>
          <w:noProof/>
        </w:rPr>
        <w:t>i</w:t>
      </w:r>
      <w:r w:rsidRPr="00D7390C">
        <w:rPr>
          <w:noProof/>
        </w:rPr>
        <w:t xml:space="preserve">nfluenza: </w:t>
      </w:r>
      <w:r w:rsidR="00EA4BEA">
        <w:rPr>
          <w:noProof/>
        </w:rPr>
        <w:t>v</w:t>
      </w:r>
      <w:r w:rsidRPr="00D7390C">
        <w:rPr>
          <w:noProof/>
        </w:rPr>
        <w:t xml:space="preserve">accine </w:t>
      </w:r>
      <w:r w:rsidR="00EA4BEA">
        <w:rPr>
          <w:noProof/>
        </w:rPr>
        <w:t>a</w:t>
      </w:r>
      <w:r w:rsidRPr="00D7390C">
        <w:rPr>
          <w:noProof/>
        </w:rPr>
        <w:t xml:space="preserve">cceptance, </w:t>
      </w:r>
      <w:r w:rsidR="00EA4BEA">
        <w:rPr>
          <w:noProof/>
        </w:rPr>
        <w:t>c</w:t>
      </w:r>
      <w:r w:rsidRPr="00D7390C">
        <w:rPr>
          <w:noProof/>
        </w:rPr>
        <w:t xml:space="preserve">overage, and </w:t>
      </w:r>
      <w:r w:rsidR="00EA4BEA">
        <w:rPr>
          <w:noProof/>
        </w:rPr>
        <w:t>m</w:t>
      </w:r>
      <w:r w:rsidRPr="00D7390C">
        <w:rPr>
          <w:noProof/>
        </w:rPr>
        <w:t>andates. JAMA. 2020.</w:t>
      </w:r>
      <w:r w:rsidR="001819EF">
        <w:rPr>
          <w:noProof/>
        </w:rPr>
        <w:t xml:space="preserve"> doi: </w:t>
      </w:r>
      <w:r w:rsidR="001819EF" w:rsidRPr="001819EF">
        <w:rPr>
          <w:noProof/>
        </w:rPr>
        <w:t>10.1001/jama.2020.10802</w:t>
      </w:r>
    </w:p>
    <w:p w14:paraId="213C9BD6" w14:textId="3A69E6EB" w:rsidR="00D7390C" w:rsidRPr="00D7390C" w:rsidRDefault="00BC20ED" w:rsidP="00590C05">
      <w:pPr>
        <w:rPr>
          <w:noProof/>
        </w:rPr>
      </w:pPr>
      <w:r>
        <w:rPr>
          <w:noProof/>
        </w:rPr>
        <w:lastRenderedPageBreak/>
        <w:t>30</w:t>
      </w:r>
      <w:r w:rsidR="00D7390C" w:rsidRPr="00D7390C">
        <w:rPr>
          <w:noProof/>
        </w:rPr>
        <w:t>.</w:t>
      </w:r>
      <w:r w:rsidR="00D7390C" w:rsidRPr="00D7390C">
        <w:rPr>
          <w:noProof/>
        </w:rPr>
        <w:tab/>
        <w:t>Public Health England. Surveillance of influenza and other respiratory viruses in the United Kingdom: winter 2019 to 2020. London; 2020.</w:t>
      </w:r>
      <w:r w:rsidR="00973400">
        <w:rPr>
          <w:noProof/>
        </w:rPr>
        <w:t xml:space="preserve"> Available from: </w:t>
      </w:r>
      <w:hyperlink r:id="rId22" w:history="1">
        <w:r w:rsidR="00973400" w:rsidRPr="00E631AA">
          <w:rPr>
            <w:rStyle w:val="Hyperlink"/>
            <w:noProof/>
          </w:rPr>
          <w:t>https://assets.publishing.service.gov.uk/government/uploads/system/uploads/attachment_data/file/895233/Surveillance_Influenza_and_other_respiratory_viruses_in_the_UK_2019_to_2020_FINAL.pdf</w:t>
        </w:r>
      </w:hyperlink>
      <w:r w:rsidR="00973400">
        <w:rPr>
          <w:noProof/>
        </w:rPr>
        <w:t xml:space="preserve">. </w:t>
      </w:r>
    </w:p>
    <w:p w14:paraId="3BFC19B7" w14:textId="443B49D5" w:rsidR="00D7390C" w:rsidRDefault="00BC20ED" w:rsidP="00590C05">
      <w:pPr>
        <w:rPr>
          <w:noProof/>
        </w:rPr>
      </w:pPr>
      <w:r>
        <w:rPr>
          <w:noProof/>
        </w:rPr>
        <w:t>31</w:t>
      </w:r>
      <w:r w:rsidR="00D7390C" w:rsidRPr="00D7390C">
        <w:rPr>
          <w:noProof/>
        </w:rPr>
        <w:t>.</w:t>
      </w:r>
      <w:r w:rsidR="00D7390C" w:rsidRPr="00D7390C">
        <w:rPr>
          <w:noProof/>
        </w:rPr>
        <w:tab/>
        <w:t>Larson HJ, Wilson R, Hanley S, Parys A, Paterson P. Tracking the global spread of vaccine sentiments: the global response to Japan's suspension of its HPV vaccine recommendation. Hum Vaccin Immunother. 2014;10(9):2543-50.</w:t>
      </w:r>
      <w:r w:rsidR="000C1816">
        <w:rPr>
          <w:noProof/>
        </w:rPr>
        <w:t xml:space="preserve"> </w:t>
      </w:r>
      <w:r w:rsidR="00973400">
        <w:rPr>
          <w:noProof/>
        </w:rPr>
        <w:t>doi:</w:t>
      </w:r>
      <w:r w:rsidR="00973400" w:rsidRPr="00973400">
        <w:t xml:space="preserve"> </w:t>
      </w:r>
      <w:r w:rsidR="00973400" w:rsidRPr="00973400">
        <w:rPr>
          <w:noProof/>
        </w:rPr>
        <w:t>10.4161/21645515.2014.969618</w:t>
      </w:r>
    </w:p>
    <w:p w14:paraId="1139B283" w14:textId="152ACA7A" w:rsidR="000458AB" w:rsidRPr="00D7390C" w:rsidRDefault="00F970A1" w:rsidP="00590C05">
      <w:pPr>
        <w:rPr>
          <w:noProof/>
        </w:rPr>
      </w:pPr>
      <w:r>
        <w:rPr>
          <w:noProof/>
        </w:rPr>
        <w:t>3</w:t>
      </w:r>
      <w:r w:rsidR="00BC20ED">
        <w:rPr>
          <w:noProof/>
        </w:rPr>
        <w:t>2</w:t>
      </w:r>
      <w:r w:rsidR="000458AB">
        <w:rPr>
          <w:noProof/>
        </w:rPr>
        <w:t>.</w:t>
      </w:r>
      <w:r w:rsidR="000458AB">
        <w:rPr>
          <w:noProof/>
        </w:rPr>
        <w:tab/>
      </w:r>
      <w:r w:rsidR="000458AB" w:rsidRPr="000458AB">
        <w:rPr>
          <w:noProof/>
        </w:rPr>
        <w:t xml:space="preserve">Kang SJ, Jung SI. Age-related morbidity and mortality among patients with COVID-19. Infect </w:t>
      </w:r>
      <w:r w:rsidR="000458AB">
        <w:rPr>
          <w:noProof/>
        </w:rPr>
        <w:t>C</w:t>
      </w:r>
      <w:r w:rsidR="000458AB" w:rsidRPr="000458AB">
        <w:rPr>
          <w:noProof/>
        </w:rPr>
        <w:t>hemother. 2020;52(2):154</w:t>
      </w:r>
      <w:r w:rsidR="000458AB">
        <w:rPr>
          <w:noProof/>
        </w:rPr>
        <w:t>-164</w:t>
      </w:r>
      <w:r w:rsidR="000458AB" w:rsidRPr="000458AB">
        <w:rPr>
          <w:noProof/>
        </w:rPr>
        <w:t>.</w:t>
      </w:r>
    </w:p>
    <w:p w14:paraId="3DEBC9B3" w14:textId="6DBA7B81" w:rsidR="00D7390C" w:rsidRPr="00D7390C" w:rsidRDefault="0063016A" w:rsidP="00590C05">
      <w:pPr>
        <w:rPr>
          <w:noProof/>
        </w:rPr>
      </w:pPr>
      <w:r>
        <w:rPr>
          <w:noProof/>
        </w:rPr>
        <w:t>3</w:t>
      </w:r>
      <w:r w:rsidR="00BC20ED">
        <w:rPr>
          <w:noProof/>
        </w:rPr>
        <w:t>3</w:t>
      </w:r>
      <w:r w:rsidR="00D7390C" w:rsidRPr="00D7390C">
        <w:rPr>
          <w:noProof/>
        </w:rPr>
        <w:t>.</w:t>
      </w:r>
      <w:r w:rsidR="00D7390C" w:rsidRPr="00D7390C">
        <w:rPr>
          <w:noProof/>
        </w:rPr>
        <w:tab/>
        <w:t xml:space="preserve">Wright KB. Researching </w:t>
      </w:r>
      <w:r w:rsidR="001D1443">
        <w:rPr>
          <w:noProof/>
        </w:rPr>
        <w:t>i</w:t>
      </w:r>
      <w:r w:rsidR="00D7390C" w:rsidRPr="00D7390C">
        <w:rPr>
          <w:noProof/>
        </w:rPr>
        <w:t>nternet-</w:t>
      </w:r>
      <w:r w:rsidR="001D1443">
        <w:rPr>
          <w:noProof/>
        </w:rPr>
        <w:t>b</w:t>
      </w:r>
      <w:r w:rsidR="00D7390C" w:rsidRPr="00D7390C">
        <w:rPr>
          <w:noProof/>
        </w:rPr>
        <w:t xml:space="preserve">ased </w:t>
      </w:r>
      <w:r w:rsidR="001D1443">
        <w:rPr>
          <w:noProof/>
        </w:rPr>
        <w:t>p</w:t>
      </w:r>
      <w:r w:rsidR="00D7390C" w:rsidRPr="00D7390C">
        <w:rPr>
          <w:noProof/>
        </w:rPr>
        <w:t xml:space="preserve">opulations </w:t>
      </w:r>
      <w:r w:rsidR="001D1443">
        <w:rPr>
          <w:noProof/>
        </w:rPr>
        <w:t>a</w:t>
      </w:r>
      <w:r w:rsidR="00D7390C" w:rsidRPr="00D7390C">
        <w:rPr>
          <w:noProof/>
        </w:rPr>
        <w:t xml:space="preserve">dvantages and </w:t>
      </w:r>
      <w:r w:rsidR="001D1443">
        <w:rPr>
          <w:noProof/>
        </w:rPr>
        <w:t>d</w:t>
      </w:r>
      <w:r w:rsidR="00D7390C" w:rsidRPr="00D7390C">
        <w:rPr>
          <w:noProof/>
        </w:rPr>
        <w:t xml:space="preserve">isadvantages of </w:t>
      </w:r>
      <w:r w:rsidR="001D1443">
        <w:rPr>
          <w:noProof/>
        </w:rPr>
        <w:t>o</w:t>
      </w:r>
      <w:r w:rsidR="00D7390C" w:rsidRPr="00D7390C">
        <w:rPr>
          <w:noProof/>
        </w:rPr>
        <w:t xml:space="preserve">nline </w:t>
      </w:r>
      <w:r w:rsidR="001D1443">
        <w:rPr>
          <w:noProof/>
        </w:rPr>
        <w:t>s</w:t>
      </w:r>
      <w:r w:rsidR="00D7390C" w:rsidRPr="00D7390C">
        <w:rPr>
          <w:noProof/>
        </w:rPr>
        <w:t xml:space="preserve">urvey </w:t>
      </w:r>
      <w:r w:rsidR="001D1443">
        <w:rPr>
          <w:noProof/>
        </w:rPr>
        <w:t>r</w:t>
      </w:r>
      <w:r w:rsidR="00D7390C" w:rsidRPr="00D7390C">
        <w:rPr>
          <w:noProof/>
        </w:rPr>
        <w:t xml:space="preserve">esearch, </w:t>
      </w:r>
      <w:r w:rsidR="001D1443">
        <w:rPr>
          <w:noProof/>
        </w:rPr>
        <w:t>o</w:t>
      </w:r>
      <w:r w:rsidR="00D7390C" w:rsidRPr="00D7390C">
        <w:rPr>
          <w:noProof/>
        </w:rPr>
        <w:t xml:space="preserve">nline </w:t>
      </w:r>
      <w:r w:rsidR="001D1443">
        <w:rPr>
          <w:noProof/>
        </w:rPr>
        <w:t>q</w:t>
      </w:r>
      <w:r w:rsidR="00D7390C" w:rsidRPr="00D7390C">
        <w:rPr>
          <w:noProof/>
        </w:rPr>
        <w:t xml:space="preserve">uestionnaire </w:t>
      </w:r>
      <w:r w:rsidR="001D1443">
        <w:rPr>
          <w:noProof/>
        </w:rPr>
        <w:t>a</w:t>
      </w:r>
      <w:r w:rsidR="00D7390C" w:rsidRPr="00D7390C">
        <w:rPr>
          <w:noProof/>
        </w:rPr>
        <w:t xml:space="preserve">uthoring </w:t>
      </w:r>
      <w:r w:rsidR="001D1443">
        <w:rPr>
          <w:noProof/>
        </w:rPr>
        <w:t>s</w:t>
      </w:r>
      <w:r w:rsidR="00D7390C" w:rsidRPr="00D7390C">
        <w:rPr>
          <w:noProof/>
        </w:rPr>
        <w:t xml:space="preserve">oftware </w:t>
      </w:r>
      <w:r w:rsidR="001D1443">
        <w:rPr>
          <w:noProof/>
        </w:rPr>
        <w:t>p</w:t>
      </w:r>
      <w:r w:rsidR="00D7390C" w:rsidRPr="00D7390C">
        <w:rPr>
          <w:noProof/>
        </w:rPr>
        <w:t xml:space="preserve">ackages, and </w:t>
      </w:r>
      <w:r w:rsidR="001D1443">
        <w:rPr>
          <w:noProof/>
        </w:rPr>
        <w:t>w</w:t>
      </w:r>
      <w:r w:rsidR="00D7390C" w:rsidRPr="00D7390C">
        <w:rPr>
          <w:noProof/>
        </w:rPr>
        <w:t xml:space="preserve">eb </w:t>
      </w:r>
      <w:r w:rsidR="001D1443">
        <w:rPr>
          <w:noProof/>
        </w:rPr>
        <w:t>s</w:t>
      </w:r>
      <w:r w:rsidR="00D7390C" w:rsidRPr="00D7390C">
        <w:rPr>
          <w:noProof/>
        </w:rPr>
        <w:t>urvey Services. J Comput</w:t>
      </w:r>
      <w:r w:rsidR="001D1443">
        <w:rPr>
          <w:noProof/>
        </w:rPr>
        <w:t xml:space="preserve"> </w:t>
      </w:r>
      <w:r w:rsidR="00D7390C" w:rsidRPr="00D7390C">
        <w:rPr>
          <w:noProof/>
        </w:rPr>
        <w:t>Media</w:t>
      </w:r>
      <w:r w:rsidR="001D1443">
        <w:rPr>
          <w:noProof/>
        </w:rPr>
        <w:t>t</w:t>
      </w:r>
      <w:r w:rsidR="00D7390C" w:rsidRPr="00D7390C">
        <w:rPr>
          <w:noProof/>
        </w:rPr>
        <w:t xml:space="preserve"> Commun. 2005; 10(3)</w:t>
      </w:r>
      <w:r w:rsidR="00973400">
        <w:rPr>
          <w:noProof/>
        </w:rPr>
        <w:t>. doi</w:t>
      </w:r>
      <w:r w:rsidR="00D7390C" w:rsidRPr="00D7390C">
        <w:rPr>
          <w:noProof/>
        </w:rPr>
        <w:t>:</w:t>
      </w:r>
      <w:r w:rsidR="00D7390C" w:rsidRPr="00FA70BB">
        <w:t>10.1111/j.1083-6101.2005.tb00259.x</w:t>
      </w:r>
      <w:r w:rsidR="00D7390C" w:rsidRPr="00D7390C">
        <w:rPr>
          <w:noProof/>
        </w:rPr>
        <w:t>.</w:t>
      </w:r>
    </w:p>
    <w:p w14:paraId="51CE16AA" w14:textId="5B01F95E" w:rsidR="00D7390C" w:rsidRPr="00D7390C" w:rsidRDefault="0063016A" w:rsidP="00590C05">
      <w:pPr>
        <w:rPr>
          <w:noProof/>
        </w:rPr>
      </w:pPr>
      <w:r>
        <w:rPr>
          <w:noProof/>
        </w:rPr>
        <w:t>3</w:t>
      </w:r>
      <w:r w:rsidR="00BC20ED">
        <w:rPr>
          <w:noProof/>
        </w:rPr>
        <w:t>4</w:t>
      </w:r>
      <w:r w:rsidR="00D7390C" w:rsidRPr="00D7390C">
        <w:rPr>
          <w:noProof/>
        </w:rPr>
        <w:t>.</w:t>
      </w:r>
      <w:r w:rsidR="00D7390C" w:rsidRPr="00D7390C">
        <w:rPr>
          <w:noProof/>
        </w:rPr>
        <w:tab/>
        <w:t>Office for National Statistics. Internet users, UK: 2019. 2019</w:t>
      </w:r>
      <w:r w:rsidR="00973400">
        <w:rPr>
          <w:noProof/>
        </w:rPr>
        <w:t xml:space="preserve"> [cited 2020 July 30]</w:t>
      </w:r>
      <w:r w:rsidR="00D7390C" w:rsidRPr="00D7390C">
        <w:rPr>
          <w:noProof/>
        </w:rPr>
        <w:t>.</w:t>
      </w:r>
      <w:r w:rsidR="00973400">
        <w:rPr>
          <w:noProof/>
        </w:rPr>
        <w:t xml:space="preserve"> Available from: </w:t>
      </w:r>
      <w:hyperlink r:id="rId23" w:history="1">
        <w:r w:rsidR="00973400" w:rsidRPr="00E631AA">
          <w:rPr>
            <w:rStyle w:val="Hyperlink"/>
            <w:noProof/>
          </w:rPr>
          <w:t>https://www.ons.gov.uk/businessindustryandtrade/itandinternetindustry/bulletins/internetusers/2019</w:t>
        </w:r>
      </w:hyperlink>
      <w:r w:rsidR="00973400">
        <w:rPr>
          <w:noProof/>
        </w:rPr>
        <w:t xml:space="preserve"> </w:t>
      </w:r>
    </w:p>
    <w:p w14:paraId="7694080A" w14:textId="26919028" w:rsidR="00D7390C" w:rsidRPr="00D7390C" w:rsidRDefault="000458AB" w:rsidP="00590C05">
      <w:pPr>
        <w:rPr>
          <w:noProof/>
        </w:rPr>
      </w:pPr>
      <w:r>
        <w:rPr>
          <w:noProof/>
        </w:rPr>
        <w:t>3</w:t>
      </w:r>
      <w:r w:rsidR="00BC20ED">
        <w:rPr>
          <w:noProof/>
        </w:rPr>
        <w:t>5</w:t>
      </w:r>
      <w:r w:rsidR="00D7390C" w:rsidRPr="00D7390C">
        <w:rPr>
          <w:noProof/>
        </w:rPr>
        <w:t>.</w:t>
      </w:r>
      <w:r w:rsidR="00D7390C" w:rsidRPr="00D7390C">
        <w:rPr>
          <w:noProof/>
        </w:rPr>
        <w:tab/>
        <w:t xml:space="preserve">Kohler U. Possible </w:t>
      </w:r>
      <w:r w:rsidR="00EA4BEA">
        <w:rPr>
          <w:noProof/>
        </w:rPr>
        <w:t>u</w:t>
      </w:r>
      <w:r w:rsidR="00D7390C" w:rsidRPr="00D7390C">
        <w:rPr>
          <w:noProof/>
        </w:rPr>
        <w:t xml:space="preserve">ses of </w:t>
      </w:r>
      <w:r w:rsidR="00EA4BEA">
        <w:rPr>
          <w:noProof/>
        </w:rPr>
        <w:t>n</w:t>
      </w:r>
      <w:r w:rsidR="00D7390C" w:rsidRPr="00D7390C">
        <w:rPr>
          <w:noProof/>
        </w:rPr>
        <w:t xml:space="preserve">onprobability </w:t>
      </w:r>
      <w:r w:rsidR="00EA4BEA">
        <w:rPr>
          <w:noProof/>
        </w:rPr>
        <w:t>s</w:t>
      </w:r>
      <w:r w:rsidR="00D7390C" w:rsidRPr="00D7390C">
        <w:rPr>
          <w:noProof/>
        </w:rPr>
        <w:t xml:space="preserve">ampling for the </w:t>
      </w:r>
      <w:r w:rsidR="00EA4BEA">
        <w:rPr>
          <w:noProof/>
        </w:rPr>
        <w:t>s</w:t>
      </w:r>
      <w:r w:rsidR="00D7390C" w:rsidRPr="00D7390C">
        <w:rPr>
          <w:noProof/>
        </w:rPr>
        <w:t xml:space="preserve">ocial </w:t>
      </w:r>
      <w:r w:rsidR="00EA4BEA">
        <w:rPr>
          <w:noProof/>
        </w:rPr>
        <w:t>s</w:t>
      </w:r>
      <w:r w:rsidR="00D7390C" w:rsidRPr="00D7390C">
        <w:rPr>
          <w:noProof/>
        </w:rPr>
        <w:t xml:space="preserve">ciences. Survey Methods: </w:t>
      </w:r>
      <w:r w:rsidR="00EA4BEA">
        <w:rPr>
          <w:noProof/>
        </w:rPr>
        <w:t>i</w:t>
      </w:r>
      <w:r w:rsidR="00D7390C" w:rsidRPr="00D7390C">
        <w:rPr>
          <w:noProof/>
        </w:rPr>
        <w:t>nsights from the Field. 2019.</w:t>
      </w:r>
      <w:r w:rsidR="00973400">
        <w:rPr>
          <w:noProof/>
        </w:rPr>
        <w:t xml:space="preserve"> doi: </w:t>
      </w:r>
      <w:r w:rsidR="00973400" w:rsidRPr="00973400">
        <w:rPr>
          <w:noProof/>
        </w:rPr>
        <w:t>10.13094/SMIF-2019-00014</w:t>
      </w:r>
    </w:p>
    <w:p w14:paraId="4720E344" w14:textId="28C79A8F" w:rsidR="00861EC9" w:rsidRDefault="00861EC9">
      <w:pPr>
        <w:rPr>
          <w:rFonts w:ascii="Times New Roman" w:hAnsi="Times New Roman"/>
        </w:rPr>
      </w:pPr>
    </w:p>
    <w:p w14:paraId="6C020268" w14:textId="4E029118" w:rsidR="00F143FD" w:rsidRDefault="00F143FD">
      <w:pPr>
        <w:spacing w:after="160" w:line="259" w:lineRule="auto"/>
        <w:rPr>
          <w:rFonts w:ascii="Times New Roman" w:hAnsi="Times New Roman"/>
        </w:rPr>
      </w:pPr>
      <w:r>
        <w:rPr>
          <w:rFonts w:ascii="Times New Roman" w:hAnsi="Times New Roman"/>
        </w:rPr>
        <w:br w:type="page"/>
      </w:r>
    </w:p>
    <w:p w14:paraId="7883C748" w14:textId="77777777" w:rsidR="00F143FD" w:rsidRPr="000F0F33" w:rsidRDefault="00F143FD" w:rsidP="00F143FD">
      <w:r w:rsidRPr="00854660">
        <w:rPr>
          <w:b/>
          <w:bCs/>
        </w:rPr>
        <w:lastRenderedPageBreak/>
        <w:t>Table 1.</w:t>
      </w:r>
      <w:r w:rsidRPr="00E15BD2">
        <w:t xml:space="preserve"> </w:t>
      </w:r>
      <w:r>
        <w:t>Participant characteristics.</w:t>
      </w:r>
    </w:p>
    <w:tbl>
      <w:tblPr>
        <w:tblStyle w:val="TableGrid"/>
        <w:tblW w:w="0" w:type="auto"/>
        <w:tblLook w:val="04A0" w:firstRow="1" w:lastRow="0" w:firstColumn="1" w:lastColumn="0" w:noHBand="0" w:noVBand="1"/>
      </w:tblPr>
      <w:tblGrid>
        <w:gridCol w:w="4195"/>
        <w:gridCol w:w="2298"/>
        <w:gridCol w:w="1056"/>
      </w:tblGrid>
      <w:tr w:rsidR="00F143FD" w:rsidRPr="000F0F33" w14:paraId="615572A8" w14:textId="77777777" w:rsidTr="004479A9">
        <w:tc>
          <w:tcPr>
            <w:tcW w:w="0" w:type="auto"/>
            <w:tcBorders>
              <w:top w:val="single" w:sz="12" w:space="0" w:color="auto"/>
              <w:left w:val="nil"/>
              <w:bottom w:val="single" w:sz="12" w:space="0" w:color="auto"/>
              <w:right w:val="nil"/>
            </w:tcBorders>
          </w:tcPr>
          <w:p w14:paraId="728111B0" w14:textId="77777777" w:rsidR="00F143FD" w:rsidRDefault="00F143FD" w:rsidP="004479A9">
            <w:pPr>
              <w:pStyle w:val="Tabletext"/>
            </w:pPr>
            <w:bookmarkStart w:id="16" w:name="_Hlk47689072"/>
            <w:r>
              <w:t>Personal and clinical characteristics</w:t>
            </w:r>
          </w:p>
        </w:tc>
        <w:tc>
          <w:tcPr>
            <w:tcW w:w="0" w:type="auto"/>
            <w:tcBorders>
              <w:top w:val="single" w:sz="12" w:space="0" w:color="auto"/>
              <w:left w:val="nil"/>
              <w:bottom w:val="single" w:sz="12" w:space="0" w:color="auto"/>
              <w:right w:val="nil"/>
            </w:tcBorders>
          </w:tcPr>
          <w:p w14:paraId="5C907982" w14:textId="77777777" w:rsidR="00F143FD" w:rsidRDefault="00F143FD" w:rsidP="004479A9">
            <w:pPr>
              <w:pStyle w:val="Tabletext"/>
            </w:pPr>
            <w:r>
              <w:t>Level</w:t>
            </w:r>
          </w:p>
        </w:tc>
        <w:tc>
          <w:tcPr>
            <w:tcW w:w="0" w:type="auto"/>
            <w:tcBorders>
              <w:top w:val="single" w:sz="12" w:space="0" w:color="auto"/>
              <w:left w:val="nil"/>
              <w:bottom w:val="single" w:sz="12" w:space="0" w:color="auto"/>
              <w:right w:val="nil"/>
            </w:tcBorders>
          </w:tcPr>
          <w:p w14:paraId="2D9251B6" w14:textId="77777777" w:rsidR="00F143FD" w:rsidRPr="000F0F33" w:rsidRDefault="00F143FD" w:rsidP="004479A9">
            <w:pPr>
              <w:pStyle w:val="Tabletext"/>
            </w:pPr>
            <w:r>
              <w:t>n (%)</w:t>
            </w:r>
          </w:p>
        </w:tc>
      </w:tr>
      <w:tr w:rsidR="00F143FD" w:rsidRPr="000F0F33" w14:paraId="7D7BAB32" w14:textId="77777777" w:rsidTr="004479A9">
        <w:tc>
          <w:tcPr>
            <w:tcW w:w="0" w:type="auto"/>
            <w:tcBorders>
              <w:top w:val="single" w:sz="4" w:space="0" w:color="auto"/>
              <w:left w:val="nil"/>
              <w:bottom w:val="nil"/>
              <w:right w:val="nil"/>
            </w:tcBorders>
          </w:tcPr>
          <w:p w14:paraId="261C7212" w14:textId="77777777" w:rsidR="00F143FD" w:rsidRPr="000F0F33" w:rsidRDefault="00F143FD" w:rsidP="004479A9">
            <w:pPr>
              <w:pStyle w:val="Tabletext"/>
            </w:pPr>
            <w:r w:rsidRPr="000F0F33">
              <w:t>Sex</w:t>
            </w:r>
          </w:p>
        </w:tc>
        <w:tc>
          <w:tcPr>
            <w:tcW w:w="0" w:type="auto"/>
            <w:tcBorders>
              <w:top w:val="single" w:sz="4" w:space="0" w:color="auto"/>
              <w:left w:val="nil"/>
              <w:bottom w:val="nil"/>
              <w:right w:val="nil"/>
            </w:tcBorders>
          </w:tcPr>
          <w:p w14:paraId="2C50EA9E" w14:textId="77777777" w:rsidR="00F143FD" w:rsidRPr="000F0F33" w:rsidRDefault="00F143FD" w:rsidP="004479A9">
            <w:pPr>
              <w:pStyle w:val="Tabletext"/>
            </w:pPr>
            <w:r w:rsidRPr="000F0F33">
              <w:t>Male</w:t>
            </w:r>
          </w:p>
        </w:tc>
        <w:tc>
          <w:tcPr>
            <w:tcW w:w="0" w:type="auto"/>
            <w:tcBorders>
              <w:top w:val="single" w:sz="4" w:space="0" w:color="auto"/>
              <w:left w:val="nil"/>
              <w:bottom w:val="nil"/>
              <w:right w:val="nil"/>
            </w:tcBorders>
          </w:tcPr>
          <w:p w14:paraId="37456D37" w14:textId="77777777" w:rsidR="00F143FD" w:rsidRPr="000F0F33" w:rsidRDefault="00F143FD" w:rsidP="004479A9">
            <w:pPr>
              <w:pStyle w:val="Tabletext"/>
            </w:pPr>
            <w:r w:rsidRPr="000F0F33">
              <w:t>729 (48.6)</w:t>
            </w:r>
          </w:p>
        </w:tc>
      </w:tr>
      <w:tr w:rsidR="00F143FD" w:rsidRPr="000F0F33" w14:paraId="06DB795D" w14:textId="77777777" w:rsidTr="004479A9">
        <w:tc>
          <w:tcPr>
            <w:tcW w:w="0" w:type="auto"/>
            <w:tcBorders>
              <w:top w:val="nil"/>
              <w:left w:val="nil"/>
              <w:bottom w:val="nil"/>
              <w:right w:val="nil"/>
            </w:tcBorders>
          </w:tcPr>
          <w:p w14:paraId="0C63A3AA" w14:textId="77777777" w:rsidR="00F143FD" w:rsidRPr="000F0F33" w:rsidRDefault="00F143FD" w:rsidP="004479A9">
            <w:pPr>
              <w:pStyle w:val="Tabletext"/>
            </w:pPr>
          </w:p>
        </w:tc>
        <w:tc>
          <w:tcPr>
            <w:tcW w:w="0" w:type="auto"/>
            <w:tcBorders>
              <w:top w:val="nil"/>
              <w:left w:val="nil"/>
              <w:bottom w:val="nil"/>
              <w:right w:val="nil"/>
            </w:tcBorders>
          </w:tcPr>
          <w:p w14:paraId="658A6608" w14:textId="77777777" w:rsidR="00F143FD" w:rsidRPr="000F0F33" w:rsidRDefault="00F143FD" w:rsidP="004479A9">
            <w:pPr>
              <w:pStyle w:val="Tabletext"/>
            </w:pPr>
            <w:r w:rsidRPr="000F0F33">
              <w:t>Female</w:t>
            </w:r>
          </w:p>
        </w:tc>
        <w:tc>
          <w:tcPr>
            <w:tcW w:w="0" w:type="auto"/>
            <w:tcBorders>
              <w:top w:val="nil"/>
              <w:left w:val="nil"/>
              <w:bottom w:val="nil"/>
              <w:right w:val="nil"/>
            </w:tcBorders>
          </w:tcPr>
          <w:p w14:paraId="0979205E" w14:textId="77777777" w:rsidR="00F143FD" w:rsidRPr="000F0F33" w:rsidRDefault="00F143FD" w:rsidP="004479A9">
            <w:pPr>
              <w:pStyle w:val="Tabletext"/>
            </w:pPr>
            <w:r w:rsidRPr="000F0F33">
              <w:t>765 (51.0)</w:t>
            </w:r>
          </w:p>
        </w:tc>
      </w:tr>
      <w:tr w:rsidR="00F143FD" w:rsidRPr="000F0F33" w14:paraId="74E595CF" w14:textId="77777777" w:rsidTr="004479A9">
        <w:tc>
          <w:tcPr>
            <w:tcW w:w="0" w:type="auto"/>
            <w:tcBorders>
              <w:top w:val="nil"/>
              <w:left w:val="nil"/>
              <w:bottom w:val="single" w:sz="4" w:space="0" w:color="auto"/>
              <w:right w:val="nil"/>
            </w:tcBorders>
          </w:tcPr>
          <w:p w14:paraId="2CCB95A4"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1938788A" w14:textId="77777777" w:rsidR="00F143FD" w:rsidRPr="000F0F33" w:rsidRDefault="00F143FD" w:rsidP="004479A9">
            <w:pPr>
              <w:pStyle w:val="Tabletext"/>
            </w:pPr>
            <w:r w:rsidRPr="000F0F33">
              <w:t>Other</w:t>
            </w:r>
          </w:p>
        </w:tc>
        <w:tc>
          <w:tcPr>
            <w:tcW w:w="0" w:type="auto"/>
            <w:tcBorders>
              <w:top w:val="nil"/>
              <w:left w:val="nil"/>
              <w:bottom w:val="single" w:sz="4" w:space="0" w:color="auto"/>
              <w:right w:val="nil"/>
            </w:tcBorders>
            <w:hideMark/>
          </w:tcPr>
          <w:p w14:paraId="2675164F" w14:textId="77777777" w:rsidR="00F143FD" w:rsidRPr="000F0F33" w:rsidRDefault="00F143FD" w:rsidP="004479A9">
            <w:pPr>
              <w:pStyle w:val="Tabletext"/>
            </w:pPr>
            <w:r w:rsidRPr="000F0F33">
              <w:t>6 (0.4)</w:t>
            </w:r>
          </w:p>
        </w:tc>
      </w:tr>
      <w:tr w:rsidR="00F143FD" w:rsidRPr="000F0F33" w14:paraId="73FBB3BE" w14:textId="77777777" w:rsidTr="004479A9">
        <w:tc>
          <w:tcPr>
            <w:tcW w:w="0" w:type="auto"/>
            <w:tcBorders>
              <w:top w:val="single" w:sz="4" w:space="0" w:color="auto"/>
              <w:left w:val="nil"/>
              <w:bottom w:val="nil"/>
              <w:right w:val="nil"/>
            </w:tcBorders>
          </w:tcPr>
          <w:p w14:paraId="26B1207C" w14:textId="77777777" w:rsidR="00F143FD" w:rsidRPr="000F0F33" w:rsidRDefault="00F143FD" w:rsidP="004479A9">
            <w:pPr>
              <w:pStyle w:val="Tabletext"/>
            </w:pPr>
            <w:r w:rsidRPr="000F0F33">
              <w:t>Ethnicity</w:t>
            </w:r>
          </w:p>
        </w:tc>
        <w:tc>
          <w:tcPr>
            <w:tcW w:w="0" w:type="auto"/>
            <w:tcBorders>
              <w:top w:val="single" w:sz="4" w:space="0" w:color="auto"/>
              <w:left w:val="nil"/>
              <w:bottom w:val="nil"/>
              <w:right w:val="nil"/>
            </w:tcBorders>
          </w:tcPr>
          <w:p w14:paraId="7437F94E" w14:textId="77777777" w:rsidR="00F143FD" w:rsidRDefault="00F143FD" w:rsidP="004479A9">
            <w:pPr>
              <w:pStyle w:val="Tabletext"/>
            </w:pPr>
            <w:r w:rsidRPr="000F0F33">
              <w:t>White</w:t>
            </w:r>
          </w:p>
        </w:tc>
        <w:tc>
          <w:tcPr>
            <w:tcW w:w="0" w:type="auto"/>
            <w:tcBorders>
              <w:top w:val="single" w:sz="4" w:space="0" w:color="auto"/>
              <w:left w:val="nil"/>
              <w:bottom w:val="nil"/>
              <w:right w:val="nil"/>
            </w:tcBorders>
          </w:tcPr>
          <w:p w14:paraId="22641162" w14:textId="77777777" w:rsidR="00F143FD" w:rsidRPr="000F0F33" w:rsidRDefault="00F143FD" w:rsidP="004479A9">
            <w:pPr>
              <w:pStyle w:val="Tabletext"/>
            </w:pPr>
            <w:r w:rsidRPr="000F0F33">
              <w:t>1267 (84.5)</w:t>
            </w:r>
          </w:p>
        </w:tc>
      </w:tr>
      <w:tr w:rsidR="00F143FD" w:rsidRPr="000F0F33" w14:paraId="23CA4274" w14:textId="77777777" w:rsidTr="004479A9">
        <w:tc>
          <w:tcPr>
            <w:tcW w:w="0" w:type="auto"/>
            <w:tcBorders>
              <w:top w:val="nil"/>
              <w:left w:val="nil"/>
              <w:bottom w:val="nil"/>
              <w:right w:val="nil"/>
            </w:tcBorders>
          </w:tcPr>
          <w:p w14:paraId="1A2B6362" w14:textId="77777777" w:rsidR="00F143FD" w:rsidRPr="000F0F33" w:rsidRDefault="00F143FD" w:rsidP="004479A9">
            <w:pPr>
              <w:pStyle w:val="Tabletext"/>
            </w:pPr>
          </w:p>
        </w:tc>
        <w:tc>
          <w:tcPr>
            <w:tcW w:w="0" w:type="auto"/>
            <w:tcBorders>
              <w:top w:val="nil"/>
              <w:left w:val="nil"/>
              <w:bottom w:val="nil"/>
              <w:right w:val="nil"/>
            </w:tcBorders>
          </w:tcPr>
          <w:p w14:paraId="0D9054B0" w14:textId="77777777" w:rsidR="00F143FD" w:rsidRPr="000F0F33" w:rsidRDefault="00F143FD" w:rsidP="004479A9">
            <w:pPr>
              <w:pStyle w:val="Tabletext"/>
            </w:pPr>
            <w:r w:rsidRPr="000F0F33">
              <w:t>Black and minority ethnic</w:t>
            </w:r>
          </w:p>
        </w:tc>
        <w:tc>
          <w:tcPr>
            <w:tcW w:w="0" w:type="auto"/>
            <w:tcBorders>
              <w:top w:val="nil"/>
              <w:left w:val="nil"/>
              <w:bottom w:val="nil"/>
              <w:right w:val="nil"/>
            </w:tcBorders>
            <w:hideMark/>
          </w:tcPr>
          <w:p w14:paraId="750D8C3F" w14:textId="77777777" w:rsidR="00F143FD" w:rsidRPr="000F0F33" w:rsidRDefault="00F143FD" w:rsidP="004479A9">
            <w:pPr>
              <w:pStyle w:val="Tabletext"/>
            </w:pPr>
            <w:r w:rsidRPr="000F0F33">
              <w:t>224 (14.9)</w:t>
            </w:r>
          </w:p>
        </w:tc>
      </w:tr>
      <w:tr w:rsidR="00F143FD" w:rsidRPr="000F0F33" w14:paraId="69F65947" w14:textId="77777777" w:rsidTr="004479A9">
        <w:tc>
          <w:tcPr>
            <w:tcW w:w="0" w:type="auto"/>
            <w:tcBorders>
              <w:top w:val="nil"/>
              <w:left w:val="nil"/>
              <w:bottom w:val="single" w:sz="4" w:space="0" w:color="auto"/>
              <w:right w:val="nil"/>
            </w:tcBorders>
          </w:tcPr>
          <w:p w14:paraId="21640F78"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16B23255" w14:textId="77777777" w:rsidR="00F143FD" w:rsidRPr="000F0F33" w:rsidRDefault="00F143FD" w:rsidP="004479A9">
            <w:pPr>
              <w:pStyle w:val="Tabletext"/>
            </w:pPr>
            <w:r w:rsidRPr="000F0F33">
              <w:t>Prefer not to say</w:t>
            </w:r>
          </w:p>
        </w:tc>
        <w:tc>
          <w:tcPr>
            <w:tcW w:w="0" w:type="auto"/>
            <w:tcBorders>
              <w:top w:val="nil"/>
              <w:left w:val="nil"/>
              <w:bottom w:val="single" w:sz="4" w:space="0" w:color="auto"/>
              <w:right w:val="nil"/>
            </w:tcBorders>
            <w:hideMark/>
          </w:tcPr>
          <w:p w14:paraId="4D41A226" w14:textId="77777777" w:rsidR="00F143FD" w:rsidRPr="000F0F33" w:rsidRDefault="00F143FD" w:rsidP="004479A9">
            <w:pPr>
              <w:pStyle w:val="Tabletext"/>
            </w:pPr>
            <w:r w:rsidRPr="000F0F33">
              <w:t>9 (0.6)</w:t>
            </w:r>
          </w:p>
        </w:tc>
      </w:tr>
      <w:tr w:rsidR="00F143FD" w:rsidRPr="000F0F33" w14:paraId="7ED7DD98" w14:textId="77777777" w:rsidTr="004479A9">
        <w:tc>
          <w:tcPr>
            <w:tcW w:w="0" w:type="auto"/>
            <w:tcBorders>
              <w:top w:val="single" w:sz="4" w:space="0" w:color="auto"/>
              <w:left w:val="nil"/>
              <w:bottom w:val="nil"/>
              <w:right w:val="nil"/>
            </w:tcBorders>
          </w:tcPr>
          <w:p w14:paraId="2ACBF1F4" w14:textId="77777777" w:rsidR="00F143FD" w:rsidRPr="000F0F33" w:rsidRDefault="00F143FD" w:rsidP="004479A9">
            <w:pPr>
              <w:pStyle w:val="Tabletext"/>
            </w:pPr>
            <w:r>
              <w:t>Religion</w:t>
            </w:r>
          </w:p>
        </w:tc>
        <w:tc>
          <w:tcPr>
            <w:tcW w:w="0" w:type="auto"/>
            <w:tcBorders>
              <w:top w:val="single" w:sz="4" w:space="0" w:color="auto"/>
              <w:left w:val="nil"/>
              <w:bottom w:val="nil"/>
              <w:right w:val="nil"/>
            </w:tcBorders>
          </w:tcPr>
          <w:p w14:paraId="6D0DEC76" w14:textId="77777777" w:rsidR="00F143FD" w:rsidRPr="000F0F33" w:rsidRDefault="00F143FD" w:rsidP="004479A9">
            <w:pPr>
              <w:pStyle w:val="Tabletext"/>
            </w:pPr>
            <w:r w:rsidRPr="000F0F33">
              <w:t>No religion</w:t>
            </w:r>
          </w:p>
        </w:tc>
        <w:tc>
          <w:tcPr>
            <w:tcW w:w="0" w:type="auto"/>
            <w:tcBorders>
              <w:top w:val="single" w:sz="4" w:space="0" w:color="auto"/>
              <w:left w:val="nil"/>
              <w:bottom w:val="nil"/>
              <w:right w:val="nil"/>
            </w:tcBorders>
          </w:tcPr>
          <w:p w14:paraId="4A356E5E" w14:textId="77777777" w:rsidR="00F143FD" w:rsidRPr="000F0F33" w:rsidRDefault="00F143FD" w:rsidP="004479A9">
            <w:pPr>
              <w:pStyle w:val="Tabletext"/>
              <w:rPr>
                <w:i/>
                <w:iCs/>
              </w:rPr>
            </w:pPr>
            <w:r w:rsidRPr="000F0F33">
              <w:t>780 (52.0)</w:t>
            </w:r>
          </w:p>
        </w:tc>
      </w:tr>
      <w:tr w:rsidR="00F143FD" w:rsidRPr="000F0F33" w14:paraId="786E77B3" w14:textId="77777777" w:rsidTr="004479A9">
        <w:tc>
          <w:tcPr>
            <w:tcW w:w="0" w:type="auto"/>
            <w:tcBorders>
              <w:top w:val="nil"/>
              <w:left w:val="nil"/>
              <w:bottom w:val="nil"/>
              <w:right w:val="nil"/>
            </w:tcBorders>
          </w:tcPr>
          <w:p w14:paraId="3A5CFB11" w14:textId="77777777" w:rsidR="00F143FD" w:rsidRPr="000F0F33" w:rsidRDefault="00F143FD" w:rsidP="004479A9">
            <w:pPr>
              <w:pStyle w:val="Tabletext"/>
            </w:pPr>
          </w:p>
        </w:tc>
        <w:tc>
          <w:tcPr>
            <w:tcW w:w="0" w:type="auto"/>
            <w:tcBorders>
              <w:top w:val="nil"/>
              <w:left w:val="nil"/>
              <w:bottom w:val="nil"/>
              <w:right w:val="nil"/>
            </w:tcBorders>
          </w:tcPr>
          <w:p w14:paraId="1C1895EB" w14:textId="77777777" w:rsidR="00F143FD" w:rsidRPr="000F0F33" w:rsidRDefault="00F143FD" w:rsidP="004479A9">
            <w:pPr>
              <w:pStyle w:val="Tabletext"/>
            </w:pPr>
            <w:r w:rsidRPr="000F0F33">
              <w:t>Christian</w:t>
            </w:r>
          </w:p>
        </w:tc>
        <w:tc>
          <w:tcPr>
            <w:tcW w:w="0" w:type="auto"/>
            <w:tcBorders>
              <w:top w:val="nil"/>
              <w:left w:val="nil"/>
              <w:bottom w:val="nil"/>
              <w:right w:val="nil"/>
            </w:tcBorders>
          </w:tcPr>
          <w:p w14:paraId="763C0A92" w14:textId="77777777" w:rsidR="00F143FD" w:rsidRPr="000F0F33" w:rsidRDefault="00F143FD" w:rsidP="004479A9">
            <w:pPr>
              <w:pStyle w:val="Tabletext"/>
              <w:rPr>
                <w:i/>
                <w:iCs/>
              </w:rPr>
            </w:pPr>
            <w:r w:rsidRPr="000F0F33">
              <w:t>592 (39.5)</w:t>
            </w:r>
          </w:p>
        </w:tc>
      </w:tr>
      <w:tr w:rsidR="00F143FD" w:rsidRPr="000F0F33" w14:paraId="34EC9196" w14:textId="77777777" w:rsidTr="004479A9">
        <w:tc>
          <w:tcPr>
            <w:tcW w:w="0" w:type="auto"/>
            <w:tcBorders>
              <w:top w:val="nil"/>
              <w:left w:val="nil"/>
              <w:bottom w:val="nil"/>
              <w:right w:val="nil"/>
            </w:tcBorders>
          </w:tcPr>
          <w:p w14:paraId="40F30730" w14:textId="77777777" w:rsidR="00F143FD" w:rsidRPr="000F0F33" w:rsidRDefault="00F143FD" w:rsidP="004479A9">
            <w:pPr>
              <w:pStyle w:val="Tabletext"/>
            </w:pPr>
          </w:p>
        </w:tc>
        <w:tc>
          <w:tcPr>
            <w:tcW w:w="0" w:type="auto"/>
            <w:tcBorders>
              <w:top w:val="nil"/>
              <w:left w:val="nil"/>
              <w:bottom w:val="nil"/>
              <w:right w:val="nil"/>
            </w:tcBorders>
          </w:tcPr>
          <w:p w14:paraId="46678B56" w14:textId="77777777" w:rsidR="00F143FD" w:rsidRPr="000F0F33" w:rsidRDefault="00F143FD" w:rsidP="004479A9">
            <w:pPr>
              <w:pStyle w:val="Tabletext"/>
            </w:pPr>
            <w:r w:rsidRPr="000F0F33">
              <w:t>Other religion</w:t>
            </w:r>
          </w:p>
        </w:tc>
        <w:tc>
          <w:tcPr>
            <w:tcW w:w="0" w:type="auto"/>
            <w:tcBorders>
              <w:top w:val="nil"/>
              <w:left w:val="nil"/>
              <w:bottom w:val="nil"/>
              <w:right w:val="nil"/>
            </w:tcBorders>
            <w:hideMark/>
          </w:tcPr>
          <w:p w14:paraId="0D59465A" w14:textId="77777777" w:rsidR="00F143FD" w:rsidRPr="000F0F33" w:rsidRDefault="00F143FD" w:rsidP="004479A9">
            <w:pPr>
              <w:pStyle w:val="Tabletext"/>
              <w:rPr>
                <w:i/>
                <w:iCs/>
              </w:rPr>
            </w:pPr>
            <w:r w:rsidRPr="000F0F33">
              <w:t>116 (7.7)</w:t>
            </w:r>
          </w:p>
        </w:tc>
      </w:tr>
      <w:tr w:rsidR="00F143FD" w:rsidRPr="000F0F33" w14:paraId="2B1AAE80" w14:textId="77777777" w:rsidTr="004479A9">
        <w:tc>
          <w:tcPr>
            <w:tcW w:w="0" w:type="auto"/>
            <w:tcBorders>
              <w:top w:val="nil"/>
              <w:left w:val="nil"/>
              <w:bottom w:val="single" w:sz="4" w:space="0" w:color="auto"/>
              <w:right w:val="nil"/>
            </w:tcBorders>
          </w:tcPr>
          <w:p w14:paraId="7299E561"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1501BBCB" w14:textId="77777777" w:rsidR="00F143FD" w:rsidRPr="000F0F33" w:rsidRDefault="00F143FD" w:rsidP="004479A9">
            <w:pPr>
              <w:pStyle w:val="Tabletext"/>
            </w:pPr>
            <w:r w:rsidRPr="000F0F33">
              <w:t>Prefer not to say</w:t>
            </w:r>
          </w:p>
        </w:tc>
        <w:tc>
          <w:tcPr>
            <w:tcW w:w="0" w:type="auto"/>
            <w:tcBorders>
              <w:top w:val="nil"/>
              <w:left w:val="nil"/>
              <w:bottom w:val="single" w:sz="4" w:space="0" w:color="auto"/>
              <w:right w:val="nil"/>
            </w:tcBorders>
            <w:hideMark/>
          </w:tcPr>
          <w:p w14:paraId="7E8E1077" w14:textId="77777777" w:rsidR="00F143FD" w:rsidRPr="000F0F33" w:rsidRDefault="00F143FD" w:rsidP="004479A9">
            <w:pPr>
              <w:pStyle w:val="Tabletext"/>
            </w:pPr>
            <w:r w:rsidRPr="000F0F33">
              <w:t>12 (0.8)</w:t>
            </w:r>
          </w:p>
        </w:tc>
      </w:tr>
      <w:tr w:rsidR="00F143FD" w:rsidRPr="000F0F33" w14:paraId="790AD2F7" w14:textId="77777777" w:rsidTr="004479A9">
        <w:tc>
          <w:tcPr>
            <w:tcW w:w="0" w:type="auto"/>
            <w:tcBorders>
              <w:top w:val="nil"/>
              <w:left w:val="nil"/>
              <w:bottom w:val="nil"/>
              <w:right w:val="nil"/>
            </w:tcBorders>
          </w:tcPr>
          <w:p w14:paraId="39A53559" w14:textId="77777777" w:rsidR="00F143FD" w:rsidRPr="000F0F33" w:rsidRDefault="00F143FD" w:rsidP="004479A9">
            <w:pPr>
              <w:pStyle w:val="Tabletext"/>
            </w:pPr>
            <w:r>
              <w:t>Highest q</w:t>
            </w:r>
            <w:r w:rsidRPr="000F0F33">
              <w:t>ualification</w:t>
            </w:r>
          </w:p>
        </w:tc>
        <w:tc>
          <w:tcPr>
            <w:tcW w:w="0" w:type="auto"/>
            <w:tcBorders>
              <w:top w:val="nil"/>
              <w:left w:val="nil"/>
              <w:bottom w:val="nil"/>
              <w:right w:val="nil"/>
            </w:tcBorders>
          </w:tcPr>
          <w:p w14:paraId="11FC70CD" w14:textId="77777777" w:rsidR="00F143FD" w:rsidRPr="009816F4" w:rsidRDefault="00F143FD" w:rsidP="004479A9">
            <w:pPr>
              <w:pStyle w:val="Tabletext"/>
              <w:rPr>
                <w:vertAlign w:val="superscript"/>
              </w:rPr>
            </w:pPr>
            <w:r w:rsidRPr="000F0F33">
              <w:t>Degree</w:t>
            </w:r>
            <w:r>
              <w:t xml:space="preserve"> equivalent</w:t>
            </w:r>
            <w:r w:rsidRPr="000F0F33">
              <w:t xml:space="preserve"> or higher</w:t>
            </w:r>
            <w:r>
              <w:rPr>
                <w:vertAlign w:val="superscript"/>
              </w:rPr>
              <w:t>+</w:t>
            </w:r>
          </w:p>
        </w:tc>
        <w:tc>
          <w:tcPr>
            <w:tcW w:w="0" w:type="auto"/>
            <w:tcBorders>
              <w:top w:val="nil"/>
              <w:left w:val="nil"/>
              <w:bottom w:val="nil"/>
              <w:right w:val="nil"/>
            </w:tcBorders>
            <w:hideMark/>
          </w:tcPr>
          <w:p w14:paraId="1C80174E" w14:textId="77777777" w:rsidR="00F143FD" w:rsidRPr="000F0F33" w:rsidRDefault="00F143FD" w:rsidP="004479A9">
            <w:pPr>
              <w:pStyle w:val="Tabletext"/>
            </w:pPr>
            <w:r>
              <w:t>789</w:t>
            </w:r>
            <w:r w:rsidRPr="000F0F33">
              <w:t xml:space="preserve"> (</w:t>
            </w:r>
            <w:r>
              <w:t>52.6</w:t>
            </w:r>
            <w:r w:rsidRPr="000F0F33">
              <w:t>)</w:t>
            </w:r>
          </w:p>
        </w:tc>
      </w:tr>
      <w:tr w:rsidR="00F143FD" w:rsidRPr="000F0F33" w14:paraId="6C287EA9" w14:textId="77777777" w:rsidTr="004479A9">
        <w:tc>
          <w:tcPr>
            <w:tcW w:w="0" w:type="auto"/>
            <w:tcBorders>
              <w:top w:val="nil"/>
              <w:left w:val="nil"/>
              <w:bottom w:val="nil"/>
              <w:right w:val="nil"/>
            </w:tcBorders>
          </w:tcPr>
          <w:p w14:paraId="2F4C4072" w14:textId="77777777" w:rsidR="00F143FD" w:rsidRPr="000F0F33" w:rsidRDefault="00F143FD" w:rsidP="004479A9">
            <w:pPr>
              <w:pStyle w:val="Tabletext"/>
            </w:pPr>
          </w:p>
        </w:tc>
        <w:tc>
          <w:tcPr>
            <w:tcW w:w="0" w:type="auto"/>
            <w:tcBorders>
              <w:top w:val="nil"/>
              <w:left w:val="nil"/>
              <w:bottom w:val="nil"/>
              <w:right w:val="nil"/>
            </w:tcBorders>
          </w:tcPr>
          <w:p w14:paraId="1B5132DA" w14:textId="77777777" w:rsidR="00F143FD" w:rsidRPr="000F0F33" w:rsidRDefault="00F143FD" w:rsidP="004479A9">
            <w:pPr>
              <w:pStyle w:val="Tabletext"/>
            </w:pPr>
            <w:r w:rsidRPr="000F0F33">
              <w:t xml:space="preserve">Other </w:t>
            </w:r>
            <w:r>
              <w:t xml:space="preserve">or no </w:t>
            </w:r>
            <w:r w:rsidRPr="000F0F33">
              <w:t>qualification</w:t>
            </w:r>
            <w:r>
              <w:t>s</w:t>
            </w:r>
          </w:p>
        </w:tc>
        <w:tc>
          <w:tcPr>
            <w:tcW w:w="0" w:type="auto"/>
            <w:tcBorders>
              <w:top w:val="nil"/>
              <w:left w:val="nil"/>
              <w:bottom w:val="nil"/>
              <w:right w:val="nil"/>
            </w:tcBorders>
            <w:hideMark/>
          </w:tcPr>
          <w:p w14:paraId="15189C15" w14:textId="77777777" w:rsidR="00F143FD" w:rsidRPr="000F0F33" w:rsidRDefault="00F143FD" w:rsidP="004479A9">
            <w:pPr>
              <w:pStyle w:val="Tabletext"/>
            </w:pPr>
            <w:r>
              <w:t>704</w:t>
            </w:r>
            <w:r w:rsidRPr="000F0F33">
              <w:t xml:space="preserve"> (</w:t>
            </w:r>
            <w:r>
              <w:t>46.9</w:t>
            </w:r>
            <w:r w:rsidRPr="000F0F33">
              <w:t>)</w:t>
            </w:r>
          </w:p>
        </w:tc>
      </w:tr>
      <w:tr w:rsidR="00F143FD" w:rsidRPr="000F0F33" w14:paraId="39CE7D28" w14:textId="77777777" w:rsidTr="004479A9">
        <w:tc>
          <w:tcPr>
            <w:tcW w:w="0" w:type="auto"/>
            <w:tcBorders>
              <w:top w:val="nil"/>
              <w:left w:val="nil"/>
              <w:bottom w:val="single" w:sz="4" w:space="0" w:color="auto"/>
              <w:right w:val="nil"/>
            </w:tcBorders>
          </w:tcPr>
          <w:p w14:paraId="688FF99A"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76676B79" w14:textId="77777777" w:rsidR="00F143FD" w:rsidRPr="000F0F33" w:rsidRDefault="00F143FD" w:rsidP="004479A9">
            <w:pPr>
              <w:pStyle w:val="Tabletext"/>
            </w:pPr>
            <w:r w:rsidRPr="000F0F33">
              <w:t>Prefer not to say</w:t>
            </w:r>
          </w:p>
        </w:tc>
        <w:tc>
          <w:tcPr>
            <w:tcW w:w="0" w:type="auto"/>
            <w:tcBorders>
              <w:top w:val="nil"/>
              <w:left w:val="nil"/>
              <w:bottom w:val="single" w:sz="4" w:space="0" w:color="auto"/>
              <w:right w:val="nil"/>
            </w:tcBorders>
            <w:hideMark/>
          </w:tcPr>
          <w:p w14:paraId="7892FBB0" w14:textId="77777777" w:rsidR="00F143FD" w:rsidRPr="000F0F33" w:rsidRDefault="00F143FD" w:rsidP="004479A9">
            <w:pPr>
              <w:pStyle w:val="Tabletext"/>
            </w:pPr>
            <w:r w:rsidRPr="000F0F33">
              <w:t>7 (0.5)</w:t>
            </w:r>
          </w:p>
        </w:tc>
      </w:tr>
      <w:tr w:rsidR="00F143FD" w:rsidRPr="000F0F33" w14:paraId="10910EBC" w14:textId="77777777" w:rsidTr="004479A9">
        <w:trPr>
          <w:trHeight w:val="154"/>
        </w:trPr>
        <w:tc>
          <w:tcPr>
            <w:tcW w:w="0" w:type="auto"/>
            <w:tcBorders>
              <w:top w:val="single" w:sz="4" w:space="0" w:color="auto"/>
              <w:left w:val="nil"/>
              <w:bottom w:val="nil"/>
              <w:right w:val="nil"/>
            </w:tcBorders>
          </w:tcPr>
          <w:p w14:paraId="41A448DD" w14:textId="77777777" w:rsidR="00F143FD" w:rsidRPr="000F0F33" w:rsidRDefault="00F143FD" w:rsidP="004479A9">
            <w:pPr>
              <w:pStyle w:val="Tabletext"/>
            </w:pPr>
            <w:r w:rsidRPr="000F0F33">
              <w:t>Employment status</w:t>
            </w:r>
          </w:p>
        </w:tc>
        <w:tc>
          <w:tcPr>
            <w:tcW w:w="0" w:type="auto"/>
            <w:tcBorders>
              <w:top w:val="single" w:sz="4" w:space="0" w:color="auto"/>
              <w:left w:val="nil"/>
              <w:bottom w:val="nil"/>
              <w:right w:val="nil"/>
            </w:tcBorders>
          </w:tcPr>
          <w:p w14:paraId="568C1E40" w14:textId="77777777" w:rsidR="00F143FD" w:rsidRPr="000F0F33" w:rsidRDefault="00F143FD" w:rsidP="004479A9">
            <w:pPr>
              <w:pStyle w:val="Tabletext"/>
            </w:pPr>
            <w:r w:rsidRPr="000F0F33">
              <w:t>Full-time</w:t>
            </w:r>
          </w:p>
        </w:tc>
        <w:tc>
          <w:tcPr>
            <w:tcW w:w="0" w:type="auto"/>
            <w:tcBorders>
              <w:top w:val="single" w:sz="4" w:space="0" w:color="auto"/>
              <w:left w:val="nil"/>
              <w:bottom w:val="nil"/>
              <w:right w:val="nil"/>
            </w:tcBorders>
            <w:hideMark/>
          </w:tcPr>
          <w:p w14:paraId="58716087" w14:textId="77777777" w:rsidR="00F143FD" w:rsidRPr="000F0F33" w:rsidRDefault="00F143FD" w:rsidP="004479A9">
            <w:pPr>
              <w:pStyle w:val="Tabletext"/>
              <w:rPr>
                <w:i/>
                <w:iCs/>
              </w:rPr>
            </w:pPr>
            <w:r w:rsidRPr="000F0F33">
              <w:t>678 (45.2)</w:t>
            </w:r>
          </w:p>
        </w:tc>
      </w:tr>
      <w:tr w:rsidR="00F143FD" w:rsidRPr="000F0F33" w14:paraId="25356783" w14:textId="77777777" w:rsidTr="004479A9">
        <w:tc>
          <w:tcPr>
            <w:tcW w:w="0" w:type="auto"/>
            <w:tcBorders>
              <w:top w:val="nil"/>
              <w:left w:val="nil"/>
              <w:bottom w:val="nil"/>
              <w:right w:val="nil"/>
            </w:tcBorders>
          </w:tcPr>
          <w:p w14:paraId="27EF0728" w14:textId="77777777" w:rsidR="00F143FD" w:rsidRPr="000F0F33" w:rsidRDefault="00F143FD" w:rsidP="004479A9">
            <w:pPr>
              <w:pStyle w:val="Tabletext"/>
            </w:pPr>
          </w:p>
        </w:tc>
        <w:tc>
          <w:tcPr>
            <w:tcW w:w="0" w:type="auto"/>
            <w:tcBorders>
              <w:top w:val="nil"/>
              <w:left w:val="nil"/>
              <w:bottom w:val="nil"/>
              <w:right w:val="nil"/>
            </w:tcBorders>
          </w:tcPr>
          <w:p w14:paraId="17F2609A" w14:textId="77777777" w:rsidR="00F143FD" w:rsidRPr="000F0F33" w:rsidRDefault="00F143FD" w:rsidP="004479A9">
            <w:pPr>
              <w:pStyle w:val="Tabletext"/>
            </w:pPr>
            <w:r w:rsidRPr="000F0F33">
              <w:t>Part-time</w:t>
            </w:r>
          </w:p>
        </w:tc>
        <w:tc>
          <w:tcPr>
            <w:tcW w:w="0" w:type="auto"/>
            <w:tcBorders>
              <w:top w:val="nil"/>
              <w:left w:val="nil"/>
              <w:bottom w:val="nil"/>
              <w:right w:val="nil"/>
            </w:tcBorders>
            <w:hideMark/>
          </w:tcPr>
          <w:p w14:paraId="4870A9F8" w14:textId="77777777" w:rsidR="00F143FD" w:rsidRPr="000F0F33" w:rsidRDefault="00F143FD" w:rsidP="004479A9">
            <w:pPr>
              <w:pStyle w:val="Tabletext"/>
            </w:pPr>
            <w:r w:rsidRPr="000F0F33">
              <w:t>257 (17.1)</w:t>
            </w:r>
          </w:p>
        </w:tc>
      </w:tr>
      <w:tr w:rsidR="00F143FD" w:rsidRPr="000F0F33" w14:paraId="7D9726CE" w14:textId="77777777" w:rsidTr="004479A9">
        <w:tc>
          <w:tcPr>
            <w:tcW w:w="0" w:type="auto"/>
            <w:tcBorders>
              <w:top w:val="nil"/>
              <w:left w:val="nil"/>
              <w:bottom w:val="nil"/>
              <w:right w:val="nil"/>
            </w:tcBorders>
          </w:tcPr>
          <w:p w14:paraId="0CD0CCF5" w14:textId="77777777" w:rsidR="00F143FD" w:rsidRPr="000F0F33" w:rsidRDefault="00F143FD" w:rsidP="004479A9">
            <w:pPr>
              <w:pStyle w:val="Tabletext"/>
            </w:pPr>
          </w:p>
        </w:tc>
        <w:tc>
          <w:tcPr>
            <w:tcW w:w="0" w:type="auto"/>
            <w:tcBorders>
              <w:top w:val="nil"/>
              <w:left w:val="nil"/>
              <w:bottom w:val="nil"/>
              <w:right w:val="nil"/>
            </w:tcBorders>
          </w:tcPr>
          <w:p w14:paraId="4153879B" w14:textId="77777777" w:rsidR="00F143FD" w:rsidRPr="000F0F33" w:rsidRDefault="00F143FD" w:rsidP="004479A9">
            <w:pPr>
              <w:pStyle w:val="Tabletext"/>
            </w:pPr>
            <w:r w:rsidRPr="000F0F33">
              <w:t>Not working/</w:t>
            </w:r>
            <w:r>
              <w:t>o</w:t>
            </w:r>
            <w:r w:rsidRPr="000F0F33">
              <w:t>ther</w:t>
            </w:r>
          </w:p>
        </w:tc>
        <w:tc>
          <w:tcPr>
            <w:tcW w:w="0" w:type="auto"/>
            <w:tcBorders>
              <w:top w:val="nil"/>
              <w:left w:val="nil"/>
              <w:bottom w:val="nil"/>
              <w:right w:val="nil"/>
            </w:tcBorders>
            <w:hideMark/>
          </w:tcPr>
          <w:p w14:paraId="3C860C6B" w14:textId="77777777" w:rsidR="00F143FD" w:rsidRPr="000F0F33" w:rsidRDefault="00F143FD" w:rsidP="004479A9">
            <w:pPr>
              <w:pStyle w:val="Tabletext"/>
            </w:pPr>
            <w:r w:rsidRPr="000F0F33">
              <w:t>556 (37.1)</w:t>
            </w:r>
          </w:p>
        </w:tc>
      </w:tr>
      <w:tr w:rsidR="00F143FD" w:rsidRPr="000F0F33" w14:paraId="70A3C676" w14:textId="77777777" w:rsidTr="004479A9">
        <w:tc>
          <w:tcPr>
            <w:tcW w:w="0" w:type="auto"/>
            <w:tcBorders>
              <w:top w:val="nil"/>
              <w:left w:val="nil"/>
              <w:bottom w:val="nil"/>
              <w:right w:val="nil"/>
            </w:tcBorders>
          </w:tcPr>
          <w:p w14:paraId="2AB8A70C" w14:textId="77777777" w:rsidR="00F143FD" w:rsidRPr="000F0F33" w:rsidRDefault="00F143FD" w:rsidP="004479A9">
            <w:pPr>
              <w:pStyle w:val="Tabletext"/>
            </w:pPr>
          </w:p>
        </w:tc>
        <w:tc>
          <w:tcPr>
            <w:tcW w:w="0" w:type="auto"/>
            <w:tcBorders>
              <w:top w:val="nil"/>
              <w:left w:val="nil"/>
              <w:bottom w:val="nil"/>
              <w:right w:val="nil"/>
            </w:tcBorders>
          </w:tcPr>
          <w:p w14:paraId="08ED34BB" w14:textId="77777777" w:rsidR="00F143FD" w:rsidRPr="000F0F33" w:rsidRDefault="00F143FD" w:rsidP="004479A9">
            <w:pPr>
              <w:pStyle w:val="Tabletext"/>
            </w:pPr>
            <w:r w:rsidRPr="000F0F33">
              <w:t>Don’t know</w:t>
            </w:r>
          </w:p>
        </w:tc>
        <w:tc>
          <w:tcPr>
            <w:tcW w:w="0" w:type="auto"/>
            <w:tcBorders>
              <w:top w:val="nil"/>
              <w:left w:val="nil"/>
              <w:bottom w:val="nil"/>
              <w:right w:val="nil"/>
            </w:tcBorders>
            <w:hideMark/>
          </w:tcPr>
          <w:p w14:paraId="0F0C9459" w14:textId="77777777" w:rsidR="00F143FD" w:rsidRPr="000F0F33" w:rsidRDefault="00F143FD" w:rsidP="004479A9">
            <w:pPr>
              <w:pStyle w:val="Tabletext"/>
            </w:pPr>
            <w:r w:rsidRPr="000F0F33">
              <w:t>1 (0.1)</w:t>
            </w:r>
          </w:p>
        </w:tc>
      </w:tr>
      <w:tr w:rsidR="00F143FD" w:rsidRPr="000F0F33" w14:paraId="7DAB2B87" w14:textId="77777777" w:rsidTr="004479A9">
        <w:tc>
          <w:tcPr>
            <w:tcW w:w="0" w:type="auto"/>
            <w:tcBorders>
              <w:top w:val="nil"/>
              <w:left w:val="nil"/>
              <w:bottom w:val="single" w:sz="4" w:space="0" w:color="auto"/>
              <w:right w:val="nil"/>
            </w:tcBorders>
          </w:tcPr>
          <w:p w14:paraId="56019C8B"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16DF6E1E" w14:textId="77777777" w:rsidR="00F143FD" w:rsidRPr="000F0F33" w:rsidRDefault="00F143FD" w:rsidP="004479A9">
            <w:pPr>
              <w:pStyle w:val="Tabletext"/>
            </w:pPr>
            <w:r w:rsidRPr="000F0F33">
              <w:t>Prefer not to say</w:t>
            </w:r>
          </w:p>
        </w:tc>
        <w:tc>
          <w:tcPr>
            <w:tcW w:w="0" w:type="auto"/>
            <w:tcBorders>
              <w:top w:val="nil"/>
              <w:left w:val="nil"/>
              <w:bottom w:val="single" w:sz="4" w:space="0" w:color="auto"/>
              <w:right w:val="nil"/>
            </w:tcBorders>
            <w:hideMark/>
          </w:tcPr>
          <w:p w14:paraId="149044C6" w14:textId="77777777" w:rsidR="00F143FD" w:rsidRPr="000F0F33" w:rsidRDefault="00F143FD" w:rsidP="004479A9">
            <w:pPr>
              <w:pStyle w:val="Tabletext"/>
            </w:pPr>
            <w:r w:rsidRPr="000F0F33">
              <w:t>8 (0.5)</w:t>
            </w:r>
          </w:p>
        </w:tc>
      </w:tr>
      <w:tr w:rsidR="00F143FD" w:rsidRPr="000F0F33" w14:paraId="451CE36C" w14:textId="77777777" w:rsidTr="004479A9">
        <w:tc>
          <w:tcPr>
            <w:tcW w:w="0" w:type="auto"/>
            <w:tcBorders>
              <w:top w:val="nil"/>
              <w:left w:val="nil"/>
              <w:bottom w:val="nil"/>
              <w:right w:val="nil"/>
            </w:tcBorders>
          </w:tcPr>
          <w:p w14:paraId="2AB1E4D0" w14:textId="77777777" w:rsidR="00F143FD" w:rsidRPr="000F0F33" w:rsidRDefault="00F143FD" w:rsidP="004479A9">
            <w:pPr>
              <w:pStyle w:val="Tabletext"/>
            </w:pPr>
            <w:r>
              <w:t>K</w:t>
            </w:r>
            <w:r w:rsidRPr="000F0F33">
              <w:t>ey worker</w:t>
            </w:r>
          </w:p>
        </w:tc>
        <w:tc>
          <w:tcPr>
            <w:tcW w:w="0" w:type="auto"/>
            <w:tcBorders>
              <w:top w:val="nil"/>
              <w:left w:val="nil"/>
              <w:bottom w:val="nil"/>
              <w:right w:val="nil"/>
            </w:tcBorders>
          </w:tcPr>
          <w:p w14:paraId="05A3C254" w14:textId="77777777" w:rsidR="00F143FD" w:rsidRPr="000F0F33" w:rsidRDefault="00F143FD" w:rsidP="004479A9">
            <w:pPr>
              <w:pStyle w:val="Tabletext"/>
            </w:pPr>
            <w:r w:rsidRPr="000F0F33">
              <w:t>Yes</w:t>
            </w:r>
          </w:p>
        </w:tc>
        <w:tc>
          <w:tcPr>
            <w:tcW w:w="0" w:type="auto"/>
            <w:tcBorders>
              <w:top w:val="nil"/>
              <w:left w:val="nil"/>
              <w:bottom w:val="nil"/>
              <w:right w:val="nil"/>
            </w:tcBorders>
          </w:tcPr>
          <w:p w14:paraId="7662BDEB" w14:textId="77777777" w:rsidR="00F143FD" w:rsidRPr="000F0F33" w:rsidRDefault="00F143FD" w:rsidP="004479A9">
            <w:pPr>
              <w:pStyle w:val="Tabletext"/>
            </w:pPr>
            <w:r w:rsidRPr="000F0F33">
              <w:t>549 (36.6)</w:t>
            </w:r>
          </w:p>
        </w:tc>
      </w:tr>
      <w:tr w:rsidR="00F143FD" w:rsidRPr="000F0F33" w14:paraId="4E4F2252" w14:textId="77777777" w:rsidTr="004479A9">
        <w:tc>
          <w:tcPr>
            <w:tcW w:w="0" w:type="auto"/>
            <w:tcBorders>
              <w:top w:val="nil"/>
              <w:left w:val="nil"/>
              <w:bottom w:val="single" w:sz="4" w:space="0" w:color="auto"/>
              <w:right w:val="nil"/>
            </w:tcBorders>
          </w:tcPr>
          <w:p w14:paraId="004D743D"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3670FF02" w14:textId="77777777" w:rsidR="00F143FD" w:rsidRPr="000F0F33" w:rsidRDefault="00F143FD" w:rsidP="004479A9">
            <w:pPr>
              <w:pStyle w:val="Tabletext"/>
            </w:pPr>
            <w:r w:rsidRPr="000F0F33">
              <w:t>No</w:t>
            </w:r>
          </w:p>
        </w:tc>
        <w:tc>
          <w:tcPr>
            <w:tcW w:w="0" w:type="auto"/>
            <w:tcBorders>
              <w:top w:val="nil"/>
              <w:left w:val="nil"/>
              <w:bottom w:val="single" w:sz="4" w:space="0" w:color="auto"/>
              <w:right w:val="nil"/>
            </w:tcBorders>
          </w:tcPr>
          <w:p w14:paraId="27F3C812" w14:textId="77777777" w:rsidR="00F143FD" w:rsidRPr="000F0F33" w:rsidRDefault="00F143FD" w:rsidP="004479A9">
            <w:pPr>
              <w:pStyle w:val="Tabletext"/>
            </w:pPr>
            <w:r w:rsidRPr="000F0F33">
              <w:t>951 (63.4)</w:t>
            </w:r>
          </w:p>
        </w:tc>
      </w:tr>
      <w:tr w:rsidR="00F143FD" w:rsidRPr="000F0F33" w14:paraId="0446590A" w14:textId="77777777" w:rsidTr="004479A9">
        <w:tc>
          <w:tcPr>
            <w:tcW w:w="0" w:type="auto"/>
            <w:tcBorders>
              <w:top w:val="nil"/>
              <w:left w:val="nil"/>
              <w:bottom w:val="nil"/>
              <w:right w:val="nil"/>
            </w:tcBorders>
          </w:tcPr>
          <w:p w14:paraId="4CE47E14" w14:textId="77777777" w:rsidR="00F143FD" w:rsidRPr="000F0F33" w:rsidRDefault="00F143FD" w:rsidP="004479A9">
            <w:pPr>
              <w:pStyle w:val="Tabletext"/>
            </w:pPr>
            <w:r w:rsidRPr="000F0F33">
              <w:t>Total household income*</w:t>
            </w:r>
          </w:p>
        </w:tc>
        <w:tc>
          <w:tcPr>
            <w:tcW w:w="0" w:type="auto"/>
            <w:tcBorders>
              <w:top w:val="nil"/>
              <w:left w:val="nil"/>
              <w:bottom w:val="nil"/>
              <w:right w:val="nil"/>
            </w:tcBorders>
          </w:tcPr>
          <w:p w14:paraId="74C59A62" w14:textId="77777777" w:rsidR="00F143FD" w:rsidRPr="000F0F33" w:rsidRDefault="00F143FD" w:rsidP="004479A9">
            <w:pPr>
              <w:pStyle w:val="Tabletext"/>
            </w:pPr>
            <w:r w:rsidRPr="000F0F33">
              <w:t>Under £10,000</w:t>
            </w:r>
          </w:p>
        </w:tc>
        <w:tc>
          <w:tcPr>
            <w:tcW w:w="0" w:type="auto"/>
            <w:tcBorders>
              <w:top w:val="nil"/>
              <w:left w:val="nil"/>
              <w:bottom w:val="nil"/>
              <w:right w:val="nil"/>
            </w:tcBorders>
            <w:hideMark/>
          </w:tcPr>
          <w:p w14:paraId="5BC088A0" w14:textId="77777777" w:rsidR="00F143FD" w:rsidRPr="000F0F33" w:rsidRDefault="00F143FD" w:rsidP="004479A9">
            <w:pPr>
              <w:pStyle w:val="Tabletext"/>
              <w:rPr>
                <w:i/>
                <w:iCs/>
              </w:rPr>
            </w:pPr>
            <w:r w:rsidRPr="000F0F33">
              <w:t>103 (6.9)</w:t>
            </w:r>
          </w:p>
        </w:tc>
      </w:tr>
      <w:tr w:rsidR="00F143FD" w:rsidRPr="000F0F33" w14:paraId="0DF20F86" w14:textId="77777777" w:rsidTr="004479A9">
        <w:tc>
          <w:tcPr>
            <w:tcW w:w="0" w:type="auto"/>
            <w:tcBorders>
              <w:top w:val="nil"/>
              <w:left w:val="nil"/>
              <w:bottom w:val="nil"/>
              <w:right w:val="nil"/>
            </w:tcBorders>
          </w:tcPr>
          <w:p w14:paraId="19D2923A" w14:textId="77777777" w:rsidR="00F143FD" w:rsidRPr="000F0F33" w:rsidRDefault="00F143FD" w:rsidP="004479A9">
            <w:pPr>
              <w:pStyle w:val="Tabletext"/>
            </w:pPr>
          </w:p>
        </w:tc>
        <w:tc>
          <w:tcPr>
            <w:tcW w:w="0" w:type="auto"/>
            <w:tcBorders>
              <w:top w:val="nil"/>
              <w:left w:val="nil"/>
              <w:bottom w:val="nil"/>
              <w:right w:val="nil"/>
            </w:tcBorders>
          </w:tcPr>
          <w:p w14:paraId="3E407A63" w14:textId="77777777" w:rsidR="00F143FD" w:rsidRPr="000F0F33" w:rsidRDefault="00F143FD" w:rsidP="004479A9">
            <w:pPr>
              <w:pStyle w:val="Tabletext"/>
            </w:pPr>
            <w:r w:rsidRPr="000F0F33">
              <w:t>£10,000–£19,999</w:t>
            </w:r>
          </w:p>
        </w:tc>
        <w:tc>
          <w:tcPr>
            <w:tcW w:w="0" w:type="auto"/>
            <w:tcBorders>
              <w:top w:val="nil"/>
              <w:left w:val="nil"/>
              <w:bottom w:val="nil"/>
              <w:right w:val="nil"/>
            </w:tcBorders>
            <w:hideMark/>
          </w:tcPr>
          <w:p w14:paraId="4AA3EE19" w14:textId="77777777" w:rsidR="00F143FD" w:rsidRPr="000F0F33" w:rsidRDefault="00F143FD" w:rsidP="004479A9">
            <w:pPr>
              <w:pStyle w:val="Tabletext"/>
              <w:rPr>
                <w:i/>
                <w:iCs/>
              </w:rPr>
            </w:pPr>
            <w:r w:rsidRPr="000F0F33">
              <w:t>207 (13.8)</w:t>
            </w:r>
          </w:p>
        </w:tc>
      </w:tr>
      <w:tr w:rsidR="00F143FD" w:rsidRPr="000F0F33" w14:paraId="0F7A2C53" w14:textId="77777777" w:rsidTr="004479A9">
        <w:tc>
          <w:tcPr>
            <w:tcW w:w="0" w:type="auto"/>
            <w:tcBorders>
              <w:top w:val="nil"/>
              <w:left w:val="nil"/>
              <w:bottom w:val="nil"/>
              <w:right w:val="nil"/>
            </w:tcBorders>
          </w:tcPr>
          <w:p w14:paraId="1A4A4460" w14:textId="77777777" w:rsidR="00F143FD" w:rsidRPr="000F0F33" w:rsidRDefault="00F143FD" w:rsidP="004479A9">
            <w:pPr>
              <w:pStyle w:val="Tabletext"/>
            </w:pPr>
          </w:p>
        </w:tc>
        <w:tc>
          <w:tcPr>
            <w:tcW w:w="0" w:type="auto"/>
            <w:tcBorders>
              <w:top w:val="nil"/>
              <w:left w:val="nil"/>
              <w:bottom w:val="nil"/>
              <w:right w:val="nil"/>
            </w:tcBorders>
          </w:tcPr>
          <w:p w14:paraId="2E2DCF4C" w14:textId="77777777" w:rsidR="00F143FD" w:rsidRPr="000F0F33" w:rsidRDefault="00F143FD" w:rsidP="004479A9">
            <w:pPr>
              <w:pStyle w:val="Tabletext"/>
            </w:pPr>
            <w:r w:rsidRPr="000F0F33">
              <w:t>£20,000–£29,999</w:t>
            </w:r>
          </w:p>
        </w:tc>
        <w:tc>
          <w:tcPr>
            <w:tcW w:w="0" w:type="auto"/>
            <w:tcBorders>
              <w:top w:val="nil"/>
              <w:left w:val="nil"/>
              <w:bottom w:val="nil"/>
              <w:right w:val="nil"/>
            </w:tcBorders>
            <w:hideMark/>
          </w:tcPr>
          <w:p w14:paraId="2E7667D5" w14:textId="77777777" w:rsidR="00F143FD" w:rsidRPr="000F0F33" w:rsidRDefault="00F143FD" w:rsidP="004479A9">
            <w:pPr>
              <w:pStyle w:val="Tabletext"/>
              <w:rPr>
                <w:i/>
                <w:iCs/>
              </w:rPr>
            </w:pPr>
            <w:r w:rsidRPr="000F0F33">
              <w:t>309 (20.6)</w:t>
            </w:r>
          </w:p>
        </w:tc>
      </w:tr>
      <w:tr w:rsidR="00F143FD" w:rsidRPr="000F0F33" w14:paraId="76D0753A" w14:textId="77777777" w:rsidTr="004479A9">
        <w:tc>
          <w:tcPr>
            <w:tcW w:w="0" w:type="auto"/>
            <w:tcBorders>
              <w:top w:val="nil"/>
              <w:left w:val="nil"/>
              <w:bottom w:val="nil"/>
              <w:right w:val="nil"/>
            </w:tcBorders>
          </w:tcPr>
          <w:p w14:paraId="5D032CBD" w14:textId="77777777" w:rsidR="00F143FD" w:rsidRPr="000F0F33" w:rsidRDefault="00F143FD" w:rsidP="004479A9">
            <w:pPr>
              <w:pStyle w:val="Tabletext"/>
            </w:pPr>
          </w:p>
        </w:tc>
        <w:tc>
          <w:tcPr>
            <w:tcW w:w="0" w:type="auto"/>
            <w:tcBorders>
              <w:top w:val="nil"/>
              <w:left w:val="nil"/>
              <w:bottom w:val="nil"/>
              <w:right w:val="nil"/>
            </w:tcBorders>
          </w:tcPr>
          <w:p w14:paraId="5DD83E87" w14:textId="77777777" w:rsidR="00F143FD" w:rsidRPr="000F0F33" w:rsidRDefault="00F143FD" w:rsidP="004479A9">
            <w:pPr>
              <w:pStyle w:val="Tabletext"/>
            </w:pPr>
            <w:r w:rsidRPr="000F0F33">
              <w:t>£30,000–£39,999†</w:t>
            </w:r>
          </w:p>
        </w:tc>
        <w:tc>
          <w:tcPr>
            <w:tcW w:w="0" w:type="auto"/>
            <w:tcBorders>
              <w:top w:val="nil"/>
              <w:left w:val="nil"/>
              <w:bottom w:val="nil"/>
              <w:right w:val="nil"/>
            </w:tcBorders>
            <w:hideMark/>
          </w:tcPr>
          <w:p w14:paraId="4BE3A226" w14:textId="77777777" w:rsidR="00F143FD" w:rsidRPr="000F0F33" w:rsidRDefault="00F143FD" w:rsidP="004479A9">
            <w:pPr>
              <w:pStyle w:val="Tabletext"/>
              <w:rPr>
                <w:i/>
                <w:iCs/>
              </w:rPr>
            </w:pPr>
            <w:r w:rsidRPr="000F0F33">
              <w:t>258 (17.2)</w:t>
            </w:r>
          </w:p>
        </w:tc>
      </w:tr>
      <w:tr w:rsidR="00F143FD" w:rsidRPr="000F0F33" w14:paraId="37B87DF0" w14:textId="77777777" w:rsidTr="004479A9">
        <w:tc>
          <w:tcPr>
            <w:tcW w:w="0" w:type="auto"/>
            <w:tcBorders>
              <w:top w:val="nil"/>
              <w:left w:val="nil"/>
              <w:bottom w:val="nil"/>
              <w:right w:val="nil"/>
            </w:tcBorders>
          </w:tcPr>
          <w:p w14:paraId="362E21B7" w14:textId="77777777" w:rsidR="00F143FD" w:rsidRPr="000F0F33" w:rsidRDefault="00F143FD" w:rsidP="004479A9">
            <w:pPr>
              <w:pStyle w:val="Tabletext"/>
            </w:pPr>
          </w:p>
        </w:tc>
        <w:tc>
          <w:tcPr>
            <w:tcW w:w="0" w:type="auto"/>
            <w:tcBorders>
              <w:top w:val="nil"/>
              <w:left w:val="nil"/>
              <w:bottom w:val="nil"/>
              <w:right w:val="nil"/>
            </w:tcBorders>
          </w:tcPr>
          <w:p w14:paraId="22D035D6" w14:textId="77777777" w:rsidR="00F143FD" w:rsidRPr="000F0F33" w:rsidRDefault="00F143FD" w:rsidP="004479A9">
            <w:pPr>
              <w:pStyle w:val="Tabletext"/>
            </w:pPr>
            <w:r w:rsidRPr="000F0F33">
              <w:t>£40,000–£49,999</w:t>
            </w:r>
          </w:p>
        </w:tc>
        <w:tc>
          <w:tcPr>
            <w:tcW w:w="0" w:type="auto"/>
            <w:tcBorders>
              <w:top w:val="nil"/>
              <w:left w:val="nil"/>
              <w:bottom w:val="nil"/>
              <w:right w:val="nil"/>
            </w:tcBorders>
            <w:hideMark/>
          </w:tcPr>
          <w:p w14:paraId="28AE09BE" w14:textId="77777777" w:rsidR="00F143FD" w:rsidRPr="000F0F33" w:rsidRDefault="00F143FD" w:rsidP="004479A9">
            <w:pPr>
              <w:pStyle w:val="Tabletext"/>
              <w:rPr>
                <w:i/>
                <w:iCs/>
              </w:rPr>
            </w:pPr>
            <w:r w:rsidRPr="000F0F33">
              <w:t>191 (12.7)</w:t>
            </w:r>
          </w:p>
        </w:tc>
      </w:tr>
      <w:tr w:rsidR="00F143FD" w:rsidRPr="000F0F33" w14:paraId="0FDF1F9B" w14:textId="77777777" w:rsidTr="004479A9">
        <w:tc>
          <w:tcPr>
            <w:tcW w:w="0" w:type="auto"/>
            <w:tcBorders>
              <w:top w:val="nil"/>
              <w:left w:val="nil"/>
              <w:bottom w:val="nil"/>
              <w:right w:val="nil"/>
            </w:tcBorders>
          </w:tcPr>
          <w:p w14:paraId="3BC437B4" w14:textId="77777777" w:rsidR="00F143FD" w:rsidRPr="000F0F33" w:rsidRDefault="00F143FD" w:rsidP="004479A9">
            <w:pPr>
              <w:pStyle w:val="Tabletext"/>
            </w:pPr>
          </w:p>
        </w:tc>
        <w:tc>
          <w:tcPr>
            <w:tcW w:w="0" w:type="auto"/>
            <w:tcBorders>
              <w:top w:val="nil"/>
              <w:left w:val="nil"/>
              <w:bottom w:val="nil"/>
              <w:right w:val="nil"/>
            </w:tcBorders>
          </w:tcPr>
          <w:p w14:paraId="7199D439" w14:textId="77777777" w:rsidR="00F143FD" w:rsidRPr="000F0F33" w:rsidRDefault="00F143FD" w:rsidP="004479A9">
            <w:pPr>
              <w:pStyle w:val="Tabletext"/>
            </w:pPr>
            <w:r w:rsidRPr="000F0F33">
              <w:t>£50,000–£74,999</w:t>
            </w:r>
          </w:p>
        </w:tc>
        <w:tc>
          <w:tcPr>
            <w:tcW w:w="0" w:type="auto"/>
            <w:tcBorders>
              <w:top w:val="nil"/>
              <w:left w:val="nil"/>
              <w:bottom w:val="nil"/>
              <w:right w:val="nil"/>
            </w:tcBorders>
            <w:hideMark/>
          </w:tcPr>
          <w:p w14:paraId="356F74C3" w14:textId="77777777" w:rsidR="00F143FD" w:rsidRPr="000F0F33" w:rsidRDefault="00F143FD" w:rsidP="004479A9">
            <w:pPr>
              <w:pStyle w:val="Tabletext"/>
              <w:rPr>
                <w:i/>
                <w:iCs/>
              </w:rPr>
            </w:pPr>
            <w:r w:rsidRPr="000F0F33">
              <w:t>210 (14.0)</w:t>
            </w:r>
          </w:p>
        </w:tc>
      </w:tr>
      <w:tr w:rsidR="00F143FD" w:rsidRPr="000F0F33" w14:paraId="67CFB6F8" w14:textId="77777777" w:rsidTr="004479A9">
        <w:tc>
          <w:tcPr>
            <w:tcW w:w="0" w:type="auto"/>
            <w:tcBorders>
              <w:top w:val="nil"/>
              <w:left w:val="nil"/>
              <w:bottom w:val="nil"/>
              <w:right w:val="nil"/>
            </w:tcBorders>
          </w:tcPr>
          <w:p w14:paraId="7DCC2AB6" w14:textId="77777777" w:rsidR="00F143FD" w:rsidRPr="000F0F33" w:rsidRDefault="00F143FD" w:rsidP="004479A9">
            <w:pPr>
              <w:pStyle w:val="Tabletext"/>
            </w:pPr>
          </w:p>
        </w:tc>
        <w:tc>
          <w:tcPr>
            <w:tcW w:w="0" w:type="auto"/>
            <w:tcBorders>
              <w:top w:val="nil"/>
              <w:left w:val="nil"/>
              <w:bottom w:val="nil"/>
              <w:right w:val="nil"/>
            </w:tcBorders>
          </w:tcPr>
          <w:p w14:paraId="1C8F8B2B" w14:textId="77777777" w:rsidR="00F143FD" w:rsidRPr="000F0F33" w:rsidRDefault="00F143FD" w:rsidP="004479A9">
            <w:pPr>
              <w:pStyle w:val="Tabletext"/>
            </w:pPr>
            <w:r w:rsidRPr="000F0F33">
              <w:t>£75,000 or over</w:t>
            </w:r>
          </w:p>
        </w:tc>
        <w:tc>
          <w:tcPr>
            <w:tcW w:w="0" w:type="auto"/>
            <w:tcBorders>
              <w:top w:val="nil"/>
              <w:left w:val="nil"/>
              <w:bottom w:val="nil"/>
              <w:right w:val="nil"/>
            </w:tcBorders>
            <w:hideMark/>
          </w:tcPr>
          <w:p w14:paraId="49DABE9F" w14:textId="77777777" w:rsidR="00F143FD" w:rsidRPr="000F0F33" w:rsidRDefault="00F143FD" w:rsidP="004479A9">
            <w:pPr>
              <w:pStyle w:val="Tabletext"/>
              <w:rPr>
                <w:i/>
                <w:iCs/>
              </w:rPr>
            </w:pPr>
            <w:r w:rsidRPr="000F0F33">
              <w:t>136 (9.1)</w:t>
            </w:r>
          </w:p>
        </w:tc>
      </w:tr>
      <w:tr w:rsidR="00F143FD" w:rsidRPr="000F0F33" w14:paraId="4CAEC107" w14:textId="77777777" w:rsidTr="004479A9">
        <w:tc>
          <w:tcPr>
            <w:tcW w:w="0" w:type="auto"/>
            <w:tcBorders>
              <w:top w:val="nil"/>
              <w:left w:val="nil"/>
              <w:bottom w:val="nil"/>
              <w:right w:val="nil"/>
            </w:tcBorders>
          </w:tcPr>
          <w:p w14:paraId="26AB46CD" w14:textId="77777777" w:rsidR="00F143FD" w:rsidRPr="000F0F33" w:rsidRDefault="00F143FD" w:rsidP="004479A9">
            <w:pPr>
              <w:pStyle w:val="Tabletext"/>
            </w:pPr>
          </w:p>
        </w:tc>
        <w:tc>
          <w:tcPr>
            <w:tcW w:w="0" w:type="auto"/>
            <w:tcBorders>
              <w:top w:val="nil"/>
              <w:left w:val="nil"/>
              <w:bottom w:val="nil"/>
              <w:right w:val="nil"/>
            </w:tcBorders>
          </w:tcPr>
          <w:p w14:paraId="13C7DFDF" w14:textId="77777777" w:rsidR="00F143FD" w:rsidRPr="000F0F33" w:rsidRDefault="00F143FD" w:rsidP="004479A9">
            <w:pPr>
              <w:pStyle w:val="Tabletext"/>
            </w:pPr>
            <w:r w:rsidRPr="000F0F33">
              <w:t>Don’t know</w:t>
            </w:r>
          </w:p>
        </w:tc>
        <w:tc>
          <w:tcPr>
            <w:tcW w:w="0" w:type="auto"/>
            <w:tcBorders>
              <w:top w:val="nil"/>
              <w:left w:val="nil"/>
              <w:bottom w:val="nil"/>
              <w:right w:val="nil"/>
            </w:tcBorders>
            <w:hideMark/>
          </w:tcPr>
          <w:p w14:paraId="75E426BB" w14:textId="77777777" w:rsidR="00F143FD" w:rsidRPr="000F0F33" w:rsidRDefault="00F143FD" w:rsidP="004479A9">
            <w:pPr>
              <w:pStyle w:val="Tabletext"/>
            </w:pPr>
            <w:r w:rsidRPr="000F0F33">
              <w:t>20 (1.3)</w:t>
            </w:r>
          </w:p>
        </w:tc>
      </w:tr>
      <w:tr w:rsidR="00F143FD" w:rsidRPr="000F0F33" w14:paraId="56130D2D" w14:textId="77777777" w:rsidTr="004479A9">
        <w:tc>
          <w:tcPr>
            <w:tcW w:w="0" w:type="auto"/>
            <w:tcBorders>
              <w:top w:val="nil"/>
              <w:left w:val="nil"/>
              <w:bottom w:val="single" w:sz="4" w:space="0" w:color="auto"/>
              <w:right w:val="nil"/>
            </w:tcBorders>
          </w:tcPr>
          <w:p w14:paraId="6730155D"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3AB0793C" w14:textId="77777777" w:rsidR="00F143FD" w:rsidRPr="000F0F33" w:rsidRDefault="00F143FD" w:rsidP="004479A9">
            <w:pPr>
              <w:pStyle w:val="Tabletext"/>
            </w:pPr>
            <w:r w:rsidRPr="000F0F33">
              <w:t>Prefer not to say</w:t>
            </w:r>
          </w:p>
        </w:tc>
        <w:tc>
          <w:tcPr>
            <w:tcW w:w="0" w:type="auto"/>
            <w:tcBorders>
              <w:top w:val="nil"/>
              <w:left w:val="nil"/>
              <w:bottom w:val="single" w:sz="4" w:space="0" w:color="auto"/>
              <w:right w:val="nil"/>
            </w:tcBorders>
            <w:hideMark/>
          </w:tcPr>
          <w:p w14:paraId="1F27D495" w14:textId="77777777" w:rsidR="00F143FD" w:rsidRPr="000F0F33" w:rsidRDefault="00F143FD" w:rsidP="004479A9">
            <w:pPr>
              <w:pStyle w:val="Tabletext"/>
            </w:pPr>
            <w:r w:rsidRPr="000F0F33">
              <w:t>66 (4.4)</w:t>
            </w:r>
          </w:p>
        </w:tc>
      </w:tr>
      <w:tr w:rsidR="00F143FD" w:rsidRPr="000F0F33" w14:paraId="639DCFFD" w14:textId="77777777" w:rsidTr="004479A9">
        <w:tc>
          <w:tcPr>
            <w:tcW w:w="0" w:type="auto"/>
            <w:tcBorders>
              <w:top w:val="nil"/>
              <w:left w:val="nil"/>
              <w:bottom w:val="nil"/>
              <w:right w:val="nil"/>
            </w:tcBorders>
          </w:tcPr>
          <w:p w14:paraId="33ED6844" w14:textId="77777777" w:rsidR="00F143FD" w:rsidRPr="000F0F33" w:rsidRDefault="00F143FD" w:rsidP="004479A9">
            <w:pPr>
              <w:pStyle w:val="Tabletext"/>
            </w:pPr>
            <w:r w:rsidRPr="000F0F33">
              <w:t>Region where respondent lives*</w:t>
            </w:r>
          </w:p>
        </w:tc>
        <w:tc>
          <w:tcPr>
            <w:tcW w:w="0" w:type="auto"/>
            <w:tcBorders>
              <w:top w:val="nil"/>
              <w:left w:val="nil"/>
              <w:bottom w:val="nil"/>
              <w:right w:val="nil"/>
            </w:tcBorders>
          </w:tcPr>
          <w:p w14:paraId="35C5C847" w14:textId="77777777" w:rsidR="00F143FD" w:rsidRPr="000F0F33" w:rsidRDefault="00F143FD" w:rsidP="004479A9">
            <w:pPr>
              <w:pStyle w:val="Tabletext"/>
            </w:pPr>
            <w:r w:rsidRPr="000F0F33">
              <w:t>East Midlands</w:t>
            </w:r>
          </w:p>
        </w:tc>
        <w:tc>
          <w:tcPr>
            <w:tcW w:w="0" w:type="auto"/>
            <w:tcBorders>
              <w:top w:val="nil"/>
              <w:left w:val="nil"/>
              <w:bottom w:val="nil"/>
              <w:right w:val="nil"/>
            </w:tcBorders>
            <w:hideMark/>
          </w:tcPr>
          <w:p w14:paraId="7FA121E2" w14:textId="77777777" w:rsidR="00F143FD" w:rsidRPr="000F0F33" w:rsidRDefault="00F143FD" w:rsidP="004479A9">
            <w:pPr>
              <w:pStyle w:val="Tabletext"/>
              <w:rPr>
                <w:i/>
                <w:iCs/>
              </w:rPr>
            </w:pPr>
            <w:r w:rsidRPr="000F0F33">
              <w:t>111 (7.4)</w:t>
            </w:r>
          </w:p>
        </w:tc>
      </w:tr>
      <w:tr w:rsidR="00F143FD" w:rsidRPr="000F0F33" w14:paraId="6F51B2A8" w14:textId="77777777" w:rsidTr="004479A9">
        <w:tc>
          <w:tcPr>
            <w:tcW w:w="0" w:type="auto"/>
            <w:tcBorders>
              <w:top w:val="nil"/>
              <w:left w:val="nil"/>
              <w:bottom w:val="nil"/>
              <w:right w:val="nil"/>
            </w:tcBorders>
          </w:tcPr>
          <w:p w14:paraId="38410489" w14:textId="77777777" w:rsidR="00F143FD" w:rsidRPr="000F0F33" w:rsidRDefault="00F143FD" w:rsidP="004479A9">
            <w:pPr>
              <w:pStyle w:val="Tabletext"/>
            </w:pPr>
          </w:p>
        </w:tc>
        <w:tc>
          <w:tcPr>
            <w:tcW w:w="0" w:type="auto"/>
            <w:tcBorders>
              <w:top w:val="nil"/>
              <w:left w:val="nil"/>
              <w:bottom w:val="nil"/>
              <w:right w:val="nil"/>
            </w:tcBorders>
          </w:tcPr>
          <w:p w14:paraId="3157DDA1" w14:textId="77777777" w:rsidR="00F143FD" w:rsidRPr="000F0F33" w:rsidRDefault="00F143FD" w:rsidP="004479A9">
            <w:pPr>
              <w:pStyle w:val="Tabletext"/>
            </w:pPr>
            <w:r w:rsidRPr="000F0F33">
              <w:t>East of England</w:t>
            </w:r>
          </w:p>
        </w:tc>
        <w:tc>
          <w:tcPr>
            <w:tcW w:w="0" w:type="auto"/>
            <w:tcBorders>
              <w:top w:val="nil"/>
              <w:left w:val="nil"/>
              <w:bottom w:val="nil"/>
              <w:right w:val="nil"/>
            </w:tcBorders>
            <w:hideMark/>
          </w:tcPr>
          <w:p w14:paraId="12DE2582" w14:textId="77777777" w:rsidR="00F143FD" w:rsidRPr="000F0F33" w:rsidRDefault="00F143FD" w:rsidP="004479A9">
            <w:pPr>
              <w:pStyle w:val="Tabletext"/>
              <w:rPr>
                <w:i/>
                <w:iCs/>
              </w:rPr>
            </w:pPr>
            <w:r w:rsidRPr="000F0F33">
              <w:t>109 (7.3)</w:t>
            </w:r>
          </w:p>
        </w:tc>
      </w:tr>
      <w:tr w:rsidR="00F143FD" w:rsidRPr="000F0F33" w14:paraId="04F45EE7" w14:textId="77777777" w:rsidTr="004479A9">
        <w:tc>
          <w:tcPr>
            <w:tcW w:w="0" w:type="auto"/>
            <w:tcBorders>
              <w:top w:val="nil"/>
              <w:left w:val="nil"/>
              <w:bottom w:val="nil"/>
              <w:right w:val="nil"/>
            </w:tcBorders>
          </w:tcPr>
          <w:p w14:paraId="2C3FCD58" w14:textId="77777777" w:rsidR="00F143FD" w:rsidRPr="000F0F33" w:rsidRDefault="00F143FD" w:rsidP="004479A9">
            <w:pPr>
              <w:pStyle w:val="Tabletext"/>
            </w:pPr>
          </w:p>
        </w:tc>
        <w:tc>
          <w:tcPr>
            <w:tcW w:w="0" w:type="auto"/>
            <w:tcBorders>
              <w:top w:val="nil"/>
              <w:left w:val="nil"/>
              <w:bottom w:val="nil"/>
              <w:right w:val="nil"/>
            </w:tcBorders>
          </w:tcPr>
          <w:p w14:paraId="26B57B9E" w14:textId="77777777" w:rsidR="00F143FD" w:rsidRPr="000F0F33" w:rsidRDefault="00F143FD" w:rsidP="004479A9">
            <w:pPr>
              <w:pStyle w:val="Tabletext"/>
            </w:pPr>
            <w:r w:rsidRPr="000F0F33">
              <w:t>London</w:t>
            </w:r>
          </w:p>
        </w:tc>
        <w:tc>
          <w:tcPr>
            <w:tcW w:w="0" w:type="auto"/>
            <w:tcBorders>
              <w:top w:val="nil"/>
              <w:left w:val="nil"/>
              <w:bottom w:val="nil"/>
              <w:right w:val="nil"/>
            </w:tcBorders>
            <w:hideMark/>
          </w:tcPr>
          <w:p w14:paraId="1B541D4A" w14:textId="77777777" w:rsidR="00F143FD" w:rsidRPr="000F0F33" w:rsidRDefault="00F143FD" w:rsidP="004479A9">
            <w:pPr>
              <w:pStyle w:val="Tabletext"/>
              <w:rPr>
                <w:i/>
                <w:iCs/>
              </w:rPr>
            </w:pPr>
            <w:r w:rsidRPr="000F0F33">
              <w:t>224 (14.9)</w:t>
            </w:r>
          </w:p>
        </w:tc>
      </w:tr>
      <w:tr w:rsidR="00F143FD" w:rsidRPr="000F0F33" w14:paraId="2F97EFC9" w14:textId="77777777" w:rsidTr="004479A9">
        <w:tc>
          <w:tcPr>
            <w:tcW w:w="0" w:type="auto"/>
            <w:tcBorders>
              <w:top w:val="nil"/>
              <w:left w:val="nil"/>
              <w:bottom w:val="nil"/>
              <w:right w:val="nil"/>
            </w:tcBorders>
          </w:tcPr>
          <w:p w14:paraId="2DE96E2E" w14:textId="77777777" w:rsidR="00F143FD" w:rsidRPr="000F0F33" w:rsidRDefault="00F143FD" w:rsidP="004479A9">
            <w:pPr>
              <w:pStyle w:val="Tabletext"/>
            </w:pPr>
          </w:p>
        </w:tc>
        <w:tc>
          <w:tcPr>
            <w:tcW w:w="0" w:type="auto"/>
            <w:tcBorders>
              <w:top w:val="nil"/>
              <w:left w:val="nil"/>
              <w:bottom w:val="nil"/>
              <w:right w:val="nil"/>
            </w:tcBorders>
          </w:tcPr>
          <w:p w14:paraId="6F349F45" w14:textId="77777777" w:rsidR="00F143FD" w:rsidRPr="000F0F33" w:rsidRDefault="00F143FD" w:rsidP="004479A9">
            <w:pPr>
              <w:pStyle w:val="Tabletext"/>
            </w:pPr>
            <w:r w:rsidRPr="000F0F33">
              <w:t>North East</w:t>
            </w:r>
          </w:p>
        </w:tc>
        <w:tc>
          <w:tcPr>
            <w:tcW w:w="0" w:type="auto"/>
            <w:tcBorders>
              <w:top w:val="nil"/>
              <w:left w:val="nil"/>
              <w:bottom w:val="nil"/>
              <w:right w:val="nil"/>
            </w:tcBorders>
            <w:hideMark/>
          </w:tcPr>
          <w:p w14:paraId="50CEFB9F" w14:textId="77777777" w:rsidR="00F143FD" w:rsidRPr="000F0F33" w:rsidRDefault="00F143FD" w:rsidP="004479A9">
            <w:pPr>
              <w:pStyle w:val="Tabletext"/>
              <w:rPr>
                <w:b/>
                <w:bCs/>
                <w:i/>
                <w:iCs/>
              </w:rPr>
            </w:pPr>
            <w:r w:rsidRPr="000F0F33">
              <w:t>65 (4.3)</w:t>
            </w:r>
          </w:p>
        </w:tc>
      </w:tr>
      <w:tr w:rsidR="00F143FD" w:rsidRPr="000F0F33" w14:paraId="062B9CC3" w14:textId="77777777" w:rsidTr="004479A9">
        <w:tc>
          <w:tcPr>
            <w:tcW w:w="0" w:type="auto"/>
            <w:tcBorders>
              <w:top w:val="nil"/>
              <w:left w:val="nil"/>
              <w:bottom w:val="nil"/>
              <w:right w:val="nil"/>
            </w:tcBorders>
          </w:tcPr>
          <w:p w14:paraId="72D6B082" w14:textId="77777777" w:rsidR="00F143FD" w:rsidRPr="000F0F33" w:rsidRDefault="00F143FD" w:rsidP="004479A9">
            <w:pPr>
              <w:pStyle w:val="Tabletext"/>
            </w:pPr>
          </w:p>
        </w:tc>
        <w:tc>
          <w:tcPr>
            <w:tcW w:w="0" w:type="auto"/>
            <w:tcBorders>
              <w:top w:val="nil"/>
              <w:left w:val="nil"/>
              <w:bottom w:val="nil"/>
              <w:right w:val="nil"/>
            </w:tcBorders>
          </w:tcPr>
          <w:p w14:paraId="313E57CD" w14:textId="77777777" w:rsidR="00F143FD" w:rsidRPr="000F0F33" w:rsidRDefault="00F143FD" w:rsidP="004479A9">
            <w:pPr>
              <w:pStyle w:val="Tabletext"/>
            </w:pPr>
            <w:r w:rsidRPr="000F0F33">
              <w:t>North West</w:t>
            </w:r>
          </w:p>
        </w:tc>
        <w:tc>
          <w:tcPr>
            <w:tcW w:w="0" w:type="auto"/>
            <w:tcBorders>
              <w:top w:val="nil"/>
              <w:left w:val="nil"/>
              <w:bottom w:val="nil"/>
              <w:right w:val="nil"/>
            </w:tcBorders>
            <w:hideMark/>
          </w:tcPr>
          <w:p w14:paraId="3FBB0E97" w14:textId="77777777" w:rsidR="00F143FD" w:rsidRPr="000F0F33" w:rsidRDefault="00F143FD" w:rsidP="004479A9">
            <w:pPr>
              <w:pStyle w:val="Tabletext"/>
              <w:rPr>
                <w:i/>
                <w:iCs/>
              </w:rPr>
            </w:pPr>
            <w:r w:rsidRPr="000F0F33">
              <w:t>143 (9.5)</w:t>
            </w:r>
          </w:p>
        </w:tc>
      </w:tr>
      <w:tr w:rsidR="00F143FD" w:rsidRPr="000F0F33" w14:paraId="7B84806C" w14:textId="77777777" w:rsidTr="004479A9">
        <w:tc>
          <w:tcPr>
            <w:tcW w:w="0" w:type="auto"/>
            <w:tcBorders>
              <w:top w:val="nil"/>
              <w:left w:val="nil"/>
              <w:bottom w:val="nil"/>
              <w:right w:val="nil"/>
            </w:tcBorders>
          </w:tcPr>
          <w:p w14:paraId="52299983" w14:textId="77777777" w:rsidR="00F143FD" w:rsidRPr="000F0F33" w:rsidRDefault="00F143FD" w:rsidP="004479A9">
            <w:pPr>
              <w:pStyle w:val="Tabletext"/>
            </w:pPr>
          </w:p>
        </w:tc>
        <w:tc>
          <w:tcPr>
            <w:tcW w:w="0" w:type="auto"/>
            <w:tcBorders>
              <w:top w:val="nil"/>
              <w:left w:val="nil"/>
              <w:bottom w:val="nil"/>
              <w:right w:val="nil"/>
            </w:tcBorders>
          </w:tcPr>
          <w:p w14:paraId="20F32B08" w14:textId="77777777" w:rsidR="00F143FD" w:rsidRPr="000F0F33" w:rsidRDefault="00F143FD" w:rsidP="004479A9">
            <w:pPr>
              <w:pStyle w:val="Tabletext"/>
            </w:pPr>
            <w:r w:rsidRPr="000F0F33">
              <w:t>Northern Ireland</w:t>
            </w:r>
          </w:p>
        </w:tc>
        <w:tc>
          <w:tcPr>
            <w:tcW w:w="0" w:type="auto"/>
            <w:tcBorders>
              <w:top w:val="nil"/>
              <w:left w:val="nil"/>
              <w:bottom w:val="nil"/>
              <w:right w:val="nil"/>
            </w:tcBorders>
            <w:hideMark/>
          </w:tcPr>
          <w:p w14:paraId="2BC68FB9" w14:textId="77777777" w:rsidR="00F143FD" w:rsidRPr="000F0F33" w:rsidRDefault="00F143FD" w:rsidP="004479A9">
            <w:pPr>
              <w:pStyle w:val="Tabletext"/>
              <w:rPr>
                <w:i/>
                <w:iCs/>
              </w:rPr>
            </w:pPr>
            <w:r w:rsidRPr="000F0F33">
              <w:t>30 (2.0)</w:t>
            </w:r>
          </w:p>
        </w:tc>
      </w:tr>
      <w:tr w:rsidR="00F143FD" w:rsidRPr="000F0F33" w14:paraId="2E1BE3B6" w14:textId="77777777" w:rsidTr="004479A9">
        <w:tc>
          <w:tcPr>
            <w:tcW w:w="0" w:type="auto"/>
            <w:tcBorders>
              <w:top w:val="nil"/>
              <w:left w:val="nil"/>
              <w:bottom w:val="nil"/>
              <w:right w:val="nil"/>
            </w:tcBorders>
          </w:tcPr>
          <w:p w14:paraId="253FB5BC" w14:textId="77777777" w:rsidR="00F143FD" w:rsidRPr="000F0F33" w:rsidRDefault="00F143FD" w:rsidP="004479A9">
            <w:pPr>
              <w:pStyle w:val="Tabletext"/>
            </w:pPr>
          </w:p>
        </w:tc>
        <w:tc>
          <w:tcPr>
            <w:tcW w:w="0" w:type="auto"/>
            <w:tcBorders>
              <w:top w:val="nil"/>
              <w:left w:val="nil"/>
              <w:bottom w:val="nil"/>
              <w:right w:val="nil"/>
            </w:tcBorders>
          </w:tcPr>
          <w:p w14:paraId="182BA293" w14:textId="77777777" w:rsidR="00F143FD" w:rsidRPr="000F0F33" w:rsidRDefault="00F143FD" w:rsidP="004479A9">
            <w:pPr>
              <w:pStyle w:val="Tabletext"/>
            </w:pPr>
            <w:r w:rsidRPr="000F0F33">
              <w:t>Scotland</w:t>
            </w:r>
          </w:p>
        </w:tc>
        <w:tc>
          <w:tcPr>
            <w:tcW w:w="0" w:type="auto"/>
            <w:tcBorders>
              <w:top w:val="nil"/>
              <w:left w:val="nil"/>
              <w:bottom w:val="nil"/>
              <w:right w:val="nil"/>
            </w:tcBorders>
            <w:hideMark/>
          </w:tcPr>
          <w:p w14:paraId="5D089A7F" w14:textId="77777777" w:rsidR="00F143FD" w:rsidRPr="000F0F33" w:rsidRDefault="00F143FD" w:rsidP="004479A9">
            <w:pPr>
              <w:pStyle w:val="Tabletext"/>
              <w:rPr>
                <w:i/>
                <w:iCs/>
              </w:rPr>
            </w:pPr>
            <w:r w:rsidRPr="000F0F33">
              <w:t>130 (8.7)</w:t>
            </w:r>
          </w:p>
        </w:tc>
      </w:tr>
      <w:tr w:rsidR="00F143FD" w:rsidRPr="000F0F33" w14:paraId="53897F29" w14:textId="77777777" w:rsidTr="004479A9">
        <w:tc>
          <w:tcPr>
            <w:tcW w:w="0" w:type="auto"/>
            <w:tcBorders>
              <w:top w:val="nil"/>
              <w:left w:val="nil"/>
              <w:bottom w:val="nil"/>
              <w:right w:val="nil"/>
            </w:tcBorders>
          </w:tcPr>
          <w:p w14:paraId="7EFB9455" w14:textId="77777777" w:rsidR="00F143FD" w:rsidRPr="000F0F33" w:rsidRDefault="00F143FD" w:rsidP="004479A9">
            <w:pPr>
              <w:pStyle w:val="Tabletext"/>
            </w:pPr>
          </w:p>
        </w:tc>
        <w:tc>
          <w:tcPr>
            <w:tcW w:w="0" w:type="auto"/>
            <w:tcBorders>
              <w:top w:val="nil"/>
              <w:left w:val="nil"/>
              <w:bottom w:val="nil"/>
              <w:right w:val="nil"/>
            </w:tcBorders>
          </w:tcPr>
          <w:p w14:paraId="14766B35" w14:textId="77777777" w:rsidR="00F143FD" w:rsidRPr="000F0F33" w:rsidRDefault="00F143FD" w:rsidP="004479A9">
            <w:pPr>
              <w:pStyle w:val="Tabletext"/>
            </w:pPr>
            <w:r w:rsidRPr="000F0F33">
              <w:t>South East</w:t>
            </w:r>
          </w:p>
        </w:tc>
        <w:tc>
          <w:tcPr>
            <w:tcW w:w="0" w:type="auto"/>
            <w:tcBorders>
              <w:top w:val="nil"/>
              <w:left w:val="nil"/>
              <w:bottom w:val="nil"/>
              <w:right w:val="nil"/>
            </w:tcBorders>
            <w:hideMark/>
          </w:tcPr>
          <w:p w14:paraId="1DFB7A24" w14:textId="77777777" w:rsidR="00F143FD" w:rsidRPr="000F0F33" w:rsidRDefault="00F143FD" w:rsidP="004479A9">
            <w:pPr>
              <w:pStyle w:val="Tabletext"/>
              <w:rPr>
                <w:i/>
                <w:iCs/>
              </w:rPr>
            </w:pPr>
            <w:r w:rsidRPr="000F0F33">
              <w:t>215 (14.3)</w:t>
            </w:r>
          </w:p>
        </w:tc>
      </w:tr>
      <w:tr w:rsidR="00F143FD" w:rsidRPr="000F0F33" w14:paraId="24EAC91A" w14:textId="77777777" w:rsidTr="004479A9">
        <w:tc>
          <w:tcPr>
            <w:tcW w:w="0" w:type="auto"/>
            <w:tcBorders>
              <w:top w:val="nil"/>
              <w:left w:val="nil"/>
              <w:bottom w:val="nil"/>
              <w:right w:val="nil"/>
            </w:tcBorders>
          </w:tcPr>
          <w:p w14:paraId="5CE017B1" w14:textId="77777777" w:rsidR="00F143FD" w:rsidRPr="000F0F33" w:rsidRDefault="00F143FD" w:rsidP="004479A9">
            <w:pPr>
              <w:pStyle w:val="Tabletext"/>
            </w:pPr>
          </w:p>
        </w:tc>
        <w:tc>
          <w:tcPr>
            <w:tcW w:w="0" w:type="auto"/>
            <w:tcBorders>
              <w:top w:val="nil"/>
              <w:left w:val="nil"/>
              <w:bottom w:val="nil"/>
              <w:right w:val="nil"/>
            </w:tcBorders>
          </w:tcPr>
          <w:p w14:paraId="1BF9CC4D" w14:textId="77777777" w:rsidR="00F143FD" w:rsidRPr="000F0F33" w:rsidRDefault="00F143FD" w:rsidP="004479A9">
            <w:pPr>
              <w:pStyle w:val="Tabletext"/>
            </w:pPr>
            <w:r w:rsidRPr="000F0F33">
              <w:t>South West</w:t>
            </w:r>
          </w:p>
        </w:tc>
        <w:tc>
          <w:tcPr>
            <w:tcW w:w="0" w:type="auto"/>
            <w:tcBorders>
              <w:top w:val="nil"/>
              <w:left w:val="nil"/>
              <w:bottom w:val="nil"/>
              <w:right w:val="nil"/>
            </w:tcBorders>
            <w:hideMark/>
          </w:tcPr>
          <w:p w14:paraId="591F6822" w14:textId="77777777" w:rsidR="00F143FD" w:rsidRPr="000F0F33" w:rsidRDefault="00F143FD" w:rsidP="004479A9">
            <w:pPr>
              <w:pStyle w:val="Tabletext"/>
              <w:rPr>
                <w:i/>
                <w:iCs/>
              </w:rPr>
            </w:pPr>
            <w:r w:rsidRPr="000F0F33">
              <w:t>148 (9.9)</w:t>
            </w:r>
          </w:p>
        </w:tc>
      </w:tr>
      <w:tr w:rsidR="00F143FD" w:rsidRPr="000F0F33" w14:paraId="52877222" w14:textId="77777777" w:rsidTr="004479A9">
        <w:tc>
          <w:tcPr>
            <w:tcW w:w="0" w:type="auto"/>
            <w:tcBorders>
              <w:top w:val="nil"/>
              <w:left w:val="nil"/>
              <w:bottom w:val="nil"/>
              <w:right w:val="nil"/>
            </w:tcBorders>
          </w:tcPr>
          <w:p w14:paraId="5E31C1BC" w14:textId="77777777" w:rsidR="00F143FD" w:rsidRPr="000F0F33" w:rsidRDefault="00F143FD" w:rsidP="004479A9">
            <w:pPr>
              <w:pStyle w:val="Tabletext"/>
            </w:pPr>
          </w:p>
        </w:tc>
        <w:tc>
          <w:tcPr>
            <w:tcW w:w="0" w:type="auto"/>
            <w:tcBorders>
              <w:top w:val="nil"/>
              <w:left w:val="nil"/>
              <w:bottom w:val="nil"/>
              <w:right w:val="nil"/>
            </w:tcBorders>
          </w:tcPr>
          <w:p w14:paraId="35E23A97" w14:textId="77777777" w:rsidR="00F143FD" w:rsidRPr="000F0F33" w:rsidRDefault="00F143FD" w:rsidP="004479A9">
            <w:pPr>
              <w:pStyle w:val="Tabletext"/>
            </w:pPr>
            <w:r w:rsidRPr="000F0F33">
              <w:t>Wales</w:t>
            </w:r>
          </w:p>
        </w:tc>
        <w:tc>
          <w:tcPr>
            <w:tcW w:w="0" w:type="auto"/>
            <w:tcBorders>
              <w:top w:val="nil"/>
              <w:left w:val="nil"/>
              <w:bottom w:val="nil"/>
              <w:right w:val="nil"/>
            </w:tcBorders>
            <w:hideMark/>
          </w:tcPr>
          <w:p w14:paraId="42EE7EE8" w14:textId="77777777" w:rsidR="00F143FD" w:rsidRPr="000F0F33" w:rsidRDefault="00F143FD" w:rsidP="004479A9">
            <w:pPr>
              <w:pStyle w:val="Tabletext"/>
              <w:rPr>
                <w:i/>
                <w:iCs/>
              </w:rPr>
            </w:pPr>
            <w:r w:rsidRPr="000F0F33">
              <w:t>66 (4.4)</w:t>
            </w:r>
          </w:p>
        </w:tc>
      </w:tr>
      <w:tr w:rsidR="00F143FD" w:rsidRPr="000F0F33" w14:paraId="4D02D715" w14:textId="77777777" w:rsidTr="004479A9">
        <w:tc>
          <w:tcPr>
            <w:tcW w:w="0" w:type="auto"/>
            <w:tcBorders>
              <w:top w:val="nil"/>
              <w:left w:val="nil"/>
              <w:bottom w:val="nil"/>
              <w:right w:val="nil"/>
            </w:tcBorders>
          </w:tcPr>
          <w:p w14:paraId="313252C0" w14:textId="77777777" w:rsidR="00F143FD" w:rsidRPr="000F0F33" w:rsidRDefault="00F143FD" w:rsidP="004479A9">
            <w:pPr>
              <w:pStyle w:val="Tabletext"/>
            </w:pPr>
          </w:p>
        </w:tc>
        <w:tc>
          <w:tcPr>
            <w:tcW w:w="0" w:type="auto"/>
            <w:tcBorders>
              <w:top w:val="nil"/>
              <w:left w:val="nil"/>
              <w:bottom w:val="nil"/>
              <w:right w:val="nil"/>
            </w:tcBorders>
          </w:tcPr>
          <w:p w14:paraId="729D65C4" w14:textId="77777777" w:rsidR="00F143FD" w:rsidRPr="000F0F33" w:rsidRDefault="00F143FD" w:rsidP="004479A9">
            <w:pPr>
              <w:pStyle w:val="Tabletext"/>
            </w:pPr>
            <w:r w:rsidRPr="000F0F33">
              <w:t>West Midlands</w:t>
            </w:r>
          </w:p>
        </w:tc>
        <w:tc>
          <w:tcPr>
            <w:tcW w:w="0" w:type="auto"/>
            <w:tcBorders>
              <w:top w:val="nil"/>
              <w:left w:val="nil"/>
              <w:bottom w:val="nil"/>
              <w:right w:val="nil"/>
            </w:tcBorders>
            <w:hideMark/>
          </w:tcPr>
          <w:p w14:paraId="1B55FE20" w14:textId="77777777" w:rsidR="00F143FD" w:rsidRPr="000F0F33" w:rsidRDefault="00F143FD" w:rsidP="004479A9">
            <w:pPr>
              <w:pStyle w:val="Tabletext"/>
              <w:rPr>
                <w:i/>
                <w:iCs/>
              </w:rPr>
            </w:pPr>
            <w:r w:rsidRPr="000F0F33">
              <w:t>127 (8.5)</w:t>
            </w:r>
          </w:p>
        </w:tc>
      </w:tr>
      <w:tr w:rsidR="00F143FD" w:rsidRPr="000F0F33" w14:paraId="73EEA2F2" w14:textId="77777777" w:rsidTr="004479A9">
        <w:tc>
          <w:tcPr>
            <w:tcW w:w="0" w:type="auto"/>
            <w:tcBorders>
              <w:top w:val="nil"/>
              <w:left w:val="nil"/>
              <w:bottom w:val="nil"/>
              <w:right w:val="nil"/>
            </w:tcBorders>
          </w:tcPr>
          <w:p w14:paraId="01022915" w14:textId="77777777" w:rsidR="00F143FD" w:rsidRPr="000F0F33" w:rsidRDefault="00F143FD" w:rsidP="004479A9">
            <w:pPr>
              <w:pStyle w:val="Tabletext"/>
            </w:pPr>
          </w:p>
        </w:tc>
        <w:tc>
          <w:tcPr>
            <w:tcW w:w="0" w:type="auto"/>
            <w:tcBorders>
              <w:top w:val="nil"/>
              <w:left w:val="nil"/>
              <w:bottom w:val="nil"/>
              <w:right w:val="nil"/>
            </w:tcBorders>
          </w:tcPr>
          <w:p w14:paraId="4AEEC60C" w14:textId="77777777" w:rsidR="00F143FD" w:rsidRPr="000F0F33" w:rsidRDefault="00F143FD" w:rsidP="004479A9">
            <w:pPr>
              <w:pStyle w:val="Tabletext"/>
            </w:pPr>
            <w:r w:rsidRPr="000F0F33">
              <w:t>Yorkshire and the Humber</w:t>
            </w:r>
          </w:p>
        </w:tc>
        <w:tc>
          <w:tcPr>
            <w:tcW w:w="0" w:type="auto"/>
            <w:tcBorders>
              <w:top w:val="nil"/>
              <w:left w:val="nil"/>
              <w:bottom w:val="nil"/>
              <w:right w:val="nil"/>
            </w:tcBorders>
            <w:hideMark/>
          </w:tcPr>
          <w:p w14:paraId="453095C6" w14:textId="77777777" w:rsidR="00F143FD" w:rsidRPr="000F0F33" w:rsidRDefault="00F143FD" w:rsidP="004479A9">
            <w:pPr>
              <w:pStyle w:val="Tabletext"/>
              <w:rPr>
                <w:i/>
                <w:iCs/>
              </w:rPr>
            </w:pPr>
            <w:r w:rsidRPr="000F0F33">
              <w:t>131 (8.7)</w:t>
            </w:r>
          </w:p>
        </w:tc>
      </w:tr>
      <w:tr w:rsidR="00F143FD" w:rsidRPr="000F0F33" w14:paraId="1A9F3A9B" w14:textId="77777777" w:rsidTr="004479A9">
        <w:tc>
          <w:tcPr>
            <w:tcW w:w="0" w:type="auto"/>
            <w:tcBorders>
              <w:top w:val="nil"/>
              <w:left w:val="nil"/>
              <w:bottom w:val="single" w:sz="4" w:space="0" w:color="auto"/>
              <w:right w:val="nil"/>
            </w:tcBorders>
          </w:tcPr>
          <w:p w14:paraId="24EE0BD6"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5B48D633" w14:textId="77777777" w:rsidR="00F143FD" w:rsidRPr="000F0F33" w:rsidRDefault="00F143FD" w:rsidP="004479A9">
            <w:pPr>
              <w:pStyle w:val="Tabletext"/>
            </w:pPr>
            <w:r w:rsidRPr="000F0F33">
              <w:t>Prefer not to say</w:t>
            </w:r>
          </w:p>
        </w:tc>
        <w:tc>
          <w:tcPr>
            <w:tcW w:w="0" w:type="auto"/>
            <w:tcBorders>
              <w:top w:val="nil"/>
              <w:left w:val="nil"/>
              <w:bottom w:val="single" w:sz="4" w:space="0" w:color="auto"/>
              <w:right w:val="nil"/>
            </w:tcBorders>
            <w:hideMark/>
          </w:tcPr>
          <w:p w14:paraId="144E4AFB" w14:textId="77777777" w:rsidR="00F143FD" w:rsidRPr="000F0F33" w:rsidRDefault="00F143FD" w:rsidP="004479A9">
            <w:pPr>
              <w:pStyle w:val="Tabletext"/>
            </w:pPr>
            <w:r w:rsidRPr="000F0F33">
              <w:t>1 (1)</w:t>
            </w:r>
          </w:p>
        </w:tc>
      </w:tr>
      <w:tr w:rsidR="00F143FD" w:rsidRPr="000F0F33" w14:paraId="29E7D6C9" w14:textId="77777777" w:rsidTr="004479A9">
        <w:tc>
          <w:tcPr>
            <w:tcW w:w="0" w:type="auto"/>
            <w:tcBorders>
              <w:top w:val="nil"/>
              <w:left w:val="nil"/>
              <w:bottom w:val="nil"/>
              <w:right w:val="nil"/>
            </w:tcBorders>
          </w:tcPr>
          <w:p w14:paraId="6998015B" w14:textId="77777777" w:rsidR="00F143FD" w:rsidRPr="000F0F33" w:rsidRDefault="00F143FD" w:rsidP="004479A9">
            <w:pPr>
              <w:pStyle w:val="Tabletext"/>
            </w:pPr>
            <w:r w:rsidRPr="000F0F33">
              <w:t>Number of people in household*</w:t>
            </w:r>
          </w:p>
        </w:tc>
        <w:tc>
          <w:tcPr>
            <w:tcW w:w="0" w:type="auto"/>
            <w:tcBorders>
              <w:top w:val="nil"/>
              <w:left w:val="nil"/>
              <w:bottom w:val="nil"/>
              <w:right w:val="nil"/>
            </w:tcBorders>
          </w:tcPr>
          <w:p w14:paraId="0778F0FB" w14:textId="77777777" w:rsidR="00F143FD" w:rsidRPr="000F0F33" w:rsidRDefault="00F143FD" w:rsidP="004479A9">
            <w:pPr>
              <w:pStyle w:val="Tabletext"/>
            </w:pPr>
            <w:r w:rsidRPr="000F0F33">
              <w:t>1</w:t>
            </w:r>
          </w:p>
        </w:tc>
        <w:tc>
          <w:tcPr>
            <w:tcW w:w="0" w:type="auto"/>
            <w:tcBorders>
              <w:top w:val="nil"/>
              <w:left w:val="nil"/>
              <w:bottom w:val="nil"/>
              <w:right w:val="nil"/>
            </w:tcBorders>
            <w:hideMark/>
          </w:tcPr>
          <w:p w14:paraId="45C17665" w14:textId="77777777" w:rsidR="00F143FD" w:rsidRPr="000F0F33" w:rsidRDefault="00F143FD" w:rsidP="004479A9">
            <w:pPr>
              <w:pStyle w:val="Tabletext"/>
            </w:pPr>
            <w:r w:rsidRPr="000F0F33">
              <w:t>235 (15.7)</w:t>
            </w:r>
          </w:p>
        </w:tc>
      </w:tr>
      <w:tr w:rsidR="00F143FD" w:rsidRPr="000F0F33" w14:paraId="29205F48" w14:textId="77777777" w:rsidTr="004479A9">
        <w:tc>
          <w:tcPr>
            <w:tcW w:w="0" w:type="auto"/>
            <w:tcBorders>
              <w:top w:val="nil"/>
              <w:left w:val="nil"/>
              <w:bottom w:val="nil"/>
              <w:right w:val="nil"/>
            </w:tcBorders>
          </w:tcPr>
          <w:p w14:paraId="3E27AB8B" w14:textId="77777777" w:rsidR="00F143FD" w:rsidRPr="000F0F33" w:rsidRDefault="00F143FD" w:rsidP="004479A9">
            <w:pPr>
              <w:pStyle w:val="Tabletext"/>
            </w:pPr>
          </w:p>
        </w:tc>
        <w:tc>
          <w:tcPr>
            <w:tcW w:w="0" w:type="auto"/>
            <w:tcBorders>
              <w:top w:val="nil"/>
              <w:left w:val="nil"/>
              <w:bottom w:val="nil"/>
              <w:right w:val="nil"/>
            </w:tcBorders>
          </w:tcPr>
          <w:p w14:paraId="12ECDB20" w14:textId="77777777" w:rsidR="00F143FD" w:rsidRPr="000F0F33" w:rsidRDefault="00F143FD" w:rsidP="004479A9">
            <w:pPr>
              <w:pStyle w:val="Tabletext"/>
            </w:pPr>
            <w:r w:rsidRPr="000F0F33">
              <w:t>2†</w:t>
            </w:r>
          </w:p>
        </w:tc>
        <w:tc>
          <w:tcPr>
            <w:tcW w:w="0" w:type="auto"/>
            <w:tcBorders>
              <w:top w:val="nil"/>
              <w:left w:val="nil"/>
              <w:bottom w:val="nil"/>
              <w:right w:val="nil"/>
            </w:tcBorders>
            <w:hideMark/>
          </w:tcPr>
          <w:p w14:paraId="239F161F" w14:textId="77777777" w:rsidR="00F143FD" w:rsidRPr="000F0F33" w:rsidRDefault="00F143FD" w:rsidP="004479A9">
            <w:pPr>
              <w:pStyle w:val="Tabletext"/>
            </w:pPr>
            <w:r w:rsidRPr="000F0F33">
              <w:t>572 (38.1)</w:t>
            </w:r>
          </w:p>
        </w:tc>
      </w:tr>
      <w:tr w:rsidR="00F143FD" w:rsidRPr="000F0F33" w14:paraId="18611211" w14:textId="77777777" w:rsidTr="004479A9">
        <w:tc>
          <w:tcPr>
            <w:tcW w:w="0" w:type="auto"/>
            <w:tcBorders>
              <w:top w:val="nil"/>
              <w:left w:val="nil"/>
              <w:bottom w:val="nil"/>
              <w:right w:val="nil"/>
            </w:tcBorders>
          </w:tcPr>
          <w:p w14:paraId="59F41396" w14:textId="77777777" w:rsidR="00F143FD" w:rsidRPr="000F0F33" w:rsidRDefault="00F143FD" w:rsidP="004479A9">
            <w:pPr>
              <w:pStyle w:val="Tabletext"/>
            </w:pPr>
          </w:p>
        </w:tc>
        <w:tc>
          <w:tcPr>
            <w:tcW w:w="0" w:type="auto"/>
            <w:tcBorders>
              <w:top w:val="nil"/>
              <w:left w:val="nil"/>
              <w:bottom w:val="nil"/>
              <w:right w:val="nil"/>
            </w:tcBorders>
          </w:tcPr>
          <w:p w14:paraId="03A057CF" w14:textId="77777777" w:rsidR="00F143FD" w:rsidRPr="000F0F33" w:rsidRDefault="00F143FD" w:rsidP="004479A9">
            <w:pPr>
              <w:pStyle w:val="Tabletext"/>
            </w:pPr>
            <w:r w:rsidRPr="000F0F33">
              <w:t>3–4</w:t>
            </w:r>
          </w:p>
        </w:tc>
        <w:tc>
          <w:tcPr>
            <w:tcW w:w="0" w:type="auto"/>
            <w:tcBorders>
              <w:top w:val="nil"/>
              <w:left w:val="nil"/>
              <w:bottom w:val="nil"/>
              <w:right w:val="nil"/>
            </w:tcBorders>
            <w:hideMark/>
          </w:tcPr>
          <w:p w14:paraId="39554C68" w14:textId="77777777" w:rsidR="00F143FD" w:rsidRPr="000F0F33" w:rsidRDefault="00F143FD" w:rsidP="004479A9">
            <w:pPr>
              <w:pStyle w:val="Tabletext"/>
            </w:pPr>
            <w:r w:rsidRPr="000F0F33">
              <w:t>553 (36.9)</w:t>
            </w:r>
          </w:p>
        </w:tc>
      </w:tr>
      <w:tr w:rsidR="00F143FD" w:rsidRPr="000F0F33" w14:paraId="78A41E63" w14:textId="77777777" w:rsidTr="004479A9">
        <w:tc>
          <w:tcPr>
            <w:tcW w:w="0" w:type="auto"/>
            <w:tcBorders>
              <w:top w:val="nil"/>
              <w:left w:val="nil"/>
              <w:bottom w:val="nil"/>
              <w:right w:val="nil"/>
            </w:tcBorders>
          </w:tcPr>
          <w:p w14:paraId="5EFED94F" w14:textId="77777777" w:rsidR="00F143FD" w:rsidRPr="000F0F33" w:rsidRDefault="00F143FD" w:rsidP="004479A9">
            <w:pPr>
              <w:pStyle w:val="Tabletext"/>
            </w:pPr>
          </w:p>
        </w:tc>
        <w:tc>
          <w:tcPr>
            <w:tcW w:w="0" w:type="auto"/>
            <w:tcBorders>
              <w:top w:val="nil"/>
              <w:left w:val="nil"/>
              <w:bottom w:val="nil"/>
              <w:right w:val="nil"/>
            </w:tcBorders>
          </w:tcPr>
          <w:p w14:paraId="71E3A24F" w14:textId="77777777" w:rsidR="00F143FD" w:rsidRPr="000F0F33" w:rsidRDefault="00F143FD" w:rsidP="004479A9">
            <w:pPr>
              <w:pStyle w:val="Tabletext"/>
            </w:pPr>
            <w:r w:rsidRPr="000F0F33">
              <w:t>5–6</w:t>
            </w:r>
          </w:p>
        </w:tc>
        <w:tc>
          <w:tcPr>
            <w:tcW w:w="0" w:type="auto"/>
            <w:tcBorders>
              <w:top w:val="nil"/>
              <w:left w:val="nil"/>
              <w:bottom w:val="nil"/>
              <w:right w:val="nil"/>
            </w:tcBorders>
            <w:hideMark/>
          </w:tcPr>
          <w:p w14:paraId="44D69F25" w14:textId="77777777" w:rsidR="00F143FD" w:rsidRPr="000F0F33" w:rsidRDefault="00F143FD" w:rsidP="004479A9">
            <w:pPr>
              <w:pStyle w:val="Tabletext"/>
            </w:pPr>
            <w:r w:rsidRPr="000F0F33">
              <w:t>126 (8.4)</w:t>
            </w:r>
          </w:p>
        </w:tc>
      </w:tr>
      <w:tr w:rsidR="00F143FD" w:rsidRPr="000F0F33" w14:paraId="092BF08E" w14:textId="77777777" w:rsidTr="004479A9">
        <w:tc>
          <w:tcPr>
            <w:tcW w:w="0" w:type="auto"/>
            <w:tcBorders>
              <w:top w:val="nil"/>
              <w:left w:val="nil"/>
              <w:bottom w:val="nil"/>
              <w:right w:val="nil"/>
            </w:tcBorders>
          </w:tcPr>
          <w:p w14:paraId="4B2EB4E6" w14:textId="77777777" w:rsidR="00F143FD" w:rsidRPr="000F0F33" w:rsidRDefault="00F143FD" w:rsidP="004479A9">
            <w:pPr>
              <w:pStyle w:val="Tabletext"/>
            </w:pPr>
          </w:p>
        </w:tc>
        <w:tc>
          <w:tcPr>
            <w:tcW w:w="0" w:type="auto"/>
            <w:tcBorders>
              <w:top w:val="nil"/>
              <w:left w:val="nil"/>
              <w:bottom w:val="nil"/>
              <w:right w:val="nil"/>
            </w:tcBorders>
          </w:tcPr>
          <w:p w14:paraId="59DEBBFC" w14:textId="77777777" w:rsidR="00F143FD" w:rsidRPr="000F0F33" w:rsidRDefault="00F143FD" w:rsidP="004479A9">
            <w:pPr>
              <w:pStyle w:val="Tabletext"/>
            </w:pPr>
            <w:r w:rsidRPr="000F0F33">
              <w:t xml:space="preserve">7 or more </w:t>
            </w:r>
          </w:p>
        </w:tc>
        <w:tc>
          <w:tcPr>
            <w:tcW w:w="0" w:type="auto"/>
            <w:tcBorders>
              <w:top w:val="nil"/>
              <w:left w:val="nil"/>
              <w:bottom w:val="nil"/>
              <w:right w:val="nil"/>
            </w:tcBorders>
            <w:hideMark/>
          </w:tcPr>
          <w:p w14:paraId="50DEA9FB" w14:textId="77777777" w:rsidR="00F143FD" w:rsidRPr="000F0F33" w:rsidRDefault="00F143FD" w:rsidP="004479A9">
            <w:pPr>
              <w:pStyle w:val="Tabletext"/>
            </w:pPr>
            <w:r w:rsidRPr="000F0F33">
              <w:t>11 (7.0)</w:t>
            </w:r>
          </w:p>
        </w:tc>
      </w:tr>
      <w:tr w:rsidR="00F143FD" w:rsidRPr="000F0F33" w14:paraId="6E92BC92" w14:textId="77777777" w:rsidTr="004479A9">
        <w:tc>
          <w:tcPr>
            <w:tcW w:w="0" w:type="auto"/>
            <w:tcBorders>
              <w:top w:val="nil"/>
              <w:left w:val="nil"/>
              <w:bottom w:val="single" w:sz="4" w:space="0" w:color="auto"/>
              <w:right w:val="nil"/>
            </w:tcBorders>
          </w:tcPr>
          <w:p w14:paraId="75B8406A"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388C11A1" w14:textId="77777777" w:rsidR="00F143FD" w:rsidRPr="000F0F33" w:rsidRDefault="00F143FD" w:rsidP="004479A9">
            <w:pPr>
              <w:pStyle w:val="Tabletext"/>
            </w:pPr>
            <w:r w:rsidRPr="000F0F33">
              <w:t xml:space="preserve">Prefer not to say </w:t>
            </w:r>
          </w:p>
        </w:tc>
        <w:tc>
          <w:tcPr>
            <w:tcW w:w="0" w:type="auto"/>
            <w:tcBorders>
              <w:top w:val="nil"/>
              <w:left w:val="nil"/>
              <w:bottom w:val="single" w:sz="4" w:space="0" w:color="auto"/>
              <w:right w:val="nil"/>
            </w:tcBorders>
            <w:hideMark/>
          </w:tcPr>
          <w:p w14:paraId="708D0F59" w14:textId="77777777" w:rsidR="00F143FD" w:rsidRPr="000F0F33" w:rsidRDefault="00F143FD" w:rsidP="004479A9">
            <w:pPr>
              <w:pStyle w:val="Tabletext"/>
            </w:pPr>
            <w:r w:rsidRPr="000F0F33">
              <w:t>3 (0.2)</w:t>
            </w:r>
          </w:p>
        </w:tc>
      </w:tr>
      <w:tr w:rsidR="00F143FD" w:rsidRPr="000F0F33" w14:paraId="3D0E7602" w14:textId="77777777" w:rsidTr="004479A9">
        <w:tc>
          <w:tcPr>
            <w:tcW w:w="0" w:type="auto"/>
            <w:tcBorders>
              <w:top w:val="nil"/>
              <w:left w:val="nil"/>
              <w:bottom w:val="nil"/>
              <w:right w:val="nil"/>
            </w:tcBorders>
          </w:tcPr>
          <w:p w14:paraId="0E5914F8" w14:textId="77777777" w:rsidR="00F143FD" w:rsidRPr="000F0F33" w:rsidRDefault="00F143FD" w:rsidP="004479A9">
            <w:pPr>
              <w:pStyle w:val="Tabletext"/>
            </w:pPr>
            <w:r w:rsidRPr="000F0F33">
              <w:t>Extremely clinically vulnerable – respondent</w:t>
            </w:r>
          </w:p>
        </w:tc>
        <w:tc>
          <w:tcPr>
            <w:tcW w:w="0" w:type="auto"/>
            <w:tcBorders>
              <w:top w:val="nil"/>
              <w:left w:val="nil"/>
              <w:bottom w:val="nil"/>
              <w:right w:val="nil"/>
            </w:tcBorders>
          </w:tcPr>
          <w:p w14:paraId="0A861F2D" w14:textId="77777777" w:rsidR="00F143FD" w:rsidRPr="000F0F33" w:rsidRDefault="00F143FD" w:rsidP="004479A9">
            <w:pPr>
              <w:pStyle w:val="Tabletext"/>
            </w:pPr>
            <w:r w:rsidRPr="000F0F33">
              <w:t>Yes</w:t>
            </w:r>
          </w:p>
        </w:tc>
        <w:tc>
          <w:tcPr>
            <w:tcW w:w="0" w:type="auto"/>
            <w:tcBorders>
              <w:top w:val="nil"/>
              <w:left w:val="nil"/>
              <w:bottom w:val="nil"/>
              <w:right w:val="nil"/>
            </w:tcBorders>
            <w:hideMark/>
          </w:tcPr>
          <w:p w14:paraId="5666B3D9" w14:textId="77777777" w:rsidR="00F143FD" w:rsidRPr="000F0F33" w:rsidRDefault="00F143FD" w:rsidP="004479A9">
            <w:pPr>
              <w:pStyle w:val="Tabletext"/>
            </w:pPr>
            <w:r w:rsidRPr="000F0F33">
              <w:t>445 (29.7)</w:t>
            </w:r>
          </w:p>
        </w:tc>
      </w:tr>
      <w:tr w:rsidR="00F143FD" w:rsidRPr="000F0F33" w14:paraId="1477CA6F" w14:textId="77777777" w:rsidTr="004479A9">
        <w:tc>
          <w:tcPr>
            <w:tcW w:w="0" w:type="auto"/>
            <w:tcBorders>
              <w:top w:val="nil"/>
              <w:left w:val="nil"/>
              <w:bottom w:val="single" w:sz="4" w:space="0" w:color="auto"/>
              <w:right w:val="nil"/>
            </w:tcBorders>
          </w:tcPr>
          <w:p w14:paraId="6ED1ECF6"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067C8917" w14:textId="77777777" w:rsidR="00F143FD" w:rsidRPr="000F0F33" w:rsidRDefault="00F143FD" w:rsidP="004479A9">
            <w:pPr>
              <w:pStyle w:val="Tabletext"/>
            </w:pPr>
            <w:r w:rsidRPr="000F0F33">
              <w:t>No</w:t>
            </w:r>
          </w:p>
        </w:tc>
        <w:tc>
          <w:tcPr>
            <w:tcW w:w="0" w:type="auto"/>
            <w:tcBorders>
              <w:top w:val="nil"/>
              <w:left w:val="nil"/>
              <w:bottom w:val="single" w:sz="4" w:space="0" w:color="auto"/>
              <w:right w:val="nil"/>
            </w:tcBorders>
            <w:hideMark/>
          </w:tcPr>
          <w:p w14:paraId="72A3E43C" w14:textId="77777777" w:rsidR="00F143FD" w:rsidRPr="000F0F33" w:rsidRDefault="00F143FD" w:rsidP="004479A9">
            <w:pPr>
              <w:pStyle w:val="Tabletext"/>
            </w:pPr>
            <w:r w:rsidRPr="000F0F33">
              <w:t>1055 (70.3)</w:t>
            </w:r>
          </w:p>
        </w:tc>
      </w:tr>
      <w:tr w:rsidR="00F143FD" w:rsidRPr="000F0F33" w14:paraId="34C868D6" w14:textId="77777777" w:rsidTr="004479A9">
        <w:tc>
          <w:tcPr>
            <w:tcW w:w="0" w:type="auto"/>
            <w:tcBorders>
              <w:top w:val="nil"/>
              <w:left w:val="nil"/>
              <w:bottom w:val="nil"/>
              <w:right w:val="nil"/>
            </w:tcBorders>
          </w:tcPr>
          <w:p w14:paraId="529DC8E2" w14:textId="77777777" w:rsidR="00F143FD" w:rsidRPr="000F0F33" w:rsidRDefault="00F143FD" w:rsidP="004479A9">
            <w:pPr>
              <w:pStyle w:val="Tabletext"/>
            </w:pPr>
            <w:r w:rsidRPr="000F0F33">
              <w:t>Extremely clinically vulnerable – other(s) in household</w:t>
            </w:r>
          </w:p>
        </w:tc>
        <w:tc>
          <w:tcPr>
            <w:tcW w:w="0" w:type="auto"/>
            <w:tcBorders>
              <w:top w:val="nil"/>
              <w:left w:val="nil"/>
              <w:bottom w:val="nil"/>
              <w:right w:val="nil"/>
            </w:tcBorders>
          </w:tcPr>
          <w:p w14:paraId="0A3067A9" w14:textId="77777777" w:rsidR="00F143FD" w:rsidRPr="000F0F33" w:rsidRDefault="00F143FD" w:rsidP="004479A9">
            <w:pPr>
              <w:pStyle w:val="Tabletext"/>
            </w:pPr>
            <w:r w:rsidRPr="000F0F33">
              <w:t>Yes</w:t>
            </w:r>
          </w:p>
        </w:tc>
        <w:tc>
          <w:tcPr>
            <w:tcW w:w="0" w:type="auto"/>
            <w:tcBorders>
              <w:top w:val="nil"/>
              <w:left w:val="nil"/>
              <w:bottom w:val="nil"/>
              <w:right w:val="nil"/>
            </w:tcBorders>
            <w:hideMark/>
          </w:tcPr>
          <w:p w14:paraId="7E0584E6" w14:textId="77777777" w:rsidR="00F143FD" w:rsidRPr="000F0F33" w:rsidRDefault="00F143FD" w:rsidP="004479A9">
            <w:pPr>
              <w:pStyle w:val="Tabletext"/>
            </w:pPr>
            <w:r w:rsidRPr="000F0F33">
              <w:t>455 (36.0)</w:t>
            </w:r>
          </w:p>
        </w:tc>
      </w:tr>
      <w:tr w:rsidR="00F143FD" w:rsidRPr="000F0F33" w14:paraId="620E86B0" w14:textId="77777777" w:rsidTr="004479A9">
        <w:tc>
          <w:tcPr>
            <w:tcW w:w="0" w:type="auto"/>
            <w:tcBorders>
              <w:top w:val="nil"/>
              <w:left w:val="nil"/>
              <w:bottom w:val="nil"/>
              <w:right w:val="nil"/>
            </w:tcBorders>
          </w:tcPr>
          <w:p w14:paraId="076AA832" w14:textId="77777777" w:rsidR="00F143FD" w:rsidRPr="000F0F33" w:rsidRDefault="00F143FD" w:rsidP="004479A9">
            <w:pPr>
              <w:pStyle w:val="Tabletext"/>
            </w:pPr>
          </w:p>
        </w:tc>
        <w:tc>
          <w:tcPr>
            <w:tcW w:w="0" w:type="auto"/>
            <w:tcBorders>
              <w:top w:val="nil"/>
              <w:left w:val="nil"/>
              <w:bottom w:val="nil"/>
              <w:right w:val="nil"/>
            </w:tcBorders>
          </w:tcPr>
          <w:p w14:paraId="21C34076" w14:textId="77777777" w:rsidR="00F143FD" w:rsidRPr="000F0F33" w:rsidRDefault="00F143FD" w:rsidP="004479A9">
            <w:pPr>
              <w:pStyle w:val="Tabletext"/>
            </w:pPr>
            <w:r w:rsidRPr="000F0F33">
              <w:t>No</w:t>
            </w:r>
          </w:p>
        </w:tc>
        <w:tc>
          <w:tcPr>
            <w:tcW w:w="0" w:type="auto"/>
            <w:tcBorders>
              <w:top w:val="nil"/>
              <w:left w:val="nil"/>
              <w:bottom w:val="nil"/>
              <w:right w:val="nil"/>
            </w:tcBorders>
            <w:hideMark/>
          </w:tcPr>
          <w:p w14:paraId="5A8CAE7B" w14:textId="77777777" w:rsidR="00F143FD" w:rsidRPr="000F0F33" w:rsidRDefault="00F143FD" w:rsidP="004479A9">
            <w:pPr>
              <w:pStyle w:val="Tabletext"/>
            </w:pPr>
            <w:r w:rsidRPr="000F0F33">
              <w:t>810 (64.0)</w:t>
            </w:r>
          </w:p>
        </w:tc>
      </w:tr>
      <w:tr w:rsidR="00F143FD" w:rsidRPr="000F0F33" w14:paraId="794D3763" w14:textId="77777777" w:rsidTr="004479A9">
        <w:tc>
          <w:tcPr>
            <w:tcW w:w="0" w:type="auto"/>
            <w:tcBorders>
              <w:top w:val="nil"/>
              <w:left w:val="nil"/>
              <w:bottom w:val="single" w:sz="4" w:space="0" w:color="auto"/>
              <w:right w:val="nil"/>
            </w:tcBorders>
          </w:tcPr>
          <w:p w14:paraId="6251FE41" w14:textId="77777777" w:rsidR="00F143FD" w:rsidRPr="000F0F33" w:rsidRDefault="00F143FD" w:rsidP="004479A9">
            <w:pPr>
              <w:pStyle w:val="Tabletext"/>
            </w:pPr>
          </w:p>
        </w:tc>
        <w:tc>
          <w:tcPr>
            <w:tcW w:w="0" w:type="auto"/>
            <w:tcBorders>
              <w:top w:val="nil"/>
              <w:left w:val="nil"/>
              <w:bottom w:val="single" w:sz="4" w:space="0" w:color="auto"/>
              <w:right w:val="nil"/>
            </w:tcBorders>
          </w:tcPr>
          <w:p w14:paraId="7E93E82A" w14:textId="77777777" w:rsidR="00F143FD" w:rsidRPr="000F0F33" w:rsidRDefault="00F143FD" w:rsidP="004479A9">
            <w:pPr>
              <w:pStyle w:val="Tabletext"/>
            </w:pPr>
            <w:r w:rsidRPr="000F0F33">
              <w:t>Not applicable</w:t>
            </w:r>
          </w:p>
        </w:tc>
        <w:tc>
          <w:tcPr>
            <w:tcW w:w="0" w:type="auto"/>
            <w:tcBorders>
              <w:top w:val="nil"/>
              <w:left w:val="nil"/>
              <w:bottom w:val="single" w:sz="4" w:space="0" w:color="auto"/>
              <w:right w:val="nil"/>
            </w:tcBorders>
            <w:hideMark/>
          </w:tcPr>
          <w:p w14:paraId="0B3E8A53" w14:textId="77777777" w:rsidR="00F143FD" w:rsidRPr="000F0F33" w:rsidRDefault="00F143FD" w:rsidP="004479A9">
            <w:pPr>
              <w:pStyle w:val="Tabletext"/>
            </w:pPr>
            <w:r w:rsidRPr="000F0F33">
              <w:t>235</w:t>
            </w:r>
          </w:p>
        </w:tc>
      </w:tr>
      <w:tr w:rsidR="00F143FD" w:rsidRPr="000F0F33" w14:paraId="70AE1607" w14:textId="77777777" w:rsidTr="004479A9">
        <w:tc>
          <w:tcPr>
            <w:tcW w:w="0" w:type="auto"/>
            <w:tcBorders>
              <w:top w:val="single" w:sz="4" w:space="0" w:color="auto"/>
              <w:left w:val="nil"/>
              <w:bottom w:val="nil"/>
              <w:right w:val="nil"/>
            </w:tcBorders>
          </w:tcPr>
          <w:p w14:paraId="2252DBBC" w14:textId="77777777" w:rsidR="00F143FD" w:rsidRPr="000F0F33" w:rsidRDefault="00F143FD" w:rsidP="004479A9">
            <w:pPr>
              <w:pStyle w:val="Tabletext"/>
            </w:pPr>
            <w:r>
              <w:t>Influenza</w:t>
            </w:r>
            <w:r w:rsidRPr="000F0F33">
              <w:t xml:space="preserve"> vaccination last winter</w:t>
            </w:r>
          </w:p>
        </w:tc>
        <w:tc>
          <w:tcPr>
            <w:tcW w:w="0" w:type="auto"/>
            <w:tcBorders>
              <w:top w:val="single" w:sz="4" w:space="0" w:color="auto"/>
              <w:left w:val="nil"/>
              <w:bottom w:val="nil"/>
              <w:right w:val="nil"/>
            </w:tcBorders>
          </w:tcPr>
          <w:p w14:paraId="5FC47E0E" w14:textId="77777777" w:rsidR="00F143FD" w:rsidRPr="000F0F33" w:rsidRDefault="00F143FD" w:rsidP="004479A9">
            <w:pPr>
              <w:pStyle w:val="Tabletext"/>
            </w:pPr>
            <w:r w:rsidRPr="000F0F33">
              <w:t>Yes</w:t>
            </w:r>
          </w:p>
        </w:tc>
        <w:tc>
          <w:tcPr>
            <w:tcW w:w="0" w:type="auto"/>
            <w:tcBorders>
              <w:top w:val="single" w:sz="4" w:space="0" w:color="auto"/>
              <w:left w:val="nil"/>
              <w:bottom w:val="nil"/>
              <w:right w:val="nil"/>
            </w:tcBorders>
            <w:hideMark/>
          </w:tcPr>
          <w:p w14:paraId="1024D939" w14:textId="77777777" w:rsidR="00F143FD" w:rsidRPr="000F0F33" w:rsidRDefault="00F143FD" w:rsidP="004479A9">
            <w:pPr>
              <w:pStyle w:val="Tabletext"/>
            </w:pPr>
            <w:r w:rsidRPr="000F0F33">
              <w:t>485 (32.3)</w:t>
            </w:r>
          </w:p>
        </w:tc>
      </w:tr>
      <w:tr w:rsidR="00F143FD" w:rsidRPr="000F0F33" w14:paraId="0969D93F" w14:textId="77777777" w:rsidTr="004479A9">
        <w:tc>
          <w:tcPr>
            <w:tcW w:w="0" w:type="auto"/>
            <w:tcBorders>
              <w:top w:val="nil"/>
              <w:left w:val="nil"/>
              <w:bottom w:val="nil"/>
              <w:right w:val="nil"/>
            </w:tcBorders>
          </w:tcPr>
          <w:p w14:paraId="618FFED4" w14:textId="77777777" w:rsidR="00F143FD" w:rsidRPr="000F0F33" w:rsidRDefault="00F143FD" w:rsidP="004479A9">
            <w:pPr>
              <w:pStyle w:val="Tabletext"/>
            </w:pPr>
          </w:p>
        </w:tc>
        <w:tc>
          <w:tcPr>
            <w:tcW w:w="0" w:type="auto"/>
            <w:tcBorders>
              <w:top w:val="nil"/>
              <w:left w:val="nil"/>
              <w:bottom w:val="nil"/>
              <w:right w:val="nil"/>
            </w:tcBorders>
          </w:tcPr>
          <w:p w14:paraId="6C30079E" w14:textId="77777777" w:rsidR="00F143FD" w:rsidRPr="000F0F33" w:rsidRDefault="00F143FD" w:rsidP="004479A9">
            <w:pPr>
              <w:pStyle w:val="Tabletext"/>
            </w:pPr>
            <w:r w:rsidRPr="000F0F33">
              <w:t>No</w:t>
            </w:r>
          </w:p>
        </w:tc>
        <w:tc>
          <w:tcPr>
            <w:tcW w:w="0" w:type="auto"/>
            <w:tcBorders>
              <w:top w:val="nil"/>
              <w:left w:val="nil"/>
              <w:bottom w:val="nil"/>
              <w:right w:val="nil"/>
            </w:tcBorders>
            <w:hideMark/>
          </w:tcPr>
          <w:p w14:paraId="09A13B3A" w14:textId="77777777" w:rsidR="00F143FD" w:rsidRPr="000F0F33" w:rsidRDefault="00F143FD" w:rsidP="004479A9">
            <w:pPr>
              <w:pStyle w:val="Tabletext"/>
            </w:pPr>
            <w:r w:rsidRPr="000F0F33">
              <w:t>1001 (66.7)</w:t>
            </w:r>
          </w:p>
        </w:tc>
      </w:tr>
      <w:tr w:rsidR="00F143FD" w:rsidRPr="000F0F33" w14:paraId="3317480A" w14:textId="77777777" w:rsidTr="004479A9">
        <w:tc>
          <w:tcPr>
            <w:tcW w:w="0" w:type="auto"/>
            <w:tcBorders>
              <w:top w:val="nil"/>
              <w:left w:val="nil"/>
              <w:bottom w:val="single" w:sz="12" w:space="0" w:color="auto"/>
              <w:right w:val="nil"/>
            </w:tcBorders>
          </w:tcPr>
          <w:p w14:paraId="3CBFE9B4" w14:textId="77777777" w:rsidR="00F143FD" w:rsidRPr="000F0F33" w:rsidRDefault="00F143FD" w:rsidP="004479A9">
            <w:pPr>
              <w:pStyle w:val="Tabletext"/>
            </w:pPr>
          </w:p>
        </w:tc>
        <w:tc>
          <w:tcPr>
            <w:tcW w:w="0" w:type="auto"/>
            <w:tcBorders>
              <w:top w:val="nil"/>
              <w:left w:val="nil"/>
              <w:bottom w:val="single" w:sz="12" w:space="0" w:color="auto"/>
              <w:right w:val="nil"/>
            </w:tcBorders>
          </w:tcPr>
          <w:p w14:paraId="2975717D" w14:textId="77777777" w:rsidR="00F143FD" w:rsidRPr="000F0F33" w:rsidRDefault="00F143FD" w:rsidP="004479A9">
            <w:pPr>
              <w:pStyle w:val="Tabletext"/>
            </w:pPr>
            <w:r w:rsidRPr="000F0F33">
              <w:t>Don’t know</w:t>
            </w:r>
          </w:p>
        </w:tc>
        <w:tc>
          <w:tcPr>
            <w:tcW w:w="0" w:type="auto"/>
            <w:tcBorders>
              <w:top w:val="nil"/>
              <w:left w:val="nil"/>
              <w:bottom w:val="single" w:sz="12" w:space="0" w:color="auto"/>
              <w:right w:val="nil"/>
            </w:tcBorders>
            <w:hideMark/>
          </w:tcPr>
          <w:p w14:paraId="198F8CBF" w14:textId="77777777" w:rsidR="00F143FD" w:rsidRPr="000F0F33" w:rsidRDefault="00F143FD" w:rsidP="004479A9">
            <w:pPr>
              <w:pStyle w:val="Tabletext"/>
            </w:pPr>
            <w:r w:rsidRPr="000F0F33">
              <w:t>14 (0.9)</w:t>
            </w:r>
          </w:p>
        </w:tc>
      </w:tr>
    </w:tbl>
    <w:bookmarkEnd w:id="16"/>
    <w:p w14:paraId="1F337A81" w14:textId="77777777" w:rsidR="00F143FD" w:rsidRPr="005C6339" w:rsidRDefault="00F143FD" w:rsidP="00F143FD">
      <w:pPr>
        <w:spacing w:after="0" w:line="240" w:lineRule="auto"/>
        <w:rPr>
          <w:rFonts w:ascii="Times New Roman" w:hAnsi="Times New Roman"/>
          <w:sz w:val="18"/>
          <w:szCs w:val="14"/>
        </w:rPr>
      </w:pPr>
      <w:r w:rsidRPr="005C6339">
        <w:rPr>
          <w:rFonts w:ascii="Times New Roman" w:hAnsi="Times New Roman"/>
          <w:sz w:val="18"/>
          <w:szCs w:val="14"/>
        </w:rPr>
        <w:t>* Not included in regression model</w:t>
      </w:r>
    </w:p>
    <w:p w14:paraId="14EF7CA9" w14:textId="77777777" w:rsidR="00F143FD" w:rsidRDefault="00F143FD" w:rsidP="00F143FD">
      <w:pPr>
        <w:spacing w:after="0" w:line="240" w:lineRule="auto"/>
        <w:rPr>
          <w:rFonts w:ascii="Times New Roman" w:hAnsi="Times New Roman"/>
          <w:sz w:val="18"/>
          <w:szCs w:val="14"/>
        </w:rPr>
      </w:pPr>
      <w:r w:rsidRPr="005C6339">
        <w:rPr>
          <w:rFonts w:ascii="Times New Roman" w:hAnsi="Times New Roman"/>
          <w:sz w:val="18"/>
          <w:szCs w:val="14"/>
        </w:rPr>
        <w:t>† Median category</w:t>
      </w:r>
    </w:p>
    <w:p w14:paraId="428E120C" w14:textId="77777777" w:rsidR="00F143FD" w:rsidRPr="005C6339" w:rsidRDefault="00F143FD" w:rsidP="00F143FD">
      <w:pPr>
        <w:spacing w:after="0" w:line="240" w:lineRule="auto"/>
        <w:rPr>
          <w:rFonts w:ascii="Times New Roman" w:hAnsi="Times New Roman"/>
          <w:sz w:val="18"/>
          <w:szCs w:val="14"/>
        </w:rPr>
      </w:pPr>
      <w:r>
        <w:rPr>
          <w:rFonts w:ascii="Times New Roman" w:hAnsi="Times New Roman"/>
          <w:sz w:val="18"/>
          <w:szCs w:val="14"/>
        </w:rPr>
        <w:t xml:space="preserve">+ </w:t>
      </w:r>
      <w:bookmarkStart w:id="17" w:name="_Hlk52547363"/>
      <w:r w:rsidRPr="00024FE0">
        <w:rPr>
          <w:rFonts w:ascii="Times New Roman" w:hAnsi="Times New Roman"/>
          <w:sz w:val="18"/>
          <w:szCs w:val="14"/>
        </w:rPr>
        <w:t>Undergraduate (e</w:t>
      </w:r>
      <w:r>
        <w:rPr>
          <w:rFonts w:ascii="Times New Roman" w:hAnsi="Times New Roman"/>
          <w:sz w:val="18"/>
          <w:szCs w:val="14"/>
        </w:rPr>
        <w:t>.</w:t>
      </w:r>
      <w:r w:rsidRPr="00024FE0">
        <w:rPr>
          <w:rFonts w:ascii="Times New Roman" w:hAnsi="Times New Roman"/>
          <w:sz w:val="18"/>
          <w:szCs w:val="14"/>
        </w:rPr>
        <w:t>g</w:t>
      </w:r>
      <w:r>
        <w:rPr>
          <w:rFonts w:ascii="Times New Roman" w:hAnsi="Times New Roman"/>
          <w:sz w:val="18"/>
          <w:szCs w:val="14"/>
        </w:rPr>
        <w:t>.</w:t>
      </w:r>
      <w:r w:rsidRPr="00024FE0">
        <w:rPr>
          <w:rFonts w:ascii="Times New Roman" w:hAnsi="Times New Roman"/>
          <w:sz w:val="18"/>
          <w:szCs w:val="14"/>
        </w:rPr>
        <w:t xml:space="preserve"> BA, BSc) or postgraduate (e</w:t>
      </w:r>
      <w:r>
        <w:rPr>
          <w:rFonts w:ascii="Times New Roman" w:hAnsi="Times New Roman"/>
          <w:sz w:val="18"/>
          <w:szCs w:val="14"/>
        </w:rPr>
        <w:t>.</w:t>
      </w:r>
      <w:r w:rsidRPr="00024FE0">
        <w:rPr>
          <w:rFonts w:ascii="Times New Roman" w:hAnsi="Times New Roman"/>
          <w:sz w:val="18"/>
          <w:szCs w:val="14"/>
        </w:rPr>
        <w:t>g</w:t>
      </w:r>
      <w:r>
        <w:rPr>
          <w:rFonts w:ascii="Times New Roman" w:hAnsi="Times New Roman"/>
          <w:sz w:val="18"/>
          <w:szCs w:val="14"/>
        </w:rPr>
        <w:t>.</w:t>
      </w:r>
      <w:r w:rsidRPr="00024FE0">
        <w:rPr>
          <w:rFonts w:ascii="Times New Roman" w:hAnsi="Times New Roman"/>
          <w:sz w:val="18"/>
          <w:szCs w:val="14"/>
        </w:rPr>
        <w:t xml:space="preserve"> MA, MSc, Ph</w:t>
      </w:r>
      <w:r>
        <w:rPr>
          <w:rFonts w:ascii="Times New Roman" w:hAnsi="Times New Roman"/>
          <w:sz w:val="18"/>
          <w:szCs w:val="14"/>
        </w:rPr>
        <w:t>D</w:t>
      </w:r>
      <w:r w:rsidRPr="00024FE0">
        <w:rPr>
          <w:rFonts w:ascii="Times New Roman" w:hAnsi="Times New Roman"/>
          <w:sz w:val="18"/>
          <w:szCs w:val="14"/>
        </w:rPr>
        <w:t>) degree</w:t>
      </w:r>
      <w:r>
        <w:rPr>
          <w:rFonts w:ascii="Times New Roman" w:hAnsi="Times New Roman"/>
          <w:sz w:val="18"/>
          <w:szCs w:val="14"/>
        </w:rPr>
        <w:t xml:space="preserve"> or other technical, professional or higher qualification.</w:t>
      </w:r>
    </w:p>
    <w:bookmarkEnd w:id="17"/>
    <w:p w14:paraId="5F57281B" w14:textId="77777777" w:rsidR="00F143FD" w:rsidRDefault="00F143FD" w:rsidP="00F143FD">
      <w:pPr>
        <w:spacing w:after="160" w:line="259" w:lineRule="auto"/>
      </w:pPr>
    </w:p>
    <w:p w14:paraId="2DAA742B" w14:textId="77777777" w:rsidR="00F143FD" w:rsidRPr="00D101F0" w:rsidRDefault="00F143FD" w:rsidP="00F143FD">
      <w:r w:rsidRPr="00854660">
        <w:rPr>
          <w:b/>
          <w:bCs/>
        </w:rPr>
        <w:lastRenderedPageBreak/>
        <w:t>Table 2.</w:t>
      </w:r>
      <w:r w:rsidRPr="003755E7">
        <w:rPr>
          <w:b/>
          <w:bCs/>
        </w:rPr>
        <w:t xml:space="preserve"> </w:t>
      </w:r>
      <w:r>
        <w:t>Descriptive statistics for continuous items measuring b</w:t>
      </w:r>
      <w:r w:rsidRPr="00D101F0">
        <w:t xml:space="preserve">eliefs and attitudes </w:t>
      </w:r>
      <w:r>
        <w:t>about COVID-19 and a COVID-19</w:t>
      </w:r>
      <w:r w:rsidRPr="00D101F0">
        <w:t xml:space="preserve"> vaccination</w:t>
      </w:r>
      <w:r>
        <w:t xml:space="preserve"> and vaccination intention</w:t>
      </w:r>
      <w:r w:rsidRPr="00D101F0">
        <w:t>. Data are mean (standard deviation) on a 0–10 numerical rating scale (0 = strongly disagree, 10 = strongly agree).</w:t>
      </w:r>
    </w:p>
    <w:tbl>
      <w:tblPr>
        <w:tblStyle w:val="TableGrid"/>
        <w:tblW w:w="9781" w:type="dxa"/>
        <w:jc w:val="center"/>
        <w:tblLook w:val="04A0" w:firstRow="1" w:lastRow="0" w:firstColumn="1" w:lastColumn="0" w:noHBand="0" w:noVBand="1"/>
      </w:tblPr>
      <w:tblGrid>
        <w:gridCol w:w="1271"/>
        <w:gridCol w:w="7234"/>
        <w:gridCol w:w="1276"/>
      </w:tblGrid>
      <w:tr w:rsidR="00F143FD" w:rsidRPr="00D101F0" w14:paraId="52FECE53" w14:textId="77777777" w:rsidTr="004479A9">
        <w:trPr>
          <w:jc w:val="center"/>
        </w:trPr>
        <w:tc>
          <w:tcPr>
            <w:tcW w:w="1271" w:type="dxa"/>
            <w:tcBorders>
              <w:top w:val="single" w:sz="12" w:space="0" w:color="auto"/>
              <w:left w:val="nil"/>
              <w:bottom w:val="single" w:sz="12" w:space="0" w:color="auto"/>
              <w:right w:val="nil"/>
            </w:tcBorders>
          </w:tcPr>
          <w:p w14:paraId="7F375FB9" w14:textId="77777777" w:rsidR="00F143FD" w:rsidRPr="00D101F0" w:rsidRDefault="00F143FD" w:rsidP="004479A9">
            <w:pPr>
              <w:pStyle w:val="Tabletext"/>
            </w:pPr>
          </w:p>
        </w:tc>
        <w:tc>
          <w:tcPr>
            <w:tcW w:w="7234" w:type="dxa"/>
            <w:tcBorders>
              <w:top w:val="single" w:sz="12" w:space="0" w:color="auto"/>
              <w:left w:val="nil"/>
              <w:bottom w:val="single" w:sz="12" w:space="0" w:color="auto"/>
              <w:right w:val="nil"/>
            </w:tcBorders>
            <w:vAlign w:val="bottom"/>
          </w:tcPr>
          <w:p w14:paraId="0A602EB3" w14:textId="77777777" w:rsidR="00F143FD" w:rsidRDefault="00F143FD" w:rsidP="004479A9">
            <w:pPr>
              <w:pStyle w:val="Tabletext"/>
            </w:pPr>
            <w:r>
              <w:t>Item</w:t>
            </w:r>
          </w:p>
        </w:tc>
        <w:tc>
          <w:tcPr>
            <w:tcW w:w="1276" w:type="dxa"/>
            <w:tcBorders>
              <w:top w:val="single" w:sz="12" w:space="0" w:color="auto"/>
              <w:left w:val="nil"/>
              <w:bottom w:val="single" w:sz="12" w:space="0" w:color="auto"/>
              <w:right w:val="nil"/>
            </w:tcBorders>
          </w:tcPr>
          <w:p w14:paraId="26EC517C" w14:textId="77777777" w:rsidR="00F143FD" w:rsidRPr="00D101F0" w:rsidRDefault="00F143FD" w:rsidP="004479A9">
            <w:pPr>
              <w:pStyle w:val="Tabletext"/>
            </w:pPr>
            <w:r>
              <w:t xml:space="preserve">Mean (SD) </w:t>
            </w:r>
          </w:p>
        </w:tc>
      </w:tr>
      <w:tr w:rsidR="00F143FD" w:rsidRPr="00D101F0" w14:paraId="7305E23B" w14:textId="77777777" w:rsidTr="004479A9">
        <w:trPr>
          <w:jc w:val="center"/>
        </w:trPr>
        <w:tc>
          <w:tcPr>
            <w:tcW w:w="1271" w:type="dxa"/>
            <w:vMerge w:val="restart"/>
            <w:tcBorders>
              <w:top w:val="single" w:sz="12" w:space="0" w:color="auto"/>
              <w:left w:val="nil"/>
              <w:right w:val="nil"/>
            </w:tcBorders>
            <w:vAlign w:val="center"/>
          </w:tcPr>
          <w:p w14:paraId="143E1C8C" w14:textId="77777777" w:rsidR="00F143FD" w:rsidRPr="00D101F0" w:rsidRDefault="00F143FD" w:rsidP="004479A9">
            <w:pPr>
              <w:pStyle w:val="Tabletext"/>
            </w:pPr>
            <w:r w:rsidRPr="00D101F0">
              <w:t xml:space="preserve">Attitudes and beliefs </w:t>
            </w:r>
            <w:r>
              <w:t>about COVID-19</w:t>
            </w:r>
          </w:p>
        </w:tc>
        <w:tc>
          <w:tcPr>
            <w:tcW w:w="7234" w:type="dxa"/>
            <w:tcBorders>
              <w:top w:val="single" w:sz="12" w:space="0" w:color="auto"/>
              <w:left w:val="nil"/>
              <w:bottom w:val="nil"/>
              <w:right w:val="nil"/>
            </w:tcBorders>
          </w:tcPr>
          <w:p w14:paraId="2DD9EAE5" w14:textId="77777777" w:rsidR="00F143FD" w:rsidRPr="00D101F0" w:rsidRDefault="00F143FD" w:rsidP="004479A9">
            <w:pPr>
              <w:pStyle w:val="Tabletext"/>
            </w:pPr>
            <w:r w:rsidRPr="00750442">
              <w:t>I am worried about catching coronavirus</w:t>
            </w:r>
          </w:p>
        </w:tc>
        <w:tc>
          <w:tcPr>
            <w:tcW w:w="1276" w:type="dxa"/>
            <w:tcBorders>
              <w:top w:val="single" w:sz="12" w:space="0" w:color="auto"/>
              <w:left w:val="nil"/>
              <w:bottom w:val="nil"/>
              <w:right w:val="nil"/>
            </w:tcBorders>
          </w:tcPr>
          <w:p w14:paraId="1C152A56" w14:textId="77777777" w:rsidR="00F143FD" w:rsidRPr="00D101F0" w:rsidRDefault="00F143FD" w:rsidP="004479A9">
            <w:pPr>
              <w:pStyle w:val="Tabletext"/>
            </w:pPr>
            <w:r w:rsidRPr="00D101F0">
              <w:t>6.24 (2.71)</w:t>
            </w:r>
          </w:p>
        </w:tc>
      </w:tr>
      <w:tr w:rsidR="00F143FD" w:rsidRPr="00D101F0" w14:paraId="4D5D86AB" w14:textId="77777777" w:rsidTr="004479A9">
        <w:trPr>
          <w:jc w:val="center"/>
        </w:trPr>
        <w:tc>
          <w:tcPr>
            <w:tcW w:w="1271" w:type="dxa"/>
            <w:vMerge/>
            <w:tcBorders>
              <w:left w:val="nil"/>
              <w:right w:val="nil"/>
            </w:tcBorders>
          </w:tcPr>
          <w:p w14:paraId="43C4EC17" w14:textId="77777777" w:rsidR="00F143FD" w:rsidRPr="00D101F0" w:rsidRDefault="00F143FD" w:rsidP="004479A9">
            <w:pPr>
              <w:pStyle w:val="Tabletext"/>
            </w:pPr>
          </w:p>
        </w:tc>
        <w:tc>
          <w:tcPr>
            <w:tcW w:w="7234" w:type="dxa"/>
            <w:tcBorders>
              <w:top w:val="nil"/>
              <w:left w:val="nil"/>
              <w:bottom w:val="nil"/>
              <w:right w:val="nil"/>
            </w:tcBorders>
          </w:tcPr>
          <w:p w14:paraId="74A21587" w14:textId="77777777" w:rsidR="00F143FD" w:rsidRPr="00D101F0" w:rsidRDefault="00F143FD" w:rsidP="004479A9">
            <w:pPr>
              <w:pStyle w:val="Tabletext"/>
            </w:pPr>
            <w:r w:rsidRPr="00D101F0">
              <w:t xml:space="preserve">I believe that coronavirus would be a mild illness for me </w:t>
            </w:r>
          </w:p>
        </w:tc>
        <w:tc>
          <w:tcPr>
            <w:tcW w:w="1276" w:type="dxa"/>
            <w:tcBorders>
              <w:top w:val="nil"/>
              <w:left w:val="nil"/>
              <w:bottom w:val="nil"/>
              <w:right w:val="nil"/>
            </w:tcBorders>
          </w:tcPr>
          <w:p w14:paraId="0920E0D2" w14:textId="77777777" w:rsidR="00F143FD" w:rsidRPr="00D101F0" w:rsidRDefault="00F143FD" w:rsidP="004479A9">
            <w:pPr>
              <w:pStyle w:val="Tabletext"/>
            </w:pPr>
            <w:r w:rsidRPr="00D101F0">
              <w:t>4.35 (2.63)</w:t>
            </w:r>
          </w:p>
        </w:tc>
      </w:tr>
      <w:tr w:rsidR="00F143FD" w:rsidRPr="00D101F0" w14:paraId="64B6109F" w14:textId="77777777" w:rsidTr="004479A9">
        <w:trPr>
          <w:jc w:val="center"/>
        </w:trPr>
        <w:tc>
          <w:tcPr>
            <w:tcW w:w="1271" w:type="dxa"/>
            <w:vMerge/>
            <w:tcBorders>
              <w:left w:val="nil"/>
              <w:right w:val="nil"/>
            </w:tcBorders>
          </w:tcPr>
          <w:p w14:paraId="180438AC" w14:textId="77777777" w:rsidR="00F143FD" w:rsidRPr="00D101F0" w:rsidRDefault="00F143FD" w:rsidP="004479A9">
            <w:pPr>
              <w:pStyle w:val="Tabletext"/>
            </w:pPr>
          </w:p>
        </w:tc>
        <w:tc>
          <w:tcPr>
            <w:tcW w:w="7234" w:type="dxa"/>
            <w:tcBorders>
              <w:top w:val="nil"/>
              <w:left w:val="nil"/>
              <w:bottom w:val="nil"/>
              <w:right w:val="nil"/>
            </w:tcBorders>
          </w:tcPr>
          <w:p w14:paraId="74FEDD32" w14:textId="77777777" w:rsidR="00F143FD" w:rsidRPr="00D101F0" w:rsidRDefault="00F143FD" w:rsidP="004479A9">
            <w:pPr>
              <w:pStyle w:val="Tabletext"/>
            </w:pPr>
            <w:r w:rsidRPr="00D101F0">
              <w:t xml:space="preserve">Too much fuss is being made about the risk of coronavirus* </w:t>
            </w:r>
          </w:p>
        </w:tc>
        <w:tc>
          <w:tcPr>
            <w:tcW w:w="1276" w:type="dxa"/>
            <w:tcBorders>
              <w:top w:val="nil"/>
              <w:left w:val="nil"/>
              <w:bottom w:val="nil"/>
              <w:right w:val="nil"/>
            </w:tcBorders>
          </w:tcPr>
          <w:p w14:paraId="7078C8A3" w14:textId="77777777" w:rsidR="00F143FD" w:rsidRPr="00D101F0" w:rsidRDefault="00F143FD" w:rsidP="004479A9">
            <w:pPr>
              <w:pStyle w:val="Tabletext"/>
            </w:pPr>
            <w:r w:rsidRPr="00D101F0">
              <w:t>2.10 (2.54)</w:t>
            </w:r>
          </w:p>
        </w:tc>
      </w:tr>
      <w:tr w:rsidR="00F143FD" w:rsidRPr="00D101F0" w14:paraId="619050A3" w14:textId="77777777" w:rsidTr="004479A9">
        <w:trPr>
          <w:jc w:val="center"/>
        </w:trPr>
        <w:tc>
          <w:tcPr>
            <w:tcW w:w="1271" w:type="dxa"/>
            <w:vMerge/>
            <w:tcBorders>
              <w:left w:val="nil"/>
              <w:right w:val="nil"/>
            </w:tcBorders>
          </w:tcPr>
          <w:p w14:paraId="37A883E5" w14:textId="77777777" w:rsidR="00F143FD" w:rsidRPr="00D101F0" w:rsidRDefault="00F143FD" w:rsidP="004479A9">
            <w:pPr>
              <w:pStyle w:val="Tabletext"/>
            </w:pPr>
          </w:p>
        </w:tc>
        <w:tc>
          <w:tcPr>
            <w:tcW w:w="7234" w:type="dxa"/>
            <w:tcBorders>
              <w:top w:val="nil"/>
              <w:left w:val="nil"/>
              <w:bottom w:val="nil"/>
              <w:right w:val="nil"/>
            </w:tcBorders>
          </w:tcPr>
          <w:p w14:paraId="56D8C3C1" w14:textId="77777777" w:rsidR="00F143FD" w:rsidRPr="00D101F0" w:rsidRDefault="00F143FD" w:rsidP="004479A9">
            <w:pPr>
              <w:pStyle w:val="Tabletext"/>
            </w:pPr>
            <w:r w:rsidRPr="00D101F0">
              <w:t>We are all responsible for reducing the spread of coronavirus*</w:t>
            </w:r>
          </w:p>
        </w:tc>
        <w:tc>
          <w:tcPr>
            <w:tcW w:w="1276" w:type="dxa"/>
            <w:tcBorders>
              <w:top w:val="nil"/>
              <w:left w:val="nil"/>
              <w:bottom w:val="nil"/>
              <w:right w:val="nil"/>
            </w:tcBorders>
          </w:tcPr>
          <w:p w14:paraId="54DA9B9A" w14:textId="77777777" w:rsidR="00F143FD" w:rsidRPr="00D101F0" w:rsidRDefault="00F143FD" w:rsidP="004479A9">
            <w:pPr>
              <w:pStyle w:val="Tabletext"/>
            </w:pPr>
            <w:r w:rsidRPr="00D101F0">
              <w:t>9.23 (1.40)</w:t>
            </w:r>
          </w:p>
        </w:tc>
      </w:tr>
      <w:tr w:rsidR="00F143FD" w:rsidRPr="00D101F0" w14:paraId="01AF7E53" w14:textId="77777777" w:rsidTr="004479A9">
        <w:trPr>
          <w:jc w:val="center"/>
        </w:trPr>
        <w:tc>
          <w:tcPr>
            <w:tcW w:w="1271" w:type="dxa"/>
            <w:vMerge/>
            <w:tcBorders>
              <w:left w:val="nil"/>
              <w:right w:val="nil"/>
            </w:tcBorders>
          </w:tcPr>
          <w:p w14:paraId="78727A6B" w14:textId="77777777" w:rsidR="00F143FD" w:rsidRPr="00D101F0" w:rsidRDefault="00F143FD" w:rsidP="004479A9">
            <w:pPr>
              <w:pStyle w:val="Tabletext"/>
            </w:pPr>
          </w:p>
        </w:tc>
        <w:tc>
          <w:tcPr>
            <w:tcW w:w="7234" w:type="dxa"/>
            <w:tcBorders>
              <w:top w:val="nil"/>
              <w:left w:val="nil"/>
              <w:bottom w:val="nil"/>
              <w:right w:val="nil"/>
            </w:tcBorders>
          </w:tcPr>
          <w:p w14:paraId="5ACF48B7" w14:textId="77777777" w:rsidR="00F143FD" w:rsidRPr="00D101F0" w:rsidRDefault="00F143FD" w:rsidP="004479A9">
            <w:pPr>
              <w:pStyle w:val="Tabletext"/>
            </w:pPr>
            <w:r w:rsidRPr="00D101F0">
              <w:t>I believe I am immune to coronavirus*</w:t>
            </w:r>
          </w:p>
        </w:tc>
        <w:tc>
          <w:tcPr>
            <w:tcW w:w="1276" w:type="dxa"/>
            <w:tcBorders>
              <w:top w:val="nil"/>
              <w:left w:val="nil"/>
              <w:bottom w:val="nil"/>
              <w:right w:val="nil"/>
            </w:tcBorders>
          </w:tcPr>
          <w:p w14:paraId="5D257968" w14:textId="77777777" w:rsidR="00F143FD" w:rsidRPr="00D101F0" w:rsidRDefault="00F143FD" w:rsidP="004479A9">
            <w:pPr>
              <w:pStyle w:val="Tabletext"/>
            </w:pPr>
            <w:r w:rsidRPr="00D101F0">
              <w:t>1.16 (1.96)</w:t>
            </w:r>
          </w:p>
        </w:tc>
      </w:tr>
      <w:tr w:rsidR="00F143FD" w:rsidRPr="00D101F0" w14:paraId="4254755E" w14:textId="77777777" w:rsidTr="004479A9">
        <w:trPr>
          <w:jc w:val="center"/>
        </w:trPr>
        <w:tc>
          <w:tcPr>
            <w:tcW w:w="1271" w:type="dxa"/>
            <w:vMerge/>
            <w:tcBorders>
              <w:left w:val="nil"/>
              <w:right w:val="nil"/>
            </w:tcBorders>
          </w:tcPr>
          <w:p w14:paraId="448DED13" w14:textId="77777777" w:rsidR="00F143FD" w:rsidRPr="00D101F0" w:rsidRDefault="00F143FD" w:rsidP="004479A9">
            <w:pPr>
              <w:pStyle w:val="Tabletext"/>
            </w:pPr>
          </w:p>
        </w:tc>
        <w:tc>
          <w:tcPr>
            <w:tcW w:w="7234" w:type="dxa"/>
            <w:tcBorders>
              <w:top w:val="nil"/>
              <w:left w:val="nil"/>
              <w:bottom w:val="nil"/>
              <w:right w:val="nil"/>
            </w:tcBorders>
          </w:tcPr>
          <w:p w14:paraId="13CCD137" w14:textId="77777777" w:rsidR="00F143FD" w:rsidRPr="00D101F0" w:rsidRDefault="00F143FD" w:rsidP="004479A9">
            <w:pPr>
              <w:pStyle w:val="Tabletext"/>
            </w:pPr>
            <w:r w:rsidRPr="00D101F0">
              <w:t xml:space="preserve">The coronavirus pandemic has had a big impact on my life </w:t>
            </w:r>
          </w:p>
        </w:tc>
        <w:tc>
          <w:tcPr>
            <w:tcW w:w="1276" w:type="dxa"/>
            <w:tcBorders>
              <w:top w:val="nil"/>
              <w:left w:val="nil"/>
              <w:bottom w:val="nil"/>
              <w:right w:val="nil"/>
            </w:tcBorders>
          </w:tcPr>
          <w:p w14:paraId="3382F742" w14:textId="77777777" w:rsidR="00F143FD" w:rsidRPr="00D101F0" w:rsidRDefault="00F143FD" w:rsidP="004479A9">
            <w:pPr>
              <w:pStyle w:val="Tabletext"/>
            </w:pPr>
            <w:r w:rsidRPr="00D101F0">
              <w:t>6.81 (2.43)</w:t>
            </w:r>
          </w:p>
        </w:tc>
      </w:tr>
      <w:tr w:rsidR="00F143FD" w:rsidRPr="00D101F0" w14:paraId="2DA0555B" w14:textId="77777777" w:rsidTr="004479A9">
        <w:trPr>
          <w:jc w:val="center"/>
        </w:trPr>
        <w:tc>
          <w:tcPr>
            <w:tcW w:w="1271" w:type="dxa"/>
            <w:vMerge/>
            <w:tcBorders>
              <w:left w:val="nil"/>
              <w:right w:val="nil"/>
            </w:tcBorders>
          </w:tcPr>
          <w:p w14:paraId="3D27818C" w14:textId="77777777" w:rsidR="00F143FD" w:rsidRPr="00D101F0" w:rsidRDefault="00F143FD" w:rsidP="004479A9">
            <w:pPr>
              <w:pStyle w:val="Tabletext"/>
            </w:pPr>
          </w:p>
        </w:tc>
        <w:tc>
          <w:tcPr>
            <w:tcW w:w="7234" w:type="dxa"/>
            <w:tcBorders>
              <w:top w:val="nil"/>
              <w:left w:val="nil"/>
              <w:bottom w:val="nil"/>
              <w:right w:val="nil"/>
            </w:tcBorders>
          </w:tcPr>
          <w:p w14:paraId="2FA1AF01" w14:textId="77777777" w:rsidR="00F143FD" w:rsidRPr="00750442" w:rsidRDefault="00F143FD" w:rsidP="004479A9">
            <w:pPr>
              <w:pStyle w:val="Tabletext"/>
            </w:pPr>
            <w:r w:rsidRPr="00750442">
              <w:t>I trust the NHS to manage the coronavirus pandemic in the UK</w:t>
            </w:r>
          </w:p>
        </w:tc>
        <w:tc>
          <w:tcPr>
            <w:tcW w:w="1276" w:type="dxa"/>
            <w:tcBorders>
              <w:top w:val="nil"/>
              <w:left w:val="nil"/>
              <w:bottom w:val="nil"/>
              <w:right w:val="nil"/>
            </w:tcBorders>
          </w:tcPr>
          <w:p w14:paraId="68C3765A" w14:textId="77777777" w:rsidR="00F143FD" w:rsidRPr="00D101F0" w:rsidRDefault="00F143FD" w:rsidP="004479A9">
            <w:pPr>
              <w:pStyle w:val="Tabletext"/>
            </w:pPr>
            <w:r w:rsidRPr="00D101F0">
              <w:t>7.28 (2.16)</w:t>
            </w:r>
          </w:p>
        </w:tc>
      </w:tr>
      <w:tr w:rsidR="00F143FD" w:rsidRPr="00D101F0" w14:paraId="5A15AD1C" w14:textId="77777777" w:rsidTr="004479A9">
        <w:trPr>
          <w:jc w:val="center"/>
        </w:trPr>
        <w:tc>
          <w:tcPr>
            <w:tcW w:w="1271" w:type="dxa"/>
            <w:vMerge/>
            <w:tcBorders>
              <w:left w:val="nil"/>
              <w:bottom w:val="single" w:sz="4" w:space="0" w:color="auto"/>
              <w:right w:val="nil"/>
            </w:tcBorders>
          </w:tcPr>
          <w:p w14:paraId="7AF744CB" w14:textId="77777777" w:rsidR="00F143FD" w:rsidRPr="00D101F0" w:rsidRDefault="00F143FD" w:rsidP="004479A9">
            <w:pPr>
              <w:pStyle w:val="Tabletext"/>
            </w:pPr>
          </w:p>
        </w:tc>
        <w:tc>
          <w:tcPr>
            <w:tcW w:w="7234" w:type="dxa"/>
            <w:tcBorders>
              <w:top w:val="nil"/>
              <w:left w:val="nil"/>
              <w:bottom w:val="single" w:sz="4" w:space="0" w:color="auto"/>
              <w:right w:val="nil"/>
            </w:tcBorders>
          </w:tcPr>
          <w:p w14:paraId="7B171D8C" w14:textId="77777777" w:rsidR="00F143FD" w:rsidRPr="00750442" w:rsidRDefault="00F143FD" w:rsidP="004479A9">
            <w:pPr>
              <w:pStyle w:val="Tabletext"/>
            </w:pPr>
            <w:r w:rsidRPr="00750442">
              <w:t>I trust the Government to manage the coronavirus pandemic in the UK</w:t>
            </w:r>
          </w:p>
        </w:tc>
        <w:tc>
          <w:tcPr>
            <w:tcW w:w="1276" w:type="dxa"/>
            <w:tcBorders>
              <w:top w:val="nil"/>
              <w:left w:val="nil"/>
              <w:bottom w:val="single" w:sz="4" w:space="0" w:color="auto"/>
              <w:right w:val="nil"/>
            </w:tcBorders>
          </w:tcPr>
          <w:p w14:paraId="40D5832A" w14:textId="77777777" w:rsidR="00F143FD" w:rsidRPr="00D101F0" w:rsidRDefault="00F143FD" w:rsidP="004479A9">
            <w:pPr>
              <w:pStyle w:val="Tabletext"/>
            </w:pPr>
            <w:r w:rsidRPr="00D101F0">
              <w:t>3.96 (2.91)</w:t>
            </w:r>
          </w:p>
        </w:tc>
      </w:tr>
      <w:tr w:rsidR="00F143FD" w:rsidRPr="00D101F0" w14:paraId="24B8AC50" w14:textId="77777777" w:rsidTr="004479A9">
        <w:trPr>
          <w:jc w:val="center"/>
        </w:trPr>
        <w:tc>
          <w:tcPr>
            <w:tcW w:w="1271" w:type="dxa"/>
            <w:vMerge w:val="restart"/>
            <w:tcBorders>
              <w:top w:val="nil"/>
              <w:left w:val="nil"/>
              <w:right w:val="nil"/>
            </w:tcBorders>
            <w:vAlign w:val="center"/>
          </w:tcPr>
          <w:p w14:paraId="0C9EF69F" w14:textId="77777777" w:rsidR="00F143FD" w:rsidRPr="00D101F0" w:rsidRDefault="00F143FD" w:rsidP="004479A9">
            <w:pPr>
              <w:pStyle w:val="Tabletext"/>
            </w:pPr>
            <w:r w:rsidRPr="00D101F0">
              <w:t xml:space="preserve">Attitudes and beliefs </w:t>
            </w:r>
            <w:r>
              <w:t xml:space="preserve">about a COVID-19 </w:t>
            </w:r>
            <w:r w:rsidRPr="00D101F0">
              <w:t>vaccination</w:t>
            </w:r>
          </w:p>
        </w:tc>
        <w:tc>
          <w:tcPr>
            <w:tcW w:w="7234" w:type="dxa"/>
            <w:tcBorders>
              <w:top w:val="nil"/>
              <w:left w:val="nil"/>
              <w:bottom w:val="nil"/>
              <w:right w:val="nil"/>
            </w:tcBorders>
          </w:tcPr>
          <w:p w14:paraId="4967F75F" w14:textId="77777777" w:rsidR="00F143FD" w:rsidRPr="00750442" w:rsidRDefault="00F143FD" w:rsidP="004479A9">
            <w:pPr>
              <w:pStyle w:val="Tabletext"/>
            </w:pPr>
            <w:r w:rsidRPr="00750442">
              <w:t>A coronavirus vaccination should be mandatory for everyone who is able to have it</w:t>
            </w:r>
          </w:p>
        </w:tc>
        <w:tc>
          <w:tcPr>
            <w:tcW w:w="1276" w:type="dxa"/>
            <w:tcBorders>
              <w:top w:val="nil"/>
              <w:left w:val="nil"/>
              <w:bottom w:val="nil"/>
              <w:right w:val="nil"/>
            </w:tcBorders>
          </w:tcPr>
          <w:p w14:paraId="3489C789" w14:textId="77777777" w:rsidR="00F143FD" w:rsidRPr="00D101F0" w:rsidRDefault="00F143FD" w:rsidP="004479A9">
            <w:pPr>
              <w:pStyle w:val="Tabletext"/>
            </w:pPr>
            <w:r w:rsidRPr="00D101F0">
              <w:t>6.51 (3.41)</w:t>
            </w:r>
          </w:p>
        </w:tc>
      </w:tr>
      <w:tr w:rsidR="00F143FD" w:rsidRPr="00D101F0" w14:paraId="4F88A095" w14:textId="77777777" w:rsidTr="004479A9">
        <w:trPr>
          <w:jc w:val="center"/>
        </w:trPr>
        <w:tc>
          <w:tcPr>
            <w:tcW w:w="1271" w:type="dxa"/>
            <w:vMerge/>
            <w:tcBorders>
              <w:left w:val="nil"/>
              <w:right w:val="nil"/>
            </w:tcBorders>
          </w:tcPr>
          <w:p w14:paraId="5BB72EDC" w14:textId="77777777" w:rsidR="00F143FD" w:rsidRPr="00D101F0" w:rsidRDefault="00F143FD" w:rsidP="004479A9">
            <w:pPr>
              <w:pStyle w:val="Tabletext"/>
            </w:pPr>
          </w:p>
        </w:tc>
        <w:tc>
          <w:tcPr>
            <w:tcW w:w="7234" w:type="dxa"/>
            <w:tcBorders>
              <w:top w:val="nil"/>
              <w:left w:val="nil"/>
              <w:bottom w:val="nil"/>
              <w:right w:val="nil"/>
            </w:tcBorders>
          </w:tcPr>
          <w:p w14:paraId="1D8D97CC" w14:textId="77777777" w:rsidR="00F143FD" w:rsidRPr="00D101F0" w:rsidRDefault="00F143FD" w:rsidP="004479A9">
            <w:pPr>
              <w:pStyle w:val="Tabletext"/>
            </w:pPr>
            <w:r w:rsidRPr="00D101F0">
              <w:t>Without a coronavirus vaccination, I am likely to catch coronavirus</w:t>
            </w:r>
          </w:p>
        </w:tc>
        <w:tc>
          <w:tcPr>
            <w:tcW w:w="1276" w:type="dxa"/>
            <w:tcBorders>
              <w:top w:val="nil"/>
              <w:left w:val="nil"/>
              <w:bottom w:val="nil"/>
              <w:right w:val="nil"/>
            </w:tcBorders>
          </w:tcPr>
          <w:p w14:paraId="5C0539D6" w14:textId="77777777" w:rsidR="00F143FD" w:rsidRPr="00D101F0" w:rsidRDefault="00F143FD" w:rsidP="004479A9">
            <w:pPr>
              <w:pStyle w:val="Tabletext"/>
            </w:pPr>
            <w:r w:rsidRPr="00D101F0">
              <w:t>5.57 (2.39)</w:t>
            </w:r>
          </w:p>
        </w:tc>
      </w:tr>
      <w:tr w:rsidR="00F143FD" w:rsidRPr="00D101F0" w14:paraId="5C9B5B57" w14:textId="77777777" w:rsidTr="004479A9">
        <w:trPr>
          <w:jc w:val="center"/>
        </w:trPr>
        <w:tc>
          <w:tcPr>
            <w:tcW w:w="1271" w:type="dxa"/>
            <w:vMerge/>
            <w:tcBorders>
              <w:left w:val="nil"/>
              <w:right w:val="nil"/>
            </w:tcBorders>
          </w:tcPr>
          <w:p w14:paraId="478545CD" w14:textId="77777777" w:rsidR="00F143FD" w:rsidRPr="00D101F0" w:rsidRDefault="00F143FD" w:rsidP="004479A9">
            <w:pPr>
              <w:pStyle w:val="Tabletext"/>
            </w:pPr>
          </w:p>
        </w:tc>
        <w:tc>
          <w:tcPr>
            <w:tcW w:w="7234" w:type="dxa"/>
            <w:tcBorders>
              <w:top w:val="nil"/>
              <w:left w:val="nil"/>
              <w:bottom w:val="nil"/>
              <w:right w:val="nil"/>
            </w:tcBorders>
          </w:tcPr>
          <w:p w14:paraId="5ED3A2DC" w14:textId="77777777" w:rsidR="00F143FD" w:rsidRPr="00D101F0" w:rsidRDefault="00F143FD" w:rsidP="004479A9">
            <w:pPr>
              <w:pStyle w:val="Tabletext"/>
            </w:pPr>
            <w:r w:rsidRPr="00D101F0">
              <w:t>If I get a coronavirus vaccination, I will be protected against coronavirus</w:t>
            </w:r>
          </w:p>
        </w:tc>
        <w:tc>
          <w:tcPr>
            <w:tcW w:w="1276" w:type="dxa"/>
            <w:tcBorders>
              <w:top w:val="nil"/>
              <w:left w:val="nil"/>
              <w:bottom w:val="nil"/>
              <w:right w:val="nil"/>
            </w:tcBorders>
          </w:tcPr>
          <w:p w14:paraId="781BC682" w14:textId="77777777" w:rsidR="00F143FD" w:rsidRPr="00D101F0" w:rsidRDefault="00F143FD" w:rsidP="004479A9">
            <w:pPr>
              <w:pStyle w:val="Tabletext"/>
            </w:pPr>
            <w:r w:rsidRPr="00D101F0">
              <w:t>6.83 (2.35)</w:t>
            </w:r>
          </w:p>
        </w:tc>
      </w:tr>
      <w:tr w:rsidR="00F143FD" w:rsidRPr="00D101F0" w14:paraId="1C8ECA56" w14:textId="77777777" w:rsidTr="004479A9">
        <w:trPr>
          <w:jc w:val="center"/>
        </w:trPr>
        <w:tc>
          <w:tcPr>
            <w:tcW w:w="1271" w:type="dxa"/>
            <w:vMerge/>
            <w:tcBorders>
              <w:left w:val="nil"/>
              <w:right w:val="nil"/>
            </w:tcBorders>
          </w:tcPr>
          <w:p w14:paraId="4F0C0B05" w14:textId="77777777" w:rsidR="00F143FD" w:rsidRPr="00D101F0" w:rsidRDefault="00F143FD" w:rsidP="004479A9">
            <w:pPr>
              <w:pStyle w:val="Tabletext"/>
            </w:pPr>
          </w:p>
        </w:tc>
        <w:tc>
          <w:tcPr>
            <w:tcW w:w="7234" w:type="dxa"/>
            <w:tcBorders>
              <w:top w:val="nil"/>
              <w:left w:val="nil"/>
              <w:bottom w:val="nil"/>
              <w:right w:val="nil"/>
            </w:tcBorders>
          </w:tcPr>
          <w:p w14:paraId="1C0FA6AB" w14:textId="77777777" w:rsidR="00F143FD" w:rsidRPr="00D101F0" w:rsidRDefault="00F143FD" w:rsidP="004479A9">
            <w:pPr>
              <w:pStyle w:val="Tabletext"/>
            </w:pPr>
            <w:r w:rsidRPr="00D101F0">
              <w:t>If I don</w:t>
            </w:r>
            <w:r>
              <w:t>’</w:t>
            </w:r>
            <w:r w:rsidRPr="00D101F0">
              <w:t>t get a coronavirus vaccination and end up getting coronavirus, I would regret not getting the vaccination*</w:t>
            </w:r>
          </w:p>
        </w:tc>
        <w:tc>
          <w:tcPr>
            <w:tcW w:w="1276" w:type="dxa"/>
            <w:tcBorders>
              <w:top w:val="nil"/>
              <w:left w:val="nil"/>
              <w:bottom w:val="nil"/>
              <w:right w:val="nil"/>
            </w:tcBorders>
          </w:tcPr>
          <w:p w14:paraId="1F79BE85" w14:textId="77777777" w:rsidR="00F143FD" w:rsidRPr="00D101F0" w:rsidRDefault="00F143FD" w:rsidP="004479A9">
            <w:pPr>
              <w:pStyle w:val="Tabletext"/>
            </w:pPr>
            <w:r w:rsidRPr="00D101F0">
              <w:t>7.83 (2.94)</w:t>
            </w:r>
          </w:p>
        </w:tc>
      </w:tr>
      <w:tr w:rsidR="00F143FD" w:rsidRPr="00D101F0" w14:paraId="2CD1CD89" w14:textId="77777777" w:rsidTr="004479A9">
        <w:trPr>
          <w:jc w:val="center"/>
        </w:trPr>
        <w:tc>
          <w:tcPr>
            <w:tcW w:w="1271" w:type="dxa"/>
            <w:vMerge/>
            <w:tcBorders>
              <w:left w:val="nil"/>
              <w:right w:val="nil"/>
            </w:tcBorders>
          </w:tcPr>
          <w:p w14:paraId="2CF50CCD" w14:textId="77777777" w:rsidR="00F143FD" w:rsidRPr="00D101F0" w:rsidRDefault="00F143FD" w:rsidP="004479A9">
            <w:pPr>
              <w:pStyle w:val="Tabletext"/>
            </w:pPr>
          </w:p>
        </w:tc>
        <w:tc>
          <w:tcPr>
            <w:tcW w:w="7234" w:type="dxa"/>
            <w:tcBorders>
              <w:top w:val="nil"/>
              <w:left w:val="nil"/>
              <w:bottom w:val="nil"/>
              <w:right w:val="nil"/>
            </w:tcBorders>
          </w:tcPr>
          <w:p w14:paraId="4FF8D9DB" w14:textId="77777777" w:rsidR="00F143FD" w:rsidRPr="00D101F0" w:rsidRDefault="00F143FD" w:rsidP="004479A9">
            <w:pPr>
              <w:pStyle w:val="Tabletext"/>
            </w:pPr>
            <w:r w:rsidRPr="00D101F0">
              <w:t>It would be very easy for me to have a coronavirus vaccination*</w:t>
            </w:r>
          </w:p>
        </w:tc>
        <w:tc>
          <w:tcPr>
            <w:tcW w:w="1276" w:type="dxa"/>
            <w:tcBorders>
              <w:top w:val="nil"/>
              <w:left w:val="nil"/>
              <w:bottom w:val="nil"/>
              <w:right w:val="nil"/>
            </w:tcBorders>
          </w:tcPr>
          <w:p w14:paraId="18CA880B" w14:textId="77777777" w:rsidR="00F143FD" w:rsidRPr="00D101F0" w:rsidRDefault="00F143FD" w:rsidP="004479A9">
            <w:pPr>
              <w:pStyle w:val="Tabletext"/>
            </w:pPr>
            <w:r w:rsidRPr="00D101F0">
              <w:t>7.24 (2.63)</w:t>
            </w:r>
          </w:p>
        </w:tc>
      </w:tr>
      <w:tr w:rsidR="00F143FD" w:rsidRPr="00D101F0" w14:paraId="0B3263F8" w14:textId="77777777" w:rsidTr="004479A9">
        <w:trPr>
          <w:jc w:val="center"/>
        </w:trPr>
        <w:tc>
          <w:tcPr>
            <w:tcW w:w="1271" w:type="dxa"/>
            <w:vMerge/>
            <w:tcBorders>
              <w:left w:val="nil"/>
              <w:right w:val="nil"/>
            </w:tcBorders>
          </w:tcPr>
          <w:p w14:paraId="07C6DBD0" w14:textId="77777777" w:rsidR="00F143FD" w:rsidRPr="00D101F0" w:rsidRDefault="00F143FD" w:rsidP="004479A9">
            <w:pPr>
              <w:pStyle w:val="Tabletext"/>
            </w:pPr>
          </w:p>
        </w:tc>
        <w:tc>
          <w:tcPr>
            <w:tcW w:w="7234" w:type="dxa"/>
            <w:tcBorders>
              <w:top w:val="nil"/>
              <w:left w:val="nil"/>
              <w:bottom w:val="nil"/>
              <w:right w:val="nil"/>
            </w:tcBorders>
          </w:tcPr>
          <w:p w14:paraId="72EB6246" w14:textId="77777777" w:rsidR="00F143FD" w:rsidRPr="00D101F0" w:rsidRDefault="00F143FD" w:rsidP="004479A9">
            <w:pPr>
              <w:pStyle w:val="Tabletext"/>
            </w:pPr>
            <w:r w:rsidRPr="00D101F0">
              <w:t>A coronavirus vaccination could give me coronavirus</w:t>
            </w:r>
          </w:p>
        </w:tc>
        <w:tc>
          <w:tcPr>
            <w:tcW w:w="1276" w:type="dxa"/>
            <w:tcBorders>
              <w:top w:val="nil"/>
              <w:left w:val="nil"/>
              <w:bottom w:val="nil"/>
              <w:right w:val="nil"/>
            </w:tcBorders>
          </w:tcPr>
          <w:p w14:paraId="4B25FB9C" w14:textId="77777777" w:rsidR="00F143FD" w:rsidRPr="00D101F0" w:rsidRDefault="00F143FD" w:rsidP="004479A9">
            <w:pPr>
              <w:pStyle w:val="Tabletext"/>
              <w:rPr>
                <w:i/>
                <w:iCs/>
              </w:rPr>
            </w:pPr>
            <w:r w:rsidRPr="00D101F0">
              <w:t>2.84 (2.67)</w:t>
            </w:r>
          </w:p>
        </w:tc>
      </w:tr>
      <w:tr w:rsidR="00F143FD" w:rsidRPr="00D101F0" w14:paraId="5C51E657" w14:textId="77777777" w:rsidTr="004479A9">
        <w:trPr>
          <w:jc w:val="center"/>
        </w:trPr>
        <w:tc>
          <w:tcPr>
            <w:tcW w:w="1271" w:type="dxa"/>
            <w:vMerge/>
            <w:tcBorders>
              <w:left w:val="nil"/>
              <w:right w:val="nil"/>
            </w:tcBorders>
          </w:tcPr>
          <w:p w14:paraId="2731E1D5" w14:textId="77777777" w:rsidR="00F143FD" w:rsidRPr="00D101F0" w:rsidRDefault="00F143FD" w:rsidP="004479A9">
            <w:pPr>
              <w:pStyle w:val="Tabletext"/>
            </w:pPr>
          </w:p>
        </w:tc>
        <w:tc>
          <w:tcPr>
            <w:tcW w:w="7234" w:type="dxa"/>
            <w:tcBorders>
              <w:top w:val="nil"/>
              <w:left w:val="nil"/>
              <w:bottom w:val="nil"/>
              <w:right w:val="nil"/>
            </w:tcBorders>
          </w:tcPr>
          <w:p w14:paraId="3FB17FD2" w14:textId="77777777" w:rsidR="00F143FD" w:rsidRPr="00D101F0" w:rsidRDefault="00F143FD" w:rsidP="004479A9">
            <w:pPr>
              <w:pStyle w:val="Tabletext"/>
            </w:pPr>
            <w:r w:rsidRPr="00D101F0">
              <w:t>I would be worried about experiencing side effects from a coronavirus vaccination</w:t>
            </w:r>
          </w:p>
        </w:tc>
        <w:tc>
          <w:tcPr>
            <w:tcW w:w="1276" w:type="dxa"/>
            <w:tcBorders>
              <w:top w:val="nil"/>
              <w:left w:val="nil"/>
              <w:bottom w:val="nil"/>
              <w:right w:val="nil"/>
            </w:tcBorders>
          </w:tcPr>
          <w:p w14:paraId="17817428" w14:textId="77777777" w:rsidR="00F143FD" w:rsidRPr="00D101F0" w:rsidRDefault="00F143FD" w:rsidP="004479A9">
            <w:pPr>
              <w:pStyle w:val="Tabletext"/>
              <w:rPr>
                <w:i/>
                <w:iCs/>
              </w:rPr>
            </w:pPr>
            <w:r w:rsidRPr="00D101F0">
              <w:t>5.63 (3.02)</w:t>
            </w:r>
          </w:p>
        </w:tc>
      </w:tr>
      <w:tr w:rsidR="00F143FD" w:rsidRPr="00D101F0" w14:paraId="02763AC7" w14:textId="77777777" w:rsidTr="004479A9">
        <w:trPr>
          <w:jc w:val="center"/>
        </w:trPr>
        <w:tc>
          <w:tcPr>
            <w:tcW w:w="1271" w:type="dxa"/>
            <w:vMerge/>
            <w:tcBorders>
              <w:left w:val="nil"/>
              <w:right w:val="nil"/>
            </w:tcBorders>
          </w:tcPr>
          <w:p w14:paraId="4CFE8034" w14:textId="77777777" w:rsidR="00F143FD" w:rsidRPr="00D101F0" w:rsidRDefault="00F143FD" w:rsidP="004479A9">
            <w:pPr>
              <w:pStyle w:val="Tabletext"/>
            </w:pPr>
          </w:p>
        </w:tc>
        <w:tc>
          <w:tcPr>
            <w:tcW w:w="7234" w:type="dxa"/>
            <w:tcBorders>
              <w:top w:val="nil"/>
              <w:left w:val="nil"/>
              <w:bottom w:val="nil"/>
              <w:right w:val="nil"/>
            </w:tcBorders>
          </w:tcPr>
          <w:p w14:paraId="5A893A9B" w14:textId="77777777" w:rsidR="00F143FD" w:rsidRPr="00D101F0" w:rsidRDefault="00F143FD" w:rsidP="004479A9">
            <w:pPr>
              <w:pStyle w:val="Tabletext"/>
            </w:pPr>
            <w:r w:rsidRPr="00D101F0">
              <w:t>I might regret getting a coronavirus vaccination if I later experienced side effects from the vaccination</w:t>
            </w:r>
          </w:p>
        </w:tc>
        <w:tc>
          <w:tcPr>
            <w:tcW w:w="1276" w:type="dxa"/>
            <w:tcBorders>
              <w:top w:val="nil"/>
              <w:left w:val="nil"/>
              <w:bottom w:val="nil"/>
              <w:right w:val="nil"/>
            </w:tcBorders>
          </w:tcPr>
          <w:p w14:paraId="5D9A45D7" w14:textId="77777777" w:rsidR="00F143FD" w:rsidRPr="00D101F0" w:rsidRDefault="00F143FD" w:rsidP="004479A9">
            <w:pPr>
              <w:pStyle w:val="Tabletext"/>
              <w:rPr>
                <w:i/>
                <w:iCs/>
              </w:rPr>
            </w:pPr>
            <w:r w:rsidRPr="00D101F0">
              <w:t>5.55 (2.92)</w:t>
            </w:r>
          </w:p>
        </w:tc>
      </w:tr>
      <w:tr w:rsidR="00F143FD" w:rsidRPr="00D101F0" w14:paraId="7153D7E4" w14:textId="77777777" w:rsidTr="004479A9">
        <w:trPr>
          <w:jc w:val="center"/>
        </w:trPr>
        <w:tc>
          <w:tcPr>
            <w:tcW w:w="1271" w:type="dxa"/>
            <w:vMerge/>
            <w:tcBorders>
              <w:left w:val="nil"/>
              <w:right w:val="nil"/>
            </w:tcBorders>
          </w:tcPr>
          <w:p w14:paraId="0CB98677" w14:textId="77777777" w:rsidR="00F143FD" w:rsidRPr="00D101F0" w:rsidRDefault="00F143FD" w:rsidP="004479A9">
            <w:pPr>
              <w:pStyle w:val="Tabletext"/>
            </w:pPr>
          </w:p>
        </w:tc>
        <w:tc>
          <w:tcPr>
            <w:tcW w:w="7234" w:type="dxa"/>
            <w:tcBorders>
              <w:top w:val="nil"/>
              <w:left w:val="nil"/>
              <w:bottom w:val="nil"/>
              <w:right w:val="nil"/>
            </w:tcBorders>
          </w:tcPr>
          <w:p w14:paraId="4468301D" w14:textId="77777777" w:rsidR="00F143FD" w:rsidRPr="00D101F0" w:rsidRDefault="00F143FD" w:rsidP="004479A9">
            <w:pPr>
              <w:pStyle w:val="Tabletext"/>
            </w:pPr>
            <w:r w:rsidRPr="00D101F0">
              <w:t>A coronavirus vaccination will be too new for me to be confident about getting vaccinated</w:t>
            </w:r>
          </w:p>
        </w:tc>
        <w:tc>
          <w:tcPr>
            <w:tcW w:w="1276" w:type="dxa"/>
            <w:tcBorders>
              <w:top w:val="nil"/>
              <w:left w:val="nil"/>
              <w:bottom w:val="nil"/>
              <w:right w:val="nil"/>
            </w:tcBorders>
          </w:tcPr>
          <w:p w14:paraId="6C0AB1CC" w14:textId="77777777" w:rsidR="00F143FD" w:rsidRPr="00D101F0" w:rsidRDefault="00F143FD" w:rsidP="004479A9">
            <w:pPr>
              <w:pStyle w:val="Tabletext"/>
              <w:rPr>
                <w:i/>
                <w:iCs/>
              </w:rPr>
            </w:pPr>
            <w:r w:rsidRPr="00D101F0">
              <w:t>4.83 (3.17)</w:t>
            </w:r>
          </w:p>
        </w:tc>
      </w:tr>
      <w:tr w:rsidR="00F143FD" w:rsidRPr="00D101F0" w14:paraId="54B9EF5F" w14:textId="77777777" w:rsidTr="004479A9">
        <w:trPr>
          <w:jc w:val="center"/>
        </w:trPr>
        <w:tc>
          <w:tcPr>
            <w:tcW w:w="1271" w:type="dxa"/>
            <w:vMerge/>
            <w:tcBorders>
              <w:left w:val="nil"/>
              <w:right w:val="nil"/>
            </w:tcBorders>
          </w:tcPr>
          <w:p w14:paraId="388E3E8A" w14:textId="77777777" w:rsidR="00F143FD" w:rsidRPr="00D101F0" w:rsidRDefault="00F143FD" w:rsidP="004479A9">
            <w:pPr>
              <w:pStyle w:val="Tabletext"/>
            </w:pPr>
          </w:p>
        </w:tc>
        <w:tc>
          <w:tcPr>
            <w:tcW w:w="7234" w:type="dxa"/>
            <w:tcBorders>
              <w:top w:val="nil"/>
              <w:left w:val="nil"/>
              <w:bottom w:val="nil"/>
              <w:right w:val="nil"/>
            </w:tcBorders>
          </w:tcPr>
          <w:p w14:paraId="4401FF96" w14:textId="77777777" w:rsidR="00F143FD" w:rsidRPr="00D101F0" w:rsidRDefault="00F143FD" w:rsidP="004479A9">
            <w:pPr>
              <w:pStyle w:val="Tabletext"/>
            </w:pPr>
            <w:r w:rsidRPr="00D101F0">
              <w:t>Most people will get a coronavirus vaccination</w:t>
            </w:r>
          </w:p>
        </w:tc>
        <w:tc>
          <w:tcPr>
            <w:tcW w:w="1276" w:type="dxa"/>
            <w:tcBorders>
              <w:top w:val="nil"/>
              <w:left w:val="nil"/>
              <w:bottom w:val="nil"/>
              <w:right w:val="nil"/>
            </w:tcBorders>
          </w:tcPr>
          <w:p w14:paraId="1BB6F3F6" w14:textId="77777777" w:rsidR="00F143FD" w:rsidRPr="00D101F0" w:rsidRDefault="00F143FD" w:rsidP="004479A9">
            <w:pPr>
              <w:pStyle w:val="Tabletext"/>
              <w:rPr>
                <w:i/>
                <w:iCs/>
              </w:rPr>
            </w:pPr>
            <w:r w:rsidRPr="00D101F0">
              <w:t>6.73 (1.98)</w:t>
            </w:r>
          </w:p>
        </w:tc>
      </w:tr>
      <w:tr w:rsidR="00F143FD" w:rsidRPr="00D101F0" w14:paraId="5A3077C7" w14:textId="77777777" w:rsidTr="004479A9">
        <w:trPr>
          <w:jc w:val="center"/>
        </w:trPr>
        <w:tc>
          <w:tcPr>
            <w:tcW w:w="1271" w:type="dxa"/>
            <w:vMerge/>
            <w:tcBorders>
              <w:left w:val="nil"/>
              <w:right w:val="nil"/>
            </w:tcBorders>
          </w:tcPr>
          <w:p w14:paraId="7C20E287" w14:textId="77777777" w:rsidR="00F143FD" w:rsidRPr="00D101F0" w:rsidRDefault="00F143FD" w:rsidP="004479A9">
            <w:pPr>
              <w:pStyle w:val="Tabletext"/>
            </w:pPr>
          </w:p>
        </w:tc>
        <w:tc>
          <w:tcPr>
            <w:tcW w:w="7234" w:type="dxa"/>
            <w:tcBorders>
              <w:top w:val="nil"/>
              <w:left w:val="nil"/>
              <w:bottom w:val="nil"/>
              <w:right w:val="nil"/>
            </w:tcBorders>
          </w:tcPr>
          <w:p w14:paraId="149F5F24" w14:textId="77777777" w:rsidR="00F143FD" w:rsidRPr="00D101F0" w:rsidRDefault="00F143FD" w:rsidP="004479A9">
            <w:pPr>
              <w:pStyle w:val="Tabletext"/>
            </w:pPr>
            <w:r w:rsidRPr="00D101F0">
              <w:t>Other people like me will get a coronavirus vaccination*</w:t>
            </w:r>
          </w:p>
        </w:tc>
        <w:tc>
          <w:tcPr>
            <w:tcW w:w="1276" w:type="dxa"/>
            <w:tcBorders>
              <w:top w:val="nil"/>
              <w:left w:val="nil"/>
              <w:bottom w:val="nil"/>
              <w:right w:val="nil"/>
            </w:tcBorders>
          </w:tcPr>
          <w:p w14:paraId="41119290" w14:textId="77777777" w:rsidR="00F143FD" w:rsidRPr="00D101F0" w:rsidRDefault="00F143FD" w:rsidP="004479A9">
            <w:pPr>
              <w:pStyle w:val="Tabletext"/>
              <w:rPr>
                <w:i/>
                <w:iCs/>
              </w:rPr>
            </w:pPr>
            <w:r w:rsidRPr="00D101F0">
              <w:t>7.43 (2.21)</w:t>
            </w:r>
          </w:p>
        </w:tc>
      </w:tr>
      <w:tr w:rsidR="00F143FD" w:rsidRPr="00D101F0" w14:paraId="6179E2B1" w14:textId="77777777" w:rsidTr="004479A9">
        <w:trPr>
          <w:jc w:val="center"/>
        </w:trPr>
        <w:tc>
          <w:tcPr>
            <w:tcW w:w="1271" w:type="dxa"/>
            <w:vMerge/>
            <w:tcBorders>
              <w:left w:val="nil"/>
              <w:right w:val="nil"/>
            </w:tcBorders>
          </w:tcPr>
          <w:p w14:paraId="106FE27D" w14:textId="77777777" w:rsidR="00F143FD" w:rsidRPr="00D101F0" w:rsidRDefault="00F143FD" w:rsidP="004479A9">
            <w:pPr>
              <w:pStyle w:val="Tabletext"/>
            </w:pPr>
          </w:p>
        </w:tc>
        <w:tc>
          <w:tcPr>
            <w:tcW w:w="7234" w:type="dxa"/>
            <w:tcBorders>
              <w:top w:val="nil"/>
              <w:left w:val="nil"/>
              <w:bottom w:val="nil"/>
              <w:right w:val="nil"/>
            </w:tcBorders>
          </w:tcPr>
          <w:p w14:paraId="2F509D0B" w14:textId="77777777" w:rsidR="00F143FD" w:rsidRPr="00D101F0" w:rsidRDefault="00F143FD" w:rsidP="004479A9">
            <w:pPr>
              <w:pStyle w:val="Tabletext"/>
            </w:pPr>
            <w:r w:rsidRPr="00D101F0">
              <w:t>In general, vaccination is a good thing*</w:t>
            </w:r>
          </w:p>
        </w:tc>
        <w:tc>
          <w:tcPr>
            <w:tcW w:w="1276" w:type="dxa"/>
            <w:tcBorders>
              <w:top w:val="nil"/>
              <w:left w:val="nil"/>
              <w:bottom w:val="nil"/>
              <w:right w:val="nil"/>
            </w:tcBorders>
          </w:tcPr>
          <w:p w14:paraId="42A57B59" w14:textId="77777777" w:rsidR="00F143FD" w:rsidRPr="00D101F0" w:rsidRDefault="00F143FD" w:rsidP="004479A9">
            <w:pPr>
              <w:pStyle w:val="Tabletext"/>
              <w:rPr>
                <w:i/>
                <w:iCs/>
              </w:rPr>
            </w:pPr>
            <w:r w:rsidRPr="00D101F0">
              <w:t>8.69 (2.05)</w:t>
            </w:r>
          </w:p>
        </w:tc>
      </w:tr>
      <w:tr w:rsidR="00F143FD" w:rsidRPr="00D101F0" w14:paraId="10A5C00A" w14:textId="77777777" w:rsidTr="004479A9">
        <w:trPr>
          <w:jc w:val="center"/>
        </w:trPr>
        <w:tc>
          <w:tcPr>
            <w:tcW w:w="1271" w:type="dxa"/>
            <w:vMerge/>
            <w:tcBorders>
              <w:left w:val="nil"/>
              <w:right w:val="nil"/>
            </w:tcBorders>
          </w:tcPr>
          <w:p w14:paraId="1BFA8695" w14:textId="77777777" w:rsidR="00F143FD" w:rsidRPr="00D101F0" w:rsidRDefault="00F143FD" w:rsidP="004479A9">
            <w:pPr>
              <w:pStyle w:val="Tabletext"/>
            </w:pPr>
          </w:p>
        </w:tc>
        <w:tc>
          <w:tcPr>
            <w:tcW w:w="7234" w:type="dxa"/>
            <w:tcBorders>
              <w:top w:val="nil"/>
              <w:left w:val="nil"/>
              <w:bottom w:val="nil"/>
              <w:right w:val="nil"/>
            </w:tcBorders>
          </w:tcPr>
          <w:p w14:paraId="7509B347" w14:textId="77777777" w:rsidR="00F143FD" w:rsidRPr="00D101F0" w:rsidRDefault="00F143FD" w:rsidP="004479A9">
            <w:pPr>
              <w:pStyle w:val="Tabletext"/>
            </w:pPr>
            <w:r w:rsidRPr="00D101F0">
              <w:t>I am afraid of needles*</w:t>
            </w:r>
          </w:p>
        </w:tc>
        <w:tc>
          <w:tcPr>
            <w:tcW w:w="1276" w:type="dxa"/>
            <w:tcBorders>
              <w:top w:val="nil"/>
              <w:left w:val="nil"/>
              <w:bottom w:val="nil"/>
              <w:right w:val="nil"/>
            </w:tcBorders>
          </w:tcPr>
          <w:p w14:paraId="102FB0FE" w14:textId="77777777" w:rsidR="00F143FD" w:rsidRPr="00D101F0" w:rsidRDefault="00F143FD" w:rsidP="004479A9">
            <w:pPr>
              <w:pStyle w:val="Tabletext"/>
              <w:rPr>
                <w:i/>
                <w:iCs/>
              </w:rPr>
            </w:pPr>
            <w:r w:rsidRPr="00D101F0">
              <w:t>2.75 (3.35)</w:t>
            </w:r>
          </w:p>
        </w:tc>
      </w:tr>
      <w:tr w:rsidR="00F143FD" w:rsidRPr="00D101F0" w14:paraId="79F846F6" w14:textId="77777777" w:rsidTr="004479A9">
        <w:trPr>
          <w:jc w:val="center"/>
        </w:trPr>
        <w:tc>
          <w:tcPr>
            <w:tcW w:w="1271" w:type="dxa"/>
            <w:vMerge/>
            <w:tcBorders>
              <w:left w:val="nil"/>
              <w:right w:val="nil"/>
            </w:tcBorders>
          </w:tcPr>
          <w:p w14:paraId="41C50936" w14:textId="77777777" w:rsidR="00F143FD" w:rsidRPr="00D101F0" w:rsidRDefault="00F143FD" w:rsidP="004479A9">
            <w:pPr>
              <w:pStyle w:val="Tabletext"/>
            </w:pPr>
          </w:p>
        </w:tc>
        <w:tc>
          <w:tcPr>
            <w:tcW w:w="7234" w:type="dxa"/>
            <w:tcBorders>
              <w:top w:val="nil"/>
              <w:left w:val="nil"/>
              <w:bottom w:val="nil"/>
              <w:right w:val="nil"/>
            </w:tcBorders>
          </w:tcPr>
          <w:p w14:paraId="3EFF44B1" w14:textId="77777777" w:rsidR="00F143FD" w:rsidRPr="00D101F0" w:rsidRDefault="00F143FD" w:rsidP="004479A9">
            <w:pPr>
              <w:pStyle w:val="Tabletext"/>
            </w:pPr>
            <w:r w:rsidRPr="00D101F0">
              <w:t>If I were vaccinated, I think I would not need to follow social distancing and other restrictions for coronavirus</w:t>
            </w:r>
          </w:p>
        </w:tc>
        <w:tc>
          <w:tcPr>
            <w:tcW w:w="1276" w:type="dxa"/>
            <w:tcBorders>
              <w:top w:val="nil"/>
              <w:left w:val="nil"/>
              <w:bottom w:val="nil"/>
              <w:right w:val="nil"/>
            </w:tcBorders>
          </w:tcPr>
          <w:p w14:paraId="61FB1F9A" w14:textId="77777777" w:rsidR="00F143FD" w:rsidRPr="00D101F0" w:rsidRDefault="00F143FD" w:rsidP="004479A9">
            <w:pPr>
              <w:pStyle w:val="Tabletext"/>
            </w:pPr>
            <w:r w:rsidRPr="00D101F0">
              <w:t>3.93 (2.91)</w:t>
            </w:r>
          </w:p>
        </w:tc>
      </w:tr>
      <w:tr w:rsidR="00F143FD" w:rsidRPr="00D101F0" w14:paraId="6BBADACC" w14:textId="77777777" w:rsidTr="004479A9">
        <w:trPr>
          <w:jc w:val="center"/>
        </w:trPr>
        <w:tc>
          <w:tcPr>
            <w:tcW w:w="1271" w:type="dxa"/>
            <w:vMerge/>
            <w:tcBorders>
              <w:left w:val="nil"/>
              <w:right w:val="nil"/>
            </w:tcBorders>
          </w:tcPr>
          <w:p w14:paraId="44C73A69" w14:textId="77777777" w:rsidR="00F143FD" w:rsidRPr="00D101F0" w:rsidRDefault="00F143FD" w:rsidP="004479A9">
            <w:pPr>
              <w:pStyle w:val="Tabletext"/>
            </w:pPr>
          </w:p>
        </w:tc>
        <w:tc>
          <w:tcPr>
            <w:tcW w:w="7234" w:type="dxa"/>
            <w:tcBorders>
              <w:top w:val="nil"/>
              <w:left w:val="nil"/>
              <w:bottom w:val="nil"/>
              <w:right w:val="nil"/>
            </w:tcBorders>
          </w:tcPr>
          <w:p w14:paraId="2A18AF7A" w14:textId="77777777" w:rsidR="00F143FD" w:rsidRPr="00D101F0" w:rsidRDefault="00F143FD" w:rsidP="004479A9">
            <w:pPr>
              <w:pStyle w:val="Tabletext"/>
            </w:pPr>
            <w:r w:rsidRPr="00D101F0">
              <w:t xml:space="preserve">I know enough about the coronavirus </w:t>
            </w:r>
            <w:r w:rsidRPr="00D101F0">
              <w:rPr>
                <w:i/>
                <w:iCs/>
              </w:rPr>
              <w:t>illness</w:t>
            </w:r>
            <w:r w:rsidRPr="00D101F0">
              <w:t xml:space="preserve"> to make an informed decision about </w:t>
            </w:r>
            <w:proofErr w:type="gramStart"/>
            <w:r w:rsidRPr="00D101F0">
              <w:t>whether or not</w:t>
            </w:r>
            <w:proofErr w:type="gramEnd"/>
            <w:r w:rsidRPr="00D101F0">
              <w:t xml:space="preserve"> to get vaccinated</w:t>
            </w:r>
          </w:p>
        </w:tc>
        <w:tc>
          <w:tcPr>
            <w:tcW w:w="1276" w:type="dxa"/>
            <w:tcBorders>
              <w:top w:val="nil"/>
              <w:left w:val="nil"/>
              <w:bottom w:val="nil"/>
              <w:right w:val="nil"/>
            </w:tcBorders>
          </w:tcPr>
          <w:p w14:paraId="1010B34A" w14:textId="77777777" w:rsidR="00F143FD" w:rsidRPr="00D101F0" w:rsidRDefault="00F143FD" w:rsidP="004479A9">
            <w:pPr>
              <w:pStyle w:val="Tabletext"/>
            </w:pPr>
            <w:r w:rsidRPr="00D101F0">
              <w:t>6.74 (2.61)</w:t>
            </w:r>
          </w:p>
        </w:tc>
      </w:tr>
      <w:tr w:rsidR="00F143FD" w:rsidRPr="00D101F0" w14:paraId="7AC21F2B" w14:textId="77777777" w:rsidTr="004479A9">
        <w:trPr>
          <w:jc w:val="center"/>
        </w:trPr>
        <w:tc>
          <w:tcPr>
            <w:tcW w:w="1271" w:type="dxa"/>
            <w:vMerge/>
            <w:tcBorders>
              <w:left w:val="nil"/>
              <w:right w:val="nil"/>
            </w:tcBorders>
          </w:tcPr>
          <w:p w14:paraId="7A68B7CC" w14:textId="77777777" w:rsidR="00F143FD" w:rsidRPr="00D101F0" w:rsidRDefault="00F143FD" w:rsidP="004479A9">
            <w:pPr>
              <w:pStyle w:val="Tabletext"/>
            </w:pPr>
          </w:p>
        </w:tc>
        <w:tc>
          <w:tcPr>
            <w:tcW w:w="7234" w:type="dxa"/>
            <w:tcBorders>
              <w:top w:val="nil"/>
              <w:left w:val="nil"/>
              <w:bottom w:val="nil"/>
              <w:right w:val="nil"/>
            </w:tcBorders>
          </w:tcPr>
          <w:p w14:paraId="1E5FF856" w14:textId="77777777" w:rsidR="00F143FD" w:rsidRPr="00D101F0" w:rsidRDefault="00F143FD" w:rsidP="004479A9">
            <w:pPr>
              <w:pStyle w:val="Tabletext"/>
            </w:pPr>
            <w:r w:rsidRPr="00D101F0">
              <w:t xml:space="preserve">I know enough about the coronavirus </w:t>
            </w:r>
            <w:r w:rsidRPr="00D101F0">
              <w:rPr>
                <w:i/>
                <w:iCs/>
              </w:rPr>
              <w:t>vaccine</w:t>
            </w:r>
            <w:r w:rsidRPr="00D101F0">
              <w:t xml:space="preserve"> to make an informed decision about </w:t>
            </w:r>
            <w:proofErr w:type="gramStart"/>
            <w:r w:rsidRPr="00D101F0">
              <w:t>whether or not</w:t>
            </w:r>
            <w:proofErr w:type="gramEnd"/>
            <w:r w:rsidRPr="00D101F0">
              <w:t xml:space="preserve"> to get vaccinated</w:t>
            </w:r>
          </w:p>
        </w:tc>
        <w:tc>
          <w:tcPr>
            <w:tcW w:w="1276" w:type="dxa"/>
            <w:tcBorders>
              <w:top w:val="nil"/>
              <w:left w:val="nil"/>
              <w:bottom w:val="nil"/>
              <w:right w:val="nil"/>
            </w:tcBorders>
          </w:tcPr>
          <w:p w14:paraId="62C6AC05" w14:textId="77777777" w:rsidR="00F143FD" w:rsidRPr="00D101F0" w:rsidRDefault="00F143FD" w:rsidP="004479A9">
            <w:pPr>
              <w:pStyle w:val="Tabletext"/>
            </w:pPr>
            <w:r w:rsidRPr="00D101F0">
              <w:t>4.00 (2.98)</w:t>
            </w:r>
          </w:p>
        </w:tc>
      </w:tr>
      <w:tr w:rsidR="00F143FD" w:rsidRPr="00D101F0" w14:paraId="708FD69B" w14:textId="77777777" w:rsidTr="004479A9">
        <w:trPr>
          <w:jc w:val="center"/>
        </w:trPr>
        <w:tc>
          <w:tcPr>
            <w:tcW w:w="1271" w:type="dxa"/>
            <w:vMerge/>
            <w:tcBorders>
              <w:left w:val="nil"/>
              <w:right w:val="nil"/>
            </w:tcBorders>
          </w:tcPr>
          <w:p w14:paraId="0432AF48" w14:textId="77777777" w:rsidR="00F143FD" w:rsidRPr="00D101F0" w:rsidRDefault="00F143FD" w:rsidP="004479A9">
            <w:pPr>
              <w:pStyle w:val="Tabletext"/>
            </w:pPr>
          </w:p>
        </w:tc>
        <w:tc>
          <w:tcPr>
            <w:tcW w:w="7234" w:type="dxa"/>
            <w:tcBorders>
              <w:top w:val="nil"/>
              <w:left w:val="nil"/>
              <w:bottom w:val="nil"/>
              <w:right w:val="nil"/>
            </w:tcBorders>
          </w:tcPr>
          <w:p w14:paraId="277B1DF9" w14:textId="77777777" w:rsidR="00F143FD" w:rsidRPr="00D101F0" w:rsidRDefault="00F143FD" w:rsidP="004479A9">
            <w:pPr>
              <w:pStyle w:val="Tabletext"/>
            </w:pPr>
            <w:r w:rsidRPr="00D101F0">
              <w:t>Only people who are at risk of serious illness from coronavirus need to be vaccinated</w:t>
            </w:r>
          </w:p>
        </w:tc>
        <w:tc>
          <w:tcPr>
            <w:tcW w:w="1276" w:type="dxa"/>
            <w:tcBorders>
              <w:top w:val="nil"/>
              <w:left w:val="nil"/>
              <w:bottom w:val="nil"/>
              <w:right w:val="nil"/>
            </w:tcBorders>
          </w:tcPr>
          <w:p w14:paraId="39399181" w14:textId="77777777" w:rsidR="00F143FD" w:rsidRPr="00D101F0" w:rsidRDefault="00F143FD" w:rsidP="004479A9">
            <w:pPr>
              <w:pStyle w:val="Tabletext"/>
            </w:pPr>
            <w:r w:rsidRPr="00D101F0">
              <w:t>3.02 (3.02)</w:t>
            </w:r>
          </w:p>
        </w:tc>
      </w:tr>
      <w:tr w:rsidR="00F143FD" w:rsidRPr="00D101F0" w14:paraId="317FB757" w14:textId="77777777" w:rsidTr="004479A9">
        <w:trPr>
          <w:jc w:val="center"/>
        </w:trPr>
        <w:tc>
          <w:tcPr>
            <w:tcW w:w="1271" w:type="dxa"/>
            <w:vMerge/>
            <w:tcBorders>
              <w:left w:val="nil"/>
              <w:right w:val="nil"/>
            </w:tcBorders>
          </w:tcPr>
          <w:p w14:paraId="5928E2DB" w14:textId="77777777" w:rsidR="00F143FD" w:rsidRPr="00D101F0" w:rsidRDefault="00F143FD" w:rsidP="004479A9">
            <w:pPr>
              <w:pStyle w:val="Tabletext"/>
            </w:pPr>
          </w:p>
        </w:tc>
        <w:tc>
          <w:tcPr>
            <w:tcW w:w="7234" w:type="dxa"/>
            <w:tcBorders>
              <w:top w:val="nil"/>
              <w:left w:val="nil"/>
              <w:bottom w:val="nil"/>
              <w:right w:val="nil"/>
            </w:tcBorders>
          </w:tcPr>
          <w:p w14:paraId="1093D0CA" w14:textId="77777777" w:rsidR="00F143FD" w:rsidRPr="00D101F0" w:rsidRDefault="00F143FD" w:rsidP="004479A9">
            <w:pPr>
              <w:pStyle w:val="Tabletext"/>
            </w:pPr>
            <w:r w:rsidRPr="00D101F0">
              <w:t>My family would approve of my having a coronavirus vaccination*</w:t>
            </w:r>
          </w:p>
        </w:tc>
        <w:tc>
          <w:tcPr>
            <w:tcW w:w="1276" w:type="dxa"/>
            <w:tcBorders>
              <w:top w:val="nil"/>
              <w:left w:val="nil"/>
              <w:bottom w:val="nil"/>
              <w:right w:val="nil"/>
            </w:tcBorders>
          </w:tcPr>
          <w:p w14:paraId="11BD9812" w14:textId="77777777" w:rsidR="00F143FD" w:rsidRPr="00D101F0" w:rsidRDefault="00F143FD" w:rsidP="004479A9">
            <w:pPr>
              <w:pStyle w:val="Tabletext"/>
            </w:pPr>
            <w:r w:rsidRPr="00D101F0">
              <w:t>8.01 (2.38)</w:t>
            </w:r>
          </w:p>
        </w:tc>
      </w:tr>
      <w:tr w:rsidR="00F143FD" w:rsidRPr="00D101F0" w14:paraId="44F446D5" w14:textId="77777777" w:rsidTr="004479A9">
        <w:trPr>
          <w:jc w:val="center"/>
        </w:trPr>
        <w:tc>
          <w:tcPr>
            <w:tcW w:w="1271" w:type="dxa"/>
            <w:vMerge/>
            <w:tcBorders>
              <w:left w:val="nil"/>
              <w:right w:val="nil"/>
            </w:tcBorders>
          </w:tcPr>
          <w:p w14:paraId="0BA9656B" w14:textId="77777777" w:rsidR="00F143FD" w:rsidRPr="00D101F0" w:rsidRDefault="00F143FD" w:rsidP="004479A9">
            <w:pPr>
              <w:pStyle w:val="Tabletext"/>
            </w:pPr>
          </w:p>
        </w:tc>
        <w:tc>
          <w:tcPr>
            <w:tcW w:w="7234" w:type="dxa"/>
            <w:tcBorders>
              <w:top w:val="nil"/>
              <w:left w:val="nil"/>
              <w:bottom w:val="nil"/>
              <w:right w:val="nil"/>
            </w:tcBorders>
          </w:tcPr>
          <w:p w14:paraId="7CA4610E" w14:textId="77777777" w:rsidR="00F143FD" w:rsidRPr="00D101F0" w:rsidRDefault="00F143FD" w:rsidP="004479A9">
            <w:pPr>
              <w:pStyle w:val="Tabletext"/>
            </w:pPr>
            <w:r w:rsidRPr="00D101F0">
              <w:t>My friends would approve of my having a coronavirus vaccination*</w:t>
            </w:r>
          </w:p>
        </w:tc>
        <w:tc>
          <w:tcPr>
            <w:tcW w:w="1276" w:type="dxa"/>
            <w:tcBorders>
              <w:top w:val="nil"/>
              <w:left w:val="nil"/>
              <w:bottom w:val="nil"/>
              <w:right w:val="nil"/>
            </w:tcBorders>
          </w:tcPr>
          <w:p w14:paraId="492C5637" w14:textId="77777777" w:rsidR="00F143FD" w:rsidRPr="00D101F0" w:rsidRDefault="00F143FD" w:rsidP="004479A9">
            <w:pPr>
              <w:pStyle w:val="Tabletext"/>
            </w:pPr>
            <w:r w:rsidRPr="00D101F0">
              <w:t>7.80 (2.28)</w:t>
            </w:r>
          </w:p>
        </w:tc>
      </w:tr>
      <w:tr w:rsidR="00F143FD" w:rsidRPr="00D101F0" w14:paraId="5FED9B58" w14:textId="77777777" w:rsidTr="004479A9">
        <w:trPr>
          <w:jc w:val="center"/>
        </w:trPr>
        <w:tc>
          <w:tcPr>
            <w:tcW w:w="1271" w:type="dxa"/>
            <w:vMerge/>
            <w:tcBorders>
              <w:left w:val="nil"/>
              <w:right w:val="nil"/>
            </w:tcBorders>
          </w:tcPr>
          <w:p w14:paraId="6A4E44D3" w14:textId="77777777" w:rsidR="00F143FD" w:rsidRPr="00D101F0" w:rsidRDefault="00F143FD" w:rsidP="004479A9">
            <w:pPr>
              <w:pStyle w:val="Tabletext"/>
            </w:pPr>
          </w:p>
        </w:tc>
        <w:tc>
          <w:tcPr>
            <w:tcW w:w="7234" w:type="dxa"/>
            <w:tcBorders>
              <w:top w:val="nil"/>
              <w:left w:val="nil"/>
              <w:bottom w:val="nil"/>
              <w:right w:val="nil"/>
            </w:tcBorders>
          </w:tcPr>
          <w:p w14:paraId="57B33E9F" w14:textId="77777777" w:rsidR="00F143FD" w:rsidRPr="00D101F0" w:rsidRDefault="00F143FD" w:rsidP="004479A9">
            <w:pPr>
              <w:pStyle w:val="Tabletext"/>
            </w:pPr>
            <w:r w:rsidRPr="00D101F0">
              <w:t>If a coronavirus vaccination were recommended by the Government, I would get vaccinated</w:t>
            </w:r>
          </w:p>
        </w:tc>
        <w:tc>
          <w:tcPr>
            <w:tcW w:w="1276" w:type="dxa"/>
            <w:tcBorders>
              <w:top w:val="nil"/>
              <w:left w:val="nil"/>
              <w:bottom w:val="nil"/>
              <w:right w:val="nil"/>
            </w:tcBorders>
          </w:tcPr>
          <w:p w14:paraId="12765027" w14:textId="77777777" w:rsidR="00F143FD" w:rsidRPr="00D101F0" w:rsidRDefault="00F143FD" w:rsidP="004479A9">
            <w:pPr>
              <w:pStyle w:val="Tabletext"/>
            </w:pPr>
            <w:r w:rsidRPr="00D101F0">
              <w:t>6.85 (2.92)</w:t>
            </w:r>
          </w:p>
        </w:tc>
      </w:tr>
      <w:tr w:rsidR="00F143FD" w:rsidRPr="00D101F0" w14:paraId="2F8C65EE" w14:textId="77777777" w:rsidTr="004479A9">
        <w:trPr>
          <w:trHeight w:val="154"/>
          <w:jc w:val="center"/>
        </w:trPr>
        <w:tc>
          <w:tcPr>
            <w:tcW w:w="1271" w:type="dxa"/>
            <w:vMerge/>
            <w:tcBorders>
              <w:left w:val="nil"/>
              <w:right w:val="nil"/>
            </w:tcBorders>
          </w:tcPr>
          <w:p w14:paraId="396D5B22" w14:textId="77777777" w:rsidR="00F143FD" w:rsidRPr="00D101F0" w:rsidRDefault="00F143FD" w:rsidP="004479A9">
            <w:pPr>
              <w:pStyle w:val="Tabletext"/>
            </w:pPr>
          </w:p>
        </w:tc>
        <w:tc>
          <w:tcPr>
            <w:tcW w:w="7234" w:type="dxa"/>
            <w:tcBorders>
              <w:top w:val="nil"/>
              <w:left w:val="nil"/>
              <w:bottom w:val="nil"/>
              <w:right w:val="nil"/>
            </w:tcBorders>
          </w:tcPr>
          <w:p w14:paraId="334DEADD" w14:textId="77777777" w:rsidR="00F143FD" w:rsidRPr="00D101F0" w:rsidRDefault="00F143FD" w:rsidP="004479A9">
            <w:pPr>
              <w:pStyle w:val="Tabletext"/>
            </w:pPr>
            <w:r w:rsidRPr="00D101F0">
              <w:t xml:space="preserve">If a coronavirus vaccination were recommended by a health care professional, I would get vaccinated* </w:t>
            </w:r>
          </w:p>
        </w:tc>
        <w:tc>
          <w:tcPr>
            <w:tcW w:w="1276" w:type="dxa"/>
            <w:tcBorders>
              <w:top w:val="nil"/>
              <w:left w:val="nil"/>
              <w:bottom w:val="nil"/>
              <w:right w:val="nil"/>
            </w:tcBorders>
          </w:tcPr>
          <w:p w14:paraId="4F37ED03" w14:textId="77777777" w:rsidR="00F143FD" w:rsidRPr="00D101F0" w:rsidRDefault="00F143FD" w:rsidP="004479A9">
            <w:pPr>
              <w:pStyle w:val="Tabletext"/>
            </w:pPr>
            <w:r w:rsidRPr="00D101F0">
              <w:t>7.90 (2.62)</w:t>
            </w:r>
          </w:p>
        </w:tc>
      </w:tr>
      <w:tr w:rsidR="00F143FD" w:rsidRPr="00D101F0" w14:paraId="73B64800" w14:textId="77777777" w:rsidTr="004479A9">
        <w:trPr>
          <w:trHeight w:val="154"/>
          <w:jc w:val="center"/>
        </w:trPr>
        <w:tc>
          <w:tcPr>
            <w:tcW w:w="1271" w:type="dxa"/>
            <w:vMerge/>
            <w:tcBorders>
              <w:left w:val="nil"/>
              <w:right w:val="nil"/>
            </w:tcBorders>
          </w:tcPr>
          <w:p w14:paraId="382F2D22" w14:textId="77777777" w:rsidR="00F143FD" w:rsidRPr="00D101F0" w:rsidRDefault="00F143FD" w:rsidP="004479A9">
            <w:pPr>
              <w:pStyle w:val="Tabletext"/>
            </w:pPr>
          </w:p>
        </w:tc>
        <w:tc>
          <w:tcPr>
            <w:tcW w:w="7234" w:type="dxa"/>
            <w:tcBorders>
              <w:top w:val="nil"/>
              <w:left w:val="nil"/>
              <w:bottom w:val="nil"/>
              <w:right w:val="nil"/>
            </w:tcBorders>
          </w:tcPr>
          <w:p w14:paraId="04E34ABF" w14:textId="77777777" w:rsidR="00F143FD" w:rsidRPr="00D101F0" w:rsidRDefault="00F143FD" w:rsidP="004479A9">
            <w:pPr>
              <w:pStyle w:val="Tabletext"/>
            </w:pPr>
            <w:r w:rsidRPr="00D101F0">
              <w:t>Widespread coronavirus vaccination is just a way to make money for vaccine manufacturers*</w:t>
            </w:r>
          </w:p>
        </w:tc>
        <w:tc>
          <w:tcPr>
            <w:tcW w:w="1276" w:type="dxa"/>
            <w:tcBorders>
              <w:top w:val="nil"/>
              <w:left w:val="nil"/>
              <w:bottom w:val="nil"/>
              <w:right w:val="nil"/>
            </w:tcBorders>
          </w:tcPr>
          <w:p w14:paraId="1EB72940" w14:textId="77777777" w:rsidR="00F143FD" w:rsidRPr="00D101F0" w:rsidRDefault="00F143FD" w:rsidP="004479A9">
            <w:pPr>
              <w:pStyle w:val="Tabletext"/>
              <w:rPr>
                <w:i/>
                <w:iCs/>
              </w:rPr>
            </w:pPr>
            <w:r w:rsidRPr="00D101F0">
              <w:t>2.73 (2.81)</w:t>
            </w:r>
          </w:p>
        </w:tc>
      </w:tr>
      <w:tr w:rsidR="00F143FD" w:rsidRPr="00D101F0" w14:paraId="69A282E2" w14:textId="77777777" w:rsidTr="004479A9">
        <w:trPr>
          <w:trHeight w:val="165"/>
          <w:jc w:val="center"/>
        </w:trPr>
        <w:tc>
          <w:tcPr>
            <w:tcW w:w="1271" w:type="dxa"/>
            <w:vMerge/>
            <w:tcBorders>
              <w:left w:val="nil"/>
              <w:right w:val="nil"/>
            </w:tcBorders>
          </w:tcPr>
          <w:p w14:paraId="32F51A57" w14:textId="77777777" w:rsidR="00F143FD" w:rsidRPr="00D101F0" w:rsidRDefault="00F143FD" w:rsidP="004479A9">
            <w:pPr>
              <w:pStyle w:val="Tabletext"/>
            </w:pPr>
          </w:p>
        </w:tc>
        <w:tc>
          <w:tcPr>
            <w:tcW w:w="7234" w:type="dxa"/>
            <w:tcBorders>
              <w:top w:val="nil"/>
              <w:left w:val="nil"/>
              <w:bottom w:val="nil"/>
              <w:right w:val="nil"/>
            </w:tcBorders>
          </w:tcPr>
          <w:p w14:paraId="00005CA4" w14:textId="77777777" w:rsidR="00F143FD" w:rsidRPr="00D101F0" w:rsidRDefault="00F143FD" w:rsidP="004479A9">
            <w:pPr>
              <w:pStyle w:val="Tabletext"/>
            </w:pPr>
            <w:r w:rsidRPr="00D101F0">
              <w:t xml:space="preserve">A coronavirus vaccine will allow us to get back to </w:t>
            </w:r>
            <w:r>
              <w:t>‘</w:t>
            </w:r>
            <w:r w:rsidRPr="00D101F0">
              <w:t>normal</w:t>
            </w:r>
            <w:r>
              <w:t>’</w:t>
            </w:r>
          </w:p>
        </w:tc>
        <w:tc>
          <w:tcPr>
            <w:tcW w:w="1276" w:type="dxa"/>
            <w:tcBorders>
              <w:top w:val="nil"/>
              <w:left w:val="nil"/>
              <w:bottom w:val="nil"/>
              <w:right w:val="nil"/>
            </w:tcBorders>
          </w:tcPr>
          <w:p w14:paraId="28EEBBAC" w14:textId="77777777" w:rsidR="00F143FD" w:rsidRPr="00D101F0" w:rsidRDefault="00F143FD" w:rsidP="004479A9">
            <w:pPr>
              <w:pStyle w:val="Tabletext"/>
            </w:pPr>
            <w:r w:rsidRPr="00D101F0">
              <w:t>6.66 (2.52)</w:t>
            </w:r>
          </w:p>
        </w:tc>
      </w:tr>
      <w:tr w:rsidR="00F143FD" w:rsidRPr="00D101F0" w14:paraId="3423B484" w14:textId="77777777" w:rsidTr="004479A9">
        <w:trPr>
          <w:jc w:val="center"/>
        </w:trPr>
        <w:tc>
          <w:tcPr>
            <w:tcW w:w="1271" w:type="dxa"/>
            <w:vMerge/>
            <w:tcBorders>
              <w:left w:val="nil"/>
              <w:bottom w:val="single" w:sz="4" w:space="0" w:color="auto"/>
              <w:right w:val="nil"/>
            </w:tcBorders>
          </w:tcPr>
          <w:p w14:paraId="1A841815" w14:textId="77777777" w:rsidR="00F143FD" w:rsidRPr="00D101F0" w:rsidRDefault="00F143FD" w:rsidP="004479A9">
            <w:pPr>
              <w:pStyle w:val="Tabletext"/>
            </w:pPr>
          </w:p>
        </w:tc>
        <w:tc>
          <w:tcPr>
            <w:tcW w:w="7234" w:type="dxa"/>
            <w:tcBorders>
              <w:top w:val="nil"/>
              <w:left w:val="nil"/>
              <w:bottom w:val="single" w:sz="4" w:space="0" w:color="auto"/>
              <w:right w:val="nil"/>
            </w:tcBorders>
          </w:tcPr>
          <w:p w14:paraId="589C9A65" w14:textId="77777777" w:rsidR="00F143FD" w:rsidRPr="00D101F0" w:rsidRDefault="00F143FD" w:rsidP="004479A9">
            <w:pPr>
              <w:pStyle w:val="Tabletext"/>
            </w:pPr>
            <w:r w:rsidRPr="00D101F0">
              <w:t>There would be no point in having the coronavirus vaccination unless I could go back to my normal life</w:t>
            </w:r>
          </w:p>
        </w:tc>
        <w:tc>
          <w:tcPr>
            <w:tcW w:w="1276" w:type="dxa"/>
            <w:tcBorders>
              <w:top w:val="nil"/>
              <w:left w:val="nil"/>
              <w:bottom w:val="single" w:sz="4" w:space="0" w:color="auto"/>
              <w:right w:val="nil"/>
            </w:tcBorders>
          </w:tcPr>
          <w:p w14:paraId="0ADBFA73" w14:textId="77777777" w:rsidR="00F143FD" w:rsidRPr="00D101F0" w:rsidRDefault="00F143FD" w:rsidP="004479A9">
            <w:pPr>
              <w:pStyle w:val="Tabletext"/>
            </w:pPr>
            <w:r w:rsidRPr="00D101F0">
              <w:t>3.86 (3.04)</w:t>
            </w:r>
          </w:p>
        </w:tc>
      </w:tr>
      <w:tr w:rsidR="00F143FD" w:rsidRPr="00D101F0" w14:paraId="0E17370A" w14:textId="77777777" w:rsidTr="004479A9">
        <w:trPr>
          <w:jc w:val="center"/>
        </w:trPr>
        <w:tc>
          <w:tcPr>
            <w:tcW w:w="1271" w:type="dxa"/>
            <w:vMerge w:val="restart"/>
            <w:tcBorders>
              <w:top w:val="nil"/>
              <w:left w:val="nil"/>
              <w:right w:val="nil"/>
            </w:tcBorders>
            <w:vAlign w:val="center"/>
          </w:tcPr>
          <w:p w14:paraId="58D10245" w14:textId="77777777" w:rsidR="00F143FD" w:rsidRPr="00D101F0" w:rsidRDefault="00F143FD" w:rsidP="004479A9">
            <w:pPr>
              <w:pStyle w:val="Tabletext"/>
            </w:pPr>
            <w:r>
              <w:t>Vaccination intentions</w:t>
            </w:r>
          </w:p>
        </w:tc>
        <w:tc>
          <w:tcPr>
            <w:tcW w:w="7234" w:type="dxa"/>
            <w:tcBorders>
              <w:top w:val="nil"/>
              <w:left w:val="nil"/>
              <w:bottom w:val="nil"/>
              <w:right w:val="nil"/>
            </w:tcBorders>
          </w:tcPr>
          <w:p w14:paraId="6550F47F" w14:textId="77777777" w:rsidR="00F143FD" w:rsidRPr="00750442" w:rsidRDefault="00F143FD" w:rsidP="004479A9">
            <w:pPr>
              <w:pStyle w:val="Tabletext"/>
            </w:pPr>
            <w:r w:rsidRPr="00750442">
              <w:t>This winter, how likely is it you will have the seasonal influenza vaccination? (0 = very unlikely, 10 = very likely)</w:t>
            </w:r>
          </w:p>
        </w:tc>
        <w:tc>
          <w:tcPr>
            <w:tcW w:w="1276" w:type="dxa"/>
            <w:tcBorders>
              <w:top w:val="nil"/>
              <w:left w:val="nil"/>
              <w:bottom w:val="nil"/>
              <w:right w:val="nil"/>
            </w:tcBorders>
          </w:tcPr>
          <w:p w14:paraId="6DC08766" w14:textId="77777777" w:rsidR="00F143FD" w:rsidRPr="00D101F0" w:rsidRDefault="00F143FD" w:rsidP="004479A9">
            <w:pPr>
              <w:pStyle w:val="Tabletext"/>
            </w:pPr>
            <w:r w:rsidRPr="00D101F0">
              <w:t>5.11 (4.02)</w:t>
            </w:r>
          </w:p>
        </w:tc>
      </w:tr>
      <w:tr w:rsidR="00F143FD" w:rsidRPr="00D101F0" w14:paraId="47CADCE0" w14:textId="77777777" w:rsidTr="004479A9">
        <w:trPr>
          <w:jc w:val="center"/>
        </w:trPr>
        <w:tc>
          <w:tcPr>
            <w:tcW w:w="1271" w:type="dxa"/>
            <w:vMerge/>
            <w:tcBorders>
              <w:left w:val="nil"/>
              <w:bottom w:val="single" w:sz="12" w:space="0" w:color="auto"/>
              <w:right w:val="nil"/>
            </w:tcBorders>
          </w:tcPr>
          <w:p w14:paraId="2BA72C29" w14:textId="77777777" w:rsidR="00F143FD" w:rsidRPr="00D101F0" w:rsidRDefault="00F143FD" w:rsidP="004479A9">
            <w:pPr>
              <w:pStyle w:val="Tabletext"/>
            </w:pPr>
          </w:p>
        </w:tc>
        <w:tc>
          <w:tcPr>
            <w:tcW w:w="7234" w:type="dxa"/>
            <w:tcBorders>
              <w:top w:val="nil"/>
              <w:left w:val="nil"/>
              <w:bottom w:val="single" w:sz="12" w:space="0" w:color="auto"/>
              <w:right w:val="nil"/>
            </w:tcBorders>
          </w:tcPr>
          <w:p w14:paraId="4755FD35" w14:textId="77777777" w:rsidR="00F143FD" w:rsidRPr="00750442" w:rsidRDefault="00F143FD" w:rsidP="004479A9">
            <w:pPr>
              <w:pStyle w:val="Tabletext"/>
            </w:pPr>
            <w:r w:rsidRPr="00750442">
              <w:t>When a coronavirus vaccination becomes available to you, how likely is it you will have one? (0 = very unlikely, 10 = very likely)*</w:t>
            </w:r>
          </w:p>
        </w:tc>
        <w:tc>
          <w:tcPr>
            <w:tcW w:w="1276" w:type="dxa"/>
            <w:tcBorders>
              <w:top w:val="nil"/>
              <w:left w:val="nil"/>
              <w:bottom w:val="single" w:sz="12" w:space="0" w:color="auto"/>
              <w:right w:val="nil"/>
            </w:tcBorders>
          </w:tcPr>
          <w:p w14:paraId="48DFABB3" w14:textId="77777777" w:rsidR="00F143FD" w:rsidRPr="00D101F0" w:rsidRDefault="00F143FD" w:rsidP="004479A9">
            <w:pPr>
              <w:pStyle w:val="Tabletext"/>
            </w:pPr>
            <w:r w:rsidRPr="00D101F0">
              <w:t>7.55 (2.92)</w:t>
            </w:r>
          </w:p>
        </w:tc>
      </w:tr>
    </w:tbl>
    <w:p w14:paraId="4C8857F6" w14:textId="77777777" w:rsidR="00F143FD" w:rsidRPr="00C04CD4" w:rsidRDefault="00F143FD" w:rsidP="00F143FD">
      <w:pPr>
        <w:rPr>
          <w:sz w:val="20"/>
          <w:szCs w:val="16"/>
        </w:rPr>
      </w:pPr>
      <w:r w:rsidRPr="00C04CD4">
        <w:rPr>
          <w:sz w:val="20"/>
          <w:szCs w:val="16"/>
        </w:rPr>
        <w:t>* Skewed variables; mean values should be interpreted cautiously.</w:t>
      </w:r>
    </w:p>
    <w:p w14:paraId="25A3695C" w14:textId="77777777" w:rsidR="00F143FD" w:rsidRDefault="00F143FD" w:rsidP="00F143FD">
      <w:pPr>
        <w:spacing w:after="160" w:line="259" w:lineRule="auto"/>
        <w:rPr>
          <w:b/>
          <w:bCs/>
        </w:rPr>
      </w:pPr>
      <w:r>
        <w:rPr>
          <w:b/>
          <w:bCs/>
        </w:rPr>
        <w:br w:type="page"/>
      </w:r>
    </w:p>
    <w:p w14:paraId="090DC4F8" w14:textId="77777777" w:rsidR="00F143FD" w:rsidRDefault="00F143FD" w:rsidP="00F143FD">
      <w:r w:rsidRPr="003755E7">
        <w:rPr>
          <w:b/>
          <w:bCs/>
        </w:rPr>
        <w:lastRenderedPageBreak/>
        <w:t>Table 3.</w:t>
      </w:r>
      <w:r>
        <w:t xml:space="preserve"> Descriptive statistics for categorical and ordinal items measuring b</w:t>
      </w:r>
      <w:r w:rsidRPr="00D101F0">
        <w:t xml:space="preserve">eliefs and attitudes </w:t>
      </w:r>
      <w:r>
        <w:t>about COVID-19 and a COVID-19</w:t>
      </w:r>
      <w:r w:rsidRPr="00D101F0">
        <w:t xml:space="preserve"> vaccination. </w:t>
      </w:r>
    </w:p>
    <w:tbl>
      <w:tblPr>
        <w:tblStyle w:val="TableGrid"/>
        <w:tblW w:w="0" w:type="auto"/>
        <w:jc w:val="center"/>
        <w:tblLook w:val="04A0" w:firstRow="1" w:lastRow="0" w:firstColumn="1" w:lastColumn="0" w:noHBand="0" w:noVBand="1"/>
      </w:tblPr>
      <w:tblGrid>
        <w:gridCol w:w="6091"/>
        <w:gridCol w:w="1559"/>
        <w:gridCol w:w="1366"/>
      </w:tblGrid>
      <w:tr w:rsidR="00F143FD" w:rsidRPr="00D101F0" w14:paraId="5E659E08" w14:textId="77777777" w:rsidTr="004479A9">
        <w:trPr>
          <w:jc w:val="center"/>
        </w:trPr>
        <w:tc>
          <w:tcPr>
            <w:tcW w:w="6091" w:type="dxa"/>
            <w:tcBorders>
              <w:top w:val="single" w:sz="12" w:space="0" w:color="auto"/>
              <w:bottom w:val="single" w:sz="12" w:space="0" w:color="auto"/>
            </w:tcBorders>
          </w:tcPr>
          <w:p w14:paraId="704A09B3" w14:textId="77777777" w:rsidR="00F143FD" w:rsidRPr="00D101F0" w:rsidRDefault="00F143FD" w:rsidP="004479A9">
            <w:pPr>
              <w:pStyle w:val="Tabletext"/>
            </w:pPr>
            <w:r>
              <w:t>Item</w:t>
            </w:r>
          </w:p>
        </w:tc>
        <w:tc>
          <w:tcPr>
            <w:tcW w:w="1559" w:type="dxa"/>
            <w:tcBorders>
              <w:top w:val="single" w:sz="12" w:space="0" w:color="auto"/>
              <w:bottom w:val="single" w:sz="12" w:space="0" w:color="auto"/>
            </w:tcBorders>
          </w:tcPr>
          <w:p w14:paraId="63630D4A" w14:textId="77777777" w:rsidR="00F143FD" w:rsidRPr="00D101F0" w:rsidRDefault="00F143FD" w:rsidP="004479A9">
            <w:pPr>
              <w:pStyle w:val="Tabletext"/>
            </w:pPr>
            <w:r>
              <w:t>Level</w:t>
            </w:r>
          </w:p>
        </w:tc>
        <w:tc>
          <w:tcPr>
            <w:tcW w:w="1366" w:type="dxa"/>
            <w:tcBorders>
              <w:top w:val="single" w:sz="12" w:space="0" w:color="auto"/>
              <w:bottom w:val="single" w:sz="12" w:space="0" w:color="auto"/>
            </w:tcBorders>
          </w:tcPr>
          <w:p w14:paraId="6A01B40F" w14:textId="77777777" w:rsidR="00F143FD" w:rsidRPr="00D101F0" w:rsidRDefault="00F143FD" w:rsidP="004479A9">
            <w:pPr>
              <w:pStyle w:val="Tabletext"/>
            </w:pPr>
            <w:r w:rsidRPr="009D38E4">
              <w:t>n</w:t>
            </w:r>
            <w:r>
              <w:t xml:space="preserve"> (%)</w:t>
            </w:r>
          </w:p>
        </w:tc>
      </w:tr>
      <w:tr w:rsidR="00F143FD" w:rsidRPr="00D101F0" w14:paraId="156DC21B" w14:textId="77777777" w:rsidTr="004479A9">
        <w:trPr>
          <w:jc w:val="center"/>
        </w:trPr>
        <w:tc>
          <w:tcPr>
            <w:tcW w:w="6091" w:type="dxa"/>
            <w:vMerge w:val="restart"/>
            <w:tcBorders>
              <w:top w:val="single" w:sz="12" w:space="0" w:color="auto"/>
            </w:tcBorders>
            <w:vAlign w:val="center"/>
          </w:tcPr>
          <w:p w14:paraId="7B6C7909" w14:textId="77777777" w:rsidR="00F143FD" w:rsidRPr="00D101F0" w:rsidRDefault="00F143FD" w:rsidP="004479A9">
            <w:pPr>
              <w:pStyle w:val="Tabletext"/>
            </w:pPr>
            <w:r w:rsidRPr="00D101F0">
              <w:t>To what extent do you think coronavirus poses a risk to people in the UK?</w:t>
            </w:r>
          </w:p>
        </w:tc>
        <w:tc>
          <w:tcPr>
            <w:tcW w:w="1559" w:type="dxa"/>
            <w:tcBorders>
              <w:top w:val="single" w:sz="12" w:space="0" w:color="auto"/>
              <w:bottom w:val="nil"/>
            </w:tcBorders>
          </w:tcPr>
          <w:p w14:paraId="0B6C5033" w14:textId="77777777" w:rsidR="00F143FD" w:rsidRPr="00D101F0" w:rsidRDefault="00F143FD" w:rsidP="004479A9">
            <w:pPr>
              <w:pStyle w:val="Tabletext"/>
            </w:pPr>
            <w:r w:rsidRPr="00D101F0">
              <w:t>No risk at all</w:t>
            </w:r>
          </w:p>
        </w:tc>
        <w:tc>
          <w:tcPr>
            <w:tcW w:w="1366" w:type="dxa"/>
            <w:tcBorders>
              <w:top w:val="single" w:sz="12" w:space="0" w:color="auto"/>
              <w:bottom w:val="nil"/>
            </w:tcBorders>
          </w:tcPr>
          <w:p w14:paraId="554D66CE" w14:textId="77777777" w:rsidR="00F143FD" w:rsidRPr="00D101F0" w:rsidRDefault="00F143FD" w:rsidP="004479A9">
            <w:pPr>
              <w:pStyle w:val="Tabletext"/>
            </w:pPr>
            <w:r w:rsidRPr="00D101F0">
              <w:t>5 (0.3)</w:t>
            </w:r>
          </w:p>
        </w:tc>
      </w:tr>
      <w:tr w:rsidR="00F143FD" w:rsidRPr="00D101F0" w14:paraId="19AFCB6E" w14:textId="77777777" w:rsidTr="004479A9">
        <w:trPr>
          <w:jc w:val="center"/>
        </w:trPr>
        <w:tc>
          <w:tcPr>
            <w:tcW w:w="6091" w:type="dxa"/>
            <w:vMerge/>
            <w:vAlign w:val="center"/>
          </w:tcPr>
          <w:p w14:paraId="2EBC5469" w14:textId="77777777" w:rsidR="00F143FD" w:rsidRPr="00D101F0" w:rsidRDefault="00F143FD" w:rsidP="004479A9">
            <w:pPr>
              <w:pStyle w:val="Tabletext"/>
            </w:pPr>
          </w:p>
        </w:tc>
        <w:tc>
          <w:tcPr>
            <w:tcW w:w="1559" w:type="dxa"/>
            <w:tcBorders>
              <w:top w:val="nil"/>
              <w:bottom w:val="nil"/>
            </w:tcBorders>
          </w:tcPr>
          <w:p w14:paraId="09FF0861" w14:textId="77777777" w:rsidR="00F143FD" w:rsidRPr="00D101F0" w:rsidRDefault="00F143FD" w:rsidP="004479A9">
            <w:pPr>
              <w:pStyle w:val="Tabletext"/>
            </w:pPr>
            <w:r w:rsidRPr="00D101F0">
              <w:t>Minor risk</w:t>
            </w:r>
          </w:p>
        </w:tc>
        <w:tc>
          <w:tcPr>
            <w:tcW w:w="1366" w:type="dxa"/>
            <w:tcBorders>
              <w:top w:val="nil"/>
              <w:bottom w:val="nil"/>
            </w:tcBorders>
          </w:tcPr>
          <w:p w14:paraId="17F1289D" w14:textId="77777777" w:rsidR="00F143FD" w:rsidRPr="00D101F0" w:rsidRDefault="00F143FD" w:rsidP="004479A9">
            <w:pPr>
              <w:pStyle w:val="Tabletext"/>
            </w:pPr>
            <w:r w:rsidRPr="00D101F0">
              <w:t>80 (5.3)</w:t>
            </w:r>
          </w:p>
        </w:tc>
      </w:tr>
      <w:tr w:rsidR="00F143FD" w:rsidRPr="00D101F0" w14:paraId="3EB8ED8F" w14:textId="77777777" w:rsidTr="004479A9">
        <w:trPr>
          <w:jc w:val="center"/>
        </w:trPr>
        <w:tc>
          <w:tcPr>
            <w:tcW w:w="6091" w:type="dxa"/>
            <w:vMerge/>
            <w:vAlign w:val="center"/>
          </w:tcPr>
          <w:p w14:paraId="081BFDE0" w14:textId="77777777" w:rsidR="00F143FD" w:rsidRPr="00D101F0" w:rsidRDefault="00F143FD" w:rsidP="004479A9">
            <w:pPr>
              <w:pStyle w:val="Tabletext"/>
            </w:pPr>
          </w:p>
        </w:tc>
        <w:tc>
          <w:tcPr>
            <w:tcW w:w="1559" w:type="dxa"/>
            <w:tcBorders>
              <w:top w:val="nil"/>
              <w:bottom w:val="nil"/>
            </w:tcBorders>
          </w:tcPr>
          <w:p w14:paraId="34E735B8" w14:textId="77777777" w:rsidR="00F143FD" w:rsidRPr="00D101F0" w:rsidRDefault="00F143FD" w:rsidP="004479A9">
            <w:pPr>
              <w:pStyle w:val="Tabletext"/>
            </w:pPr>
            <w:r w:rsidRPr="00D101F0">
              <w:t>Moderate risk</w:t>
            </w:r>
          </w:p>
        </w:tc>
        <w:tc>
          <w:tcPr>
            <w:tcW w:w="1366" w:type="dxa"/>
            <w:tcBorders>
              <w:top w:val="nil"/>
              <w:bottom w:val="nil"/>
            </w:tcBorders>
          </w:tcPr>
          <w:p w14:paraId="2504A84A" w14:textId="77777777" w:rsidR="00F143FD" w:rsidRPr="00D101F0" w:rsidRDefault="00F143FD" w:rsidP="004479A9">
            <w:pPr>
              <w:pStyle w:val="Tabletext"/>
            </w:pPr>
            <w:r w:rsidRPr="00D101F0">
              <w:t>313 (20.9)</w:t>
            </w:r>
          </w:p>
        </w:tc>
      </w:tr>
      <w:tr w:rsidR="00F143FD" w:rsidRPr="00D101F0" w14:paraId="316C72C1" w14:textId="77777777" w:rsidTr="004479A9">
        <w:trPr>
          <w:jc w:val="center"/>
        </w:trPr>
        <w:tc>
          <w:tcPr>
            <w:tcW w:w="6091" w:type="dxa"/>
            <w:vMerge/>
            <w:vAlign w:val="center"/>
          </w:tcPr>
          <w:p w14:paraId="577E5626" w14:textId="77777777" w:rsidR="00F143FD" w:rsidRPr="00D101F0" w:rsidRDefault="00F143FD" w:rsidP="004479A9">
            <w:pPr>
              <w:pStyle w:val="Tabletext"/>
            </w:pPr>
          </w:p>
        </w:tc>
        <w:tc>
          <w:tcPr>
            <w:tcW w:w="1559" w:type="dxa"/>
            <w:tcBorders>
              <w:top w:val="nil"/>
              <w:bottom w:val="nil"/>
            </w:tcBorders>
          </w:tcPr>
          <w:p w14:paraId="24BBC96C" w14:textId="77777777" w:rsidR="00F143FD" w:rsidRPr="00D101F0" w:rsidRDefault="00F143FD" w:rsidP="004479A9">
            <w:pPr>
              <w:pStyle w:val="Tabletext"/>
            </w:pPr>
            <w:r w:rsidRPr="00D101F0">
              <w:t>Significant risk</w:t>
            </w:r>
          </w:p>
        </w:tc>
        <w:tc>
          <w:tcPr>
            <w:tcW w:w="1366" w:type="dxa"/>
            <w:tcBorders>
              <w:top w:val="nil"/>
              <w:bottom w:val="nil"/>
            </w:tcBorders>
          </w:tcPr>
          <w:p w14:paraId="532AF100" w14:textId="77777777" w:rsidR="00F143FD" w:rsidRPr="00D101F0" w:rsidRDefault="00F143FD" w:rsidP="004479A9">
            <w:pPr>
              <w:pStyle w:val="Tabletext"/>
            </w:pPr>
            <w:r w:rsidRPr="00D101F0">
              <w:t>675 (45.0)</w:t>
            </w:r>
          </w:p>
        </w:tc>
      </w:tr>
      <w:tr w:rsidR="00F143FD" w:rsidRPr="00D101F0" w14:paraId="237A88E6" w14:textId="77777777" w:rsidTr="004479A9">
        <w:trPr>
          <w:jc w:val="center"/>
        </w:trPr>
        <w:tc>
          <w:tcPr>
            <w:tcW w:w="6091" w:type="dxa"/>
            <w:vMerge/>
            <w:vAlign w:val="center"/>
          </w:tcPr>
          <w:p w14:paraId="287B2337" w14:textId="77777777" w:rsidR="00F143FD" w:rsidRPr="00D101F0" w:rsidRDefault="00F143FD" w:rsidP="004479A9">
            <w:pPr>
              <w:pStyle w:val="Tabletext"/>
            </w:pPr>
          </w:p>
        </w:tc>
        <w:tc>
          <w:tcPr>
            <w:tcW w:w="1559" w:type="dxa"/>
            <w:tcBorders>
              <w:top w:val="nil"/>
              <w:bottom w:val="nil"/>
            </w:tcBorders>
          </w:tcPr>
          <w:p w14:paraId="1702CB4D" w14:textId="77777777" w:rsidR="00F143FD" w:rsidRPr="00D101F0" w:rsidRDefault="00F143FD" w:rsidP="004479A9">
            <w:pPr>
              <w:pStyle w:val="Tabletext"/>
            </w:pPr>
            <w:r w:rsidRPr="00D101F0">
              <w:t>Major risk</w:t>
            </w:r>
          </w:p>
        </w:tc>
        <w:tc>
          <w:tcPr>
            <w:tcW w:w="1366" w:type="dxa"/>
            <w:tcBorders>
              <w:top w:val="nil"/>
              <w:bottom w:val="nil"/>
            </w:tcBorders>
          </w:tcPr>
          <w:p w14:paraId="613E060A" w14:textId="77777777" w:rsidR="00F143FD" w:rsidRPr="00D101F0" w:rsidRDefault="00F143FD" w:rsidP="004479A9">
            <w:pPr>
              <w:pStyle w:val="Tabletext"/>
            </w:pPr>
            <w:r w:rsidRPr="00D101F0">
              <w:t>426 (28.4)</w:t>
            </w:r>
          </w:p>
        </w:tc>
      </w:tr>
      <w:tr w:rsidR="00F143FD" w:rsidRPr="00D101F0" w14:paraId="656E937E" w14:textId="77777777" w:rsidTr="004479A9">
        <w:trPr>
          <w:jc w:val="center"/>
        </w:trPr>
        <w:tc>
          <w:tcPr>
            <w:tcW w:w="6091" w:type="dxa"/>
            <w:vMerge/>
            <w:tcBorders>
              <w:bottom w:val="single" w:sz="4" w:space="0" w:color="auto"/>
            </w:tcBorders>
            <w:vAlign w:val="center"/>
          </w:tcPr>
          <w:p w14:paraId="2EE29C2C" w14:textId="77777777" w:rsidR="00F143FD" w:rsidRPr="00D101F0" w:rsidRDefault="00F143FD" w:rsidP="004479A9">
            <w:pPr>
              <w:pStyle w:val="Tabletext"/>
            </w:pPr>
          </w:p>
        </w:tc>
        <w:tc>
          <w:tcPr>
            <w:tcW w:w="1559" w:type="dxa"/>
            <w:tcBorders>
              <w:top w:val="nil"/>
              <w:bottom w:val="single" w:sz="4" w:space="0" w:color="auto"/>
            </w:tcBorders>
          </w:tcPr>
          <w:p w14:paraId="468E1BCD" w14:textId="77777777" w:rsidR="00F143FD" w:rsidRPr="00D101F0" w:rsidRDefault="00F143FD" w:rsidP="004479A9">
            <w:pPr>
              <w:pStyle w:val="Tabletext"/>
            </w:pPr>
            <w:r w:rsidRPr="00D101F0">
              <w:t>Don’t know</w:t>
            </w:r>
          </w:p>
        </w:tc>
        <w:tc>
          <w:tcPr>
            <w:tcW w:w="1366" w:type="dxa"/>
            <w:tcBorders>
              <w:top w:val="nil"/>
              <w:bottom w:val="single" w:sz="4" w:space="0" w:color="auto"/>
            </w:tcBorders>
          </w:tcPr>
          <w:p w14:paraId="54CD5CD1" w14:textId="77777777" w:rsidR="00F143FD" w:rsidRPr="00D101F0" w:rsidRDefault="00F143FD" w:rsidP="004479A9">
            <w:pPr>
              <w:pStyle w:val="Tabletext"/>
            </w:pPr>
            <w:r w:rsidRPr="00D101F0">
              <w:t>1 (0.1)</w:t>
            </w:r>
          </w:p>
        </w:tc>
      </w:tr>
      <w:tr w:rsidR="00F143FD" w:rsidRPr="00D101F0" w14:paraId="2F5E1DAF" w14:textId="77777777" w:rsidTr="004479A9">
        <w:trPr>
          <w:jc w:val="center"/>
        </w:trPr>
        <w:tc>
          <w:tcPr>
            <w:tcW w:w="6091" w:type="dxa"/>
            <w:vMerge w:val="restart"/>
            <w:tcBorders>
              <w:top w:val="nil"/>
            </w:tcBorders>
            <w:vAlign w:val="center"/>
          </w:tcPr>
          <w:p w14:paraId="5E1D333F" w14:textId="77777777" w:rsidR="00F143FD" w:rsidRPr="00D101F0" w:rsidRDefault="00F143FD" w:rsidP="004479A9">
            <w:pPr>
              <w:pStyle w:val="Tabletext"/>
            </w:pPr>
            <w:r w:rsidRPr="00D101F0">
              <w:t>To what extent do you think coronavirus poses a risk to you personally?</w:t>
            </w:r>
          </w:p>
        </w:tc>
        <w:tc>
          <w:tcPr>
            <w:tcW w:w="1559" w:type="dxa"/>
            <w:tcBorders>
              <w:top w:val="nil"/>
              <w:bottom w:val="nil"/>
            </w:tcBorders>
          </w:tcPr>
          <w:p w14:paraId="2143D600" w14:textId="77777777" w:rsidR="00F143FD" w:rsidRPr="00D101F0" w:rsidRDefault="00F143FD" w:rsidP="004479A9">
            <w:pPr>
              <w:pStyle w:val="Tabletext"/>
            </w:pPr>
            <w:r w:rsidRPr="00D101F0">
              <w:t>No risk at all</w:t>
            </w:r>
          </w:p>
        </w:tc>
        <w:tc>
          <w:tcPr>
            <w:tcW w:w="1366" w:type="dxa"/>
            <w:tcBorders>
              <w:top w:val="nil"/>
              <w:bottom w:val="nil"/>
            </w:tcBorders>
          </w:tcPr>
          <w:p w14:paraId="427576DF" w14:textId="77777777" w:rsidR="00F143FD" w:rsidRPr="00D101F0" w:rsidRDefault="00F143FD" w:rsidP="004479A9">
            <w:pPr>
              <w:pStyle w:val="Tabletext"/>
            </w:pPr>
            <w:r w:rsidRPr="00D101F0">
              <w:t>34 (2.3)</w:t>
            </w:r>
          </w:p>
        </w:tc>
      </w:tr>
      <w:tr w:rsidR="00F143FD" w:rsidRPr="00D101F0" w14:paraId="1B1A6C37" w14:textId="77777777" w:rsidTr="004479A9">
        <w:trPr>
          <w:jc w:val="center"/>
        </w:trPr>
        <w:tc>
          <w:tcPr>
            <w:tcW w:w="6091" w:type="dxa"/>
            <w:vMerge/>
            <w:vAlign w:val="center"/>
          </w:tcPr>
          <w:p w14:paraId="48A57FCA" w14:textId="77777777" w:rsidR="00F143FD" w:rsidRPr="00D101F0" w:rsidRDefault="00F143FD" w:rsidP="004479A9">
            <w:pPr>
              <w:pStyle w:val="Tabletext"/>
            </w:pPr>
          </w:p>
        </w:tc>
        <w:tc>
          <w:tcPr>
            <w:tcW w:w="1559" w:type="dxa"/>
            <w:tcBorders>
              <w:top w:val="nil"/>
              <w:bottom w:val="nil"/>
            </w:tcBorders>
          </w:tcPr>
          <w:p w14:paraId="10245196" w14:textId="77777777" w:rsidR="00F143FD" w:rsidRPr="00D101F0" w:rsidRDefault="00F143FD" w:rsidP="004479A9">
            <w:pPr>
              <w:pStyle w:val="Tabletext"/>
            </w:pPr>
            <w:r w:rsidRPr="00D101F0">
              <w:t>Minor risk</w:t>
            </w:r>
          </w:p>
        </w:tc>
        <w:tc>
          <w:tcPr>
            <w:tcW w:w="1366" w:type="dxa"/>
            <w:tcBorders>
              <w:top w:val="nil"/>
              <w:bottom w:val="nil"/>
            </w:tcBorders>
          </w:tcPr>
          <w:p w14:paraId="5C5A9BDE" w14:textId="77777777" w:rsidR="00F143FD" w:rsidRPr="00D101F0" w:rsidRDefault="00F143FD" w:rsidP="004479A9">
            <w:pPr>
              <w:pStyle w:val="Tabletext"/>
            </w:pPr>
            <w:r w:rsidRPr="00D101F0">
              <w:t>365 (24.3)</w:t>
            </w:r>
          </w:p>
        </w:tc>
      </w:tr>
      <w:tr w:rsidR="00F143FD" w:rsidRPr="00D101F0" w14:paraId="1866AF8E" w14:textId="77777777" w:rsidTr="004479A9">
        <w:trPr>
          <w:jc w:val="center"/>
        </w:trPr>
        <w:tc>
          <w:tcPr>
            <w:tcW w:w="6091" w:type="dxa"/>
            <w:vMerge/>
            <w:vAlign w:val="center"/>
          </w:tcPr>
          <w:p w14:paraId="5FB64847" w14:textId="77777777" w:rsidR="00F143FD" w:rsidRPr="00D101F0" w:rsidRDefault="00F143FD" w:rsidP="004479A9">
            <w:pPr>
              <w:pStyle w:val="Tabletext"/>
            </w:pPr>
          </w:p>
        </w:tc>
        <w:tc>
          <w:tcPr>
            <w:tcW w:w="1559" w:type="dxa"/>
            <w:tcBorders>
              <w:top w:val="nil"/>
              <w:bottom w:val="nil"/>
            </w:tcBorders>
          </w:tcPr>
          <w:p w14:paraId="6EFFC4E0" w14:textId="77777777" w:rsidR="00F143FD" w:rsidRPr="00D101F0" w:rsidRDefault="00F143FD" w:rsidP="004479A9">
            <w:pPr>
              <w:pStyle w:val="Tabletext"/>
            </w:pPr>
            <w:r w:rsidRPr="00D101F0">
              <w:t>Moderate risk</w:t>
            </w:r>
          </w:p>
        </w:tc>
        <w:tc>
          <w:tcPr>
            <w:tcW w:w="1366" w:type="dxa"/>
            <w:tcBorders>
              <w:top w:val="nil"/>
              <w:bottom w:val="nil"/>
            </w:tcBorders>
          </w:tcPr>
          <w:p w14:paraId="6530B398" w14:textId="77777777" w:rsidR="00F143FD" w:rsidRPr="00D101F0" w:rsidRDefault="00F143FD" w:rsidP="004479A9">
            <w:pPr>
              <w:pStyle w:val="Tabletext"/>
            </w:pPr>
            <w:r w:rsidRPr="00D101F0">
              <w:t>563 (37.5)</w:t>
            </w:r>
          </w:p>
        </w:tc>
      </w:tr>
      <w:tr w:rsidR="00F143FD" w:rsidRPr="00D101F0" w14:paraId="61F5ACD7" w14:textId="77777777" w:rsidTr="004479A9">
        <w:trPr>
          <w:jc w:val="center"/>
        </w:trPr>
        <w:tc>
          <w:tcPr>
            <w:tcW w:w="6091" w:type="dxa"/>
            <w:vMerge/>
            <w:vAlign w:val="center"/>
          </w:tcPr>
          <w:p w14:paraId="36698C30" w14:textId="77777777" w:rsidR="00F143FD" w:rsidRPr="00D101F0" w:rsidRDefault="00F143FD" w:rsidP="004479A9">
            <w:pPr>
              <w:pStyle w:val="Tabletext"/>
            </w:pPr>
          </w:p>
        </w:tc>
        <w:tc>
          <w:tcPr>
            <w:tcW w:w="1559" w:type="dxa"/>
            <w:tcBorders>
              <w:top w:val="nil"/>
              <w:bottom w:val="nil"/>
            </w:tcBorders>
          </w:tcPr>
          <w:p w14:paraId="0A33F0B9" w14:textId="77777777" w:rsidR="00F143FD" w:rsidRPr="00D101F0" w:rsidRDefault="00F143FD" w:rsidP="004479A9">
            <w:pPr>
              <w:pStyle w:val="Tabletext"/>
            </w:pPr>
            <w:r w:rsidRPr="00D101F0">
              <w:t>Significant risk</w:t>
            </w:r>
          </w:p>
        </w:tc>
        <w:tc>
          <w:tcPr>
            <w:tcW w:w="1366" w:type="dxa"/>
            <w:tcBorders>
              <w:top w:val="nil"/>
              <w:bottom w:val="nil"/>
            </w:tcBorders>
          </w:tcPr>
          <w:p w14:paraId="05A6902C" w14:textId="77777777" w:rsidR="00F143FD" w:rsidRPr="00D101F0" w:rsidRDefault="00F143FD" w:rsidP="004479A9">
            <w:pPr>
              <w:pStyle w:val="Tabletext"/>
            </w:pPr>
            <w:r w:rsidRPr="00D101F0">
              <w:t>381 (25.4)</w:t>
            </w:r>
          </w:p>
        </w:tc>
      </w:tr>
      <w:tr w:rsidR="00F143FD" w:rsidRPr="00D101F0" w14:paraId="26E7E1A5" w14:textId="77777777" w:rsidTr="004479A9">
        <w:trPr>
          <w:jc w:val="center"/>
        </w:trPr>
        <w:tc>
          <w:tcPr>
            <w:tcW w:w="6091" w:type="dxa"/>
            <w:vMerge/>
            <w:vAlign w:val="center"/>
          </w:tcPr>
          <w:p w14:paraId="28F4B18A" w14:textId="77777777" w:rsidR="00F143FD" w:rsidRPr="00D101F0" w:rsidRDefault="00F143FD" w:rsidP="004479A9">
            <w:pPr>
              <w:pStyle w:val="Tabletext"/>
            </w:pPr>
          </w:p>
        </w:tc>
        <w:tc>
          <w:tcPr>
            <w:tcW w:w="1559" w:type="dxa"/>
            <w:tcBorders>
              <w:top w:val="nil"/>
              <w:bottom w:val="nil"/>
            </w:tcBorders>
          </w:tcPr>
          <w:p w14:paraId="4E4BB128" w14:textId="77777777" w:rsidR="00F143FD" w:rsidRPr="00D101F0" w:rsidRDefault="00F143FD" w:rsidP="004479A9">
            <w:pPr>
              <w:pStyle w:val="Tabletext"/>
            </w:pPr>
            <w:r w:rsidRPr="00D101F0">
              <w:t>Major risk</w:t>
            </w:r>
          </w:p>
        </w:tc>
        <w:tc>
          <w:tcPr>
            <w:tcW w:w="1366" w:type="dxa"/>
            <w:tcBorders>
              <w:top w:val="nil"/>
              <w:bottom w:val="nil"/>
            </w:tcBorders>
          </w:tcPr>
          <w:p w14:paraId="48D823F2" w14:textId="77777777" w:rsidR="00F143FD" w:rsidRPr="00D101F0" w:rsidRDefault="00F143FD" w:rsidP="004479A9">
            <w:pPr>
              <w:pStyle w:val="Tabletext"/>
            </w:pPr>
            <w:r w:rsidRPr="00D101F0">
              <w:t>153 (10.2)</w:t>
            </w:r>
          </w:p>
        </w:tc>
      </w:tr>
      <w:tr w:rsidR="00F143FD" w:rsidRPr="00D101F0" w14:paraId="2EE35ABC" w14:textId="77777777" w:rsidTr="004479A9">
        <w:trPr>
          <w:jc w:val="center"/>
        </w:trPr>
        <w:tc>
          <w:tcPr>
            <w:tcW w:w="6091" w:type="dxa"/>
            <w:vMerge/>
            <w:tcBorders>
              <w:bottom w:val="single" w:sz="4" w:space="0" w:color="auto"/>
            </w:tcBorders>
            <w:vAlign w:val="center"/>
          </w:tcPr>
          <w:p w14:paraId="28C82B8B" w14:textId="77777777" w:rsidR="00F143FD" w:rsidRPr="00D101F0" w:rsidRDefault="00F143FD" w:rsidP="004479A9">
            <w:pPr>
              <w:pStyle w:val="Tabletext"/>
            </w:pPr>
          </w:p>
        </w:tc>
        <w:tc>
          <w:tcPr>
            <w:tcW w:w="1559" w:type="dxa"/>
            <w:tcBorders>
              <w:top w:val="nil"/>
              <w:bottom w:val="single" w:sz="4" w:space="0" w:color="auto"/>
            </w:tcBorders>
          </w:tcPr>
          <w:p w14:paraId="223B3A9B" w14:textId="77777777" w:rsidR="00F143FD" w:rsidRPr="00D101F0" w:rsidRDefault="00F143FD" w:rsidP="004479A9">
            <w:pPr>
              <w:pStyle w:val="Tabletext"/>
            </w:pPr>
            <w:r w:rsidRPr="00D101F0">
              <w:t>Don’t know</w:t>
            </w:r>
          </w:p>
        </w:tc>
        <w:tc>
          <w:tcPr>
            <w:tcW w:w="1366" w:type="dxa"/>
            <w:tcBorders>
              <w:top w:val="nil"/>
              <w:bottom w:val="single" w:sz="4" w:space="0" w:color="auto"/>
            </w:tcBorders>
          </w:tcPr>
          <w:p w14:paraId="55440E3F" w14:textId="77777777" w:rsidR="00F143FD" w:rsidRPr="00D101F0" w:rsidRDefault="00F143FD" w:rsidP="004479A9">
            <w:pPr>
              <w:pStyle w:val="Tabletext"/>
            </w:pPr>
            <w:r w:rsidRPr="00D101F0">
              <w:t>4 (0.3)</w:t>
            </w:r>
          </w:p>
        </w:tc>
      </w:tr>
      <w:tr w:rsidR="00F143FD" w:rsidRPr="00D101F0" w14:paraId="35DDCF08" w14:textId="77777777" w:rsidTr="004479A9">
        <w:trPr>
          <w:jc w:val="center"/>
        </w:trPr>
        <w:tc>
          <w:tcPr>
            <w:tcW w:w="6091" w:type="dxa"/>
            <w:vMerge w:val="restart"/>
            <w:tcBorders>
              <w:top w:val="nil"/>
            </w:tcBorders>
            <w:vAlign w:val="center"/>
          </w:tcPr>
          <w:p w14:paraId="631C9B96" w14:textId="77777777" w:rsidR="00F143FD" w:rsidRPr="00D101F0" w:rsidRDefault="00F143FD" w:rsidP="004479A9">
            <w:pPr>
              <w:pStyle w:val="Tabletext"/>
            </w:pPr>
            <w:r w:rsidRPr="00D101F0">
              <w:t>Do you believe you have had, or currently have, coronavirus?</w:t>
            </w:r>
          </w:p>
        </w:tc>
        <w:tc>
          <w:tcPr>
            <w:tcW w:w="1559" w:type="dxa"/>
            <w:tcBorders>
              <w:top w:val="nil"/>
              <w:bottom w:val="nil"/>
            </w:tcBorders>
          </w:tcPr>
          <w:p w14:paraId="5B89B9A9" w14:textId="77777777" w:rsidR="00F143FD" w:rsidRPr="00D101F0" w:rsidRDefault="00F143FD" w:rsidP="004479A9">
            <w:pPr>
              <w:pStyle w:val="Tabletext"/>
            </w:pPr>
            <w:proofErr w:type="gramStart"/>
            <w:r w:rsidRPr="00D101F0">
              <w:t>Definitely not</w:t>
            </w:r>
            <w:proofErr w:type="gramEnd"/>
          </w:p>
        </w:tc>
        <w:tc>
          <w:tcPr>
            <w:tcW w:w="1366" w:type="dxa"/>
            <w:tcBorders>
              <w:top w:val="nil"/>
              <w:bottom w:val="nil"/>
            </w:tcBorders>
          </w:tcPr>
          <w:p w14:paraId="4DA45F03" w14:textId="77777777" w:rsidR="00F143FD" w:rsidRPr="00D101F0" w:rsidRDefault="00F143FD" w:rsidP="004479A9">
            <w:pPr>
              <w:pStyle w:val="Tabletext"/>
            </w:pPr>
            <w:r w:rsidRPr="00D101F0">
              <w:t>555 (37.0)</w:t>
            </w:r>
          </w:p>
        </w:tc>
      </w:tr>
      <w:tr w:rsidR="00F143FD" w:rsidRPr="00D101F0" w14:paraId="4E49B993" w14:textId="77777777" w:rsidTr="004479A9">
        <w:trPr>
          <w:jc w:val="center"/>
        </w:trPr>
        <w:tc>
          <w:tcPr>
            <w:tcW w:w="6091" w:type="dxa"/>
            <w:vMerge/>
            <w:vAlign w:val="center"/>
          </w:tcPr>
          <w:p w14:paraId="195C30B0" w14:textId="77777777" w:rsidR="00F143FD" w:rsidRPr="00D101F0" w:rsidRDefault="00F143FD" w:rsidP="004479A9">
            <w:pPr>
              <w:pStyle w:val="Tabletext"/>
            </w:pPr>
          </w:p>
        </w:tc>
        <w:tc>
          <w:tcPr>
            <w:tcW w:w="1559" w:type="dxa"/>
            <w:tcBorders>
              <w:top w:val="nil"/>
              <w:bottom w:val="nil"/>
            </w:tcBorders>
          </w:tcPr>
          <w:p w14:paraId="00C48E0F" w14:textId="77777777" w:rsidR="00F143FD" w:rsidRPr="00D101F0" w:rsidRDefault="00F143FD" w:rsidP="004479A9">
            <w:pPr>
              <w:pStyle w:val="Tabletext"/>
            </w:pPr>
            <w:r w:rsidRPr="00D101F0">
              <w:t>Probably not</w:t>
            </w:r>
          </w:p>
        </w:tc>
        <w:tc>
          <w:tcPr>
            <w:tcW w:w="1366" w:type="dxa"/>
            <w:tcBorders>
              <w:top w:val="nil"/>
              <w:bottom w:val="nil"/>
            </w:tcBorders>
          </w:tcPr>
          <w:p w14:paraId="0F8A78D2" w14:textId="77777777" w:rsidR="00F143FD" w:rsidRPr="00D101F0" w:rsidRDefault="00F143FD" w:rsidP="004479A9">
            <w:pPr>
              <w:pStyle w:val="Tabletext"/>
            </w:pPr>
            <w:r w:rsidRPr="00D101F0">
              <w:t>588 (39.2)</w:t>
            </w:r>
          </w:p>
        </w:tc>
      </w:tr>
      <w:tr w:rsidR="00F143FD" w:rsidRPr="00D101F0" w14:paraId="707D75B5" w14:textId="77777777" w:rsidTr="004479A9">
        <w:trPr>
          <w:jc w:val="center"/>
        </w:trPr>
        <w:tc>
          <w:tcPr>
            <w:tcW w:w="6091" w:type="dxa"/>
            <w:vMerge/>
            <w:vAlign w:val="center"/>
          </w:tcPr>
          <w:p w14:paraId="7D6124F6" w14:textId="77777777" w:rsidR="00F143FD" w:rsidRPr="00D101F0" w:rsidRDefault="00F143FD" w:rsidP="004479A9">
            <w:pPr>
              <w:pStyle w:val="Tabletext"/>
            </w:pPr>
          </w:p>
        </w:tc>
        <w:tc>
          <w:tcPr>
            <w:tcW w:w="1559" w:type="dxa"/>
            <w:tcBorders>
              <w:top w:val="nil"/>
              <w:bottom w:val="nil"/>
            </w:tcBorders>
          </w:tcPr>
          <w:p w14:paraId="12D3F0C0" w14:textId="77777777" w:rsidR="00F143FD" w:rsidRPr="00D101F0" w:rsidRDefault="00F143FD" w:rsidP="004479A9">
            <w:pPr>
              <w:pStyle w:val="Tabletext"/>
            </w:pPr>
            <w:r w:rsidRPr="00D101F0">
              <w:t>Probably</w:t>
            </w:r>
          </w:p>
        </w:tc>
        <w:tc>
          <w:tcPr>
            <w:tcW w:w="1366" w:type="dxa"/>
            <w:tcBorders>
              <w:top w:val="nil"/>
              <w:bottom w:val="nil"/>
            </w:tcBorders>
          </w:tcPr>
          <w:p w14:paraId="67C7A122" w14:textId="77777777" w:rsidR="00F143FD" w:rsidRPr="00D101F0" w:rsidRDefault="00F143FD" w:rsidP="004479A9">
            <w:pPr>
              <w:pStyle w:val="Tabletext"/>
            </w:pPr>
            <w:r w:rsidRPr="00D101F0">
              <w:t>151 (10.1)</w:t>
            </w:r>
          </w:p>
        </w:tc>
      </w:tr>
      <w:tr w:rsidR="00F143FD" w:rsidRPr="00D101F0" w14:paraId="340867B2" w14:textId="77777777" w:rsidTr="004479A9">
        <w:trPr>
          <w:jc w:val="center"/>
        </w:trPr>
        <w:tc>
          <w:tcPr>
            <w:tcW w:w="6091" w:type="dxa"/>
            <w:vMerge/>
            <w:vAlign w:val="center"/>
          </w:tcPr>
          <w:p w14:paraId="18199139" w14:textId="77777777" w:rsidR="00F143FD" w:rsidRPr="00D101F0" w:rsidRDefault="00F143FD" w:rsidP="004479A9">
            <w:pPr>
              <w:pStyle w:val="Tabletext"/>
            </w:pPr>
          </w:p>
        </w:tc>
        <w:tc>
          <w:tcPr>
            <w:tcW w:w="1559" w:type="dxa"/>
            <w:tcBorders>
              <w:top w:val="nil"/>
              <w:bottom w:val="nil"/>
            </w:tcBorders>
          </w:tcPr>
          <w:p w14:paraId="27E503E9" w14:textId="77777777" w:rsidR="00F143FD" w:rsidRPr="00D101F0" w:rsidRDefault="00F143FD" w:rsidP="004479A9">
            <w:pPr>
              <w:pStyle w:val="Tabletext"/>
            </w:pPr>
            <w:r w:rsidRPr="00D101F0">
              <w:t xml:space="preserve">Definitely </w:t>
            </w:r>
          </w:p>
        </w:tc>
        <w:tc>
          <w:tcPr>
            <w:tcW w:w="1366" w:type="dxa"/>
            <w:tcBorders>
              <w:top w:val="nil"/>
              <w:bottom w:val="nil"/>
            </w:tcBorders>
          </w:tcPr>
          <w:p w14:paraId="17D3D112" w14:textId="77777777" w:rsidR="00F143FD" w:rsidRPr="00D101F0" w:rsidRDefault="00F143FD" w:rsidP="004479A9">
            <w:pPr>
              <w:pStyle w:val="Tabletext"/>
            </w:pPr>
            <w:r w:rsidRPr="00D101F0">
              <w:t>28 (1.9)</w:t>
            </w:r>
          </w:p>
        </w:tc>
      </w:tr>
      <w:tr w:rsidR="00F143FD" w:rsidRPr="00D101F0" w14:paraId="5C6EE2CE" w14:textId="77777777" w:rsidTr="004479A9">
        <w:trPr>
          <w:jc w:val="center"/>
        </w:trPr>
        <w:tc>
          <w:tcPr>
            <w:tcW w:w="6091" w:type="dxa"/>
            <w:vMerge/>
            <w:tcBorders>
              <w:bottom w:val="single" w:sz="4" w:space="0" w:color="auto"/>
            </w:tcBorders>
            <w:vAlign w:val="center"/>
          </w:tcPr>
          <w:p w14:paraId="417EEE6E" w14:textId="77777777" w:rsidR="00F143FD" w:rsidRPr="00D101F0" w:rsidRDefault="00F143FD" w:rsidP="004479A9">
            <w:pPr>
              <w:pStyle w:val="Tabletext"/>
            </w:pPr>
          </w:p>
        </w:tc>
        <w:tc>
          <w:tcPr>
            <w:tcW w:w="1559" w:type="dxa"/>
            <w:tcBorders>
              <w:top w:val="nil"/>
              <w:bottom w:val="single" w:sz="4" w:space="0" w:color="auto"/>
            </w:tcBorders>
          </w:tcPr>
          <w:p w14:paraId="3D8DD8D7" w14:textId="77777777" w:rsidR="00F143FD" w:rsidRPr="00D101F0" w:rsidRDefault="00F143FD" w:rsidP="004479A9">
            <w:pPr>
              <w:pStyle w:val="Tabletext"/>
            </w:pPr>
            <w:r w:rsidRPr="00D101F0">
              <w:t>Don’t know</w:t>
            </w:r>
          </w:p>
        </w:tc>
        <w:tc>
          <w:tcPr>
            <w:tcW w:w="1366" w:type="dxa"/>
            <w:tcBorders>
              <w:top w:val="nil"/>
              <w:bottom w:val="single" w:sz="4" w:space="0" w:color="auto"/>
            </w:tcBorders>
          </w:tcPr>
          <w:p w14:paraId="05C472A5" w14:textId="77777777" w:rsidR="00F143FD" w:rsidRPr="00D101F0" w:rsidRDefault="00F143FD" w:rsidP="004479A9">
            <w:pPr>
              <w:pStyle w:val="Tabletext"/>
            </w:pPr>
            <w:r w:rsidRPr="00D101F0">
              <w:t>178 (11.9)</w:t>
            </w:r>
          </w:p>
        </w:tc>
      </w:tr>
      <w:tr w:rsidR="00F143FD" w:rsidRPr="00D101F0" w14:paraId="49DE1A24" w14:textId="77777777" w:rsidTr="004479A9">
        <w:trPr>
          <w:jc w:val="center"/>
        </w:trPr>
        <w:tc>
          <w:tcPr>
            <w:tcW w:w="6091" w:type="dxa"/>
            <w:vMerge w:val="restart"/>
            <w:tcBorders>
              <w:top w:val="nil"/>
            </w:tcBorders>
            <w:vAlign w:val="center"/>
          </w:tcPr>
          <w:p w14:paraId="24FFE1E3" w14:textId="77777777" w:rsidR="00F143FD" w:rsidRPr="00D101F0" w:rsidRDefault="00F143FD" w:rsidP="004479A9">
            <w:pPr>
              <w:pStyle w:val="Tabletext"/>
            </w:pPr>
            <w:r w:rsidRPr="00D101F0">
              <w:t>Do you personally know anyone (excluding yourself) who has had coronavirus?</w:t>
            </w:r>
          </w:p>
        </w:tc>
        <w:tc>
          <w:tcPr>
            <w:tcW w:w="1559" w:type="dxa"/>
            <w:tcBorders>
              <w:top w:val="nil"/>
              <w:bottom w:val="nil"/>
            </w:tcBorders>
          </w:tcPr>
          <w:p w14:paraId="07898E45" w14:textId="77777777" w:rsidR="00F143FD" w:rsidRPr="00D101F0" w:rsidRDefault="00F143FD" w:rsidP="004479A9">
            <w:pPr>
              <w:pStyle w:val="Tabletext"/>
            </w:pPr>
            <w:r w:rsidRPr="00D101F0">
              <w:t>Yes</w:t>
            </w:r>
          </w:p>
        </w:tc>
        <w:tc>
          <w:tcPr>
            <w:tcW w:w="1366" w:type="dxa"/>
            <w:tcBorders>
              <w:top w:val="nil"/>
              <w:bottom w:val="nil"/>
            </w:tcBorders>
          </w:tcPr>
          <w:p w14:paraId="4323A783" w14:textId="77777777" w:rsidR="00F143FD" w:rsidRPr="00D101F0" w:rsidRDefault="00F143FD" w:rsidP="004479A9">
            <w:pPr>
              <w:pStyle w:val="Tabletext"/>
            </w:pPr>
            <w:r w:rsidRPr="00D101F0">
              <w:t>677 (45.2)</w:t>
            </w:r>
          </w:p>
        </w:tc>
      </w:tr>
      <w:tr w:rsidR="00F143FD" w:rsidRPr="00D101F0" w14:paraId="65DDF7FC" w14:textId="77777777" w:rsidTr="004479A9">
        <w:trPr>
          <w:jc w:val="center"/>
        </w:trPr>
        <w:tc>
          <w:tcPr>
            <w:tcW w:w="6091" w:type="dxa"/>
            <w:vMerge/>
            <w:vAlign w:val="center"/>
          </w:tcPr>
          <w:p w14:paraId="689DB0D7" w14:textId="77777777" w:rsidR="00F143FD" w:rsidRPr="00D101F0" w:rsidRDefault="00F143FD" w:rsidP="004479A9">
            <w:pPr>
              <w:pStyle w:val="Tabletext"/>
            </w:pPr>
          </w:p>
        </w:tc>
        <w:tc>
          <w:tcPr>
            <w:tcW w:w="1559" w:type="dxa"/>
            <w:tcBorders>
              <w:top w:val="nil"/>
              <w:bottom w:val="nil"/>
            </w:tcBorders>
          </w:tcPr>
          <w:p w14:paraId="0496192D" w14:textId="77777777" w:rsidR="00F143FD" w:rsidRPr="00D101F0" w:rsidRDefault="00F143FD" w:rsidP="004479A9">
            <w:pPr>
              <w:pStyle w:val="Tabletext"/>
            </w:pPr>
            <w:r w:rsidRPr="00D101F0">
              <w:t>Don’t know</w:t>
            </w:r>
          </w:p>
        </w:tc>
        <w:tc>
          <w:tcPr>
            <w:tcW w:w="1366" w:type="dxa"/>
            <w:tcBorders>
              <w:top w:val="nil"/>
              <w:bottom w:val="nil"/>
            </w:tcBorders>
          </w:tcPr>
          <w:p w14:paraId="0D508A80" w14:textId="77777777" w:rsidR="00F143FD" w:rsidRPr="00D101F0" w:rsidRDefault="00F143FD" w:rsidP="004479A9">
            <w:pPr>
              <w:pStyle w:val="Tabletext"/>
            </w:pPr>
            <w:r w:rsidRPr="00D101F0">
              <w:t>822 (54.8)</w:t>
            </w:r>
          </w:p>
        </w:tc>
      </w:tr>
      <w:tr w:rsidR="00F143FD" w:rsidRPr="00D101F0" w14:paraId="65E888C2" w14:textId="77777777" w:rsidTr="004479A9">
        <w:trPr>
          <w:jc w:val="center"/>
        </w:trPr>
        <w:tc>
          <w:tcPr>
            <w:tcW w:w="6091" w:type="dxa"/>
            <w:vMerge/>
            <w:tcBorders>
              <w:bottom w:val="single" w:sz="4" w:space="0" w:color="auto"/>
            </w:tcBorders>
            <w:vAlign w:val="center"/>
          </w:tcPr>
          <w:p w14:paraId="0F7F7430" w14:textId="77777777" w:rsidR="00F143FD" w:rsidRPr="00D101F0" w:rsidRDefault="00F143FD" w:rsidP="004479A9">
            <w:pPr>
              <w:pStyle w:val="Tabletext"/>
            </w:pPr>
          </w:p>
        </w:tc>
        <w:tc>
          <w:tcPr>
            <w:tcW w:w="1559" w:type="dxa"/>
            <w:tcBorders>
              <w:top w:val="nil"/>
              <w:bottom w:val="single" w:sz="4" w:space="0" w:color="auto"/>
            </w:tcBorders>
          </w:tcPr>
          <w:p w14:paraId="27990FA9" w14:textId="77777777" w:rsidR="00F143FD" w:rsidRPr="00D101F0" w:rsidRDefault="00F143FD" w:rsidP="004479A9">
            <w:pPr>
              <w:pStyle w:val="Tabletext"/>
            </w:pPr>
            <w:r w:rsidRPr="00D101F0">
              <w:t>Prefer not to say</w:t>
            </w:r>
          </w:p>
        </w:tc>
        <w:tc>
          <w:tcPr>
            <w:tcW w:w="1366" w:type="dxa"/>
            <w:tcBorders>
              <w:top w:val="nil"/>
              <w:bottom w:val="single" w:sz="4" w:space="0" w:color="auto"/>
            </w:tcBorders>
          </w:tcPr>
          <w:p w14:paraId="35FA7F0B" w14:textId="77777777" w:rsidR="00F143FD" w:rsidRPr="00D101F0" w:rsidRDefault="00F143FD" w:rsidP="004479A9">
            <w:pPr>
              <w:pStyle w:val="Tabletext"/>
            </w:pPr>
            <w:r w:rsidRPr="00D101F0">
              <w:t>1 (0.1)</w:t>
            </w:r>
          </w:p>
        </w:tc>
      </w:tr>
      <w:tr w:rsidR="00F143FD" w:rsidRPr="00D101F0" w14:paraId="3FE09500" w14:textId="77777777" w:rsidTr="004479A9">
        <w:trPr>
          <w:jc w:val="center"/>
        </w:trPr>
        <w:tc>
          <w:tcPr>
            <w:tcW w:w="6091" w:type="dxa"/>
            <w:vMerge w:val="restart"/>
            <w:tcBorders>
              <w:top w:val="nil"/>
            </w:tcBorders>
            <w:vAlign w:val="center"/>
          </w:tcPr>
          <w:p w14:paraId="24D36A6C" w14:textId="77777777" w:rsidR="00F143FD" w:rsidRPr="00D101F0" w:rsidRDefault="00F143FD" w:rsidP="004479A9">
            <w:pPr>
              <w:pStyle w:val="Tabletext"/>
            </w:pPr>
            <w:r w:rsidRPr="00D101F0">
              <w:t>As far as you know, would your employer want you to have the coronavirus vaccination?</w:t>
            </w:r>
          </w:p>
        </w:tc>
        <w:tc>
          <w:tcPr>
            <w:tcW w:w="1559" w:type="dxa"/>
            <w:tcBorders>
              <w:top w:val="nil"/>
              <w:bottom w:val="nil"/>
            </w:tcBorders>
          </w:tcPr>
          <w:p w14:paraId="5DA672F2" w14:textId="77777777" w:rsidR="00F143FD" w:rsidRPr="00D101F0" w:rsidRDefault="00F143FD" w:rsidP="004479A9">
            <w:pPr>
              <w:pStyle w:val="Tabletext"/>
            </w:pPr>
            <w:r w:rsidRPr="00D101F0">
              <w:t xml:space="preserve">Yes </w:t>
            </w:r>
          </w:p>
        </w:tc>
        <w:tc>
          <w:tcPr>
            <w:tcW w:w="1366" w:type="dxa"/>
            <w:tcBorders>
              <w:top w:val="nil"/>
              <w:bottom w:val="nil"/>
            </w:tcBorders>
          </w:tcPr>
          <w:p w14:paraId="55949337" w14:textId="77777777" w:rsidR="00F143FD" w:rsidRPr="00D101F0" w:rsidRDefault="00F143FD" w:rsidP="004479A9">
            <w:pPr>
              <w:pStyle w:val="Tabletext"/>
            </w:pPr>
            <w:r w:rsidRPr="00D101F0">
              <w:t>597 (61.2)</w:t>
            </w:r>
          </w:p>
        </w:tc>
      </w:tr>
      <w:tr w:rsidR="00F143FD" w:rsidRPr="00D101F0" w14:paraId="36DB5B5E" w14:textId="77777777" w:rsidTr="004479A9">
        <w:trPr>
          <w:jc w:val="center"/>
        </w:trPr>
        <w:tc>
          <w:tcPr>
            <w:tcW w:w="6091" w:type="dxa"/>
            <w:vMerge/>
            <w:vAlign w:val="center"/>
          </w:tcPr>
          <w:p w14:paraId="25C0E9AF" w14:textId="77777777" w:rsidR="00F143FD" w:rsidRPr="00D101F0" w:rsidRDefault="00F143FD" w:rsidP="004479A9">
            <w:pPr>
              <w:pStyle w:val="Tabletext"/>
            </w:pPr>
          </w:p>
        </w:tc>
        <w:tc>
          <w:tcPr>
            <w:tcW w:w="1559" w:type="dxa"/>
            <w:tcBorders>
              <w:top w:val="nil"/>
              <w:bottom w:val="nil"/>
            </w:tcBorders>
          </w:tcPr>
          <w:p w14:paraId="74D19964" w14:textId="77777777" w:rsidR="00F143FD" w:rsidRPr="00D101F0" w:rsidRDefault="00F143FD" w:rsidP="004479A9">
            <w:pPr>
              <w:pStyle w:val="Tabletext"/>
            </w:pPr>
            <w:r w:rsidRPr="00D101F0">
              <w:t>No</w:t>
            </w:r>
          </w:p>
        </w:tc>
        <w:tc>
          <w:tcPr>
            <w:tcW w:w="1366" w:type="dxa"/>
            <w:tcBorders>
              <w:top w:val="nil"/>
              <w:bottom w:val="nil"/>
            </w:tcBorders>
          </w:tcPr>
          <w:p w14:paraId="27F681B9" w14:textId="77777777" w:rsidR="00F143FD" w:rsidRPr="00D101F0" w:rsidRDefault="00F143FD" w:rsidP="004479A9">
            <w:pPr>
              <w:pStyle w:val="Tabletext"/>
            </w:pPr>
            <w:r w:rsidRPr="00D101F0">
              <w:t>18 (1.8)</w:t>
            </w:r>
          </w:p>
        </w:tc>
      </w:tr>
      <w:tr w:rsidR="00F143FD" w:rsidRPr="00D101F0" w14:paraId="35A76AA7" w14:textId="77777777" w:rsidTr="004479A9">
        <w:trPr>
          <w:jc w:val="center"/>
        </w:trPr>
        <w:tc>
          <w:tcPr>
            <w:tcW w:w="6091" w:type="dxa"/>
            <w:vMerge/>
            <w:vAlign w:val="center"/>
          </w:tcPr>
          <w:p w14:paraId="184CF1BA" w14:textId="77777777" w:rsidR="00F143FD" w:rsidRPr="00D101F0" w:rsidRDefault="00F143FD" w:rsidP="004479A9">
            <w:pPr>
              <w:pStyle w:val="Tabletext"/>
            </w:pPr>
          </w:p>
        </w:tc>
        <w:tc>
          <w:tcPr>
            <w:tcW w:w="1559" w:type="dxa"/>
            <w:tcBorders>
              <w:top w:val="nil"/>
              <w:bottom w:val="nil"/>
            </w:tcBorders>
          </w:tcPr>
          <w:p w14:paraId="5AE23879" w14:textId="77777777" w:rsidR="00F143FD" w:rsidRPr="00D101F0" w:rsidRDefault="00F143FD" w:rsidP="004479A9">
            <w:pPr>
              <w:pStyle w:val="Tabletext"/>
            </w:pPr>
            <w:r w:rsidRPr="00D101F0">
              <w:t>Don</w:t>
            </w:r>
            <w:r>
              <w:t>’</w:t>
            </w:r>
            <w:r w:rsidRPr="00D101F0">
              <w:t>t know</w:t>
            </w:r>
          </w:p>
        </w:tc>
        <w:tc>
          <w:tcPr>
            <w:tcW w:w="1366" w:type="dxa"/>
            <w:tcBorders>
              <w:top w:val="nil"/>
              <w:bottom w:val="nil"/>
            </w:tcBorders>
          </w:tcPr>
          <w:p w14:paraId="339D53DF" w14:textId="77777777" w:rsidR="00F143FD" w:rsidRPr="00D101F0" w:rsidRDefault="00F143FD" w:rsidP="004479A9">
            <w:pPr>
              <w:pStyle w:val="Tabletext"/>
            </w:pPr>
            <w:r w:rsidRPr="00D101F0">
              <w:t>361 (37.0</w:t>
            </w:r>
          </w:p>
        </w:tc>
      </w:tr>
      <w:tr w:rsidR="00F143FD" w:rsidRPr="00D101F0" w14:paraId="389D7BA4" w14:textId="77777777" w:rsidTr="004479A9">
        <w:trPr>
          <w:jc w:val="center"/>
        </w:trPr>
        <w:tc>
          <w:tcPr>
            <w:tcW w:w="6091" w:type="dxa"/>
            <w:vMerge/>
            <w:tcBorders>
              <w:bottom w:val="single" w:sz="4" w:space="0" w:color="auto"/>
            </w:tcBorders>
            <w:vAlign w:val="center"/>
          </w:tcPr>
          <w:p w14:paraId="72B35DEF" w14:textId="77777777" w:rsidR="00F143FD" w:rsidRPr="00D101F0" w:rsidRDefault="00F143FD" w:rsidP="004479A9">
            <w:pPr>
              <w:pStyle w:val="Tabletext"/>
            </w:pPr>
          </w:p>
        </w:tc>
        <w:tc>
          <w:tcPr>
            <w:tcW w:w="1559" w:type="dxa"/>
            <w:tcBorders>
              <w:top w:val="nil"/>
              <w:bottom w:val="single" w:sz="4" w:space="0" w:color="auto"/>
            </w:tcBorders>
          </w:tcPr>
          <w:p w14:paraId="66278EC9" w14:textId="77777777" w:rsidR="00F143FD" w:rsidRPr="00D101F0" w:rsidRDefault="00F143FD" w:rsidP="004479A9">
            <w:pPr>
              <w:pStyle w:val="Tabletext"/>
            </w:pPr>
            <w:r w:rsidRPr="00D101F0">
              <w:t>Not applicable</w:t>
            </w:r>
          </w:p>
        </w:tc>
        <w:tc>
          <w:tcPr>
            <w:tcW w:w="1366" w:type="dxa"/>
            <w:tcBorders>
              <w:top w:val="nil"/>
              <w:bottom w:val="single" w:sz="4" w:space="0" w:color="auto"/>
            </w:tcBorders>
          </w:tcPr>
          <w:p w14:paraId="169DA3B1" w14:textId="77777777" w:rsidR="00F143FD" w:rsidRPr="00D101F0" w:rsidRDefault="00F143FD" w:rsidP="004479A9">
            <w:pPr>
              <w:pStyle w:val="Tabletext"/>
            </w:pPr>
            <w:r w:rsidRPr="00D101F0">
              <w:t>524</w:t>
            </w:r>
          </w:p>
        </w:tc>
      </w:tr>
      <w:tr w:rsidR="00F143FD" w:rsidRPr="00D101F0" w14:paraId="16B76EAC" w14:textId="77777777" w:rsidTr="004479A9">
        <w:trPr>
          <w:jc w:val="center"/>
        </w:trPr>
        <w:tc>
          <w:tcPr>
            <w:tcW w:w="6091" w:type="dxa"/>
            <w:vMerge w:val="restart"/>
            <w:tcBorders>
              <w:top w:val="single" w:sz="4" w:space="0" w:color="auto"/>
            </w:tcBorders>
            <w:vAlign w:val="center"/>
          </w:tcPr>
          <w:p w14:paraId="0C9D2137" w14:textId="77777777" w:rsidR="00F143FD" w:rsidRPr="00D101F0" w:rsidRDefault="00F143FD" w:rsidP="004479A9">
            <w:pPr>
              <w:pStyle w:val="Tabletext"/>
            </w:pPr>
            <w:r w:rsidRPr="00D101F0">
              <w:t>As far as you know, is there currently a widely available vaccination to protect against coronavirus?</w:t>
            </w:r>
          </w:p>
        </w:tc>
        <w:tc>
          <w:tcPr>
            <w:tcW w:w="1559" w:type="dxa"/>
            <w:tcBorders>
              <w:top w:val="single" w:sz="4" w:space="0" w:color="auto"/>
              <w:bottom w:val="nil"/>
            </w:tcBorders>
          </w:tcPr>
          <w:p w14:paraId="030FFE45" w14:textId="77777777" w:rsidR="00F143FD" w:rsidRPr="00D101F0" w:rsidRDefault="00F143FD" w:rsidP="004479A9">
            <w:pPr>
              <w:pStyle w:val="Tabletext"/>
            </w:pPr>
            <w:r w:rsidRPr="00D101F0">
              <w:t xml:space="preserve">Yes </w:t>
            </w:r>
          </w:p>
        </w:tc>
        <w:tc>
          <w:tcPr>
            <w:tcW w:w="1366" w:type="dxa"/>
            <w:tcBorders>
              <w:top w:val="single" w:sz="4" w:space="0" w:color="auto"/>
              <w:bottom w:val="nil"/>
            </w:tcBorders>
          </w:tcPr>
          <w:p w14:paraId="179A54E4" w14:textId="77777777" w:rsidR="00F143FD" w:rsidRPr="00D101F0" w:rsidRDefault="00F143FD" w:rsidP="004479A9">
            <w:pPr>
              <w:pStyle w:val="Tabletext"/>
            </w:pPr>
            <w:r w:rsidRPr="00D101F0">
              <w:t>53 (3.5)</w:t>
            </w:r>
          </w:p>
        </w:tc>
      </w:tr>
      <w:tr w:rsidR="00F143FD" w:rsidRPr="00D101F0" w14:paraId="6F87F082" w14:textId="77777777" w:rsidTr="004479A9">
        <w:trPr>
          <w:jc w:val="center"/>
        </w:trPr>
        <w:tc>
          <w:tcPr>
            <w:tcW w:w="6091" w:type="dxa"/>
            <w:vMerge/>
          </w:tcPr>
          <w:p w14:paraId="161D7DAD" w14:textId="77777777" w:rsidR="00F143FD" w:rsidRPr="00D101F0" w:rsidRDefault="00F143FD" w:rsidP="004479A9">
            <w:pPr>
              <w:pStyle w:val="Tabletext"/>
            </w:pPr>
          </w:p>
        </w:tc>
        <w:tc>
          <w:tcPr>
            <w:tcW w:w="1559" w:type="dxa"/>
            <w:tcBorders>
              <w:top w:val="nil"/>
              <w:bottom w:val="nil"/>
            </w:tcBorders>
          </w:tcPr>
          <w:p w14:paraId="046B0A60" w14:textId="77777777" w:rsidR="00F143FD" w:rsidRPr="00D101F0" w:rsidRDefault="00F143FD" w:rsidP="004479A9">
            <w:pPr>
              <w:pStyle w:val="Tabletext"/>
            </w:pPr>
            <w:r w:rsidRPr="00D101F0">
              <w:t>No</w:t>
            </w:r>
          </w:p>
        </w:tc>
        <w:tc>
          <w:tcPr>
            <w:tcW w:w="1366" w:type="dxa"/>
            <w:tcBorders>
              <w:top w:val="nil"/>
              <w:bottom w:val="nil"/>
            </w:tcBorders>
          </w:tcPr>
          <w:p w14:paraId="1979C504" w14:textId="77777777" w:rsidR="00F143FD" w:rsidRPr="00D101F0" w:rsidRDefault="00F143FD" w:rsidP="004479A9">
            <w:pPr>
              <w:pStyle w:val="Tabletext"/>
            </w:pPr>
            <w:r w:rsidRPr="00D101F0">
              <w:t>1360 (90.7)</w:t>
            </w:r>
          </w:p>
        </w:tc>
      </w:tr>
      <w:tr w:rsidR="00F143FD" w:rsidRPr="00D101F0" w14:paraId="25A8B74C" w14:textId="77777777" w:rsidTr="004479A9">
        <w:trPr>
          <w:jc w:val="center"/>
        </w:trPr>
        <w:tc>
          <w:tcPr>
            <w:tcW w:w="6091" w:type="dxa"/>
            <w:vMerge/>
          </w:tcPr>
          <w:p w14:paraId="4D22A50F" w14:textId="77777777" w:rsidR="00F143FD" w:rsidRPr="00D101F0" w:rsidRDefault="00F143FD" w:rsidP="004479A9">
            <w:pPr>
              <w:pStyle w:val="Tabletext"/>
            </w:pPr>
          </w:p>
        </w:tc>
        <w:tc>
          <w:tcPr>
            <w:tcW w:w="1559" w:type="dxa"/>
            <w:tcBorders>
              <w:top w:val="nil"/>
              <w:bottom w:val="nil"/>
            </w:tcBorders>
          </w:tcPr>
          <w:p w14:paraId="452317C6" w14:textId="77777777" w:rsidR="00F143FD" w:rsidRPr="00D101F0" w:rsidRDefault="00F143FD" w:rsidP="004479A9">
            <w:pPr>
              <w:pStyle w:val="Tabletext"/>
            </w:pPr>
            <w:r w:rsidRPr="00D101F0">
              <w:t>Don’t know</w:t>
            </w:r>
          </w:p>
        </w:tc>
        <w:tc>
          <w:tcPr>
            <w:tcW w:w="1366" w:type="dxa"/>
            <w:tcBorders>
              <w:top w:val="nil"/>
              <w:bottom w:val="nil"/>
            </w:tcBorders>
          </w:tcPr>
          <w:p w14:paraId="6E53F346" w14:textId="77777777" w:rsidR="00F143FD" w:rsidRPr="00D101F0" w:rsidRDefault="00F143FD" w:rsidP="004479A9">
            <w:pPr>
              <w:pStyle w:val="Tabletext"/>
            </w:pPr>
            <w:r w:rsidRPr="00D101F0">
              <w:t>82 (5.5)</w:t>
            </w:r>
          </w:p>
        </w:tc>
      </w:tr>
      <w:tr w:rsidR="00F143FD" w:rsidRPr="00D101F0" w14:paraId="42F0957A" w14:textId="77777777" w:rsidTr="004479A9">
        <w:trPr>
          <w:jc w:val="center"/>
        </w:trPr>
        <w:tc>
          <w:tcPr>
            <w:tcW w:w="6091" w:type="dxa"/>
            <w:vMerge/>
            <w:tcBorders>
              <w:bottom w:val="single" w:sz="12" w:space="0" w:color="auto"/>
            </w:tcBorders>
          </w:tcPr>
          <w:p w14:paraId="548CA39E" w14:textId="77777777" w:rsidR="00F143FD" w:rsidRPr="00D101F0" w:rsidRDefault="00F143FD" w:rsidP="004479A9">
            <w:pPr>
              <w:pStyle w:val="Tabletext"/>
            </w:pPr>
          </w:p>
        </w:tc>
        <w:tc>
          <w:tcPr>
            <w:tcW w:w="1559" w:type="dxa"/>
            <w:tcBorders>
              <w:top w:val="nil"/>
              <w:bottom w:val="single" w:sz="12" w:space="0" w:color="auto"/>
            </w:tcBorders>
          </w:tcPr>
          <w:p w14:paraId="326DC967" w14:textId="77777777" w:rsidR="00F143FD" w:rsidRPr="00D101F0" w:rsidRDefault="00F143FD" w:rsidP="004479A9">
            <w:pPr>
              <w:pStyle w:val="Tabletext"/>
            </w:pPr>
            <w:r w:rsidRPr="00D101F0">
              <w:t>Prefer not to say</w:t>
            </w:r>
          </w:p>
        </w:tc>
        <w:tc>
          <w:tcPr>
            <w:tcW w:w="1366" w:type="dxa"/>
            <w:tcBorders>
              <w:top w:val="nil"/>
              <w:bottom w:val="single" w:sz="12" w:space="0" w:color="auto"/>
            </w:tcBorders>
          </w:tcPr>
          <w:p w14:paraId="38D44890" w14:textId="77777777" w:rsidR="00F143FD" w:rsidRPr="00D101F0" w:rsidRDefault="00F143FD" w:rsidP="004479A9">
            <w:pPr>
              <w:pStyle w:val="Tabletext"/>
            </w:pPr>
            <w:r w:rsidRPr="00D101F0">
              <w:t>5 (0.3)</w:t>
            </w:r>
          </w:p>
        </w:tc>
      </w:tr>
    </w:tbl>
    <w:p w14:paraId="22A34901" w14:textId="77777777" w:rsidR="00F143FD" w:rsidRDefault="00F143FD" w:rsidP="00F143FD"/>
    <w:p w14:paraId="6D34837A" w14:textId="77777777" w:rsidR="00F143FD" w:rsidRDefault="00F143FD" w:rsidP="00F143FD">
      <w:pPr>
        <w:spacing w:after="160" w:line="259" w:lineRule="auto"/>
        <w:rPr>
          <w:b/>
          <w:bCs/>
        </w:rPr>
      </w:pPr>
      <w:r>
        <w:rPr>
          <w:b/>
          <w:bCs/>
        </w:rPr>
        <w:br w:type="page"/>
      </w:r>
    </w:p>
    <w:p w14:paraId="12A4D08A" w14:textId="77777777" w:rsidR="00F143FD" w:rsidRPr="00BD1758" w:rsidRDefault="00F143FD" w:rsidP="00F143FD">
      <w:r w:rsidRPr="00854660">
        <w:rPr>
          <w:b/>
          <w:bCs/>
        </w:rPr>
        <w:lastRenderedPageBreak/>
        <w:t xml:space="preserve">Table </w:t>
      </w:r>
      <w:r>
        <w:rPr>
          <w:b/>
          <w:bCs/>
        </w:rPr>
        <w:t>4</w:t>
      </w:r>
      <w:r w:rsidRPr="00854660">
        <w:rPr>
          <w:b/>
          <w:bCs/>
        </w:rPr>
        <w:t>.</w:t>
      </w:r>
      <w:r w:rsidRPr="00BD1758">
        <w:rPr>
          <w:b/>
          <w:bCs/>
        </w:rPr>
        <w:t xml:space="preserve"> </w:t>
      </w:r>
      <w:r>
        <w:t xml:space="preserve">Results of the full linear regression model analysing associations with vaccination intention (adjusted </w:t>
      </w:r>
      <w:r w:rsidRPr="00BD1758">
        <w:rPr>
          <w:i/>
          <w:iCs/>
        </w:rPr>
        <w:t>R</w:t>
      </w:r>
      <w:r w:rsidRPr="00BD1758">
        <w:rPr>
          <w:vertAlign w:val="superscript"/>
        </w:rPr>
        <w:t>2</w:t>
      </w:r>
      <w:r w:rsidRPr="00BD1758">
        <w:t xml:space="preserve"> = .7</w:t>
      </w:r>
      <w:r>
        <w:t xml:space="preserve">63). </w:t>
      </w:r>
      <w:bookmarkStart w:id="18" w:name="_Hlk46421429"/>
      <w:r>
        <w:t>P</w:t>
      </w:r>
      <w:r w:rsidRPr="00BD1758">
        <w:t>arameter estimates relate to the full model containing all predictors. The unstandardized regression coefficients represent the change in likelihood of vaccination for a one-unit increase in the predictor variable (or, for dummy variables, a shift from the reference category to the category concerned). The figures under ‘% variance explained’ represent the percentage of variance in the outcome variable uniquely explained by the item (or set of dummy variables) concerned.</w:t>
      </w:r>
      <w:bookmarkEnd w:id="18"/>
      <w:r>
        <w:t xml:space="preserve"> The </w:t>
      </w:r>
      <w:r w:rsidRPr="00BD1758">
        <w:t>model</w:t>
      </w:r>
      <w:r>
        <w:t xml:space="preserve"> was</w:t>
      </w:r>
      <w:r w:rsidRPr="00BD1758">
        <w:t xml:space="preserve"> based on 14</w:t>
      </w:r>
      <w:r>
        <w:t>37</w:t>
      </w:r>
      <w:r w:rsidRPr="00BD1758">
        <w:t xml:space="preserve"> cases with complete data. </w:t>
      </w:r>
    </w:p>
    <w:tbl>
      <w:tblPr>
        <w:tblStyle w:val="TableGrid"/>
        <w:tblW w:w="0" w:type="auto"/>
        <w:tblLook w:val="04A0" w:firstRow="1" w:lastRow="0" w:firstColumn="1" w:lastColumn="0" w:noHBand="0" w:noVBand="1"/>
      </w:tblPr>
      <w:tblGrid>
        <w:gridCol w:w="2352"/>
        <w:gridCol w:w="1165"/>
        <w:gridCol w:w="1207"/>
        <w:gridCol w:w="1230"/>
        <w:gridCol w:w="158"/>
        <w:gridCol w:w="1141"/>
        <w:gridCol w:w="815"/>
        <w:gridCol w:w="958"/>
      </w:tblGrid>
      <w:tr w:rsidR="00F143FD" w:rsidRPr="00BD1758" w14:paraId="7D07646C" w14:textId="77777777" w:rsidTr="004479A9">
        <w:tc>
          <w:tcPr>
            <w:tcW w:w="2352" w:type="dxa"/>
            <w:tcBorders>
              <w:top w:val="single" w:sz="12" w:space="0" w:color="auto"/>
              <w:left w:val="nil"/>
              <w:bottom w:val="single" w:sz="12" w:space="0" w:color="auto"/>
              <w:right w:val="nil"/>
            </w:tcBorders>
            <w:vAlign w:val="bottom"/>
          </w:tcPr>
          <w:p w14:paraId="57E1034A" w14:textId="77777777" w:rsidR="00F143FD" w:rsidRPr="00BD1758" w:rsidRDefault="00F143FD" w:rsidP="004479A9">
            <w:pPr>
              <w:pStyle w:val="Tabletext"/>
            </w:pPr>
            <w:r w:rsidRPr="00BD1758">
              <w:t>Predictor variable</w:t>
            </w:r>
          </w:p>
        </w:tc>
        <w:tc>
          <w:tcPr>
            <w:tcW w:w="1165" w:type="dxa"/>
            <w:tcBorders>
              <w:top w:val="single" w:sz="12" w:space="0" w:color="auto"/>
              <w:left w:val="nil"/>
              <w:bottom w:val="single" w:sz="12" w:space="0" w:color="auto"/>
              <w:right w:val="nil"/>
            </w:tcBorders>
            <w:vAlign w:val="bottom"/>
          </w:tcPr>
          <w:p w14:paraId="6E4820D2" w14:textId="77777777" w:rsidR="00F143FD" w:rsidRPr="00BD1758" w:rsidRDefault="00F143FD" w:rsidP="004479A9">
            <w:pPr>
              <w:pStyle w:val="Tabletext"/>
            </w:pPr>
            <w:r>
              <w:t>Level</w:t>
            </w:r>
          </w:p>
        </w:tc>
        <w:tc>
          <w:tcPr>
            <w:tcW w:w="1207" w:type="dxa"/>
            <w:tcBorders>
              <w:top w:val="single" w:sz="12" w:space="0" w:color="auto"/>
              <w:left w:val="nil"/>
              <w:bottom w:val="single" w:sz="12" w:space="0" w:color="auto"/>
              <w:right w:val="nil"/>
            </w:tcBorders>
            <w:vAlign w:val="bottom"/>
          </w:tcPr>
          <w:p w14:paraId="60200A8E" w14:textId="77777777" w:rsidR="00F143FD" w:rsidRPr="00BD1758" w:rsidRDefault="00F143FD" w:rsidP="004479A9">
            <w:pPr>
              <w:pStyle w:val="Tabletext"/>
            </w:pPr>
            <w:r w:rsidRPr="00BD1758">
              <w:t>Standardized coefficient</w:t>
            </w:r>
          </w:p>
        </w:tc>
        <w:tc>
          <w:tcPr>
            <w:tcW w:w="1388" w:type="dxa"/>
            <w:gridSpan w:val="2"/>
            <w:tcBorders>
              <w:top w:val="single" w:sz="12" w:space="0" w:color="auto"/>
              <w:left w:val="nil"/>
              <w:bottom w:val="single" w:sz="12" w:space="0" w:color="auto"/>
              <w:right w:val="nil"/>
            </w:tcBorders>
            <w:vAlign w:val="bottom"/>
          </w:tcPr>
          <w:p w14:paraId="4841C393" w14:textId="77777777" w:rsidR="00F143FD" w:rsidRPr="00BD1758" w:rsidRDefault="00F143FD" w:rsidP="004479A9">
            <w:pPr>
              <w:pStyle w:val="Tabletext"/>
            </w:pPr>
            <w:r w:rsidRPr="00BD1758">
              <w:t>Unstandardized coefficient</w:t>
            </w:r>
          </w:p>
        </w:tc>
        <w:tc>
          <w:tcPr>
            <w:tcW w:w="1141" w:type="dxa"/>
            <w:tcBorders>
              <w:top w:val="single" w:sz="12" w:space="0" w:color="auto"/>
              <w:left w:val="nil"/>
              <w:bottom w:val="single" w:sz="12" w:space="0" w:color="auto"/>
              <w:right w:val="nil"/>
            </w:tcBorders>
            <w:vAlign w:val="bottom"/>
          </w:tcPr>
          <w:p w14:paraId="1DF8BE03" w14:textId="77777777" w:rsidR="00F143FD" w:rsidRPr="00BD1758" w:rsidRDefault="00F143FD" w:rsidP="004479A9">
            <w:pPr>
              <w:pStyle w:val="Tabletext"/>
            </w:pPr>
            <w:r w:rsidRPr="00BD1758">
              <w:t>99% confidence interval</w:t>
            </w:r>
          </w:p>
        </w:tc>
        <w:tc>
          <w:tcPr>
            <w:tcW w:w="815" w:type="dxa"/>
            <w:tcBorders>
              <w:top w:val="single" w:sz="12" w:space="0" w:color="auto"/>
              <w:left w:val="nil"/>
              <w:bottom w:val="single" w:sz="12" w:space="0" w:color="auto"/>
              <w:right w:val="nil"/>
            </w:tcBorders>
            <w:vAlign w:val="bottom"/>
          </w:tcPr>
          <w:p w14:paraId="6A9E4A3C" w14:textId="77777777" w:rsidR="00F143FD" w:rsidRPr="00BD1758" w:rsidRDefault="00F143FD" w:rsidP="004479A9">
            <w:pPr>
              <w:pStyle w:val="Tabletext"/>
            </w:pPr>
            <w:r w:rsidRPr="00BD1758">
              <w:rPr>
                <w:i/>
                <w:iCs/>
              </w:rPr>
              <w:t>p</w:t>
            </w:r>
            <w:r w:rsidRPr="00BD1758">
              <w:t xml:space="preserve"> value</w:t>
            </w:r>
          </w:p>
        </w:tc>
        <w:tc>
          <w:tcPr>
            <w:tcW w:w="958" w:type="dxa"/>
            <w:tcBorders>
              <w:top w:val="single" w:sz="12" w:space="0" w:color="auto"/>
              <w:left w:val="nil"/>
              <w:bottom w:val="single" w:sz="12" w:space="0" w:color="auto"/>
              <w:right w:val="nil"/>
            </w:tcBorders>
            <w:vAlign w:val="bottom"/>
          </w:tcPr>
          <w:p w14:paraId="5592D522" w14:textId="77777777" w:rsidR="00F143FD" w:rsidRPr="00BD1758" w:rsidRDefault="00F143FD" w:rsidP="004479A9">
            <w:pPr>
              <w:pStyle w:val="Tabletext"/>
            </w:pPr>
            <w:r w:rsidRPr="00BD1758">
              <w:t>% variance explained</w:t>
            </w:r>
          </w:p>
        </w:tc>
      </w:tr>
      <w:tr w:rsidR="00F143FD" w:rsidRPr="00BD1758" w14:paraId="02D22E34" w14:textId="77777777" w:rsidTr="004479A9">
        <w:tc>
          <w:tcPr>
            <w:tcW w:w="9026" w:type="dxa"/>
            <w:gridSpan w:val="8"/>
            <w:tcBorders>
              <w:top w:val="single" w:sz="12" w:space="0" w:color="auto"/>
              <w:left w:val="nil"/>
              <w:right w:val="nil"/>
            </w:tcBorders>
          </w:tcPr>
          <w:p w14:paraId="1FA472BB" w14:textId="77777777" w:rsidR="00F143FD" w:rsidRPr="00BD1758" w:rsidRDefault="00F143FD" w:rsidP="004479A9">
            <w:pPr>
              <w:pStyle w:val="Tabletext"/>
            </w:pPr>
            <w:r>
              <w:t>Block</w:t>
            </w:r>
            <w:r w:rsidRPr="00BD1758">
              <w:t xml:space="preserve"> 1 – personal and clinical characteristics</w:t>
            </w:r>
          </w:p>
        </w:tc>
      </w:tr>
      <w:tr w:rsidR="00F143FD" w:rsidRPr="00BD1758" w14:paraId="0F7820B4" w14:textId="77777777" w:rsidTr="004479A9">
        <w:tc>
          <w:tcPr>
            <w:tcW w:w="2352" w:type="dxa"/>
            <w:tcBorders>
              <w:left w:val="nil"/>
              <w:right w:val="nil"/>
            </w:tcBorders>
          </w:tcPr>
          <w:p w14:paraId="54433231" w14:textId="77777777" w:rsidR="00F143FD" w:rsidRPr="00BD1758" w:rsidRDefault="00F143FD" w:rsidP="004479A9">
            <w:pPr>
              <w:pStyle w:val="Tabletext"/>
            </w:pPr>
            <w:r w:rsidRPr="00BD1758">
              <w:t>Age</w:t>
            </w:r>
          </w:p>
        </w:tc>
        <w:tc>
          <w:tcPr>
            <w:tcW w:w="1165" w:type="dxa"/>
            <w:tcBorders>
              <w:left w:val="nil"/>
              <w:right w:val="nil"/>
            </w:tcBorders>
          </w:tcPr>
          <w:p w14:paraId="30E96F93" w14:textId="77777777" w:rsidR="00F143FD" w:rsidRPr="00BD1758" w:rsidRDefault="00F143FD" w:rsidP="004479A9">
            <w:pPr>
              <w:pStyle w:val="Tabletext"/>
            </w:pPr>
            <w:r w:rsidRPr="00BD1758">
              <w:t>Years</w:t>
            </w:r>
          </w:p>
        </w:tc>
        <w:tc>
          <w:tcPr>
            <w:tcW w:w="1207" w:type="dxa"/>
            <w:tcBorders>
              <w:left w:val="nil"/>
              <w:right w:val="nil"/>
            </w:tcBorders>
          </w:tcPr>
          <w:p w14:paraId="066A28DB" w14:textId="77777777" w:rsidR="00F143FD" w:rsidRPr="00BD1758" w:rsidRDefault="00F143FD" w:rsidP="004479A9">
            <w:pPr>
              <w:pStyle w:val="Tabletext"/>
            </w:pPr>
            <w:r w:rsidRPr="00BD1758">
              <w:t>.04</w:t>
            </w:r>
            <w:r>
              <w:t>3</w:t>
            </w:r>
          </w:p>
        </w:tc>
        <w:tc>
          <w:tcPr>
            <w:tcW w:w="1388" w:type="dxa"/>
            <w:gridSpan w:val="2"/>
            <w:tcBorders>
              <w:left w:val="nil"/>
              <w:right w:val="nil"/>
            </w:tcBorders>
          </w:tcPr>
          <w:p w14:paraId="31AE13DB" w14:textId="77777777" w:rsidR="00F143FD" w:rsidRPr="00BD1758" w:rsidRDefault="00F143FD" w:rsidP="004479A9">
            <w:pPr>
              <w:pStyle w:val="Tabletext"/>
            </w:pPr>
            <w:r w:rsidRPr="00BD1758">
              <w:t>.00</w:t>
            </w:r>
            <w:r>
              <w:t>8</w:t>
            </w:r>
          </w:p>
        </w:tc>
        <w:tc>
          <w:tcPr>
            <w:tcW w:w="1141" w:type="dxa"/>
            <w:tcBorders>
              <w:left w:val="nil"/>
              <w:right w:val="nil"/>
            </w:tcBorders>
          </w:tcPr>
          <w:p w14:paraId="7E3C782B" w14:textId="77777777" w:rsidR="00F143FD" w:rsidRPr="00BD1758" w:rsidRDefault="00F143FD" w:rsidP="004479A9">
            <w:pPr>
              <w:pStyle w:val="Tabletext"/>
            </w:pPr>
            <w:r w:rsidRPr="00A13B85">
              <w:t>.000, .015</w:t>
            </w:r>
          </w:p>
        </w:tc>
        <w:tc>
          <w:tcPr>
            <w:tcW w:w="815" w:type="dxa"/>
            <w:tcBorders>
              <w:left w:val="nil"/>
              <w:right w:val="nil"/>
            </w:tcBorders>
          </w:tcPr>
          <w:p w14:paraId="70DB11FD" w14:textId="77777777" w:rsidR="00F143FD" w:rsidRPr="00BD1758" w:rsidRDefault="00F143FD" w:rsidP="004479A9">
            <w:pPr>
              <w:pStyle w:val="Tabletext"/>
            </w:pPr>
            <w:r w:rsidRPr="00BD1758">
              <w:t>.00</w:t>
            </w:r>
            <w:r>
              <w:t>6</w:t>
            </w:r>
            <w:r w:rsidRPr="00BD1758">
              <w:t>*</w:t>
            </w:r>
          </w:p>
        </w:tc>
        <w:tc>
          <w:tcPr>
            <w:tcW w:w="958" w:type="dxa"/>
            <w:tcBorders>
              <w:left w:val="nil"/>
              <w:right w:val="nil"/>
            </w:tcBorders>
          </w:tcPr>
          <w:p w14:paraId="1F4E073B" w14:textId="77777777" w:rsidR="00F143FD" w:rsidRPr="00A13B85" w:rsidRDefault="00F143FD" w:rsidP="004479A9">
            <w:pPr>
              <w:pStyle w:val="Tabletext"/>
            </w:pPr>
            <w:r w:rsidRPr="00A13B85">
              <w:t>0.12</w:t>
            </w:r>
          </w:p>
        </w:tc>
      </w:tr>
      <w:tr w:rsidR="00F143FD" w:rsidRPr="00BD1758" w14:paraId="044F66DA" w14:textId="77777777" w:rsidTr="004479A9">
        <w:tc>
          <w:tcPr>
            <w:tcW w:w="2352" w:type="dxa"/>
            <w:tcBorders>
              <w:left w:val="nil"/>
              <w:right w:val="nil"/>
            </w:tcBorders>
          </w:tcPr>
          <w:p w14:paraId="0E8B4AB2" w14:textId="77777777" w:rsidR="00F143FD" w:rsidRPr="00BD1758" w:rsidRDefault="00F143FD" w:rsidP="004479A9">
            <w:pPr>
              <w:pStyle w:val="Tabletext"/>
            </w:pPr>
            <w:r w:rsidRPr="00BD1758">
              <w:t>Sex (reference: female)</w:t>
            </w:r>
          </w:p>
        </w:tc>
        <w:tc>
          <w:tcPr>
            <w:tcW w:w="1165" w:type="dxa"/>
            <w:tcBorders>
              <w:left w:val="nil"/>
              <w:right w:val="nil"/>
            </w:tcBorders>
          </w:tcPr>
          <w:p w14:paraId="10BD5613" w14:textId="77777777" w:rsidR="00F143FD" w:rsidRPr="00BD1758" w:rsidRDefault="00F143FD" w:rsidP="004479A9">
            <w:pPr>
              <w:pStyle w:val="Tabletext"/>
            </w:pPr>
            <w:r w:rsidRPr="00BD1758">
              <w:t>Male</w:t>
            </w:r>
          </w:p>
        </w:tc>
        <w:tc>
          <w:tcPr>
            <w:tcW w:w="1207" w:type="dxa"/>
            <w:tcBorders>
              <w:left w:val="nil"/>
              <w:right w:val="nil"/>
            </w:tcBorders>
          </w:tcPr>
          <w:p w14:paraId="4A9BCE59" w14:textId="77777777" w:rsidR="00F143FD" w:rsidRPr="00BD1758" w:rsidRDefault="00F143FD" w:rsidP="004479A9">
            <w:pPr>
              <w:pStyle w:val="Tabletext"/>
            </w:pPr>
            <w:r w:rsidRPr="00BD1758">
              <w:t>–.01</w:t>
            </w:r>
            <w:r>
              <w:t>2</w:t>
            </w:r>
          </w:p>
        </w:tc>
        <w:tc>
          <w:tcPr>
            <w:tcW w:w="1388" w:type="dxa"/>
            <w:gridSpan w:val="2"/>
            <w:tcBorders>
              <w:left w:val="nil"/>
              <w:right w:val="nil"/>
            </w:tcBorders>
          </w:tcPr>
          <w:p w14:paraId="5648160E" w14:textId="77777777" w:rsidR="00F143FD" w:rsidRPr="00BD1758" w:rsidRDefault="00F143FD" w:rsidP="004479A9">
            <w:pPr>
              <w:pStyle w:val="Tabletext"/>
            </w:pPr>
            <w:r w:rsidRPr="00BD1758">
              <w:t>–.07</w:t>
            </w:r>
            <w:r>
              <w:t>2</w:t>
            </w:r>
          </w:p>
        </w:tc>
        <w:tc>
          <w:tcPr>
            <w:tcW w:w="1141" w:type="dxa"/>
            <w:tcBorders>
              <w:left w:val="nil"/>
              <w:right w:val="nil"/>
            </w:tcBorders>
          </w:tcPr>
          <w:p w14:paraId="2682FC3E" w14:textId="77777777" w:rsidR="00F143FD" w:rsidRPr="00BD1758" w:rsidRDefault="00F143FD" w:rsidP="004479A9">
            <w:pPr>
              <w:pStyle w:val="Tabletext"/>
            </w:pPr>
            <w:r w:rsidRPr="00BD1758">
              <w:t>–.27</w:t>
            </w:r>
            <w:r>
              <w:t>7</w:t>
            </w:r>
            <w:r w:rsidRPr="00BD1758">
              <w:t>, .1</w:t>
            </w:r>
            <w:r>
              <w:t>33</w:t>
            </w:r>
          </w:p>
        </w:tc>
        <w:tc>
          <w:tcPr>
            <w:tcW w:w="815" w:type="dxa"/>
            <w:tcBorders>
              <w:left w:val="nil"/>
              <w:right w:val="nil"/>
            </w:tcBorders>
          </w:tcPr>
          <w:p w14:paraId="0A13923F" w14:textId="77777777" w:rsidR="00F143FD" w:rsidRPr="00BD1758" w:rsidRDefault="00F143FD" w:rsidP="004479A9">
            <w:pPr>
              <w:pStyle w:val="Tabletext"/>
            </w:pPr>
            <w:r w:rsidRPr="00BD1758">
              <w:t>.3</w:t>
            </w:r>
            <w:r>
              <w:t>66</w:t>
            </w:r>
          </w:p>
        </w:tc>
        <w:tc>
          <w:tcPr>
            <w:tcW w:w="958" w:type="dxa"/>
            <w:tcBorders>
              <w:left w:val="nil"/>
              <w:right w:val="nil"/>
            </w:tcBorders>
          </w:tcPr>
          <w:p w14:paraId="2BDE2573" w14:textId="77777777" w:rsidR="00F143FD" w:rsidRPr="00BD1758" w:rsidRDefault="00F143FD" w:rsidP="004479A9">
            <w:pPr>
              <w:pStyle w:val="Tabletext"/>
            </w:pPr>
            <w:r w:rsidRPr="00A13B85">
              <w:t>0.01</w:t>
            </w:r>
          </w:p>
        </w:tc>
      </w:tr>
      <w:tr w:rsidR="00F143FD" w:rsidRPr="00BD1758" w14:paraId="1B1B666C" w14:textId="77777777" w:rsidTr="004479A9">
        <w:tc>
          <w:tcPr>
            <w:tcW w:w="2352" w:type="dxa"/>
            <w:tcBorders>
              <w:left w:val="nil"/>
              <w:right w:val="nil"/>
            </w:tcBorders>
          </w:tcPr>
          <w:p w14:paraId="752963E7" w14:textId="77777777" w:rsidR="00F143FD" w:rsidRPr="00BD1758" w:rsidRDefault="00F143FD" w:rsidP="004479A9">
            <w:pPr>
              <w:pStyle w:val="Tabletext"/>
            </w:pPr>
            <w:r w:rsidRPr="00BD1758">
              <w:t>Ethnicity (reference: black and minority ethnic)</w:t>
            </w:r>
          </w:p>
        </w:tc>
        <w:tc>
          <w:tcPr>
            <w:tcW w:w="1165" w:type="dxa"/>
            <w:tcBorders>
              <w:left w:val="nil"/>
              <w:bottom w:val="single" w:sz="4" w:space="0" w:color="auto"/>
              <w:right w:val="nil"/>
            </w:tcBorders>
          </w:tcPr>
          <w:p w14:paraId="4FEA8349" w14:textId="77777777" w:rsidR="00F143FD" w:rsidRPr="00BD1758" w:rsidRDefault="00F143FD" w:rsidP="004479A9">
            <w:pPr>
              <w:pStyle w:val="Tabletext"/>
            </w:pPr>
            <w:r w:rsidRPr="00BD1758">
              <w:t>White</w:t>
            </w:r>
          </w:p>
        </w:tc>
        <w:tc>
          <w:tcPr>
            <w:tcW w:w="1207" w:type="dxa"/>
            <w:tcBorders>
              <w:left w:val="nil"/>
              <w:bottom w:val="single" w:sz="4" w:space="0" w:color="auto"/>
              <w:right w:val="nil"/>
            </w:tcBorders>
          </w:tcPr>
          <w:p w14:paraId="72BB76C9" w14:textId="77777777" w:rsidR="00F143FD" w:rsidRPr="00BD1758" w:rsidRDefault="00F143FD" w:rsidP="004479A9">
            <w:pPr>
              <w:pStyle w:val="Tabletext"/>
            </w:pPr>
            <w:r w:rsidRPr="00BD1758">
              <w:t>–.0</w:t>
            </w:r>
            <w:r>
              <w:t>08</w:t>
            </w:r>
          </w:p>
        </w:tc>
        <w:tc>
          <w:tcPr>
            <w:tcW w:w="1388" w:type="dxa"/>
            <w:gridSpan w:val="2"/>
            <w:tcBorders>
              <w:left w:val="nil"/>
              <w:bottom w:val="single" w:sz="4" w:space="0" w:color="auto"/>
              <w:right w:val="nil"/>
            </w:tcBorders>
          </w:tcPr>
          <w:p w14:paraId="1CC8F31C" w14:textId="77777777" w:rsidR="00F143FD" w:rsidRPr="00BD1758" w:rsidRDefault="00F143FD" w:rsidP="004479A9">
            <w:pPr>
              <w:pStyle w:val="Tabletext"/>
            </w:pPr>
            <w:r w:rsidRPr="00BD1758">
              <w:t>–.0</w:t>
            </w:r>
            <w:r>
              <w:t>66</w:t>
            </w:r>
          </w:p>
        </w:tc>
        <w:tc>
          <w:tcPr>
            <w:tcW w:w="1141" w:type="dxa"/>
            <w:tcBorders>
              <w:left w:val="nil"/>
              <w:bottom w:val="single" w:sz="4" w:space="0" w:color="auto"/>
              <w:right w:val="nil"/>
            </w:tcBorders>
          </w:tcPr>
          <w:p w14:paraId="642336D6" w14:textId="77777777" w:rsidR="00F143FD" w:rsidRPr="00BD1758" w:rsidRDefault="00F143FD" w:rsidP="004479A9">
            <w:pPr>
              <w:pStyle w:val="Tabletext"/>
            </w:pPr>
            <w:r w:rsidRPr="00BD1758">
              <w:t>–.</w:t>
            </w:r>
            <w:r>
              <w:t>394</w:t>
            </w:r>
            <w:r w:rsidRPr="00BD1758">
              <w:t>, .</w:t>
            </w:r>
            <w:r>
              <w:t>261</w:t>
            </w:r>
          </w:p>
        </w:tc>
        <w:tc>
          <w:tcPr>
            <w:tcW w:w="815" w:type="dxa"/>
            <w:tcBorders>
              <w:left w:val="nil"/>
              <w:bottom w:val="single" w:sz="4" w:space="0" w:color="auto"/>
              <w:right w:val="nil"/>
            </w:tcBorders>
          </w:tcPr>
          <w:p w14:paraId="35FB9C64" w14:textId="77777777" w:rsidR="00F143FD" w:rsidRPr="00BD1758" w:rsidRDefault="00F143FD" w:rsidP="004479A9">
            <w:pPr>
              <w:pStyle w:val="Tabletext"/>
            </w:pPr>
            <w:r w:rsidRPr="00BD1758">
              <w:t>.</w:t>
            </w:r>
            <w:r>
              <w:t>602</w:t>
            </w:r>
          </w:p>
        </w:tc>
        <w:tc>
          <w:tcPr>
            <w:tcW w:w="958" w:type="dxa"/>
            <w:tcBorders>
              <w:left w:val="nil"/>
              <w:bottom w:val="single" w:sz="4" w:space="0" w:color="auto"/>
              <w:right w:val="nil"/>
            </w:tcBorders>
          </w:tcPr>
          <w:p w14:paraId="10AB6A58" w14:textId="77777777" w:rsidR="00F143FD" w:rsidRPr="00BD1758" w:rsidRDefault="00F143FD" w:rsidP="004479A9">
            <w:pPr>
              <w:pStyle w:val="Tabletext"/>
            </w:pPr>
            <w:r w:rsidRPr="005E7943">
              <w:t>0.01</w:t>
            </w:r>
          </w:p>
        </w:tc>
      </w:tr>
      <w:tr w:rsidR="00F143FD" w:rsidRPr="00BD1758" w14:paraId="67376C7D" w14:textId="77777777" w:rsidTr="004479A9">
        <w:tc>
          <w:tcPr>
            <w:tcW w:w="2352" w:type="dxa"/>
            <w:vMerge w:val="restart"/>
            <w:tcBorders>
              <w:left w:val="nil"/>
              <w:right w:val="nil"/>
            </w:tcBorders>
          </w:tcPr>
          <w:p w14:paraId="0534F669" w14:textId="77777777" w:rsidR="00F143FD" w:rsidRPr="00BD1758" w:rsidRDefault="00F143FD" w:rsidP="004479A9">
            <w:pPr>
              <w:pStyle w:val="Tabletext"/>
            </w:pPr>
            <w:r w:rsidRPr="00BD1758">
              <w:t>Religion (reference: none)</w:t>
            </w:r>
          </w:p>
        </w:tc>
        <w:tc>
          <w:tcPr>
            <w:tcW w:w="1165" w:type="dxa"/>
            <w:tcBorders>
              <w:left w:val="nil"/>
              <w:bottom w:val="nil"/>
              <w:right w:val="nil"/>
            </w:tcBorders>
          </w:tcPr>
          <w:p w14:paraId="5BDDBDF5" w14:textId="77777777" w:rsidR="00F143FD" w:rsidRPr="00BD1758" w:rsidRDefault="00F143FD" w:rsidP="004479A9">
            <w:pPr>
              <w:pStyle w:val="Tabletext"/>
            </w:pPr>
          </w:p>
        </w:tc>
        <w:tc>
          <w:tcPr>
            <w:tcW w:w="1207" w:type="dxa"/>
            <w:tcBorders>
              <w:left w:val="nil"/>
              <w:bottom w:val="nil"/>
              <w:right w:val="nil"/>
            </w:tcBorders>
          </w:tcPr>
          <w:p w14:paraId="64CD5976" w14:textId="77777777" w:rsidR="00F143FD" w:rsidRPr="00BD1758" w:rsidRDefault="00F143FD" w:rsidP="004479A9">
            <w:pPr>
              <w:pStyle w:val="Tabletext"/>
            </w:pPr>
          </w:p>
        </w:tc>
        <w:tc>
          <w:tcPr>
            <w:tcW w:w="1388" w:type="dxa"/>
            <w:gridSpan w:val="2"/>
            <w:tcBorders>
              <w:left w:val="nil"/>
              <w:bottom w:val="nil"/>
              <w:right w:val="nil"/>
            </w:tcBorders>
          </w:tcPr>
          <w:p w14:paraId="34EDEE91" w14:textId="77777777" w:rsidR="00F143FD" w:rsidRPr="00BD1758" w:rsidRDefault="00F143FD" w:rsidP="004479A9">
            <w:pPr>
              <w:pStyle w:val="Tabletext"/>
            </w:pPr>
          </w:p>
        </w:tc>
        <w:tc>
          <w:tcPr>
            <w:tcW w:w="1141" w:type="dxa"/>
            <w:tcBorders>
              <w:left w:val="nil"/>
              <w:bottom w:val="nil"/>
              <w:right w:val="nil"/>
            </w:tcBorders>
          </w:tcPr>
          <w:p w14:paraId="26E5FD54" w14:textId="77777777" w:rsidR="00F143FD" w:rsidRPr="00BD1758" w:rsidRDefault="00F143FD" w:rsidP="004479A9">
            <w:pPr>
              <w:pStyle w:val="Tabletext"/>
            </w:pPr>
          </w:p>
        </w:tc>
        <w:tc>
          <w:tcPr>
            <w:tcW w:w="815" w:type="dxa"/>
            <w:tcBorders>
              <w:left w:val="nil"/>
              <w:bottom w:val="nil"/>
              <w:right w:val="nil"/>
            </w:tcBorders>
          </w:tcPr>
          <w:p w14:paraId="60345262" w14:textId="77777777" w:rsidR="00F143FD" w:rsidRPr="00BD1758" w:rsidRDefault="00F143FD" w:rsidP="004479A9">
            <w:pPr>
              <w:pStyle w:val="Tabletext"/>
            </w:pPr>
            <w:r w:rsidRPr="00BD1758">
              <w:t>.</w:t>
            </w:r>
            <w:r>
              <w:t>580</w:t>
            </w:r>
          </w:p>
        </w:tc>
        <w:tc>
          <w:tcPr>
            <w:tcW w:w="958" w:type="dxa"/>
            <w:tcBorders>
              <w:left w:val="nil"/>
              <w:bottom w:val="nil"/>
              <w:right w:val="nil"/>
            </w:tcBorders>
          </w:tcPr>
          <w:p w14:paraId="524975C2" w14:textId="77777777" w:rsidR="00F143FD" w:rsidRPr="00BD1758" w:rsidRDefault="00F143FD" w:rsidP="004479A9">
            <w:pPr>
              <w:pStyle w:val="Tabletext"/>
            </w:pPr>
            <w:r w:rsidRPr="00BD1758">
              <w:t>0.0</w:t>
            </w:r>
            <w:r>
              <w:t>2</w:t>
            </w:r>
          </w:p>
        </w:tc>
      </w:tr>
      <w:tr w:rsidR="00F143FD" w:rsidRPr="00BD1758" w14:paraId="604DFC97" w14:textId="77777777" w:rsidTr="004479A9">
        <w:tc>
          <w:tcPr>
            <w:tcW w:w="2352" w:type="dxa"/>
            <w:vMerge/>
            <w:tcBorders>
              <w:left w:val="nil"/>
              <w:right w:val="nil"/>
            </w:tcBorders>
          </w:tcPr>
          <w:p w14:paraId="5449EF85" w14:textId="77777777" w:rsidR="00F143FD" w:rsidRPr="00BD1758" w:rsidRDefault="00F143FD" w:rsidP="004479A9">
            <w:pPr>
              <w:pStyle w:val="Tabletext"/>
            </w:pPr>
          </w:p>
        </w:tc>
        <w:tc>
          <w:tcPr>
            <w:tcW w:w="1165" w:type="dxa"/>
            <w:tcBorders>
              <w:top w:val="nil"/>
              <w:left w:val="nil"/>
              <w:bottom w:val="nil"/>
              <w:right w:val="nil"/>
            </w:tcBorders>
          </w:tcPr>
          <w:p w14:paraId="3376A1AD" w14:textId="77777777" w:rsidR="00F143FD" w:rsidRPr="00BD1758" w:rsidRDefault="00F143FD" w:rsidP="004479A9">
            <w:pPr>
              <w:pStyle w:val="Tabletext"/>
            </w:pPr>
            <w:r w:rsidRPr="00BD1758">
              <w:t>Christian</w:t>
            </w:r>
          </w:p>
        </w:tc>
        <w:tc>
          <w:tcPr>
            <w:tcW w:w="1207" w:type="dxa"/>
            <w:tcBorders>
              <w:top w:val="nil"/>
              <w:left w:val="nil"/>
              <w:bottom w:val="nil"/>
              <w:right w:val="nil"/>
            </w:tcBorders>
          </w:tcPr>
          <w:p w14:paraId="692533F3" w14:textId="77777777" w:rsidR="00F143FD" w:rsidRPr="00BD1758" w:rsidRDefault="00F143FD" w:rsidP="004479A9">
            <w:pPr>
              <w:pStyle w:val="Tabletext"/>
            </w:pPr>
            <w:r w:rsidRPr="00BD1758">
              <w:t>–.006</w:t>
            </w:r>
          </w:p>
        </w:tc>
        <w:tc>
          <w:tcPr>
            <w:tcW w:w="1388" w:type="dxa"/>
            <w:gridSpan w:val="2"/>
            <w:tcBorders>
              <w:top w:val="nil"/>
              <w:left w:val="nil"/>
              <w:bottom w:val="nil"/>
              <w:right w:val="nil"/>
            </w:tcBorders>
          </w:tcPr>
          <w:p w14:paraId="5346E3C4" w14:textId="77777777" w:rsidR="00F143FD" w:rsidRPr="00BD1758" w:rsidRDefault="00F143FD" w:rsidP="004479A9">
            <w:pPr>
              <w:pStyle w:val="Tabletext"/>
            </w:pPr>
            <w:r w:rsidRPr="00BD1758">
              <w:t>–.03</w:t>
            </w:r>
            <w:r>
              <w:t>3</w:t>
            </w:r>
          </w:p>
        </w:tc>
        <w:tc>
          <w:tcPr>
            <w:tcW w:w="1141" w:type="dxa"/>
            <w:tcBorders>
              <w:top w:val="nil"/>
              <w:left w:val="nil"/>
              <w:bottom w:val="nil"/>
              <w:right w:val="nil"/>
            </w:tcBorders>
          </w:tcPr>
          <w:p w14:paraId="619CC505" w14:textId="77777777" w:rsidR="00F143FD" w:rsidRPr="00BD1758" w:rsidRDefault="00F143FD" w:rsidP="004479A9">
            <w:pPr>
              <w:pStyle w:val="Tabletext"/>
            </w:pPr>
            <w:r w:rsidRPr="00BD1758">
              <w:t>–.24</w:t>
            </w:r>
            <w:r>
              <w:t>9</w:t>
            </w:r>
            <w:r w:rsidRPr="00BD1758">
              <w:t>, .1</w:t>
            </w:r>
            <w:r>
              <w:t>82</w:t>
            </w:r>
          </w:p>
        </w:tc>
        <w:tc>
          <w:tcPr>
            <w:tcW w:w="815" w:type="dxa"/>
            <w:tcBorders>
              <w:top w:val="nil"/>
              <w:left w:val="nil"/>
              <w:bottom w:val="nil"/>
              <w:right w:val="nil"/>
            </w:tcBorders>
          </w:tcPr>
          <w:p w14:paraId="563F4375" w14:textId="77777777" w:rsidR="00F143FD" w:rsidRPr="00BD1758" w:rsidRDefault="00F143FD" w:rsidP="004479A9">
            <w:pPr>
              <w:pStyle w:val="Tabletext"/>
            </w:pPr>
          </w:p>
        </w:tc>
        <w:tc>
          <w:tcPr>
            <w:tcW w:w="958" w:type="dxa"/>
            <w:tcBorders>
              <w:top w:val="nil"/>
              <w:left w:val="nil"/>
              <w:bottom w:val="nil"/>
              <w:right w:val="nil"/>
            </w:tcBorders>
          </w:tcPr>
          <w:p w14:paraId="540BB5E5" w14:textId="77777777" w:rsidR="00F143FD" w:rsidRPr="00BD1758" w:rsidRDefault="00F143FD" w:rsidP="004479A9">
            <w:pPr>
              <w:pStyle w:val="Tabletext"/>
            </w:pPr>
          </w:p>
        </w:tc>
      </w:tr>
      <w:tr w:rsidR="00F143FD" w:rsidRPr="00BD1758" w14:paraId="53CE2E25" w14:textId="77777777" w:rsidTr="004479A9">
        <w:tc>
          <w:tcPr>
            <w:tcW w:w="2352" w:type="dxa"/>
            <w:vMerge/>
            <w:tcBorders>
              <w:left w:val="nil"/>
              <w:right w:val="nil"/>
            </w:tcBorders>
          </w:tcPr>
          <w:p w14:paraId="2AE00400" w14:textId="77777777" w:rsidR="00F143FD" w:rsidRPr="00BD1758" w:rsidRDefault="00F143FD" w:rsidP="004479A9">
            <w:pPr>
              <w:pStyle w:val="Tabletext"/>
            </w:pPr>
          </w:p>
        </w:tc>
        <w:tc>
          <w:tcPr>
            <w:tcW w:w="1165" w:type="dxa"/>
            <w:tcBorders>
              <w:top w:val="nil"/>
              <w:left w:val="nil"/>
              <w:right w:val="nil"/>
            </w:tcBorders>
          </w:tcPr>
          <w:p w14:paraId="6F0630FD" w14:textId="77777777" w:rsidR="00F143FD" w:rsidRPr="00BD1758" w:rsidRDefault="00F143FD" w:rsidP="004479A9">
            <w:pPr>
              <w:pStyle w:val="Tabletext"/>
            </w:pPr>
            <w:r w:rsidRPr="00BD1758">
              <w:t>Other</w:t>
            </w:r>
          </w:p>
        </w:tc>
        <w:tc>
          <w:tcPr>
            <w:tcW w:w="1207" w:type="dxa"/>
            <w:tcBorders>
              <w:top w:val="nil"/>
              <w:left w:val="nil"/>
              <w:right w:val="nil"/>
            </w:tcBorders>
          </w:tcPr>
          <w:p w14:paraId="5B925491" w14:textId="77777777" w:rsidR="00F143FD" w:rsidRPr="00BD1758" w:rsidRDefault="00F143FD" w:rsidP="004479A9">
            <w:pPr>
              <w:pStyle w:val="Tabletext"/>
            </w:pPr>
            <w:r w:rsidRPr="00BD1758">
              <w:t>–.01</w:t>
            </w:r>
            <w:r>
              <w:t>6</w:t>
            </w:r>
          </w:p>
        </w:tc>
        <w:tc>
          <w:tcPr>
            <w:tcW w:w="1388" w:type="dxa"/>
            <w:gridSpan w:val="2"/>
            <w:tcBorders>
              <w:top w:val="nil"/>
              <w:left w:val="nil"/>
              <w:right w:val="nil"/>
            </w:tcBorders>
          </w:tcPr>
          <w:p w14:paraId="17C325DB" w14:textId="77777777" w:rsidR="00F143FD" w:rsidRPr="00BD1758" w:rsidRDefault="00F143FD" w:rsidP="004479A9">
            <w:pPr>
              <w:pStyle w:val="Tabletext"/>
            </w:pPr>
            <w:r w:rsidRPr="00BD1758">
              <w:t>–.</w:t>
            </w:r>
            <w:r>
              <w:t>172</w:t>
            </w:r>
          </w:p>
        </w:tc>
        <w:tc>
          <w:tcPr>
            <w:tcW w:w="1141" w:type="dxa"/>
            <w:tcBorders>
              <w:top w:val="nil"/>
              <w:left w:val="nil"/>
              <w:right w:val="nil"/>
            </w:tcBorders>
          </w:tcPr>
          <w:p w14:paraId="348FFA9B" w14:textId="77777777" w:rsidR="00F143FD" w:rsidRPr="00BD1758" w:rsidRDefault="00F143FD" w:rsidP="004479A9">
            <w:pPr>
              <w:pStyle w:val="Tabletext"/>
            </w:pPr>
            <w:r w:rsidRPr="00BD1758">
              <w:t>–.</w:t>
            </w:r>
            <w:r>
              <w:t>604</w:t>
            </w:r>
            <w:r w:rsidRPr="00BD1758">
              <w:t>, .</w:t>
            </w:r>
            <w:r>
              <w:t>259</w:t>
            </w:r>
          </w:p>
        </w:tc>
        <w:tc>
          <w:tcPr>
            <w:tcW w:w="815" w:type="dxa"/>
            <w:tcBorders>
              <w:top w:val="nil"/>
              <w:left w:val="nil"/>
              <w:right w:val="nil"/>
            </w:tcBorders>
          </w:tcPr>
          <w:p w14:paraId="128DE10E" w14:textId="77777777" w:rsidR="00F143FD" w:rsidRPr="00BD1758" w:rsidRDefault="00F143FD" w:rsidP="004479A9">
            <w:pPr>
              <w:pStyle w:val="Tabletext"/>
            </w:pPr>
          </w:p>
        </w:tc>
        <w:tc>
          <w:tcPr>
            <w:tcW w:w="958" w:type="dxa"/>
            <w:tcBorders>
              <w:top w:val="nil"/>
              <w:left w:val="nil"/>
              <w:right w:val="nil"/>
            </w:tcBorders>
          </w:tcPr>
          <w:p w14:paraId="67FF9A45" w14:textId="77777777" w:rsidR="00F143FD" w:rsidRPr="00BD1758" w:rsidRDefault="00F143FD" w:rsidP="004479A9">
            <w:pPr>
              <w:pStyle w:val="Tabletext"/>
            </w:pPr>
          </w:p>
        </w:tc>
      </w:tr>
      <w:tr w:rsidR="00F143FD" w:rsidRPr="00BD1758" w14:paraId="7403B64B" w14:textId="77777777" w:rsidTr="004479A9">
        <w:tc>
          <w:tcPr>
            <w:tcW w:w="2352" w:type="dxa"/>
            <w:tcBorders>
              <w:left w:val="nil"/>
              <w:right w:val="nil"/>
            </w:tcBorders>
          </w:tcPr>
          <w:p w14:paraId="27CD1C8E" w14:textId="77777777" w:rsidR="00F143FD" w:rsidRPr="00BD1758" w:rsidRDefault="00F143FD" w:rsidP="004479A9">
            <w:pPr>
              <w:pStyle w:val="Tabletext"/>
            </w:pPr>
            <w:r w:rsidRPr="00BD1758">
              <w:t>Qualifications (reference: other)</w:t>
            </w:r>
          </w:p>
        </w:tc>
        <w:tc>
          <w:tcPr>
            <w:tcW w:w="1165" w:type="dxa"/>
            <w:tcBorders>
              <w:left w:val="nil"/>
              <w:bottom w:val="single" w:sz="4" w:space="0" w:color="auto"/>
              <w:right w:val="nil"/>
            </w:tcBorders>
          </w:tcPr>
          <w:p w14:paraId="02CD48A2" w14:textId="77777777" w:rsidR="00F143FD" w:rsidRPr="00BD1758" w:rsidRDefault="00F143FD" w:rsidP="004479A9">
            <w:pPr>
              <w:pStyle w:val="Tabletext"/>
            </w:pPr>
            <w:r w:rsidRPr="00BD1758">
              <w:t xml:space="preserve">Degree </w:t>
            </w:r>
            <w:r>
              <w:t xml:space="preserve">equivalent </w:t>
            </w:r>
            <w:r w:rsidRPr="00BD1758">
              <w:t>or higher</w:t>
            </w:r>
          </w:p>
        </w:tc>
        <w:tc>
          <w:tcPr>
            <w:tcW w:w="1207" w:type="dxa"/>
            <w:tcBorders>
              <w:left w:val="nil"/>
              <w:bottom w:val="single" w:sz="4" w:space="0" w:color="auto"/>
              <w:right w:val="nil"/>
            </w:tcBorders>
          </w:tcPr>
          <w:p w14:paraId="1868288D" w14:textId="77777777" w:rsidR="00F143FD" w:rsidRPr="00BD1758" w:rsidRDefault="00F143FD" w:rsidP="004479A9">
            <w:pPr>
              <w:pStyle w:val="Tabletext"/>
            </w:pPr>
            <w:r w:rsidRPr="00BD1758">
              <w:t>–.004</w:t>
            </w:r>
          </w:p>
        </w:tc>
        <w:tc>
          <w:tcPr>
            <w:tcW w:w="1388" w:type="dxa"/>
            <w:gridSpan w:val="2"/>
            <w:tcBorders>
              <w:left w:val="nil"/>
              <w:bottom w:val="single" w:sz="4" w:space="0" w:color="auto"/>
              <w:right w:val="nil"/>
            </w:tcBorders>
          </w:tcPr>
          <w:p w14:paraId="6EE85774" w14:textId="77777777" w:rsidR="00F143FD" w:rsidRPr="00BD1758" w:rsidRDefault="00F143FD" w:rsidP="004479A9">
            <w:pPr>
              <w:pStyle w:val="Tabletext"/>
            </w:pPr>
            <w:r w:rsidRPr="00BD1758">
              <w:t>–.024</w:t>
            </w:r>
          </w:p>
        </w:tc>
        <w:tc>
          <w:tcPr>
            <w:tcW w:w="1141" w:type="dxa"/>
            <w:tcBorders>
              <w:left w:val="nil"/>
              <w:bottom w:val="single" w:sz="4" w:space="0" w:color="auto"/>
              <w:right w:val="nil"/>
            </w:tcBorders>
          </w:tcPr>
          <w:p w14:paraId="626FF0C1" w14:textId="77777777" w:rsidR="00F143FD" w:rsidRPr="00BD1758" w:rsidRDefault="00F143FD" w:rsidP="004479A9">
            <w:pPr>
              <w:pStyle w:val="Tabletext"/>
            </w:pPr>
            <w:r w:rsidRPr="00BD1758">
              <w:t>–.22</w:t>
            </w:r>
            <w:r>
              <w:t>7</w:t>
            </w:r>
            <w:r w:rsidRPr="00BD1758">
              <w:t>, .17</w:t>
            </w:r>
            <w:r>
              <w:t>9</w:t>
            </w:r>
          </w:p>
        </w:tc>
        <w:tc>
          <w:tcPr>
            <w:tcW w:w="815" w:type="dxa"/>
            <w:tcBorders>
              <w:left w:val="nil"/>
              <w:bottom w:val="single" w:sz="4" w:space="0" w:color="auto"/>
              <w:right w:val="nil"/>
            </w:tcBorders>
          </w:tcPr>
          <w:p w14:paraId="7B740070" w14:textId="77777777" w:rsidR="00F143FD" w:rsidRPr="00BD1758" w:rsidRDefault="00F143FD" w:rsidP="004479A9">
            <w:pPr>
              <w:pStyle w:val="Tabletext"/>
            </w:pPr>
            <w:r w:rsidRPr="00BD1758">
              <w:t>.7</w:t>
            </w:r>
            <w:r>
              <w:t>63</w:t>
            </w:r>
          </w:p>
        </w:tc>
        <w:tc>
          <w:tcPr>
            <w:tcW w:w="958" w:type="dxa"/>
            <w:tcBorders>
              <w:left w:val="nil"/>
              <w:bottom w:val="single" w:sz="4" w:space="0" w:color="auto"/>
              <w:right w:val="nil"/>
            </w:tcBorders>
          </w:tcPr>
          <w:p w14:paraId="2C41D135" w14:textId="77777777" w:rsidR="00F143FD" w:rsidRPr="00BD1758" w:rsidRDefault="00F143FD" w:rsidP="004479A9">
            <w:pPr>
              <w:pStyle w:val="Tabletext"/>
            </w:pPr>
            <w:r w:rsidRPr="005E7943">
              <w:t>&lt;0.01</w:t>
            </w:r>
          </w:p>
        </w:tc>
      </w:tr>
      <w:tr w:rsidR="00F143FD" w:rsidRPr="00BD1758" w14:paraId="1D84A08D" w14:textId="77777777" w:rsidTr="004479A9">
        <w:tc>
          <w:tcPr>
            <w:tcW w:w="2352" w:type="dxa"/>
            <w:vMerge w:val="restart"/>
            <w:tcBorders>
              <w:left w:val="nil"/>
              <w:right w:val="nil"/>
            </w:tcBorders>
          </w:tcPr>
          <w:p w14:paraId="4D75457E" w14:textId="77777777" w:rsidR="00F143FD" w:rsidRPr="00BD1758" w:rsidRDefault="00F143FD" w:rsidP="004479A9">
            <w:pPr>
              <w:pStyle w:val="Tabletext"/>
            </w:pPr>
            <w:r w:rsidRPr="00BD1758">
              <w:t>Employment status (reference: not working/other)</w:t>
            </w:r>
          </w:p>
        </w:tc>
        <w:tc>
          <w:tcPr>
            <w:tcW w:w="1165" w:type="dxa"/>
            <w:tcBorders>
              <w:left w:val="nil"/>
              <w:bottom w:val="nil"/>
              <w:right w:val="nil"/>
            </w:tcBorders>
          </w:tcPr>
          <w:p w14:paraId="26F7E27E" w14:textId="77777777" w:rsidR="00F143FD" w:rsidRPr="00BD1758" w:rsidRDefault="00F143FD" w:rsidP="004479A9">
            <w:pPr>
              <w:pStyle w:val="Tabletext"/>
            </w:pPr>
          </w:p>
        </w:tc>
        <w:tc>
          <w:tcPr>
            <w:tcW w:w="1207" w:type="dxa"/>
            <w:tcBorders>
              <w:left w:val="nil"/>
              <w:bottom w:val="nil"/>
              <w:right w:val="nil"/>
            </w:tcBorders>
          </w:tcPr>
          <w:p w14:paraId="0EB8CEF2" w14:textId="77777777" w:rsidR="00F143FD" w:rsidRPr="00BD1758" w:rsidRDefault="00F143FD" w:rsidP="004479A9">
            <w:pPr>
              <w:pStyle w:val="Tabletext"/>
            </w:pPr>
          </w:p>
        </w:tc>
        <w:tc>
          <w:tcPr>
            <w:tcW w:w="1388" w:type="dxa"/>
            <w:gridSpan w:val="2"/>
            <w:tcBorders>
              <w:left w:val="nil"/>
              <w:bottom w:val="nil"/>
              <w:right w:val="nil"/>
            </w:tcBorders>
          </w:tcPr>
          <w:p w14:paraId="62E7E537" w14:textId="77777777" w:rsidR="00F143FD" w:rsidRPr="00BD1758" w:rsidRDefault="00F143FD" w:rsidP="004479A9">
            <w:pPr>
              <w:pStyle w:val="Tabletext"/>
            </w:pPr>
          </w:p>
        </w:tc>
        <w:tc>
          <w:tcPr>
            <w:tcW w:w="1141" w:type="dxa"/>
            <w:tcBorders>
              <w:left w:val="nil"/>
              <w:bottom w:val="nil"/>
              <w:right w:val="nil"/>
            </w:tcBorders>
          </w:tcPr>
          <w:p w14:paraId="75515DDF" w14:textId="77777777" w:rsidR="00F143FD" w:rsidRPr="00BD1758" w:rsidRDefault="00F143FD" w:rsidP="004479A9">
            <w:pPr>
              <w:pStyle w:val="Tabletext"/>
            </w:pPr>
          </w:p>
        </w:tc>
        <w:tc>
          <w:tcPr>
            <w:tcW w:w="815" w:type="dxa"/>
            <w:tcBorders>
              <w:left w:val="nil"/>
              <w:bottom w:val="nil"/>
              <w:right w:val="nil"/>
            </w:tcBorders>
          </w:tcPr>
          <w:p w14:paraId="4D8B2D9F" w14:textId="77777777" w:rsidR="00F143FD" w:rsidRPr="00BD1758" w:rsidRDefault="00F143FD" w:rsidP="004479A9">
            <w:pPr>
              <w:pStyle w:val="Tabletext"/>
            </w:pPr>
            <w:r w:rsidRPr="00BD1758">
              <w:t>.</w:t>
            </w:r>
            <w:r>
              <w:t>333</w:t>
            </w:r>
          </w:p>
        </w:tc>
        <w:tc>
          <w:tcPr>
            <w:tcW w:w="958" w:type="dxa"/>
            <w:tcBorders>
              <w:left w:val="nil"/>
              <w:bottom w:val="nil"/>
              <w:right w:val="nil"/>
            </w:tcBorders>
          </w:tcPr>
          <w:p w14:paraId="6F61FF1B" w14:textId="77777777" w:rsidR="00F143FD" w:rsidRPr="00BD1758" w:rsidRDefault="00F143FD" w:rsidP="004479A9">
            <w:pPr>
              <w:pStyle w:val="Tabletext"/>
            </w:pPr>
            <w:r w:rsidRPr="00BD1758">
              <w:t>0.0</w:t>
            </w:r>
            <w:r>
              <w:t>4</w:t>
            </w:r>
          </w:p>
        </w:tc>
      </w:tr>
      <w:tr w:rsidR="00F143FD" w:rsidRPr="00BD1758" w14:paraId="65E94F8B" w14:textId="77777777" w:rsidTr="004479A9">
        <w:tc>
          <w:tcPr>
            <w:tcW w:w="2352" w:type="dxa"/>
            <w:vMerge/>
            <w:tcBorders>
              <w:left w:val="nil"/>
              <w:right w:val="nil"/>
            </w:tcBorders>
          </w:tcPr>
          <w:p w14:paraId="041010E0" w14:textId="77777777" w:rsidR="00F143FD" w:rsidRPr="00BD1758" w:rsidRDefault="00F143FD" w:rsidP="004479A9">
            <w:pPr>
              <w:pStyle w:val="Tabletext"/>
            </w:pPr>
          </w:p>
        </w:tc>
        <w:tc>
          <w:tcPr>
            <w:tcW w:w="1165" w:type="dxa"/>
            <w:tcBorders>
              <w:top w:val="nil"/>
              <w:left w:val="nil"/>
              <w:bottom w:val="nil"/>
              <w:right w:val="nil"/>
            </w:tcBorders>
          </w:tcPr>
          <w:p w14:paraId="77641812" w14:textId="77777777" w:rsidR="00F143FD" w:rsidRPr="00BD1758" w:rsidRDefault="00F143FD" w:rsidP="004479A9">
            <w:pPr>
              <w:pStyle w:val="Tabletext"/>
            </w:pPr>
            <w:r w:rsidRPr="00BD1758">
              <w:t>Part-time</w:t>
            </w:r>
          </w:p>
        </w:tc>
        <w:tc>
          <w:tcPr>
            <w:tcW w:w="1207" w:type="dxa"/>
            <w:tcBorders>
              <w:top w:val="nil"/>
              <w:left w:val="nil"/>
              <w:bottom w:val="nil"/>
              <w:right w:val="nil"/>
            </w:tcBorders>
          </w:tcPr>
          <w:p w14:paraId="55FC5B4E" w14:textId="77777777" w:rsidR="00F143FD" w:rsidRPr="00BD1758" w:rsidRDefault="00F143FD" w:rsidP="004479A9">
            <w:pPr>
              <w:pStyle w:val="Tabletext"/>
            </w:pPr>
            <w:r w:rsidRPr="00BD1758">
              <w:t>.02</w:t>
            </w:r>
            <w:r>
              <w:t>2</w:t>
            </w:r>
          </w:p>
        </w:tc>
        <w:tc>
          <w:tcPr>
            <w:tcW w:w="1388" w:type="dxa"/>
            <w:gridSpan w:val="2"/>
            <w:tcBorders>
              <w:top w:val="nil"/>
              <w:left w:val="nil"/>
              <w:bottom w:val="nil"/>
              <w:right w:val="nil"/>
            </w:tcBorders>
          </w:tcPr>
          <w:p w14:paraId="4D47A769" w14:textId="77777777" w:rsidR="00F143FD" w:rsidRPr="00BD1758" w:rsidRDefault="00F143FD" w:rsidP="004479A9">
            <w:pPr>
              <w:pStyle w:val="Tabletext"/>
            </w:pPr>
            <w:r w:rsidRPr="00BD1758">
              <w:t>.1</w:t>
            </w:r>
            <w:r>
              <w:t>68</w:t>
            </w:r>
          </w:p>
        </w:tc>
        <w:tc>
          <w:tcPr>
            <w:tcW w:w="1141" w:type="dxa"/>
            <w:tcBorders>
              <w:top w:val="nil"/>
              <w:left w:val="nil"/>
              <w:bottom w:val="nil"/>
              <w:right w:val="nil"/>
            </w:tcBorders>
          </w:tcPr>
          <w:p w14:paraId="50EE4C72" w14:textId="77777777" w:rsidR="00F143FD" w:rsidRPr="00BD1758" w:rsidRDefault="00F143FD" w:rsidP="004479A9">
            <w:pPr>
              <w:pStyle w:val="Tabletext"/>
            </w:pPr>
            <w:r w:rsidRPr="00BD1758">
              <w:t>–.</w:t>
            </w:r>
            <w:r>
              <w:t>127</w:t>
            </w:r>
            <w:r w:rsidRPr="00BD1758">
              <w:t>, .</w:t>
            </w:r>
            <w:r>
              <w:t>463</w:t>
            </w:r>
          </w:p>
        </w:tc>
        <w:tc>
          <w:tcPr>
            <w:tcW w:w="815" w:type="dxa"/>
            <w:tcBorders>
              <w:top w:val="nil"/>
              <w:left w:val="nil"/>
              <w:bottom w:val="nil"/>
              <w:right w:val="nil"/>
            </w:tcBorders>
          </w:tcPr>
          <w:p w14:paraId="60F7A16E" w14:textId="77777777" w:rsidR="00F143FD" w:rsidRPr="00BD1758" w:rsidRDefault="00F143FD" w:rsidP="004479A9">
            <w:pPr>
              <w:pStyle w:val="Tabletext"/>
            </w:pPr>
          </w:p>
        </w:tc>
        <w:tc>
          <w:tcPr>
            <w:tcW w:w="958" w:type="dxa"/>
            <w:tcBorders>
              <w:top w:val="nil"/>
              <w:left w:val="nil"/>
              <w:bottom w:val="nil"/>
              <w:right w:val="nil"/>
            </w:tcBorders>
          </w:tcPr>
          <w:p w14:paraId="16F8E802" w14:textId="77777777" w:rsidR="00F143FD" w:rsidRPr="00BD1758" w:rsidRDefault="00F143FD" w:rsidP="004479A9">
            <w:pPr>
              <w:pStyle w:val="Tabletext"/>
            </w:pPr>
          </w:p>
        </w:tc>
      </w:tr>
      <w:tr w:rsidR="00F143FD" w:rsidRPr="00BD1758" w14:paraId="14510551" w14:textId="77777777" w:rsidTr="004479A9">
        <w:tc>
          <w:tcPr>
            <w:tcW w:w="2352" w:type="dxa"/>
            <w:vMerge/>
            <w:tcBorders>
              <w:left w:val="nil"/>
              <w:right w:val="nil"/>
            </w:tcBorders>
          </w:tcPr>
          <w:p w14:paraId="429D77E4" w14:textId="77777777" w:rsidR="00F143FD" w:rsidRPr="00BD1758" w:rsidRDefault="00F143FD" w:rsidP="004479A9">
            <w:pPr>
              <w:pStyle w:val="Tabletext"/>
            </w:pPr>
          </w:p>
        </w:tc>
        <w:tc>
          <w:tcPr>
            <w:tcW w:w="1165" w:type="dxa"/>
            <w:tcBorders>
              <w:top w:val="nil"/>
              <w:left w:val="nil"/>
              <w:right w:val="nil"/>
            </w:tcBorders>
          </w:tcPr>
          <w:p w14:paraId="2E0D2AFD" w14:textId="77777777" w:rsidR="00F143FD" w:rsidRPr="00BD1758" w:rsidRDefault="00F143FD" w:rsidP="004479A9">
            <w:pPr>
              <w:pStyle w:val="Tabletext"/>
            </w:pPr>
            <w:r w:rsidRPr="00BD1758">
              <w:t>Full-time</w:t>
            </w:r>
          </w:p>
        </w:tc>
        <w:tc>
          <w:tcPr>
            <w:tcW w:w="1207" w:type="dxa"/>
            <w:tcBorders>
              <w:top w:val="nil"/>
              <w:left w:val="nil"/>
              <w:right w:val="nil"/>
            </w:tcBorders>
          </w:tcPr>
          <w:p w14:paraId="4A36F87D" w14:textId="77777777" w:rsidR="00F143FD" w:rsidRPr="00BD1758" w:rsidRDefault="00F143FD" w:rsidP="004479A9">
            <w:pPr>
              <w:pStyle w:val="Tabletext"/>
            </w:pPr>
            <w:r w:rsidRPr="00BD1758">
              <w:t>.00</w:t>
            </w:r>
            <w:r>
              <w:t>8</w:t>
            </w:r>
          </w:p>
        </w:tc>
        <w:tc>
          <w:tcPr>
            <w:tcW w:w="1388" w:type="dxa"/>
            <w:gridSpan w:val="2"/>
            <w:tcBorders>
              <w:top w:val="nil"/>
              <w:left w:val="nil"/>
              <w:right w:val="nil"/>
            </w:tcBorders>
          </w:tcPr>
          <w:p w14:paraId="39E79F50" w14:textId="77777777" w:rsidR="00F143FD" w:rsidRPr="00BD1758" w:rsidRDefault="00F143FD" w:rsidP="004479A9">
            <w:pPr>
              <w:pStyle w:val="Tabletext"/>
            </w:pPr>
            <w:r w:rsidRPr="00BD1758">
              <w:t>.0</w:t>
            </w:r>
            <w:r>
              <w:t>47</w:t>
            </w:r>
          </w:p>
        </w:tc>
        <w:tc>
          <w:tcPr>
            <w:tcW w:w="1141" w:type="dxa"/>
            <w:tcBorders>
              <w:top w:val="nil"/>
              <w:left w:val="nil"/>
              <w:right w:val="nil"/>
            </w:tcBorders>
          </w:tcPr>
          <w:p w14:paraId="05D799FB" w14:textId="77777777" w:rsidR="00F143FD" w:rsidRPr="00BD1758" w:rsidRDefault="00F143FD" w:rsidP="004479A9">
            <w:pPr>
              <w:pStyle w:val="Tabletext"/>
            </w:pPr>
            <w:r w:rsidRPr="00BD1758">
              <w:t>–.1</w:t>
            </w:r>
            <w:r>
              <w:t>99</w:t>
            </w:r>
            <w:r w:rsidRPr="00BD1758">
              <w:t>, .</w:t>
            </w:r>
            <w:r>
              <w:t>293</w:t>
            </w:r>
          </w:p>
        </w:tc>
        <w:tc>
          <w:tcPr>
            <w:tcW w:w="815" w:type="dxa"/>
            <w:tcBorders>
              <w:top w:val="nil"/>
              <w:left w:val="nil"/>
              <w:right w:val="nil"/>
            </w:tcBorders>
          </w:tcPr>
          <w:p w14:paraId="3B3AE476" w14:textId="77777777" w:rsidR="00F143FD" w:rsidRPr="00BD1758" w:rsidRDefault="00F143FD" w:rsidP="004479A9">
            <w:pPr>
              <w:pStyle w:val="Tabletext"/>
            </w:pPr>
          </w:p>
        </w:tc>
        <w:tc>
          <w:tcPr>
            <w:tcW w:w="958" w:type="dxa"/>
            <w:tcBorders>
              <w:top w:val="nil"/>
              <w:left w:val="nil"/>
              <w:right w:val="nil"/>
            </w:tcBorders>
          </w:tcPr>
          <w:p w14:paraId="5D5B5822" w14:textId="77777777" w:rsidR="00F143FD" w:rsidRPr="00BD1758" w:rsidRDefault="00F143FD" w:rsidP="004479A9">
            <w:pPr>
              <w:pStyle w:val="Tabletext"/>
            </w:pPr>
          </w:p>
        </w:tc>
      </w:tr>
      <w:tr w:rsidR="00F143FD" w:rsidRPr="00BD1758" w14:paraId="3ACF9E56" w14:textId="77777777" w:rsidTr="004479A9">
        <w:tc>
          <w:tcPr>
            <w:tcW w:w="2352" w:type="dxa"/>
            <w:tcBorders>
              <w:left w:val="nil"/>
              <w:right w:val="nil"/>
            </w:tcBorders>
          </w:tcPr>
          <w:p w14:paraId="0345BCA9" w14:textId="77777777" w:rsidR="00F143FD" w:rsidRPr="00BD1758" w:rsidRDefault="00F143FD" w:rsidP="004479A9">
            <w:pPr>
              <w:pStyle w:val="Tabletext"/>
            </w:pPr>
            <w:r w:rsidRPr="00BD1758">
              <w:t>Key worker (reference: not key worker)</w:t>
            </w:r>
          </w:p>
        </w:tc>
        <w:tc>
          <w:tcPr>
            <w:tcW w:w="1165" w:type="dxa"/>
            <w:tcBorders>
              <w:left w:val="nil"/>
              <w:right w:val="nil"/>
            </w:tcBorders>
          </w:tcPr>
          <w:p w14:paraId="256356C5" w14:textId="77777777" w:rsidR="00F143FD" w:rsidRPr="00BD1758" w:rsidRDefault="00F143FD" w:rsidP="004479A9">
            <w:pPr>
              <w:pStyle w:val="Tabletext"/>
            </w:pPr>
            <w:r w:rsidRPr="00BD1758">
              <w:t>Key worker</w:t>
            </w:r>
          </w:p>
        </w:tc>
        <w:tc>
          <w:tcPr>
            <w:tcW w:w="1207" w:type="dxa"/>
            <w:tcBorders>
              <w:left w:val="nil"/>
              <w:right w:val="nil"/>
            </w:tcBorders>
          </w:tcPr>
          <w:p w14:paraId="6F047FF5" w14:textId="77777777" w:rsidR="00F143FD" w:rsidRPr="00BD1758" w:rsidRDefault="00F143FD" w:rsidP="004479A9">
            <w:pPr>
              <w:pStyle w:val="Tabletext"/>
            </w:pPr>
            <w:r w:rsidRPr="00BD1758">
              <w:t>.01</w:t>
            </w:r>
            <w:r>
              <w:t>5</w:t>
            </w:r>
          </w:p>
        </w:tc>
        <w:tc>
          <w:tcPr>
            <w:tcW w:w="1388" w:type="dxa"/>
            <w:gridSpan w:val="2"/>
            <w:tcBorders>
              <w:left w:val="nil"/>
              <w:right w:val="nil"/>
            </w:tcBorders>
          </w:tcPr>
          <w:p w14:paraId="1AADDA49" w14:textId="77777777" w:rsidR="00F143FD" w:rsidRPr="00BD1758" w:rsidRDefault="00F143FD" w:rsidP="004479A9">
            <w:pPr>
              <w:pStyle w:val="Tabletext"/>
            </w:pPr>
            <w:r w:rsidRPr="00BD1758">
              <w:t>.</w:t>
            </w:r>
            <w:r>
              <w:t>093</w:t>
            </w:r>
          </w:p>
        </w:tc>
        <w:tc>
          <w:tcPr>
            <w:tcW w:w="1141" w:type="dxa"/>
            <w:tcBorders>
              <w:left w:val="nil"/>
              <w:right w:val="nil"/>
            </w:tcBorders>
          </w:tcPr>
          <w:p w14:paraId="1A9BD4CD" w14:textId="77777777" w:rsidR="00F143FD" w:rsidRPr="00BD1758" w:rsidRDefault="00F143FD" w:rsidP="004479A9">
            <w:pPr>
              <w:pStyle w:val="Tabletext"/>
            </w:pPr>
            <w:r w:rsidRPr="00BD1758">
              <w:t>–.1</w:t>
            </w:r>
            <w:r>
              <w:t>32</w:t>
            </w:r>
            <w:r w:rsidRPr="00BD1758">
              <w:t>, .31</w:t>
            </w:r>
            <w:r>
              <w:t>7</w:t>
            </w:r>
          </w:p>
        </w:tc>
        <w:tc>
          <w:tcPr>
            <w:tcW w:w="815" w:type="dxa"/>
            <w:tcBorders>
              <w:left w:val="nil"/>
              <w:right w:val="nil"/>
            </w:tcBorders>
          </w:tcPr>
          <w:p w14:paraId="673F6B60" w14:textId="77777777" w:rsidR="00F143FD" w:rsidRPr="00BD1758" w:rsidRDefault="00F143FD" w:rsidP="004479A9">
            <w:pPr>
              <w:pStyle w:val="Tabletext"/>
            </w:pPr>
            <w:r w:rsidRPr="00BD1758">
              <w:t>.2</w:t>
            </w:r>
            <w:r>
              <w:t>86</w:t>
            </w:r>
          </w:p>
        </w:tc>
        <w:tc>
          <w:tcPr>
            <w:tcW w:w="958" w:type="dxa"/>
            <w:tcBorders>
              <w:left w:val="nil"/>
              <w:right w:val="nil"/>
            </w:tcBorders>
          </w:tcPr>
          <w:p w14:paraId="070736D8" w14:textId="77777777" w:rsidR="00F143FD" w:rsidRPr="00BD1758" w:rsidRDefault="00F143FD" w:rsidP="004479A9">
            <w:pPr>
              <w:pStyle w:val="Tabletext"/>
            </w:pPr>
            <w:r w:rsidRPr="005E7943">
              <w:t>0.02</w:t>
            </w:r>
          </w:p>
        </w:tc>
      </w:tr>
      <w:tr w:rsidR="00F143FD" w:rsidRPr="00BD1758" w14:paraId="42F7A934" w14:textId="77777777" w:rsidTr="004479A9">
        <w:tc>
          <w:tcPr>
            <w:tcW w:w="2352" w:type="dxa"/>
            <w:tcBorders>
              <w:left w:val="nil"/>
              <w:right w:val="nil"/>
            </w:tcBorders>
          </w:tcPr>
          <w:p w14:paraId="49FA26FA" w14:textId="77777777" w:rsidR="00F143FD" w:rsidRPr="005E7943" w:rsidRDefault="00F143FD" w:rsidP="004479A9">
            <w:pPr>
              <w:pStyle w:val="Tabletext"/>
            </w:pPr>
            <w:r w:rsidRPr="005E7943">
              <w:t>Extremely clinically vulnerable – self (reference: no)</w:t>
            </w:r>
          </w:p>
        </w:tc>
        <w:tc>
          <w:tcPr>
            <w:tcW w:w="1165" w:type="dxa"/>
            <w:tcBorders>
              <w:left w:val="nil"/>
              <w:right w:val="nil"/>
            </w:tcBorders>
          </w:tcPr>
          <w:p w14:paraId="1CB62794" w14:textId="77777777" w:rsidR="00F143FD" w:rsidRPr="005E7943" w:rsidRDefault="00F143FD" w:rsidP="004479A9">
            <w:pPr>
              <w:pStyle w:val="Tabletext"/>
            </w:pPr>
            <w:r w:rsidRPr="005E7943">
              <w:t>Yes</w:t>
            </w:r>
          </w:p>
        </w:tc>
        <w:tc>
          <w:tcPr>
            <w:tcW w:w="1207" w:type="dxa"/>
            <w:tcBorders>
              <w:left w:val="nil"/>
              <w:right w:val="nil"/>
            </w:tcBorders>
          </w:tcPr>
          <w:p w14:paraId="13191BAE" w14:textId="77777777" w:rsidR="00F143FD" w:rsidRPr="005E7943" w:rsidRDefault="00F143FD" w:rsidP="004479A9">
            <w:pPr>
              <w:pStyle w:val="Tabletext"/>
            </w:pPr>
            <w:r w:rsidRPr="005E7943">
              <w:t>–.013</w:t>
            </w:r>
          </w:p>
        </w:tc>
        <w:tc>
          <w:tcPr>
            <w:tcW w:w="1388" w:type="dxa"/>
            <w:gridSpan w:val="2"/>
            <w:tcBorders>
              <w:left w:val="nil"/>
              <w:right w:val="nil"/>
            </w:tcBorders>
          </w:tcPr>
          <w:p w14:paraId="45479D8E" w14:textId="77777777" w:rsidR="00F143FD" w:rsidRPr="005E7943" w:rsidRDefault="00F143FD" w:rsidP="004479A9">
            <w:pPr>
              <w:pStyle w:val="Tabletext"/>
            </w:pPr>
            <w:r w:rsidRPr="005E7943">
              <w:t>–.079</w:t>
            </w:r>
          </w:p>
        </w:tc>
        <w:tc>
          <w:tcPr>
            <w:tcW w:w="1141" w:type="dxa"/>
            <w:tcBorders>
              <w:left w:val="nil"/>
              <w:right w:val="nil"/>
            </w:tcBorders>
          </w:tcPr>
          <w:p w14:paraId="67742507" w14:textId="77777777" w:rsidR="00F143FD" w:rsidRPr="005E7943" w:rsidRDefault="00F143FD" w:rsidP="004479A9">
            <w:pPr>
              <w:pStyle w:val="Tabletext"/>
            </w:pPr>
            <w:r w:rsidRPr="005E7943">
              <w:t>–.316, .157</w:t>
            </w:r>
          </w:p>
        </w:tc>
        <w:tc>
          <w:tcPr>
            <w:tcW w:w="815" w:type="dxa"/>
            <w:tcBorders>
              <w:left w:val="nil"/>
              <w:right w:val="nil"/>
            </w:tcBorders>
          </w:tcPr>
          <w:p w14:paraId="6DBD7294" w14:textId="77777777" w:rsidR="00F143FD" w:rsidRPr="005E7943" w:rsidRDefault="00F143FD" w:rsidP="004479A9">
            <w:pPr>
              <w:pStyle w:val="Tabletext"/>
            </w:pPr>
            <w:r w:rsidRPr="005E7943">
              <w:t>.388</w:t>
            </w:r>
          </w:p>
        </w:tc>
        <w:tc>
          <w:tcPr>
            <w:tcW w:w="958" w:type="dxa"/>
            <w:tcBorders>
              <w:left w:val="nil"/>
              <w:right w:val="nil"/>
            </w:tcBorders>
          </w:tcPr>
          <w:p w14:paraId="17E18D55" w14:textId="77777777" w:rsidR="00F143FD" w:rsidRPr="005E7943" w:rsidRDefault="00F143FD" w:rsidP="004479A9">
            <w:pPr>
              <w:pStyle w:val="Tabletext"/>
            </w:pPr>
            <w:r w:rsidRPr="005E7943">
              <w:t>0.01</w:t>
            </w:r>
          </w:p>
        </w:tc>
      </w:tr>
      <w:tr w:rsidR="00F143FD" w:rsidRPr="00BD1758" w14:paraId="3AE69356" w14:textId="77777777" w:rsidTr="004479A9">
        <w:tc>
          <w:tcPr>
            <w:tcW w:w="2352" w:type="dxa"/>
            <w:tcBorders>
              <w:left w:val="nil"/>
              <w:bottom w:val="single" w:sz="12" w:space="0" w:color="auto"/>
              <w:right w:val="nil"/>
            </w:tcBorders>
          </w:tcPr>
          <w:p w14:paraId="322319FE" w14:textId="77777777" w:rsidR="00F143FD" w:rsidRPr="005E7943" w:rsidRDefault="00F143FD" w:rsidP="004479A9">
            <w:pPr>
              <w:pStyle w:val="Tabletext"/>
            </w:pPr>
            <w:r w:rsidRPr="005E7943">
              <w:t>Extremely clinically vulnerable – household member (reference: no)</w:t>
            </w:r>
          </w:p>
        </w:tc>
        <w:tc>
          <w:tcPr>
            <w:tcW w:w="1165" w:type="dxa"/>
            <w:tcBorders>
              <w:left w:val="nil"/>
              <w:bottom w:val="single" w:sz="12" w:space="0" w:color="auto"/>
              <w:right w:val="nil"/>
            </w:tcBorders>
          </w:tcPr>
          <w:p w14:paraId="07A8E08C" w14:textId="77777777" w:rsidR="00F143FD" w:rsidRPr="005E7943" w:rsidRDefault="00F143FD" w:rsidP="004479A9">
            <w:pPr>
              <w:pStyle w:val="Tabletext"/>
            </w:pPr>
            <w:r w:rsidRPr="005E7943">
              <w:t>Yes</w:t>
            </w:r>
          </w:p>
        </w:tc>
        <w:tc>
          <w:tcPr>
            <w:tcW w:w="1207" w:type="dxa"/>
            <w:tcBorders>
              <w:left w:val="nil"/>
              <w:bottom w:val="single" w:sz="12" w:space="0" w:color="auto"/>
              <w:right w:val="nil"/>
            </w:tcBorders>
          </w:tcPr>
          <w:p w14:paraId="74BB01F8" w14:textId="77777777" w:rsidR="00F143FD" w:rsidRPr="005E7943" w:rsidRDefault="00F143FD" w:rsidP="004479A9">
            <w:pPr>
              <w:pStyle w:val="Tabletext"/>
            </w:pPr>
            <w:r w:rsidRPr="005E7943">
              <w:t>.017</w:t>
            </w:r>
          </w:p>
        </w:tc>
        <w:tc>
          <w:tcPr>
            <w:tcW w:w="1388" w:type="dxa"/>
            <w:gridSpan w:val="2"/>
            <w:tcBorders>
              <w:left w:val="nil"/>
              <w:bottom w:val="single" w:sz="12" w:space="0" w:color="auto"/>
              <w:right w:val="nil"/>
            </w:tcBorders>
          </w:tcPr>
          <w:p w14:paraId="45478041" w14:textId="77777777" w:rsidR="00F143FD" w:rsidRPr="005E7943" w:rsidRDefault="00F143FD" w:rsidP="004479A9">
            <w:pPr>
              <w:pStyle w:val="Tabletext"/>
            </w:pPr>
            <w:r w:rsidRPr="005E7943">
              <w:t>.109</w:t>
            </w:r>
          </w:p>
        </w:tc>
        <w:tc>
          <w:tcPr>
            <w:tcW w:w="1141" w:type="dxa"/>
            <w:tcBorders>
              <w:left w:val="nil"/>
              <w:bottom w:val="single" w:sz="12" w:space="0" w:color="auto"/>
              <w:right w:val="nil"/>
            </w:tcBorders>
          </w:tcPr>
          <w:p w14:paraId="63100C83" w14:textId="77777777" w:rsidR="00F143FD" w:rsidRPr="005E7943" w:rsidRDefault="00F143FD" w:rsidP="004479A9">
            <w:pPr>
              <w:pStyle w:val="Tabletext"/>
            </w:pPr>
            <w:r w:rsidRPr="005E7943">
              <w:t>–.107, .324</w:t>
            </w:r>
          </w:p>
        </w:tc>
        <w:tc>
          <w:tcPr>
            <w:tcW w:w="815" w:type="dxa"/>
            <w:tcBorders>
              <w:left w:val="nil"/>
              <w:bottom w:val="single" w:sz="12" w:space="0" w:color="auto"/>
              <w:right w:val="nil"/>
            </w:tcBorders>
          </w:tcPr>
          <w:p w14:paraId="79BCE1B1" w14:textId="77777777" w:rsidR="00F143FD" w:rsidRPr="005E7943" w:rsidRDefault="00F143FD" w:rsidP="004479A9">
            <w:pPr>
              <w:pStyle w:val="Tabletext"/>
            </w:pPr>
            <w:r w:rsidRPr="005E7943">
              <w:t>.195</w:t>
            </w:r>
          </w:p>
        </w:tc>
        <w:tc>
          <w:tcPr>
            <w:tcW w:w="958" w:type="dxa"/>
            <w:tcBorders>
              <w:left w:val="nil"/>
              <w:bottom w:val="single" w:sz="12" w:space="0" w:color="auto"/>
              <w:right w:val="nil"/>
            </w:tcBorders>
          </w:tcPr>
          <w:p w14:paraId="5E2B36EA" w14:textId="77777777" w:rsidR="00F143FD" w:rsidRPr="005E7943" w:rsidRDefault="00F143FD" w:rsidP="004479A9">
            <w:pPr>
              <w:pStyle w:val="Tabletext"/>
            </w:pPr>
            <w:r w:rsidRPr="005E7943">
              <w:t>0.0350</w:t>
            </w:r>
          </w:p>
        </w:tc>
      </w:tr>
      <w:tr w:rsidR="00F143FD" w:rsidRPr="00BD1758" w14:paraId="6D471CF1" w14:textId="77777777" w:rsidTr="004479A9">
        <w:tc>
          <w:tcPr>
            <w:tcW w:w="9026" w:type="dxa"/>
            <w:gridSpan w:val="8"/>
            <w:tcBorders>
              <w:top w:val="single" w:sz="12" w:space="0" w:color="auto"/>
              <w:left w:val="nil"/>
              <w:right w:val="nil"/>
            </w:tcBorders>
          </w:tcPr>
          <w:p w14:paraId="3AAF2C66" w14:textId="77777777" w:rsidR="00F143FD" w:rsidRPr="005E7943" w:rsidRDefault="00F143FD" w:rsidP="004479A9">
            <w:pPr>
              <w:pStyle w:val="Tabletext"/>
            </w:pPr>
            <w:r w:rsidRPr="005E7943">
              <w:t>Block 2 – previous influenza vaccination</w:t>
            </w:r>
          </w:p>
        </w:tc>
      </w:tr>
      <w:tr w:rsidR="00F143FD" w:rsidRPr="00BD1758" w14:paraId="3645C270" w14:textId="77777777" w:rsidTr="004479A9">
        <w:tc>
          <w:tcPr>
            <w:tcW w:w="2352" w:type="dxa"/>
            <w:tcBorders>
              <w:left w:val="nil"/>
              <w:bottom w:val="single" w:sz="12" w:space="0" w:color="auto"/>
              <w:right w:val="nil"/>
            </w:tcBorders>
          </w:tcPr>
          <w:p w14:paraId="5C2E4C39" w14:textId="77777777" w:rsidR="00F143FD" w:rsidRPr="005E7943" w:rsidRDefault="00F143FD" w:rsidP="004479A9">
            <w:pPr>
              <w:pStyle w:val="Tabletext"/>
            </w:pPr>
            <w:r w:rsidRPr="005E7943">
              <w:t xml:space="preserve">Did you have a vaccination for </w:t>
            </w:r>
            <w:r>
              <w:t>influenza</w:t>
            </w:r>
            <w:r w:rsidRPr="005E7943">
              <w:t xml:space="preserve"> last winter? (reference: no)</w:t>
            </w:r>
          </w:p>
        </w:tc>
        <w:tc>
          <w:tcPr>
            <w:tcW w:w="1165" w:type="dxa"/>
            <w:tcBorders>
              <w:left w:val="nil"/>
              <w:bottom w:val="single" w:sz="12" w:space="0" w:color="auto"/>
              <w:right w:val="nil"/>
            </w:tcBorders>
          </w:tcPr>
          <w:p w14:paraId="772F1E84" w14:textId="77777777" w:rsidR="00F143FD" w:rsidRPr="005E7943" w:rsidRDefault="00F143FD" w:rsidP="004479A9">
            <w:pPr>
              <w:pStyle w:val="Tabletext"/>
            </w:pPr>
            <w:r w:rsidRPr="005E7943">
              <w:t>Yes</w:t>
            </w:r>
          </w:p>
        </w:tc>
        <w:tc>
          <w:tcPr>
            <w:tcW w:w="1207" w:type="dxa"/>
            <w:tcBorders>
              <w:left w:val="nil"/>
              <w:bottom w:val="single" w:sz="12" w:space="0" w:color="auto"/>
              <w:right w:val="nil"/>
            </w:tcBorders>
          </w:tcPr>
          <w:p w14:paraId="65B298CD" w14:textId="77777777" w:rsidR="00F143FD" w:rsidRPr="005E7943" w:rsidRDefault="00F143FD" w:rsidP="004479A9">
            <w:pPr>
              <w:pStyle w:val="Tabletext"/>
            </w:pPr>
            <w:r w:rsidRPr="005E7943">
              <w:t>.051</w:t>
            </w:r>
          </w:p>
        </w:tc>
        <w:tc>
          <w:tcPr>
            <w:tcW w:w="1388" w:type="dxa"/>
            <w:gridSpan w:val="2"/>
            <w:tcBorders>
              <w:left w:val="nil"/>
              <w:bottom w:val="single" w:sz="12" w:space="0" w:color="auto"/>
              <w:right w:val="nil"/>
            </w:tcBorders>
          </w:tcPr>
          <w:p w14:paraId="0F9CCB37" w14:textId="77777777" w:rsidR="00F143FD" w:rsidRPr="005E7943" w:rsidRDefault="00F143FD" w:rsidP="004479A9">
            <w:pPr>
              <w:pStyle w:val="Tabletext"/>
            </w:pPr>
            <w:r w:rsidRPr="005E7943">
              <w:t>.314</w:t>
            </w:r>
          </w:p>
        </w:tc>
        <w:tc>
          <w:tcPr>
            <w:tcW w:w="1141" w:type="dxa"/>
            <w:tcBorders>
              <w:left w:val="nil"/>
              <w:bottom w:val="single" w:sz="12" w:space="0" w:color="auto"/>
              <w:right w:val="nil"/>
            </w:tcBorders>
          </w:tcPr>
          <w:p w14:paraId="0D2CAF30" w14:textId="77777777" w:rsidR="00F143FD" w:rsidRPr="005E7943" w:rsidRDefault="00F143FD" w:rsidP="004479A9">
            <w:pPr>
              <w:pStyle w:val="Tabletext"/>
            </w:pPr>
            <w:r w:rsidRPr="005E7943">
              <w:t>.079, .548</w:t>
            </w:r>
          </w:p>
        </w:tc>
        <w:tc>
          <w:tcPr>
            <w:tcW w:w="815" w:type="dxa"/>
            <w:tcBorders>
              <w:left w:val="nil"/>
              <w:bottom w:val="single" w:sz="12" w:space="0" w:color="auto"/>
              <w:right w:val="nil"/>
            </w:tcBorders>
          </w:tcPr>
          <w:p w14:paraId="06496C61" w14:textId="77777777" w:rsidR="00F143FD" w:rsidRPr="005E7943" w:rsidRDefault="00F143FD" w:rsidP="004479A9">
            <w:pPr>
              <w:pStyle w:val="Tabletext"/>
            </w:pPr>
            <w:r w:rsidRPr="005E7943">
              <w:t>.001*</w:t>
            </w:r>
          </w:p>
        </w:tc>
        <w:tc>
          <w:tcPr>
            <w:tcW w:w="958" w:type="dxa"/>
            <w:tcBorders>
              <w:left w:val="nil"/>
              <w:bottom w:val="single" w:sz="12" w:space="0" w:color="auto"/>
              <w:right w:val="nil"/>
            </w:tcBorders>
          </w:tcPr>
          <w:p w14:paraId="49CF7198" w14:textId="77777777" w:rsidR="00F143FD" w:rsidRPr="005E7943" w:rsidRDefault="00F143FD" w:rsidP="004479A9">
            <w:pPr>
              <w:pStyle w:val="Tabletext"/>
            </w:pPr>
            <w:r w:rsidRPr="005E7943">
              <w:t>0.19</w:t>
            </w:r>
          </w:p>
        </w:tc>
      </w:tr>
      <w:tr w:rsidR="00F143FD" w:rsidRPr="00BD1758" w14:paraId="518A3372" w14:textId="77777777" w:rsidTr="004479A9">
        <w:tc>
          <w:tcPr>
            <w:tcW w:w="6112" w:type="dxa"/>
            <w:gridSpan w:val="5"/>
            <w:tcBorders>
              <w:top w:val="single" w:sz="12" w:space="0" w:color="auto"/>
              <w:left w:val="nil"/>
              <w:right w:val="nil"/>
            </w:tcBorders>
          </w:tcPr>
          <w:p w14:paraId="2D4123F2" w14:textId="77777777" w:rsidR="00F143FD" w:rsidRPr="005E7943" w:rsidRDefault="00F143FD" w:rsidP="004479A9">
            <w:pPr>
              <w:pStyle w:val="Tabletext"/>
            </w:pPr>
            <w:r w:rsidRPr="005E7943">
              <w:t>Block 3 – general vaccination beliefs and attitudes</w:t>
            </w:r>
          </w:p>
        </w:tc>
        <w:tc>
          <w:tcPr>
            <w:tcW w:w="1141" w:type="dxa"/>
            <w:tcBorders>
              <w:top w:val="single" w:sz="12" w:space="0" w:color="auto"/>
              <w:left w:val="nil"/>
              <w:right w:val="nil"/>
            </w:tcBorders>
          </w:tcPr>
          <w:p w14:paraId="370CCBEA" w14:textId="77777777" w:rsidR="00F143FD" w:rsidRPr="005E7943" w:rsidRDefault="00F143FD" w:rsidP="004479A9">
            <w:pPr>
              <w:pStyle w:val="Tabletext"/>
            </w:pPr>
          </w:p>
        </w:tc>
        <w:tc>
          <w:tcPr>
            <w:tcW w:w="815" w:type="dxa"/>
            <w:tcBorders>
              <w:top w:val="single" w:sz="12" w:space="0" w:color="auto"/>
              <w:left w:val="nil"/>
              <w:right w:val="nil"/>
            </w:tcBorders>
          </w:tcPr>
          <w:p w14:paraId="00F7910D" w14:textId="77777777" w:rsidR="00F143FD" w:rsidRPr="005E7943" w:rsidRDefault="00F143FD" w:rsidP="004479A9">
            <w:pPr>
              <w:pStyle w:val="Tabletext"/>
            </w:pPr>
          </w:p>
        </w:tc>
        <w:tc>
          <w:tcPr>
            <w:tcW w:w="958" w:type="dxa"/>
            <w:tcBorders>
              <w:top w:val="single" w:sz="12" w:space="0" w:color="auto"/>
              <w:left w:val="nil"/>
              <w:right w:val="nil"/>
            </w:tcBorders>
          </w:tcPr>
          <w:p w14:paraId="34844650" w14:textId="77777777" w:rsidR="00F143FD" w:rsidRPr="005E7943" w:rsidRDefault="00F143FD" w:rsidP="004479A9">
            <w:pPr>
              <w:pStyle w:val="Tabletext"/>
            </w:pPr>
          </w:p>
        </w:tc>
      </w:tr>
      <w:tr w:rsidR="00F143FD" w:rsidRPr="00BD1758" w14:paraId="038315BC" w14:textId="77777777" w:rsidTr="004479A9">
        <w:tc>
          <w:tcPr>
            <w:tcW w:w="2352" w:type="dxa"/>
            <w:tcBorders>
              <w:left w:val="nil"/>
              <w:right w:val="nil"/>
            </w:tcBorders>
          </w:tcPr>
          <w:p w14:paraId="3DE46D3A" w14:textId="77777777" w:rsidR="00F143FD" w:rsidRPr="005E7943" w:rsidRDefault="00F143FD" w:rsidP="004479A9">
            <w:pPr>
              <w:pStyle w:val="Tabletext"/>
            </w:pPr>
            <w:r w:rsidRPr="005E7943">
              <w:t>Vaccination is generally good (0–10)</w:t>
            </w:r>
          </w:p>
        </w:tc>
        <w:tc>
          <w:tcPr>
            <w:tcW w:w="1165" w:type="dxa"/>
            <w:tcBorders>
              <w:left w:val="nil"/>
              <w:right w:val="nil"/>
            </w:tcBorders>
          </w:tcPr>
          <w:p w14:paraId="7F3F0CE7" w14:textId="77777777" w:rsidR="00F143FD" w:rsidRPr="005E7943" w:rsidRDefault="00F143FD" w:rsidP="004479A9">
            <w:pPr>
              <w:pStyle w:val="Tabletext"/>
            </w:pPr>
            <w:r w:rsidRPr="005E7943">
              <w:t>0–10 scale</w:t>
            </w:r>
          </w:p>
        </w:tc>
        <w:tc>
          <w:tcPr>
            <w:tcW w:w="1207" w:type="dxa"/>
            <w:tcBorders>
              <w:left w:val="nil"/>
              <w:right w:val="nil"/>
            </w:tcBorders>
          </w:tcPr>
          <w:p w14:paraId="30DEFB05" w14:textId="77777777" w:rsidR="00F143FD" w:rsidRPr="005E7943" w:rsidRDefault="00F143FD" w:rsidP="004479A9">
            <w:pPr>
              <w:pStyle w:val="Tabletext"/>
            </w:pPr>
            <w:r w:rsidRPr="005E7943">
              <w:t>.014</w:t>
            </w:r>
          </w:p>
        </w:tc>
        <w:tc>
          <w:tcPr>
            <w:tcW w:w="1388" w:type="dxa"/>
            <w:gridSpan w:val="2"/>
            <w:tcBorders>
              <w:left w:val="nil"/>
              <w:right w:val="nil"/>
            </w:tcBorders>
          </w:tcPr>
          <w:p w14:paraId="7550C774" w14:textId="77777777" w:rsidR="00F143FD" w:rsidRPr="005E7943" w:rsidRDefault="00F143FD" w:rsidP="004479A9">
            <w:pPr>
              <w:pStyle w:val="Tabletext"/>
            </w:pPr>
            <w:r w:rsidRPr="005E7943">
              <w:t>.020</w:t>
            </w:r>
          </w:p>
        </w:tc>
        <w:tc>
          <w:tcPr>
            <w:tcW w:w="1141" w:type="dxa"/>
            <w:tcBorders>
              <w:left w:val="nil"/>
              <w:right w:val="nil"/>
            </w:tcBorders>
          </w:tcPr>
          <w:p w14:paraId="3700A8C6" w14:textId="77777777" w:rsidR="00F143FD" w:rsidRPr="005E7943" w:rsidRDefault="00F143FD" w:rsidP="004479A9">
            <w:pPr>
              <w:pStyle w:val="Tabletext"/>
            </w:pPr>
            <w:r w:rsidRPr="005E7943">
              <w:t>–.055, .096</w:t>
            </w:r>
          </w:p>
        </w:tc>
        <w:tc>
          <w:tcPr>
            <w:tcW w:w="815" w:type="dxa"/>
            <w:tcBorders>
              <w:left w:val="nil"/>
              <w:right w:val="nil"/>
            </w:tcBorders>
          </w:tcPr>
          <w:p w14:paraId="2F5782AE" w14:textId="77777777" w:rsidR="00F143FD" w:rsidRPr="005E7943" w:rsidRDefault="00F143FD" w:rsidP="004479A9">
            <w:pPr>
              <w:pStyle w:val="Tabletext"/>
            </w:pPr>
            <w:r w:rsidRPr="005E7943">
              <w:t>.483</w:t>
            </w:r>
          </w:p>
        </w:tc>
        <w:tc>
          <w:tcPr>
            <w:tcW w:w="958" w:type="dxa"/>
            <w:tcBorders>
              <w:left w:val="nil"/>
              <w:right w:val="nil"/>
            </w:tcBorders>
          </w:tcPr>
          <w:p w14:paraId="4B3D2361" w14:textId="77777777" w:rsidR="00F143FD" w:rsidRPr="005E7943" w:rsidRDefault="00F143FD" w:rsidP="004479A9">
            <w:pPr>
              <w:pStyle w:val="Tabletext"/>
            </w:pPr>
            <w:r w:rsidRPr="005E7943">
              <w:t>0.01</w:t>
            </w:r>
          </w:p>
        </w:tc>
      </w:tr>
      <w:tr w:rsidR="00F143FD" w:rsidRPr="00BD1758" w14:paraId="77D7F729" w14:textId="77777777" w:rsidTr="004479A9">
        <w:tc>
          <w:tcPr>
            <w:tcW w:w="2352" w:type="dxa"/>
            <w:tcBorders>
              <w:left w:val="nil"/>
              <w:bottom w:val="single" w:sz="12" w:space="0" w:color="auto"/>
              <w:right w:val="nil"/>
            </w:tcBorders>
          </w:tcPr>
          <w:p w14:paraId="56E58A70" w14:textId="77777777" w:rsidR="00F143FD" w:rsidRPr="005E7943" w:rsidRDefault="00F143FD" w:rsidP="004479A9">
            <w:pPr>
              <w:pStyle w:val="Tabletext"/>
            </w:pPr>
            <w:r w:rsidRPr="005E7943">
              <w:t>I am afraid of needles (0–10)</w:t>
            </w:r>
          </w:p>
        </w:tc>
        <w:tc>
          <w:tcPr>
            <w:tcW w:w="1165" w:type="dxa"/>
            <w:tcBorders>
              <w:left w:val="nil"/>
              <w:bottom w:val="single" w:sz="12" w:space="0" w:color="auto"/>
              <w:right w:val="nil"/>
            </w:tcBorders>
          </w:tcPr>
          <w:p w14:paraId="3EFCCCEB" w14:textId="77777777" w:rsidR="00F143FD" w:rsidRPr="005E7943" w:rsidRDefault="00F143FD" w:rsidP="004479A9">
            <w:pPr>
              <w:pStyle w:val="Tabletext"/>
            </w:pPr>
            <w:r w:rsidRPr="005E7943">
              <w:t>0–10 scale</w:t>
            </w:r>
          </w:p>
        </w:tc>
        <w:tc>
          <w:tcPr>
            <w:tcW w:w="1207" w:type="dxa"/>
            <w:tcBorders>
              <w:left w:val="nil"/>
              <w:bottom w:val="single" w:sz="12" w:space="0" w:color="auto"/>
              <w:right w:val="nil"/>
            </w:tcBorders>
          </w:tcPr>
          <w:p w14:paraId="034E323C" w14:textId="77777777" w:rsidR="00F143FD" w:rsidRPr="005E7943" w:rsidRDefault="00F143FD" w:rsidP="004479A9">
            <w:pPr>
              <w:pStyle w:val="Tabletext"/>
            </w:pPr>
            <w:r w:rsidRPr="005E7943">
              <w:t>–.011</w:t>
            </w:r>
          </w:p>
        </w:tc>
        <w:tc>
          <w:tcPr>
            <w:tcW w:w="1388" w:type="dxa"/>
            <w:gridSpan w:val="2"/>
            <w:tcBorders>
              <w:left w:val="nil"/>
              <w:bottom w:val="single" w:sz="12" w:space="0" w:color="auto"/>
              <w:right w:val="nil"/>
            </w:tcBorders>
          </w:tcPr>
          <w:p w14:paraId="69E9D99F" w14:textId="77777777" w:rsidR="00F143FD" w:rsidRPr="005E7943" w:rsidRDefault="00F143FD" w:rsidP="004479A9">
            <w:pPr>
              <w:pStyle w:val="Tabletext"/>
            </w:pPr>
            <w:r w:rsidRPr="005E7943">
              <w:t>–.010</w:t>
            </w:r>
          </w:p>
        </w:tc>
        <w:tc>
          <w:tcPr>
            <w:tcW w:w="1141" w:type="dxa"/>
            <w:tcBorders>
              <w:left w:val="nil"/>
              <w:bottom w:val="single" w:sz="12" w:space="0" w:color="auto"/>
              <w:right w:val="nil"/>
            </w:tcBorders>
          </w:tcPr>
          <w:p w14:paraId="4B4EA0F3" w14:textId="77777777" w:rsidR="00F143FD" w:rsidRPr="005E7943" w:rsidRDefault="00F143FD" w:rsidP="004479A9">
            <w:pPr>
              <w:pStyle w:val="Tabletext"/>
            </w:pPr>
            <w:r w:rsidRPr="005E7943">
              <w:t>–.040, .020</w:t>
            </w:r>
          </w:p>
        </w:tc>
        <w:tc>
          <w:tcPr>
            <w:tcW w:w="815" w:type="dxa"/>
            <w:tcBorders>
              <w:left w:val="nil"/>
              <w:bottom w:val="single" w:sz="12" w:space="0" w:color="auto"/>
              <w:right w:val="nil"/>
            </w:tcBorders>
          </w:tcPr>
          <w:p w14:paraId="2281623F" w14:textId="77777777" w:rsidR="00F143FD" w:rsidRPr="005E7943" w:rsidRDefault="00F143FD" w:rsidP="004479A9">
            <w:pPr>
              <w:pStyle w:val="Tabletext"/>
            </w:pPr>
            <w:r w:rsidRPr="005E7943">
              <w:t>.399</w:t>
            </w:r>
          </w:p>
        </w:tc>
        <w:tc>
          <w:tcPr>
            <w:tcW w:w="958" w:type="dxa"/>
            <w:tcBorders>
              <w:left w:val="nil"/>
              <w:right w:val="nil"/>
            </w:tcBorders>
          </w:tcPr>
          <w:p w14:paraId="58A2C7CD" w14:textId="77777777" w:rsidR="00F143FD" w:rsidRPr="005E7943" w:rsidRDefault="00F143FD" w:rsidP="004479A9">
            <w:pPr>
              <w:pStyle w:val="Tabletext"/>
            </w:pPr>
            <w:r w:rsidRPr="005E7943">
              <w:t>0.01</w:t>
            </w:r>
          </w:p>
        </w:tc>
      </w:tr>
      <w:tr w:rsidR="00F143FD" w:rsidRPr="00BD1758" w14:paraId="184A150B" w14:textId="77777777" w:rsidTr="004479A9">
        <w:tc>
          <w:tcPr>
            <w:tcW w:w="9026" w:type="dxa"/>
            <w:gridSpan w:val="8"/>
            <w:tcBorders>
              <w:top w:val="single" w:sz="12" w:space="0" w:color="auto"/>
              <w:left w:val="nil"/>
              <w:right w:val="nil"/>
            </w:tcBorders>
          </w:tcPr>
          <w:p w14:paraId="3331CB1E" w14:textId="77777777" w:rsidR="00F143FD" w:rsidRPr="005E7943" w:rsidRDefault="00F143FD" w:rsidP="004479A9">
            <w:pPr>
              <w:pStyle w:val="Tabletext"/>
            </w:pPr>
            <w:r w:rsidRPr="005E7943">
              <w:t>Block 4 – beliefs and attitudes about COVID-19</w:t>
            </w:r>
          </w:p>
        </w:tc>
      </w:tr>
      <w:tr w:rsidR="00F143FD" w:rsidRPr="00BD1758" w14:paraId="291B688B" w14:textId="77777777" w:rsidTr="004479A9">
        <w:tc>
          <w:tcPr>
            <w:tcW w:w="2352" w:type="dxa"/>
            <w:vMerge w:val="restart"/>
            <w:tcBorders>
              <w:left w:val="nil"/>
              <w:right w:val="nil"/>
            </w:tcBorders>
          </w:tcPr>
          <w:p w14:paraId="6D1603FC" w14:textId="77777777" w:rsidR="00F143FD" w:rsidRPr="005E7943" w:rsidRDefault="00F143FD" w:rsidP="004479A9">
            <w:pPr>
              <w:pStyle w:val="Tabletext"/>
            </w:pPr>
            <w:r w:rsidRPr="005E7943">
              <w:t>Perceived risk of COVID-19 to people in the UK (reference: major)</w:t>
            </w:r>
          </w:p>
        </w:tc>
        <w:tc>
          <w:tcPr>
            <w:tcW w:w="1165" w:type="dxa"/>
            <w:tcBorders>
              <w:left w:val="nil"/>
              <w:bottom w:val="nil"/>
              <w:right w:val="nil"/>
            </w:tcBorders>
          </w:tcPr>
          <w:p w14:paraId="00A3D535" w14:textId="77777777" w:rsidR="00F143FD" w:rsidRPr="005E7943" w:rsidRDefault="00F143FD" w:rsidP="004479A9">
            <w:pPr>
              <w:pStyle w:val="Tabletext"/>
            </w:pPr>
          </w:p>
        </w:tc>
        <w:tc>
          <w:tcPr>
            <w:tcW w:w="1207" w:type="dxa"/>
            <w:tcBorders>
              <w:left w:val="nil"/>
              <w:bottom w:val="nil"/>
              <w:right w:val="nil"/>
            </w:tcBorders>
          </w:tcPr>
          <w:p w14:paraId="28371312" w14:textId="77777777" w:rsidR="00F143FD" w:rsidRPr="005E7943" w:rsidRDefault="00F143FD" w:rsidP="004479A9">
            <w:pPr>
              <w:pStyle w:val="Tabletext"/>
            </w:pPr>
          </w:p>
        </w:tc>
        <w:tc>
          <w:tcPr>
            <w:tcW w:w="1230" w:type="dxa"/>
            <w:tcBorders>
              <w:left w:val="nil"/>
              <w:bottom w:val="nil"/>
              <w:right w:val="nil"/>
            </w:tcBorders>
          </w:tcPr>
          <w:p w14:paraId="63E35196" w14:textId="77777777" w:rsidR="00F143FD" w:rsidRPr="005E7943" w:rsidRDefault="00F143FD" w:rsidP="004479A9">
            <w:pPr>
              <w:pStyle w:val="Tabletext"/>
            </w:pPr>
          </w:p>
        </w:tc>
        <w:tc>
          <w:tcPr>
            <w:tcW w:w="1299" w:type="dxa"/>
            <w:gridSpan w:val="2"/>
            <w:tcBorders>
              <w:left w:val="nil"/>
              <w:bottom w:val="nil"/>
              <w:right w:val="nil"/>
            </w:tcBorders>
          </w:tcPr>
          <w:p w14:paraId="22BDC7BD" w14:textId="77777777" w:rsidR="00F143FD" w:rsidRPr="005E7943" w:rsidRDefault="00F143FD" w:rsidP="004479A9">
            <w:pPr>
              <w:pStyle w:val="Tabletext"/>
            </w:pPr>
          </w:p>
        </w:tc>
        <w:tc>
          <w:tcPr>
            <w:tcW w:w="815" w:type="dxa"/>
            <w:tcBorders>
              <w:left w:val="nil"/>
              <w:bottom w:val="nil"/>
              <w:right w:val="nil"/>
            </w:tcBorders>
          </w:tcPr>
          <w:p w14:paraId="65A47087" w14:textId="77777777" w:rsidR="00F143FD" w:rsidRPr="005E7943" w:rsidRDefault="00F143FD" w:rsidP="004479A9">
            <w:pPr>
              <w:pStyle w:val="Tabletext"/>
            </w:pPr>
            <w:r w:rsidRPr="005E7943">
              <w:t>.001*</w:t>
            </w:r>
          </w:p>
        </w:tc>
        <w:tc>
          <w:tcPr>
            <w:tcW w:w="958" w:type="dxa"/>
            <w:tcBorders>
              <w:left w:val="nil"/>
              <w:bottom w:val="nil"/>
              <w:right w:val="nil"/>
            </w:tcBorders>
          </w:tcPr>
          <w:p w14:paraId="707DE732" w14:textId="77777777" w:rsidR="00F143FD" w:rsidRPr="005E7943" w:rsidRDefault="00F143FD" w:rsidP="004479A9">
            <w:pPr>
              <w:pStyle w:val="Tabletext"/>
            </w:pPr>
            <w:r w:rsidRPr="005E7943">
              <w:t>0.26</w:t>
            </w:r>
          </w:p>
        </w:tc>
      </w:tr>
      <w:tr w:rsidR="00F143FD" w:rsidRPr="00BD1758" w14:paraId="60E53881" w14:textId="77777777" w:rsidTr="004479A9">
        <w:tc>
          <w:tcPr>
            <w:tcW w:w="2352" w:type="dxa"/>
            <w:vMerge/>
            <w:tcBorders>
              <w:left w:val="nil"/>
              <w:right w:val="nil"/>
            </w:tcBorders>
          </w:tcPr>
          <w:p w14:paraId="1B866E3F" w14:textId="77777777" w:rsidR="00F143FD" w:rsidRPr="005E7943" w:rsidRDefault="00F143FD" w:rsidP="004479A9">
            <w:pPr>
              <w:pStyle w:val="Tabletext"/>
            </w:pPr>
          </w:p>
        </w:tc>
        <w:tc>
          <w:tcPr>
            <w:tcW w:w="1165" w:type="dxa"/>
            <w:tcBorders>
              <w:top w:val="nil"/>
              <w:left w:val="nil"/>
              <w:bottom w:val="nil"/>
              <w:right w:val="nil"/>
            </w:tcBorders>
          </w:tcPr>
          <w:p w14:paraId="0F4020E2" w14:textId="77777777" w:rsidR="00F143FD" w:rsidRPr="005E7943" w:rsidRDefault="00F143FD" w:rsidP="004479A9">
            <w:pPr>
              <w:pStyle w:val="Tabletext"/>
            </w:pPr>
            <w:r w:rsidRPr="005E7943">
              <w:t>No or minor risk</w:t>
            </w:r>
          </w:p>
        </w:tc>
        <w:tc>
          <w:tcPr>
            <w:tcW w:w="1207" w:type="dxa"/>
            <w:tcBorders>
              <w:top w:val="nil"/>
              <w:left w:val="nil"/>
              <w:bottom w:val="nil"/>
              <w:right w:val="nil"/>
            </w:tcBorders>
          </w:tcPr>
          <w:p w14:paraId="2A3A4835" w14:textId="77777777" w:rsidR="00F143FD" w:rsidRPr="005E7943" w:rsidRDefault="00F143FD" w:rsidP="004479A9">
            <w:pPr>
              <w:pStyle w:val="Tabletext"/>
            </w:pPr>
            <w:r w:rsidRPr="005E7943">
              <w:t>–.056</w:t>
            </w:r>
          </w:p>
        </w:tc>
        <w:tc>
          <w:tcPr>
            <w:tcW w:w="1230" w:type="dxa"/>
            <w:tcBorders>
              <w:top w:val="nil"/>
              <w:left w:val="nil"/>
              <w:bottom w:val="nil"/>
              <w:right w:val="nil"/>
            </w:tcBorders>
          </w:tcPr>
          <w:p w14:paraId="18F0E562" w14:textId="77777777" w:rsidR="00F143FD" w:rsidRPr="005E7943" w:rsidRDefault="00F143FD" w:rsidP="004479A9">
            <w:pPr>
              <w:pStyle w:val="Tabletext"/>
            </w:pPr>
            <w:r w:rsidRPr="005E7943">
              <w:t>–.701</w:t>
            </w:r>
          </w:p>
        </w:tc>
        <w:tc>
          <w:tcPr>
            <w:tcW w:w="1299" w:type="dxa"/>
            <w:gridSpan w:val="2"/>
            <w:tcBorders>
              <w:top w:val="nil"/>
              <w:left w:val="nil"/>
              <w:bottom w:val="nil"/>
              <w:right w:val="nil"/>
            </w:tcBorders>
          </w:tcPr>
          <w:p w14:paraId="6C9CA90E" w14:textId="77777777" w:rsidR="00F143FD" w:rsidRPr="005E7943" w:rsidRDefault="00F143FD" w:rsidP="004479A9">
            <w:pPr>
              <w:pStyle w:val="Tabletext"/>
            </w:pPr>
            <w:r w:rsidRPr="005E7943">
              <w:t>–1.270, –.132</w:t>
            </w:r>
          </w:p>
        </w:tc>
        <w:tc>
          <w:tcPr>
            <w:tcW w:w="815" w:type="dxa"/>
            <w:tcBorders>
              <w:top w:val="nil"/>
              <w:left w:val="nil"/>
              <w:bottom w:val="nil"/>
              <w:right w:val="nil"/>
            </w:tcBorders>
          </w:tcPr>
          <w:p w14:paraId="510E70BA" w14:textId="77777777" w:rsidR="00F143FD" w:rsidRPr="005E7943" w:rsidRDefault="00F143FD" w:rsidP="004479A9">
            <w:pPr>
              <w:pStyle w:val="Tabletext"/>
            </w:pPr>
          </w:p>
        </w:tc>
        <w:tc>
          <w:tcPr>
            <w:tcW w:w="958" w:type="dxa"/>
            <w:tcBorders>
              <w:top w:val="nil"/>
              <w:left w:val="nil"/>
              <w:bottom w:val="nil"/>
              <w:right w:val="nil"/>
            </w:tcBorders>
          </w:tcPr>
          <w:p w14:paraId="3207661D" w14:textId="77777777" w:rsidR="00F143FD" w:rsidRPr="005E7943" w:rsidRDefault="00F143FD" w:rsidP="004479A9">
            <w:pPr>
              <w:pStyle w:val="Tabletext"/>
            </w:pPr>
          </w:p>
        </w:tc>
      </w:tr>
      <w:tr w:rsidR="00F143FD" w:rsidRPr="00BD1758" w14:paraId="3E1569EB" w14:textId="77777777" w:rsidTr="004479A9">
        <w:tc>
          <w:tcPr>
            <w:tcW w:w="2352" w:type="dxa"/>
            <w:vMerge/>
            <w:tcBorders>
              <w:left w:val="nil"/>
              <w:right w:val="nil"/>
            </w:tcBorders>
          </w:tcPr>
          <w:p w14:paraId="54B5A220" w14:textId="77777777" w:rsidR="00F143FD" w:rsidRPr="005E7943" w:rsidRDefault="00F143FD" w:rsidP="004479A9">
            <w:pPr>
              <w:pStyle w:val="Tabletext"/>
            </w:pPr>
          </w:p>
        </w:tc>
        <w:tc>
          <w:tcPr>
            <w:tcW w:w="1165" w:type="dxa"/>
            <w:tcBorders>
              <w:top w:val="nil"/>
              <w:left w:val="nil"/>
              <w:bottom w:val="nil"/>
              <w:right w:val="nil"/>
            </w:tcBorders>
          </w:tcPr>
          <w:p w14:paraId="571989BA" w14:textId="77777777" w:rsidR="00F143FD" w:rsidRPr="005E7943" w:rsidRDefault="00F143FD" w:rsidP="004479A9">
            <w:pPr>
              <w:pStyle w:val="Tabletext"/>
            </w:pPr>
            <w:r w:rsidRPr="005E7943">
              <w:t>Moderate risk</w:t>
            </w:r>
          </w:p>
        </w:tc>
        <w:tc>
          <w:tcPr>
            <w:tcW w:w="1207" w:type="dxa"/>
            <w:tcBorders>
              <w:top w:val="nil"/>
              <w:left w:val="nil"/>
              <w:bottom w:val="nil"/>
              <w:right w:val="nil"/>
            </w:tcBorders>
          </w:tcPr>
          <w:p w14:paraId="09C59830" w14:textId="77777777" w:rsidR="00F143FD" w:rsidRPr="005E7943" w:rsidRDefault="00F143FD" w:rsidP="004479A9">
            <w:pPr>
              <w:pStyle w:val="Tabletext"/>
            </w:pPr>
            <w:r w:rsidRPr="005E7943">
              <w:t>–.049</w:t>
            </w:r>
          </w:p>
        </w:tc>
        <w:tc>
          <w:tcPr>
            <w:tcW w:w="1230" w:type="dxa"/>
            <w:tcBorders>
              <w:top w:val="nil"/>
              <w:left w:val="nil"/>
              <w:bottom w:val="nil"/>
              <w:right w:val="nil"/>
            </w:tcBorders>
          </w:tcPr>
          <w:p w14:paraId="7C6C2753" w14:textId="77777777" w:rsidR="00F143FD" w:rsidRPr="005E7943" w:rsidRDefault="00F143FD" w:rsidP="004479A9">
            <w:pPr>
              <w:pStyle w:val="Tabletext"/>
            </w:pPr>
            <w:r w:rsidRPr="005E7943">
              <w:t>–.350</w:t>
            </w:r>
          </w:p>
        </w:tc>
        <w:tc>
          <w:tcPr>
            <w:tcW w:w="1299" w:type="dxa"/>
            <w:gridSpan w:val="2"/>
            <w:tcBorders>
              <w:top w:val="nil"/>
              <w:left w:val="nil"/>
              <w:bottom w:val="nil"/>
              <w:right w:val="nil"/>
            </w:tcBorders>
          </w:tcPr>
          <w:p w14:paraId="5C2D9CB4" w14:textId="77777777" w:rsidR="00F143FD" w:rsidRPr="005E7943" w:rsidRDefault="00F143FD" w:rsidP="004479A9">
            <w:pPr>
              <w:pStyle w:val="Tabletext"/>
            </w:pPr>
            <w:r w:rsidRPr="005E7943">
              <w:t>–.700, .000</w:t>
            </w:r>
          </w:p>
        </w:tc>
        <w:tc>
          <w:tcPr>
            <w:tcW w:w="815" w:type="dxa"/>
            <w:tcBorders>
              <w:top w:val="nil"/>
              <w:left w:val="nil"/>
              <w:bottom w:val="nil"/>
              <w:right w:val="nil"/>
            </w:tcBorders>
          </w:tcPr>
          <w:p w14:paraId="5CE1817A" w14:textId="77777777" w:rsidR="00F143FD" w:rsidRPr="005E7943" w:rsidRDefault="00F143FD" w:rsidP="004479A9">
            <w:pPr>
              <w:pStyle w:val="Tabletext"/>
            </w:pPr>
          </w:p>
        </w:tc>
        <w:tc>
          <w:tcPr>
            <w:tcW w:w="958" w:type="dxa"/>
            <w:tcBorders>
              <w:top w:val="nil"/>
              <w:left w:val="nil"/>
              <w:bottom w:val="nil"/>
              <w:right w:val="nil"/>
            </w:tcBorders>
          </w:tcPr>
          <w:p w14:paraId="5231083A" w14:textId="77777777" w:rsidR="00F143FD" w:rsidRPr="005E7943" w:rsidRDefault="00F143FD" w:rsidP="004479A9">
            <w:pPr>
              <w:pStyle w:val="Tabletext"/>
            </w:pPr>
          </w:p>
        </w:tc>
      </w:tr>
      <w:tr w:rsidR="00F143FD" w:rsidRPr="00BD1758" w14:paraId="33BF613B" w14:textId="77777777" w:rsidTr="004479A9">
        <w:tc>
          <w:tcPr>
            <w:tcW w:w="2352" w:type="dxa"/>
            <w:vMerge/>
            <w:tcBorders>
              <w:left w:val="nil"/>
              <w:right w:val="nil"/>
            </w:tcBorders>
          </w:tcPr>
          <w:p w14:paraId="568D35D6" w14:textId="77777777" w:rsidR="00F143FD" w:rsidRPr="005E7943" w:rsidRDefault="00F143FD" w:rsidP="004479A9">
            <w:pPr>
              <w:pStyle w:val="Tabletext"/>
            </w:pPr>
          </w:p>
        </w:tc>
        <w:tc>
          <w:tcPr>
            <w:tcW w:w="1165" w:type="dxa"/>
            <w:tcBorders>
              <w:top w:val="nil"/>
              <w:left w:val="nil"/>
              <w:bottom w:val="single" w:sz="4" w:space="0" w:color="auto"/>
              <w:right w:val="nil"/>
            </w:tcBorders>
          </w:tcPr>
          <w:p w14:paraId="025727F1" w14:textId="77777777" w:rsidR="00F143FD" w:rsidRPr="005E7943" w:rsidRDefault="00F143FD" w:rsidP="004479A9">
            <w:pPr>
              <w:pStyle w:val="Tabletext"/>
            </w:pPr>
            <w:r w:rsidRPr="005E7943">
              <w:t>Significant risk</w:t>
            </w:r>
          </w:p>
        </w:tc>
        <w:tc>
          <w:tcPr>
            <w:tcW w:w="1207" w:type="dxa"/>
            <w:tcBorders>
              <w:top w:val="nil"/>
              <w:left w:val="nil"/>
              <w:bottom w:val="single" w:sz="4" w:space="0" w:color="auto"/>
              <w:right w:val="nil"/>
            </w:tcBorders>
          </w:tcPr>
          <w:p w14:paraId="64A3E9D1" w14:textId="77777777" w:rsidR="00F143FD" w:rsidRPr="005E7943" w:rsidRDefault="00F143FD" w:rsidP="004479A9">
            <w:pPr>
              <w:pStyle w:val="Tabletext"/>
            </w:pPr>
            <w:r w:rsidRPr="005E7943">
              <w:t>–.006</w:t>
            </w:r>
          </w:p>
        </w:tc>
        <w:tc>
          <w:tcPr>
            <w:tcW w:w="1230" w:type="dxa"/>
            <w:tcBorders>
              <w:top w:val="nil"/>
              <w:left w:val="nil"/>
              <w:bottom w:val="single" w:sz="4" w:space="0" w:color="auto"/>
              <w:right w:val="nil"/>
            </w:tcBorders>
          </w:tcPr>
          <w:p w14:paraId="7F4DE9A4" w14:textId="77777777" w:rsidR="00F143FD" w:rsidRPr="005E7943" w:rsidRDefault="00F143FD" w:rsidP="004479A9">
            <w:pPr>
              <w:pStyle w:val="Tabletext"/>
            </w:pPr>
            <w:r w:rsidRPr="005E7943">
              <w:t>–.033</w:t>
            </w:r>
          </w:p>
        </w:tc>
        <w:tc>
          <w:tcPr>
            <w:tcW w:w="1299" w:type="dxa"/>
            <w:gridSpan w:val="2"/>
            <w:tcBorders>
              <w:top w:val="nil"/>
              <w:left w:val="nil"/>
              <w:bottom w:val="single" w:sz="4" w:space="0" w:color="auto"/>
              <w:right w:val="nil"/>
            </w:tcBorders>
          </w:tcPr>
          <w:p w14:paraId="6B092CF1" w14:textId="77777777" w:rsidR="00F143FD" w:rsidRPr="005E7943" w:rsidRDefault="00F143FD" w:rsidP="004479A9">
            <w:pPr>
              <w:pStyle w:val="Tabletext"/>
            </w:pPr>
            <w:r w:rsidRPr="005E7943">
              <w:t>–.297, .232</w:t>
            </w:r>
          </w:p>
        </w:tc>
        <w:tc>
          <w:tcPr>
            <w:tcW w:w="815" w:type="dxa"/>
            <w:tcBorders>
              <w:top w:val="nil"/>
              <w:left w:val="nil"/>
              <w:bottom w:val="single" w:sz="4" w:space="0" w:color="auto"/>
              <w:right w:val="nil"/>
            </w:tcBorders>
          </w:tcPr>
          <w:p w14:paraId="5A0DF6D6" w14:textId="77777777" w:rsidR="00F143FD" w:rsidRPr="005E7943" w:rsidRDefault="00F143FD" w:rsidP="004479A9">
            <w:pPr>
              <w:pStyle w:val="Tabletext"/>
            </w:pPr>
          </w:p>
        </w:tc>
        <w:tc>
          <w:tcPr>
            <w:tcW w:w="958" w:type="dxa"/>
            <w:tcBorders>
              <w:top w:val="nil"/>
              <w:left w:val="nil"/>
              <w:bottom w:val="single" w:sz="4" w:space="0" w:color="auto"/>
              <w:right w:val="nil"/>
            </w:tcBorders>
          </w:tcPr>
          <w:p w14:paraId="64C34F20" w14:textId="77777777" w:rsidR="00F143FD" w:rsidRPr="005E7943" w:rsidRDefault="00F143FD" w:rsidP="004479A9">
            <w:pPr>
              <w:pStyle w:val="Tabletext"/>
            </w:pPr>
          </w:p>
        </w:tc>
      </w:tr>
      <w:tr w:rsidR="00F143FD" w:rsidRPr="00BD1758" w14:paraId="3F7AACFB" w14:textId="77777777" w:rsidTr="004479A9">
        <w:tc>
          <w:tcPr>
            <w:tcW w:w="2352" w:type="dxa"/>
            <w:vMerge w:val="restart"/>
            <w:tcBorders>
              <w:left w:val="nil"/>
              <w:right w:val="nil"/>
            </w:tcBorders>
          </w:tcPr>
          <w:p w14:paraId="5001EFC5" w14:textId="77777777" w:rsidR="00F143FD" w:rsidRPr="005E7943" w:rsidRDefault="00F143FD" w:rsidP="004479A9">
            <w:pPr>
              <w:pStyle w:val="Tabletext"/>
            </w:pPr>
            <w:r w:rsidRPr="005E7943">
              <w:t>Perceived risk of COVID-19 to oneself (reference: major)</w:t>
            </w:r>
          </w:p>
        </w:tc>
        <w:tc>
          <w:tcPr>
            <w:tcW w:w="1165" w:type="dxa"/>
            <w:tcBorders>
              <w:left w:val="nil"/>
              <w:bottom w:val="nil"/>
              <w:right w:val="nil"/>
            </w:tcBorders>
          </w:tcPr>
          <w:p w14:paraId="75584283" w14:textId="77777777" w:rsidR="00F143FD" w:rsidRPr="005E7943" w:rsidRDefault="00F143FD" w:rsidP="004479A9">
            <w:pPr>
              <w:pStyle w:val="Tabletext"/>
            </w:pPr>
          </w:p>
        </w:tc>
        <w:tc>
          <w:tcPr>
            <w:tcW w:w="1207" w:type="dxa"/>
            <w:tcBorders>
              <w:left w:val="nil"/>
              <w:bottom w:val="nil"/>
              <w:right w:val="nil"/>
            </w:tcBorders>
          </w:tcPr>
          <w:p w14:paraId="55FC95A6" w14:textId="77777777" w:rsidR="00F143FD" w:rsidRPr="005E7943" w:rsidRDefault="00F143FD" w:rsidP="004479A9">
            <w:pPr>
              <w:pStyle w:val="Tabletext"/>
            </w:pPr>
          </w:p>
        </w:tc>
        <w:tc>
          <w:tcPr>
            <w:tcW w:w="1388" w:type="dxa"/>
            <w:gridSpan w:val="2"/>
            <w:tcBorders>
              <w:left w:val="nil"/>
              <w:bottom w:val="nil"/>
              <w:right w:val="nil"/>
            </w:tcBorders>
          </w:tcPr>
          <w:p w14:paraId="5605D719" w14:textId="77777777" w:rsidR="00F143FD" w:rsidRPr="005E7943" w:rsidRDefault="00F143FD" w:rsidP="004479A9">
            <w:pPr>
              <w:pStyle w:val="Tabletext"/>
            </w:pPr>
          </w:p>
        </w:tc>
        <w:tc>
          <w:tcPr>
            <w:tcW w:w="1141" w:type="dxa"/>
            <w:tcBorders>
              <w:left w:val="nil"/>
              <w:bottom w:val="nil"/>
              <w:right w:val="nil"/>
            </w:tcBorders>
          </w:tcPr>
          <w:p w14:paraId="3919B319" w14:textId="77777777" w:rsidR="00F143FD" w:rsidRPr="005E7943" w:rsidRDefault="00F143FD" w:rsidP="004479A9">
            <w:pPr>
              <w:pStyle w:val="Tabletext"/>
            </w:pPr>
          </w:p>
        </w:tc>
        <w:tc>
          <w:tcPr>
            <w:tcW w:w="815" w:type="dxa"/>
            <w:tcBorders>
              <w:left w:val="nil"/>
              <w:bottom w:val="nil"/>
              <w:right w:val="nil"/>
            </w:tcBorders>
          </w:tcPr>
          <w:p w14:paraId="29F897D5" w14:textId="77777777" w:rsidR="00F143FD" w:rsidRPr="005E7943" w:rsidRDefault="00F143FD" w:rsidP="004479A9">
            <w:pPr>
              <w:pStyle w:val="Tabletext"/>
            </w:pPr>
            <w:r w:rsidRPr="005E7943">
              <w:t>.501</w:t>
            </w:r>
          </w:p>
        </w:tc>
        <w:tc>
          <w:tcPr>
            <w:tcW w:w="958" w:type="dxa"/>
            <w:tcBorders>
              <w:left w:val="nil"/>
              <w:bottom w:val="nil"/>
              <w:right w:val="nil"/>
            </w:tcBorders>
          </w:tcPr>
          <w:p w14:paraId="40E58060" w14:textId="77777777" w:rsidR="00F143FD" w:rsidRPr="005E7943" w:rsidRDefault="00F143FD" w:rsidP="004479A9">
            <w:pPr>
              <w:pStyle w:val="Tabletext"/>
            </w:pPr>
            <w:r w:rsidRPr="005E7943">
              <w:t>0.04</w:t>
            </w:r>
          </w:p>
        </w:tc>
      </w:tr>
      <w:tr w:rsidR="00F143FD" w:rsidRPr="00BD1758" w14:paraId="31E059F9" w14:textId="77777777" w:rsidTr="004479A9">
        <w:tc>
          <w:tcPr>
            <w:tcW w:w="2352" w:type="dxa"/>
            <w:vMerge/>
            <w:tcBorders>
              <w:left w:val="nil"/>
              <w:right w:val="nil"/>
            </w:tcBorders>
          </w:tcPr>
          <w:p w14:paraId="604AE54F" w14:textId="77777777" w:rsidR="00F143FD" w:rsidRPr="005E7943" w:rsidRDefault="00F143FD" w:rsidP="004479A9">
            <w:pPr>
              <w:pStyle w:val="Tabletext"/>
            </w:pPr>
          </w:p>
        </w:tc>
        <w:tc>
          <w:tcPr>
            <w:tcW w:w="1165" w:type="dxa"/>
            <w:tcBorders>
              <w:top w:val="nil"/>
              <w:left w:val="nil"/>
              <w:bottom w:val="nil"/>
              <w:right w:val="nil"/>
            </w:tcBorders>
          </w:tcPr>
          <w:p w14:paraId="344BF685" w14:textId="77777777" w:rsidR="00F143FD" w:rsidRPr="005E7943" w:rsidRDefault="00F143FD" w:rsidP="004479A9">
            <w:pPr>
              <w:pStyle w:val="Tabletext"/>
            </w:pPr>
            <w:r w:rsidRPr="005E7943">
              <w:t>No or minor risk</w:t>
            </w:r>
          </w:p>
        </w:tc>
        <w:tc>
          <w:tcPr>
            <w:tcW w:w="1207" w:type="dxa"/>
            <w:tcBorders>
              <w:top w:val="nil"/>
              <w:left w:val="nil"/>
              <w:bottom w:val="nil"/>
              <w:right w:val="nil"/>
            </w:tcBorders>
          </w:tcPr>
          <w:p w14:paraId="613D1897" w14:textId="77777777" w:rsidR="00F143FD" w:rsidRPr="005E7943" w:rsidRDefault="00F143FD" w:rsidP="004479A9">
            <w:pPr>
              <w:pStyle w:val="Tabletext"/>
            </w:pPr>
            <w:r w:rsidRPr="005E7943">
              <w:t>.022</w:t>
            </w:r>
          </w:p>
        </w:tc>
        <w:tc>
          <w:tcPr>
            <w:tcW w:w="1388" w:type="dxa"/>
            <w:gridSpan w:val="2"/>
            <w:tcBorders>
              <w:top w:val="nil"/>
              <w:left w:val="nil"/>
              <w:bottom w:val="nil"/>
              <w:right w:val="nil"/>
            </w:tcBorders>
          </w:tcPr>
          <w:p w14:paraId="7FE5559C" w14:textId="77777777" w:rsidR="00F143FD" w:rsidRPr="005E7943" w:rsidRDefault="00F143FD" w:rsidP="004479A9">
            <w:pPr>
              <w:pStyle w:val="Tabletext"/>
            </w:pPr>
            <w:r w:rsidRPr="005E7943">
              <w:t>.144</w:t>
            </w:r>
          </w:p>
        </w:tc>
        <w:tc>
          <w:tcPr>
            <w:tcW w:w="1141" w:type="dxa"/>
            <w:tcBorders>
              <w:top w:val="nil"/>
              <w:left w:val="nil"/>
              <w:bottom w:val="nil"/>
              <w:right w:val="nil"/>
            </w:tcBorders>
          </w:tcPr>
          <w:p w14:paraId="1C122C13" w14:textId="77777777" w:rsidR="00F143FD" w:rsidRPr="005E7943" w:rsidRDefault="00F143FD" w:rsidP="004479A9">
            <w:pPr>
              <w:pStyle w:val="Tabletext"/>
            </w:pPr>
            <w:r w:rsidRPr="005E7943">
              <w:t>–.353, .640</w:t>
            </w:r>
          </w:p>
        </w:tc>
        <w:tc>
          <w:tcPr>
            <w:tcW w:w="815" w:type="dxa"/>
            <w:tcBorders>
              <w:top w:val="nil"/>
              <w:left w:val="nil"/>
              <w:bottom w:val="nil"/>
              <w:right w:val="nil"/>
            </w:tcBorders>
          </w:tcPr>
          <w:p w14:paraId="003185AF" w14:textId="77777777" w:rsidR="00F143FD" w:rsidRPr="005E7943" w:rsidRDefault="00F143FD" w:rsidP="004479A9">
            <w:pPr>
              <w:pStyle w:val="Tabletext"/>
            </w:pPr>
          </w:p>
        </w:tc>
        <w:tc>
          <w:tcPr>
            <w:tcW w:w="958" w:type="dxa"/>
            <w:tcBorders>
              <w:top w:val="nil"/>
              <w:left w:val="nil"/>
              <w:bottom w:val="nil"/>
              <w:right w:val="nil"/>
            </w:tcBorders>
          </w:tcPr>
          <w:p w14:paraId="06E24792" w14:textId="77777777" w:rsidR="00F143FD" w:rsidRPr="005E7943" w:rsidRDefault="00F143FD" w:rsidP="004479A9">
            <w:pPr>
              <w:pStyle w:val="Tabletext"/>
            </w:pPr>
          </w:p>
        </w:tc>
      </w:tr>
      <w:tr w:rsidR="00F143FD" w:rsidRPr="00BD1758" w14:paraId="7F70C8B7" w14:textId="77777777" w:rsidTr="004479A9">
        <w:tc>
          <w:tcPr>
            <w:tcW w:w="2352" w:type="dxa"/>
            <w:vMerge/>
            <w:tcBorders>
              <w:left w:val="nil"/>
              <w:right w:val="nil"/>
            </w:tcBorders>
          </w:tcPr>
          <w:p w14:paraId="06E87493" w14:textId="77777777" w:rsidR="00F143FD" w:rsidRPr="005E7943" w:rsidRDefault="00F143FD" w:rsidP="004479A9">
            <w:pPr>
              <w:pStyle w:val="Tabletext"/>
            </w:pPr>
          </w:p>
        </w:tc>
        <w:tc>
          <w:tcPr>
            <w:tcW w:w="1165" w:type="dxa"/>
            <w:tcBorders>
              <w:top w:val="nil"/>
              <w:left w:val="nil"/>
              <w:bottom w:val="nil"/>
              <w:right w:val="nil"/>
            </w:tcBorders>
          </w:tcPr>
          <w:p w14:paraId="1ECCEECD" w14:textId="77777777" w:rsidR="00F143FD" w:rsidRPr="005E7943" w:rsidRDefault="00F143FD" w:rsidP="004479A9">
            <w:pPr>
              <w:pStyle w:val="Tabletext"/>
            </w:pPr>
            <w:r w:rsidRPr="005E7943">
              <w:t>Moderate risk</w:t>
            </w:r>
          </w:p>
        </w:tc>
        <w:tc>
          <w:tcPr>
            <w:tcW w:w="1207" w:type="dxa"/>
            <w:tcBorders>
              <w:top w:val="nil"/>
              <w:left w:val="nil"/>
              <w:bottom w:val="nil"/>
              <w:right w:val="nil"/>
            </w:tcBorders>
          </w:tcPr>
          <w:p w14:paraId="36F203EE" w14:textId="77777777" w:rsidR="00F143FD" w:rsidRPr="005E7943" w:rsidRDefault="00F143FD" w:rsidP="004479A9">
            <w:pPr>
              <w:pStyle w:val="Tabletext"/>
            </w:pPr>
            <w:r w:rsidRPr="005E7943">
              <w:t>.029</w:t>
            </w:r>
          </w:p>
        </w:tc>
        <w:tc>
          <w:tcPr>
            <w:tcW w:w="1388" w:type="dxa"/>
            <w:gridSpan w:val="2"/>
            <w:tcBorders>
              <w:top w:val="nil"/>
              <w:left w:val="nil"/>
              <w:bottom w:val="nil"/>
              <w:right w:val="nil"/>
            </w:tcBorders>
          </w:tcPr>
          <w:p w14:paraId="7D8D8E4C" w14:textId="77777777" w:rsidR="00F143FD" w:rsidRPr="005E7943" w:rsidRDefault="00F143FD" w:rsidP="004479A9">
            <w:pPr>
              <w:pStyle w:val="Tabletext"/>
            </w:pPr>
            <w:r w:rsidRPr="005E7943">
              <w:t>.173</w:t>
            </w:r>
          </w:p>
        </w:tc>
        <w:tc>
          <w:tcPr>
            <w:tcW w:w="1141" w:type="dxa"/>
            <w:tcBorders>
              <w:top w:val="nil"/>
              <w:left w:val="nil"/>
              <w:bottom w:val="nil"/>
              <w:right w:val="nil"/>
            </w:tcBorders>
          </w:tcPr>
          <w:p w14:paraId="3A98F10C" w14:textId="77777777" w:rsidR="00F143FD" w:rsidRPr="005E7943" w:rsidRDefault="00F143FD" w:rsidP="004479A9">
            <w:pPr>
              <w:pStyle w:val="Tabletext"/>
            </w:pPr>
            <w:r w:rsidRPr="005E7943">
              <w:t>–.239, .585</w:t>
            </w:r>
          </w:p>
        </w:tc>
        <w:tc>
          <w:tcPr>
            <w:tcW w:w="815" w:type="dxa"/>
            <w:tcBorders>
              <w:top w:val="nil"/>
              <w:left w:val="nil"/>
              <w:bottom w:val="nil"/>
              <w:right w:val="nil"/>
            </w:tcBorders>
          </w:tcPr>
          <w:p w14:paraId="18642185" w14:textId="77777777" w:rsidR="00F143FD" w:rsidRPr="005E7943" w:rsidRDefault="00F143FD" w:rsidP="004479A9">
            <w:pPr>
              <w:pStyle w:val="Tabletext"/>
            </w:pPr>
          </w:p>
        </w:tc>
        <w:tc>
          <w:tcPr>
            <w:tcW w:w="958" w:type="dxa"/>
            <w:tcBorders>
              <w:top w:val="nil"/>
              <w:left w:val="nil"/>
              <w:bottom w:val="nil"/>
              <w:right w:val="nil"/>
            </w:tcBorders>
          </w:tcPr>
          <w:p w14:paraId="54669BB8" w14:textId="77777777" w:rsidR="00F143FD" w:rsidRPr="005E7943" w:rsidRDefault="00F143FD" w:rsidP="004479A9">
            <w:pPr>
              <w:pStyle w:val="Tabletext"/>
            </w:pPr>
          </w:p>
        </w:tc>
      </w:tr>
      <w:tr w:rsidR="00F143FD" w:rsidRPr="00BD1758" w14:paraId="01C3DBED" w14:textId="77777777" w:rsidTr="004479A9">
        <w:tc>
          <w:tcPr>
            <w:tcW w:w="2352" w:type="dxa"/>
            <w:vMerge/>
            <w:tcBorders>
              <w:left w:val="nil"/>
              <w:right w:val="nil"/>
            </w:tcBorders>
          </w:tcPr>
          <w:p w14:paraId="24D123BF" w14:textId="77777777" w:rsidR="00F143FD" w:rsidRPr="005E7943" w:rsidRDefault="00F143FD" w:rsidP="004479A9">
            <w:pPr>
              <w:pStyle w:val="Tabletext"/>
            </w:pPr>
          </w:p>
        </w:tc>
        <w:tc>
          <w:tcPr>
            <w:tcW w:w="1165" w:type="dxa"/>
            <w:tcBorders>
              <w:top w:val="nil"/>
              <w:left w:val="nil"/>
              <w:bottom w:val="single" w:sz="4" w:space="0" w:color="auto"/>
              <w:right w:val="nil"/>
            </w:tcBorders>
          </w:tcPr>
          <w:p w14:paraId="06551541" w14:textId="77777777" w:rsidR="00F143FD" w:rsidRPr="005E7943" w:rsidRDefault="00F143FD" w:rsidP="004479A9">
            <w:pPr>
              <w:pStyle w:val="Tabletext"/>
            </w:pPr>
            <w:r w:rsidRPr="005E7943">
              <w:t>Significant risk</w:t>
            </w:r>
          </w:p>
        </w:tc>
        <w:tc>
          <w:tcPr>
            <w:tcW w:w="1207" w:type="dxa"/>
            <w:tcBorders>
              <w:top w:val="nil"/>
              <w:left w:val="nil"/>
              <w:bottom w:val="single" w:sz="4" w:space="0" w:color="auto"/>
              <w:right w:val="nil"/>
            </w:tcBorders>
          </w:tcPr>
          <w:p w14:paraId="091D214E" w14:textId="77777777" w:rsidR="00F143FD" w:rsidRPr="005E7943" w:rsidRDefault="00F143FD" w:rsidP="004479A9">
            <w:pPr>
              <w:pStyle w:val="Tabletext"/>
            </w:pPr>
            <w:r w:rsidRPr="005E7943">
              <w:t>.033</w:t>
            </w:r>
          </w:p>
        </w:tc>
        <w:tc>
          <w:tcPr>
            <w:tcW w:w="1388" w:type="dxa"/>
            <w:gridSpan w:val="2"/>
            <w:tcBorders>
              <w:top w:val="nil"/>
              <w:left w:val="nil"/>
              <w:bottom w:val="single" w:sz="4" w:space="0" w:color="auto"/>
              <w:right w:val="nil"/>
            </w:tcBorders>
          </w:tcPr>
          <w:p w14:paraId="3D9353C6" w14:textId="77777777" w:rsidR="00F143FD" w:rsidRPr="005E7943" w:rsidRDefault="00F143FD" w:rsidP="004479A9">
            <w:pPr>
              <w:pStyle w:val="Tabletext"/>
            </w:pPr>
            <w:r w:rsidRPr="005E7943">
              <w:t>.218</w:t>
            </w:r>
          </w:p>
        </w:tc>
        <w:tc>
          <w:tcPr>
            <w:tcW w:w="1141" w:type="dxa"/>
            <w:tcBorders>
              <w:top w:val="nil"/>
              <w:left w:val="nil"/>
              <w:bottom w:val="single" w:sz="4" w:space="0" w:color="auto"/>
              <w:right w:val="nil"/>
            </w:tcBorders>
          </w:tcPr>
          <w:p w14:paraId="5801B3BC" w14:textId="77777777" w:rsidR="00F143FD" w:rsidRPr="005E7943" w:rsidRDefault="00F143FD" w:rsidP="004479A9">
            <w:pPr>
              <w:pStyle w:val="Tabletext"/>
            </w:pPr>
            <w:r w:rsidRPr="005E7943">
              <w:t>–.162, .597</w:t>
            </w:r>
          </w:p>
          <w:p w14:paraId="54592736" w14:textId="77777777" w:rsidR="00F143FD" w:rsidRPr="005E7943" w:rsidRDefault="00F143FD" w:rsidP="004479A9">
            <w:pPr>
              <w:pStyle w:val="Tabletext"/>
            </w:pPr>
          </w:p>
        </w:tc>
        <w:tc>
          <w:tcPr>
            <w:tcW w:w="815" w:type="dxa"/>
            <w:tcBorders>
              <w:top w:val="nil"/>
              <w:left w:val="nil"/>
              <w:bottom w:val="single" w:sz="4" w:space="0" w:color="auto"/>
              <w:right w:val="nil"/>
            </w:tcBorders>
          </w:tcPr>
          <w:p w14:paraId="7B421C61" w14:textId="77777777" w:rsidR="00F143FD" w:rsidRPr="005E7943" w:rsidRDefault="00F143FD" w:rsidP="004479A9">
            <w:pPr>
              <w:pStyle w:val="Tabletext"/>
            </w:pPr>
          </w:p>
        </w:tc>
        <w:tc>
          <w:tcPr>
            <w:tcW w:w="958" w:type="dxa"/>
            <w:tcBorders>
              <w:top w:val="nil"/>
              <w:left w:val="nil"/>
              <w:bottom w:val="single" w:sz="4" w:space="0" w:color="auto"/>
              <w:right w:val="nil"/>
            </w:tcBorders>
          </w:tcPr>
          <w:p w14:paraId="3247A64E" w14:textId="77777777" w:rsidR="00F143FD" w:rsidRPr="005E7943" w:rsidRDefault="00F143FD" w:rsidP="004479A9">
            <w:pPr>
              <w:pStyle w:val="Tabletext"/>
            </w:pPr>
          </w:p>
        </w:tc>
      </w:tr>
      <w:tr w:rsidR="00F143FD" w:rsidRPr="00BD1758" w14:paraId="7A2EFE1C" w14:textId="77777777" w:rsidTr="004479A9">
        <w:tc>
          <w:tcPr>
            <w:tcW w:w="2352" w:type="dxa"/>
            <w:vMerge w:val="restart"/>
            <w:tcBorders>
              <w:left w:val="nil"/>
              <w:right w:val="nil"/>
            </w:tcBorders>
          </w:tcPr>
          <w:p w14:paraId="51D8C18D" w14:textId="77777777" w:rsidR="00F143FD" w:rsidRPr="005E7943" w:rsidRDefault="00F143FD" w:rsidP="004479A9">
            <w:pPr>
              <w:pStyle w:val="Tabletext"/>
            </w:pPr>
            <w:r w:rsidRPr="005E7943">
              <w:lastRenderedPageBreak/>
              <w:t>Do you have/have you had COVID-19? (refe</w:t>
            </w:r>
            <w:bookmarkStart w:id="19" w:name="_GoBack"/>
            <w:bookmarkEnd w:id="19"/>
            <w:r w:rsidRPr="005E7943">
              <w:t>rence: probably/definitely)</w:t>
            </w:r>
          </w:p>
        </w:tc>
        <w:tc>
          <w:tcPr>
            <w:tcW w:w="1165" w:type="dxa"/>
            <w:tcBorders>
              <w:left w:val="nil"/>
              <w:bottom w:val="nil"/>
              <w:right w:val="nil"/>
            </w:tcBorders>
          </w:tcPr>
          <w:p w14:paraId="03862FBF" w14:textId="77777777" w:rsidR="00F143FD" w:rsidRPr="005E7943" w:rsidRDefault="00F143FD" w:rsidP="004479A9">
            <w:pPr>
              <w:pStyle w:val="Tabletext"/>
            </w:pPr>
          </w:p>
        </w:tc>
        <w:tc>
          <w:tcPr>
            <w:tcW w:w="1207" w:type="dxa"/>
            <w:tcBorders>
              <w:left w:val="nil"/>
              <w:bottom w:val="nil"/>
              <w:right w:val="nil"/>
            </w:tcBorders>
          </w:tcPr>
          <w:p w14:paraId="4DE25D9F" w14:textId="77777777" w:rsidR="00F143FD" w:rsidRPr="005E7943" w:rsidRDefault="00F143FD" w:rsidP="004479A9">
            <w:pPr>
              <w:pStyle w:val="Tabletext"/>
            </w:pPr>
          </w:p>
        </w:tc>
        <w:tc>
          <w:tcPr>
            <w:tcW w:w="1388" w:type="dxa"/>
            <w:gridSpan w:val="2"/>
            <w:tcBorders>
              <w:left w:val="nil"/>
              <w:bottom w:val="nil"/>
              <w:right w:val="nil"/>
            </w:tcBorders>
          </w:tcPr>
          <w:p w14:paraId="002E6F30" w14:textId="77777777" w:rsidR="00F143FD" w:rsidRPr="005E7943" w:rsidRDefault="00F143FD" w:rsidP="004479A9">
            <w:pPr>
              <w:pStyle w:val="Tabletext"/>
            </w:pPr>
          </w:p>
        </w:tc>
        <w:tc>
          <w:tcPr>
            <w:tcW w:w="1141" w:type="dxa"/>
            <w:tcBorders>
              <w:left w:val="nil"/>
              <w:bottom w:val="nil"/>
              <w:right w:val="nil"/>
            </w:tcBorders>
          </w:tcPr>
          <w:p w14:paraId="106C306C" w14:textId="77777777" w:rsidR="00F143FD" w:rsidRPr="005E7943" w:rsidRDefault="00F143FD" w:rsidP="004479A9">
            <w:pPr>
              <w:pStyle w:val="Tabletext"/>
            </w:pPr>
          </w:p>
        </w:tc>
        <w:tc>
          <w:tcPr>
            <w:tcW w:w="815" w:type="dxa"/>
            <w:tcBorders>
              <w:left w:val="nil"/>
              <w:bottom w:val="nil"/>
              <w:right w:val="nil"/>
            </w:tcBorders>
          </w:tcPr>
          <w:p w14:paraId="218A6A9E" w14:textId="77777777" w:rsidR="00F143FD" w:rsidRPr="005E7943" w:rsidRDefault="00F143FD" w:rsidP="004479A9">
            <w:pPr>
              <w:pStyle w:val="Tabletext"/>
            </w:pPr>
            <w:r w:rsidRPr="005E7943">
              <w:t>.627</w:t>
            </w:r>
          </w:p>
        </w:tc>
        <w:tc>
          <w:tcPr>
            <w:tcW w:w="958" w:type="dxa"/>
            <w:tcBorders>
              <w:left w:val="nil"/>
              <w:bottom w:val="nil"/>
              <w:right w:val="nil"/>
            </w:tcBorders>
          </w:tcPr>
          <w:p w14:paraId="5628E6E7" w14:textId="77777777" w:rsidR="00F143FD" w:rsidRPr="005E7943" w:rsidRDefault="00F143FD" w:rsidP="004479A9">
            <w:pPr>
              <w:pStyle w:val="Tabletext"/>
            </w:pPr>
            <w:r w:rsidRPr="005E7943">
              <w:t>0.03</w:t>
            </w:r>
          </w:p>
        </w:tc>
      </w:tr>
      <w:tr w:rsidR="00F143FD" w:rsidRPr="00BD1758" w14:paraId="792CD141" w14:textId="77777777" w:rsidTr="004479A9">
        <w:tc>
          <w:tcPr>
            <w:tcW w:w="2352" w:type="dxa"/>
            <w:vMerge/>
            <w:tcBorders>
              <w:left w:val="nil"/>
              <w:right w:val="nil"/>
            </w:tcBorders>
          </w:tcPr>
          <w:p w14:paraId="77D78256" w14:textId="77777777" w:rsidR="00F143FD" w:rsidRPr="005E7943" w:rsidRDefault="00F143FD" w:rsidP="004479A9">
            <w:pPr>
              <w:pStyle w:val="Tabletext"/>
            </w:pPr>
          </w:p>
        </w:tc>
        <w:tc>
          <w:tcPr>
            <w:tcW w:w="1165" w:type="dxa"/>
            <w:tcBorders>
              <w:top w:val="nil"/>
              <w:left w:val="nil"/>
              <w:bottom w:val="nil"/>
              <w:right w:val="nil"/>
            </w:tcBorders>
          </w:tcPr>
          <w:p w14:paraId="21B01B59" w14:textId="77777777" w:rsidR="00F143FD" w:rsidRPr="005E7943" w:rsidRDefault="00F143FD" w:rsidP="004479A9">
            <w:pPr>
              <w:pStyle w:val="Tabletext"/>
            </w:pPr>
            <w:r w:rsidRPr="005E7943">
              <w:t>Probably not</w:t>
            </w:r>
          </w:p>
        </w:tc>
        <w:tc>
          <w:tcPr>
            <w:tcW w:w="1207" w:type="dxa"/>
            <w:tcBorders>
              <w:top w:val="nil"/>
              <w:left w:val="nil"/>
              <w:bottom w:val="nil"/>
              <w:right w:val="nil"/>
            </w:tcBorders>
          </w:tcPr>
          <w:p w14:paraId="7C15F3C7" w14:textId="77777777" w:rsidR="00F143FD" w:rsidRPr="005E7943" w:rsidRDefault="00F143FD" w:rsidP="004479A9">
            <w:pPr>
              <w:pStyle w:val="Tabletext"/>
            </w:pPr>
            <w:r w:rsidRPr="005E7943">
              <w:t>.009</w:t>
            </w:r>
          </w:p>
        </w:tc>
        <w:tc>
          <w:tcPr>
            <w:tcW w:w="1388" w:type="dxa"/>
            <w:gridSpan w:val="2"/>
            <w:tcBorders>
              <w:top w:val="nil"/>
              <w:left w:val="nil"/>
              <w:bottom w:val="nil"/>
              <w:right w:val="nil"/>
            </w:tcBorders>
          </w:tcPr>
          <w:p w14:paraId="71362050" w14:textId="77777777" w:rsidR="00F143FD" w:rsidRPr="005E7943" w:rsidRDefault="00F143FD" w:rsidP="004479A9">
            <w:pPr>
              <w:pStyle w:val="Tabletext"/>
            </w:pPr>
            <w:r w:rsidRPr="005E7943">
              <w:t>.056</w:t>
            </w:r>
          </w:p>
        </w:tc>
        <w:tc>
          <w:tcPr>
            <w:tcW w:w="1141" w:type="dxa"/>
            <w:tcBorders>
              <w:top w:val="nil"/>
              <w:left w:val="nil"/>
              <w:bottom w:val="nil"/>
              <w:right w:val="nil"/>
            </w:tcBorders>
          </w:tcPr>
          <w:p w14:paraId="44828331" w14:textId="77777777" w:rsidR="00F143FD" w:rsidRPr="005E7943" w:rsidRDefault="00F143FD" w:rsidP="004479A9">
            <w:pPr>
              <w:pStyle w:val="Tabletext"/>
            </w:pPr>
            <w:r w:rsidRPr="005E7943">
              <w:t>–.271, .382</w:t>
            </w:r>
          </w:p>
        </w:tc>
        <w:tc>
          <w:tcPr>
            <w:tcW w:w="815" w:type="dxa"/>
            <w:tcBorders>
              <w:top w:val="nil"/>
              <w:left w:val="nil"/>
              <w:bottom w:val="nil"/>
              <w:right w:val="nil"/>
            </w:tcBorders>
          </w:tcPr>
          <w:p w14:paraId="5DEFB874" w14:textId="77777777" w:rsidR="00F143FD" w:rsidRPr="005E7943" w:rsidRDefault="00F143FD" w:rsidP="004479A9">
            <w:pPr>
              <w:pStyle w:val="Tabletext"/>
            </w:pPr>
          </w:p>
        </w:tc>
        <w:tc>
          <w:tcPr>
            <w:tcW w:w="958" w:type="dxa"/>
            <w:tcBorders>
              <w:top w:val="nil"/>
              <w:left w:val="nil"/>
              <w:bottom w:val="nil"/>
              <w:right w:val="nil"/>
            </w:tcBorders>
          </w:tcPr>
          <w:p w14:paraId="5084292F" w14:textId="77777777" w:rsidR="00F143FD" w:rsidRPr="005E7943" w:rsidRDefault="00F143FD" w:rsidP="004479A9">
            <w:pPr>
              <w:pStyle w:val="Tabletext"/>
            </w:pPr>
          </w:p>
        </w:tc>
      </w:tr>
      <w:tr w:rsidR="00F143FD" w:rsidRPr="00BD1758" w14:paraId="56BED783" w14:textId="77777777" w:rsidTr="004479A9">
        <w:tc>
          <w:tcPr>
            <w:tcW w:w="2352" w:type="dxa"/>
            <w:vMerge/>
            <w:tcBorders>
              <w:left w:val="nil"/>
              <w:right w:val="nil"/>
            </w:tcBorders>
          </w:tcPr>
          <w:p w14:paraId="47649B01" w14:textId="77777777" w:rsidR="00F143FD" w:rsidRPr="005E7943" w:rsidRDefault="00F143FD" w:rsidP="004479A9">
            <w:pPr>
              <w:pStyle w:val="Tabletext"/>
            </w:pPr>
          </w:p>
        </w:tc>
        <w:tc>
          <w:tcPr>
            <w:tcW w:w="1165" w:type="dxa"/>
            <w:tcBorders>
              <w:top w:val="nil"/>
              <w:left w:val="nil"/>
              <w:bottom w:val="nil"/>
              <w:right w:val="nil"/>
            </w:tcBorders>
          </w:tcPr>
          <w:p w14:paraId="799B60E2" w14:textId="77777777" w:rsidR="00F143FD" w:rsidRPr="005E7943" w:rsidRDefault="00F143FD" w:rsidP="004479A9">
            <w:pPr>
              <w:pStyle w:val="Tabletext"/>
            </w:pPr>
            <w:proofErr w:type="gramStart"/>
            <w:r w:rsidRPr="005E7943">
              <w:t>Definitely not</w:t>
            </w:r>
            <w:proofErr w:type="gramEnd"/>
          </w:p>
        </w:tc>
        <w:tc>
          <w:tcPr>
            <w:tcW w:w="1207" w:type="dxa"/>
            <w:tcBorders>
              <w:top w:val="nil"/>
              <w:left w:val="nil"/>
              <w:bottom w:val="nil"/>
              <w:right w:val="nil"/>
            </w:tcBorders>
          </w:tcPr>
          <w:p w14:paraId="58E0B10A" w14:textId="77777777" w:rsidR="00F143FD" w:rsidRPr="005E7943" w:rsidRDefault="00F143FD" w:rsidP="004479A9">
            <w:pPr>
              <w:pStyle w:val="Tabletext"/>
            </w:pPr>
            <w:r w:rsidRPr="005E7943">
              <w:t>.015</w:t>
            </w:r>
          </w:p>
        </w:tc>
        <w:tc>
          <w:tcPr>
            <w:tcW w:w="1388" w:type="dxa"/>
            <w:gridSpan w:val="2"/>
            <w:tcBorders>
              <w:top w:val="nil"/>
              <w:left w:val="nil"/>
              <w:bottom w:val="nil"/>
              <w:right w:val="nil"/>
            </w:tcBorders>
          </w:tcPr>
          <w:p w14:paraId="3EF4BF0C" w14:textId="77777777" w:rsidR="00F143FD" w:rsidRPr="005E7943" w:rsidRDefault="00F143FD" w:rsidP="004479A9">
            <w:pPr>
              <w:pStyle w:val="Tabletext"/>
            </w:pPr>
            <w:r w:rsidRPr="005E7943">
              <w:t>.089</w:t>
            </w:r>
          </w:p>
        </w:tc>
        <w:tc>
          <w:tcPr>
            <w:tcW w:w="1141" w:type="dxa"/>
            <w:tcBorders>
              <w:top w:val="nil"/>
              <w:left w:val="nil"/>
              <w:bottom w:val="nil"/>
              <w:right w:val="nil"/>
            </w:tcBorders>
          </w:tcPr>
          <w:p w14:paraId="4E521736" w14:textId="77777777" w:rsidR="00F143FD" w:rsidRPr="005E7943" w:rsidRDefault="00F143FD" w:rsidP="004479A9">
            <w:pPr>
              <w:pStyle w:val="Tabletext"/>
            </w:pPr>
            <w:r w:rsidRPr="005E7943">
              <w:t>–.244, .423</w:t>
            </w:r>
          </w:p>
        </w:tc>
        <w:tc>
          <w:tcPr>
            <w:tcW w:w="815" w:type="dxa"/>
            <w:tcBorders>
              <w:top w:val="nil"/>
              <w:left w:val="nil"/>
              <w:bottom w:val="nil"/>
              <w:right w:val="nil"/>
            </w:tcBorders>
          </w:tcPr>
          <w:p w14:paraId="3E514304" w14:textId="77777777" w:rsidR="00F143FD" w:rsidRPr="005E7943" w:rsidRDefault="00F143FD" w:rsidP="004479A9">
            <w:pPr>
              <w:pStyle w:val="Tabletext"/>
            </w:pPr>
          </w:p>
        </w:tc>
        <w:tc>
          <w:tcPr>
            <w:tcW w:w="958" w:type="dxa"/>
            <w:tcBorders>
              <w:top w:val="nil"/>
              <w:left w:val="nil"/>
              <w:bottom w:val="nil"/>
              <w:right w:val="nil"/>
            </w:tcBorders>
          </w:tcPr>
          <w:p w14:paraId="4E84C678" w14:textId="77777777" w:rsidR="00F143FD" w:rsidRPr="005E7943" w:rsidRDefault="00F143FD" w:rsidP="004479A9">
            <w:pPr>
              <w:pStyle w:val="Tabletext"/>
            </w:pPr>
          </w:p>
        </w:tc>
      </w:tr>
      <w:tr w:rsidR="00F143FD" w:rsidRPr="00BD1758" w14:paraId="1D273593" w14:textId="77777777" w:rsidTr="004479A9">
        <w:tc>
          <w:tcPr>
            <w:tcW w:w="2352" w:type="dxa"/>
            <w:vMerge/>
            <w:tcBorders>
              <w:left w:val="nil"/>
              <w:right w:val="nil"/>
            </w:tcBorders>
          </w:tcPr>
          <w:p w14:paraId="725EA855" w14:textId="77777777" w:rsidR="00F143FD" w:rsidRPr="005E7943" w:rsidRDefault="00F143FD" w:rsidP="004479A9">
            <w:pPr>
              <w:pStyle w:val="Tabletext"/>
            </w:pPr>
          </w:p>
        </w:tc>
        <w:tc>
          <w:tcPr>
            <w:tcW w:w="1165" w:type="dxa"/>
            <w:tcBorders>
              <w:top w:val="nil"/>
              <w:left w:val="nil"/>
              <w:right w:val="nil"/>
            </w:tcBorders>
          </w:tcPr>
          <w:p w14:paraId="346CCCBA" w14:textId="77777777" w:rsidR="00F143FD" w:rsidRPr="005E7943" w:rsidRDefault="00F143FD" w:rsidP="004479A9">
            <w:pPr>
              <w:pStyle w:val="Tabletext"/>
            </w:pPr>
            <w:r w:rsidRPr="005E7943">
              <w:t>Don’t know</w:t>
            </w:r>
          </w:p>
        </w:tc>
        <w:tc>
          <w:tcPr>
            <w:tcW w:w="1207" w:type="dxa"/>
            <w:tcBorders>
              <w:top w:val="nil"/>
              <w:left w:val="nil"/>
              <w:right w:val="nil"/>
            </w:tcBorders>
          </w:tcPr>
          <w:p w14:paraId="4CF6BB2F" w14:textId="77777777" w:rsidR="00F143FD" w:rsidRPr="005E7943" w:rsidRDefault="00F143FD" w:rsidP="004479A9">
            <w:pPr>
              <w:pStyle w:val="Tabletext"/>
            </w:pPr>
            <w:r w:rsidRPr="005E7943">
              <w:t>.022</w:t>
            </w:r>
          </w:p>
        </w:tc>
        <w:tc>
          <w:tcPr>
            <w:tcW w:w="1388" w:type="dxa"/>
            <w:gridSpan w:val="2"/>
            <w:tcBorders>
              <w:top w:val="nil"/>
              <w:left w:val="nil"/>
              <w:right w:val="nil"/>
            </w:tcBorders>
          </w:tcPr>
          <w:p w14:paraId="3077DC15" w14:textId="77777777" w:rsidR="00F143FD" w:rsidRPr="005E7943" w:rsidRDefault="00F143FD" w:rsidP="004479A9">
            <w:pPr>
              <w:pStyle w:val="Tabletext"/>
            </w:pPr>
            <w:r w:rsidRPr="005E7943">
              <w:t>.192</w:t>
            </w:r>
          </w:p>
        </w:tc>
        <w:tc>
          <w:tcPr>
            <w:tcW w:w="1141" w:type="dxa"/>
            <w:tcBorders>
              <w:top w:val="nil"/>
              <w:left w:val="nil"/>
              <w:right w:val="nil"/>
            </w:tcBorders>
          </w:tcPr>
          <w:p w14:paraId="0142DB96" w14:textId="77777777" w:rsidR="00F143FD" w:rsidRPr="005E7943" w:rsidRDefault="00F143FD" w:rsidP="004479A9">
            <w:pPr>
              <w:pStyle w:val="Tabletext"/>
            </w:pPr>
            <w:r w:rsidRPr="005E7943">
              <w:t>–.209, .593</w:t>
            </w:r>
          </w:p>
        </w:tc>
        <w:tc>
          <w:tcPr>
            <w:tcW w:w="815" w:type="dxa"/>
            <w:tcBorders>
              <w:top w:val="nil"/>
              <w:left w:val="nil"/>
              <w:right w:val="nil"/>
            </w:tcBorders>
          </w:tcPr>
          <w:p w14:paraId="7CEEC7AE" w14:textId="77777777" w:rsidR="00F143FD" w:rsidRPr="005E7943" w:rsidRDefault="00F143FD" w:rsidP="004479A9">
            <w:pPr>
              <w:pStyle w:val="Tabletext"/>
            </w:pPr>
          </w:p>
        </w:tc>
        <w:tc>
          <w:tcPr>
            <w:tcW w:w="958" w:type="dxa"/>
            <w:tcBorders>
              <w:top w:val="nil"/>
              <w:left w:val="nil"/>
              <w:right w:val="nil"/>
            </w:tcBorders>
          </w:tcPr>
          <w:p w14:paraId="6F6F5545" w14:textId="77777777" w:rsidR="00F143FD" w:rsidRPr="005E7943" w:rsidRDefault="00F143FD" w:rsidP="004479A9">
            <w:pPr>
              <w:pStyle w:val="Tabletext"/>
            </w:pPr>
          </w:p>
        </w:tc>
      </w:tr>
      <w:tr w:rsidR="00F143FD" w:rsidRPr="00BD1758" w14:paraId="03D771FC" w14:textId="77777777" w:rsidTr="004479A9">
        <w:tc>
          <w:tcPr>
            <w:tcW w:w="2352" w:type="dxa"/>
            <w:tcBorders>
              <w:left w:val="nil"/>
              <w:right w:val="nil"/>
            </w:tcBorders>
          </w:tcPr>
          <w:p w14:paraId="043F0579" w14:textId="77777777" w:rsidR="00F143FD" w:rsidRPr="005E7943" w:rsidRDefault="00F143FD" w:rsidP="004479A9">
            <w:pPr>
              <w:pStyle w:val="Tabletext"/>
            </w:pPr>
            <w:r w:rsidRPr="005E7943">
              <w:t>Do you know anybody who has had COVID-19? (reference: no)</w:t>
            </w:r>
          </w:p>
        </w:tc>
        <w:tc>
          <w:tcPr>
            <w:tcW w:w="1165" w:type="dxa"/>
            <w:tcBorders>
              <w:left w:val="nil"/>
              <w:right w:val="nil"/>
            </w:tcBorders>
          </w:tcPr>
          <w:p w14:paraId="00C1A7DC" w14:textId="77777777" w:rsidR="00F143FD" w:rsidRPr="005E7943" w:rsidRDefault="00F143FD" w:rsidP="004479A9">
            <w:pPr>
              <w:pStyle w:val="Tabletext"/>
            </w:pPr>
            <w:r w:rsidRPr="005E7943">
              <w:t>Yes</w:t>
            </w:r>
          </w:p>
        </w:tc>
        <w:tc>
          <w:tcPr>
            <w:tcW w:w="1207" w:type="dxa"/>
            <w:tcBorders>
              <w:left w:val="nil"/>
              <w:right w:val="nil"/>
            </w:tcBorders>
          </w:tcPr>
          <w:p w14:paraId="20515F8B" w14:textId="77777777" w:rsidR="00F143FD" w:rsidRPr="005E7943" w:rsidRDefault="00F143FD" w:rsidP="004479A9">
            <w:pPr>
              <w:pStyle w:val="Tabletext"/>
            </w:pPr>
            <w:r w:rsidRPr="005E7943">
              <w:t>.004</w:t>
            </w:r>
          </w:p>
        </w:tc>
        <w:tc>
          <w:tcPr>
            <w:tcW w:w="1388" w:type="dxa"/>
            <w:gridSpan w:val="2"/>
            <w:tcBorders>
              <w:left w:val="nil"/>
              <w:right w:val="nil"/>
            </w:tcBorders>
          </w:tcPr>
          <w:p w14:paraId="6CCB08F3" w14:textId="77777777" w:rsidR="00F143FD" w:rsidRPr="005E7943" w:rsidRDefault="00F143FD" w:rsidP="004479A9">
            <w:pPr>
              <w:pStyle w:val="Tabletext"/>
            </w:pPr>
            <w:r w:rsidRPr="005E7943">
              <w:t>.024</w:t>
            </w:r>
          </w:p>
        </w:tc>
        <w:tc>
          <w:tcPr>
            <w:tcW w:w="1141" w:type="dxa"/>
            <w:tcBorders>
              <w:left w:val="nil"/>
              <w:right w:val="nil"/>
            </w:tcBorders>
          </w:tcPr>
          <w:p w14:paraId="4423331F" w14:textId="77777777" w:rsidR="00F143FD" w:rsidRPr="005E7943" w:rsidRDefault="00F143FD" w:rsidP="004479A9">
            <w:pPr>
              <w:pStyle w:val="Tabletext"/>
            </w:pPr>
            <w:r w:rsidRPr="005E7943">
              <w:t>–.178, .225</w:t>
            </w:r>
          </w:p>
        </w:tc>
        <w:tc>
          <w:tcPr>
            <w:tcW w:w="815" w:type="dxa"/>
            <w:tcBorders>
              <w:left w:val="nil"/>
              <w:right w:val="nil"/>
            </w:tcBorders>
          </w:tcPr>
          <w:p w14:paraId="156D1098" w14:textId="77777777" w:rsidR="00F143FD" w:rsidRPr="005E7943" w:rsidRDefault="00F143FD" w:rsidP="004479A9">
            <w:pPr>
              <w:pStyle w:val="Tabletext"/>
            </w:pPr>
            <w:r w:rsidRPr="005E7943">
              <w:t>.762</w:t>
            </w:r>
          </w:p>
        </w:tc>
        <w:tc>
          <w:tcPr>
            <w:tcW w:w="958" w:type="dxa"/>
            <w:tcBorders>
              <w:left w:val="nil"/>
              <w:right w:val="nil"/>
            </w:tcBorders>
          </w:tcPr>
          <w:p w14:paraId="14225304" w14:textId="77777777" w:rsidR="00F143FD" w:rsidRPr="005E7943" w:rsidRDefault="00F143FD" w:rsidP="004479A9">
            <w:pPr>
              <w:pStyle w:val="Tabletext"/>
            </w:pPr>
            <w:r w:rsidRPr="005E7943">
              <w:t>&lt;0.01</w:t>
            </w:r>
          </w:p>
        </w:tc>
      </w:tr>
      <w:tr w:rsidR="00F143FD" w:rsidRPr="00BD1758" w14:paraId="11106958" w14:textId="77777777" w:rsidTr="004479A9">
        <w:tc>
          <w:tcPr>
            <w:tcW w:w="2352" w:type="dxa"/>
            <w:tcBorders>
              <w:left w:val="nil"/>
              <w:right w:val="nil"/>
            </w:tcBorders>
          </w:tcPr>
          <w:p w14:paraId="7B3C867E" w14:textId="77777777" w:rsidR="00F143FD" w:rsidRPr="005E7943" w:rsidRDefault="00F143FD" w:rsidP="004479A9">
            <w:pPr>
              <w:pStyle w:val="Tabletext"/>
            </w:pPr>
            <w:r w:rsidRPr="005E7943">
              <w:t>Perceived threat and impact of COVID-19</w:t>
            </w:r>
          </w:p>
        </w:tc>
        <w:tc>
          <w:tcPr>
            <w:tcW w:w="1165" w:type="dxa"/>
            <w:tcBorders>
              <w:left w:val="nil"/>
              <w:right w:val="nil"/>
            </w:tcBorders>
          </w:tcPr>
          <w:p w14:paraId="5C008795" w14:textId="77777777" w:rsidR="00F143FD" w:rsidRPr="005E7943" w:rsidRDefault="00F143FD" w:rsidP="004479A9">
            <w:pPr>
              <w:pStyle w:val="Tabletext"/>
            </w:pPr>
          </w:p>
        </w:tc>
        <w:tc>
          <w:tcPr>
            <w:tcW w:w="1207" w:type="dxa"/>
            <w:tcBorders>
              <w:left w:val="nil"/>
              <w:right w:val="nil"/>
            </w:tcBorders>
          </w:tcPr>
          <w:p w14:paraId="1B5E4A0E" w14:textId="77777777" w:rsidR="00F143FD" w:rsidRPr="005E7943" w:rsidRDefault="00F143FD" w:rsidP="004479A9">
            <w:pPr>
              <w:pStyle w:val="Tabletext"/>
            </w:pPr>
            <w:r w:rsidRPr="005E7943">
              <w:t>–.001</w:t>
            </w:r>
          </w:p>
        </w:tc>
        <w:tc>
          <w:tcPr>
            <w:tcW w:w="1388" w:type="dxa"/>
            <w:gridSpan w:val="2"/>
            <w:tcBorders>
              <w:left w:val="nil"/>
              <w:right w:val="nil"/>
            </w:tcBorders>
          </w:tcPr>
          <w:p w14:paraId="0B4BB648" w14:textId="77777777" w:rsidR="00F143FD" w:rsidRPr="005E7943" w:rsidRDefault="00F143FD" w:rsidP="004479A9">
            <w:pPr>
              <w:pStyle w:val="Tabletext"/>
            </w:pPr>
            <w:r w:rsidRPr="005E7943">
              <w:t>–.003</w:t>
            </w:r>
          </w:p>
        </w:tc>
        <w:tc>
          <w:tcPr>
            <w:tcW w:w="1141" w:type="dxa"/>
            <w:tcBorders>
              <w:left w:val="nil"/>
              <w:right w:val="nil"/>
            </w:tcBorders>
          </w:tcPr>
          <w:p w14:paraId="729CAEA9" w14:textId="77777777" w:rsidR="00F143FD" w:rsidRPr="005E7943" w:rsidRDefault="00F143FD" w:rsidP="004479A9">
            <w:pPr>
              <w:pStyle w:val="Tabletext"/>
            </w:pPr>
            <w:r w:rsidRPr="005E7943">
              <w:t>–.155, .149</w:t>
            </w:r>
          </w:p>
        </w:tc>
        <w:tc>
          <w:tcPr>
            <w:tcW w:w="815" w:type="dxa"/>
            <w:tcBorders>
              <w:left w:val="nil"/>
              <w:right w:val="nil"/>
            </w:tcBorders>
          </w:tcPr>
          <w:p w14:paraId="7FE586AC" w14:textId="77777777" w:rsidR="00F143FD" w:rsidRPr="005E7943" w:rsidRDefault="00F143FD" w:rsidP="004479A9">
            <w:pPr>
              <w:pStyle w:val="Tabletext"/>
            </w:pPr>
            <w:r w:rsidRPr="005E7943">
              <w:t>.960</w:t>
            </w:r>
          </w:p>
        </w:tc>
        <w:tc>
          <w:tcPr>
            <w:tcW w:w="958" w:type="dxa"/>
            <w:tcBorders>
              <w:left w:val="nil"/>
              <w:right w:val="nil"/>
            </w:tcBorders>
          </w:tcPr>
          <w:p w14:paraId="236C694D" w14:textId="77777777" w:rsidR="00F143FD" w:rsidRPr="005E7943" w:rsidRDefault="00F143FD" w:rsidP="004479A9">
            <w:pPr>
              <w:pStyle w:val="Tabletext"/>
            </w:pPr>
            <w:r w:rsidRPr="005E7943">
              <w:t>&lt;0.01</w:t>
            </w:r>
          </w:p>
        </w:tc>
      </w:tr>
      <w:tr w:rsidR="00F143FD" w:rsidRPr="00BD1758" w14:paraId="64C74C26" w14:textId="77777777" w:rsidTr="004479A9">
        <w:tc>
          <w:tcPr>
            <w:tcW w:w="2352" w:type="dxa"/>
            <w:tcBorders>
              <w:left w:val="nil"/>
              <w:bottom w:val="single" w:sz="12" w:space="0" w:color="auto"/>
              <w:right w:val="nil"/>
            </w:tcBorders>
          </w:tcPr>
          <w:p w14:paraId="3DA61B8D" w14:textId="77777777" w:rsidR="00F143FD" w:rsidRPr="005E7943" w:rsidRDefault="00F143FD" w:rsidP="004479A9">
            <w:pPr>
              <w:pStyle w:val="Tabletext"/>
            </w:pPr>
            <w:r w:rsidRPr="005E7943">
              <w:t>Trust in coronavirus management</w:t>
            </w:r>
          </w:p>
        </w:tc>
        <w:tc>
          <w:tcPr>
            <w:tcW w:w="1165" w:type="dxa"/>
            <w:tcBorders>
              <w:left w:val="nil"/>
              <w:bottom w:val="single" w:sz="12" w:space="0" w:color="auto"/>
              <w:right w:val="nil"/>
            </w:tcBorders>
          </w:tcPr>
          <w:p w14:paraId="287BCE1C" w14:textId="77777777" w:rsidR="00F143FD" w:rsidRPr="005E7943" w:rsidRDefault="00F143FD" w:rsidP="004479A9">
            <w:pPr>
              <w:pStyle w:val="Tabletext"/>
            </w:pPr>
          </w:p>
        </w:tc>
        <w:tc>
          <w:tcPr>
            <w:tcW w:w="1207" w:type="dxa"/>
            <w:tcBorders>
              <w:left w:val="nil"/>
              <w:bottom w:val="single" w:sz="12" w:space="0" w:color="auto"/>
              <w:right w:val="nil"/>
            </w:tcBorders>
          </w:tcPr>
          <w:p w14:paraId="309ED281" w14:textId="77777777" w:rsidR="00F143FD" w:rsidRPr="005E7943" w:rsidRDefault="00F143FD" w:rsidP="004479A9">
            <w:pPr>
              <w:pStyle w:val="Tabletext"/>
            </w:pPr>
            <w:r w:rsidRPr="005E7943">
              <w:t>–.002</w:t>
            </w:r>
          </w:p>
        </w:tc>
        <w:tc>
          <w:tcPr>
            <w:tcW w:w="1388" w:type="dxa"/>
            <w:gridSpan w:val="2"/>
            <w:tcBorders>
              <w:left w:val="nil"/>
              <w:bottom w:val="single" w:sz="12" w:space="0" w:color="auto"/>
              <w:right w:val="nil"/>
            </w:tcBorders>
          </w:tcPr>
          <w:p w14:paraId="57FE5988" w14:textId="77777777" w:rsidR="00F143FD" w:rsidRPr="005E7943" w:rsidRDefault="00F143FD" w:rsidP="004479A9">
            <w:pPr>
              <w:pStyle w:val="Tabletext"/>
            </w:pPr>
            <w:r w:rsidRPr="005E7943">
              <w:t>–.005</w:t>
            </w:r>
          </w:p>
        </w:tc>
        <w:tc>
          <w:tcPr>
            <w:tcW w:w="1141" w:type="dxa"/>
            <w:tcBorders>
              <w:left w:val="nil"/>
              <w:bottom w:val="single" w:sz="12" w:space="0" w:color="auto"/>
              <w:right w:val="nil"/>
            </w:tcBorders>
          </w:tcPr>
          <w:p w14:paraId="53BD98DC" w14:textId="77777777" w:rsidR="00F143FD" w:rsidRPr="005E7943" w:rsidRDefault="00F143FD" w:rsidP="004479A9">
            <w:pPr>
              <w:pStyle w:val="Tabletext"/>
            </w:pPr>
            <w:r w:rsidRPr="005E7943">
              <w:t>–.115, .106</w:t>
            </w:r>
          </w:p>
        </w:tc>
        <w:tc>
          <w:tcPr>
            <w:tcW w:w="815" w:type="dxa"/>
            <w:tcBorders>
              <w:left w:val="nil"/>
              <w:bottom w:val="single" w:sz="12" w:space="0" w:color="auto"/>
              <w:right w:val="nil"/>
            </w:tcBorders>
          </w:tcPr>
          <w:p w14:paraId="2B9E23B0" w14:textId="77777777" w:rsidR="00F143FD" w:rsidRPr="005E7943" w:rsidRDefault="00F143FD" w:rsidP="004479A9">
            <w:pPr>
              <w:pStyle w:val="Tabletext"/>
            </w:pPr>
            <w:r w:rsidRPr="005E7943">
              <w:t>.913</w:t>
            </w:r>
          </w:p>
        </w:tc>
        <w:tc>
          <w:tcPr>
            <w:tcW w:w="958" w:type="dxa"/>
            <w:tcBorders>
              <w:left w:val="nil"/>
              <w:right w:val="nil"/>
            </w:tcBorders>
          </w:tcPr>
          <w:p w14:paraId="6CCBE2C3" w14:textId="77777777" w:rsidR="00F143FD" w:rsidRPr="005E7943" w:rsidRDefault="00F143FD" w:rsidP="004479A9">
            <w:pPr>
              <w:pStyle w:val="Tabletext"/>
            </w:pPr>
            <w:r w:rsidRPr="005E7943">
              <w:t>&lt;0.01</w:t>
            </w:r>
          </w:p>
        </w:tc>
      </w:tr>
      <w:tr w:rsidR="00F143FD" w:rsidRPr="00BD1758" w14:paraId="298DB171" w14:textId="77777777" w:rsidTr="004479A9">
        <w:tc>
          <w:tcPr>
            <w:tcW w:w="9026" w:type="dxa"/>
            <w:gridSpan w:val="8"/>
            <w:tcBorders>
              <w:top w:val="single" w:sz="12" w:space="0" w:color="auto"/>
              <w:left w:val="nil"/>
              <w:right w:val="nil"/>
            </w:tcBorders>
          </w:tcPr>
          <w:p w14:paraId="4CC12AA4" w14:textId="77777777" w:rsidR="00F143FD" w:rsidRPr="005E7943" w:rsidRDefault="00F143FD" w:rsidP="004479A9">
            <w:pPr>
              <w:pStyle w:val="Tabletext"/>
            </w:pPr>
            <w:r w:rsidRPr="005E7943">
              <w:t>Block 5 – beliefs and attitudes about a COVID-19 vaccination</w:t>
            </w:r>
          </w:p>
        </w:tc>
      </w:tr>
      <w:tr w:rsidR="00F143FD" w:rsidRPr="00BD1758" w14:paraId="0D70E506" w14:textId="77777777" w:rsidTr="004479A9">
        <w:tc>
          <w:tcPr>
            <w:tcW w:w="2352" w:type="dxa"/>
            <w:tcBorders>
              <w:left w:val="nil"/>
              <w:right w:val="nil"/>
            </w:tcBorders>
          </w:tcPr>
          <w:p w14:paraId="3BDD0A0D" w14:textId="77777777" w:rsidR="00F143FD" w:rsidRPr="005E7943" w:rsidRDefault="00F143FD" w:rsidP="004479A9">
            <w:pPr>
              <w:pStyle w:val="Tabletext"/>
            </w:pPr>
            <w:r w:rsidRPr="005E7943">
              <w:t xml:space="preserve">General COVID-19 vaccination beliefs and attitudes </w:t>
            </w:r>
          </w:p>
        </w:tc>
        <w:tc>
          <w:tcPr>
            <w:tcW w:w="1165" w:type="dxa"/>
            <w:tcBorders>
              <w:left w:val="nil"/>
              <w:right w:val="nil"/>
            </w:tcBorders>
          </w:tcPr>
          <w:p w14:paraId="29D771EF" w14:textId="77777777" w:rsidR="00F143FD" w:rsidRPr="005E7943" w:rsidRDefault="00F143FD" w:rsidP="004479A9">
            <w:pPr>
              <w:pStyle w:val="Tabletext"/>
            </w:pPr>
          </w:p>
        </w:tc>
        <w:tc>
          <w:tcPr>
            <w:tcW w:w="1207" w:type="dxa"/>
            <w:tcBorders>
              <w:left w:val="nil"/>
              <w:right w:val="nil"/>
            </w:tcBorders>
          </w:tcPr>
          <w:p w14:paraId="493AB62A" w14:textId="77777777" w:rsidR="00F143FD" w:rsidRPr="005E7943" w:rsidRDefault="00F143FD" w:rsidP="004479A9">
            <w:pPr>
              <w:pStyle w:val="Tabletext"/>
            </w:pPr>
            <w:r w:rsidRPr="005E7943">
              <w:t>.733</w:t>
            </w:r>
          </w:p>
        </w:tc>
        <w:tc>
          <w:tcPr>
            <w:tcW w:w="1230" w:type="dxa"/>
            <w:tcBorders>
              <w:left w:val="nil"/>
              <w:right w:val="nil"/>
            </w:tcBorders>
          </w:tcPr>
          <w:p w14:paraId="6C6B4904" w14:textId="77777777" w:rsidR="00F143FD" w:rsidRPr="005E7943" w:rsidRDefault="00F143FD" w:rsidP="004479A9">
            <w:pPr>
              <w:pStyle w:val="Tabletext"/>
            </w:pPr>
            <w:r w:rsidRPr="005E7943">
              <w:t>2.144</w:t>
            </w:r>
          </w:p>
        </w:tc>
        <w:tc>
          <w:tcPr>
            <w:tcW w:w="1299" w:type="dxa"/>
            <w:gridSpan w:val="2"/>
            <w:tcBorders>
              <w:left w:val="nil"/>
              <w:right w:val="nil"/>
            </w:tcBorders>
          </w:tcPr>
          <w:p w14:paraId="6ADCFD89" w14:textId="77777777" w:rsidR="00F143FD" w:rsidRPr="005E7943" w:rsidRDefault="00F143FD" w:rsidP="004479A9">
            <w:pPr>
              <w:pStyle w:val="Tabletext"/>
            </w:pPr>
            <w:r w:rsidRPr="005E7943">
              <w:t>1.984, 2.304</w:t>
            </w:r>
          </w:p>
        </w:tc>
        <w:tc>
          <w:tcPr>
            <w:tcW w:w="815" w:type="dxa"/>
            <w:tcBorders>
              <w:left w:val="nil"/>
              <w:right w:val="nil"/>
            </w:tcBorders>
          </w:tcPr>
          <w:p w14:paraId="3AF75DF1" w14:textId="77777777" w:rsidR="00F143FD" w:rsidRPr="005E7943" w:rsidRDefault="00F143FD" w:rsidP="004479A9">
            <w:pPr>
              <w:pStyle w:val="Tabletext"/>
            </w:pPr>
            <w:r w:rsidRPr="005E7943">
              <w:t>&lt;.001*</w:t>
            </w:r>
          </w:p>
        </w:tc>
        <w:tc>
          <w:tcPr>
            <w:tcW w:w="958" w:type="dxa"/>
            <w:tcBorders>
              <w:left w:val="nil"/>
              <w:right w:val="nil"/>
            </w:tcBorders>
          </w:tcPr>
          <w:p w14:paraId="3EDBB30E" w14:textId="77777777" w:rsidR="00F143FD" w:rsidRPr="005E7943" w:rsidRDefault="00F143FD" w:rsidP="004479A9">
            <w:pPr>
              <w:pStyle w:val="Tabletext"/>
            </w:pPr>
            <w:r w:rsidRPr="005E7943">
              <w:t>19.71</w:t>
            </w:r>
          </w:p>
        </w:tc>
      </w:tr>
      <w:tr w:rsidR="00F143FD" w:rsidRPr="00BD1758" w14:paraId="3E24389F" w14:textId="77777777" w:rsidTr="004479A9">
        <w:tc>
          <w:tcPr>
            <w:tcW w:w="2352" w:type="dxa"/>
            <w:tcBorders>
              <w:left w:val="nil"/>
              <w:right w:val="nil"/>
            </w:tcBorders>
          </w:tcPr>
          <w:p w14:paraId="3F0ECEDA" w14:textId="77777777" w:rsidR="00F143FD" w:rsidRPr="005E7943" w:rsidRDefault="00F143FD" w:rsidP="004479A9">
            <w:pPr>
              <w:pStyle w:val="Tabletext"/>
            </w:pPr>
            <w:r w:rsidRPr="005E7943">
              <w:t xml:space="preserve">COVID-19 vaccination adverse effects </w:t>
            </w:r>
          </w:p>
        </w:tc>
        <w:tc>
          <w:tcPr>
            <w:tcW w:w="1165" w:type="dxa"/>
            <w:tcBorders>
              <w:left w:val="nil"/>
              <w:right w:val="nil"/>
            </w:tcBorders>
          </w:tcPr>
          <w:p w14:paraId="36225976" w14:textId="77777777" w:rsidR="00F143FD" w:rsidRPr="005E7943" w:rsidRDefault="00F143FD" w:rsidP="004479A9">
            <w:pPr>
              <w:pStyle w:val="Tabletext"/>
            </w:pPr>
          </w:p>
        </w:tc>
        <w:tc>
          <w:tcPr>
            <w:tcW w:w="1207" w:type="dxa"/>
            <w:tcBorders>
              <w:left w:val="nil"/>
              <w:right w:val="nil"/>
            </w:tcBorders>
          </w:tcPr>
          <w:p w14:paraId="5ECEDCA8" w14:textId="77777777" w:rsidR="00F143FD" w:rsidRPr="005E7943" w:rsidRDefault="00F143FD" w:rsidP="004479A9">
            <w:pPr>
              <w:pStyle w:val="Tabletext"/>
            </w:pPr>
            <w:r w:rsidRPr="005E7943">
              <w:t>–.355</w:t>
            </w:r>
          </w:p>
        </w:tc>
        <w:tc>
          <w:tcPr>
            <w:tcW w:w="1230" w:type="dxa"/>
            <w:tcBorders>
              <w:left w:val="nil"/>
              <w:right w:val="nil"/>
            </w:tcBorders>
          </w:tcPr>
          <w:p w14:paraId="40F3FC3D" w14:textId="77777777" w:rsidR="00F143FD" w:rsidRPr="005E7943" w:rsidRDefault="00F143FD" w:rsidP="004479A9">
            <w:pPr>
              <w:pStyle w:val="Tabletext"/>
            </w:pPr>
            <w:r w:rsidRPr="005E7943">
              <w:t>–1.030</w:t>
            </w:r>
          </w:p>
        </w:tc>
        <w:tc>
          <w:tcPr>
            <w:tcW w:w="1299" w:type="dxa"/>
            <w:gridSpan w:val="2"/>
            <w:tcBorders>
              <w:left w:val="nil"/>
              <w:right w:val="nil"/>
            </w:tcBorders>
          </w:tcPr>
          <w:p w14:paraId="6B207684" w14:textId="77777777" w:rsidR="00F143FD" w:rsidRPr="005E7943" w:rsidRDefault="00F143FD" w:rsidP="004479A9">
            <w:pPr>
              <w:pStyle w:val="Tabletext"/>
            </w:pPr>
            <w:r w:rsidRPr="005E7943">
              <w:t>–1.150, –.911</w:t>
            </w:r>
          </w:p>
        </w:tc>
        <w:tc>
          <w:tcPr>
            <w:tcW w:w="815" w:type="dxa"/>
            <w:tcBorders>
              <w:left w:val="nil"/>
              <w:right w:val="nil"/>
            </w:tcBorders>
          </w:tcPr>
          <w:p w14:paraId="576F954C" w14:textId="77777777" w:rsidR="00F143FD" w:rsidRPr="005E7943" w:rsidRDefault="00F143FD" w:rsidP="004479A9">
            <w:pPr>
              <w:pStyle w:val="Tabletext"/>
            </w:pPr>
            <w:r w:rsidRPr="005E7943">
              <w:t>&lt;.001*</w:t>
            </w:r>
          </w:p>
        </w:tc>
        <w:tc>
          <w:tcPr>
            <w:tcW w:w="958" w:type="dxa"/>
            <w:tcBorders>
              <w:left w:val="nil"/>
              <w:right w:val="nil"/>
            </w:tcBorders>
          </w:tcPr>
          <w:p w14:paraId="6EBF5B73" w14:textId="77777777" w:rsidR="00F143FD" w:rsidRPr="005E7943" w:rsidRDefault="00F143FD" w:rsidP="004479A9">
            <w:pPr>
              <w:pStyle w:val="Tabletext"/>
            </w:pPr>
            <w:r w:rsidRPr="005E7943">
              <w:t>8.18</w:t>
            </w:r>
          </w:p>
        </w:tc>
      </w:tr>
      <w:tr w:rsidR="00F143FD" w:rsidRPr="00BD1758" w14:paraId="5D9C2D45" w14:textId="77777777" w:rsidTr="004479A9">
        <w:tc>
          <w:tcPr>
            <w:tcW w:w="2352" w:type="dxa"/>
            <w:tcBorders>
              <w:left w:val="nil"/>
              <w:right w:val="nil"/>
            </w:tcBorders>
          </w:tcPr>
          <w:p w14:paraId="0E9D10B2" w14:textId="77777777" w:rsidR="00F143FD" w:rsidRPr="005E7943" w:rsidRDefault="00F143FD" w:rsidP="004479A9">
            <w:pPr>
              <w:pStyle w:val="Tabletext"/>
            </w:pPr>
            <w:r w:rsidRPr="005E7943">
              <w:t>Perceived knowledge sufficiency</w:t>
            </w:r>
          </w:p>
        </w:tc>
        <w:tc>
          <w:tcPr>
            <w:tcW w:w="1165" w:type="dxa"/>
            <w:tcBorders>
              <w:left w:val="nil"/>
              <w:right w:val="nil"/>
            </w:tcBorders>
          </w:tcPr>
          <w:p w14:paraId="3A96237A" w14:textId="77777777" w:rsidR="00F143FD" w:rsidRPr="005E7943" w:rsidRDefault="00F143FD" w:rsidP="004479A9">
            <w:pPr>
              <w:pStyle w:val="Tabletext"/>
            </w:pPr>
          </w:p>
        </w:tc>
        <w:tc>
          <w:tcPr>
            <w:tcW w:w="1207" w:type="dxa"/>
            <w:tcBorders>
              <w:left w:val="nil"/>
              <w:right w:val="nil"/>
            </w:tcBorders>
          </w:tcPr>
          <w:p w14:paraId="2CDBDC9C" w14:textId="77777777" w:rsidR="00F143FD" w:rsidRPr="003A015E" w:rsidRDefault="00F143FD" w:rsidP="004479A9">
            <w:pPr>
              <w:pStyle w:val="Tabletext"/>
            </w:pPr>
            <w:r w:rsidRPr="005E7943">
              <w:t>.081</w:t>
            </w:r>
          </w:p>
        </w:tc>
        <w:tc>
          <w:tcPr>
            <w:tcW w:w="1230" w:type="dxa"/>
            <w:tcBorders>
              <w:left w:val="nil"/>
              <w:right w:val="nil"/>
            </w:tcBorders>
          </w:tcPr>
          <w:p w14:paraId="09AB059F" w14:textId="77777777" w:rsidR="00F143FD" w:rsidRPr="005E7943" w:rsidRDefault="00F143FD" w:rsidP="004479A9">
            <w:pPr>
              <w:pStyle w:val="Tabletext"/>
            </w:pPr>
            <w:r w:rsidRPr="005E7943">
              <w:t>.234</w:t>
            </w:r>
          </w:p>
        </w:tc>
        <w:tc>
          <w:tcPr>
            <w:tcW w:w="1299" w:type="dxa"/>
            <w:gridSpan w:val="2"/>
            <w:tcBorders>
              <w:left w:val="nil"/>
              <w:right w:val="nil"/>
            </w:tcBorders>
          </w:tcPr>
          <w:p w14:paraId="01035A0A" w14:textId="77777777" w:rsidR="00F143FD" w:rsidRPr="005E7943" w:rsidRDefault="00F143FD" w:rsidP="004479A9">
            <w:pPr>
              <w:pStyle w:val="Tabletext"/>
            </w:pPr>
            <w:r w:rsidRPr="005E7943">
              <w:t>.133, .334</w:t>
            </w:r>
          </w:p>
        </w:tc>
        <w:tc>
          <w:tcPr>
            <w:tcW w:w="815" w:type="dxa"/>
            <w:tcBorders>
              <w:left w:val="nil"/>
              <w:right w:val="nil"/>
            </w:tcBorders>
          </w:tcPr>
          <w:p w14:paraId="78A1EABA" w14:textId="77777777" w:rsidR="00F143FD" w:rsidRPr="005E7943" w:rsidRDefault="00F143FD" w:rsidP="004479A9">
            <w:pPr>
              <w:pStyle w:val="Tabletext"/>
            </w:pPr>
            <w:r w:rsidRPr="005E7943">
              <w:t>&lt;.001*</w:t>
            </w:r>
          </w:p>
        </w:tc>
        <w:tc>
          <w:tcPr>
            <w:tcW w:w="958" w:type="dxa"/>
            <w:tcBorders>
              <w:left w:val="nil"/>
              <w:right w:val="nil"/>
            </w:tcBorders>
          </w:tcPr>
          <w:p w14:paraId="76B6CB24" w14:textId="77777777" w:rsidR="00F143FD" w:rsidRPr="005E7943" w:rsidRDefault="00F143FD" w:rsidP="004479A9">
            <w:pPr>
              <w:pStyle w:val="Tabletext"/>
            </w:pPr>
            <w:r w:rsidRPr="005E7943">
              <w:t>0.59</w:t>
            </w:r>
          </w:p>
        </w:tc>
      </w:tr>
      <w:tr w:rsidR="00F143FD" w:rsidRPr="00BD1758" w14:paraId="05C42443" w14:textId="77777777" w:rsidTr="004479A9">
        <w:tc>
          <w:tcPr>
            <w:tcW w:w="2352" w:type="dxa"/>
            <w:tcBorders>
              <w:left w:val="nil"/>
              <w:right w:val="nil"/>
            </w:tcBorders>
          </w:tcPr>
          <w:p w14:paraId="4B81A062" w14:textId="77777777" w:rsidR="00F143FD" w:rsidRPr="005E7943" w:rsidRDefault="00F143FD" w:rsidP="004479A9">
            <w:pPr>
              <w:pStyle w:val="Tabletext"/>
            </w:pPr>
            <w:r w:rsidRPr="005E7943">
              <w:t>Return to ‘normal’ life</w:t>
            </w:r>
          </w:p>
        </w:tc>
        <w:tc>
          <w:tcPr>
            <w:tcW w:w="1165" w:type="dxa"/>
            <w:tcBorders>
              <w:left w:val="nil"/>
              <w:right w:val="nil"/>
            </w:tcBorders>
          </w:tcPr>
          <w:p w14:paraId="46F2B428" w14:textId="77777777" w:rsidR="00F143FD" w:rsidRPr="005E7943" w:rsidRDefault="00F143FD" w:rsidP="004479A9">
            <w:pPr>
              <w:pStyle w:val="Tabletext"/>
            </w:pPr>
          </w:p>
        </w:tc>
        <w:tc>
          <w:tcPr>
            <w:tcW w:w="1207" w:type="dxa"/>
            <w:tcBorders>
              <w:left w:val="nil"/>
              <w:right w:val="nil"/>
            </w:tcBorders>
          </w:tcPr>
          <w:p w14:paraId="67F6333A" w14:textId="77777777" w:rsidR="00F143FD" w:rsidRPr="005E7943" w:rsidRDefault="00F143FD" w:rsidP="004479A9">
            <w:pPr>
              <w:pStyle w:val="Tabletext"/>
            </w:pPr>
            <w:r w:rsidRPr="005E7943">
              <w:t>–.030</w:t>
            </w:r>
          </w:p>
        </w:tc>
        <w:tc>
          <w:tcPr>
            <w:tcW w:w="1230" w:type="dxa"/>
            <w:tcBorders>
              <w:left w:val="nil"/>
              <w:right w:val="nil"/>
            </w:tcBorders>
          </w:tcPr>
          <w:p w14:paraId="6B1829F6" w14:textId="77777777" w:rsidR="00F143FD" w:rsidRPr="005E7943" w:rsidRDefault="00F143FD" w:rsidP="004479A9">
            <w:pPr>
              <w:pStyle w:val="Tabletext"/>
            </w:pPr>
            <w:r w:rsidRPr="005E7943">
              <w:t>–.088</w:t>
            </w:r>
          </w:p>
        </w:tc>
        <w:tc>
          <w:tcPr>
            <w:tcW w:w="1299" w:type="dxa"/>
            <w:gridSpan w:val="2"/>
            <w:tcBorders>
              <w:left w:val="nil"/>
              <w:right w:val="nil"/>
            </w:tcBorders>
          </w:tcPr>
          <w:p w14:paraId="190E9FCE" w14:textId="77777777" w:rsidR="00F143FD" w:rsidRPr="005E7943" w:rsidRDefault="00F143FD" w:rsidP="004479A9">
            <w:pPr>
              <w:pStyle w:val="Tabletext"/>
            </w:pPr>
            <w:r w:rsidRPr="005E7943">
              <w:t>–.193, .017</w:t>
            </w:r>
          </w:p>
        </w:tc>
        <w:tc>
          <w:tcPr>
            <w:tcW w:w="815" w:type="dxa"/>
            <w:tcBorders>
              <w:left w:val="nil"/>
              <w:right w:val="nil"/>
            </w:tcBorders>
          </w:tcPr>
          <w:p w14:paraId="611568CB" w14:textId="77777777" w:rsidR="00F143FD" w:rsidRPr="005E7943" w:rsidRDefault="00F143FD" w:rsidP="004479A9">
            <w:pPr>
              <w:pStyle w:val="Tabletext"/>
            </w:pPr>
            <w:r w:rsidRPr="005E7943">
              <w:t>.031</w:t>
            </w:r>
          </w:p>
        </w:tc>
        <w:tc>
          <w:tcPr>
            <w:tcW w:w="958" w:type="dxa"/>
            <w:tcBorders>
              <w:left w:val="nil"/>
              <w:right w:val="nil"/>
            </w:tcBorders>
          </w:tcPr>
          <w:p w14:paraId="0D620E1D" w14:textId="77777777" w:rsidR="00F143FD" w:rsidRPr="005E7943" w:rsidRDefault="00F143FD" w:rsidP="004479A9">
            <w:pPr>
              <w:pStyle w:val="Tabletext"/>
            </w:pPr>
            <w:r w:rsidRPr="005E7943">
              <w:t>0.08</w:t>
            </w:r>
          </w:p>
        </w:tc>
      </w:tr>
      <w:tr w:rsidR="00F143FD" w:rsidRPr="00BD1758" w14:paraId="16049E40" w14:textId="77777777" w:rsidTr="004479A9">
        <w:tc>
          <w:tcPr>
            <w:tcW w:w="2352" w:type="dxa"/>
            <w:tcBorders>
              <w:left w:val="nil"/>
              <w:right w:val="nil"/>
            </w:tcBorders>
          </w:tcPr>
          <w:p w14:paraId="50AFDAE2" w14:textId="77777777" w:rsidR="00F143FD" w:rsidRPr="005E7943" w:rsidRDefault="00F143FD" w:rsidP="004479A9">
            <w:pPr>
              <w:pStyle w:val="Tabletext"/>
            </w:pPr>
            <w:r w:rsidRPr="005E7943">
              <w:t>Only people who are at risk of serious illness from coronavirus need to be vaccinated</w:t>
            </w:r>
          </w:p>
        </w:tc>
        <w:tc>
          <w:tcPr>
            <w:tcW w:w="1165" w:type="dxa"/>
            <w:tcBorders>
              <w:left w:val="nil"/>
              <w:right w:val="nil"/>
            </w:tcBorders>
          </w:tcPr>
          <w:p w14:paraId="056CE0F4" w14:textId="77777777" w:rsidR="00F143FD" w:rsidRPr="005E7943" w:rsidRDefault="00F143FD" w:rsidP="004479A9">
            <w:pPr>
              <w:pStyle w:val="Tabletext"/>
            </w:pPr>
            <w:r w:rsidRPr="005E7943">
              <w:t>0–10 scale</w:t>
            </w:r>
          </w:p>
        </w:tc>
        <w:tc>
          <w:tcPr>
            <w:tcW w:w="1207" w:type="dxa"/>
            <w:tcBorders>
              <w:left w:val="nil"/>
              <w:right w:val="nil"/>
            </w:tcBorders>
          </w:tcPr>
          <w:p w14:paraId="3CFEA3BE" w14:textId="77777777" w:rsidR="00F143FD" w:rsidRPr="005E7943" w:rsidRDefault="00F143FD" w:rsidP="004479A9">
            <w:pPr>
              <w:pStyle w:val="Tabletext"/>
            </w:pPr>
            <w:r w:rsidRPr="005E7943">
              <w:t>–.040</w:t>
            </w:r>
          </w:p>
        </w:tc>
        <w:tc>
          <w:tcPr>
            <w:tcW w:w="1230" w:type="dxa"/>
            <w:tcBorders>
              <w:left w:val="nil"/>
              <w:right w:val="nil"/>
            </w:tcBorders>
          </w:tcPr>
          <w:p w14:paraId="0FDC8538" w14:textId="77777777" w:rsidR="00F143FD" w:rsidRPr="005E7943" w:rsidRDefault="00F143FD" w:rsidP="004479A9">
            <w:pPr>
              <w:pStyle w:val="Tabletext"/>
            </w:pPr>
            <w:r w:rsidRPr="005E7943">
              <w:t>–.038</w:t>
            </w:r>
          </w:p>
        </w:tc>
        <w:tc>
          <w:tcPr>
            <w:tcW w:w="1299" w:type="dxa"/>
            <w:gridSpan w:val="2"/>
            <w:tcBorders>
              <w:left w:val="nil"/>
              <w:right w:val="nil"/>
            </w:tcBorders>
          </w:tcPr>
          <w:p w14:paraId="19EF7CFA" w14:textId="77777777" w:rsidR="00F143FD" w:rsidRPr="005E7943" w:rsidRDefault="00F143FD" w:rsidP="004479A9">
            <w:pPr>
              <w:pStyle w:val="Tabletext"/>
            </w:pPr>
            <w:r w:rsidRPr="005E7943">
              <w:t>–.075, –.001</w:t>
            </w:r>
          </w:p>
        </w:tc>
        <w:tc>
          <w:tcPr>
            <w:tcW w:w="815" w:type="dxa"/>
            <w:tcBorders>
              <w:left w:val="nil"/>
              <w:right w:val="nil"/>
            </w:tcBorders>
          </w:tcPr>
          <w:p w14:paraId="139A4F2D" w14:textId="77777777" w:rsidR="00F143FD" w:rsidRPr="005E7943" w:rsidRDefault="00F143FD" w:rsidP="004479A9">
            <w:pPr>
              <w:pStyle w:val="Tabletext"/>
            </w:pPr>
            <w:r w:rsidRPr="005E7943">
              <w:t>.008*</w:t>
            </w:r>
          </w:p>
        </w:tc>
        <w:tc>
          <w:tcPr>
            <w:tcW w:w="958" w:type="dxa"/>
            <w:tcBorders>
              <w:left w:val="nil"/>
              <w:right w:val="nil"/>
            </w:tcBorders>
          </w:tcPr>
          <w:p w14:paraId="21DC2859" w14:textId="77777777" w:rsidR="00F143FD" w:rsidRPr="005E7943" w:rsidRDefault="00F143FD" w:rsidP="004479A9">
            <w:pPr>
              <w:pStyle w:val="Tabletext"/>
            </w:pPr>
            <w:r w:rsidRPr="005E7943">
              <w:t>0.12</w:t>
            </w:r>
          </w:p>
        </w:tc>
      </w:tr>
      <w:tr w:rsidR="00F143FD" w:rsidRPr="00BD1758" w14:paraId="3025220C" w14:textId="77777777" w:rsidTr="004479A9">
        <w:tc>
          <w:tcPr>
            <w:tcW w:w="2352" w:type="dxa"/>
            <w:tcBorders>
              <w:left w:val="nil"/>
              <w:right w:val="nil"/>
            </w:tcBorders>
          </w:tcPr>
          <w:p w14:paraId="4A37AE67" w14:textId="77777777" w:rsidR="00F143FD" w:rsidRPr="005E7943" w:rsidRDefault="00F143FD" w:rsidP="004479A9">
            <w:pPr>
              <w:pStyle w:val="Tabletext"/>
            </w:pPr>
            <w:r w:rsidRPr="005E7943">
              <w:t>Widespread coronavirus vaccination is just a way to make money for vaccine manufacturers</w:t>
            </w:r>
          </w:p>
        </w:tc>
        <w:tc>
          <w:tcPr>
            <w:tcW w:w="1165" w:type="dxa"/>
            <w:tcBorders>
              <w:left w:val="nil"/>
              <w:bottom w:val="single" w:sz="4" w:space="0" w:color="auto"/>
              <w:right w:val="nil"/>
            </w:tcBorders>
          </w:tcPr>
          <w:p w14:paraId="552A8540" w14:textId="77777777" w:rsidR="00F143FD" w:rsidRPr="005E7943" w:rsidRDefault="00F143FD" w:rsidP="004479A9">
            <w:pPr>
              <w:pStyle w:val="Tabletext"/>
            </w:pPr>
            <w:r w:rsidRPr="005E7943">
              <w:t>0–10 scale</w:t>
            </w:r>
          </w:p>
        </w:tc>
        <w:tc>
          <w:tcPr>
            <w:tcW w:w="1207" w:type="dxa"/>
            <w:tcBorders>
              <w:left w:val="nil"/>
              <w:bottom w:val="single" w:sz="4" w:space="0" w:color="auto"/>
              <w:right w:val="nil"/>
            </w:tcBorders>
          </w:tcPr>
          <w:p w14:paraId="5B46CE4D" w14:textId="77777777" w:rsidR="00F143FD" w:rsidRPr="005E7943" w:rsidRDefault="00F143FD" w:rsidP="004479A9">
            <w:pPr>
              <w:pStyle w:val="Tabletext"/>
            </w:pPr>
            <w:r w:rsidRPr="005E7943">
              <w:t>.024</w:t>
            </w:r>
          </w:p>
        </w:tc>
        <w:tc>
          <w:tcPr>
            <w:tcW w:w="1230" w:type="dxa"/>
            <w:tcBorders>
              <w:left w:val="nil"/>
              <w:bottom w:val="single" w:sz="4" w:space="0" w:color="auto"/>
              <w:right w:val="nil"/>
            </w:tcBorders>
          </w:tcPr>
          <w:p w14:paraId="466548F2" w14:textId="77777777" w:rsidR="00F143FD" w:rsidRPr="005E7943" w:rsidRDefault="00F143FD" w:rsidP="004479A9">
            <w:pPr>
              <w:pStyle w:val="Tabletext"/>
            </w:pPr>
            <w:r w:rsidRPr="005E7943">
              <w:t>.025</w:t>
            </w:r>
          </w:p>
        </w:tc>
        <w:tc>
          <w:tcPr>
            <w:tcW w:w="1299" w:type="dxa"/>
            <w:gridSpan w:val="2"/>
            <w:tcBorders>
              <w:left w:val="nil"/>
              <w:bottom w:val="single" w:sz="4" w:space="0" w:color="auto"/>
              <w:right w:val="nil"/>
            </w:tcBorders>
          </w:tcPr>
          <w:p w14:paraId="36AC581D" w14:textId="77777777" w:rsidR="00F143FD" w:rsidRPr="005E7943" w:rsidRDefault="00F143FD" w:rsidP="004479A9">
            <w:pPr>
              <w:pStyle w:val="Tabletext"/>
            </w:pPr>
            <w:r w:rsidRPr="005E7943">
              <w:t>–.022, .072</w:t>
            </w:r>
          </w:p>
        </w:tc>
        <w:tc>
          <w:tcPr>
            <w:tcW w:w="815" w:type="dxa"/>
            <w:tcBorders>
              <w:left w:val="nil"/>
              <w:bottom w:val="single" w:sz="4" w:space="0" w:color="auto"/>
              <w:right w:val="nil"/>
            </w:tcBorders>
          </w:tcPr>
          <w:p w14:paraId="0CBD0F1B" w14:textId="77777777" w:rsidR="00F143FD" w:rsidRPr="005E7943" w:rsidRDefault="00F143FD" w:rsidP="004479A9">
            <w:pPr>
              <w:pStyle w:val="Tabletext"/>
            </w:pPr>
            <w:r w:rsidRPr="005E7943">
              <w:t>.171</w:t>
            </w:r>
          </w:p>
        </w:tc>
        <w:tc>
          <w:tcPr>
            <w:tcW w:w="958" w:type="dxa"/>
            <w:tcBorders>
              <w:left w:val="nil"/>
              <w:bottom w:val="single" w:sz="4" w:space="0" w:color="auto"/>
              <w:right w:val="nil"/>
            </w:tcBorders>
          </w:tcPr>
          <w:p w14:paraId="4BF9259F" w14:textId="77777777" w:rsidR="00F143FD" w:rsidRPr="005E7943" w:rsidRDefault="00F143FD" w:rsidP="004479A9">
            <w:pPr>
              <w:pStyle w:val="Tabletext"/>
            </w:pPr>
            <w:r w:rsidRPr="005E7943">
              <w:t>0.03</w:t>
            </w:r>
          </w:p>
        </w:tc>
      </w:tr>
      <w:tr w:rsidR="00F143FD" w:rsidRPr="00BD1758" w14:paraId="31703DFA" w14:textId="77777777" w:rsidTr="004479A9">
        <w:tc>
          <w:tcPr>
            <w:tcW w:w="2352" w:type="dxa"/>
            <w:vMerge w:val="restart"/>
            <w:tcBorders>
              <w:left w:val="nil"/>
              <w:right w:val="nil"/>
            </w:tcBorders>
          </w:tcPr>
          <w:p w14:paraId="1B9805AC" w14:textId="77777777" w:rsidR="00F143FD" w:rsidRPr="005E7943" w:rsidRDefault="00F143FD" w:rsidP="004479A9">
            <w:pPr>
              <w:pStyle w:val="Tabletext"/>
            </w:pPr>
            <w:r w:rsidRPr="005E7943">
              <w:t xml:space="preserve">As far as you know, is there currently a </w:t>
            </w:r>
            <w:proofErr w:type="gramStart"/>
            <w:r w:rsidRPr="005E7943">
              <w:t>widely-available</w:t>
            </w:r>
            <w:proofErr w:type="gramEnd"/>
            <w:r w:rsidRPr="005E7943">
              <w:t xml:space="preserve"> vaccination to protect against coronavirus? (reference: no)</w:t>
            </w:r>
          </w:p>
        </w:tc>
        <w:tc>
          <w:tcPr>
            <w:tcW w:w="1165" w:type="dxa"/>
            <w:tcBorders>
              <w:left w:val="nil"/>
              <w:bottom w:val="nil"/>
              <w:right w:val="nil"/>
            </w:tcBorders>
          </w:tcPr>
          <w:p w14:paraId="321E4CC2" w14:textId="77777777" w:rsidR="00F143FD" w:rsidRPr="005E7943" w:rsidRDefault="00F143FD" w:rsidP="004479A9">
            <w:pPr>
              <w:pStyle w:val="Tabletext"/>
            </w:pPr>
          </w:p>
        </w:tc>
        <w:tc>
          <w:tcPr>
            <w:tcW w:w="1207" w:type="dxa"/>
            <w:tcBorders>
              <w:left w:val="nil"/>
              <w:bottom w:val="nil"/>
              <w:right w:val="nil"/>
            </w:tcBorders>
          </w:tcPr>
          <w:p w14:paraId="4F738DEF" w14:textId="77777777" w:rsidR="00F143FD" w:rsidRPr="005E7943" w:rsidRDefault="00F143FD" w:rsidP="004479A9">
            <w:pPr>
              <w:pStyle w:val="Tabletext"/>
            </w:pPr>
          </w:p>
        </w:tc>
        <w:tc>
          <w:tcPr>
            <w:tcW w:w="1230" w:type="dxa"/>
            <w:tcBorders>
              <w:left w:val="nil"/>
              <w:bottom w:val="nil"/>
              <w:right w:val="nil"/>
            </w:tcBorders>
          </w:tcPr>
          <w:p w14:paraId="1F18F367" w14:textId="77777777" w:rsidR="00F143FD" w:rsidRPr="005E7943" w:rsidRDefault="00F143FD" w:rsidP="004479A9">
            <w:pPr>
              <w:pStyle w:val="Tabletext"/>
            </w:pPr>
          </w:p>
        </w:tc>
        <w:tc>
          <w:tcPr>
            <w:tcW w:w="1299" w:type="dxa"/>
            <w:gridSpan w:val="2"/>
            <w:tcBorders>
              <w:left w:val="nil"/>
              <w:bottom w:val="nil"/>
              <w:right w:val="nil"/>
            </w:tcBorders>
          </w:tcPr>
          <w:p w14:paraId="1B3E6746" w14:textId="77777777" w:rsidR="00F143FD" w:rsidRPr="005E7943" w:rsidRDefault="00F143FD" w:rsidP="004479A9">
            <w:pPr>
              <w:pStyle w:val="Tabletext"/>
            </w:pPr>
          </w:p>
        </w:tc>
        <w:tc>
          <w:tcPr>
            <w:tcW w:w="815" w:type="dxa"/>
            <w:tcBorders>
              <w:left w:val="nil"/>
              <w:bottom w:val="nil"/>
              <w:right w:val="nil"/>
            </w:tcBorders>
          </w:tcPr>
          <w:p w14:paraId="440CAC64" w14:textId="77777777" w:rsidR="00F143FD" w:rsidRPr="005E7943" w:rsidRDefault="00F143FD" w:rsidP="004479A9">
            <w:pPr>
              <w:pStyle w:val="Tabletext"/>
            </w:pPr>
            <w:r w:rsidRPr="005E7943">
              <w:t>.672</w:t>
            </w:r>
          </w:p>
        </w:tc>
        <w:tc>
          <w:tcPr>
            <w:tcW w:w="958" w:type="dxa"/>
            <w:tcBorders>
              <w:left w:val="nil"/>
              <w:bottom w:val="nil"/>
              <w:right w:val="nil"/>
            </w:tcBorders>
          </w:tcPr>
          <w:p w14:paraId="353E4881" w14:textId="77777777" w:rsidR="00F143FD" w:rsidRPr="005E7943" w:rsidRDefault="00F143FD" w:rsidP="004479A9">
            <w:pPr>
              <w:pStyle w:val="Tabletext"/>
            </w:pPr>
            <w:r w:rsidRPr="005E7943">
              <w:t>0.01</w:t>
            </w:r>
          </w:p>
        </w:tc>
      </w:tr>
      <w:tr w:rsidR="00F143FD" w:rsidRPr="00BD1758" w14:paraId="57AFD237" w14:textId="77777777" w:rsidTr="004479A9">
        <w:tc>
          <w:tcPr>
            <w:tcW w:w="2352" w:type="dxa"/>
            <w:vMerge/>
            <w:tcBorders>
              <w:left w:val="nil"/>
              <w:right w:val="nil"/>
            </w:tcBorders>
          </w:tcPr>
          <w:p w14:paraId="3A0673BE" w14:textId="77777777" w:rsidR="00F143FD" w:rsidRPr="005E7943" w:rsidRDefault="00F143FD" w:rsidP="004479A9">
            <w:pPr>
              <w:pStyle w:val="Tabletext"/>
            </w:pPr>
          </w:p>
        </w:tc>
        <w:tc>
          <w:tcPr>
            <w:tcW w:w="1165" w:type="dxa"/>
            <w:tcBorders>
              <w:top w:val="nil"/>
              <w:left w:val="nil"/>
              <w:bottom w:val="nil"/>
              <w:right w:val="nil"/>
            </w:tcBorders>
          </w:tcPr>
          <w:p w14:paraId="24930449" w14:textId="77777777" w:rsidR="00F143FD" w:rsidRPr="005E7943" w:rsidRDefault="00F143FD" w:rsidP="004479A9">
            <w:pPr>
              <w:pStyle w:val="Tabletext"/>
            </w:pPr>
            <w:r w:rsidRPr="005E7943">
              <w:t>Yes</w:t>
            </w:r>
          </w:p>
        </w:tc>
        <w:tc>
          <w:tcPr>
            <w:tcW w:w="1207" w:type="dxa"/>
            <w:tcBorders>
              <w:top w:val="nil"/>
              <w:left w:val="nil"/>
              <w:bottom w:val="nil"/>
              <w:right w:val="nil"/>
            </w:tcBorders>
          </w:tcPr>
          <w:p w14:paraId="37182A34" w14:textId="77777777" w:rsidR="00F143FD" w:rsidRPr="003A015E" w:rsidRDefault="00F143FD" w:rsidP="004479A9">
            <w:pPr>
              <w:pStyle w:val="Tabletext"/>
            </w:pPr>
            <w:r w:rsidRPr="005E7943">
              <w:t>.011</w:t>
            </w:r>
          </w:p>
        </w:tc>
        <w:tc>
          <w:tcPr>
            <w:tcW w:w="1230" w:type="dxa"/>
            <w:tcBorders>
              <w:top w:val="nil"/>
              <w:left w:val="nil"/>
              <w:bottom w:val="nil"/>
              <w:right w:val="nil"/>
            </w:tcBorders>
          </w:tcPr>
          <w:p w14:paraId="3517E3E2" w14:textId="77777777" w:rsidR="00F143FD" w:rsidRPr="005E7943" w:rsidRDefault="00F143FD" w:rsidP="004479A9">
            <w:pPr>
              <w:pStyle w:val="Tabletext"/>
            </w:pPr>
            <w:r w:rsidRPr="005E7943">
              <w:t>.179</w:t>
            </w:r>
          </w:p>
        </w:tc>
        <w:tc>
          <w:tcPr>
            <w:tcW w:w="1299" w:type="dxa"/>
            <w:gridSpan w:val="2"/>
            <w:tcBorders>
              <w:top w:val="nil"/>
              <w:left w:val="nil"/>
              <w:bottom w:val="nil"/>
              <w:right w:val="nil"/>
            </w:tcBorders>
          </w:tcPr>
          <w:p w14:paraId="708E2A84" w14:textId="77777777" w:rsidR="00F143FD" w:rsidRPr="005E7943" w:rsidRDefault="00F143FD" w:rsidP="004479A9">
            <w:pPr>
              <w:pStyle w:val="Tabletext"/>
            </w:pPr>
            <w:r w:rsidRPr="005E7943">
              <w:t>–.347, .705</w:t>
            </w:r>
          </w:p>
        </w:tc>
        <w:tc>
          <w:tcPr>
            <w:tcW w:w="815" w:type="dxa"/>
            <w:tcBorders>
              <w:top w:val="nil"/>
              <w:left w:val="nil"/>
              <w:bottom w:val="nil"/>
              <w:right w:val="nil"/>
            </w:tcBorders>
          </w:tcPr>
          <w:p w14:paraId="19020CDB" w14:textId="77777777" w:rsidR="00F143FD" w:rsidRPr="005E7943" w:rsidRDefault="00F143FD" w:rsidP="004479A9">
            <w:pPr>
              <w:pStyle w:val="Tabletext"/>
            </w:pPr>
          </w:p>
        </w:tc>
        <w:tc>
          <w:tcPr>
            <w:tcW w:w="958" w:type="dxa"/>
            <w:tcBorders>
              <w:top w:val="nil"/>
              <w:left w:val="nil"/>
              <w:bottom w:val="nil"/>
              <w:right w:val="nil"/>
            </w:tcBorders>
          </w:tcPr>
          <w:p w14:paraId="7EB3ED9E" w14:textId="77777777" w:rsidR="00F143FD" w:rsidRPr="005E7943" w:rsidRDefault="00F143FD" w:rsidP="004479A9">
            <w:pPr>
              <w:pStyle w:val="Tabletext"/>
            </w:pPr>
          </w:p>
        </w:tc>
      </w:tr>
      <w:tr w:rsidR="00F143FD" w:rsidRPr="00BD1758" w14:paraId="6B1117C8" w14:textId="77777777" w:rsidTr="004479A9">
        <w:tc>
          <w:tcPr>
            <w:tcW w:w="2352" w:type="dxa"/>
            <w:vMerge/>
            <w:tcBorders>
              <w:left w:val="nil"/>
              <w:bottom w:val="single" w:sz="12" w:space="0" w:color="auto"/>
              <w:right w:val="nil"/>
            </w:tcBorders>
          </w:tcPr>
          <w:p w14:paraId="0F205FBA" w14:textId="77777777" w:rsidR="00F143FD" w:rsidRPr="00BD1758" w:rsidRDefault="00F143FD" w:rsidP="004479A9">
            <w:pPr>
              <w:pStyle w:val="Tabletext"/>
            </w:pPr>
          </w:p>
        </w:tc>
        <w:tc>
          <w:tcPr>
            <w:tcW w:w="1165" w:type="dxa"/>
            <w:tcBorders>
              <w:top w:val="nil"/>
              <w:left w:val="nil"/>
              <w:bottom w:val="single" w:sz="12" w:space="0" w:color="auto"/>
              <w:right w:val="nil"/>
            </w:tcBorders>
          </w:tcPr>
          <w:p w14:paraId="68050A94" w14:textId="77777777" w:rsidR="00F143FD" w:rsidRPr="00BD1758" w:rsidRDefault="00F143FD" w:rsidP="004479A9">
            <w:pPr>
              <w:pStyle w:val="Tabletext"/>
            </w:pPr>
            <w:r w:rsidRPr="00BD1758">
              <w:t>Don’t know</w:t>
            </w:r>
          </w:p>
        </w:tc>
        <w:tc>
          <w:tcPr>
            <w:tcW w:w="1207" w:type="dxa"/>
            <w:tcBorders>
              <w:top w:val="nil"/>
              <w:left w:val="nil"/>
              <w:bottom w:val="single" w:sz="12" w:space="0" w:color="auto"/>
              <w:right w:val="nil"/>
            </w:tcBorders>
          </w:tcPr>
          <w:p w14:paraId="2473CFD2" w14:textId="77777777" w:rsidR="00F143FD" w:rsidRPr="003A015E" w:rsidRDefault="00F143FD" w:rsidP="004479A9">
            <w:pPr>
              <w:pStyle w:val="Tabletext"/>
            </w:pPr>
            <w:r w:rsidRPr="003A015E">
              <w:t>.003</w:t>
            </w:r>
          </w:p>
        </w:tc>
        <w:tc>
          <w:tcPr>
            <w:tcW w:w="1230" w:type="dxa"/>
            <w:tcBorders>
              <w:top w:val="nil"/>
              <w:left w:val="nil"/>
              <w:bottom w:val="single" w:sz="12" w:space="0" w:color="auto"/>
              <w:right w:val="nil"/>
            </w:tcBorders>
          </w:tcPr>
          <w:p w14:paraId="09F86F07" w14:textId="77777777" w:rsidR="00F143FD" w:rsidRPr="00BD1758" w:rsidRDefault="00F143FD" w:rsidP="004479A9">
            <w:pPr>
              <w:pStyle w:val="Tabletext"/>
            </w:pPr>
            <w:r w:rsidRPr="00BD1758">
              <w:t>.03</w:t>
            </w:r>
            <w:r>
              <w:t>8</w:t>
            </w:r>
          </w:p>
        </w:tc>
        <w:tc>
          <w:tcPr>
            <w:tcW w:w="1299" w:type="dxa"/>
            <w:gridSpan w:val="2"/>
            <w:tcBorders>
              <w:top w:val="nil"/>
              <w:left w:val="nil"/>
              <w:bottom w:val="single" w:sz="12" w:space="0" w:color="auto"/>
              <w:right w:val="nil"/>
            </w:tcBorders>
          </w:tcPr>
          <w:p w14:paraId="1AC81AD0" w14:textId="77777777" w:rsidR="00F143FD" w:rsidRPr="00BD1758" w:rsidRDefault="00F143FD" w:rsidP="004479A9">
            <w:pPr>
              <w:pStyle w:val="Tabletext"/>
            </w:pPr>
            <w:r w:rsidRPr="00BD1758">
              <w:t>–.41</w:t>
            </w:r>
            <w:r>
              <w:t>6</w:t>
            </w:r>
            <w:r w:rsidRPr="00BD1758">
              <w:t>, .</w:t>
            </w:r>
            <w:r w:rsidRPr="003A015E">
              <w:t>492</w:t>
            </w:r>
          </w:p>
        </w:tc>
        <w:tc>
          <w:tcPr>
            <w:tcW w:w="815" w:type="dxa"/>
            <w:tcBorders>
              <w:top w:val="nil"/>
              <w:left w:val="nil"/>
              <w:bottom w:val="single" w:sz="12" w:space="0" w:color="auto"/>
              <w:right w:val="nil"/>
            </w:tcBorders>
          </w:tcPr>
          <w:p w14:paraId="09B96B0B" w14:textId="77777777" w:rsidR="00F143FD" w:rsidRPr="00BD1758" w:rsidRDefault="00F143FD" w:rsidP="004479A9">
            <w:pPr>
              <w:pStyle w:val="Tabletext"/>
            </w:pPr>
          </w:p>
        </w:tc>
        <w:tc>
          <w:tcPr>
            <w:tcW w:w="958" w:type="dxa"/>
            <w:tcBorders>
              <w:top w:val="nil"/>
              <w:left w:val="nil"/>
              <w:bottom w:val="single" w:sz="12" w:space="0" w:color="auto"/>
              <w:right w:val="nil"/>
            </w:tcBorders>
          </w:tcPr>
          <w:p w14:paraId="294C316E" w14:textId="77777777" w:rsidR="00F143FD" w:rsidRPr="00BD1758" w:rsidRDefault="00F143FD" w:rsidP="004479A9">
            <w:pPr>
              <w:pStyle w:val="Tabletext"/>
            </w:pPr>
          </w:p>
        </w:tc>
      </w:tr>
    </w:tbl>
    <w:p w14:paraId="09CA5729" w14:textId="77777777" w:rsidR="00F143FD" w:rsidRPr="00BD1758" w:rsidRDefault="00F143FD" w:rsidP="00F143FD">
      <w:pPr>
        <w:rPr>
          <w:sz w:val="18"/>
          <w:szCs w:val="14"/>
        </w:rPr>
      </w:pPr>
      <w:r w:rsidRPr="00BD1758">
        <w:rPr>
          <w:sz w:val="18"/>
          <w:szCs w:val="14"/>
        </w:rPr>
        <w:t xml:space="preserve">* </w:t>
      </w:r>
      <w:r w:rsidRPr="00BD1758">
        <w:rPr>
          <w:i/>
          <w:iCs/>
          <w:sz w:val="18"/>
          <w:szCs w:val="14"/>
        </w:rPr>
        <w:t>p</w:t>
      </w:r>
      <w:r w:rsidRPr="00BD1758">
        <w:rPr>
          <w:sz w:val="18"/>
          <w:szCs w:val="14"/>
        </w:rPr>
        <w:t>≤.01</w:t>
      </w:r>
    </w:p>
    <w:p w14:paraId="53851FB5" w14:textId="77777777" w:rsidR="00861EC9" w:rsidRDefault="00861EC9">
      <w:pPr>
        <w:spacing w:after="160" w:line="259" w:lineRule="auto"/>
        <w:rPr>
          <w:rFonts w:ascii="Times New Roman" w:hAnsi="Times New Roman"/>
        </w:rPr>
      </w:pPr>
    </w:p>
    <w:sectPr w:rsidR="00861EC9" w:rsidSect="00A104A8">
      <w:footerReference w:type="defaul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4636" w16cex:dateUtc="2020-10-04T12:01:00Z"/>
  <w16cex:commentExtensible w16cex:durableId="2324469D" w16cex:dateUtc="2020-10-04T12:03:00Z"/>
  <w16cex:commentExtensible w16cex:durableId="23244715" w16cex:dateUtc="2020-10-04T12:05:00Z"/>
  <w16cex:commentExtensible w16cex:durableId="232447B2" w16cex:dateUtc="2020-10-04T12:08:00Z"/>
  <w16cex:commentExtensible w16cex:durableId="2324482F" w16cex:dateUtc="2020-10-04T12:10:00Z"/>
  <w16cex:commentExtensible w16cex:durableId="23244A54" w16cex:dateUtc="2020-10-04T12:19:00Z"/>
  <w16cex:commentExtensible w16cex:durableId="232568C0" w16cex:dateUtc="2020-10-05T08:41:00Z"/>
  <w16cex:commentExtensible w16cex:durableId="232568F8" w16cex:dateUtc="2020-10-05T08:42:00Z"/>
  <w16cex:commentExtensible w16cex:durableId="23244B51" w16cex:dateUtc="2020-10-04T12:23:00Z"/>
  <w16cex:commentExtensible w16cex:durableId="23244E91" w16cex:dateUtc="2020-10-04T12:37:00Z"/>
  <w16cex:commentExtensible w16cex:durableId="23244F40" w16cex:dateUtc="2020-10-04T1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2BB9" w14:textId="77777777" w:rsidR="00BF33A8" w:rsidRDefault="00BF33A8" w:rsidP="008E723C">
      <w:pPr>
        <w:spacing w:after="0" w:line="240" w:lineRule="auto"/>
      </w:pPr>
      <w:r>
        <w:separator/>
      </w:r>
    </w:p>
  </w:endnote>
  <w:endnote w:type="continuationSeparator" w:id="0">
    <w:p w14:paraId="63C97509" w14:textId="77777777" w:rsidR="00BF33A8" w:rsidRDefault="00BF33A8" w:rsidP="008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770554"/>
      <w:docPartObj>
        <w:docPartGallery w:val="Page Numbers (Bottom of Page)"/>
        <w:docPartUnique/>
      </w:docPartObj>
    </w:sdtPr>
    <w:sdtEndPr>
      <w:rPr>
        <w:noProof/>
      </w:rPr>
    </w:sdtEndPr>
    <w:sdtContent>
      <w:p w14:paraId="118C3882" w14:textId="50C91CD0" w:rsidR="00A503D5" w:rsidRDefault="00A5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4BFC4" w14:textId="77777777" w:rsidR="00A503D5" w:rsidRDefault="00A5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B1856" w14:textId="77777777" w:rsidR="00BF33A8" w:rsidRDefault="00BF33A8" w:rsidP="008E723C">
      <w:pPr>
        <w:spacing w:after="0" w:line="240" w:lineRule="auto"/>
      </w:pPr>
      <w:r>
        <w:separator/>
      </w:r>
    </w:p>
  </w:footnote>
  <w:footnote w:type="continuationSeparator" w:id="0">
    <w:p w14:paraId="33CD7A6D" w14:textId="77777777" w:rsidR="00BF33A8" w:rsidRDefault="00BF33A8" w:rsidP="008E7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246"/>
    <w:multiLevelType w:val="hybridMultilevel"/>
    <w:tmpl w:val="C2DE614C"/>
    <w:lvl w:ilvl="0" w:tplc="065AE59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E6D06"/>
    <w:multiLevelType w:val="hybridMultilevel"/>
    <w:tmpl w:val="D5523EA0"/>
    <w:lvl w:ilvl="0" w:tplc="13BEAC2E">
      <w:start w:val="45"/>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546FE"/>
    <w:multiLevelType w:val="hybridMultilevel"/>
    <w:tmpl w:val="6C72E2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D8F1342"/>
    <w:multiLevelType w:val="hybridMultilevel"/>
    <w:tmpl w:val="28BAC486"/>
    <w:lvl w:ilvl="0" w:tplc="E1529156">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D7185"/>
    <w:multiLevelType w:val="hybridMultilevel"/>
    <w:tmpl w:val="ED2C7A5A"/>
    <w:lvl w:ilvl="0" w:tplc="81DC7D6A">
      <w:start w:val="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B05A4"/>
    <w:multiLevelType w:val="hybridMultilevel"/>
    <w:tmpl w:val="368E4A5A"/>
    <w:lvl w:ilvl="0" w:tplc="90F8E838">
      <w:start w:val="69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C71AE"/>
    <w:multiLevelType w:val="hybridMultilevel"/>
    <w:tmpl w:val="FD184A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15F33"/>
    <w:multiLevelType w:val="hybridMultilevel"/>
    <w:tmpl w:val="FB8E073E"/>
    <w:lvl w:ilvl="0" w:tplc="E6EEE620">
      <w:start w:val="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F71D8"/>
    <w:multiLevelType w:val="hybridMultilevel"/>
    <w:tmpl w:val="6204ABE0"/>
    <w:lvl w:ilvl="0" w:tplc="000E8E60">
      <w:start w:val="1"/>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F3A45"/>
    <w:multiLevelType w:val="hybridMultilevel"/>
    <w:tmpl w:val="91EA5892"/>
    <w:lvl w:ilvl="0" w:tplc="5240CDE0">
      <w:start w:val="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d52apfcatzr4eas2c50xv5w22frvd0sp92&quot;&gt;My EndNote Library&lt;record-ids&gt;&lt;item&gt;8&lt;/item&gt;&lt;item&gt;53&lt;/item&gt;&lt;item&gt;337&lt;/item&gt;&lt;item&gt;644&lt;/item&gt;&lt;item&gt;653&lt;/item&gt;&lt;item&gt;707&lt;/item&gt;&lt;item&gt;720&lt;/item&gt;&lt;item&gt;935&lt;/item&gt;&lt;item&gt;1131&lt;/item&gt;&lt;item&gt;1256&lt;/item&gt;&lt;item&gt;1514&lt;/item&gt;&lt;item&gt;1554&lt;/item&gt;&lt;item&gt;1568&lt;/item&gt;&lt;item&gt;1665&lt;/item&gt;&lt;item&gt;1683&lt;/item&gt;&lt;item&gt;1734&lt;/item&gt;&lt;item&gt;1735&lt;/item&gt;&lt;item&gt;1736&lt;/item&gt;&lt;item&gt;1739&lt;/item&gt;&lt;item&gt;1742&lt;/item&gt;&lt;item&gt;1744&lt;/item&gt;&lt;item&gt;1745&lt;/item&gt;&lt;item&gt;1746&lt;/item&gt;&lt;item&gt;1819&lt;/item&gt;&lt;item&gt;1820&lt;/item&gt;&lt;item&gt;1823&lt;/item&gt;&lt;item&gt;1830&lt;/item&gt;&lt;item&gt;1839&lt;/item&gt;&lt;/record-ids&gt;&lt;/item&gt;&lt;/Libraries&gt;"/>
  </w:docVars>
  <w:rsids>
    <w:rsidRoot w:val="000C10A4"/>
    <w:rsid w:val="00000423"/>
    <w:rsid w:val="00000A0D"/>
    <w:rsid w:val="00000E10"/>
    <w:rsid w:val="00001856"/>
    <w:rsid w:val="000019EA"/>
    <w:rsid w:val="00002520"/>
    <w:rsid w:val="000037A9"/>
    <w:rsid w:val="00003944"/>
    <w:rsid w:val="00003C66"/>
    <w:rsid w:val="00003F6D"/>
    <w:rsid w:val="0000412A"/>
    <w:rsid w:val="000045CC"/>
    <w:rsid w:val="00005252"/>
    <w:rsid w:val="00005F04"/>
    <w:rsid w:val="000100BF"/>
    <w:rsid w:val="000101A3"/>
    <w:rsid w:val="000104CF"/>
    <w:rsid w:val="00012227"/>
    <w:rsid w:val="000124BF"/>
    <w:rsid w:val="00012571"/>
    <w:rsid w:val="000126BA"/>
    <w:rsid w:val="000130D9"/>
    <w:rsid w:val="00013D5D"/>
    <w:rsid w:val="000150BE"/>
    <w:rsid w:val="000151DC"/>
    <w:rsid w:val="0001579A"/>
    <w:rsid w:val="00015B74"/>
    <w:rsid w:val="00015F2B"/>
    <w:rsid w:val="00016583"/>
    <w:rsid w:val="000174C5"/>
    <w:rsid w:val="00017C57"/>
    <w:rsid w:val="0002015E"/>
    <w:rsid w:val="00021667"/>
    <w:rsid w:val="000229B4"/>
    <w:rsid w:val="00023390"/>
    <w:rsid w:val="000237C1"/>
    <w:rsid w:val="00023895"/>
    <w:rsid w:val="0002423C"/>
    <w:rsid w:val="00025A9C"/>
    <w:rsid w:val="00026D22"/>
    <w:rsid w:val="000277F4"/>
    <w:rsid w:val="0002789D"/>
    <w:rsid w:val="00027975"/>
    <w:rsid w:val="00027B62"/>
    <w:rsid w:val="00027F74"/>
    <w:rsid w:val="00030AEB"/>
    <w:rsid w:val="00030F2D"/>
    <w:rsid w:val="00031522"/>
    <w:rsid w:val="00031BCB"/>
    <w:rsid w:val="0003215D"/>
    <w:rsid w:val="00033B67"/>
    <w:rsid w:val="00034680"/>
    <w:rsid w:val="00034B7D"/>
    <w:rsid w:val="00034D95"/>
    <w:rsid w:val="00035756"/>
    <w:rsid w:val="0003680B"/>
    <w:rsid w:val="00036DF7"/>
    <w:rsid w:val="00036EEA"/>
    <w:rsid w:val="000373AA"/>
    <w:rsid w:val="000403CB"/>
    <w:rsid w:val="00041388"/>
    <w:rsid w:val="00041B02"/>
    <w:rsid w:val="00041D51"/>
    <w:rsid w:val="000422E0"/>
    <w:rsid w:val="00042D7B"/>
    <w:rsid w:val="00042E84"/>
    <w:rsid w:val="0004369E"/>
    <w:rsid w:val="0004490E"/>
    <w:rsid w:val="00045481"/>
    <w:rsid w:val="000455E7"/>
    <w:rsid w:val="000458AB"/>
    <w:rsid w:val="00046394"/>
    <w:rsid w:val="00046F7C"/>
    <w:rsid w:val="000473B9"/>
    <w:rsid w:val="00047C20"/>
    <w:rsid w:val="00050340"/>
    <w:rsid w:val="000506BB"/>
    <w:rsid w:val="00050973"/>
    <w:rsid w:val="00051479"/>
    <w:rsid w:val="00051923"/>
    <w:rsid w:val="00052175"/>
    <w:rsid w:val="00052D7E"/>
    <w:rsid w:val="00054F23"/>
    <w:rsid w:val="00055D81"/>
    <w:rsid w:val="000564DD"/>
    <w:rsid w:val="00056A54"/>
    <w:rsid w:val="000579EA"/>
    <w:rsid w:val="000605C0"/>
    <w:rsid w:val="00060941"/>
    <w:rsid w:val="00060EA1"/>
    <w:rsid w:val="00061EFC"/>
    <w:rsid w:val="00062014"/>
    <w:rsid w:val="00063C87"/>
    <w:rsid w:val="00063D16"/>
    <w:rsid w:val="000650DC"/>
    <w:rsid w:val="00067594"/>
    <w:rsid w:val="0006786B"/>
    <w:rsid w:val="00067E04"/>
    <w:rsid w:val="00070C68"/>
    <w:rsid w:val="00070EAC"/>
    <w:rsid w:val="000716E0"/>
    <w:rsid w:val="0007173F"/>
    <w:rsid w:val="00072E61"/>
    <w:rsid w:val="00073A68"/>
    <w:rsid w:val="00073B73"/>
    <w:rsid w:val="00073D65"/>
    <w:rsid w:val="00075650"/>
    <w:rsid w:val="000760E8"/>
    <w:rsid w:val="00076540"/>
    <w:rsid w:val="0007701A"/>
    <w:rsid w:val="00077CE1"/>
    <w:rsid w:val="000802D6"/>
    <w:rsid w:val="00081DAE"/>
    <w:rsid w:val="000823C1"/>
    <w:rsid w:val="0008241B"/>
    <w:rsid w:val="00082DAF"/>
    <w:rsid w:val="00082E86"/>
    <w:rsid w:val="00083725"/>
    <w:rsid w:val="0008395A"/>
    <w:rsid w:val="00083CD9"/>
    <w:rsid w:val="00084539"/>
    <w:rsid w:val="00085B61"/>
    <w:rsid w:val="00086E96"/>
    <w:rsid w:val="00087526"/>
    <w:rsid w:val="00090E5A"/>
    <w:rsid w:val="0009182B"/>
    <w:rsid w:val="00091C4E"/>
    <w:rsid w:val="00092128"/>
    <w:rsid w:val="00092188"/>
    <w:rsid w:val="0009276D"/>
    <w:rsid w:val="00092D94"/>
    <w:rsid w:val="000945AF"/>
    <w:rsid w:val="0009481C"/>
    <w:rsid w:val="000971BD"/>
    <w:rsid w:val="000971FF"/>
    <w:rsid w:val="000A085B"/>
    <w:rsid w:val="000A09A9"/>
    <w:rsid w:val="000A1667"/>
    <w:rsid w:val="000A1CDE"/>
    <w:rsid w:val="000A422B"/>
    <w:rsid w:val="000A5730"/>
    <w:rsid w:val="000A6051"/>
    <w:rsid w:val="000A6F39"/>
    <w:rsid w:val="000A730C"/>
    <w:rsid w:val="000A7A2B"/>
    <w:rsid w:val="000B0221"/>
    <w:rsid w:val="000B0616"/>
    <w:rsid w:val="000B1385"/>
    <w:rsid w:val="000B200D"/>
    <w:rsid w:val="000B342C"/>
    <w:rsid w:val="000B4BF0"/>
    <w:rsid w:val="000B78DE"/>
    <w:rsid w:val="000C10A4"/>
    <w:rsid w:val="000C1816"/>
    <w:rsid w:val="000C198A"/>
    <w:rsid w:val="000C2CFA"/>
    <w:rsid w:val="000C3001"/>
    <w:rsid w:val="000C379D"/>
    <w:rsid w:val="000C3C23"/>
    <w:rsid w:val="000C40B4"/>
    <w:rsid w:val="000C46DD"/>
    <w:rsid w:val="000C51C2"/>
    <w:rsid w:val="000C64E2"/>
    <w:rsid w:val="000C75AD"/>
    <w:rsid w:val="000C7B40"/>
    <w:rsid w:val="000C7CC9"/>
    <w:rsid w:val="000D0606"/>
    <w:rsid w:val="000D0824"/>
    <w:rsid w:val="000D084D"/>
    <w:rsid w:val="000D0D9D"/>
    <w:rsid w:val="000D27B7"/>
    <w:rsid w:val="000D2B2B"/>
    <w:rsid w:val="000D34E2"/>
    <w:rsid w:val="000D3C8A"/>
    <w:rsid w:val="000D3F05"/>
    <w:rsid w:val="000D42E1"/>
    <w:rsid w:val="000D4FDC"/>
    <w:rsid w:val="000D707A"/>
    <w:rsid w:val="000D78EE"/>
    <w:rsid w:val="000E07A2"/>
    <w:rsid w:val="000E0AA8"/>
    <w:rsid w:val="000E0AC8"/>
    <w:rsid w:val="000E0C4D"/>
    <w:rsid w:val="000E16B4"/>
    <w:rsid w:val="000E171F"/>
    <w:rsid w:val="000E1858"/>
    <w:rsid w:val="000E1966"/>
    <w:rsid w:val="000E1FE0"/>
    <w:rsid w:val="000E4418"/>
    <w:rsid w:val="000E52EB"/>
    <w:rsid w:val="000E6F7C"/>
    <w:rsid w:val="000E742E"/>
    <w:rsid w:val="000F0F33"/>
    <w:rsid w:val="000F176C"/>
    <w:rsid w:val="000F417C"/>
    <w:rsid w:val="000F4381"/>
    <w:rsid w:val="000F443E"/>
    <w:rsid w:val="000F4AC3"/>
    <w:rsid w:val="000F4FFC"/>
    <w:rsid w:val="000F5106"/>
    <w:rsid w:val="000F6394"/>
    <w:rsid w:val="000F7040"/>
    <w:rsid w:val="000F728E"/>
    <w:rsid w:val="00100D0F"/>
    <w:rsid w:val="00102533"/>
    <w:rsid w:val="0010350B"/>
    <w:rsid w:val="00103E8A"/>
    <w:rsid w:val="00104217"/>
    <w:rsid w:val="001050DE"/>
    <w:rsid w:val="001053E5"/>
    <w:rsid w:val="0010559E"/>
    <w:rsid w:val="001063E1"/>
    <w:rsid w:val="00106D5E"/>
    <w:rsid w:val="00106ECE"/>
    <w:rsid w:val="00106EE0"/>
    <w:rsid w:val="00107B03"/>
    <w:rsid w:val="00107DA6"/>
    <w:rsid w:val="0011080E"/>
    <w:rsid w:val="0011197D"/>
    <w:rsid w:val="00112ABF"/>
    <w:rsid w:val="00113A47"/>
    <w:rsid w:val="00113B1E"/>
    <w:rsid w:val="0011420A"/>
    <w:rsid w:val="00114632"/>
    <w:rsid w:val="00115731"/>
    <w:rsid w:val="00115D01"/>
    <w:rsid w:val="0011629C"/>
    <w:rsid w:val="0011691F"/>
    <w:rsid w:val="001172E8"/>
    <w:rsid w:val="00117491"/>
    <w:rsid w:val="00117810"/>
    <w:rsid w:val="00120DAF"/>
    <w:rsid w:val="001215E7"/>
    <w:rsid w:val="001218F4"/>
    <w:rsid w:val="00121C35"/>
    <w:rsid w:val="00122A0E"/>
    <w:rsid w:val="00122A23"/>
    <w:rsid w:val="00122FAE"/>
    <w:rsid w:val="001252DF"/>
    <w:rsid w:val="00125932"/>
    <w:rsid w:val="0012606A"/>
    <w:rsid w:val="001266D1"/>
    <w:rsid w:val="0012687E"/>
    <w:rsid w:val="001269F8"/>
    <w:rsid w:val="00126CDE"/>
    <w:rsid w:val="00127C2C"/>
    <w:rsid w:val="00130030"/>
    <w:rsid w:val="00130258"/>
    <w:rsid w:val="001302B1"/>
    <w:rsid w:val="00130546"/>
    <w:rsid w:val="00132675"/>
    <w:rsid w:val="00132F4E"/>
    <w:rsid w:val="00134A21"/>
    <w:rsid w:val="00134F29"/>
    <w:rsid w:val="0013593E"/>
    <w:rsid w:val="001363FB"/>
    <w:rsid w:val="001369E8"/>
    <w:rsid w:val="0013703C"/>
    <w:rsid w:val="001402FE"/>
    <w:rsid w:val="00140DED"/>
    <w:rsid w:val="001414F5"/>
    <w:rsid w:val="00141B53"/>
    <w:rsid w:val="00144A65"/>
    <w:rsid w:val="0014561C"/>
    <w:rsid w:val="00145BF5"/>
    <w:rsid w:val="00145C7B"/>
    <w:rsid w:val="001466AC"/>
    <w:rsid w:val="001469F3"/>
    <w:rsid w:val="00147895"/>
    <w:rsid w:val="0015123C"/>
    <w:rsid w:val="00151982"/>
    <w:rsid w:val="00152B92"/>
    <w:rsid w:val="001535E6"/>
    <w:rsid w:val="00154416"/>
    <w:rsid w:val="001547C4"/>
    <w:rsid w:val="00155245"/>
    <w:rsid w:val="00155953"/>
    <w:rsid w:val="00156475"/>
    <w:rsid w:val="00157A9E"/>
    <w:rsid w:val="00160FD1"/>
    <w:rsid w:val="0016102A"/>
    <w:rsid w:val="001610DC"/>
    <w:rsid w:val="00162E11"/>
    <w:rsid w:val="001639FE"/>
    <w:rsid w:val="00163F65"/>
    <w:rsid w:val="00164053"/>
    <w:rsid w:val="001647C0"/>
    <w:rsid w:val="00167EEE"/>
    <w:rsid w:val="00170998"/>
    <w:rsid w:val="00170B58"/>
    <w:rsid w:val="001728FA"/>
    <w:rsid w:val="00173DF9"/>
    <w:rsid w:val="00177AE6"/>
    <w:rsid w:val="00177BD6"/>
    <w:rsid w:val="00177DB0"/>
    <w:rsid w:val="001812E8"/>
    <w:rsid w:val="001819EF"/>
    <w:rsid w:val="00183EDE"/>
    <w:rsid w:val="00184850"/>
    <w:rsid w:val="00185E22"/>
    <w:rsid w:val="0018699C"/>
    <w:rsid w:val="00186E20"/>
    <w:rsid w:val="001871E3"/>
    <w:rsid w:val="00187A7B"/>
    <w:rsid w:val="00190422"/>
    <w:rsid w:val="00190CC5"/>
    <w:rsid w:val="00191971"/>
    <w:rsid w:val="00191C8D"/>
    <w:rsid w:val="00192B85"/>
    <w:rsid w:val="0019375C"/>
    <w:rsid w:val="00194346"/>
    <w:rsid w:val="00194C9A"/>
    <w:rsid w:val="00194FFA"/>
    <w:rsid w:val="001950ED"/>
    <w:rsid w:val="0019659A"/>
    <w:rsid w:val="0019696B"/>
    <w:rsid w:val="001969F3"/>
    <w:rsid w:val="001A01E9"/>
    <w:rsid w:val="001A0BBC"/>
    <w:rsid w:val="001A151D"/>
    <w:rsid w:val="001A1A1C"/>
    <w:rsid w:val="001A1A4A"/>
    <w:rsid w:val="001A1EC3"/>
    <w:rsid w:val="001A2727"/>
    <w:rsid w:val="001A27B7"/>
    <w:rsid w:val="001A3007"/>
    <w:rsid w:val="001A4C97"/>
    <w:rsid w:val="001A4EC0"/>
    <w:rsid w:val="001A532B"/>
    <w:rsid w:val="001A5E37"/>
    <w:rsid w:val="001A750A"/>
    <w:rsid w:val="001A7E17"/>
    <w:rsid w:val="001B1431"/>
    <w:rsid w:val="001B2FE7"/>
    <w:rsid w:val="001B3F99"/>
    <w:rsid w:val="001B517B"/>
    <w:rsid w:val="001B7B5B"/>
    <w:rsid w:val="001B7C35"/>
    <w:rsid w:val="001C0A4F"/>
    <w:rsid w:val="001C0F6D"/>
    <w:rsid w:val="001C2F1C"/>
    <w:rsid w:val="001C354B"/>
    <w:rsid w:val="001C3DEC"/>
    <w:rsid w:val="001C472E"/>
    <w:rsid w:val="001C47C3"/>
    <w:rsid w:val="001C4875"/>
    <w:rsid w:val="001C6522"/>
    <w:rsid w:val="001C666E"/>
    <w:rsid w:val="001C66CD"/>
    <w:rsid w:val="001C67BD"/>
    <w:rsid w:val="001C75A4"/>
    <w:rsid w:val="001D0954"/>
    <w:rsid w:val="001D1443"/>
    <w:rsid w:val="001D16D0"/>
    <w:rsid w:val="001D26B3"/>
    <w:rsid w:val="001D3C7D"/>
    <w:rsid w:val="001D3EC2"/>
    <w:rsid w:val="001D4016"/>
    <w:rsid w:val="001D48AE"/>
    <w:rsid w:val="001D48CD"/>
    <w:rsid w:val="001D4AF3"/>
    <w:rsid w:val="001D56A7"/>
    <w:rsid w:val="001D7052"/>
    <w:rsid w:val="001E02B4"/>
    <w:rsid w:val="001E10C3"/>
    <w:rsid w:val="001E1E87"/>
    <w:rsid w:val="001E2283"/>
    <w:rsid w:val="001E335C"/>
    <w:rsid w:val="001E33EB"/>
    <w:rsid w:val="001E4594"/>
    <w:rsid w:val="001E51E5"/>
    <w:rsid w:val="001E576F"/>
    <w:rsid w:val="001E61EA"/>
    <w:rsid w:val="001E64D3"/>
    <w:rsid w:val="001E6A65"/>
    <w:rsid w:val="001F00DF"/>
    <w:rsid w:val="001F014B"/>
    <w:rsid w:val="001F1329"/>
    <w:rsid w:val="001F36D0"/>
    <w:rsid w:val="001F3ABB"/>
    <w:rsid w:val="001F46C1"/>
    <w:rsid w:val="001F4854"/>
    <w:rsid w:val="001F5446"/>
    <w:rsid w:val="001F5B87"/>
    <w:rsid w:val="001F63D9"/>
    <w:rsid w:val="001F7077"/>
    <w:rsid w:val="00200409"/>
    <w:rsid w:val="00200CF9"/>
    <w:rsid w:val="00203456"/>
    <w:rsid w:val="00204073"/>
    <w:rsid w:val="002063D6"/>
    <w:rsid w:val="00206A44"/>
    <w:rsid w:val="002100FF"/>
    <w:rsid w:val="00210140"/>
    <w:rsid w:val="0021174C"/>
    <w:rsid w:val="00211768"/>
    <w:rsid w:val="0021310C"/>
    <w:rsid w:val="00213150"/>
    <w:rsid w:val="00213CC2"/>
    <w:rsid w:val="00214279"/>
    <w:rsid w:val="002143C2"/>
    <w:rsid w:val="00214439"/>
    <w:rsid w:val="00214ED3"/>
    <w:rsid w:val="00215C9A"/>
    <w:rsid w:val="00217957"/>
    <w:rsid w:val="00217F83"/>
    <w:rsid w:val="00220485"/>
    <w:rsid w:val="002208A4"/>
    <w:rsid w:val="00220D67"/>
    <w:rsid w:val="0022103E"/>
    <w:rsid w:val="0022158C"/>
    <w:rsid w:val="00222790"/>
    <w:rsid w:val="0022439B"/>
    <w:rsid w:val="00224B36"/>
    <w:rsid w:val="00224C94"/>
    <w:rsid w:val="002257D3"/>
    <w:rsid w:val="002279C6"/>
    <w:rsid w:val="00227C82"/>
    <w:rsid w:val="002323CC"/>
    <w:rsid w:val="00236FE4"/>
    <w:rsid w:val="002404F6"/>
    <w:rsid w:val="002413B2"/>
    <w:rsid w:val="002415B5"/>
    <w:rsid w:val="00242007"/>
    <w:rsid w:val="0024226E"/>
    <w:rsid w:val="00242666"/>
    <w:rsid w:val="00243BE3"/>
    <w:rsid w:val="00246C4E"/>
    <w:rsid w:val="00246EB5"/>
    <w:rsid w:val="00247D5E"/>
    <w:rsid w:val="0025168C"/>
    <w:rsid w:val="00251AF7"/>
    <w:rsid w:val="0025268A"/>
    <w:rsid w:val="00252924"/>
    <w:rsid w:val="002530E0"/>
    <w:rsid w:val="00253F8F"/>
    <w:rsid w:val="00256921"/>
    <w:rsid w:val="00256BAE"/>
    <w:rsid w:val="00260936"/>
    <w:rsid w:val="002614B5"/>
    <w:rsid w:val="0026225A"/>
    <w:rsid w:val="00262876"/>
    <w:rsid w:val="00262927"/>
    <w:rsid w:val="0026357C"/>
    <w:rsid w:val="00264E42"/>
    <w:rsid w:val="00265210"/>
    <w:rsid w:val="002655D3"/>
    <w:rsid w:val="00266C92"/>
    <w:rsid w:val="00266F5B"/>
    <w:rsid w:val="002672D4"/>
    <w:rsid w:val="00267B9F"/>
    <w:rsid w:val="002704F2"/>
    <w:rsid w:val="00270754"/>
    <w:rsid w:val="002715C7"/>
    <w:rsid w:val="00271600"/>
    <w:rsid w:val="00271BFF"/>
    <w:rsid w:val="00271FB8"/>
    <w:rsid w:val="002726B5"/>
    <w:rsid w:val="002738E2"/>
    <w:rsid w:val="002754BD"/>
    <w:rsid w:val="00275701"/>
    <w:rsid w:val="00276B9C"/>
    <w:rsid w:val="00276E1F"/>
    <w:rsid w:val="00277026"/>
    <w:rsid w:val="00277069"/>
    <w:rsid w:val="00277923"/>
    <w:rsid w:val="00277AA1"/>
    <w:rsid w:val="00277D7E"/>
    <w:rsid w:val="00280937"/>
    <w:rsid w:val="00281CD4"/>
    <w:rsid w:val="00282886"/>
    <w:rsid w:val="00282CCB"/>
    <w:rsid w:val="00282EC2"/>
    <w:rsid w:val="00283A74"/>
    <w:rsid w:val="00284942"/>
    <w:rsid w:val="00284DA1"/>
    <w:rsid w:val="0028544D"/>
    <w:rsid w:val="002859FE"/>
    <w:rsid w:val="0028692B"/>
    <w:rsid w:val="0028771E"/>
    <w:rsid w:val="002913D6"/>
    <w:rsid w:val="002915FB"/>
    <w:rsid w:val="00291AF8"/>
    <w:rsid w:val="00292361"/>
    <w:rsid w:val="00292398"/>
    <w:rsid w:val="00293981"/>
    <w:rsid w:val="00294C0E"/>
    <w:rsid w:val="002962E7"/>
    <w:rsid w:val="002A0C03"/>
    <w:rsid w:val="002A0D74"/>
    <w:rsid w:val="002A1C6E"/>
    <w:rsid w:val="002A5773"/>
    <w:rsid w:val="002A62CB"/>
    <w:rsid w:val="002A6AD2"/>
    <w:rsid w:val="002A6B37"/>
    <w:rsid w:val="002A73E4"/>
    <w:rsid w:val="002B08CB"/>
    <w:rsid w:val="002B0957"/>
    <w:rsid w:val="002B0C84"/>
    <w:rsid w:val="002B0CEB"/>
    <w:rsid w:val="002B1514"/>
    <w:rsid w:val="002B18B8"/>
    <w:rsid w:val="002B1984"/>
    <w:rsid w:val="002B1F78"/>
    <w:rsid w:val="002B24BD"/>
    <w:rsid w:val="002B3608"/>
    <w:rsid w:val="002B4370"/>
    <w:rsid w:val="002B4593"/>
    <w:rsid w:val="002B645E"/>
    <w:rsid w:val="002B6889"/>
    <w:rsid w:val="002B69C9"/>
    <w:rsid w:val="002B6E1B"/>
    <w:rsid w:val="002B6F92"/>
    <w:rsid w:val="002B6FAB"/>
    <w:rsid w:val="002B705B"/>
    <w:rsid w:val="002B7B8B"/>
    <w:rsid w:val="002C025A"/>
    <w:rsid w:val="002C05EC"/>
    <w:rsid w:val="002C117B"/>
    <w:rsid w:val="002C11AC"/>
    <w:rsid w:val="002C177E"/>
    <w:rsid w:val="002C19F2"/>
    <w:rsid w:val="002C1B39"/>
    <w:rsid w:val="002C1B99"/>
    <w:rsid w:val="002C295C"/>
    <w:rsid w:val="002C318D"/>
    <w:rsid w:val="002C4CEC"/>
    <w:rsid w:val="002C4E38"/>
    <w:rsid w:val="002C5645"/>
    <w:rsid w:val="002C6465"/>
    <w:rsid w:val="002C6E31"/>
    <w:rsid w:val="002C7C5F"/>
    <w:rsid w:val="002D01F8"/>
    <w:rsid w:val="002D04AB"/>
    <w:rsid w:val="002D164C"/>
    <w:rsid w:val="002D25D9"/>
    <w:rsid w:val="002D30B6"/>
    <w:rsid w:val="002D319D"/>
    <w:rsid w:val="002D3379"/>
    <w:rsid w:val="002D3C11"/>
    <w:rsid w:val="002D4604"/>
    <w:rsid w:val="002D5BB5"/>
    <w:rsid w:val="002D6051"/>
    <w:rsid w:val="002D7886"/>
    <w:rsid w:val="002E02BD"/>
    <w:rsid w:val="002E0662"/>
    <w:rsid w:val="002E0916"/>
    <w:rsid w:val="002E18E6"/>
    <w:rsid w:val="002E1922"/>
    <w:rsid w:val="002E3E24"/>
    <w:rsid w:val="002E60C8"/>
    <w:rsid w:val="002E688A"/>
    <w:rsid w:val="002E7509"/>
    <w:rsid w:val="002E78E3"/>
    <w:rsid w:val="002E7A46"/>
    <w:rsid w:val="002F0044"/>
    <w:rsid w:val="002F11ED"/>
    <w:rsid w:val="002F2616"/>
    <w:rsid w:val="002F2E1C"/>
    <w:rsid w:val="002F34AF"/>
    <w:rsid w:val="002F3564"/>
    <w:rsid w:val="002F3640"/>
    <w:rsid w:val="002F3D5B"/>
    <w:rsid w:val="002F3D73"/>
    <w:rsid w:val="002F4BD6"/>
    <w:rsid w:val="002F4DAF"/>
    <w:rsid w:val="002F70AB"/>
    <w:rsid w:val="002F716E"/>
    <w:rsid w:val="003022E1"/>
    <w:rsid w:val="00303130"/>
    <w:rsid w:val="0030602C"/>
    <w:rsid w:val="00306E2F"/>
    <w:rsid w:val="0030727F"/>
    <w:rsid w:val="00307E37"/>
    <w:rsid w:val="003106F0"/>
    <w:rsid w:val="0031104A"/>
    <w:rsid w:val="00311CD6"/>
    <w:rsid w:val="0031226A"/>
    <w:rsid w:val="00312458"/>
    <w:rsid w:val="00312778"/>
    <w:rsid w:val="0031294D"/>
    <w:rsid w:val="00312F57"/>
    <w:rsid w:val="003133D7"/>
    <w:rsid w:val="00313B4E"/>
    <w:rsid w:val="0031425B"/>
    <w:rsid w:val="003153A3"/>
    <w:rsid w:val="0031652A"/>
    <w:rsid w:val="0031780D"/>
    <w:rsid w:val="00317D8A"/>
    <w:rsid w:val="00317EC3"/>
    <w:rsid w:val="003202CC"/>
    <w:rsid w:val="00320F3F"/>
    <w:rsid w:val="00321A6B"/>
    <w:rsid w:val="00321DE6"/>
    <w:rsid w:val="003237B3"/>
    <w:rsid w:val="0032449B"/>
    <w:rsid w:val="003247CC"/>
    <w:rsid w:val="003249AC"/>
    <w:rsid w:val="003249CF"/>
    <w:rsid w:val="00324ADE"/>
    <w:rsid w:val="0032543B"/>
    <w:rsid w:val="0032583B"/>
    <w:rsid w:val="00325AAE"/>
    <w:rsid w:val="00326119"/>
    <w:rsid w:val="0032627A"/>
    <w:rsid w:val="003275F6"/>
    <w:rsid w:val="00327910"/>
    <w:rsid w:val="00327B37"/>
    <w:rsid w:val="003309A0"/>
    <w:rsid w:val="0033320A"/>
    <w:rsid w:val="00334DE2"/>
    <w:rsid w:val="00336CCA"/>
    <w:rsid w:val="00336F3E"/>
    <w:rsid w:val="0033769D"/>
    <w:rsid w:val="00341A9F"/>
    <w:rsid w:val="00341F55"/>
    <w:rsid w:val="00342610"/>
    <w:rsid w:val="00343430"/>
    <w:rsid w:val="00343EAF"/>
    <w:rsid w:val="00343F11"/>
    <w:rsid w:val="003455CC"/>
    <w:rsid w:val="00345C97"/>
    <w:rsid w:val="00346139"/>
    <w:rsid w:val="0034628A"/>
    <w:rsid w:val="00346670"/>
    <w:rsid w:val="0034749C"/>
    <w:rsid w:val="00347C6E"/>
    <w:rsid w:val="00350101"/>
    <w:rsid w:val="003502B0"/>
    <w:rsid w:val="00350325"/>
    <w:rsid w:val="003508A6"/>
    <w:rsid w:val="00351414"/>
    <w:rsid w:val="003518FF"/>
    <w:rsid w:val="00352D99"/>
    <w:rsid w:val="003535D2"/>
    <w:rsid w:val="00353AA8"/>
    <w:rsid w:val="0035576C"/>
    <w:rsid w:val="00355CF3"/>
    <w:rsid w:val="0035635D"/>
    <w:rsid w:val="00356D1A"/>
    <w:rsid w:val="00357D24"/>
    <w:rsid w:val="00357F49"/>
    <w:rsid w:val="00361A1E"/>
    <w:rsid w:val="00361DAA"/>
    <w:rsid w:val="00362250"/>
    <w:rsid w:val="00362625"/>
    <w:rsid w:val="003637B0"/>
    <w:rsid w:val="00363CAC"/>
    <w:rsid w:val="00363EFA"/>
    <w:rsid w:val="00364FC6"/>
    <w:rsid w:val="00365C4C"/>
    <w:rsid w:val="003667F5"/>
    <w:rsid w:val="00366F86"/>
    <w:rsid w:val="003702E6"/>
    <w:rsid w:val="00371EA4"/>
    <w:rsid w:val="00372413"/>
    <w:rsid w:val="00372754"/>
    <w:rsid w:val="00372B30"/>
    <w:rsid w:val="00372C11"/>
    <w:rsid w:val="00373ECD"/>
    <w:rsid w:val="0037476B"/>
    <w:rsid w:val="00374E85"/>
    <w:rsid w:val="003755E7"/>
    <w:rsid w:val="00375641"/>
    <w:rsid w:val="003760B5"/>
    <w:rsid w:val="00376299"/>
    <w:rsid w:val="00376C28"/>
    <w:rsid w:val="0037729F"/>
    <w:rsid w:val="0038182F"/>
    <w:rsid w:val="00381B8F"/>
    <w:rsid w:val="00381C81"/>
    <w:rsid w:val="00381E77"/>
    <w:rsid w:val="0038381E"/>
    <w:rsid w:val="00384192"/>
    <w:rsid w:val="00384556"/>
    <w:rsid w:val="0038472D"/>
    <w:rsid w:val="00385071"/>
    <w:rsid w:val="00385172"/>
    <w:rsid w:val="00385818"/>
    <w:rsid w:val="003859C8"/>
    <w:rsid w:val="00387288"/>
    <w:rsid w:val="00390DAF"/>
    <w:rsid w:val="00391796"/>
    <w:rsid w:val="0039179B"/>
    <w:rsid w:val="003936B8"/>
    <w:rsid w:val="00393751"/>
    <w:rsid w:val="003939CB"/>
    <w:rsid w:val="00393DE8"/>
    <w:rsid w:val="003A015E"/>
    <w:rsid w:val="003A187F"/>
    <w:rsid w:val="003A1AF3"/>
    <w:rsid w:val="003A216D"/>
    <w:rsid w:val="003A2592"/>
    <w:rsid w:val="003A3198"/>
    <w:rsid w:val="003A3F3A"/>
    <w:rsid w:val="003A473D"/>
    <w:rsid w:val="003A48EF"/>
    <w:rsid w:val="003A520B"/>
    <w:rsid w:val="003A5795"/>
    <w:rsid w:val="003A5843"/>
    <w:rsid w:val="003A6CF9"/>
    <w:rsid w:val="003B020A"/>
    <w:rsid w:val="003B07AC"/>
    <w:rsid w:val="003B170B"/>
    <w:rsid w:val="003B1D8B"/>
    <w:rsid w:val="003B3092"/>
    <w:rsid w:val="003B392C"/>
    <w:rsid w:val="003B3937"/>
    <w:rsid w:val="003B3BD6"/>
    <w:rsid w:val="003B3F2F"/>
    <w:rsid w:val="003B4224"/>
    <w:rsid w:val="003B43E4"/>
    <w:rsid w:val="003B5CEE"/>
    <w:rsid w:val="003B632F"/>
    <w:rsid w:val="003B673E"/>
    <w:rsid w:val="003B7115"/>
    <w:rsid w:val="003B7186"/>
    <w:rsid w:val="003B7672"/>
    <w:rsid w:val="003B7810"/>
    <w:rsid w:val="003B7A93"/>
    <w:rsid w:val="003C00F0"/>
    <w:rsid w:val="003C0CF5"/>
    <w:rsid w:val="003C0F7F"/>
    <w:rsid w:val="003C21A8"/>
    <w:rsid w:val="003C28FE"/>
    <w:rsid w:val="003C4312"/>
    <w:rsid w:val="003C474A"/>
    <w:rsid w:val="003C5C2D"/>
    <w:rsid w:val="003C5FBC"/>
    <w:rsid w:val="003C6D85"/>
    <w:rsid w:val="003C73E1"/>
    <w:rsid w:val="003D12F4"/>
    <w:rsid w:val="003D13BE"/>
    <w:rsid w:val="003D23C0"/>
    <w:rsid w:val="003D2A91"/>
    <w:rsid w:val="003D407D"/>
    <w:rsid w:val="003D4FC7"/>
    <w:rsid w:val="003D5BF8"/>
    <w:rsid w:val="003D5CF0"/>
    <w:rsid w:val="003D65E0"/>
    <w:rsid w:val="003E0AF2"/>
    <w:rsid w:val="003E345D"/>
    <w:rsid w:val="003E34E7"/>
    <w:rsid w:val="003E3AD0"/>
    <w:rsid w:val="003E4568"/>
    <w:rsid w:val="003E469E"/>
    <w:rsid w:val="003E5564"/>
    <w:rsid w:val="003E7D1E"/>
    <w:rsid w:val="003E7F6F"/>
    <w:rsid w:val="003F0AFC"/>
    <w:rsid w:val="003F17FE"/>
    <w:rsid w:val="003F222A"/>
    <w:rsid w:val="003F228D"/>
    <w:rsid w:val="003F23C2"/>
    <w:rsid w:val="003F2553"/>
    <w:rsid w:val="003F2DAD"/>
    <w:rsid w:val="003F2E65"/>
    <w:rsid w:val="003F327D"/>
    <w:rsid w:val="003F39FE"/>
    <w:rsid w:val="003F43F8"/>
    <w:rsid w:val="003F7B9D"/>
    <w:rsid w:val="003F7E80"/>
    <w:rsid w:val="0040020B"/>
    <w:rsid w:val="0040041C"/>
    <w:rsid w:val="00400C07"/>
    <w:rsid w:val="004012F4"/>
    <w:rsid w:val="00401889"/>
    <w:rsid w:val="00401A84"/>
    <w:rsid w:val="004021C4"/>
    <w:rsid w:val="00402237"/>
    <w:rsid w:val="004023A5"/>
    <w:rsid w:val="00402791"/>
    <w:rsid w:val="00403BF7"/>
    <w:rsid w:val="004059FA"/>
    <w:rsid w:val="00410302"/>
    <w:rsid w:val="00411AFE"/>
    <w:rsid w:val="00411CD1"/>
    <w:rsid w:val="004122D9"/>
    <w:rsid w:val="00413121"/>
    <w:rsid w:val="0041332F"/>
    <w:rsid w:val="00414B66"/>
    <w:rsid w:val="00415E52"/>
    <w:rsid w:val="00415F98"/>
    <w:rsid w:val="00416509"/>
    <w:rsid w:val="004200C0"/>
    <w:rsid w:val="00420F51"/>
    <w:rsid w:val="0042165B"/>
    <w:rsid w:val="00421AE9"/>
    <w:rsid w:val="00421CAB"/>
    <w:rsid w:val="00421E29"/>
    <w:rsid w:val="00421E72"/>
    <w:rsid w:val="004222BC"/>
    <w:rsid w:val="00423413"/>
    <w:rsid w:val="00425E4A"/>
    <w:rsid w:val="00426511"/>
    <w:rsid w:val="004269C1"/>
    <w:rsid w:val="00426EF9"/>
    <w:rsid w:val="004279B5"/>
    <w:rsid w:val="00431239"/>
    <w:rsid w:val="00434AD2"/>
    <w:rsid w:val="0043623E"/>
    <w:rsid w:val="004372BD"/>
    <w:rsid w:val="004407BB"/>
    <w:rsid w:val="00440EE2"/>
    <w:rsid w:val="00441F0B"/>
    <w:rsid w:val="0044331B"/>
    <w:rsid w:val="00443E29"/>
    <w:rsid w:val="00444027"/>
    <w:rsid w:val="00445567"/>
    <w:rsid w:val="00446009"/>
    <w:rsid w:val="00446530"/>
    <w:rsid w:val="004465F8"/>
    <w:rsid w:val="00446936"/>
    <w:rsid w:val="004474E3"/>
    <w:rsid w:val="0045131C"/>
    <w:rsid w:val="00452802"/>
    <w:rsid w:val="00453BFF"/>
    <w:rsid w:val="00453D2D"/>
    <w:rsid w:val="004543D8"/>
    <w:rsid w:val="00455056"/>
    <w:rsid w:val="00455D77"/>
    <w:rsid w:val="004567B5"/>
    <w:rsid w:val="00457776"/>
    <w:rsid w:val="00460107"/>
    <w:rsid w:val="00460624"/>
    <w:rsid w:val="00461BE1"/>
    <w:rsid w:val="0046252D"/>
    <w:rsid w:val="004627A5"/>
    <w:rsid w:val="00463031"/>
    <w:rsid w:val="00463865"/>
    <w:rsid w:val="004644C9"/>
    <w:rsid w:val="004658FF"/>
    <w:rsid w:val="00465B80"/>
    <w:rsid w:val="004669D4"/>
    <w:rsid w:val="00466DE7"/>
    <w:rsid w:val="00466F46"/>
    <w:rsid w:val="004677AC"/>
    <w:rsid w:val="00467A2E"/>
    <w:rsid w:val="00467A3C"/>
    <w:rsid w:val="00470BE1"/>
    <w:rsid w:val="004711C6"/>
    <w:rsid w:val="00471EA4"/>
    <w:rsid w:val="00472D4F"/>
    <w:rsid w:val="00473742"/>
    <w:rsid w:val="00473EF5"/>
    <w:rsid w:val="00474F36"/>
    <w:rsid w:val="00475EDB"/>
    <w:rsid w:val="00476E76"/>
    <w:rsid w:val="0047741E"/>
    <w:rsid w:val="004774E1"/>
    <w:rsid w:val="004804EF"/>
    <w:rsid w:val="004813DE"/>
    <w:rsid w:val="00481A69"/>
    <w:rsid w:val="00481FF3"/>
    <w:rsid w:val="004828CE"/>
    <w:rsid w:val="00483D50"/>
    <w:rsid w:val="00484BFD"/>
    <w:rsid w:val="00486379"/>
    <w:rsid w:val="0048796D"/>
    <w:rsid w:val="00487DCB"/>
    <w:rsid w:val="0049013B"/>
    <w:rsid w:val="00490274"/>
    <w:rsid w:val="00492C76"/>
    <w:rsid w:val="0049409E"/>
    <w:rsid w:val="00494390"/>
    <w:rsid w:val="00494B7B"/>
    <w:rsid w:val="00494D42"/>
    <w:rsid w:val="00496583"/>
    <w:rsid w:val="00496C8A"/>
    <w:rsid w:val="004A075D"/>
    <w:rsid w:val="004A1CCE"/>
    <w:rsid w:val="004A1D98"/>
    <w:rsid w:val="004A1DDC"/>
    <w:rsid w:val="004A226F"/>
    <w:rsid w:val="004A2DE3"/>
    <w:rsid w:val="004A36F7"/>
    <w:rsid w:val="004A39DB"/>
    <w:rsid w:val="004A4667"/>
    <w:rsid w:val="004A472C"/>
    <w:rsid w:val="004A4E64"/>
    <w:rsid w:val="004A4E9D"/>
    <w:rsid w:val="004A5B0D"/>
    <w:rsid w:val="004A6392"/>
    <w:rsid w:val="004A7709"/>
    <w:rsid w:val="004A78B3"/>
    <w:rsid w:val="004B0B61"/>
    <w:rsid w:val="004B19F6"/>
    <w:rsid w:val="004B1CB4"/>
    <w:rsid w:val="004B262F"/>
    <w:rsid w:val="004B6026"/>
    <w:rsid w:val="004B7054"/>
    <w:rsid w:val="004B7B5A"/>
    <w:rsid w:val="004C146B"/>
    <w:rsid w:val="004C37FA"/>
    <w:rsid w:val="004C4229"/>
    <w:rsid w:val="004C5B31"/>
    <w:rsid w:val="004C7D60"/>
    <w:rsid w:val="004D25CE"/>
    <w:rsid w:val="004D3397"/>
    <w:rsid w:val="004D34E6"/>
    <w:rsid w:val="004D3AC5"/>
    <w:rsid w:val="004D457A"/>
    <w:rsid w:val="004D4AE6"/>
    <w:rsid w:val="004D58BD"/>
    <w:rsid w:val="004D5BE7"/>
    <w:rsid w:val="004D73CD"/>
    <w:rsid w:val="004D7644"/>
    <w:rsid w:val="004E1531"/>
    <w:rsid w:val="004E22D9"/>
    <w:rsid w:val="004E2A8A"/>
    <w:rsid w:val="004E331E"/>
    <w:rsid w:val="004E4392"/>
    <w:rsid w:val="004E5019"/>
    <w:rsid w:val="004E52DA"/>
    <w:rsid w:val="004E5333"/>
    <w:rsid w:val="004E74F0"/>
    <w:rsid w:val="004E79FD"/>
    <w:rsid w:val="004E7E80"/>
    <w:rsid w:val="004F15F3"/>
    <w:rsid w:val="004F17E8"/>
    <w:rsid w:val="004F1DEB"/>
    <w:rsid w:val="004F3E63"/>
    <w:rsid w:val="004F4E47"/>
    <w:rsid w:val="004F52E8"/>
    <w:rsid w:val="004F556E"/>
    <w:rsid w:val="004F59CE"/>
    <w:rsid w:val="004F5A3B"/>
    <w:rsid w:val="004F5AE1"/>
    <w:rsid w:val="004F7BB8"/>
    <w:rsid w:val="005013DD"/>
    <w:rsid w:val="005018DA"/>
    <w:rsid w:val="00501A7A"/>
    <w:rsid w:val="0050241E"/>
    <w:rsid w:val="005028C1"/>
    <w:rsid w:val="00502FEA"/>
    <w:rsid w:val="0050430B"/>
    <w:rsid w:val="00504882"/>
    <w:rsid w:val="00504D23"/>
    <w:rsid w:val="00505259"/>
    <w:rsid w:val="00506B66"/>
    <w:rsid w:val="00511535"/>
    <w:rsid w:val="0051156D"/>
    <w:rsid w:val="00511709"/>
    <w:rsid w:val="005117D3"/>
    <w:rsid w:val="00511AC7"/>
    <w:rsid w:val="00512F24"/>
    <w:rsid w:val="00512FD6"/>
    <w:rsid w:val="00514036"/>
    <w:rsid w:val="005144F3"/>
    <w:rsid w:val="00514C0D"/>
    <w:rsid w:val="00514EE7"/>
    <w:rsid w:val="005153D5"/>
    <w:rsid w:val="00515FDD"/>
    <w:rsid w:val="00517208"/>
    <w:rsid w:val="005177E7"/>
    <w:rsid w:val="00517BF5"/>
    <w:rsid w:val="005217EB"/>
    <w:rsid w:val="005228DD"/>
    <w:rsid w:val="00523336"/>
    <w:rsid w:val="005236AF"/>
    <w:rsid w:val="00525358"/>
    <w:rsid w:val="00525971"/>
    <w:rsid w:val="00525FE2"/>
    <w:rsid w:val="00526A4E"/>
    <w:rsid w:val="00527368"/>
    <w:rsid w:val="005302DB"/>
    <w:rsid w:val="005305B1"/>
    <w:rsid w:val="00532334"/>
    <w:rsid w:val="00533889"/>
    <w:rsid w:val="00533DB7"/>
    <w:rsid w:val="00534641"/>
    <w:rsid w:val="00534BFE"/>
    <w:rsid w:val="005355DF"/>
    <w:rsid w:val="00535AED"/>
    <w:rsid w:val="0053677B"/>
    <w:rsid w:val="005371BC"/>
    <w:rsid w:val="00540B6E"/>
    <w:rsid w:val="00541194"/>
    <w:rsid w:val="005423AB"/>
    <w:rsid w:val="00542DC9"/>
    <w:rsid w:val="00544422"/>
    <w:rsid w:val="00544A07"/>
    <w:rsid w:val="00544CC0"/>
    <w:rsid w:val="00547C6D"/>
    <w:rsid w:val="00550488"/>
    <w:rsid w:val="005509D6"/>
    <w:rsid w:val="00551AAF"/>
    <w:rsid w:val="005523F5"/>
    <w:rsid w:val="005526ED"/>
    <w:rsid w:val="0055333B"/>
    <w:rsid w:val="00553582"/>
    <w:rsid w:val="00553932"/>
    <w:rsid w:val="00553948"/>
    <w:rsid w:val="00554513"/>
    <w:rsid w:val="005548A9"/>
    <w:rsid w:val="005550D1"/>
    <w:rsid w:val="00556B2B"/>
    <w:rsid w:val="00557334"/>
    <w:rsid w:val="005606BE"/>
    <w:rsid w:val="00560B48"/>
    <w:rsid w:val="005623FE"/>
    <w:rsid w:val="00563872"/>
    <w:rsid w:val="00565716"/>
    <w:rsid w:val="00565D6F"/>
    <w:rsid w:val="00566C3F"/>
    <w:rsid w:val="005705C8"/>
    <w:rsid w:val="005712C5"/>
    <w:rsid w:val="0057139A"/>
    <w:rsid w:val="00571464"/>
    <w:rsid w:val="00571E19"/>
    <w:rsid w:val="00573798"/>
    <w:rsid w:val="00573912"/>
    <w:rsid w:val="00573D1D"/>
    <w:rsid w:val="0057400A"/>
    <w:rsid w:val="005754F4"/>
    <w:rsid w:val="0057590D"/>
    <w:rsid w:val="00575F18"/>
    <w:rsid w:val="005761F1"/>
    <w:rsid w:val="00577B60"/>
    <w:rsid w:val="005800C8"/>
    <w:rsid w:val="00580120"/>
    <w:rsid w:val="0058031F"/>
    <w:rsid w:val="0058082D"/>
    <w:rsid w:val="00580B1B"/>
    <w:rsid w:val="0058259D"/>
    <w:rsid w:val="00583025"/>
    <w:rsid w:val="00583E46"/>
    <w:rsid w:val="005847DE"/>
    <w:rsid w:val="0058481B"/>
    <w:rsid w:val="00584EA8"/>
    <w:rsid w:val="00585774"/>
    <w:rsid w:val="00585868"/>
    <w:rsid w:val="005858FB"/>
    <w:rsid w:val="00585C4B"/>
    <w:rsid w:val="00585C70"/>
    <w:rsid w:val="00585F6C"/>
    <w:rsid w:val="00586770"/>
    <w:rsid w:val="00587740"/>
    <w:rsid w:val="00590C05"/>
    <w:rsid w:val="00590E5B"/>
    <w:rsid w:val="0059200F"/>
    <w:rsid w:val="005923F6"/>
    <w:rsid w:val="00593DEE"/>
    <w:rsid w:val="00594133"/>
    <w:rsid w:val="00594C60"/>
    <w:rsid w:val="005955EA"/>
    <w:rsid w:val="00595DA0"/>
    <w:rsid w:val="005A1327"/>
    <w:rsid w:val="005A1598"/>
    <w:rsid w:val="005A2EAA"/>
    <w:rsid w:val="005A36FB"/>
    <w:rsid w:val="005A38B1"/>
    <w:rsid w:val="005A44A0"/>
    <w:rsid w:val="005A500A"/>
    <w:rsid w:val="005A7F37"/>
    <w:rsid w:val="005B0347"/>
    <w:rsid w:val="005B1BEB"/>
    <w:rsid w:val="005B3594"/>
    <w:rsid w:val="005B36B1"/>
    <w:rsid w:val="005B55AF"/>
    <w:rsid w:val="005B5EE0"/>
    <w:rsid w:val="005B6D58"/>
    <w:rsid w:val="005B75AE"/>
    <w:rsid w:val="005B75E8"/>
    <w:rsid w:val="005B776A"/>
    <w:rsid w:val="005C0023"/>
    <w:rsid w:val="005C083C"/>
    <w:rsid w:val="005C13B3"/>
    <w:rsid w:val="005C195B"/>
    <w:rsid w:val="005C2478"/>
    <w:rsid w:val="005C30E9"/>
    <w:rsid w:val="005C39C7"/>
    <w:rsid w:val="005C442A"/>
    <w:rsid w:val="005C6339"/>
    <w:rsid w:val="005C6855"/>
    <w:rsid w:val="005C7301"/>
    <w:rsid w:val="005C7873"/>
    <w:rsid w:val="005C7A5C"/>
    <w:rsid w:val="005C7B67"/>
    <w:rsid w:val="005D1872"/>
    <w:rsid w:val="005D4A78"/>
    <w:rsid w:val="005D5C6B"/>
    <w:rsid w:val="005D6CC3"/>
    <w:rsid w:val="005D6D35"/>
    <w:rsid w:val="005D6E1E"/>
    <w:rsid w:val="005D7620"/>
    <w:rsid w:val="005D77F8"/>
    <w:rsid w:val="005D7814"/>
    <w:rsid w:val="005D7926"/>
    <w:rsid w:val="005D7B8F"/>
    <w:rsid w:val="005E0974"/>
    <w:rsid w:val="005E0A72"/>
    <w:rsid w:val="005E154E"/>
    <w:rsid w:val="005E1B43"/>
    <w:rsid w:val="005E1CAC"/>
    <w:rsid w:val="005E20DE"/>
    <w:rsid w:val="005E4AF1"/>
    <w:rsid w:val="005E4D85"/>
    <w:rsid w:val="005E5A68"/>
    <w:rsid w:val="005E64BD"/>
    <w:rsid w:val="005E7943"/>
    <w:rsid w:val="005E7CEC"/>
    <w:rsid w:val="005F2539"/>
    <w:rsid w:val="005F2DBB"/>
    <w:rsid w:val="005F3CA6"/>
    <w:rsid w:val="005F3D4A"/>
    <w:rsid w:val="005F3E47"/>
    <w:rsid w:val="005F3EB5"/>
    <w:rsid w:val="005F5C5B"/>
    <w:rsid w:val="005F6935"/>
    <w:rsid w:val="005F7235"/>
    <w:rsid w:val="005F799A"/>
    <w:rsid w:val="00600305"/>
    <w:rsid w:val="006007FD"/>
    <w:rsid w:val="00601DCF"/>
    <w:rsid w:val="00601EED"/>
    <w:rsid w:val="00602F0F"/>
    <w:rsid w:val="00603312"/>
    <w:rsid w:val="00603AD6"/>
    <w:rsid w:val="00607265"/>
    <w:rsid w:val="00611DD1"/>
    <w:rsid w:val="00613A15"/>
    <w:rsid w:val="00613CEE"/>
    <w:rsid w:val="00614CC6"/>
    <w:rsid w:val="00615053"/>
    <w:rsid w:val="00615820"/>
    <w:rsid w:val="00615A1B"/>
    <w:rsid w:val="00615D20"/>
    <w:rsid w:val="0061650B"/>
    <w:rsid w:val="00616DFF"/>
    <w:rsid w:val="00616EFC"/>
    <w:rsid w:val="00616FCA"/>
    <w:rsid w:val="006179B2"/>
    <w:rsid w:val="00617E2F"/>
    <w:rsid w:val="00620916"/>
    <w:rsid w:val="00620AFC"/>
    <w:rsid w:val="00620F7E"/>
    <w:rsid w:val="00621DAA"/>
    <w:rsid w:val="0062241C"/>
    <w:rsid w:val="00622FAF"/>
    <w:rsid w:val="00623655"/>
    <w:rsid w:val="006245D9"/>
    <w:rsid w:val="00625A31"/>
    <w:rsid w:val="00626BD4"/>
    <w:rsid w:val="00627293"/>
    <w:rsid w:val="006277E8"/>
    <w:rsid w:val="00627B21"/>
    <w:rsid w:val="0063004A"/>
    <w:rsid w:val="0063016A"/>
    <w:rsid w:val="006327E0"/>
    <w:rsid w:val="00632B57"/>
    <w:rsid w:val="006347CD"/>
    <w:rsid w:val="0063565E"/>
    <w:rsid w:val="00635E22"/>
    <w:rsid w:val="0063633C"/>
    <w:rsid w:val="006365E3"/>
    <w:rsid w:val="006371B3"/>
    <w:rsid w:val="0063750F"/>
    <w:rsid w:val="0063780F"/>
    <w:rsid w:val="00640483"/>
    <w:rsid w:val="006410B6"/>
    <w:rsid w:val="00642C14"/>
    <w:rsid w:val="00642FD9"/>
    <w:rsid w:val="006433CC"/>
    <w:rsid w:val="00643473"/>
    <w:rsid w:val="00643B48"/>
    <w:rsid w:val="00643E49"/>
    <w:rsid w:val="0064492F"/>
    <w:rsid w:val="006455B5"/>
    <w:rsid w:val="006456E8"/>
    <w:rsid w:val="006462F7"/>
    <w:rsid w:val="00646F4B"/>
    <w:rsid w:val="0065080A"/>
    <w:rsid w:val="00650946"/>
    <w:rsid w:val="00651C7C"/>
    <w:rsid w:val="006522CA"/>
    <w:rsid w:val="006539F0"/>
    <w:rsid w:val="0065437C"/>
    <w:rsid w:val="0065563F"/>
    <w:rsid w:val="00655893"/>
    <w:rsid w:val="00655A1A"/>
    <w:rsid w:val="00655F3A"/>
    <w:rsid w:val="00656300"/>
    <w:rsid w:val="00657313"/>
    <w:rsid w:val="006574EC"/>
    <w:rsid w:val="0066069E"/>
    <w:rsid w:val="00660719"/>
    <w:rsid w:val="00661812"/>
    <w:rsid w:val="0066182E"/>
    <w:rsid w:val="00662A57"/>
    <w:rsid w:val="00663024"/>
    <w:rsid w:val="0066375B"/>
    <w:rsid w:val="00663BF1"/>
    <w:rsid w:val="00663F4E"/>
    <w:rsid w:val="00664C5F"/>
    <w:rsid w:val="00665083"/>
    <w:rsid w:val="006659E1"/>
    <w:rsid w:val="00666388"/>
    <w:rsid w:val="00666647"/>
    <w:rsid w:val="006705D9"/>
    <w:rsid w:val="00672027"/>
    <w:rsid w:val="00672772"/>
    <w:rsid w:val="00672B92"/>
    <w:rsid w:val="006731CF"/>
    <w:rsid w:val="0067329C"/>
    <w:rsid w:val="00675018"/>
    <w:rsid w:val="006752BD"/>
    <w:rsid w:val="006756E9"/>
    <w:rsid w:val="00675C5B"/>
    <w:rsid w:val="0067743A"/>
    <w:rsid w:val="006778D5"/>
    <w:rsid w:val="006817B4"/>
    <w:rsid w:val="006818FD"/>
    <w:rsid w:val="00681B5F"/>
    <w:rsid w:val="00681C53"/>
    <w:rsid w:val="00682896"/>
    <w:rsid w:val="00682CCA"/>
    <w:rsid w:val="006836B2"/>
    <w:rsid w:val="00684181"/>
    <w:rsid w:val="00684814"/>
    <w:rsid w:val="006852E0"/>
    <w:rsid w:val="00686743"/>
    <w:rsid w:val="006867F2"/>
    <w:rsid w:val="00687A21"/>
    <w:rsid w:val="00687D1C"/>
    <w:rsid w:val="00690F7E"/>
    <w:rsid w:val="00692369"/>
    <w:rsid w:val="00694023"/>
    <w:rsid w:val="0069489D"/>
    <w:rsid w:val="00697762"/>
    <w:rsid w:val="006A0B58"/>
    <w:rsid w:val="006A0BF0"/>
    <w:rsid w:val="006A0E1B"/>
    <w:rsid w:val="006A13FE"/>
    <w:rsid w:val="006A1AD6"/>
    <w:rsid w:val="006A20B5"/>
    <w:rsid w:val="006A20C0"/>
    <w:rsid w:val="006A28A0"/>
    <w:rsid w:val="006A328F"/>
    <w:rsid w:val="006A4E56"/>
    <w:rsid w:val="006A4F37"/>
    <w:rsid w:val="006A57CE"/>
    <w:rsid w:val="006A6628"/>
    <w:rsid w:val="006A6ADD"/>
    <w:rsid w:val="006A6DE7"/>
    <w:rsid w:val="006B004A"/>
    <w:rsid w:val="006B14DC"/>
    <w:rsid w:val="006B1AB8"/>
    <w:rsid w:val="006B26D1"/>
    <w:rsid w:val="006B2E9A"/>
    <w:rsid w:val="006B300A"/>
    <w:rsid w:val="006B314C"/>
    <w:rsid w:val="006B3439"/>
    <w:rsid w:val="006B3BB6"/>
    <w:rsid w:val="006B6741"/>
    <w:rsid w:val="006B6D4D"/>
    <w:rsid w:val="006B72DC"/>
    <w:rsid w:val="006C0457"/>
    <w:rsid w:val="006C1373"/>
    <w:rsid w:val="006C14CA"/>
    <w:rsid w:val="006C1EAB"/>
    <w:rsid w:val="006C2B5D"/>
    <w:rsid w:val="006C2F6A"/>
    <w:rsid w:val="006C3726"/>
    <w:rsid w:val="006C37DC"/>
    <w:rsid w:val="006C3A1B"/>
    <w:rsid w:val="006C4514"/>
    <w:rsid w:val="006C4F88"/>
    <w:rsid w:val="006C4FAE"/>
    <w:rsid w:val="006C50D4"/>
    <w:rsid w:val="006C5980"/>
    <w:rsid w:val="006C64B7"/>
    <w:rsid w:val="006C6C37"/>
    <w:rsid w:val="006C6DF6"/>
    <w:rsid w:val="006C6E1D"/>
    <w:rsid w:val="006C70C3"/>
    <w:rsid w:val="006D0B16"/>
    <w:rsid w:val="006D1011"/>
    <w:rsid w:val="006D16C3"/>
    <w:rsid w:val="006D1ACF"/>
    <w:rsid w:val="006D23D6"/>
    <w:rsid w:val="006D2EEE"/>
    <w:rsid w:val="006D2FF6"/>
    <w:rsid w:val="006D5FD7"/>
    <w:rsid w:val="006D6A7B"/>
    <w:rsid w:val="006E0767"/>
    <w:rsid w:val="006E13D6"/>
    <w:rsid w:val="006E1403"/>
    <w:rsid w:val="006E17D6"/>
    <w:rsid w:val="006E1C93"/>
    <w:rsid w:val="006E215F"/>
    <w:rsid w:val="006E28B6"/>
    <w:rsid w:val="006E2D7D"/>
    <w:rsid w:val="006E3718"/>
    <w:rsid w:val="006E3AAF"/>
    <w:rsid w:val="006E3C35"/>
    <w:rsid w:val="006E4130"/>
    <w:rsid w:val="006E45B7"/>
    <w:rsid w:val="006E483D"/>
    <w:rsid w:val="006E4924"/>
    <w:rsid w:val="006E4997"/>
    <w:rsid w:val="006E7061"/>
    <w:rsid w:val="006E7124"/>
    <w:rsid w:val="006E7BDC"/>
    <w:rsid w:val="006E7F7D"/>
    <w:rsid w:val="006F0743"/>
    <w:rsid w:val="006F0749"/>
    <w:rsid w:val="006F116A"/>
    <w:rsid w:val="006F179A"/>
    <w:rsid w:val="006F1EED"/>
    <w:rsid w:val="006F2B72"/>
    <w:rsid w:val="006F3227"/>
    <w:rsid w:val="006F3259"/>
    <w:rsid w:val="006F40A9"/>
    <w:rsid w:val="006F450A"/>
    <w:rsid w:val="006F47A6"/>
    <w:rsid w:val="006F5312"/>
    <w:rsid w:val="006F5B2C"/>
    <w:rsid w:val="006F79F0"/>
    <w:rsid w:val="006F7BA5"/>
    <w:rsid w:val="00705340"/>
    <w:rsid w:val="00705622"/>
    <w:rsid w:val="00705A1C"/>
    <w:rsid w:val="00706FC3"/>
    <w:rsid w:val="00707617"/>
    <w:rsid w:val="00711CAD"/>
    <w:rsid w:val="007129D5"/>
    <w:rsid w:val="00714CC8"/>
    <w:rsid w:val="007152E2"/>
    <w:rsid w:val="00715AFF"/>
    <w:rsid w:val="00715DA2"/>
    <w:rsid w:val="00716C8B"/>
    <w:rsid w:val="00717312"/>
    <w:rsid w:val="0071798C"/>
    <w:rsid w:val="00717CAA"/>
    <w:rsid w:val="007209E0"/>
    <w:rsid w:val="00720E66"/>
    <w:rsid w:val="007216E3"/>
    <w:rsid w:val="00721B8B"/>
    <w:rsid w:val="00722BA4"/>
    <w:rsid w:val="00723304"/>
    <w:rsid w:val="00723867"/>
    <w:rsid w:val="00724120"/>
    <w:rsid w:val="00724198"/>
    <w:rsid w:val="007247E3"/>
    <w:rsid w:val="0072495B"/>
    <w:rsid w:val="00724B45"/>
    <w:rsid w:val="0073046C"/>
    <w:rsid w:val="007311E4"/>
    <w:rsid w:val="007320AB"/>
    <w:rsid w:val="00732F2F"/>
    <w:rsid w:val="00733488"/>
    <w:rsid w:val="00733C38"/>
    <w:rsid w:val="0073535B"/>
    <w:rsid w:val="0073556E"/>
    <w:rsid w:val="0073594D"/>
    <w:rsid w:val="00736031"/>
    <w:rsid w:val="007369C4"/>
    <w:rsid w:val="00737326"/>
    <w:rsid w:val="007425E7"/>
    <w:rsid w:val="007434A9"/>
    <w:rsid w:val="007435FF"/>
    <w:rsid w:val="0074536D"/>
    <w:rsid w:val="00746FD0"/>
    <w:rsid w:val="00747DD3"/>
    <w:rsid w:val="00750C34"/>
    <w:rsid w:val="007525E1"/>
    <w:rsid w:val="00752FC4"/>
    <w:rsid w:val="00753253"/>
    <w:rsid w:val="007536D3"/>
    <w:rsid w:val="0075393D"/>
    <w:rsid w:val="007541A1"/>
    <w:rsid w:val="00755069"/>
    <w:rsid w:val="0075512B"/>
    <w:rsid w:val="0075559F"/>
    <w:rsid w:val="00755AD7"/>
    <w:rsid w:val="00757875"/>
    <w:rsid w:val="007619C2"/>
    <w:rsid w:val="00761C23"/>
    <w:rsid w:val="00762D5E"/>
    <w:rsid w:val="007638BF"/>
    <w:rsid w:val="00763A8E"/>
    <w:rsid w:val="00763EA8"/>
    <w:rsid w:val="00764266"/>
    <w:rsid w:val="00764B03"/>
    <w:rsid w:val="00765776"/>
    <w:rsid w:val="00766961"/>
    <w:rsid w:val="00766A53"/>
    <w:rsid w:val="00766E3E"/>
    <w:rsid w:val="007679FD"/>
    <w:rsid w:val="00770111"/>
    <w:rsid w:val="007703ED"/>
    <w:rsid w:val="00770A93"/>
    <w:rsid w:val="00770AAB"/>
    <w:rsid w:val="00770EAB"/>
    <w:rsid w:val="00771F14"/>
    <w:rsid w:val="007725EB"/>
    <w:rsid w:val="00773455"/>
    <w:rsid w:val="00774081"/>
    <w:rsid w:val="00775073"/>
    <w:rsid w:val="00776722"/>
    <w:rsid w:val="00777513"/>
    <w:rsid w:val="00777967"/>
    <w:rsid w:val="007779B6"/>
    <w:rsid w:val="00777A20"/>
    <w:rsid w:val="00777D03"/>
    <w:rsid w:val="007802A9"/>
    <w:rsid w:val="007820E3"/>
    <w:rsid w:val="0078502C"/>
    <w:rsid w:val="007851DB"/>
    <w:rsid w:val="00785427"/>
    <w:rsid w:val="00785C20"/>
    <w:rsid w:val="00786126"/>
    <w:rsid w:val="007873C0"/>
    <w:rsid w:val="007914B8"/>
    <w:rsid w:val="0079293C"/>
    <w:rsid w:val="007A09B9"/>
    <w:rsid w:val="007A09DE"/>
    <w:rsid w:val="007A1CFC"/>
    <w:rsid w:val="007A2A9D"/>
    <w:rsid w:val="007A32BA"/>
    <w:rsid w:val="007A4357"/>
    <w:rsid w:val="007A43D0"/>
    <w:rsid w:val="007A478C"/>
    <w:rsid w:val="007A54A6"/>
    <w:rsid w:val="007A5C07"/>
    <w:rsid w:val="007A5CA0"/>
    <w:rsid w:val="007A5DE3"/>
    <w:rsid w:val="007A613E"/>
    <w:rsid w:val="007A6401"/>
    <w:rsid w:val="007A6407"/>
    <w:rsid w:val="007A65E2"/>
    <w:rsid w:val="007A66EB"/>
    <w:rsid w:val="007A68FA"/>
    <w:rsid w:val="007A7B7B"/>
    <w:rsid w:val="007A7E88"/>
    <w:rsid w:val="007B10C0"/>
    <w:rsid w:val="007B180A"/>
    <w:rsid w:val="007B2372"/>
    <w:rsid w:val="007B25E6"/>
    <w:rsid w:val="007B3EBE"/>
    <w:rsid w:val="007B429F"/>
    <w:rsid w:val="007B5173"/>
    <w:rsid w:val="007B70BD"/>
    <w:rsid w:val="007B76A9"/>
    <w:rsid w:val="007B7819"/>
    <w:rsid w:val="007C0ED1"/>
    <w:rsid w:val="007C1DD0"/>
    <w:rsid w:val="007C21EF"/>
    <w:rsid w:val="007C3D32"/>
    <w:rsid w:val="007C5231"/>
    <w:rsid w:val="007C5B1E"/>
    <w:rsid w:val="007C712D"/>
    <w:rsid w:val="007C76E9"/>
    <w:rsid w:val="007C7C00"/>
    <w:rsid w:val="007D071B"/>
    <w:rsid w:val="007D09B6"/>
    <w:rsid w:val="007D1A5C"/>
    <w:rsid w:val="007D2AFC"/>
    <w:rsid w:val="007D324C"/>
    <w:rsid w:val="007D3F1F"/>
    <w:rsid w:val="007D4CEF"/>
    <w:rsid w:val="007D512E"/>
    <w:rsid w:val="007D5ED0"/>
    <w:rsid w:val="007D6D8C"/>
    <w:rsid w:val="007D7DEC"/>
    <w:rsid w:val="007D7FA3"/>
    <w:rsid w:val="007E05A8"/>
    <w:rsid w:val="007E07D5"/>
    <w:rsid w:val="007E323C"/>
    <w:rsid w:val="007E41E4"/>
    <w:rsid w:val="007E53F2"/>
    <w:rsid w:val="007E5BFC"/>
    <w:rsid w:val="007E5C45"/>
    <w:rsid w:val="007E5E05"/>
    <w:rsid w:val="007E6555"/>
    <w:rsid w:val="007E71AC"/>
    <w:rsid w:val="007F1102"/>
    <w:rsid w:val="007F1359"/>
    <w:rsid w:val="007F1409"/>
    <w:rsid w:val="007F241C"/>
    <w:rsid w:val="007F2718"/>
    <w:rsid w:val="007F3091"/>
    <w:rsid w:val="007F5189"/>
    <w:rsid w:val="007F5603"/>
    <w:rsid w:val="007F56E7"/>
    <w:rsid w:val="007F58A9"/>
    <w:rsid w:val="007F5D92"/>
    <w:rsid w:val="007F62BD"/>
    <w:rsid w:val="007F6400"/>
    <w:rsid w:val="007F6937"/>
    <w:rsid w:val="007F7AFB"/>
    <w:rsid w:val="00800762"/>
    <w:rsid w:val="00800A5D"/>
    <w:rsid w:val="008020EA"/>
    <w:rsid w:val="00802E67"/>
    <w:rsid w:val="00803AB1"/>
    <w:rsid w:val="00804091"/>
    <w:rsid w:val="0080414D"/>
    <w:rsid w:val="00804252"/>
    <w:rsid w:val="00804872"/>
    <w:rsid w:val="00804AD0"/>
    <w:rsid w:val="008052F5"/>
    <w:rsid w:val="008057C3"/>
    <w:rsid w:val="00806268"/>
    <w:rsid w:val="008063C4"/>
    <w:rsid w:val="00806AA8"/>
    <w:rsid w:val="00806E91"/>
    <w:rsid w:val="00807677"/>
    <w:rsid w:val="00811548"/>
    <w:rsid w:val="008116E9"/>
    <w:rsid w:val="008124E8"/>
    <w:rsid w:val="00813803"/>
    <w:rsid w:val="008138A5"/>
    <w:rsid w:val="00813AAC"/>
    <w:rsid w:val="00814340"/>
    <w:rsid w:val="00814456"/>
    <w:rsid w:val="0081482B"/>
    <w:rsid w:val="00814FAF"/>
    <w:rsid w:val="00815AE0"/>
    <w:rsid w:val="00815B08"/>
    <w:rsid w:val="008163FE"/>
    <w:rsid w:val="00816577"/>
    <w:rsid w:val="00816727"/>
    <w:rsid w:val="00817A6B"/>
    <w:rsid w:val="00817C19"/>
    <w:rsid w:val="008204F7"/>
    <w:rsid w:val="00820D58"/>
    <w:rsid w:val="008217AA"/>
    <w:rsid w:val="008218EC"/>
    <w:rsid w:val="0082462B"/>
    <w:rsid w:val="00824F27"/>
    <w:rsid w:val="00825DD5"/>
    <w:rsid w:val="00825DDD"/>
    <w:rsid w:val="008268B4"/>
    <w:rsid w:val="0082723B"/>
    <w:rsid w:val="00827627"/>
    <w:rsid w:val="00827ABE"/>
    <w:rsid w:val="00827BA3"/>
    <w:rsid w:val="00830089"/>
    <w:rsid w:val="008301CC"/>
    <w:rsid w:val="00831089"/>
    <w:rsid w:val="0083244B"/>
    <w:rsid w:val="0083328F"/>
    <w:rsid w:val="0083333F"/>
    <w:rsid w:val="00833354"/>
    <w:rsid w:val="008333B8"/>
    <w:rsid w:val="008333DC"/>
    <w:rsid w:val="00834F50"/>
    <w:rsid w:val="00835E4A"/>
    <w:rsid w:val="00836F75"/>
    <w:rsid w:val="00837BFD"/>
    <w:rsid w:val="008412D8"/>
    <w:rsid w:val="00841770"/>
    <w:rsid w:val="008430B6"/>
    <w:rsid w:val="0084351C"/>
    <w:rsid w:val="00845257"/>
    <w:rsid w:val="008457E0"/>
    <w:rsid w:val="00845BC8"/>
    <w:rsid w:val="00847916"/>
    <w:rsid w:val="00851147"/>
    <w:rsid w:val="0085127F"/>
    <w:rsid w:val="00851287"/>
    <w:rsid w:val="00851556"/>
    <w:rsid w:val="00851727"/>
    <w:rsid w:val="00851D55"/>
    <w:rsid w:val="008524B8"/>
    <w:rsid w:val="00854660"/>
    <w:rsid w:val="00854B47"/>
    <w:rsid w:val="00855187"/>
    <w:rsid w:val="008571C6"/>
    <w:rsid w:val="00857B9E"/>
    <w:rsid w:val="00857E13"/>
    <w:rsid w:val="0086063A"/>
    <w:rsid w:val="00861018"/>
    <w:rsid w:val="00861115"/>
    <w:rsid w:val="008611EC"/>
    <w:rsid w:val="008612E6"/>
    <w:rsid w:val="00861EC9"/>
    <w:rsid w:val="00862695"/>
    <w:rsid w:val="00863805"/>
    <w:rsid w:val="00867224"/>
    <w:rsid w:val="008703F0"/>
    <w:rsid w:val="008705F0"/>
    <w:rsid w:val="00870816"/>
    <w:rsid w:val="00871914"/>
    <w:rsid w:val="00871D88"/>
    <w:rsid w:val="00872907"/>
    <w:rsid w:val="00872948"/>
    <w:rsid w:val="00873867"/>
    <w:rsid w:val="00874E27"/>
    <w:rsid w:val="0087503D"/>
    <w:rsid w:val="008758A3"/>
    <w:rsid w:val="00876179"/>
    <w:rsid w:val="008761CC"/>
    <w:rsid w:val="008772B0"/>
    <w:rsid w:val="0088010B"/>
    <w:rsid w:val="008805E4"/>
    <w:rsid w:val="00880777"/>
    <w:rsid w:val="00881881"/>
    <w:rsid w:val="00881989"/>
    <w:rsid w:val="008845AA"/>
    <w:rsid w:val="00884A07"/>
    <w:rsid w:val="00884A97"/>
    <w:rsid w:val="008856C1"/>
    <w:rsid w:val="0088602D"/>
    <w:rsid w:val="00886EB1"/>
    <w:rsid w:val="00887066"/>
    <w:rsid w:val="00887421"/>
    <w:rsid w:val="00887D71"/>
    <w:rsid w:val="00891467"/>
    <w:rsid w:val="00891632"/>
    <w:rsid w:val="00893020"/>
    <w:rsid w:val="00893A6F"/>
    <w:rsid w:val="008945FD"/>
    <w:rsid w:val="00895F1D"/>
    <w:rsid w:val="0089684F"/>
    <w:rsid w:val="008970E4"/>
    <w:rsid w:val="008A0BDD"/>
    <w:rsid w:val="008A184B"/>
    <w:rsid w:val="008A31DE"/>
    <w:rsid w:val="008A3721"/>
    <w:rsid w:val="008A3818"/>
    <w:rsid w:val="008A3E9D"/>
    <w:rsid w:val="008A5196"/>
    <w:rsid w:val="008A5992"/>
    <w:rsid w:val="008A5B2A"/>
    <w:rsid w:val="008A5B33"/>
    <w:rsid w:val="008A7744"/>
    <w:rsid w:val="008B011C"/>
    <w:rsid w:val="008B02FD"/>
    <w:rsid w:val="008B050F"/>
    <w:rsid w:val="008B0C2F"/>
    <w:rsid w:val="008B1451"/>
    <w:rsid w:val="008B1505"/>
    <w:rsid w:val="008B24A4"/>
    <w:rsid w:val="008B24CB"/>
    <w:rsid w:val="008B2A68"/>
    <w:rsid w:val="008B2E42"/>
    <w:rsid w:val="008B3110"/>
    <w:rsid w:val="008B3C59"/>
    <w:rsid w:val="008B436A"/>
    <w:rsid w:val="008B4663"/>
    <w:rsid w:val="008B4684"/>
    <w:rsid w:val="008B4C04"/>
    <w:rsid w:val="008B4D45"/>
    <w:rsid w:val="008B4E06"/>
    <w:rsid w:val="008B5ACE"/>
    <w:rsid w:val="008B7C0D"/>
    <w:rsid w:val="008C091B"/>
    <w:rsid w:val="008C0ADD"/>
    <w:rsid w:val="008C0B8E"/>
    <w:rsid w:val="008C0F86"/>
    <w:rsid w:val="008C2BEF"/>
    <w:rsid w:val="008C5A55"/>
    <w:rsid w:val="008C731C"/>
    <w:rsid w:val="008C7FB0"/>
    <w:rsid w:val="008D0425"/>
    <w:rsid w:val="008D1D1C"/>
    <w:rsid w:val="008D2024"/>
    <w:rsid w:val="008D2A98"/>
    <w:rsid w:val="008D378A"/>
    <w:rsid w:val="008D55E8"/>
    <w:rsid w:val="008D67EF"/>
    <w:rsid w:val="008D7A95"/>
    <w:rsid w:val="008D7B5A"/>
    <w:rsid w:val="008D7BDA"/>
    <w:rsid w:val="008D7EC5"/>
    <w:rsid w:val="008E05AC"/>
    <w:rsid w:val="008E2CE5"/>
    <w:rsid w:val="008E30F1"/>
    <w:rsid w:val="008E36C1"/>
    <w:rsid w:val="008E3945"/>
    <w:rsid w:val="008E3A84"/>
    <w:rsid w:val="008E3E03"/>
    <w:rsid w:val="008E4949"/>
    <w:rsid w:val="008E543B"/>
    <w:rsid w:val="008E54D9"/>
    <w:rsid w:val="008E55FF"/>
    <w:rsid w:val="008E5A09"/>
    <w:rsid w:val="008E5C8C"/>
    <w:rsid w:val="008E5CEF"/>
    <w:rsid w:val="008E6380"/>
    <w:rsid w:val="008E63EB"/>
    <w:rsid w:val="008E6BAC"/>
    <w:rsid w:val="008E723C"/>
    <w:rsid w:val="008E7DA4"/>
    <w:rsid w:val="008F0A53"/>
    <w:rsid w:val="008F2E96"/>
    <w:rsid w:val="008F4527"/>
    <w:rsid w:val="008F510D"/>
    <w:rsid w:val="008F59EF"/>
    <w:rsid w:val="008F5F06"/>
    <w:rsid w:val="008F70D8"/>
    <w:rsid w:val="008F75F0"/>
    <w:rsid w:val="008F7D8D"/>
    <w:rsid w:val="00900A91"/>
    <w:rsid w:val="0090122B"/>
    <w:rsid w:val="009025CC"/>
    <w:rsid w:val="0090276B"/>
    <w:rsid w:val="00903E72"/>
    <w:rsid w:val="00904A48"/>
    <w:rsid w:val="00905C7C"/>
    <w:rsid w:val="0090771F"/>
    <w:rsid w:val="00907D20"/>
    <w:rsid w:val="00907E16"/>
    <w:rsid w:val="00910DEA"/>
    <w:rsid w:val="00911B1C"/>
    <w:rsid w:val="00912A39"/>
    <w:rsid w:val="00912C7B"/>
    <w:rsid w:val="0091422E"/>
    <w:rsid w:val="009152EC"/>
    <w:rsid w:val="009154F9"/>
    <w:rsid w:val="009157DB"/>
    <w:rsid w:val="009157FE"/>
    <w:rsid w:val="009159B0"/>
    <w:rsid w:val="009172E5"/>
    <w:rsid w:val="009174BB"/>
    <w:rsid w:val="00917830"/>
    <w:rsid w:val="00920450"/>
    <w:rsid w:val="00922170"/>
    <w:rsid w:val="0092242A"/>
    <w:rsid w:val="00923018"/>
    <w:rsid w:val="00923120"/>
    <w:rsid w:val="00923B89"/>
    <w:rsid w:val="00924C2F"/>
    <w:rsid w:val="00925527"/>
    <w:rsid w:val="00925A64"/>
    <w:rsid w:val="00925FDD"/>
    <w:rsid w:val="00926793"/>
    <w:rsid w:val="00926A39"/>
    <w:rsid w:val="00927B7F"/>
    <w:rsid w:val="009316B4"/>
    <w:rsid w:val="00933423"/>
    <w:rsid w:val="009336E4"/>
    <w:rsid w:val="00933B52"/>
    <w:rsid w:val="00933FB7"/>
    <w:rsid w:val="00934974"/>
    <w:rsid w:val="00934F24"/>
    <w:rsid w:val="009352AC"/>
    <w:rsid w:val="00935697"/>
    <w:rsid w:val="00936334"/>
    <w:rsid w:val="00936B3E"/>
    <w:rsid w:val="00936C09"/>
    <w:rsid w:val="00936E66"/>
    <w:rsid w:val="009372EB"/>
    <w:rsid w:val="00937A00"/>
    <w:rsid w:val="00937E22"/>
    <w:rsid w:val="009411D8"/>
    <w:rsid w:val="00942B87"/>
    <w:rsid w:val="00942EBD"/>
    <w:rsid w:val="009433F8"/>
    <w:rsid w:val="009436F7"/>
    <w:rsid w:val="00944869"/>
    <w:rsid w:val="00944E08"/>
    <w:rsid w:val="009458A1"/>
    <w:rsid w:val="00946104"/>
    <w:rsid w:val="0094671C"/>
    <w:rsid w:val="00946AA2"/>
    <w:rsid w:val="0094716E"/>
    <w:rsid w:val="00947B08"/>
    <w:rsid w:val="00947B9A"/>
    <w:rsid w:val="00951153"/>
    <w:rsid w:val="00951F2E"/>
    <w:rsid w:val="0095219D"/>
    <w:rsid w:val="009522F8"/>
    <w:rsid w:val="009528FB"/>
    <w:rsid w:val="00953354"/>
    <w:rsid w:val="00953874"/>
    <w:rsid w:val="0095405D"/>
    <w:rsid w:val="00956C53"/>
    <w:rsid w:val="00957488"/>
    <w:rsid w:val="00960C33"/>
    <w:rsid w:val="00960DBA"/>
    <w:rsid w:val="00961753"/>
    <w:rsid w:val="009617AE"/>
    <w:rsid w:val="009621A0"/>
    <w:rsid w:val="0096282C"/>
    <w:rsid w:val="009672E8"/>
    <w:rsid w:val="0096772A"/>
    <w:rsid w:val="00967C02"/>
    <w:rsid w:val="00967D30"/>
    <w:rsid w:val="00970747"/>
    <w:rsid w:val="00970836"/>
    <w:rsid w:val="00973400"/>
    <w:rsid w:val="00973A72"/>
    <w:rsid w:val="0097406F"/>
    <w:rsid w:val="0097582B"/>
    <w:rsid w:val="00976EC9"/>
    <w:rsid w:val="009771CE"/>
    <w:rsid w:val="009772FB"/>
    <w:rsid w:val="009776D3"/>
    <w:rsid w:val="00977A49"/>
    <w:rsid w:val="00977C8B"/>
    <w:rsid w:val="00977DC4"/>
    <w:rsid w:val="009805D4"/>
    <w:rsid w:val="00981A25"/>
    <w:rsid w:val="00981A74"/>
    <w:rsid w:val="00981A8A"/>
    <w:rsid w:val="009827F3"/>
    <w:rsid w:val="00982A21"/>
    <w:rsid w:val="00982E47"/>
    <w:rsid w:val="009854E1"/>
    <w:rsid w:val="00985771"/>
    <w:rsid w:val="0098685B"/>
    <w:rsid w:val="00986881"/>
    <w:rsid w:val="00987B1F"/>
    <w:rsid w:val="009905DC"/>
    <w:rsid w:val="00990A29"/>
    <w:rsid w:val="0099258F"/>
    <w:rsid w:val="009933F0"/>
    <w:rsid w:val="0099394D"/>
    <w:rsid w:val="0099397F"/>
    <w:rsid w:val="00993A47"/>
    <w:rsid w:val="00993BF9"/>
    <w:rsid w:val="00993CAC"/>
    <w:rsid w:val="009947BA"/>
    <w:rsid w:val="009957DE"/>
    <w:rsid w:val="00995E38"/>
    <w:rsid w:val="00996AFE"/>
    <w:rsid w:val="0099723F"/>
    <w:rsid w:val="00997FF5"/>
    <w:rsid w:val="009A07E4"/>
    <w:rsid w:val="009A164F"/>
    <w:rsid w:val="009A194A"/>
    <w:rsid w:val="009A1F7E"/>
    <w:rsid w:val="009A2C8F"/>
    <w:rsid w:val="009A3BE6"/>
    <w:rsid w:val="009A3FE7"/>
    <w:rsid w:val="009A43F3"/>
    <w:rsid w:val="009A4819"/>
    <w:rsid w:val="009A5397"/>
    <w:rsid w:val="009A54AE"/>
    <w:rsid w:val="009A55B8"/>
    <w:rsid w:val="009A5D4C"/>
    <w:rsid w:val="009A73D2"/>
    <w:rsid w:val="009B0351"/>
    <w:rsid w:val="009B1113"/>
    <w:rsid w:val="009B13B1"/>
    <w:rsid w:val="009B1AD6"/>
    <w:rsid w:val="009B1E50"/>
    <w:rsid w:val="009B240F"/>
    <w:rsid w:val="009B2C55"/>
    <w:rsid w:val="009B2DD5"/>
    <w:rsid w:val="009B2F0E"/>
    <w:rsid w:val="009B39C9"/>
    <w:rsid w:val="009B3DC1"/>
    <w:rsid w:val="009B45D4"/>
    <w:rsid w:val="009B590E"/>
    <w:rsid w:val="009B65B1"/>
    <w:rsid w:val="009B737A"/>
    <w:rsid w:val="009B75DC"/>
    <w:rsid w:val="009C2FF5"/>
    <w:rsid w:val="009C3834"/>
    <w:rsid w:val="009C3889"/>
    <w:rsid w:val="009C43DE"/>
    <w:rsid w:val="009C5167"/>
    <w:rsid w:val="009C5182"/>
    <w:rsid w:val="009C5623"/>
    <w:rsid w:val="009C61B0"/>
    <w:rsid w:val="009C62A4"/>
    <w:rsid w:val="009C63E0"/>
    <w:rsid w:val="009C7427"/>
    <w:rsid w:val="009C78B7"/>
    <w:rsid w:val="009C7AB8"/>
    <w:rsid w:val="009D0062"/>
    <w:rsid w:val="009D02CC"/>
    <w:rsid w:val="009D03F8"/>
    <w:rsid w:val="009D0EC2"/>
    <w:rsid w:val="009D1238"/>
    <w:rsid w:val="009D14C1"/>
    <w:rsid w:val="009D38E4"/>
    <w:rsid w:val="009D41E7"/>
    <w:rsid w:val="009D532B"/>
    <w:rsid w:val="009D5966"/>
    <w:rsid w:val="009D5A7D"/>
    <w:rsid w:val="009D6356"/>
    <w:rsid w:val="009D7B7D"/>
    <w:rsid w:val="009D7E17"/>
    <w:rsid w:val="009E0CAF"/>
    <w:rsid w:val="009E0E8E"/>
    <w:rsid w:val="009E333A"/>
    <w:rsid w:val="009E3514"/>
    <w:rsid w:val="009E4B7D"/>
    <w:rsid w:val="009E54A2"/>
    <w:rsid w:val="009E55D7"/>
    <w:rsid w:val="009E673B"/>
    <w:rsid w:val="009E7212"/>
    <w:rsid w:val="009E7A84"/>
    <w:rsid w:val="009E7ECE"/>
    <w:rsid w:val="009F0053"/>
    <w:rsid w:val="009F09E8"/>
    <w:rsid w:val="009F3A98"/>
    <w:rsid w:val="009F55FE"/>
    <w:rsid w:val="009F5CDD"/>
    <w:rsid w:val="009F6CC5"/>
    <w:rsid w:val="009F742A"/>
    <w:rsid w:val="009F742E"/>
    <w:rsid w:val="009F7779"/>
    <w:rsid w:val="00A012D9"/>
    <w:rsid w:val="00A0204D"/>
    <w:rsid w:val="00A0214A"/>
    <w:rsid w:val="00A0262C"/>
    <w:rsid w:val="00A02CE2"/>
    <w:rsid w:val="00A04704"/>
    <w:rsid w:val="00A05405"/>
    <w:rsid w:val="00A066B1"/>
    <w:rsid w:val="00A0797A"/>
    <w:rsid w:val="00A07B1F"/>
    <w:rsid w:val="00A104A8"/>
    <w:rsid w:val="00A11114"/>
    <w:rsid w:val="00A12546"/>
    <w:rsid w:val="00A13303"/>
    <w:rsid w:val="00A13B85"/>
    <w:rsid w:val="00A14443"/>
    <w:rsid w:val="00A166BC"/>
    <w:rsid w:val="00A17965"/>
    <w:rsid w:val="00A201AC"/>
    <w:rsid w:val="00A21BCC"/>
    <w:rsid w:val="00A22131"/>
    <w:rsid w:val="00A22614"/>
    <w:rsid w:val="00A22ABE"/>
    <w:rsid w:val="00A23E48"/>
    <w:rsid w:val="00A23EF9"/>
    <w:rsid w:val="00A24B6E"/>
    <w:rsid w:val="00A24F2D"/>
    <w:rsid w:val="00A25CC0"/>
    <w:rsid w:val="00A26015"/>
    <w:rsid w:val="00A30A9A"/>
    <w:rsid w:val="00A31ECC"/>
    <w:rsid w:val="00A32344"/>
    <w:rsid w:val="00A325E3"/>
    <w:rsid w:val="00A33092"/>
    <w:rsid w:val="00A33D88"/>
    <w:rsid w:val="00A349F3"/>
    <w:rsid w:val="00A35032"/>
    <w:rsid w:val="00A35300"/>
    <w:rsid w:val="00A356DE"/>
    <w:rsid w:val="00A35C78"/>
    <w:rsid w:val="00A35EB1"/>
    <w:rsid w:val="00A36CFC"/>
    <w:rsid w:val="00A411D1"/>
    <w:rsid w:val="00A412C2"/>
    <w:rsid w:val="00A41E6C"/>
    <w:rsid w:val="00A42429"/>
    <w:rsid w:val="00A42724"/>
    <w:rsid w:val="00A44011"/>
    <w:rsid w:val="00A44ABA"/>
    <w:rsid w:val="00A4523A"/>
    <w:rsid w:val="00A45F92"/>
    <w:rsid w:val="00A46BCF"/>
    <w:rsid w:val="00A46E06"/>
    <w:rsid w:val="00A471E9"/>
    <w:rsid w:val="00A47606"/>
    <w:rsid w:val="00A4769E"/>
    <w:rsid w:val="00A503D5"/>
    <w:rsid w:val="00A5152A"/>
    <w:rsid w:val="00A521AF"/>
    <w:rsid w:val="00A52B37"/>
    <w:rsid w:val="00A52DED"/>
    <w:rsid w:val="00A52FAC"/>
    <w:rsid w:val="00A5362D"/>
    <w:rsid w:val="00A53C1B"/>
    <w:rsid w:val="00A572BA"/>
    <w:rsid w:val="00A57F1C"/>
    <w:rsid w:val="00A6202A"/>
    <w:rsid w:val="00A62AB4"/>
    <w:rsid w:val="00A63A58"/>
    <w:rsid w:val="00A64034"/>
    <w:rsid w:val="00A653C9"/>
    <w:rsid w:val="00A657B8"/>
    <w:rsid w:val="00A67B5C"/>
    <w:rsid w:val="00A67D28"/>
    <w:rsid w:val="00A70834"/>
    <w:rsid w:val="00A708E3"/>
    <w:rsid w:val="00A70E55"/>
    <w:rsid w:val="00A72567"/>
    <w:rsid w:val="00A73B58"/>
    <w:rsid w:val="00A74BE2"/>
    <w:rsid w:val="00A75461"/>
    <w:rsid w:val="00A773FA"/>
    <w:rsid w:val="00A77A54"/>
    <w:rsid w:val="00A77FC9"/>
    <w:rsid w:val="00A80D39"/>
    <w:rsid w:val="00A853B0"/>
    <w:rsid w:val="00A86D28"/>
    <w:rsid w:val="00A86EE3"/>
    <w:rsid w:val="00A879CF"/>
    <w:rsid w:val="00A87DBA"/>
    <w:rsid w:val="00A90869"/>
    <w:rsid w:val="00A90B9E"/>
    <w:rsid w:val="00A91152"/>
    <w:rsid w:val="00A94B86"/>
    <w:rsid w:val="00A9522A"/>
    <w:rsid w:val="00A95874"/>
    <w:rsid w:val="00A96658"/>
    <w:rsid w:val="00A9701E"/>
    <w:rsid w:val="00A97F9F"/>
    <w:rsid w:val="00AA0601"/>
    <w:rsid w:val="00AA0CDB"/>
    <w:rsid w:val="00AA1011"/>
    <w:rsid w:val="00AA13E2"/>
    <w:rsid w:val="00AA2DFC"/>
    <w:rsid w:val="00AA5253"/>
    <w:rsid w:val="00AA55D1"/>
    <w:rsid w:val="00AA577A"/>
    <w:rsid w:val="00AA594C"/>
    <w:rsid w:val="00AA5AB1"/>
    <w:rsid w:val="00AA5D88"/>
    <w:rsid w:val="00AA5FFB"/>
    <w:rsid w:val="00AA63A2"/>
    <w:rsid w:val="00AB06C9"/>
    <w:rsid w:val="00AB0735"/>
    <w:rsid w:val="00AB151A"/>
    <w:rsid w:val="00AB233F"/>
    <w:rsid w:val="00AB2EB7"/>
    <w:rsid w:val="00AB2FE4"/>
    <w:rsid w:val="00AB4356"/>
    <w:rsid w:val="00AB5817"/>
    <w:rsid w:val="00AC05B0"/>
    <w:rsid w:val="00AC1D66"/>
    <w:rsid w:val="00AC25FE"/>
    <w:rsid w:val="00AC2C4F"/>
    <w:rsid w:val="00AC34E5"/>
    <w:rsid w:val="00AC4585"/>
    <w:rsid w:val="00AC4844"/>
    <w:rsid w:val="00AC4E79"/>
    <w:rsid w:val="00AC5112"/>
    <w:rsid w:val="00AC6E33"/>
    <w:rsid w:val="00AC7D84"/>
    <w:rsid w:val="00AD03A9"/>
    <w:rsid w:val="00AD12FE"/>
    <w:rsid w:val="00AD2164"/>
    <w:rsid w:val="00AD2773"/>
    <w:rsid w:val="00AD27D2"/>
    <w:rsid w:val="00AD29EA"/>
    <w:rsid w:val="00AD4D43"/>
    <w:rsid w:val="00AD4E91"/>
    <w:rsid w:val="00AD535E"/>
    <w:rsid w:val="00AD55BB"/>
    <w:rsid w:val="00AD5664"/>
    <w:rsid w:val="00AD5E14"/>
    <w:rsid w:val="00AD7D39"/>
    <w:rsid w:val="00AD7F1E"/>
    <w:rsid w:val="00AE1BAD"/>
    <w:rsid w:val="00AE4767"/>
    <w:rsid w:val="00AE4AA8"/>
    <w:rsid w:val="00AE5158"/>
    <w:rsid w:val="00AE524C"/>
    <w:rsid w:val="00AE701F"/>
    <w:rsid w:val="00AE707C"/>
    <w:rsid w:val="00AF23B6"/>
    <w:rsid w:val="00AF3180"/>
    <w:rsid w:val="00AF430B"/>
    <w:rsid w:val="00AF53FC"/>
    <w:rsid w:val="00AF60C3"/>
    <w:rsid w:val="00AF66E7"/>
    <w:rsid w:val="00AF6A9F"/>
    <w:rsid w:val="00AF7D61"/>
    <w:rsid w:val="00B0268D"/>
    <w:rsid w:val="00B04106"/>
    <w:rsid w:val="00B04418"/>
    <w:rsid w:val="00B051B9"/>
    <w:rsid w:val="00B0554B"/>
    <w:rsid w:val="00B107EF"/>
    <w:rsid w:val="00B12234"/>
    <w:rsid w:val="00B12244"/>
    <w:rsid w:val="00B14780"/>
    <w:rsid w:val="00B15C49"/>
    <w:rsid w:val="00B170D3"/>
    <w:rsid w:val="00B171F9"/>
    <w:rsid w:val="00B1726F"/>
    <w:rsid w:val="00B2026D"/>
    <w:rsid w:val="00B20E0E"/>
    <w:rsid w:val="00B22656"/>
    <w:rsid w:val="00B22D6A"/>
    <w:rsid w:val="00B22DAF"/>
    <w:rsid w:val="00B23514"/>
    <w:rsid w:val="00B24CA1"/>
    <w:rsid w:val="00B24EBE"/>
    <w:rsid w:val="00B2587E"/>
    <w:rsid w:val="00B25E65"/>
    <w:rsid w:val="00B25ED2"/>
    <w:rsid w:val="00B26396"/>
    <w:rsid w:val="00B27BA8"/>
    <w:rsid w:val="00B3122D"/>
    <w:rsid w:val="00B33ACF"/>
    <w:rsid w:val="00B34593"/>
    <w:rsid w:val="00B3478E"/>
    <w:rsid w:val="00B34EB6"/>
    <w:rsid w:val="00B35761"/>
    <w:rsid w:val="00B35A81"/>
    <w:rsid w:val="00B36431"/>
    <w:rsid w:val="00B367AD"/>
    <w:rsid w:val="00B36BDB"/>
    <w:rsid w:val="00B3724A"/>
    <w:rsid w:val="00B372CB"/>
    <w:rsid w:val="00B37786"/>
    <w:rsid w:val="00B41B4D"/>
    <w:rsid w:val="00B425A1"/>
    <w:rsid w:val="00B4332F"/>
    <w:rsid w:val="00B447CA"/>
    <w:rsid w:val="00B460E7"/>
    <w:rsid w:val="00B461B8"/>
    <w:rsid w:val="00B473B0"/>
    <w:rsid w:val="00B475D4"/>
    <w:rsid w:val="00B47E86"/>
    <w:rsid w:val="00B50369"/>
    <w:rsid w:val="00B503B0"/>
    <w:rsid w:val="00B50C54"/>
    <w:rsid w:val="00B510D9"/>
    <w:rsid w:val="00B5278C"/>
    <w:rsid w:val="00B52CAB"/>
    <w:rsid w:val="00B5372A"/>
    <w:rsid w:val="00B5386C"/>
    <w:rsid w:val="00B55189"/>
    <w:rsid w:val="00B55BAC"/>
    <w:rsid w:val="00B562EE"/>
    <w:rsid w:val="00B56A21"/>
    <w:rsid w:val="00B56F37"/>
    <w:rsid w:val="00B57462"/>
    <w:rsid w:val="00B5777A"/>
    <w:rsid w:val="00B57E93"/>
    <w:rsid w:val="00B6069B"/>
    <w:rsid w:val="00B60AD8"/>
    <w:rsid w:val="00B60C5B"/>
    <w:rsid w:val="00B6143F"/>
    <w:rsid w:val="00B61630"/>
    <w:rsid w:val="00B63244"/>
    <w:rsid w:val="00B633C3"/>
    <w:rsid w:val="00B64E62"/>
    <w:rsid w:val="00B659B3"/>
    <w:rsid w:val="00B65A9A"/>
    <w:rsid w:val="00B65CFE"/>
    <w:rsid w:val="00B67301"/>
    <w:rsid w:val="00B67925"/>
    <w:rsid w:val="00B67B4C"/>
    <w:rsid w:val="00B702DF"/>
    <w:rsid w:val="00B706EC"/>
    <w:rsid w:val="00B70736"/>
    <w:rsid w:val="00B708C4"/>
    <w:rsid w:val="00B71529"/>
    <w:rsid w:val="00B715F9"/>
    <w:rsid w:val="00B71F1A"/>
    <w:rsid w:val="00B7322B"/>
    <w:rsid w:val="00B7331B"/>
    <w:rsid w:val="00B75B75"/>
    <w:rsid w:val="00B76177"/>
    <w:rsid w:val="00B7681F"/>
    <w:rsid w:val="00B772ED"/>
    <w:rsid w:val="00B77C17"/>
    <w:rsid w:val="00B8130E"/>
    <w:rsid w:val="00B81571"/>
    <w:rsid w:val="00B82A3E"/>
    <w:rsid w:val="00B82C6A"/>
    <w:rsid w:val="00B837DA"/>
    <w:rsid w:val="00B83AF0"/>
    <w:rsid w:val="00B83CFF"/>
    <w:rsid w:val="00B8418A"/>
    <w:rsid w:val="00B85990"/>
    <w:rsid w:val="00B85B73"/>
    <w:rsid w:val="00B861E0"/>
    <w:rsid w:val="00B86E35"/>
    <w:rsid w:val="00B87CE0"/>
    <w:rsid w:val="00B91617"/>
    <w:rsid w:val="00B918B3"/>
    <w:rsid w:val="00B91C46"/>
    <w:rsid w:val="00B91E15"/>
    <w:rsid w:val="00B92951"/>
    <w:rsid w:val="00B92A52"/>
    <w:rsid w:val="00B92F48"/>
    <w:rsid w:val="00B9304E"/>
    <w:rsid w:val="00B9429E"/>
    <w:rsid w:val="00B942BF"/>
    <w:rsid w:val="00B956CC"/>
    <w:rsid w:val="00B95D28"/>
    <w:rsid w:val="00B964E4"/>
    <w:rsid w:val="00B97C89"/>
    <w:rsid w:val="00BA01A6"/>
    <w:rsid w:val="00BA0AE1"/>
    <w:rsid w:val="00BA1855"/>
    <w:rsid w:val="00BA1EDE"/>
    <w:rsid w:val="00BA2639"/>
    <w:rsid w:val="00BA2F43"/>
    <w:rsid w:val="00BA3839"/>
    <w:rsid w:val="00BA3BC9"/>
    <w:rsid w:val="00BA48E9"/>
    <w:rsid w:val="00BA5528"/>
    <w:rsid w:val="00BA56FB"/>
    <w:rsid w:val="00BA6AC4"/>
    <w:rsid w:val="00BA747E"/>
    <w:rsid w:val="00BA7F6E"/>
    <w:rsid w:val="00BB01EB"/>
    <w:rsid w:val="00BB1025"/>
    <w:rsid w:val="00BB14AD"/>
    <w:rsid w:val="00BB183A"/>
    <w:rsid w:val="00BB28B5"/>
    <w:rsid w:val="00BB2C85"/>
    <w:rsid w:val="00BB351C"/>
    <w:rsid w:val="00BB4595"/>
    <w:rsid w:val="00BB4998"/>
    <w:rsid w:val="00BB4AA9"/>
    <w:rsid w:val="00BB5757"/>
    <w:rsid w:val="00BB5911"/>
    <w:rsid w:val="00BB607B"/>
    <w:rsid w:val="00BB6E23"/>
    <w:rsid w:val="00BB7088"/>
    <w:rsid w:val="00BB7DE2"/>
    <w:rsid w:val="00BC05AC"/>
    <w:rsid w:val="00BC1D20"/>
    <w:rsid w:val="00BC20ED"/>
    <w:rsid w:val="00BC4034"/>
    <w:rsid w:val="00BC4FCE"/>
    <w:rsid w:val="00BC5E62"/>
    <w:rsid w:val="00BC67C7"/>
    <w:rsid w:val="00BC6A27"/>
    <w:rsid w:val="00BC7D09"/>
    <w:rsid w:val="00BC7DFF"/>
    <w:rsid w:val="00BD066F"/>
    <w:rsid w:val="00BD0990"/>
    <w:rsid w:val="00BD1418"/>
    <w:rsid w:val="00BD1758"/>
    <w:rsid w:val="00BD1E51"/>
    <w:rsid w:val="00BD2E6F"/>
    <w:rsid w:val="00BD32A5"/>
    <w:rsid w:val="00BD378E"/>
    <w:rsid w:val="00BD4528"/>
    <w:rsid w:val="00BD4633"/>
    <w:rsid w:val="00BD47C8"/>
    <w:rsid w:val="00BD5ADC"/>
    <w:rsid w:val="00BD6966"/>
    <w:rsid w:val="00BD6AED"/>
    <w:rsid w:val="00BD6FA7"/>
    <w:rsid w:val="00BD77A5"/>
    <w:rsid w:val="00BE0320"/>
    <w:rsid w:val="00BE0342"/>
    <w:rsid w:val="00BE066B"/>
    <w:rsid w:val="00BE0D2C"/>
    <w:rsid w:val="00BE140E"/>
    <w:rsid w:val="00BE1D39"/>
    <w:rsid w:val="00BE23D9"/>
    <w:rsid w:val="00BE2B9C"/>
    <w:rsid w:val="00BE34DB"/>
    <w:rsid w:val="00BE55C0"/>
    <w:rsid w:val="00BE5F18"/>
    <w:rsid w:val="00BE5F50"/>
    <w:rsid w:val="00BE7C00"/>
    <w:rsid w:val="00BF0A3B"/>
    <w:rsid w:val="00BF1B1F"/>
    <w:rsid w:val="00BF1DFA"/>
    <w:rsid w:val="00BF2D87"/>
    <w:rsid w:val="00BF33A8"/>
    <w:rsid w:val="00BF4358"/>
    <w:rsid w:val="00BF4C34"/>
    <w:rsid w:val="00BF55A1"/>
    <w:rsid w:val="00BF5CBB"/>
    <w:rsid w:val="00BF5D3A"/>
    <w:rsid w:val="00BF5D70"/>
    <w:rsid w:val="00BF6CC8"/>
    <w:rsid w:val="00BF720A"/>
    <w:rsid w:val="00C006F3"/>
    <w:rsid w:val="00C0100F"/>
    <w:rsid w:val="00C01680"/>
    <w:rsid w:val="00C0218E"/>
    <w:rsid w:val="00C021DF"/>
    <w:rsid w:val="00C0287C"/>
    <w:rsid w:val="00C02952"/>
    <w:rsid w:val="00C02DE1"/>
    <w:rsid w:val="00C042DB"/>
    <w:rsid w:val="00C04CD4"/>
    <w:rsid w:val="00C054F5"/>
    <w:rsid w:val="00C05CC1"/>
    <w:rsid w:val="00C076AB"/>
    <w:rsid w:val="00C07C4D"/>
    <w:rsid w:val="00C102E9"/>
    <w:rsid w:val="00C10C99"/>
    <w:rsid w:val="00C114AD"/>
    <w:rsid w:val="00C12D55"/>
    <w:rsid w:val="00C14830"/>
    <w:rsid w:val="00C1494B"/>
    <w:rsid w:val="00C14F08"/>
    <w:rsid w:val="00C164EC"/>
    <w:rsid w:val="00C16E50"/>
    <w:rsid w:val="00C17F32"/>
    <w:rsid w:val="00C208AF"/>
    <w:rsid w:val="00C208EE"/>
    <w:rsid w:val="00C20F0A"/>
    <w:rsid w:val="00C22294"/>
    <w:rsid w:val="00C229BE"/>
    <w:rsid w:val="00C24466"/>
    <w:rsid w:val="00C24B9B"/>
    <w:rsid w:val="00C26548"/>
    <w:rsid w:val="00C26E21"/>
    <w:rsid w:val="00C277FC"/>
    <w:rsid w:val="00C30186"/>
    <w:rsid w:val="00C30443"/>
    <w:rsid w:val="00C306F2"/>
    <w:rsid w:val="00C30D65"/>
    <w:rsid w:val="00C30E54"/>
    <w:rsid w:val="00C311BE"/>
    <w:rsid w:val="00C312EC"/>
    <w:rsid w:val="00C31D75"/>
    <w:rsid w:val="00C31DDA"/>
    <w:rsid w:val="00C320CC"/>
    <w:rsid w:val="00C32F3A"/>
    <w:rsid w:val="00C331A8"/>
    <w:rsid w:val="00C33CE9"/>
    <w:rsid w:val="00C349CF"/>
    <w:rsid w:val="00C34C1A"/>
    <w:rsid w:val="00C34E4A"/>
    <w:rsid w:val="00C354BD"/>
    <w:rsid w:val="00C3577F"/>
    <w:rsid w:val="00C36C29"/>
    <w:rsid w:val="00C36D53"/>
    <w:rsid w:val="00C37284"/>
    <w:rsid w:val="00C37BED"/>
    <w:rsid w:val="00C37E1A"/>
    <w:rsid w:val="00C4005B"/>
    <w:rsid w:val="00C40F28"/>
    <w:rsid w:val="00C41AAF"/>
    <w:rsid w:val="00C41DFB"/>
    <w:rsid w:val="00C43B85"/>
    <w:rsid w:val="00C442B8"/>
    <w:rsid w:val="00C4440B"/>
    <w:rsid w:val="00C453E5"/>
    <w:rsid w:val="00C45413"/>
    <w:rsid w:val="00C45B56"/>
    <w:rsid w:val="00C46334"/>
    <w:rsid w:val="00C4699D"/>
    <w:rsid w:val="00C50643"/>
    <w:rsid w:val="00C50F07"/>
    <w:rsid w:val="00C511E9"/>
    <w:rsid w:val="00C51388"/>
    <w:rsid w:val="00C52B93"/>
    <w:rsid w:val="00C53392"/>
    <w:rsid w:val="00C5402C"/>
    <w:rsid w:val="00C554E3"/>
    <w:rsid w:val="00C55D7D"/>
    <w:rsid w:val="00C56860"/>
    <w:rsid w:val="00C5742D"/>
    <w:rsid w:val="00C5769A"/>
    <w:rsid w:val="00C576B6"/>
    <w:rsid w:val="00C60D13"/>
    <w:rsid w:val="00C61C3C"/>
    <w:rsid w:val="00C6247A"/>
    <w:rsid w:val="00C62CAE"/>
    <w:rsid w:val="00C63DF0"/>
    <w:rsid w:val="00C64306"/>
    <w:rsid w:val="00C654D7"/>
    <w:rsid w:val="00C65B31"/>
    <w:rsid w:val="00C65C0C"/>
    <w:rsid w:val="00C66441"/>
    <w:rsid w:val="00C667FA"/>
    <w:rsid w:val="00C6692C"/>
    <w:rsid w:val="00C66FD1"/>
    <w:rsid w:val="00C6768C"/>
    <w:rsid w:val="00C67F06"/>
    <w:rsid w:val="00C7053A"/>
    <w:rsid w:val="00C70574"/>
    <w:rsid w:val="00C70E7A"/>
    <w:rsid w:val="00C71543"/>
    <w:rsid w:val="00C71C48"/>
    <w:rsid w:val="00C71CA1"/>
    <w:rsid w:val="00C71FB3"/>
    <w:rsid w:val="00C72C59"/>
    <w:rsid w:val="00C72ED5"/>
    <w:rsid w:val="00C73E1D"/>
    <w:rsid w:val="00C748B1"/>
    <w:rsid w:val="00C752B4"/>
    <w:rsid w:val="00C75E72"/>
    <w:rsid w:val="00C760A6"/>
    <w:rsid w:val="00C76108"/>
    <w:rsid w:val="00C762FA"/>
    <w:rsid w:val="00C7643C"/>
    <w:rsid w:val="00C769D3"/>
    <w:rsid w:val="00C775E7"/>
    <w:rsid w:val="00C77F1C"/>
    <w:rsid w:val="00C80F1D"/>
    <w:rsid w:val="00C81A85"/>
    <w:rsid w:val="00C84628"/>
    <w:rsid w:val="00C84D1D"/>
    <w:rsid w:val="00C84ECB"/>
    <w:rsid w:val="00C851DB"/>
    <w:rsid w:val="00C861A7"/>
    <w:rsid w:val="00C87B49"/>
    <w:rsid w:val="00C87E5C"/>
    <w:rsid w:val="00C90A68"/>
    <w:rsid w:val="00C90B95"/>
    <w:rsid w:val="00C9142A"/>
    <w:rsid w:val="00C91D01"/>
    <w:rsid w:val="00C928EF"/>
    <w:rsid w:val="00C93260"/>
    <w:rsid w:val="00C935D6"/>
    <w:rsid w:val="00C93798"/>
    <w:rsid w:val="00C94083"/>
    <w:rsid w:val="00C940A2"/>
    <w:rsid w:val="00C940F6"/>
    <w:rsid w:val="00C94BB5"/>
    <w:rsid w:val="00C9555A"/>
    <w:rsid w:val="00C9662C"/>
    <w:rsid w:val="00C96C56"/>
    <w:rsid w:val="00CA0D1B"/>
    <w:rsid w:val="00CA0F64"/>
    <w:rsid w:val="00CA1E47"/>
    <w:rsid w:val="00CA2296"/>
    <w:rsid w:val="00CA29E5"/>
    <w:rsid w:val="00CA3971"/>
    <w:rsid w:val="00CA491E"/>
    <w:rsid w:val="00CA5261"/>
    <w:rsid w:val="00CA67AF"/>
    <w:rsid w:val="00CA7405"/>
    <w:rsid w:val="00CA7537"/>
    <w:rsid w:val="00CB1989"/>
    <w:rsid w:val="00CB1B87"/>
    <w:rsid w:val="00CB20EC"/>
    <w:rsid w:val="00CB2505"/>
    <w:rsid w:val="00CB28BD"/>
    <w:rsid w:val="00CB301F"/>
    <w:rsid w:val="00CB3668"/>
    <w:rsid w:val="00CB43D4"/>
    <w:rsid w:val="00CB4713"/>
    <w:rsid w:val="00CB577F"/>
    <w:rsid w:val="00CB6F33"/>
    <w:rsid w:val="00CB706D"/>
    <w:rsid w:val="00CB75A8"/>
    <w:rsid w:val="00CB76DB"/>
    <w:rsid w:val="00CB7F10"/>
    <w:rsid w:val="00CC0158"/>
    <w:rsid w:val="00CC0DA0"/>
    <w:rsid w:val="00CC0E35"/>
    <w:rsid w:val="00CC0FF4"/>
    <w:rsid w:val="00CC209D"/>
    <w:rsid w:val="00CC29FD"/>
    <w:rsid w:val="00CC2D4A"/>
    <w:rsid w:val="00CC3BEC"/>
    <w:rsid w:val="00CC4973"/>
    <w:rsid w:val="00CC5545"/>
    <w:rsid w:val="00CC58CB"/>
    <w:rsid w:val="00CC6C3B"/>
    <w:rsid w:val="00CD03C0"/>
    <w:rsid w:val="00CD055F"/>
    <w:rsid w:val="00CD0E89"/>
    <w:rsid w:val="00CD24AA"/>
    <w:rsid w:val="00CD271B"/>
    <w:rsid w:val="00CD2D24"/>
    <w:rsid w:val="00CD37E3"/>
    <w:rsid w:val="00CD39FF"/>
    <w:rsid w:val="00CD4D7D"/>
    <w:rsid w:val="00CD4FE2"/>
    <w:rsid w:val="00CD73E0"/>
    <w:rsid w:val="00CD7ECF"/>
    <w:rsid w:val="00CE0627"/>
    <w:rsid w:val="00CE0A90"/>
    <w:rsid w:val="00CE1E4C"/>
    <w:rsid w:val="00CE2675"/>
    <w:rsid w:val="00CE27C4"/>
    <w:rsid w:val="00CE35B1"/>
    <w:rsid w:val="00CE4149"/>
    <w:rsid w:val="00CE5971"/>
    <w:rsid w:val="00CE5B81"/>
    <w:rsid w:val="00CE6504"/>
    <w:rsid w:val="00CE7894"/>
    <w:rsid w:val="00CE7AF2"/>
    <w:rsid w:val="00CF00A3"/>
    <w:rsid w:val="00CF052C"/>
    <w:rsid w:val="00CF0BDF"/>
    <w:rsid w:val="00CF1326"/>
    <w:rsid w:val="00CF20EE"/>
    <w:rsid w:val="00CF21F2"/>
    <w:rsid w:val="00CF2B4F"/>
    <w:rsid w:val="00CF363B"/>
    <w:rsid w:val="00CF3C39"/>
    <w:rsid w:val="00CF47DA"/>
    <w:rsid w:val="00CF4B2C"/>
    <w:rsid w:val="00CF571D"/>
    <w:rsid w:val="00CF5D27"/>
    <w:rsid w:val="00CF68A8"/>
    <w:rsid w:val="00CF68E0"/>
    <w:rsid w:val="00CF732B"/>
    <w:rsid w:val="00CF7391"/>
    <w:rsid w:val="00D008D5"/>
    <w:rsid w:val="00D00BD7"/>
    <w:rsid w:val="00D018A5"/>
    <w:rsid w:val="00D01FA5"/>
    <w:rsid w:val="00D046EC"/>
    <w:rsid w:val="00D06277"/>
    <w:rsid w:val="00D06312"/>
    <w:rsid w:val="00D06AA1"/>
    <w:rsid w:val="00D06F86"/>
    <w:rsid w:val="00D07437"/>
    <w:rsid w:val="00D07AA4"/>
    <w:rsid w:val="00D07ECE"/>
    <w:rsid w:val="00D07F18"/>
    <w:rsid w:val="00D1006E"/>
    <w:rsid w:val="00D101F0"/>
    <w:rsid w:val="00D10E81"/>
    <w:rsid w:val="00D12213"/>
    <w:rsid w:val="00D122E4"/>
    <w:rsid w:val="00D12573"/>
    <w:rsid w:val="00D1271A"/>
    <w:rsid w:val="00D12E96"/>
    <w:rsid w:val="00D13A68"/>
    <w:rsid w:val="00D1486E"/>
    <w:rsid w:val="00D14C8C"/>
    <w:rsid w:val="00D155E5"/>
    <w:rsid w:val="00D15741"/>
    <w:rsid w:val="00D158F5"/>
    <w:rsid w:val="00D16C45"/>
    <w:rsid w:val="00D172BF"/>
    <w:rsid w:val="00D21885"/>
    <w:rsid w:val="00D21AC6"/>
    <w:rsid w:val="00D2343C"/>
    <w:rsid w:val="00D2421D"/>
    <w:rsid w:val="00D24CF8"/>
    <w:rsid w:val="00D250B2"/>
    <w:rsid w:val="00D25401"/>
    <w:rsid w:val="00D25B4F"/>
    <w:rsid w:val="00D25CDD"/>
    <w:rsid w:val="00D264FF"/>
    <w:rsid w:val="00D30288"/>
    <w:rsid w:val="00D307E2"/>
    <w:rsid w:val="00D308AB"/>
    <w:rsid w:val="00D30A61"/>
    <w:rsid w:val="00D30BAE"/>
    <w:rsid w:val="00D30BBB"/>
    <w:rsid w:val="00D3267D"/>
    <w:rsid w:val="00D3371C"/>
    <w:rsid w:val="00D33A38"/>
    <w:rsid w:val="00D347DA"/>
    <w:rsid w:val="00D350D3"/>
    <w:rsid w:val="00D35A42"/>
    <w:rsid w:val="00D35AF0"/>
    <w:rsid w:val="00D35B0B"/>
    <w:rsid w:val="00D364AE"/>
    <w:rsid w:val="00D366BE"/>
    <w:rsid w:val="00D37103"/>
    <w:rsid w:val="00D37CAA"/>
    <w:rsid w:val="00D405A2"/>
    <w:rsid w:val="00D408EA"/>
    <w:rsid w:val="00D40AF5"/>
    <w:rsid w:val="00D413BF"/>
    <w:rsid w:val="00D42960"/>
    <w:rsid w:val="00D4340F"/>
    <w:rsid w:val="00D4356E"/>
    <w:rsid w:val="00D43684"/>
    <w:rsid w:val="00D44DBD"/>
    <w:rsid w:val="00D45384"/>
    <w:rsid w:val="00D45A4E"/>
    <w:rsid w:val="00D47756"/>
    <w:rsid w:val="00D47CDB"/>
    <w:rsid w:val="00D501D3"/>
    <w:rsid w:val="00D519B7"/>
    <w:rsid w:val="00D51B59"/>
    <w:rsid w:val="00D51DB6"/>
    <w:rsid w:val="00D5217D"/>
    <w:rsid w:val="00D53C02"/>
    <w:rsid w:val="00D54608"/>
    <w:rsid w:val="00D546BD"/>
    <w:rsid w:val="00D54F50"/>
    <w:rsid w:val="00D57F98"/>
    <w:rsid w:val="00D60967"/>
    <w:rsid w:val="00D61A78"/>
    <w:rsid w:val="00D6239A"/>
    <w:rsid w:val="00D626E5"/>
    <w:rsid w:val="00D6364E"/>
    <w:rsid w:val="00D6366F"/>
    <w:rsid w:val="00D63722"/>
    <w:rsid w:val="00D66519"/>
    <w:rsid w:val="00D668B2"/>
    <w:rsid w:val="00D6716B"/>
    <w:rsid w:val="00D67449"/>
    <w:rsid w:val="00D67A7D"/>
    <w:rsid w:val="00D67F32"/>
    <w:rsid w:val="00D703FC"/>
    <w:rsid w:val="00D70631"/>
    <w:rsid w:val="00D706BA"/>
    <w:rsid w:val="00D7076D"/>
    <w:rsid w:val="00D70818"/>
    <w:rsid w:val="00D70861"/>
    <w:rsid w:val="00D71875"/>
    <w:rsid w:val="00D72ECB"/>
    <w:rsid w:val="00D7390C"/>
    <w:rsid w:val="00D74ADC"/>
    <w:rsid w:val="00D74B2E"/>
    <w:rsid w:val="00D755E5"/>
    <w:rsid w:val="00D76824"/>
    <w:rsid w:val="00D76A7C"/>
    <w:rsid w:val="00D76C10"/>
    <w:rsid w:val="00D802B4"/>
    <w:rsid w:val="00D806A8"/>
    <w:rsid w:val="00D80C34"/>
    <w:rsid w:val="00D814DE"/>
    <w:rsid w:val="00D8177E"/>
    <w:rsid w:val="00D823C7"/>
    <w:rsid w:val="00D83EBD"/>
    <w:rsid w:val="00D84BBA"/>
    <w:rsid w:val="00D84F3F"/>
    <w:rsid w:val="00D87234"/>
    <w:rsid w:val="00D90E70"/>
    <w:rsid w:val="00D91561"/>
    <w:rsid w:val="00D91CB4"/>
    <w:rsid w:val="00D91E82"/>
    <w:rsid w:val="00D9345E"/>
    <w:rsid w:val="00D93E43"/>
    <w:rsid w:val="00D941A5"/>
    <w:rsid w:val="00D945C5"/>
    <w:rsid w:val="00D948C8"/>
    <w:rsid w:val="00D94E33"/>
    <w:rsid w:val="00D95F43"/>
    <w:rsid w:val="00D95F4A"/>
    <w:rsid w:val="00D96D7D"/>
    <w:rsid w:val="00D976DC"/>
    <w:rsid w:val="00DA0BFF"/>
    <w:rsid w:val="00DA0FD3"/>
    <w:rsid w:val="00DA2752"/>
    <w:rsid w:val="00DA2CB5"/>
    <w:rsid w:val="00DA4440"/>
    <w:rsid w:val="00DA5160"/>
    <w:rsid w:val="00DA5F52"/>
    <w:rsid w:val="00DA6009"/>
    <w:rsid w:val="00DA7132"/>
    <w:rsid w:val="00DA757E"/>
    <w:rsid w:val="00DA79BF"/>
    <w:rsid w:val="00DB06D6"/>
    <w:rsid w:val="00DB0943"/>
    <w:rsid w:val="00DB115E"/>
    <w:rsid w:val="00DB18B6"/>
    <w:rsid w:val="00DB29C6"/>
    <w:rsid w:val="00DB4B42"/>
    <w:rsid w:val="00DB4E6C"/>
    <w:rsid w:val="00DB5D81"/>
    <w:rsid w:val="00DB60CE"/>
    <w:rsid w:val="00DB61AA"/>
    <w:rsid w:val="00DB6413"/>
    <w:rsid w:val="00DB777F"/>
    <w:rsid w:val="00DB79A9"/>
    <w:rsid w:val="00DC08A5"/>
    <w:rsid w:val="00DC0A5F"/>
    <w:rsid w:val="00DC0D61"/>
    <w:rsid w:val="00DC0DDD"/>
    <w:rsid w:val="00DC1235"/>
    <w:rsid w:val="00DC1423"/>
    <w:rsid w:val="00DC3536"/>
    <w:rsid w:val="00DC4754"/>
    <w:rsid w:val="00DC4880"/>
    <w:rsid w:val="00DC4B77"/>
    <w:rsid w:val="00DC505C"/>
    <w:rsid w:val="00DC5C3D"/>
    <w:rsid w:val="00DD0E19"/>
    <w:rsid w:val="00DD1139"/>
    <w:rsid w:val="00DD1F4C"/>
    <w:rsid w:val="00DD3D34"/>
    <w:rsid w:val="00DD3DB3"/>
    <w:rsid w:val="00DD43AA"/>
    <w:rsid w:val="00DD4501"/>
    <w:rsid w:val="00DD6663"/>
    <w:rsid w:val="00DD758C"/>
    <w:rsid w:val="00DE099C"/>
    <w:rsid w:val="00DE13F8"/>
    <w:rsid w:val="00DE16C9"/>
    <w:rsid w:val="00DE1997"/>
    <w:rsid w:val="00DE4F81"/>
    <w:rsid w:val="00DE5296"/>
    <w:rsid w:val="00DE52D7"/>
    <w:rsid w:val="00DE6720"/>
    <w:rsid w:val="00DE6B22"/>
    <w:rsid w:val="00DE7058"/>
    <w:rsid w:val="00DE7099"/>
    <w:rsid w:val="00DF1853"/>
    <w:rsid w:val="00DF21DA"/>
    <w:rsid w:val="00DF352C"/>
    <w:rsid w:val="00DF3FCC"/>
    <w:rsid w:val="00DF5347"/>
    <w:rsid w:val="00DF5BD9"/>
    <w:rsid w:val="00DF6685"/>
    <w:rsid w:val="00E00234"/>
    <w:rsid w:val="00E003F5"/>
    <w:rsid w:val="00E013C7"/>
    <w:rsid w:val="00E013D1"/>
    <w:rsid w:val="00E01B7D"/>
    <w:rsid w:val="00E01BD5"/>
    <w:rsid w:val="00E01C08"/>
    <w:rsid w:val="00E01C32"/>
    <w:rsid w:val="00E02175"/>
    <w:rsid w:val="00E02CAF"/>
    <w:rsid w:val="00E0495E"/>
    <w:rsid w:val="00E05463"/>
    <w:rsid w:val="00E06526"/>
    <w:rsid w:val="00E06960"/>
    <w:rsid w:val="00E06E1D"/>
    <w:rsid w:val="00E07CE5"/>
    <w:rsid w:val="00E10489"/>
    <w:rsid w:val="00E10FF0"/>
    <w:rsid w:val="00E11121"/>
    <w:rsid w:val="00E11CB2"/>
    <w:rsid w:val="00E12A9C"/>
    <w:rsid w:val="00E13C5C"/>
    <w:rsid w:val="00E14297"/>
    <w:rsid w:val="00E15BD2"/>
    <w:rsid w:val="00E16667"/>
    <w:rsid w:val="00E16DAC"/>
    <w:rsid w:val="00E22715"/>
    <w:rsid w:val="00E2281E"/>
    <w:rsid w:val="00E22DC6"/>
    <w:rsid w:val="00E23666"/>
    <w:rsid w:val="00E23966"/>
    <w:rsid w:val="00E240CF"/>
    <w:rsid w:val="00E243B3"/>
    <w:rsid w:val="00E258B1"/>
    <w:rsid w:val="00E25D71"/>
    <w:rsid w:val="00E269A1"/>
    <w:rsid w:val="00E26C02"/>
    <w:rsid w:val="00E27397"/>
    <w:rsid w:val="00E277F2"/>
    <w:rsid w:val="00E27AAA"/>
    <w:rsid w:val="00E27DEB"/>
    <w:rsid w:val="00E3143A"/>
    <w:rsid w:val="00E314A7"/>
    <w:rsid w:val="00E3162B"/>
    <w:rsid w:val="00E327C5"/>
    <w:rsid w:val="00E328F8"/>
    <w:rsid w:val="00E331E4"/>
    <w:rsid w:val="00E3461D"/>
    <w:rsid w:val="00E35547"/>
    <w:rsid w:val="00E35AE5"/>
    <w:rsid w:val="00E37313"/>
    <w:rsid w:val="00E373C2"/>
    <w:rsid w:val="00E37412"/>
    <w:rsid w:val="00E37825"/>
    <w:rsid w:val="00E37FD5"/>
    <w:rsid w:val="00E41919"/>
    <w:rsid w:val="00E42069"/>
    <w:rsid w:val="00E42DBA"/>
    <w:rsid w:val="00E437B3"/>
    <w:rsid w:val="00E45CBB"/>
    <w:rsid w:val="00E4650C"/>
    <w:rsid w:val="00E467BE"/>
    <w:rsid w:val="00E47575"/>
    <w:rsid w:val="00E47DB1"/>
    <w:rsid w:val="00E50E47"/>
    <w:rsid w:val="00E51714"/>
    <w:rsid w:val="00E51ADC"/>
    <w:rsid w:val="00E52920"/>
    <w:rsid w:val="00E54CFA"/>
    <w:rsid w:val="00E559D3"/>
    <w:rsid w:val="00E560D2"/>
    <w:rsid w:val="00E57824"/>
    <w:rsid w:val="00E602E1"/>
    <w:rsid w:val="00E610F1"/>
    <w:rsid w:val="00E61736"/>
    <w:rsid w:val="00E619DC"/>
    <w:rsid w:val="00E6255A"/>
    <w:rsid w:val="00E62B63"/>
    <w:rsid w:val="00E64E28"/>
    <w:rsid w:val="00E64E37"/>
    <w:rsid w:val="00E6554A"/>
    <w:rsid w:val="00E65C35"/>
    <w:rsid w:val="00E66449"/>
    <w:rsid w:val="00E66FF7"/>
    <w:rsid w:val="00E67043"/>
    <w:rsid w:val="00E672B7"/>
    <w:rsid w:val="00E67BD5"/>
    <w:rsid w:val="00E71D3F"/>
    <w:rsid w:val="00E71D73"/>
    <w:rsid w:val="00E72EF6"/>
    <w:rsid w:val="00E73E66"/>
    <w:rsid w:val="00E749DA"/>
    <w:rsid w:val="00E74FAB"/>
    <w:rsid w:val="00E769B6"/>
    <w:rsid w:val="00E77E9B"/>
    <w:rsid w:val="00E80666"/>
    <w:rsid w:val="00E817DE"/>
    <w:rsid w:val="00E81AE1"/>
    <w:rsid w:val="00E82C64"/>
    <w:rsid w:val="00E83323"/>
    <w:rsid w:val="00E83E2B"/>
    <w:rsid w:val="00E86231"/>
    <w:rsid w:val="00E8759B"/>
    <w:rsid w:val="00E9161D"/>
    <w:rsid w:val="00E928A0"/>
    <w:rsid w:val="00E92B2A"/>
    <w:rsid w:val="00E92F9D"/>
    <w:rsid w:val="00E93FD1"/>
    <w:rsid w:val="00E943E0"/>
    <w:rsid w:val="00E94714"/>
    <w:rsid w:val="00E96CBC"/>
    <w:rsid w:val="00E97378"/>
    <w:rsid w:val="00E97553"/>
    <w:rsid w:val="00EA0AA2"/>
    <w:rsid w:val="00EA0BEB"/>
    <w:rsid w:val="00EA19B6"/>
    <w:rsid w:val="00EA1CF5"/>
    <w:rsid w:val="00EA318C"/>
    <w:rsid w:val="00EA377A"/>
    <w:rsid w:val="00EA3BF0"/>
    <w:rsid w:val="00EA4BEA"/>
    <w:rsid w:val="00EA50D5"/>
    <w:rsid w:val="00EA5955"/>
    <w:rsid w:val="00EA6AC5"/>
    <w:rsid w:val="00EB05A3"/>
    <w:rsid w:val="00EB0C16"/>
    <w:rsid w:val="00EB14F3"/>
    <w:rsid w:val="00EB1CF2"/>
    <w:rsid w:val="00EB281D"/>
    <w:rsid w:val="00EB29A5"/>
    <w:rsid w:val="00EB3563"/>
    <w:rsid w:val="00EB5763"/>
    <w:rsid w:val="00EB5B95"/>
    <w:rsid w:val="00EB73E3"/>
    <w:rsid w:val="00EB7780"/>
    <w:rsid w:val="00EB7C09"/>
    <w:rsid w:val="00EB7CA4"/>
    <w:rsid w:val="00EC1791"/>
    <w:rsid w:val="00EC2CD2"/>
    <w:rsid w:val="00EC5820"/>
    <w:rsid w:val="00EC6477"/>
    <w:rsid w:val="00EC6BB5"/>
    <w:rsid w:val="00ED0BC2"/>
    <w:rsid w:val="00ED11FE"/>
    <w:rsid w:val="00ED1892"/>
    <w:rsid w:val="00ED1971"/>
    <w:rsid w:val="00ED2376"/>
    <w:rsid w:val="00ED2A23"/>
    <w:rsid w:val="00ED3D68"/>
    <w:rsid w:val="00ED431E"/>
    <w:rsid w:val="00ED62F2"/>
    <w:rsid w:val="00ED6917"/>
    <w:rsid w:val="00ED6F12"/>
    <w:rsid w:val="00ED7B57"/>
    <w:rsid w:val="00EE0098"/>
    <w:rsid w:val="00EE0AF4"/>
    <w:rsid w:val="00EE1EB6"/>
    <w:rsid w:val="00EE1EFE"/>
    <w:rsid w:val="00EE1FAA"/>
    <w:rsid w:val="00EE2AA9"/>
    <w:rsid w:val="00EE3323"/>
    <w:rsid w:val="00EE3879"/>
    <w:rsid w:val="00EE3F38"/>
    <w:rsid w:val="00EE4264"/>
    <w:rsid w:val="00EE503A"/>
    <w:rsid w:val="00EE57EC"/>
    <w:rsid w:val="00EE58EA"/>
    <w:rsid w:val="00EE5D33"/>
    <w:rsid w:val="00EE63D7"/>
    <w:rsid w:val="00EE65B6"/>
    <w:rsid w:val="00EE6D3B"/>
    <w:rsid w:val="00EE6EC1"/>
    <w:rsid w:val="00EF0285"/>
    <w:rsid w:val="00EF05A1"/>
    <w:rsid w:val="00EF10EE"/>
    <w:rsid w:val="00EF173A"/>
    <w:rsid w:val="00EF24DF"/>
    <w:rsid w:val="00EF4135"/>
    <w:rsid w:val="00EF41AB"/>
    <w:rsid w:val="00EF5ABA"/>
    <w:rsid w:val="00EF5B30"/>
    <w:rsid w:val="00EF5CBB"/>
    <w:rsid w:val="00EF5CCC"/>
    <w:rsid w:val="00EF5EF1"/>
    <w:rsid w:val="00EF63E7"/>
    <w:rsid w:val="00EF761F"/>
    <w:rsid w:val="00F00D60"/>
    <w:rsid w:val="00F02ECC"/>
    <w:rsid w:val="00F03909"/>
    <w:rsid w:val="00F03FD2"/>
    <w:rsid w:val="00F0428F"/>
    <w:rsid w:val="00F04B3A"/>
    <w:rsid w:val="00F05682"/>
    <w:rsid w:val="00F0602D"/>
    <w:rsid w:val="00F06584"/>
    <w:rsid w:val="00F101E2"/>
    <w:rsid w:val="00F10D1B"/>
    <w:rsid w:val="00F11CD9"/>
    <w:rsid w:val="00F12F8E"/>
    <w:rsid w:val="00F14135"/>
    <w:rsid w:val="00F143FD"/>
    <w:rsid w:val="00F14DD9"/>
    <w:rsid w:val="00F1535E"/>
    <w:rsid w:val="00F17A33"/>
    <w:rsid w:val="00F2014B"/>
    <w:rsid w:val="00F20458"/>
    <w:rsid w:val="00F20474"/>
    <w:rsid w:val="00F20A38"/>
    <w:rsid w:val="00F2141C"/>
    <w:rsid w:val="00F23CE9"/>
    <w:rsid w:val="00F2410F"/>
    <w:rsid w:val="00F2541B"/>
    <w:rsid w:val="00F259F7"/>
    <w:rsid w:val="00F25A21"/>
    <w:rsid w:val="00F26A11"/>
    <w:rsid w:val="00F26BED"/>
    <w:rsid w:val="00F26ED3"/>
    <w:rsid w:val="00F31699"/>
    <w:rsid w:val="00F317B7"/>
    <w:rsid w:val="00F3196C"/>
    <w:rsid w:val="00F328B4"/>
    <w:rsid w:val="00F32BE7"/>
    <w:rsid w:val="00F338CB"/>
    <w:rsid w:val="00F3401A"/>
    <w:rsid w:val="00F340FE"/>
    <w:rsid w:val="00F359F8"/>
    <w:rsid w:val="00F35B78"/>
    <w:rsid w:val="00F36395"/>
    <w:rsid w:val="00F366A5"/>
    <w:rsid w:val="00F36777"/>
    <w:rsid w:val="00F36FC8"/>
    <w:rsid w:val="00F40278"/>
    <w:rsid w:val="00F40F8D"/>
    <w:rsid w:val="00F412BC"/>
    <w:rsid w:val="00F41E85"/>
    <w:rsid w:val="00F4246F"/>
    <w:rsid w:val="00F43CB3"/>
    <w:rsid w:val="00F45EB0"/>
    <w:rsid w:val="00F46007"/>
    <w:rsid w:val="00F46B20"/>
    <w:rsid w:val="00F47C0F"/>
    <w:rsid w:val="00F510DD"/>
    <w:rsid w:val="00F51CD3"/>
    <w:rsid w:val="00F52F2C"/>
    <w:rsid w:val="00F52F57"/>
    <w:rsid w:val="00F53B92"/>
    <w:rsid w:val="00F549FD"/>
    <w:rsid w:val="00F5576E"/>
    <w:rsid w:val="00F55C25"/>
    <w:rsid w:val="00F5646B"/>
    <w:rsid w:val="00F5673C"/>
    <w:rsid w:val="00F56C2E"/>
    <w:rsid w:val="00F5709D"/>
    <w:rsid w:val="00F6111F"/>
    <w:rsid w:val="00F61DF4"/>
    <w:rsid w:val="00F62B4E"/>
    <w:rsid w:val="00F63799"/>
    <w:rsid w:val="00F64EB9"/>
    <w:rsid w:val="00F6518C"/>
    <w:rsid w:val="00F663BB"/>
    <w:rsid w:val="00F66835"/>
    <w:rsid w:val="00F67369"/>
    <w:rsid w:val="00F67CF8"/>
    <w:rsid w:val="00F67D45"/>
    <w:rsid w:val="00F67F8B"/>
    <w:rsid w:val="00F70CA2"/>
    <w:rsid w:val="00F7421B"/>
    <w:rsid w:val="00F749C9"/>
    <w:rsid w:val="00F75A47"/>
    <w:rsid w:val="00F775C5"/>
    <w:rsid w:val="00F7780B"/>
    <w:rsid w:val="00F77DEC"/>
    <w:rsid w:val="00F805A5"/>
    <w:rsid w:val="00F81ACB"/>
    <w:rsid w:val="00F82786"/>
    <w:rsid w:val="00F831EE"/>
    <w:rsid w:val="00F834FD"/>
    <w:rsid w:val="00F83C42"/>
    <w:rsid w:val="00F85A3F"/>
    <w:rsid w:val="00F85BEE"/>
    <w:rsid w:val="00F8629A"/>
    <w:rsid w:val="00F87485"/>
    <w:rsid w:val="00F87C5D"/>
    <w:rsid w:val="00F90286"/>
    <w:rsid w:val="00F91749"/>
    <w:rsid w:val="00F91AD6"/>
    <w:rsid w:val="00F91DC5"/>
    <w:rsid w:val="00F9279C"/>
    <w:rsid w:val="00F93CE7"/>
    <w:rsid w:val="00F94E5E"/>
    <w:rsid w:val="00F96DDC"/>
    <w:rsid w:val="00F970A1"/>
    <w:rsid w:val="00F976F2"/>
    <w:rsid w:val="00FA0F0E"/>
    <w:rsid w:val="00FA14C4"/>
    <w:rsid w:val="00FA151A"/>
    <w:rsid w:val="00FA18E8"/>
    <w:rsid w:val="00FA1AF8"/>
    <w:rsid w:val="00FA1ECC"/>
    <w:rsid w:val="00FA2303"/>
    <w:rsid w:val="00FA311E"/>
    <w:rsid w:val="00FA40D4"/>
    <w:rsid w:val="00FA42DB"/>
    <w:rsid w:val="00FA461C"/>
    <w:rsid w:val="00FA4BCF"/>
    <w:rsid w:val="00FA50B7"/>
    <w:rsid w:val="00FA6798"/>
    <w:rsid w:val="00FA6F6A"/>
    <w:rsid w:val="00FA70BB"/>
    <w:rsid w:val="00FB0556"/>
    <w:rsid w:val="00FB1D9A"/>
    <w:rsid w:val="00FB1EAA"/>
    <w:rsid w:val="00FB281C"/>
    <w:rsid w:val="00FB2CE2"/>
    <w:rsid w:val="00FB3012"/>
    <w:rsid w:val="00FB3690"/>
    <w:rsid w:val="00FB3DBF"/>
    <w:rsid w:val="00FB49C0"/>
    <w:rsid w:val="00FB6984"/>
    <w:rsid w:val="00FC0446"/>
    <w:rsid w:val="00FC058A"/>
    <w:rsid w:val="00FC0F36"/>
    <w:rsid w:val="00FC20AB"/>
    <w:rsid w:val="00FC3101"/>
    <w:rsid w:val="00FC3318"/>
    <w:rsid w:val="00FC3F6D"/>
    <w:rsid w:val="00FC40CA"/>
    <w:rsid w:val="00FC4316"/>
    <w:rsid w:val="00FC4430"/>
    <w:rsid w:val="00FC444F"/>
    <w:rsid w:val="00FC55BD"/>
    <w:rsid w:val="00FC5630"/>
    <w:rsid w:val="00FC5A26"/>
    <w:rsid w:val="00FC5B38"/>
    <w:rsid w:val="00FC5D6F"/>
    <w:rsid w:val="00FD1611"/>
    <w:rsid w:val="00FD1EA5"/>
    <w:rsid w:val="00FD202B"/>
    <w:rsid w:val="00FD2688"/>
    <w:rsid w:val="00FD3451"/>
    <w:rsid w:val="00FD3BC3"/>
    <w:rsid w:val="00FD4BDA"/>
    <w:rsid w:val="00FD6200"/>
    <w:rsid w:val="00FD7470"/>
    <w:rsid w:val="00FD7BE0"/>
    <w:rsid w:val="00FE1337"/>
    <w:rsid w:val="00FE1673"/>
    <w:rsid w:val="00FE1A86"/>
    <w:rsid w:val="00FE37A1"/>
    <w:rsid w:val="00FE3BA1"/>
    <w:rsid w:val="00FE4757"/>
    <w:rsid w:val="00FE4D5D"/>
    <w:rsid w:val="00FE5246"/>
    <w:rsid w:val="00FE6160"/>
    <w:rsid w:val="00FF01AD"/>
    <w:rsid w:val="00FF0675"/>
    <w:rsid w:val="00FF121D"/>
    <w:rsid w:val="00FF1EF7"/>
    <w:rsid w:val="00FF2690"/>
    <w:rsid w:val="00FF2C08"/>
    <w:rsid w:val="00FF33CB"/>
    <w:rsid w:val="00FF410A"/>
    <w:rsid w:val="00FF4EC3"/>
    <w:rsid w:val="00FF65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31F2"/>
  <w15:chartTrackingRefBased/>
  <w15:docId w15:val="{D09BBB13-19F4-4442-B732-CA5A17C5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D2"/>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wo Column Style"/>
    <w:basedOn w:val="Normal"/>
    <w:link w:val="ListParagraphChar"/>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CA1E47"/>
    <w:pPr>
      <w:spacing w:after="0" w:line="240" w:lineRule="auto"/>
    </w:pPr>
    <w:rPr>
      <w:rFonts w:ascii="Times New Roman" w:eastAsia="Calibri" w:hAnsi="Times New Roman"/>
      <w:sz w:val="18"/>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240" w:lineRule="auto"/>
    </w:pPr>
    <w:rPr>
      <w:rFonts w:cs="Times"/>
      <w:noProof/>
      <w:szCs w:val="32"/>
      <w:lang w:val="en-US"/>
    </w:rPr>
  </w:style>
  <w:style w:type="character" w:customStyle="1" w:styleId="EndNoteBibliographyChar">
    <w:name w:val="EndNote Bibliography Char"/>
    <w:basedOn w:val="DefaultParagraphFont"/>
    <w:link w:val="EndNoteBibliography"/>
    <w:rsid w:val="003B5CEE"/>
    <w:rPr>
      <w:rFonts w:ascii="Times" w:hAnsi="Times" w:cs="Times"/>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BalloonText">
    <w:name w:val="Balloon Text"/>
    <w:basedOn w:val="Normal"/>
    <w:link w:val="BalloonTextChar"/>
    <w:uiPriority w:val="99"/>
    <w:semiHidden/>
    <w:unhideWhenUsed/>
    <w:rsid w:val="000C1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0A4"/>
    <w:rPr>
      <w:rFonts w:ascii="Segoe UI" w:hAnsi="Segoe UI" w:cs="Segoe UI"/>
      <w:sz w:val="18"/>
      <w:szCs w:val="18"/>
    </w:rPr>
  </w:style>
  <w:style w:type="table" w:customStyle="1" w:styleId="TableGrid1">
    <w:name w:val="Table Grid1"/>
    <w:basedOn w:val="TableNormal"/>
    <w:next w:val="TableGrid"/>
    <w:uiPriority w:val="59"/>
    <w:rsid w:val="008217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1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31ECC"/>
    <w:pPr>
      <w:spacing w:after="0"/>
      <w:jc w:val="center"/>
    </w:pPr>
    <w:rPr>
      <w:rFonts w:cs="Times"/>
      <w:noProof/>
      <w:lang w:val="en-US"/>
    </w:rPr>
  </w:style>
  <w:style w:type="character" w:customStyle="1" w:styleId="EndNoteBibliographyTitleChar">
    <w:name w:val="EndNote Bibliography Title Char"/>
    <w:basedOn w:val="DefaultParagraphFont"/>
    <w:link w:val="EndNoteBibliographyTitle"/>
    <w:rsid w:val="00A31ECC"/>
    <w:rPr>
      <w:rFonts w:ascii="Times" w:hAnsi="Times" w:cs="Times"/>
      <w:noProof/>
      <w:sz w:val="24"/>
      <w:szCs w:val="20"/>
      <w:lang w:val="en-US"/>
    </w:rPr>
  </w:style>
  <w:style w:type="paragraph" w:customStyle="1" w:styleId="BMJHeading1">
    <w:name w:val="BMJ Heading 1"/>
    <w:basedOn w:val="Heading1"/>
    <w:qFormat/>
    <w:rsid w:val="00CB3668"/>
    <w:rPr>
      <w:caps/>
    </w:rPr>
  </w:style>
  <w:style w:type="paragraph" w:customStyle="1" w:styleId="BMJHeading2">
    <w:name w:val="BMJ Heading 2"/>
    <w:basedOn w:val="Heading2"/>
    <w:qFormat/>
    <w:rsid w:val="005F7235"/>
    <w:rPr>
      <w:b/>
      <w:u w:val="none"/>
    </w:rPr>
  </w:style>
  <w:style w:type="paragraph" w:customStyle="1" w:styleId="BMJHeading3">
    <w:name w:val="BMJ Heading 3"/>
    <w:basedOn w:val="Heading3"/>
    <w:qFormat/>
    <w:rsid w:val="00B55BAC"/>
    <w:rPr>
      <w:sz w:val="26"/>
    </w:rPr>
  </w:style>
  <w:style w:type="paragraph" w:customStyle="1" w:styleId="BMJHeading4">
    <w:name w:val="BMJ Heading 4"/>
    <w:basedOn w:val="Heading4"/>
    <w:qFormat/>
    <w:rsid w:val="009157DB"/>
    <w:rPr>
      <w:b w:val="0"/>
      <w:i/>
    </w:rPr>
  </w:style>
  <w:style w:type="character" w:customStyle="1" w:styleId="ListParagraphChar">
    <w:name w:val="List Paragraph Char"/>
    <w:aliases w:val="Two Column Style Char"/>
    <w:basedOn w:val="DefaultParagraphFont"/>
    <w:link w:val="ListParagraph"/>
    <w:uiPriority w:val="34"/>
    <w:rsid w:val="008F2E96"/>
    <w:rPr>
      <w:rFonts w:ascii="Times" w:hAnsi="Times" w:cs="Times New Roman"/>
      <w:sz w:val="24"/>
      <w:szCs w:val="20"/>
    </w:rPr>
  </w:style>
  <w:style w:type="character" w:styleId="CommentReference">
    <w:name w:val="annotation reference"/>
    <w:basedOn w:val="DefaultParagraphFont"/>
    <w:uiPriority w:val="99"/>
    <w:semiHidden/>
    <w:unhideWhenUsed/>
    <w:rsid w:val="005153D5"/>
    <w:rPr>
      <w:sz w:val="16"/>
      <w:szCs w:val="16"/>
    </w:rPr>
  </w:style>
  <w:style w:type="paragraph" w:styleId="CommentText">
    <w:name w:val="annotation text"/>
    <w:basedOn w:val="Normal"/>
    <w:link w:val="CommentTextChar"/>
    <w:uiPriority w:val="99"/>
    <w:unhideWhenUsed/>
    <w:rsid w:val="005153D5"/>
    <w:pPr>
      <w:spacing w:line="240" w:lineRule="auto"/>
    </w:pPr>
    <w:rPr>
      <w:sz w:val="20"/>
    </w:rPr>
  </w:style>
  <w:style w:type="character" w:customStyle="1" w:styleId="CommentTextChar">
    <w:name w:val="Comment Text Char"/>
    <w:basedOn w:val="DefaultParagraphFont"/>
    <w:link w:val="CommentText"/>
    <w:uiPriority w:val="99"/>
    <w:rsid w:val="005153D5"/>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5153D5"/>
    <w:rPr>
      <w:b/>
      <w:bCs/>
    </w:rPr>
  </w:style>
  <w:style w:type="character" w:customStyle="1" w:styleId="CommentSubjectChar">
    <w:name w:val="Comment Subject Char"/>
    <w:basedOn w:val="CommentTextChar"/>
    <w:link w:val="CommentSubject"/>
    <w:uiPriority w:val="99"/>
    <w:semiHidden/>
    <w:rsid w:val="005153D5"/>
    <w:rPr>
      <w:rFonts w:ascii="Times" w:hAnsi="Times" w:cs="Times New Roman"/>
      <w:b/>
      <w:bCs/>
      <w:sz w:val="20"/>
      <w:szCs w:val="20"/>
    </w:rPr>
  </w:style>
  <w:style w:type="character" w:styleId="Hyperlink">
    <w:name w:val="Hyperlink"/>
    <w:basedOn w:val="DefaultParagraphFont"/>
    <w:uiPriority w:val="99"/>
    <w:unhideWhenUsed/>
    <w:rsid w:val="00F976F2"/>
    <w:rPr>
      <w:color w:val="0563C1" w:themeColor="hyperlink"/>
      <w:u w:val="single"/>
    </w:rPr>
  </w:style>
  <w:style w:type="character" w:styleId="UnresolvedMention">
    <w:name w:val="Unresolved Mention"/>
    <w:basedOn w:val="DefaultParagraphFont"/>
    <w:uiPriority w:val="99"/>
    <w:semiHidden/>
    <w:unhideWhenUsed/>
    <w:rsid w:val="00F976F2"/>
    <w:rPr>
      <w:color w:val="605E5C"/>
      <w:shd w:val="clear" w:color="auto" w:fill="E1DFDD"/>
    </w:rPr>
  </w:style>
  <w:style w:type="paragraph" w:styleId="Title">
    <w:name w:val="Title"/>
    <w:basedOn w:val="Normal"/>
    <w:next w:val="Normal"/>
    <w:link w:val="TitleChar"/>
    <w:uiPriority w:val="10"/>
    <w:qFormat/>
    <w:rsid w:val="00C07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C4D"/>
    <w:rPr>
      <w:rFonts w:asciiTheme="majorHAnsi" w:eastAsiaTheme="majorEastAsia" w:hAnsiTheme="majorHAnsi" w:cstheme="majorBidi"/>
      <w:spacing w:val="-10"/>
      <w:kern w:val="28"/>
      <w:sz w:val="56"/>
      <w:szCs w:val="56"/>
    </w:rPr>
  </w:style>
  <w:style w:type="paragraph" w:styleId="Revision">
    <w:name w:val="Revision"/>
    <w:hidden/>
    <w:uiPriority w:val="99"/>
    <w:semiHidden/>
    <w:rsid w:val="004D58BD"/>
    <w:pPr>
      <w:spacing w:after="0" w:line="240" w:lineRule="auto"/>
    </w:pPr>
    <w:rPr>
      <w:rFonts w:ascii="Times" w:hAnsi="Times" w:cs="Times New Roman"/>
      <w:sz w:val="24"/>
      <w:szCs w:val="20"/>
    </w:rPr>
  </w:style>
  <w:style w:type="paragraph" w:styleId="Header">
    <w:name w:val="header"/>
    <w:basedOn w:val="Normal"/>
    <w:link w:val="HeaderChar"/>
    <w:uiPriority w:val="99"/>
    <w:unhideWhenUsed/>
    <w:rsid w:val="008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23C"/>
    <w:rPr>
      <w:rFonts w:ascii="Times" w:hAnsi="Times" w:cs="Times New Roman"/>
      <w:sz w:val="24"/>
      <w:szCs w:val="20"/>
    </w:rPr>
  </w:style>
  <w:style w:type="paragraph" w:styleId="Footer">
    <w:name w:val="footer"/>
    <w:basedOn w:val="Normal"/>
    <w:link w:val="FooterChar"/>
    <w:uiPriority w:val="99"/>
    <w:unhideWhenUsed/>
    <w:rsid w:val="008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23C"/>
    <w:rPr>
      <w:rFonts w:ascii="Times" w:hAnsi="Times" w:cs="Times New Roman"/>
      <w:sz w:val="24"/>
      <w:szCs w:val="20"/>
    </w:rPr>
  </w:style>
  <w:style w:type="paragraph" w:styleId="NormalWeb">
    <w:name w:val="Normal (Web)"/>
    <w:basedOn w:val="Normal"/>
    <w:uiPriority w:val="99"/>
    <w:unhideWhenUsed/>
    <w:rsid w:val="006410B6"/>
    <w:pPr>
      <w:spacing w:before="100" w:beforeAutospacing="1" w:after="100" w:afterAutospacing="1" w:line="240" w:lineRule="auto"/>
    </w:pPr>
    <w:rPr>
      <w:rFonts w:ascii="Times New Roman" w:hAnsi="Times New Roman"/>
      <w:szCs w:val="24"/>
      <w:lang w:eastAsia="en-GB"/>
    </w:rPr>
  </w:style>
  <w:style w:type="character" w:styleId="Strong">
    <w:name w:val="Strong"/>
    <w:basedOn w:val="DefaultParagraphFont"/>
    <w:uiPriority w:val="22"/>
    <w:qFormat/>
    <w:rsid w:val="006410B6"/>
    <w:rPr>
      <w:b/>
      <w:bCs/>
    </w:rPr>
  </w:style>
  <w:style w:type="character" w:styleId="FollowedHyperlink">
    <w:name w:val="FollowedHyperlink"/>
    <w:basedOn w:val="DefaultParagraphFont"/>
    <w:uiPriority w:val="99"/>
    <w:semiHidden/>
    <w:unhideWhenUsed/>
    <w:rsid w:val="00CE7AF2"/>
    <w:rPr>
      <w:color w:val="954F72" w:themeColor="followedHyperlink"/>
      <w:u w:val="single"/>
    </w:rPr>
  </w:style>
  <w:style w:type="paragraph" w:styleId="FootnoteText">
    <w:name w:val="footnote text"/>
    <w:basedOn w:val="Normal"/>
    <w:link w:val="FootnoteTextChar"/>
    <w:uiPriority w:val="99"/>
    <w:semiHidden/>
    <w:unhideWhenUsed/>
    <w:rsid w:val="00034B7D"/>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34B7D"/>
    <w:rPr>
      <w:rFonts w:eastAsiaTheme="minorHAnsi"/>
      <w:sz w:val="20"/>
      <w:szCs w:val="20"/>
    </w:rPr>
  </w:style>
  <w:style w:type="character" w:styleId="FootnoteReference">
    <w:name w:val="footnote reference"/>
    <w:basedOn w:val="DefaultParagraphFont"/>
    <w:uiPriority w:val="99"/>
    <w:semiHidden/>
    <w:unhideWhenUsed/>
    <w:rsid w:val="00034B7D"/>
    <w:rPr>
      <w:vertAlign w:val="superscript"/>
    </w:rPr>
  </w:style>
  <w:style w:type="character" w:styleId="LineNumber">
    <w:name w:val="line number"/>
    <w:basedOn w:val="DefaultParagraphFont"/>
    <w:uiPriority w:val="99"/>
    <w:semiHidden/>
    <w:unhideWhenUsed/>
    <w:rsid w:val="00BB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522">
      <w:bodyDiv w:val="1"/>
      <w:marLeft w:val="0"/>
      <w:marRight w:val="0"/>
      <w:marTop w:val="0"/>
      <w:marBottom w:val="0"/>
      <w:divBdr>
        <w:top w:val="none" w:sz="0" w:space="0" w:color="auto"/>
        <w:left w:val="none" w:sz="0" w:space="0" w:color="auto"/>
        <w:bottom w:val="none" w:sz="0" w:space="0" w:color="auto"/>
        <w:right w:val="none" w:sz="0" w:space="0" w:color="auto"/>
      </w:divBdr>
    </w:div>
    <w:div w:id="141508816">
      <w:bodyDiv w:val="1"/>
      <w:marLeft w:val="0"/>
      <w:marRight w:val="0"/>
      <w:marTop w:val="0"/>
      <w:marBottom w:val="0"/>
      <w:divBdr>
        <w:top w:val="none" w:sz="0" w:space="0" w:color="auto"/>
        <w:left w:val="none" w:sz="0" w:space="0" w:color="auto"/>
        <w:bottom w:val="none" w:sz="0" w:space="0" w:color="auto"/>
        <w:right w:val="none" w:sz="0" w:space="0" w:color="auto"/>
      </w:divBdr>
    </w:div>
    <w:div w:id="332340928">
      <w:bodyDiv w:val="1"/>
      <w:marLeft w:val="0"/>
      <w:marRight w:val="0"/>
      <w:marTop w:val="0"/>
      <w:marBottom w:val="0"/>
      <w:divBdr>
        <w:top w:val="none" w:sz="0" w:space="0" w:color="auto"/>
        <w:left w:val="none" w:sz="0" w:space="0" w:color="auto"/>
        <w:bottom w:val="none" w:sz="0" w:space="0" w:color="auto"/>
        <w:right w:val="none" w:sz="0" w:space="0" w:color="auto"/>
      </w:divBdr>
    </w:div>
    <w:div w:id="338657024">
      <w:bodyDiv w:val="1"/>
      <w:marLeft w:val="0"/>
      <w:marRight w:val="0"/>
      <w:marTop w:val="0"/>
      <w:marBottom w:val="0"/>
      <w:divBdr>
        <w:top w:val="none" w:sz="0" w:space="0" w:color="auto"/>
        <w:left w:val="none" w:sz="0" w:space="0" w:color="auto"/>
        <w:bottom w:val="none" w:sz="0" w:space="0" w:color="auto"/>
        <w:right w:val="none" w:sz="0" w:space="0" w:color="auto"/>
      </w:divBdr>
    </w:div>
    <w:div w:id="706611774">
      <w:bodyDiv w:val="1"/>
      <w:marLeft w:val="0"/>
      <w:marRight w:val="0"/>
      <w:marTop w:val="0"/>
      <w:marBottom w:val="0"/>
      <w:divBdr>
        <w:top w:val="none" w:sz="0" w:space="0" w:color="auto"/>
        <w:left w:val="none" w:sz="0" w:space="0" w:color="auto"/>
        <w:bottom w:val="none" w:sz="0" w:space="0" w:color="auto"/>
        <w:right w:val="none" w:sz="0" w:space="0" w:color="auto"/>
      </w:divBdr>
    </w:div>
    <w:div w:id="839856825">
      <w:bodyDiv w:val="1"/>
      <w:marLeft w:val="0"/>
      <w:marRight w:val="0"/>
      <w:marTop w:val="0"/>
      <w:marBottom w:val="0"/>
      <w:divBdr>
        <w:top w:val="none" w:sz="0" w:space="0" w:color="auto"/>
        <w:left w:val="none" w:sz="0" w:space="0" w:color="auto"/>
        <w:bottom w:val="none" w:sz="0" w:space="0" w:color="auto"/>
        <w:right w:val="none" w:sz="0" w:space="0" w:color="auto"/>
      </w:divBdr>
    </w:div>
    <w:div w:id="901211567">
      <w:bodyDiv w:val="1"/>
      <w:marLeft w:val="0"/>
      <w:marRight w:val="0"/>
      <w:marTop w:val="0"/>
      <w:marBottom w:val="0"/>
      <w:divBdr>
        <w:top w:val="none" w:sz="0" w:space="0" w:color="auto"/>
        <w:left w:val="none" w:sz="0" w:space="0" w:color="auto"/>
        <w:bottom w:val="none" w:sz="0" w:space="0" w:color="auto"/>
        <w:right w:val="none" w:sz="0" w:space="0" w:color="auto"/>
      </w:divBdr>
    </w:div>
    <w:div w:id="925577048">
      <w:bodyDiv w:val="1"/>
      <w:marLeft w:val="0"/>
      <w:marRight w:val="0"/>
      <w:marTop w:val="0"/>
      <w:marBottom w:val="0"/>
      <w:divBdr>
        <w:top w:val="none" w:sz="0" w:space="0" w:color="auto"/>
        <w:left w:val="none" w:sz="0" w:space="0" w:color="auto"/>
        <w:bottom w:val="none" w:sz="0" w:space="0" w:color="auto"/>
        <w:right w:val="none" w:sz="0" w:space="0" w:color="auto"/>
      </w:divBdr>
    </w:div>
    <w:div w:id="937830660">
      <w:bodyDiv w:val="1"/>
      <w:marLeft w:val="0"/>
      <w:marRight w:val="0"/>
      <w:marTop w:val="0"/>
      <w:marBottom w:val="0"/>
      <w:divBdr>
        <w:top w:val="none" w:sz="0" w:space="0" w:color="auto"/>
        <w:left w:val="none" w:sz="0" w:space="0" w:color="auto"/>
        <w:bottom w:val="none" w:sz="0" w:space="0" w:color="auto"/>
        <w:right w:val="none" w:sz="0" w:space="0" w:color="auto"/>
      </w:divBdr>
    </w:div>
    <w:div w:id="1457143599">
      <w:bodyDiv w:val="1"/>
      <w:marLeft w:val="0"/>
      <w:marRight w:val="0"/>
      <w:marTop w:val="0"/>
      <w:marBottom w:val="0"/>
      <w:divBdr>
        <w:top w:val="none" w:sz="0" w:space="0" w:color="auto"/>
        <w:left w:val="none" w:sz="0" w:space="0" w:color="auto"/>
        <w:bottom w:val="none" w:sz="0" w:space="0" w:color="auto"/>
        <w:right w:val="none" w:sz="0" w:space="0" w:color="auto"/>
      </w:divBdr>
    </w:div>
    <w:div w:id="1482114020">
      <w:bodyDiv w:val="1"/>
      <w:marLeft w:val="0"/>
      <w:marRight w:val="0"/>
      <w:marTop w:val="0"/>
      <w:marBottom w:val="0"/>
      <w:divBdr>
        <w:top w:val="none" w:sz="0" w:space="0" w:color="auto"/>
        <w:left w:val="none" w:sz="0" w:space="0" w:color="auto"/>
        <w:bottom w:val="none" w:sz="0" w:space="0" w:color="auto"/>
        <w:right w:val="none" w:sz="0" w:space="0" w:color="auto"/>
      </w:divBdr>
    </w:div>
    <w:div w:id="1516922153">
      <w:bodyDiv w:val="1"/>
      <w:marLeft w:val="0"/>
      <w:marRight w:val="0"/>
      <w:marTop w:val="0"/>
      <w:marBottom w:val="0"/>
      <w:divBdr>
        <w:top w:val="none" w:sz="0" w:space="0" w:color="auto"/>
        <w:left w:val="none" w:sz="0" w:space="0" w:color="auto"/>
        <w:bottom w:val="none" w:sz="0" w:space="0" w:color="auto"/>
        <w:right w:val="none" w:sz="0" w:space="0" w:color="auto"/>
      </w:divBdr>
    </w:div>
    <w:div w:id="1804544429">
      <w:bodyDiv w:val="1"/>
      <w:marLeft w:val="0"/>
      <w:marRight w:val="0"/>
      <w:marTop w:val="0"/>
      <w:marBottom w:val="0"/>
      <w:divBdr>
        <w:top w:val="none" w:sz="0" w:space="0" w:color="auto"/>
        <w:left w:val="none" w:sz="0" w:space="0" w:color="auto"/>
        <w:bottom w:val="none" w:sz="0" w:space="0" w:color="auto"/>
        <w:right w:val="none" w:sz="0" w:space="0" w:color="auto"/>
      </w:divBdr>
    </w:div>
    <w:div w:id="1816608573">
      <w:bodyDiv w:val="1"/>
      <w:marLeft w:val="0"/>
      <w:marRight w:val="0"/>
      <w:marTop w:val="0"/>
      <w:marBottom w:val="0"/>
      <w:divBdr>
        <w:top w:val="none" w:sz="0" w:space="0" w:color="auto"/>
        <w:left w:val="none" w:sz="0" w:space="0" w:color="auto"/>
        <w:bottom w:val="none" w:sz="0" w:space="0" w:color="auto"/>
        <w:right w:val="none" w:sz="0" w:space="0" w:color="auto"/>
      </w:divBdr>
    </w:div>
    <w:div w:id="1891258097">
      <w:bodyDiv w:val="1"/>
      <w:marLeft w:val="0"/>
      <w:marRight w:val="0"/>
      <w:marTop w:val="0"/>
      <w:marBottom w:val="0"/>
      <w:divBdr>
        <w:top w:val="none" w:sz="0" w:space="0" w:color="auto"/>
        <w:left w:val="none" w:sz="0" w:space="0" w:color="auto"/>
        <w:bottom w:val="none" w:sz="0" w:space="0" w:color="auto"/>
        <w:right w:val="none" w:sz="0" w:space="0" w:color="auto"/>
      </w:divBdr>
    </w:div>
    <w:div w:id="19120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1816-1676" TargetMode="External"/><Relationship Id="rId18" Type="http://schemas.openxmlformats.org/officeDocument/2006/relationships/hyperlink" Target="https://psyarxiv.com/fs9w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edrxiv.org/content/10.1101/2020.04.30.20086223v1" TargetMode="External"/><Relationship Id="rId7" Type="http://schemas.openxmlformats.org/officeDocument/2006/relationships/settings" Target="settings.xml"/><Relationship Id="rId12" Type="http://schemas.openxmlformats.org/officeDocument/2006/relationships/hyperlink" Target="https://orcid.org/0000-0002-1277-2564" TargetMode="External"/><Relationship Id="rId17" Type="http://schemas.openxmlformats.org/officeDocument/2006/relationships/hyperlink" Target="https://assets.publishing.service.gov.uk/government/uploads/system/uploads/attachment_data/file/884760/Our_plan_to_rebuild_The_UK_Government_s_COVID-19_recovery_strateg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onavirus.data.gov.uk/" TargetMode="External"/><Relationship Id="rId20" Type="http://schemas.openxmlformats.org/officeDocument/2006/relationships/hyperlink" Target="https://osf.io/94856/?view_only=c85fd2666a204c67b2c41f0ded105ec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6708-339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rcid.org/0000-0001-7560-8924" TargetMode="External"/><Relationship Id="rId23" Type="http://schemas.openxmlformats.org/officeDocument/2006/relationships/hyperlink" Target="https://www.ons.gov.uk/businessindustryandtrade/itandinternetindustry/bulletins/internetusers/2019" TargetMode="External"/><Relationship Id="rId10" Type="http://schemas.openxmlformats.org/officeDocument/2006/relationships/endnotes" Target="endnotes.xml"/><Relationship Id="rId19" Type="http://schemas.openxmlformats.org/officeDocument/2006/relationships/hyperlink" Target="https://www.gov.uk/government/publications/priority-groups-for-coronavirus-covid-19-vaccination-advice-from-the-jcvi/interim-advice-on-priority-groups-for-covid-19-vacci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4440-0570" TargetMode="External"/><Relationship Id="rId22" Type="http://schemas.openxmlformats.org/officeDocument/2006/relationships/hyperlink" Target="https://assets.publishing.service.gov.uk/government/uploads/system/uploads/attachment_data/file/895233/Surveillance_Influenza_and_other_respiratory_viruses_in_the_UK_2019_to_2020_FINAL.pdf"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5933-61DA-4537-B34D-9A5B3094E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1BEAE-90D3-40F4-9B51-29A0868FCCCD}">
  <ds:schemaRefs>
    <ds:schemaRef ds:uri="http://schemas.microsoft.com/sharepoint/v3/contenttype/forms"/>
  </ds:schemaRefs>
</ds:datastoreItem>
</file>

<file path=customXml/itemProps3.xml><?xml version="1.0" encoding="utf-8"?>
<ds:datastoreItem xmlns:ds="http://schemas.openxmlformats.org/officeDocument/2006/customXml" ds:itemID="{17D2BE9B-AA13-43E4-ADF8-AFD9EFE2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A87D9-049F-4111-9ADA-91D6E73D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7756</Words>
  <Characters>44213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Sue Sherman</cp:lastModifiedBy>
  <cp:revision>2</cp:revision>
  <cp:lastPrinted>2020-08-06T19:46:00Z</cp:lastPrinted>
  <dcterms:created xsi:type="dcterms:W3CDTF">2020-10-31T18:03:00Z</dcterms:created>
  <dcterms:modified xsi:type="dcterms:W3CDTF">2020-10-31T18:03:00Z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