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AC2B2" w14:textId="77777777" w:rsidR="00494054" w:rsidRPr="00432926" w:rsidRDefault="00494054" w:rsidP="00CB00B1">
      <w:pPr>
        <w:spacing w:line="360" w:lineRule="auto"/>
        <w:jc w:val="both"/>
        <w:rPr>
          <w:b/>
        </w:rPr>
      </w:pPr>
      <w:r w:rsidRPr="00432926">
        <w:rPr>
          <w:b/>
        </w:rPr>
        <w:t>Racial differences in management and outcomes of acute myocardial infarction during COVID19 pandemic</w:t>
      </w:r>
      <w:bookmarkStart w:id="0" w:name="_GoBack"/>
      <w:bookmarkEnd w:id="0"/>
    </w:p>
    <w:p w14:paraId="4E67571C" w14:textId="0B94F4AA" w:rsidR="00B97E0C" w:rsidRPr="00432926" w:rsidRDefault="0051722A" w:rsidP="00CB00B1">
      <w:pPr>
        <w:spacing w:line="360" w:lineRule="auto"/>
        <w:jc w:val="both"/>
        <w:rPr>
          <w:bCs/>
        </w:rPr>
      </w:pPr>
      <w:r w:rsidRPr="00432926">
        <w:rPr>
          <w:b/>
          <w:bCs/>
        </w:rPr>
        <w:t>Short running title</w:t>
      </w:r>
      <w:r w:rsidRPr="00432926">
        <w:rPr>
          <w:bCs/>
        </w:rPr>
        <w:t>: Racial disparities in outcomes of AMI during COVID19 pandemic.</w:t>
      </w:r>
    </w:p>
    <w:p w14:paraId="59151CA8" w14:textId="3AB587A7" w:rsidR="003544C3" w:rsidRPr="00432926" w:rsidRDefault="004303F5" w:rsidP="00CB00B1">
      <w:pPr>
        <w:spacing w:line="360" w:lineRule="auto"/>
        <w:jc w:val="both"/>
        <w:rPr>
          <w:bCs/>
          <w:vertAlign w:val="superscript"/>
        </w:rPr>
      </w:pPr>
      <w:r w:rsidRPr="00432926">
        <w:rPr>
          <w:bCs/>
        </w:rPr>
        <w:t>Muhammad Rashid</w:t>
      </w:r>
      <w:r w:rsidR="00F517C1" w:rsidRPr="00432926">
        <w:rPr>
          <w:bCs/>
        </w:rPr>
        <w:t xml:space="preserve"> PhD</w:t>
      </w:r>
      <w:r w:rsidR="003544C3" w:rsidRPr="00432926">
        <w:rPr>
          <w:bCs/>
          <w:vertAlign w:val="superscript"/>
        </w:rPr>
        <w:t>1,2</w:t>
      </w:r>
      <w:r w:rsidRPr="00432926">
        <w:rPr>
          <w:bCs/>
        </w:rPr>
        <w:t>, Adam Timmis</w:t>
      </w:r>
      <w:r w:rsidR="00F517C1" w:rsidRPr="00432926">
        <w:rPr>
          <w:bCs/>
        </w:rPr>
        <w:t xml:space="preserve"> PhD</w:t>
      </w:r>
      <w:r w:rsidR="003544C3" w:rsidRPr="00432926">
        <w:rPr>
          <w:bCs/>
          <w:vertAlign w:val="superscript"/>
        </w:rPr>
        <w:t>3</w:t>
      </w:r>
      <w:r w:rsidRPr="00432926">
        <w:rPr>
          <w:bCs/>
        </w:rPr>
        <w:t>, Tim Kinnaird</w:t>
      </w:r>
      <w:r w:rsidR="00F517C1" w:rsidRPr="00432926">
        <w:rPr>
          <w:bCs/>
        </w:rPr>
        <w:t xml:space="preserve"> MD</w:t>
      </w:r>
      <w:r w:rsidR="003544C3" w:rsidRPr="00432926">
        <w:rPr>
          <w:bCs/>
          <w:vertAlign w:val="superscript"/>
        </w:rPr>
        <w:t>4</w:t>
      </w:r>
      <w:r w:rsidRPr="00432926">
        <w:rPr>
          <w:bCs/>
        </w:rPr>
        <w:t>, Nick Curzen</w:t>
      </w:r>
      <w:r w:rsidR="00F517C1" w:rsidRPr="00432926">
        <w:rPr>
          <w:bCs/>
        </w:rPr>
        <w:t xml:space="preserve"> PhD</w:t>
      </w:r>
      <w:r w:rsidR="003544C3" w:rsidRPr="00432926">
        <w:rPr>
          <w:bCs/>
          <w:vertAlign w:val="superscript"/>
        </w:rPr>
        <w:t>5</w:t>
      </w:r>
      <w:r w:rsidRPr="00432926">
        <w:rPr>
          <w:bCs/>
        </w:rPr>
        <w:t>,</w:t>
      </w:r>
      <w:r w:rsidR="00B9437D" w:rsidRPr="00432926">
        <w:rPr>
          <w:bCs/>
        </w:rPr>
        <w:t xml:space="preserve"> Azfar Zaman</w:t>
      </w:r>
      <w:r w:rsidR="00F517C1" w:rsidRPr="00432926">
        <w:rPr>
          <w:bCs/>
        </w:rPr>
        <w:t xml:space="preserve"> PhD</w:t>
      </w:r>
      <w:r w:rsidR="003544C3" w:rsidRPr="00432926">
        <w:rPr>
          <w:bCs/>
          <w:vertAlign w:val="superscript"/>
        </w:rPr>
        <w:t>6</w:t>
      </w:r>
      <w:r w:rsidR="00B9437D" w:rsidRPr="00432926">
        <w:rPr>
          <w:bCs/>
        </w:rPr>
        <w:t>, Ahmad Shoaib</w:t>
      </w:r>
      <w:r w:rsidR="00F517C1" w:rsidRPr="00432926">
        <w:rPr>
          <w:bCs/>
        </w:rPr>
        <w:t xml:space="preserve"> MD</w:t>
      </w:r>
      <w:r w:rsidR="003544C3" w:rsidRPr="00432926">
        <w:rPr>
          <w:bCs/>
          <w:vertAlign w:val="superscript"/>
        </w:rPr>
        <w:t>1,2</w:t>
      </w:r>
      <w:r w:rsidR="00B9437D" w:rsidRPr="00432926">
        <w:rPr>
          <w:bCs/>
        </w:rPr>
        <w:t xml:space="preserve">, Mohamed </w:t>
      </w:r>
      <w:r w:rsidR="003544C3" w:rsidRPr="00432926">
        <w:rPr>
          <w:bCs/>
        </w:rPr>
        <w:t xml:space="preserve">O </w:t>
      </w:r>
      <w:r w:rsidR="00B9437D" w:rsidRPr="00432926">
        <w:rPr>
          <w:bCs/>
        </w:rPr>
        <w:t>Mohamed</w:t>
      </w:r>
      <w:r w:rsidR="00F517C1" w:rsidRPr="00432926">
        <w:rPr>
          <w:bCs/>
        </w:rPr>
        <w:t xml:space="preserve"> MBChB</w:t>
      </w:r>
      <w:r w:rsidR="003544C3" w:rsidRPr="00432926">
        <w:rPr>
          <w:bCs/>
          <w:vertAlign w:val="superscript"/>
        </w:rPr>
        <w:t>1</w:t>
      </w:r>
      <w:r w:rsidR="00B9437D" w:rsidRPr="00432926">
        <w:rPr>
          <w:bCs/>
        </w:rPr>
        <w:t xml:space="preserve">, </w:t>
      </w:r>
      <w:r w:rsidR="00B9437D" w:rsidRPr="00432926">
        <w:rPr>
          <w:rFonts w:eastAsiaTheme="minorEastAsia" w:cs="Times New Roman"/>
          <w:szCs w:val="24"/>
          <w:lang w:eastAsia="en-GB"/>
        </w:rPr>
        <w:t>Mark A de Belder</w:t>
      </w:r>
      <w:r w:rsidR="00F517C1" w:rsidRPr="00432926">
        <w:rPr>
          <w:rFonts w:eastAsiaTheme="minorEastAsia" w:cs="Times New Roman"/>
          <w:szCs w:val="24"/>
          <w:lang w:eastAsia="en-GB"/>
        </w:rPr>
        <w:t xml:space="preserve"> MD</w:t>
      </w:r>
      <w:r w:rsidR="003544C3" w:rsidRPr="00432926">
        <w:rPr>
          <w:rFonts w:eastAsiaTheme="minorEastAsia" w:cs="Times New Roman"/>
          <w:szCs w:val="24"/>
          <w:vertAlign w:val="superscript"/>
          <w:lang w:eastAsia="en-GB"/>
        </w:rPr>
        <w:t>7</w:t>
      </w:r>
      <w:r w:rsidR="00B9437D" w:rsidRPr="00432926">
        <w:rPr>
          <w:rFonts w:eastAsiaTheme="minorEastAsia" w:cs="Times New Roman"/>
          <w:szCs w:val="24"/>
          <w:lang w:eastAsia="en-GB"/>
        </w:rPr>
        <w:t xml:space="preserve">, </w:t>
      </w:r>
      <w:r w:rsidR="00B9437D" w:rsidRPr="00432926">
        <w:rPr>
          <w:bCs/>
        </w:rPr>
        <w:t>John Deanfield</w:t>
      </w:r>
      <w:r w:rsidR="00F517C1" w:rsidRPr="00432926">
        <w:rPr>
          <w:bCs/>
        </w:rPr>
        <w:t xml:space="preserve"> FRCP</w:t>
      </w:r>
      <w:r w:rsidR="003544C3" w:rsidRPr="00432926">
        <w:rPr>
          <w:bCs/>
          <w:vertAlign w:val="superscript"/>
        </w:rPr>
        <w:t>8</w:t>
      </w:r>
      <w:r w:rsidR="003544C3" w:rsidRPr="00432926">
        <w:rPr>
          <w:bCs/>
        </w:rPr>
        <w:t>,</w:t>
      </w:r>
      <w:r w:rsidR="00F517C1" w:rsidRPr="00432926">
        <w:rPr>
          <w:bCs/>
        </w:rPr>
        <w:t xml:space="preserve"> </w:t>
      </w:r>
      <w:r w:rsidR="00786DCA" w:rsidRPr="00432926">
        <w:rPr>
          <w:bCs/>
        </w:rPr>
        <w:t>Glen Martin</w:t>
      </w:r>
      <w:r w:rsidR="00447A72" w:rsidRPr="00432926">
        <w:rPr>
          <w:rFonts w:cs="Times New Roman (Body CS)"/>
          <w:bCs/>
          <w:vertAlign w:val="superscript"/>
        </w:rPr>
        <w:t>9</w:t>
      </w:r>
      <w:r w:rsidR="00786DCA" w:rsidRPr="00432926">
        <w:rPr>
          <w:bCs/>
        </w:rPr>
        <w:t xml:space="preserve">, </w:t>
      </w:r>
      <w:r w:rsidR="00F517C1" w:rsidRPr="00432926">
        <w:rPr>
          <w:bCs/>
        </w:rPr>
        <w:t>Jianhua Wu PhD</w:t>
      </w:r>
      <w:r w:rsidR="00F517C1" w:rsidRPr="00432926">
        <w:rPr>
          <w:bCs/>
          <w:vertAlign w:val="superscript"/>
        </w:rPr>
        <w:t>1</w:t>
      </w:r>
      <w:r w:rsidR="00447A72" w:rsidRPr="00432926">
        <w:rPr>
          <w:bCs/>
          <w:vertAlign w:val="superscript"/>
        </w:rPr>
        <w:t>0</w:t>
      </w:r>
      <w:r w:rsidR="00F517C1" w:rsidRPr="00432926">
        <w:rPr>
          <w:bCs/>
        </w:rPr>
        <w:t xml:space="preserve">, </w:t>
      </w:r>
      <w:r w:rsidRPr="00432926">
        <w:rPr>
          <w:bCs/>
        </w:rPr>
        <w:t xml:space="preserve">Chris </w:t>
      </w:r>
      <w:r w:rsidR="003544C3" w:rsidRPr="00432926">
        <w:rPr>
          <w:bCs/>
        </w:rPr>
        <w:t xml:space="preserve">P </w:t>
      </w:r>
      <w:r w:rsidRPr="00432926">
        <w:rPr>
          <w:bCs/>
        </w:rPr>
        <w:t>Gale</w:t>
      </w:r>
      <w:r w:rsidR="00F517C1" w:rsidRPr="00432926">
        <w:rPr>
          <w:bCs/>
        </w:rPr>
        <w:t xml:space="preserve"> </w:t>
      </w:r>
      <w:r w:rsidR="00786DCA" w:rsidRPr="00432926">
        <w:rPr>
          <w:bCs/>
        </w:rPr>
        <w:t>PhD</w:t>
      </w:r>
      <w:r w:rsidR="00447A72" w:rsidRPr="00432926">
        <w:rPr>
          <w:bCs/>
          <w:vertAlign w:val="superscript"/>
        </w:rPr>
        <w:t>10,11</w:t>
      </w:r>
      <w:r w:rsidR="00AF7A8F" w:rsidRPr="00432926">
        <w:rPr>
          <w:bCs/>
          <w:vertAlign w:val="superscript"/>
        </w:rPr>
        <w:t>,</w:t>
      </w:r>
      <w:r w:rsidRPr="00432926">
        <w:rPr>
          <w:bCs/>
        </w:rPr>
        <w:t>, Mamas A. Mamas</w:t>
      </w:r>
      <w:r w:rsidR="00F517C1" w:rsidRPr="00432926">
        <w:rPr>
          <w:bCs/>
        </w:rPr>
        <w:t xml:space="preserve"> DPhil</w:t>
      </w:r>
      <w:r w:rsidR="003544C3" w:rsidRPr="00432926">
        <w:rPr>
          <w:bCs/>
          <w:vertAlign w:val="superscript"/>
        </w:rPr>
        <w:t>1,2,</w:t>
      </w:r>
      <w:r w:rsidR="00F517C1" w:rsidRPr="00432926">
        <w:rPr>
          <w:bCs/>
          <w:vertAlign w:val="superscript"/>
        </w:rPr>
        <w:t>1</w:t>
      </w:r>
      <w:r w:rsidR="00447A72" w:rsidRPr="00432926">
        <w:rPr>
          <w:bCs/>
          <w:vertAlign w:val="superscript"/>
        </w:rPr>
        <w:t>2</w:t>
      </w:r>
    </w:p>
    <w:p w14:paraId="3932C06A" w14:textId="77777777" w:rsidR="003544C3" w:rsidRPr="00432926" w:rsidRDefault="003544C3" w:rsidP="00CB00B1">
      <w:pPr>
        <w:pStyle w:val="ListParagraph"/>
        <w:numPr>
          <w:ilvl w:val="0"/>
          <w:numId w:val="1"/>
        </w:numPr>
        <w:spacing w:line="360" w:lineRule="auto"/>
        <w:rPr>
          <w:rFonts w:cs="Times New Roman"/>
          <w:color w:val="000000" w:themeColor="text1"/>
        </w:rPr>
      </w:pPr>
      <w:r w:rsidRPr="00432926">
        <w:rPr>
          <w:rFonts w:cs="Times New Roman"/>
          <w:color w:val="000000" w:themeColor="text1"/>
        </w:rPr>
        <w:t xml:space="preserve">Keele Cardiovascular Research Group, Institute for Prognosis Research, School of Primary Care, Keele University </w:t>
      </w:r>
    </w:p>
    <w:p w14:paraId="6B0C626B" w14:textId="77777777" w:rsidR="003544C3" w:rsidRPr="00432926" w:rsidRDefault="003544C3" w:rsidP="00CB00B1">
      <w:pPr>
        <w:pStyle w:val="ListParagraph"/>
        <w:numPr>
          <w:ilvl w:val="0"/>
          <w:numId w:val="1"/>
        </w:numPr>
        <w:spacing w:line="360" w:lineRule="auto"/>
        <w:rPr>
          <w:rFonts w:cs="Times New Roman"/>
          <w:color w:val="000000" w:themeColor="text1"/>
        </w:rPr>
      </w:pPr>
      <w:r w:rsidRPr="00432926">
        <w:rPr>
          <w:rFonts w:cs="Times New Roman"/>
          <w:color w:val="000000" w:themeColor="text1"/>
        </w:rPr>
        <w:t>Department of Cardiology, Royal Stoke Hospital, Stoke-on-Trent, UK</w:t>
      </w:r>
    </w:p>
    <w:p w14:paraId="4470023D" w14:textId="77777777" w:rsidR="003544C3" w:rsidRPr="00432926" w:rsidRDefault="003544C3" w:rsidP="00CB00B1">
      <w:pPr>
        <w:pStyle w:val="ListParagraph"/>
        <w:numPr>
          <w:ilvl w:val="0"/>
          <w:numId w:val="1"/>
        </w:numPr>
        <w:spacing w:line="360" w:lineRule="auto"/>
        <w:rPr>
          <w:bCs/>
        </w:rPr>
      </w:pPr>
      <w:r w:rsidRPr="00432926">
        <w:rPr>
          <w:bCs/>
        </w:rPr>
        <w:t>Barts Heart Centre, Queen Mary University London, UK</w:t>
      </w:r>
    </w:p>
    <w:p w14:paraId="1FBE8C8E" w14:textId="115D46F9" w:rsidR="003544C3" w:rsidRPr="00432926" w:rsidRDefault="003544C3" w:rsidP="00CB00B1">
      <w:pPr>
        <w:pStyle w:val="ListParagraph"/>
        <w:numPr>
          <w:ilvl w:val="0"/>
          <w:numId w:val="1"/>
        </w:numPr>
        <w:spacing w:line="360" w:lineRule="auto"/>
        <w:jc w:val="both"/>
        <w:rPr>
          <w:bCs/>
        </w:rPr>
      </w:pPr>
      <w:r w:rsidRPr="00432926">
        <w:rPr>
          <w:bCs/>
        </w:rPr>
        <w:t>Department of cardiology, University hospital of Wales, Cardiff, Wales, UK</w:t>
      </w:r>
    </w:p>
    <w:p w14:paraId="2641D5BB" w14:textId="77777777" w:rsidR="003544C3" w:rsidRPr="00432926" w:rsidRDefault="003544C3" w:rsidP="00CB00B1">
      <w:pPr>
        <w:pStyle w:val="ListParagraph"/>
        <w:numPr>
          <w:ilvl w:val="0"/>
          <w:numId w:val="1"/>
        </w:numPr>
        <w:spacing w:line="360" w:lineRule="auto"/>
        <w:rPr>
          <w:bCs/>
        </w:rPr>
      </w:pPr>
      <w:r w:rsidRPr="00432926">
        <w:rPr>
          <w:bCs/>
        </w:rPr>
        <w:t>Coronary Research Group, University Hospital Southampton &amp; Faculty of Medicine, University of Southampton, UK</w:t>
      </w:r>
    </w:p>
    <w:p w14:paraId="1DC5BC1B" w14:textId="4278742E" w:rsidR="003544C3" w:rsidRPr="00432926" w:rsidRDefault="003544C3" w:rsidP="00CB00B1">
      <w:pPr>
        <w:pStyle w:val="ListParagraph"/>
        <w:numPr>
          <w:ilvl w:val="0"/>
          <w:numId w:val="1"/>
        </w:numPr>
        <w:spacing w:line="360" w:lineRule="auto"/>
        <w:jc w:val="both"/>
        <w:rPr>
          <w:bCs/>
        </w:rPr>
      </w:pPr>
      <w:r w:rsidRPr="00432926">
        <w:rPr>
          <w:bCs/>
        </w:rPr>
        <w:t>Department of cardiology, Freemen Hospital, Newcastle Upon Tyne, UK</w:t>
      </w:r>
    </w:p>
    <w:p w14:paraId="62CAE64B" w14:textId="77777777" w:rsidR="00F517C1" w:rsidRPr="00432926" w:rsidRDefault="00F517C1" w:rsidP="00CB00B1">
      <w:pPr>
        <w:pStyle w:val="ListParagraph"/>
        <w:numPr>
          <w:ilvl w:val="0"/>
          <w:numId w:val="1"/>
        </w:numPr>
        <w:spacing w:line="360" w:lineRule="auto"/>
        <w:rPr>
          <w:bCs/>
        </w:rPr>
      </w:pPr>
      <w:r w:rsidRPr="00432926">
        <w:rPr>
          <w:bCs/>
        </w:rPr>
        <w:t>National Institute for Cardiovascular Outcomes Research, Barts Health NHS Trust, London, UK</w:t>
      </w:r>
    </w:p>
    <w:p w14:paraId="7BFC6F80" w14:textId="09CC9D56" w:rsidR="00F517C1" w:rsidRPr="00432926" w:rsidRDefault="00F517C1" w:rsidP="00CB00B1">
      <w:pPr>
        <w:pStyle w:val="ListParagraph"/>
        <w:numPr>
          <w:ilvl w:val="0"/>
          <w:numId w:val="1"/>
        </w:numPr>
        <w:spacing w:line="360" w:lineRule="auto"/>
        <w:rPr>
          <w:bCs/>
        </w:rPr>
      </w:pPr>
      <w:r w:rsidRPr="00432926">
        <w:rPr>
          <w:bCs/>
        </w:rPr>
        <w:t xml:space="preserve">Institute of Cardiovascular Sciences, University College London, London, UK </w:t>
      </w:r>
    </w:p>
    <w:p w14:paraId="6A163AA4" w14:textId="334CAE55" w:rsidR="00786DCA" w:rsidRPr="00432926" w:rsidRDefault="0055165F" w:rsidP="00CB00B1">
      <w:pPr>
        <w:pStyle w:val="ListParagraph"/>
        <w:numPr>
          <w:ilvl w:val="0"/>
          <w:numId w:val="1"/>
        </w:numPr>
        <w:spacing w:line="360" w:lineRule="auto"/>
        <w:rPr>
          <w:rFonts w:cs="Times New Roman"/>
          <w:color w:val="000000" w:themeColor="text1"/>
        </w:rPr>
      </w:pPr>
      <w:r w:rsidRPr="00432926">
        <w:rPr>
          <w:rFonts w:cs="Times New Roman"/>
          <w:color w:val="000000" w:themeColor="text1"/>
        </w:rPr>
        <w:t xml:space="preserve">Division of Informatics, Imaging and Data Science, Faculty of Biology, Medicine and Health, </w:t>
      </w:r>
      <w:r w:rsidR="00786DCA" w:rsidRPr="00432926">
        <w:rPr>
          <w:rFonts w:cs="Times New Roman"/>
          <w:color w:val="000000" w:themeColor="text1"/>
        </w:rPr>
        <w:t>University of Manchester</w:t>
      </w:r>
      <w:r w:rsidRPr="00432926">
        <w:rPr>
          <w:rFonts w:cs="Times New Roman"/>
          <w:color w:val="000000" w:themeColor="text1"/>
        </w:rPr>
        <w:t>, UK</w:t>
      </w:r>
    </w:p>
    <w:p w14:paraId="0124A2BA" w14:textId="1B077284" w:rsidR="00A72232" w:rsidRPr="00432926" w:rsidRDefault="00F517C1" w:rsidP="00CB00B1">
      <w:pPr>
        <w:pStyle w:val="ListParagraph"/>
        <w:numPr>
          <w:ilvl w:val="0"/>
          <w:numId w:val="1"/>
        </w:numPr>
        <w:spacing w:line="360" w:lineRule="auto"/>
        <w:rPr>
          <w:rFonts w:cs="Times New Roman"/>
          <w:color w:val="000000" w:themeColor="text1"/>
        </w:rPr>
      </w:pPr>
      <w:r w:rsidRPr="00432926">
        <w:rPr>
          <w:rFonts w:cs="Times New Roman"/>
          <w:color w:val="000000" w:themeColor="text1"/>
        </w:rPr>
        <w:t>Leeds Institute for Data Analytics, Uni</w:t>
      </w:r>
      <w:r w:rsidR="00A72232" w:rsidRPr="00432926">
        <w:rPr>
          <w:rFonts w:cs="Times New Roman"/>
          <w:color w:val="000000" w:themeColor="text1"/>
        </w:rPr>
        <w:t>versity of Leeds, Leeds, UK</w:t>
      </w:r>
    </w:p>
    <w:p w14:paraId="757146E2" w14:textId="149DB490" w:rsidR="00F517C1" w:rsidRPr="00432926" w:rsidRDefault="00F517C1" w:rsidP="00CB00B1">
      <w:pPr>
        <w:pStyle w:val="ListParagraph"/>
        <w:numPr>
          <w:ilvl w:val="0"/>
          <w:numId w:val="1"/>
        </w:numPr>
        <w:spacing w:line="360" w:lineRule="auto"/>
        <w:rPr>
          <w:rFonts w:cs="Times New Roman"/>
          <w:color w:val="000000" w:themeColor="text1"/>
        </w:rPr>
      </w:pPr>
      <w:r w:rsidRPr="00432926">
        <w:rPr>
          <w:rFonts w:cs="Times New Roman"/>
          <w:color w:val="000000" w:themeColor="text1"/>
        </w:rPr>
        <w:t>Leeds Teaching Hospitals NHS Trust, Leeds, UK</w:t>
      </w:r>
    </w:p>
    <w:p w14:paraId="220DEB9E" w14:textId="41E62692" w:rsidR="003544C3" w:rsidRPr="00432926" w:rsidRDefault="00F517C1" w:rsidP="00CB00B1">
      <w:pPr>
        <w:pStyle w:val="ListParagraph"/>
        <w:numPr>
          <w:ilvl w:val="0"/>
          <w:numId w:val="1"/>
        </w:numPr>
        <w:spacing w:line="360" w:lineRule="auto"/>
        <w:rPr>
          <w:bCs/>
        </w:rPr>
      </w:pPr>
      <w:r w:rsidRPr="00432926">
        <w:rPr>
          <w:bCs/>
        </w:rPr>
        <w:t>Department of Medicine, Thomas Jefferson University, Philadelphia, Pennsylvania</w:t>
      </w:r>
    </w:p>
    <w:p w14:paraId="3562789F" w14:textId="627B33C7" w:rsidR="00192856" w:rsidRPr="00432926" w:rsidRDefault="00192856" w:rsidP="00CB00B1">
      <w:pPr>
        <w:spacing w:line="360" w:lineRule="auto"/>
        <w:rPr>
          <w:b/>
          <w:bCs/>
        </w:rPr>
      </w:pPr>
      <w:r w:rsidRPr="00432926">
        <w:rPr>
          <w:b/>
          <w:bCs/>
        </w:rPr>
        <w:t>Corresponding author</w:t>
      </w:r>
    </w:p>
    <w:p w14:paraId="24FABFD3" w14:textId="5F3993D6" w:rsidR="00192856" w:rsidRPr="00432926" w:rsidRDefault="00192856" w:rsidP="00CB00B1">
      <w:pPr>
        <w:spacing w:line="360" w:lineRule="auto"/>
        <w:jc w:val="both"/>
        <w:rPr>
          <w:rFonts w:cs="Times New Roman"/>
        </w:rPr>
      </w:pPr>
      <w:r w:rsidRPr="00432926">
        <w:rPr>
          <w:rFonts w:cs="Times New Roman"/>
        </w:rPr>
        <w:t>Dr Muhammad Rashid, PhD</w:t>
      </w:r>
    </w:p>
    <w:p w14:paraId="3EE969CF" w14:textId="26ABFE18" w:rsidR="00192856" w:rsidRPr="00432926" w:rsidRDefault="00192856" w:rsidP="00CB00B1">
      <w:pPr>
        <w:spacing w:line="360" w:lineRule="auto"/>
        <w:jc w:val="both"/>
        <w:rPr>
          <w:rFonts w:cs="Times New Roman"/>
        </w:rPr>
      </w:pPr>
      <w:r w:rsidRPr="00432926">
        <w:rPr>
          <w:rFonts w:cs="Times New Roman"/>
        </w:rPr>
        <w:t>NIHR academic clinical lecturer in cardiology</w:t>
      </w:r>
    </w:p>
    <w:p w14:paraId="429DD007" w14:textId="77777777" w:rsidR="00192856" w:rsidRPr="00432926" w:rsidRDefault="00192856" w:rsidP="00CB00B1">
      <w:pPr>
        <w:spacing w:line="360" w:lineRule="auto"/>
        <w:jc w:val="both"/>
        <w:rPr>
          <w:rFonts w:cs="Times New Roman"/>
          <w:szCs w:val="24"/>
        </w:rPr>
      </w:pPr>
      <w:r w:rsidRPr="00432926">
        <w:rPr>
          <w:rFonts w:cs="Times New Roman"/>
          <w:szCs w:val="24"/>
        </w:rPr>
        <w:t xml:space="preserve">Keele Cardiovascular Research Group, Centre of Prognosis </w:t>
      </w:r>
    </w:p>
    <w:p w14:paraId="3B42763C" w14:textId="77777777" w:rsidR="00192856" w:rsidRPr="00432926" w:rsidRDefault="00192856" w:rsidP="00CB00B1">
      <w:pPr>
        <w:spacing w:line="360" w:lineRule="auto"/>
        <w:jc w:val="both"/>
        <w:rPr>
          <w:rFonts w:cs="Times New Roman"/>
          <w:szCs w:val="24"/>
        </w:rPr>
      </w:pPr>
      <w:r w:rsidRPr="00432926">
        <w:rPr>
          <w:rFonts w:cs="Times New Roman"/>
          <w:szCs w:val="24"/>
        </w:rPr>
        <w:t xml:space="preserve">School of Primary, Social and Community Care, Keele Univeristy </w:t>
      </w:r>
    </w:p>
    <w:p w14:paraId="28D12FF7" w14:textId="7DD341CE" w:rsidR="00B8383F" w:rsidRPr="00432926" w:rsidRDefault="00BC79D9" w:rsidP="00CB00B1">
      <w:pPr>
        <w:spacing w:line="360" w:lineRule="auto"/>
        <w:jc w:val="both"/>
        <w:rPr>
          <w:rFonts w:cs="Times New Roman"/>
          <w:szCs w:val="24"/>
        </w:rPr>
      </w:pPr>
      <w:r w:rsidRPr="00432926">
        <w:rPr>
          <w:rFonts w:cs="Times New Roman"/>
          <w:szCs w:val="24"/>
        </w:rPr>
        <w:t>Stoke-on-Trent, UK, e</w:t>
      </w:r>
      <w:r w:rsidR="00192856" w:rsidRPr="00432926">
        <w:rPr>
          <w:rFonts w:cs="Times New Roman"/>
          <w:szCs w:val="24"/>
        </w:rPr>
        <w:t xml:space="preserve">mail: </w:t>
      </w:r>
      <w:hyperlink r:id="rId11" w:history="1">
        <w:r w:rsidR="00192856" w:rsidRPr="00432926">
          <w:rPr>
            <w:rStyle w:val="Hyperlink"/>
            <w:rFonts w:cs="Times New Roman"/>
            <w:szCs w:val="24"/>
          </w:rPr>
          <w:t>m.rashid@keele.ac.uk</w:t>
        </w:r>
      </w:hyperlink>
    </w:p>
    <w:p w14:paraId="32F84CBD" w14:textId="28F1D3EA" w:rsidR="001F5852" w:rsidRPr="00432926" w:rsidRDefault="001F5852" w:rsidP="00CB00B1">
      <w:pPr>
        <w:spacing w:line="360" w:lineRule="auto"/>
        <w:jc w:val="both"/>
        <w:rPr>
          <w:rFonts w:cs="Times New Roman"/>
          <w:b/>
        </w:rPr>
      </w:pPr>
      <w:r w:rsidRPr="00432926">
        <w:rPr>
          <w:rFonts w:cs="Times New Roman"/>
          <w:b/>
        </w:rPr>
        <w:t>Conflict of interest</w:t>
      </w:r>
    </w:p>
    <w:p w14:paraId="2B7E3D19" w14:textId="6BE965D6" w:rsidR="00192856" w:rsidRPr="00432926" w:rsidRDefault="001F5852" w:rsidP="00CB00B1">
      <w:pPr>
        <w:spacing w:line="360" w:lineRule="auto"/>
        <w:jc w:val="both"/>
        <w:rPr>
          <w:rFonts w:cs="Times New Roman"/>
        </w:rPr>
      </w:pPr>
      <w:r w:rsidRPr="00432926">
        <w:rPr>
          <w:rFonts w:cs="Times New Roman"/>
        </w:rPr>
        <w:lastRenderedPageBreak/>
        <w:t xml:space="preserve">All authors confirm no potential conflict relevant to this manuscript. </w:t>
      </w:r>
    </w:p>
    <w:p w14:paraId="00E5494C" w14:textId="49176EFC" w:rsidR="00192856" w:rsidRPr="00432926" w:rsidRDefault="00192856" w:rsidP="00CB00B1">
      <w:pPr>
        <w:spacing w:line="360" w:lineRule="auto"/>
        <w:jc w:val="both"/>
        <w:rPr>
          <w:rFonts w:cs="Times New Roman"/>
          <w:szCs w:val="24"/>
        </w:rPr>
      </w:pPr>
      <w:r w:rsidRPr="00432926">
        <w:rPr>
          <w:rFonts w:cs="Times New Roman"/>
          <w:b/>
          <w:szCs w:val="24"/>
        </w:rPr>
        <w:t xml:space="preserve">Keywords: </w:t>
      </w:r>
      <w:r w:rsidRPr="00432926">
        <w:rPr>
          <w:rFonts w:cs="Times New Roman"/>
          <w:szCs w:val="24"/>
        </w:rPr>
        <w:t xml:space="preserve">Black, Asian, Minority Ethnicity, Incidence, COVID-19, acute myocardial infarction, mortality </w:t>
      </w:r>
    </w:p>
    <w:p w14:paraId="23098C45" w14:textId="3BC1D18B" w:rsidR="00612E7E" w:rsidRPr="00432926" w:rsidRDefault="00612E7E" w:rsidP="00CB00B1">
      <w:pPr>
        <w:spacing w:line="360" w:lineRule="auto"/>
        <w:jc w:val="both"/>
        <w:rPr>
          <w:rFonts w:cs="Times New Roman"/>
          <w:szCs w:val="24"/>
        </w:rPr>
      </w:pPr>
      <w:r w:rsidRPr="00432926">
        <w:rPr>
          <w:rFonts w:cs="Times New Roman"/>
          <w:b/>
          <w:szCs w:val="24"/>
        </w:rPr>
        <w:t>Word count:</w:t>
      </w:r>
      <w:r w:rsidR="009E1261" w:rsidRPr="00432926">
        <w:rPr>
          <w:rFonts w:cs="Times New Roman"/>
          <w:szCs w:val="24"/>
        </w:rPr>
        <w:t xml:space="preserve"> 2995 (excluding</w:t>
      </w:r>
      <w:r w:rsidR="00C9167F" w:rsidRPr="00432926">
        <w:rPr>
          <w:rFonts w:cs="Times New Roman"/>
          <w:szCs w:val="24"/>
        </w:rPr>
        <w:t xml:space="preserve"> references, figures and tables)</w:t>
      </w:r>
    </w:p>
    <w:p w14:paraId="7739A18D" w14:textId="77777777" w:rsidR="00192856" w:rsidRPr="00432926" w:rsidRDefault="00192856" w:rsidP="00CB00B1">
      <w:pPr>
        <w:spacing w:line="360" w:lineRule="auto"/>
        <w:jc w:val="both"/>
        <w:rPr>
          <w:rFonts w:cs="Times New Roman"/>
          <w:b/>
          <w:szCs w:val="24"/>
        </w:rPr>
      </w:pPr>
      <w:r w:rsidRPr="00432926">
        <w:rPr>
          <w:rFonts w:cs="Times New Roman"/>
          <w:b/>
          <w:szCs w:val="24"/>
        </w:rPr>
        <w:t xml:space="preserve">Abbreviations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461"/>
      </w:tblGrid>
      <w:tr w:rsidR="00192856" w:rsidRPr="00432926" w14:paraId="4CE0E2DC" w14:textId="77777777" w:rsidTr="00FB62C4">
        <w:tc>
          <w:tcPr>
            <w:tcW w:w="1555" w:type="dxa"/>
          </w:tcPr>
          <w:p w14:paraId="78F7A039" w14:textId="77777777" w:rsidR="00192856" w:rsidRPr="00432926" w:rsidRDefault="00192856" w:rsidP="00CB00B1">
            <w:pPr>
              <w:spacing w:line="360" w:lineRule="auto"/>
              <w:jc w:val="both"/>
              <w:rPr>
                <w:rFonts w:cs="Times New Roman"/>
                <w:szCs w:val="24"/>
              </w:rPr>
            </w:pPr>
            <w:r w:rsidRPr="00432926">
              <w:rPr>
                <w:rFonts w:cs="Times New Roman"/>
                <w:szCs w:val="24"/>
              </w:rPr>
              <w:t>AMI</w:t>
            </w:r>
          </w:p>
        </w:tc>
        <w:tc>
          <w:tcPr>
            <w:tcW w:w="7461" w:type="dxa"/>
          </w:tcPr>
          <w:p w14:paraId="4ECA95C7" w14:textId="77777777" w:rsidR="00192856" w:rsidRPr="00432926" w:rsidRDefault="00192856" w:rsidP="00CB00B1">
            <w:pPr>
              <w:spacing w:line="360" w:lineRule="auto"/>
              <w:jc w:val="both"/>
              <w:rPr>
                <w:rFonts w:cs="Times New Roman"/>
                <w:szCs w:val="24"/>
              </w:rPr>
            </w:pPr>
            <w:r w:rsidRPr="00432926">
              <w:rPr>
                <w:rFonts w:cs="Times New Roman"/>
                <w:szCs w:val="24"/>
              </w:rPr>
              <w:t xml:space="preserve">Acute myocardial infarction </w:t>
            </w:r>
          </w:p>
        </w:tc>
      </w:tr>
      <w:tr w:rsidR="00192856" w:rsidRPr="00432926" w14:paraId="5E4CA811" w14:textId="77777777" w:rsidTr="00FB62C4">
        <w:tc>
          <w:tcPr>
            <w:tcW w:w="1555" w:type="dxa"/>
          </w:tcPr>
          <w:p w14:paraId="6A6BFD84" w14:textId="5EC7B9B2" w:rsidR="00192856" w:rsidRPr="00432926" w:rsidRDefault="00192856" w:rsidP="00CB00B1">
            <w:pPr>
              <w:spacing w:line="360" w:lineRule="auto"/>
              <w:jc w:val="both"/>
              <w:rPr>
                <w:rFonts w:cs="Times New Roman"/>
                <w:szCs w:val="24"/>
              </w:rPr>
            </w:pPr>
            <w:r w:rsidRPr="00432926">
              <w:rPr>
                <w:rFonts w:cs="Times New Roman"/>
                <w:szCs w:val="24"/>
              </w:rPr>
              <w:t>BAME</w:t>
            </w:r>
          </w:p>
        </w:tc>
        <w:tc>
          <w:tcPr>
            <w:tcW w:w="7461" w:type="dxa"/>
          </w:tcPr>
          <w:p w14:paraId="4BE9AADC" w14:textId="1F3D0A5B" w:rsidR="00192856" w:rsidRPr="00432926" w:rsidRDefault="00192856" w:rsidP="00CB00B1">
            <w:pPr>
              <w:spacing w:line="360" w:lineRule="auto"/>
              <w:jc w:val="both"/>
              <w:rPr>
                <w:rFonts w:cs="Times New Roman"/>
                <w:szCs w:val="24"/>
              </w:rPr>
            </w:pPr>
            <w:r w:rsidRPr="00432926">
              <w:rPr>
                <w:rFonts w:cs="Times New Roman"/>
                <w:szCs w:val="24"/>
              </w:rPr>
              <w:t>Black</w:t>
            </w:r>
            <w:r w:rsidR="00B5643D" w:rsidRPr="00432926">
              <w:rPr>
                <w:rFonts w:cs="Times New Roman"/>
                <w:szCs w:val="24"/>
              </w:rPr>
              <w:t>, Asian and Minority Ethnic</w:t>
            </w:r>
            <w:r w:rsidRPr="00432926">
              <w:rPr>
                <w:rFonts w:cs="Times New Roman"/>
                <w:szCs w:val="24"/>
              </w:rPr>
              <w:t xml:space="preserve"> </w:t>
            </w:r>
          </w:p>
        </w:tc>
      </w:tr>
      <w:tr w:rsidR="00192856" w:rsidRPr="00432926" w14:paraId="6C9E5D5B" w14:textId="77777777" w:rsidTr="00FB62C4">
        <w:tc>
          <w:tcPr>
            <w:tcW w:w="1555" w:type="dxa"/>
          </w:tcPr>
          <w:p w14:paraId="3DD86E77" w14:textId="77777777" w:rsidR="00192856" w:rsidRPr="00432926" w:rsidRDefault="00192856" w:rsidP="00CB00B1">
            <w:pPr>
              <w:spacing w:line="360" w:lineRule="auto"/>
              <w:jc w:val="both"/>
              <w:rPr>
                <w:rFonts w:cs="Times New Roman"/>
                <w:szCs w:val="24"/>
              </w:rPr>
            </w:pPr>
            <w:r w:rsidRPr="00432926">
              <w:rPr>
                <w:rFonts w:cs="Times New Roman"/>
                <w:szCs w:val="24"/>
              </w:rPr>
              <w:t>COVID-19</w:t>
            </w:r>
          </w:p>
        </w:tc>
        <w:tc>
          <w:tcPr>
            <w:tcW w:w="7461" w:type="dxa"/>
          </w:tcPr>
          <w:p w14:paraId="3312A05A" w14:textId="77777777" w:rsidR="00192856" w:rsidRPr="00432926" w:rsidRDefault="00192856" w:rsidP="00CB00B1">
            <w:pPr>
              <w:spacing w:line="360" w:lineRule="auto"/>
              <w:jc w:val="both"/>
              <w:rPr>
                <w:rFonts w:cs="Times New Roman"/>
                <w:szCs w:val="24"/>
              </w:rPr>
            </w:pPr>
            <w:r w:rsidRPr="00432926">
              <w:rPr>
                <w:rFonts w:cs="Times New Roman"/>
                <w:szCs w:val="24"/>
              </w:rPr>
              <w:t>Corona virus disease 2019</w:t>
            </w:r>
          </w:p>
        </w:tc>
      </w:tr>
      <w:tr w:rsidR="00C41A8A" w:rsidRPr="00432926" w14:paraId="0AD8A100" w14:textId="77777777" w:rsidTr="00FB62C4">
        <w:tc>
          <w:tcPr>
            <w:tcW w:w="1555" w:type="dxa"/>
          </w:tcPr>
          <w:p w14:paraId="023C6022" w14:textId="4BBE6EF1" w:rsidR="00C41A8A" w:rsidRPr="00432926" w:rsidRDefault="00C41A8A" w:rsidP="00CB00B1">
            <w:pPr>
              <w:spacing w:line="360" w:lineRule="auto"/>
              <w:jc w:val="both"/>
              <w:rPr>
                <w:rFonts w:cs="Times New Roman"/>
                <w:szCs w:val="24"/>
              </w:rPr>
            </w:pPr>
            <w:r w:rsidRPr="00432926">
              <w:rPr>
                <w:rFonts w:cs="Times New Roman"/>
                <w:szCs w:val="24"/>
              </w:rPr>
              <w:t>COPI</w:t>
            </w:r>
          </w:p>
        </w:tc>
        <w:tc>
          <w:tcPr>
            <w:tcW w:w="7461" w:type="dxa"/>
          </w:tcPr>
          <w:p w14:paraId="6140B7D0" w14:textId="33A53FD6" w:rsidR="00C41A8A" w:rsidRPr="00432926" w:rsidRDefault="00C41A8A" w:rsidP="00CB00B1">
            <w:pPr>
              <w:spacing w:line="360" w:lineRule="auto"/>
              <w:jc w:val="both"/>
              <w:rPr>
                <w:rFonts w:cs="Times New Roman"/>
                <w:szCs w:val="24"/>
              </w:rPr>
            </w:pPr>
            <w:r w:rsidRPr="00432926">
              <w:t>Control of Patient Information Regulations</w:t>
            </w:r>
          </w:p>
        </w:tc>
      </w:tr>
      <w:tr w:rsidR="00192856" w:rsidRPr="00432926" w14:paraId="0CA80FE4" w14:textId="77777777" w:rsidTr="00FB62C4">
        <w:tc>
          <w:tcPr>
            <w:tcW w:w="1555" w:type="dxa"/>
          </w:tcPr>
          <w:p w14:paraId="127062E6" w14:textId="77777777" w:rsidR="00192856" w:rsidRPr="00432926" w:rsidRDefault="00192856" w:rsidP="00CB00B1">
            <w:pPr>
              <w:spacing w:line="360" w:lineRule="auto"/>
              <w:jc w:val="both"/>
              <w:rPr>
                <w:rFonts w:cs="Times New Roman"/>
                <w:szCs w:val="24"/>
              </w:rPr>
            </w:pPr>
            <w:r w:rsidRPr="00432926">
              <w:rPr>
                <w:rFonts w:cs="Times New Roman"/>
                <w:szCs w:val="24"/>
              </w:rPr>
              <w:t>NICOR</w:t>
            </w:r>
          </w:p>
        </w:tc>
        <w:tc>
          <w:tcPr>
            <w:tcW w:w="7461" w:type="dxa"/>
          </w:tcPr>
          <w:p w14:paraId="7C8EC853" w14:textId="03C317DC" w:rsidR="00192856" w:rsidRPr="00432926" w:rsidRDefault="00192856" w:rsidP="00CB00B1">
            <w:pPr>
              <w:spacing w:line="360" w:lineRule="auto"/>
              <w:jc w:val="both"/>
              <w:rPr>
                <w:rFonts w:cs="Times New Roman"/>
                <w:szCs w:val="24"/>
              </w:rPr>
            </w:pPr>
            <w:r w:rsidRPr="00432926">
              <w:rPr>
                <w:rFonts w:cs="Times New Roman"/>
                <w:szCs w:val="24"/>
              </w:rPr>
              <w:t>National Institute of Cardiovascular Outcome</w:t>
            </w:r>
            <w:r w:rsidR="00B5643D" w:rsidRPr="00432926">
              <w:rPr>
                <w:rFonts w:cs="Times New Roman"/>
                <w:szCs w:val="24"/>
              </w:rPr>
              <w:t>s</w:t>
            </w:r>
            <w:r w:rsidRPr="00432926">
              <w:rPr>
                <w:rFonts w:cs="Times New Roman"/>
                <w:szCs w:val="24"/>
              </w:rPr>
              <w:t xml:space="preserve"> Research </w:t>
            </w:r>
          </w:p>
        </w:tc>
      </w:tr>
      <w:tr w:rsidR="00192856" w:rsidRPr="00432926" w14:paraId="275B3A3F" w14:textId="77777777" w:rsidTr="00FB62C4">
        <w:tc>
          <w:tcPr>
            <w:tcW w:w="1555" w:type="dxa"/>
          </w:tcPr>
          <w:p w14:paraId="26765B7F" w14:textId="77777777" w:rsidR="00192856" w:rsidRPr="00432926" w:rsidRDefault="00192856" w:rsidP="00CB00B1">
            <w:pPr>
              <w:spacing w:line="360" w:lineRule="auto"/>
              <w:jc w:val="both"/>
              <w:rPr>
                <w:rFonts w:cs="Times New Roman"/>
                <w:szCs w:val="24"/>
              </w:rPr>
            </w:pPr>
            <w:r w:rsidRPr="00432926">
              <w:rPr>
                <w:rFonts w:cs="Times New Roman"/>
                <w:szCs w:val="24"/>
              </w:rPr>
              <w:t>NHS</w:t>
            </w:r>
          </w:p>
        </w:tc>
        <w:tc>
          <w:tcPr>
            <w:tcW w:w="7461" w:type="dxa"/>
          </w:tcPr>
          <w:p w14:paraId="25A0DD6C" w14:textId="3D470078" w:rsidR="00192856" w:rsidRPr="00432926" w:rsidRDefault="00B5643D" w:rsidP="00CB00B1">
            <w:pPr>
              <w:spacing w:line="360" w:lineRule="auto"/>
              <w:jc w:val="both"/>
              <w:rPr>
                <w:rFonts w:cs="Times New Roman"/>
                <w:szCs w:val="24"/>
              </w:rPr>
            </w:pPr>
            <w:r w:rsidRPr="00432926">
              <w:rPr>
                <w:rFonts w:cs="Times New Roman"/>
                <w:szCs w:val="24"/>
              </w:rPr>
              <w:t>National Health Service</w:t>
            </w:r>
            <w:r w:rsidR="00192856" w:rsidRPr="00432926">
              <w:rPr>
                <w:rFonts w:cs="Times New Roman"/>
                <w:szCs w:val="24"/>
              </w:rPr>
              <w:t xml:space="preserve"> </w:t>
            </w:r>
          </w:p>
        </w:tc>
      </w:tr>
      <w:tr w:rsidR="00C41A8A" w:rsidRPr="00432926" w14:paraId="1A9A1457" w14:textId="77777777" w:rsidTr="00FB62C4">
        <w:tc>
          <w:tcPr>
            <w:tcW w:w="1555" w:type="dxa"/>
          </w:tcPr>
          <w:p w14:paraId="377FDECF" w14:textId="60B520EB" w:rsidR="00C41A8A" w:rsidRPr="00432926" w:rsidRDefault="00C41A8A" w:rsidP="00CB00B1">
            <w:pPr>
              <w:spacing w:line="360" w:lineRule="auto"/>
              <w:jc w:val="both"/>
              <w:rPr>
                <w:rFonts w:cs="Times New Roman"/>
                <w:szCs w:val="24"/>
              </w:rPr>
            </w:pPr>
            <w:r w:rsidRPr="00432926">
              <w:rPr>
                <w:rFonts w:cs="Times New Roman"/>
                <w:szCs w:val="24"/>
              </w:rPr>
              <w:t>NSTEMI</w:t>
            </w:r>
          </w:p>
        </w:tc>
        <w:tc>
          <w:tcPr>
            <w:tcW w:w="7461" w:type="dxa"/>
          </w:tcPr>
          <w:p w14:paraId="3F938D21" w14:textId="67E0214C" w:rsidR="00C41A8A" w:rsidRPr="00432926" w:rsidRDefault="00C41A8A" w:rsidP="00CB00B1">
            <w:pPr>
              <w:spacing w:line="360" w:lineRule="auto"/>
              <w:jc w:val="both"/>
              <w:rPr>
                <w:rFonts w:cs="Times New Roman"/>
                <w:szCs w:val="24"/>
              </w:rPr>
            </w:pPr>
            <w:r w:rsidRPr="00432926">
              <w:rPr>
                <w:rFonts w:cs="Times New Roman"/>
                <w:szCs w:val="24"/>
              </w:rPr>
              <w:t>Non ST elevation acute myocardial infarction</w:t>
            </w:r>
          </w:p>
        </w:tc>
      </w:tr>
      <w:tr w:rsidR="00C41A8A" w:rsidRPr="00432926" w14:paraId="48E088FA" w14:textId="77777777" w:rsidTr="00FB62C4">
        <w:tc>
          <w:tcPr>
            <w:tcW w:w="1555" w:type="dxa"/>
          </w:tcPr>
          <w:p w14:paraId="7CC4CFFF" w14:textId="6421B1F2" w:rsidR="00C41A8A" w:rsidRPr="00432926" w:rsidRDefault="00C41A8A" w:rsidP="00CB00B1">
            <w:pPr>
              <w:spacing w:line="360" w:lineRule="auto"/>
              <w:jc w:val="both"/>
              <w:rPr>
                <w:rFonts w:cs="Times New Roman"/>
                <w:szCs w:val="24"/>
              </w:rPr>
            </w:pPr>
            <w:r w:rsidRPr="00432926">
              <w:rPr>
                <w:rFonts w:cs="Times New Roman"/>
                <w:szCs w:val="24"/>
              </w:rPr>
              <w:t>STEMI</w:t>
            </w:r>
          </w:p>
        </w:tc>
        <w:tc>
          <w:tcPr>
            <w:tcW w:w="7461" w:type="dxa"/>
          </w:tcPr>
          <w:p w14:paraId="256C5AB5" w14:textId="61FEC8BD" w:rsidR="00C41A8A" w:rsidRPr="00432926" w:rsidRDefault="00C41A8A" w:rsidP="00CB00B1">
            <w:pPr>
              <w:spacing w:line="360" w:lineRule="auto"/>
              <w:jc w:val="both"/>
              <w:rPr>
                <w:rFonts w:cs="Times New Roman"/>
                <w:szCs w:val="24"/>
              </w:rPr>
            </w:pPr>
            <w:r w:rsidRPr="00432926">
              <w:rPr>
                <w:rFonts w:cs="Times New Roman"/>
                <w:szCs w:val="24"/>
              </w:rPr>
              <w:t>ST elevation acute myocardial infarction</w:t>
            </w:r>
          </w:p>
        </w:tc>
      </w:tr>
      <w:tr w:rsidR="00192856" w:rsidRPr="00432926" w14:paraId="63F20D91" w14:textId="77777777" w:rsidTr="00FB62C4">
        <w:tc>
          <w:tcPr>
            <w:tcW w:w="1555" w:type="dxa"/>
          </w:tcPr>
          <w:p w14:paraId="71D65DB2" w14:textId="77777777" w:rsidR="00192856" w:rsidRPr="00432926" w:rsidRDefault="00192856" w:rsidP="00CB00B1">
            <w:pPr>
              <w:spacing w:line="360" w:lineRule="auto"/>
              <w:jc w:val="both"/>
              <w:rPr>
                <w:rFonts w:cs="Times New Roman"/>
                <w:szCs w:val="24"/>
              </w:rPr>
            </w:pPr>
            <w:r w:rsidRPr="00432926">
              <w:rPr>
                <w:rFonts w:cs="Times New Roman"/>
                <w:szCs w:val="24"/>
              </w:rPr>
              <w:t xml:space="preserve">MINAP </w:t>
            </w:r>
          </w:p>
        </w:tc>
        <w:tc>
          <w:tcPr>
            <w:tcW w:w="7461" w:type="dxa"/>
          </w:tcPr>
          <w:p w14:paraId="47D57B90" w14:textId="77777777" w:rsidR="00192856" w:rsidRPr="00432926" w:rsidRDefault="00192856" w:rsidP="00CB00B1">
            <w:pPr>
              <w:spacing w:line="360" w:lineRule="auto"/>
              <w:jc w:val="both"/>
              <w:rPr>
                <w:rFonts w:cs="Times New Roman"/>
                <w:szCs w:val="24"/>
              </w:rPr>
            </w:pPr>
            <w:r w:rsidRPr="00432926">
              <w:rPr>
                <w:rFonts w:cs="Times New Roman"/>
                <w:szCs w:val="24"/>
              </w:rPr>
              <w:t xml:space="preserve">Myocardial Ischaemia National Audit Project </w:t>
            </w:r>
          </w:p>
        </w:tc>
      </w:tr>
      <w:tr w:rsidR="00192856" w:rsidRPr="00432926" w14:paraId="1DD21B30" w14:textId="77777777" w:rsidTr="00FB62C4">
        <w:tc>
          <w:tcPr>
            <w:tcW w:w="1555" w:type="dxa"/>
          </w:tcPr>
          <w:p w14:paraId="57FF4DBD" w14:textId="77777777" w:rsidR="00192856" w:rsidRPr="00432926" w:rsidRDefault="00192856" w:rsidP="00CB00B1">
            <w:pPr>
              <w:spacing w:line="360" w:lineRule="auto"/>
              <w:jc w:val="both"/>
              <w:rPr>
                <w:rFonts w:cs="Times New Roman"/>
                <w:szCs w:val="24"/>
              </w:rPr>
            </w:pPr>
            <w:r w:rsidRPr="00432926">
              <w:rPr>
                <w:rFonts w:cs="Times New Roman"/>
                <w:szCs w:val="24"/>
              </w:rPr>
              <w:t xml:space="preserve">BCIS </w:t>
            </w:r>
          </w:p>
        </w:tc>
        <w:tc>
          <w:tcPr>
            <w:tcW w:w="7461" w:type="dxa"/>
          </w:tcPr>
          <w:p w14:paraId="7856323C" w14:textId="77777777" w:rsidR="00192856" w:rsidRPr="00432926" w:rsidRDefault="00192856" w:rsidP="00CB00B1">
            <w:pPr>
              <w:spacing w:line="360" w:lineRule="auto"/>
              <w:jc w:val="both"/>
              <w:rPr>
                <w:rFonts w:cs="Times New Roman"/>
                <w:szCs w:val="24"/>
              </w:rPr>
            </w:pPr>
            <w:r w:rsidRPr="00432926">
              <w:rPr>
                <w:rFonts w:cs="Times New Roman"/>
                <w:szCs w:val="24"/>
              </w:rPr>
              <w:t xml:space="preserve">British Cardiovascular Intervention Society </w:t>
            </w:r>
          </w:p>
        </w:tc>
      </w:tr>
      <w:tr w:rsidR="00192856" w:rsidRPr="00432926" w14:paraId="5E8E70ED" w14:textId="77777777" w:rsidTr="00FB62C4">
        <w:tc>
          <w:tcPr>
            <w:tcW w:w="1555" w:type="dxa"/>
          </w:tcPr>
          <w:p w14:paraId="2069CFCA" w14:textId="77777777" w:rsidR="00192856" w:rsidRPr="00432926" w:rsidRDefault="00192856" w:rsidP="00CB00B1">
            <w:pPr>
              <w:spacing w:line="360" w:lineRule="auto"/>
              <w:jc w:val="both"/>
              <w:rPr>
                <w:rFonts w:cs="Times New Roman"/>
                <w:szCs w:val="24"/>
              </w:rPr>
            </w:pPr>
            <w:r w:rsidRPr="00432926">
              <w:rPr>
                <w:rFonts w:cs="Times New Roman"/>
                <w:szCs w:val="24"/>
              </w:rPr>
              <w:t xml:space="preserve">PCI </w:t>
            </w:r>
          </w:p>
        </w:tc>
        <w:tc>
          <w:tcPr>
            <w:tcW w:w="7461" w:type="dxa"/>
          </w:tcPr>
          <w:p w14:paraId="16553993" w14:textId="58CC61D2" w:rsidR="00192856" w:rsidRPr="00432926" w:rsidRDefault="00192856" w:rsidP="00CB00B1">
            <w:pPr>
              <w:spacing w:line="360" w:lineRule="auto"/>
              <w:jc w:val="both"/>
              <w:rPr>
                <w:rFonts w:cs="Times New Roman"/>
                <w:szCs w:val="24"/>
              </w:rPr>
            </w:pPr>
            <w:r w:rsidRPr="00432926">
              <w:rPr>
                <w:rFonts w:cs="Times New Roman"/>
                <w:szCs w:val="24"/>
              </w:rPr>
              <w:t xml:space="preserve">Percutaneous coronary intervention </w:t>
            </w:r>
          </w:p>
        </w:tc>
      </w:tr>
      <w:tr w:rsidR="00C41A8A" w:rsidRPr="00432926" w14:paraId="4C502DB4" w14:textId="77777777" w:rsidTr="00FB62C4">
        <w:tc>
          <w:tcPr>
            <w:tcW w:w="1555" w:type="dxa"/>
          </w:tcPr>
          <w:p w14:paraId="730046A6" w14:textId="143080E6" w:rsidR="00C41A8A" w:rsidRPr="00432926" w:rsidRDefault="00C41A8A" w:rsidP="00CB00B1">
            <w:pPr>
              <w:spacing w:line="360" w:lineRule="auto"/>
              <w:jc w:val="both"/>
              <w:rPr>
                <w:rFonts w:cs="Times New Roman"/>
                <w:szCs w:val="24"/>
              </w:rPr>
            </w:pPr>
            <w:r w:rsidRPr="00432926">
              <w:rPr>
                <w:rFonts w:cs="Times New Roman"/>
                <w:szCs w:val="24"/>
              </w:rPr>
              <w:t>UK</w:t>
            </w:r>
          </w:p>
        </w:tc>
        <w:tc>
          <w:tcPr>
            <w:tcW w:w="7461" w:type="dxa"/>
          </w:tcPr>
          <w:p w14:paraId="6CA335B4" w14:textId="3A767C21" w:rsidR="00C41A8A" w:rsidRPr="00432926" w:rsidRDefault="00C41A8A" w:rsidP="00CB00B1">
            <w:pPr>
              <w:spacing w:line="360" w:lineRule="auto"/>
              <w:jc w:val="both"/>
              <w:rPr>
                <w:rFonts w:cs="Times New Roman"/>
                <w:szCs w:val="24"/>
              </w:rPr>
            </w:pPr>
            <w:r w:rsidRPr="00432926">
              <w:rPr>
                <w:rFonts w:cs="Times New Roman"/>
                <w:szCs w:val="24"/>
              </w:rPr>
              <w:t>United Kingdom</w:t>
            </w:r>
          </w:p>
        </w:tc>
      </w:tr>
      <w:tr w:rsidR="00C41A8A" w:rsidRPr="00432926" w14:paraId="79C7413D" w14:textId="77777777" w:rsidTr="00FB62C4">
        <w:tc>
          <w:tcPr>
            <w:tcW w:w="1555" w:type="dxa"/>
          </w:tcPr>
          <w:p w14:paraId="6C5F1C82" w14:textId="746B2D41" w:rsidR="00C41A8A" w:rsidRPr="00432926" w:rsidRDefault="00C41A8A" w:rsidP="00CB00B1">
            <w:pPr>
              <w:spacing w:line="360" w:lineRule="auto"/>
              <w:jc w:val="both"/>
              <w:rPr>
                <w:rFonts w:cs="Times New Roman"/>
                <w:szCs w:val="24"/>
              </w:rPr>
            </w:pPr>
            <w:r w:rsidRPr="00432926">
              <w:rPr>
                <w:rFonts w:cs="Times New Roman"/>
                <w:szCs w:val="24"/>
              </w:rPr>
              <w:t>US</w:t>
            </w:r>
          </w:p>
        </w:tc>
        <w:tc>
          <w:tcPr>
            <w:tcW w:w="7461" w:type="dxa"/>
          </w:tcPr>
          <w:p w14:paraId="17D5A27D" w14:textId="696CFA59" w:rsidR="00C41A8A" w:rsidRPr="00432926" w:rsidRDefault="00C41A8A" w:rsidP="00CB00B1">
            <w:pPr>
              <w:spacing w:line="360" w:lineRule="auto"/>
              <w:jc w:val="both"/>
              <w:rPr>
                <w:rFonts w:cs="Times New Roman"/>
                <w:szCs w:val="24"/>
              </w:rPr>
            </w:pPr>
            <w:r w:rsidRPr="00432926">
              <w:rPr>
                <w:rFonts w:cs="Times New Roman"/>
                <w:szCs w:val="24"/>
              </w:rPr>
              <w:t>United States</w:t>
            </w:r>
          </w:p>
        </w:tc>
      </w:tr>
      <w:tr w:rsidR="00C41A8A" w:rsidRPr="00432926" w14:paraId="265BA1F7" w14:textId="77777777" w:rsidTr="00FB62C4">
        <w:tc>
          <w:tcPr>
            <w:tcW w:w="1555" w:type="dxa"/>
          </w:tcPr>
          <w:p w14:paraId="0920A036" w14:textId="42670C8B" w:rsidR="00C41A8A" w:rsidRPr="00432926" w:rsidRDefault="00C41A8A" w:rsidP="00CB00B1">
            <w:pPr>
              <w:spacing w:line="360" w:lineRule="auto"/>
              <w:jc w:val="both"/>
              <w:rPr>
                <w:rFonts w:cs="Times New Roman"/>
                <w:szCs w:val="24"/>
              </w:rPr>
            </w:pPr>
            <w:r w:rsidRPr="00432926">
              <w:rPr>
                <w:rFonts w:cs="Times New Roman"/>
                <w:szCs w:val="24"/>
              </w:rPr>
              <w:t>ID</w:t>
            </w:r>
          </w:p>
        </w:tc>
        <w:tc>
          <w:tcPr>
            <w:tcW w:w="7461" w:type="dxa"/>
          </w:tcPr>
          <w:p w14:paraId="43AEDCDB" w14:textId="63994086" w:rsidR="00C41A8A" w:rsidRPr="00432926" w:rsidRDefault="00C41A8A" w:rsidP="00CB00B1">
            <w:pPr>
              <w:spacing w:line="360" w:lineRule="auto"/>
              <w:jc w:val="both"/>
              <w:rPr>
                <w:rFonts w:cs="Times New Roman"/>
                <w:szCs w:val="24"/>
              </w:rPr>
            </w:pPr>
            <w:r w:rsidRPr="00432926">
              <w:rPr>
                <w:rFonts w:cs="Times New Roman"/>
                <w:szCs w:val="24"/>
              </w:rPr>
              <w:t xml:space="preserve">Identification </w:t>
            </w:r>
          </w:p>
        </w:tc>
      </w:tr>
      <w:tr w:rsidR="00C41A8A" w:rsidRPr="00432926" w14:paraId="13301F55" w14:textId="77777777" w:rsidTr="00FB62C4">
        <w:tc>
          <w:tcPr>
            <w:tcW w:w="1555" w:type="dxa"/>
          </w:tcPr>
          <w:p w14:paraId="5ACB39C3" w14:textId="15950D31" w:rsidR="00C41A8A" w:rsidRPr="00432926" w:rsidRDefault="00C41A8A" w:rsidP="00CB00B1">
            <w:pPr>
              <w:spacing w:line="360" w:lineRule="auto"/>
              <w:jc w:val="both"/>
              <w:rPr>
                <w:rFonts w:cs="Times New Roman"/>
                <w:szCs w:val="24"/>
              </w:rPr>
            </w:pPr>
            <w:r w:rsidRPr="00432926">
              <w:rPr>
                <w:rFonts w:cs="Times New Roman"/>
                <w:szCs w:val="24"/>
              </w:rPr>
              <w:t>OR</w:t>
            </w:r>
          </w:p>
        </w:tc>
        <w:tc>
          <w:tcPr>
            <w:tcW w:w="7461" w:type="dxa"/>
          </w:tcPr>
          <w:p w14:paraId="4173D145" w14:textId="17890A75" w:rsidR="00C41A8A" w:rsidRPr="00432926" w:rsidRDefault="00C41A8A" w:rsidP="00CB00B1">
            <w:pPr>
              <w:spacing w:line="360" w:lineRule="auto"/>
              <w:jc w:val="both"/>
              <w:rPr>
                <w:rFonts w:cs="Times New Roman"/>
                <w:szCs w:val="24"/>
              </w:rPr>
            </w:pPr>
            <w:r w:rsidRPr="00432926">
              <w:rPr>
                <w:rFonts w:cs="Times New Roman"/>
                <w:szCs w:val="24"/>
              </w:rPr>
              <w:t>Odds ratios</w:t>
            </w:r>
          </w:p>
        </w:tc>
      </w:tr>
      <w:tr w:rsidR="00C41A8A" w:rsidRPr="00432926" w14:paraId="1FDB6DD5" w14:textId="77777777" w:rsidTr="00FB62C4">
        <w:tc>
          <w:tcPr>
            <w:tcW w:w="1555" w:type="dxa"/>
          </w:tcPr>
          <w:p w14:paraId="78F74D7B" w14:textId="73A079A2" w:rsidR="00C41A8A" w:rsidRPr="00432926" w:rsidRDefault="00C41A8A" w:rsidP="00CB00B1">
            <w:pPr>
              <w:spacing w:line="360" w:lineRule="auto"/>
              <w:jc w:val="both"/>
              <w:rPr>
                <w:rFonts w:cs="Times New Roman"/>
                <w:szCs w:val="24"/>
              </w:rPr>
            </w:pPr>
            <w:r w:rsidRPr="00432926">
              <w:rPr>
                <w:rFonts w:cs="Times New Roman"/>
                <w:szCs w:val="24"/>
              </w:rPr>
              <w:t>IRR</w:t>
            </w:r>
          </w:p>
        </w:tc>
        <w:tc>
          <w:tcPr>
            <w:tcW w:w="7461" w:type="dxa"/>
          </w:tcPr>
          <w:p w14:paraId="4264609E" w14:textId="44DDFE80" w:rsidR="00C41A8A" w:rsidRPr="00432926" w:rsidRDefault="00C41A8A" w:rsidP="00CB00B1">
            <w:pPr>
              <w:spacing w:line="360" w:lineRule="auto"/>
              <w:jc w:val="both"/>
              <w:rPr>
                <w:rFonts w:cs="Times New Roman"/>
                <w:szCs w:val="24"/>
              </w:rPr>
            </w:pPr>
            <w:r w:rsidRPr="00432926">
              <w:rPr>
                <w:rFonts w:cs="Times New Roman"/>
                <w:szCs w:val="24"/>
              </w:rPr>
              <w:t>Incidence rate ratio</w:t>
            </w:r>
          </w:p>
        </w:tc>
      </w:tr>
      <w:tr w:rsidR="00C41A8A" w:rsidRPr="00432926" w14:paraId="2CD9D30F" w14:textId="77777777" w:rsidTr="00FB62C4">
        <w:tc>
          <w:tcPr>
            <w:tcW w:w="1555" w:type="dxa"/>
          </w:tcPr>
          <w:p w14:paraId="6485DF1E" w14:textId="02A83525" w:rsidR="00C41A8A" w:rsidRPr="00432926" w:rsidRDefault="00C41A8A" w:rsidP="00CB00B1">
            <w:pPr>
              <w:spacing w:line="360" w:lineRule="auto"/>
              <w:jc w:val="both"/>
              <w:rPr>
                <w:rFonts w:cs="Times New Roman"/>
                <w:szCs w:val="24"/>
              </w:rPr>
            </w:pPr>
          </w:p>
        </w:tc>
        <w:tc>
          <w:tcPr>
            <w:tcW w:w="7461" w:type="dxa"/>
          </w:tcPr>
          <w:p w14:paraId="7ECD80F9" w14:textId="77777777" w:rsidR="00C41A8A" w:rsidRPr="00432926" w:rsidRDefault="00C41A8A" w:rsidP="00CB00B1">
            <w:pPr>
              <w:spacing w:line="360" w:lineRule="auto"/>
              <w:jc w:val="both"/>
              <w:rPr>
                <w:rFonts w:cs="Times New Roman"/>
                <w:szCs w:val="24"/>
              </w:rPr>
            </w:pPr>
          </w:p>
        </w:tc>
      </w:tr>
    </w:tbl>
    <w:p w14:paraId="28C04ECC" w14:textId="139DB949" w:rsidR="00F517C1" w:rsidRPr="00432926" w:rsidRDefault="00F517C1" w:rsidP="00CB00B1">
      <w:pPr>
        <w:spacing w:line="360" w:lineRule="auto"/>
        <w:rPr>
          <w:bCs/>
        </w:rPr>
      </w:pPr>
      <w:r w:rsidRPr="00432926">
        <w:rPr>
          <w:bCs/>
        </w:rPr>
        <w:br w:type="page"/>
      </w:r>
    </w:p>
    <w:p w14:paraId="35C4FF77" w14:textId="62112D38" w:rsidR="006C676C" w:rsidRPr="00432926" w:rsidRDefault="006C676C" w:rsidP="00CB00B1">
      <w:pPr>
        <w:spacing w:line="360" w:lineRule="auto"/>
        <w:jc w:val="both"/>
        <w:rPr>
          <w:b/>
        </w:rPr>
      </w:pPr>
      <w:r w:rsidRPr="00432926">
        <w:rPr>
          <w:b/>
        </w:rPr>
        <w:lastRenderedPageBreak/>
        <w:t xml:space="preserve">Abstract: </w:t>
      </w:r>
    </w:p>
    <w:p w14:paraId="4800ADD0" w14:textId="06CD74E1" w:rsidR="006C676C" w:rsidRPr="00432926" w:rsidRDefault="00726AD9" w:rsidP="00CB00B1">
      <w:pPr>
        <w:spacing w:line="360" w:lineRule="auto"/>
        <w:jc w:val="both"/>
      </w:pPr>
      <w:r w:rsidRPr="00432926">
        <w:rPr>
          <w:b/>
        </w:rPr>
        <w:t>Objective</w:t>
      </w:r>
      <w:r w:rsidR="006C676C" w:rsidRPr="00432926">
        <w:t xml:space="preserve">: </w:t>
      </w:r>
      <w:r w:rsidR="008D3C77" w:rsidRPr="00432926">
        <w:t>There are concerns that health care and</w:t>
      </w:r>
      <w:r w:rsidR="00331904" w:rsidRPr="00432926">
        <w:t xml:space="preserve"> outcomes of BAME communities are</w:t>
      </w:r>
      <w:r w:rsidR="008D3C77" w:rsidRPr="00432926">
        <w:t xml:space="preserve"> disproportionately impacted by the COVID19 pandemic. </w:t>
      </w:r>
      <w:r w:rsidR="00132210" w:rsidRPr="00432926">
        <w:t>We investigated</w:t>
      </w:r>
      <w:r w:rsidR="00BE3EB0" w:rsidRPr="00432926">
        <w:t xml:space="preserve"> </w:t>
      </w:r>
      <w:r w:rsidR="00A72232" w:rsidRPr="00432926">
        <w:t xml:space="preserve">admission rates, </w:t>
      </w:r>
      <w:r w:rsidR="005B1C77" w:rsidRPr="00432926">
        <w:t>treatment and</w:t>
      </w:r>
      <w:r w:rsidR="00BE3EB0" w:rsidRPr="00432926">
        <w:t xml:space="preserve"> </w:t>
      </w:r>
      <w:r w:rsidR="00DA0413" w:rsidRPr="00432926">
        <w:t xml:space="preserve">mortality </w:t>
      </w:r>
      <w:r w:rsidR="00BE3EB0" w:rsidRPr="00432926">
        <w:t>of</w:t>
      </w:r>
      <w:r w:rsidR="006C676C" w:rsidRPr="00432926">
        <w:t xml:space="preserve"> </w:t>
      </w:r>
      <w:r w:rsidR="00797345" w:rsidRPr="00432926">
        <w:t>Black, Asian and Minority Ethnic (BAME)</w:t>
      </w:r>
      <w:r w:rsidR="006C676C" w:rsidRPr="00432926">
        <w:t xml:space="preserve"> with ac</w:t>
      </w:r>
      <w:r w:rsidR="00BE3EB0" w:rsidRPr="00432926">
        <w:t xml:space="preserve">ute myocardial infarction (AMI) during COVID19. </w:t>
      </w:r>
    </w:p>
    <w:p w14:paraId="53B8984F" w14:textId="6C48BCDE" w:rsidR="006D2027" w:rsidRPr="00432926" w:rsidRDefault="006D2027" w:rsidP="00CB00B1">
      <w:pPr>
        <w:spacing w:line="360" w:lineRule="auto"/>
        <w:jc w:val="both"/>
      </w:pPr>
      <w:r w:rsidRPr="00432926">
        <w:rPr>
          <w:b/>
        </w:rPr>
        <w:t>Methods</w:t>
      </w:r>
      <w:r w:rsidR="008D3C77" w:rsidRPr="00432926">
        <w:rPr>
          <w:b/>
        </w:rPr>
        <w:t>:</w:t>
      </w:r>
      <w:r w:rsidR="008D3C77" w:rsidRPr="00432926">
        <w:t xml:space="preserve"> </w:t>
      </w:r>
      <w:r w:rsidRPr="00432926">
        <w:t xml:space="preserve"> </w:t>
      </w:r>
      <w:r w:rsidR="00331904" w:rsidRPr="00432926">
        <w:t>Using</w:t>
      </w:r>
      <w:r w:rsidR="00EA7C85" w:rsidRPr="00432926">
        <w:t xml:space="preserve"> multi</w:t>
      </w:r>
      <w:r w:rsidR="00A72232" w:rsidRPr="00432926">
        <w:t>source national healthcare records, patients</w:t>
      </w:r>
      <w:r w:rsidRPr="00432926">
        <w:t xml:space="preserve"> </w:t>
      </w:r>
      <w:r w:rsidR="00BA1B9F" w:rsidRPr="00432926">
        <w:t>hospitalised</w:t>
      </w:r>
      <w:r w:rsidR="00331904" w:rsidRPr="00432926">
        <w:t xml:space="preserve"> with AMI in</w:t>
      </w:r>
      <w:r w:rsidR="00A72232" w:rsidRPr="00432926">
        <w:t xml:space="preserve"> England</w:t>
      </w:r>
      <w:r w:rsidR="00F517C1" w:rsidRPr="00432926">
        <w:t xml:space="preserve"> during 1</w:t>
      </w:r>
      <w:r w:rsidRPr="00432926">
        <w:rPr>
          <w:vertAlign w:val="superscript"/>
        </w:rPr>
        <w:t>st</w:t>
      </w:r>
      <w:r w:rsidR="00FB4AF0" w:rsidRPr="00432926">
        <w:t xml:space="preserve"> February</w:t>
      </w:r>
      <w:r w:rsidRPr="00432926">
        <w:t>-</w:t>
      </w:r>
      <w:r w:rsidR="004A1006" w:rsidRPr="00432926">
        <w:t xml:space="preserve"> </w:t>
      </w:r>
      <w:r w:rsidRPr="00432926">
        <w:t>27</w:t>
      </w:r>
      <w:r w:rsidRPr="00432926">
        <w:rPr>
          <w:vertAlign w:val="superscript"/>
        </w:rPr>
        <w:t>th</w:t>
      </w:r>
      <w:r w:rsidRPr="00432926">
        <w:t xml:space="preserve"> May 2020 were included in </w:t>
      </w:r>
      <w:r w:rsidR="004A1006" w:rsidRPr="00432926">
        <w:t xml:space="preserve">the </w:t>
      </w:r>
      <w:r w:rsidRPr="00432926">
        <w:t xml:space="preserve">COVID19 group, whereas patients admitted during the same period in </w:t>
      </w:r>
      <w:r w:rsidR="004A1006" w:rsidRPr="00432926">
        <w:t xml:space="preserve">the </w:t>
      </w:r>
      <w:r w:rsidRPr="00432926">
        <w:t xml:space="preserve">previous three consecutive years were included in </w:t>
      </w:r>
      <w:r w:rsidR="004A1006" w:rsidRPr="00432926">
        <w:t xml:space="preserve">a </w:t>
      </w:r>
      <w:r w:rsidRPr="00432926">
        <w:t>pre</w:t>
      </w:r>
      <w:r w:rsidR="004A1006" w:rsidRPr="00432926">
        <w:t>-</w:t>
      </w:r>
      <w:r w:rsidRPr="00432926">
        <w:t>COVID19 group. M</w:t>
      </w:r>
      <w:r w:rsidR="003F0690" w:rsidRPr="00432926">
        <w:t>ultilevel hierarchical</w:t>
      </w:r>
      <w:r w:rsidRPr="00432926">
        <w:t xml:space="preserve"> regression</w:t>
      </w:r>
      <w:r w:rsidR="003F0690" w:rsidRPr="00432926">
        <w:t xml:space="preserve"> analyses</w:t>
      </w:r>
      <w:r w:rsidR="003F0690" w:rsidRPr="00432926">
        <w:rPr>
          <w:rStyle w:val="CommentReference"/>
        </w:rPr>
        <w:t xml:space="preserve"> </w:t>
      </w:r>
      <w:r w:rsidR="003F0690" w:rsidRPr="00432926">
        <w:t>were u</w:t>
      </w:r>
      <w:r w:rsidR="00594124" w:rsidRPr="00432926">
        <w:t>sed to quantify</w:t>
      </w:r>
      <w:r w:rsidR="003F0690" w:rsidRPr="00432926">
        <w:t xml:space="preserve"> the changes</w:t>
      </w:r>
      <w:r w:rsidRPr="00432926">
        <w:t xml:space="preserve"> i</w:t>
      </w:r>
      <w:r w:rsidR="003F0690" w:rsidRPr="00432926">
        <w:t>n-hospital and 7-day</w:t>
      </w:r>
      <w:r w:rsidRPr="00432926">
        <w:t xml:space="preserve"> </w:t>
      </w:r>
      <w:r w:rsidR="003F0690" w:rsidRPr="00432926">
        <w:t>mortality in BAME compared</w:t>
      </w:r>
      <w:r w:rsidR="00B058E0" w:rsidRPr="00432926">
        <w:t xml:space="preserve"> to whites.</w:t>
      </w:r>
    </w:p>
    <w:p w14:paraId="6F5210AB" w14:textId="36FE61E0" w:rsidR="006D2027" w:rsidRPr="00432926" w:rsidRDefault="00726AD9" w:rsidP="00CB00B1">
      <w:pPr>
        <w:spacing w:line="360" w:lineRule="auto"/>
        <w:jc w:val="both"/>
      </w:pPr>
      <w:r w:rsidRPr="00432926">
        <w:rPr>
          <w:b/>
        </w:rPr>
        <w:t>Results</w:t>
      </w:r>
      <w:r w:rsidRPr="00432926">
        <w:t xml:space="preserve">: </w:t>
      </w:r>
      <w:r w:rsidR="007A3558" w:rsidRPr="00432926">
        <w:t xml:space="preserve">Of 73,746 patients, </w:t>
      </w:r>
      <w:r w:rsidR="00ED5770" w:rsidRPr="00432926">
        <w:t>higher proportions of</w:t>
      </w:r>
      <w:r w:rsidR="006D2027" w:rsidRPr="00432926">
        <w:t xml:space="preserve"> BAME </w:t>
      </w:r>
      <w:r w:rsidR="004A1006" w:rsidRPr="00432926">
        <w:t xml:space="preserve">patients </w:t>
      </w:r>
      <w:r w:rsidR="006D2027" w:rsidRPr="00432926">
        <w:t>(16.7%</w:t>
      </w:r>
      <w:r w:rsidR="00821EDD" w:rsidRPr="00432926">
        <w:t xml:space="preserve"> vs 10.1%</w:t>
      </w:r>
      <w:r w:rsidR="002C0EF5" w:rsidRPr="00432926">
        <w:t xml:space="preserve">) were </w:t>
      </w:r>
      <w:r w:rsidR="00BA1B9F" w:rsidRPr="00432926">
        <w:t>hospitalised</w:t>
      </w:r>
      <w:r w:rsidR="006D2027" w:rsidRPr="00432926">
        <w:t xml:space="preserve"> with AMI during </w:t>
      </w:r>
      <w:r w:rsidR="006A6460" w:rsidRPr="00432926">
        <w:t>the COVID19 period compared to</w:t>
      </w:r>
      <w:r w:rsidR="004A1006" w:rsidRPr="00432926">
        <w:t xml:space="preserve"> </w:t>
      </w:r>
      <w:r w:rsidR="00821EDD" w:rsidRPr="00432926">
        <w:t>pre</w:t>
      </w:r>
      <w:r w:rsidR="004A1006" w:rsidRPr="00432926">
        <w:t>-</w:t>
      </w:r>
      <w:r w:rsidR="00821EDD" w:rsidRPr="00432926">
        <w:t>COVID19.</w:t>
      </w:r>
      <w:r w:rsidR="0055165F" w:rsidRPr="00432926">
        <w:t xml:space="preserve"> </w:t>
      </w:r>
      <w:r w:rsidR="00821EDD" w:rsidRPr="00432926">
        <w:t xml:space="preserve">BAME </w:t>
      </w:r>
      <w:r w:rsidR="004A1006" w:rsidRPr="00432926">
        <w:t xml:space="preserve">patients </w:t>
      </w:r>
      <w:r w:rsidR="00821EDD" w:rsidRPr="00432926">
        <w:t xml:space="preserve">admitted during </w:t>
      </w:r>
      <w:r w:rsidR="004A1006" w:rsidRPr="00432926">
        <w:t xml:space="preserve">the </w:t>
      </w:r>
      <w:r w:rsidR="00821EDD" w:rsidRPr="00432926">
        <w:t xml:space="preserve">COVID19 period were younger, male </w:t>
      </w:r>
      <w:r w:rsidR="006A61E9" w:rsidRPr="00432926">
        <w:t>and likely</w:t>
      </w:r>
      <w:r w:rsidR="002C0EF5" w:rsidRPr="00432926">
        <w:t xml:space="preserve"> </w:t>
      </w:r>
      <w:r w:rsidR="004A1006" w:rsidRPr="00432926">
        <w:t xml:space="preserve">to </w:t>
      </w:r>
      <w:r w:rsidR="006A61E9" w:rsidRPr="00432926">
        <w:t>present with STEMI</w:t>
      </w:r>
      <w:r w:rsidR="006A6460" w:rsidRPr="00432926">
        <w:t>. COVID19</w:t>
      </w:r>
      <w:r w:rsidR="00821EDD" w:rsidRPr="00432926">
        <w:t xml:space="preserve"> BAME </w:t>
      </w:r>
      <w:r w:rsidR="006A6460" w:rsidRPr="00432926">
        <w:t>group</w:t>
      </w:r>
      <w:r w:rsidR="004A1006" w:rsidRPr="00432926">
        <w:t xml:space="preserve"> </w:t>
      </w:r>
      <w:r w:rsidR="000E37D3" w:rsidRPr="00432926">
        <w:t>admitted with NSTEMI</w:t>
      </w:r>
      <w:r w:rsidR="004A1006" w:rsidRPr="00432926">
        <w:t xml:space="preserve"> </w:t>
      </w:r>
      <w:r w:rsidR="00821EDD" w:rsidRPr="00432926">
        <w:t xml:space="preserve">less </w:t>
      </w:r>
      <w:r w:rsidR="00AC0830" w:rsidRPr="00432926">
        <w:t>frequently</w:t>
      </w:r>
      <w:r w:rsidR="00821EDD" w:rsidRPr="00432926">
        <w:t xml:space="preserve"> receive</w:t>
      </w:r>
      <w:r w:rsidR="00AC0830" w:rsidRPr="00432926">
        <w:t>d</w:t>
      </w:r>
      <w:r w:rsidR="0025003E" w:rsidRPr="00432926">
        <w:t xml:space="preserve"> </w:t>
      </w:r>
      <w:r w:rsidR="00821EDD" w:rsidRPr="00432926">
        <w:t xml:space="preserve">coronary angiography (86.1% vs 90.0%, p&lt;0.001) and had </w:t>
      </w:r>
      <w:r w:rsidR="004A1006" w:rsidRPr="00432926">
        <w:t xml:space="preserve">a </w:t>
      </w:r>
      <w:r w:rsidR="00AC0830" w:rsidRPr="00432926">
        <w:t xml:space="preserve">longer median </w:t>
      </w:r>
      <w:r w:rsidR="00821EDD" w:rsidRPr="00432926">
        <w:t xml:space="preserve">delay to reperfusion </w:t>
      </w:r>
      <w:r w:rsidR="001863B5" w:rsidRPr="00432926">
        <w:t>(4.1</w:t>
      </w:r>
      <w:r w:rsidR="0025003E" w:rsidRPr="00432926">
        <w:t>h</w:t>
      </w:r>
      <w:r w:rsidR="001863B5" w:rsidRPr="00432926">
        <w:t xml:space="preserve"> vs 3.7</w:t>
      </w:r>
      <w:r w:rsidR="0025003E" w:rsidRPr="00432926">
        <w:t>h</w:t>
      </w:r>
      <w:r w:rsidR="00821EDD" w:rsidRPr="00432926">
        <w:t xml:space="preserve">, p&lt;0.001) compared </w:t>
      </w:r>
      <w:r w:rsidR="00AC0830" w:rsidRPr="00432926">
        <w:t xml:space="preserve">with </w:t>
      </w:r>
      <w:r w:rsidR="00B058E0" w:rsidRPr="00432926">
        <w:t>whites</w:t>
      </w:r>
      <w:r w:rsidR="0025003E" w:rsidRPr="00432926">
        <w:t>.</w:t>
      </w:r>
      <w:r w:rsidR="00EA7C85" w:rsidRPr="00432926">
        <w:t xml:space="preserve"> BAME had higher in-hospital (OR 1.68 95%CI 1.27-2.2</w:t>
      </w:r>
      <w:r w:rsidR="00C41A8A" w:rsidRPr="00432926">
        <w:t xml:space="preserve">8) and 7-day mortality (OR 1.81 95%CI </w:t>
      </w:r>
      <w:r w:rsidR="00EA7C85" w:rsidRPr="00432926">
        <w:t xml:space="preserve">1.31-2.19) during COVID19 compared to pre COVID19 period. </w:t>
      </w:r>
    </w:p>
    <w:p w14:paraId="1EC294F9" w14:textId="4E7F4531" w:rsidR="00F517C1" w:rsidRPr="00432926" w:rsidRDefault="00821EDD" w:rsidP="00CB00B1">
      <w:pPr>
        <w:spacing w:line="360" w:lineRule="auto"/>
        <w:jc w:val="both"/>
      </w:pPr>
      <w:r w:rsidRPr="00432926">
        <w:rPr>
          <w:b/>
        </w:rPr>
        <w:t xml:space="preserve">Conclusion: </w:t>
      </w:r>
      <w:r w:rsidR="0098303D" w:rsidRPr="00432926">
        <w:t xml:space="preserve">In this multisource linked cohort study, compared to whites </w:t>
      </w:r>
      <w:r w:rsidR="00776E1C" w:rsidRPr="00432926">
        <w:t>BAME patients</w:t>
      </w:r>
      <w:r w:rsidR="0098303D" w:rsidRPr="00432926">
        <w:t xml:space="preserve"> had </w:t>
      </w:r>
      <w:r w:rsidR="00223249" w:rsidRPr="00432926">
        <w:t xml:space="preserve">proportionally higher </w:t>
      </w:r>
      <w:r w:rsidR="00BA1B9F" w:rsidRPr="00432926">
        <w:t>hospitalisation</w:t>
      </w:r>
      <w:r w:rsidR="0098303D" w:rsidRPr="00432926">
        <w:t xml:space="preserve"> rates with AMI, less frequently received guidelines indicated care and had higher early mortality during COVID19 period compared to pre COVID19 period.</w:t>
      </w:r>
      <w:r w:rsidR="00776E1C" w:rsidRPr="00432926">
        <w:t xml:space="preserve"> There</w:t>
      </w:r>
      <w:r w:rsidR="005416D2" w:rsidRPr="00432926">
        <w:t xml:space="preserve"> is a need to </w:t>
      </w:r>
      <w:r w:rsidR="000364C5" w:rsidRPr="00432926">
        <w:t xml:space="preserve">develop </w:t>
      </w:r>
      <w:r w:rsidR="005416D2" w:rsidRPr="00432926">
        <w:t xml:space="preserve">clinical pathways </w:t>
      </w:r>
      <w:r w:rsidR="000364C5" w:rsidRPr="00432926">
        <w:t xml:space="preserve">to achieve equity in </w:t>
      </w:r>
      <w:r w:rsidR="00331904" w:rsidRPr="00432926">
        <w:t xml:space="preserve">the </w:t>
      </w:r>
      <w:r w:rsidR="000364C5" w:rsidRPr="00432926">
        <w:t xml:space="preserve">management </w:t>
      </w:r>
      <w:r w:rsidR="00593AB8" w:rsidRPr="00432926">
        <w:t>of these vulnerable populations</w:t>
      </w:r>
      <w:r w:rsidR="000364C5" w:rsidRPr="00432926">
        <w:t xml:space="preserve">. </w:t>
      </w:r>
    </w:p>
    <w:p w14:paraId="4604FAD2" w14:textId="481731C4" w:rsidR="00FB62C4" w:rsidRPr="00432926" w:rsidRDefault="00FB62C4" w:rsidP="00CB00B1">
      <w:pPr>
        <w:spacing w:line="360" w:lineRule="auto"/>
        <w:jc w:val="both"/>
      </w:pPr>
    </w:p>
    <w:p w14:paraId="3CDD0020" w14:textId="0B6F30BA" w:rsidR="00FB62C4" w:rsidRPr="00432926" w:rsidRDefault="00FB62C4" w:rsidP="00CB00B1">
      <w:pPr>
        <w:spacing w:line="360" w:lineRule="auto"/>
        <w:jc w:val="both"/>
        <w:rPr>
          <w:b/>
        </w:rPr>
      </w:pPr>
      <w:r w:rsidRPr="00432926">
        <w:rPr>
          <w:b/>
        </w:rPr>
        <w:t xml:space="preserve">Key Questions: </w:t>
      </w:r>
    </w:p>
    <w:p w14:paraId="4CDDA1A1" w14:textId="2622FB17" w:rsidR="00FB62C4" w:rsidRPr="00432926" w:rsidRDefault="00FB62C4" w:rsidP="00FB62C4">
      <w:pPr>
        <w:spacing w:line="360" w:lineRule="auto"/>
        <w:jc w:val="both"/>
        <w:rPr>
          <w:b/>
        </w:rPr>
      </w:pPr>
      <w:r w:rsidRPr="00432926">
        <w:rPr>
          <w:b/>
        </w:rPr>
        <w:t>What is already known about this subject?</w:t>
      </w:r>
      <w:r w:rsidR="00AC5D82" w:rsidRPr="00432926">
        <w:rPr>
          <w:b/>
        </w:rPr>
        <w:t xml:space="preserve"> </w:t>
      </w:r>
      <w:r w:rsidR="00AC5D82" w:rsidRPr="00432926">
        <w:rPr>
          <w:rFonts w:cs="Times New Roman"/>
          <w:szCs w:val="24"/>
        </w:rPr>
        <w:t>Studies have found an increased risk of mortality in the BAME communities during the COVID19 pandemic.</w:t>
      </w:r>
    </w:p>
    <w:p w14:paraId="6D8E870F" w14:textId="076CCDE6" w:rsidR="00FB62C4" w:rsidRPr="00432926" w:rsidRDefault="00FB62C4" w:rsidP="00AC5D82">
      <w:pPr>
        <w:spacing w:line="360" w:lineRule="auto"/>
        <w:jc w:val="both"/>
        <w:rPr>
          <w:b/>
        </w:rPr>
      </w:pPr>
      <w:r w:rsidRPr="00432926">
        <w:rPr>
          <w:b/>
        </w:rPr>
        <w:t>What does this study add?</w:t>
      </w:r>
      <w:r w:rsidR="00AC5D82" w:rsidRPr="00432926">
        <w:rPr>
          <w:b/>
        </w:rPr>
        <w:t xml:space="preserve"> </w:t>
      </w:r>
      <w:r w:rsidR="00AC5D82" w:rsidRPr="00432926">
        <w:rPr>
          <w:rFonts w:cs="Times New Roman"/>
          <w:szCs w:val="24"/>
        </w:rPr>
        <w:t xml:space="preserve">This population based cohort study provides important information about the incidence, clinical and procedural characteristics of BAME patients presenting with AMI compared to Whites during COVID-19 pandemic in England.  There was </w:t>
      </w:r>
      <w:r w:rsidR="00AC5D82" w:rsidRPr="00432926">
        <w:rPr>
          <w:rFonts w:cs="Times New Roman"/>
          <w:szCs w:val="24"/>
        </w:rPr>
        <w:lastRenderedPageBreak/>
        <w:t>a marked increase in the admission rates with AMI amongst the BAME during the COVID-19 pandemic compared to pre-COVID-19 period. BAME patients during COVID-19 were less likely to receive guideline indicated care and had increa</w:t>
      </w:r>
      <w:r w:rsidR="00A52E50" w:rsidRPr="00432926">
        <w:rPr>
          <w:rFonts w:cs="Times New Roman"/>
          <w:szCs w:val="24"/>
        </w:rPr>
        <w:t>sed mortality compared to pre-C</w:t>
      </w:r>
      <w:r w:rsidR="00AC5D82" w:rsidRPr="00432926">
        <w:rPr>
          <w:rFonts w:cs="Times New Roman"/>
          <w:szCs w:val="24"/>
        </w:rPr>
        <w:t>O</w:t>
      </w:r>
      <w:r w:rsidR="00A52E50" w:rsidRPr="00432926">
        <w:rPr>
          <w:rFonts w:cs="Times New Roman"/>
          <w:szCs w:val="24"/>
        </w:rPr>
        <w:t>V</w:t>
      </w:r>
      <w:r w:rsidR="00AC5D82" w:rsidRPr="00432926">
        <w:rPr>
          <w:rFonts w:cs="Times New Roman"/>
          <w:szCs w:val="24"/>
        </w:rPr>
        <w:t>ID-19 era.</w:t>
      </w:r>
    </w:p>
    <w:p w14:paraId="1FF97139" w14:textId="13717993" w:rsidR="00FB62C4" w:rsidRPr="00432926" w:rsidRDefault="00FB62C4" w:rsidP="00AC5D82">
      <w:pPr>
        <w:spacing w:line="360" w:lineRule="auto"/>
        <w:jc w:val="both"/>
        <w:rPr>
          <w:b/>
        </w:rPr>
      </w:pPr>
      <w:r w:rsidRPr="00432926">
        <w:rPr>
          <w:b/>
        </w:rPr>
        <w:t>How might this impact on clinical practice?</w:t>
      </w:r>
      <w:r w:rsidR="00AC5D82" w:rsidRPr="00432926">
        <w:rPr>
          <w:b/>
        </w:rPr>
        <w:t xml:space="preserve"> </w:t>
      </w:r>
      <w:r w:rsidR="00AC5D82" w:rsidRPr="00432926">
        <w:rPr>
          <w:rFonts w:cs="Times New Roman"/>
          <w:szCs w:val="24"/>
        </w:rPr>
        <w:t>Immediate counter measures are required to increase patient awareness and promote equity in the cardiac care of this underserved population during the ongoing COVID-19 pandemic.</w:t>
      </w:r>
    </w:p>
    <w:p w14:paraId="2C5A0F55" w14:textId="77777777" w:rsidR="00FB62C4" w:rsidRPr="00432926" w:rsidRDefault="00FB62C4" w:rsidP="00CB00B1">
      <w:pPr>
        <w:spacing w:line="360" w:lineRule="auto"/>
        <w:jc w:val="both"/>
      </w:pPr>
    </w:p>
    <w:p w14:paraId="3A9077FB" w14:textId="77777777" w:rsidR="0025003E" w:rsidRPr="00432926" w:rsidRDefault="0025003E" w:rsidP="00CB00B1">
      <w:pPr>
        <w:spacing w:line="360" w:lineRule="auto"/>
        <w:jc w:val="both"/>
        <w:rPr>
          <w:b/>
        </w:rPr>
      </w:pPr>
    </w:p>
    <w:p w14:paraId="3C5F0483" w14:textId="6CB36E04" w:rsidR="00A37563" w:rsidRPr="00432926" w:rsidRDefault="00A37563" w:rsidP="00CB00B1">
      <w:pPr>
        <w:spacing w:line="360" w:lineRule="auto"/>
        <w:jc w:val="both"/>
        <w:rPr>
          <w:b/>
        </w:rPr>
      </w:pPr>
      <w:r w:rsidRPr="00432926">
        <w:rPr>
          <w:b/>
        </w:rPr>
        <w:t xml:space="preserve">Introduction: </w:t>
      </w:r>
    </w:p>
    <w:p w14:paraId="243CE1CB" w14:textId="185D5843" w:rsidR="00A37563" w:rsidRPr="00432926" w:rsidRDefault="008C01E3" w:rsidP="00CB00B1">
      <w:pPr>
        <w:spacing w:line="360" w:lineRule="auto"/>
        <w:jc w:val="both"/>
      </w:pPr>
      <w:r w:rsidRPr="00432926">
        <w:t xml:space="preserve">The </w:t>
      </w:r>
      <w:r w:rsidR="00B24522" w:rsidRPr="00432926">
        <w:t>novel</w:t>
      </w:r>
      <w:r w:rsidRPr="00432926">
        <w:t xml:space="preserve"> severe acute respiratory syndrome coronavirus-2 (SARS-CoV-2</w:t>
      </w:r>
      <w:r w:rsidR="00733880" w:rsidRPr="00432926">
        <w:t xml:space="preserve">), has resulted in over 1.3 million deaths </w:t>
      </w:r>
      <w:r w:rsidRPr="00432926">
        <w:t>worldwide</w:t>
      </w:r>
      <w:r w:rsidR="00FB17D0" w:rsidRPr="00432926">
        <w:fldChar w:fldCharType="begin"/>
      </w:r>
      <w:r w:rsidR="007D00F6" w:rsidRPr="00432926">
        <w:instrText>ADDIN RW.CITE{{doc:5eecf9d8e4b07b17c382efce CSSE,J 2020}}</w:instrText>
      </w:r>
      <w:r w:rsidR="00FB17D0" w:rsidRPr="00432926">
        <w:fldChar w:fldCharType="separate"/>
      </w:r>
      <w:r w:rsidR="007D00F6" w:rsidRPr="00432926">
        <w:rPr>
          <w:rFonts w:cs="Times New Roman"/>
          <w:bCs/>
          <w:vertAlign w:val="superscript"/>
          <w:lang w:val="en-US"/>
        </w:rPr>
        <w:t>1</w:t>
      </w:r>
      <w:r w:rsidR="00FB17D0" w:rsidRPr="00432926">
        <w:fldChar w:fldCharType="end"/>
      </w:r>
      <w:r w:rsidRPr="00432926">
        <w:t xml:space="preserve">. </w:t>
      </w:r>
      <w:r w:rsidR="00B24522" w:rsidRPr="00432926">
        <w:t xml:space="preserve">A disproportionately higher infection and mortality rate </w:t>
      </w:r>
      <w:r w:rsidR="00F73252" w:rsidRPr="00432926">
        <w:t>have</w:t>
      </w:r>
      <w:r w:rsidR="00403163" w:rsidRPr="00432926">
        <w:t xml:space="preserve"> </w:t>
      </w:r>
      <w:r w:rsidR="00B24522" w:rsidRPr="00432926">
        <w:t xml:space="preserve">been observed in the Black, Asian and </w:t>
      </w:r>
      <w:r w:rsidR="00855A9E" w:rsidRPr="00432926">
        <w:t xml:space="preserve">Minority Ethnic </w:t>
      </w:r>
      <w:r w:rsidR="00B24522" w:rsidRPr="00432926">
        <w:t>(BAME) communities compared to white</w:t>
      </w:r>
      <w:r w:rsidR="004A1006" w:rsidRPr="00432926">
        <w:t xml:space="preserve"> population</w:t>
      </w:r>
      <w:r w:rsidR="00B24522" w:rsidRPr="00432926">
        <w:t>s</w:t>
      </w:r>
      <w:r w:rsidR="00B24522" w:rsidRPr="00432926">
        <w:fldChar w:fldCharType="begin"/>
      </w:r>
      <w:r w:rsidR="007D00F6" w:rsidRPr="00432926">
        <w:instrText>ADDIN RW.CITE{{doc:5ee4fdd2e4b06142ec3b1334 Abedi,V 2020; doc:5ecbc1e8e4b0d46fca81e36a Aldridge,R 2020; doc:5ee4fdd2e4b06142ec3b1335 Chin,T 2020; doc:5fb5ab29e4b0670e8d8f21d0 Pan,Daniel 2020; doc:5fb5aae8e4b09c87c43ba1aa Kirby,Tony 2020; doc:5fb5aab1e4b0b9162568ca41 Golestaneh,Ladan 2020}}</w:instrText>
      </w:r>
      <w:r w:rsidR="00B24522" w:rsidRPr="00432926">
        <w:fldChar w:fldCharType="separate"/>
      </w:r>
      <w:r w:rsidR="007D00F6" w:rsidRPr="00432926">
        <w:rPr>
          <w:rFonts w:cs="Times New Roman"/>
          <w:bCs/>
          <w:vertAlign w:val="superscript"/>
          <w:lang w:val="en-US"/>
        </w:rPr>
        <w:t>2-7</w:t>
      </w:r>
      <w:r w:rsidR="00B24522" w:rsidRPr="00432926">
        <w:fldChar w:fldCharType="end"/>
      </w:r>
      <w:r w:rsidR="00B24522" w:rsidRPr="00432926">
        <w:t xml:space="preserve">. </w:t>
      </w:r>
      <w:r w:rsidR="00B85AE4" w:rsidRPr="00432926">
        <w:t>The UK has the highest CO</w:t>
      </w:r>
      <w:r w:rsidR="00F73252" w:rsidRPr="00432926">
        <w:t>VID19 related death rates in</w:t>
      </w:r>
      <w:r w:rsidR="00B85AE4" w:rsidRPr="00432926">
        <w:t xml:space="preserve"> Europe and also the most diverse population from various ethnic backgrounds. During the first COVI</w:t>
      </w:r>
      <w:r w:rsidR="00060EDF" w:rsidRPr="00432926">
        <w:t>D19 wave, almost 34% of the COVID19 related intensive care admissions were from BAME origin</w:t>
      </w:r>
      <w:r w:rsidR="00A51312" w:rsidRPr="00432926">
        <w:fldChar w:fldCharType="begin"/>
      </w:r>
      <w:r w:rsidR="007D00F6" w:rsidRPr="00432926">
        <w:instrText>ADDIN RW.CITE{{doc:5fb40c55e4b0c0465289cc11 Audit,I 2020}}</w:instrText>
      </w:r>
      <w:r w:rsidR="00A51312" w:rsidRPr="00432926">
        <w:fldChar w:fldCharType="separate"/>
      </w:r>
      <w:r w:rsidR="007D00F6" w:rsidRPr="00432926">
        <w:rPr>
          <w:rFonts w:cs="Times New Roman"/>
          <w:bCs/>
          <w:vertAlign w:val="superscript"/>
          <w:lang w:val="en-US"/>
        </w:rPr>
        <w:t>8</w:t>
      </w:r>
      <w:r w:rsidR="00A51312" w:rsidRPr="00432926">
        <w:fldChar w:fldCharType="end"/>
      </w:r>
      <w:r w:rsidR="00060EDF" w:rsidRPr="00432926">
        <w:t xml:space="preserve">. </w:t>
      </w:r>
      <w:r w:rsidR="00B85AE4" w:rsidRPr="00432926">
        <w:t xml:space="preserve"> </w:t>
      </w:r>
      <w:r w:rsidR="00855A9E" w:rsidRPr="00432926">
        <w:t>H</w:t>
      </w:r>
      <w:r w:rsidR="00DE31E5" w:rsidRPr="00432926">
        <w:t xml:space="preserve">ealth data </w:t>
      </w:r>
      <w:r w:rsidR="00855A9E" w:rsidRPr="00432926">
        <w:t>derived from over</w:t>
      </w:r>
      <w:r w:rsidR="004624D6" w:rsidRPr="00432926">
        <w:t xml:space="preserve"> 17 million adults</w:t>
      </w:r>
      <w:r w:rsidR="00DE31E5" w:rsidRPr="00432926">
        <w:t xml:space="preserve"> in the UK</w:t>
      </w:r>
      <w:r w:rsidR="004624D6" w:rsidRPr="00432926">
        <w:t xml:space="preserve"> </w:t>
      </w:r>
      <w:r w:rsidR="006A3E35" w:rsidRPr="00432926">
        <w:t>observed a</w:t>
      </w:r>
      <w:r w:rsidR="004624D6" w:rsidRPr="00432926">
        <w:t xml:space="preserve"> two-fold increase in COVID19</w:t>
      </w:r>
      <w:r w:rsidR="00A10C00" w:rsidRPr="00432926">
        <w:t>-</w:t>
      </w:r>
      <w:r w:rsidR="004624D6" w:rsidRPr="00432926">
        <w:t xml:space="preserve">related mortality in </w:t>
      </w:r>
      <w:r w:rsidR="004A1006" w:rsidRPr="00432926">
        <w:t xml:space="preserve">the </w:t>
      </w:r>
      <w:r w:rsidR="004624D6" w:rsidRPr="00432926">
        <w:t>BAME group compared to white</w:t>
      </w:r>
      <w:r w:rsidR="004A1006" w:rsidRPr="00432926">
        <w:t xml:space="preserve"> patient</w:t>
      </w:r>
      <w:r w:rsidR="00DE31E5" w:rsidRPr="00432926">
        <w:t>s</w:t>
      </w:r>
      <w:r w:rsidR="004624D6" w:rsidRPr="00432926">
        <w:fldChar w:fldCharType="begin"/>
      </w:r>
      <w:r w:rsidR="007D00F6" w:rsidRPr="00432926">
        <w:instrText>ADDIN RW.CITE{{doc:5ee54bfbe4b02772ab37eaba Williamson,Elizabeth 2020}}</w:instrText>
      </w:r>
      <w:r w:rsidR="004624D6" w:rsidRPr="00432926">
        <w:fldChar w:fldCharType="separate"/>
      </w:r>
      <w:r w:rsidR="007D00F6" w:rsidRPr="00432926">
        <w:rPr>
          <w:rFonts w:cs="Times New Roman"/>
          <w:bCs/>
          <w:vertAlign w:val="superscript"/>
          <w:lang w:val="en-US"/>
        </w:rPr>
        <w:t>9</w:t>
      </w:r>
      <w:r w:rsidR="004624D6" w:rsidRPr="00432926">
        <w:fldChar w:fldCharType="end"/>
      </w:r>
      <w:r w:rsidR="00DE31E5" w:rsidRPr="00432926">
        <w:t>, and</w:t>
      </w:r>
      <w:r w:rsidR="007E2A93" w:rsidRPr="00432926">
        <w:t xml:space="preserve"> similarly higher </w:t>
      </w:r>
      <w:r w:rsidR="00776D88" w:rsidRPr="00432926">
        <w:t>infection and fatality rates</w:t>
      </w:r>
      <w:r w:rsidR="00DE31E5" w:rsidRPr="00432926">
        <w:t xml:space="preserve"> have</w:t>
      </w:r>
      <w:r w:rsidR="00776D88" w:rsidRPr="00432926">
        <w:t xml:space="preserve"> been observed in the African Americans</w:t>
      </w:r>
      <w:r w:rsidR="00DE31E5" w:rsidRPr="00432926">
        <w:t xml:space="preserve"> in the US</w:t>
      </w:r>
      <w:r w:rsidR="00776D88" w:rsidRPr="00432926">
        <w:fldChar w:fldCharType="begin"/>
      </w:r>
      <w:r w:rsidR="007D00F6" w:rsidRPr="00432926">
        <w:instrText>ADDIN RW.CITE{{doc:5ee56034e4b094bff8d654a1 Yancy,ClydeW 2020}}</w:instrText>
      </w:r>
      <w:r w:rsidR="00776D88" w:rsidRPr="00432926">
        <w:fldChar w:fldCharType="separate"/>
      </w:r>
      <w:r w:rsidR="007D00F6" w:rsidRPr="00432926">
        <w:rPr>
          <w:rFonts w:cs="Times New Roman"/>
          <w:bCs/>
          <w:vertAlign w:val="superscript"/>
          <w:lang w:val="en-US"/>
        </w:rPr>
        <w:t>10</w:t>
      </w:r>
      <w:r w:rsidR="00776D88" w:rsidRPr="00432926">
        <w:fldChar w:fldCharType="end"/>
      </w:r>
      <w:r w:rsidR="00776D88" w:rsidRPr="00432926">
        <w:t>.</w:t>
      </w:r>
      <w:r w:rsidR="007E2A93" w:rsidRPr="00432926">
        <w:t xml:space="preserve"> </w:t>
      </w:r>
      <w:r w:rsidR="005B5C91" w:rsidRPr="00432926">
        <w:t xml:space="preserve"> </w:t>
      </w:r>
    </w:p>
    <w:p w14:paraId="4EAEF82B" w14:textId="2088BDF0" w:rsidR="00776D88" w:rsidRPr="00432926" w:rsidRDefault="003317DB" w:rsidP="00CB00B1">
      <w:pPr>
        <w:spacing w:line="360" w:lineRule="auto"/>
        <w:jc w:val="both"/>
      </w:pPr>
      <w:r w:rsidRPr="00432926">
        <w:t xml:space="preserve">Previous studies have </w:t>
      </w:r>
      <w:r w:rsidR="00B75CD4" w:rsidRPr="00432926">
        <w:t xml:space="preserve">found that </w:t>
      </w:r>
      <w:r w:rsidRPr="00432926">
        <w:t>BAME communities presenting with acute myocardial infarction (AMI)</w:t>
      </w:r>
      <w:r w:rsidR="00B75CD4" w:rsidRPr="00432926">
        <w:t xml:space="preserve"> receive different care and have worse clinical outcomes than whites</w:t>
      </w:r>
      <w:r w:rsidR="00ED25EA" w:rsidRPr="00432926">
        <w:fldChar w:fldCharType="begin"/>
      </w:r>
      <w:r w:rsidR="007D00F6" w:rsidRPr="00432926">
        <w:instrText>ADDIN RW.CITE{{doc:5ee621d3e4b0b825a42f693d Cohen,MauricioG 2010; doc:5ee62368e4b0271cc83185c2 EdmundAnstey,D 2016; doc:5ee62368e4b0271cc83185c3 Graham,G 2016; doc:5ee6224be4b0271cc83184e2 King,KathrynM 2009}}</w:instrText>
      </w:r>
      <w:r w:rsidR="00ED25EA" w:rsidRPr="00432926">
        <w:fldChar w:fldCharType="separate"/>
      </w:r>
      <w:r w:rsidR="007D00F6" w:rsidRPr="00432926">
        <w:rPr>
          <w:rFonts w:cs="Times New Roman"/>
          <w:bCs/>
          <w:vertAlign w:val="superscript"/>
          <w:lang w:val="en-US"/>
        </w:rPr>
        <w:t>11-14</w:t>
      </w:r>
      <w:r w:rsidR="00ED25EA" w:rsidRPr="00432926">
        <w:fldChar w:fldCharType="end"/>
      </w:r>
      <w:r w:rsidRPr="00432926">
        <w:t>.</w:t>
      </w:r>
      <w:r w:rsidR="004C3705" w:rsidRPr="00432926">
        <w:t xml:space="preserve"> </w:t>
      </w:r>
      <w:r w:rsidR="00474890" w:rsidRPr="00432926">
        <w:t xml:space="preserve">Health systems across the world have observed a </w:t>
      </w:r>
      <w:r w:rsidR="00B75CD4" w:rsidRPr="00432926">
        <w:t xml:space="preserve">substantial </w:t>
      </w:r>
      <w:r w:rsidR="00474890" w:rsidRPr="00432926">
        <w:t xml:space="preserve">decline in </w:t>
      </w:r>
      <w:r w:rsidR="00B75CD4" w:rsidRPr="00432926">
        <w:t xml:space="preserve">admission with </w:t>
      </w:r>
      <w:r w:rsidR="00474890" w:rsidRPr="00432926">
        <w:t>AMI</w:t>
      </w:r>
      <w:r w:rsidR="00A10C00" w:rsidRPr="00432926">
        <w:t>-</w:t>
      </w:r>
      <w:r w:rsidR="00B75CD4" w:rsidRPr="00432926">
        <w:t>and</w:t>
      </w:r>
      <w:r w:rsidR="004C3705" w:rsidRPr="00432926">
        <w:t xml:space="preserve"> a concurrent rise</w:t>
      </w:r>
      <w:r w:rsidR="00474890" w:rsidRPr="00432926">
        <w:t xml:space="preserve"> in early mortality or complications durin</w:t>
      </w:r>
      <w:r w:rsidR="004C3705" w:rsidRPr="00432926">
        <w:t>g the COVID19 pandemic</w:t>
      </w:r>
      <w:r w:rsidR="00ED25EA" w:rsidRPr="00432926">
        <w:fldChar w:fldCharType="begin"/>
      </w:r>
      <w:r w:rsidR="007D00F6" w:rsidRPr="00432926">
        <w:instrText>ADDIN RW.CITE{{doc:5ecbbb15e4b020ad023e0183 Abdelaziz,HeshamK 2020; doc:5ecbb873e4b0b9d0f1aa10df DeRosa,Salvatore 2020; doc:5ecbbbe5e4b05b49fad7213c Garcia,Santiago 2020; doc:5ecbbcd8e4b020ad023e01ca Metzler,Bernhard 2020}}</w:instrText>
      </w:r>
      <w:r w:rsidR="00ED25EA" w:rsidRPr="00432926">
        <w:fldChar w:fldCharType="separate"/>
      </w:r>
      <w:r w:rsidR="007D00F6" w:rsidRPr="00432926">
        <w:rPr>
          <w:rFonts w:cs="Times New Roman"/>
          <w:bCs/>
          <w:vertAlign w:val="superscript"/>
          <w:lang w:val="en-US"/>
        </w:rPr>
        <w:t>15-18</w:t>
      </w:r>
      <w:r w:rsidR="00ED25EA" w:rsidRPr="00432926">
        <w:fldChar w:fldCharType="end"/>
      </w:r>
      <w:r w:rsidR="004C3705" w:rsidRPr="00432926">
        <w:t xml:space="preserve">. There </w:t>
      </w:r>
      <w:r w:rsidR="00034B35" w:rsidRPr="00432926">
        <w:t>is</w:t>
      </w:r>
      <w:r w:rsidR="0055165F" w:rsidRPr="00432926">
        <w:t xml:space="preserve"> </w:t>
      </w:r>
      <w:r w:rsidR="00034B35" w:rsidRPr="00432926">
        <w:t>evidence</w:t>
      </w:r>
      <w:r w:rsidR="001D7757" w:rsidRPr="00432926">
        <w:t xml:space="preserve"> that </w:t>
      </w:r>
      <w:r w:rsidR="00E1439E" w:rsidRPr="00432926">
        <w:t xml:space="preserve">BAME communities may be </w:t>
      </w:r>
      <w:r w:rsidR="00034B35" w:rsidRPr="00432926">
        <w:t xml:space="preserve">adversely </w:t>
      </w:r>
      <w:r w:rsidR="0098303D" w:rsidRPr="00432926">
        <w:t>impacted</w:t>
      </w:r>
      <w:r w:rsidR="00E1439E" w:rsidRPr="00432926">
        <w:t xml:space="preserve"> during the current </w:t>
      </w:r>
      <w:r w:rsidR="00474890" w:rsidRPr="00432926">
        <w:t>COVID19 outbreak particularly</w:t>
      </w:r>
      <w:r w:rsidR="00034B35" w:rsidRPr="00432926">
        <w:t>,</w:t>
      </w:r>
      <w:r w:rsidR="00474890" w:rsidRPr="00432926">
        <w:t xml:space="preserve"> those with pre-existing comorb</w:t>
      </w:r>
      <w:r w:rsidR="004C3705" w:rsidRPr="00432926">
        <w:t>idi</w:t>
      </w:r>
      <w:r w:rsidR="00E932F1" w:rsidRPr="00432926">
        <w:t>ties</w:t>
      </w:r>
      <w:r w:rsidR="00ED25EA" w:rsidRPr="00432926">
        <w:fldChar w:fldCharType="begin"/>
      </w:r>
      <w:r w:rsidR="007D00F6" w:rsidRPr="00432926">
        <w:instrText>ADDIN RW.CITE{{doc:5ee4fe9fe4b0e3a229e0761f Abuelgasim,E 2020; doc:5ecbc1e8e4b0d46fca81e36a Aldridge,R 2020; doc:5ecbc26ce4b0d46fca81e38c Pareek,Manish 2020}}</w:instrText>
      </w:r>
      <w:r w:rsidR="00ED25EA" w:rsidRPr="00432926">
        <w:fldChar w:fldCharType="separate"/>
      </w:r>
      <w:r w:rsidR="007D00F6" w:rsidRPr="00432926">
        <w:rPr>
          <w:rFonts w:cs="Times New Roman"/>
          <w:bCs/>
          <w:vertAlign w:val="superscript"/>
          <w:lang w:val="en-US"/>
        </w:rPr>
        <w:t>3 19 20</w:t>
      </w:r>
      <w:r w:rsidR="00ED25EA" w:rsidRPr="00432926">
        <w:fldChar w:fldCharType="end"/>
      </w:r>
      <w:r w:rsidR="00E932F1" w:rsidRPr="00432926">
        <w:t xml:space="preserve">. </w:t>
      </w:r>
      <w:r w:rsidR="00B75CD4" w:rsidRPr="00432926">
        <w:t>Yet</w:t>
      </w:r>
      <w:r w:rsidR="00E932F1" w:rsidRPr="00432926">
        <w:t xml:space="preserve">, most </w:t>
      </w:r>
      <w:r w:rsidR="0098303D" w:rsidRPr="00432926">
        <w:t>contemporary</w:t>
      </w:r>
      <w:r w:rsidR="00E932F1" w:rsidRPr="00432926">
        <w:t xml:space="preserve"> studies in the current era of </w:t>
      </w:r>
      <w:r w:rsidR="00D148B6" w:rsidRPr="00432926">
        <w:t xml:space="preserve">the </w:t>
      </w:r>
      <w:r w:rsidR="00E932F1" w:rsidRPr="00432926">
        <w:t>COVID19 pandemic have focuse</w:t>
      </w:r>
      <w:r w:rsidR="00B75CD4" w:rsidRPr="00432926">
        <w:t>d</w:t>
      </w:r>
      <w:r w:rsidR="0098303D" w:rsidRPr="00432926">
        <w:t xml:space="preserve"> directly</w:t>
      </w:r>
      <w:r w:rsidR="00E932F1" w:rsidRPr="00432926">
        <w:t xml:space="preserve"> </w:t>
      </w:r>
      <w:r w:rsidR="00B75CD4" w:rsidRPr="00432926">
        <w:t>only</w:t>
      </w:r>
      <w:r w:rsidR="0098303D" w:rsidRPr="00432926">
        <w:t xml:space="preserve"> on </w:t>
      </w:r>
      <w:r w:rsidR="00E932F1" w:rsidRPr="00432926">
        <w:t xml:space="preserve">characteristics and outcomes of BAME </w:t>
      </w:r>
      <w:r w:rsidR="00855A9E" w:rsidRPr="00432926">
        <w:t>patients</w:t>
      </w:r>
      <w:r w:rsidR="0098303D" w:rsidRPr="00432926">
        <w:t xml:space="preserve"> with COVID19</w:t>
      </w:r>
      <w:r w:rsidR="00B75CD4" w:rsidRPr="00432926">
        <w:t xml:space="preserve"> infection</w:t>
      </w:r>
      <w:r w:rsidR="0098303D" w:rsidRPr="00432926">
        <w:t>.</w:t>
      </w:r>
      <w:r w:rsidR="00E932F1" w:rsidRPr="00432926">
        <w:t xml:space="preserve"> </w:t>
      </w:r>
      <w:r w:rsidR="00034B35" w:rsidRPr="00432926">
        <w:t>However, i</w:t>
      </w:r>
      <w:r w:rsidR="00E932F1" w:rsidRPr="00432926">
        <w:t xml:space="preserve">t is possible that </w:t>
      </w:r>
      <w:r w:rsidR="00034B35" w:rsidRPr="00432926">
        <w:t xml:space="preserve">established </w:t>
      </w:r>
      <w:r w:rsidR="00E932F1" w:rsidRPr="00432926">
        <w:t xml:space="preserve">differences in the cardiovascular care and outcomes of BAME communities in AMI </w:t>
      </w:r>
      <w:r w:rsidR="00855A9E" w:rsidRPr="00432926">
        <w:t xml:space="preserve">may </w:t>
      </w:r>
      <w:r w:rsidR="00E932F1" w:rsidRPr="00432926">
        <w:t xml:space="preserve">have </w:t>
      </w:r>
      <w:r w:rsidR="00855A9E" w:rsidRPr="00432926">
        <w:t xml:space="preserve">been </w:t>
      </w:r>
      <w:r w:rsidR="00E932F1" w:rsidRPr="00432926">
        <w:t>further exacerbated during the COVID19 pandemic.</w:t>
      </w:r>
      <w:r w:rsidR="00B5643D" w:rsidRPr="00432926">
        <w:t xml:space="preserve"> </w:t>
      </w:r>
      <w:r w:rsidR="0055165F" w:rsidRPr="00432926">
        <w:t xml:space="preserve"> </w:t>
      </w:r>
    </w:p>
    <w:p w14:paraId="29737824" w14:textId="54E8A0D2" w:rsidR="00E932F1" w:rsidRPr="00432926" w:rsidRDefault="00F34BDC" w:rsidP="00CB00B1">
      <w:pPr>
        <w:spacing w:line="360" w:lineRule="auto"/>
        <w:jc w:val="both"/>
      </w:pPr>
      <w:r w:rsidRPr="00432926">
        <w:lastRenderedPageBreak/>
        <w:t>Using linked records from nationwide registries, this study sought to define the characteristics, treatments and outcomes</w:t>
      </w:r>
      <w:r w:rsidR="00D91870" w:rsidRPr="00432926">
        <w:t xml:space="preserve"> </w:t>
      </w:r>
      <w:r w:rsidRPr="00432926">
        <w:t xml:space="preserve">of </w:t>
      </w:r>
      <w:r w:rsidR="00D91870" w:rsidRPr="00432926">
        <w:t>BAME</w:t>
      </w:r>
      <w:r w:rsidRPr="00432926">
        <w:t xml:space="preserve"> patients</w:t>
      </w:r>
      <w:r w:rsidR="00E932F1" w:rsidRPr="00432926">
        <w:t xml:space="preserve"> </w:t>
      </w:r>
      <w:r w:rsidR="00BA1B9F" w:rsidRPr="00432926">
        <w:t>hospitalised</w:t>
      </w:r>
      <w:r w:rsidR="00F73252" w:rsidRPr="00432926">
        <w:t xml:space="preserve"> with a </w:t>
      </w:r>
      <w:r w:rsidR="00D91870" w:rsidRPr="00432926">
        <w:t xml:space="preserve">diagnosis of AMI in England, </w:t>
      </w:r>
      <w:r w:rsidR="00E932F1" w:rsidRPr="00432926">
        <w:t xml:space="preserve">compared to </w:t>
      </w:r>
      <w:r w:rsidR="00D148B6" w:rsidRPr="00432926">
        <w:t xml:space="preserve">the </w:t>
      </w:r>
      <w:r w:rsidR="00E932F1" w:rsidRPr="00432926">
        <w:t>white</w:t>
      </w:r>
      <w:r w:rsidR="00D148B6" w:rsidRPr="00432926">
        <w:t xml:space="preserve"> population</w:t>
      </w:r>
      <w:r w:rsidR="00E932F1" w:rsidRPr="00432926">
        <w:t xml:space="preserve"> before and during the current COVID19 pandemic.</w:t>
      </w:r>
      <w:r w:rsidR="0055165F" w:rsidRPr="00432926">
        <w:t xml:space="preserve"> </w:t>
      </w:r>
    </w:p>
    <w:p w14:paraId="4DD4D3D8" w14:textId="25C0C3EB" w:rsidR="000311D4" w:rsidRPr="00432926" w:rsidRDefault="000311D4" w:rsidP="00CB00B1">
      <w:pPr>
        <w:spacing w:line="360" w:lineRule="auto"/>
        <w:jc w:val="both"/>
        <w:rPr>
          <w:b/>
        </w:rPr>
      </w:pPr>
      <w:r w:rsidRPr="00432926">
        <w:rPr>
          <w:b/>
        </w:rPr>
        <w:t>Met</w:t>
      </w:r>
      <w:r w:rsidR="00DA28FE" w:rsidRPr="00432926">
        <w:rPr>
          <w:b/>
        </w:rPr>
        <w:t>hods:</w:t>
      </w:r>
    </w:p>
    <w:p w14:paraId="78CFEC58" w14:textId="77777777" w:rsidR="00ED25EA" w:rsidRPr="00432926" w:rsidRDefault="00ED25EA" w:rsidP="00CB00B1">
      <w:pPr>
        <w:spacing w:line="360" w:lineRule="auto"/>
        <w:jc w:val="both"/>
        <w:rPr>
          <w:i/>
        </w:rPr>
      </w:pPr>
      <w:r w:rsidRPr="00432926">
        <w:rPr>
          <w:i/>
        </w:rPr>
        <w:t xml:space="preserve">Study data: </w:t>
      </w:r>
    </w:p>
    <w:p w14:paraId="3C1E01D4" w14:textId="6F062B55" w:rsidR="00812293" w:rsidRPr="00432926" w:rsidRDefault="00ED25EA" w:rsidP="00CB00B1">
      <w:pPr>
        <w:spacing w:line="360" w:lineRule="auto"/>
        <w:jc w:val="both"/>
      </w:pPr>
      <w:r w:rsidRPr="00432926">
        <w:t xml:space="preserve">The </w:t>
      </w:r>
      <w:r w:rsidR="00F34BDC" w:rsidRPr="00432926">
        <w:t xml:space="preserve">individual patients level </w:t>
      </w:r>
      <w:r w:rsidRPr="00432926">
        <w:t>data for this study were acquired from</w:t>
      </w:r>
      <w:r w:rsidR="00F34BDC" w:rsidRPr="00432926">
        <w:t xml:space="preserve"> three </w:t>
      </w:r>
      <w:r w:rsidR="00F73252" w:rsidRPr="00432926">
        <w:t>large national registries in</w:t>
      </w:r>
      <w:r w:rsidR="00F34BDC" w:rsidRPr="00432926">
        <w:t xml:space="preserve"> E</w:t>
      </w:r>
      <w:r w:rsidR="00DB153F" w:rsidRPr="00432926">
        <w:t>ngland. T</w:t>
      </w:r>
      <w:r w:rsidR="00F34BDC" w:rsidRPr="00432926">
        <w:t>he Myocardial Ischaemia National Audit Project</w:t>
      </w:r>
      <w:r w:rsidR="0018701B" w:rsidRPr="00432926">
        <w:t xml:space="preserve"> </w:t>
      </w:r>
      <w:r w:rsidR="00F34BDC" w:rsidRPr="00432926">
        <w:t>(</w:t>
      </w:r>
      <w:r w:rsidR="005F4B79" w:rsidRPr="00432926">
        <w:t>MINAP</w:t>
      </w:r>
      <w:r w:rsidR="00F34BDC" w:rsidRPr="00432926">
        <w:t>)</w:t>
      </w:r>
      <w:r w:rsidR="005F4B79" w:rsidRPr="00432926">
        <w:t xml:space="preserve"> </w:t>
      </w:r>
      <w:r w:rsidR="0018701B" w:rsidRPr="00432926">
        <w:t xml:space="preserve">nationwide </w:t>
      </w:r>
      <w:r w:rsidR="005F4B79" w:rsidRPr="00432926">
        <w:t>registry,</w:t>
      </w:r>
      <w:r w:rsidR="00F34BDC" w:rsidRPr="00432926">
        <w:t xml:space="preserve"> the only whole-country AMI</w:t>
      </w:r>
      <w:r w:rsidR="00DB153F" w:rsidRPr="00432926">
        <w:t xml:space="preserve"> registry, prospectively collects detailed information about characteristics, quality of care and in-hospital outcomes of patients </w:t>
      </w:r>
      <w:r w:rsidR="00BA1B9F" w:rsidRPr="00432926">
        <w:t>hospitalised</w:t>
      </w:r>
      <w:r w:rsidR="00DB153F" w:rsidRPr="00432926">
        <w:t xml:space="preserve"> across England</w:t>
      </w:r>
      <w:r w:rsidR="0055165F" w:rsidRPr="00432926">
        <w:t xml:space="preserve"> </w:t>
      </w:r>
      <w:r w:rsidR="00F34BDC" w:rsidRPr="00432926">
        <w:t>in a single health</w:t>
      </w:r>
      <w:r w:rsidR="00DB153F" w:rsidRPr="00432926">
        <w:t>care</w:t>
      </w:r>
      <w:r w:rsidR="00F34BDC" w:rsidRPr="00432926">
        <w:t xml:space="preserve"> system (the National Hea</w:t>
      </w:r>
      <w:r w:rsidR="00DB153F" w:rsidRPr="00432926">
        <w:t>lth Service-NHS)</w:t>
      </w:r>
      <w:r w:rsidR="005F4B79" w:rsidRPr="00432926">
        <w:t xml:space="preserve"> </w:t>
      </w:r>
      <w:r w:rsidR="007F0827" w:rsidRPr="00432926">
        <w:fldChar w:fldCharType="begin"/>
      </w:r>
      <w:r w:rsidR="007D00F6" w:rsidRPr="00432926">
        <w:instrText>ADDIN RW.CITE{{doc:5eb19a44e4b0af1dbaa6a6ef Mohamed,M.O. 2019; doc:5eb19ceee4b00af8231e09b6 Rashid,M 2020; doc:5ed0439ae4b0d3233793becd Wilkinson,C 2020}}</w:instrText>
      </w:r>
      <w:r w:rsidR="007F0827" w:rsidRPr="00432926">
        <w:fldChar w:fldCharType="separate"/>
      </w:r>
      <w:r w:rsidR="007D00F6" w:rsidRPr="00432926">
        <w:rPr>
          <w:rFonts w:cs="Times New Roman"/>
          <w:bCs/>
          <w:vertAlign w:val="superscript"/>
          <w:lang w:val="en-US"/>
        </w:rPr>
        <w:t>21-23</w:t>
      </w:r>
      <w:r w:rsidR="007F0827" w:rsidRPr="00432926">
        <w:fldChar w:fldCharType="end"/>
      </w:r>
      <w:r w:rsidR="00DB153F" w:rsidRPr="00432926">
        <w:t>. The</w:t>
      </w:r>
      <w:r w:rsidR="006D1A38" w:rsidRPr="00432926">
        <w:t xml:space="preserve"> British Cardiovascular Intervention Society (BCIS) national audit database</w:t>
      </w:r>
      <w:r w:rsidR="00DB153F" w:rsidRPr="00432926">
        <w:t xml:space="preserve"> hold</w:t>
      </w:r>
      <w:r w:rsidR="00F73252" w:rsidRPr="00432926">
        <w:t>s</w:t>
      </w:r>
      <w:r w:rsidR="00DB153F" w:rsidRPr="00432926">
        <w:t xml:space="preserve"> the information regarding</w:t>
      </w:r>
      <w:r w:rsidR="006D1A38" w:rsidRPr="00432926">
        <w:t xml:space="preserve"> the procedural characteristics</w:t>
      </w:r>
      <w:r w:rsidR="00DB153F" w:rsidRPr="00432926">
        <w:t>, procedural treatment</w:t>
      </w:r>
      <w:r w:rsidR="006D1A38" w:rsidRPr="00432926">
        <w:t xml:space="preserve"> and outcomes of </w:t>
      </w:r>
      <w:r w:rsidR="00DB153F" w:rsidRPr="00432926">
        <w:t>the</w:t>
      </w:r>
      <w:r w:rsidR="006D1A38" w:rsidRPr="00432926">
        <w:t xml:space="preserve"> patients</w:t>
      </w:r>
      <w:r w:rsidR="00DB153F" w:rsidRPr="00432926">
        <w:t xml:space="preserve"> undergoing </w:t>
      </w:r>
      <w:r w:rsidR="00A52E50" w:rsidRPr="00432926">
        <w:t>percutaneous coronary intervention (</w:t>
      </w:r>
      <w:r w:rsidR="00DB153F" w:rsidRPr="00432926">
        <w:t>PCI</w:t>
      </w:r>
      <w:r w:rsidR="00A52E50" w:rsidRPr="00432926">
        <w:t>)</w:t>
      </w:r>
      <w:r w:rsidR="00DB153F" w:rsidRPr="00432926">
        <w:t xml:space="preserve"> in the England </w:t>
      </w:r>
      <w:r w:rsidR="006D1A38" w:rsidRPr="00432926">
        <w:fldChar w:fldCharType="begin"/>
      </w:r>
      <w:r w:rsidR="007D00F6" w:rsidRPr="00432926">
        <w:instrText>ADDIN RW.CITE{{doc:5eb19a44e4b0af1dbaa6a6af Rashid,M. 2019}}</w:instrText>
      </w:r>
      <w:r w:rsidR="006D1A38" w:rsidRPr="00432926">
        <w:fldChar w:fldCharType="separate"/>
      </w:r>
      <w:r w:rsidR="007D00F6" w:rsidRPr="00432926">
        <w:rPr>
          <w:rFonts w:cs="Times New Roman"/>
          <w:bCs/>
          <w:vertAlign w:val="superscript"/>
          <w:lang w:val="en-US"/>
        </w:rPr>
        <w:t>24</w:t>
      </w:r>
      <w:r w:rsidR="006D1A38" w:rsidRPr="00432926">
        <w:fldChar w:fldCharType="end"/>
      </w:r>
      <w:r w:rsidR="006D1A38" w:rsidRPr="00432926">
        <w:t>.</w:t>
      </w:r>
      <w:r w:rsidR="0055165F" w:rsidRPr="00432926">
        <w:t xml:space="preserve"> </w:t>
      </w:r>
      <w:r w:rsidR="00DB153F" w:rsidRPr="00432926">
        <w:t>Finally, country wide information regarding the mortality status of all individual is recorded</w:t>
      </w:r>
      <w:r w:rsidR="00A3153D" w:rsidRPr="00432926">
        <w:t xml:space="preserve"> in the</w:t>
      </w:r>
      <w:r w:rsidR="00DB153F" w:rsidRPr="00432926">
        <w:t xml:space="preserve"> Civil </w:t>
      </w:r>
      <w:r w:rsidR="00A3153D" w:rsidRPr="00432926">
        <w:t>registration system. The linkage of records across the three national registries was performed using a unique NHS number.</w:t>
      </w:r>
      <w:r w:rsidR="0055165F" w:rsidRPr="00432926">
        <w:t xml:space="preserve"> </w:t>
      </w:r>
    </w:p>
    <w:p w14:paraId="55213F77" w14:textId="7109C86E" w:rsidR="00812293" w:rsidRPr="00432926" w:rsidRDefault="00812293" w:rsidP="00CB00B1">
      <w:pPr>
        <w:spacing w:line="360" w:lineRule="auto"/>
        <w:jc w:val="both"/>
        <w:rPr>
          <w:i/>
        </w:rPr>
      </w:pPr>
      <w:r w:rsidRPr="00432926">
        <w:rPr>
          <w:i/>
        </w:rPr>
        <w:t>Ethical approval</w:t>
      </w:r>
    </w:p>
    <w:p w14:paraId="5BAAD4DE" w14:textId="544721CC" w:rsidR="00ED25EA" w:rsidRPr="00432926" w:rsidRDefault="005F4B79" w:rsidP="00812293">
      <w:pPr>
        <w:spacing w:line="360" w:lineRule="auto"/>
        <w:jc w:val="both"/>
      </w:pPr>
      <w:r w:rsidRPr="00432926">
        <w:t>The</w:t>
      </w:r>
      <w:r w:rsidR="00A3153D" w:rsidRPr="00432926">
        <w:t xml:space="preserve"> MINAP and BCIS</w:t>
      </w:r>
      <w:r w:rsidRPr="00432926">
        <w:t xml:space="preserve"> data are collected and hosted by </w:t>
      </w:r>
      <w:r w:rsidR="00D148B6" w:rsidRPr="00432926">
        <w:t xml:space="preserve">the </w:t>
      </w:r>
      <w:r w:rsidRPr="00432926">
        <w:t xml:space="preserve">National Institute of Cardiovascular </w:t>
      </w:r>
      <w:r w:rsidR="00B5643D" w:rsidRPr="00432926">
        <w:t xml:space="preserve">Outcomes </w:t>
      </w:r>
      <w:r w:rsidRPr="00432926">
        <w:t xml:space="preserve">Research (NICOR) </w:t>
      </w:r>
      <w:r w:rsidR="006D1A38" w:rsidRPr="00432926">
        <w:t xml:space="preserve">and used for audit and research purposes without formal individual patient consent under section 251 </w:t>
      </w:r>
      <w:r w:rsidR="00C20411" w:rsidRPr="00432926">
        <w:t xml:space="preserve">of </w:t>
      </w:r>
      <w:r w:rsidR="00D148B6" w:rsidRPr="00432926">
        <w:t xml:space="preserve">the </w:t>
      </w:r>
      <w:r w:rsidR="00C20411" w:rsidRPr="00432926">
        <w:t>NHS</w:t>
      </w:r>
      <w:r w:rsidR="006D1A38" w:rsidRPr="00432926">
        <w:t xml:space="preserve"> Act 2006.</w:t>
      </w:r>
      <w:r w:rsidR="009E7C19" w:rsidRPr="00432926">
        <w:t xml:space="preserve"> Therefore, study was exempted from formal ethical approval. </w:t>
      </w:r>
      <w:r w:rsidR="00A3153D" w:rsidRPr="00432926">
        <w:t>Furthermore, the contemporary death data linkage was granted by legal premise (under COVID-19 public health NHS England Directions 2020 conferred by section 254 of the Health and Social Care Act 2012) and expedited through NHS Digital.</w:t>
      </w:r>
      <w:r w:rsidR="00812293" w:rsidRPr="00432926">
        <w:t xml:space="preserve"> The Secretary of State for Health and Social Care h</w:t>
      </w:r>
      <w:r w:rsidR="009E7C19" w:rsidRPr="00432926">
        <w:t xml:space="preserve">as issued a time limited Notice </w:t>
      </w:r>
      <w:r w:rsidR="00812293" w:rsidRPr="00432926">
        <w:t>under Regulation 3(4) of the NHS (Control of Patient Information Regulations)</w:t>
      </w:r>
      <w:r w:rsidR="009E7C19" w:rsidRPr="00432926">
        <w:t xml:space="preserve"> 2002 </w:t>
      </w:r>
      <w:r w:rsidR="00812293" w:rsidRPr="00432926">
        <w:t>(COPI) to share confidential patient informati</w:t>
      </w:r>
      <w:r w:rsidR="009E7C19" w:rsidRPr="00432926">
        <w:t xml:space="preserve">on. The study complies with the </w:t>
      </w:r>
      <w:r w:rsidR="00812293" w:rsidRPr="00432926">
        <w:t>Declaration of Helsinki.</w:t>
      </w:r>
      <w:r w:rsidR="009E7C19" w:rsidRPr="00432926">
        <w:t xml:space="preserve">  </w:t>
      </w:r>
    </w:p>
    <w:p w14:paraId="43B52DE0" w14:textId="77777777" w:rsidR="000311D4" w:rsidRPr="00432926" w:rsidRDefault="00C20411" w:rsidP="00CB00B1">
      <w:pPr>
        <w:spacing w:line="360" w:lineRule="auto"/>
        <w:jc w:val="both"/>
        <w:rPr>
          <w:i/>
        </w:rPr>
      </w:pPr>
      <w:r w:rsidRPr="00432926">
        <w:rPr>
          <w:i/>
        </w:rPr>
        <w:t>Study population</w:t>
      </w:r>
      <w:r w:rsidR="001241CE" w:rsidRPr="00432926">
        <w:rPr>
          <w:i/>
        </w:rPr>
        <w:t xml:space="preserve"> and outcomes</w:t>
      </w:r>
    </w:p>
    <w:p w14:paraId="1961E080" w14:textId="4E296EFA" w:rsidR="000963DC" w:rsidRPr="00432926" w:rsidRDefault="00C20411" w:rsidP="00CB00B1">
      <w:pPr>
        <w:spacing w:line="360" w:lineRule="auto"/>
        <w:jc w:val="both"/>
      </w:pPr>
      <w:r w:rsidRPr="00432926">
        <w:t>The analytical cohort for this study consisted of adult</w:t>
      </w:r>
      <w:r w:rsidR="006C6080" w:rsidRPr="00432926">
        <w:t>s</w:t>
      </w:r>
      <w:r w:rsidRPr="00432926">
        <w:t xml:space="preserve"> </w:t>
      </w:r>
      <w:r w:rsidR="006C6080" w:rsidRPr="00432926">
        <w:t>(</w:t>
      </w:r>
      <w:r w:rsidRPr="00432926">
        <w:t>age</w:t>
      </w:r>
      <w:r w:rsidR="006C6080" w:rsidRPr="00432926">
        <w:t>d</w:t>
      </w:r>
      <w:r w:rsidRPr="00432926">
        <w:t xml:space="preserve"> </w:t>
      </w:r>
      <w:r w:rsidR="00A3153D" w:rsidRPr="00432926">
        <w:rPr>
          <w:rFonts w:cs="Times New Roman"/>
        </w:rPr>
        <w:t>≥</w:t>
      </w:r>
      <w:r w:rsidR="00A3153D" w:rsidRPr="00432926">
        <w:t>1</w:t>
      </w:r>
      <w:r w:rsidRPr="00432926">
        <w:t>8 years</w:t>
      </w:r>
      <w:r w:rsidR="006C6080" w:rsidRPr="00432926">
        <w:t>)</w:t>
      </w:r>
      <w:r w:rsidRPr="00432926">
        <w:t xml:space="preserve"> </w:t>
      </w:r>
      <w:r w:rsidR="00BA1B9F" w:rsidRPr="00432926">
        <w:t>hospitalised</w:t>
      </w:r>
      <w:r w:rsidRPr="00432926">
        <w:t xml:space="preserve"> with a diagnosis of AMI between 1</w:t>
      </w:r>
      <w:r w:rsidRPr="00432926">
        <w:rPr>
          <w:vertAlign w:val="superscript"/>
        </w:rPr>
        <w:t>st</w:t>
      </w:r>
      <w:r w:rsidRPr="00432926">
        <w:t xml:space="preserve"> January 2017 to 27</w:t>
      </w:r>
      <w:r w:rsidRPr="00432926">
        <w:rPr>
          <w:vertAlign w:val="superscript"/>
        </w:rPr>
        <w:t>th</w:t>
      </w:r>
      <w:r w:rsidRPr="00432926">
        <w:t xml:space="preserve"> May 2020</w:t>
      </w:r>
      <w:r w:rsidR="00A3153D" w:rsidRPr="00432926">
        <w:t xml:space="preserve"> in the MINAP registry</w:t>
      </w:r>
      <w:r w:rsidRPr="00432926">
        <w:t xml:space="preserve">. </w:t>
      </w:r>
      <w:r w:rsidR="0094603D" w:rsidRPr="00432926">
        <w:t>In addition to ethnicity, we collected information regarding demographics, important cardiovascular comorbidities</w:t>
      </w:r>
      <w:r w:rsidR="00F957F1" w:rsidRPr="00432926">
        <w:t>,</w:t>
      </w:r>
      <w:r w:rsidR="0094603D" w:rsidRPr="00432926">
        <w:t xml:space="preserve"> presenting clinical ch</w:t>
      </w:r>
      <w:r w:rsidR="00F517C1" w:rsidRPr="00432926">
        <w:t xml:space="preserve">aracteristics, </w:t>
      </w:r>
      <w:r w:rsidR="0094603D" w:rsidRPr="00432926">
        <w:t xml:space="preserve">in-hospital pharmacology, </w:t>
      </w:r>
      <w:r w:rsidR="0094603D" w:rsidRPr="00432926">
        <w:lastRenderedPageBreak/>
        <w:t>reperfusion and invasive treatments</w:t>
      </w:r>
      <w:r w:rsidR="00F957F1" w:rsidRPr="00432926">
        <w:t>,</w:t>
      </w:r>
      <w:r w:rsidR="0094603D" w:rsidRPr="00432926">
        <w:t xml:space="preserve"> such as coronary angiography and percutaneous coronary intervention (PCI)</w:t>
      </w:r>
      <w:r w:rsidR="00F957F1" w:rsidRPr="00432926">
        <w:t>,</w:t>
      </w:r>
      <w:r w:rsidR="00A51312" w:rsidRPr="00432926">
        <w:t xml:space="preserve"> and in-hospital death</w:t>
      </w:r>
      <w:r w:rsidR="0028347F" w:rsidRPr="00432926">
        <w:t>. The MINAP registry does not capture</w:t>
      </w:r>
      <w:r w:rsidR="00A51312" w:rsidRPr="00432926">
        <w:t xml:space="preserve"> COVID19 infection status of the patients included in this study.</w:t>
      </w:r>
      <w:r w:rsidR="00630768" w:rsidRPr="00432926">
        <w:t xml:space="preserve"> </w:t>
      </w:r>
      <w:r w:rsidR="004675C3" w:rsidRPr="00432926">
        <w:t xml:space="preserve">Patients with missing information on </w:t>
      </w:r>
      <w:r w:rsidR="0055165F" w:rsidRPr="00432926">
        <w:t>sex, ethnicity</w:t>
      </w:r>
      <w:r w:rsidR="007C6435" w:rsidRPr="00432926">
        <w:t xml:space="preserve"> and re-admission within 30-days of the index admission were excluded</w:t>
      </w:r>
      <w:r w:rsidR="00F957F1" w:rsidRPr="00432926">
        <w:t xml:space="preserve">. </w:t>
      </w:r>
      <w:r w:rsidR="008B2A71" w:rsidRPr="00432926">
        <w:t xml:space="preserve">As </w:t>
      </w:r>
      <w:r w:rsidR="00F73252" w:rsidRPr="00432926">
        <w:t xml:space="preserve">the </w:t>
      </w:r>
      <w:r w:rsidR="0055165F" w:rsidRPr="00432926">
        <w:t xml:space="preserve">NHS patient ID was required to link the individual patient record across the datasets, patients with missing NHS ID were also excluded. </w:t>
      </w:r>
      <w:r w:rsidR="00F957F1" w:rsidRPr="00432926">
        <w:t>Readmission within 30 days was excluded because</w:t>
      </w:r>
      <w:r w:rsidR="00A3153D" w:rsidRPr="00432926">
        <w:t xml:space="preserve"> </w:t>
      </w:r>
      <w:r w:rsidR="00F957F1" w:rsidRPr="00432926">
        <w:t>it was</w:t>
      </w:r>
      <w:r w:rsidR="00F517C1" w:rsidRPr="00432926">
        <w:t xml:space="preserve"> considered </w:t>
      </w:r>
      <w:r w:rsidR="0055165F" w:rsidRPr="00432926">
        <w:t xml:space="preserve">to be </w:t>
      </w:r>
      <w:r w:rsidR="00F517C1" w:rsidRPr="00432926">
        <w:t xml:space="preserve">a complication from the index admission </w:t>
      </w:r>
      <w:r w:rsidR="007C6435" w:rsidRPr="00432926">
        <w:t xml:space="preserve">(Supplementary figure 1). </w:t>
      </w:r>
      <w:r w:rsidR="001241CE" w:rsidRPr="00432926">
        <w:t xml:space="preserve">Ethnicity recorded as Black, Asian and other minorities in the MINAP registry were defined as </w:t>
      </w:r>
      <w:r w:rsidR="00D148B6" w:rsidRPr="00432926">
        <w:t xml:space="preserve">the </w:t>
      </w:r>
      <w:r w:rsidR="001241CE" w:rsidRPr="00432926">
        <w:t xml:space="preserve">BAME group. </w:t>
      </w:r>
      <w:r w:rsidR="007C6435" w:rsidRPr="00432926">
        <w:t>To compare the trends before and during the COVID19 pandemic, patients admitted between 1</w:t>
      </w:r>
      <w:r w:rsidR="007C6435" w:rsidRPr="00432926">
        <w:rPr>
          <w:vertAlign w:val="superscript"/>
        </w:rPr>
        <w:t>st</w:t>
      </w:r>
      <w:r w:rsidR="007F0827" w:rsidRPr="00432926">
        <w:t xml:space="preserve"> February</w:t>
      </w:r>
      <w:r w:rsidR="00A52E50" w:rsidRPr="00432926">
        <w:t xml:space="preserve"> 2020</w:t>
      </w:r>
      <w:r w:rsidR="007C6435" w:rsidRPr="00432926">
        <w:t xml:space="preserve"> and 27</w:t>
      </w:r>
      <w:r w:rsidR="007C6435" w:rsidRPr="00432926">
        <w:rPr>
          <w:vertAlign w:val="superscript"/>
        </w:rPr>
        <w:t>th</w:t>
      </w:r>
      <w:r w:rsidR="00C368C7" w:rsidRPr="00432926">
        <w:t xml:space="preserve"> May 2020 were defined as </w:t>
      </w:r>
      <w:r w:rsidR="00476DA6" w:rsidRPr="00432926">
        <w:t xml:space="preserve">the </w:t>
      </w:r>
      <w:r w:rsidR="00B67960" w:rsidRPr="00432926">
        <w:t>“</w:t>
      </w:r>
      <w:r w:rsidR="00C368C7" w:rsidRPr="00432926">
        <w:t>COVID19</w:t>
      </w:r>
      <w:r w:rsidR="00B67960" w:rsidRPr="00432926">
        <w:t>”</w:t>
      </w:r>
      <w:r w:rsidR="00C368C7" w:rsidRPr="00432926">
        <w:t xml:space="preserve"> </w:t>
      </w:r>
      <w:r w:rsidR="00476DA6" w:rsidRPr="00432926">
        <w:t xml:space="preserve">period </w:t>
      </w:r>
      <w:r w:rsidR="00C368C7" w:rsidRPr="00432926">
        <w:t xml:space="preserve">group </w:t>
      </w:r>
      <w:r w:rsidR="0094798D" w:rsidRPr="00432926">
        <w:t>(</w:t>
      </w:r>
      <w:r w:rsidR="00D148B6" w:rsidRPr="00432926">
        <w:t>the f</w:t>
      </w:r>
      <w:r w:rsidR="0094798D" w:rsidRPr="00432926">
        <w:t xml:space="preserve">irst COVID19 case </w:t>
      </w:r>
      <w:r w:rsidR="00D148B6" w:rsidRPr="00432926">
        <w:t xml:space="preserve">was </w:t>
      </w:r>
      <w:r w:rsidR="0094798D" w:rsidRPr="00432926">
        <w:t>reported on 28</w:t>
      </w:r>
      <w:r w:rsidR="0094798D" w:rsidRPr="00432926">
        <w:rPr>
          <w:vertAlign w:val="superscript"/>
        </w:rPr>
        <w:t>th</w:t>
      </w:r>
      <w:r w:rsidR="0094798D" w:rsidRPr="00432926">
        <w:t xml:space="preserve"> January 2020 in England)</w:t>
      </w:r>
      <w:r w:rsidR="00B67960" w:rsidRPr="00432926">
        <w:t>,</w:t>
      </w:r>
      <w:r w:rsidR="0094798D" w:rsidRPr="00432926">
        <w:t xml:space="preserve"> </w:t>
      </w:r>
      <w:r w:rsidR="00C368C7" w:rsidRPr="00432926">
        <w:t>whereas a comparat</w:t>
      </w:r>
      <w:r w:rsidR="0055165F" w:rsidRPr="00432926">
        <w:t xml:space="preserve">ive group of patients </w:t>
      </w:r>
      <w:r w:rsidR="00BA1B9F" w:rsidRPr="00432926">
        <w:t>hospitalised</w:t>
      </w:r>
      <w:r w:rsidR="00C368C7" w:rsidRPr="00432926">
        <w:t xml:space="preserve"> during the same period (1</w:t>
      </w:r>
      <w:r w:rsidR="00C368C7" w:rsidRPr="00432926">
        <w:rPr>
          <w:vertAlign w:val="superscript"/>
        </w:rPr>
        <w:t>st</w:t>
      </w:r>
      <w:r w:rsidR="00C368C7" w:rsidRPr="00432926">
        <w:t xml:space="preserve"> </w:t>
      </w:r>
      <w:r w:rsidR="007F0827" w:rsidRPr="00432926">
        <w:t>February</w:t>
      </w:r>
      <w:r w:rsidR="00C368C7" w:rsidRPr="00432926">
        <w:t xml:space="preserve"> to 27</w:t>
      </w:r>
      <w:r w:rsidR="00C368C7" w:rsidRPr="00432926">
        <w:rPr>
          <w:vertAlign w:val="superscript"/>
        </w:rPr>
        <w:t>th</w:t>
      </w:r>
      <w:r w:rsidR="00FB17D0" w:rsidRPr="00432926">
        <w:t xml:space="preserve"> May</w:t>
      </w:r>
      <w:r w:rsidR="00C368C7" w:rsidRPr="00432926">
        <w:t xml:space="preserve">) in each of the last three consecutive years, 2017-2019 were grouped as </w:t>
      </w:r>
      <w:r w:rsidR="00D148B6" w:rsidRPr="00432926">
        <w:t xml:space="preserve">the </w:t>
      </w:r>
      <w:r w:rsidR="00B67960" w:rsidRPr="00432926">
        <w:t>“</w:t>
      </w:r>
      <w:r w:rsidR="00C368C7" w:rsidRPr="00432926">
        <w:t>pre</w:t>
      </w:r>
      <w:r w:rsidR="00D148B6" w:rsidRPr="00432926">
        <w:t>-</w:t>
      </w:r>
      <w:r w:rsidR="00C368C7" w:rsidRPr="00432926">
        <w:t>COVID19</w:t>
      </w:r>
      <w:r w:rsidR="00B67960" w:rsidRPr="00432926">
        <w:t>”</w:t>
      </w:r>
      <w:r w:rsidR="00D148B6" w:rsidRPr="00432926">
        <w:t xml:space="preserve"> group</w:t>
      </w:r>
      <w:r w:rsidR="007C6435" w:rsidRPr="00432926">
        <w:t xml:space="preserve">. To study the procedural </w:t>
      </w:r>
      <w:r w:rsidR="001241CE" w:rsidRPr="00432926">
        <w:t xml:space="preserve">characteristics of patients, we linked the records of all patients in the MINAP registry during the study period with </w:t>
      </w:r>
      <w:r w:rsidR="00D148B6" w:rsidRPr="00432926">
        <w:t xml:space="preserve">the </w:t>
      </w:r>
      <w:r w:rsidR="001241CE" w:rsidRPr="00432926">
        <w:t xml:space="preserve">BCIS PCI registry using </w:t>
      </w:r>
      <w:r w:rsidR="00181DE2" w:rsidRPr="00432926">
        <w:t xml:space="preserve">the </w:t>
      </w:r>
      <w:r w:rsidR="00A3153D" w:rsidRPr="00432926">
        <w:t xml:space="preserve">unique NHS patient ID. The in-hospital and </w:t>
      </w:r>
      <w:r w:rsidR="0055165F" w:rsidRPr="00432926">
        <w:t>7-day</w:t>
      </w:r>
      <w:r w:rsidR="00A3153D" w:rsidRPr="00432926">
        <w:t xml:space="preserve"> mortality information for each patient was tracked from civil death register using the same unique NHS patient ID.</w:t>
      </w:r>
      <w:r w:rsidR="0055165F" w:rsidRPr="00432926">
        <w:t xml:space="preserve"> </w:t>
      </w:r>
    </w:p>
    <w:p w14:paraId="18ADD36D" w14:textId="5C3A6589" w:rsidR="00C20411" w:rsidRPr="00432926" w:rsidRDefault="001241CE" w:rsidP="00CB00B1">
      <w:pPr>
        <w:spacing w:line="360" w:lineRule="auto"/>
        <w:jc w:val="both"/>
      </w:pPr>
      <w:r w:rsidRPr="00432926">
        <w:t>The primary outcome was in-</w:t>
      </w:r>
      <w:r w:rsidR="0055165F" w:rsidRPr="00432926">
        <w:t>hospital and</w:t>
      </w:r>
      <w:r w:rsidR="00A3153D" w:rsidRPr="00432926">
        <w:t xml:space="preserve"> 7</w:t>
      </w:r>
      <w:r w:rsidR="008B2A71" w:rsidRPr="00432926">
        <w:t>-</w:t>
      </w:r>
      <w:r w:rsidR="00A3153D" w:rsidRPr="00432926">
        <w:t xml:space="preserve">day </w:t>
      </w:r>
      <w:r w:rsidRPr="00432926">
        <w:t>all-cause mortality</w:t>
      </w:r>
      <w:r w:rsidR="002477BB" w:rsidRPr="00432926">
        <w:t xml:space="preserve">. </w:t>
      </w:r>
      <w:r w:rsidR="0055165F" w:rsidRPr="00432926">
        <w:t>Secondary outcomes included</w:t>
      </w:r>
      <w:r w:rsidRPr="00432926">
        <w:t xml:space="preserve"> the differences in receipt of guideline</w:t>
      </w:r>
      <w:r w:rsidR="00181DE2" w:rsidRPr="00432926">
        <w:t>-directed</w:t>
      </w:r>
      <w:r w:rsidRPr="00432926">
        <w:t xml:space="preserve"> care</w:t>
      </w:r>
      <w:r w:rsidR="00175584" w:rsidRPr="00432926">
        <w:t xml:space="preserve"> between the BAME and </w:t>
      </w:r>
      <w:r w:rsidR="00854F05" w:rsidRPr="00432926">
        <w:t>white</w:t>
      </w:r>
      <w:r w:rsidR="00175584" w:rsidRPr="00432926">
        <w:t xml:space="preserve"> group</w:t>
      </w:r>
      <w:r w:rsidR="00D148B6" w:rsidRPr="00432926">
        <w:t>s</w:t>
      </w:r>
      <w:r w:rsidR="00181DE2" w:rsidRPr="00432926">
        <w:t>, including, specifically</w:t>
      </w:r>
      <w:r w:rsidRPr="00432926">
        <w:t xml:space="preserve"> </w:t>
      </w:r>
      <w:r w:rsidR="00181DE2" w:rsidRPr="00432926">
        <w:t xml:space="preserve">(a) </w:t>
      </w:r>
      <w:r w:rsidRPr="00432926">
        <w:t>time</w:t>
      </w:r>
      <w:r w:rsidR="00181DE2" w:rsidRPr="00432926">
        <w:t xml:space="preserve"> to</w:t>
      </w:r>
      <w:r w:rsidRPr="00432926">
        <w:t xml:space="preserve"> reperfusion therapy (defined as time from symptom onset to reperfusion </w:t>
      </w:r>
      <w:r w:rsidR="00181DE2" w:rsidRPr="00432926">
        <w:t xml:space="preserve">by </w:t>
      </w:r>
      <w:r w:rsidRPr="00432926">
        <w:t>primary PCI for ST</w:t>
      </w:r>
      <w:r w:rsidR="00D148B6" w:rsidRPr="00432926">
        <w:t>-</w:t>
      </w:r>
      <w:r w:rsidRPr="00432926">
        <w:t>elevation acute myocardial infarction</w:t>
      </w:r>
      <w:r w:rsidR="00D148B6" w:rsidRPr="00432926">
        <w:t xml:space="preserve"> [STEMI]</w:t>
      </w:r>
      <w:r w:rsidRPr="00432926">
        <w:t xml:space="preserve">), </w:t>
      </w:r>
      <w:r w:rsidR="00181DE2" w:rsidRPr="00432926">
        <w:t xml:space="preserve">(b) time to </w:t>
      </w:r>
      <w:r w:rsidRPr="00432926">
        <w:t>invasive co</w:t>
      </w:r>
      <w:r w:rsidR="00BB7B5F" w:rsidRPr="00432926">
        <w:t>ronary angiography for non-ST</w:t>
      </w:r>
      <w:r w:rsidR="00D148B6" w:rsidRPr="00432926">
        <w:t>-</w:t>
      </w:r>
      <w:r w:rsidR="00BB7B5F" w:rsidRPr="00432926">
        <w:t xml:space="preserve">elevation acute myocardial infarction (NSTEMI) and </w:t>
      </w:r>
      <w:r w:rsidR="00181DE2" w:rsidRPr="00432926">
        <w:t xml:space="preserve">(c) </w:t>
      </w:r>
      <w:r w:rsidR="00BB7B5F" w:rsidRPr="00432926">
        <w:t>use of dual anti</w:t>
      </w:r>
      <w:r w:rsidR="002477BB" w:rsidRPr="00432926">
        <w:t>platelet medication</w:t>
      </w:r>
      <w:r w:rsidR="00BB7B5F" w:rsidRPr="00432926">
        <w:t xml:space="preserve">. </w:t>
      </w:r>
      <w:r w:rsidR="006C676C" w:rsidRPr="00432926">
        <w:t xml:space="preserve">In order to elucidate the impact of social </w:t>
      </w:r>
      <w:r w:rsidR="0050432B" w:rsidRPr="00432926">
        <w:t xml:space="preserve">and other </w:t>
      </w:r>
      <w:r w:rsidR="006C676C" w:rsidRPr="00432926">
        <w:t>restrictions</w:t>
      </w:r>
      <w:r w:rsidR="0050432B" w:rsidRPr="00432926">
        <w:t xml:space="preserve"> consequent upon the pandemic</w:t>
      </w:r>
      <w:r w:rsidR="006C676C" w:rsidRPr="00432926">
        <w:t>, we performed a subgroup analysis to investigate mortality before and after the lockdown measures were imposed in the UK on 23</w:t>
      </w:r>
      <w:r w:rsidR="006C676C" w:rsidRPr="00432926">
        <w:rPr>
          <w:vertAlign w:val="superscript"/>
        </w:rPr>
        <w:t>rd</w:t>
      </w:r>
      <w:r w:rsidR="006C676C" w:rsidRPr="00432926">
        <w:t xml:space="preserve"> March 2020. All patients before 23</w:t>
      </w:r>
      <w:r w:rsidR="006C676C" w:rsidRPr="00432926">
        <w:rPr>
          <w:vertAlign w:val="superscript"/>
        </w:rPr>
        <w:t>rd</w:t>
      </w:r>
      <w:r w:rsidR="006C676C" w:rsidRPr="00432926">
        <w:t xml:space="preserve"> March </w:t>
      </w:r>
      <w:r w:rsidR="0050432B" w:rsidRPr="00432926">
        <w:t xml:space="preserve">2020 </w:t>
      </w:r>
      <w:r w:rsidR="006C676C" w:rsidRPr="00432926">
        <w:t xml:space="preserve">were included in the </w:t>
      </w:r>
      <w:r w:rsidR="0050432B" w:rsidRPr="00432926">
        <w:t>“</w:t>
      </w:r>
      <w:r w:rsidR="006C676C" w:rsidRPr="00432926">
        <w:t>before lockdown</w:t>
      </w:r>
      <w:r w:rsidR="0050432B" w:rsidRPr="00432926">
        <w:t>”</w:t>
      </w:r>
      <w:r w:rsidR="006C676C" w:rsidRPr="00432926">
        <w:t xml:space="preserve"> group and all patients </w:t>
      </w:r>
      <w:r w:rsidR="00BA1B9F" w:rsidRPr="00432926">
        <w:t>hospitalised</w:t>
      </w:r>
      <w:r w:rsidR="006C676C" w:rsidRPr="00432926">
        <w:t xml:space="preserve"> after 23</w:t>
      </w:r>
      <w:r w:rsidR="006C676C" w:rsidRPr="00432926">
        <w:rPr>
          <w:vertAlign w:val="superscript"/>
        </w:rPr>
        <w:t>rd</w:t>
      </w:r>
      <w:r w:rsidR="006C676C" w:rsidRPr="00432926">
        <w:t xml:space="preserve"> March were included in the </w:t>
      </w:r>
      <w:r w:rsidR="0050432B" w:rsidRPr="00432926">
        <w:t>“</w:t>
      </w:r>
      <w:r w:rsidR="006C676C" w:rsidRPr="00432926">
        <w:t>after lockdown</w:t>
      </w:r>
      <w:r w:rsidR="0050432B" w:rsidRPr="00432926">
        <w:t>”</w:t>
      </w:r>
      <w:r w:rsidR="006C676C" w:rsidRPr="00432926">
        <w:t xml:space="preserve"> group. </w:t>
      </w:r>
    </w:p>
    <w:p w14:paraId="5F94C966" w14:textId="5C501229" w:rsidR="00FB17D0" w:rsidRPr="00432926" w:rsidRDefault="00C97D56" w:rsidP="00CB00B1">
      <w:pPr>
        <w:spacing w:line="360" w:lineRule="auto"/>
        <w:jc w:val="both"/>
      </w:pPr>
      <w:r w:rsidRPr="00432926">
        <w:t>T</w:t>
      </w:r>
      <w:r w:rsidR="00B724CD" w:rsidRPr="00432926">
        <w:t xml:space="preserve">o account for missing or incomplete data submission by different hospitals during the COVID19 </w:t>
      </w:r>
      <w:r w:rsidR="00635D1B" w:rsidRPr="00432926">
        <w:t xml:space="preserve">pandemic, </w:t>
      </w:r>
      <w:r w:rsidR="00B724CD" w:rsidRPr="00432926">
        <w:t>a sensitivity analysis</w:t>
      </w:r>
      <w:r w:rsidR="00635D1B" w:rsidRPr="00432926">
        <w:t xml:space="preserve"> was undertaken</w:t>
      </w:r>
      <w:r w:rsidR="00B724CD" w:rsidRPr="00432926">
        <w:t xml:space="preserve"> including the data </w:t>
      </w:r>
      <w:r w:rsidR="00432099" w:rsidRPr="00432926">
        <w:t>from ‘rapid</w:t>
      </w:r>
      <w:r w:rsidR="00B724CD" w:rsidRPr="00432926">
        <w:t xml:space="preserve"> reporting hospitals</w:t>
      </w:r>
      <w:r w:rsidRPr="00432926">
        <w:t>’</w:t>
      </w:r>
      <w:r w:rsidR="0055165F" w:rsidRPr="00432926">
        <w:t xml:space="preserve"> </w:t>
      </w:r>
      <w:r w:rsidR="00D148B6" w:rsidRPr="00432926">
        <w:t>that</w:t>
      </w:r>
      <w:r w:rsidR="00B724CD" w:rsidRPr="00432926">
        <w:t xml:space="preserve"> have consistently submitted data to NICOR in the pre</w:t>
      </w:r>
      <w:r w:rsidR="00D148B6" w:rsidRPr="00432926">
        <w:t>-</w:t>
      </w:r>
      <w:r w:rsidR="00B724CD" w:rsidRPr="00432926">
        <w:t>COVID19 and COVID19 period</w:t>
      </w:r>
      <w:r w:rsidR="00D148B6" w:rsidRPr="00432926">
        <w:t>s</w:t>
      </w:r>
      <w:r w:rsidR="00B724CD" w:rsidRPr="00432926">
        <w:t xml:space="preserve">. </w:t>
      </w:r>
    </w:p>
    <w:p w14:paraId="69FF2EDC" w14:textId="77777777" w:rsidR="00175584" w:rsidRPr="00432926" w:rsidRDefault="00175584" w:rsidP="00CB00B1">
      <w:pPr>
        <w:spacing w:line="360" w:lineRule="auto"/>
        <w:jc w:val="both"/>
        <w:rPr>
          <w:i/>
        </w:rPr>
      </w:pPr>
      <w:r w:rsidRPr="00432926">
        <w:rPr>
          <w:i/>
        </w:rPr>
        <w:lastRenderedPageBreak/>
        <w:t>Statistical analysis</w:t>
      </w:r>
    </w:p>
    <w:p w14:paraId="7F4D8750" w14:textId="6E9B312A" w:rsidR="0055165F" w:rsidRPr="00432926" w:rsidRDefault="0055165F" w:rsidP="00CB00B1">
      <w:pPr>
        <w:spacing w:line="360" w:lineRule="auto"/>
        <w:jc w:val="both"/>
      </w:pPr>
      <w:r w:rsidRPr="00432926">
        <w:t>Multiple imputations with chained equations were used to account for missing data assuming that data were missing at random, creating 10 datasets</w:t>
      </w:r>
      <w:r w:rsidRPr="00432926">
        <w:fldChar w:fldCharType="begin"/>
      </w:r>
      <w:r w:rsidR="007D00F6" w:rsidRPr="00432926">
        <w:instrText>ADDIN RW.CITE{{doc:5eb19a46e4b0af1dbaa6a77e Rubin,DB 1987; doc:5eb19a3de4b0af1dbaa6a5a0 Cattle,B.A. 2011}}</w:instrText>
      </w:r>
      <w:r w:rsidRPr="00432926">
        <w:fldChar w:fldCharType="separate"/>
      </w:r>
      <w:r w:rsidR="007D00F6" w:rsidRPr="00432926">
        <w:rPr>
          <w:rFonts w:cs="Times New Roman"/>
          <w:bCs/>
          <w:vertAlign w:val="superscript"/>
          <w:lang w:val="en-US"/>
        </w:rPr>
        <w:t>25 26</w:t>
      </w:r>
      <w:r w:rsidRPr="00432926">
        <w:fldChar w:fldCharType="end"/>
      </w:r>
      <w:r w:rsidRPr="00432926">
        <w:t xml:space="preserve">. Logistic, linear or multinomial regression models were used to impute for the missing information for binary, ordinal and continuous variables respectively. Supplementary table 1 reports the list of variables along with their missing information used in the imputation models. </w:t>
      </w:r>
    </w:p>
    <w:p w14:paraId="7DB5A1D5" w14:textId="0101545D" w:rsidR="00175584" w:rsidRPr="00432926" w:rsidRDefault="00175584" w:rsidP="00CB00B1">
      <w:pPr>
        <w:spacing w:line="360" w:lineRule="auto"/>
        <w:jc w:val="both"/>
      </w:pPr>
      <w:r w:rsidRPr="00432926">
        <w:t>Continuous v</w:t>
      </w:r>
      <w:r w:rsidR="00AE7C24" w:rsidRPr="00432926">
        <w:t>ariables were expressed as median and interquartile range</w:t>
      </w:r>
      <w:r w:rsidRPr="00432926">
        <w:t xml:space="preserve"> after inspecting for distribution of continuous variables using summary statistics, whilst categorical variables were presented as absolute numbers and percentages</w:t>
      </w:r>
      <w:r w:rsidR="00572B0E" w:rsidRPr="00432926">
        <w:t xml:space="preserve">. </w:t>
      </w:r>
      <w:r w:rsidR="0055165F" w:rsidRPr="00432926">
        <w:t>Chi-squared</w:t>
      </w:r>
      <w:r w:rsidR="00572B0E" w:rsidRPr="00432926">
        <w:t xml:space="preserve"> for the categorical </w:t>
      </w:r>
      <w:r w:rsidR="0055165F" w:rsidRPr="00432926">
        <w:t xml:space="preserve">variables </w:t>
      </w:r>
      <w:r w:rsidR="00AE7C24" w:rsidRPr="00432926">
        <w:t>and Mann-Whitney U test</w:t>
      </w:r>
      <w:r w:rsidR="00572B0E" w:rsidRPr="00432926">
        <w:t xml:space="preserve"> for continuous </w:t>
      </w:r>
      <w:r w:rsidR="00D148B6" w:rsidRPr="00432926">
        <w:t xml:space="preserve">variables were used </w:t>
      </w:r>
      <w:r w:rsidR="00572B0E" w:rsidRPr="00432926">
        <w:t xml:space="preserve">to compare the differences between the BAME and </w:t>
      </w:r>
      <w:r w:rsidR="00854F05" w:rsidRPr="00432926">
        <w:t>white</w:t>
      </w:r>
      <w:r w:rsidR="00572B0E" w:rsidRPr="00432926">
        <w:t xml:space="preserve"> </w:t>
      </w:r>
      <w:r w:rsidR="00854F05" w:rsidRPr="00432926">
        <w:t>group</w:t>
      </w:r>
      <w:r w:rsidR="00D148B6" w:rsidRPr="00432926">
        <w:t>s</w:t>
      </w:r>
      <w:r w:rsidR="00735075" w:rsidRPr="00432926">
        <w:t xml:space="preserve">. We calculated monthly </w:t>
      </w:r>
      <w:r w:rsidR="00BA1B9F" w:rsidRPr="00432926">
        <w:t>hospitalisation</w:t>
      </w:r>
      <w:r w:rsidR="0039543F" w:rsidRPr="00432926">
        <w:t xml:space="preserve"> incidence rate ratios (IRR)</w:t>
      </w:r>
      <w:r w:rsidR="00735075" w:rsidRPr="00432926">
        <w:t xml:space="preserve"> of </w:t>
      </w:r>
      <w:r w:rsidR="00572B0E" w:rsidRPr="00432926">
        <w:t xml:space="preserve">AMI in </w:t>
      </w:r>
      <w:r w:rsidR="00D148B6" w:rsidRPr="00432926">
        <w:t xml:space="preserve">the </w:t>
      </w:r>
      <w:r w:rsidR="00572B0E" w:rsidRPr="00432926">
        <w:t xml:space="preserve">BAME group compared to </w:t>
      </w:r>
      <w:r w:rsidR="00D148B6" w:rsidRPr="00432926">
        <w:t xml:space="preserve">the </w:t>
      </w:r>
      <w:r w:rsidR="00854F05" w:rsidRPr="00432926">
        <w:t>white</w:t>
      </w:r>
      <w:r w:rsidR="00D148B6" w:rsidRPr="00432926">
        <w:t xml:space="preserve"> population</w:t>
      </w:r>
      <w:r w:rsidR="00572B0E" w:rsidRPr="00432926">
        <w:t xml:space="preserve"> group for each month from January to May in 2020, </w:t>
      </w:r>
      <w:r w:rsidR="00D148B6" w:rsidRPr="00432926">
        <w:t>using a Poisson regression model, with</w:t>
      </w:r>
      <w:r w:rsidR="00572B0E" w:rsidRPr="00432926">
        <w:t xml:space="preserve"> equivalent months in the previous years as </w:t>
      </w:r>
      <w:r w:rsidR="00F73252" w:rsidRPr="00432926">
        <w:t xml:space="preserve">a </w:t>
      </w:r>
      <w:r w:rsidR="00572B0E" w:rsidRPr="00432926">
        <w:t>reference.</w:t>
      </w:r>
      <w:r w:rsidR="008B5B21" w:rsidRPr="00432926">
        <w:t xml:space="preserve"> Time series weekly plots were constructed using 7-day simple moving average (the mean number of daily hospitalisations for that day and preceding 6 days) adjusting for seasonality. </w:t>
      </w:r>
      <w:r w:rsidR="00572B0E" w:rsidRPr="00432926">
        <w:t xml:space="preserve"> </w:t>
      </w:r>
    </w:p>
    <w:p w14:paraId="763320BA" w14:textId="72234287" w:rsidR="00C125B1" w:rsidRPr="00432926" w:rsidRDefault="00FB0ABC" w:rsidP="00CB00B1">
      <w:pPr>
        <w:spacing w:line="360" w:lineRule="auto"/>
        <w:jc w:val="both"/>
      </w:pPr>
      <w:r w:rsidRPr="00432926">
        <w:t>Finally, we used multilevel hierarchical</w:t>
      </w:r>
      <w:r w:rsidR="00F27D9E" w:rsidRPr="00432926">
        <w:t xml:space="preserve"> logistic regression models with</w:t>
      </w:r>
      <w:r w:rsidRPr="00432926">
        <w:t xml:space="preserve"> a random intercept in order to account for the nested structure of patients within the hospitals. A</w:t>
      </w:r>
      <w:r w:rsidR="00F27D9E" w:rsidRPr="00432926">
        <w:t>n interaction term between the e</w:t>
      </w:r>
      <w:r w:rsidR="00635D1B" w:rsidRPr="00432926">
        <w:t>thnicity and COVID19 period</w:t>
      </w:r>
      <w:r w:rsidR="007F0827" w:rsidRPr="00432926">
        <w:t xml:space="preserve"> variable</w:t>
      </w:r>
      <w:r w:rsidRPr="00432926">
        <w:t xml:space="preserve"> was used</w:t>
      </w:r>
      <w:r w:rsidR="00F27D9E" w:rsidRPr="00432926">
        <w:t xml:space="preserve"> to calculate the adjusted monthly mortality </w:t>
      </w:r>
      <w:r w:rsidRPr="00432926">
        <w:t xml:space="preserve">trends </w:t>
      </w:r>
      <w:r w:rsidR="00F27D9E" w:rsidRPr="00432926">
        <w:t xml:space="preserve">in the BAME group compared to </w:t>
      </w:r>
      <w:r w:rsidR="005B2B8B" w:rsidRPr="00432926">
        <w:t xml:space="preserve">the </w:t>
      </w:r>
      <w:r w:rsidR="00854F05" w:rsidRPr="00432926">
        <w:t>white</w:t>
      </w:r>
      <w:r w:rsidR="005B2B8B" w:rsidRPr="00432926">
        <w:t xml:space="preserve"> population</w:t>
      </w:r>
      <w:r w:rsidR="00F27D9E" w:rsidRPr="00432926">
        <w:t xml:space="preserve"> during the COVID period, using equivalent months in the pre</w:t>
      </w:r>
      <w:r w:rsidR="005B2B8B" w:rsidRPr="00432926">
        <w:t>-</w:t>
      </w:r>
      <w:r w:rsidR="00F27D9E" w:rsidRPr="00432926">
        <w:t xml:space="preserve">COVID19 period as a reference. </w:t>
      </w:r>
      <w:r w:rsidR="00BA15A8" w:rsidRPr="00432926">
        <w:t>All models were adjusted for age, sex, baseline demographics, cardiovascular comorbidities, in-hospital pharmacology and all other confounders as listed in supplementary table 1. Stata</w:t>
      </w:r>
      <w:r w:rsidR="00F73252" w:rsidRPr="00432926">
        <w:t xml:space="preserve"> MP16.0, College S</w:t>
      </w:r>
      <w:r w:rsidR="009D35D4" w:rsidRPr="00432926">
        <w:t xml:space="preserve">tation, Texas, US was used to perform all the statistical analyses. </w:t>
      </w:r>
    </w:p>
    <w:p w14:paraId="0FCC0E15" w14:textId="77777777" w:rsidR="00C048FE" w:rsidRPr="00432926" w:rsidRDefault="00C048FE" w:rsidP="00CB00B1">
      <w:pPr>
        <w:spacing w:line="360" w:lineRule="auto"/>
        <w:jc w:val="both"/>
        <w:rPr>
          <w:b/>
        </w:rPr>
      </w:pPr>
      <w:r w:rsidRPr="00432926">
        <w:rPr>
          <w:b/>
        </w:rPr>
        <w:t xml:space="preserve">Results: </w:t>
      </w:r>
    </w:p>
    <w:p w14:paraId="224500B7" w14:textId="12BC7B77" w:rsidR="00C048FE" w:rsidRPr="00432926" w:rsidRDefault="00360098" w:rsidP="00CB00B1">
      <w:pPr>
        <w:spacing w:line="360" w:lineRule="auto"/>
        <w:jc w:val="both"/>
      </w:pPr>
      <w:r w:rsidRPr="00432926">
        <w:rPr>
          <w:rFonts w:cs="Times New Roman"/>
          <w:szCs w:val="24"/>
        </w:rPr>
        <w:t xml:space="preserve">A total of 73,746 patients were included in the analysis, </w:t>
      </w:r>
      <w:r w:rsidRPr="00432926">
        <w:rPr>
          <w:szCs w:val="24"/>
        </w:rPr>
        <w:t xml:space="preserve">supplementary figure 1 illustrates the </w:t>
      </w:r>
      <w:r w:rsidRPr="00432926">
        <w:rPr>
          <w:rFonts w:cs="Times New Roman"/>
          <w:szCs w:val="24"/>
        </w:rPr>
        <w:t>STROBE flow diagram of study selection and record linkage across the 3 national datasets.</w:t>
      </w:r>
      <w:r w:rsidRPr="00432926">
        <w:rPr>
          <w:szCs w:val="24"/>
        </w:rPr>
        <w:t xml:space="preserve"> </w:t>
      </w:r>
      <w:r w:rsidR="00C125B1" w:rsidRPr="00432926">
        <w:t>O</w:t>
      </w:r>
      <w:r w:rsidR="007F0827" w:rsidRPr="00432926">
        <w:t>f 62,578</w:t>
      </w:r>
      <w:r w:rsidR="00C368C7" w:rsidRPr="00432926">
        <w:t xml:space="preserve"> patients in the pre</w:t>
      </w:r>
      <w:r w:rsidR="005B2B8B" w:rsidRPr="00432926">
        <w:t>-</w:t>
      </w:r>
      <w:r w:rsidR="00C368C7" w:rsidRPr="00432926">
        <w:t>COVID</w:t>
      </w:r>
      <w:r w:rsidR="005C69F0" w:rsidRPr="00432926">
        <w:t>19</w:t>
      </w:r>
      <w:r w:rsidR="007F0827" w:rsidRPr="00432926">
        <w:t xml:space="preserve"> group, 56,270 (90%) were white and 6,308</w:t>
      </w:r>
      <w:r w:rsidR="00C368C7" w:rsidRPr="00432926">
        <w:t xml:space="preserve"> (10%) were </w:t>
      </w:r>
      <w:r w:rsidR="005B2B8B" w:rsidRPr="00432926">
        <w:t xml:space="preserve">of </w:t>
      </w:r>
      <w:r w:rsidR="00C368C7" w:rsidRPr="00432926">
        <w:t>BAME</w:t>
      </w:r>
      <w:r w:rsidR="005B2B8B" w:rsidRPr="00432926">
        <w:t xml:space="preserve"> origin</w:t>
      </w:r>
      <w:r w:rsidR="00C368C7" w:rsidRPr="00432926">
        <w:t xml:space="preserve">, whereas </w:t>
      </w:r>
      <w:r w:rsidR="005B2B8B" w:rsidRPr="00432926">
        <w:t>more</w:t>
      </w:r>
      <w:r w:rsidR="007F0827" w:rsidRPr="00432926">
        <w:t xml:space="preserve"> BAME </w:t>
      </w:r>
      <w:r w:rsidR="005B2B8B" w:rsidRPr="00432926">
        <w:t xml:space="preserve">patients </w:t>
      </w:r>
      <w:r w:rsidR="007F0827" w:rsidRPr="00432926">
        <w:t>(16.7</w:t>
      </w:r>
      <w:r w:rsidR="00C368C7" w:rsidRPr="00432926">
        <w:t>%</w:t>
      </w:r>
      <w:r w:rsidR="007F0827" w:rsidRPr="00432926">
        <w:t>, n=1,863</w:t>
      </w:r>
      <w:r w:rsidR="005C69F0" w:rsidRPr="00432926">
        <w:t>) were admitted with AMI during the COVID19 period (</w:t>
      </w:r>
      <w:r w:rsidR="00FB0ABC" w:rsidRPr="00432926">
        <w:t>supplementary f</w:t>
      </w:r>
      <w:r w:rsidR="005C69F0" w:rsidRPr="00432926">
        <w:t>i</w:t>
      </w:r>
      <w:r w:rsidR="00B9393C" w:rsidRPr="00432926">
        <w:t>gure 1).</w:t>
      </w:r>
      <w:r w:rsidR="00FB0ABC" w:rsidRPr="00432926">
        <w:t xml:space="preserve"> Time series </w:t>
      </w:r>
      <w:r w:rsidR="00520176" w:rsidRPr="00432926">
        <w:t xml:space="preserve">analysis of 14-day mean number of daily </w:t>
      </w:r>
      <w:r w:rsidR="00BA1B9F" w:rsidRPr="00432926">
        <w:t>hospitalisation</w:t>
      </w:r>
      <w:r w:rsidR="00520176" w:rsidRPr="00432926">
        <w:t>s with A</w:t>
      </w:r>
      <w:r w:rsidR="00251924" w:rsidRPr="00432926">
        <w:t>MI revealed a significant uplift</w:t>
      </w:r>
      <w:r w:rsidR="00520176" w:rsidRPr="00432926">
        <w:t xml:space="preserve"> in the rates of </w:t>
      </w:r>
      <w:r w:rsidR="00BA1B9F" w:rsidRPr="00432926">
        <w:t>hospitalisation</w:t>
      </w:r>
      <w:r w:rsidR="00251924" w:rsidRPr="00432926">
        <w:t>s in</w:t>
      </w:r>
      <w:r w:rsidR="00520176" w:rsidRPr="00432926">
        <w:t xml:space="preserve"> BAME gro</w:t>
      </w:r>
      <w:r w:rsidR="00251924" w:rsidRPr="00432926">
        <w:t>up compared to whites in 2020 (f</w:t>
      </w:r>
      <w:r w:rsidR="00520176" w:rsidRPr="00432926">
        <w:t>igure 1).</w:t>
      </w:r>
      <w:r w:rsidR="00B9393C" w:rsidRPr="00432926">
        <w:t xml:space="preserve"> During the COVID19 </w:t>
      </w:r>
      <w:r w:rsidR="00B9393C" w:rsidRPr="00432926">
        <w:lastRenderedPageBreak/>
        <w:t xml:space="preserve">period, the monthly proportion of BAME </w:t>
      </w:r>
      <w:r w:rsidR="00C9204A" w:rsidRPr="00432926">
        <w:t>patients</w:t>
      </w:r>
      <w:r w:rsidR="00B9393C" w:rsidRPr="00432926">
        <w:t xml:space="preserve"> admitted w</w:t>
      </w:r>
      <w:r w:rsidR="007F0827" w:rsidRPr="00432926">
        <w:t xml:space="preserve">ith AMI also increased from 16.2% in </w:t>
      </w:r>
      <w:r w:rsidR="0094798D" w:rsidRPr="00432926">
        <w:t xml:space="preserve">February </w:t>
      </w:r>
      <w:r w:rsidR="007F0827" w:rsidRPr="00432926">
        <w:t>2020 to 17.7</w:t>
      </w:r>
      <w:r w:rsidR="00B9393C" w:rsidRPr="00432926">
        <w:t>% in May 2020 whereas</w:t>
      </w:r>
      <w:r w:rsidR="00C9204A" w:rsidRPr="00432926">
        <w:t>, by contrast,</w:t>
      </w:r>
      <w:r w:rsidR="00B9393C" w:rsidRPr="00432926">
        <w:t xml:space="preserve"> the </w:t>
      </w:r>
      <w:r w:rsidR="00C9204A" w:rsidRPr="00432926">
        <w:t>rate was</w:t>
      </w:r>
      <w:r w:rsidR="00B9393C" w:rsidRPr="00432926">
        <w:t xml:space="preserve"> stable during each month in </w:t>
      </w:r>
      <w:r w:rsidR="005B2B8B" w:rsidRPr="00432926">
        <w:t xml:space="preserve">the </w:t>
      </w:r>
      <w:r w:rsidR="00B9393C" w:rsidRPr="00432926">
        <w:t>pre</w:t>
      </w:r>
      <w:r w:rsidR="005B2B8B" w:rsidRPr="00432926">
        <w:t>-</w:t>
      </w:r>
      <w:r w:rsidR="00B9393C" w:rsidRPr="00432926">
        <w:t>COVID19 period</w:t>
      </w:r>
      <w:r w:rsidR="003904DF" w:rsidRPr="00432926">
        <w:t xml:space="preserve"> (Figure 2). There was a</w:t>
      </w:r>
      <w:r w:rsidR="00520176" w:rsidRPr="00432926">
        <w:t>n</w:t>
      </w:r>
      <w:r w:rsidR="003904DF" w:rsidRPr="00432926">
        <w:t xml:space="preserve"> </w:t>
      </w:r>
      <w:r w:rsidR="00C125B1" w:rsidRPr="00432926">
        <w:t xml:space="preserve">increase </w:t>
      </w:r>
      <w:r w:rsidR="00520176" w:rsidRPr="00432926">
        <w:t>in the rates</w:t>
      </w:r>
      <w:r w:rsidR="003904DF" w:rsidRPr="00432926">
        <w:t xml:space="preserve"> </w:t>
      </w:r>
      <w:r w:rsidR="00251924" w:rsidRPr="00432926">
        <w:t>of admissions</w:t>
      </w:r>
      <w:r w:rsidR="00C125B1" w:rsidRPr="00432926">
        <w:t xml:space="preserve"> with AMI </w:t>
      </w:r>
      <w:r w:rsidR="002477BB" w:rsidRPr="00432926">
        <w:t>(</w:t>
      </w:r>
      <w:r w:rsidR="007F0827" w:rsidRPr="00432926">
        <w:t>IRR 1.65 95%CI 1.57-1.74</w:t>
      </w:r>
      <w:r w:rsidR="00372804" w:rsidRPr="00432926">
        <w:t>)</w:t>
      </w:r>
      <w:r w:rsidR="003904DF" w:rsidRPr="00432926">
        <w:t xml:space="preserve"> in the BA</w:t>
      </w:r>
      <w:r w:rsidR="00E4551A" w:rsidRPr="00432926">
        <w:t xml:space="preserve">ME </w:t>
      </w:r>
      <w:r w:rsidR="00854F05" w:rsidRPr="00432926">
        <w:t>group during the COVID19 period compared to white</w:t>
      </w:r>
      <w:r w:rsidR="00520176" w:rsidRPr="00432926">
        <w:t xml:space="preserve"> </w:t>
      </w:r>
      <w:r w:rsidR="005B2B8B" w:rsidRPr="00432926">
        <w:t>population</w:t>
      </w:r>
      <w:r w:rsidR="00B9393C" w:rsidRPr="00432926">
        <w:t xml:space="preserve">, </w:t>
      </w:r>
      <w:r w:rsidR="00D5704A" w:rsidRPr="00432926">
        <w:t>with</w:t>
      </w:r>
      <w:r w:rsidR="007F0827" w:rsidRPr="00432926">
        <w:t xml:space="preserve"> a similar</w:t>
      </w:r>
      <w:r w:rsidR="00B9393C" w:rsidRPr="00432926">
        <w:t xml:space="preserve"> monthly</w:t>
      </w:r>
      <w:r w:rsidR="00520176" w:rsidRPr="00432926">
        <w:t xml:space="preserve"> proportional</w:t>
      </w:r>
      <w:r w:rsidR="00B9393C" w:rsidRPr="00432926">
        <w:t xml:space="preserve"> rise</w:t>
      </w:r>
      <w:r w:rsidR="007F0827" w:rsidRPr="00432926">
        <w:t xml:space="preserve"> </w:t>
      </w:r>
      <w:r w:rsidR="002477BB" w:rsidRPr="00432926">
        <w:t xml:space="preserve">observed </w:t>
      </w:r>
      <w:r w:rsidR="007F0827" w:rsidRPr="00432926">
        <w:t>during each month</w:t>
      </w:r>
      <w:r w:rsidR="00520176" w:rsidRPr="00432926">
        <w:t xml:space="preserve"> during the</w:t>
      </w:r>
      <w:r w:rsidR="00B9393C" w:rsidRPr="00432926">
        <w:t xml:space="preserve"> COVID19 period compared to </w:t>
      </w:r>
      <w:r w:rsidR="005B2B8B" w:rsidRPr="00432926">
        <w:t xml:space="preserve">the </w:t>
      </w:r>
      <w:r w:rsidR="00B9393C" w:rsidRPr="00432926">
        <w:t>pre</w:t>
      </w:r>
      <w:r w:rsidR="005B2B8B" w:rsidRPr="00432926">
        <w:t>-</w:t>
      </w:r>
      <w:r w:rsidR="00B9393C" w:rsidRPr="00432926">
        <w:t xml:space="preserve">COVID19 </w:t>
      </w:r>
      <w:r w:rsidR="00854F05" w:rsidRPr="00432926">
        <w:t xml:space="preserve">period (figure 3). </w:t>
      </w:r>
    </w:p>
    <w:p w14:paraId="4C393217" w14:textId="53D0C98E" w:rsidR="00854F05" w:rsidRPr="00432926" w:rsidRDefault="00816F63" w:rsidP="00CB00B1">
      <w:pPr>
        <w:spacing w:line="360" w:lineRule="auto"/>
        <w:jc w:val="both"/>
      </w:pPr>
      <w:r w:rsidRPr="00432926">
        <w:t xml:space="preserve">Overall, BAME </w:t>
      </w:r>
      <w:r w:rsidR="007A6D7E" w:rsidRPr="00432926">
        <w:t xml:space="preserve">patients </w:t>
      </w:r>
      <w:r w:rsidRPr="00432926">
        <w:t xml:space="preserve">were likely to be younger, male, had lower body mass index (BMI) and increased prevalence of hypercholesterolemia, heart failure, angina, chronic kidney disease and insulin treated diabetes (Table 1). During the COVID19 period, </w:t>
      </w:r>
      <w:r w:rsidR="00AF5B45" w:rsidRPr="00432926">
        <w:t xml:space="preserve">a </w:t>
      </w:r>
      <w:r w:rsidRPr="00432926">
        <w:t xml:space="preserve">higher proportion of </w:t>
      </w:r>
      <w:r w:rsidR="00AF5B45" w:rsidRPr="00432926">
        <w:t xml:space="preserve">the </w:t>
      </w:r>
      <w:r w:rsidRPr="00432926">
        <w:t xml:space="preserve">BAME </w:t>
      </w:r>
      <w:r w:rsidR="007F0827" w:rsidRPr="00432926">
        <w:t>group presented with STEMI (37.9% vs 34.6</w:t>
      </w:r>
      <w:r w:rsidRPr="00432926">
        <w:t>%</w:t>
      </w:r>
      <w:r w:rsidR="00B058E0" w:rsidRPr="00432926">
        <w:t>, p=</w:t>
      </w:r>
      <w:r w:rsidR="007F0827" w:rsidRPr="00432926">
        <w:t>0.0</w:t>
      </w:r>
      <w:r w:rsidR="00AD7934" w:rsidRPr="00432926">
        <w:t>1</w:t>
      </w:r>
      <w:r w:rsidRPr="00432926">
        <w:t xml:space="preserve">) compared to </w:t>
      </w:r>
      <w:r w:rsidR="00AF5B45" w:rsidRPr="00432926">
        <w:t xml:space="preserve">the </w:t>
      </w:r>
      <w:r w:rsidRPr="00432926">
        <w:t>pre</w:t>
      </w:r>
      <w:r w:rsidR="00AF5B45" w:rsidRPr="00432926">
        <w:t>-</w:t>
      </w:r>
      <w:r w:rsidRPr="00432926">
        <w:t xml:space="preserve">COVID19 </w:t>
      </w:r>
      <w:r w:rsidR="00E85406" w:rsidRPr="00432926">
        <w:t xml:space="preserve">period. </w:t>
      </w:r>
      <w:r w:rsidR="00AF5B45" w:rsidRPr="00432926">
        <w:t xml:space="preserve">The </w:t>
      </w:r>
      <w:r w:rsidR="00E85406" w:rsidRPr="00432926">
        <w:t>BAME group were also more likely to experience out of hospital ca</w:t>
      </w:r>
      <w:r w:rsidR="007F0827" w:rsidRPr="00432926">
        <w:t>rdiac arrest (7.6% vs 6.2%, p=0.0</w:t>
      </w:r>
      <w:r w:rsidR="006E4ABB" w:rsidRPr="00432926">
        <w:t>4)</w:t>
      </w:r>
      <w:r w:rsidR="006D0614" w:rsidRPr="00432926">
        <w:t xml:space="preserve"> and cardiogenic shock (3.5</w:t>
      </w:r>
      <w:r w:rsidR="00E85406" w:rsidRPr="00432926">
        <w:t xml:space="preserve">% vs 2.4%, p&lt;0.001) compared </w:t>
      </w:r>
      <w:r w:rsidR="006D0614" w:rsidRPr="00432926">
        <w:t xml:space="preserve">to </w:t>
      </w:r>
      <w:r w:rsidR="00AF5B45" w:rsidRPr="00432926">
        <w:t xml:space="preserve">the </w:t>
      </w:r>
      <w:r w:rsidR="00E85406" w:rsidRPr="00432926">
        <w:t>white</w:t>
      </w:r>
      <w:r w:rsidR="00AF5B45" w:rsidRPr="00432926">
        <w:t xml:space="preserve"> population</w:t>
      </w:r>
      <w:r w:rsidR="00E85406" w:rsidRPr="00432926">
        <w:t xml:space="preserve"> during </w:t>
      </w:r>
      <w:r w:rsidR="00AF5B45" w:rsidRPr="00432926">
        <w:t xml:space="preserve">the </w:t>
      </w:r>
      <w:r w:rsidR="00E85406" w:rsidRPr="00432926">
        <w:t xml:space="preserve">COVID19 period. </w:t>
      </w:r>
    </w:p>
    <w:p w14:paraId="3CC181D4" w14:textId="04E60B88" w:rsidR="0094798D" w:rsidRPr="00432926" w:rsidRDefault="0094798D" w:rsidP="00CB00B1">
      <w:pPr>
        <w:spacing w:line="360" w:lineRule="auto"/>
        <w:jc w:val="both"/>
      </w:pPr>
      <w:r w:rsidRPr="00432926">
        <w:t>BAME</w:t>
      </w:r>
      <w:r w:rsidR="00251924" w:rsidRPr="00432926">
        <w:t xml:space="preserve"> group </w:t>
      </w:r>
      <w:r w:rsidRPr="00432926">
        <w:t xml:space="preserve">experienced longer delays to reperfusion </w:t>
      </w:r>
      <w:r w:rsidR="006B4568" w:rsidRPr="00432926">
        <w:t>therapies</w:t>
      </w:r>
      <w:r w:rsidRPr="00432926">
        <w:t xml:space="preserve"> for STEMI and time to coronary angiography for NSTEMI compared to white</w:t>
      </w:r>
      <w:r w:rsidR="00AF5B45" w:rsidRPr="00432926">
        <w:t xml:space="preserve"> patients</w:t>
      </w:r>
      <w:r w:rsidR="00251924" w:rsidRPr="00432926">
        <w:t xml:space="preserve"> both during</w:t>
      </w:r>
      <w:r w:rsidRPr="00432926">
        <w:t xml:space="preserve"> the pre</w:t>
      </w:r>
      <w:r w:rsidR="00AF5B45" w:rsidRPr="00432926">
        <w:t>-</w:t>
      </w:r>
      <w:r w:rsidRPr="00432926">
        <w:t xml:space="preserve">COVID19 </w:t>
      </w:r>
      <w:r w:rsidR="00251924" w:rsidRPr="00432926">
        <w:t xml:space="preserve">and COVID19 </w:t>
      </w:r>
      <w:r w:rsidRPr="00432926">
        <w:t>period</w:t>
      </w:r>
      <w:r w:rsidR="00251924" w:rsidRPr="00432926">
        <w:t>s</w:t>
      </w:r>
      <w:r w:rsidRPr="00432926">
        <w:t>.</w:t>
      </w:r>
      <w:r w:rsidR="00251924" w:rsidRPr="00432926">
        <w:t xml:space="preserve"> However, t</w:t>
      </w:r>
      <w:r w:rsidRPr="00432926">
        <w:t>hese differences were more pronounced during the COVID19 period</w:t>
      </w:r>
      <w:r w:rsidR="00251924" w:rsidRPr="00432926">
        <w:t xml:space="preserve"> with an absolute increase of 30 minutes in time to reperfusion in STEMI and </w:t>
      </w:r>
      <w:r w:rsidR="002A245D" w:rsidRPr="00432926">
        <w:t>2.2 hours in time to angiography in NSTEMI during COVID19 period</w:t>
      </w:r>
      <w:r w:rsidR="00F73252" w:rsidRPr="00432926">
        <w:t>. There was also</w:t>
      </w:r>
      <w:r w:rsidR="00AF5B45" w:rsidRPr="00432926">
        <w:t xml:space="preserve"> </w:t>
      </w:r>
      <w:r w:rsidRPr="00432926">
        <w:t xml:space="preserve">significantly lower use of </w:t>
      </w:r>
      <w:r w:rsidR="00813480" w:rsidRPr="00432926">
        <w:t>coronary angiography (85</w:t>
      </w:r>
      <w:r w:rsidRPr="00432926">
        <w:t>.1% vs 90.0%, p&lt;0.001) in NSTEMI in the BAME group compared to white</w:t>
      </w:r>
      <w:r w:rsidR="00AF5B45" w:rsidRPr="00432926">
        <w:t xml:space="preserve"> patients</w:t>
      </w:r>
      <w:r w:rsidRPr="00432926">
        <w:t xml:space="preserve"> during the C</w:t>
      </w:r>
      <w:r w:rsidR="002A245D" w:rsidRPr="00432926">
        <w:t>OVID19 period (Table 1). Finally,</w:t>
      </w:r>
      <w:r w:rsidRPr="00432926">
        <w:t xml:space="preserve"> </w:t>
      </w:r>
      <w:r w:rsidR="00AF5B45" w:rsidRPr="00432926">
        <w:t xml:space="preserve">the </w:t>
      </w:r>
      <w:r w:rsidRPr="00432926">
        <w:t>BAME group w</w:t>
      </w:r>
      <w:r w:rsidR="00AF5B45" w:rsidRPr="00432926">
        <w:t>as</w:t>
      </w:r>
      <w:r w:rsidRPr="00432926">
        <w:t xml:space="preserve"> also less likely to undergo P</w:t>
      </w:r>
      <w:r w:rsidR="00813480" w:rsidRPr="00432926">
        <w:t xml:space="preserve">CI (61.5% vs 67.2%, P&lt;0.001), </w:t>
      </w:r>
      <w:r w:rsidR="00FA3D0D" w:rsidRPr="00432926">
        <w:t xml:space="preserve">and to </w:t>
      </w:r>
      <w:r w:rsidR="00813480" w:rsidRPr="00432926">
        <w:t>receive</w:t>
      </w:r>
      <w:r w:rsidRPr="00432926">
        <w:t xml:space="preserve"> </w:t>
      </w:r>
      <w:r w:rsidR="005245DB" w:rsidRPr="00432926">
        <w:t xml:space="preserve">a </w:t>
      </w:r>
      <w:r w:rsidRPr="00432926">
        <w:t>second antiplatelet in the f</w:t>
      </w:r>
      <w:r w:rsidR="00813480" w:rsidRPr="00432926">
        <w:t>orm P2Y12 inhibitor</w:t>
      </w:r>
      <w:r w:rsidRPr="00432926">
        <w:t xml:space="preserve"> (75.1% vs 78.2%, p&lt;0.001)</w:t>
      </w:r>
      <w:r w:rsidR="00023A20" w:rsidRPr="00432926">
        <w:t xml:space="preserve"> or dual antiplatelet medications (70.2% vs 73.2%, p=0.03)</w:t>
      </w:r>
      <w:r w:rsidR="00813480" w:rsidRPr="00432926">
        <w:t xml:space="preserve"> during the COVID19 period (Table 1).</w:t>
      </w:r>
      <w:r w:rsidR="0055165F" w:rsidRPr="00432926">
        <w:t xml:space="preserve"> </w:t>
      </w:r>
    </w:p>
    <w:p w14:paraId="799AA539" w14:textId="708E282C" w:rsidR="0094798D" w:rsidRPr="00432926" w:rsidRDefault="002A245D" w:rsidP="00CB00B1">
      <w:pPr>
        <w:spacing w:line="360" w:lineRule="auto"/>
        <w:jc w:val="both"/>
      </w:pPr>
      <w:r w:rsidRPr="00432926">
        <w:t>During COVID19 period, t</w:t>
      </w:r>
      <w:r w:rsidR="0094798D" w:rsidRPr="00432926">
        <w:t>here was a</w:t>
      </w:r>
      <w:r w:rsidR="00577351" w:rsidRPr="00432926">
        <w:t xml:space="preserve"> significantly higher </w:t>
      </w:r>
      <w:r w:rsidRPr="00432926">
        <w:t xml:space="preserve">unadjusted in-hospital (6.7% vs 5.2%, p=0.01) and 7-day </w:t>
      </w:r>
      <w:r w:rsidR="0094798D" w:rsidRPr="00432926">
        <w:t>mortality</w:t>
      </w:r>
      <w:r w:rsidRPr="00432926">
        <w:t xml:space="preserve"> (8.2% vs 6.7%, p&lt;0.001)</w:t>
      </w:r>
      <w:r w:rsidR="0094798D" w:rsidRPr="00432926">
        <w:t xml:space="preserve"> in the BAME</w:t>
      </w:r>
      <w:r w:rsidRPr="00432926">
        <w:t xml:space="preserve"> group</w:t>
      </w:r>
      <w:r w:rsidR="0094798D" w:rsidRPr="00432926">
        <w:t xml:space="preserve"> compared to </w:t>
      </w:r>
      <w:r w:rsidR="00AF5B45" w:rsidRPr="00432926">
        <w:t xml:space="preserve">the </w:t>
      </w:r>
      <w:r w:rsidR="0094798D" w:rsidRPr="00432926">
        <w:t>white</w:t>
      </w:r>
      <w:r w:rsidR="00AF5B45" w:rsidRPr="00432926">
        <w:t xml:space="preserve"> population</w:t>
      </w:r>
      <w:r w:rsidR="0094798D" w:rsidRPr="00432926">
        <w:t>. After adjusting for baseline differences and all available poten</w:t>
      </w:r>
      <w:r w:rsidRPr="00432926">
        <w:t>tial confounders, we observed a</w:t>
      </w:r>
      <w:r w:rsidR="00577351" w:rsidRPr="00432926">
        <w:t xml:space="preserve"> higher</w:t>
      </w:r>
      <w:r w:rsidR="0094798D" w:rsidRPr="00432926">
        <w:t xml:space="preserve"> overall in-hospital mortality (OR 1.68 95%CI 1.27-2.21)</w:t>
      </w:r>
      <w:r w:rsidRPr="00432926">
        <w:t xml:space="preserve"> and 7-day mortality (OR </w:t>
      </w:r>
      <w:r w:rsidRPr="00432926">
        <w:rPr>
          <w:rFonts w:cs="Times New Roman"/>
          <w:sz w:val="22"/>
        </w:rPr>
        <w:t>1.81 95%CI 1.31-2.19)</w:t>
      </w:r>
      <w:r w:rsidR="0094798D" w:rsidRPr="00432926">
        <w:t xml:space="preserve"> in </w:t>
      </w:r>
      <w:r w:rsidR="00586555" w:rsidRPr="00432926">
        <w:t xml:space="preserve">the </w:t>
      </w:r>
      <w:r w:rsidR="0094798D" w:rsidRPr="00432926">
        <w:t xml:space="preserve">BAME group </w:t>
      </w:r>
      <w:r w:rsidR="00B72B8C" w:rsidRPr="00432926">
        <w:t>(relative</w:t>
      </w:r>
      <w:r w:rsidR="00586555" w:rsidRPr="00432926">
        <w:t xml:space="preserve"> to </w:t>
      </w:r>
      <w:r w:rsidR="00AF5B45" w:rsidRPr="00432926">
        <w:t xml:space="preserve">the </w:t>
      </w:r>
      <w:r w:rsidR="00586555" w:rsidRPr="00432926">
        <w:t>white</w:t>
      </w:r>
      <w:r w:rsidR="00AF5B45" w:rsidRPr="00432926">
        <w:t xml:space="preserve"> population</w:t>
      </w:r>
      <w:r w:rsidR="00B72B8C" w:rsidRPr="00432926">
        <w:t>)</w:t>
      </w:r>
      <w:r w:rsidR="00586555" w:rsidRPr="00432926">
        <w:t xml:space="preserve"> </w:t>
      </w:r>
      <w:r w:rsidR="0094798D" w:rsidRPr="00432926">
        <w:t xml:space="preserve">during </w:t>
      </w:r>
      <w:r w:rsidR="00AF5B45" w:rsidRPr="00432926">
        <w:t xml:space="preserve">the </w:t>
      </w:r>
      <w:r w:rsidR="0094798D" w:rsidRPr="00432926">
        <w:t xml:space="preserve">COVID19 period </w:t>
      </w:r>
      <w:r w:rsidR="002F3827" w:rsidRPr="00432926">
        <w:t xml:space="preserve">versus the </w:t>
      </w:r>
      <w:r w:rsidR="0094798D" w:rsidRPr="00432926">
        <w:t>pre</w:t>
      </w:r>
      <w:r w:rsidR="00AF5B45" w:rsidRPr="00432926">
        <w:t>-</w:t>
      </w:r>
      <w:r w:rsidR="0094798D" w:rsidRPr="00432926">
        <w:t xml:space="preserve">COVID19 period. There was also an increasing trend in the adjusted monthly </w:t>
      </w:r>
      <w:r w:rsidRPr="00432926">
        <w:t xml:space="preserve">in-hospital </w:t>
      </w:r>
      <w:r w:rsidR="0094798D" w:rsidRPr="00432926">
        <w:t>mortality from February 2020 (OR 1.67 95%CI 1.12-2.65) to May 2020 (OR 2.39 95%CI 1.15-5.63) in the BAME group</w:t>
      </w:r>
      <w:r w:rsidR="002F3827" w:rsidRPr="00432926">
        <w:t xml:space="preserve"> </w:t>
      </w:r>
      <w:r w:rsidR="00B72B8C" w:rsidRPr="00432926">
        <w:t xml:space="preserve">(relative to </w:t>
      </w:r>
      <w:r w:rsidR="00AF5B45" w:rsidRPr="00432926">
        <w:t xml:space="preserve">the </w:t>
      </w:r>
      <w:r w:rsidR="00B72B8C" w:rsidRPr="00432926">
        <w:t>white</w:t>
      </w:r>
      <w:r w:rsidR="00AF5B45" w:rsidRPr="00432926">
        <w:t xml:space="preserve"> population</w:t>
      </w:r>
      <w:r w:rsidR="00B72B8C" w:rsidRPr="00432926">
        <w:t xml:space="preserve">) </w:t>
      </w:r>
      <w:r w:rsidR="0094798D" w:rsidRPr="00432926">
        <w:t xml:space="preserve">during the COVID19 period </w:t>
      </w:r>
      <w:r w:rsidR="002F3827" w:rsidRPr="00432926">
        <w:t>versus the</w:t>
      </w:r>
      <w:r w:rsidR="0094798D" w:rsidRPr="00432926">
        <w:t xml:space="preserve"> pre</w:t>
      </w:r>
      <w:r w:rsidR="00AF5B45" w:rsidRPr="00432926">
        <w:t>-</w:t>
      </w:r>
      <w:r w:rsidR="0094798D" w:rsidRPr="00432926">
        <w:t xml:space="preserve">COVID19 period (Figure 4, </w:t>
      </w:r>
      <w:r w:rsidR="0094798D" w:rsidRPr="00432926">
        <w:lastRenderedPageBreak/>
        <w:t xml:space="preserve">supplementary table 2). </w:t>
      </w:r>
      <w:r w:rsidR="00813480" w:rsidRPr="00432926">
        <w:t xml:space="preserve">We </w:t>
      </w:r>
      <w:r w:rsidR="001037D0" w:rsidRPr="00432926">
        <w:t xml:space="preserve">also </w:t>
      </w:r>
      <w:r w:rsidR="00813480" w:rsidRPr="00432926">
        <w:t>observed</w:t>
      </w:r>
      <w:r w:rsidR="0094798D" w:rsidRPr="00432926">
        <w:t xml:space="preserve"> a significant rise in adjusted in-hospital mortality in </w:t>
      </w:r>
      <w:r w:rsidR="00AF5B45" w:rsidRPr="00432926">
        <w:t xml:space="preserve">the </w:t>
      </w:r>
      <w:r w:rsidR="0094798D" w:rsidRPr="00432926">
        <w:t xml:space="preserve">BAME group </w:t>
      </w:r>
      <w:r w:rsidR="00B72B8C" w:rsidRPr="00432926">
        <w:t xml:space="preserve">(relative to </w:t>
      </w:r>
      <w:r w:rsidR="00AF5B45" w:rsidRPr="00432926">
        <w:t xml:space="preserve">the </w:t>
      </w:r>
      <w:r w:rsidR="00B72B8C" w:rsidRPr="00432926">
        <w:t>white</w:t>
      </w:r>
      <w:r w:rsidR="00AF5B45" w:rsidRPr="00432926">
        <w:t xml:space="preserve"> cohort</w:t>
      </w:r>
      <w:r w:rsidR="00B72B8C" w:rsidRPr="00432926">
        <w:t xml:space="preserve">) </w:t>
      </w:r>
      <w:r w:rsidR="0094798D" w:rsidRPr="00432926">
        <w:t>after the lockdown (23</w:t>
      </w:r>
      <w:r w:rsidR="0094798D" w:rsidRPr="00432926">
        <w:rPr>
          <w:vertAlign w:val="superscript"/>
        </w:rPr>
        <w:t>rd</w:t>
      </w:r>
      <w:r w:rsidR="0094798D" w:rsidRPr="00432926">
        <w:t xml:space="preserve"> March 2020) OR 1.78 (95%CI 1.12-3.08) </w:t>
      </w:r>
      <w:r w:rsidR="00FF2A03" w:rsidRPr="00432926">
        <w:t>versus the</w:t>
      </w:r>
      <w:r w:rsidR="0094798D" w:rsidRPr="00432926">
        <w:t xml:space="preserve"> pre</w:t>
      </w:r>
      <w:r w:rsidR="00AF5B45" w:rsidRPr="00432926">
        <w:t>-</w:t>
      </w:r>
      <w:r w:rsidR="0094798D" w:rsidRPr="00432926">
        <w:t>lockdown period OR 0.95 (95%CI 0.81-1.10)</w:t>
      </w:r>
      <w:r w:rsidR="00813480" w:rsidRPr="00432926">
        <w:t xml:space="preserve"> (Supplementary figure 2)</w:t>
      </w:r>
      <w:r w:rsidR="0094798D" w:rsidRPr="00432926">
        <w:t>.</w:t>
      </w:r>
      <w:r w:rsidR="0055165F" w:rsidRPr="00432926">
        <w:t xml:space="preserve"> </w:t>
      </w:r>
      <w:r w:rsidR="0094798D" w:rsidRPr="00432926">
        <w:t xml:space="preserve">In the sensitivity analysis </w:t>
      </w:r>
      <w:r w:rsidR="001037D0" w:rsidRPr="00432926">
        <w:t xml:space="preserve">using </w:t>
      </w:r>
      <w:r w:rsidR="0094798D" w:rsidRPr="00432926">
        <w:t xml:space="preserve">the data </w:t>
      </w:r>
      <w:r w:rsidR="001037D0" w:rsidRPr="00432926">
        <w:t>from</w:t>
      </w:r>
      <w:r w:rsidR="0094798D" w:rsidRPr="00432926">
        <w:t xml:space="preserve"> rapid reporting hospitals, we observed similar trends in the i</w:t>
      </w:r>
      <w:r w:rsidRPr="00432926">
        <w:t>n-hospital and 7-day mortality during the</w:t>
      </w:r>
      <w:r w:rsidR="001037D0" w:rsidRPr="00432926">
        <w:t xml:space="preserve"> </w:t>
      </w:r>
      <w:r w:rsidR="0094798D" w:rsidRPr="00432926">
        <w:t xml:space="preserve">COVID19 period compared to </w:t>
      </w:r>
      <w:r w:rsidR="001037D0" w:rsidRPr="00432926">
        <w:t xml:space="preserve">the </w:t>
      </w:r>
      <w:r w:rsidR="0094798D" w:rsidRPr="00432926">
        <w:t>pr</w:t>
      </w:r>
      <w:r w:rsidR="00813480" w:rsidRPr="00432926">
        <w:t>e</w:t>
      </w:r>
      <w:r w:rsidR="001037D0" w:rsidRPr="00432926">
        <w:t>-</w:t>
      </w:r>
      <w:r w:rsidRPr="00432926">
        <w:t>COVID19 period (s</w:t>
      </w:r>
      <w:r w:rsidR="00813480" w:rsidRPr="00432926">
        <w:t xml:space="preserve">upplementary table </w:t>
      </w:r>
      <w:r w:rsidRPr="00432926">
        <w:t>3</w:t>
      </w:r>
      <w:r w:rsidR="0094798D" w:rsidRPr="00432926">
        <w:t>)</w:t>
      </w:r>
    </w:p>
    <w:p w14:paraId="49436C61" w14:textId="4BD9D5C9" w:rsidR="00175584" w:rsidRPr="00432926" w:rsidRDefault="00633623" w:rsidP="00CB00B1">
      <w:pPr>
        <w:spacing w:line="360" w:lineRule="auto"/>
        <w:ind w:firstLine="720"/>
        <w:jc w:val="both"/>
      </w:pPr>
      <w:r w:rsidRPr="00432926">
        <w:t>Out of</w:t>
      </w:r>
      <w:r w:rsidR="006D0614" w:rsidRPr="00432926">
        <w:t xml:space="preserve"> 73,746 patients in </w:t>
      </w:r>
      <w:r w:rsidR="00416A1B" w:rsidRPr="00432926">
        <w:t xml:space="preserve">the </w:t>
      </w:r>
      <w:r w:rsidR="006D0614" w:rsidRPr="00432926">
        <w:t>MINAP</w:t>
      </w:r>
      <w:r w:rsidR="00416A1B" w:rsidRPr="00432926">
        <w:t xml:space="preserve"> ACS registry</w:t>
      </w:r>
      <w:r w:rsidR="006D0614" w:rsidRPr="00432926">
        <w:t>, 34,</w:t>
      </w:r>
      <w:r w:rsidR="000C3298" w:rsidRPr="00432926">
        <w:t>5</w:t>
      </w:r>
      <w:r w:rsidR="006D0614" w:rsidRPr="00432926">
        <w:t>82 (46.9</w:t>
      </w:r>
      <w:r w:rsidR="000C3298" w:rsidRPr="00432926">
        <w:t xml:space="preserve">%) </w:t>
      </w:r>
      <w:r w:rsidR="002A245D" w:rsidRPr="00432926">
        <w:t>received</w:t>
      </w:r>
      <w:r w:rsidR="006B4568" w:rsidRPr="00432926">
        <w:t xml:space="preserve"> </w:t>
      </w:r>
      <w:r w:rsidR="00D6658E" w:rsidRPr="00432926">
        <w:t xml:space="preserve">PCI </w:t>
      </w:r>
      <w:r w:rsidR="00416A1B" w:rsidRPr="00432926">
        <w:t xml:space="preserve">and were studied </w:t>
      </w:r>
      <w:r w:rsidR="00D6658E" w:rsidRPr="00432926">
        <w:t xml:space="preserve">in the BCIS </w:t>
      </w:r>
      <w:r w:rsidR="00416A1B" w:rsidRPr="00432926">
        <w:t xml:space="preserve">PCI </w:t>
      </w:r>
      <w:r w:rsidR="00D6658E" w:rsidRPr="00432926">
        <w:t xml:space="preserve">registry during the study period. </w:t>
      </w:r>
      <w:r w:rsidRPr="00432926">
        <w:t>Overall</w:t>
      </w:r>
      <w:r w:rsidR="00F2192E" w:rsidRPr="00432926">
        <w:t>,</w:t>
      </w:r>
      <w:r w:rsidR="00D05C9F" w:rsidRPr="00432926">
        <w:t xml:space="preserve"> the</w:t>
      </w:r>
      <w:r w:rsidRPr="00432926">
        <w:t xml:space="preserve"> BAME group undergoing PCI were likely to be younger, male and had lower BMI compared to white</w:t>
      </w:r>
      <w:r w:rsidR="000F7953" w:rsidRPr="00432926">
        <w:t xml:space="preserve"> patient</w:t>
      </w:r>
      <w:r w:rsidRPr="00432926">
        <w:t xml:space="preserve">s. The clinical and angiographic characteristics of the BAME group undergoing PCI during </w:t>
      </w:r>
      <w:r w:rsidR="000F7953" w:rsidRPr="00432926">
        <w:t xml:space="preserve">the </w:t>
      </w:r>
      <w:r w:rsidRPr="00432926">
        <w:t xml:space="preserve">COVID19 period and </w:t>
      </w:r>
      <w:r w:rsidR="000F7953" w:rsidRPr="00432926">
        <w:t xml:space="preserve">the </w:t>
      </w:r>
      <w:r w:rsidRPr="00432926">
        <w:t xml:space="preserve">pre COVID19 period were largely unchanged. </w:t>
      </w:r>
      <w:r w:rsidR="00177E07" w:rsidRPr="00432926">
        <w:t>(</w:t>
      </w:r>
      <w:r w:rsidR="000851CC" w:rsidRPr="00432926">
        <w:t>Supplementary t</w:t>
      </w:r>
      <w:r w:rsidR="008149CB" w:rsidRPr="00432926">
        <w:t>able 4a and 4</w:t>
      </w:r>
      <w:r w:rsidR="0094798D" w:rsidRPr="00432926">
        <w:t>b</w:t>
      </w:r>
      <w:r w:rsidR="00177E07" w:rsidRPr="00432926">
        <w:t>)</w:t>
      </w:r>
      <w:r w:rsidRPr="00432926">
        <w:t>. In the adjusted mortality analysis, overall ethnicity was not associated with any mortality</w:t>
      </w:r>
      <w:r w:rsidR="00796469" w:rsidRPr="00432926">
        <w:t xml:space="preserve"> hazard (OR 1.28 95%CI 0.70-2.32</w:t>
      </w:r>
      <w:r w:rsidRPr="00432926">
        <w:t>) and had similar monthly in-hospital mortality</w:t>
      </w:r>
      <w:r w:rsidR="003A7C3C" w:rsidRPr="00432926">
        <w:t xml:space="preserve"> and 7-day mortality</w:t>
      </w:r>
      <w:r w:rsidRPr="00432926">
        <w:t xml:space="preserve"> during </w:t>
      </w:r>
      <w:r w:rsidR="000F7953" w:rsidRPr="00432926">
        <w:t xml:space="preserve">the </w:t>
      </w:r>
      <w:r w:rsidRPr="00432926">
        <w:t xml:space="preserve">COVID19 period compared to </w:t>
      </w:r>
      <w:r w:rsidR="00FF46A3" w:rsidRPr="00432926">
        <w:t xml:space="preserve">the </w:t>
      </w:r>
      <w:r w:rsidRPr="00432926">
        <w:t>pre</w:t>
      </w:r>
      <w:r w:rsidR="00581255" w:rsidRPr="00432926">
        <w:t>-</w:t>
      </w:r>
      <w:r w:rsidRPr="00432926">
        <w:t>COVID19 peri</w:t>
      </w:r>
      <w:r w:rsidR="003A7C3C" w:rsidRPr="00432926">
        <w:t>od (Table</w:t>
      </w:r>
      <w:r w:rsidR="008149CB" w:rsidRPr="00432926">
        <w:t xml:space="preserve"> 2</w:t>
      </w:r>
      <w:r w:rsidRPr="00432926">
        <w:t>).</w:t>
      </w:r>
    </w:p>
    <w:p w14:paraId="65551474" w14:textId="77777777" w:rsidR="004B4D22" w:rsidRPr="00432926" w:rsidRDefault="004B4D22" w:rsidP="00CB00B1">
      <w:pPr>
        <w:spacing w:line="360" w:lineRule="auto"/>
        <w:jc w:val="both"/>
        <w:rPr>
          <w:b/>
        </w:rPr>
      </w:pPr>
      <w:r w:rsidRPr="00432926">
        <w:rPr>
          <w:b/>
        </w:rPr>
        <w:t>Discussion</w:t>
      </w:r>
    </w:p>
    <w:p w14:paraId="0BFE9005" w14:textId="42F762C8" w:rsidR="004B4D22" w:rsidRPr="00432926" w:rsidRDefault="00AF2417" w:rsidP="00CB00B1">
      <w:pPr>
        <w:spacing w:line="360" w:lineRule="auto"/>
        <w:jc w:val="both"/>
      </w:pPr>
      <w:r w:rsidRPr="00432926">
        <w:t>In t</w:t>
      </w:r>
      <w:r w:rsidR="003A7C3C" w:rsidRPr="00432926">
        <w:t>his national investigation using multisource linked nationwide healthcare records data from the world’s largest single healthcare system,</w:t>
      </w:r>
      <w:r w:rsidR="00E31EF6" w:rsidRPr="00432926">
        <w:t xml:space="preserve"> we </w:t>
      </w:r>
      <w:r w:rsidR="00C766C4" w:rsidRPr="00432926">
        <w:t xml:space="preserve">observed </w:t>
      </w:r>
      <w:r w:rsidR="00F2192E" w:rsidRPr="00432926">
        <w:t>the following important findings:</w:t>
      </w:r>
      <w:r w:rsidR="0055165F" w:rsidRPr="00432926">
        <w:t xml:space="preserve"> </w:t>
      </w:r>
      <w:r w:rsidR="00DD594B" w:rsidRPr="00432926">
        <w:t xml:space="preserve">(a) BAME </w:t>
      </w:r>
      <w:r w:rsidR="008A21B8" w:rsidRPr="00432926">
        <w:t xml:space="preserve"> communities</w:t>
      </w:r>
      <w:r w:rsidR="003A7C3C" w:rsidRPr="00432926">
        <w:t xml:space="preserve"> had proportionally higher rates of AMI related </w:t>
      </w:r>
      <w:r w:rsidR="00BA1B9F" w:rsidRPr="00432926">
        <w:t>hospitalisation</w:t>
      </w:r>
      <w:r w:rsidR="003A7C3C" w:rsidRPr="00432926">
        <w:t>s compared to whites during</w:t>
      </w:r>
      <w:r w:rsidR="00240726" w:rsidRPr="00432926">
        <w:t xml:space="preserve"> the</w:t>
      </w:r>
      <w:r w:rsidR="003A7C3C" w:rsidRPr="00432926">
        <w:t xml:space="preserve"> COVID19 pandemic</w:t>
      </w:r>
      <w:r w:rsidR="00DD594B" w:rsidRPr="00432926">
        <w:t xml:space="preserve"> (b) Although, BAME patients have different presenting characteristics and comorbidity profile, some differences such as younger age, male sex and lower BM</w:t>
      </w:r>
      <w:r w:rsidR="00E61169" w:rsidRPr="00432926">
        <w:t>I</w:t>
      </w:r>
      <w:r w:rsidR="00DD594B" w:rsidRPr="00432926">
        <w:t xml:space="preserve"> were magnified during the COVID19 period whereas some differences were reversed- such as BAME were</w:t>
      </w:r>
      <w:r w:rsidR="00D5704A" w:rsidRPr="00432926">
        <w:t xml:space="preserve"> more likely to present with STEMI, out of hospital cardiac arrest and cardiogenic shock</w:t>
      </w:r>
      <w:r w:rsidR="00DD594B" w:rsidRPr="00432926">
        <w:t xml:space="preserve"> during </w:t>
      </w:r>
      <w:r w:rsidR="00240726" w:rsidRPr="00432926">
        <w:t xml:space="preserve">the </w:t>
      </w:r>
      <w:r w:rsidR="00DD594B" w:rsidRPr="00432926">
        <w:t>COVID19 period compared to pre COVID19</w:t>
      </w:r>
      <w:r w:rsidR="00D5704A" w:rsidRPr="00432926">
        <w:t>.</w:t>
      </w:r>
      <w:r w:rsidR="00140A2B" w:rsidRPr="00432926">
        <w:t xml:space="preserve"> </w:t>
      </w:r>
      <w:r w:rsidR="008A21B8" w:rsidRPr="00432926">
        <w:t>BAME communities</w:t>
      </w:r>
      <w:r w:rsidR="0076439C" w:rsidRPr="00432926">
        <w:t xml:space="preserve"> had longer time to reper</w:t>
      </w:r>
      <w:r w:rsidR="00DD594B" w:rsidRPr="00432926">
        <w:t xml:space="preserve">fusion for STEMI, </w:t>
      </w:r>
      <w:r w:rsidR="009D66E5" w:rsidRPr="00432926">
        <w:t>lower use of invasive strategy</w:t>
      </w:r>
      <w:r w:rsidR="00536640" w:rsidRPr="00432926">
        <w:t xml:space="preserve"> for NSTEMI</w:t>
      </w:r>
      <w:r w:rsidR="00DD594B" w:rsidRPr="00432926">
        <w:t xml:space="preserve">, and </w:t>
      </w:r>
      <w:r w:rsidR="009D66E5" w:rsidRPr="00432926">
        <w:t>experienced</w:t>
      </w:r>
      <w:r w:rsidR="00F73252" w:rsidRPr="00432926">
        <w:t xml:space="preserve"> long</w:t>
      </w:r>
      <w:r w:rsidR="009D66E5" w:rsidRPr="00432926">
        <w:t xml:space="preserve"> delay</w:t>
      </w:r>
      <w:r w:rsidR="004E698B" w:rsidRPr="00432926">
        <w:t>s</w:t>
      </w:r>
      <w:r w:rsidR="009D66E5" w:rsidRPr="00432926">
        <w:t xml:space="preserve"> </w:t>
      </w:r>
      <w:r w:rsidR="004E698B" w:rsidRPr="00432926">
        <w:t xml:space="preserve">in receiving </w:t>
      </w:r>
      <w:r w:rsidR="00DD594B" w:rsidRPr="00432926">
        <w:t>coronary angiography</w:t>
      </w:r>
      <w:r w:rsidR="009D66E5" w:rsidRPr="00432926">
        <w:t>.</w:t>
      </w:r>
      <w:r w:rsidR="00793443" w:rsidRPr="00432926">
        <w:t xml:space="preserve"> c) Compared to pre COVID19 period,</w:t>
      </w:r>
      <w:r w:rsidR="00633623" w:rsidRPr="00432926">
        <w:t xml:space="preserve"> </w:t>
      </w:r>
      <w:r w:rsidR="008A21B8" w:rsidRPr="00432926">
        <w:t>BAME communities</w:t>
      </w:r>
      <w:r w:rsidR="00793443" w:rsidRPr="00432926">
        <w:t xml:space="preserve"> experienced an increased in-hospital and 7-day mortality (relative to whites) during the COVID19 pandemic. d) In </w:t>
      </w:r>
      <w:r w:rsidR="00633623" w:rsidRPr="00432926">
        <w:t xml:space="preserve">contrast, BAME </w:t>
      </w:r>
      <w:r w:rsidR="00FF19B1" w:rsidRPr="00432926">
        <w:t xml:space="preserve">patients </w:t>
      </w:r>
      <w:r w:rsidR="003E0152" w:rsidRPr="00432926">
        <w:t xml:space="preserve">who </w:t>
      </w:r>
      <w:r w:rsidR="00FF19B1" w:rsidRPr="00432926">
        <w:t xml:space="preserve">were referred for an invasive strategy and </w:t>
      </w:r>
      <w:r w:rsidR="003E0152" w:rsidRPr="00432926">
        <w:t>underwent PCI had simi</w:t>
      </w:r>
      <w:r w:rsidR="00793443" w:rsidRPr="00432926">
        <w:t>lar in-hospital mortality before and during</w:t>
      </w:r>
      <w:r w:rsidR="003E0152" w:rsidRPr="00432926">
        <w:t xml:space="preserve"> </w:t>
      </w:r>
      <w:r w:rsidR="0045532C" w:rsidRPr="00432926">
        <w:t xml:space="preserve">the </w:t>
      </w:r>
      <w:r w:rsidR="00793443" w:rsidRPr="00432926">
        <w:t>COVID19 pandemic.</w:t>
      </w:r>
      <w:r w:rsidR="003E0152" w:rsidRPr="00432926">
        <w:t xml:space="preserve"> </w:t>
      </w:r>
      <w:r w:rsidR="00691936" w:rsidRPr="00432926">
        <w:t>These observed association</w:t>
      </w:r>
      <w:r w:rsidR="002E1FD5" w:rsidRPr="00432926">
        <w:t>s</w:t>
      </w:r>
      <w:r w:rsidR="00691936" w:rsidRPr="00432926">
        <w:t xml:space="preserve"> </w:t>
      </w:r>
      <w:r w:rsidR="00FF19B1" w:rsidRPr="00432926">
        <w:t xml:space="preserve">suggest </w:t>
      </w:r>
      <w:r w:rsidR="004C7077" w:rsidRPr="00432926">
        <w:t>delayed patient response and widening differences in the utilisation of guidelines recommended care in the</w:t>
      </w:r>
      <w:r w:rsidR="00600C30" w:rsidRPr="00432926">
        <w:t xml:space="preserve"> </w:t>
      </w:r>
      <w:r w:rsidR="00AF1DC4" w:rsidRPr="00432926">
        <w:t xml:space="preserve">BAME </w:t>
      </w:r>
      <w:r w:rsidR="00FF19B1" w:rsidRPr="00432926">
        <w:t xml:space="preserve">patients </w:t>
      </w:r>
      <w:r w:rsidR="00C90CE2" w:rsidRPr="00432926">
        <w:t>hospitalis</w:t>
      </w:r>
      <w:r w:rsidR="0055165F" w:rsidRPr="00432926">
        <w:t>ed</w:t>
      </w:r>
      <w:r w:rsidR="00AF1DC4" w:rsidRPr="00432926">
        <w:t xml:space="preserve"> with AMI during the COVID19 </w:t>
      </w:r>
      <w:r w:rsidR="003438C9" w:rsidRPr="00432926">
        <w:t>pandemic.</w:t>
      </w:r>
    </w:p>
    <w:p w14:paraId="3FE7B62E" w14:textId="044CD607" w:rsidR="00C86AD8" w:rsidRPr="00432926" w:rsidRDefault="00C86AD8" w:rsidP="00CB00B1">
      <w:pPr>
        <w:spacing w:line="360" w:lineRule="auto"/>
        <w:jc w:val="both"/>
      </w:pPr>
      <w:r w:rsidRPr="00432926">
        <w:lastRenderedPageBreak/>
        <w:t xml:space="preserve">BAME communities have experienced significantly higher rates of death during the COVID19 period which are not fully explained by existing </w:t>
      </w:r>
      <w:r w:rsidR="0019474C" w:rsidRPr="00432926">
        <w:t>socioeconomic, life style and health disparities</w:t>
      </w:r>
      <w:r w:rsidR="007D582C" w:rsidRPr="00432926">
        <w:fldChar w:fldCharType="begin"/>
      </w:r>
      <w:r w:rsidR="007D00F6" w:rsidRPr="00432926">
        <w:instrText>ADDIN RW.CITE{{doc:5ee6224be4b0271cc83184e2 King,KathrynM 2009; doc:5ee4fe9fe4b0e3a229e0761d Niedzwiedz,CL 2020}}</w:instrText>
      </w:r>
      <w:r w:rsidR="007D582C" w:rsidRPr="00432926">
        <w:fldChar w:fldCharType="separate"/>
      </w:r>
      <w:r w:rsidR="007D00F6" w:rsidRPr="00432926">
        <w:rPr>
          <w:rFonts w:cs="Times New Roman"/>
          <w:bCs/>
          <w:vertAlign w:val="superscript"/>
          <w:lang w:val="en-US"/>
        </w:rPr>
        <w:t>14 27</w:t>
      </w:r>
      <w:r w:rsidR="007D582C" w:rsidRPr="00432926">
        <w:fldChar w:fldCharType="end"/>
      </w:r>
      <w:r w:rsidR="0019474C" w:rsidRPr="00432926">
        <w:t>.</w:t>
      </w:r>
      <w:r w:rsidR="00CA7481" w:rsidRPr="00432926">
        <w:t xml:space="preserve"> Chronic conditions</w:t>
      </w:r>
      <w:r w:rsidR="00F2192E" w:rsidRPr="00432926">
        <w:t>, which are known to be associated with worst outcomes in COVID19 infection,</w:t>
      </w:r>
      <w:r w:rsidR="00CA7481" w:rsidRPr="00432926">
        <w:t xml:space="preserve"> such as diabetes, obesity and cardiovascular disease are more prevalent amongst the BAME communities.</w:t>
      </w:r>
      <w:r w:rsidR="007D582C" w:rsidRPr="00432926">
        <w:t xml:space="preserve"> However, </w:t>
      </w:r>
      <w:r w:rsidR="00C61AC4" w:rsidRPr="00432926">
        <w:t xml:space="preserve">large-scale national </w:t>
      </w:r>
      <w:r w:rsidR="007D582C" w:rsidRPr="00432926">
        <w:t xml:space="preserve">data are lacking regarding </w:t>
      </w:r>
      <w:r w:rsidR="00F612B7" w:rsidRPr="00432926">
        <w:t xml:space="preserve">both </w:t>
      </w:r>
      <w:r w:rsidR="007D582C" w:rsidRPr="00432926">
        <w:t xml:space="preserve">clinical characteristics and management of </w:t>
      </w:r>
      <w:r w:rsidR="00825531" w:rsidRPr="00432926">
        <w:t xml:space="preserve">AMI in the </w:t>
      </w:r>
      <w:r w:rsidR="007D582C" w:rsidRPr="00432926">
        <w:t>BAME communities</w:t>
      </w:r>
      <w:r w:rsidR="00F612B7" w:rsidRPr="00432926">
        <w:t xml:space="preserve"> </w:t>
      </w:r>
      <w:r w:rsidR="00825531" w:rsidRPr="00432926">
        <w:t xml:space="preserve">during the current COVID19 pandemic. Our study </w:t>
      </w:r>
      <w:r w:rsidR="00CA7481" w:rsidRPr="00432926">
        <w:t>confirms</w:t>
      </w:r>
      <w:r w:rsidR="00825531" w:rsidRPr="00432926">
        <w:t xml:space="preserve"> that BAME communities</w:t>
      </w:r>
      <w:r w:rsidR="007D582C" w:rsidRPr="00432926">
        <w:t xml:space="preserve"> </w:t>
      </w:r>
      <w:r w:rsidR="00CA7481" w:rsidRPr="00432926">
        <w:t xml:space="preserve">presenting with AMI have </w:t>
      </w:r>
      <w:r w:rsidR="00C61AC4" w:rsidRPr="00432926">
        <w:t>a</w:t>
      </w:r>
      <w:r w:rsidR="00793443" w:rsidRPr="00432926">
        <w:t>n</w:t>
      </w:r>
      <w:r w:rsidR="00C61AC4" w:rsidRPr="00432926">
        <w:t xml:space="preserve"> </w:t>
      </w:r>
      <w:r w:rsidR="00793443" w:rsidRPr="00432926">
        <w:t>increased</w:t>
      </w:r>
      <w:r w:rsidR="007D582C" w:rsidRPr="00432926">
        <w:t xml:space="preserve"> prevalence of certain cardiometabolic comorbidities such as diabetes,</w:t>
      </w:r>
      <w:r w:rsidR="0041616A" w:rsidRPr="00432926">
        <w:t xml:space="preserve"> hypertension</w:t>
      </w:r>
      <w:r w:rsidR="00121235" w:rsidRPr="00432926">
        <w:t>, chronic kidney disease and prior AMI</w:t>
      </w:r>
      <w:r w:rsidR="0041616A" w:rsidRPr="00432926">
        <w:t xml:space="preserve">. </w:t>
      </w:r>
      <w:r w:rsidR="00D334F1" w:rsidRPr="00432926">
        <w:t>However, w</w:t>
      </w:r>
      <w:r w:rsidR="00CA7481" w:rsidRPr="00432926">
        <w:t>e observed</w:t>
      </w:r>
      <w:r w:rsidR="00793443" w:rsidRPr="00432926">
        <w:t xml:space="preserve"> important changes in the presenting characteristics of </w:t>
      </w:r>
      <w:r w:rsidR="008A21B8" w:rsidRPr="00432926">
        <w:t>BAME communities</w:t>
      </w:r>
      <w:r w:rsidR="00793443" w:rsidRPr="00432926">
        <w:t>, in</w:t>
      </w:r>
      <w:r w:rsidR="00CA7481" w:rsidRPr="00432926">
        <w:t xml:space="preserve"> </w:t>
      </w:r>
      <w:r w:rsidR="006925D0" w:rsidRPr="00432926">
        <w:t>that</w:t>
      </w:r>
      <w:r w:rsidR="00793443" w:rsidRPr="00432926">
        <w:t xml:space="preserve"> the</w:t>
      </w:r>
      <w:r w:rsidR="00693F9C" w:rsidRPr="00432926">
        <w:t xml:space="preserve"> </w:t>
      </w:r>
      <w:r w:rsidR="00CA7481" w:rsidRPr="00432926">
        <w:t xml:space="preserve">BAME </w:t>
      </w:r>
      <w:r w:rsidR="006925D0" w:rsidRPr="00432926">
        <w:t xml:space="preserve">patients </w:t>
      </w:r>
      <w:r w:rsidR="00BA1B9F" w:rsidRPr="00432926">
        <w:t>hospitalis</w:t>
      </w:r>
      <w:r w:rsidR="0055165F" w:rsidRPr="00432926">
        <w:t>ed</w:t>
      </w:r>
      <w:r w:rsidR="00CA7481" w:rsidRPr="00432926">
        <w:t xml:space="preserve"> during the COVID19 period were more likely to have STEMI and haemodynamic instability in the form of pre-hospital cardiac arrest and cardiogenic shock</w:t>
      </w:r>
      <w:r w:rsidR="00793443" w:rsidRPr="00432926">
        <w:t xml:space="preserve"> compared with</w:t>
      </w:r>
      <w:r w:rsidR="00C61AC4" w:rsidRPr="00432926">
        <w:t xml:space="preserve"> pre-COVID period</w:t>
      </w:r>
      <w:r w:rsidR="00693F9C" w:rsidRPr="00432926">
        <w:t>.</w:t>
      </w:r>
    </w:p>
    <w:p w14:paraId="208BE427" w14:textId="332321F5" w:rsidR="00942570" w:rsidRPr="00432926" w:rsidRDefault="00151966" w:rsidP="00CB00B1">
      <w:pPr>
        <w:spacing w:line="360" w:lineRule="auto"/>
        <w:ind w:firstLine="720"/>
        <w:jc w:val="both"/>
      </w:pPr>
      <w:r w:rsidRPr="00432926">
        <w:t xml:space="preserve">While many studies have reported reduced AMI related </w:t>
      </w:r>
      <w:r w:rsidR="00BA1B9F" w:rsidRPr="00432926">
        <w:t>hospitalisation</w:t>
      </w:r>
      <w:r w:rsidRPr="00432926">
        <w:t>s across the globe during the curre</w:t>
      </w:r>
      <w:r w:rsidR="00D334F1" w:rsidRPr="00432926">
        <w:t>nt COVID19 outbreak, there was</w:t>
      </w:r>
      <w:r w:rsidRPr="00432926">
        <w:t xml:space="preserve"> </w:t>
      </w:r>
      <w:r w:rsidR="00793443" w:rsidRPr="00432926">
        <w:t>a significantly higher rates</w:t>
      </w:r>
      <w:r w:rsidRPr="00432926">
        <w:t xml:space="preserve"> of AMI</w:t>
      </w:r>
      <w:r w:rsidR="000D6A95" w:rsidRPr="00432926">
        <w:t>-</w:t>
      </w:r>
      <w:r w:rsidR="00D334F1" w:rsidRPr="00432926">
        <w:t xml:space="preserve">related </w:t>
      </w:r>
      <w:r w:rsidR="00BA1B9F" w:rsidRPr="00432926">
        <w:t>hospitalisation</w:t>
      </w:r>
      <w:r w:rsidR="00D334F1" w:rsidRPr="00432926">
        <w:t xml:space="preserve"> </w:t>
      </w:r>
      <w:r w:rsidRPr="00432926">
        <w:t>amongst the BAME communities</w:t>
      </w:r>
      <w:r w:rsidR="00D334F1" w:rsidRPr="00432926">
        <w:t xml:space="preserve"> in England during COVID19 pandemic.</w:t>
      </w:r>
      <w:r w:rsidR="009176E5" w:rsidRPr="00432926">
        <w:t xml:space="preserve"> In particular, there was significant uplift in the rate of hospitalisation in the BAME group during May 2020 which be a reflection of change in the health seeking behaviour following early concerns raised about increased risk of COVID19 related infection and death in the BAME communities. </w:t>
      </w:r>
      <w:r w:rsidR="00793443" w:rsidRPr="00432926">
        <w:t xml:space="preserve"> </w:t>
      </w:r>
      <w:r w:rsidR="00693F9C" w:rsidRPr="00432926">
        <w:t xml:space="preserve">Our study identifies important differences in the management of BAME communities during the COVID19 </w:t>
      </w:r>
      <w:r w:rsidR="00FF3524" w:rsidRPr="00432926">
        <w:t xml:space="preserve">period. Despite </w:t>
      </w:r>
      <w:r w:rsidR="00693F9C" w:rsidRPr="00432926">
        <w:t xml:space="preserve">high-risk presenting characteristics, they were less likely to receive </w:t>
      </w:r>
      <w:r w:rsidR="00FF3524" w:rsidRPr="00432926">
        <w:t>timely re</w:t>
      </w:r>
      <w:r w:rsidR="008245B7" w:rsidRPr="00432926">
        <w:t xml:space="preserve">perfusion treatment for </w:t>
      </w:r>
      <w:r w:rsidR="00F002C6" w:rsidRPr="00432926">
        <w:t>STEMI</w:t>
      </w:r>
      <w:r w:rsidR="00993827" w:rsidRPr="00432926">
        <w:t xml:space="preserve"> with an absolute increase of 30 minutes in time to reperfusion in STEMI and 2.2 hours in time to angiography in NSTEMI.</w:t>
      </w:r>
      <w:r w:rsidR="008245B7" w:rsidRPr="00432926">
        <w:t xml:space="preserve"> </w:t>
      </w:r>
      <w:r w:rsidR="00F002C6" w:rsidRPr="00432926">
        <w:t>Available data on the racial disparities regarding the tre</w:t>
      </w:r>
      <w:r w:rsidR="00121235" w:rsidRPr="00432926">
        <w:t>atment and management of AMI have</w:t>
      </w:r>
      <w:r w:rsidR="00F002C6" w:rsidRPr="00432926">
        <w:t xml:space="preserve"> shown that BAME communities are at</w:t>
      </w:r>
      <w:r w:rsidR="006925D0" w:rsidRPr="00432926">
        <w:t xml:space="preserve"> a</w:t>
      </w:r>
      <w:r w:rsidR="00F002C6" w:rsidRPr="00432926">
        <w:t xml:space="preserve"> significant disadvantage to receive guidelin</w:t>
      </w:r>
      <w:r w:rsidR="00BB534A" w:rsidRPr="00432926">
        <w:t>e-</w:t>
      </w:r>
      <w:r w:rsidR="00F002C6" w:rsidRPr="00432926">
        <w:t>indicated care and more likely to experience longer delays</w:t>
      </w:r>
      <w:r w:rsidR="00C5640B" w:rsidRPr="00432926">
        <w:fldChar w:fldCharType="begin"/>
      </w:r>
      <w:r w:rsidR="007D00F6" w:rsidRPr="00432926">
        <w:instrText>ADDIN RW.CITE{{doc:5eeca4f4e4b01d3a9c241880 Bradley,ElizabethH 2004; doc:5ee6224be4b0271cc83184e2 King,KathrynM 2009; doc:5eeca52ee4b0113072be8fd4 Cavender,MatthewA 2013; doc:5eb19a3ee4b0af1dbaa6a5d5 Jones,D.A. 2014}}</w:instrText>
      </w:r>
      <w:r w:rsidR="00C5640B" w:rsidRPr="00432926">
        <w:fldChar w:fldCharType="separate"/>
      </w:r>
      <w:r w:rsidR="007D00F6" w:rsidRPr="00432926">
        <w:rPr>
          <w:rFonts w:cs="Times New Roman"/>
          <w:bCs/>
          <w:vertAlign w:val="superscript"/>
          <w:lang w:val="en-US"/>
        </w:rPr>
        <w:t>14 28-30</w:t>
      </w:r>
      <w:r w:rsidR="00C5640B" w:rsidRPr="00432926">
        <w:fldChar w:fldCharType="end"/>
      </w:r>
      <w:r w:rsidR="00993827" w:rsidRPr="00432926">
        <w:t>, and these known disparities may have widened during the current COVID19 pandemic due to restructuring of healthcare system, resource allocation and increased fear of nosocomial COVID19 infection.</w:t>
      </w:r>
      <w:r w:rsidR="00F002C6" w:rsidRPr="00432926">
        <w:t xml:space="preserve"> </w:t>
      </w:r>
      <w:r w:rsidR="00C5640B" w:rsidRPr="00432926">
        <w:t>BAME patients who did undergo PCI during COVID19</w:t>
      </w:r>
      <w:r w:rsidR="00633623" w:rsidRPr="00432926">
        <w:t xml:space="preserve"> had very similar clinical</w:t>
      </w:r>
      <w:r w:rsidR="00BB534A" w:rsidRPr="00432926">
        <w:t xml:space="preserve"> characteristics</w:t>
      </w:r>
      <w:r w:rsidR="00633623" w:rsidRPr="00432926">
        <w:t xml:space="preserve"> and risk profile</w:t>
      </w:r>
      <w:r w:rsidR="00BD693E" w:rsidRPr="00432926">
        <w:t xml:space="preserve"> compared to</w:t>
      </w:r>
      <w:r w:rsidR="00BB534A" w:rsidRPr="00432926">
        <w:t xml:space="preserve"> BAME patients</w:t>
      </w:r>
      <w:r w:rsidR="00BD693E" w:rsidRPr="00432926">
        <w:t xml:space="preserve"> in the</w:t>
      </w:r>
      <w:r w:rsidR="00BB534A" w:rsidRPr="00432926">
        <w:t xml:space="preserve"> pre COVID-19</w:t>
      </w:r>
      <w:r w:rsidR="00BD693E" w:rsidRPr="00432926">
        <w:t xml:space="preserve"> group, but overall had higher comorbid burden and disease complexity compared to white</w:t>
      </w:r>
      <w:r w:rsidR="00CA1673" w:rsidRPr="00432926">
        <w:t xml:space="preserve"> patient</w:t>
      </w:r>
      <w:r w:rsidR="00BD693E" w:rsidRPr="00432926">
        <w:t>s.</w:t>
      </w:r>
    </w:p>
    <w:p w14:paraId="67CDDEE4" w14:textId="3C2750A2" w:rsidR="00B62DAB" w:rsidRPr="00432926" w:rsidRDefault="00AF1DC4" w:rsidP="00CB00B1">
      <w:pPr>
        <w:spacing w:line="360" w:lineRule="auto"/>
        <w:jc w:val="both"/>
      </w:pPr>
      <w:r w:rsidRPr="00432926">
        <w:t>We observed</w:t>
      </w:r>
      <w:r w:rsidR="00253E86" w:rsidRPr="00432926">
        <w:t xml:space="preserve"> </w:t>
      </w:r>
      <w:r w:rsidR="000D6A95" w:rsidRPr="00432926">
        <w:t>higher</w:t>
      </w:r>
      <w:r w:rsidR="0055165F" w:rsidRPr="00432926">
        <w:t xml:space="preserve"> </w:t>
      </w:r>
      <w:r w:rsidR="00253E86" w:rsidRPr="00432926">
        <w:t xml:space="preserve">mortality in BAME communities during the COVID19 period compared to </w:t>
      </w:r>
      <w:r w:rsidR="00CA1673" w:rsidRPr="00432926">
        <w:t xml:space="preserve">the </w:t>
      </w:r>
      <w:r w:rsidR="00253E86" w:rsidRPr="00432926">
        <w:t>pre</w:t>
      </w:r>
      <w:r w:rsidR="00CA1673" w:rsidRPr="00432926">
        <w:t>-</w:t>
      </w:r>
      <w:r w:rsidR="00253E86" w:rsidRPr="00432926">
        <w:t>COVID19 period</w:t>
      </w:r>
      <w:r w:rsidR="000D6A95" w:rsidRPr="00432926">
        <w:t>,</w:t>
      </w:r>
      <w:r w:rsidR="00253E86" w:rsidRPr="00432926">
        <w:t xml:space="preserve"> particularly after the lockdown measures were in</w:t>
      </w:r>
      <w:r w:rsidR="00A872A3" w:rsidRPr="00432926">
        <w:t xml:space="preserve">troduced in the </w:t>
      </w:r>
      <w:r w:rsidR="00A872A3" w:rsidRPr="00432926">
        <w:lastRenderedPageBreak/>
        <w:t>United Kingdom. Excess COVID19 infection mortality amongst BAME communities is widely reported during the current COVID19 outbreak and there is a growing concern that this may be related to underlying health status, concurrent acute medical presentation such AMI, stroke or thromboembolic disease</w:t>
      </w:r>
      <w:r w:rsidR="000D6A95" w:rsidRPr="00432926">
        <w:t>,</w:t>
      </w:r>
      <w:r w:rsidR="00A872A3" w:rsidRPr="00432926">
        <w:t xml:space="preserve"> in addition to the known social and health status determinants</w:t>
      </w:r>
      <w:r w:rsidR="00A872A3" w:rsidRPr="00432926">
        <w:fldChar w:fldCharType="begin"/>
      </w:r>
      <w:r w:rsidR="007D00F6" w:rsidRPr="00432926">
        <w:instrText>ADDIN RW.CITE{{doc:5ecbc26ce4b0d46fca81e38c Pareek,Manish 2020; doc:5ee4fe9fe4b0e3a229e0761e Peate,I 2020}}</w:instrText>
      </w:r>
      <w:r w:rsidR="00A872A3" w:rsidRPr="00432926">
        <w:fldChar w:fldCharType="separate"/>
      </w:r>
      <w:r w:rsidR="007D00F6" w:rsidRPr="00432926">
        <w:rPr>
          <w:rFonts w:cs="Times New Roman"/>
          <w:bCs/>
          <w:vertAlign w:val="superscript"/>
          <w:lang w:val="en-US"/>
        </w:rPr>
        <w:t>20 31</w:t>
      </w:r>
      <w:r w:rsidR="00A872A3" w:rsidRPr="00432926">
        <w:fldChar w:fldCharType="end"/>
      </w:r>
      <w:r w:rsidR="00A872A3" w:rsidRPr="00432926">
        <w:t xml:space="preserve">. </w:t>
      </w:r>
      <w:r w:rsidR="008C7506" w:rsidRPr="00432926">
        <w:t>Although, we didn’t have information regarding the COVID19 infection in our study, there appears to be an increased risk of in-</w:t>
      </w:r>
      <w:r w:rsidR="00993827" w:rsidRPr="00432926">
        <w:t xml:space="preserve">hospital and early 7-day </w:t>
      </w:r>
      <w:r w:rsidR="008C7506" w:rsidRPr="00432926">
        <w:t xml:space="preserve">mortality in the BAME communities which may be related to </w:t>
      </w:r>
      <w:r w:rsidR="00764D44" w:rsidRPr="00432926">
        <w:t xml:space="preserve">delayed </w:t>
      </w:r>
      <w:r w:rsidR="00BA1B9F" w:rsidRPr="00432926">
        <w:t>hospitalisation</w:t>
      </w:r>
      <w:r w:rsidR="00764D44" w:rsidRPr="00432926">
        <w:t xml:space="preserve"> and </w:t>
      </w:r>
      <w:r w:rsidR="008C7506" w:rsidRPr="00432926">
        <w:t>reduced us</w:t>
      </w:r>
      <w:r w:rsidR="00764D44" w:rsidRPr="00432926">
        <w:t>e of guideline</w:t>
      </w:r>
      <w:r w:rsidR="000D6A95" w:rsidRPr="00432926">
        <w:t>-</w:t>
      </w:r>
      <w:r w:rsidR="00764D44" w:rsidRPr="00432926">
        <w:t>indicated care.</w:t>
      </w:r>
      <w:r w:rsidR="00BD693E" w:rsidRPr="00432926">
        <w:t xml:space="preserve"> BAME </w:t>
      </w:r>
      <w:r w:rsidR="00786DCA" w:rsidRPr="00432926">
        <w:t xml:space="preserve">patients </w:t>
      </w:r>
      <w:r w:rsidR="00BD693E" w:rsidRPr="00432926">
        <w:t xml:space="preserve">who did undergo PCI had similar outcomes </w:t>
      </w:r>
      <w:r w:rsidR="00786DCA" w:rsidRPr="00432926">
        <w:t>to white</w:t>
      </w:r>
      <w:r w:rsidR="00CA1673" w:rsidRPr="00432926">
        <w:t xml:space="preserve"> patient</w:t>
      </w:r>
      <w:r w:rsidR="00786DCA" w:rsidRPr="00432926">
        <w:t xml:space="preserve">s </w:t>
      </w:r>
      <w:r w:rsidR="00BD693E" w:rsidRPr="00432926">
        <w:t xml:space="preserve">before and during </w:t>
      </w:r>
      <w:r w:rsidR="00CA1673" w:rsidRPr="00432926">
        <w:t xml:space="preserve">the </w:t>
      </w:r>
      <w:r w:rsidR="00BD693E" w:rsidRPr="00432926">
        <w:t xml:space="preserve">COVID19 pandemic. It is possible that </w:t>
      </w:r>
      <w:r w:rsidR="00CA1673" w:rsidRPr="00432926">
        <w:t xml:space="preserve">the </w:t>
      </w:r>
      <w:r w:rsidR="00BD693E" w:rsidRPr="00432926">
        <w:t xml:space="preserve">overall increase in mortality amongst the BAME group may be related </w:t>
      </w:r>
      <w:r w:rsidR="0051722A" w:rsidRPr="00432926">
        <w:t xml:space="preserve">to the suboptimal care and </w:t>
      </w:r>
      <w:r w:rsidR="00DE2A49" w:rsidRPr="00432926">
        <w:t>lower</w:t>
      </w:r>
      <w:r w:rsidR="00BD693E" w:rsidRPr="00432926">
        <w:t xml:space="preserve"> use of guideline</w:t>
      </w:r>
      <w:r w:rsidR="000D6A95" w:rsidRPr="00432926">
        <w:t>-</w:t>
      </w:r>
      <w:r w:rsidR="00BD693E" w:rsidRPr="00432926">
        <w:t xml:space="preserve">indicated care such as </w:t>
      </w:r>
      <w:r w:rsidR="00CA1673" w:rsidRPr="00432926">
        <w:t xml:space="preserve">an </w:t>
      </w:r>
      <w:r w:rsidR="00BD693E" w:rsidRPr="00432926">
        <w:t>ea</w:t>
      </w:r>
      <w:r w:rsidR="006E4ABB" w:rsidRPr="00432926">
        <w:t>rly invasive strategy in NSTEMI and dual antiplatelet medications</w:t>
      </w:r>
      <w:r w:rsidR="00BD693E" w:rsidRPr="00432926">
        <w:t>.</w:t>
      </w:r>
      <w:r w:rsidR="00764D44" w:rsidRPr="00432926">
        <w:t xml:space="preserve"> </w:t>
      </w:r>
      <w:r w:rsidR="006D439D" w:rsidRPr="00432926">
        <w:t>These</w:t>
      </w:r>
      <w:r w:rsidR="005B4851" w:rsidRPr="00432926">
        <w:t xml:space="preserve"> racial differences in outcomes following AMI may be related to </w:t>
      </w:r>
      <w:r w:rsidR="00F73252" w:rsidRPr="00432926">
        <w:t xml:space="preserve">a </w:t>
      </w:r>
      <w:r w:rsidR="005B4851" w:rsidRPr="00432926">
        <w:t>myriad of patient level factors such a</w:t>
      </w:r>
      <w:r w:rsidR="00F85470" w:rsidRPr="00432926">
        <w:t>s socioeconomic status, lack of awareness in recognition of symptoms, delay in seeking early medical help</w:t>
      </w:r>
      <w:r w:rsidR="007364D3" w:rsidRPr="00432926">
        <w:t xml:space="preserve"> and implicit bias from the treating physicians</w:t>
      </w:r>
      <w:r w:rsidR="00D45322" w:rsidRPr="00432926">
        <w:fldChar w:fldCharType="begin"/>
      </w:r>
      <w:r w:rsidR="007D00F6" w:rsidRPr="00432926">
        <w:instrText>ADDIN RW.CITE{{doc:5fb45c18e4b0db4682cb4738 Bernheim,SM 2007; doc:5fb45a4de4b0f4b1c3860433 Graham,GarthN 2018}}</w:instrText>
      </w:r>
      <w:r w:rsidR="00D45322" w:rsidRPr="00432926">
        <w:fldChar w:fldCharType="separate"/>
      </w:r>
      <w:r w:rsidR="007D00F6" w:rsidRPr="00432926">
        <w:rPr>
          <w:rFonts w:cs="Times New Roman"/>
          <w:bCs/>
          <w:vertAlign w:val="superscript"/>
          <w:lang w:val="en-US"/>
        </w:rPr>
        <w:t>32 33</w:t>
      </w:r>
      <w:r w:rsidR="00D45322" w:rsidRPr="00432926">
        <w:fldChar w:fldCharType="end"/>
      </w:r>
      <w:r w:rsidR="007364D3" w:rsidRPr="00432926">
        <w:t xml:space="preserve">. </w:t>
      </w:r>
      <w:r w:rsidR="003438C9" w:rsidRPr="00432926">
        <w:t>Thes</w:t>
      </w:r>
      <w:r w:rsidR="006E4ABB" w:rsidRPr="00432926">
        <w:t>e data highlight the need to promote health</w:t>
      </w:r>
      <w:r w:rsidR="006D2027" w:rsidRPr="00432926">
        <w:t xml:space="preserve"> awareness amongst the BAME </w:t>
      </w:r>
      <w:r w:rsidR="008A21B8" w:rsidRPr="00432926">
        <w:t>communities</w:t>
      </w:r>
      <w:r w:rsidR="006E4ABB" w:rsidRPr="00432926">
        <w:t xml:space="preserve"> </w:t>
      </w:r>
      <w:r w:rsidR="006D2027" w:rsidRPr="00432926">
        <w:t xml:space="preserve">and </w:t>
      </w:r>
      <w:r w:rsidR="00CA1673" w:rsidRPr="00432926">
        <w:t xml:space="preserve">to </w:t>
      </w:r>
      <w:r w:rsidR="006D2027" w:rsidRPr="00432926">
        <w:t>develop policies to address differences in healthcare service utilisation.</w:t>
      </w:r>
    </w:p>
    <w:p w14:paraId="5FECD094" w14:textId="78E09E33" w:rsidR="00AF550E" w:rsidRPr="00432926" w:rsidRDefault="00764D44" w:rsidP="00CB00B1">
      <w:pPr>
        <w:spacing w:line="360" w:lineRule="auto"/>
        <w:jc w:val="both"/>
      </w:pPr>
      <w:r w:rsidRPr="00432926">
        <w:t xml:space="preserve">Our data suggest that there is </w:t>
      </w:r>
      <w:r w:rsidR="000D6A95" w:rsidRPr="00432926">
        <w:t xml:space="preserve">an </w:t>
      </w:r>
      <w:r w:rsidRPr="00432926">
        <w:t>urgent need to address the widening racial disparities in the care of AMI patient during the current COVID19 ou</w:t>
      </w:r>
      <w:r w:rsidR="00AF2417" w:rsidRPr="00432926">
        <w:t>tbreak. By using multiple national data sources</w:t>
      </w:r>
      <w:r w:rsidRPr="00432926">
        <w:t>,</w:t>
      </w:r>
      <w:r w:rsidR="00AF2417" w:rsidRPr="00432926">
        <w:t xml:space="preserve"> we were able to access and link records of individual patients to create an unselected cohort from a unified national healthcare system.</w:t>
      </w:r>
      <w:r w:rsidRPr="00432926">
        <w:t xml:space="preserve"> </w:t>
      </w:r>
      <w:r w:rsidR="00AF2417" w:rsidRPr="00432926">
        <w:t xml:space="preserve">However, </w:t>
      </w:r>
      <w:r w:rsidRPr="00432926">
        <w:t xml:space="preserve">certain limitations must be </w:t>
      </w:r>
      <w:r w:rsidR="009A7133" w:rsidRPr="00432926">
        <w:t>acknowledged</w:t>
      </w:r>
      <w:r w:rsidRPr="00432926">
        <w:t>. First, we didn’t have information regarding the COVID19 infection status of these patients and were unable to study the direct impact of COVID19 infection in this high-risk group.</w:t>
      </w:r>
      <w:r w:rsidR="00D200D4" w:rsidRPr="00432926">
        <w:t xml:space="preserve"> T</w:t>
      </w:r>
      <w:r w:rsidR="00AF550E" w:rsidRPr="00432926">
        <w:t xml:space="preserve">he limited or incomplete data submissions by the hospital during the COVID19 period may have obscured the racial disparities. Nevertheless, in our sensitivity analysis of data from rapid response hospitals, we observed similar results. </w:t>
      </w:r>
      <w:r w:rsidR="00D200D4" w:rsidRPr="00432926">
        <w:t xml:space="preserve">Finally, </w:t>
      </w:r>
      <w:r w:rsidR="00993827" w:rsidRPr="00432926">
        <w:t>the observational nature of these</w:t>
      </w:r>
      <w:r w:rsidR="00D200D4" w:rsidRPr="00432926">
        <w:t xml:space="preserve"> epidemiological data doesn’t allow us to establish a causal relationship between COVID19 and increased mortality in the BAME group. </w:t>
      </w:r>
    </w:p>
    <w:p w14:paraId="546D0CB2" w14:textId="169992AF" w:rsidR="0030284C" w:rsidRPr="00432926" w:rsidRDefault="00993827" w:rsidP="00CB00B1">
      <w:pPr>
        <w:spacing w:line="360" w:lineRule="auto"/>
        <w:jc w:val="both"/>
        <w:rPr>
          <w:b/>
        </w:rPr>
      </w:pPr>
      <w:r w:rsidRPr="00432926">
        <w:rPr>
          <w:b/>
        </w:rPr>
        <w:t>Conclusion:</w:t>
      </w:r>
    </w:p>
    <w:p w14:paraId="046918D1" w14:textId="6B2E0600" w:rsidR="00764D44" w:rsidRPr="00432926" w:rsidRDefault="00AF550E" w:rsidP="00CB00B1">
      <w:pPr>
        <w:spacing w:line="360" w:lineRule="auto"/>
        <w:jc w:val="both"/>
      </w:pPr>
      <w:r w:rsidRPr="00432926">
        <w:t xml:space="preserve">In this large national cohort of AMI patients stratified according </w:t>
      </w:r>
      <w:r w:rsidR="0051722A" w:rsidRPr="00432926">
        <w:t xml:space="preserve">to </w:t>
      </w:r>
      <w:r w:rsidRPr="00432926">
        <w:t>ethnic</w:t>
      </w:r>
      <w:r w:rsidR="00F85470" w:rsidRPr="00432926">
        <w:t>ity, we found significant</w:t>
      </w:r>
      <w:r w:rsidRPr="00432926">
        <w:t xml:space="preserve"> differences</w:t>
      </w:r>
      <w:r w:rsidR="00F85470" w:rsidRPr="00432926">
        <w:t xml:space="preserve"> in the presentation</w:t>
      </w:r>
      <w:r w:rsidRPr="00432926">
        <w:t xml:space="preserve"> and management of BAME communities compared to</w:t>
      </w:r>
      <w:r w:rsidR="004C6ADD" w:rsidRPr="00432926">
        <w:t xml:space="preserve"> the</w:t>
      </w:r>
      <w:r w:rsidRPr="00432926">
        <w:t xml:space="preserve"> white</w:t>
      </w:r>
      <w:r w:rsidR="00993827" w:rsidRPr="00432926">
        <w:t xml:space="preserve"> population</w:t>
      </w:r>
      <w:r w:rsidR="000D6A95" w:rsidRPr="00432926">
        <w:t>,</w:t>
      </w:r>
      <w:r w:rsidR="003438C9" w:rsidRPr="00432926">
        <w:t xml:space="preserve"> with an associated</w:t>
      </w:r>
      <w:r w:rsidR="00B2797C" w:rsidRPr="00432926">
        <w:t xml:space="preserve"> increased </w:t>
      </w:r>
      <w:r w:rsidR="00993827" w:rsidRPr="00432926">
        <w:t xml:space="preserve">early </w:t>
      </w:r>
      <w:r w:rsidR="00B2797C" w:rsidRPr="00432926">
        <w:t>mortality. Further research is required to understand the short-term and long-term effects of COVID-1</w:t>
      </w:r>
      <w:r w:rsidR="00D0060C" w:rsidRPr="00432926">
        <w:t xml:space="preserve">9 amongst the ethnic </w:t>
      </w:r>
      <w:r w:rsidR="00D0060C" w:rsidRPr="00432926">
        <w:lastRenderedPageBreak/>
        <w:t>minorities. Future efforts shoul</w:t>
      </w:r>
      <w:r w:rsidR="003751FB" w:rsidRPr="00432926">
        <w:t>d be focused to increase patient education and awareness, and develop policies</w:t>
      </w:r>
      <w:r w:rsidR="00D0060C" w:rsidRPr="00432926">
        <w:t xml:space="preserve"> </w:t>
      </w:r>
      <w:r w:rsidR="000657DF" w:rsidRPr="00432926">
        <w:t xml:space="preserve">to </w:t>
      </w:r>
      <w:r w:rsidR="00D0060C" w:rsidRPr="00432926">
        <w:t>mitigate the racial differences in the resource utilisation and standardise the care of ethnic minorities.</w:t>
      </w:r>
    </w:p>
    <w:p w14:paraId="37EB6701" w14:textId="77777777" w:rsidR="00F73252" w:rsidRPr="00432926" w:rsidRDefault="00F73252" w:rsidP="00CB00B1">
      <w:pPr>
        <w:spacing w:line="360" w:lineRule="auto"/>
        <w:jc w:val="both"/>
        <w:rPr>
          <w:b/>
        </w:rPr>
      </w:pPr>
    </w:p>
    <w:p w14:paraId="65624174" w14:textId="77777777" w:rsidR="00F73252" w:rsidRPr="00432926" w:rsidRDefault="00F73252" w:rsidP="00CB00B1">
      <w:pPr>
        <w:spacing w:line="360" w:lineRule="auto"/>
        <w:jc w:val="both"/>
        <w:rPr>
          <w:b/>
        </w:rPr>
      </w:pPr>
    </w:p>
    <w:p w14:paraId="7595BD5C" w14:textId="5CDB553F" w:rsidR="00447A72" w:rsidRPr="00432926" w:rsidRDefault="00447A72" w:rsidP="00CB00B1">
      <w:pPr>
        <w:spacing w:line="360" w:lineRule="auto"/>
        <w:jc w:val="both"/>
        <w:rPr>
          <w:b/>
        </w:rPr>
      </w:pPr>
      <w:r w:rsidRPr="00432926">
        <w:rPr>
          <w:b/>
        </w:rPr>
        <w:t>Acknowledgments</w:t>
      </w:r>
    </w:p>
    <w:p w14:paraId="0110A5A9" w14:textId="185A1956" w:rsidR="00447A72" w:rsidRPr="00432926" w:rsidRDefault="00447A72" w:rsidP="00CB00B1">
      <w:pPr>
        <w:spacing w:line="360" w:lineRule="auto"/>
        <w:jc w:val="both"/>
      </w:pPr>
      <w:r w:rsidRPr="00432926">
        <w:t>The authors acknowledge Chris Roebuck, Tom Denwood and data support staff at the NHS digital for providing and creating the secure environment for data hosting and for analytical support.</w:t>
      </w:r>
      <w:r w:rsidR="00371E27" w:rsidRPr="00432926">
        <w:t xml:space="preserve"> </w:t>
      </w:r>
    </w:p>
    <w:p w14:paraId="2C17CA84" w14:textId="77777777" w:rsidR="009425FA" w:rsidRPr="00432926" w:rsidRDefault="009425FA" w:rsidP="00CB00B1">
      <w:pPr>
        <w:spacing w:line="360" w:lineRule="auto"/>
        <w:jc w:val="both"/>
        <w:rPr>
          <w:rFonts w:cs="Times New Roman"/>
          <w:b/>
        </w:rPr>
      </w:pPr>
      <w:r w:rsidRPr="00432926">
        <w:rPr>
          <w:rFonts w:cs="Times New Roman"/>
          <w:b/>
        </w:rPr>
        <w:t>Details of funding</w:t>
      </w:r>
    </w:p>
    <w:p w14:paraId="27C0FB07" w14:textId="77777777" w:rsidR="009425FA" w:rsidRPr="00432926" w:rsidRDefault="009425FA" w:rsidP="00CB00B1">
      <w:pPr>
        <w:spacing w:line="360" w:lineRule="auto"/>
        <w:jc w:val="both"/>
        <w:rPr>
          <w:rFonts w:cs="Times New Roman"/>
        </w:rPr>
      </w:pPr>
      <w:r w:rsidRPr="00432926">
        <w:rPr>
          <w:rFonts w:cs="Times New Roman"/>
        </w:rPr>
        <w:t>JW and CPG are funded by the University of Leeds.</w:t>
      </w:r>
    </w:p>
    <w:p w14:paraId="316B038D" w14:textId="77777777" w:rsidR="009425FA" w:rsidRPr="00432926" w:rsidRDefault="009425FA" w:rsidP="00CB00B1">
      <w:pPr>
        <w:spacing w:line="360" w:lineRule="auto"/>
        <w:jc w:val="both"/>
        <w:rPr>
          <w:rFonts w:cs="Times New Roman"/>
        </w:rPr>
      </w:pPr>
      <w:r w:rsidRPr="00432926">
        <w:rPr>
          <w:rFonts w:cs="Times New Roman"/>
        </w:rPr>
        <w:t>MAM funded by the University of Keele</w:t>
      </w:r>
    </w:p>
    <w:p w14:paraId="7174010D" w14:textId="77777777" w:rsidR="009425FA" w:rsidRPr="00432926" w:rsidRDefault="009425FA" w:rsidP="00CB00B1">
      <w:pPr>
        <w:spacing w:line="360" w:lineRule="auto"/>
        <w:jc w:val="both"/>
        <w:rPr>
          <w:rFonts w:cs="Times New Roman"/>
        </w:rPr>
      </w:pPr>
      <w:r w:rsidRPr="00432926">
        <w:rPr>
          <w:rFonts w:cs="Times New Roman"/>
        </w:rPr>
        <w:t>MR funded by the National Institute of Health Research</w:t>
      </w:r>
    </w:p>
    <w:p w14:paraId="0A593ED8" w14:textId="77777777" w:rsidR="009425FA" w:rsidRPr="00432926" w:rsidRDefault="009425FA" w:rsidP="00CB00B1">
      <w:pPr>
        <w:spacing w:line="360" w:lineRule="auto"/>
        <w:jc w:val="both"/>
        <w:rPr>
          <w:rFonts w:cs="Times New Roman"/>
        </w:rPr>
      </w:pPr>
      <w:r w:rsidRPr="00432926">
        <w:rPr>
          <w:rFonts w:cs="Times New Roman"/>
        </w:rPr>
        <w:t>The Myocardial Ischaemia National Audit Project is commissioned by the Health Quality</w:t>
      </w:r>
    </w:p>
    <w:p w14:paraId="1CCCA655" w14:textId="77777777" w:rsidR="009425FA" w:rsidRPr="00432926" w:rsidRDefault="009425FA" w:rsidP="00CB00B1">
      <w:pPr>
        <w:spacing w:line="360" w:lineRule="auto"/>
        <w:jc w:val="both"/>
        <w:rPr>
          <w:rFonts w:cs="Times New Roman"/>
        </w:rPr>
      </w:pPr>
      <w:r w:rsidRPr="00432926">
        <w:rPr>
          <w:rFonts w:cs="Times New Roman"/>
        </w:rPr>
        <w:t>Improvement Partnership as part of the National Clinical Audit and Patient Outcomes Programme. The funding organizations for this study had no involvement in the design and conduct of the study; collection, management, analysis and interpretation of the data; preparation, review, or approval of the manuscript; or the decision to submit the manuscript for</w:t>
      </w:r>
    </w:p>
    <w:p w14:paraId="46FB2719" w14:textId="1A459C1E" w:rsidR="009425FA" w:rsidRPr="00432926" w:rsidRDefault="009425FA" w:rsidP="00CB00B1">
      <w:pPr>
        <w:spacing w:line="360" w:lineRule="auto"/>
        <w:jc w:val="both"/>
        <w:rPr>
          <w:rFonts w:cs="Times New Roman"/>
        </w:rPr>
      </w:pPr>
      <w:r w:rsidRPr="00432926">
        <w:rPr>
          <w:rFonts w:cs="Times New Roman"/>
        </w:rPr>
        <w:t>publication.</w:t>
      </w:r>
    </w:p>
    <w:p w14:paraId="4EE9AF8A" w14:textId="63F68176" w:rsidR="00840664" w:rsidRPr="00432926" w:rsidRDefault="008D3C77" w:rsidP="00CB00B1">
      <w:pPr>
        <w:spacing w:line="360" w:lineRule="auto"/>
        <w:jc w:val="both"/>
        <w:rPr>
          <w:rFonts w:cs="Times New Roman"/>
        </w:rPr>
      </w:pPr>
      <w:r w:rsidRPr="00432926">
        <w:rPr>
          <w:rFonts w:cs="Times New Roman"/>
          <w:b/>
        </w:rPr>
        <w:t xml:space="preserve">Discolours: </w:t>
      </w:r>
      <w:r w:rsidRPr="00432926">
        <w:rPr>
          <w:rFonts w:cs="Times New Roman"/>
        </w:rPr>
        <w:t>None</w:t>
      </w:r>
    </w:p>
    <w:p w14:paraId="02D17572" w14:textId="26FB6F4A" w:rsidR="002704B3" w:rsidRPr="00432926" w:rsidRDefault="002704B3" w:rsidP="002704B3">
      <w:pPr>
        <w:spacing w:line="360" w:lineRule="auto"/>
        <w:jc w:val="both"/>
        <w:rPr>
          <w:rFonts w:cs="Times New Roman"/>
        </w:rPr>
      </w:pPr>
      <w:r w:rsidRPr="00432926">
        <w:rPr>
          <w:rFonts w:cs="Times New Roman"/>
          <w:b/>
        </w:rPr>
        <w:t xml:space="preserve">Patient and Public involvement: </w:t>
      </w:r>
      <w:r w:rsidRPr="00432926">
        <w:rPr>
          <w:rFonts w:cs="Times New Roman"/>
        </w:rPr>
        <w:t>Patients and/or the public were not involved in the design, or conduct, or reporting, or dissemination plans of this research</w:t>
      </w:r>
    </w:p>
    <w:p w14:paraId="1405306D" w14:textId="6B18F83A" w:rsidR="00812293" w:rsidRPr="00432926" w:rsidRDefault="00812293" w:rsidP="00812293">
      <w:pPr>
        <w:spacing w:line="360" w:lineRule="auto"/>
        <w:jc w:val="both"/>
        <w:rPr>
          <w:rFonts w:cs="Times New Roman"/>
        </w:rPr>
      </w:pPr>
      <w:r w:rsidRPr="00432926">
        <w:rPr>
          <w:rFonts w:cs="Times New Roman"/>
          <w:b/>
        </w:rPr>
        <w:t>Author contributions</w:t>
      </w:r>
      <w:r w:rsidRPr="00432926">
        <w:rPr>
          <w:rFonts w:cs="Times New Roman"/>
        </w:rPr>
        <w:t>: MR &amp; MM were responsible for the study design and concept. MR</w:t>
      </w:r>
    </w:p>
    <w:p w14:paraId="16E92275" w14:textId="40D19DFA" w:rsidR="00812293" w:rsidRPr="00432926" w:rsidRDefault="00812293" w:rsidP="00812293">
      <w:pPr>
        <w:spacing w:line="360" w:lineRule="auto"/>
        <w:jc w:val="both"/>
        <w:rPr>
          <w:rFonts w:cs="Times New Roman"/>
        </w:rPr>
      </w:pPr>
      <w:r w:rsidRPr="00432926">
        <w:rPr>
          <w:rFonts w:cs="Times New Roman"/>
        </w:rPr>
        <w:t>performed the data cleaning and analysis. MR and MM wrote the first draft of the manuscript, and all authors contributed to the writing of the paper.</w:t>
      </w:r>
    </w:p>
    <w:p w14:paraId="70112383" w14:textId="2CF83AE9" w:rsidR="00545E40" w:rsidRPr="00432926" w:rsidRDefault="00545E40" w:rsidP="00CB00B1"/>
    <w:p w14:paraId="3440D37F" w14:textId="203BC369" w:rsidR="007D00F6" w:rsidRPr="00432926" w:rsidRDefault="001F5864" w:rsidP="007D00F6">
      <w:pPr>
        <w:pStyle w:val="NormalWeb"/>
        <w:jc w:val="center"/>
      </w:pPr>
      <w:r w:rsidRPr="00432926">
        <w:fldChar w:fldCharType="begin"/>
      </w:r>
      <w:r w:rsidR="007D00F6" w:rsidRPr="00432926">
        <w:instrText>ADDIN RW.BIB</w:instrText>
      </w:r>
      <w:r w:rsidRPr="00432926">
        <w:fldChar w:fldCharType="separate"/>
      </w:r>
      <w:r w:rsidR="007D00F6" w:rsidRPr="00432926">
        <w:t>REFERENCES</w:t>
      </w:r>
    </w:p>
    <w:p w14:paraId="35FE84DB" w14:textId="564F2E0B" w:rsidR="007D00F6" w:rsidRPr="00432926" w:rsidRDefault="007D00F6" w:rsidP="007D00F6">
      <w:pPr>
        <w:pStyle w:val="NormalWeb"/>
      </w:pPr>
      <w:r w:rsidRPr="00432926">
        <w:lastRenderedPageBreak/>
        <w:t>1 CSSE J. Coronavirus COVID-19 global cases by the center for systems science and engineering (CSSE) at johns hopkins university (JHU). 2020;</w:t>
      </w:r>
      <w:r w:rsidR="00630A02" w:rsidRPr="00432926">
        <w:t xml:space="preserve"> https://coronavirus.jhu.edu/map.html access on 24th November 2020</w:t>
      </w:r>
      <w:r w:rsidRPr="00432926">
        <w:t>.</w:t>
      </w:r>
    </w:p>
    <w:p w14:paraId="003B979C" w14:textId="4B4E6B36" w:rsidR="007D00F6" w:rsidRPr="00432926" w:rsidRDefault="007D00F6" w:rsidP="007D00F6">
      <w:pPr>
        <w:pStyle w:val="NormalWeb"/>
      </w:pPr>
      <w:r w:rsidRPr="00432926">
        <w:t>2 Abedi V, Olulana O, Avula V</w:t>
      </w:r>
      <w:r w:rsidRPr="00432926">
        <w:rPr>
          <w:i/>
          <w:iCs/>
        </w:rPr>
        <w:t>, et al</w:t>
      </w:r>
      <w:r w:rsidRPr="00432926">
        <w:t xml:space="preserve">. Racial, economic and health inequality and COVID-19 infection in the united states. </w:t>
      </w:r>
      <w:r w:rsidRPr="00432926">
        <w:rPr>
          <w:i/>
          <w:iCs/>
        </w:rPr>
        <w:t>medRxiv</w:t>
      </w:r>
      <w:r w:rsidRPr="00432926">
        <w:t xml:space="preserve"> 2020;</w:t>
      </w:r>
      <w:r w:rsidR="00630A02" w:rsidRPr="00432926">
        <w:t xml:space="preserve"> preprint 1</w:t>
      </w:r>
      <w:r w:rsidR="00630A02" w:rsidRPr="00432926">
        <w:rPr>
          <w:vertAlign w:val="superscript"/>
        </w:rPr>
        <w:t>st</w:t>
      </w:r>
      <w:r w:rsidR="00630A02" w:rsidRPr="00432926">
        <w:t xml:space="preserve"> May 2020</w:t>
      </w:r>
      <w:r w:rsidRPr="00432926">
        <w:t>.</w:t>
      </w:r>
    </w:p>
    <w:p w14:paraId="0933EB2E" w14:textId="616B684B" w:rsidR="007D00F6" w:rsidRPr="00432926" w:rsidRDefault="007D00F6" w:rsidP="007D00F6">
      <w:pPr>
        <w:pStyle w:val="NormalWeb"/>
      </w:pPr>
      <w:r w:rsidRPr="00432926">
        <w:t>3 Aldridge R. Dataset: Black, asian and minority ethnic groups in england are at increased risk of death from COVID-19</w:t>
      </w:r>
      <w:r w:rsidR="008678F7" w:rsidRPr="00432926">
        <w:t>: indirect standardisation of NHS mortality data</w:t>
      </w:r>
      <w:r w:rsidRPr="00432926">
        <w:t>. 2020;</w:t>
      </w:r>
      <w:r w:rsidR="008678F7" w:rsidRPr="00432926">
        <w:t>5:88</w:t>
      </w:r>
    </w:p>
    <w:p w14:paraId="27D1FD56" w14:textId="131D1ADE" w:rsidR="007D00F6" w:rsidRPr="00432926" w:rsidRDefault="007D00F6" w:rsidP="007D00F6">
      <w:pPr>
        <w:pStyle w:val="NormalWeb"/>
      </w:pPr>
      <w:r w:rsidRPr="00432926">
        <w:t>4 Chin T, Kahn R, Li R</w:t>
      </w:r>
      <w:r w:rsidRPr="00432926">
        <w:rPr>
          <w:i/>
          <w:iCs/>
        </w:rPr>
        <w:t>, et al</w:t>
      </w:r>
      <w:r w:rsidRPr="00432926">
        <w:t xml:space="preserve">. U.S. county-level characteristics to inform equitable COVID-19 response. </w:t>
      </w:r>
      <w:r w:rsidRPr="00432926">
        <w:rPr>
          <w:i/>
          <w:iCs/>
        </w:rPr>
        <w:t>medRxiv</w:t>
      </w:r>
      <w:r w:rsidRPr="00432926">
        <w:t xml:space="preserve"> 2020;</w:t>
      </w:r>
      <w:r w:rsidR="00630A02" w:rsidRPr="00432926">
        <w:t xml:space="preserve"> preprint 11</w:t>
      </w:r>
      <w:r w:rsidR="00630A02" w:rsidRPr="00432926">
        <w:rPr>
          <w:vertAlign w:val="superscript"/>
        </w:rPr>
        <w:t>th</w:t>
      </w:r>
      <w:r w:rsidR="00630A02" w:rsidRPr="00432926">
        <w:t xml:space="preserve"> April 2020</w:t>
      </w:r>
      <w:r w:rsidRPr="00432926">
        <w:t>.</w:t>
      </w:r>
    </w:p>
    <w:p w14:paraId="3DF081E2" w14:textId="77777777" w:rsidR="007D00F6" w:rsidRPr="00432926" w:rsidRDefault="007D00F6" w:rsidP="007D00F6">
      <w:pPr>
        <w:pStyle w:val="NormalWeb"/>
      </w:pPr>
      <w:r w:rsidRPr="00432926">
        <w:t>5 Pan D, Sze S, Minhas JS</w:t>
      </w:r>
      <w:r w:rsidRPr="00432926">
        <w:rPr>
          <w:i/>
          <w:iCs/>
        </w:rPr>
        <w:t>, et al</w:t>
      </w:r>
      <w:r w:rsidRPr="00432926">
        <w:t>. The impact of ethnicity on clinical outcomes in COVID-19: A systematic review. 2020;: 100404.</w:t>
      </w:r>
    </w:p>
    <w:p w14:paraId="4EB387CA" w14:textId="77777777" w:rsidR="007D00F6" w:rsidRPr="00432926" w:rsidRDefault="007D00F6" w:rsidP="007D00F6">
      <w:pPr>
        <w:pStyle w:val="NormalWeb"/>
      </w:pPr>
      <w:r w:rsidRPr="00432926">
        <w:t>6 Kirby T. Evidence mounts on the disproportionate effect of COVID-19 on ethnic minorities. 2020;</w:t>
      </w:r>
      <w:r w:rsidRPr="00432926">
        <w:rPr>
          <w:b/>
          <w:bCs/>
        </w:rPr>
        <w:t>8</w:t>
      </w:r>
      <w:r w:rsidRPr="00432926">
        <w:t>: 547-8.</w:t>
      </w:r>
    </w:p>
    <w:p w14:paraId="586D39E1" w14:textId="77777777" w:rsidR="007D00F6" w:rsidRPr="00432926" w:rsidRDefault="007D00F6" w:rsidP="007D00F6">
      <w:pPr>
        <w:pStyle w:val="NormalWeb"/>
      </w:pPr>
      <w:r w:rsidRPr="00432926">
        <w:t>7 Golestaneh L, Neugarten J, Fisher M</w:t>
      </w:r>
      <w:r w:rsidRPr="00432926">
        <w:rPr>
          <w:i/>
          <w:iCs/>
        </w:rPr>
        <w:t>, et al</w:t>
      </w:r>
      <w:r w:rsidRPr="00432926">
        <w:t>. The association of race and COVID-19 mortality. 2020;</w:t>
      </w:r>
      <w:r w:rsidRPr="00432926">
        <w:rPr>
          <w:b/>
          <w:bCs/>
        </w:rPr>
        <w:t>25</w:t>
      </w:r>
      <w:r w:rsidRPr="00432926">
        <w:t>: 100455.</w:t>
      </w:r>
    </w:p>
    <w:p w14:paraId="71526359" w14:textId="77777777" w:rsidR="007D00F6" w:rsidRPr="00432926" w:rsidRDefault="007D00F6" w:rsidP="007D00F6">
      <w:pPr>
        <w:pStyle w:val="NormalWeb"/>
      </w:pPr>
      <w:r w:rsidRPr="00432926">
        <w:t>8 Audit I. ICNARC report on COVID-19 in critical care. 2020;</w:t>
      </w:r>
      <w:r w:rsidRPr="00432926">
        <w:rPr>
          <w:b/>
          <w:bCs/>
        </w:rPr>
        <w:t>10</w:t>
      </w:r>
      <w:r w:rsidRPr="00432926">
        <w:t>: 2020.</w:t>
      </w:r>
    </w:p>
    <w:p w14:paraId="00BA3BC8" w14:textId="1A3C68AC" w:rsidR="007D00F6" w:rsidRPr="00432926" w:rsidRDefault="007D00F6" w:rsidP="007D00F6">
      <w:pPr>
        <w:pStyle w:val="NormalWeb"/>
      </w:pPr>
      <w:r w:rsidRPr="00432926">
        <w:t>9 Williamson E, Walker AJ, Bhaskaran KJ</w:t>
      </w:r>
      <w:r w:rsidRPr="00432926">
        <w:rPr>
          <w:i/>
          <w:iCs/>
        </w:rPr>
        <w:t>, et al</w:t>
      </w:r>
      <w:r w:rsidRPr="00432926">
        <w:t xml:space="preserve">. OpenSAFELY: Factors associated with COVID-19-related hospital death in the linked electronic health records of 17 </w:t>
      </w:r>
      <w:r w:rsidR="00630A02" w:rsidRPr="00432926">
        <w:t xml:space="preserve">million adult NHS patients. Nature 584, </w:t>
      </w:r>
      <w:r w:rsidR="00630A02" w:rsidRPr="00432926">
        <w:rPr>
          <w:b/>
        </w:rPr>
        <w:t>430–436</w:t>
      </w:r>
      <w:r w:rsidR="00630A02" w:rsidRPr="00432926">
        <w:t>(2020).</w:t>
      </w:r>
    </w:p>
    <w:p w14:paraId="0394113F" w14:textId="64415B92" w:rsidR="007D00F6" w:rsidRPr="00432926" w:rsidRDefault="007D00F6" w:rsidP="007D00F6">
      <w:pPr>
        <w:pStyle w:val="NormalWeb"/>
      </w:pPr>
      <w:r w:rsidRPr="00432926">
        <w:t xml:space="preserve">10 Yancy CW. COVID-19 and african americans. </w:t>
      </w:r>
      <w:r w:rsidR="00630A02" w:rsidRPr="00432926">
        <w:t>JAMA. 2020;</w:t>
      </w:r>
      <w:r w:rsidR="00630A02" w:rsidRPr="00432926">
        <w:rPr>
          <w:b/>
        </w:rPr>
        <w:t>323(19)</w:t>
      </w:r>
      <w:r w:rsidR="00630A02" w:rsidRPr="00432926">
        <w:t>:1891-1892</w:t>
      </w:r>
      <w:r w:rsidRPr="00432926">
        <w:t>.</w:t>
      </w:r>
    </w:p>
    <w:p w14:paraId="62664A18" w14:textId="39F9C4B6" w:rsidR="007D00F6" w:rsidRPr="00432926" w:rsidRDefault="007D00F6" w:rsidP="007D00F6">
      <w:pPr>
        <w:pStyle w:val="NormalWeb"/>
      </w:pPr>
      <w:r w:rsidRPr="00432926">
        <w:t>11 Cohen MG, Fonarow GC, Peterson ED</w:t>
      </w:r>
      <w:r w:rsidRPr="00432926">
        <w:rPr>
          <w:i/>
          <w:iCs/>
        </w:rPr>
        <w:t>, et al</w:t>
      </w:r>
      <w:r w:rsidRPr="00432926">
        <w:t>. Racial and ethnic differences in the treatment of acute myocardial infarction.</w:t>
      </w:r>
      <w:r w:rsidR="00630A02" w:rsidRPr="00432926">
        <w:t xml:space="preserve"> Circulation</w:t>
      </w:r>
      <w:r w:rsidRPr="00432926">
        <w:t xml:space="preserve"> 2010;</w:t>
      </w:r>
      <w:r w:rsidRPr="00432926">
        <w:rPr>
          <w:b/>
          <w:bCs/>
        </w:rPr>
        <w:t>121</w:t>
      </w:r>
      <w:r w:rsidRPr="00432926">
        <w:t>: 2294-301.</w:t>
      </w:r>
    </w:p>
    <w:p w14:paraId="09356681" w14:textId="77777777" w:rsidR="007D00F6" w:rsidRPr="00432926" w:rsidRDefault="007D00F6" w:rsidP="007D00F6">
      <w:pPr>
        <w:pStyle w:val="NormalWeb"/>
      </w:pPr>
      <w:r w:rsidRPr="00432926">
        <w:t>12 Edmund Anstey D, Li S, Thomas L</w:t>
      </w:r>
      <w:r w:rsidRPr="00432926">
        <w:rPr>
          <w:i/>
          <w:iCs/>
        </w:rPr>
        <w:t>, et al</w:t>
      </w:r>
      <w:r w:rsidRPr="00432926">
        <w:t xml:space="preserve">. Race and sex differences in management and outcomes of patients after ST-elevation and non-ST-elevation myocardial infarct: Results from the NCDR. </w:t>
      </w:r>
      <w:r w:rsidRPr="00432926">
        <w:rPr>
          <w:i/>
          <w:iCs/>
        </w:rPr>
        <w:t>Clin Cardiol</w:t>
      </w:r>
      <w:r w:rsidRPr="00432926">
        <w:t xml:space="preserve"> 2016;</w:t>
      </w:r>
      <w:r w:rsidRPr="00432926">
        <w:rPr>
          <w:b/>
          <w:bCs/>
        </w:rPr>
        <w:t>39</w:t>
      </w:r>
      <w:r w:rsidRPr="00432926">
        <w:t>: 585-95.</w:t>
      </w:r>
    </w:p>
    <w:p w14:paraId="60AA06AD" w14:textId="77777777" w:rsidR="007D00F6" w:rsidRPr="00432926" w:rsidRDefault="007D00F6" w:rsidP="007D00F6">
      <w:pPr>
        <w:pStyle w:val="NormalWeb"/>
      </w:pPr>
      <w:r w:rsidRPr="00432926">
        <w:t xml:space="preserve">13 Graham G. Racial and ethnic differences in acute coronary syndrome and myocardial infarction within the united states: From demographics to outcomes. </w:t>
      </w:r>
      <w:r w:rsidRPr="00432926">
        <w:rPr>
          <w:i/>
          <w:iCs/>
        </w:rPr>
        <w:t>Clin Cardiol</w:t>
      </w:r>
      <w:r w:rsidRPr="00432926">
        <w:t xml:space="preserve"> 2016;</w:t>
      </w:r>
      <w:r w:rsidRPr="00432926">
        <w:rPr>
          <w:b/>
          <w:bCs/>
        </w:rPr>
        <w:t>39</w:t>
      </w:r>
      <w:r w:rsidRPr="00432926">
        <w:t>: 299-306.</w:t>
      </w:r>
    </w:p>
    <w:p w14:paraId="75CF144E" w14:textId="77777777" w:rsidR="007D00F6" w:rsidRPr="00432926" w:rsidRDefault="007D00F6" w:rsidP="007D00F6">
      <w:pPr>
        <w:pStyle w:val="NormalWeb"/>
      </w:pPr>
      <w:r w:rsidRPr="00432926">
        <w:t xml:space="preserve">14 King KM, Khan NA, Quan H. Ethnic variation in acute myocardial infarction presentation and access to care. </w:t>
      </w:r>
      <w:r w:rsidRPr="00432926">
        <w:rPr>
          <w:i/>
          <w:iCs/>
        </w:rPr>
        <w:t>Am J Cardiol</w:t>
      </w:r>
      <w:r w:rsidRPr="00432926">
        <w:t xml:space="preserve"> 2009;</w:t>
      </w:r>
      <w:r w:rsidRPr="00432926">
        <w:rPr>
          <w:b/>
          <w:bCs/>
        </w:rPr>
        <w:t>103</w:t>
      </w:r>
      <w:r w:rsidRPr="00432926">
        <w:t>: 1368-73.</w:t>
      </w:r>
    </w:p>
    <w:p w14:paraId="244ADF09" w14:textId="4F8B5AF9" w:rsidR="007D00F6" w:rsidRPr="00432926" w:rsidRDefault="007D00F6" w:rsidP="007D00F6">
      <w:pPr>
        <w:pStyle w:val="NormalWeb"/>
      </w:pPr>
      <w:r w:rsidRPr="00432926">
        <w:t>15 Abdelaziz HK, Abdelrahman A, Nabi A</w:t>
      </w:r>
      <w:r w:rsidRPr="00432926">
        <w:rPr>
          <w:i/>
          <w:iCs/>
        </w:rPr>
        <w:t>, et al</w:t>
      </w:r>
      <w:r w:rsidRPr="00432926">
        <w:t xml:space="preserve">. Impact of COVID-19 pandemic on patients with ST-segment elevation myocardial infarction: Insights from a british cardiac center. </w:t>
      </w:r>
      <w:r w:rsidRPr="00432926">
        <w:rPr>
          <w:i/>
          <w:iCs/>
        </w:rPr>
        <w:t>Am Heart J</w:t>
      </w:r>
      <w:r w:rsidRPr="00432926">
        <w:t xml:space="preserve"> 2020;</w:t>
      </w:r>
      <w:r w:rsidR="00FB158C" w:rsidRPr="00432926">
        <w:rPr>
          <w:b/>
        </w:rPr>
        <w:t>226</w:t>
      </w:r>
      <w:r w:rsidR="00FB158C" w:rsidRPr="00432926">
        <w:t>, 45-48</w:t>
      </w:r>
      <w:r w:rsidRPr="00432926">
        <w:t>.</w:t>
      </w:r>
    </w:p>
    <w:p w14:paraId="675B28EB" w14:textId="7E513F56" w:rsidR="007D00F6" w:rsidRPr="00432926" w:rsidRDefault="007D00F6" w:rsidP="007D00F6">
      <w:pPr>
        <w:pStyle w:val="NormalWeb"/>
      </w:pPr>
      <w:r w:rsidRPr="00432926">
        <w:t>16 De Rosa S, Spaccarotella C, Basso C</w:t>
      </w:r>
      <w:r w:rsidRPr="00432926">
        <w:rPr>
          <w:i/>
          <w:iCs/>
        </w:rPr>
        <w:t>, et al</w:t>
      </w:r>
      <w:r w:rsidRPr="00432926">
        <w:t xml:space="preserve">. Reduction of hospitalizations for myocardial infarction in italy in the COVID-19 era. </w:t>
      </w:r>
      <w:r w:rsidRPr="00432926">
        <w:rPr>
          <w:i/>
          <w:iCs/>
        </w:rPr>
        <w:t>Eur Heart J</w:t>
      </w:r>
      <w:r w:rsidRPr="00432926">
        <w:t xml:space="preserve"> 2020;</w:t>
      </w:r>
      <w:r w:rsidR="00FB158C" w:rsidRPr="00432926">
        <w:t xml:space="preserve"> </w:t>
      </w:r>
      <w:r w:rsidR="00FB158C" w:rsidRPr="00432926">
        <w:rPr>
          <w:b/>
        </w:rPr>
        <w:t>41:</w:t>
      </w:r>
      <w:r w:rsidR="00FB158C" w:rsidRPr="00432926">
        <w:t>2083-2088</w:t>
      </w:r>
      <w:r w:rsidRPr="00432926">
        <w:t>.</w:t>
      </w:r>
    </w:p>
    <w:p w14:paraId="2F3DB89B" w14:textId="0A810358" w:rsidR="007D00F6" w:rsidRPr="00432926" w:rsidRDefault="007D00F6" w:rsidP="007D00F6">
      <w:pPr>
        <w:pStyle w:val="NormalWeb"/>
      </w:pPr>
      <w:r w:rsidRPr="00432926">
        <w:lastRenderedPageBreak/>
        <w:t>17 Garcia S, Albaghdadi MS, Meraj PM</w:t>
      </w:r>
      <w:r w:rsidRPr="00432926">
        <w:rPr>
          <w:i/>
          <w:iCs/>
        </w:rPr>
        <w:t>, et al</w:t>
      </w:r>
      <w:r w:rsidRPr="00432926">
        <w:t xml:space="preserve">. Reduction in ST-segment elevation cardiac catheterization laboratory activations in the united states during COVID-19 pandemic. </w:t>
      </w:r>
      <w:r w:rsidRPr="00432926">
        <w:rPr>
          <w:i/>
          <w:iCs/>
        </w:rPr>
        <w:t>J Am Coll Cardiol</w:t>
      </w:r>
      <w:r w:rsidRPr="00432926">
        <w:t xml:space="preserve"> 2020</w:t>
      </w:r>
      <w:r w:rsidR="00FB158C" w:rsidRPr="00432926">
        <w:rPr>
          <w:b/>
        </w:rPr>
        <w:t xml:space="preserve"> 9;75(22)</w:t>
      </w:r>
      <w:r w:rsidR="00FB158C" w:rsidRPr="00432926">
        <w:t>:2871-2872</w:t>
      </w:r>
      <w:r w:rsidRPr="00432926">
        <w:t>;.</w:t>
      </w:r>
    </w:p>
    <w:p w14:paraId="6DDFE819" w14:textId="77777777" w:rsidR="007D00F6" w:rsidRPr="00432926" w:rsidRDefault="007D00F6" w:rsidP="007D00F6">
      <w:pPr>
        <w:pStyle w:val="NormalWeb"/>
      </w:pPr>
      <w:r w:rsidRPr="00432926">
        <w:t>18 Metzler B, Siostrzonek P, Binder RK</w:t>
      </w:r>
      <w:r w:rsidRPr="00432926">
        <w:rPr>
          <w:i/>
          <w:iCs/>
        </w:rPr>
        <w:t>, et al</w:t>
      </w:r>
      <w:r w:rsidRPr="00432926">
        <w:t xml:space="preserve">. Decline of acute coronary syndrome admissions in austria since the outbreak of COVID-19: The pandemic response causes cardiac collateral damage. </w:t>
      </w:r>
      <w:r w:rsidRPr="00432926">
        <w:rPr>
          <w:i/>
          <w:iCs/>
        </w:rPr>
        <w:t>Eur Heart J</w:t>
      </w:r>
      <w:r w:rsidRPr="00432926">
        <w:t xml:space="preserve"> 2020;</w:t>
      </w:r>
      <w:r w:rsidRPr="00432926">
        <w:rPr>
          <w:b/>
          <w:bCs/>
        </w:rPr>
        <w:t>41</w:t>
      </w:r>
      <w:r w:rsidRPr="00432926">
        <w:t>: 1852-3.</w:t>
      </w:r>
    </w:p>
    <w:p w14:paraId="41D80676" w14:textId="77777777" w:rsidR="007D00F6" w:rsidRPr="00432926" w:rsidRDefault="007D00F6" w:rsidP="007D00F6">
      <w:pPr>
        <w:pStyle w:val="NormalWeb"/>
      </w:pPr>
      <w:r w:rsidRPr="00432926">
        <w:t>19 Abuelgasim E, Saw LJ, Shirke M</w:t>
      </w:r>
      <w:r w:rsidRPr="00432926">
        <w:rPr>
          <w:i/>
          <w:iCs/>
        </w:rPr>
        <w:t>, et al</w:t>
      </w:r>
      <w:r w:rsidRPr="00432926">
        <w:t xml:space="preserve">. COVID-19: Unique public health issues facing black, asian and minority ethnic communities. </w:t>
      </w:r>
      <w:r w:rsidRPr="00432926">
        <w:rPr>
          <w:i/>
          <w:iCs/>
        </w:rPr>
        <w:t>Curr Probl Cardiol</w:t>
      </w:r>
      <w:r w:rsidRPr="00432926">
        <w:t xml:space="preserve"> 2020;</w:t>
      </w:r>
      <w:r w:rsidRPr="00432926">
        <w:rPr>
          <w:b/>
          <w:bCs/>
        </w:rPr>
        <w:t>45</w:t>
      </w:r>
      <w:r w:rsidRPr="00432926">
        <w:t>: 100621.</w:t>
      </w:r>
    </w:p>
    <w:p w14:paraId="177CAE9E" w14:textId="6797119F" w:rsidR="007D00F6" w:rsidRPr="00432926" w:rsidRDefault="007D00F6" w:rsidP="007D00F6">
      <w:pPr>
        <w:pStyle w:val="NormalWeb"/>
      </w:pPr>
      <w:r w:rsidRPr="00432926">
        <w:t>20 Pareek M, Bangash MN, Pareek N</w:t>
      </w:r>
      <w:r w:rsidRPr="00432926">
        <w:rPr>
          <w:i/>
          <w:iCs/>
        </w:rPr>
        <w:t>, et al</w:t>
      </w:r>
      <w:r w:rsidRPr="00432926">
        <w:t>. Ethnicity and COVID-19: An urgent public health research priority. 2020;</w:t>
      </w:r>
      <w:r w:rsidR="00FB158C" w:rsidRPr="00432926">
        <w:t xml:space="preserve"> </w:t>
      </w:r>
      <w:r w:rsidR="00FB158C" w:rsidRPr="00432926">
        <w:rPr>
          <w:b/>
        </w:rPr>
        <w:t>10234</w:t>
      </w:r>
      <w:r w:rsidR="00FB158C" w:rsidRPr="00432926">
        <w:t>, 1421-1422</w:t>
      </w:r>
      <w:r w:rsidRPr="00432926">
        <w:t>.</w:t>
      </w:r>
    </w:p>
    <w:p w14:paraId="25439D65" w14:textId="77777777" w:rsidR="007D00F6" w:rsidRPr="00432926" w:rsidRDefault="007D00F6" w:rsidP="007D00F6">
      <w:pPr>
        <w:pStyle w:val="NormalWeb"/>
      </w:pPr>
      <w:r w:rsidRPr="00432926">
        <w:t>21 Mohamed MO, Kinnaird T, Anderson R</w:t>
      </w:r>
      <w:r w:rsidRPr="00432926">
        <w:rPr>
          <w:i/>
          <w:iCs/>
        </w:rPr>
        <w:t>, et al</w:t>
      </w:r>
      <w:r w:rsidRPr="00432926">
        <w:t xml:space="preserve">. Combinations of bleeding and ischemic risk and their association with clinical outcomes in acute coronary syndrome. </w:t>
      </w:r>
      <w:r w:rsidRPr="00432926">
        <w:rPr>
          <w:i/>
          <w:iCs/>
        </w:rPr>
        <w:t>Int J Cardiol</w:t>
      </w:r>
      <w:r w:rsidRPr="00432926">
        <w:t xml:space="preserve"> 2019;</w:t>
      </w:r>
      <w:r w:rsidRPr="00432926">
        <w:rPr>
          <w:b/>
          <w:bCs/>
        </w:rPr>
        <w:t>290</w:t>
      </w:r>
      <w:r w:rsidRPr="00432926">
        <w:t>: 7-14.</w:t>
      </w:r>
    </w:p>
    <w:p w14:paraId="2DF9F5CC" w14:textId="77777777" w:rsidR="007D00F6" w:rsidRPr="00432926" w:rsidRDefault="007D00F6" w:rsidP="007D00F6">
      <w:pPr>
        <w:pStyle w:val="NormalWeb"/>
      </w:pPr>
      <w:r w:rsidRPr="00432926">
        <w:t>22 Rashid M, Curzen N, Kinnaird T</w:t>
      </w:r>
      <w:r w:rsidRPr="00432926">
        <w:rPr>
          <w:i/>
          <w:iCs/>
        </w:rPr>
        <w:t>, et al</w:t>
      </w:r>
      <w:r w:rsidRPr="00432926">
        <w:t xml:space="preserve">. Baseline risk, timing of invasive strategy and guideline compliance in NSTEMI: Nationwide analysis from MINAP. </w:t>
      </w:r>
      <w:r w:rsidRPr="00432926">
        <w:rPr>
          <w:i/>
          <w:iCs/>
        </w:rPr>
        <w:t>Int J Cardiol</w:t>
      </w:r>
      <w:r w:rsidRPr="00432926">
        <w:t xml:space="preserve"> 2020;</w:t>
      </w:r>
      <w:r w:rsidRPr="00432926">
        <w:rPr>
          <w:b/>
          <w:bCs/>
        </w:rPr>
        <w:t>301</w:t>
      </w:r>
      <w:r w:rsidRPr="00432926">
        <w:t>: 7-13.</w:t>
      </w:r>
    </w:p>
    <w:p w14:paraId="69575F3C" w14:textId="77777777" w:rsidR="007D00F6" w:rsidRPr="00432926" w:rsidRDefault="007D00F6" w:rsidP="007D00F6">
      <w:pPr>
        <w:pStyle w:val="NormalWeb"/>
      </w:pPr>
      <w:r w:rsidRPr="00432926">
        <w:t>23 Wilkinson C, Weston C, Timmis A</w:t>
      </w:r>
      <w:r w:rsidRPr="00432926">
        <w:rPr>
          <w:i/>
          <w:iCs/>
        </w:rPr>
        <w:t>, et al</w:t>
      </w:r>
      <w:r w:rsidRPr="00432926">
        <w:t xml:space="preserve">. The myocardial ischaemia national audit project (MINAP). </w:t>
      </w:r>
      <w:r w:rsidRPr="00432926">
        <w:rPr>
          <w:i/>
          <w:iCs/>
        </w:rPr>
        <w:t>Eur Heart J Qual Care Clin Outcomes</w:t>
      </w:r>
      <w:r w:rsidRPr="00432926">
        <w:t xml:space="preserve"> 2020;</w:t>
      </w:r>
      <w:r w:rsidRPr="00432926">
        <w:rPr>
          <w:b/>
          <w:bCs/>
        </w:rPr>
        <w:t>6</w:t>
      </w:r>
      <w:r w:rsidRPr="00432926">
        <w:t>: 19-22.</w:t>
      </w:r>
    </w:p>
    <w:p w14:paraId="57ED6F9D" w14:textId="77777777" w:rsidR="007D00F6" w:rsidRPr="00432926" w:rsidRDefault="007D00F6" w:rsidP="007D00F6">
      <w:pPr>
        <w:pStyle w:val="NormalWeb"/>
      </w:pPr>
      <w:r w:rsidRPr="00432926">
        <w:t xml:space="preserve">24 Rashid M, Ludman PF, Mamas MA. British cardiovascular intervention society registry framework: A quality improvement initiative on behalf of the national institute of cardiovascular outcomes research (NICOR). </w:t>
      </w:r>
      <w:r w:rsidRPr="00432926">
        <w:rPr>
          <w:i/>
          <w:iCs/>
        </w:rPr>
        <w:t>Eur Heart J Qual Care Clin Outcomes</w:t>
      </w:r>
      <w:r w:rsidRPr="00432926">
        <w:t xml:space="preserve"> 2019;</w:t>
      </w:r>
      <w:r w:rsidRPr="00432926">
        <w:rPr>
          <w:b/>
          <w:bCs/>
        </w:rPr>
        <w:t>5</w:t>
      </w:r>
      <w:r w:rsidRPr="00432926">
        <w:t>: 292-7.</w:t>
      </w:r>
    </w:p>
    <w:p w14:paraId="4ADFCCAD" w14:textId="77777777" w:rsidR="007D00F6" w:rsidRPr="00432926" w:rsidRDefault="007D00F6" w:rsidP="007D00F6">
      <w:pPr>
        <w:pStyle w:val="NormalWeb"/>
      </w:pPr>
      <w:r w:rsidRPr="00432926">
        <w:t>25 Rubin DB. Multiple imputation for nonresponse in surveys 1987 wiley new york. 1987;.</w:t>
      </w:r>
    </w:p>
    <w:p w14:paraId="06BBDF3E" w14:textId="77777777" w:rsidR="007D00F6" w:rsidRPr="00432926" w:rsidRDefault="007D00F6" w:rsidP="007D00F6">
      <w:pPr>
        <w:pStyle w:val="NormalWeb"/>
      </w:pPr>
      <w:r w:rsidRPr="00432926">
        <w:t>26 Cattle BA, Baxter PD, Greenwood DC</w:t>
      </w:r>
      <w:r w:rsidRPr="00432926">
        <w:rPr>
          <w:i/>
          <w:iCs/>
        </w:rPr>
        <w:t>, et al</w:t>
      </w:r>
      <w:r w:rsidRPr="00432926">
        <w:t xml:space="preserve">. Multiple imputation for completion of a national clinical audit dataset. </w:t>
      </w:r>
      <w:r w:rsidRPr="00432926">
        <w:rPr>
          <w:i/>
          <w:iCs/>
        </w:rPr>
        <w:t>Stat Med</w:t>
      </w:r>
      <w:r w:rsidRPr="00432926">
        <w:t xml:space="preserve"> 2011;</w:t>
      </w:r>
      <w:r w:rsidRPr="00432926">
        <w:rPr>
          <w:b/>
          <w:bCs/>
        </w:rPr>
        <w:t>30</w:t>
      </w:r>
      <w:r w:rsidRPr="00432926">
        <w:t>: 2736-53.</w:t>
      </w:r>
    </w:p>
    <w:p w14:paraId="7070118E" w14:textId="77777777" w:rsidR="007D00F6" w:rsidRPr="00432926" w:rsidRDefault="007D00F6" w:rsidP="007D00F6">
      <w:pPr>
        <w:pStyle w:val="NormalWeb"/>
      </w:pPr>
      <w:r w:rsidRPr="00432926">
        <w:t>27 Niedzwiedz CL, O'Donnell CA, Jani BD</w:t>
      </w:r>
      <w:r w:rsidRPr="00432926">
        <w:rPr>
          <w:i/>
          <w:iCs/>
        </w:rPr>
        <w:t>, et al</w:t>
      </w:r>
      <w:r w:rsidRPr="00432926">
        <w:t xml:space="preserve">. Ethnic and socioeconomic differences in SARS-CoV-2 infection: Prospective cohort study using UK biobank. </w:t>
      </w:r>
      <w:r w:rsidRPr="00432926">
        <w:rPr>
          <w:i/>
          <w:iCs/>
        </w:rPr>
        <w:t>BMC Med</w:t>
      </w:r>
      <w:r w:rsidRPr="00432926">
        <w:t xml:space="preserve"> 2020;</w:t>
      </w:r>
      <w:r w:rsidRPr="00432926">
        <w:rPr>
          <w:b/>
          <w:bCs/>
        </w:rPr>
        <w:t>18</w:t>
      </w:r>
      <w:r w:rsidRPr="00432926">
        <w:t>: 160-8.</w:t>
      </w:r>
    </w:p>
    <w:p w14:paraId="165E7218" w14:textId="77777777" w:rsidR="007D00F6" w:rsidRPr="00432926" w:rsidRDefault="007D00F6" w:rsidP="007D00F6">
      <w:pPr>
        <w:pStyle w:val="NormalWeb"/>
      </w:pPr>
      <w:r w:rsidRPr="00432926">
        <w:t>28 Bradley EH, Herrin J, Wang Y</w:t>
      </w:r>
      <w:r w:rsidRPr="00432926">
        <w:rPr>
          <w:i/>
          <w:iCs/>
        </w:rPr>
        <w:t>, et al</w:t>
      </w:r>
      <w:r w:rsidRPr="00432926">
        <w:t xml:space="preserve">. Racial and ethnic differences in time to acute reperfusion therapy for patients hospitalized with myocardial infarction. </w:t>
      </w:r>
      <w:r w:rsidRPr="00432926">
        <w:rPr>
          <w:i/>
          <w:iCs/>
        </w:rPr>
        <w:t>Jama</w:t>
      </w:r>
      <w:r w:rsidRPr="00432926">
        <w:t xml:space="preserve"> 2004;</w:t>
      </w:r>
      <w:r w:rsidRPr="00432926">
        <w:rPr>
          <w:b/>
          <w:bCs/>
        </w:rPr>
        <w:t>292</w:t>
      </w:r>
      <w:r w:rsidRPr="00432926">
        <w:t>: 1563-72.</w:t>
      </w:r>
    </w:p>
    <w:p w14:paraId="404BBFC9" w14:textId="77777777" w:rsidR="007D00F6" w:rsidRPr="00432926" w:rsidRDefault="007D00F6" w:rsidP="007D00F6">
      <w:pPr>
        <w:pStyle w:val="NormalWeb"/>
      </w:pPr>
      <w:r w:rsidRPr="00432926">
        <w:t>29 Cavender MA, Rassi AN, Fonarow GC</w:t>
      </w:r>
      <w:r w:rsidRPr="00432926">
        <w:rPr>
          <w:i/>
          <w:iCs/>
        </w:rPr>
        <w:t>, et al</w:t>
      </w:r>
      <w:r w:rsidRPr="00432926">
        <w:t xml:space="preserve">. Relationship of race/ethnicity with doorâ€toâ€balloon time and mortality in patients undergoing primary percutaneous coronary intervention for STâ€elevation myocardial infarction: Findings from get with the Guidelinesâ€“Coronary artery disease. </w:t>
      </w:r>
      <w:r w:rsidRPr="00432926">
        <w:rPr>
          <w:i/>
          <w:iCs/>
        </w:rPr>
        <w:t>Clin Cardiol</w:t>
      </w:r>
      <w:r w:rsidRPr="00432926">
        <w:t xml:space="preserve"> 2013;</w:t>
      </w:r>
      <w:r w:rsidRPr="00432926">
        <w:rPr>
          <w:b/>
          <w:bCs/>
        </w:rPr>
        <w:t>36</w:t>
      </w:r>
      <w:r w:rsidRPr="00432926">
        <w:t>: 749-56.</w:t>
      </w:r>
    </w:p>
    <w:p w14:paraId="35095D48" w14:textId="77777777" w:rsidR="007D00F6" w:rsidRPr="00432926" w:rsidRDefault="007D00F6" w:rsidP="007D00F6">
      <w:pPr>
        <w:pStyle w:val="NormalWeb"/>
      </w:pPr>
      <w:r w:rsidRPr="00432926">
        <w:t>30 Jones DA, Gallagher S, Rathod KS</w:t>
      </w:r>
      <w:r w:rsidRPr="00432926">
        <w:rPr>
          <w:i/>
          <w:iCs/>
        </w:rPr>
        <w:t>, et al</w:t>
      </w:r>
      <w:r w:rsidRPr="00432926">
        <w:t xml:space="preserve">. Mortality in south asians and caucasians after percutaneous coronary intervention in the united kingdom: An observational cohort study of </w:t>
      </w:r>
      <w:r w:rsidRPr="00432926">
        <w:lastRenderedPageBreak/>
        <w:t xml:space="preserve">279,256 patients from the BCIS (british cardiovascular intervention society) national database. </w:t>
      </w:r>
      <w:r w:rsidRPr="00432926">
        <w:rPr>
          <w:i/>
          <w:iCs/>
        </w:rPr>
        <w:t>JACC Cardiovasc Interv</w:t>
      </w:r>
      <w:r w:rsidRPr="00432926">
        <w:t xml:space="preserve"> 2014;</w:t>
      </w:r>
      <w:r w:rsidRPr="00432926">
        <w:rPr>
          <w:b/>
          <w:bCs/>
        </w:rPr>
        <w:t>7</w:t>
      </w:r>
      <w:r w:rsidRPr="00432926">
        <w:t>: 362-71.</w:t>
      </w:r>
    </w:p>
    <w:p w14:paraId="4B8F04ED" w14:textId="2FC443C7" w:rsidR="00545E40" w:rsidRPr="00432926" w:rsidRDefault="007D00F6" w:rsidP="007D00F6">
      <w:r w:rsidRPr="00432926">
        <w:rPr>
          <w:rFonts w:eastAsia="Times New Roman" w:cs="Times New Roman"/>
        </w:rPr>
        <w:t> </w:t>
      </w:r>
      <w:r w:rsidR="001F5864" w:rsidRPr="00432926">
        <w:fldChar w:fldCharType="end"/>
      </w:r>
      <w:r w:rsidR="00545E40" w:rsidRPr="00432926">
        <w:br w:type="page"/>
      </w:r>
    </w:p>
    <w:p w14:paraId="10E789B0" w14:textId="77777777" w:rsidR="00545E40" w:rsidRPr="00432926" w:rsidRDefault="00545E40" w:rsidP="00545E40">
      <w:pPr>
        <w:rPr>
          <w:rFonts w:cs="Times New Roman"/>
          <w:sz w:val="22"/>
        </w:rPr>
        <w:sectPr w:rsidR="00545E40" w:rsidRPr="00432926" w:rsidSect="00545E40">
          <w:pgSz w:w="11906" w:h="16838"/>
          <w:pgMar w:top="1440" w:right="1440" w:bottom="1440" w:left="1440" w:header="709" w:footer="709" w:gutter="0"/>
          <w:cols w:space="708"/>
          <w:docGrid w:linePitch="360"/>
        </w:sectPr>
      </w:pPr>
    </w:p>
    <w:p w14:paraId="48BCE0FF" w14:textId="67F0833C" w:rsidR="00545E40" w:rsidRPr="00432926" w:rsidRDefault="00545E40" w:rsidP="00545E40">
      <w:pPr>
        <w:rPr>
          <w:rFonts w:cs="Times New Roman"/>
          <w:sz w:val="22"/>
        </w:rPr>
      </w:pPr>
      <w:r w:rsidRPr="00432926">
        <w:rPr>
          <w:rFonts w:cs="Times New Roman"/>
          <w:sz w:val="22"/>
        </w:rPr>
        <w:lastRenderedPageBreak/>
        <w:t xml:space="preserve">Table1: Baseline characteristics, pharmacological and invasive management of BAME compared to White patients stratified according to pre-COVID19 and COVID19 pandemic periods from the MINAP registry </w:t>
      </w:r>
    </w:p>
    <w:tbl>
      <w:tblPr>
        <w:tblStyle w:val="PlainTable1"/>
        <w:tblW w:w="0" w:type="auto"/>
        <w:tblLook w:val="04A0" w:firstRow="1" w:lastRow="0" w:firstColumn="1" w:lastColumn="0" w:noHBand="0" w:noVBand="1"/>
      </w:tblPr>
      <w:tblGrid>
        <w:gridCol w:w="4386"/>
        <w:gridCol w:w="2591"/>
        <w:gridCol w:w="1895"/>
        <w:gridCol w:w="892"/>
        <w:gridCol w:w="1641"/>
        <w:gridCol w:w="1651"/>
        <w:gridCol w:w="892"/>
      </w:tblGrid>
      <w:tr w:rsidR="00545E40" w:rsidRPr="00432926" w14:paraId="2D197641" w14:textId="77777777" w:rsidTr="00622D46">
        <w:trPr>
          <w:cnfStyle w:val="100000000000" w:firstRow="1" w:lastRow="0" w:firstColumn="0" w:lastColumn="0" w:oddVBand="0" w:evenVBand="0" w:oddHBand="0" w:evenHBand="0" w:firstRowFirstColumn="0" w:firstRowLastColumn="0" w:lastRowFirstColumn="0" w:lastRowLastColumn="0"/>
          <w:trHeight w:val="673"/>
        </w:trPr>
        <w:tc>
          <w:tcPr>
            <w:cnfStyle w:val="001000000000" w:firstRow="0" w:lastRow="0" w:firstColumn="1" w:lastColumn="0" w:oddVBand="0" w:evenVBand="0" w:oddHBand="0" w:evenHBand="0" w:firstRowFirstColumn="0" w:firstRowLastColumn="0" w:lastRowFirstColumn="0" w:lastRowLastColumn="0"/>
            <w:tcW w:w="0" w:type="auto"/>
          </w:tcPr>
          <w:p w14:paraId="11107BDE" w14:textId="77777777" w:rsidR="00545E40" w:rsidRPr="00432926" w:rsidRDefault="00545E40" w:rsidP="00FB62C4">
            <w:pPr>
              <w:rPr>
                <w:rFonts w:cs="Times New Roman"/>
                <w:b w:val="0"/>
                <w:sz w:val="22"/>
              </w:rPr>
            </w:pPr>
            <w:r w:rsidRPr="00432926">
              <w:rPr>
                <w:rFonts w:cs="Times New Roman"/>
                <w:b w:val="0"/>
                <w:sz w:val="22"/>
              </w:rPr>
              <w:t>Variables</w:t>
            </w:r>
          </w:p>
        </w:tc>
        <w:tc>
          <w:tcPr>
            <w:tcW w:w="0" w:type="auto"/>
            <w:vAlign w:val="center"/>
          </w:tcPr>
          <w:p w14:paraId="406CB656" w14:textId="77777777" w:rsidR="00545E40" w:rsidRPr="00432926" w:rsidRDefault="00545E40" w:rsidP="00FB62C4">
            <w:pPr>
              <w:jc w:val="center"/>
              <w:cnfStyle w:val="100000000000" w:firstRow="1" w:lastRow="0" w:firstColumn="0" w:lastColumn="0" w:oddVBand="0" w:evenVBand="0" w:oddHBand="0" w:evenHBand="0" w:firstRowFirstColumn="0" w:firstRowLastColumn="0" w:lastRowFirstColumn="0" w:lastRowLastColumn="0"/>
              <w:rPr>
                <w:rFonts w:cs="Times New Roman"/>
                <w:b w:val="0"/>
                <w:sz w:val="22"/>
              </w:rPr>
            </w:pPr>
            <w:r w:rsidRPr="00432926">
              <w:rPr>
                <w:rFonts w:cs="Times New Roman"/>
                <w:b w:val="0"/>
                <w:sz w:val="22"/>
              </w:rPr>
              <w:t>Pre-COVID19 Whites N=56,270</w:t>
            </w:r>
          </w:p>
        </w:tc>
        <w:tc>
          <w:tcPr>
            <w:tcW w:w="0" w:type="auto"/>
            <w:vAlign w:val="center"/>
          </w:tcPr>
          <w:p w14:paraId="259BCE0C" w14:textId="77777777" w:rsidR="00545E40" w:rsidRPr="00432926" w:rsidRDefault="00545E40" w:rsidP="00FB62C4">
            <w:pPr>
              <w:jc w:val="center"/>
              <w:cnfStyle w:val="100000000000" w:firstRow="1" w:lastRow="0" w:firstColumn="0" w:lastColumn="0" w:oddVBand="0" w:evenVBand="0" w:oddHBand="0" w:evenHBand="0" w:firstRowFirstColumn="0" w:firstRowLastColumn="0" w:lastRowFirstColumn="0" w:lastRowLastColumn="0"/>
              <w:rPr>
                <w:rFonts w:cs="Times New Roman"/>
                <w:b w:val="0"/>
                <w:sz w:val="22"/>
              </w:rPr>
            </w:pPr>
            <w:r w:rsidRPr="00432926">
              <w:rPr>
                <w:rFonts w:cs="Times New Roman"/>
                <w:b w:val="0"/>
                <w:sz w:val="22"/>
              </w:rPr>
              <w:t>Pre COVID19 BAME</w:t>
            </w:r>
          </w:p>
          <w:p w14:paraId="653C5CCD" w14:textId="77777777" w:rsidR="00545E40" w:rsidRPr="00432926" w:rsidRDefault="00545E40" w:rsidP="00FB62C4">
            <w:pPr>
              <w:jc w:val="center"/>
              <w:cnfStyle w:val="100000000000" w:firstRow="1" w:lastRow="0" w:firstColumn="0" w:lastColumn="0" w:oddVBand="0" w:evenVBand="0" w:oddHBand="0" w:evenHBand="0" w:firstRowFirstColumn="0" w:firstRowLastColumn="0" w:lastRowFirstColumn="0" w:lastRowLastColumn="0"/>
              <w:rPr>
                <w:rFonts w:cs="Times New Roman"/>
                <w:b w:val="0"/>
                <w:sz w:val="22"/>
              </w:rPr>
            </w:pPr>
            <w:r w:rsidRPr="00432926">
              <w:rPr>
                <w:rFonts w:cs="Times New Roman"/>
                <w:b w:val="0"/>
                <w:sz w:val="22"/>
              </w:rPr>
              <w:t>N= 6,308</w:t>
            </w:r>
          </w:p>
          <w:p w14:paraId="57C11863" w14:textId="77777777" w:rsidR="00545E40" w:rsidRPr="00432926" w:rsidRDefault="00545E40" w:rsidP="00FB62C4">
            <w:pPr>
              <w:jc w:val="center"/>
              <w:cnfStyle w:val="100000000000" w:firstRow="1" w:lastRow="0" w:firstColumn="0" w:lastColumn="0" w:oddVBand="0" w:evenVBand="0" w:oddHBand="0" w:evenHBand="0" w:firstRowFirstColumn="0" w:firstRowLastColumn="0" w:lastRowFirstColumn="0" w:lastRowLastColumn="0"/>
              <w:rPr>
                <w:rFonts w:cs="Times New Roman"/>
                <w:b w:val="0"/>
                <w:sz w:val="22"/>
              </w:rPr>
            </w:pPr>
          </w:p>
        </w:tc>
        <w:tc>
          <w:tcPr>
            <w:tcW w:w="0" w:type="auto"/>
            <w:vAlign w:val="center"/>
          </w:tcPr>
          <w:p w14:paraId="25D167BB" w14:textId="77777777" w:rsidR="00545E40" w:rsidRPr="00432926" w:rsidRDefault="00545E40" w:rsidP="00FB62C4">
            <w:pPr>
              <w:jc w:val="center"/>
              <w:cnfStyle w:val="100000000000" w:firstRow="1" w:lastRow="0" w:firstColumn="0" w:lastColumn="0" w:oddVBand="0" w:evenVBand="0" w:oddHBand="0" w:evenHBand="0" w:firstRowFirstColumn="0" w:firstRowLastColumn="0" w:lastRowFirstColumn="0" w:lastRowLastColumn="0"/>
              <w:rPr>
                <w:rFonts w:cs="Times New Roman"/>
                <w:b w:val="0"/>
                <w:sz w:val="22"/>
                <w:vertAlign w:val="superscript"/>
              </w:rPr>
            </w:pPr>
            <w:r w:rsidRPr="00432926">
              <w:rPr>
                <w:rFonts w:cs="Times New Roman"/>
                <w:b w:val="0"/>
                <w:sz w:val="22"/>
              </w:rPr>
              <w:t>P value</w:t>
            </w:r>
          </w:p>
          <w:p w14:paraId="6D853BA2" w14:textId="77777777" w:rsidR="00545E40" w:rsidRPr="00432926" w:rsidRDefault="00545E40" w:rsidP="00FB62C4">
            <w:pPr>
              <w:jc w:val="center"/>
              <w:cnfStyle w:val="100000000000" w:firstRow="1" w:lastRow="0" w:firstColumn="0" w:lastColumn="0" w:oddVBand="0" w:evenVBand="0" w:oddHBand="0" w:evenHBand="0" w:firstRowFirstColumn="0" w:firstRowLastColumn="0" w:lastRowFirstColumn="0" w:lastRowLastColumn="0"/>
              <w:rPr>
                <w:rFonts w:cs="Times New Roman"/>
                <w:b w:val="0"/>
                <w:sz w:val="22"/>
              </w:rPr>
            </w:pPr>
          </w:p>
        </w:tc>
        <w:tc>
          <w:tcPr>
            <w:tcW w:w="1641" w:type="dxa"/>
            <w:vAlign w:val="center"/>
          </w:tcPr>
          <w:p w14:paraId="2B4DB9BA" w14:textId="77777777" w:rsidR="00545E40" w:rsidRPr="00432926" w:rsidRDefault="00545E40" w:rsidP="00FB62C4">
            <w:pPr>
              <w:jc w:val="center"/>
              <w:cnfStyle w:val="100000000000" w:firstRow="1" w:lastRow="0" w:firstColumn="0" w:lastColumn="0" w:oddVBand="0" w:evenVBand="0" w:oddHBand="0" w:evenHBand="0" w:firstRowFirstColumn="0" w:firstRowLastColumn="0" w:lastRowFirstColumn="0" w:lastRowLastColumn="0"/>
              <w:rPr>
                <w:rFonts w:cs="Times New Roman"/>
                <w:b w:val="0"/>
                <w:sz w:val="22"/>
              </w:rPr>
            </w:pPr>
            <w:r w:rsidRPr="00432926">
              <w:rPr>
                <w:rFonts w:cs="Times New Roman"/>
                <w:b w:val="0"/>
                <w:sz w:val="22"/>
              </w:rPr>
              <w:t>COVID19 Whites</w:t>
            </w:r>
          </w:p>
          <w:p w14:paraId="5FDAE26B" w14:textId="77777777" w:rsidR="00545E40" w:rsidRPr="00432926" w:rsidRDefault="00545E40" w:rsidP="00FB62C4">
            <w:pPr>
              <w:jc w:val="center"/>
              <w:cnfStyle w:val="100000000000" w:firstRow="1" w:lastRow="0" w:firstColumn="0" w:lastColumn="0" w:oddVBand="0" w:evenVBand="0" w:oddHBand="0" w:evenHBand="0" w:firstRowFirstColumn="0" w:firstRowLastColumn="0" w:lastRowFirstColumn="0" w:lastRowLastColumn="0"/>
              <w:rPr>
                <w:rFonts w:cs="Times New Roman"/>
                <w:b w:val="0"/>
                <w:sz w:val="22"/>
              </w:rPr>
            </w:pPr>
            <w:r w:rsidRPr="00432926">
              <w:rPr>
                <w:rFonts w:cs="Times New Roman"/>
                <w:b w:val="0"/>
                <w:sz w:val="22"/>
              </w:rPr>
              <w:t>N=9,305</w:t>
            </w:r>
          </w:p>
        </w:tc>
        <w:tc>
          <w:tcPr>
            <w:tcW w:w="1651" w:type="dxa"/>
            <w:vAlign w:val="center"/>
          </w:tcPr>
          <w:p w14:paraId="6B2D1882" w14:textId="77777777" w:rsidR="00545E40" w:rsidRPr="00432926" w:rsidRDefault="00545E40" w:rsidP="00FB62C4">
            <w:pPr>
              <w:jc w:val="center"/>
              <w:cnfStyle w:val="100000000000" w:firstRow="1" w:lastRow="0" w:firstColumn="0" w:lastColumn="0" w:oddVBand="0" w:evenVBand="0" w:oddHBand="0" w:evenHBand="0" w:firstRowFirstColumn="0" w:firstRowLastColumn="0" w:lastRowFirstColumn="0" w:lastRowLastColumn="0"/>
              <w:rPr>
                <w:rFonts w:cs="Times New Roman"/>
                <w:b w:val="0"/>
                <w:sz w:val="22"/>
              </w:rPr>
            </w:pPr>
            <w:r w:rsidRPr="00432926">
              <w:rPr>
                <w:rFonts w:cs="Times New Roman"/>
                <w:b w:val="0"/>
                <w:sz w:val="22"/>
              </w:rPr>
              <w:t>COVID19 BAME</w:t>
            </w:r>
          </w:p>
          <w:p w14:paraId="3C1213CF" w14:textId="77777777" w:rsidR="00545E40" w:rsidRPr="00432926" w:rsidRDefault="00545E40" w:rsidP="00FB62C4">
            <w:pPr>
              <w:jc w:val="center"/>
              <w:cnfStyle w:val="100000000000" w:firstRow="1" w:lastRow="0" w:firstColumn="0" w:lastColumn="0" w:oddVBand="0" w:evenVBand="0" w:oddHBand="0" w:evenHBand="0" w:firstRowFirstColumn="0" w:firstRowLastColumn="0" w:lastRowFirstColumn="0" w:lastRowLastColumn="0"/>
              <w:rPr>
                <w:rFonts w:cs="Times New Roman"/>
                <w:b w:val="0"/>
                <w:sz w:val="22"/>
              </w:rPr>
            </w:pPr>
            <w:r w:rsidRPr="00432926">
              <w:rPr>
                <w:rFonts w:cs="Times New Roman"/>
                <w:b w:val="0"/>
                <w:sz w:val="22"/>
              </w:rPr>
              <w:t>N=1,863</w:t>
            </w:r>
          </w:p>
        </w:tc>
        <w:tc>
          <w:tcPr>
            <w:tcW w:w="0" w:type="auto"/>
            <w:vAlign w:val="center"/>
          </w:tcPr>
          <w:p w14:paraId="1C8ECB49" w14:textId="77777777" w:rsidR="00545E40" w:rsidRPr="00432926" w:rsidRDefault="00545E40" w:rsidP="00FB62C4">
            <w:pPr>
              <w:jc w:val="center"/>
              <w:cnfStyle w:val="100000000000" w:firstRow="1" w:lastRow="0" w:firstColumn="0" w:lastColumn="0" w:oddVBand="0" w:evenVBand="0" w:oddHBand="0" w:evenHBand="0" w:firstRowFirstColumn="0" w:firstRowLastColumn="0" w:lastRowFirstColumn="0" w:lastRowLastColumn="0"/>
              <w:rPr>
                <w:rFonts w:cs="Times New Roman"/>
                <w:b w:val="0"/>
                <w:sz w:val="22"/>
              </w:rPr>
            </w:pPr>
            <w:r w:rsidRPr="00432926">
              <w:rPr>
                <w:rFonts w:cs="Times New Roman"/>
                <w:b w:val="0"/>
                <w:sz w:val="22"/>
              </w:rPr>
              <w:t>P value</w:t>
            </w:r>
          </w:p>
        </w:tc>
      </w:tr>
      <w:tr w:rsidR="00545E40" w:rsidRPr="00432926" w14:paraId="7778A093" w14:textId="77777777" w:rsidTr="00622D46">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0" w:type="auto"/>
          </w:tcPr>
          <w:p w14:paraId="44DA6112" w14:textId="3B078793" w:rsidR="00545E40" w:rsidRPr="00432926" w:rsidRDefault="00132929" w:rsidP="00FB62C4">
            <w:pPr>
              <w:rPr>
                <w:rFonts w:cs="Times New Roman"/>
                <w:b w:val="0"/>
                <w:sz w:val="22"/>
              </w:rPr>
            </w:pPr>
            <w:r w:rsidRPr="00432926">
              <w:rPr>
                <w:rFonts w:cs="Times New Roman"/>
                <w:b w:val="0"/>
                <w:sz w:val="22"/>
              </w:rPr>
              <w:t>Age, years  median (IQR)</w:t>
            </w:r>
          </w:p>
        </w:tc>
        <w:tc>
          <w:tcPr>
            <w:tcW w:w="0" w:type="auto"/>
            <w:vAlign w:val="center"/>
          </w:tcPr>
          <w:p w14:paraId="08CAD7FE" w14:textId="02FE350E" w:rsidR="00545E40" w:rsidRPr="00432926" w:rsidRDefault="00622D46"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70 (59-80</w:t>
            </w:r>
            <w:r w:rsidR="00545E40" w:rsidRPr="00432926">
              <w:rPr>
                <w:rFonts w:cs="Times New Roman"/>
                <w:sz w:val="22"/>
              </w:rPr>
              <w:t>)</w:t>
            </w:r>
          </w:p>
        </w:tc>
        <w:tc>
          <w:tcPr>
            <w:tcW w:w="0" w:type="auto"/>
            <w:vAlign w:val="center"/>
          </w:tcPr>
          <w:p w14:paraId="68CCE6B0" w14:textId="19F6BED0" w:rsidR="00545E40" w:rsidRPr="00432926" w:rsidRDefault="00622D46"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63 (53-75</w:t>
            </w:r>
            <w:r w:rsidR="00545E40" w:rsidRPr="00432926">
              <w:rPr>
                <w:rFonts w:cs="Times New Roman"/>
                <w:sz w:val="22"/>
              </w:rPr>
              <w:t>)</w:t>
            </w:r>
          </w:p>
        </w:tc>
        <w:tc>
          <w:tcPr>
            <w:tcW w:w="0" w:type="auto"/>
            <w:vAlign w:val="center"/>
          </w:tcPr>
          <w:p w14:paraId="17BAEFB7" w14:textId="54BA73D7" w:rsidR="00545E40" w:rsidRPr="00432926" w:rsidRDefault="00FD364D"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&lt;0.0</w:t>
            </w:r>
            <w:r w:rsidR="001A66D1" w:rsidRPr="00432926">
              <w:rPr>
                <w:rFonts w:cs="Times New Roman"/>
                <w:sz w:val="22"/>
              </w:rPr>
              <w:t>0</w:t>
            </w:r>
            <w:r w:rsidR="00545E40" w:rsidRPr="00432926">
              <w:rPr>
                <w:rFonts w:cs="Times New Roman"/>
                <w:sz w:val="22"/>
              </w:rPr>
              <w:t>1</w:t>
            </w:r>
          </w:p>
        </w:tc>
        <w:tc>
          <w:tcPr>
            <w:tcW w:w="1641" w:type="dxa"/>
            <w:vAlign w:val="center"/>
          </w:tcPr>
          <w:p w14:paraId="798B0A08" w14:textId="77625299" w:rsidR="00545E40" w:rsidRPr="00432926" w:rsidRDefault="00622D46"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69 (59-78</w:t>
            </w:r>
            <w:r w:rsidR="00545E40" w:rsidRPr="00432926">
              <w:rPr>
                <w:rFonts w:cs="Times New Roman"/>
                <w:sz w:val="22"/>
              </w:rPr>
              <w:t>)</w:t>
            </w:r>
          </w:p>
        </w:tc>
        <w:tc>
          <w:tcPr>
            <w:tcW w:w="1651" w:type="dxa"/>
            <w:vAlign w:val="center"/>
          </w:tcPr>
          <w:p w14:paraId="660CCAD7" w14:textId="515BE25E" w:rsidR="00545E40" w:rsidRPr="00432926" w:rsidRDefault="00622D46"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62 (52-73</w:t>
            </w:r>
            <w:r w:rsidR="00545E40" w:rsidRPr="00432926">
              <w:rPr>
                <w:rFonts w:cs="Times New Roman"/>
                <w:sz w:val="22"/>
              </w:rPr>
              <w:t>)</w:t>
            </w:r>
          </w:p>
        </w:tc>
        <w:tc>
          <w:tcPr>
            <w:tcW w:w="0" w:type="auto"/>
            <w:vAlign w:val="center"/>
          </w:tcPr>
          <w:p w14:paraId="13CE96B7" w14:textId="0FFAE4DD" w:rsidR="00545E40" w:rsidRPr="00432926" w:rsidRDefault="00FD364D"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&lt;0.</w:t>
            </w:r>
            <w:r w:rsidR="001A66D1" w:rsidRPr="00432926">
              <w:rPr>
                <w:rFonts w:cs="Times New Roman"/>
                <w:sz w:val="22"/>
              </w:rPr>
              <w:t>0</w:t>
            </w:r>
            <w:r w:rsidRPr="00432926">
              <w:rPr>
                <w:rFonts w:cs="Times New Roman"/>
                <w:sz w:val="22"/>
              </w:rPr>
              <w:t>0</w:t>
            </w:r>
            <w:r w:rsidR="00545E40" w:rsidRPr="00432926">
              <w:rPr>
                <w:rFonts w:cs="Times New Roman"/>
                <w:sz w:val="22"/>
              </w:rPr>
              <w:t>1</w:t>
            </w:r>
          </w:p>
        </w:tc>
      </w:tr>
      <w:tr w:rsidR="00545E40" w:rsidRPr="00432926" w14:paraId="3B21FE96" w14:textId="77777777" w:rsidTr="00622D46">
        <w:trPr>
          <w:trHeight w:val="263"/>
        </w:trPr>
        <w:tc>
          <w:tcPr>
            <w:cnfStyle w:val="001000000000" w:firstRow="0" w:lastRow="0" w:firstColumn="1" w:lastColumn="0" w:oddVBand="0" w:evenVBand="0" w:oddHBand="0" w:evenHBand="0" w:firstRowFirstColumn="0" w:firstRowLastColumn="0" w:lastRowFirstColumn="0" w:lastRowLastColumn="0"/>
            <w:tcW w:w="0" w:type="auto"/>
          </w:tcPr>
          <w:p w14:paraId="69B52D26" w14:textId="77777777" w:rsidR="00545E40" w:rsidRPr="00432926" w:rsidRDefault="00545E40" w:rsidP="00FB62C4">
            <w:pPr>
              <w:rPr>
                <w:rFonts w:cs="Times New Roman"/>
                <w:b w:val="0"/>
                <w:sz w:val="22"/>
              </w:rPr>
            </w:pPr>
            <w:r w:rsidRPr="00432926">
              <w:rPr>
                <w:rFonts w:cs="Times New Roman"/>
                <w:b w:val="0"/>
                <w:sz w:val="22"/>
              </w:rPr>
              <w:t>Male (%)</w:t>
            </w:r>
          </w:p>
        </w:tc>
        <w:tc>
          <w:tcPr>
            <w:tcW w:w="0" w:type="auto"/>
            <w:vAlign w:val="center"/>
          </w:tcPr>
          <w:p w14:paraId="6691ED7C"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37524 (66.7%)</w:t>
            </w:r>
          </w:p>
        </w:tc>
        <w:tc>
          <w:tcPr>
            <w:tcW w:w="0" w:type="auto"/>
            <w:vAlign w:val="center"/>
          </w:tcPr>
          <w:p w14:paraId="0750905B"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4566 (72.4%)</w:t>
            </w:r>
          </w:p>
        </w:tc>
        <w:tc>
          <w:tcPr>
            <w:tcW w:w="0" w:type="auto"/>
            <w:vAlign w:val="center"/>
          </w:tcPr>
          <w:p w14:paraId="38BEB286" w14:textId="78C774B2" w:rsidR="00545E40" w:rsidRPr="00432926" w:rsidRDefault="00FD364D"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&lt;0.</w:t>
            </w:r>
            <w:r w:rsidR="00545E40" w:rsidRPr="00432926">
              <w:rPr>
                <w:rFonts w:cs="Times New Roman"/>
                <w:sz w:val="22"/>
              </w:rPr>
              <w:t>0</w:t>
            </w:r>
            <w:r w:rsidR="00F237DB" w:rsidRPr="00432926">
              <w:rPr>
                <w:rFonts w:cs="Times New Roman"/>
                <w:sz w:val="22"/>
              </w:rPr>
              <w:t>0</w:t>
            </w:r>
            <w:r w:rsidR="00545E40" w:rsidRPr="00432926">
              <w:rPr>
                <w:rFonts w:cs="Times New Roman"/>
                <w:sz w:val="22"/>
              </w:rPr>
              <w:t>1</w:t>
            </w:r>
          </w:p>
        </w:tc>
        <w:tc>
          <w:tcPr>
            <w:tcW w:w="1641" w:type="dxa"/>
            <w:vAlign w:val="center"/>
          </w:tcPr>
          <w:p w14:paraId="06D392C1"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6315 (67.9%)</w:t>
            </w:r>
          </w:p>
        </w:tc>
        <w:tc>
          <w:tcPr>
            <w:tcW w:w="1651" w:type="dxa"/>
            <w:vAlign w:val="center"/>
          </w:tcPr>
          <w:p w14:paraId="7DB1A1F1"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1368 (73.4%)</w:t>
            </w:r>
          </w:p>
        </w:tc>
        <w:tc>
          <w:tcPr>
            <w:tcW w:w="0" w:type="auto"/>
            <w:vAlign w:val="center"/>
          </w:tcPr>
          <w:p w14:paraId="229EA4B8" w14:textId="272A9906" w:rsidR="00545E40" w:rsidRPr="00432926" w:rsidRDefault="00FD364D"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&lt;0.</w:t>
            </w:r>
            <w:r w:rsidR="001A66D1" w:rsidRPr="00432926">
              <w:rPr>
                <w:rFonts w:cs="Times New Roman"/>
                <w:sz w:val="22"/>
              </w:rPr>
              <w:t>0</w:t>
            </w:r>
            <w:r w:rsidRPr="00432926">
              <w:rPr>
                <w:rFonts w:cs="Times New Roman"/>
                <w:sz w:val="22"/>
              </w:rPr>
              <w:t>0</w:t>
            </w:r>
            <w:r w:rsidR="00545E40" w:rsidRPr="00432926">
              <w:rPr>
                <w:rFonts w:cs="Times New Roman"/>
                <w:sz w:val="22"/>
              </w:rPr>
              <w:t>1</w:t>
            </w:r>
          </w:p>
        </w:tc>
      </w:tr>
      <w:tr w:rsidR="00545E40" w:rsidRPr="00432926" w14:paraId="15FB086D" w14:textId="77777777" w:rsidTr="00622D46">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0" w:type="auto"/>
          </w:tcPr>
          <w:p w14:paraId="22308EDF" w14:textId="50861122" w:rsidR="00545E40" w:rsidRPr="00432926" w:rsidRDefault="007A4030" w:rsidP="00FB62C4">
            <w:pPr>
              <w:rPr>
                <w:rFonts w:cs="Times New Roman"/>
                <w:b w:val="0"/>
                <w:sz w:val="22"/>
              </w:rPr>
            </w:pPr>
            <w:r w:rsidRPr="00432926">
              <w:rPr>
                <w:rFonts w:cs="Times New Roman"/>
                <w:b w:val="0"/>
                <w:sz w:val="22"/>
              </w:rPr>
              <w:t>BMI</w:t>
            </w:r>
            <w:r w:rsidR="00132929" w:rsidRPr="00432926">
              <w:rPr>
                <w:rFonts w:cs="Times New Roman"/>
                <w:b w:val="0"/>
                <w:sz w:val="22"/>
              </w:rPr>
              <w:t>, median (IQR)</w:t>
            </w:r>
          </w:p>
        </w:tc>
        <w:tc>
          <w:tcPr>
            <w:tcW w:w="0" w:type="auto"/>
            <w:vAlign w:val="center"/>
          </w:tcPr>
          <w:p w14:paraId="3BE5B457" w14:textId="397C46F6" w:rsidR="00545E40" w:rsidRPr="00432926" w:rsidRDefault="005F5D4A"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27.4 (24.2-31.1</w:t>
            </w:r>
            <w:r w:rsidR="00545E40" w:rsidRPr="00432926">
              <w:rPr>
                <w:rFonts w:cs="Times New Roman"/>
                <w:sz w:val="22"/>
              </w:rPr>
              <w:t>)</w:t>
            </w:r>
          </w:p>
        </w:tc>
        <w:tc>
          <w:tcPr>
            <w:tcW w:w="0" w:type="auto"/>
            <w:vAlign w:val="center"/>
          </w:tcPr>
          <w:p w14:paraId="76443156" w14:textId="694B57F1" w:rsidR="00545E40" w:rsidRPr="00432926" w:rsidRDefault="005F5D4A"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26.7 (24.0-30.0</w:t>
            </w:r>
            <w:r w:rsidR="00545E40" w:rsidRPr="00432926">
              <w:rPr>
                <w:rFonts w:cs="Times New Roman"/>
                <w:sz w:val="22"/>
              </w:rPr>
              <w:t>)</w:t>
            </w:r>
          </w:p>
        </w:tc>
        <w:tc>
          <w:tcPr>
            <w:tcW w:w="0" w:type="auto"/>
            <w:vAlign w:val="center"/>
          </w:tcPr>
          <w:p w14:paraId="3125B83D" w14:textId="16D4C448" w:rsidR="00545E40" w:rsidRPr="00432926" w:rsidRDefault="00FD364D"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&lt;0.</w:t>
            </w:r>
            <w:r w:rsidR="00545E40" w:rsidRPr="00432926">
              <w:rPr>
                <w:rFonts w:cs="Times New Roman"/>
                <w:sz w:val="22"/>
              </w:rPr>
              <w:t>0</w:t>
            </w:r>
            <w:r w:rsidR="00F237DB" w:rsidRPr="00432926">
              <w:rPr>
                <w:rFonts w:cs="Times New Roman"/>
                <w:sz w:val="22"/>
              </w:rPr>
              <w:t>0</w:t>
            </w:r>
            <w:r w:rsidR="00545E40" w:rsidRPr="00432926">
              <w:rPr>
                <w:rFonts w:cs="Times New Roman"/>
                <w:sz w:val="22"/>
              </w:rPr>
              <w:t>1</w:t>
            </w:r>
          </w:p>
        </w:tc>
        <w:tc>
          <w:tcPr>
            <w:tcW w:w="1641" w:type="dxa"/>
            <w:vAlign w:val="center"/>
          </w:tcPr>
          <w:p w14:paraId="0F19C9B7" w14:textId="742504DC" w:rsidR="00545E40" w:rsidRPr="00432926" w:rsidRDefault="00622D46"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27.6 (24.4-31.3</w:t>
            </w:r>
            <w:r w:rsidR="00545E40" w:rsidRPr="00432926">
              <w:rPr>
                <w:rFonts w:cs="Times New Roman"/>
                <w:sz w:val="22"/>
              </w:rPr>
              <w:t>)</w:t>
            </w:r>
          </w:p>
        </w:tc>
        <w:tc>
          <w:tcPr>
            <w:tcW w:w="1651" w:type="dxa"/>
            <w:vAlign w:val="center"/>
          </w:tcPr>
          <w:p w14:paraId="6B5C24E1" w14:textId="379CD5E9" w:rsidR="00545E40" w:rsidRPr="00432926" w:rsidRDefault="00622D46"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26.9 (24.1-30.0</w:t>
            </w:r>
            <w:r w:rsidR="00545E40" w:rsidRPr="00432926">
              <w:rPr>
                <w:rFonts w:cs="Times New Roman"/>
                <w:sz w:val="22"/>
              </w:rPr>
              <w:t>)</w:t>
            </w:r>
          </w:p>
        </w:tc>
        <w:tc>
          <w:tcPr>
            <w:tcW w:w="0" w:type="auto"/>
            <w:vAlign w:val="center"/>
          </w:tcPr>
          <w:p w14:paraId="48FFBCCE" w14:textId="283D5180" w:rsidR="00545E40" w:rsidRPr="00432926" w:rsidRDefault="00FD364D"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&lt;0.</w:t>
            </w:r>
            <w:r w:rsidR="001A66D1" w:rsidRPr="00432926">
              <w:rPr>
                <w:rFonts w:cs="Times New Roman"/>
                <w:sz w:val="22"/>
              </w:rPr>
              <w:t>0</w:t>
            </w:r>
            <w:r w:rsidRPr="00432926">
              <w:rPr>
                <w:rFonts w:cs="Times New Roman"/>
                <w:sz w:val="22"/>
              </w:rPr>
              <w:t>0</w:t>
            </w:r>
            <w:r w:rsidR="00545E40" w:rsidRPr="00432926">
              <w:rPr>
                <w:rFonts w:cs="Times New Roman"/>
                <w:sz w:val="22"/>
              </w:rPr>
              <w:t>1</w:t>
            </w:r>
          </w:p>
        </w:tc>
      </w:tr>
      <w:tr w:rsidR="00545E40" w:rsidRPr="00432926" w14:paraId="6728AB88" w14:textId="77777777" w:rsidTr="00622D46">
        <w:trPr>
          <w:trHeight w:val="263"/>
        </w:trPr>
        <w:tc>
          <w:tcPr>
            <w:cnfStyle w:val="001000000000" w:firstRow="0" w:lastRow="0" w:firstColumn="1" w:lastColumn="0" w:oddVBand="0" w:evenVBand="0" w:oddHBand="0" w:evenHBand="0" w:firstRowFirstColumn="0" w:firstRowLastColumn="0" w:lastRowFirstColumn="0" w:lastRowLastColumn="0"/>
            <w:tcW w:w="0" w:type="auto"/>
          </w:tcPr>
          <w:p w14:paraId="5A7EEC0D" w14:textId="77777777" w:rsidR="00545E40" w:rsidRPr="00432926" w:rsidRDefault="00545E40" w:rsidP="00FB62C4">
            <w:pPr>
              <w:rPr>
                <w:rFonts w:cs="Times New Roman"/>
                <w:sz w:val="22"/>
              </w:rPr>
            </w:pPr>
            <w:r w:rsidRPr="00432926">
              <w:rPr>
                <w:rFonts w:cs="Times New Roman"/>
                <w:sz w:val="22"/>
              </w:rPr>
              <w:t>Presenting Characteristics</w:t>
            </w:r>
          </w:p>
        </w:tc>
        <w:tc>
          <w:tcPr>
            <w:tcW w:w="0" w:type="auto"/>
            <w:vAlign w:val="center"/>
          </w:tcPr>
          <w:p w14:paraId="5232A03D"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b/>
                <w:sz w:val="22"/>
              </w:rPr>
            </w:pPr>
          </w:p>
        </w:tc>
        <w:tc>
          <w:tcPr>
            <w:tcW w:w="0" w:type="auto"/>
            <w:vAlign w:val="center"/>
          </w:tcPr>
          <w:p w14:paraId="7B3A251D"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b/>
                <w:sz w:val="22"/>
              </w:rPr>
            </w:pPr>
          </w:p>
        </w:tc>
        <w:tc>
          <w:tcPr>
            <w:tcW w:w="0" w:type="auto"/>
            <w:vAlign w:val="center"/>
          </w:tcPr>
          <w:p w14:paraId="00AECB64"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b/>
                <w:sz w:val="22"/>
              </w:rPr>
            </w:pPr>
          </w:p>
        </w:tc>
        <w:tc>
          <w:tcPr>
            <w:tcW w:w="1641" w:type="dxa"/>
            <w:vAlign w:val="center"/>
          </w:tcPr>
          <w:p w14:paraId="4CBD6690"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b/>
                <w:sz w:val="22"/>
              </w:rPr>
            </w:pPr>
          </w:p>
        </w:tc>
        <w:tc>
          <w:tcPr>
            <w:tcW w:w="1651" w:type="dxa"/>
            <w:vAlign w:val="center"/>
          </w:tcPr>
          <w:p w14:paraId="191474BD"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b/>
                <w:sz w:val="22"/>
              </w:rPr>
            </w:pPr>
          </w:p>
        </w:tc>
        <w:tc>
          <w:tcPr>
            <w:tcW w:w="0" w:type="auto"/>
            <w:vAlign w:val="center"/>
          </w:tcPr>
          <w:p w14:paraId="40CF2E1B"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b/>
                <w:sz w:val="22"/>
              </w:rPr>
            </w:pPr>
          </w:p>
        </w:tc>
      </w:tr>
      <w:tr w:rsidR="00545E40" w:rsidRPr="00432926" w14:paraId="6E28F3FC" w14:textId="77777777" w:rsidTr="00622D46">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0" w:type="auto"/>
          </w:tcPr>
          <w:p w14:paraId="1E496590" w14:textId="1D6F1908" w:rsidR="00545E40" w:rsidRPr="00432926" w:rsidRDefault="00132929" w:rsidP="00FB62C4">
            <w:pPr>
              <w:rPr>
                <w:rFonts w:cs="Times New Roman"/>
                <w:b w:val="0"/>
                <w:sz w:val="22"/>
              </w:rPr>
            </w:pPr>
            <w:r w:rsidRPr="00432926">
              <w:rPr>
                <w:rFonts w:cs="Times New Roman"/>
                <w:b w:val="0"/>
                <w:sz w:val="22"/>
              </w:rPr>
              <w:t>Heart rate, bpm, median (IQR)</w:t>
            </w:r>
          </w:p>
        </w:tc>
        <w:tc>
          <w:tcPr>
            <w:tcW w:w="0" w:type="auto"/>
            <w:vAlign w:val="center"/>
          </w:tcPr>
          <w:p w14:paraId="00CA0109" w14:textId="5BB53D43" w:rsidR="00545E40" w:rsidRPr="00432926" w:rsidRDefault="005F5D4A"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77 (66-90</w:t>
            </w:r>
            <w:r w:rsidR="00545E40" w:rsidRPr="00432926">
              <w:rPr>
                <w:rFonts w:cs="Times New Roman"/>
                <w:sz w:val="22"/>
              </w:rPr>
              <w:t>)</w:t>
            </w:r>
          </w:p>
        </w:tc>
        <w:tc>
          <w:tcPr>
            <w:tcW w:w="0" w:type="auto"/>
            <w:vAlign w:val="center"/>
          </w:tcPr>
          <w:p w14:paraId="609660D4" w14:textId="1D1D6513" w:rsidR="00545E40" w:rsidRPr="00432926" w:rsidRDefault="005F5D4A"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77 (66-90</w:t>
            </w:r>
            <w:r w:rsidR="00545E40" w:rsidRPr="00432926">
              <w:rPr>
                <w:rFonts w:cs="Times New Roman"/>
                <w:sz w:val="22"/>
              </w:rPr>
              <w:t>)</w:t>
            </w:r>
          </w:p>
        </w:tc>
        <w:tc>
          <w:tcPr>
            <w:tcW w:w="0" w:type="auto"/>
            <w:vAlign w:val="center"/>
          </w:tcPr>
          <w:p w14:paraId="040D8574" w14:textId="7B7ABC1E"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0.84</w:t>
            </w:r>
            <w:r w:rsidR="00F237DB" w:rsidRPr="00432926">
              <w:rPr>
                <w:rFonts w:cs="Times New Roman"/>
                <w:sz w:val="22"/>
              </w:rPr>
              <w:t>1</w:t>
            </w:r>
          </w:p>
        </w:tc>
        <w:tc>
          <w:tcPr>
            <w:tcW w:w="1641" w:type="dxa"/>
            <w:vAlign w:val="center"/>
          </w:tcPr>
          <w:p w14:paraId="15C56951" w14:textId="60A2E41D" w:rsidR="00545E40" w:rsidRPr="00432926" w:rsidRDefault="005F5D4A"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77 (66-90</w:t>
            </w:r>
            <w:r w:rsidR="00545E40" w:rsidRPr="00432926">
              <w:rPr>
                <w:rFonts w:cs="Times New Roman"/>
                <w:sz w:val="22"/>
              </w:rPr>
              <w:t>)</w:t>
            </w:r>
          </w:p>
        </w:tc>
        <w:tc>
          <w:tcPr>
            <w:tcW w:w="1651" w:type="dxa"/>
            <w:vAlign w:val="center"/>
          </w:tcPr>
          <w:p w14:paraId="5166086A" w14:textId="34D88E17" w:rsidR="00545E40" w:rsidRPr="00432926" w:rsidRDefault="005F5D4A"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79 (67-91</w:t>
            </w:r>
            <w:r w:rsidR="00545E40" w:rsidRPr="00432926">
              <w:rPr>
                <w:rFonts w:cs="Times New Roman"/>
                <w:sz w:val="22"/>
              </w:rPr>
              <w:t>)</w:t>
            </w:r>
          </w:p>
        </w:tc>
        <w:tc>
          <w:tcPr>
            <w:tcW w:w="0" w:type="auto"/>
            <w:vAlign w:val="center"/>
          </w:tcPr>
          <w:p w14:paraId="525DA8FE" w14:textId="536C5891" w:rsidR="00545E40" w:rsidRPr="00432926" w:rsidRDefault="00FD364D"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0.07</w:t>
            </w:r>
            <w:r w:rsidR="001A66D1" w:rsidRPr="00432926">
              <w:rPr>
                <w:rFonts w:cs="Times New Roman"/>
                <w:sz w:val="22"/>
              </w:rPr>
              <w:t>0</w:t>
            </w:r>
          </w:p>
        </w:tc>
      </w:tr>
      <w:tr w:rsidR="00545E40" w:rsidRPr="00432926" w14:paraId="4D5291A2" w14:textId="77777777" w:rsidTr="00622D46">
        <w:trPr>
          <w:trHeight w:val="277"/>
        </w:trPr>
        <w:tc>
          <w:tcPr>
            <w:cnfStyle w:val="001000000000" w:firstRow="0" w:lastRow="0" w:firstColumn="1" w:lastColumn="0" w:oddVBand="0" w:evenVBand="0" w:oddHBand="0" w:evenHBand="0" w:firstRowFirstColumn="0" w:firstRowLastColumn="0" w:lastRowFirstColumn="0" w:lastRowLastColumn="0"/>
            <w:tcW w:w="0" w:type="auto"/>
          </w:tcPr>
          <w:p w14:paraId="3424F0FA" w14:textId="78E45440" w:rsidR="00545E40" w:rsidRPr="00432926" w:rsidRDefault="00545E40" w:rsidP="00FB62C4">
            <w:pPr>
              <w:rPr>
                <w:rFonts w:cs="Times New Roman"/>
                <w:b w:val="0"/>
                <w:sz w:val="22"/>
              </w:rPr>
            </w:pPr>
            <w:r w:rsidRPr="00432926">
              <w:rPr>
                <w:rFonts w:cs="Times New Roman"/>
                <w:b w:val="0"/>
                <w:sz w:val="22"/>
              </w:rPr>
              <w:t>S</w:t>
            </w:r>
            <w:r w:rsidR="00132929" w:rsidRPr="00432926">
              <w:rPr>
                <w:rFonts w:cs="Times New Roman"/>
                <w:b w:val="0"/>
                <w:sz w:val="22"/>
              </w:rPr>
              <w:t>ystolic blood pressure, median (IQR)</w:t>
            </w:r>
          </w:p>
        </w:tc>
        <w:tc>
          <w:tcPr>
            <w:tcW w:w="0" w:type="auto"/>
            <w:vAlign w:val="center"/>
          </w:tcPr>
          <w:p w14:paraId="083D65FD" w14:textId="5F6B04DD" w:rsidR="00545E40" w:rsidRPr="00432926" w:rsidRDefault="005F5D4A"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137 (119-156</w:t>
            </w:r>
            <w:r w:rsidR="00545E40" w:rsidRPr="00432926">
              <w:rPr>
                <w:rFonts w:cs="Times New Roman"/>
                <w:sz w:val="22"/>
              </w:rPr>
              <w:t>)</w:t>
            </w:r>
          </w:p>
        </w:tc>
        <w:tc>
          <w:tcPr>
            <w:tcW w:w="0" w:type="auto"/>
            <w:vAlign w:val="center"/>
          </w:tcPr>
          <w:p w14:paraId="367E531B" w14:textId="57AEAFF7" w:rsidR="00545E40" w:rsidRPr="00432926" w:rsidRDefault="005F5D4A"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136 (119-155</w:t>
            </w:r>
            <w:r w:rsidR="00545E40" w:rsidRPr="00432926">
              <w:rPr>
                <w:rFonts w:cs="Times New Roman"/>
                <w:sz w:val="22"/>
              </w:rPr>
              <w:t>)</w:t>
            </w:r>
          </w:p>
        </w:tc>
        <w:tc>
          <w:tcPr>
            <w:tcW w:w="0" w:type="auto"/>
            <w:vAlign w:val="center"/>
          </w:tcPr>
          <w:p w14:paraId="2747157E" w14:textId="2E8FD36B"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0.04</w:t>
            </w:r>
            <w:r w:rsidR="00F237DB" w:rsidRPr="00432926">
              <w:rPr>
                <w:rFonts w:cs="Times New Roman"/>
                <w:sz w:val="22"/>
              </w:rPr>
              <w:t>7</w:t>
            </w:r>
          </w:p>
        </w:tc>
        <w:tc>
          <w:tcPr>
            <w:tcW w:w="1641" w:type="dxa"/>
            <w:vAlign w:val="center"/>
          </w:tcPr>
          <w:p w14:paraId="6D103EB7" w14:textId="0867AE13" w:rsidR="00545E40" w:rsidRPr="00432926" w:rsidRDefault="005F5D4A"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140 (121-159</w:t>
            </w:r>
            <w:r w:rsidR="00545E40" w:rsidRPr="00432926">
              <w:rPr>
                <w:rFonts w:cs="Times New Roman"/>
                <w:sz w:val="22"/>
              </w:rPr>
              <w:t>)</w:t>
            </w:r>
          </w:p>
        </w:tc>
        <w:tc>
          <w:tcPr>
            <w:tcW w:w="1651" w:type="dxa"/>
            <w:vAlign w:val="center"/>
          </w:tcPr>
          <w:p w14:paraId="2342D84F" w14:textId="4268DF42" w:rsidR="00545E40" w:rsidRPr="00432926" w:rsidRDefault="005F5D4A"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137 (120-157</w:t>
            </w:r>
            <w:r w:rsidR="00545E40" w:rsidRPr="00432926">
              <w:rPr>
                <w:rFonts w:cs="Times New Roman"/>
                <w:sz w:val="22"/>
              </w:rPr>
              <w:t>)</w:t>
            </w:r>
          </w:p>
        </w:tc>
        <w:tc>
          <w:tcPr>
            <w:tcW w:w="0" w:type="auto"/>
            <w:vAlign w:val="center"/>
          </w:tcPr>
          <w:p w14:paraId="567122D8" w14:textId="2F0FD42B" w:rsidR="00545E40" w:rsidRPr="00432926" w:rsidRDefault="001A66D1"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0.008</w:t>
            </w:r>
          </w:p>
        </w:tc>
      </w:tr>
      <w:tr w:rsidR="00545E40" w:rsidRPr="00432926" w14:paraId="4D9E5C00" w14:textId="77777777" w:rsidTr="00622D46">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0" w:type="auto"/>
          </w:tcPr>
          <w:p w14:paraId="73A9D388" w14:textId="77777777" w:rsidR="00545E40" w:rsidRPr="00432926" w:rsidRDefault="00545E40" w:rsidP="00FB62C4">
            <w:pPr>
              <w:rPr>
                <w:rFonts w:cs="Times New Roman"/>
                <w:b w:val="0"/>
                <w:sz w:val="22"/>
              </w:rPr>
            </w:pPr>
            <w:r w:rsidRPr="00432926">
              <w:rPr>
                <w:rFonts w:cs="Times New Roman"/>
                <w:b w:val="0"/>
                <w:sz w:val="22"/>
              </w:rPr>
              <w:t xml:space="preserve">Cardiac arrest </w:t>
            </w:r>
          </w:p>
        </w:tc>
        <w:tc>
          <w:tcPr>
            <w:tcW w:w="0" w:type="auto"/>
            <w:vAlign w:val="center"/>
          </w:tcPr>
          <w:p w14:paraId="552506E2"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3918 (7.1%)</w:t>
            </w:r>
          </w:p>
        </w:tc>
        <w:tc>
          <w:tcPr>
            <w:tcW w:w="0" w:type="auto"/>
            <w:vAlign w:val="center"/>
          </w:tcPr>
          <w:p w14:paraId="0885FD52"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375 (6.1%)</w:t>
            </w:r>
          </w:p>
        </w:tc>
        <w:tc>
          <w:tcPr>
            <w:tcW w:w="0" w:type="auto"/>
            <w:vAlign w:val="center"/>
          </w:tcPr>
          <w:p w14:paraId="1753F7E0" w14:textId="10341036" w:rsidR="00545E40" w:rsidRPr="00432926" w:rsidRDefault="00F237DB"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0.003</w:t>
            </w:r>
          </w:p>
        </w:tc>
        <w:tc>
          <w:tcPr>
            <w:tcW w:w="1641" w:type="dxa"/>
            <w:vAlign w:val="center"/>
          </w:tcPr>
          <w:p w14:paraId="0B5911FD"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537 (6.2%)</w:t>
            </w:r>
          </w:p>
        </w:tc>
        <w:tc>
          <w:tcPr>
            <w:tcW w:w="1651" w:type="dxa"/>
            <w:vAlign w:val="center"/>
          </w:tcPr>
          <w:p w14:paraId="7313C091"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129 (7.6%)</w:t>
            </w:r>
          </w:p>
        </w:tc>
        <w:tc>
          <w:tcPr>
            <w:tcW w:w="0" w:type="auto"/>
            <w:vAlign w:val="center"/>
          </w:tcPr>
          <w:p w14:paraId="57CF7A94" w14:textId="0D4B4712"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0.04</w:t>
            </w:r>
            <w:r w:rsidR="001A66D1" w:rsidRPr="00432926">
              <w:rPr>
                <w:rFonts w:cs="Times New Roman"/>
                <w:sz w:val="22"/>
              </w:rPr>
              <w:t>1</w:t>
            </w:r>
          </w:p>
        </w:tc>
      </w:tr>
      <w:tr w:rsidR="00545E40" w:rsidRPr="00432926" w14:paraId="51BBA06F" w14:textId="77777777" w:rsidTr="00622D46">
        <w:trPr>
          <w:trHeight w:val="263"/>
        </w:trPr>
        <w:tc>
          <w:tcPr>
            <w:cnfStyle w:val="001000000000" w:firstRow="0" w:lastRow="0" w:firstColumn="1" w:lastColumn="0" w:oddVBand="0" w:evenVBand="0" w:oddHBand="0" w:evenHBand="0" w:firstRowFirstColumn="0" w:firstRowLastColumn="0" w:lastRowFirstColumn="0" w:lastRowLastColumn="0"/>
            <w:tcW w:w="0" w:type="auto"/>
          </w:tcPr>
          <w:p w14:paraId="4F3C5CD7" w14:textId="77777777" w:rsidR="00545E40" w:rsidRPr="00432926" w:rsidRDefault="00545E40" w:rsidP="00FB62C4">
            <w:pPr>
              <w:rPr>
                <w:rFonts w:cs="Times New Roman"/>
                <w:b w:val="0"/>
                <w:sz w:val="22"/>
              </w:rPr>
            </w:pPr>
            <w:r w:rsidRPr="00432926">
              <w:rPr>
                <w:rFonts w:cs="Times New Roman"/>
                <w:b w:val="0"/>
                <w:sz w:val="22"/>
              </w:rPr>
              <w:t>Clinical syndrome</w:t>
            </w:r>
          </w:p>
        </w:tc>
        <w:tc>
          <w:tcPr>
            <w:tcW w:w="0" w:type="auto"/>
            <w:vAlign w:val="center"/>
          </w:tcPr>
          <w:p w14:paraId="59C29313"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p>
        </w:tc>
        <w:tc>
          <w:tcPr>
            <w:tcW w:w="0" w:type="auto"/>
            <w:vAlign w:val="center"/>
          </w:tcPr>
          <w:p w14:paraId="18911A1E"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p>
        </w:tc>
        <w:tc>
          <w:tcPr>
            <w:tcW w:w="0" w:type="auto"/>
            <w:vAlign w:val="center"/>
          </w:tcPr>
          <w:p w14:paraId="11A3BF0D" w14:textId="385EA6EF" w:rsidR="00545E40" w:rsidRPr="00432926" w:rsidRDefault="00FD364D"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&lt;0.0</w:t>
            </w:r>
            <w:r w:rsidR="00F237DB" w:rsidRPr="00432926">
              <w:rPr>
                <w:rFonts w:cs="Times New Roman"/>
                <w:sz w:val="22"/>
              </w:rPr>
              <w:t>0</w:t>
            </w:r>
            <w:r w:rsidR="00545E40" w:rsidRPr="00432926">
              <w:rPr>
                <w:rFonts w:cs="Times New Roman"/>
                <w:sz w:val="22"/>
              </w:rPr>
              <w:t>1</w:t>
            </w:r>
          </w:p>
        </w:tc>
        <w:tc>
          <w:tcPr>
            <w:tcW w:w="1641" w:type="dxa"/>
            <w:vAlign w:val="center"/>
          </w:tcPr>
          <w:p w14:paraId="51E51A82"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p>
        </w:tc>
        <w:tc>
          <w:tcPr>
            <w:tcW w:w="1651" w:type="dxa"/>
            <w:vAlign w:val="center"/>
          </w:tcPr>
          <w:p w14:paraId="5D36BD53"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p>
        </w:tc>
        <w:tc>
          <w:tcPr>
            <w:tcW w:w="0" w:type="auto"/>
            <w:vAlign w:val="center"/>
          </w:tcPr>
          <w:p w14:paraId="1809F9AA" w14:textId="35E34E42"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0.01</w:t>
            </w:r>
            <w:r w:rsidR="00702726" w:rsidRPr="00432926">
              <w:rPr>
                <w:rFonts w:cs="Times New Roman"/>
                <w:sz w:val="22"/>
              </w:rPr>
              <w:t>2</w:t>
            </w:r>
          </w:p>
        </w:tc>
      </w:tr>
      <w:tr w:rsidR="00545E40" w:rsidRPr="00432926" w14:paraId="0814E104" w14:textId="77777777" w:rsidTr="00622D46">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0" w:type="auto"/>
          </w:tcPr>
          <w:p w14:paraId="2606AC93" w14:textId="77777777" w:rsidR="00545E40" w:rsidRPr="00432926" w:rsidRDefault="00545E40" w:rsidP="00FB62C4">
            <w:pPr>
              <w:rPr>
                <w:rFonts w:cs="Times New Roman"/>
                <w:b w:val="0"/>
                <w:sz w:val="22"/>
              </w:rPr>
            </w:pPr>
            <w:r w:rsidRPr="00432926">
              <w:rPr>
                <w:rFonts w:cs="Times New Roman"/>
                <w:b w:val="0"/>
                <w:sz w:val="22"/>
              </w:rPr>
              <w:t>STEMI</w:t>
            </w:r>
          </w:p>
        </w:tc>
        <w:tc>
          <w:tcPr>
            <w:tcW w:w="0" w:type="auto"/>
            <w:vAlign w:val="center"/>
          </w:tcPr>
          <w:p w14:paraId="69174C9B"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18413 (35.1%)</w:t>
            </w:r>
          </w:p>
        </w:tc>
        <w:tc>
          <w:tcPr>
            <w:tcW w:w="0" w:type="auto"/>
            <w:vAlign w:val="center"/>
          </w:tcPr>
          <w:p w14:paraId="3DE2C1E8"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1673 (30.2%)</w:t>
            </w:r>
          </w:p>
        </w:tc>
        <w:tc>
          <w:tcPr>
            <w:tcW w:w="0" w:type="auto"/>
            <w:vAlign w:val="center"/>
          </w:tcPr>
          <w:p w14:paraId="3F35B4D4"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p>
        </w:tc>
        <w:tc>
          <w:tcPr>
            <w:tcW w:w="1641" w:type="dxa"/>
            <w:vAlign w:val="center"/>
          </w:tcPr>
          <w:p w14:paraId="0A66F0CD"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2790 (34.6%)</w:t>
            </w:r>
          </w:p>
        </w:tc>
        <w:tc>
          <w:tcPr>
            <w:tcW w:w="1651" w:type="dxa"/>
            <w:vAlign w:val="center"/>
          </w:tcPr>
          <w:p w14:paraId="2A309C66"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608 (37.9%)</w:t>
            </w:r>
          </w:p>
        </w:tc>
        <w:tc>
          <w:tcPr>
            <w:tcW w:w="0" w:type="auto"/>
            <w:vAlign w:val="center"/>
          </w:tcPr>
          <w:p w14:paraId="25ECCA2D"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p>
        </w:tc>
      </w:tr>
      <w:tr w:rsidR="00545E40" w:rsidRPr="00432926" w14:paraId="0719E06A" w14:textId="77777777" w:rsidTr="00622D46">
        <w:trPr>
          <w:trHeight w:val="263"/>
        </w:trPr>
        <w:tc>
          <w:tcPr>
            <w:cnfStyle w:val="001000000000" w:firstRow="0" w:lastRow="0" w:firstColumn="1" w:lastColumn="0" w:oddVBand="0" w:evenVBand="0" w:oddHBand="0" w:evenHBand="0" w:firstRowFirstColumn="0" w:firstRowLastColumn="0" w:lastRowFirstColumn="0" w:lastRowLastColumn="0"/>
            <w:tcW w:w="0" w:type="auto"/>
          </w:tcPr>
          <w:p w14:paraId="24090091" w14:textId="77777777" w:rsidR="00545E40" w:rsidRPr="00432926" w:rsidRDefault="00545E40" w:rsidP="00FB62C4">
            <w:pPr>
              <w:rPr>
                <w:rFonts w:cs="Times New Roman"/>
                <w:b w:val="0"/>
                <w:sz w:val="22"/>
              </w:rPr>
            </w:pPr>
            <w:r w:rsidRPr="00432926">
              <w:rPr>
                <w:rFonts w:cs="Times New Roman"/>
                <w:b w:val="0"/>
                <w:sz w:val="22"/>
              </w:rPr>
              <w:t>NSTEMI</w:t>
            </w:r>
          </w:p>
        </w:tc>
        <w:tc>
          <w:tcPr>
            <w:tcW w:w="0" w:type="auto"/>
            <w:vAlign w:val="center"/>
          </w:tcPr>
          <w:p w14:paraId="0867714D"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34099 (64.9%)</w:t>
            </w:r>
          </w:p>
        </w:tc>
        <w:tc>
          <w:tcPr>
            <w:tcW w:w="0" w:type="auto"/>
            <w:vAlign w:val="center"/>
          </w:tcPr>
          <w:p w14:paraId="03725A6A"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3869 (69.8%)</w:t>
            </w:r>
          </w:p>
        </w:tc>
        <w:tc>
          <w:tcPr>
            <w:tcW w:w="0" w:type="auto"/>
            <w:vAlign w:val="center"/>
          </w:tcPr>
          <w:p w14:paraId="550333E7"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p>
        </w:tc>
        <w:tc>
          <w:tcPr>
            <w:tcW w:w="1641" w:type="dxa"/>
            <w:vAlign w:val="center"/>
          </w:tcPr>
          <w:p w14:paraId="76EB02E0"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5264 (65.4%)</w:t>
            </w:r>
          </w:p>
        </w:tc>
        <w:tc>
          <w:tcPr>
            <w:tcW w:w="1651" w:type="dxa"/>
            <w:vAlign w:val="center"/>
          </w:tcPr>
          <w:p w14:paraId="30DA4309"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996 (62.1%)</w:t>
            </w:r>
          </w:p>
        </w:tc>
        <w:tc>
          <w:tcPr>
            <w:tcW w:w="0" w:type="auto"/>
            <w:vAlign w:val="center"/>
          </w:tcPr>
          <w:p w14:paraId="404A8D41"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p>
        </w:tc>
      </w:tr>
      <w:tr w:rsidR="00545E40" w:rsidRPr="00432926" w14:paraId="47D8F27F" w14:textId="77777777" w:rsidTr="00622D46">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0" w:type="auto"/>
          </w:tcPr>
          <w:p w14:paraId="06C30845" w14:textId="4686415F" w:rsidR="00545E40" w:rsidRPr="00432926" w:rsidRDefault="00132929" w:rsidP="00FB62C4">
            <w:pPr>
              <w:rPr>
                <w:rFonts w:cs="Times New Roman"/>
                <w:b w:val="0"/>
                <w:sz w:val="22"/>
              </w:rPr>
            </w:pPr>
            <w:r w:rsidRPr="00432926">
              <w:rPr>
                <w:rFonts w:cs="Times New Roman"/>
                <w:b w:val="0"/>
                <w:sz w:val="22"/>
              </w:rPr>
              <w:t>Creatinine umol/L, median (IQR)</w:t>
            </w:r>
          </w:p>
        </w:tc>
        <w:tc>
          <w:tcPr>
            <w:tcW w:w="0" w:type="auto"/>
            <w:vAlign w:val="center"/>
          </w:tcPr>
          <w:p w14:paraId="0320F6AB" w14:textId="3265058D" w:rsidR="00545E40" w:rsidRPr="00432926" w:rsidRDefault="005F5D4A"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84 (71-104</w:t>
            </w:r>
            <w:r w:rsidR="00545E40" w:rsidRPr="00432926">
              <w:rPr>
                <w:rFonts w:cs="Times New Roman"/>
                <w:sz w:val="22"/>
              </w:rPr>
              <w:t>)</w:t>
            </w:r>
          </w:p>
        </w:tc>
        <w:tc>
          <w:tcPr>
            <w:tcW w:w="0" w:type="auto"/>
            <w:vAlign w:val="center"/>
          </w:tcPr>
          <w:p w14:paraId="22A3A90F" w14:textId="14DDA2C2" w:rsidR="00545E40" w:rsidRPr="00432926" w:rsidRDefault="005F5D4A"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88 (73-113</w:t>
            </w:r>
            <w:r w:rsidR="00545E40" w:rsidRPr="00432926">
              <w:rPr>
                <w:rFonts w:cs="Times New Roman"/>
                <w:sz w:val="22"/>
              </w:rPr>
              <w:t>)</w:t>
            </w:r>
          </w:p>
        </w:tc>
        <w:tc>
          <w:tcPr>
            <w:tcW w:w="0" w:type="auto"/>
            <w:vAlign w:val="center"/>
          </w:tcPr>
          <w:p w14:paraId="7B995AFF" w14:textId="2236E4F6" w:rsidR="00545E40" w:rsidRPr="00432926" w:rsidRDefault="00FD364D"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&lt;0.0</w:t>
            </w:r>
            <w:r w:rsidR="00F237DB" w:rsidRPr="00432926">
              <w:rPr>
                <w:rFonts w:cs="Times New Roman"/>
                <w:sz w:val="22"/>
              </w:rPr>
              <w:t>0</w:t>
            </w:r>
            <w:r w:rsidR="00545E40" w:rsidRPr="00432926">
              <w:rPr>
                <w:rFonts w:cs="Times New Roman"/>
                <w:sz w:val="22"/>
              </w:rPr>
              <w:t>1</w:t>
            </w:r>
          </w:p>
        </w:tc>
        <w:tc>
          <w:tcPr>
            <w:tcW w:w="1641" w:type="dxa"/>
            <w:vAlign w:val="center"/>
          </w:tcPr>
          <w:p w14:paraId="4544E278" w14:textId="51999362" w:rsidR="00545E40" w:rsidRPr="00432926" w:rsidRDefault="005F5D4A"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83 (70-101</w:t>
            </w:r>
            <w:r w:rsidR="00545E40" w:rsidRPr="00432926">
              <w:rPr>
                <w:rFonts w:cs="Times New Roman"/>
                <w:sz w:val="22"/>
              </w:rPr>
              <w:t>)</w:t>
            </w:r>
          </w:p>
        </w:tc>
        <w:tc>
          <w:tcPr>
            <w:tcW w:w="1651" w:type="dxa"/>
            <w:vAlign w:val="center"/>
          </w:tcPr>
          <w:p w14:paraId="7EB0FCEB" w14:textId="1A599043" w:rsidR="00545E40" w:rsidRPr="00432926" w:rsidRDefault="005F5D4A"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85</w:t>
            </w:r>
            <w:r w:rsidR="00132929" w:rsidRPr="00432926">
              <w:rPr>
                <w:rFonts w:cs="Times New Roman"/>
                <w:sz w:val="22"/>
              </w:rPr>
              <w:t xml:space="preserve"> (71-105</w:t>
            </w:r>
            <w:r w:rsidR="00545E40" w:rsidRPr="00432926">
              <w:rPr>
                <w:rFonts w:cs="Times New Roman"/>
                <w:sz w:val="22"/>
              </w:rPr>
              <w:t>)</w:t>
            </w:r>
          </w:p>
        </w:tc>
        <w:tc>
          <w:tcPr>
            <w:tcW w:w="0" w:type="auto"/>
            <w:vAlign w:val="center"/>
          </w:tcPr>
          <w:p w14:paraId="66E3AFB7" w14:textId="6C3E0068" w:rsidR="00545E40" w:rsidRPr="00432926" w:rsidRDefault="00FD364D"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&lt;0.0</w:t>
            </w:r>
            <w:r w:rsidR="00702726" w:rsidRPr="00432926">
              <w:rPr>
                <w:rFonts w:cs="Times New Roman"/>
                <w:sz w:val="22"/>
              </w:rPr>
              <w:t>0</w:t>
            </w:r>
            <w:r w:rsidR="00545E40" w:rsidRPr="00432926">
              <w:rPr>
                <w:rFonts w:cs="Times New Roman"/>
                <w:sz w:val="22"/>
              </w:rPr>
              <w:t>1</w:t>
            </w:r>
          </w:p>
        </w:tc>
      </w:tr>
      <w:tr w:rsidR="00545E40" w:rsidRPr="00432926" w14:paraId="0D848D45" w14:textId="77777777" w:rsidTr="00622D46">
        <w:trPr>
          <w:trHeight w:val="333"/>
        </w:trPr>
        <w:tc>
          <w:tcPr>
            <w:cnfStyle w:val="001000000000" w:firstRow="0" w:lastRow="0" w:firstColumn="1" w:lastColumn="0" w:oddVBand="0" w:evenVBand="0" w:oddHBand="0" w:evenHBand="0" w:firstRowFirstColumn="0" w:firstRowLastColumn="0" w:lastRowFirstColumn="0" w:lastRowLastColumn="0"/>
            <w:tcW w:w="0" w:type="auto"/>
          </w:tcPr>
          <w:p w14:paraId="68DBC501" w14:textId="77777777" w:rsidR="00545E40" w:rsidRPr="00432926" w:rsidRDefault="00545E40" w:rsidP="00FB62C4">
            <w:pPr>
              <w:rPr>
                <w:rFonts w:cs="Times New Roman"/>
                <w:b w:val="0"/>
                <w:i/>
                <w:sz w:val="22"/>
              </w:rPr>
            </w:pPr>
            <w:r w:rsidRPr="00432926">
              <w:rPr>
                <w:rFonts w:cs="Times New Roman"/>
                <w:b w:val="0"/>
                <w:i/>
                <w:sz w:val="22"/>
              </w:rPr>
              <w:t>Killip Class</w:t>
            </w:r>
          </w:p>
        </w:tc>
        <w:tc>
          <w:tcPr>
            <w:tcW w:w="0" w:type="auto"/>
            <w:vAlign w:val="center"/>
          </w:tcPr>
          <w:p w14:paraId="5221B385"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b/>
                <w:sz w:val="22"/>
              </w:rPr>
            </w:pPr>
          </w:p>
        </w:tc>
        <w:tc>
          <w:tcPr>
            <w:tcW w:w="0" w:type="auto"/>
            <w:vAlign w:val="center"/>
          </w:tcPr>
          <w:p w14:paraId="71F0CE54"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b/>
                <w:sz w:val="22"/>
              </w:rPr>
            </w:pPr>
          </w:p>
        </w:tc>
        <w:tc>
          <w:tcPr>
            <w:tcW w:w="0" w:type="auto"/>
            <w:vAlign w:val="center"/>
          </w:tcPr>
          <w:p w14:paraId="3E2864A0" w14:textId="2EFA6572" w:rsidR="00545E40" w:rsidRPr="00432926" w:rsidRDefault="00FD364D"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&lt;0.0</w:t>
            </w:r>
            <w:r w:rsidR="00F237DB" w:rsidRPr="00432926">
              <w:rPr>
                <w:rFonts w:cs="Times New Roman"/>
                <w:sz w:val="22"/>
              </w:rPr>
              <w:t>0</w:t>
            </w:r>
            <w:r w:rsidR="00545E40" w:rsidRPr="00432926">
              <w:rPr>
                <w:rFonts w:cs="Times New Roman"/>
                <w:sz w:val="22"/>
              </w:rPr>
              <w:t>1</w:t>
            </w:r>
          </w:p>
        </w:tc>
        <w:tc>
          <w:tcPr>
            <w:tcW w:w="1641" w:type="dxa"/>
            <w:vAlign w:val="center"/>
          </w:tcPr>
          <w:p w14:paraId="2EA92E8F"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b/>
                <w:sz w:val="22"/>
              </w:rPr>
            </w:pPr>
          </w:p>
        </w:tc>
        <w:tc>
          <w:tcPr>
            <w:tcW w:w="1651" w:type="dxa"/>
            <w:vAlign w:val="center"/>
          </w:tcPr>
          <w:p w14:paraId="2B6BF506"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b/>
                <w:sz w:val="22"/>
              </w:rPr>
            </w:pPr>
          </w:p>
        </w:tc>
        <w:tc>
          <w:tcPr>
            <w:tcW w:w="0" w:type="auto"/>
            <w:vAlign w:val="center"/>
          </w:tcPr>
          <w:p w14:paraId="67A3AF2F" w14:textId="21A28C18" w:rsidR="00545E40" w:rsidRPr="00432926" w:rsidRDefault="00FD364D" w:rsidP="00FB62C4">
            <w:pPr>
              <w:jc w:val="center"/>
              <w:cnfStyle w:val="000000000000" w:firstRow="0" w:lastRow="0" w:firstColumn="0" w:lastColumn="0" w:oddVBand="0" w:evenVBand="0" w:oddHBand="0" w:evenHBand="0" w:firstRowFirstColumn="0" w:firstRowLastColumn="0" w:lastRowFirstColumn="0" w:lastRowLastColumn="0"/>
              <w:rPr>
                <w:rFonts w:cs="Times New Roman"/>
                <w:b/>
                <w:sz w:val="22"/>
              </w:rPr>
            </w:pPr>
            <w:r w:rsidRPr="00432926">
              <w:rPr>
                <w:rFonts w:cs="Times New Roman"/>
                <w:sz w:val="22"/>
              </w:rPr>
              <w:t>&lt;0.0</w:t>
            </w:r>
            <w:r w:rsidR="00702726" w:rsidRPr="00432926">
              <w:rPr>
                <w:rFonts w:cs="Times New Roman"/>
                <w:sz w:val="22"/>
              </w:rPr>
              <w:t>0</w:t>
            </w:r>
            <w:r w:rsidR="00545E40" w:rsidRPr="00432926">
              <w:rPr>
                <w:rFonts w:cs="Times New Roman"/>
                <w:sz w:val="22"/>
              </w:rPr>
              <w:t>1</w:t>
            </w:r>
          </w:p>
        </w:tc>
      </w:tr>
      <w:tr w:rsidR="00545E40" w:rsidRPr="00432926" w14:paraId="594D72F8" w14:textId="77777777" w:rsidTr="00622D46">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0" w:type="auto"/>
          </w:tcPr>
          <w:p w14:paraId="312C58D3" w14:textId="77777777" w:rsidR="00545E40" w:rsidRPr="00432926" w:rsidRDefault="00545E40" w:rsidP="00FB62C4">
            <w:pPr>
              <w:rPr>
                <w:rFonts w:cs="Times New Roman"/>
                <w:b w:val="0"/>
                <w:sz w:val="22"/>
              </w:rPr>
            </w:pPr>
            <w:r w:rsidRPr="00432926">
              <w:rPr>
                <w:rFonts w:cs="Times New Roman"/>
                <w:b w:val="0"/>
                <w:sz w:val="22"/>
              </w:rPr>
              <w:t>No heart failure</w:t>
            </w:r>
          </w:p>
        </w:tc>
        <w:tc>
          <w:tcPr>
            <w:tcW w:w="0" w:type="auto"/>
            <w:vAlign w:val="center"/>
          </w:tcPr>
          <w:p w14:paraId="0D585871"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41002 (81.0%)</w:t>
            </w:r>
          </w:p>
        </w:tc>
        <w:tc>
          <w:tcPr>
            <w:tcW w:w="0" w:type="auto"/>
            <w:vAlign w:val="center"/>
          </w:tcPr>
          <w:p w14:paraId="1145ACF6"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4630 (79.6%)</w:t>
            </w:r>
          </w:p>
        </w:tc>
        <w:tc>
          <w:tcPr>
            <w:tcW w:w="0" w:type="auto"/>
            <w:vAlign w:val="center"/>
          </w:tcPr>
          <w:p w14:paraId="39091EE7"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p>
        </w:tc>
        <w:tc>
          <w:tcPr>
            <w:tcW w:w="1641" w:type="dxa"/>
            <w:vAlign w:val="center"/>
          </w:tcPr>
          <w:p w14:paraId="2DF34CF9"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6582 (83.6%)</w:t>
            </w:r>
          </w:p>
        </w:tc>
        <w:tc>
          <w:tcPr>
            <w:tcW w:w="1651" w:type="dxa"/>
            <w:vAlign w:val="center"/>
          </w:tcPr>
          <w:p w14:paraId="69DCCA1D"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1343 (84.4%)</w:t>
            </w:r>
          </w:p>
        </w:tc>
        <w:tc>
          <w:tcPr>
            <w:tcW w:w="0" w:type="auto"/>
            <w:vAlign w:val="center"/>
          </w:tcPr>
          <w:p w14:paraId="5642BCAF"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p>
        </w:tc>
      </w:tr>
      <w:tr w:rsidR="00545E40" w:rsidRPr="00432926" w14:paraId="5BDE3417" w14:textId="77777777" w:rsidTr="00622D46">
        <w:trPr>
          <w:trHeight w:val="333"/>
        </w:trPr>
        <w:tc>
          <w:tcPr>
            <w:cnfStyle w:val="001000000000" w:firstRow="0" w:lastRow="0" w:firstColumn="1" w:lastColumn="0" w:oddVBand="0" w:evenVBand="0" w:oddHBand="0" w:evenHBand="0" w:firstRowFirstColumn="0" w:firstRowLastColumn="0" w:lastRowFirstColumn="0" w:lastRowLastColumn="0"/>
            <w:tcW w:w="0" w:type="auto"/>
          </w:tcPr>
          <w:p w14:paraId="0B40756E" w14:textId="77777777" w:rsidR="00545E40" w:rsidRPr="00432926" w:rsidRDefault="00545E40" w:rsidP="00FB62C4">
            <w:pPr>
              <w:rPr>
                <w:rFonts w:cs="Times New Roman"/>
                <w:b w:val="0"/>
                <w:sz w:val="22"/>
              </w:rPr>
            </w:pPr>
            <w:r w:rsidRPr="00432926">
              <w:rPr>
                <w:rFonts w:cs="Times New Roman"/>
                <w:b w:val="0"/>
                <w:sz w:val="22"/>
              </w:rPr>
              <w:t>Basal crepitation</w:t>
            </w:r>
          </w:p>
        </w:tc>
        <w:tc>
          <w:tcPr>
            <w:tcW w:w="0" w:type="auto"/>
            <w:vAlign w:val="center"/>
          </w:tcPr>
          <w:p w14:paraId="42E5AE90"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6122 (12.1%)</w:t>
            </w:r>
          </w:p>
        </w:tc>
        <w:tc>
          <w:tcPr>
            <w:tcW w:w="0" w:type="auto"/>
            <w:vAlign w:val="center"/>
          </w:tcPr>
          <w:p w14:paraId="0066AD99"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641 (11.0%)</w:t>
            </w:r>
          </w:p>
        </w:tc>
        <w:tc>
          <w:tcPr>
            <w:tcW w:w="0" w:type="auto"/>
            <w:vAlign w:val="center"/>
          </w:tcPr>
          <w:p w14:paraId="7E1E6D8B"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p>
        </w:tc>
        <w:tc>
          <w:tcPr>
            <w:tcW w:w="1641" w:type="dxa"/>
            <w:vAlign w:val="center"/>
          </w:tcPr>
          <w:p w14:paraId="705D58B8"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828 (10.5%)</w:t>
            </w:r>
          </w:p>
        </w:tc>
        <w:tc>
          <w:tcPr>
            <w:tcW w:w="1651" w:type="dxa"/>
            <w:vAlign w:val="center"/>
          </w:tcPr>
          <w:p w14:paraId="4821705F"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120 (7.5%)</w:t>
            </w:r>
          </w:p>
        </w:tc>
        <w:tc>
          <w:tcPr>
            <w:tcW w:w="0" w:type="auto"/>
            <w:vAlign w:val="center"/>
          </w:tcPr>
          <w:p w14:paraId="45E0CB25"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p>
        </w:tc>
      </w:tr>
      <w:tr w:rsidR="00545E40" w:rsidRPr="00432926" w14:paraId="0CF5BD0D" w14:textId="77777777" w:rsidTr="00622D46">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0" w:type="auto"/>
          </w:tcPr>
          <w:p w14:paraId="7681348A" w14:textId="77777777" w:rsidR="00545E40" w:rsidRPr="00432926" w:rsidRDefault="00545E40" w:rsidP="00FB62C4">
            <w:pPr>
              <w:rPr>
                <w:rFonts w:cs="Times New Roman"/>
                <w:b w:val="0"/>
                <w:sz w:val="22"/>
              </w:rPr>
            </w:pPr>
            <w:r w:rsidRPr="00432926">
              <w:rPr>
                <w:rFonts w:cs="Times New Roman"/>
                <w:b w:val="0"/>
                <w:sz w:val="22"/>
              </w:rPr>
              <w:t>Pulmonary oedema</w:t>
            </w:r>
          </w:p>
        </w:tc>
        <w:tc>
          <w:tcPr>
            <w:tcW w:w="0" w:type="auto"/>
            <w:vAlign w:val="center"/>
          </w:tcPr>
          <w:p w14:paraId="55C97856"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2175 (4.3%)</w:t>
            </w:r>
          </w:p>
        </w:tc>
        <w:tc>
          <w:tcPr>
            <w:tcW w:w="0" w:type="auto"/>
            <w:vAlign w:val="center"/>
          </w:tcPr>
          <w:p w14:paraId="2D1A4BCB"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382 (6.6%)</w:t>
            </w:r>
          </w:p>
        </w:tc>
        <w:tc>
          <w:tcPr>
            <w:tcW w:w="0" w:type="auto"/>
            <w:vAlign w:val="center"/>
          </w:tcPr>
          <w:p w14:paraId="64DA6856"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p>
        </w:tc>
        <w:tc>
          <w:tcPr>
            <w:tcW w:w="1641" w:type="dxa"/>
            <w:vAlign w:val="center"/>
          </w:tcPr>
          <w:p w14:paraId="29E190EC"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274 (3.5%)</w:t>
            </w:r>
          </w:p>
        </w:tc>
        <w:tc>
          <w:tcPr>
            <w:tcW w:w="1651" w:type="dxa"/>
            <w:vAlign w:val="center"/>
          </w:tcPr>
          <w:p w14:paraId="4D8173DE"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74 (4.6%)</w:t>
            </w:r>
          </w:p>
        </w:tc>
        <w:tc>
          <w:tcPr>
            <w:tcW w:w="0" w:type="auto"/>
            <w:vAlign w:val="center"/>
          </w:tcPr>
          <w:p w14:paraId="7A46E615"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p>
        </w:tc>
      </w:tr>
      <w:tr w:rsidR="00545E40" w:rsidRPr="00432926" w14:paraId="7F21182C" w14:textId="77777777" w:rsidTr="00622D46">
        <w:trPr>
          <w:trHeight w:val="333"/>
        </w:trPr>
        <w:tc>
          <w:tcPr>
            <w:cnfStyle w:val="001000000000" w:firstRow="0" w:lastRow="0" w:firstColumn="1" w:lastColumn="0" w:oddVBand="0" w:evenVBand="0" w:oddHBand="0" w:evenHBand="0" w:firstRowFirstColumn="0" w:firstRowLastColumn="0" w:lastRowFirstColumn="0" w:lastRowLastColumn="0"/>
            <w:tcW w:w="0" w:type="auto"/>
          </w:tcPr>
          <w:p w14:paraId="4A62544B" w14:textId="77777777" w:rsidR="00545E40" w:rsidRPr="00432926" w:rsidRDefault="00545E40" w:rsidP="00FB62C4">
            <w:pPr>
              <w:rPr>
                <w:rFonts w:cs="Times New Roman"/>
                <w:b w:val="0"/>
                <w:sz w:val="22"/>
              </w:rPr>
            </w:pPr>
            <w:r w:rsidRPr="00432926">
              <w:rPr>
                <w:rFonts w:cs="Times New Roman"/>
                <w:b w:val="0"/>
                <w:sz w:val="22"/>
              </w:rPr>
              <w:t>Cardiogenic shock</w:t>
            </w:r>
          </w:p>
        </w:tc>
        <w:tc>
          <w:tcPr>
            <w:tcW w:w="0" w:type="auto"/>
            <w:vAlign w:val="center"/>
          </w:tcPr>
          <w:p w14:paraId="3948A068"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1306 (2.6%)</w:t>
            </w:r>
          </w:p>
        </w:tc>
        <w:tc>
          <w:tcPr>
            <w:tcW w:w="0" w:type="auto"/>
            <w:vAlign w:val="center"/>
          </w:tcPr>
          <w:p w14:paraId="323E837C"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167 (2.9%)</w:t>
            </w:r>
          </w:p>
        </w:tc>
        <w:tc>
          <w:tcPr>
            <w:tcW w:w="0" w:type="auto"/>
            <w:vAlign w:val="center"/>
          </w:tcPr>
          <w:p w14:paraId="2346ED63"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p>
        </w:tc>
        <w:tc>
          <w:tcPr>
            <w:tcW w:w="1641" w:type="dxa"/>
            <w:vAlign w:val="center"/>
          </w:tcPr>
          <w:p w14:paraId="730DB16C"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188 (2.4%)</w:t>
            </w:r>
          </w:p>
        </w:tc>
        <w:tc>
          <w:tcPr>
            <w:tcW w:w="1651" w:type="dxa"/>
            <w:vAlign w:val="center"/>
          </w:tcPr>
          <w:p w14:paraId="6F5C80DB"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55 (3.5%)</w:t>
            </w:r>
          </w:p>
        </w:tc>
        <w:tc>
          <w:tcPr>
            <w:tcW w:w="0" w:type="auto"/>
            <w:vAlign w:val="center"/>
          </w:tcPr>
          <w:p w14:paraId="4AC83EE1"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p>
        </w:tc>
      </w:tr>
      <w:tr w:rsidR="00545E40" w:rsidRPr="00432926" w14:paraId="19C85572" w14:textId="77777777" w:rsidTr="00622D46">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0" w:type="auto"/>
          </w:tcPr>
          <w:p w14:paraId="33A95967" w14:textId="77777777" w:rsidR="00545E40" w:rsidRPr="00432926" w:rsidRDefault="00545E40" w:rsidP="00FB62C4">
            <w:pPr>
              <w:rPr>
                <w:rFonts w:cs="Times New Roman"/>
                <w:b w:val="0"/>
                <w:sz w:val="22"/>
              </w:rPr>
            </w:pPr>
            <w:r w:rsidRPr="00432926">
              <w:rPr>
                <w:rFonts w:cs="Times New Roman"/>
                <w:b w:val="0"/>
                <w:sz w:val="22"/>
              </w:rPr>
              <w:t>LV systolic function</w:t>
            </w:r>
          </w:p>
        </w:tc>
        <w:tc>
          <w:tcPr>
            <w:tcW w:w="0" w:type="auto"/>
            <w:vAlign w:val="center"/>
          </w:tcPr>
          <w:p w14:paraId="02D7A35B"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b/>
                <w:sz w:val="22"/>
              </w:rPr>
            </w:pPr>
          </w:p>
        </w:tc>
        <w:tc>
          <w:tcPr>
            <w:tcW w:w="0" w:type="auto"/>
            <w:vAlign w:val="center"/>
          </w:tcPr>
          <w:p w14:paraId="25A292DB"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b/>
                <w:sz w:val="22"/>
              </w:rPr>
            </w:pPr>
          </w:p>
        </w:tc>
        <w:tc>
          <w:tcPr>
            <w:tcW w:w="0" w:type="auto"/>
            <w:vAlign w:val="center"/>
          </w:tcPr>
          <w:p w14:paraId="68E8A942" w14:textId="56168282" w:rsidR="00545E40" w:rsidRPr="00432926" w:rsidRDefault="00FD364D" w:rsidP="00FB62C4">
            <w:pPr>
              <w:jc w:val="center"/>
              <w:cnfStyle w:val="000000100000" w:firstRow="0" w:lastRow="0" w:firstColumn="0" w:lastColumn="0" w:oddVBand="0" w:evenVBand="0" w:oddHBand="1" w:evenHBand="0" w:firstRowFirstColumn="0" w:firstRowLastColumn="0" w:lastRowFirstColumn="0" w:lastRowLastColumn="0"/>
              <w:rPr>
                <w:rFonts w:cs="Times New Roman"/>
                <w:b/>
                <w:sz w:val="22"/>
              </w:rPr>
            </w:pPr>
            <w:r w:rsidRPr="00432926">
              <w:rPr>
                <w:rFonts w:cs="Times New Roman"/>
                <w:sz w:val="22"/>
              </w:rPr>
              <w:t>&lt;0.0</w:t>
            </w:r>
            <w:r w:rsidR="00F237DB" w:rsidRPr="00432926">
              <w:rPr>
                <w:rFonts w:cs="Times New Roman"/>
                <w:sz w:val="22"/>
              </w:rPr>
              <w:t>01</w:t>
            </w:r>
          </w:p>
        </w:tc>
        <w:tc>
          <w:tcPr>
            <w:tcW w:w="1641" w:type="dxa"/>
            <w:vAlign w:val="center"/>
          </w:tcPr>
          <w:p w14:paraId="40B247AE"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b/>
                <w:sz w:val="22"/>
              </w:rPr>
            </w:pPr>
          </w:p>
        </w:tc>
        <w:tc>
          <w:tcPr>
            <w:tcW w:w="1651" w:type="dxa"/>
            <w:vAlign w:val="center"/>
          </w:tcPr>
          <w:p w14:paraId="1274BDF9"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b/>
                <w:sz w:val="22"/>
              </w:rPr>
            </w:pPr>
          </w:p>
        </w:tc>
        <w:tc>
          <w:tcPr>
            <w:tcW w:w="0" w:type="auto"/>
            <w:vAlign w:val="center"/>
          </w:tcPr>
          <w:p w14:paraId="23A8B22E" w14:textId="73E5475D" w:rsidR="00545E40" w:rsidRPr="00432926" w:rsidRDefault="00FD364D" w:rsidP="00FB62C4">
            <w:pPr>
              <w:jc w:val="center"/>
              <w:cnfStyle w:val="000000100000" w:firstRow="0" w:lastRow="0" w:firstColumn="0" w:lastColumn="0" w:oddVBand="0" w:evenVBand="0" w:oddHBand="1" w:evenHBand="0" w:firstRowFirstColumn="0" w:firstRowLastColumn="0" w:lastRowFirstColumn="0" w:lastRowLastColumn="0"/>
              <w:rPr>
                <w:rFonts w:cs="Times New Roman"/>
                <w:b/>
                <w:sz w:val="22"/>
              </w:rPr>
            </w:pPr>
            <w:r w:rsidRPr="00432926">
              <w:rPr>
                <w:rFonts w:cs="Times New Roman"/>
                <w:sz w:val="22"/>
              </w:rPr>
              <w:t>&lt;0.0</w:t>
            </w:r>
            <w:r w:rsidR="00702726" w:rsidRPr="00432926">
              <w:rPr>
                <w:rFonts w:cs="Times New Roman"/>
                <w:sz w:val="22"/>
              </w:rPr>
              <w:t>0</w:t>
            </w:r>
            <w:r w:rsidR="00545E40" w:rsidRPr="00432926">
              <w:rPr>
                <w:rFonts w:cs="Times New Roman"/>
                <w:sz w:val="22"/>
              </w:rPr>
              <w:t>1</w:t>
            </w:r>
          </w:p>
        </w:tc>
      </w:tr>
      <w:tr w:rsidR="00545E40" w:rsidRPr="00432926" w14:paraId="6B686E05" w14:textId="77777777" w:rsidTr="00622D46">
        <w:trPr>
          <w:trHeight w:val="263"/>
        </w:trPr>
        <w:tc>
          <w:tcPr>
            <w:cnfStyle w:val="001000000000" w:firstRow="0" w:lastRow="0" w:firstColumn="1" w:lastColumn="0" w:oddVBand="0" w:evenVBand="0" w:oddHBand="0" w:evenHBand="0" w:firstRowFirstColumn="0" w:firstRowLastColumn="0" w:lastRowFirstColumn="0" w:lastRowLastColumn="0"/>
            <w:tcW w:w="0" w:type="auto"/>
          </w:tcPr>
          <w:p w14:paraId="3582BBE0" w14:textId="77777777" w:rsidR="00545E40" w:rsidRPr="00432926" w:rsidRDefault="00545E40" w:rsidP="00FB62C4">
            <w:pPr>
              <w:rPr>
                <w:rFonts w:cs="Times New Roman"/>
                <w:b w:val="0"/>
                <w:sz w:val="22"/>
              </w:rPr>
            </w:pPr>
            <w:r w:rsidRPr="00432926">
              <w:rPr>
                <w:rFonts w:cs="Times New Roman"/>
                <w:b w:val="0"/>
                <w:sz w:val="22"/>
              </w:rPr>
              <w:t>Good</w:t>
            </w:r>
          </w:p>
        </w:tc>
        <w:tc>
          <w:tcPr>
            <w:tcW w:w="0" w:type="auto"/>
            <w:vAlign w:val="center"/>
          </w:tcPr>
          <w:p w14:paraId="736E4275"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19309 (41.7%)</w:t>
            </w:r>
          </w:p>
        </w:tc>
        <w:tc>
          <w:tcPr>
            <w:tcW w:w="0" w:type="auto"/>
            <w:vAlign w:val="center"/>
          </w:tcPr>
          <w:p w14:paraId="67F88AA6"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2697 (49.5%)</w:t>
            </w:r>
          </w:p>
        </w:tc>
        <w:tc>
          <w:tcPr>
            <w:tcW w:w="0" w:type="auto"/>
            <w:vAlign w:val="center"/>
          </w:tcPr>
          <w:p w14:paraId="44EBDDCB"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p>
        </w:tc>
        <w:tc>
          <w:tcPr>
            <w:tcW w:w="1641" w:type="dxa"/>
            <w:vAlign w:val="center"/>
          </w:tcPr>
          <w:p w14:paraId="27A88645"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3161 (43.7%)</w:t>
            </w:r>
          </w:p>
        </w:tc>
        <w:tc>
          <w:tcPr>
            <w:tcW w:w="1651" w:type="dxa"/>
            <w:vAlign w:val="center"/>
          </w:tcPr>
          <w:p w14:paraId="0733D086"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754 (47.5%)</w:t>
            </w:r>
          </w:p>
        </w:tc>
        <w:tc>
          <w:tcPr>
            <w:tcW w:w="0" w:type="auto"/>
            <w:vAlign w:val="center"/>
          </w:tcPr>
          <w:p w14:paraId="69D354C8"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p>
        </w:tc>
      </w:tr>
      <w:tr w:rsidR="00545E40" w:rsidRPr="00432926" w14:paraId="65FEDD8D" w14:textId="77777777" w:rsidTr="00622D46">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0" w:type="auto"/>
          </w:tcPr>
          <w:p w14:paraId="2051AF34" w14:textId="77777777" w:rsidR="00545E40" w:rsidRPr="00432926" w:rsidRDefault="00545E40" w:rsidP="00FB62C4">
            <w:pPr>
              <w:rPr>
                <w:rFonts w:cs="Times New Roman"/>
                <w:b w:val="0"/>
                <w:sz w:val="22"/>
              </w:rPr>
            </w:pPr>
            <w:r w:rsidRPr="00432926">
              <w:rPr>
                <w:rFonts w:cs="Times New Roman"/>
                <w:b w:val="0"/>
                <w:sz w:val="22"/>
              </w:rPr>
              <w:t>Moderate</w:t>
            </w:r>
          </w:p>
        </w:tc>
        <w:tc>
          <w:tcPr>
            <w:tcW w:w="0" w:type="auto"/>
            <w:vAlign w:val="center"/>
          </w:tcPr>
          <w:p w14:paraId="78BB1B41"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11652 (25.2%)</w:t>
            </w:r>
          </w:p>
        </w:tc>
        <w:tc>
          <w:tcPr>
            <w:tcW w:w="0" w:type="auto"/>
            <w:vAlign w:val="center"/>
          </w:tcPr>
          <w:p w14:paraId="3D1183C0"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1265 (23.2%)</w:t>
            </w:r>
          </w:p>
        </w:tc>
        <w:tc>
          <w:tcPr>
            <w:tcW w:w="0" w:type="auto"/>
            <w:vAlign w:val="center"/>
          </w:tcPr>
          <w:p w14:paraId="63F82F65"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p>
        </w:tc>
        <w:tc>
          <w:tcPr>
            <w:tcW w:w="1641" w:type="dxa"/>
            <w:vAlign w:val="center"/>
          </w:tcPr>
          <w:p w14:paraId="433F1CF1"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1761 (24.4%)</w:t>
            </w:r>
          </w:p>
        </w:tc>
        <w:tc>
          <w:tcPr>
            <w:tcW w:w="1651" w:type="dxa"/>
            <w:vAlign w:val="center"/>
          </w:tcPr>
          <w:p w14:paraId="67462EED"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411 (25.9%)</w:t>
            </w:r>
          </w:p>
        </w:tc>
        <w:tc>
          <w:tcPr>
            <w:tcW w:w="0" w:type="auto"/>
            <w:vAlign w:val="center"/>
          </w:tcPr>
          <w:p w14:paraId="0A833116"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p>
        </w:tc>
      </w:tr>
      <w:tr w:rsidR="00545E40" w:rsidRPr="00432926" w14:paraId="28A988B5" w14:textId="77777777" w:rsidTr="00622D46">
        <w:trPr>
          <w:trHeight w:val="263"/>
        </w:trPr>
        <w:tc>
          <w:tcPr>
            <w:cnfStyle w:val="001000000000" w:firstRow="0" w:lastRow="0" w:firstColumn="1" w:lastColumn="0" w:oddVBand="0" w:evenVBand="0" w:oddHBand="0" w:evenHBand="0" w:firstRowFirstColumn="0" w:firstRowLastColumn="0" w:lastRowFirstColumn="0" w:lastRowLastColumn="0"/>
            <w:tcW w:w="0" w:type="auto"/>
          </w:tcPr>
          <w:p w14:paraId="7D864BC7" w14:textId="77777777" w:rsidR="00545E40" w:rsidRPr="00432926" w:rsidRDefault="00545E40" w:rsidP="00FB62C4">
            <w:pPr>
              <w:rPr>
                <w:rFonts w:cs="Times New Roman"/>
                <w:b w:val="0"/>
                <w:sz w:val="22"/>
              </w:rPr>
            </w:pPr>
            <w:r w:rsidRPr="00432926">
              <w:rPr>
                <w:rFonts w:cs="Times New Roman"/>
                <w:b w:val="0"/>
                <w:sz w:val="22"/>
              </w:rPr>
              <w:t>Poor</w:t>
            </w:r>
          </w:p>
        </w:tc>
        <w:tc>
          <w:tcPr>
            <w:tcW w:w="0" w:type="auto"/>
            <w:vAlign w:val="center"/>
          </w:tcPr>
          <w:p w14:paraId="2415FE2A"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4093 (8.8%)</w:t>
            </w:r>
          </w:p>
        </w:tc>
        <w:tc>
          <w:tcPr>
            <w:tcW w:w="0" w:type="auto"/>
            <w:vAlign w:val="center"/>
          </w:tcPr>
          <w:p w14:paraId="7AC4683F"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450 (8.3%)</w:t>
            </w:r>
          </w:p>
        </w:tc>
        <w:tc>
          <w:tcPr>
            <w:tcW w:w="0" w:type="auto"/>
            <w:vAlign w:val="center"/>
          </w:tcPr>
          <w:p w14:paraId="5BE034AB"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p>
        </w:tc>
        <w:tc>
          <w:tcPr>
            <w:tcW w:w="1641" w:type="dxa"/>
            <w:vAlign w:val="center"/>
          </w:tcPr>
          <w:p w14:paraId="435160A8"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613 (8.5%)</w:t>
            </w:r>
          </w:p>
        </w:tc>
        <w:tc>
          <w:tcPr>
            <w:tcW w:w="1651" w:type="dxa"/>
            <w:vAlign w:val="center"/>
          </w:tcPr>
          <w:p w14:paraId="23F5F363"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121 (7.6%)</w:t>
            </w:r>
          </w:p>
        </w:tc>
        <w:tc>
          <w:tcPr>
            <w:tcW w:w="0" w:type="auto"/>
            <w:vAlign w:val="center"/>
          </w:tcPr>
          <w:p w14:paraId="2D86D516"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p>
        </w:tc>
      </w:tr>
      <w:tr w:rsidR="00545E40" w:rsidRPr="00432926" w14:paraId="49E3F705" w14:textId="77777777" w:rsidTr="00622D46">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0" w:type="auto"/>
          </w:tcPr>
          <w:p w14:paraId="0AEE47D2" w14:textId="77777777" w:rsidR="00545E40" w:rsidRPr="00432926" w:rsidRDefault="00545E40" w:rsidP="00FB62C4">
            <w:pPr>
              <w:rPr>
                <w:rFonts w:cs="Times New Roman"/>
                <w:b w:val="0"/>
                <w:sz w:val="22"/>
              </w:rPr>
            </w:pPr>
            <w:r w:rsidRPr="00432926">
              <w:rPr>
                <w:rFonts w:cs="Times New Roman"/>
                <w:b w:val="0"/>
                <w:sz w:val="22"/>
              </w:rPr>
              <w:t>Not assessed</w:t>
            </w:r>
          </w:p>
        </w:tc>
        <w:tc>
          <w:tcPr>
            <w:tcW w:w="0" w:type="auto"/>
            <w:vAlign w:val="center"/>
          </w:tcPr>
          <w:p w14:paraId="72460260"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11241 (24.3%)</w:t>
            </w:r>
          </w:p>
        </w:tc>
        <w:tc>
          <w:tcPr>
            <w:tcW w:w="0" w:type="auto"/>
            <w:vAlign w:val="center"/>
          </w:tcPr>
          <w:p w14:paraId="02D61AD5"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1032 (19.0%)</w:t>
            </w:r>
          </w:p>
        </w:tc>
        <w:tc>
          <w:tcPr>
            <w:tcW w:w="0" w:type="auto"/>
            <w:vAlign w:val="center"/>
          </w:tcPr>
          <w:p w14:paraId="6AD01DE4"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p>
        </w:tc>
        <w:tc>
          <w:tcPr>
            <w:tcW w:w="1641" w:type="dxa"/>
            <w:vAlign w:val="center"/>
          </w:tcPr>
          <w:p w14:paraId="4D179CBB"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1697 (23.5%)</w:t>
            </w:r>
          </w:p>
        </w:tc>
        <w:tc>
          <w:tcPr>
            <w:tcW w:w="1651" w:type="dxa"/>
            <w:vAlign w:val="center"/>
          </w:tcPr>
          <w:p w14:paraId="1DE487E1"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303 (19.1%)</w:t>
            </w:r>
          </w:p>
        </w:tc>
        <w:tc>
          <w:tcPr>
            <w:tcW w:w="0" w:type="auto"/>
            <w:vAlign w:val="center"/>
          </w:tcPr>
          <w:p w14:paraId="633D8353"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p>
        </w:tc>
      </w:tr>
      <w:tr w:rsidR="00545E40" w:rsidRPr="00432926" w14:paraId="247BCCEF" w14:textId="77777777" w:rsidTr="00622D46">
        <w:trPr>
          <w:trHeight w:val="263"/>
        </w:trPr>
        <w:tc>
          <w:tcPr>
            <w:cnfStyle w:val="001000000000" w:firstRow="0" w:lastRow="0" w:firstColumn="1" w:lastColumn="0" w:oddVBand="0" w:evenVBand="0" w:oddHBand="0" w:evenHBand="0" w:firstRowFirstColumn="0" w:firstRowLastColumn="0" w:lastRowFirstColumn="0" w:lastRowLastColumn="0"/>
            <w:tcW w:w="0" w:type="auto"/>
          </w:tcPr>
          <w:p w14:paraId="49885BEC" w14:textId="77777777" w:rsidR="00545E40" w:rsidRPr="00432926" w:rsidRDefault="00545E40" w:rsidP="00FB62C4">
            <w:pPr>
              <w:rPr>
                <w:rFonts w:cs="Times New Roman"/>
                <w:sz w:val="22"/>
              </w:rPr>
            </w:pPr>
            <w:r w:rsidRPr="00432926">
              <w:rPr>
                <w:rFonts w:cs="Times New Roman"/>
                <w:sz w:val="22"/>
              </w:rPr>
              <w:t>Previous medical history</w:t>
            </w:r>
          </w:p>
        </w:tc>
        <w:tc>
          <w:tcPr>
            <w:tcW w:w="0" w:type="auto"/>
            <w:vAlign w:val="center"/>
          </w:tcPr>
          <w:p w14:paraId="0F3B5629"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b/>
                <w:sz w:val="22"/>
              </w:rPr>
            </w:pPr>
          </w:p>
        </w:tc>
        <w:tc>
          <w:tcPr>
            <w:tcW w:w="0" w:type="auto"/>
            <w:vAlign w:val="center"/>
          </w:tcPr>
          <w:p w14:paraId="72652C2C"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b/>
                <w:sz w:val="22"/>
              </w:rPr>
            </w:pPr>
          </w:p>
        </w:tc>
        <w:tc>
          <w:tcPr>
            <w:tcW w:w="0" w:type="auto"/>
            <w:vAlign w:val="center"/>
          </w:tcPr>
          <w:p w14:paraId="2E5C868D"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b/>
                <w:sz w:val="22"/>
              </w:rPr>
            </w:pPr>
          </w:p>
        </w:tc>
        <w:tc>
          <w:tcPr>
            <w:tcW w:w="1641" w:type="dxa"/>
            <w:vAlign w:val="center"/>
          </w:tcPr>
          <w:p w14:paraId="2EA29EB9"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b/>
                <w:sz w:val="22"/>
              </w:rPr>
            </w:pPr>
          </w:p>
        </w:tc>
        <w:tc>
          <w:tcPr>
            <w:tcW w:w="1651" w:type="dxa"/>
            <w:vAlign w:val="center"/>
          </w:tcPr>
          <w:p w14:paraId="2FAFEE55"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b/>
                <w:sz w:val="22"/>
              </w:rPr>
            </w:pPr>
          </w:p>
        </w:tc>
        <w:tc>
          <w:tcPr>
            <w:tcW w:w="0" w:type="auto"/>
            <w:vAlign w:val="center"/>
          </w:tcPr>
          <w:p w14:paraId="0B570587"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b/>
                <w:sz w:val="22"/>
              </w:rPr>
            </w:pPr>
          </w:p>
        </w:tc>
      </w:tr>
      <w:tr w:rsidR="00545E40" w:rsidRPr="00432926" w14:paraId="0B02305D" w14:textId="77777777" w:rsidTr="00622D46">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0" w:type="auto"/>
          </w:tcPr>
          <w:p w14:paraId="3C71ABD7" w14:textId="77777777" w:rsidR="00545E40" w:rsidRPr="00432926" w:rsidRDefault="00545E40" w:rsidP="00FB62C4">
            <w:pPr>
              <w:rPr>
                <w:rFonts w:cs="Times New Roman"/>
                <w:b w:val="0"/>
                <w:sz w:val="22"/>
              </w:rPr>
            </w:pPr>
            <w:r w:rsidRPr="00432926">
              <w:rPr>
                <w:rFonts w:cs="Times New Roman"/>
                <w:b w:val="0"/>
                <w:sz w:val="22"/>
              </w:rPr>
              <w:t>Percutaneous coronary intervention</w:t>
            </w:r>
          </w:p>
        </w:tc>
        <w:tc>
          <w:tcPr>
            <w:tcW w:w="0" w:type="auto"/>
            <w:vAlign w:val="center"/>
          </w:tcPr>
          <w:p w14:paraId="6FDA27BA"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7691 (15.1%)</w:t>
            </w:r>
          </w:p>
        </w:tc>
        <w:tc>
          <w:tcPr>
            <w:tcW w:w="0" w:type="auto"/>
            <w:vAlign w:val="center"/>
          </w:tcPr>
          <w:p w14:paraId="1F32F57F"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1354 (23.4%)</w:t>
            </w:r>
          </w:p>
        </w:tc>
        <w:tc>
          <w:tcPr>
            <w:tcW w:w="0" w:type="auto"/>
            <w:vAlign w:val="center"/>
          </w:tcPr>
          <w:p w14:paraId="0100C469" w14:textId="38999EA7" w:rsidR="00545E40" w:rsidRPr="00432926" w:rsidRDefault="00FD364D"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&lt;0.0</w:t>
            </w:r>
            <w:r w:rsidR="00F237DB" w:rsidRPr="00432926">
              <w:rPr>
                <w:rFonts w:cs="Times New Roman"/>
                <w:sz w:val="22"/>
              </w:rPr>
              <w:t>0</w:t>
            </w:r>
            <w:r w:rsidR="00545E40" w:rsidRPr="00432926">
              <w:rPr>
                <w:rFonts w:cs="Times New Roman"/>
                <w:sz w:val="22"/>
              </w:rPr>
              <w:t>1</w:t>
            </w:r>
          </w:p>
        </w:tc>
        <w:tc>
          <w:tcPr>
            <w:tcW w:w="1641" w:type="dxa"/>
            <w:vAlign w:val="center"/>
          </w:tcPr>
          <w:p w14:paraId="157B9743"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1372 (17.1%)</w:t>
            </w:r>
          </w:p>
        </w:tc>
        <w:tc>
          <w:tcPr>
            <w:tcW w:w="1651" w:type="dxa"/>
            <w:vAlign w:val="center"/>
          </w:tcPr>
          <w:p w14:paraId="416691C6"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339 (20.2%)</w:t>
            </w:r>
          </w:p>
        </w:tc>
        <w:tc>
          <w:tcPr>
            <w:tcW w:w="0" w:type="auto"/>
            <w:vAlign w:val="center"/>
          </w:tcPr>
          <w:p w14:paraId="16F33342" w14:textId="181C692A" w:rsidR="00545E40" w:rsidRPr="00432926" w:rsidRDefault="00702726"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0.003</w:t>
            </w:r>
          </w:p>
        </w:tc>
      </w:tr>
      <w:tr w:rsidR="00545E40" w:rsidRPr="00432926" w14:paraId="0BC12C6E" w14:textId="77777777" w:rsidTr="00622D46">
        <w:trPr>
          <w:trHeight w:val="283"/>
        </w:trPr>
        <w:tc>
          <w:tcPr>
            <w:cnfStyle w:val="001000000000" w:firstRow="0" w:lastRow="0" w:firstColumn="1" w:lastColumn="0" w:oddVBand="0" w:evenVBand="0" w:oddHBand="0" w:evenHBand="0" w:firstRowFirstColumn="0" w:firstRowLastColumn="0" w:lastRowFirstColumn="0" w:lastRowLastColumn="0"/>
            <w:tcW w:w="0" w:type="auto"/>
          </w:tcPr>
          <w:p w14:paraId="6E061AE7" w14:textId="77777777" w:rsidR="00545E40" w:rsidRPr="00432926" w:rsidRDefault="00545E40" w:rsidP="00FB62C4">
            <w:pPr>
              <w:rPr>
                <w:rFonts w:cs="Times New Roman"/>
                <w:b w:val="0"/>
                <w:sz w:val="22"/>
              </w:rPr>
            </w:pPr>
            <w:r w:rsidRPr="00432926">
              <w:rPr>
                <w:rFonts w:cs="Times New Roman"/>
                <w:b w:val="0"/>
                <w:sz w:val="22"/>
              </w:rPr>
              <w:lastRenderedPageBreak/>
              <w:t>Coronary artery bypass graft</w:t>
            </w:r>
          </w:p>
        </w:tc>
        <w:tc>
          <w:tcPr>
            <w:tcW w:w="0" w:type="auto"/>
            <w:vAlign w:val="center"/>
          </w:tcPr>
          <w:p w14:paraId="7B42F5D1"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3648 (7.1%)</w:t>
            </w:r>
          </w:p>
        </w:tc>
        <w:tc>
          <w:tcPr>
            <w:tcW w:w="0" w:type="auto"/>
            <w:vAlign w:val="center"/>
          </w:tcPr>
          <w:p w14:paraId="52DD5453"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589 (10.2%)</w:t>
            </w:r>
          </w:p>
        </w:tc>
        <w:tc>
          <w:tcPr>
            <w:tcW w:w="0" w:type="auto"/>
            <w:vAlign w:val="center"/>
          </w:tcPr>
          <w:p w14:paraId="0FF8E8AB" w14:textId="786835F2" w:rsidR="00545E40" w:rsidRPr="00432926" w:rsidRDefault="00FD364D"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&lt;0.0</w:t>
            </w:r>
            <w:r w:rsidR="00F237DB" w:rsidRPr="00432926">
              <w:rPr>
                <w:rFonts w:cs="Times New Roman"/>
                <w:sz w:val="22"/>
              </w:rPr>
              <w:t>0</w:t>
            </w:r>
            <w:r w:rsidR="00545E40" w:rsidRPr="00432926">
              <w:rPr>
                <w:rFonts w:cs="Times New Roman"/>
                <w:sz w:val="22"/>
              </w:rPr>
              <w:t>1</w:t>
            </w:r>
          </w:p>
        </w:tc>
        <w:tc>
          <w:tcPr>
            <w:tcW w:w="1641" w:type="dxa"/>
            <w:vAlign w:val="center"/>
          </w:tcPr>
          <w:p w14:paraId="5B02ACE7"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556 (7.0%)</w:t>
            </w:r>
          </w:p>
        </w:tc>
        <w:tc>
          <w:tcPr>
            <w:tcW w:w="1651" w:type="dxa"/>
            <w:vAlign w:val="center"/>
          </w:tcPr>
          <w:p w14:paraId="10B01062"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112 (6.7%)</w:t>
            </w:r>
          </w:p>
        </w:tc>
        <w:tc>
          <w:tcPr>
            <w:tcW w:w="0" w:type="auto"/>
            <w:vAlign w:val="center"/>
          </w:tcPr>
          <w:p w14:paraId="4D7139BF" w14:textId="14FB3F16"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0.68</w:t>
            </w:r>
            <w:r w:rsidR="00702726" w:rsidRPr="00432926">
              <w:rPr>
                <w:rFonts w:cs="Times New Roman"/>
                <w:sz w:val="22"/>
              </w:rPr>
              <w:t>6</w:t>
            </w:r>
          </w:p>
        </w:tc>
      </w:tr>
      <w:tr w:rsidR="00545E40" w:rsidRPr="00432926" w14:paraId="24504BC6" w14:textId="77777777" w:rsidTr="00622D46">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0" w:type="auto"/>
          </w:tcPr>
          <w:p w14:paraId="0CD23BD9" w14:textId="77777777" w:rsidR="00545E40" w:rsidRPr="00432926" w:rsidRDefault="00545E40" w:rsidP="00FB62C4">
            <w:pPr>
              <w:rPr>
                <w:rFonts w:cs="Times New Roman"/>
                <w:b w:val="0"/>
                <w:sz w:val="22"/>
              </w:rPr>
            </w:pPr>
            <w:r w:rsidRPr="00432926">
              <w:rPr>
                <w:rFonts w:cs="Times New Roman"/>
                <w:b w:val="0"/>
                <w:sz w:val="22"/>
              </w:rPr>
              <w:t>Heart failure</w:t>
            </w:r>
          </w:p>
        </w:tc>
        <w:tc>
          <w:tcPr>
            <w:tcW w:w="0" w:type="auto"/>
            <w:vAlign w:val="center"/>
          </w:tcPr>
          <w:p w14:paraId="784EBD09"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3848 (7.5%)</w:t>
            </w:r>
          </w:p>
        </w:tc>
        <w:tc>
          <w:tcPr>
            <w:tcW w:w="0" w:type="auto"/>
            <w:vAlign w:val="center"/>
          </w:tcPr>
          <w:p w14:paraId="7FB6EDDD"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493 (8.6%)</w:t>
            </w:r>
          </w:p>
        </w:tc>
        <w:tc>
          <w:tcPr>
            <w:tcW w:w="0" w:type="auto"/>
            <w:vAlign w:val="center"/>
          </w:tcPr>
          <w:p w14:paraId="27D03132" w14:textId="58A04D63" w:rsidR="00545E40" w:rsidRPr="00432926" w:rsidRDefault="00F237DB"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0.003</w:t>
            </w:r>
          </w:p>
        </w:tc>
        <w:tc>
          <w:tcPr>
            <w:tcW w:w="1641" w:type="dxa"/>
            <w:vAlign w:val="center"/>
          </w:tcPr>
          <w:p w14:paraId="78FC1304"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593 (7.5%)</w:t>
            </w:r>
          </w:p>
        </w:tc>
        <w:tc>
          <w:tcPr>
            <w:tcW w:w="1651" w:type="dxa"/>
            <w:vAlign w:val="center"/>
          </w:tcPr>
          <w:p w14:paraId="79728812"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107 (6.6%)</w:t>
            </w:r>
          </w:p>
        </w:tc>
        <w:tc>
          <w:tcPr>
            <w:tcW w:w="0" w:type="auto"/>
            <w:vAlign w:val="center"/>
          </w:tcPr>
          <w:p w14:paraId="39DB120D" w14:textId="05AFE5C5"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0.21</w:t>
            </w:r>
            <w:r w:rsidR="00702726" w:rsidRPr="00432926">
              <w:rPr>
                <w:rFonts w:cs="Times New Roman"/>
                <w:sz w:val="22"/>
              </w:rPr>
              <w:t>3</w:t>
            </w:r>
          </w:p>
        </w:tc>
      </w:tr>
      <w:tr w:rsidR="00545E40" w:rsidRPr="00432926" w14:paraId="3DF64608" w14:textId="77777777" w:rsidTr="00622D46">
        <w:trPr>
          <w:trHeight w:val="275"/>
        </w:trPr>
        <w:tc>
          <w:tcPr>
            <w:cnfStyle w:val="001000000000" w:firstRow="0" w:lastRow="0" w:firstColumn="1" w:lastColumn="0" w:oddVBand="0" w:evenVBand="0" w:oddHBand="0" w:evenHBand="0" w:firstRowFirstColumn="0" w:firstRowLastColumn="0" w:lastRowFirstColumn="0" w:lastRowLastColumn="0"/>
            <w:tcW w:w="0" w:type="auto"/>
          </w:tcPr>
          <w:p w14:paraId="3777B69C" w14:textId="77777777" w:rsidR="00545E40" w:rsidRPr="00432926" w:rsidRDefault="00545E40" w:rsidP="00FB62C4">
            <w:pPr>
              <w:rPr>
                <w:rFonts w:cs="Times New Roman"/>
                <w:b w:val="0"/>
                <w:sz w:val="22"/>
              </w:rPr>
            </w:pPr>
            <w:r w:rsidRPr="00432926">
              <w:rPr>
                <w:rFonts w:cs="Times New Roman"/>
                <w:b w:val="0"/>
                <w:sz w:val="22"/>
              </w:rPr>
              <w:t>Hypercholesterolemia</w:t>
            </w:r>
          </w:p>
        </w:tc>
        <w:tc>
          <w:tcPr>
            <w:tcW w:w="0" w:type="auto"/>
            <w:vAlign w:val="center"/>
          </w:tcPr>
          <w:p w14:paraId="06A543AF"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16098 (31.5%)</w:t>
            </w:r>
          </w:p>
        </w:tc>
        <w:tc>
          <w:tcPr>
            <w:tcW w:w="0" w:type="auto"/>
            <w:vAlign w:val="center"/>
          </w:tcPr>
          <w:p w14:paraId="0D224F38"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2733 (47.6%)</w:t>
            </w:r>
          </w:p>
        </w:tc>
        <w:tc>
          <w:tcPr>
            <w:tcW w:w="0" w:type="auto"/>
            <w:vAlign w:val="center"/>
          </w:tcPr>
          <w:p w14:paraId="7845C51F" w14:textId="18C5C428" w:rsidR="00545E40" w:rsidRPr="00432926" w:rsidRDefault="00FD364D"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&lt;0.0</w:t>
            </w:r>
            <w:r w:rsidR="00F237DB" w:rsidRPr="00432926">
              <w:rPr>
                <w:rFonts w:cs="Times New Roman"/>
                <w:sz w:val="22"/>
              </w:rPr>
              <w:t>0</w:t>
            </w:r>
            <w:r w:rsidR="00545E40" w:rsidRPr="00432926">
              <w:rPr>
                <w:rFonts w:cs="Times New Roman"/>
                <w:sz w:val="22"/>
              </w:rPr>
              <w:t>1</w:t>
            </w:r>
          </w:p>
        </w:tc>
        <w:tc>
          <w:tcPr>
            <w:tcW w:w="1641" w:type="dxa"/>
            <w:vAlign w:val="center"/>
          </w:tcPr>
          <w:p w14:paraId="27A835CB"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2482 (31.1%)</w:t>
            </w:r>
          </w:p>
        </w:tc>
        <w:tc>
          <w:tcPr>
            <w:tcW w:w="1651" w:type="dxa"/>
            <w:vAlign w:val="center"/>
          </w:tcPr>
          <w:p w14:paraId="7B246636"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676 (41.4%)</w:t>
            </w:r>
          </w:p>
        </w:tc>
        <w:tc>
          <w:tcPr>
            <w:tcW w:w="0" w:type="auto"/>
            <w:vAlign w:val="center"/>
          </w:tcPr>
          <w:p w14:paraId="3E723209" w14:textId="480E6193" w:rsidR="00545E40" w:rsidRPr="00432926" w:rsidRDefault="00FD364D"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&lt;0.0</w:t>
            </w:r>
            <w:r w:rsidR="00702726" w:rsidRPr="00432926">
              <w:rPr>
                <w:rFonts w:cs="Times New Roman"/>
                <w:sz w:val="22"/>
              </w:rPr>
              <w:t>0</w:t>
            </w:r>
            <w:r w:rsidR="00545E40" w:rsidRPr="00432926">
              <w:rPr>
                <w:rFonts w:cs="Times New Roman"/>
                <w:sz w:val="22"/>
              </w:rPr>
              <w:t>1</w:t>
            </w:r>
          </w:p>
        </w:tc>
      </w:tr>
      <w:tr w:rsidR="00545E40" w:rsidRPr="00432926" w14:paraId="37855940" w14:textId="77777777" w:rsidTr="00622D46">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0" w:type="auto"/>
          </w:tcPr>
          <w:p w14:paraId="2BE974AD" w14:textId="77777777" w:rsidR="00545E40" w:rsidRPr="00432926" w:rsidRDefault="00545E40" w:rsidP="00FB62C4">
            <w:pPr>
              <w:rPr>
                <w:rFonts w:cs="Times New Roman"/>
                <w:b w:val="0"/>
                <w:sz w:val="22"/>
              </w:rPr>
            </w:pPr>
            <w:r w:rsidRPr="00432926">
              <w:rPr>
                <w:rFonts w:cs="Times New Roman"/>
                <w:b w:val="0"/>
                <w:sz w:val="22"/>
              </w:rPr>
              <w:t>Angina</w:t>
            </w:r>
          </w:p>
        </w:tc>
        <w:tc>
          <w:tcPr>
            <w:tcW w:w="0" w:type="auto"/>
            <w:vAlign w:val="center"/>
          </w:tcPr>
          <w:p w14:paraId="362DED89"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11402 (22.2%)</w:t>
            </w:r>
          </w:p>
        </w:tc>
        <w:tc>
          <w:tcPr>
            <w:tcW w:w="0" w:type="auto"/>
            <w:vAlign w:val="center"/>
          </w:tcPr>
          <w:p w14:paraId="1AFE6EB3"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1539 (27.1%)</w:t>
            </w:r>
          </w:p>
        </w:tc>
        <w:tc>
          <w:tcPr>
            <w:tcW w:w="0" w:type="auto"/>
            <w:vAlign w:val="center"/>
          </w:tcPr>
          <w:p w14:paraId="2DE978E8" w14:textId="7602E94D" w:rsidR="00545E40" w:rsidRPr="00432926" w:rsidRDefault="00FD364D"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&lt;0.0</w:t>
            </w:r>
            <w:r w:rsidR="00F237DB" w:rsidRPr="00432926">
              <w:rPr>
                <w:rFonts w:cs="Times New Roman"/>
                <w:sz w:val="22"/>
              </w:rPr>
              <w:t>0</w:t>
            </w:r>
            <w:r w:rsidR="00545E40" w:rsidRPr="00432926">
              <w:rPr>
                <w:rFonts w:cs="Times New Roman"/>
                <w:sz w:val="22"/>
              </w:rPr>
              <w:t>1</w:t>
            </w:r>
          </w:p>
        </w:tc>
        <w:tc>
          <w:tcPr>
            <w:tcW w:w="1641" w:type="dxa"/>
            <w:vAlign w:val="center"/>
          </w:tcPr>
          <w:p w14:paraId="70D038BD"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1610 (20.3%)</w:t>
            </w:r>
          </w:p>
        </w:tc>
        <w:tc>
          <w:tcPr>
            <w:tcW w:w="1651" w:type="dxa"/>
            <w:vAlign w:val="center"/>
          </w:tcPr>
          <w:p w14:paraId="7F1DB067"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341 (21.1%)</w:t>
            </w:r>
          </w:p>
        </w:tc>
        <w:tc>
          <w:tcPr>
            <w:tcW w:w="0" w:type="auto"/>
            <w:vAlign w:val="center"/>
          </w:tcPr>
          <w:p w14:paraId="31056877" w14:textId="6AC22848"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0.47</w:t>
            </w:r>
            <w:r w:rsidR="00702726" w:rsidRPr="00432926">
              <w:rPr>
                <w:rFonts w:cs="Times New Roman"/>
                <w:sz w:val="22"/>
              </w:rPr>
              <w:t>2</w:t>
            </w:r>
          </w:p>
        </w:tc>
      </w:tr>
      <w:tr w:rsidR="00545E40" w:rsidRPr="00432926" w14:paraId="28469336" w14:textId="77777777" w:rsidTr="00622D46">
        <w:trPr>
          <w:trHeight w:val="263"/>
        </w:trPr>
        <w:tc>
          <w:tcPr>
            <w:cnfStyle w:val="001000000000" w:firstRow="0" w:lastRow="0" w:firstColumn="1" w:lastColumn="0" w:oddVBand="0" w:evenVBand="0" w:oddHBand="0" w:evenHBand="0" w:firstRowFirstColumn="0" w:firstRowLastColumn="0" w:lastRowFirstColumn="0" w:lastRowLastColumn="0"/>
            <w:tcW w:w="0" w:type="auto"/>
          </w:tcPr>
          <w:p w14:paraId="11BDB2B0" w14:textId="77777777" w:rsidR="00545E40" w:rsidRPr="00432926" w:rsidRDefault="00545E40" w:rsidP="00FB62C4">
            <w:pPr>
              <w:rPr>
                <w:rFonts w:cs="Times New Roman"/>
                <w:b w:val="0"/>
                <w:sz w:val="22"/>
              </w:rPr>
            </w:pPr>
            <w:r w:rsidRPr="00432926">
              <w:rPr>
                <w:rFonts w:cs="Times New Roman"/>
                <w:b w:val="0"/>
                <w:sz w:val="22"/>
              </w:rPr>
              <w:t>Cerebrovascular disease</w:t>
            </w:r>
          </w:p>
        </w:tc>
        <w:tc>
          <w:tcPr>
            <w:tcW w:w="0" w:type="auto"/>
            <w:vAlign w:val="center"/>
          </w:tcPr>
          <w:p w14:paraId="357CB386"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4393 (8.6%)</w:t>
            </w:r>
          </w:p>
        </w:tc>
        <w:tc>
          <w:tcPr>
            <w:tcW w:w="0" w:type="auto"/>
            <w:vAlign w:val="center"/>
          </w:tcPr>
          <w:p w14:paraId="0BFFEE41"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464 (8.1%)</w:t>
            </w:r>
          </w:p>
        </w:tc>
        <w:tc>
          <w:tcPr>
            <w:tcW w:w="0" w:type="auto"/>
            <w:vAlign w:val="center"/>
          </w:tcPr>
          <w:p w14:paraId="7463ED88" w14:textId="68BD26B5"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0.25</w:t>
            </w:r>
            <w:r w:rsidR="00F237DB" w:rsidRPr="00432926">
              <w:rPr>
                <w:rFonts w:cs="Times New Roman"/>
                <w:sz w:val="22"/>
              </w:rPr>
              <w:t>2</w:t>
            </w:r>
          </w:p>
        </w:tc>
        <w:tc>
          <w:tcPr>
            <w:tcW w:w="1641" w:type="dxa"/>
            <w:vAlign w:val="center"/>
          </w:tcPr>
          <w:p w14:paraId="389C63E8"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654 (8.2%)</w:t>
            </w:r>
          </w:p>
        </w:tc>
        <w:tc>
          <w:tcPr>
            <w:tcW w:w="1651" w:type="dxa"/>
            <w:vAlign w:val="center"/>
          </w:tcPr>
          <w:p w14:paraId="62B18B87"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136 (8.2%)</w:t>
            </w:r>
          </w:p>
        </w:tc>
        <w:tc>
          <w:tcPr>
            <w:tcW w:w="0" w:type="auto"/>
            <w:vAlign w:val="center"/>
          </w:tcPr>
          <w:p w14:paraId="5042A87D" w14:textId="4C627712"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0.97</w:t>
            </w:r>
            <w:r w:rsidR="007D26E7" w:rsidRPr="00432926">
              <w:rPr>
                <w:rFonts w:cs="Times New Roman"/>
                <w:sz w:val="22"/>
              </w:rPr>
              <w:t>2</w:t>
            </w:r>
          </w:p>
        </w:tc>
      </w:tr>
      <w:tr w:rsidR="00545E40" w:rsidRPr="00432926" w14:paraId="0F030F82" w14:textId="77777777" w:rsidTr="00622D46">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0" w:type="auto"/>
          </w:tcPr>
          <w:p w14:paraId="368A4341" w14:textId="77777777" w:rsidR="00545E40" w:rsidRPr="00432926" w:rsidRDefault="00545E40" w:rsidP="00FB62C4">
            <w:pPr>
              <w:rPr>
                <w:rFonts w:cs="Times New Roman"/>
                <w:b w:val="0"/>
                <w:sz w:val="22"/>
              </w:rPr>
            </w:pPr>
            <w:r w:rsidRPr="00432926">
              <w:rPr>
                <w:rFonts w:cs="Times New Roman"/>
                <w:b w:val="0"/>
                <w:sz w:val="22"/>
              </w:rPr>
              <w:t xml:space="preserve">Myocardial infarction </w:t>
            </w:r>
          </w:p>
        </w:tc>
        <w:tc>
          <w:tcPr>
            <w:tcW w:w="0" w:type="auto"/>
            <w:vAlign w:val="center"/>
          </w:tcPr>
          <w:p w14:paraId="7142D6C6"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12144 (23.5%)</w:t>
            </w:r>
          </w:p>
        </w:tc>
        <w:tc>
          <w:tcPr>
            <w:tcW w:w="0" w:type="auto"/>
            <w:vAlign w:val="center"/>
          </w:tcPr>
          <w:p w14:paraId="2C3652AE"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1778 (30.7%)</w:t>
            </w:r>
          </w:p>
        </w:tc>
        <w:tc>
          <w:tcPr>
            <w:tcW w:w="0" w:type="auto"/>
            <w:vAlign w:val="center"/>
          </w:tcPr>
          <w:p w14:paraId="3B0EB4A7" w14:textId="3B82D1C9" w:rsidR="00545E40" w:rsidRPr="00432926" w:rsidRDefault="00FD364D"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&lt;0.0</w:t>
            </w:r>
            <w:r w:rsidR="00F237DB" w:rsidRPr="00432926">
              <w:rPr>
                <w:rFonts w:cs="Times New Roman"/>
                <w:sz w:val="22"/>
              </w:rPr>
              <w:t>0</w:t>
            </w:r>
            <w:r w:rsidR="00545E40" w:rsidRPr="00432926">
              <w:rPr>
                <w:rFonts w:cs="Times New Roman"/>
                <w:sz w:val="22"/>
              </w:rPr>
              <w:t>1</w:t>
            </w:r>
          </w:p>
        </w:tc>
        <w:tc>
          <w:tcPr>
            <w:tcW w:w="1641" w:type="dxa"/>
            <w:vAlign w:val="center"/>
          </w:tcPr>
          <w:p w14:paraId="3E354389"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1919 (23.8%)</w:t>
            </w:r>
          </w:p>
        </w:tc>
        <w:tc>
          <w:tcPr>
            <w:tcW w:w="1651" w:type="dxa"/>
            <w:vAlign w:val="center"/>
          </w:tcPr>
          <w:p w14:paraId="1C6CA295"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395 (23.6%)</w:t>
            </w:r>
          </w:p>
        </w:tc>
        <w:tc>
          <w:tcPr>
            <w:tcW w:w="0" w:type="auto"/>
            <w:vAlign w:val="center"/>
          </w:tcPr>
          <w:p w14:paraId="0EA5F05E" w14:textId="787ED5B0"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0.87</w:t>
            </w:r>
            <w:r w:rsidR="007D26E7" w:rsidRPr="00432926">
              <w:rPr>
                <w:rFonts w:cs="Times New Roman"/>
                <w:sz w:val="22"/>
              </w:rPr>
              <w:t>4</w:t>
            </w:r>
          </w:p>
        </w:tc>
      </w:tr>
      <w:tr w:rsidR="00545E40" w:rsidRPr="00432926" w14:paraId="576B2F38" w14:textId="77777777" w:rsidTr="00622D46">
        <w:trPr>
          <w:trHeight w:val="275"/>
        </w:trPr>
        <w:tc>
          <w:tcPr>
            <w:cnfStyle w:val="001000000000" w:firstRow="0" w:lastRow="0" w:firstColumn="1" w:lastColumn="0" w:oddVBand="0" w:evenVBand="0" w:oddHBand="0" w:evenHBand="0" w:firstRowFirstColumn="0" w:firstRowLastColumn="0" w:lastRowFirstColumn="0" w:lastRowLastColumn="0"/>
            <w:tcW w:w="0" w:type="auto"/>
          </w:tcPr>
          <w:p w14:paraId="03769B0A" w14:textId="77777777" w:rsidR="00545E40" w:rsidRPr="00432926" w:rsidRDefault="00545E40" w:rsidP="00FB62C4">
            <w:pPr>
              <w:rPr>
                <w:rFonts w:cs="Times New Roman"/>
                <w:b w:val="0"/>
                <w:sz w:val="22"/>
              </w:rPr>
            </w:pPr>
            <w:r w:rsidRPr="00432926">
              <w:rPr>
                <w:rFonts w:cs="Times New Roman"/>
                <w:b w:val="0"/>
                <w:sz w:val="22"/>
              </w:rPr>
              <w:t>Peripheral vascular disease</w:t>
            </w:r>
          </w:p>
        </w:tc>
        <w:tc>
          <w:tcPr>
            <w:tcW w:w="0" w:type="auto"/>
            <w:vAlign w:val="center"/>
          </w:tcPr>
          <w:p w14:paraId="78267392"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2528 (4.9%)</w:t>
            </w:r>
          </w:p>
        </w:tc>
        <w:tc>
          <w:tcPr>
            <w:tcW w:w="0" w:type="auto"/>
            <w:vAlign w:val="center"/>
          </w:tcPr>
          <w:p w14:paraId="762C96EE"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207 (3.6%)</w:t>
            </w:r>
          </w:p>
        </w:tc>
        <w:tc>
          <w:tcPr>
            <w:tcW w:w="0" w:type="auto"/>
            <w:vAlign w:val="center"/>
          </w:tcPr>
          <w:p w14:paraId="27A72212" w14:textId="24B6D24E" w:rsidR="00545E40" w:rsidRPr="00432926" w:rsidRDefault="00FD364D"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&lt;0.0</w:t>
            </w:r>
            <w:r w:rsidR="00F237DB" w:rsidRPr="00432926">
              <w:rPr>
                <w:rFonts w:cs="Times New Roman"/>
                <w:sz w:val="22"/>
              </w:rPr>
              <w:t>0</w:t>
            </w:r>
            <w:r w:rsidR="00545E40" w:rsidRPr="00432926">
              <w:rPr>
                <w:rFonts w:cs="Times New Roman"/>
                <w:sz w:val="22"/>
              </w:rPr>
              <w:t>1</w:t>
            </w:r>
          </w:p>
        </w:tc>
        <w:tc>
          <w:tcPr>
            <w:tcW w:w="1641" w:type="dxa"/>
            <w:vAlign w:val="center"/>
          </w:tcPr>
          <w:p w14:paraId="51D2DEE2"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399 (5.0%)</w:t>
            </w:r>
          </w:p>
        </w:tc>
        <w:tc>
          <w:tcPr>
            <w:tcW w:w="1651" w:type="dxa"/>
            <w:vAlign w:val="center"/>
          </w:tcPr>
          <w:p w14:paraId="21BD75D8"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48 (2.9%)</w:t>
            </w:r>
          </w:p>
        </w:tc>
        <w:tc>
          <w:tcPr>
            <w:tcW w:w="0" w:type="auto"/>
            <w:vAlign w:val="center"/>
          </w:tcPr>
          <w:p w14:paraId="7C5EAEF7" w14:textId="34D8AD36" w:rsidR="00545E40" w:rsidRPr="00432926" w:rsidRDefault="00FD364D"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&lt;0.0</w:t>
            </w:r>
            <w:r w:rsidR="007D26E7" w:rsidRPr="00432926">
              <w:rPr>
                <w:rFonts w:cs="Times New Roman"/>
                <w:sz w:val="22"/>
              </w:rPr>
              <w:t>0</w:t>
            </w:r>
            <w:r w:rsidR="00545E40" w:rsidRPr="00432926">
              <w:rPr>
                <w:rFonts w:cs="Times New Roman"/>
                <w:sz w:val="22"/>
              </w:rPr>
              <w:t>1</w:t>
            </w:r>
          </w:p>
        </w:tc>
      </w:tr>
      <w:tr w:rsidR="00545E40" w:rsidRPr="00432926" w14:paraId="647BA637" w14:textId="77777777" w:rsidTr="00622D46">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0" w:type="auto"/>
          </w:tcPr>
          <w:p w14:paraId="45FF49FD" w14:textId="77777777" w:rsidR="00545E40" w:rsidRPr="00432926" w:rsidRDefault="00545E40" w:rsidP="00FB62C4">
            <w:pPr>
              <w:rPr>
                <w:rFonts w:cs="Times New Roman"/>
                <w:b w:val="0"/>
                <w:sz w:val="22"/>
              </w:rPr>
            </w:pPr>
            <w:r w:rsidRPr="00432926">
              <w:rPr>
                <w:rFonts w:cs="Times New Roman"/>
                <w:b w:val="0"/>
                <w:sz w:val="22"/>
              </w:rPr>
              <w:t>Chronic kidney disease</w:t>
            </w:r>
          </w:p>
        </w:tc>
        <w:tc>
          <w:tcPr>
            <w:tcW w:w="0" w:type="auto"/>
            <w:vAlign w:val="center"/>
          </w:tcPr>
          <w:p w14:paraId="6DC65629"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3664 (7.2%)</w:t>
            </w:r>
          </w:p>
        </w:tc>
        <w:tc>
          <w:tcPr>
            <w:tcW w:w="0" w:type="auto"/>
            <w:vAlign w:val="center"/>
          </w:tcPr>
          <w:p w14:paraId="6CE44845"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746 (13.0%)</w:t>
            </w:r>
          </w:p>
        </w:tc>
        <w:tc>
          <w:tcPr>
            <w:tcW w:w="0" w:type="auto"/>
            <w:vAlign w:val="center"/>
          </w:tcPr>
          <w:p w14:paraId="0CB57622" w14:textId="14AEBC5A" w:rsidR="00545E40" w:rsidRPr="00432926" w:rsidRDefault="00FD364D"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&lt;0.0</w:t>
            </w:r>
            <w:r w:rsidR="00F237DB" w:rsidRPr="00432926">
              <w:rPr>
                <w:rFonts w:cs="Times New Roman"/>
                <w:sz w:val="22"/>
              </w:rPr>
              <w:t>0</w:t>
            </w:r>
            <w:r w:rsidR="00545E40" w:rsidRPr="00432926">
              <w:rPr>
                <w:rFonts w:cs="Times New Roman"/>
                <w:sz w:val="22"/>
              </w:rPr>
              <w:t>1</w:t>
            </w:r>
          </w:p>
        </w:tc>
        <w:tc>
          <w:tcPr>
            <w:tcW w:w="1641" w:type="dxa"/>
            <w:vAlign w:val="center"/>
          </w:tcPr>
          <w:p w14:paraId="28819B98"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588 (7.3%)</w:t>
            </w:r>
          </w:p>
        </w:tc>
        <w:tc>
          <w:tcPr>
            <w:tcW w:w="1651" w:type="dxa"/>
            <w:vAlign w:val="center"/>
          </w:tcPr>
          <w:p w14:paraId="0F3AD443"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157 (9.6%)</w:t>
            </w:r>
          </w:p>
        </w:tc>
        <w:tc>
          <w:tcPr>
            <w:tcW w:w="0" w:type="auto"/>
            <w:vAlign w:val="center"/>
          </w:tcPr>
          <w:p w14:paraId="5EEDD119" w14:textId="7779B639" w:rsidR="00545E40" w:rsidRPr="00432926" w:rsidRDefault="00FD364D"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&lt;0.0</w:t>
            </w:r>
            <w:r w:rsidR="007D26E7" w:rsidRPr="00432926">
              <w:rPr>
                <w:rFonts w:cs="Times New Roman"/>
                <w:sz w:val="22"/>
              </w:rPr>
              <w:t>0</w:t>
            </w:r>
            <w:r w:rsidR="00545E40" w:rsidRPr="00432926">
              <w:rPr>
                <w:rFonts w:cs="Times New Roman"/>
                <w:sz w:val="22"/>
              </w:rPr>
              <w:t>1</w:t>
            </w:r>
          </w:p>
        </w:tc>
      </w:tr>
      <w:tr w:rsidR="00545E40" w:rsidRPr="00432926" w14:paraId="002C00B7" w14:textId="77777777" w:rsidTr="00622D46">
        <w:trPr>
          <w:trHeight w:val="275"/>
        </w:trPr>
        <w:tc>
          <w:tcPr>
            <w:cnfStyle w:val="001000000000" w:firstRow="0" w:lastRow="0" w:firstColumn="1" w:lastColumn="0" w:oddVBand="0" w:evenVBand="0" w:oddHBand="0" w:evenHBand="0" w:firstRowFirstColumn="0" w:firstRowLastColumn="0" w:lastRowFirstColumn="0" w:lastRowLastColumn="0"/>
            <w:tcW w:w="0" w:type="auto"/>
          </w:tcPr>
          <w:p w14:paraId="76A468AA" w14:textId="77777777" w:rsidR="00545E40" w:rsidRPr="00432926" w:rsidRDefault="00545E40" w:rsidP="00FB62C4">
            <w:pPr>
              <w:rPr>
                <w:rFonts w:cs="Times New Roman"/>
                <w:b w:val="0"/>
                <w:sz w:val="22"/>
              </w:rPr>
            </w:pPr>
            <w:r w:rsidRPr="00432926">
              <w:rPr>
                <w:rFonts w:cs="Times New Roman"/>
                <w:b w:val="0"/>
                <w:sz w:val="22"/>
              </w:rPr>
              <w:t>Diabetes</w:t>
            </w:r>
          </w:p>
        </w:tc>
        <w:tc>
          <w:tcPr>
            <w:tcW w:w="0" w:type="auto"/>
            <w:vAlign w:val="center"/>
          </w:tcPr>
          <w:p w14:paraId="1C50360D"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p>
        </w:tc>
        <w:tc>
          <w:tcPr>
            <w:tcW w:w="0" w:type="auto"/>
            <w:vAlign w:val="center"/>
          </w:tcPr>
          <w:p w14:paraId="4C36409A"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p>
        </w:tc>
        <w:tc>
          <w:tcPr>
            <w:tcW w:w="0" w:type="auto"/>
            <w:vAlign w:val="center"/>
          </w:tcPr>
          <w:p w14:paraId="58593068" w14:textId="0E7C7D26" w:rsidR="00545E40" w:rsidRPr="00432926" w:rsidRDefault="00FD364D"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&lt;0.0</w:t>
            </w:r>
            <w:r w:rsidR="00F237DB" w:rsidRPr="00432926">
              <w:rPr>
                <w:rFonts w:cs="Times New Roman"/>
                <w:sz w:val="22"/>
              </w:rPr>
              <w:t>0</w:t>
            </w:r>
            <w:r w:rsidR="00545E40" w:rsidRPr="00432926">
              <w:rPr>
                <w:rFonts w:cs="Times New Roman"/>
                <w:sz w:val="22"/>
              </w:rPr>
              <w:t>1</w:t>
            </w:r>
          </w:p>
        </w:tc>
        <w:tc>
          <w:tcPr>
            <w:tcW w:w="1641" w:type="dxa"/>
            <w:vAlign w:val="center"/>
          </w:tcPr>
          <w:p w14:paraId="70A2E52A"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p>
        </w:tc>
        <w:tc>
          <w:tcPr>
            <w:tcW w:w="1651" w:type="dxa"/>
            <w:vAlign w:val="center"/>
          </w:tcPr>
          <w:p w14:paraId="343E5EDD"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p>
        </w:tc>
        <w:tc>
          <w:tcPr>
            <w:tcW w:w="0" w:type="auto"/>
            <w:vAlign w:val="center"/>
          </w:tcPr>
          <w:p w14:paraId="57CA1F9F" w14:textId="13509F19"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&lt;</w:t>
            </w:r>
            <w:r w:rsidR="00FD364D" w:rsidRPr="00432926">
              <w:rPr>
                <w:rFonts w:cs="Times New Roman"/>
                <w:sz w:val="22"/>
              </w:rPr>
              <w:t>0.0</w:t>
            </w:r>
            <w:r w:rsidR="007D26E7" w:rsidRPr="00432926">
              <w:rPr>
                <w:rFonts w:cs="Times New Roman"/>
                <w:sz w:val="22"/>
              </w:rPr>
              <w:t>0</w:t>
            </w:r>
            <w:r w:rsidRPr="00432926">
              <w:rPr>
                <w:rFonts w:cs="Times New Roman"/>
                <w:sz w:val="22"/>
              </w:rPr>
              <w:t>1</w:t>
            </w:r>
          </w:p>
        </w:tc>
      </w:tr>
      <w:tr w:rsidR="00545E40" w:rsidRPr="00432926" w14:paraId="318E9212" w14:textId="77777777" w:rsidTr="00622D46">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0" w:type="auto"/>
          </w:tcPr>
          <w:p w14:paraId="332419D0" w14:textId="77777777" w:rsidR="00545E40" w:rsidRPr="00432926" w:rsidRDefault="00545E40" w:rsidP="00FB62C4">
            <w:pPr>
              <w:rPr>
                <w:rFonts w:cs="Times New Roman"/>
                <w:b w:val="0"/>
                <w:sz w:val="22"/>
              </w:rPr>
            </w:pPr>
            <w:r w:rsidRPr="00432926">
              <w:rPr>
                <w:rFonts w:cs="Times New Roman"/>
                <w:b w:val="0"/>
                <w:sz w:val="22"/>
              </w:rPr>
              <w:t xml:space="preserve">Not diabetic </w:t>
            </w:r>
          </w:p>
        </w:tc>
        <w:tc>
          <w:tcPr>
            <w:tcW w:w="0" w:type="auto"/>
            <w:vAlign w:val="center"/>
          </w:tcPr>
          <w:p w14:paraId="0AFF1649"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41749 (76.1%)</w:t>
            </w:r>
          </w:p>
        </w:tc>
        <w:tc>
          <w:tcPr>
            <w:tcW w:w="0" w:type="auto"/>
            <w:vAlign w:val="center"/>
          </w:tcPr>
          <w:p w14:paraId="7706A896"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3077 (50.3%)</w:t>
            </w:r>
          </w:p>
        </w:tc>
        <w:tc>
          <w:tcPr>
            <w:tcW w:w="0" w:type="auto"/>
            <w:vAlign w:val="center"/>
          </w:tcPr>
          <w:p w14:paraId="557E79ED"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p>
        </w:tc>
        <w:tc>
          <w:tcPr>
            <w:tcW w:w="1641" w:type="dxa"/>
            <w:vAlign w:val="center"/>
          </w:tcPr>
          <w:p w14:paraId="7018679D"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6351 (75.3%)</w:t>
            </w:r>
          </w:p>
        </w:tc>
        <w:tc>
          <w:tcPr>
            <w:tcW w:w="1651" w:type="dxa"/>
            <w:vAlign w:val="center"/>
          </w:tcPr>
          <w:p w14:paraId="734BEF2A"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1078 (61.2%)</w:t>
            </w:r>
          </w:p>
        </w:tc>
        <w:tc>
          <w:tcPr>
            <w:tcW w:w="0" w:type="auto"/>
            <w:vAlign w:val="center"/>
          </w:tcPr>
          <w:p w14:paraId="43230549"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p>
        </w:tc>
      </w:tr>
      <w:tr w:rsidR="00545E40" w:rsidRPr="00432926" w14:paraId="375F8472" w14:textId="77777777" w:rsidTr="00622D46">
        <w:trPr>
          <w:trHeight w:val="275"/>
        </w:trPr>
        <w:tc>
          <w:tcPr>
            <w:cnfStyle w:val="001000000000" w:firstRow="0" w:lastRow="0" w:firstColumn="1" w:lastColumn="0" w:oddVBand="0" w:evenVBand="0" w:oddHBand="0" w:evenHBand="0" w:firstRowFirstColumn="0" w:firstRowLastColumn="0" w:lastRowFirstColumn="0" w:lastRowLastColumn="0"/>
            <w:tcW w:w="0" w:type="auto"/>
          </w:tcPr>
          <w:p w14:paraId="45867A21" w14:textId="77777777" w:rsidR="00545E40" w:rsidRPr="00432926" w:rsidRDefault="00545E40" w:rsidP="00FB62C4">
            <w:pPr>
              <w:rPr>
                <w:rFonts w:cs="Times New Roman"/>
                <w:b w:val="0"/>
                <w:sz w:val="22"/>
              </w:rPr>
            </w:pPr>
            <w:r w:rsidRPr="00432926">
              <w:rPr>
                <w:rFonts w:cs="Times New Roman"/>
                <w:b w:val="0"/>
                <w:sz w:val="22"/>
              </w:rPr>
              <w:t>Diet controlled</w:t>
            </w:r>
          </w:p>
        </w:tc>
        <w:tc>
          <w:tcPr>
            <w:tcW w:w="0" w:type="auto"/>
            <w:vAlign w:val="center"/>
          </w:tcPr>
          <w:p w14:paraId="530829AA"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2265 (4.1%)</w:t>
            </w:r>
          </w:p>
        </w:tc>
        <w:tc>
          <w:tcPr>
            <w:tcW w:w="0" w:type="auto"/>
            <w:vAlign w:val="center"/>
          </w:tcPr>
          <w:p w14:paraId="7B334B40"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285 (4.7%)</w:t>
            </w:r>
          </w:p>
        </w:tc>
        <w:tc>
          <w:tcPr>
            <w:tcW w:w="0" w:type="auto"/>
            <w:vAlign w:val="center"/>
          </w:tcPr>
          <w:p w14:paraId="79DAD70C"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p>
        </w:tc>
        <w:tc>
          <w:tcPr>
            <w:tcW w:w="1641" w:type="dxa"/>
            <w:vAlign w:val="center"/>
          </w:tcPr>
          <w:p w14:paraId="5B78F0DA"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379 (4.5%)</w:t>
            </w:r>
          </w:p>
        </w:tc>
        <w:tc>
          <w:tcPr>
            <w:tcW w:w="1651" w:type="dxa"/>
            <w:vAlign w:val="center"/>
          </w:tcPr>
          <w:p w14:paraId="49BCC106"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79 (4.5%)</w:t>
            </w:r>
          </w:p>
        </w:tc>
        <w:tc>
          <w:tcPr>
            <w:tcW w:w="0" w:type="auto"/>
            <w:vAlign w:val="center"/>
          </w:tcPr>
          <w:p w14:paraId="6945D73F"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p>
        </w:tc>
      </w:tr>
      <w:tr w:rsidR="00545E40" w:rsidRPr="00432926" w14:paraId="2750C2FA" w14:textId="77777777" w:rsidTr="00622D46">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0" w:type="auto"/>
          </w:tcPr>
          <w:p w14:paraId="6668ED37" w14:textId="77777777" w:rsidR="00545E40" w:rsidRPr="00432926" w:rsidRDefault="00545E40" w:rsidP="00FB62C4">
            <w:pPr>
              <w:rPr>
                <w:rFonts w:cs="Times New Roman"/>
                <w:b w:val="0"/>
                <w:sz w:val="22"/>
              </w:rPr>
            </w:pPr>
            <w:r w:rsidRPr="00432926">
              <w:rPr>
                <w:rFonts w:cs="Times New Roman"/>
                <w:b w:val="0"/>
                <w:sz w:val="22"/>
              </w:rPr>
              <w:t>Oral medications</w:t>
            </w:r>
          </w:p>
        </w:tc>
        <w:tc>
          <w:tcPr>
            <w:tcW w:w="0" w:type="auto"/>
            <w:vAlign w:val="center"/>
          </w:tcPr>
          <w:p w14:paraId="62615515"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6879 (12.5%)</w:t>
            </w:r>
          </w:p>
        </w:tc>
        <w:tc>
          <w:tcPr>
            <w:tcW w:w="0" w:type="auto"/>
            <w:vAlign w:val="center"/>
          </w:tcPr>
          <w:p w14:paraId="4B09FB5E"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1805 (29.5%)</w:t>
            </w:r>
          </w:p>
        </w:tc>
        <w:tc>
          <w:tcPr>
            <w:tcW w:w="0" w:type="auto"/>
            <w:vAlign w:val="center"/>
          </w:tcPr>
          <w:p w14:paraId="58FD1ED6"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p>
        </w:tc>
        <w:tc>
          <w:tcPr>
            <w:tcW w:w="1641" w:type="dxa"/>
            <w:vAlign w:val="center"/>
          </w:tcPr>
          <w:p w14:paraId="0194E1D8"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1091 (12.9%)</w:t>
            </w:r>
          </w:p>
        </w:tc>
        <w:tc>
          <w:tcPr>
            <w:tcW w:w="1651" w:type="dxa"/>
            <w:vAlign w:val="center"/>
          </w:tcPr>
          <w:p w14:paraId="47A8D6BD"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390 (22.1%)</w:t>
            </w:r>
          </w:p>
        </w:tc>
        <w:tc>
          <w:tcPr>
            <w:tcW w:w="0" w:type="auto"/>
            <w:vAlign w:val="center"/>
          </w:tcPr>
          <w:p w14:paraId="3342DE23"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p>
        </w:tc>
      </w:tr>
      <w:tr w:rsidR="00545E40" w:rsidRPr="00432926" w14:paraId="576161CD" w14:textId="77777777" w:rsidTr="00622D46">
        <w:trPr>
          <w:trHeight w:val="275"/>
        </w:trPr>
        <w:tc>
          <w:tcPr>
            <w:cnfStyle w:val="001000000000" w:firstRow="0" w:lastRow="0" w:firstColumn="1" w:lastColumn="0" w:oddVBand="0" w:evenVBand="0" w:oddHBand="0" w:evenHBand="0" w:firstRowFirstColumn="0" w:firstRowLastColumn="0" w:lastRowFirstColumn="0" w:lastRowLastColumn="0"/>
            <w:tcW w:w="0" w:type="auto"/>
          </w:tcPr>
          <w:p w14:paraId="6054B7A0" w14:textId="77777777" w:rsidR="00545E40" w:rsidRPr="00432926" w:rsidRDefault="00545E40" w:rsidP="00FB62C4">
            <w:pPr>
              <w:rPr>
                <w:rFonts w:cs="Times New Roman"/>
                <w:b w:val="0"/>
                <w:sz w:val="22"/>
              </w:rPr>
            </w:pPr>
            <w:r w:rsidRPr="00432926">
              <w:rPr>
                <w:rFonts w:cs="Times New Roman"/>
                <w:b w:val="0"/>
                <w:sz w:val="22"/>
              </w:rPr>
              <w:t>Insulin therapy</w:t>
            </w:r>
          </w:p>
        </w:tc>
        <w:tc>
          <w:tcPr>
            <w:tcW w:w="0" w:type="auto"/>
            <w:vAlign w:val="center"/>
          </w:tcPr>
          <w:p w14:paraId="2D1567EB"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3979 (7.3%)</w:t>
            </w:r>
          </w:p>
        </w:tc>
        <w:tc>
          <w:tcPr>
            <w:tcW w:w="0" w:type="auto"/>
            <w:vAlign w:val="center"/>
          </w:tcPr>
          <w:p w14:paraId="29406057"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948 (15.5%)</w:t>
            </w:r>
          </w:p>
        </w:tc>
        <w:tc>
          <w:tcPr>
            <w:tcW w:w="0" w:type="auto"/>
            <w:vAlign w:val="center"/>
          </w:tcPr>
          <w:p w14:paraId="25BCA566"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p>
        </w:tc>
        <w:tc>
          <w:tcPr>
            <w:tcW w:w="1641" w:type="dxa"/>
            <w:vAlign w:val="center"/>
          </w:tcPr>
          <w:p w14:paraId="512211F2"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611 (7.2%)</w:t>
            </w:r>
          </w:p>
        </w:tc>
        <w:tc>
          <w:tcPr>
            <w:tcW w:w="1651" w:type="dxa"/>
            <w:vAlign w:val="center"/>
          </w:tcPr>
          <w:p w14:paraId="23174D3A"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214 (12.2%)</w:t>
            </w:r>
          </w:p>
        </w:tc>
        <w:tc>
          <w:tcPr>
            <w:tcW w:w="0" w:type="auto"/>
            <w:vAlign w:val="center"/>
          </w:tcPr>
          <w:p w14:paraId="4FFA7B84"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p>
        </w:tc>
      </w:tr>
      <w:tr w:rsidR="00545E40" w:rsidRPr="00432926" w14:paraId="445CA033" w14:textId="77777777" w:rsidTr="00622D46">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0" w:type="auto"/>
          </w:tcPr>
          <w:p w14:paraId="4DF1D00F" w14:textId="77777777" w:rsidR="00545E40" w:rsidRPr="00432926" w:rsidRDefault="00545E40" w:rsidP="00FB62C4">
            <w:pPr>
              <w:rPr>
                <w:rFonts w:cs="Times New Roman"/>
                <w:b w:val="0"/>
                <w:sz w:val="22"/>
              </w:rPr>
            </w:pPr>
            <w:r w:rsidRPr="00432926">
              <w:rPr>
                <w:rFonts w:cs="Times New Roman"/>
                <w:b w:val="0"/>
                <w:sz w:val="22"/>
              </w:rPr>
              <w:t>Hypertension</w:t>
            </w:r>
          </w:p>
        </w:tc>
        <w:tc>
          <w:tcPr>
            <w:tcW w:w="0" w:type="auto"/>
            <w:vAlign w:val="center"/>
          </w:tcPr>
          <w:p w14:paraId="50C7C071"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27142 (52.2%)</w:t>
            </w:r>
          </w:p>
        </w:tc>
        <w:tc>
          <w:tcPr>
            <w:tcW w:w="0" w:type="auto"/>
            <w:vAlign w:val="center"/>
          </w:tcPr>
          <w:p w14:paraId="1A2E8598"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3871 (66.0%)</w:t>
            </w:r>
          </w:p>
        </w:tc>
        <w:tc>
          <w:tcPr>
            <w:tcW w:w="0" w:type="auto"/>
            <w:vAlign w:val="center"/>
          </w:tcPr>
          <w:p w14:paraId="05C7EA32" w14:textId="58D9D3F9" w:rsidR="00545E40" w:rsidRPr="00432926" w:rsidRDefault="00FD364D"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&lt;0.0</w:t>
            </w:r>
            <w:r w:rsidR="00F237DB" w:rsidRPr="00432926">
              <w:rPr>
                <w:rFonts w:cs="Times New Roman"/>
                <w:sz w:val="22"/>
              </w:rPr>
              <w:t>0</w:t>
            </w:r>
            <w:r w:rsidR="00545E40" w:rsidRPr="00432926">
              <w:rPr>
                <w:rFonts w:cs="Times New Roman"/>
                <w:sz w:val="22"/>
              </w:rPr>
              <w:t>1</w:t>
            </w:r>
          </w:p>
        </w:tc>
        <w:tc>
          <w:tcPr>
            <w:tcW w:w="1641" w:type="dxa"/>
            <w:vAlign w:val="center"/>
          </w:tcPr>
          <w:p w14:paraId="617028B3"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6351 (75.3%)</w:t>
            </w:r>
          </w:p>
        </w:tc>
        <w:tc>
          <w:tcPr>
            <w:tcW w:w="1651" w:type="dxa"/>
            <w:vAlign w:val="center"/>
          </w:tcPr>
          <w:p w14:paraId="26D63F22"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1078 (61.2%)</w:t>
            </w:r>
          </w:p>
        </w:tc>
        <w:tc>
          <w:tcPr>
            <w:tcW w:w="0" w:type="auto"/>
            <w:vAlign w:val="center"/>
          </w:tcPr>
          <w:p w14:paraId="0440C89B" w14:textId="16F43543" w:rsidR="00545E40" w:rsidRPr="00432926" w:rsidRDefault="00FD364D"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&lt;0.0</w:t>
            </w:r>
            <w:r w:rsidR="007D26E7" w:rsidRPr="00432926">
              <w:rPr>
                <w:rFonts w:cs="Times New Roman"/>
                <w:sz w:val="22"/>
              </w:rPr>
              <w:t>0</w:t>
            </w:r>
            <w:r w:rsidR="00545E40" w:rsidRPr="00432926">
              <w:rPr>
                <w:rFonts w:cs="Times New Roman"/>
                <w:sz w:val="22"/>
              </w:rPr>
              <w:t>1</w:t>
            </w:r>
          </w:p>
        </w:tc>
      </w:tr>
      <w:tr w:rsidR="00545E40" w:rsidRPr="00432926" w14:paraId="35992D1A" w14:textId="77777777" w:rsidTr="00622D46">
        <w:trPr>
          <w:trHeight w:val="263"/>
        </w:trPr>
        <w:tc>
          <w:tcPr>
            <w:cnfStyle w:val="001000000000" w:firstRow="0" w:lastRow="0" w:firstColumn="1" w:lastColumn="0" w:oddVBand="0" w:evenVBand="0" w:oddHBand="0" w:evenHBand="0" w:firstRowFirstColumn="0" w:firstRowLastColumn="0" w:lastRowFirstColumn="0" w:lastRowLastColumn="0"/>
            <w:tcW w:w="0" w:type="auto"/>
          </w:tcPr>
          <w:p w14:paraId="307A9FB7" w14:textId="77777777" w:rsidR="00545E40" w:rsidRPr="00432926" w:rsidRDefault="00545E40" w:rsidP="00FB62C4">
            <w:pPr>
              <w:rPr>
                <w:rFonts w:cs="Times New Roman"/>
                <w:b w:val="0"/>
                <w:i/>
                <w:sz w:val="22"/>
              </w:rPr>
            </w:pPr>
            <w:r w:rsidRPr="00432926">
              <w:rPr>
                <w:rFonts w:cs="Times New Roman"/>
                <w:b w:val="0"/>
                <w:i/>
                <w:sz w:val="22"/>
              </w:rPr>
              <w:t>Smoking status</w:t>
            </w:r>
          </w:p>
        </w:tc>
        <w:tc>
          <w:tcPr>
            <w:tcW w:w="0" w:type="auto"/>
            <w:vAlign w:val="center"/>
          </w:tcPr>
          <w:p w14:paraId="6B4E0B7D"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b/>
                <w:i/>
                <w:sz w:val="22"/>
              </w:rPr>
            </w:pPr>
          </w:p>
        </w:tc>
        <w:tc>
          <w:tcPr>
            <w:tcW w:w="0" w:type="auto"/>
            <w:vAlign w:val="center"/>
          </w:tcPr>
          <w:p w14:paraId="2C1BBCB6"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b/>
                <w:i/>
                <w:sz w:val="22"/>
              </w:rPr>
            </w:pPr>
          </w:p>
        </w:tc>
        <w:tc>
          <w:tcPr>
            <w:tcW w:w="0" w:type="auto"/>
            <w:vAlign w:val="center"/>
          </w:tcPr>
          <w:p w14:paraId="3F236729" w14:textId="37A5E800" w:rsidR="00545E40" w:rsidRPr="00432926" w:rsidRDefault="00FD364D"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&lt;0.0</w:t>
            </w:r>
            <w:r w:rsidR="00F237DB" w:rsidRPr="00432926">
              <w:rPr>
                <w:rFonts w:cs="Times New Roman"/>
                <w:sz w:val="22"/>
              </w:rPr>
              <w:t>0</w:t>
            </w:r>
            <w:r w:rsidR="00545E40" w:rsidRPr="00432926">
              <w:rPr>
                <w:rFonts w:cs="Times New Roman"/>
                <w:sz w:val="22"/>
              </w:rPr>
              <w:t>1</w:t>
            </w:r>
          </w:p>
        </w:tc>
        <w:tc>
          <w:tcPr>
            <w:tcW w:w="1641" w:type="dxa"/>
            <w:vAlign w:val="center"/>
          </w:tcPr>
          <w:p w14:paraId="4C396FF4"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b/>
                <w:i/>
                <w:sz w:val="22"/>
              </w:rPr>
            </w:pPr>
          </w:p>
        </w:tc>
        <w:tc>
          <w:tcPr>
            <w:tcW w:w="1651" w:type="dxa"/>
            <w:vAlign w:val="center"/>
          </w:tcPr>
          <w:p w14:paraId="5288B83C"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b/>
                <w:i/>
                <w:sz w:val="22"/>
              </w:rPr>
            </w:pPr>
          </w:p>
        </w:tc>
        <w:tc>
          <w:tcPr>
            <w:tcW w:w="0" w:type="auto"/>
            <w:vAlign w:val="center"/>
          </w:tcPr>
          <w:p w14:paraId="6210B268" w14:textId="31AC0124" w:rsidR="00545E40" w:rsidRPr="00432926" w:rsidRDefault="00FD364D" w:rsidP="00FB62C4">
            <w:pPr>
              <w:jc w:val="center"/>
              <w:cnfStyle w:val="000000000000" w:firstRow="0" w:lastRow="0" w:firstColumn="0" w:lastColumn="0" w:oddVBand="0" w:evenVBand="0" w:oddHBand="0" w:evenHBand="0" w:firstRowFirstColumn="0" w:firstRowLastColumn="0" w:lastRowFirstColumn="0" w:lastRowLastColumn="0"/>
              <w:rPr>
                <w:rFonts w:cs="Times New Roman"/>
                <w:b/>
                <w:i/>
                <w:sz w:val="22"/>
              </w:rPr>
            </w:pPr>
            <w:r w:rsidRPr="00432926">
              <w:rPr>
                <w:rFonts w:cs="Times New Roman"/>
                <w:sz w:val="22"/>
              </w:rPr>
              <w:t>&lt;0.0</w:t>
            </w:r>
            <w:r w:rsidR="007D26E7" w:rsidRPr="00432926">
              <w:rPr>
                <w:rFonts w:cs="Times New Roman"/>
                <w:sz w:val="22"/>
              </w:rPr>
              <w:t>0</w:t>
            </w:r>
            <w:r w:rsidR="00545E40" w:rsidRPr="00432926">
              <w:rPr>
                <w:rFonts w:cs="Times New Roman"/>
                <w:sz w:val="22"/>
              </w:rPr>
              <w:t>1</w:t>
            </w:r>
          </w:p>
        </w:tc>
      </w:tr>
      <w:tr w:rsidR="00545E40" w:rsidRPr="00432926" w14:paraId="38926CDB" w14:textId="77777777" w:rsidTr="00622D46">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0" w:type="auto"/>
          </w:tcPr>
          <w:p w14:paraId="506418CF" w14:textId="77777777" w:rsidR="00545E40" w:rsidRPr="00432926" w:rsidRDefault="00545E40" w:rsidP="00FB62C4">
            <w:pPr>
              <w:rPr>
                <w:rFonts w:cs="Times New Roman"/>
                <w:b w:val="0"/>
                <w:sz w:val="22"/>
              </w:rPr>
            </w:pPr>
            <w:r w:rsidRPr="00432926">
              <w:rPr>
                <w:rFonts w:cs="Times New Roman"/>
                <w:b w:val="0"/>
                <w:sz w:val="22"/>
              </w:rPr>
              <w:t>Never smoked</w:t>
            </w:r>
          </w:p>
        </w:tc>
        <w:tc>
          <w:tcPr>
            <w:tcW w:w="0" w:type="auto"/>
            <w:vAlign w:val="center"/>
          </w:tcPr>
          <w:p w14:paraId="2B18994A"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15205 (32.9%)</w:t>
            </w:r>
          </w:p>
        </w:tc>
        <w:tc>
          <w:tcPr>
            <w:tcW w:w="0" w:type="auto"/>
            <w:vAlign w:val="center"/>
          </w:tcPr>
          <w:p w14:paraId="69BD686C"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2630 (54.6%)</w:t>
            </w:r>
          </w:p>
        </w:tc>
        <w:tc>
          <w:tcPr>
            <w:tcW w:w="0" w:type="auto"/>
            <w:vAlign w:val="center"/>
          </w:tcPr>
          <w:p w14:paraId="225BEE73"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p>
        </w:tc>
        <w:tc>
          <w:tcPr>
            <w:tcW w:w="1641" w:type="dxa"/>
            <w:vAlign w:val="center"/>
          </w:tcPr>
          <w:p w14:paraId="3BD764E1"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2434 (33.9%)</w:t>
            </w:r>
          </w:p>
        </w:tc>
        <w:tc>
          <w:tcPr>
            <w:tcW w:w="1651" w:type="dxa"/>
            <w:vAlign w:val="center"/>
          </w:tcPr>
          <w:p w14:paraId="5145E0EE"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683 (47.6%)</w:t>
            </w:r>
          </w:p>
        </w:tc>
        <w:tc>
          <w:tcPr>
            <w:tcW w:w="0" w:type="auto"/>
            <w:vAlign w:val="center"/>
          </w:tcPr>
          <w:p w14:paraId="00D2F876"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p>
        </w:tc>
      </w:tr>
      <w:tr w:rsidR="00545E40" w:rsidRPr="00432926" w14:paraId="381139CB" w14:textId="77777777" w:rsidTr="00622D46">
        <w:trPr>
          <w:trHeight w:val="263"/>
        </w:trPr>
        <w:tc>
          <w:tcPr>
            <w:cnfStyle w:val="001000000000" w:firstRow="0" w:lastRow="0" w:firstColumn="1" w:lastColumn="0" w:oddVBand="0" w:evenVBand="0" w:oddHBand="0" w:evenHBand="0" w:firstRowFirstColumn="0" w:firstRowLastColumn="0" w:lastRowFirstColumn="0" w:lastRowLastColumn="0"/>
            <w:tcW w:w="0" w:type="auto"/>
          </w:tcPr>
          <w:p w14:paraId="6466EAEB" w14:textId="77777777" w:rsidR="00545E40" w:rsidRPr="00432926" w:rsidRDefault="00545E40" w:rsidP="00FB62C4">
            <w:pPr>
              <w:rPr>
                <w:rFonts w:cs="Times New Roman"/>
                <w:b w:val="0"/>
                <w:sz w:val="22"/>
              </w:rPr>
            </w:pPr>
            <w:r w:rsidRPr="00432926">
              <w:rPr>
                <w:rFonts w:cs="Times New Roman"/>
                <w:b w:val="0"/>
                <w:sz w:val="22"/>
              </w:rPr>
              <w:t>Previous smoker</w:t>
            </w:r>
          </w:p>
        </w:tc>
        <w:tc>
          <w:tcPr>
            <w:tcW w:w="0" w:type="auto"/>
            <w:vAlign w:val="center"/>
          </w:tcPr>
          <w:p w14:paraId="5B4F2B1C"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17917 (38.8%)</w:t>
            </w:r>
          </w:p>
        </w:tc>
        <w:tc>
          <w:tcPr>
            <w:tcW w:w="0" w:type="auto"/>
            <w:vAlign w:val="center"/>
          </w:tcPr>
          <w:p w14:paraId="0735C70A"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1017 (21.1%)</w:t>
            </w:r>
          </w:p>
        </w:tc>
        <w:tc>
          <w:tcPr>
            <w:tcW w:w="0" w:type="auto"/>
            <w:vAlign w:val="center"/>
          </w:tcPr>
          <w:p w14:paraId="35217365"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p>
        </w:tc>
        <w:tc>
          <w:tcPr>
            <w:tcW w:w="1641" w:type="dxa"/>
            <w:vAlign w:val="center"/>
          </w:tcPr>
          <w:p w14:paraId="5F54BC56"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2670 (37.2%)</w:t>
            </w:r>
          </w:p>
        </w:tc>
        <w:tc>
          <w:tcPr>
            <w:tcW w:w="1651" w:type="dxa"/>
            <w:vAlign w:val="center"/>
          </w:tcPr>
          <w:p w14:paraId="50CA167E"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332 (23.1%)</w:t>
            </w:r>
          </w:p>
        </w:tc>
        <w:tc>
          <w:tcPr>
            <w:tcW w:w="0" w:type="auto"/>
            <w:vAlign w:val="center"/>
          </w:tcPr>
          <w:p w14:paraId="73CDC526"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p>
        </w:tc>
      </w:tr>
      <w:tr w:rsidR="00545E40" w:rsidRPr="00432926" w14:paraId="167F2FA1" w14:textId="77777777" w:rsidTr="00622D46">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0" w:type="auto"/>
          </w:tcPr>
          <w:p w14:paraId="07E2E54F" w14:textId="77777777" w:rsidR="00545E40" w:rsidRPr="00432926" w:rsidRDefault="00545E40" w:rsidP="00FB62C4">
            <w:pPr>
              <w:rPr>
                <w:rFonts w:cs="Times New Roman"/>
                <w:b w:val="0"/>
                <w:sz w:val="22"/>
              </w:rPr>
            </w:pPr>
            <w:r w:rsidRPr="00432926">
              <w:rPr>
                <w:rFonts w:cs="Times New Roman"/>
                <w:b w:val="0"/>
                <w:sz w:val="22"/>
              </w:rPr>
              <w:t>Current smoker</w:t>
            </w:r>
          </w:p>
        </w:tc>
        <w:tc>
          <w:tcPr>
            <w:tcW w:w="0" w:type="auto"/>
            <w:vAlign w:val="center"/>
          </w:tcPr>
          <w:p w14:paraId="2683C2E5"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13057 (28.3%)</w:t>
            </w:r>
          </w:p>
        </w:tc>
        <w:tc>
          <w:tcPr>
            <w:tcW w:w="0" w:type="auto"/>
            <w:vAlign w:val="center"/>
          </w:tcPr>
          <w:p w14:paraId="27D891B3"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1172 (24.3%)</w:t>
            </w:r>
          </w:p>
        </w:tc>
        <w:tc>
          <w:tcPr>
            <w:tcW w:w="0" w:type="auto"/>
            <w:vAlign w:val="center"/>
          </w:tcPr>
          <w:p w14:paraId="3A5A56F2"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p>
        </w:tc>
        <w:tc>
          <w:tcPr>
            <w:tcW w:w="1641" w:type="dxa"/>
            <w:vAlign w:val="center"/>
          </w:tcPr>
          <w:p w14:paraId="36C6505D"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2071 (28.9%)</w:t>
            </w:r>
          </w:p>
        </w:tc>
        <w:tc>
          <w:tcPr>
            <w:tcW w:w="1651" w:type="dxa"/>
            <w:vAlign w:val="center"/>
          </w:tcPr>
          <w:p w14:paraId="7105E071"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421 (29.3%)</w:t>
            </w:r>
          </w:p>
        </w:tc>
        <w:tc>
          <w:tcPr>
            <w:tcW w:w="0" w:type="auto"/>
            <w:vAlign w:val="center"/>
          </w:tcPr>
          <w:p w14:paraId="09803508"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p>
        </w:tc>
      </w:tr>
      <w:tr w:rsidR="00545E40" w:rsidRPr="00432926" w14:paraId="6439F6D1" w14:textId="77777777" w:rsidTr="00622D46">
        <w:trPr>
          <w:trHeight w:val="263"/>
        </w:trPr>
        <w:tc>
          <w:tcPr>
            <w:cnfStyle w:val="001000000000" w:firstRow="0" w:lastRow="0" w:firstColumn="1" w:lastColumn="0" w:oddVBand="0" w:evenVBand="0" w:oddHBand="0" w:evenHBand="0" w:firstRowFirstColumn="0" w:firstRowLastColumn="0" w:lastRowFirstColumn="0" w:lastRowLastColumn="0"/>
            <w:tcW w:w="0" w:type="auto"/>
          </w:tcPr>
          <w:p w14:paraId="2852DE0D" w14:textId="77777777" w:rsidR="00545E40" w:rsidRPr="00432926" w:rsidRDefault="00545E40" w:rsidP="00FB62C4">
            <w:pPr>
              <w:rPr>
                <w:rFonts w:cs="Times New Roman"/>
                <w:b w:val="0"/>
                <w:sz w:val="22"/>
              </w:rPr>
            </w:pPr>
            <w:r w:rsidRPr="00432926">
              <w:rPr>
                <w:rFonts w:cs="Times New Roman"/>
                <w:b w:val="0"/>
                <w:sz w:val="22"/>
              </w:rPr>
              <w:t>Asthma / COPD</w:t>
            </w:r>
          </w:p>
        </w:tc>
        <w:tc>
          <w:tcPr>
            <w:tcW w:w="0" w:type="auto"/>
            <w:vAlign w:val="center"/>
          </w:tcPr>
          <w:p w14:paraId="0E1D52CC"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9155 (17.8%)</w:t>
            </w:r>
          </w:p>
        </w:tc>
        <w:tc>
          <w:tcPr>
            <w:tcW w:w="0" w:type="auto"/>
            <w:vAlign w:val="center"/>
          </w:tcPr>
          <w:p w14:paraId="15FE06D2"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790 (13.8%)</w:t>
            </w:r>
          </w:p>
        </w:tc>
        <w:tc>
          <w:tcPr>
            <w:tcW w:w="0" w:type="auto"/>
            <w:vAlign w:val="center"/>
          </w:tcPr>
          <w:p w14:paraId="4D586E4B" w14:textId="72C21B18" w:rsidR="00545E40" w:rsidRPr="00432926" w:rsidRDefault="00FD364D"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&lt;0.</w:t>
            </w:r>
            <w:r w:rsidR="00F237DB" w:rsidRPr="00432926">
              <w:rPr>
                <w:rFonts w:cs="Times New Roman"/>
                <w:sz w:val="22"/>
              </w:rPr>
              <w:t>0</w:t>
            </w:r>
            <w:r w:rsidRPr="00432926">
              <w:rPr>
                <w:rFonts w:cs="Times New Roman"/>
                <w:sz w:val="22"/>
              </w:rPr>
              <w:t>0</w:t>
            </w:r>
            <w:r w:rsidR="00545E40" w:rsidRPr="00432926">
              <w:rPr>
                <w:rFonts w:cs="Times New Roman"/>
                <w:sz w:val="22"/>
              </w:rPr>
              <w:t>1</w:t>
            </w:r>
          </w:p>
        </w:tc>
        <w:tc>
          <w:tcPr>
            <w:tcW w:w="1641" w:type="dxa"/>
            <w:vAlign w:val="center"/>
          </w:tcPr>
          <w:p w14:paraId="548C2270"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1477 (18.7%)</w:t>
            </w:r>
          </w:p>
        </w:tc>
        <w:tc>
          <w:tcPr>
            <w:tcW w:w="1651" w:type="dxa"/>
            <w:vAlign w:val="center"/>
          </w:tcPr>
          <w:p w14:paraId="1F1211CF"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211 (13.1%)</w:t>
            </w:r>
          </w:p>
        </w:tc>
        <w:tc>
          <w:tcPr>
            <w:tcW w:w="0" w:type="auto"/>
            <w:vAlign w:val="center"/>
          </w:tcPr>
          <w:p w14:paraId="1341F3FD" w14:textId="2EB48597" w:rsidR="00545E40" w:rsidRPr="00432926" w:rsidRDefault="00FD364D"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&lt;0.0</w:t>
            </w:r>
            <w:r w:rsidR="007D26E7" w:rsidRPr="00432926">
              <w:rPr>
                <w:rFonts w:cs="Times New Roman"/>
                <w:sz w:val="22"/>
              </w:rPr>
              <w:t>0</w:t>
            </w:r>
            <w:r w:rsidR="00545E40" w:rsidRPr="00432926">
              <w:rPr>
                <w:rFonts w:cs="Times New Roman"/>
                <w:sz w:val="22"/>
              </w:rPr>
              <w:t>1</w:t>
            </w:r>
          </w:p>
        </w:tc>
      </w:tr>
      <w:tr w:rsidR="00545E40" w:rsidRPr="00432926" w14:paraId="1BD6C0F4" w14:textId="77777777" w:rsidTr="00622D46">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0" w:type="auto"/>
          </w:tcPr>
          <w:p w14:paraId="1EBE9BD3" w14:textId="77777777" w:rsidR="00545E40" w:rsidRPr="00432926" w:rsidRDefault="00545E40" w:rsidP="00FB62C4">
            <w:pPr>
              <w:rPr>
                <w:rFonts w:cs="Times New Roman"/>
                <w:b w:val="0"/>
                <w:sz w:val="22"/>
              </w:rPr>
            </w:pPr>
            <w:r w:rsidRPr="00432926">
              <w:rPr>
                <w:rFonts w:cs="Times New Roman"/>
                <w:b w:val="0"/>
                <w:sz w:val="22"/>
              </w:rPr>
              <w:t>Family history of CHD</w:t>
            </w:r>
          </w:p>
        </w:tc>
        <w:tc>
          <w:tcPr>
            <w:tcW w:w="0" w:type="auto"/>
            <w:vAlign w:val="center"/>
          </w:tcPr>
          <w:p w14:paraId="116CB6B6"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12021 (27.4%)</w:t>
            </w:r>
          </w:p>
        </w:tc>
        <w:tc>
          <w:tcPr>
            <w:tcW w:w="0" w:type="auto"/>
            <w:vAlign w:val="center"/>
          </w:tcPr>
          <w:p w14:paraId="12AA1B6B"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1240 (28.4%)</w:t>
            </w:r>
          </w:p>
        </w:tc>
        <w:tc>
          <w:tcPr>
            <w:tcW w:w="0" w:type="auto"/>
            <w:vAlign w:val="center"/>
          </w:tcPr>
          <w:p w14:paraId="22EA8D4C" w14:textId="1B96526B"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0.19</w:t>
            </w:r>
            <w:r w:rsidR="00F237DB" w:rsidRPr="00432926">
              <w:rPr>
                <w:rFonts w:cs="Times New Roman"/>
                <w:sz w:val="22"/>
              </w:rPr>
              <w:t>2</w:t>
            </w:r>
          </w:p>
        </w:tc>
        <w:tc>
          <w:tcPr>
            <w:tcW w:w="1641" w:type="dxa"/>
            <w:vAlign w:val="center"/>
          </w:tcPr>
          <w:p w14:paraId="1B3B63A5"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1919 (28.3%)</w:t>
            </w:r>
          </w:p>
        </w:tc>
        <w:tc>
          <w:tcPr>
            <w:tcW w:w="1651" w:type="dxa"/>
            <w:vAlign w:val="center"/>
          </w:tcPr>
          <w:p w14:paraId="506A6BE9"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394 (27.1%)</w:t>
            </w:r>
          </w:p>
        </w:tc>
        <w:tc>
          <w:tcPr>
            <w:tcW w:w="0" w:type="auto"/>
            <w:vAlign w:val="center"/>
          </w:tcPr>
          <w:p w14:paraId="1DBAA19D" w14:textId="5E75BE95"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0.34</w:t>
            </w:r>
            <w:r w:rsidR="007D26E7" w:rsidRPr="00432926">
              <w:rPr>
                <w:rFonts w:cs="Times New Roman"/>
                <w:sz w:val="22"/>
              </w:rPr>
              <w:t>2</w:t>
            </w:r>
          </w:p>
        </w:tc>
      </w:tr>
      <w:tr w:rsidR="00545E40" w:rsidRPr="00432926" w14:paraId="2C0032BB" w14:textId="77777777" w:rsidTr="00622D46">
        <w:trPr>
          <w:trHeight w:val="263"/>
        </w:trPr>
        <w:tc>
          <w:tcPr>
            <w:cnfStyle w:val="001000000000" w:firstRow="0" w:lastRow="0" w:firstColumn="1" w:lastColumn="0" w:oddVBand="0" w:evenVBand="0" w:oddHBand="0" w:evenHBand="0" w:firstRowFirstColumn="0" w:firstRowLastColumn="0" w:lastRowFirstColumn="0" w:lastRowLastColumn="0"/>
            <w:tcW w:w="0" w:type="auto"/>
          </w:tcPr>
          <w:p w14:paraId="18B51DF8" w14:textId="77777777" w:rsidR="00545E40" w:rsidRPr="00432926" w:rsidRDefault="00545E40" w:rsidP="00FB62C4">
            <w:pPr>
              <w:rPr>
                <w:rFonts w:cs="Times New Roman"/>
                <w:sz w:val="22"/>
              </w:rPr>
            </w:pPr>
            <w:r w:rsidRPr="00432926">
              <w:rPr>
                <w:rFonts w:cs="Times New Roman"/>
                <w:sz w:val="22"/>
              </w:rPr>
              <w:t>In-hospital Pharmacology</w:t>
            </w:r>
          </w:p>
        </w:tc>
        <w:tc>
          <w:tcPr>
            <w:tcW w:w="0" w:type="auto"/>
            <w:vAlign w:val="center"/>
          </w:tcPr>
          <w:p w14:paraId="774B77F3"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b/>
                <w:sz w:val="22"/>
              </w:rPr>
            </w:pPr>
          </w:p>
        </w:tc>
        <w:tc>
          <w:tcPr>
            <w:tcW w:w="0" w:type="auto"/>
            <w:vAlign w:val="center"/>
          </w:tcPr>
          <w:p w14:paraId="2545A2B6"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b/>
                <w:sz w:val="22"/>
              </w:rPr>
            </w:pPr>
          </w:p>
        </w:tc>
        <w:tc>
          <w:tcPr>
            <w:tcW w:w="0" w:type="auto"/>
            <w:vAlign w:val="center"/>
          </w:tcPr>
          <w:p w14:paraId="7B7FD649"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b/>
                <w:sz w:val="22"/>
              </w:rPr>
            </w:pPr>
          </w:p>
        </w:tc>
        <w:tc>
          <w:tcPr>
            <w:tcW w:w="1641" w:type="dxa"/>
            <w:vAlign w:val="center"/>
          </w:tcPr>
          <w:p w14:paraId="724CBB3B"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b/>
                <w:sz w:val="22"/>
              </w:rPr>
            </w:pPr>
          </w:p>
        </w:tc>
        <w:tc>
          <w:tcPr>
            <w:tcW w:w="1651" w:type="dxa"/>
            <w:vAlign w:val="center"/>
          </w:tcPr>
          <w:p w14:paraId="04B7CB6F"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b/>
                <w:sz w:val="22"/>
              </w:rPr>
            </w:pPr>
          </w:p>
        </w:tc>
        <w:tc>
          <w:tcPr>
            <w:tcW w:w="0" w:type="auto"/>
            <w:vAlign w:val="center"/>
          </w:tcPr>
          <w:p w14:paraId="1A0424B0"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b/>
                <w:sz w:val="22"/>
              </w:rPr>
            </w:pPr>
          </w:p>
        </w:tc>
      </w:tr>
      <w:tr w:rsidR="00545E40" w:rsidRPr="00432926" w14:paraId="240A8990" w14:textId="77777777" w:rsidTr="00622D46">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0" w:type="auto"/>
          </w:tcPr>
          <w:p w14:paraId="1EA6EBA7" w14:textId="77777777" w:rsidR="00545E40" w:rsidRPr="00432926" w:rsidRDefault="00545E40" w:rsidP="00FB62C4">
            <w:pPr>
              <w:rPr>
                <w:rFonts w:cs="Times New Roman"/>
                <w:b w:val="0"/>
                <w:sz w:val="22"/>
              </w:rPr>
            </w:pPr>
            <w:r w:rsidRPr="00432926">
              <w:rPr>
                <w:rFonts w:cs="Times New Roman"/>
                <w:b w:val="0"/>
                <w:sz w:val="22"/>
              </w:rPr>
              <w:t>Low molecular weight heparin</w:t>
            </w:r>
          </w:p>
        </w:tc>
        <w:tc>
          <w:tcPr>
            <w:tcW w:w="0" w:type="auto"/>
            <w:vAlign w:val="center"/>
          </w:tcPr>
          <w:p w14:paraId="04AB3698"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18365 (41.3%)</w:t>
            </w:r>
          </w:p>
        </w:tc>
        <w:tc>
          <w:tcPr>
            <w:tcW w:w="0" w:type="auto"/>
            <w:vAlign w:val="center"/>
          </w:tcPr>
          <w:p w14:paraId="375A1F4A"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1686 (38.5%)</w:t>
            </w:r>
          </w:p>
        </w:tc>
        <w:tc>
          <w:tcPr>
            <w:tcW w:w="0" w:type="auto"/>
            <w:vAlign w:val="center"/>
          </w:tcPr>
          <w:p w14:paraId="176F2AF5" w14:textId="70E49F85" w:rsidR="00545E40" w:rsidRPr="00432926" w:rsidRDefault="00FD364D"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&lt;0.0</w:t>
            </w:r>
            <w:r w:rsidR="00F237DB" w:rsidRPr="00432926">
              <w:rPr>
                <w:rFonts w:cs="Times New Roman"/>
                <w:sz w:val="22"/>
              </w:rPr>
              <w:t>0</w:t>
            </w:r>
            <w:r w:rsidR="00545E40" w:rsidRPr="00432926">
              <w:rPr>
                <w:rFonts w:cs="Times New Roman"/>
                <w:sz w:val="22"/>
              </w:rPr>
              <w:t>1</w:t>
            </w:r>
          </w:p>
        </w:tc>
        <w:tc>
          <w:tcPr>
            <w:tcW w:w="1641" w:type="dxa"/>
            <w:vAlign w:val="center"/>
          </w:tcPr>
          <w:p w14:paraId="1ECFC103"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2626 (39.9%)</w:t>
            </w:r>
          </w:p>
        </w:tc>
        <w:tc>
          <w:tcPr>
            <w:tcW w:w="1651" w:type="dxa"/>
            <w:vAlign w:val="center"/>
          </w:tcPr>
          <w:p w14:paraId="232C58EC"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473 (37.6%)</w:t>
            </w:r>
          </w:p>
        </w:tc>
        <w:tc>
          <w:tcPr>
            <w:tcW w:w="0" w:type="auto"/>
            <w:vAlign w:val="center"/>
          </w:tcPr>
          <w:p w14:paraId="775C1E7D" w14:textId="661D33F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0.13</w:t>
            </w:r>
            <w:r w:rsidR="007D26E7" w:rsidRPr="00432926">
              <w:rPr>
                <w:rFonts w:cs="Times New Roman"/>
                <w:sz w:val="22"/>
              </w:rPr>
              <w:t>1</w:t>
            </w:r>
          </w:p>
        </w:tc>
      </w:tr>
      <w:tr w:rsidR="00545E40" w:rsidRPr="00432926" w14:paraId="4D4F14E8" w14:textId="77777777" w:rsidTr="00622D46">
        <w:trPr>
          <w:trHeight w:val="359"/>
        </w:trPr>
        <w:tc>
          <w:tcPr>
            <w:cnfStyle w:val="001000000000" w:firstRow="0" w:lastRow="0" w:firstColumn="1" w:lastColumn="0" w:oddVBand="0" w:evenVBand="0" w:oddHBand="0" w:evenHBand="0" w:firstRowFirstColumn="0" w:firstRowLastColumn="0" w:lastRowFirstColumn="0" w:lastRowLastColumn="0"/>
            <w:tcW w:w="0" w:type="auto"/>
          </w:tcPr>
          <w:p w14:paraId="434C1F5F" w14:textId="77777777" w:rsidR="00545E40" w:rsidRPr="00432926" w:rsidRDefault="00545E40" w:rsidP="00FB62C4">
            <w:pPr>
              <w:rPr>
                <w:rFonts w:cs="Times New Roman"/>
                <w:b w:val="0"/>
                <w:sz w:val="22"/>
              </w:rPr>
            </w:pPr>
            <w:r w:rsidRPr="00432926">
              <w:rPr>
                <w:rFonts w:cs="Times New Roman"/>
                <w:b w:val="0"/>
                <w:sz w:val="22"/>
              </w:rPr>
              <w:t xml:space="preserve">Unfractionated heparin </w:t>
            </w:r>
          </w:p>
        </w:tc>
        <w:tc>
          <w:tcPr>
            <w:tcW w:w="0" w:type="auto"/>
            <w:vAlign w:val="center"/>
          </w:tcPr>
          <w:p w14:paraId="5A5C52FB"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12933 (29.1%)</w:t>
            </w:r>
          </w:p>
        </w:tc>
        <w:tc>
          <w:tcPr>
            <w:tcW w:w="0" w:type="auto"/>
            <w:vAlign w:val="center"/>
          </w:tcPr>
          <w:p w14:paraId="22E84E5D"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996 (22.9%)</w:t>
            </w:r>
          </w:p>
        </w:tc>
        <w:tc>
          <w:tcPr>
            <w:tcW w:w="0" w:type="auto"/>
            <w:vAlign w:val="center"/>
          </w:tcPr>
          <w:p w14:paraId="4512FDD5" w14:textId="0DC8AA8E" w:rsidR="00545E40" w:rsidRPr="00432926" w:rsidRDefault="00FD364D"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&lt;0.0</w:t>
            </w:r>
            <w:r w:rsidR="00F237DB" w:rsidRPr="00432926">
              <w:rPr>
                <w:rFonts w:cs="Times New Roman"/>
                <w:sz w:val="22"/>
              </w:rPr>
              <w:t>0</w:t>
            </w:r>
            <w:r w:rsidR="00545E40" w:rsidRPr="00432926">
              <w:rPr>
                <w:rFonts w:cs="Times New Roman"/>
                <w:sz w:val="22"/>
              </w:rPr>
              <w:t>1</w:t>
            </w:r>
          </w:p>
        </w:tc>
        <w:tc>
          <w:tcPr>
            <w:tcW w:w="1641" w:type="dxa"/>
            <w:vAlign w:val="center"/>
          </w:tcPr>
          <w:p w14:paraId="04A0A920"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2031 (30.2%)</w:t>
            </w:r>
          </w:p>
        </w:tc>
        <w:tc>
          <w:tcPr>
            <w:tcW w:w="1651" w:type="dxa"/>
            <w:vAlign w:val="center"/>
          </w:tcPr>
          <w:p w14:paraId="2284F4D0"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378 (29.8%)</w:t>
            </w:r>
          </w:p>
        </w:tc>
        <w:tc>
          <w:tcPr>
            <w:tcW w:w="0" w:type="auto"/>
            <w:vAlign w:val="center"/>
          </w:tcPr>
          <w:p w14:paraId="61B08E47" w14:textId="095F82C5"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0.80</w:t>
            </w:r>
            <w:r w:rsidR="007D26E7" w:rsidRPr="00432926">
              <w:rPr>
                <w:rFonts w:cs="Times New Roman"/>
                <w:sz w:val="22"/>
              </w:rPr>
              <w:t>2</w:t>
            </w:r>
          </w:p>
        </w:tc>
      </w:tr>
      <w:tr w:rsidR="00545E40" w:rsidRPr="00432926" w14:paraId="53E6FF93" w14:textId="77777777" w:rsidTr="00622D46">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0" w:type="auto"/>
          </w:tcPr>
          <w:p w14:paraId="6DE1DD53" w14:textId="77777777" w:rsidR="00545E40" w:rsidRPr="00432926" w:rsidRDefault="00545E40" w:rsidP="00FB62C4">
            <w:pPr>
              <w:rPr>
                <w:rFonts w:cs="Times New Roman"/>
                <w:b w:val="0"/>
                <w:sz w:val="22"/>
              </w:rPr>
            </w:pPr>
            <w:r w:rsidRPr="00432926">
              <w:rPr>
                <w:rFonts w:cs="Times New Roman"/>
                <w:b w:val="0"/>
                <w:sz w:val="22"/>
              </w:rPr>
              <w:t>Warfarin</w:t>
            </w:r>
          </w:p>
        </w:tc>
        <w:tc>
          <w:tcPr>
            <w:tcW w:w="0" w:type="auto"/>
            <w:vAlign w:val="center"/>
          </w:tcPr>
          <w:p w14:paraId="0CF49937"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1901 (4.3%)</w:t>
            </w:r>
          </w:p>
        </w:tc>
        <w:tc>
          <w:tcPr>
            <w:tcW w:w="0" w:type="auto"/>
            <w:vAlign w:val="center"/>
          </w:tcPr>
          <w:p w14:paraId="1EA6815D"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127 (2.9%)</w:t>
            </w:r>
          </w:p>
        </w:tc>
        <w:tc>
          <w:tcPr>
            <w:tcW w:w="0" w:type="auto"/>
            <w:vAlign w:val="center"/>
          </w:tcPr>
          <w:p w14:paraId="74BD90F8" w14:textId="6643B92A" w:rsidR="00545E40" w:rsidRPr="00432926" w:rsidRDefault="00FD364D"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&lt;0.</w:t>
            </w:r>
            <w:r w:rsidR="00545E40" w:rsidRPr="00432926">
              <w:rPr>
                <w:rFonts w:cs="Times New Roman"/>
                <w:sz w:val="22"/>
              </w:rPr>
              <w:t>0</w:t>
            </w:r>
            <w:r w:rsidR="00F237DB" w:rsidRPr="00432926">
              <w:rPr>
                <w:rFonts w:cs="Times New Roman"/>
                <w:sz w:val="22"/>
              </w:rPr>
              <w:t>0</w:t>
            </w:r>
            <w:r w:rsidR="00545E40" w:rsidRPr="00432926">
              <w:rPr>
                <w:rFonts w:cs="Times New Roman"/>
                <w:sz w:val="22"/>
              </w:rPr>
              <w:t>1</w:t>
            </w:r>
          </w:p>
        </w:tc>
        <w:tc>
          <w:tcPr>
            <w:tcW w:w="1641" w:type="dxa"/>
            <w:vAlign w:val="center"/>
          </w:tcPr>
          <w:p w14:paraId="276F5F2D"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237 (3.6%)</w:t>
            </w:r>
          </w:p>
        </w:tc>
        <w:tc>
          <w:tcPr>
            <w:tcW w:w="1651" w:type="dxa"/>
            <w:vAlign w:val="center"/>
          </w:tcPr>
          <w:p w14:paraId="76A2F62B"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28 (2.2%)</w:t>
            </w:r>
          </w:p>
        </w:tc>
        <w:tc>
          <w:tcPr>
            <w:tcW w:w="0" w:type="auto"/>
            <w:vAlign w:val="center"/>
          </w:tcPr>
          <w:p w14:paraId="64CAD1FF" w14:textId="30287298"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0.01</w:t>
            </w:r>
            <w:r w:rsidR="007D26E7" w:rsidRPr="00432926">
              <w:rPr>
                <w:rFonts w:cs="Times New Roman"/>
                <w:sz w:val="22"/>
              </w:rPr>
              <w:t>4</w:t>
            </w:r>
          </w:p>
        </w:tc>
      </w:tr>
      <w:tr w:rsidR="00545E40" w:rsidRPr="00432926" w14:paraId="2B0E90B2" w14:textId="77777777" w:rsidTr="00622D46">
        <w:trPr>
          <w:trHeight w:val="263"/>
        </w:trPr>
        <w:tc>
          <w:tcPr>
            <w:cnfStyle w:val="001000000000" w:firstRow="0" w:lastRow="0" w:firstColumn="1" w:lastColumn="0" w:oddVBand="0" w:evenVBand="0" w:oddHBand="0" w:evenHBand="0" w:firstRowFirstColumn="0" w:firstRowLastColumn="0" w:lastRowFirstColumn="0" w:lastRowLastColumn="0"/>
            <w:tcW w:w="0" w:type="auto"/>
          </w:tcPr>
          <w:p w14:paraId="5FE77F5F" w14:textId="77777777" w:rsidR="00545E40" w:rsidRPr="00432926" w:rsidRDefault="00545E40" w:rsidP="00FB62C4">
            <w:pPr>
              <w:rPr>
                <w:rFonts w:cs="Times New Roman"/>
                <w:b w:val="0"/>
                <w:sz w:val="22"/>
              </w:rPr>
            </w:pPr>
            <w:r w:rsidRPr="00432926">
              <w:rPr>
                <w:rFonts w:cs="Times New Roman"/>
                <w:b w:val="0"/>
                <w:sz w:val="22"/>
              </w:rPr>
              <w:t>Loop Diuretic</w:t>
            </w:r>
          </w:p>
        </w:tc>
        <w:tc>
          <w:tcPr>
            <w:tcW w:w="0" w:type="auto"/>
            <w:vAlign w:val="center"/>
          </w:tcPr>
          <w:p w14:paraId="4F0E389A"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10948 (24.6%)</w:t>
            </w:r>
          </w:p>
        </w:tc>
        <w:tc>
          <w:tcPr>
            <w:tcW w:w="0" w:type="auto"/>
            <w:vAlign w:val="center"/>
          </w:tcPr>
          <w:p w14:paraId="6F9E44A8"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1153 (26.3%)</w:t>
            </w:r>
          </w:p>
        </w:tc>
        <w:tc>
          <w:tcPr>
            <w:tcW w:w="0" w:type="auto"/>
            <w:vAlign w:val="center"/>
          </w:tcPr>
          <w:p w14:paraId="25BCE3A2" w14:textId="7522ED02" w:rsidR="00545E40" w:rsidRPr="00432926" w:rsidRDefault="00F237DB"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0.012</w:t>
            </w:r>
          </w:p>
        </w:tc>
        <w:tc>
          <w:tcPr>
            <w:tcW w:w="1641" w:type="dxa"/>
            <w:vAlign w:val="center"/>
          </w:tcPr>
          <w:p w14:paraId="5A758867"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1490 (22.5%)</w:t>
            </w:r>
          </w:p>
        </w:tc>
        <w:tc>
          <w:tcPr>
            <w:tcW w:w="1651" w:type="dxa"/>
            <w:vAlign w:val="center"/>
          </w:tcPr>
          <w:p w14:paraId="69FECD5A"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299 (23.5%)</w:t>
            </w:r>
          </w:p>
        </w:tc>
        <w:tc>
          <w:tcPr>
            <w:tcW w:w="0" w:type="auto"/>
            <w:vAlign w:val="center"/>
          </w:tcPr>
          <w:p w14:paraId="6F18F226" w14:textId="1AC0FF72"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0.48</w:t>
            </w:r>
            <w:r w:rsidR="007D26E7" w:rsidRPr="00432926">
              <w:rPr>
                <w:rFonts w:cs="Times New Roman"/>
                <w:sz w:val="22"/>
              </w:rPr>
              <w:t>5</w:t>
            </w:r>
          </w:p>
        </w:tc>
      </w:tr>
      <w:tr w:rsidR="00545E40" w:rsidRPr="00432926" w14:paraId="60097019" w14:textId="77777777" w:rsidTr="00622D46">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0" w:type="auto"/>
          </w:tcPr>
          <w:p w14:paraId="68D1BDED" w14:textId="77777777" w:rsidR="00545E40" w:rsidRPr="00432926" w:rsidRDefault="00545E40" w:rsidP="00FB62C4">
            <w:pPr>
              <w:rPr>
                <w:rFonts w:cs="Times New Roman"/>
                <w:b w:val="0"/>
                <w:sz w:val="22"/>
              </w:rPr>
            </w:pPr>
            <w:r w:rsidRPr="00432926">
              <w:rPr>
                <w:rFonts w:cs="Times New Roman"/>
                <w:b w:val="0"/>
                <w:sz w:val="22"/>
              </w:rPr>
              <w:t>Glycoprotein IIbIIIa inhibitor use</w:t>
            </w:r>
          </w:p>
        </w:tc>
        <w:tc>
          <w:tcPr>
            <w:tcW w:w="0" w:type="auto"/>
            <w:vAlign w:val="center"/>
          </w:tcPr>
          <w:p w14:paraId="51700EF4"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2802 (6.2%)</w:t>
            </w:r>
          </w:p>
        </w:tc>
        <w:tc>
          <w:tcPr>
            <w:tcW w:w="0" w:type="auto"/>
            <w:vAlign w:val="center"/>
          </w:tcPr>
          <w:p w14:paraId="52FA8905"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344 (7.4%)</w:t>
            </w:r>
          </w:p>
        </w:tc>
        <w:tc>
          <w:tcPr>
            <w:tcW w:w="0" w:type="auto"/>
            <w:vAlign w:val="center"/>
          </w:tcPr>
          <w:p w14:paraId="7067719C" w14:textId="1C3B4C20" w:rsidR="00545E40" w:rsidRPr="00432926" w:rsidRDefault="00FD364D"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&lt;0.</w:t>
            </w:r>
            <w:r w:rsidR="00F237DB" w:rsidRPr="00432926">
              <w:rPr>
                <w:rFonts w:cs="Times New Roman"/>
                <w:sz w:val="22"/>
              </w:rPr>
              <w:t>0</w:t>
            </w:r>
            <w:r w:rsidR="00545E40" w:rsidRPr="00432926">
              <w:rPr>
                <w:rFonts w:cs="Times New Roman"/>
                <w:sz w:val="22"/>
              </w:rPr>
              <w:t>01</w:t>
            </w:r>
          </w:p>
        </w:tc>
        <w:tc>
          <w:tcPr>
            <w:tcW w:w="1641" w:type="dxa"/>
            <w:vAlign w:val="center"/>
          </w:tcPr>
          <w:p w14:paraId="4B7E63FC"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527 (7.9%)</w:t>
            </w:r>
          </w:p>
        </w:tc>
        <w:tc>
          <w:tcPr>
            <w:tcW w:w="1651" w:type="dxa"/>
            <w:vAlign w:val="center"/>
          </w:tcPr>
          <w:p w14:paraId="4ACE8D31"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111 (8.7%)</w:t>
            </w:r>
          </w:p>
        </w:tc>
        <w:tc>
          <w:tcPr>
            <w:tcW w:w="0" w:type="auto"/>
            <w:vAlign w:val="center"/>
          </w:tcPr>
          <w:p w14:paraId="710B780D" w14:textId="7914842A"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0.32</w:t>
            </w:r>
            <w:r w:rsidR="007D26E7" w:rsidRPr="00432926">
              <w:rPr>
                <w:rFonts w:cs="Times New Roman"/>
                <w:sz w:val="22"/>
              </w:rPr>
              <w:t>1</w:t>
            </w:r>
          </w:p>
        </w:tc>
      </w:tr>
      <w:tr w:rsidR="00545E40" w:rsidRPr="00432926" w14:paraId="19CE6CC8" w14:textId="77777777" w:rsidTr="00622D46">
        <w:trPr>
          <w:trHeight w:val="263"/>
        </w:trPr>
        <w:tc>
          <w:tcPr>
            <w:cnfStyle w:val="001000000000" w:firstRow="0" w:lastRow="0" w:firstColumn="1" w:lastColumn="0" w:oddVBand="0" w:evenVBand="0" w:oddHBand="0" w:evenHBand="0" w:firstRowFirstColumn="0" w:firstRowLastColumn="0" w:lastRowFirstColumn="0" w:lastRowLastColumn="0"/>
            <w:tcW w:w="0" w:type="auto"/>
          </w:tcPr>
          <w:p w14:paraId="651E6624" w14:textId="77777777" w:rsidR="00545E40" w:rsidRPr="00432926" w:rsidRDefault="00545E40" w:rsidP="00FB62C4">
            <w:pPr>
              <w:rPr>
                <w:rFonts w:cs="Times New Roman"/>
                <w:sz w:val="22"/>
              </w:rPr>
            </w:pPr>
            <w:r w:rsidRPr="00432926">
              <w:rPr>
                <w:rFonts w:cs="Times New Roman"/>
                <w:sz w:val="22"/>
              </w:rPr>
              <w:t>Processes of care and outcomes</w:t>
            </w:r>
          </w:p>
        </w:tc>
        <w:tc>
          <w:tcPr>
            <w:tcW w:w="0" w:type="auto"/>
            <w:vAlign w:val="center"/>
          </w:tcPr>
          <w:p w14:paraId="5A4164F8"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b/>
                <w:sz w:val="22"/>
              </w:rPr>
            </w:pPr>
          </w:p>
        </w:tc>
        <w:tc>
          <w:tcPr>
            <w:tcW w:w="0" w:type="auto"/>
            <w:vAlign w:val="center"/>
          </w:tcPr>
          <w:p w14:paraId="19CB5B88"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b/>
                <w:sz w:val="22"/>
              </w:rPr>
            </w:pPr>
          </w:p>
        </w:tc>
        <w:tc>
          <w:tcPr>
            <w:tcW w:w="0" w:type="auto"/>
            <w:vAlign w:val="center"/>
          </w:tcPr>
          <w:p w14:paraId="2983374A"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b/>
                <w:sz w:val="22"/>
              </w:rPr>
            </w:pPr>
          </w:p>
        </w:tc>
        <w:tc>
          <w:tcPr>
            <w:tcW w:w="1641" w:type="dxa"/>
            <w:vAlign w:val="center"/>
          </w:tcPr>
          <w:p w14:paraId="29ECE548"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b/>
                <w:sz w:val="22"/>
              </w:rPr>
            </w:pPr>
          </w:p>
        </w:tc>
        <w:tc>
          <w:tcPr>
            <w:tcW w:w="1651" w:type="dxa"/>
            <w:vAlign w:val="center"/>
          </w:tcPr>
          <w:p w14:paraId="0024B501"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b/>
                <w:sz w:val="22"/>
              </w:rPr>
            </w:pPr>
          </w:p>
        </w:tc>
        <w:tc>
          <w:tcPr>
            <w:tcW w:w="0" w:type="auto"/>
            <w:vAlign w:val="center"/>
          </w:tcPr>
          <w:p w14:paraId="1B40A389"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rPr>
                <w:rFonts w:cs="Times New Roman"/>
                <w:b/>
                <w:sz w:val="22"/>
              </w:rPr>
            </w:pPr>
          </w:p>
        </w:tc>
      </w:tr>
      <w:tr w:rsidR="00545E40" w:rsidRPr="00432926" w14:paraId="49E1EC79" w14:textId="77777777" w:rsidTr="00622D46">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0" w:type="auto"/>
          </w:tcPr>
          <w:p w14:paraId="1F2FE463" w14:textId="77777777" w:rsidR="00545E40" w:rsidRPr="00432926" w:rsidRDefault="00545E40" w:rsidP="00FB62C4">
            <w:pPr>
              <w:rPr>
                <w:rFonts w:cs="Times New Roman"/>
                <w:b w:val="0"/>
                <w:sz w:val="22"/>
              </w:rPr>
            </w:pPr>
            <w:r w:rsidRPr="00432926">
              <w:rPr>
                <w:rFonts w:cs="Times New Roman"/>
                <w:b w:val="0"/>
                <w:sz w:val="22"/>
              </w:rPr>
              <w:t>Seen by cardiologist</w:t>
            </w:r>
          </w:p>
        </w:tc>
        <w:tc>
          <w:tcPr>
            <w:tcW w:w="0" w:type="auto"/>
            <w:vAlign w:val="center"/>
          </w:tcPr>
          <w:p w14:paraId="0B59787E"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54057 (97.0%)</w:t>
            </w:r>
          </w:p>
        </w:tc>
        <w:tc>
          <w:tcPr>
            <w:tcW w:w="0" w:type="auto"/>
            <w:vAlign w:val="center"/>
          </w:tcPr>
          <w:p w14:paraId="02703B0A"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6047 (97.1%)</w:t>
            </w:r>
          </w:p>
        </w:tc>
        <w:tc>
          <w:tcPr>
            <w:tcW w:w="0" w:type="auto"/>
            <w:vAlign w:val="center"/>
          </w:tcPr>
          <w:p w14:paraId="2695AA21" w14:textId="57EB49AE"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0.66</w:t>
            </w:r>
            <w:r w:rsidR="00F237DB" w:rsidRPr="00432926">
              <w:rPr>
                <w:rFonts w:cs="Times New Roman"/>
                <w:sz w:val="22"/>
              </w:rPr>
              <w:t>7</w:t>
            </w:r>
          </w:p>
        </w:tc>
        <w:tc>
          <w:tcPr>
            <w:tcW w:w="1641" w:type="dxa"/>
            <w:vAlign w:val="center"/>
          </w:tcPr>
          <w:p w14:paraId="56AC7002"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8415 (96.8%)</w:t>
            </w:r>
          </w:p>
        </w:tc>
        <w:tc>
          <w:tcPr>
            <w:tcW w:w="1651" w:type="dxa"/>
            <w:vAlign w:val="center"/>
          </w:tcPr>
          <w:p w14:paraId="3051DA2A"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1744 (96.5%)</w:t>
            </w:r>
          </w:p>
        </w:tc>
        <w:tc>
          <w:tcPr>
            <w:tcW w:w="0" w:type="auto"/>
            <w:vAlign w:val="center"/>
          </w:tcPr>
          <w:p w14:paraId="4F2B4424" w14:textId="231F319A"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0.56</w:t>
            </w:r>
            <w:r w:rsidR="007D26E7" w:rsidRPr="00432926">
              <w:rPr>
                <w:rFonts w:cs="Times New Roman"/>
                <w:sz w:val="22"/>
              </w:rPr>
              <w:t>4</w:t>
            </w:r>
          </w:p>
        </w:tc>
      </w:tr>
      <w:tr w:rsidR="00545E40" w:rsidRPr="00432926" w14:paraId="043273FA" w14:textId="77777777" w:rsidTr="00622D46">
        <w:trPr>
          <w:trHeight w:val="275"/>
        </w:trPr>
        <w:tc>
          <w:tcPr>
            <w:cnfStyle w:val="001000000000" w:firstRow="0" w:lastRow="0" w:firstColumn="1" w:lastColumn="0" w:oddVBand="0" w:evenVBand="0" w:oddHBand="0" w:evenHBand="0" w:firstRowFirstColumn="0" w:firstRowLastColumn="0" w:lastRowFirstColumn="0" w:lastRowLastColumn="0"/>
            <w:tcW w:w="0" w:type="auto"/>
          </w:tcPr>
          <w:p w14:paraId="7B39BE29" w14:textId="77777777" w:rsidR="00545E40" w:rsidRPr="00432926" w:rsidRDefault="00545E40" w:rsidP="00FB62C4">
            <w:pPr>
              <w:rPr>
                <w:b w:val="0"/>
              </w:rPr>
            </w:pPr>
            <w:r w:rsidRPr="00432926">
              <w:rPr>
                <w:b w:val="0"/>
              </w:rPr>
              <w:t xml:space="preserve">Percutaneous coronary intervention  </w:t>
            </w:r>
          </w:p>
        </w:tc>
        <w:tc>
          <w:tcPr>
            <w:tcW w:w="0" w:type="auto"/>
            <w:vAlign w:val="center"/>
          </w:tcPr>
          <w:p w14:paraId="714133C9"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pPr>
            <w:r w:rsidRPr="00432926">
              <w:t>26,075 (62.1%)</w:t>
            </w:r>
          </w:p>
        </w:tc>
        <w:tc>
          <w:tcPr>
            <w:tcW w:w="0" w:type="auto"/>
            <w:vAlign w:val="center"/>
          </w:tcPr>
          <w:p w14:paraId="6D6CA0D3"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pPr>
            <w:r w:rsidRPr="00432926">
              <w:t>2794 (54.7%)</w:t>
            </w:r>
          </w:p>
        </w:tc>
        <w:tc>
          <w:tcPr>
            <w:tcW w:w="0" w:type="auto"/>
            <w:vAlign w:val="center"/>
          </w:tcPr>
          <w:p w14:paraId="7B62B3C3" w14:textId="78767E09" w:rsidR="00545E40" w:rsidRPr="00432926" w:rsidRDefault="00FD364D" w:rsidP="00FB62C4">
            <w:pPr>
              <w:jc w:val="center"/>
              <w:cnfStyle w:val="000000000000" w:firstRow="0" w:lastRow="0" w:firstColumn="0" w:lastColumn="0" w:oddVBand="0" w:evenVBand="0" w:oddHBand="0" w:evenHBand="0" w:firstRowFirstColumn="0" w:firstRowLastColumn="0" w:lastRowFirstColumn="0" w:lastRowLastColumn="0"/>
            </w:pPr>
            <w:r w:rsidRPr="00432926">
              <w:t>&lt;0.</w:t>
            </w:r>
            <w:r w:rsidR="00545E40" w:rsidRPr="00432926">
              <w:t>0</w:t>
            </w:r>
            <w:r w:rsidR="00F237DB" w:rsidRPr="00432926">
              <w:t>0</w:t>
            </w:r>
            <w:r w:rsidR="00545E40" w:rsidRPr="00432926">
              <w:t>1</w:t>
            </w:r>
          </w:p>
        </w:tc>
        <w:tc>
          <w:tcPr>
            <w:tcW w:w="1641" w:type="dxa"/>
            <w:vAlign w:val="center"/>
          </w:tcPr>
          <w:p w14:paraId="14973C73"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pPr>
            <w:r w:rsidRPr="00432926">
              <w:t>4,571 (67.2%)</w:t>
            </w:r>
          </w:p>
        </w:tc>
        <w:tc>
          <w:tcPr>
            <w:tcW w:w="1651" w:type="dxa"/>
            <w:vAlign w:val="center"/>
          </w:tcPr>
          <w:p w14:paraId="08F6BDF4"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pPr>
            <w:r w:rsidRPr="00432926">
              <w:t>750 (61.5%)</w:t>
            </w:r>
          </w:p>
        </w:tc>
        <w:tc>
          <w:tcPr>
            <w:tcW w:w="0" w:type="auto"/>
            <w:vAlign w:val="center"/>
          </w:tcPr>
          <w:p w14:paraId="7CE1F9A0" w14:textId="7EBE9B9C" w:rsidR="00545E40" w:rsidRPr="00432926" w:rsidRDefault="00FD364D" w:rsidP="00FB62C4">
            <w:pPr>
              <w:jc w:val="center"/>
              <w:cnfStyle w:val="000000000000" w:firstRow="0" w:lastRow="0" w:firstColumn="0" w:lastColumn="0" w:oddVBand="0" w:evenVBand="0" w:oddHBand="0" w:evenHBand="0" w:firstRowFirstColumn="0" w:firstRowLastColumn="0" w:lastRowFirstColumn="0" w:lastRowLastColumn="0"/>
            </w:pPr>
            <w:r w:rsidRPr="00432926">
              <w:t>&lt;0.</w:t>
            </w:r>
            <w:r w:rsidR="00545E40" w:rsidRPr="00432926">
              <w:t>0</w:t>
            </w:r>
            <w:r w:rsidR="007D26E7" w:rsidRPr="00432926">
              <w:t>0</w:t>
            </w:r>
            <w:r w:rsidR="00545E40" w:rsidRPr="00432926">
              <w:t>1</w:t>
            </w:r>
          </w:p>
        </w:tc>
      </w:tr>
      <w:tr w:rsidR="00545E40" w:rsidRPr="00432926" w14:paraId="1FBB6689" w14:textId="77777777" w:rsidTr="00622D46">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0" w:type="auto"/>
          </w:tcPr>
          <w:p w14:paraId="1E97F33F" w14:textId="77777777" w:rsidR="00545E40" w:rsidRPr="00432926" w:rsidRDefault="00545E40" w:rsidP="00FB62C4">
            <w:pPr>
              <w:rPr>
                <w:b w:val="0"/>
              </w:rPr>
            </w:pPr>
            <w:r w:rsidRPr="00432926">
              <w:rPr>
                <w:b w:val="0"/>
              </w:rPr>
              <w:t>Time to reperfusion for STEMI,  hours median IQR</w:t>
            </w:r>
          </w:p>
        </w:tc>
        <w:tc>
          <w:tcPr>
            <w:tcW w:w="0" w:type="auto"/>
            <w:vAlign w:val="center"/>
          </w:tcPr>
          <w:p w14:paraId="465B7EEB"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pPr>
            <w:r w:rsidRPr="00432926">
              <w:t>3.6 (2.3-7.4)</w:t>
            </w:r>
          </w:p>
        </w:tc>
        <w:tc>
          <w:tcPr>
            <w:tcW w:w="0" w:type="auto"/>
            <w:vAlign w:val="center"/>
          </w:tcPr>
          <w:p w14:paraId="3F20DEB4"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pPr>
            <w:r w:rsidRPr="00432926">
              <w:t>3.3 (2.4-6.0)</w:t>
            </w:r>
          </w:p>
        </w:tc>
        <w:tc>
          <w:tcPr>
            <w:tcW w:w="0" w:type="auto"/>
            <w:vAlign w:val="center"/>
          </w:tcPr>
          <w:p w14:paraId="6B0C775B" w14:textId="74CE19B3" w:rsidR="00545E40" w:rsidRPr="00432926" w:rsidRDefault="00FD364D" w:rsidP="00FB62C4">
            <w:pPr>
              <w:jc w:val="center"/>
              <w:cnfStyle w:val="000000100000" w:firstRow="0" w:lastRow="0" w:firstColumn="0" w:lastColumn="0" w:oddVBand="0" w:evenVBand="0" w:oddHBand="1" w:evenHBand="0" w:firstRowFirstColumn="0" w:firstRowLastColumn="0" w:lastRowFirstColumn="0" w:lastRowLastColumn="0"/>
            </w:pPr>
            <w:r w:rsidRPr="00432926">
              <w:t>&lt;0.</w:t>
            </w:r>
            <w:r w:rsidR="00545E40" w:rsidRPr="00432926">
              <w:t>0</w:t>
            </w:r>
            <w:r w:rsidR="00F237DB" w:rsidRPr="00432926">
              <w:t>0</w:t>
            </w:r>
            <w:r w:rsidR="00545E40" w:rsidRPr="00432926">
              <w:t>1</w:t>
            </w:r>
          </w:p>
        </w:tc>
        <w:tc>
          <w:tcPr>
            <w:tcW w:w="1641" w:type="dxa"/>
            <w:vAlign w:val="center"/>
          </w:tcPr>
          <w:p w14:paraId="584BC156"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pPr>
            <w:r w:rsidRPr="00432926">
              <w:t>3.7 (2.5-8.2)</w:t>
            </w:r>
          </w:p>
        </w:tc>
        <w:tc>
          <w:tcPr>
            <w:tcW w:w="1651" w:type="dxa"/>
            <w:vAlign w:val="center"/>
          </w:tcPr>
          <w:p w14:paraId="6D44F401"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pPr>
            <w:r w:rsidRPr="00432926">
              <w:t>4.2 (2.5-7.2)</w:t>
            </w:r>
          </w:p>
        </w:tc>
        <w:tc>
          <w:tcPr>
            <w:tcW w:w="0" w:type="auto"/>
            <w:vAlign w:val="center"/>
          </w:tcPr>
          <w:p w14:paraId="0951BC8F" w14:textId="7164B87D" w:rsidR="00545E40" w:rsidRPr="00432926" w:rsidRDefault="00FD364D" w:rsidP="00FB62C4">
            <w:pPr>
              <w:jc w:val="center"/>
              <w:cnfStyle w:val="000000100000" w:firstRow="0" w:lastRow="0" w:firstColumn="0" w:lastColumn="0" w:oddVBand="0" w:evenVBand="0" w:oddHBand="1" w:evenHBand="0" w:firstRowFirstColumn="0" w:firstRowLastColumn="0" w:lastRowFirstColumn="0" w:lastRowLastColumn="0"/>
            </w:pPr>
            <w:r w:rsidRPr="00432926">
              <w:t>&lt;0.</w:t>
            </w:r>
            <w:r w:rsidR="00545E40" w:rsidRPr="00432926">
              <w:t>0</w:t>
            </w:r>
            <w:r w:rsidR="007D26E7" w:rsidRPr="00432926">
              <w:t>0</w:t>
            </w:r>
            <w:r w:rsidR="00545E40" w:rsidRPr="00432926">
              <w:t>1</w:t>
            </w:r>
          </w:p>
        </w:tc>
      </w:tr>
      <w:tr w:rsidR="00545E40" w:rsidRPr="00432926" w14:paraId="4C273B7B" w14:textId="77777777" w:rsidTr="00622D46">
        <w:trPr>
          <w:trHeight w:val="275"/>
        </w:trPr>
        <w:tc>
          <w:tcPr>
            <w:cnfStyle w:val="001000000000" w:firstRow="0" w:lastRow="0" w:firstColumn="1" w:lastColumn="0" w:oddVBand="0" w:evenVBand="0" w:oddHBand="0" w:evenHBand="0" w:firstRowFirstColumn="0" w:firstRowLastColumn="0" w:lastRowFirstColumn="0" w:lastRowLastColumn="0"/>
            <w:tcW w:w="0" w:type="auto"/>
          </w:tcPr>
          <w:p w14:paraId="73594C2A" w14:textId="77777777" w:rsidR="00545E40" w:rsidRPr="00432926" w:rsidRDefault="00545E40" w:rsidP="00FB62C4">
            <w:pPr>
              <w:rPr>
                <w:b w:val="0"/>
              </w:rPr>
            </w:pPr>
            <w:r w:rsidRPr="00432926">
              <w:rPr>
                <w:b w:val="0"/>
              </w:rPr>
              <w:lastRenderedPageBreak/>
              <w:t>Call for help , hour median (IQR)</w:t>
            </w:r>
          </w:p>
        </w:tc>
        <w:tc>
          <w:tcPr>
            <w:tcW w:w="0" w:type="auto"/>
            <w:vAlign w:val="center"/>
          </w:tcPr>
          <w:p w14:paraId="43CBE284"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pPr>
            <w:r w:rsidRPr="00432926">
              <w:t>1.34 (0.4-4.9)</w:t>
            </w:r>
          </w:p>
        </w:tc>
        <w:tc>
          <w:tcPr>
            <w:tcW w:w="0" w:type="auto"/>
            <w:vAlign w:val="center"/>
          </w:tcPr>
          <w:p w14:paraId="7FBDB425"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pPr>
            <w:r w:rsidRPr="00432926">
              <w:t>1.52 (0.4-5.7)</w:t>
            </w:r>
          </w:p>
        </w:tc>
        <w:tc>
          <w:tcPr>
            <w:tcW w:w="0" w:type="auto"/>
            <w:vAlign w:val="center"/>
          </w:tcPr>
          <w:p w14:paraId="2BB4F99C" w14:textId="21BCE0BD" w:rsidR="00545E40" w:rsidRPr="00432926" w:rsidRDefault="00FD364D" w:rsidP="00FB62C4">
            <w:pPr>
              <w:jc w:val="center"/>
              <w:cnfStyle w:val="000000000000" w:firstRow="0" w:lastRow="0" w:firstColumn="0" w:lastColumn="0" w:oddVBand="0" w:evenVBand="0" w:oddHBand="0" w:evenHBand="0" w:firstRowFirstColumn="0" w:firstRowLastColumn="0" w:lastRowFirstColumn="0" w:lastRowLastColumn="0"/>
            </w:pPr>
            <w:r w:rsidRPr="00432926">
              <w:t>&lt;0.0</w:t>
            </w:r>
            <w:r w:rsidR="00F237DB" w:rsidRPr="00432926">
              <w:t>0</w:t>
            </w:r>
            <w:r w:rsidR="00545E40" w:rsidRPr="00432926">
              <w:t>1</w:t>
            </w:r>
          </w:p>
        </w:tc>
        <w:tc>
          <w:tcPr>
            <w:tcW w:w="1641" w:type="dxa"/>
            <w:vAlign w:val="center"/>
          </w:tcPr>
          <w:p w14:paraId="58D8AD69"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pPr>
            <w:r w:rsidRPr="00432926">
              <w:t>1.4 (0.5-5.5)</w:t>
            </w:r>
          </w:p>
        </w:tc>
        <w:tc>
          <w:tcPr>
            <w:tcW w:w="1651" w:type="dxa"/>
            <w:vAlign w:val="center"/>
          </w:tcPr>
          <w:p w14:paraId="0B8189E3"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pPr>
            <w:r w:rsidRPr="00432926">
              <w:t>1.7 (0.5-6.8)</w:t>
            </w:r>
          </w:p>
        </w:tc>
        <w:tc>
          <w:tcPr>
            <w:tcW w:w="0" w:type="auto"/>
            <w:vAlign w:val="center"/>
          </w:tcPr>
          <w:p w14:paraId="03937CCB" w14:textId="40068753"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pPr>
            <w:r w:rsidRPr="00432926">
              <w:t>0.0</w:t>
            </w:r>
            <w:r w:rsidR="007D26E7" w:rsidRPr="00432926">
              <w:t>0</w:t>
            </w:r>
            <w:r w:rsidRPr="00432926">
              <w:t>1</w:t>
            </w:r>
          </w:p>
        </w:tc>
      </w:tr>
      <w:tr w:rsidR="00545E40" w:rsidRPr="00432926" w14:paraId="73B4D566" w14:textId="77777777" w:rsidTr="00622D46">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0" w:type="auto"/>
          </w:tcPr>
          <w:p w14:paraId="1821BF51" w14:textId="77777777" w:rsidR="00545E40" w:rsidRPr="00432926" w:rsidRDefault="00545E40" w:rsidP="00FB62C4">
            <w:pPr>
              <w:rPr>
                <w:b w:val="0"/>
              </w:rPr>
            </w:pPr>
            <w:r w:rsidRPr="00432926">
              <w:rPr>
                <w:b w:val="0"/>
              </w:rPr>
              <w:t>Coronary angiography in NSTEMI</w:t>
            </w:r>
          </w:p>
        </w:tc>
        <w:tc>
          <w:tcPr>
            <w:tcW w:w="0" w:type="auto"/>
            <w:vAlign w:val="center"/>
          </w:tcPr>
          <w:p w14:paraId="61B553E6"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pPr>
            <w:r w:rsidRPr="00432926">
              <w:t>25,548 (85.9%)</w:t>
            </w:r>
          </w:p>
        </w:tc>
        <w:tc>
          <w:tcPr>
            <w:tcW w:w="0" w:type="auto"/>
            <w:vAlign w:val="center"/>
          </w:tcPr>
          <w:p w14:paraId="046097B8"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pPr>
            <w:r w:rsidRPr="00432926">
              <w:t>3137 (84.3%)</w:t>
            </w:r>
          </w:p>
        </w:tc>
        <w:tc>
          <w:tcPr>
            <w:tcW w:w="0" w:type="auto"/>
            <w:vAlign w:val="center"/>
          </w:tcPr>
          <w:p w14:paraId="08A9164F" w14:textId="66067E1C"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pPr>
            <w:r w:rsidRPr="00432926">
              <w:t>0.09</w:t>
            </w:r>
            <w:r w:rsidR="00F237DB" w:rsidRPr="00432926">
              <w:t>5</w:t>
            </w:r>
          </w:p>
        </w:tc>
        <w:tc>
          <w:tcPr>
            <w:tcW w:w="1641" w:type="dxa"/>
            <w:vAlign w:val="center"/>
          </w:tcPr>
          <w:p w14:paraId="59C98B78"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pPr>
            <w:r w:rsidRPr="00432926">
              <w:t>4,478 (90.0%)</w:t>
            </w:r>
          </w:p>
        </w:tc>
        <w:tc>
          <w:tcPr>
            <w:tcW w:w="1651" w:type="dxa"/>
            <w:vAlign w:val="center"/>
          </w:tcPr>
          <w:p w14:paraId="23F87255"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pPr>
            <w:r w:rsidRPr="00432926">
              <w:t>758 (85.1%)</w:t>
            </w:r>
          </w:p>
        </w:tc>
        <w:tc>
          <w:tcPr>
            <w:tcW w:w="0" w:type="auto"/>
            <w:vAlign w:val="center"/>
          </w:tcPr>
          <w:p w14:paraId="0D46E466" w14:textId="558254FE" w:rsidR="00545E40" w:rsidRPr="00432926" w:rsidRDefault="00FD364D" w:rsidP="00FB62C4">
            <w:pPr>
              <w:jc w:val="center"/>
              <w:cnfStyle w:val="000000100000" w:firstRow="0" w:lastRow="0" w:firstColumn="0" w:lastColumn="0" w:oddVBand="0" w:evenVBand="0" w:oddHBand="1" w:evenHBand="0" w:firstRowFirstColumn="0" w:firstRowLastColumn="0" w:lastRowFirstColumn="0" w:lastRowLastColumn="0"/>
            </w:pPr>
            <w:r w:rsidRPr="00432926">
              <w:t>&lt;0.</w:t>
            </w:r>
            <w:r w:rsidR="00545E40" w:rsidRPr="00432926">
              <w:t>0</w:t>
            </w:r>
            <w:r w:rsidR="007D26E7" w:rsidRPr="00432926">
              <w:t>0</w:t>
            </w:r>
            <w:r w:rsidR="00545E40" w:rsidRPr="00432926">
              <w:t>1</w:t>
            </w:r>
          </w:p>
        </w:tc>
      </w:tr>
      <w:tr w:rsidR="00545E40" w:rsidRPr="00432926" w14:paraId="33A6A648" w14:textId="77777777" w:rsidTr="00622D46">
        <w:trPr>
          <w:trHeight w:val="275"/>
        </w:trPr>
        <w:tc>
          <w:tcPr>
            <w:cnfStyle w:val="001000000000" w:firstRow="0" w:lastRow="0" w:firstColumn="1" w:lastColumn="0" w:oddVBand="0" w:evenVBand="0" w:oddHBand="0" w:evenHBand="0" w:firstRowFirstColumn="0" w:firstRowLastColumn="0" w:lastRowFirstColumn="0" w:lastRowLastColumn="0"/>
            <w:tcW w:w="0" w:type="auto"/>
          </w:tcPr>
          <w:p w14:paraId="7B6B9AAB" w14:textId="4E7439E3" w:rsidR="00545E40" w:rsidRPr="00432926" w:rsidRDefault="00545E40" w:rsidP="00FB62C4">
            <w:pPr>
              <w:rPr>
                <w:b w:val="0"/>
              </w:rPr>
            </w:pPr>
            <w:r w:rsidRPr="00432926">
              <w:rPr>
                <w:b w:val="0"/>
              </w:rPr>
              <w:t>Time to coronary angiogra</w:t>
            </w:r>
            <w:r w:rsidR="00132929" w:rsidRPr="00432926">
              <w:rPr>
                <w:b w:val="0"/>
              </w:rPr>
              <w:t>phy, hours median (IQR</w:t>
            </w:r>
            <w:r w:rsidRPr="00432926">
              <w:rPr>
                <w:b w:val="0"/>
              </w:rPr>
              <w:t>)</w:t>
            </w:r>
          </w:p>
        </w:tc>
        <w:tc>
          <w:tcPr>
            <w:tcW w:w="0" w:type="auto"/>
            <w:vAlign w:val="center"/>
          </w:tcPr>
          <w:p w14:paraId="6A19929F" w14:textId="7D945C3F" w:rsidR="00545E40" w:rsidRPr="00432926" w:rsidRDefault="00132929" w:rsidP="00FB62C4">
            <w:pPr>
              <w:jc w:val="center"/>
              <w:cnfStyle w:val="000000000000" w:firstRow="0" w:lastRow="0" w:firstColumn="0" w:lastColumn="0" w:oddVBand="0" w:evenVBand="0" w:oddHBand="0" w:evenHBand="0" w:firstRowFirstColumn="0" w:firstRowLastColumn="0" w:lastRowFirstColumn="0" w:lastRowLastColumn="0"/>
            </w:pPr>
            <w:r w:rsidRPr="00432926">
              <w:t>41.0 (4.33-89.3</w:t>
            </w:r>
            <w:r w:rsidR="00545E40" w:rsidRPr="00432926">
              <w:t>)</w:t>
            </w:r>
          </w:p>
        </w:tc>
        <w:tc>
          <w:tcPr>
            <w:tcW w:w="0" w:type="auto"/>
            <w:vAlign w:val="center"/>
          </w:tcPr>
          <w:p w14:paraId="721ACB61" w14:textId="2F5FA0ED" w:rsidR="00545E40" w:rsidRPr="00432926" w:rsidRDefault="00132929" w:rsidP="00FB62C4">
            <w:pPr>
              <w:jc w:val="center"/>
              <w:cnfStyle w:val="000000000000" w:firstRow="0" w:lastRow="0" w:firstColumn="0" w:lastColumn="0" w:oddVBand="0" w:evenVBand="0" w:oddHBand="0" w:evenHBand="0" w:firstRowFirstColumn="0" w:firstRowLastColumn="0" w:lastRowFirstColumn="0" w:lastRowLastColumn="0"/>
            </w:pPr>
            <w:r w:rsidRPr="00432926">
              <w:t>46.7 (10.9-95.8</w:t>
            </w:r>
            <w:r w:rsidR="00545E40" w:rsidRPr="00432926">
              <w:t>)</w:t>
            </w:r>
          </w:p>
        </w:tc>
        <w:tc>
          <w:tcPr>
            <w:tcW w:w="0" w:type="auto"/>
            <w:vAlign w:val="center"/>
          </w:tcPr>
          <w:p w14:paraId="08F93E7B" w14:textId="2220F501" w:rsidR="00545E40" w:rsidRPr="00432926" w:rsidRDefault="00FD364D" w:rsidP="00FB62C4">
            <w:pPr>
              <w:jc w:val="center"/>
              <w:cnfStyle w:val="000000000000" w:firstRow="0" w:lastRow="0" w:firstColumn="0" w:lastColumn="0" w:oddVBand="0" w:evenVBand="0" w:oddHBand="0" w:evenHBand="0" w:firstRowFirstColumn="0" w:firstRowLastColumn="0" w:lastRowFirstColumn="0" w:lastRowLastColumn="0"/>
            </w:pPr>
            <w:r w:rsidRPr="00432926">
              <w:t>&lt;0.0</w:t>
            </w:r>
            <w:r w:rsidR="00F237DB" w:rsidRPr="00432926">
              <w:t>0</w:t>
            </w:r>
            <w:r w:rsidR="00545E40" w:rsidRPr="00432926">
              <w:t>1</w:t>
            </w:r>
          </w:p>
        </w:tc>
        <w:tc>
          <w:tcPr>
            <w:tcW w:w="1641" w:type="dxa"/>
            <w:vAlign w:val="center"/>
          </w:tcPr>
          <w:p w14:paraId="5CDE9A12" w14:textId="0BCC5769" w:rsidR="00545E40" w:rsidRPr="00432926" w:rsidRDefault="00132929" w:rsidP="00FB62C4">
            <w:pPr>
              <w:jc w:val="center"/>
              <w:cnfStyle w:val="000000000000" w:firstRow="0" w:lastRow="0" w:firstColumn="0" w:lastColumn="0" w:oddVBand="0" w:evenVBand="0" w:oddHBand="0" w:evenHBand="0" w:firstRowFirstColumn="0" w:firstRowLastColumn="0" w:lastRowFirstColumn="0" w:lastRowLastColumn="0"/>
            </w:pPr>
            <w:r w:rsidRPr="00432926">
              <w:t>27.0 (2.65-69.5</w:t>
            </w:r>
            <w:r w:rsidR="00545E40" w:rsidRPr="00432926">
              <w:t>)</w:t>
            </w:r>
          </w:p>
        </w:tc>
        <w:tc>
          <w:tcPr>
            <w:tcW w:w="1651" w:type="dxa"/>
            <w:vAlign w:val="center"/>
          </w:tcPr>
          <w:p w14:paraId="62C996E1" w14:textId="2CDDCDEC" w:rsidR="00545E40" w:rsidRPr="00432926" w:rsidRDefault="00132929" w:rsidP="00132929">
            <w:pPr>
              <w:jc w:val="center"/>
              <w:cnfStyle w:val="000000000000" w:firstRow="0" w:lastRow="0" w:firstColumn="0" w:lastColumn="0" w:oddVBand="0" w:evenVBand="0" w:oddHBand="0" w:evenHBand="0" w:firstRowFirstColumn="0" w:firstRowLastColumn="0" w:lastRowFirstColumn="0" w:lastRowLastColumn="0"/>
            </w:pPr>
            <w:r w:rsidRPr="00432926">
              <w:t>39.6 (3.4-87.6</w:t>
            </w:r>
            <w:r w:rsidR="00545E40" w:rsidRPr="00432926">
              <w:t>)</w:t>
            </w:r>
          </w:p>
        </w:tc>
        <w:tc>
          <w:tcPr>
            <w:tcW w:w="0" w:type="auto"/>
            <w:vAlign w:val="center"/>
          </w:tcPr>
          <w:p w14:paraId="6AAE169E" w14:textId="040365F3" w:rsidR="00545E40" w:rsidRPr="00432926" w:rsidRDefault="00FD364D" w:rsidP="00FB62C4">
            <w:pPr>
              <w:jc w:val="center"/>
              <w:cnfStyle w:val="000000000000" w:firstRow="0" w:lastRow="0" w:firstColumn="0" w:lastColumn="0" w:oddVBand="0" w:evenVBand="0" w:oddHBand="0" w:evenHBand="0" w:firstRowFirstColumn="0" w:firstRowLastColumn="0" w:lastRowFirstColumn="0" w:lastRowLastColumn="0"/>
            </w:pPr>
            <w:r w:rsidRPr="00432926">
              <w:t>&lt;0.</w:t>
            </w:r>
            <w:r w:rsidR="00545E40" w:rsidRPr="00432926">
              <w:t>0</w:t>
            </w:r>
            <w:r w:rsidR="007D26E7" w:rsidRPr="00432926">
              <w:t>0</w:t>
            </w:r>
            <w:r w:rsidR="00545E40" w:rsidRPr="00432926">
              <w:t>1</w:t>
            </w:r>
          </w:p>
        </w:tc>
      </w:tr>
      <w:tr w:rsidR="00545E40" w:rsidRPr="00432926" w14:paraId="176CE4A2" w14:textId="77777777" w:rsidTr="00622D46">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0" w:type="auto"/>
          </w:tcPr>
          <w:p w14:paraId="1B45EDCD" w14:textId="77777777" w:rsidR="00545E40" w:rsidRPr="00432926" w:rsidRDefault="00545E40" w:rsidP="00FB62C4">
            <w:pPr>
              <w:rPr>
                <w:b w:val="0"/>
              </w:rPr>
            </w:pPr>
            <w:r w:rsidRPr="00432926">
              <w:rPr>
                <w:b w:val="0"/>
              </w:rPr>
              <w:t>P2Y12 use</w:t>
            </w:r>
          </w:p>
        </w:tc>
        <w:tc>
          <w:tcPr>
            <w:tcW w:w="0" w:type="auto"/>
            <w:vAlign w:val="center"/>
          </w:tcPr>
          <w:p w14:paraId="64C09C8D"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pPr>
            <w:r w:rsidRPr="00432926">
              <w:t>41050 (78.2%)</w:t>
            </w:r>
          </w:p>
        </w:tc>
        <w:tc>
          <w:tcPr>
            <w:tcW w:w="0" w:type="auto"/>
            <w:vAlign w:val="center"/>
          </w:tcPr>
          <w:p w14:paraId="4C42A736"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pPr>
            <w:r w:rsidRPr="00432926">
              <w:t>4404 (78.8%)</w:t>
            </w:r>
          </w:p>
        </w:tc>
        <w:tc>
          <w:tcPr>
            <w:tcW w:w="0" w:type="auto"/>
            <w:vAlign w:val="center"/>
          </w:tcPr>
          <w:p w14:paraId="3415A23A" w14:textId="6563F25D"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pPr>
            <w:r w:rsidRPr="00432926">
              <w:t>0.28</w:t>
            </w:r>
            <w:r w:rsidR="00F237DB" w:rsidRPr="00432926">
              <w:t>1</w:t>
            </w:r>
          </w:p>
        </w:tc>
        <w:tc>
          <w:tcPr>
            <w:tcW w:w="1641" w:type="dxa"/>
            <w:vAlign w:val="center"/>
          </w:tcPr>
          <w:p w14:paraId="3CFD5C38"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pPr>
            <w:r w:rsidRPr="00432926">
              <w:t>6069 (78.2%)</w:t>
            </w:r>
          </w:p>
        </w:tc>
        <w:tc>
          <w:tcPr>
            <w:tcW w:w="1651" w:type="dxa"/>
            <w:vAlign w:val="center"/>
          </w:tcPr>
          <w:p w14:paraId="5EC79F51"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pPr>
            <w:r w:rsidRPr="00432926">
              <w:t>1123 (75.1%)</w:t>
            </w:r>
          </w:p>
        </w:tc>
        <w:tc>
          <w:tcPr>
            <w:tcW w:w="0" w:type="auto"/>
            <w:vAlign w:val="center"/>
          </w:tcPr>
          <w:p w14:paraId="2B37D180" w14:textId="116ACE4F" w:rsidR="00545E40" w:rsidRPr="00432926" w:rsidRDefault="00FD364D" w:rsidP="00FB62C4">
            <w:pPr>
              <w:jc w:val="center"/>
              <w:cnfStyle w:val="000000100000" w:firstRow="0" w:lastRow="0" w:firstColumn="0" w:lastColumn="0" w:oddVBand="0" w:evenVBand="0" w:oddHBand="1" w:evenHBand="0" w:firstRowFirstColumn="0" w:firstRowLastColumn="0" w:lastRowFirstColumn="0" w:lastRowLastColumn="0"/>
            </w:pPr>
            <w:r w:rsidRPr="00432926">
              <w:t>&lt;0.</w:t>
            </w:r>
            <w:r w:rsidR="00545E40" w:rsidRPr="00432926">
              <w:t>0</w:t>
            </w:r>
            <w:r w:rsidR="007D26E7" w:rsidRPr="00432926">
              <w:t>0</w:t>
            </w:r>
            <w:r w:rsidR="00545E40" w:rsidRPr="00432926">
              <w:t>1</w:t>
            </w:r>
          </w:p>
        </w:tc>
      </w:tr>
      <w:tr w:rsidR="00545E40" w:rsidRPr="00432926" w14:paraId="33E54B39" w14:textId="77777777" w:rsidTr="00622D46">
        <w:trPr>
          <w:trHeight w:val="275"/>
        </w:trPr>
        <w:tc>
          <w:tcPr>
            <w:cnfStyle w:val="001000000000" w:firstRow="0" w:lastRow="0" w:firstColumn="1" w:lastColumn="0" w:oddVBand="0" w:evenVBand="0" w:oddHBand="0" w:evenHBand="0" w:firstRowFirstColumn="0" w:firstRowLastColumn="0" w:lastRowFirstColumn="0" w:lastRowLastColumn="0"/>
            <w:tcW w:w="0" w:type="auto"/>
          </w:tcPr>
          <w:p w14:paraId="478BD91E" w14:textId="77777777" w:rsidR="00545E40" w:rsidRPr="00432926" w:rsidRDefault="00545E40" w:rsidP="00FB62C4">
            <w:pPr>
              <w:rPr>
                <w:b w:val="0"/>
              </w:rPr>
            </w:pPr>
            <w:r w:rsidRPr="00432926">
              <w:rPr>
                <w:b w:val="0"/>
              </w:rPr>
              <w:t>Dual antiplatelet medication</w:t>
            </w:r>
          </w:p>
        </w:tc>
        <w:tc>
          <w:tcPr>
            <w:tcW w:w="0" w:type="auto"/>
            <w:vAlign w:val="center"/>
          </w:tcPr>
          <w:p w14:paraId="5B152B90"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pPr>
            <w:r w:rsidRPr="00432926">
              <w:t>30527 (72.7%)</w:t>
            </w:r>
          </w:p>
        </w:tc>
        <w:tc>
          <w:tcPr>
            <w:tcW w:w="0" w:type="auto"/>
            <w:vAlign w:val="center"/>
          </w:tcPr>
          <w:p w14:paraId="56352115"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pPr>
            <w:r w:rsidRPr="00432926">
              <w:t>3437 (74.4%)</w:t>
            </w:r>
          </w:p>
        </w:tc>
        <w:tc>
          <w:tcPr>
            <w:tcW w:w="0" w:type="auto"/>
            <w:vAlign w:val="center"/>
          </w:tcPr>
          <w:p w14:paraId="4F430070" w14:textId="238EA318" w:rsidR="00545E40" w:rsidRPr="00432926" w:rsidRDefault="00F237DB" w:rsidP="00FB62C4">
            <w:pPr>
              <w:jc w:val="center"/>
              <w:cnfStyle w:val="000000000000" w:firstRow="0" w:lastRow="0" w:firstColumn="0" w:lastColumn="0" w:oddVBand="0" w:evenVBand="0" w:oddHBand="0" w:evenHBand="0" w:firstRowFirstColumn="0" w:firstRowLastColumn="0" w:lastRowFirstColumn="0" w:lastRowLastColumn="0"/>
            </w:pPr>
            <w:r w:rsidRPr="00432926">
              <w:t>0.002</w:t>
            </w:r>
          </w:p>
        </w:tc>
        <w:tc>
          <w:tcPr>
            <w:tcW w:w="1641" w:type="dxa"/>
            <w:vAlign w:val="center"/>
          </w:tcPr>
          <w:p w14:paraId="5874B269"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pPr>
            <w:r w:rsidRPr="00432926">
              <w:t>4617 (73.2%)</w:t>
            </w:r>
          </w:p>
        </w:tc>
        <w:tc>
          <w:tcPr>
            <w:tcW w:w="1651" w:type="dxa"/>
            <w:vAlign w:val="center"/>
          </w:tcPr>
          <w:p w14:paraId="0FED4B4D"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pPr>
            <w:r w:rsidRPr="00432926">
              <w:t>878 (70.2%)</w:t>
            </w:r>
          </w:p>
        </w:tc>
        <w:tc>
          <w:tcPr>
            <w:tcW w:w="0" w:type="auto"/>
            <w:vAlign w:val="center"/>
          </w:tcPr>
          <w:p w14:paraId="1D6E84B1" w14:textId="49795490"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pPr>
            <w:r w:rsidRPr="00432926">
              <w:t>0.03</w:t>
            </w:r>
            <w:r w:rsidR="007D26E7" w:rsidRPr="00432926">
              <w:t>2</w:t>
            </w:r>
          </w:p>
        </w:tc>
      </w:tr>
      <w:tr w:rsidR="00545E40" w:rsidRPr="00432926" w14:paraId="6A64C2EF" w14:textId="77777777" w:rsidTr="00622D46">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0" w:type="auto"/>
          </w:tcPr>
          <w:p w14:paraId="7E83AA23" w14:textId="77777777" w:rsidR="00545E40" w:rsidRPr="00432926" w:rsidRDefault="00545E40" w:rsidP="00FB62C4">
            <w:pPr>
              <w:rPr>
                <w:b w:val="0"/>
              </w:rPr>
            </w:pPr>
            <w:r w:rsidRPr="00432926">
              <w:rPr>
                <w:b w:val="0"/>
              </w:rPr>
              <w:t>ACE inhibitors</w:t>
            </w:r>
          </w:p>
        </w:tc>
        <w:tc>
          <w:tcPr>
            <w:tcW w:w="0" w:type="auto"/>
            <w:vAlign w:val="center"/>
          </w:tcPr>
          <w:p w14:paraId="1C22F827"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pPr>
            <w:r w:rsidRPr="00432926">
              <w:t>31589 (69.6%)</w:t>
            </w:r>
          </w:p>
        </w:tc>
        <w:tc>
          <w:tcPr>
            <w:tcW w:w="0" w:type="auto"/>
            <w:vAlign w:val="center"/>
          </w:tcPr>
          <w:p w14:paraId="0496B854"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pPr>
            <w:r w:rsidRPr="00432926">
              <w:t>3205 (71.5%)</w:t>
            </w:r>
          </w:p>
        </w:tc>
        <w:tc>
          <w:tcPr>
            <w:tcW w:w="0" w:type="auto"/>
            <w:vAlign w:val="center"/>
          </w:tcPr>
          <w:p w14:paraId="252A1EEC" w14:textId="3AB271BE" w:rsidR="00545E40" w:rsidRPr="00432926" w:rsidRDefault="00702726" w:rsidP="00FB62C4">
            <w:pPr>
              <w:jc w:val="center"/>
              <w:cnfStyle w:val="000000100000" w:firstRow="0" w:lastRow="0" w:firstColumn="0" w:lastColumn="0" w:oddVBand="0" w:evenVBand="0" w:oddHBand="1" w:evenHBand="0" w:firstRowFirstColumn="0" w:firstRowLastColumn="0" w:lastRowFirstColumn="0" w:lastRowLastColumn="0"/>
            </w:pPr>
            <w:r w:rsidRPr="00432926">
              <w:t>0.008</w:t>
            </w:r>
          </w:p>
        </w:tc>
        <w:tc>
          <w:tcPr>
            <w:tcW w:w="1641" w:type="dxa"/>
            <w:vAlign w:val="center"/>
          </w:tcPr>
          <w:p w14:paraId="5BF1043F"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pPr>
            <w:r w:rsidRPr="00432926">
              <w:t>4889 (72.0%)</w:t>
            </w:r>
          </w:p>
        </w:tc>
        <w:tc>
          <w:tcPr>
            <w:tcW w:w="1651" w:type="dxa"/>
            <w:vAlign w:val="center"/>
          </w:tcPr>
          <w:p w14:paraId="483CCDC9"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pPr>
            <w:r w:rsidRPr="00432926">
              <w:t>967 (73.6%)</w:t>
            </w:r>
          </w:p>
        </w:tc>
        <w:tc>
          <w:tcPr>
            <w:tcW w:w="0" w:type="auto"/>
            <w:vAlign w:val="center"/>
          </w:tcPr>
          <w:p w14:paraId="5FAF7D3F" w14:textId="4EADE410"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pPr>
            <w:r w:rsidRPr="00432926">
              <w:t>0.25</w:t>
            </w:r>
            <w:r w:rsidR="007D26E7" w:rsidRPr="00432926">
              <w:t>1</w:t>
            </w:r>
          </w:p>
        </w:tc>
      </w:tr>
      <w:tr w:rsidR="00545E40" w:rsidRPr="00432926" w14:paraId="2258F55D" w14:textId="77777777" w:rsidTr="00622D46">
        <w:trPr>
          <w:trHeight w:val="275"/>
        </w:trPr>
        <w:tc>
          <w:tcPr>
            <w:cnfStyle w:val="001000000000" w:firstRow="0" w:lastRow="0" w:firstColumn="1" w:lastColumn="0" w:oddVBand="0" w:evenVBand="0" w:oddHBand="0" w:evenHBand="0" w:firstRowFirstColumn="0" w:firstRowLastColumn="0" w:lastRowFirstColumn="0" w:lastRowLastColumn="0"/>
            <w:tcW w:w="0" w:type="auto"/>
          </w:tcPr>
          <w:p w14:paraId="36973DFD" w14:textId="77777777" w:rsidR="00545E40" w:rsidRPr="00432926" w:rsidRDefault="00545E40" w:rsidP="00FB62C4">
            <w:pPr>
              <w:rPr>
                <w:b w:val="0"/>
              </w:rPr>
            </w:pPr>
            <w:r w:rsidRPr="00432926">
              <w:rPr>
                <w:b w:val="0"/>
              </w:rPr>
              <w:t xml:space="preserve">In-hospital mortality </w:t>
            </w:r>
          </w:p>
        </w:tc>
        <w:tc>
          <w:tcPr>
            <w:tcW w:w="0" w:type="auto"/>
            <w:vAlign w:val="center"/>
          </w:tcPr>
          <w:p w14:paraId="6331F3B7"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pPr>
            <w:r w:rsidRPr="00432926">
              <w:t>3,154 (5.9%)</w:t>
            </w:r>
          </w:p>
        </w:tc>
        <w:tc>
          <w:tcPr>
            <w:tcW w:w="0" w:type="auto"/>
            <w:vAlign w:val="center"/>
          </w:tcPr>
          <w:p w14:paraId="0E5FA766"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pPr>
            <w:r w:rsidRPr="00432926">
              <w:t>283 (4.8%)</w:t>
            </w:r>
          </w:p>
        </w:tc>
        <w:tc>
          <w:tcPr>
            <w:tcW w:w="0" w:type="auto"/>
            <w:vAlign w:val="center"/>
          </w:tcPr>
          <w:p w14:paraId="06A5A776" w14:textId="6AC24749" w:rsidR="00545E40" w:rsidRPr="00432926" w:rsidRDefault="00FD364D" w:rsidP="00FB62C4">
            <w:pPr>
              <w:jc w:val="center"/>
              <w:cnfStyle w:val="000000000000" w:firstRow="0" w:lastRow="0" w:firstColumn="0" w:lastColumn="0" w:oddVBand="0" w:evenVBand="0" w:oddHBand="0" w:evenHBand="0" w:firstRowFirstColumn="0" w:firstRowLastColumn="0" w:lastRowFirstColumn="0" w:lastRowLastColumn="0"/>
            </w:pPr>
            <w:r w:rsidRPr="00432926">
              <w:t>&lt;0.</w:t>
            </w:r>
            <w:r w:rsidR="00545E40" w:rsidRPr="00432926">
              <w:t>0</w:t>
            </w:r>
            <w:r w:rsidR="00702726" w:rsidRPr="00432926">
              <w:t>0</w:t>
            </w:r>
            <w:r w:rsidR="00545E40" w:rsidRPr="00432926">
              <w:t>1</w:t>
            </w:r>
          </w:p>
        </w:tc>
        <w:tc>
          <w:tcPr>
            <w:tcW w:w="1641" w:type="dxa"/>
            <w:vAlign w:val="center"/>
          </w:tcPr>
          <w:p w14:paraId="1C15FE36"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pPr>
            <w:r w:rsidRPr="00432926">
              <w:t>441 (5.2%)</w:t>
            </w:r>
          </w:p>
        </w:tc>
        <w:tc>
          <w:tcPr>
            <w:tcW w:w="1651" w:type="dxa"/>
            <w:vAlign w:val="center"/>
          </w:tcPr>
          <w:p w14:paraId="12C614C4" w14:textId="77777777" w:rsidR="00545E40" w:rsidRPr="00432926" w:rsidRDefault="00545E40" w:rsidP="00FB62C4">
            <w:pPr>
              <w:jc w:val="center"/>
              <w:cnfStyle w:val="000000000000" w:firstRow="0" w:lastRow="0" w:firstColumn="0" w:lastColumn="0" w:oddVBand="0" w:evenVBand="0" w:oddHBand="0" w:evenHBand="0" w:firstRowFirstColumn="0" w:firstRowLastColumn="0" w:lastRowFirstColumn="0" w:lastRowLastColumn="0"/>
            </w:pPr>
            <w:r w:rsidRPr="00432926">
              <w:t>117 (6.7%)</w:t>
            </w:r>
          </w:p>
        </w:tc>
        <w:tc>
          <w:tcPr>
            <w:tcW w:w="0" w:type="auto"/>
            <w:vAlign w:val="center"/>
          </w:tcPr>
          <w:p w14:paraId="5417710D" w14:textId="7B0695F3" w:rsidR="00545E40" w:rsidRPr="00432926" w:rsidRDefault="007D26E7" w:rsidP="00FB62C4">
            <w:pPr>
              <w:jc w:val="center"/>
              <w:cnfStyle w:val="000000000000" w:firstRow="0" w:lastRow="0" w:firstColumn="0" w:lastColumn="0" w:oddVBand="0" w:evenVBand="0" w:oddHBand="0" w:evenHBand="0" w:firstRowFirstColumn="0" w:firstRowLastColumn="0" w:lastRowFirstColumn="0" w:lastRowLastColumn="0"/>
            </w:pPr>
            <w:r w:rsidRPr="00432926">
              <w:t>&lt;</w:t>
            </w:r>
            <w:r w:rsidR="00545E40" w:rsidRPr="00432926">
              <w:t>0.0</w:t>
            </w:r>
            <w:r w:rsidRPr="00432926">
              <w:t>0</w:t>
            </w:r>
            <w:r w:rsidR="00545E40" w:rsidRPr="00432926">
              <w:t>1</w:t>
            </w:r>
          </w:p>
        </w:tc>
      </w:tr>
      <w:tr w:rsidR="00545E40" w:rsidRPr="00432926" w14:paraId="4F7488DF" w14:textId="77777777" w:rsidTr="00622D46">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0" w:type="auto"/>
          </w:tcPr>
          <w:p w14:paraId="49C9AB01" w14:textId="77777777" w:rsidR="00545E40" w:rsidRPr="00432926" w:rsidRDefault="00545E40" w:rsidP="00FB62C4">
            <w:pPr>
              <w:rPr>
                <w:b w:val="0"/>
              </w:rPr>
            </w:pPr>
            <w:r w:rsidRPr="00432926">
              <w:rPr>
                <w:b w:val="0"/>
              </w:rPr>
              <w:t xml:space="preserve">7 day mortality </w:t>
            </w:r>
          </w:p>
        </w:tc>
        <w:tc>
          <w:tcPr>
            <w:tcW w:w="0" w:type="auto"/>
            <w:vAlign w:val="center"/>
          </w:tcPr>
          <w:p w14:paraId="58B2245F"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pPr>
            <w:r w:rsidRPr="00432926">
              <w:t>4,415 (8.3%)</w:t>
            </w:r>
          </w:p>
        </w:tc>
        <w:tc>
          <w:tcPr>
            <w:tcW w:w="0" w:type="auto"/>
            <w:vAlign w:val="center"/>
          </w:tcPr>
          <w:p w14:paraId="452A36A4"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pPr>
            <w:r w:rsidRPr="00432926">
              <w:t>385 (8.0)</w:t>
            </w:r>
          </w:p>
        </w:tc>
        <w:tc>
          <w:tcPr>
            <w:tcW w:w="0" w:type="auto"/>
            <w:vAlign w:val="center"/>
          </w:tcPr>
          <w:p w14:paraId="7F7EFB27" w14:textId="3A359D60" w:rsidR="00545E40" w:rsidRPr="00432926" w:rsidRDefault="00FD364D" w:rsidP="00FB62C4">
            <w:pPr>
              <w:jc w:val="center"/>
              <w:cnfStyle w:val="000000100000" w:firstRow="0" w:lastRow="0" w:firstColumn="0" w:lastColumn="0" w:oddVBand="0" w:evenVBand="0" w:oddHBand="1" w:evenHBand="0" w:firstRowFirstColumn="0" w:firstRowLastColumn="0" w:lastRowFirstColumn="0" w:lastRowLastColumn="0"/>
            </w:pPr>
            <w:r w:rsidRPr="00432926">
              <w:t>&lt;0.0</w:t>
            </w:r>
            <w:r w:rsidR="00702726" w:rsidRPr="00432926">
              <w:t>0</w:t>
            </w:r>
            <w:r w:rsidR="00545E40" w:rsidRPr="00432926">
              <w:t>1</w:t>
            </w:r>
          </w:p>
        </w:tc>
        <w:tc>
          <w:tcPr>
            <w:tcW w:w="1641" w:type="dxa"/>
            <w:vAlign w:val="center"/>
          </w:tcPr>
          <w:p w14:paraId="4576159B"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pPr>
            <w:r w:rsidRPr="00432926">
              <w:t>568 (6.7%)</w:t>
            </w:r>
          </w:p>
        </w:tc>
        <w:tc>
          <w:tcPr>
            <w:tcW w:w="1651" w:type="dxa"/>
            <w:vAlign w:val="center"/>
          </w:tcPr>
          <w:p w14:paraId="5E27C0AF" w14:textId="7777777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pPr>
            <w:r w:rsidRPr="00432926">
              <w:t>143 (8.2%)</w:t>
            </w:r>
          </w:p>
        </w:tc>
        <w:tc>
          <w:tcPr>
            <w:tcW w:w="0" w:type="auto"/>
            <w:vAlign w:val="center"/>
          </w:tcPr>
          <w:p w14:paraId="3617F090" w14:textId="46B38CE7" w:rsidR="00545E40" w:rsidRPr="00432926" w:rsidRDefault="00545E40" w:rsidP="00FB62C4">
            <w:pPr>
              <w:jc w:val="center"/>
              <w:cnfStyle w:val="000000100000" w:firstRow="0" w:lastRow="0" w:firstColumn="0" w:lastColumn="0" w:oddVBand="0" w:evenVBand="0" w:oddHBand="1" w:evenHBand="0" w:firstRowFirstColumn="0" w:firstRowLastColumn="0" w:lastRowFirstColumn="0" w:lastRowLastColumn="0"/>
            </w:pPr>
            <w:r w:rsidRPr="00432926">
              <w:t>0.02</w:t>
            </w:r>
            <w:r w:rsidR="007D26E7" w:rsidRPr="00432926">
              <w:t>6</w:t>
            </w:r>
          </w:p>
        </w:tc>
      </w:tr>
    </w:tbl>
    <w:p w14:paraId="44B3B492" w14:textId="72EE58EC" w:rsidR="00545E40" w:rsidRPr="00432926" w:rsidRDefault="00545E40" w:rsidP="00545E40">
      <w:pPr>
        <w:rPr>
          <w:rFonts w:cs="Times New Roman"/>
          <w:sz w:val="18"/>
          <w:szCs w:val="18"/>
        </w:rPr>
      </w:pPr>
      <w:r w:rsidRPr="00432926">
        <w:rPr>
          <w:rFonts w:cs="Times New Roman"/>
          <w:sz w:val="18"/>
          <w:szCs w:val="18"/>
        </w:rPr>
        <w:t>BMI=body mass index, SD= standard deviation,</w:t>
      </w:r>
      <w:r w:rsidR="007A4030" w:rsidRPr="00432926">
        <w:rPr>
          <w:rFonts w:cs="Times New Roman"/>
          <w:sz w:val="18"/>
          <w:szCs w:val="18"/>
        </w:rPr>
        <w:t xml:space="preserve"> bmp= beats per minute, STEMI= ST</w:t>
      </w:r>
      <w:r w:rsidRPr="00432926">
        <w:rPr>
          <w:rFonts w:cs="Times New Roman"/>
          <w:sz w:val="18"/>
          <w:szCs w:val="18"/>
        </w:rPr>
        <w:t xml:space="preserve"> elevation myoca</w:t>
      </w:r>
      <w:r w:rsidR="008D42C4" w:rsidRPr="00432926">
        <w:rPr>
          <w:rFonts w:cs="Times New Roman"/>
          <w:sz w:val="18"/>
          <w:szCs w:val="18"/>
        </w:rPr>
        <w:t>rdial infarction, NSTEMI= non ST</w:t>
      </w:r>
      <w:r w:rsidRPr="00432926">
        <w:rPr>
          <w:rFonts w:cs="Times New Roman"/>
          <w:sz w:val="18"/>
          <w:szCs w:val="18"/>
        </w:rPr>
        <w:t xml:space="preserve"> elevation myocardial infarction, LV= left ventricle, COPD= chronic obstructive airway disease, CHD = coronary heart disease, ACE= angiotensin converting enzyme, IQR= interquartil</w:t>
      </w:r>
      <w:r w:rsidR="008D42C4" w:rsidRPr="00432926">
        <w:rPr>
          <w:rFonts w:cs="Times New Roman"/>
          <w:sz w:val="18"/>
          <w:szCs w:val="18"/>
        </w:rPr>
        <w:t>e range, P2Y12</w:t>
      </w:r>
      <w:r w:rsidR="007A4030" w:rsidRPr="00432926">
        <w:rPr>
          <w:rFonts w:cs="Times New Roman"/>
          <w:sz w:val="18"/>
          <w:szCs w:val="18"/>
        </w:rPr>
        <w:t>= purinergic</w:t>
      </w:r>
      <w:r w:rsidR="008D42C4" w:rsidRPr="00432926">
        <w:rPr>
          <w:rFonts w:cs="Times New Roman"/>
          <w:sz w:val="18"/>
          <w:szCs w:val="18"/>
        </w:rPr>
        <w:t xml:space="preserve"> receptor inhibitor</w:t>
      </w:r>
    </w:p>
    <w:p w14:paraId="3D230B8C" w14:textId="77777777" w:rsidR="00545E40" w:rsidRPr="00432926" w:rsidRDefault="00545E40" w:rsidP="00545E40">
      <w:pPr>
        <w:rPr>
          <w:rFonts w:cs="Times New Roman"/>
          <w:sz w:val="22"/>
        </w:rPr>
      </w:pPr>
    </w:p>
    <w:p w14:paraId="47C83B18" w14:textId="77777777" w:rsidR="00545E40" w:rsidRPr="00432926" w:rsidRDefault="00545E40" w:rsidP="00545E40">
      <w:pPr>
        <w:rPr>
          <w:rFonts w:cs="Times New Roman"/>
          <w:sz w:val="22"/>
        </w:rPr>
      </w:pPr>
      <w:r w:rsidRPr="00432926">
        <w:rPr>
          <w:rFonts w:cs="Times New Roman"/>
          <w:sz w:val="22"/>
        </w:rPr>
        <w:br w:type="page"/>
      </w:r>
    </w:p>
    <w:p w14:paraId="678FE0F5" w14:textId="77777777" w:rsidR="00545E40" w:rsidRPr="00432926" w:rsidRDefault="00545E40" w:rsidP="00545E40">
      <w:pPr>
        <w:rPr>
          <w:rFonts w:cs="Times New Roman"/>
          <w:sz w:val="22"/>
        </w:rPr>
        <w:sectPr w:rsidR="00545E40" w:rsidRPr="00432926" w:rsidSect="00FB62C4">
          <w:pgSz w:w="16838" w:h="11906" w:orient="landscape"/>
          <w:pgMar w:top="1440" w:right="1440" w:bottom="1440" w:left="1440" w:header="708" w:footer="708" w:gutter="0"/>
          <w:cols w:space="708"/>
          <w:docGrid w:linePitch="360"/>
        </w:sectPr>
      </w:pPr>
    </w:p>
    <w:p w14:paraId="15B5FDA9" w14:textId="11FE36BC" w:rsidR="00545E40" w:rsidRPr="00432926" w:rsidRDefault="00545E40" w:rsidP="00545E40">
      <w:pPr>
        <w:rPr>
          <w:rFonts w:cs="Times New Roman"/>
          <w:sz w:val="22"/>
        </w:rPr>
      </w:pPr>
      <w:r w:rsidRPr="00432926">
        <w:rPr>
          <w:rFonts w:cs="Times New Roman"/>
          <w:sz w:val="22"/>
        </w:rPr>
        <w:lastRenderedPageBreak/>
        <w:t>T</w:t>
      </w:r>
      <w:r w:rsidR="00897A5A" w:rsidRPr="00432926">
        <w:rPr>
          <w:rFonts w:cs="Times New Roman"/>
          <w:sz w:val="22"/>
        </w:rPr>
        <w:t>able 2</w:t>
      </w:r>
      <w:r w:rsidRPr="00432926">
        <w:rPr>
          <w:rFonts w:cs="Times New Roman"/>
          <w:sz w:val="22"/>
        </w:rPr>
        <w:t>: Adjusted mortality in BAME compared to White patients undergoing PCI during COVID19 period compared to pre COVID19 period.</w:t>
      </w:r>
    </w:p>
    <w:tbl>
      <w:tblPr>
        <w:tblStyle w:val="PlainTable1"/>
        <w:tblW w:w="0" w:type="auto"/>
        <w:tblLook w:val="04A0" w:firstRow="1" w:lastRow="0" w:firstColumn="1" w:lastColumn="0" w:noHBand="0" w:noVBand="1"/>
      </w:tblPr>
      <w:tblGrid>
        <w:gridCol w:w="3397"/>
        <w:gridCol w:w="2552"/>
        <w:gridCol w:w="3067"/>
      </w:tblGrid>
      <w:tr w:rsidR="00545E40" w:rsidRPr="00432926" w14:paraId="7E3BB645" w14:textId="77777777" w:rsidTr="00FB62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01D0EA08" w14:textId="77777777" w:rsidR="00545E40" w:rsidRPr="00432926" w:rsidRDefault="00545E40" w:rsidP="00FB62C4">
            <w:pPr>
              <w:spacing w:line="360" w:lineRule="auto"/>
              <w:rPr>
                <w:rFonts w:cs="Times New Roman"/>
                <w:b w:val="0"/>
                <w:sz w:val="22"/>
              </w:rPr>
            </w:pPr>
            <w:r w:rsidRPr="00432926">
              <w:rPr>
                <w:rFonts w:cs="Times New Roman"/>
                <w:b w:val="0"/>
                <w:sz w:val="22"/>
              </w:rPr>
              <w:t>COVID19 period</w:t>
            </w:r>
          </w:p>
        </w:tc>
        <w:tc>
          <w:tcPr>
            <w:tcW w:w="2552" w:type="dxa"/>
          </w:tcPr>
          <w:p w14:paraId="46AED9C5" w14:textId="77777777" w:rsidR="00545E40" w:rsidRPr="00432926" w:rsidRDefault="00545E40" w:rsidP="00FB62C4">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Reference</w:t>
            </w:r>
          </w:p>
          <w:p w14:paraId="3CE5427F" w14:textId="77777777" w:rsidR="00545E40" w:rsidRPr="00432926" w:rsidRDefault="00545E40" w:rsidP="00FB62C4">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sz w:val="22"/>
              </w:rPr>
            </w:pPr>
          </w:p>
        </w:tc>
        <w:tc>
          <w:tcPr>
            <w:tcW w:w="3067" w:type="dxa"/>
          </w:tcPr>
          <w:p w14:paraId="4234CA25" w14:textId="77777777" w:rsidR="00545E40" w:rsidRPr="00432926" w:rsidRDefault="00545E40" w:rsidP="00FB62C4">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Adjusted odds ratio (95% confidence interval)*</w:t>
            </w:r>
          </w:p>
        </w:tc>
      </w:tr>
      <w:tr w:rsidR="00545E40" w:rsidRPr="00432926" w14:paraId="632C474C" w14:textId="77777777" w:rsidTr="00FB62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tcPr>
          <w:p w14:paraId="53CC642F" w14:textId="77777777" w:rsidR="00545E40" w:rsidRPr="00432926" w:rsidRDefault="00545E40" w:rsidP="00FB62C4">
            <w:pPr>
              <w:spacing w:line="360" w:lineRule="auto"/>
              <w:jc w:val="center"/>
              <w:rPr>
                <w:rFonts w:cs="Times New Roman"/>
                <w:sz w:val="22"/>
              </w:rPr>
            </w:pPr>
            <w:r w:rsidRPr="00432926">
              <w:rPr>
                <w:rFonts w:cs="Times New Roman"/>
                <w:sz w:val="22"/>
              </w:rPr>
              <w:t>Adjusted In hospital mortality</w:t>
            </w:r>
          </w:p>
        </w:tc>
      </w:tr>
      <w:tr w:rsidR="00545E40" w:rsidRPr="00432926" w14:paraId="5D367295" w14:textId="77777777" w:rsidTr="00FB62C4">
        <w:tc>
          <w:tcPr>
            <w:cnfStyle w:val="001000000000" w:firstRow="0" w:lastRow="0" w:firstColumn="1" w:lastColumn="0" w:oddVBand="0" w:evenVBand="0" w:oddHBand="0" w:evenHBand="0" w:firstRowFirstColumn="0" w:firstRowLastColumn="0" w:lastRowFirstColumn="0" w:lastRowLastColumn="0"/>
            <w:tcW w:w="3397" w:type="dxa"/>
          </w:tcPr>
          <w:p w14:paraId="34B821DA" w14:textId="77777777" w:rsidR="00545E40" w:rsidRPr="00432926" w:rsidRDefault="00545E40" w:rsidP="00FB62C4">
            <w:pPr>
              <w:spacing w:line="360" w:lineRule="auto"/>
              <w:rPr>
                <w:rFonts w:cs="Times New Roman"/>
                <w:b w:val="0"/>
                <w:sz w:val="22"/>
              </w:rPr>
            </w:pPr>
            <w:r w:rsidRPr="00432926">
              <w:rPr>
                <w:rFonts w:cs="Times New Roman"/>
                <w:b w:val="0"/>
                <w:sz w:val="22"/>
              </w:rPr>
              <w:t>February 2020 (n=9,996)</w:t>
            </w:r>
          </w:p>
        </w:tc>
        <w:tc>
          <w:tcPr>
            <w:tcW w:w="2552" w:type="dxa"/>
          </w:tcPr>
          <w:p w14:paraId="16F7699C" w14:textId="77777777" w:rsidR="00545E40" w:rsidRPr="00432926" w:rsidRDefault="00545E40" w:rsidP="00FB62C4">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Pre COVID19 period</w:t>
            </w:r>
          </w:p>
        </w:tc>
        <w:tc>
          <w:tcPr>
            <w:tcW w:w="3067" w:type="dxa"/>
          </w:tcPr>
          <w:p w14:paraId="2C9B4F1A" w14:textId="77777777" w:rsidR="00545E40" w:rsidRPr="00432926" w:rsidRDefault="00545E40" w:rsidP="00FB62C4">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0.77 (0.46-1.28)</w:t>
            </w:r>
          </w:p>
        </w:tc>
      </w:tr>
      <w:tr w:rsidR="00545E40" w:rsidRPr="00432926" w14:paraId="01E658C7" w14:textId="77777777" w:rsidTr="00FB62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0CD6ABAD" w14:textId="77777777" w:rsidR="00545E40" w:rsidRPr="00432926" w:rsidRDefault="00545E40" w:rsidP="00FB62C4">
            <w:pPr>
              <w:spacing w:line="360" w:lineRule="auto"/>
              <w:rPr>
                <w:rFonts w:cs="Times New Roman"/>
                <w:b w:val="0"/>
                <w:sz w:val="22"/>
              </w:rPr>
            </w:pPr>
            <w:r w:rsidRPr="00432926">
              <w:rPr>
                <w:rFonts w:cs="Times New Roman"/>
                <w:b w:val="0"/>
                <w:sz w:val="22"/>
              </w:rPr>
              <w:t>March 2020 (n=9,088)</w:t>
            </w:r>
          </w:p>
        </w:tc>
        <w:tc>
          <w:tcPr>
            <w:tcW w:w="2552" w:type="dxa"/>
          </w:tcPr>
          <w:p w14:paraId="2284D4C1" w14:textId="77777777" w:rsidR="00545E40" w:rsidRPr="00432926" w:rsidRDefault="00545E40" w:rsidP="00FB62C4">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Pre COVID19 period</w:t>
            </w:r>
          </w:p>
        </w:tc>
        <w:tc>
          <w:tcPr>
            <w:tcW w:w="3067" w:type="dxa"/>
          </w:tcPr>
          <w:p w14:paraId="5CE2BFD6" w14:textId="77777777" w:rsidR="00545E40" w:rsidRPr="00432926" w:rsidRDefault="00545E40" w:rsidP="00FB62C4">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1.11 (0.26-4.63)</w:t>
            </w:r>
          </w:p>
        </w:tc>
      </w:tr>
      <w:tr w:rsidR="00545E40" w:rsidRPr="00432926" w14:paraId="74FD4BE5" w14:textId="77777777" w:rsidTr="00FB62C4">
        <w:tc>
          <w:tcPr>
            <w:cnfStyle w:val="001000000000" w:firstRow="0" w:lastRow="0" w:firstColumn="1" w:lastColumn="0" w:oddVBand="0" w:evenVBand="0" w:oddHBand="0" w:evenHBand="0" w:firstRowFirstColumn="0" w:firstRowLastColumn="0" w:lastRowFirstColumn="0" w:lastRowLastColumn="0"/>
            <w:tcW w:w="3397" w:type="dxa"/>
          </w:tcPr>
          <w:p w14:paraId="7CE86A36" w14:textId="77777777" w:rsidR="00545E40" w:rsidRPr="00432926" w:rsidRDefault="00545E40" w:rsidP="00FB62C4">
            <w:pPr>
              <w:spacing w:line="360" w:lineRule="auto"/>
              <w:rPr>
                <w:rFonts w:cs="Times New Roman"/>
                <w:b w:val="0"/>
                <w:sz w:val="22"/>
              </w:rPr>
            </w:pPr>
            <w:r w:rsidRPr="00432926">
              <w:rPr>
                <w:rFonts w:cs="Times New Roman"/>
                <w:b w:val="0"/>
                <w:sz w:val="22"/>
              </w:rPr>
              <w:t>April 2020 (n=8,206)</w:t>
            </w:r>
          </w:p>
        </w:tc>
        <w:tc>
          <w:tcPr>
            <w:tcW w:w="2552" w:type="dxa"/>
          </w:tcPr>
          <w:p w14:paraId="7B3F81FE" w14:textId="77777777" w:rsidR="00545E40" w:rsidRPr="00432926" w:rsidRDefault="00545E40" w:rsidP="00FB62C4">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Pre COVID19 period</w:t>
            </w:r>
          </w:p>
        </w:tc>
        <w:tc>
          <w:tcPr>
            <w:tcW w:w="3067" w:type="dxa"/>
          </w:tcPr>
          <w:p w14:paraId="4E6ADF17" w14:textId="77777777" w:rsidR="00545E40" w:rsidRPr="00432926" w:rsidRDefault="00545E40" w:rsidP="00FB62C4">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1.44 (0.24-8.60)</w:t>
            </w:r>
          </w:p>
        </w:tc>
      </w:tr>
      <w:tr w:rsidR="00545E40" w:rsidRPr="00432926" w14:paraId="7626E410" w14:textId="77777777" w:rsidTr="00FB62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34558887" w14:textId="77777777" w:rsidR="00545E40" w:rsidRPr="00432926" w:rsidRDefault="00545E40" w:rsidP="00FB62C4">
            <w:pPr>
              <w:spacing w:line="360" w:lineRule="auto"/>
              <w:rPr>
                <w:rFonts w:cs="Times New Roman"/>
                <w:b w:val="0"/>
                <w:sz w:val="22"/>
              </w:rPr>
            </w:pPr>
            <w:r w:rsidRPr="00432926">
              <w:rPr>
                <w:rFonts w:cs="Times New Roman"/>
                <w:b w:val="0"/>
                <w:sz w:val="22"/>
              </w:rPr>
              <w:t>May 2020 (n=7,292)</w:t>
            </w:r>
          </w:p>
        </w:tc>
        <w:tc>
          <w:tcPr>
            <w:tcW w:w="2552" w:type="dxa"/>
          </w:tcPr>
          <w:p w14:paraId="50637217" w14:textId="77777777" w:rsidR="00545E40" w:rsidRPr="00432926" w:rsidRDefault="00545E40" w:rsidP="00FB62C4">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Pre COVID19 period</w:t>
            </w:r>
          </w:p>
        </w:tc>
        <w:tc>
          <w:tcPr>
            <w:tcW w:w="3067" w:type="dxa"/>
          </w:tcPr>
          <w:p w14:paraId="121CCE66" w14:textId="77777777" w:rsidR="00545E40" w:rsidRPr="00432926" w:rsidRDefault="00545E40" w:rsidP="00FB62C4">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3.87 (0.55-12.98)</w:t>
            </w:r>
          </w:p>
        </w:tc>
      </w:tr>
      <w:tr w:rsidR="00545E40" w:rsidRPr="00432926" w14:paraId="18BFC414" w14:textId="77777777" w:rsidTr="00FB62C4">
        <w:trPr>
          <w:trHeight w:val="676"/>
        </w:trPr>
        <w:tc>
          <w:tcPr>
            <w:cnfStyle w:val="001000000000" w:firstRow="0" w:lastRow="0" w:firstColumn="1" w:lastColumn="0" w:oddVBand="0" w:evenVBand="0" w:oddHBand="0" w:evenHBand="0" w:firstRowFirstColumn="0" w:firstRowLastColumn="0" w:lastRowFirstColumn="0" w:lastRowLastColumn="0"/>
            <w:tcW w:w="3397" w:type="dxa"/>
          </w:tcPr>
          <w:p w14:paraId="4D081ED1" w14:textId="77777777" w:rsidR="00545E40" w:rsidRPr="00432926" w:rsidRDefault="00545E40" w:rsidP="00FB62C4">
            <w:pPr>
              <w:spacing w:line="360" w:lineRule="auto"/>
              <w:rPr>
                <w:rFonts w:cs="Times New Roman"/>
                <w:b w:val="0"/>
                <w:sz w:val="22"/>
              </w:rPr>
            </w:pPr>
            <w:r w:rsidRPr="00432926">
              <w:rPr>
                <w:rFonts w:cs="Times New Roman"/>
                <w:b w:val="0"/>
                <w:sz w:val="22"/>
              </w:rPr>
              <w:t>Overall mortality 2020 (n=34,582)</w:t>
            </w:r>
          </w:p>
        </w:tc>
        <w:tc>
          <w:tcPr>
            <w:tcW w:w="2552" w:type="dxa"/>
          </w:tcPr>
          <w:p w14:paraId="4B930C12" w14:textId="77777777" w:rsidR="00545E40" w:rsidRPr="00432926" w:rsidRDefault="00545E40" w:rsidP="00FB62C4">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Pre COVID19 period</w:t>
            </w:r>
          </w:p>
        </w:tc>
        <w:tc>
          <w:tcPr>
            <w:tcW w:w="3067" w:type="dxa"/>
          </w:tcPr>
          <w:p w14:paraId="6342E7B4" w14:textId="77777777" w:rsidR="00545E40" w:rsidRPr="00432926" w:rsidRDefault="00545E40" w:rsidP="00FB62C4">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1.28 (0.70-2.32)</w:t>
            </w:r>
          </w:p>
        </w:tc>
      </w:tr>
      <w:tr w:rsidR="00545E40" w:rsidRPr="00432926" w14:paraId="024BBBAD" w14:textId="77777777" w:rsidTr="00FB62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tcPr>
          <w:p w14:paraId="0FD1E505" w14:textId="77777777" w:rsidR="00545E40" w:rsidRPr="00432926" w:rsidRDefault="00545E40" w:rsidP="00FB62C4">
            <w:pPr>
              <w:spacing w:line="360" w:lineRule="auto"/>
              <w:jc w:val="center"/>
              <w:rPr>
                <w:rFonts w:cs="Times New Roman"/>
                <w:sz w:val="22"/>
              </w:rPr>
            </w:pPr>
            <w:r w:rsidRPr="00432926">
              <w:rPr>
                <w:rFonts w:cs="Times New Roman"/>
                <w:sz w:val="22"/>
              </w:rPr>
              <w:t xml:space="preserve">Adjusted 7-day mortality </w:t>
            </w:r>
          </w:p>
        </w:tc>
      </w:tr>
      <w:tr w:rsidR="00545E40" w:rsidRPr="00432926" w14:paraId="3D88906D" w14:textId="77777777" w:rsidTr="00FB62C4">
        <w:tc>
          <w:tcPr>
            <w:cnfStyle w:val="001000000000" w:firstRow="0" w:lastRow="0" w:firstColumn="1" w:lastColumn="0" w:oddVBand="0" w:evenVBand="0" w:oddHBand="0" w:evenHBand="0" w:firstRowFirstColumn="0" w:firstRowLastColumn="0" w:lastRowFirstColumn="0" w:lastRowLastColumn="0"/>
            <w:tcW w:w="3397" w:type="dxa"/>
          </w:tcPr>
          <w:p w14:paraId="2E6B7A92" w14:textId="77777777" w:rsidR="00545E40" w:rsidRPr="00432926" w:rsidRDefault="00545E40" w:rsidP="00FB62C4">
            <w:pPr>
              <w:spacing w:line="360" w:lineRule="auto"/>
              <w:rPr>
                <w:rFonts w:cs="Times New Roman"/>
                <w:b w:val="0"/>
                <w:sz w:val="22"/>
              </w:rPr>
            </w:pPr>
            <w:r w:rsidRPr="00432926">
              <w:rPr>
                <w:rFonts w:cs="Times New Roman"/>
                <w:b w:val="0"/>
                <w:sz w:val="22"/>
              </w:rPr>
              <w:t>February 2020 (n=9,996)</w:t>
            </w:r>
          </w:p>
        </w:tc>
        <w:tc>
          <w:tcPr>
            <w:tcW w:w="2552" w:type="dxa"/>
          </w:tcPr>
          <w:p w14:paraId="6C49F8A6" w14:textId="77777777" w:rsidR="00545E40" w:rsidRPr="00432926" w:rsidRDefault="00545E40" w:rsidP="00FB62C4">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Pre COVID19 period</w:t>
            </w:r>
          </w:p>
        </w:tc>
        <w:tc>
          <w:tcPr>
            <w:tcW w:w="3067" w:type="dxa"/>
          </w:tcPr>
          <w:p w14:paraId="6CD4DF54" w14:textId="77777777" w:rsidR="00545E40" w:rsidRPr="00432926" w:rsidRDefault="00545E40" w:rsidP="00FB62C4">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1.05 (0.27-3.10)</w:t>
            </w:r>
          </w:p>
        </w:tc>
      </w:tr>
      <w:tr w:rsidR="00545E40" w:rsidRPr="00432926" w14:paraId="7316D45C" w14:textId="77777777" w:rsidTr="00FB62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3B1989A1" w14:textId="77777777" w:rsidR="00545E40" w:rsidRPr="00432926" w:rsidRDefault="00545E40" w:rsidP="00FB62C4">
            <w:pPr>
              <w:spacing w:line="360" w:lineRule="auto"/>
              <w:rPr>
                <w:rFonts w:cs="Times New Roman"/>
                <w:b w:val="0"/>
                <w:sz w:val="22"/>
              </w:rPr>
            </w:pPr>
            <w:r w:rsidRPr="00432926">
              <w:rPr>
                <w:rFonts w:cs="Times New Roman"/>
                <w:b w:val="0"/>
                <w:sz w:val="22"/>
              </w:rPr>
              <w:t>March 2020 (n=9,878)</w:t>
            </w:r>
          </w:p>
        </w:tc>
        <w:tc>
          <w:tcPr>
            <w:tcW w:w="2552" w:type="dxa"/>
          </w:tcPr>
          <w:p w14:paraId="5DC1ABC5" w14:textId="77777777" w:rsidR="00545E40" w:rsidRPr="00432926" w:rsidRDefault="00545E40" w:rsidP="00FB62C4">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Pre COVID19 period</w:t>
            </w:r>
          </w:p>
        </w:tc>
        <w:tc>
          <w:tcPr>
            <w:tcW w:w="3067" w:type="dxa"/>
          </w:tcPr>
          <w:p w14:paraId="69E78CF0" w14:textId="77777777" w:rsidR="00545E40" w:rsidRPr="00432926" w:rsidRDefault="00545E40" w:rsidP="00FB62C4">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1.82 (0.45-7.37)</w:t>
            </w:r>
          </w:p>
        </w:tc>
      </w:tr>
      <w:tr w:rsidR="00545E40" w:rsidRPr="00432926" w14:paraId="07F57908" w14:textId="77777777" w:rsidTr="00FB62C4">
        <w:tc>
          <w:tcPr>
            <w:cnfStyle w:val="001000000000" w:firstRow="0" w:lastRow="0" w:firstColumn="1" w:lastColumn="0" w:oddVBand="0" w:evenVBand="0" w:oddHBand="0" w:evenHBand="0" w:firstRowFirstColumn="0" w:firstRowLastColumn="0" w:lastRowFirstColumn="0" w:lastRowLastColumn="0"/>
            <w:tcW w:w="3397" w:type="dxa"/>
          </w:tcPr>
          <w:p w14:paraId="4DDDD351" w14:textId="77777777" w:rsidR="00545E40" w:rsidRPr="00432926" w:rsidRDefault="00545E40" w:rsidP="00FB62C4">
            <w:pPr>
              <w:spacing w:line="360" w:lineRule="auto"/>
              <w:rPr>
                <w:rFonts w:cs="Times New Roman"/>
                <w:b w:val="0"/>
                <w:sz w:val="22"/>
              </w:rPr>
            </w:pPr>
            <w:r w:rsidRPr="00432926">
              <w:rPr>
                <w:rFonts w:cs="Times New Roman"/>
                <w:b w:val="0"/>
                <w:sz w:val="22"/>
              </w:rPr>
              <w:t>April 2020 (n=8,206)</w:t>
            </w:r>
          </w:p>
        </w:tc>
        <w:tc>
          <w:tcPr>
            <w:tcW w:w="2552" w:type="dxa"/>
          </w:tcPr>
          <w:p w14:paraId="5200BB0B" w14:textId="77777777" w:rsidR="00545E40" w:rsidRPr="00432926" w:rsidRDefault="00545E40" w:rsidP="00FB62C4">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Pre COVID19 period</w:t>
            </w:r>
          </w:p>
        </w:tc>
        <w:tc>
          <w:tcPr>
            <w:tcW w:w="3067" w:type="dxa"/>
          </w:tcPr>
          <w:p w14:paraId="01146F10" w14:textId="77777777" w:rsidR="00545E40" w:rsidRPr="00432926" w:rsidRDefault="00545E40" w:rsidP="00FB62C4">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1.62 (0.14-3.99)</w:t>
            </w:r>
          </w:p>
        </w:tc>
      </w:tr>
      <w:tr w:rsidR="00545E40" w:rsidRPr="00432926" w14:paraId="028F4FDE" w14:textId="77777777" w:rsidTr="00FB62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6F30CE91" w14:textId="77777777" w:rsidR="00545E40" w:rsidRPr="00432926" w:rsidRDefault="00545E40" w:rsidP="00FB62C4">
            <w:pPr>
              <w:spacing w:line="360" w:lineRule="auto"/>
              <w:rPr>
                <w:rFonts w:cs="Times New Roman"/>
                <w:b w:val="0"/>
                <w:sz w:val="22"/>
              </w:rPr>
            </w:pPr>
            <w:r w:rsidRPr="00432926">
              <w:rPr>
                <w:rFonts w:cs="Times New Roman"/>
                <w:b w:val="0"/>
                <w:sz w:val="22"/>
              </w:rPr>
              <w:t>May 2020 (n=7,292)</w:t>
            </w:r>
          </w:p>
        </w:tc>
        <w:tc>
          <w:tcPr>
            <w:tcW w:w="2552" w:type="dxa"/>
          </w:tcPr>
          <w:p w14:paraId="3E7191E4" w14:textId="77777777" w:rsidR="00545E40" w:rsidRPr="00432926" w:rsidRDefault="00545E40" w:rsidP="00FB62C4">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Pre COVID19 period</w:t>
            </w:r>
          </w:p>
        </w:tc>
        <w:tc>
          <w:tcPr>
            <w:tcW w:w="3067" w:type="dxa"/>
          </w:tcPr>
          <w:p w14:paraId="25F6A7C7" w14:textId="77777777" w:rsidR="00545E40" w:rsidRPr="00432926" w:rsidRDefault="00545E40" w:rsidP="00FB62C4">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32926">
              <w:rPr>
                <w:rFonts w:cs="Times New Roman"/>
                <w:sz w:val="22"/>
              </w:rPr>
              <w:t>3.59 (0.49-8.31)</w:t>
            </w:r>
          </w:p>
        </w:tc>
      </w:tr>
      <w:tr w:rsidR="00545E40" w:rsidRPr="00432926" w14:paraId="0929FCF7" w14:textId="77777777" w:rsidTr="00FB62C4">
        <w:tc>
          <w:tcPr>
            <w:cnfStyle w:val="001000000000" w:firstRow="0" w:lastRow="0" w:firstColumn="1" w:lastColumn="0" w:oddVBand="0" w:evenVBand="0" w:oddHBand="0" w:evenHBand="0" w:firstRowFirstColumn="0" w:firstRowLastColumn="0" w:lastRowFirstColumn="0" w:lastRowLastColumn="0"/>
            <w:tcW w:w="3397" w:type="dxa"/>
          </w:tcPr>
          <w:p w14:paraId="4EF7B191" w14:textId="77777777" w:rsidR="00545E40" w:rsidRPr="00432926" w:rsidRDefault="00545E40" w:rsidP="00FB62C4">
            <w:pPr>
              <w:spacing w:line="360" w:lineRule="auto"/>
              <w:rPr>
                <w:rFonts w:cs="Times New Roman"/>
                <w:b w:val="0"/>
                <w:sz w:val="22"/>
              </w:rPr>
            </w:pPr>
            <w:r w:rsidRPr="00432926">
              <w:rPr>
                <w:rFonts w:cs="Times New Roman"/>
                <w:b w:val="0"/>
                <w:sz w:val="22"/>
              </w:rPr>
              <w:t>Overall mortality 2020 (n=34,582)</w:t>
            </w:r>
          </w:p>
        </w:tc>
        <w:tc>
          <w:tcPr>
            <w:tcW w:w="2552" w:type="dxa"/>
          </w:tcPr>
          <w:p w14:paraId="0F63F12E" w14:textId="77777777" w:rsidR="00545E40" w:rsidRPr="00432926" w:rsidRDefault="00545E40" w:rsidP="00FB62C4">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Pre COVID19 period</w:t>
            </w:r>
          </w:p>
        </w:tc>
        <w:tc>
          <w:tcPr>
            <w:tcW w:w="3067" w:type="dxa"/>
          </w:tcPr>
          <w:p w14:paraId="0828329A" w14:textId="77777777" w:rsidR="00545E40" w:rsidRPr="00432926" w:rsidRDefault="00545E40" w:rsidP="00FB62C4">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32926">
              <w:rPr>
                <w:rFonts w:cs="Times New Roman"/>
                <w:sz w:val="22"/>
              </w:rPr>
              <w:t>1.40 (0.68-2.86)</w:t>
            </w:r>
          </w:p>
        </w:tc>
      </w:tr>
    </w:tbl>
    <w:p w14:paraId="2ADA39FE" w14:textId="77777777" w:rsidR="00545E40" w:rsidRPr="00432926" w:rsidRDefault="00545E40" w:rsidP="00545E40">
      <w:pPr>
        <w:rPr>
          <w:rFonts w:cs="Times New Roman"/>
          <w:sz w:val="22"/>
        </w:rPr>
      </w:pPr>
      <w:r w:rsidRPr="00432926">
        <w:rPr>
          <w:rFonts w:cs="Times New Roman"/>
          <w:sz w:val="18"/>
          <w:szCs w:val="18"/>
        </w:rPr>
        <w:t>*Adjusted for age, gender, ethnicity, heart rate, blood pressure, body mass index, serum creatinine level, family history of coronary heart diseases, left ventricle systolic dysfunction, history of heart failure, prior percutaneous coronary intervention (PCI), history of diabetes mellitus, hypercholesterolaemia, history of angina, history of myocardial infarction, history of Cerebrovascular accident, history of peripheral vascular disease, hypertension, smoking, asthma/COPD, admission under cardiology, prescription of low molecular weight heparin, warfarin, un-fraction heparin, GP 2b/3a inhibitor, furosemide, angiotensin converting enzyme inhibitor/angiotensin receptor blockers, aspirin, P2Y12 inhibitor, , cardiogenic shock, arterial blood gas, Glasgow come scale, mechanical ventilation, lesions attempted, vessel attempted, multivessel pci, number of stents inotropic support, intravascular ultrasound, fractional flow reserve, optical coherence tomography, intra-aortic balloon pump and impella use on imputed data</w:t>
      </w:r>
    </w:p>
    <w:p w14:paraId="10EF89D6" w14:textId="77777777" w:rsidR="00545E40" w:rsidRPr="00432926" w:rsidRDefault="00545E40" w:rsidP="00545E40">
      <w:pPr>
        <w:rPr>
          <w:rFonts w:cs="Times New Roman"/>
          <w:sz w:val="22"/>
        </w:rPr>
      </w:pPr>
    </w:p>
    <w:p w14:paraId="508791EF" w14:textId="77777777" w:rsidR="00545E40" w:rsidRPr="00432926" w:rsidRDefault="00545E40" w:rsidP="00545E40">
      <w:pPr>
        <w:rPr>
          <w:rFonts w:cs="Times New Roman"/>
          <w:sz w:val="22"/>
        </w:rPr>
      </w:pPr>
    </w:p>
    <w:p w14:paraId="7BF66AB1" w14:textId="77777777" w:rsidR="00545E40" w:rsidRPr="00432926" w:rsidRDefault="00545E40" w:rsidP="00545E40">
      <w:pPr>
        <w:rPr>
          <w:rFonts w:cs="Times New Roman"/>
          <w:sz w:val="22"/>
        </w:rPr>
      </w:pPr>
    </w:p>
    <w:p w14:paraId="37680595" w14:textId="77777777" w:rsidR="00545E40" w:rsidRPr="00432926" w:rsidRDefault="00545E40" w:rsidP="00545E40">
      <w:pPr>
        <w:rPr>
          <w:rFonts w:cs="Times New Roman"/>
          <w:sz w:val="22"/>
        </w:rPr>
      </w:pPr>
    </w:p>
    <w:p w14:paraId="2CAAF395" w14:textId="77777777" w:rsidR="00545E40" w:rsidRPr="00432926" w:rsidRDefault="00545E40" w:rsidP="00545E40">
      <w:pPr>
        <w:rPr>
          <w:rFonts w:cs="Times New Roman"/>
          <w:sz w:val="22"/>
        </w:rPr>
      </w:pPr>
    </w:p>
    <w:p w14:paraId="354F556D" w14:textId="77777777" w:rsidR="00545E40" w:rsidRPr="00432926" w:rsidRDefault="00545E40" w:rsidP="00545E40">
      <w:pPr>
        <w:rPr>
          <w:rFonts w:cs="Times New Roman"/>
          <w:sz w:val="22"/>
        </w:rPr>
      </w:pPr>
    </w:p>
    <w:p w14:paraId="3F8CF636" w14:textId="77777777" w:rsidR="00545E40" w:rsidRPr="00432926" w:rsidRDefault="00545E40" w:rsidP="00545E40">
      <w:pPr>
        <w:rPr>
          <w:rFonts w:cs="Times New Roman"/>
          <w:sz w:val="22"/>
        </w:rPr>
      </w:pPr>
    </w:p>
    <w:p w14:paraId="1DCE57A0" w14:textId="77777777" w:rsidR="00545E40" w:rsidRPr="00432926" w:rsidRDefault="00545E40" w:rsidP="00545E40">
      <w:pPr>
        <w:rPr>
          <w:rFonts w:cs="Times New Roman"/>
          <w:sz w:val="22"/>
        </w:rPr>
      </w:pPr>
    </w:p>
    <w:p w14:paraId="10045F15" w14:textId="77777777" w:rsidR="00545E40" w:rsidRPr="00432926" w:rsidRDefault="00545E40" w:rsidP="00545E40">
      <w:pPr>
        <w:rPr>
          <w:rFonts w:cs="Times New Roman"/>
          <w:sz w:val="22"/>
        </w:rPr>
      </w:pPr>
    </w:p>
    <w:p w14:paraId="12C066D3" w14:textId="77777777" w:rsidR="00545E40" w:rsidRPr="00432926" w:rsidRDefault="00545E40" w:rsidP="00545E40">
      <w:pPr>
        <w:rPr>
          <w:rFonts w:cs="Times New Roman"/>
          <w:sz w:val="22"/>
        </w:rPr>
      </w:pPr>
    </w:p>
    <w:p w14:paraId="7A3556FC" w14:textId="77777777" w:rsidR="00545E40" w:rsidRPr="00432926" w:rsidRDefault="00545E40" w:rsidP="00545E40">
      <w:pPr>
        <w:rPr>
          <w:rFonts w:cs="Times New Roman"/>
          <w:sz w:val="22"/>
        </w:rPr>
      </w:pPr>
    </w:p>
    <w:p w14:paraId="6B56F370" w14:textId="77777777" w:rsidR="00545E40" w:rsidRPr="00432926" w:rsidRDefault="00545E40" w:rsidP="00545E40">
      <w:pPr>
        <w:rPr>
          <w:rFonts w:cs="Times New Roman"/>
          <w:sz w:val="22"/>
        </w:rPr>
      </w:pPr>
    </w:p>
    <w:p w14:paraId="01C5ED21" w14:textId="3DE6F71A" w:rsidR="00545E40" w:rsidRPr="00432926" w:rsidRDefault="00545E40" w:rsidP="00545E40">
      <w:pPr>
        <w:rPr>
          <w:rFonts w:cs="Times New Roman"/>
          <w:b/>
          <w:sz w:val="22"/>
        </w:rPr>
      </w:pPr>
      <w:r w:rsidRPr="00432926">
        <w:rPr>
          <w:rFonts w:cs="Times New Roman"/>
          <w:b/>
          <w:sz w:val="22"/>
        </w:rPr>
        <w:lastRenderedPageBreak/>
        <w:t xml:space="preserve">Figure 1: Time series plot of daily proportions of BAME patients </w:t>
      </w:r>
      <w:r w:rsidR="00BA1B9F" w:rsidRPr="00432926">
        <w:rPr>
          <w:rFonts w:cs="Times New Roman"/>
          <w:b/>
          <w:sz w:val="22"/>
        </w:rPr>
        <w:t>hospitalised</w:t>
      </w:r>
      <w:r w:rsidRPr="00432926">
        <w:rPr>
          <w:rFonts w:cs="Times New Roman"/>
          <w:b/>
          <w:sz w:val="22"/>
        </w:rPr>
        <w:t xml:space="preserve"> with diagnosis of AMI from 1</w:t>
      </w:r>
      <w:r w:rsidRPr="00432926">
        <w:rPr>
          <w:rFonts w:cs="Times New Roman"/>
          <w:b/>
          <w:sz w:val="22"/>
          <w:vertAlign w:val="superscript"/>
        </w:rPr>
        <w:t>st</w:t>
      </w:r>
      <w:r w:rsidRPr="00432926">
        <w:rPr>
          <w:rFonts w:cs="Times New Roman"/>
          <w:b/>
          <w:sz w:val="22"/>
        </w:rPr>
        <w:t xml:space="preserve"> January 2017 to 27</w:t>
      </w:r>
      <w:r w:rsidRPr="00432926">
        <w:rPr>
          <w:rFonts w:cs="Times New Roman"/>
          <w:b/>
          <w:sz w:val="22"/>
          <w:vertAlign w:val="superscript"/>
        </w:rPr>
        <w:t>th</w:t>
      </w:r>
      <w:r w:rsidRPr="00432926">
        <w:rPr>
          <w:rFonts w:cs="Times New Roman"/>
          <w:b/>
          <w:sz w:val="22"/>
        </w:rPr>
        <w:t xml:space="preserve"> May 2020. </w:t>
      </w:r>
    </w:p>
    <w:p w14:paraId="63914D7E" w14:textId="018A0556" w:rsidR="00545E40" w:rsidRPr="00432926" w:rsidRDefault="00545E40" w:rsidP="00545E40">
      <w:pPr>
        <w:rPr>
          <w:rFonts w:cs="Times New Roman"/>
          <w:sz w:val="22"/>
        </w:rPr>
      </w:pPr>
    </w:p>
    <w:p w14:paraId="5856CDDD" w14:textId="77777777" w:rsidR="00545E40" w:rsidRPr="00432926" w:rsidRDefault="00545E40" w:rsidP="00545E40">
      <w:pPr>
        <w:spacing w:after="0" w:line="360" w:lineRule="auto"/>
        <w:rPr>
          <w:rFonts w:cs="Arial"/>
          <w:sz w:val="18"/>
          <w:szCs w:val="18"/>
        </w:rPr>
      </w:pPr>
      <w:r w:rsidRPr="00432926">
        <w:rPr>
          <w:rFonts w:cs="Arial"/>
          <w:sz w:val="18"/>
          <w:szCs w:val="18"/>
        </w:rPr>
        <w:t xml:space="preserve">Lines represent </w:t>
      </w:r>
      <w:r w:rsidRPr="00432926">
        <w:rPr>
          <w:sz w:val="18"/>
          <w:szCs w:val="18"/>
        </w:rPr>
        <w:t>a 14-day simple moving average (indicating the mean number of daily admissions for that day and the preceding 13 days) up to and including 22</w:t>
      </w:r>
      <w:r w:rsidRPr="00432926">
        <w:rPr>
          <w:sz w:val="18"/>
          <w:szCs w:val="18"/>
          <w:vertAlign w:val="superscript"/>
        </w:rPr>
        <w:t>nd</w:t>
      </w:r>
      <w:r w:rsidRPr="00432926">
        <w:rPr>
          <w:sz w:val="18"/>
          <w:szCs w:val="18"/>
        </w:rPr>
        <w:t xml:space="preserve"> March 2020. For data from 23</w:t>
      </w:r>
      <w:r w:rsidRPr="00432926">
        <w:rPr>
          <w:sz w:val="18"/>
          <w:szCs w:val="18"/>
          <w:vertAlign w:val="superscript"/>
        </w:rPr>
        <w:t>rd</w:t>
      </w:r>
      <w:r w:rsidRPr="00432926">
        <w:rPr>
          <w:sz w:val="18"/>
          <w:szCs w:val="18"/>
        </w:rPr>
        <w:t xml:space="preserve"> March 2020, a 7-day moving average (indicating the mean number of admissions for that day and the preceding 6 days) up to and including 27</w:t>
      </w:r>
      <w:r w:rsidRPr="00432926">
        <w:rPr>
          <w:sz w:val="18"/>
          <w:szCs w:val="18"/>
          <w:vertAlign w:val="superscript"/>
        </w:rPr>
        <w:t>th</w:t>
      </w:r>
      <w:r w:rsidRPr="00432926">
        <w:rPr>
          <w:sz w:val="18"/>
          <w:szCs w:val="18"/>
        </w:rPr>
        <w:t xml:space="preserve"> May 2020, adjusted for seasonality was plotted.</w:t>
      </w:r>
    </w:p>
    <w:p w14:paraId="15247121" w14:textId="77777777" w:rsidR="00545E40" w:rsidRPr="00432926" w:rsidRDefault="00545E40" w:rsidP="00545E40">
      <w:pPr>
        <w:rPr>
          <w:rFonts w:cs="Times New Roman"/>
          <w:sz w:val="22"/>
        </w:rPr>
      </w:pPr>
    </w:p>
    <w:p w14:paraId="3214AA4C" w14:textId="524E8A4E" w:rsidR="00545E40" w:rsidRPr="00432926" w:rsidRDefault="00545E40" w:rsidP="00545E40">
      <w:pPr>
        <w:rPr>
          <w:rFonts w:cs="Times New Roman"/>
          <w:b/>
          <w:sz w:val="22"/>
        </w:rPr>
      </w:pPr>
      <w:r w:rsidRPr="00432926">
        <w:rPr>
          <w:rFonts w:cs="Times New Roman"/>
          <w:b/>
          <w:sz w:val="22"/>
        </w:rPr>
        <w:t xml:space="preserve">Figure 2: Time series plot of daily proportions of BAME patients </w:t>
      </w:r>
      <w:r w:rsidR="00BA1B9F" w:rsidRPr="00432926">
        <w:rPr>
          <w:rFonts w:cs="Times New Roman"/>
          <w:b/>
          <w:sz w:val="22"/>
        </w:rPr>
        <w:t>hospitalised</w:t>
      </w:r>
      <w:r w:rsidRPr="00432926">
        <w:rPr>
          <w:rFonts w:cs="Times New Roman"/>
          <w:b/>
          <w:sz w:val="22"/>
        </w:rPr>
        <w:t xml:space="preserve"> with diagnosis of AMI from 1</w:t>
      </w:r>
      <w:r w:rsidRPr="00432926">
        <w:rPr>
          <w:rFonts w:cs="Times New Roman"/>
          <w:b/>
          <w:sz w:val="22"/>
          <w:vertAlign w:val="superscript"/>
        </w:rPr>
        <w:t>st</w:t>
      </w:r>
      <w:r w:rsidRPr="00432926">
        <w:rPr>
          <w:rFonts w:cs="Times New Roman"/>
          <w:b/>
          <w:sz w:val="22"/>
        </w:rPr>
        <w:t xml:space="preserve"> January 2017 to 27</w:t>
      </w:r>
      <w:r w:rsidRPr="00432926">
        <w:rPr>
          <w:rFonts w:cs="Times New Roman"/>
          <w:b/>
          <w:sz w:val="22"/>
          <w:vertAlign w:val="superscript"/>
        </w:rPr>
        <w:t>th</w:t>
      </w:r>
      <w:r w:rsidRPr="00432926">
        <w:rPr>
          <w:rFonts w:cs="Times New Roman"/>
          <w:b/>
          <w:sz w:val="22"/>
        </w:rPr>
        <w:t xml:space="preserve"> May 2020 stratified according to the year of admission.</w:t>
      </w:r>
    </w:p>
    <w:p w14:paraId="5DD5FEFF" w14:textId="0641418A" w:rsidR="00545E40" w:rsidRPr="00432926" w:rsidRDefault="00545E40" w:rsidP="00545E40">
      <w:pPr>
        <w:rPr>
          <w:rFonts w:cs="Times New Roman"/>
          <w:sz w:val="22"/>
        </w:rPr>
      </w:pPr>
    </w:p>
    <w:p w14:paraId="75A47139" w14:textId="77777777" w:rsidR="00545E40" w:rsidRPr="00432926" w:rsidRDefault="00545E40" w:rsidP="00545E40">
      <w:pPr>
        <w:spacing w:after="0" w:line="360" w:lineRule="auto"/>
        <w:rPr>
          <w:rFonts w:cs="Arial"/>
          <w:sz w:val="18"/>
          <w:szCs w:val="18"/>
        </w:rPr>
      </w:pPr>
      <w:r w:rsidRPr="00432926">
        <w:rPr>
          <w:rFonts w:cs="Arial"/>
          <w:sz w:val="18"/>
          <w:szCs w:val="18"/>
        </w:rPr>
        <w:t xml:space="preserve">Lines represent </w:t>
      </w:r>
      <w:r w:rsidRPr="00432926">
        <w:rPr>
          <w:sz w:val="18"/>
          <w:szCs w:val="18"/>
        </w:rPr>
        <w:t>a 14-day simple moving average (indicating the mean number of daily admissions for that day and the preceding 13 days) up to and including 22</w:t>
      </w:r>
      <w:r w:rsidRPr="00432926">
        <w:rPr>
          <w:sz w:val="18"/>
          <w:szCs w:val="18"/>
          <w:vertAlign w:val="superscript"/>
        </w:rPr>
        <w:t>nd</w:t>
      </w:r>
      <w:r w:rsidRPr="00432926">
        <w:rPr>
          <w:sz w:val="18"/>
          <w:szCs w:val="18"/>
        </w:rPr>
        <w:t xml:space="preserve"> March 2020. For data from 23</w:t>
      </w:r>
      <w:r w:rsidRPr="00432926">
        <w:rPr>
          <w:sz w:val="18"/>
          <w:szCs w:val="18"/>
          <w:vertAlign w:val="superscript"/>
        </w:rPr>
        <w:t>rd</w:t>
      </w:r>
      <w:r w:rsidRPr="00432926">
        <w:rPr>
          <w:sz w:val="18"/>
          <w:szCs w:val="18"/>
        </w:rPr>
        <w:t xml:space="preserve"> March 2020, a 7-day moving average (indicating the mean number of admissions for that day and the preceding 6 days) up to and including 27</w:t>
      </w:r>
      <w:r w:rsidRPr="00432926">
        <w:rPr>
          <w:sz w:val="18"/>
          <w:szCs w:val="18"/>
          <w:vertAlign w:val="superscript"/>
        </w:rPr>
        <w:t>th</w:t>
      </w:r>
      <w:r w:rsidRPr="00432926">
        <w:rPr>
          <w:sz w:val="18"/>
          <w:szCs w:val="18"/>
        </w:rPr>
        <w:t xml:space="preserve"> May 2020, adjusted for seasonality was plotted</w:t>
      </w:r>
      <w:r w:rsidRPr="00432926">
        <w:rPr>
          <w:rFonts w:cs="Arial"/>
          <w:sz w:val="18"/>
          <w:szCs w:val="18"/>
        </w:rPr>
        <w:t>.</w:t>
      </w:r>
    </w:p>
    <w:p w14:paraId="409889D3" w14:textId="77777777" w:rsidR="00545E40" w:rsidRPr="00432926" w:rsidRDefault="00545E40" w:rsidP="00545E40">
      <w:pPr>
        <w:rPr>
          <w:rFonts w:cs="Times New Roman"/>
          <w:sz w:val="22"/>
        </w:rPr>
      </w:pPr>
    </w:p>
    <w:p w14:paraId="36EC2FB5" w14:textId="60B88DBD" w:rsidR="00545E40" w:rsidRPr="00432926" w:rsidRDefault="00545E40" w:rsidP="00545E40">
      <w:pPr>
        <w:rPr>
          <w:rFonts w:cs="Times New Roman"/>
          <w:b/>
          <w:sz w:val="22"/>
        </w:rPr>
      </w:pPr>
      <w:r w:rsidRPr="00432926">
        <w:rPr>
          <w:rFonts w:cs="Times New Roman"/>
          <w:b/>
          <w:sz w:val="22"/>
        </w:rPr>
        <w:t xml:space="preserve">Figure 3: Monthly rates of AMI </w:t>
      </w:r>
      <w:r w:rsidR="00BA1B9F" w:rsidRPr="00432926">
        <w:rPr>
          <w:rFonts w:cs="Times New Roman"/>
          <w:b/>
          <w:sz w:val="22"/>
        </w:rPr>
        <w:t>hospitalisation</w:t>
      </w:r>
      <w:r w:rsidRPr="00432926">
        <w:rPr>
          <w:rFonts w:cs="Times New Roman"/>
          <w:b/>
          <w:sz w:val="22"/>
        </w:rPr>
        <w:t>s in BAME compared to Whites patients during the COVID19 period.</w:t>
      </w:r>
    </w:p>
    <w:p w14:paraId="1DEEF43E" w14:textId="77777777" w:rsidR="00545E40" w:rsidRPr="00432926" w:rsidRDefault="00545E40" w:rsidP="00545E40">
      <w:pPr>
        <w:rPr>
          <w:rFonts w:cs="Times New Roman"/>
          <w:sz w:val="22"/>
        </w:rPr>
      </w:pPr>
    </w:p>
    <w:p w14:paraId="731CBEEB" w14:textId="465FC097" w:rsidR="00545E40" w:rsidRPr="00432926" w:rsidRDefault="00545E40" w:rsidP="00545E40">
      <w:pPr>
        <w:rPr>
          <w:rFonts w:cs="Times New Roman"/>
          <w:sz w:val="22"/>
        </w:rPr>
      </w:pPr>
    </w:p>
    <w:p w14:paraId="7F1568AB" w14:textId="5A0ED654" w:rsidR="00545E40" w:rsidRPr="00812293" w:rsidRDefault="00545E40" w:rsidP="00545E40">
      <w:pPr>
        <w:rPr>
          <w:rFonts w:cs="Times New Roman"/>
          <w:b/>
          <w:sz w:val="22"/>
        </w:rPr>
      </w:pPr>
      <w:r w:rsidRPr="00432926">
        <w:rPr>
          <w:rFonts w:cs="Times New Roman"/>
          <w:b/>
          <w:sz w:val="22"/>
        </w:rPr>
        <w:t>Figure 4: Adjusted mortality in BAME compared to White patients during COVID19 period compared to pre COVID19 period in the AMI cohort</w:t>
      </w:r>
    </w:p>
    <w:p w14:paraId="735D53DD" w14:textId="47774A07" w:rsidR="00545E40" w:rsidRPr="000D4652" w:rsidRDefault="00545E40" w:rsidP="00545E40">
      <w:pPr>
        <w:rPr>
          <w:rFonts w:cs="Times New Roman"/>
          <w:sz w:val="22"/>
        </w:rPr>
      </w:pPr>
    </w:p>
    <w:p w14:paraId="5E674D47" w14:textId="77777777" w:rsidR="00545E40" w:rsidRDefault="00545E40" w:rsidP="00545E40">
      <w:pPr>
        <w:rPr>
          <w:rFonts w:cs="Times New Roman"/>
          <w:sz w:val="22"/>
        </w:rPr>
      </w:pPr>
    </w:p>
    <w:sectPr w:rsidR="00545E4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0E718" w14:textId="77777777" w:rsidR="00771198" w:rsidRDefault="00771198" w:rsidP="00336EFE">
      <w:pPr>
        <w:spacing w:after="0" w:line="240" w:lineRule="auto"/>
      </w:pPr>
      <w:r>
        <w:separator/>
      </w:r>
    </w:p>
  </w:endnote>
  <w:endnote w:type="continuationSeparator" w:id="0">
    <w:p w14:paraId="7FA1BC05" w14:textId="77777777" w:rsidR="00771198" w:rsidRDefault="00771198" w:rsidP="00336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dy CS)">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7472E" w14:textId="77777777" w:rsidR="001A66D1" w:rsidRDefault="001A66D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A1520" w14:textId="77777777" w:rsidR="001A66D1" w:rsidRDefault="001A66D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7C7AE" w14:textId="77777777" w:rsidR="001A66D1" w:rsidRDefault="001A66D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BF75B6" w14:textId="77777777" w:rsidR="00771198" w:rsidRDefault="00771198" w:rsidP="00336EFE">
      <w:pPr>
        <w:spacing w:after="0" w:line="240" w:lineRule="auto"/>
      </w:pPr>
      <w:r>
        <w:separator/>
      </w:r>
    </w:p>
  </w:footnote>
  <w:footnote w:type="continuationSeparator" w:id="0">
    <w:p w14:paraId="33751252" w14:textId="77777777" w:rsidR="00771198" w:rsidRDefault="00771198" w:rsidP="00336E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CB68A" w14:textId="77777777" w:rsidR="001A66D1" w:rsidRDefault="001A66D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9BB13" w14:textId="77777777" w:rsidR="001A66D1" w:rsidRDefault="001A66D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84587" w14:textId="77777777" w:rsidR="001A66D1" w:rsidRDefault="001A66D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9A7F23"/>
    <w:multiLevelType w:val="hybridMultilevel"/>
    <w:tmpl w:val="A170DA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C221092"/>
    <w:multiLevelType w:val="hybridMultilevel"/>
    <w:tmpl w:val="D40084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E82315E"/>
    <w:multiLevelType w:val="multilevel"/>
    <w:tmpl w:val="5606B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6F13CB"/>
    <w:multiLevelType w:val="multilevel"/>
    <w:tmpl w:val="2FF2A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563"/>
    <w:rsid w:val="000001A7"/>
    <w:rsid w:val="00011B4E"/>
    <w:rsid w:val="0001485D"/>
    <w:rsid w:val="00021AA6"/>
    <w:rsid w:val="00023A20"/>
    <w:rsid w:val="00031091"/>
    <w:rsid w:val="000311D4"/>
    <w:rsid w:val="00034B35"/>
    <w:rsid w:val="000350E6"/>
    <w:rsid w:val="00035DDD"/>
    <w:rsid w:val="000364C5"/>
    <w:rsid w:val="00040FCF"/>
    <w:rsid w:val="000422A0"/>
    <w:rsid w:val="00046A04"/>
    <w:rsid w:val="00050F7B"/>
    <w:rsid w:val="00060C84"/>
    <w:rsid w:val="00060EDF"/>
    <w:rsid w:val="00061D42"/>
    <w:rsid w:val="000644BE"/>
    <w:rsid w:val="00065663"/>
    <w:rsid w:val="000657DF"/>
    <w:rsid w:val="000662A9"/>
    <w:rsid w:val="00072349"/>
    <w:rsid w:val="00073809"/>
    <w:rsid w:val="00074C0B"/>
    <w:rsid w:val="00074CE4"/>
    <w:rsid w:val="00075FD1"/>
    <w:rsid w:val="000800EC"/>
    <w:rsid w:val="00084B8A"/>
    <w:rsid w:val="000851CC"/>
    <w:rsid w:val="000860D1"/>
    <w:rsid w:val="000903CC"/>
    <w:rsid w:val="0009269C"/>
    <w:rsid w:val="000963DC"/>
    <w:rsid w:val="000B4E17"/>
    <w:rsid w:val="000C3298"/>
    <w:rsid w:val="000D1C41"/>
    <w:rsid w:val="000D46F7"/>
    <w:rsid w:val="000D4A5E"/>
    <w:rsid w:val="000D5204"/>
    <w:rsid w:val="000D5623"/>
    <w:rsid w:val="000D6A95"/>
    <w:rsid w:val="000E312A"/>
    <w:rsid w:val="000E37D3"/>
    <w:rsid w:val="000F7953"/>
    <w:rsid w:val="001034A2"/>
    <w:rsid w:val="001037D0"/>
    <w:rsid w:val="001047C4"/>
    <w:rsid w:val="00104C82"/>
    <w:rsid w:val="001059C2"/>
    <w:rsid w:val="00106A60"/>
    <w:rsid w:val="00113E3F"/>
    <w:rsid w:val="00117E42"/>
    <w:rsid w:val="00121235"/>
    <w:rsid w:val="001241CE"/>
    <w:rsid w:val="00132210"/>
    <w:rsid w:val="00132929"/>
    <w:rsid w:val="00135654"/>
    <w:rsid w:val="00140A2B"/>
    <w:rsid w:val="00140A6F"/>
    <w:rsid w:val="00141BF3"/>
    <w:rsid w:val="001441F4"/>
    <w:rsid w:val="001453CB"/>
    <w:rsid w:val="00151966"/>
    <w:rsid w:val="001551EE"/>
    <w:rsid w:val="00155981"/>
    <w:rsid w:val="00157813"/>
    <w:rsid w:val="0016154A"/>
    <w:rsid w:val="00162741"/>
    <w:rsid w:val="00163BE5"/>
    <w:rsid w:val="00166367"/>
    <w:rsid w:val="001663FA"/>
    <w:rsid w:val="00171452"/>
    <w:rsid w:val="00173173"/>
    <w:rsid w:val="00175584"/>
    <w:rsid w:val="00177CBC"/>
    <w:rsid w:val="00177E07"/>
    <w:rsid w:val="00180128"/>
    <w:rsid w:val="00181DE2"/>
    <w:rsid w:val="001855A7"/>
    <w:rsid w:val="001863B5"/>
    <w:rsid w:val="00186CF2"/>
    <w:rsid w:val="0018701B"/>
    <w:rsid w:val="00192856"/>
    <w:rsid w:val="0019474C"/>
    <w:rsid w:val="00195F76"/>
    <w:rsid w:val="001A3383"/>
    <w:rsid w:val="001A66B7"/>
    <w:rsid w:val="001A66D1"/>
    <w:rsid w:val="001B7627"/>
    <w:rsid w:val="001C1CB5"/>
    <w:rsid w:val="001C6268"/>
    <w:rsid w:val="001D27BD"/>
    <w:rsid w:val="001D2FE2"/>
    <w:rsid w:val="001D7133"/>
    <w:rsid w:val="001D7757"/>
    <w:rsid w:val="001E5818"/>
    <w:rsid w:val="001E5FD3"/>
    <w:rsid w:val="001E6141"/>
    <w:rsid w:val="001F15A6"/>
    <w:rsid w:val="001F1645"/>
    <w:rsid w:val="001F3D37"/>
    <w:rsid w:val="001F4F8F"/>
    <w:rsid w:val="001F5852"/>
    <w:rsid w:val="001F5864"/>
    <w:rsid w:val="002014EB"/>
    <w:rsid w:val="00206D2F"/>
    <w:rsid w:val="00207E73"/>
    <w:rsid w:val="002144E0"/>
    <w:rsid w:val="00217E73"/>
    <w:rsid w:val="00221242"/>
    <w:rsid w:val="00223249"/>
    <w:rsid w:val="0022708A"/>
    <w:rsid w:val="00237BAD"/>
    <w:rsid w:val="00240726"/>
    <w:rsid w:val="002477BB"/>
    <w:rsid w:val="0025003E"/>
    <w:rsid w:val="00251924"/>
    <w:rsid w:val="00252381"/>
    <w:rsid w:val="00253E86"/>
    <w:rsid w:val="002579DB"/>
    <w:rsid w:val="002704B3"/>
    <w:rsid w:val="00270C68"/>
    <w:rsid w:val="002779AC"/>
    <w:rsid w:val="0028347F"/>
    <w:rsid w:val="002926AB"/>
    <w:rsid w:val="002930F9"/>
    <w:rsid w:val="00293248"/>
    <w:rsid w:val="0029547A"/>
    <w:rsid w:val="00295D27"/>
    <w:rsid w:val="002A0A37"/>
    <w:rsid w:val="002A200C"/>
    <w:rsid w:val="002A245D"/>
    <w:rsid w:val="002A4967"/>
    <w:rsid w:val="002B2196"/>
    <w:rsid w:val="002B29E6"/>
    <w:rsid w:val="002B2E31"/>
    <w:rsid w:val="002B7BC2"/>
    <w:rsid w:val="002C0751"/>
    <w:rsid w:val="002C0EF5"/>
    <w:rsid w:val="002C1CCE"/>
    <w:rsid w:val="002C526E"/>
    <w:rsid w:val="002C7096"/>
    <w:rsid w:val="002D339B"/>
    <w:rsid w:val="002D5460"/>
    <w:rsid w:val="002E1FD5"/>
    <w:rsid w:val="002E49CA"/>
    <w:rsid w:val="002E4F6F"/>
    <w:rsid w:val="002E7A13"/>
    <w:rsid w:val="002F145F"/>
    <w:rsid w:val="002F3827"/>
    <w:rsid w:val="002F7748"/>
    <w:rsid w:val="0030284C"/>
    <w:rsid w:val="003037B6"/>
    <w:rsid w:val="00304FF5"/>
    <w:rsid w:val="00306E38"/>
    <w:rsid w:val="00317038"/>
    <w:rsid w:val="00324161"/>
    <w:rsid w:val="00330CDB"/>
    <w:rsid w:val="003317DB"/>
    <w:rsid w:val="00331904"/>
    <w:rsid w:val="00334370"/>
    <w:rsid w:val="00336EFE"/>
    <w:rsid w:val="00341EBD"/>
    <w:rsid w:val="003438C9"/>
    <w:rsid w:val="00347D44"/>
    <w:rsid w:val="00351C63"/>
    <w:rsid w:val="00351F42"/>
    <w:rsid w:val="003544C3"/>
    <w:rsid w:val="0035460C"/>
    <w:rsid w:val="00357A82"/>
    <w:rsid w:val="00360098"/>
    <w:rsid w:val="00360214"/>
    <w:rsid w:val="00363749"/>
    <w:rsid w:val="003652A9"/>
    <w:rsid w:val="00371E27"/>
    <w:rsid w:val="00372656"/>
    <w:rsid w:val="00372804"/>
    <w:rsid w:val="0037485F"/>
    <w:rsid w:val="003751FB"/>
    <w:rsid w:val="00376338"/>
    <w:rsid w:val="003800F6"/>
    <w:rsid w:val="00385CA3"/>
    <w:rsid w:val="003904DF"/>
    <w:rsid w:val="003925B9"/>
    <w:rsid w:val="003953C8"/>
    <w:rsid w:val="0039543F"/>
    <w:rsid w:val="003A6053"/>
    <w:rsid w:val="003A7C3C"/>
    <w:rsid w:val="003B087F"/>
    <w:rsid w:val="003B1AAF"/>
    <w:rsid w:val="003B4B72"/>
    <w:rsid w:val="003B7403"/>
    <w:rsid w:val="003C1C24"/>
    <w:rsid w:val="003D0336"/>
    <w:rsid w:val="003D4547"/>
    <w:rsid w:val="003D69A2"/>
    <w:rsid w:val="003D6E79"/>
    <w:rsid w:val="003E0152"/>
    <w:rsid w:val="003E31BF"/>
    <w:rsid w:val="003E4527"/>
    <w:rsid w:val="003F0690"/>
    <w:rsid w:val="003F4E9F"/>
    <w:rsid w:val="003F7963"/>
    <w:rsid w:val="00403163"/>
    <w:rsid w:val="00413324"/>
    <w:rsid w:val="0041616A"/>
    <w:rsid w:val="00416A1B"/>
    <w:rsid w:val="00421026"/>
    <w:rsid w:val="0042740A"/>
    <w:rsid w:val="004303F5"/>
    <w:rsid w:val="00430A28"/>
    <w:rsid w:val="00432099"/>
    <w:rsid w:val="00432671"/>
    <w:rsid w:val="00432926"/>
    <w:rsid w:val="00441D3A"/>
    <w:rsid w:val="00444121"/>
    <w:rsid w:val="00447A72"/>
    <w:rsid w:val="00450CA8"/>
    <w:rsid w:val="004529D9"/>
    <w:rsid w:val="0045532C"/>
    <w:rsid w:val="004559B9"/>
    <w:rsid w:val="00457D0F"/>
    <w:rsid w:val="004624D6"/>
    <w:rsid w:val="00462507"/>
    <w:rsid w:val="004675C3"/>
    <w:rsid w:val="00474890"/>
    <w:rsid w:val="00476DA6"/>
    <w:rsid w:val="00494054"/>
    <w:rsid w:val="004946ED"/>
    <w:rsid w:val="00497F02"/>
    <w:rsid w:val="004A1006"/>
    <w:rsid w:val="004A54B7"/>
    <w:rsid w:val="004A5DC7"/>
    <w:rsid w:val="004A6B37"/>
    <w:rsid w:val="004B341C"/>
    <w:rsid w:val="004B3C28"/>
    <w:rsid w:val="004B4D22"/>
    <w:rsid w:val="004C361E"/>
    <w:rsid w:val="004C3705"/>
    <w:rsid w:val="004C6ADD"/>
    <w:rsid w:val="004C7077"/>
    <w:rsid w:val="004D1DF4"/>
    <w:rsid w:val="004D2746"/>
    <w:rsid w:val="004D4328"/>
    <w:rsid w:val="004D64E1"/>
    <w:rsid w:val="004E455C"/>
    <w:rsid w:val="004E698B"/>
    <w:rsid w:val="00501443"/>
    <w:rsid w:val="005032AB"/>
    <w:rsid w:val="0050432B"/>
    <w:rsid w:val="00505BEF"/>
    <w:rsid w:val="0051627D"/>
    <w:rsid w:val="0051722A"/>
    <w:rsid w:val="0051797B"/>
    <w:rsid w:val="00520176"/>
    <w:rsid w:val="00523C17"/>
    <w:rsid w:val="00524552"/>
    <w:rsid w:val="005245DB"/>
    <w:rsid w:val="00527E9F"/>
    <w:rsid w:val="00534946"/>
    <w:rsid w:val="00536640"/>
    <w:rsid w:val="00537247"/>
    <w:rsid w:val="005416D2"/>
    <w:rsid w:val="00544877"/>
    <w:rsid w:val="00545E40"/>
    <w:rsid w:val="0055165F"/>
    <w:rsid w:val="00554494"/>
    <w:rsid w:val="0055765B"/>
    <w:rsid w:val="00564F21"/>
    <w:rsid w:val="005705F3"/>
    <w:rsid w:val="00572B0E"/>
    <w:rsid w:val="00577351"/>
    <w:rsid w:val="00581255"/>
    <w:rsid w:val="00581D1C"/>
    <w:rsid w:val="005820D7"/>
    <w:rsid w:val="00583D45"/>
    <w:rsid w:val="00584753"/>
    <w:rsid w:val="00586555"/>
    <w:rsid w:val="0059385F"/>
    <w:rsid w:val="00593AB8"/>
    <w:rsid w:val="00594124"/>
    <w:rsid w:val="00595C0C"/>
    <w:rsid w:val="005A14A2"/>
    <w:rsid w:val="005A1B34"/>
    <w:rsid w:val="005A1B5B"/>
    <w:rsid w:val="005B1C77"/>
    <w:rsid w:val="005B2B8B"/>
    <w:rsid w:val="005B4851"/>
    <w:rsid w:val="005B5C91"/>
    <w:rsid w:val="005B7887"/>
    <w:rsid w:val="005C69F0"/>
    <w:rsid w:val="005D1DCD"/>
    <w:rsid w:val="005D7830"/>
    <w:rsid w:val="005E6DD2"/>
    <w:rsid w:val="005F23FB"/>
    <w:rsid w:val="005F4B79"/>
    <w:rsid w:val="005F5D4A"/>
    <w:rsid w:val="005F77B9"/>
    <w:rsid w:val="00600C30"/>
    <w:rsid w:val="006016EB"/>
    <w:rsid w:val="00602AA0"/>
    <w:rsid w:val="0060713A"/>
    <w:rsid w:val="00612E7E"/>
    <w:rsid w:val="0061505C"/>
    <w:rsid w:val="0061602D"/>
    <w:rsid w:val="00617CCA"/>
    <w:rsid w:val="00621024"/>
    <w:rsid w:val="00621AF4"/>
    <w:rsid w:val="00621D6C"/>
    <w:rsid w:val="00622D46"/>
    <w:rsid w:val="00626AB6"/>
    <w:rsid w:val="00630768"/>
    <w:rsid w:val="00630A02"/>
    <w:rsid w:val="00633623"/>
    <w:rsid w:val="00634801"/>
    <w:rsid w:val="00635D1B"/>
    <w:rsid w:val="00640278"/>
    <w:rsid w:val="00647F5E"/>
    <w:rsid w:val="00652F40"/>
    <w:rsid w:val="00656098"/>
    <w:rsid w:val="00672F4E"/>
    <w:rsid w:val="00684A39"/>
    <w:rsid w:val="00685F04"/>
    <w:rsid w:val="006860C1"/>
    <w:rsid w:val="0068618E"/>
    <w:rsid w:val="00691936"/>
    <w:rsid w:val="006925D0"/>
    <w:rsid w:val="00693F9C"/>
    <w:rsid w:val="006A3E35"/>
    <w:rsid w:val="006A61E9"/>
    <w:rsid w:val="006A6460"/>
    <w:rsid w:val="006B3846"/>
    <w:rsid w:val="006B4568"/>
    <w:rsid w:val="006C2322"/>
    <w:rsid w:val="006C449C"/>
    <w:rsid w:val="006C475A"/>
    <w:rsid w:val="006C6080"/>
    <w:rsid w:val="006C676C"/>
    <w:rsid w:val="006D0614"/>
    <w:rsid w:val="006D1A38"/>
    <w:rsid w:val="006D1E5F"/>
    <w:rsid w:val="006D2027"/>
    <w:rsid w:val="006D439D"/>
    <w:rsid w:val="006E1154"/>
    <w:rsid w:val="006E1DD8"/>
    <w:rsid w:val="006E4ABB"/>
    <w:rsid w:val="006E6D32"/>
    <w:rsid w:val="006F395D"/>
    <w:rsid w:val="006F5CB5"/>
    <w:rsid w:val="006F74F8"/>
    <w:rsid w:val="00700509"/>
    <w:rsid w:val="0070177A"/>
    <w:rsid w:val="00702726"/>
    <w:rsid w:val="00703C1B"/>
    <w:rsid w:val="0070499F"/>
    <w:rsid w:val="00707C33"/>
    <w:rsid w:val="007129F0"/>
    <w:rsid w:val="00726AD9"/>
    <w:rsid w:val="007309A7"/>
    <w:rsid w:val="00732074"/>
    <w:rsid w:val="00732196"/>
    <w:rsid w:val="00733880"/>
    <w:rsid w:val="00734211"/>
    <w:rsid w:val="00735075"/>
    <w:rsid w:val="007364D3"/>
    <w:rsid w:val="00744604"/>
    <w:rsid w:val="007457B7"/>
    <w:rsid w:val="007511FB"/>
    <w:rsid w:val="00751750"/>
    <w:rsid w:val="007531C3"/>
    <w:rsid w:val="00755EBA"/>
    <w:rsid w:val="0075786A"/>
    <w:rsid w:val="00762434"/>
    <w:rsid w:val="0076439C"/>
    <w:rsid w:val="007645C9"/>
    <w:rsid w:val="00764D44"/>
    <w:rsid w:val="00767FCF"/>
    <w:rsid w:val="00771198"/>
    <w:rsid w:val="00771730"/>
    <w:rsid w:val="00775ECE"/>
    <w:rsid w:val="00776D88"/>
    <w:rsid w:val="00776E1C"/>
    <w:rsid w:val="00786DCA"/>
    <w:rsid w:val="00787105"/>
    <w:rsid w:val="007902C6"/>
    <w:rsid w:val="00793443"/>
    <w:rsid w:val="007938CC"/>
    <w:rsid w:val="0079426A"/>
    <w:rsid w:val="00796469"/>
    <w:rsid w:val="00796899"/>
    <w:rsid w:val="007971B5"/>
    <w:rsid w:val="00797345"/>
    <w:rsid w:val="007973D2"/>
    <w:rsid w:val="007A2201"/>
    <w:rsid w:val="007A3558"/>
    <w:rsid w:val="007A4030"/>
    <w:rsid w:val="007A4D54"/>
    <w:rsid w:val="007A60C0"/>
    <w:rsid w:val="007A6D7E"/>
    <w:rsid w:val="007B39E2"/>
    <w:rsid w:val="007B42C7"/>
    <w:rsid w:val="007B6823"/>
    <w:rsid w:val="007B7328"/>
    <w:rsid w:val="007B75C9"/>
    <w:rsid w:val="007C4FA8"/>
    <w:rsid w:val="007C6435"/>
    <w:rsid w:val="007D00F6"/>
    <w:rsid w:val="007D01C0"/>
    <w:rsid w:val="007D26E7"/>
    <w:rsid w:val="007D3DFA"/>
    <w:rsid w:val="007D582C"/>
    <w:rsid w:val="007D7058"/>
    <w:rsid w:val="007E2A93"/>
    <w:rsid w:val="007E43FD"/>
    <w:rsid w:val="007E4474"/>
    <w:rsid w:val="007F0827"/>
    <w:rsid w:val="007F7B6E"/>
    <w:rsid w:val="00801BA3"/>
    <w:rsid w:val="00802F08"/>
    <w:rsid w:val="00811302"/>
    <w:rsid w:val="00812293"/>
    <w:rsid w:val="00813480"/>
    <w:rsid w:val="008149AC"/>
    <w:rsid w:val="008149CB"/>
    <w:rsid w:val="00816F63"/>
    <w:rsid w:val="00821EDD"/>
    <w:rsid w:val="008245B7"/>
    <w:rsid w:val="00825531"/>
    <w:rsid w:val="008313DC"/>
    <w:rsid w:val="008318A5"/>
    <w:rsid w:val="00832736"/>
    <w:rsid w:val="00836F72"/>
    <w:rsid w:val="00840664"/>
    <w:rsid w:val="00840B5E"/>
    <w:rsid w:val="0084162E"/>
    <w:rsid w:val="00843386"/>
    <w:rsid w:val="00846FA9"/>
    <w:rsid w:val="0085248E"/>
    <w:rsid w:val="00853C8B"/>
    <w:rsid w:val="00853FF8"/>
    <w:rsid w:val="00854F05"/>
    <w:rsid w:val="00855080"/>
    <w:rsid w:val="00855A9E"/>
    <w:rsid w:val="00861B58"/>
    <w:rsid w:val="008678F7"/>
    <w:rsid w:val="008743FA"/>
    <w:rsid w:val="00886372"/>
    <w:rsid w:val="008877BD"/>
    <w:rsid w:val="00893E9C"/>
    <w:rsid w:val="00893F07"/>
    <w:rsid w:val="00897A5A"/>
    <w:rsid w:val="008A21B8"/>
    <w:rsid w:val="008A2DD7"/>
    <w:rsid w:val="008B2092"/>
    <w:rsid w:val="008B2A71"/>
    <w:rsid w:val="008B4583"/>
    <w:rsid w:val="008B59A7"/>
    <w:rsid w:val="008B5B21"/>
    <w:rsid w:val="008C01E3"/>
    <w:rsid w:val="008C1494"/>
    <w:rsid w:val="008C309C"/>
    <w:rsid w:val="008C7506"/>
    <w:rsid w:val="008C76D7"/>
    <w:rsid w:val="008C79BE"/>
    <w:rsid w:val="008D00A6"/>
    <w:rsid w:val="008D3C77"/>
    <w:rsid w:val="008D42C4"/>
    <w:rsid w:val="008D72B6"/>
    <w:rsid w:val="008E07F5"/>
    <w:rsid w:val="008E1595"/>
    <w:rsid w:val="008E25B2"/>
    <w:rsid w:val="008E3ECC"/>
    <w:rsid w:val="0090217B"/>
    <w:rsid w:val="00905F4E"/>
    <w:rsid w:val="00911BD9"/>
    <w:rsid w:val="009176E5"/>
    <w:rsid w:val="0093248F"/>
    <w:rsid w:val="00933AB2"/>
    <w:rsid w:val="00933BA3"/>
    <w:rsid w:val="00942570"/>
    <w:rsid w:val="009425FA"/>
    <w:rsid w:val="00943E3F"/>
    <w:rsid w:val="0094603D"/>
    <w:rsid w:val="00947507"/>
    <w:rsid w:val="0094798D"/>
    <w:rsid w:val="0096524E"/>
    <w:rsid w:val="00965E44"/>
    <w:rsid w:val="00967C96"/>
    <w:rsid w:val="00970B3B"/>
    <w:rsid w:val="0097557B"/>
    <w:rsid w:val="009762CC"/>
    <w:rsid w:val="00976F61"/>
    <w:rsid w:val="0097709D"/>
    <w:rsid w:val="0098303D"/>
    <w:rsid w:val="00983AC8"/>
    <w:rsid w:val="00991C56"/>
    <w:rsid w:val="00991D05"/>
    <w:rsid w:val="00993827"/>
    <w:rsid w:val="00994442"/>
    <w:rsid w:val="00995E1B"/>
    <w:rsid w:val="009A5024"/>
    <w:rsid w:val="009A7133"/>
    <w:rsid w:val="009C1EEB"/>
    <w:rsid w:val="009C245B"/>
    <w:rsid w:val="009C396D"/>
    <w:rsid w:val="009C5EC5"/>
    <w:rsid w:val="009D35D4"/>
    <w:rsid w:val="009D61CE"/>
    <w:rsid w:val="009D66E5"/>
    <w:rsid w:val="009E1261"/>
    <w:rsid w:val="009E281E"/>
    <w:rsid w:val="009E5133"/>
    <w:rsid w:val="009E73C8"/>
    <w:rsid w:val="009E7C19"/>
    <w:rsid w:val="009F214E"/>
    <w:rsid w:val="00A06CD1"/>
    <w:rsid w:val="00A10C00"/>
    <w:rsid w:val="00A11A23"/>
    <w:rsid w:val="00A139A7"/>
    <w:rsid w:val="00A206D0"/>
    <w:rsid w:val="00A223B0"/>
    <w:rsid w:val="00A224BD"/>
    <w:rsid w:val="00A246CD"/>
    <w:rsid w:val="00A3153D"/>
    <w:rsid w:val="00A31793"/>
    <w:rsid w:val="00A37563"/>
    <w:rsid w:val="00A51312"/>
    <w:rsid w:val="00A52E50"/>
    <w:rsid w:val="00A564DE"/>
    <w:rsid w:val="00A6127B"/>
    <w:rsid w:val="00A63404"/>
    <w:rsid w:val="00A663AA"/>
    <w:rsid w:val="00A71E6D"/>
    <w:rsid w:val="00A72232"/>
    <w:rsid w:val="00A72B6E"/>
    <w:rsid w:val="00A75386"/>
    <w:rsid w:val="00A75CC8"/>
    <w:rsid w:val="00A84DBA"/>
    <w:rsid w:val="00A84EE5"/>
    <w:rsid w:val="00A85844"/>
    <w:rsid w:val="00A86D6D"/>
    <w:rsid w:val="00A872A3"/>
    <w:rsid w:val="00A95613"/>
    <w:rsid w:val="00A9667B"/>
    <w:rsid w:val="00AB3001"/>
    <w:rsid w:val="00AB7497"/>
    <w:rsid w:val="00AC019B"/>
    <w:rsid w:val="00AC0830"/>
    <w:rsid w:val="00AC3A3A"/>
    <w:rsid w:val="00AC5D82"/>
    <w:rsid w:val="00AC6CFC"/>
    <w:rsid w:val="00AD0D22"/>
    <w:rsid w:val="00AD5F77"/>
    <w:rsid w:val="00AD71F0"/>
    <w:rsid w:val="00AD7934"/>
    <w:rsid w:val="00AE1FE7"/>
    <w:rsid w:val="00AE2B54"/>
    <w:rsid w:val="00AE6974"/>
    <w:rsid w:val="00AE7C24"/>
    <w:rsid w:val="00AF009B"/>
    <w:rsid w:val="00AF1DC4"/>
    <w:rsid w:val="00AF2417"/>
    <w:rsid w:val="00AF550E"/>
    <w:rsid w:val="00AF5B45"/>
    <w:rsid w:val="00AF6C0D"/>
    <w:rsid w:val="00AF7A8F"/>
    <w:rsid w:val="00B058E0"/>
    <w:rsid w:val="00B06F44"/>
    <w:rsid w:val="00B06FB8"/>
    <w:rsid w:val="00B13C12"/>
    <w:rsid w:val="00B24522"/>
    <w:rsid w:val="00B24ED9"/>
    <w:rsid w:val="00B2797C"/>
    <w:rsid w:val="00B33A35"/>
    <w:rsid w:val="00B347B9"/>
    <w:rsid w:val="00B40B56"/>
    <w:rsid w:val="00B465DE"/>
    <w:rsid w:val="00B52702"/>
    <w:rsid w:val="00B54B56"/>
    <w:rsid w:val="00B55012"/>
    <w:rsid w:val="00B5643D"/>
    <w:rsid w:val="00B57B7E"/>
    <w:rsid w:val="00B62DAB"/>
    <w:rsid w:val="00B63256"/>
    <w:rsid w:val="00B6778B"/>
    <w:rsid w:val="00B67960"/>
    <w:rsid w:val="00B716B6"/>
    <w:rsid w:val="00B724CD"/>
    <w:rsid w:val="00B72B8C"/>
    <w:rsid w:val="00B75CD4"/>
    <w:rsid w:val="00B75F3F"/>
    <w:rsid w:val="00B777A6"/>
    <w:rsid w:val="00B803FD"/>
    <w:rsid w:val="00B80980"/>
    <w:rsid w:val="00B8383F"/>
    <w:rsid w:val="00B85AE4"/>
    <w:rsid w:val="00B9393C"/>
    <w:rsid w:val="00B9437D"/>
    <w:rsid w:val="00B96852"/>
    <w:rsid w:val="00B968DD"/>
    <w:rsid w:val="00B97E0C"/>
    <w:rsid w:val="00BA15A8"/>
    <w:rsid w:val="00BA1B9F"/>
    <w:rsid w:val="00BA366B"/>
    <w:rsid w:val="00BA4291"/>
    <w:rsid w:val="00BB0518"/>
    <w:rsid w:val="00BB10A4"/>
    <w:rsid w:val="00BB3F72"/>
    <w:rsid w:val="00BB534A"/>
    <w:rsid w:val="00BB7177"/>
    <w:rsid w:val="00BB7B5F"/>
    <w:rsid w:val="00BC2534"/>
    <w:rsid w:val="00BC7940"/>
    <w:rsid w:val="00BC79D9"/>
    <w:rsid w:val="00BD1670"/>
    <w:rsid w:val="00BD668E"/>
    <w:rsid w:val="00BD693E"/>
    <w:rsid w:val="00BD774F"/>
    <w:rsid w:val="00BD7AE0"/>
    <w:rsid w:val="00BD7BDD"/>
    <w:rsid w:val="00BE1429"/>
    <w:rsid w:val="00BE3EB0"/>
    <w:rsid w:val="00BE4512"/>
    <w:rsid w:val="00BE62FA"/>
    <w:rsid w:val="00BF4E3D"/>
    <w:rsid w:val="00BF7FC7"/>
    <w:rsid w:val="00C00F72"/>
    <w:rsid w:val="00C01593"/>
    <w:rsid w:val="00C048FE"/>
    <w:rsid w:val="00C125B1"/>
    <w:rsid w:val="00C20411"/>
    <w:rsid w:val="00C206B1"/>
    <w:rsid w:val="00C2452A"/>
    <w:rsid w:val="00C2736F"/>
    <w:rsid w:val="00C30122"/>
    <w:rsid w:val="00C32215"/>
    <w:rsid w:val="00C368C7"/>
    <w:rsid w:val="00C41A8A"/>
    <w:rsid w:val="00C5640B"/>
    <w:rsid w:val="00C61791"/>
    <w:rsid w:val="00C61AC4"/>
    <w:rsid w:val="00C64C2B"/>
    <w:rsid w:val="00C766C4"/>
    <w:rsid w:val="00C859ED"/>
    <w:rsid w:val="00C86AD8"/>
    <w:rsid w:val="00C90CE2"/>
    <w:rsid w:val="00C90DC5"/>
    <w:rsid w:val="00C9167F"/>
    <w:rsid w:val="00C9204A"/>
    <w:rsid w:val="00C92481"/>
    <w:rsid w:val="00C97D56"/>
    <w:rsid w:val="00CA0E5E"/>
    <w:rsid w:val="00CA1673"/>
    <w:rsid w:val="00CA18BE"/>
    <w:rsid w:val="00CA3517"/>
    <w:rsid w:val="00CA7481"/>
    <w:rsid w:val="00CB00B1"/>
    <w:rsid w:val="00CB2C3E"/>
    <w:rsid w:val="00CB78A8"/>
    <w:rsid w:val="00CC1DE0"/>
    <w:rsid w:val="00CD228B"/>
    <w:rsid w:val="00CD4528"/>
    <w:rsid w:val="00CE2551"/>
    <w:rsid w:val="00CE5B44"/>
    <w:rsid w:val="00CE7B22"/>
    <w:rsid w:val="00CF3D21"/>
    <w:rsid w:val="00D0060C"/>
    <w:rsid w:val="00D01D80"/>
    <w:rsid w:val="00D05AD6"/>
    <w:rsid w:val="00D05C9F"/>
    <w:rsid w:val="00D07BE9"/>
    <w:rsid w:val="00D148B6"/>
    <w:rsid w:val="00D1644D"/>
    <w:rsid w:val="00D17D68"/>
    <w:rsid w:val="00D200D4"/>
    <w:rsid w:val="00D258B9"/>
    <w:rsid w:val="00D2631E"/>
    <w:rsid w:val="00D302A9"/>
    <w:rsid w:val="00D3046E"/>
    <w:rsid w:val="00D334F1"/>
    <w:rsid w:val="00D34274"/>
    <w:rsid w:val="00D45322"/>
    <w:rsid w:val="00D516BE"/>
    <w:rsid w:val="00D529BE"/>
    <w:rsid w:val="00D5704A"/>
    <w:rsid w:val="00D5762D"/>
    <w:rsid w:val="00D57C5B"/>
    <w:rsid w:val="00D63C88"/>
    <w:rsid w:val="00D65663"/>
    <w:rsid w:val="00D6658E"/>
    <w:rsid w:val="00D66E1D"/>
    <w:rsid w:val="00D6710C"/>
    <w:rsid w:val="00D706C6"/>
    <w:rsid w:val="00D7335D"/>
    <w:rsid w:val="00D847B5"/>
    <w:rsid w:val="00D86A7C"/>
    <w:rsid w:val="00D91870"/>
    <w:rsid w:val="00D9654D"/>
    <w:rsid w:val="00DA0413"/>
    <w:rsid w:val="00DA28FE"/>
    <w:rsid w:val="00DB153F"/>
    <w:rsid w:val="00DB15AC"/>
    <w:rsid w:val="00DB4B42"/>
    <w:rsid w:val="00DB67FE"/>
    <w:rsid w:val="00DB778C"/>
    <w:rsid w:val="00DB7DF7"/>
    <w:rsid w:val="00DC092B"/>
    <w:rsid w:val="00DC219A"/>
    <w:rsid w:val="00DC674D"/>
    <w:rsid w:val="00DC7573"/>
    <w:rsid w:val="00DD594B"/>
    <w:rsid w:val="00DD5ACA"/>
    <w:rsid w:val="00DD6E41"/>
    <w:rsid w:val="00DE077E"/>
    <w:rsid w:val="00DE2A49"/>
    <w:rsid w:val="00DE31E5"/>
    <w:rsid w:val="00DE5128"/>
    <w:rsid w:val="00DE6D2E"/>
    <w:rsid w:val="00DF2044"/>
    <w:rsid w:val="00DF3A01"/>
    <w:rsid w:val="00DF7E58"/>
    <w:rsid w:val="00E067B9"/>
    <w:rsid w:val="00E12258"/>
    <w:rsid w:val="00E1439E"/>
    <w:rsid w:val="00E23700"/>
    <w:rsid w:val="00E27723"/>
    <w:rsid w:val="00E31EF6"/>
    <w:rsid w:val="00E338B2"/>
    <w:rsid w:val="00E357AC"/>
    <w:rsid w:val="00E35905"/>
    <w:rsid w:val="00E41251"/>
    <w:rsid w:val="00E43757"/>
    <w:rsid w:val="00E4551A"/>
    <w:rsid w:val="00E469F9"/>
    <w:rsid w:val="00E54127"/>
    <w:rsid w:val="00E61169"/>
    <w:rsid w:val="00E628DA"/>
    <w:rsid w:val="00E77E65"/>
    <w:rsid w:val="00E83357"/>
    <w:rsid w:val="00E85406"/>
    <w:rsid w:val="00E91636"/>
    <w:rsid w:val="00E932F1"/>
    <w:rsid w:val="00E96592"/>
    <w:rsid w:val="00EA4F38"/>
    <w:rsid w:val="00EA7C85"/>
    <w:rsid w:val="00EB1A35"/>
    <w:rsid w:val="00EB24D3"/>
    <w:rsid w:val="00EB4BE7"/>
    <w:rsid w:val="00EC5A31"/>
    <w:rsid w:val="00EC7BF3"/>
    <w:rsid w:val="00ED25EA"/>
    <w:rsid w:val="00ED5770"/>
    <w:rsid w:val="00EE59A9"/>
    <w:rsid w:val="00EF0487"/>
    <w:rsid w:val="00F002C6"/>
    <w:rsid w:val="00F01E13"/>
    <w:rsid w:val="00F02FF2"/>
    <w:rsid w:val="00F12353"/>
    <w:rsid w:val="00F14481"/>
    <w:rsid w:val="00F14F4C"/>
    <w:rsid w:val="00F2192E"/>
    <w:rsid w:val="00F237DB"/>
    <w:rsid w:val="00F23D6F"/>
    <w:rsid w:val="00F248C2"/>
    <w:rsid w:val="00F25E50"/>
    <w:rsid w:val="00F278F2"/>
    <w:rsid w:val="00F27D9E"/>
    <w:rsid w:val="00F34BDC"/>
    <w:rsid w:val="00F45187"/>
    <w:rsid w:val="00F517C1"/>
    <w:rsid w:val="00F57EAC"/>
    <w:rsid w:val="00F612B7"/>
    <w:rsid w:val="00F71216"/>
    <w:rsid w:val="00F72E80"/>
    <w:rsid w:val="00F73252"/>
    <w:rsid w:val="00F741D5"/>
    <w:rsid w:val="00F85470"/>
    <w:rsid w:val="00F86996"/>
    <w:rsid w:val="00F9017B"/>
    <w:rsid w:val="00F907BC"/>
    <w:rsid w:val="00F931A6"/>
    <w:rsid w:val="00F957F1"/>
    <w:rsid w:val="00F976CF"/>
    <w:rsid w:val="00FA28D0"/>
    <w:rsid w:val="00FA3D0D"/>
    <w:rsid w:val="00FB0ABC"/>
    <w:rsid w:val="00FB158C"/>
    <w:rsid w:val="00FB17D0"/>
    <w:rsid w:val="00FB4AF0"/>
    <w:rsid w:val="00FB62C4"/>
    <w:rsid w:val="00FC59AA"/>
    <w:rsid w:val="00FC6588"/>
    <w:rsid w:val="00FC6DE1"/>
    <w:rsid w:val="00FD032A"/>
    <w:rsid w:val="00FD364D"/>
    <w:rsid w:val="00FE6377"/>
    <w:rsid w:val="00FE7A55"/>
    <w:rsid w:val="00FF19B1"/>
    <w:rsid w:val="00FF2A03"/>
    <w:rsid w:val="00FF3524"/>
    <w:rsid w:val="00FF3AC1"/>
    <w:rsid w:val="00FF4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53762"/>
  <w15:docId w15:val="{CF27C298-3955-4D9B-8CD6-E47522F9F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hesis">
    <w:name w:val="thesis"/>
    <w:basedOn w:val="Normal"/>
    <w:qFormat/>
    <w:rsid w:val="003E31BF"/>
    <w:pPr>
      <w:spacing w:line="360" w:lineRule="auto"/>
      <w:jc w:val="both"/>
    </w:pPr>
  </w:style>
  <w:style w:type="paragraph" w:styleId="NormalWeb">
    <w:name w:val="Normal (Web)"/>
    <w:basedOn w:val="Normal"/>
    <w:uiPriority w:val="99"/>
    <w:semiHidden/>
    <w:unhideWhenUsed/>
    <w:rsid w:val="00840664"/>
    <w:pPr>
      <w:spacing w:before="100" w:beforeAutospacing="1" w:after="100" w:afterAutospacing="1" w:line="240" w:lineRule="auto"/>
    </w:pPr>
    <w:rPr>
      <w:rFonts w:eastAsiaTheme="minorEastAsia" w:cs="Times New Roman"/>
      <w:szCs w:val="24"/>
      <w:lang w:eastAsia="en-GB"/>
    </w:rPr>
  </w:style>
  <w:style w:type="character" w:styleId="Hyperlink">
    <w:name w:val="Hyperlink"/>
    <w:basedOn w:val="DefaultParagraphFont"/>
    <w:uiPriority w:val="99"/>
    <w:unhideWhenUsed/>
    <w:rsid w:val="00840664"/>
    <w:rPr>
      <w:color w:val="0000FF"/>
      <w:u w:val="single"/>
    </w:rPr>
  </w:style>
  <w:style w:type="paragraph" w:styleId="BalloonText">
    <w:name w:val="Balloon Text"/>
    <w:basedOn w:val="Normal"/>
    <w:link w:val="BalloonTextChar"/>
    <w:uiPriority w:val="99"/>
    <w:semiHidden/>
    <w:unhideWhenUsed/>
    <w:rsid w:val="002C0751"/>
    <w:pPr>
      <w:spacing w:after="0"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2C0751"/>
    <w:rPr>
      <w:rFonts w:cs="Times New Roman"/>
      <w:sz w:val="18"/>
      <w:szCs w:val="18"/>
    </w:rPr>
  </w:style>
  <w:style w:type="character" w:styleId="CommentReference">
    <w:name w:val="annotation reference"/>
    <w:basedOn w:val="DefaultParagraphFont"/>
    <w:uiPriority w:val="99"/>
    <w:semiHidden/>
    <w:unhideWhenUsed/>
    <w:rsid w:val="002A0A37"/>
    <w:rPr>
      <w:sz w:val="16"/>
      <w:szCs w:val="16"/>
    </w:rPr>
  </w:style>
  <w:style w:type="paragraph" w:styleId="CommentText">
    <w:name w:val="annotation text"/>
    <w:basedOn w:val="Normal"/>
    <w:link w:val="CommentTextChar"/>
    <w:uiPriority w:val="99"/>
    <w:semiHidden/>
    <w:unhideWhenUsed/>
    <w:rsid w:val="002A0A37"/>
    <w:pPr>
      <w:spacing w:line="240" w:lineRule="auto"/>
    </w:pPr>
    <w:rPr>
      <w:sz w:val="20"/>
      <w:szCs w:val="20"/>
    </w:rPr>
  </w:style>
  <w:style w:type="character" w:customStyle="1" w:styleId="CommentTextChar">
    <w:name w:val="Comment Text Char"/>
    <w:basedOn w:val="DefaultParagraphFont"/>
    <w:link w:val="CommentText"/>
    <w:uiPriority w:val="99"/>
    <w:semiHidden/>
    <w:rsid w:val="002A0A37"/>
    <w:rPr>
      <w:sz w:val="20"/>
      <w:szCs w:val="20"/>
    </w:rPr>
  </w:style>
  <w:style w:type="paragraph" w:styleId="CommentSubject">
    <w:name w:val="annotation subject"/>
    <w:basedOn w:val="CommentText"/>
    <w:next w:val="CommentText"/>
    <w:link w:val="CommentSubjectChar"/>
    <w:uiPriority w:val="99"/>
    <w:semiHidden/>
    <w:unhideWhenUsed/>
    <w:rsid w:val="002A0A37"/>
    <w:rPr>
      <w:b/>
      <w:bCs/>
    </w:rPr>
  </w:style>
  <w:style w:type="character" w:customStyle="1" w:styleId="CommentSubjectChar">
    <w:name w:val="Comment Subject Char"/>
    <w:basedOn w:val="CommentTextChar"/>
    <w:link w:val="CommentSubject"/>
    <w:uiPriority w:val="99"/>
    <w:semiHidden/>
    <w:rsid w:val="002A0A37"/>
    <w:rPr>
      <w:b/>
      <w:bCs/>
      <w:sz w:val="20"/>
      <w:szCs w:val="20"/>
    </w:rPr>
  </w:style>
  <w:style w:type="paragraph" w:styleId="ListParagraph">
    <w:name w:val="List Paragraph"/>
    <w:basedOn w:val="Normal"/>
    <w:uiPriority w:val="34"/>
    <w:qFormat/>
    <w:rsid w:val="003544C3"/>
    <w:pPr>
      <w:ind w:left="720"/>
      <w:contextualSpacing/>
    </w:pPr>
  </w:style>
  <w:style w:type="character" w:customStyle="1" w:styleId="UnresolvedMention1">
    <w:name w:val="Unresolved Mention1"/>
    <w:basedOn w:val="DefaultParagraphFont"/>
    <w:uiPriority w:val="99"/>
    <w:semiHidden/>
    <w:unhideWhenUsed/>
    <w:rsid w:val="007129F0"/>
    <w:rPr>
      <w:color w:val="605E5C"/>
      <w:shd w:val="clear" w:color="auto" w:fill="E1DFDD"/>
    </w:rPr>
  </w:style>
  <w:style w:type="table" w:styleId="TableGrid">
    <w:name w:val="Table Grid"/>
    <w:basedOn w:val="TableNormal"/>
    <w:uiPriority w:val="39"/>
    <w:rsid w:val="00192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6E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EFE"/>
  </w:style>
  <w:style w:type="paragraph" w:styleId="Footer">
    <w:name w:val="footer"/>
    <w:basedOn w:val="Normal"/>
    <w:link w:val="FooterChar"/>
    <w:uiPriority w:val="99"/>
    <w:unhideWhenUsed/>
    <w:rsid w:val="00336E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EFE"/>
  </w:style>
  <w:style w:type="table" w:styleId="TableGridLight">
    <w:name w:val="Grid Table Light"/>
    <w:basedOn w:val="TableNormal"/>
    <w:uiPriority w:val="40"/>
    <w:rsid w:val="00545E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545E40"/>
    <w:pPr>
      <w:spacing w:after="0" w:line="240" w:lineRule="auto"/>
    </w:pPr>
    <w:rPr>
      <w:rFonts w:asciiTheme="minorHAnsi" w:hAnsiTheme="minorHAnsi"/>
      <w:sz w:val="22"/>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PlainTable1">
    <w:name w:val="Plain Table 1"/>
    <w:basedOn w:val="TableNormal"/>
    <w:uiPriority w:val="41"/>
    <w:rsid w:val="00545E4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7865">
      <w:bodyDiv w:val="1"/>
      <w:marLeft w:val="0"/>
      <w:marRight w:val="0"/>
      <w:marTop w:val="0"/>
      <w:marBottom w:val="0"/>
      <w:divBdr>
        <w:top w:val="none" w:sz="0" w:space="0" w:color="auto"/>
        <w:left w:val="none" w:sz="0" w:space="0" w:color="auto"/>
        <w:bottom w:val="none" w:sz="0" w:space="0" w:color="auto"/>
        <w:right w:val="none" w:sz="0" w:space="0" w:color="auto"/>
      </w:divBdr>
      <w:divsChild>
        <w:div w:id="182205203">
          <w:marLeft w:val="0"/>
          <w:marRight w:val="0"/>
          <w:marTop w:val="0"/>
          <w:marBottom w:val="0"/>
          <w:divBdr>
            <w:top w:val="none" w:sz="0" w:space="0" w:color="auto"/>
            <w:left w:val="none" w:sz="0" w:space="0" w:color="auto"/>
            <w:bottom w:val="none" w:sz="0" w:space="0" w:color="auto"/>
            <w:right w:val="none" w:sz="0" w:space="0" w:color="auto"/>
          </w:divBdr>
        </w:div>
        <w:div w:id="921989924">
          <w:marLeft w:val="0"/>
          <w:marRight w:val="0"/>
          <w:marTop w:val="0"/>
          <w:marBottom w:val="0"/>
          <w:divBdr>
            <w:top w:val="none" w:sz="0" w:space="0" w:color="auto"/>
            <w:left w:val="none" w:sz="0" w:space="0" w:color="auto"/>
            <w:bottom w:val="none" w:sz="0" w:space="0" w:color="auto"/>
            <w:right w:val="none" w:sz="0" w:space="0" w:color="auto"/>
          </w:divBdr>
          <w:divsChild>
            <w:div w:id="560099140">
              <w:marLeft w:val="0"/>
              <w:marRight w:val="0"/>
              <w:marTop w:val="0"/>
              <w:marBottom w:val="0"/>
              <w:divBdr>
                <w:top w:val="none" w:sz="0" w:space="0" w:color="auto"/>
                <w:left w:val="none" w:sz="0" w:space="0" w:color="auto"/>
                <w:bottom w:val="none" w:sz="0" w:space="0" w:color="auto"/>
                <w:right w:val="none" w:sz="0" w:space="0" w:color="auto"/>
              </w:divBdr>
              <w:divsChild>
                <w:div w:id="244071692">
                  <w:marLeft w:val="0"/>
                  <w:marRight w:val="0"/>
                  <w:marTop w:val="0"/>
                  <w:marBottom w:val="0"/>
                  <w:divBdr>
                    <w:top w:val="none" w:sz="0" w:space="0" w:color="auto"/>
                    <w:left w:val="none" w:sz="0" w:space="0" w:color="auto"/>
                    <w:bottom w:val="none" w:sz="0" w:space="0" w:color="auto"/>
                    <w:right w:val="none" w:sz="0" w:space="0" w:color="auto"/>
                  </w:divBdr>
                  <w:divsChild>
                    <w:div w:id="208864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127387">
          <w:marLeft w:val="0"/>
          <w:marRight w:val="0"/>
          <w:marTop w:val="0"/>
          <w:marBottom w:val="0"/>
          <w:divBdr>
            <w:top w:val="none" w:sz="0" w:space="0" w:color="auto"/>
            <w:left w:val="none" w:sz="0" w:space="0" w:color="auto"/>
            <w:bottom w:val="none" w:sz="0" w:space="0" w:color="auto"/>
            <w:right w:val="none" w:sz="0" w:space="0" w:color="auto"/>
          </w:divBdr>
          <w:divsChild>
            <w:div w:id="1653941947">
              <w:marLeft w:val="0"/>
              <w:marRight w:val="0"/>
              <w:marTop w:val="0"/>
              <w:marBottom w:val="0"/>
              <w:divBdr>
                <w:top w:val="none" w:sz="0" w:space="0" w:color="auto"/>
                <w:left w:val="none" w:sz="0" w:space="0" w:color="auto"/>
                <w:bottom w:val="none" w:sz="0" w:space="0" w:color="auto"/>
                <w:right w:val="none" w:sz="0" w:space="0" w:color="auto"/>
              </w:divBdr>
              <w:divsChild>
                <w:div w:id="132674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0328">
      <w:bodyDiv w:val="1"/>
      <w:marLeft w:val="0"/>
      <w:marRight w:val="0"/>
      <w:marTop w:val="0"/>
      <w:marBottom w:val="0"/>
      <w:divBdr>
        <w:top w:val="none" w:sz="0" w:space="0" w:color="auto"/>
        <w:left w:val="none" w:sz="0" w:space="0" w:color="auto"/>
        <w:bottom w:val="none" w:sz="0" w:space="0" w:color="auto"/>
        <w:right w:val="none" w:sz="0" w:space="0" w:color="auto"/>
      </w:divBdr>
    </w:div>
    <w:div w:id="374626650">
      <w:bodyDiv w:val="1"/>
      <w:marLeft w:val="0"/>
      <w:marRight w:val="0"/>
      <w:marTop w:val="0"/>
      <w:marBottom w:val="0"/>
      <w:divBdr>
        <w:top w:val="none" w:sz="0" w:space="0" w:color="auto"/>
        <w:left w:val="none" w:sz="0" w:space="0" w:color="auto"/>
        <w:bottom w:val="none" w:sz="0" w:space="0" w:color="auto"/>
        <w:right w:val="none" w:sz="0" w:space="0" w:color="auto"/>
      </w:divBdr>
    </w:div>
    <w:div w:id="542442321">
      <w:bodyDiv w:val="1"/>
      <w:marLeft w:val="0"/>
      <w:marRight w:val="0"/>
      <w:marTop w:val="0"/>
      <w:marBottom w:val="0"/>
      <w:divBdr>
        <w:top w:val="none" w:sz="0" w:space="0" w:color="auto"/>
        <w:left w:val="none" w:sz="0" w:space="0" w:color="auto"/>
        <w:bottom w:val="none" w:sz="0" w:space="0" w:color="auto"/>
        <w:right w:val="none" w:sz="0" w:space="0" w:color="auto"/>
      </w:divBdr>
    </w:div>
    <w:div w:id="596982298">
      <w:bodyDiv w:val="1"/>
      <w:marLeft w:val="0"/>
      <w:marRight w:val="0"/>
      <w:marTop w:val="0"/>
      <w:marBottom w:val="0"/>
      <w:divBdr>
        <w:top w:val="none" w:sz="0" w:space="0" w:color="auto"/>
        <w:left w:val="none" w:sz="0" w:space="0" w:color="auto"/>
        <w:bottom w:val="none" w:sz="0" w:space="0" w:color="auto"/>
        <w:right w:val="none" w:sz="0" w:space="0" w:color="auto"/>
      </w:divBdr>
    </w:div>
    <w:div w:id="670525196">
      <w:bodyDiv w:val="1"/>
      <w:marLeft w:val="0"/>
      <w:marRight w:val="0"/>
      <w:marTop w:val="0"/>
      <w:marBottom w:val="0"/>
      <w:divBdr>
        <w:top w:val="none" w:sz="0" w:space="0" w:color="auto"/>
        <w:left w:val="none" w:sz="0" w:space="0" w:color="auto"/>
        <w:bottom w:val="none" w:sz="0" w:space="0" w:color="auto"/>
        <w:right w:val="none" w:sz="0" w:space="0" w:color="auto"/>
      </w:divBdr>
    </w:div>
    <w:div w:id="853764335">
      <w:bodyDiv w:val="1"/>
      <w:marLeft w:val="0"/>
      <w:marRight w:val="0"/>
      <w:marTop w:val="0"/>
      <w:marBottom w:val="0"/>
      <w:divBdr>
        <w:top w:val="none" w:sz="0" w:space="0" w:color="auto"/>
        <w:left w:val="none" w:sz="0" w:space="0" w:color="auto"/>
        <w:bottom w:val="none" w:sz="0" w:space="0" w:color="auto"/>
        <w:right w:val="none" w:sz="0" w:space="0" w:color="auto"/>
      </w:divBdr>
    </w:div>
    <w:div w:id="1045449925">
      <w:bodyDiv w:val="1"/>
      <w:marLeft w:val="0"/>
      <w:marRight w:val="0"/>
      <w:marTop w:val="0"/>
      <w:marBottom w:val="0"/>
      <w:divBdr>
        <w:top w:val="none" w:sz="0" w:space="0" w:color="auto"/>
        <w:left w:val="none" w:sz="0" w:space="0" w:color="auto"/>
        <w:bottom w:val="none" w:sz="0" w:space="0" w:color="auto"/>
        <w:right w:val="none" w:sz="0" w:space="0" w:color="auto"/>
      </w:divBdr>
    </w:div>
    <w:div w:id="1140147228">
      <w:bodyDiv w:val="1"/>
      <w:marLeft w:val="0"/>
      <w:marRight w:val="0"/>
      <w:marTop w:val="0"/>
      <w:marBottom w:val="0"/>
      <w:divBdr>
        <w:top w:val="none" w:sz="0" w:space="0" w:color="auto"/>
        <w:left w:val="none" w:sz="0" w:space="0" w:color="auto"/>
        <w:bottom w:val="none" w:sz="0" w:space="0" w:color="auto"/>
        <w:right w:val="none" w:sz="0" w:space="0" w:color="auto"/>
      </w:divBdr>
    </w:div>
    <w:div w:id="1253011558">
      <w:bodyDiv w:val="1"/>
      <w:marLeft w:val="0"/>
      <w:marRight w:val="0"/>
      <w:marTop w:val="0"/>
      <w:marBottom w:val="0"/>
      <w:divBdr>
        <w:top w:val="none" w:sz="0" w:space="0" w:color="auto"/>
        <w:left w:val="none" w:sz="0" w:space="0" w:color="auto"/>
        <w:bottom w:val="none" w:sz="0" w:space="0" w:color="auto"/>
        <w:right w:val="none" w:sz="0" w:space="0" w:color="auto"/>
      </w:divBdr>
    </w:div>
    <w:div w:id="1341352594">
      <w:bodyDiv w:val="1"/>
      <w:marLeft w:val="0"/>
      <w:marRight w:val="0"/>
      <w:marTop w:val="0"/>
      <w:marBottom w:val="0"/>
      <w:divBdr>
        <w:top w:val="none" w:sz="0" w:space="0" w:color="auto"/>
        <w:left w:val="none" w:sz="0" w:space="0" w:color="auto"/>
        <w:bottom w:val="none" w:sz="0" w:space="0" w:color="auto"/>
        <w:right w:val="none" w:sz="0" w:space="0" w:color="auto"/>
      </w:divBdr>
    </w:div>
    <w:div w:id="1388529157">
      <w:bodyDiv w:val="1"/>
      <w:marLeft w:val="0"/>
      <w:marRight w:val="0"/>
      <w:marTop w:val="0"/>
      <w:marBottom w:val="0"/>
      <w:divBdr>
        <w:top w:val="none" w:sz="0" w:space="0" w:color="auto"/>
        <w:left w:val="none" w:sz="0" w:space="0" w:color="auto"/>
        <w:bottom w:val="none" w:sz="0" w:space="0" w:color="auto"/>
        <w:right w:val="none" w:sz="0" w:space="0" w:color="auto"/>
      </w:divBdr>
    </w:div>
    <w:div w:id="1407918559">
      <w:bodyDiv w:val="1"/>
      <w:marLeft w:val="0"/>
      <w:marRight w:val="0"/>
      <w:marTop w:val="0"/>
      <w:marBottom w:val="0"/>
      <w:divBdr>
        <w:top w:val="none" w:sz="0" w:space="0" w:color="auto"/>
        <w:left w:val="none" w:sz="0" w:space="0" w:color="auto"/>
        <w:bottom w:val="none" w:sz="0" w:space="0" w:color="auto"/>
        <w:right w:val="none" w:sz="0" w:space="0" w:color="auto"/>
      </w:divBdr>
    </w:div>
    <w:div w:id="1478763585">
      <w:bodyDiv w:val="1"/>
      <w:marLeft w:val="0"/>
      <w:marRight w:val="0"/>
      <w:marTop w:val="0"/>
      <w:marBottom w:val="0"/>
      <w:divBdr>
        <w:top w:val="none" w:sz="0" w:space="0" w:color="auto"/>
        <w:left w:val="none" w:sz="0" w:space="0" w:color="auto"/>
        <w:bottom w:val="none" w:sz="0" w:space="0" w:color="auto"/>
        <w:right w:val="none" w:sz="0" w:space="0" w:color="auto"/>
      </w:divBdr>
    </w:div>
    <w:div w:id="1633292356">
      <w:bodyDiv w:val="1"/>
      <w:marLeft w:val="0"/>
      <w:marRight w:val="0"/>
      <w:marTop w:val="0"/>
      <w:marBottom w:val="0"/>
      <w:divBdr>
        <w:top w:val="none" w:sz="0" w:space="0" w:color="auto"/>
        <w:left w:val="none" w:sz="0" w:space="0" w:color="auto"/>
        <w:bottom w:val="none" w:sz="0" w:space="0" w:color="auto"/>
        <w:right w:val="none" w:sz="0" w:space="0" w:color="auto"/>
      </w:divBdr>
    </w:div>
    <w:div w:id="1717195394">
      <w:bodyDiv w:val="1"/>
      <w:marLeft w:val="0"/>
      <w:marRight w:val="0"/>
      <w:marTop w:val="0"/>
      <w:marBottom w:val="0"/>
      <w:divBdr>
        <w:top w:val="none" w:sz="0" w:space="0" w:color="auto"/>
        <w:left w:val="none" w:sz="0" w:space="0" w:color="auto"/>
        <w:bottom w:val="none" w:sz="0" w:space="0" w:color="auto"/>
        <w:right w:val="none" w:sz="0" w:space="0" w:color="auto"/>
      </w:divBdr>
    </w:div>
    <w:div w:id="1823427336">
      <w:bodyDiv w:val="1"/>
      <w:marLeft w:val="0"/>
      <w:marRight w:val="0"/>
      <w:marTop w:val="0"/>
      <w:marBottom w:val="0"/>
      <w:divBdr>
        <w:top w:val="none" w:sz="0" w:space="0" w:color="auto"/>
        <w:left w:val="none" w:sz="0" w:space="0" w:color="auto"/>
        <w:bottom w:val="none" w:sz="0" w:space="0" w:color="auto"/>
        <w:right w:val="none" w:sz="0" w:space="0" w:color="auto"/>
      </w:divBdr>
    </w:div>
    <w:div w:id="1910142956">
      <w:bodyDiv w:val="1"/>
      <w:marLeft w:val="0"/>
      <w:marRight w:val="0"/>
      <w:marTop w:val="0"/>
      <w:marBottom w:val="0"/>
      <w:divBdr>
        <w:top w:val="none" w:sz="0" w:space="0" w:color="auto"/>
        <w:left w:val="none" w:sz="0" w:space="0" w:color="auto"/>
        <w:bottom w:val="none" w:sz="0" w:space="0" w:color="auto"/>
        <w:right w:val="none" w:sz="0" w:space="0" w:color="auto"/>
      </w:divBdr>
    </w:div>
    <w:div w:id="191347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rashid@keele.ac.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3E86FE2A916A40A2DD1CBE6B1C99F8" ma:contentTypeVersion="13" ma:contentTypeDescription="Create a new document." ma:contentTypeScope="" ma:versionID="21413ce9abd6f504fecd56f5e60e2700">
  <xsd:schema xmlns:xsd="http://www.w3.org/2001/XMLSchema" xmlns:xs="http://www.w3.org/2001/XMLSchema" xmlns:p="http://schemas.microsoft.com/office/2006/metadata/properties" xmlns:ns3="4db5ab71-2296-4515-95c4-7029f8552e50" xmlns:ns4="ea6959ba-5064-47c5-9851-afafe812f68a" targetNamespace="http://schemas.microsoft.com/office/2006/metadata/properties" ma:root="true" ma:fieldsID="de78146cf34e427979f7bbfae918e09a" ns3:_="" ns4:_="">
    <xsd:import namespace="4db5ab71-2296-4515-95c4-7029f8552e50"/>
    <xsd:import namespace="ea6959ba-5064-47c5-9851-afafe812f6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5ab71-2296-4515-95c4-7029f8552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6959ba-5064-47c5-9851-afafe812f68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0BBE6-F389-4416-AF56-031474E4BEAE}">
  <ds:schemaRefs>
    <ds:schemaRef ds:uri="http://schemas.microsoft.com/sharepoint/v3/contenttype/forms"/>
  </ds:schemaRefs>
</ds:datastoreItem>
</file>

<file path=customXml/itemProps2.xml><?xml version="1.0" encoding="utf-8"?>
<ds:datastoreItem xmlns:ds="http://schemas.openxmlformats.org/officeDocument/2006/customXml" ds:itemID="{ADAA2BC8-FDBC-4667-8CCD-A1DA37A268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8FD096-FAA6-4F8E-9D32-1AC5BCB71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b5ab71-2296-4515-95c4-7029f8552e50"/>
    <ds:schemaRef ds:uri="ea6959ba-5064-47c5-9851-afafe812f6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192693-520B-4D9B-B8D0-BDB4B15AB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6428</Words>
  <Characters>36640</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UHS</Company>
  <LinksUpToDate>false</LinksUpToDate>
  <CharactersWithSpaces>42983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Rashid Ashraf</dc:creator>
  <cp:lastModifiedBy>Dr Rashid Ashraf</cp:lastModifiedBy>
  <cp:revision>2</cp:revision>
  <dcterms:created xsi:type="dcterms:W3CDTF">2020-12-27T11:12:00Z</dcterms:created>
  <dcterms:modified xsi:type="dcterms:W3CDTF">2020-12-27T11:12:00Z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user:5eb199b4e4b0c36dc467c06b</vt:lpwstr>
  </property>
  <property fmtid="{D5CDD505-2E9C-101B-9397-08002B2CF9AE}" pid="3" name="WnCSubscriberId">
    <vt:lpwstr>0</vt:lpwstr>
  </property>
  <property fmtid="{D5CDD505-2E9C-101B-9397-08002B2CF9AE}" pid="4" name="WnCOutputStyleId">
    <vt:lpwstr>3274</vt:lpwstr>
  </property>
  <property fmtid="{D5CDD505-2E9C-101B-9397-08002B2CF9AE}" pid="5" name="RWProductId">
    <vt:lpwstr>Flow</vt:lpwstr>
  </property>
  <property fmtid="{D5CDD505-2E9C-101B-9397-08002B2CF9AE}" pid="6" name="RWProjectId">
    <vt:lpwstr>ap:5eb199b4e4b0c36dc467c06c</vt:lpwstr>
  </property>
  <property fmtid="{D5CDD505-2E9C-101B-9397-08002B2CF9AE}" pid="7" name="WnC4Folder">
    <vt:lpwstr>Documents///Heart revised tracked</vt:lpwstr>
  </property>
  <property fmtid="{D5CDD505-2E9C-101B-9397-08002B2CF9AE}" pid="8" name="ContentTypeId">
    <vt:lpwstr>0x010100A13E86FE2A916A40A2DD1CBE6B1C99F8</vt:lpwstr>
  </property>
  <property fmtid="{D5CDD505-2E9C-101B-9397-08002B2CF9AE}" pid="9" name="_DocHome">
    <vt:i4>1189015501</vt:i4>
  </property>
</Properties>
</file>