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6C5" w:rsidRDefault="00334EA6" w:rsidP="009B24B5">
      <w:pPr>
        <w:pStyle w:val="Articletitle"/>
      </w:pPr>
      <w:bookmarkStart w:id="0" w:name="_GoBack"/>
      <w:bookmarkEnd w:id="0"/>
      <w:r w:rsidRPr="00334EA6">
        <w:t>The Protection from Harassment Act 1997: Failures by the Criminal Justice System in a Social Media Age</w:t>
      </w:r>
      <w:r w:rsidR="00CE595D">
        <w:t xml:space="preserve"> </w:t>
      </w:r>
    </w:p>
    <w:p w:rsidR="00266354" w:rsidRPr="00130724" w:rsidRDefault="00682FCB" w:rsidP="00E01BAA">
      <w:pPr>
        <w:pStyle w:val="Abstract"/>
        <w:rPr>
          <w:i/>
        </w:rPr>
      </w:pPr>
      <w:r w:rsidRPr="00130724">
        <w:rPr>
          <w:i/>
        </w:rPr>
        <w:t>This article will critically examine how the Protection from Harassment Act</w:t>
      </w:r>
      <w:r w:rsidR="00622C11">
        <w:rPr>
          <w:i/>
        </w:rPr>
        <w:t xml:space="preserve"> 1997</w:t>
      </w:r>
      <w:r w:rsidRPr="00130724">
        <w:rPr>
          <w:i/>
        </w:rPr>
        <w:t xml:space="preserve"> is currently being used </w:t>
      </w:r>
      <w:r w:rsidR="002B6815" w:rsidRPr="00130724">
        <w:rPr>
          <w:i/>
        </w:rPr>
        <w:t>to tackle</w:t>
      </w:r>
      <w:r w:rsidRPr="00130724">
        <w:rPr>
          <w:i/>
        </w:rPr>
        <w:t xml:space="preserve"> online abuse. The use of the internet to abuse another is on the increase, with the police receiving increasing reports concerning abuse conducted online. This article will examine the failures by the criminal justice </w:t>
      </w:r>
      <w:r w:rsidR="005E7267">
        <w:rPr>
          <w:i/>
        </w:rPr>
        <w:t xml:space="preserve">system </w:t>
      </w:r>
      <w:r w:rsidRPr="00130724">
        <w:rPr>
          <w:i/>
        </w:rPr>
        <w:t xml:space="preserve">to adequately apply the Protection from Harassment Act in a technology-based world. </w:t>
      </w:r>
      <w:r w:rsidR="00622C11">
        <w:rPr>
          <w:i/>
        </w:rPr>
        <w:t xml:space="preserve">It will be put forward that changes are needed within the criminal justice system in order to better protect victims of cyber harassment and cyberstalking. </w:t>
      </w:r>
    </w:p>
    <w:p w:rsidR="0020415E" w:rsidRPr="0020415E" w:rsidRDefault="00997B0F" w:rsidP="00F30DFF">
      <w:pPr>
        <w:pStyle w:val="Keywords"/>
      </w:pPr>
      <w:r>
        <w:t xml:space="preserve">Keywords: </w:t>
      </w:r>
      <w:r w:rsidR="00334EA6">
        <w:t xml:space="preserve">Protection from Harassment Act 1997, social media, stalking, cyber harassment, cyberstalking </w:t>
      </w:r>
    </w:p>
    <w:p w:rsidR="00997B0F" w:rsidRDefault="00334EA6" w:rsidP="00106DAF">
      <w:pPr>
        <w:pStyle w:val="Heading1"/>
      </w:pPr>
      <w:r>
        <w:t xml:space="preserve">Introduction </w:t>
      </w:r>
    </w:p>
    <w:p w:rsidR="0061082C" w:rsidRDefault="0061082C" w:rsidP="0065516E">
      <w:pPr>
        <w:pStyle w:val="Paragraph"/>
      </w:pPr>
      <w:r>
        <w:t>The Protection from Harassment Act 1997 (PHA) was enacted into the United Kingdom's legal system by the Conservative Government, to prove to citizens that the state was being tough on crime.</w:t>
      </w:r>
      <w:r>
        <w:rPr>
          <w:rStyle w:val="FootnoteReference"/>
        </w:rPr>
        <w:footnoteReference w:id="1"/>
      </w:r>
      <w:r w:rsidR="0065516E">
        <w:t xml:space="preserve"> </w:t>
      </w:r>
      <w:r>
        <w:t xml:space="preserve">This followed concerns being raised that the law was failing to adequately protect victims from so-called stalking behaviour: </w:t>
      </w:r>
    </w:p>
    <w:p w:rsidR="0061082C" w:rsidRDefault="00D904F8" w:rsidP="0061082C">
      <w:pPr>
        <w:pStyle w:val="Paragraph"/>
        <w:spacing w:before="0" w:line="240" w:lineRule="auto"/>
        <w:ind w:left="720"/>
      </w:pPr>
      <w:r>
        <w:t>‘</w:t>
      </w:r>
      <w:r w:rsidR="0061082C">
        <w:t>Though the offences under the Public Order Act may provide a sanction against stalkers in some instances, offences under the provisions of sections 4 and 4A would be committed only if the stalker intended his behaviour to cause the victim to believe that immediate violence would be used (section 4) or if harassment, alarm or distress is caused (section 4A). There are problems also in applying other aspects of the criminal law against stalkers. The Malicious Communications Act 1988 requires that the article sent must be indecent or grossly offensive. It must also be proved that the sender's purpose was to cause distress or anxiety. In the situations where stalkers continually send greetings cards, flowers or other unsolicited gifts, such intent cannot be proven. The offence of improper use of a public telecommunication system under the provisions of section 43 of the Telecommunications Act 1984 has apparently been useful in tackling obscene or persistent telephone calls. But this covers only one aspect of stalking behavi</w:t>
      </w:r>
      <w:r w:rsidR="0065516E">
        <w:t>our.</w:t>
      </w:r>
      <w:r>
        <w:t>’</w:t>
      </w:r>
      <w:r w:rsidR="0061082C">
        <w:rPr>
          <w:rStyle w:val="FootnoteReference"/>
        </w:rPr>
        <w:footnoteReference w:id="2"/>
      </w:r>
      <w:r w:rsidR="0061082C">
        <w:t xml:space="preserve"> </w:t>
      </w:r>
      <w:r w:rsidR="00DE60B5">
        <w:br/>
      </w:r>
    </w:p>
    <w:p w:rsidR="00DE60B5" w:rsidRDefault="0061082C" w:rsidP="00DE60B5">
      <w:pPr>
        <w:pStyle w:val="Paragraph"/>
        <w:spacing w:before="0"/>
      </w:pPr>
      <w:r>
        <w:t>In 1975, Evonne Van Heussen found herself at the centre of a campaign of harassment and stalking by another individual for a period of 17 years.</w:t>
      </w:r>
      <w:r>
        <w:rPr>
          <w:rStyle w:val="FootnoteReference"/>
        </w:rPr>
        <w:footnoteReference w:id="3"/>
      </w:r>
      <w:r w:rsidR="0065516E">
        <w:t xml:space="preserve"> </w:t>
      </w:r>
      <w:r>
        <w:t>For the first three years, she was subjected to silent phone calls, photographs being posted through her door and flowers being left outside her home. During this time, she was unaware of who the perpetrator was. However, one evening in 1978, the man responsible for these behaviours broke into her home, holding her hostage for eight hours, where he attempted to rape and strangle her. Local neighbours heard her screams and alerted the police. Despite, Ms Van Heussen only recognising the man as her lecturer from two lectures she had attended a few years earlier, the police labelled the incident as a domestic issue, resulting in the defendant receiving a caution.</w:t>
      </w:r>
      <w:r>
        <w:rPr>
          <w:rStyle w:val="FootnoteReference"/>
        </w:rPr>
        <w:footnoteReference w:id="4"/>
      </w:r>
      <w:r>
        <w:t xml:space="preserve"> The stalking continued for a further 13 years, until 1991 when Ms Van Heussen eventually left the country due to the ongoing harassment she was experiencing.   </w:t>
      </w:r>
    </w:p>
    <w:p w:rsidR="00997B0F" w:rsidRDefault="0061082C" w:rsidP="00DE60B5">
      <w:pPr>
        <w:pStyle w:val="Paragraph"/>
        <w:spacing w:before="0"/>
        <w:ind w:firstLine="720"/>
      </w:pPr>
      <w:r>
        <w:t xml:space="preserve">As a result of cases </w:t>
      </w:r>
      <w:r w:rsidR="00493393">
        <w:t>similar to</w:t>
      </w:r>
      <w:r>
        <w:t xml:space="preserve"> Evonne Van Heussen’s</w:t>
      </w:r>
      <w:r w:rsidR="003D5EA9">
        <w:t>,</w:t>
      </w:r>
      <w:r>
        <w:t xml:space="preserve"> and lobb</w:t>
      </w:r>
      <w:r w:rsidR="004D2822">
        <w:t>y</w:t>
      </w:r>
      <w:r>
        <w:t>ing by charities calling for a change in the law,</w:t>
      </w:r>
      <w:r>
        <w:rPr>
          <w:rStyle w:val="FootnoteReference"/>
        </w:rPr>
        <w:footnoteReference w:id="5"/>
      </w:r>
      <w:r>
        <w:t xml:space="preserve"> Parliament enacted the PHA in 1997 to try and successfully prosecute against the behaviours experienced by victims of stalking</w:t>
      </w:r>
      <w:r w:rsidR="005E7267">
        <w:t xml:space="preserve"> and harassment.</w:t>
      </w:r>
      <w:r>
        <w:t xml:space="preserve"> The mischief behind the Acts </w:t>
      </w:r>
      <w:r w:rsidR="00D2218E" w:rsidRPr="00D2218E">
        <w:t>implementation</w:t>
      </w:r>
      <w:r>
        <w:t xml:space="preserve"> was to protect victims of unwanted continued contact, stalking type behaviours and issues with neighbour</w:t>
      </w:r>
      <w:r w:rsidR="00D2218E">
        <w:t>hood disputes</w:t>
      </w:r>
      <w:r>
        <w:t>.</w:t>
      </w:r>
      <w:r>
        <w:rPr>
          <w:rStyle w:val="FootnoteReference"/>
        </w:rPr>
        <w:footnoteReference w:id="6"/>
      </w:r>
      <w:r>
        <w:t xml:space="preserve"> However, prior to 2012, stalking and harassment were treated as </w:t>
      </w:r>
      <w:r w:rsidR="00BF138B">
        <w:t xml:space="preserve">the same offence </w:t>
      </w:r>
      <w:r>
        <w:t xml:space="preserve">under the PHA. Following </w:t>
      </w:r>
      <w:r w:rsidR="008F2E67">
        <w:t>a government review</w:t>
      </w:r>
      <w:r>
        <w:t xml:space="preserve">, stalking was criminalised as a specific </w:t>
      </w:r>
      <w:r w:rsidR="00DE60B5">
        <w:t xml:space="preserve">criminal offence, being substituted into the Act by section 111(1) of the </w:t>
      </w:r>
      <w:r w:rsidR="00DE60B5">
        <w:lastRenderedPageBreak/>
        <w:t>Protection of Freedoms Act 2012;</w:t>
      </w:r>
      <w:r w:rsidR="0079352F">
        <w:rPr>
          <w:rStyle w:val="FootnoteReference"/>
        </w:rPr>
        <w:footnoteReference w:id="7"/>
      </w:r>
      <w:r w:rsidR="00DE60B5">
        <w:t xml:space="preserve"> Though there continues to be issues with the distinction between these two types of behaviours.</w:t>
      </w:r>
    </w:p>
    <w:p w:rsidR="00A5405C" w:rsidRDefault="00A5405C" w:rsidP="00A5405C">
      <w:pPr>
        <w:pStyle w:val="Heading1"/>
      </w:pPr>
      <w:r>
        <w:t xml:space="preserve">Harassment VS Stalking  </w:t>
      </w:r>
    </w:p>
    <w:p w:rsidR="00BF138B" w:rsidRDefault="0065516E" w:rsidP="00A5405C">
      <w:pPr>
        <w:pStyle w:val="Newparagraph"/>
      </w:pPr>
      <w:r>
        <w:t xml:space="preserve">Harassment can be defined as </w:t>
      </w:r>
      <w:r w:rsidR="00D904F8">
        <w:t>‘</w:t>
      </w:r>
      <w:r w:rsidR="00A5405C">
        <w:t>… repeated attempts to impose unwanted communications and contact upon a victim in a manner that could be expected to cause distress or</w:t>
      </w:r>
      <w:r>
        <w:t xml:space="preserve"> fear in any reasonable person.</w:t>
      </w:r>
      <w:r w:rsidR="00D904F8">
        <w:t>’</w:t>
      </w:r>
      <w:r w:rsidR="00A5405C">
        <w:rPr>
          <w:rStyle w:val="FootnoteReference"/>
        </w:rPr>
        <w:footnoteReference w:id="8"/>
      </w:r>
      <w:r w:rsidR="00A5405C">
        <w:t xml:space="preserve"> </w:t>
      </w:r>
      <w:r>
        <w:t>Whereas stalking is considered</w:t>
      </w:r>
      <w:r w:rsidR="00BF138B">
        <w:t xml:space="preserve"> the conduct whereby:</w:t>
      </w:r>
    </w:p>
    <w:p w:rsidR="00BF138B" w:rsidRDefault="00D904F8" w:rsidP="00BF138B">
      <w:pPr>
        <w:pStyle w:val="Newparagraph"/>
        <w:spacing w:line="240" w:lineRule="auto"/>
        <w:ind w:left="720" w:firstLine="60"/>
      </w:pPr>
      <w:r>
        <w:t>‘</w:t>
      </w:r>
      <w:r w:rsidR="00BF138B">
        <w:t>… an individual is fixated and/or obsessed with another. This can be exhibited by a pattern of persistent and repeated contact with, or attempts to contact a particular victim.</w:t>
      </w:r>
      <w:r>
        <w:t>’</w:t>
      </w:r>
      <w:r w:rsidR="00BF138B">
        <w:rPr>
          <w:rStyle w:val="FootnoteReference"/>
        </w:rPr>
        <w:footnoteReference w:id="9"/>
      </w:r>
      <w:r w:rsidR="00BF138B">
        <w:t xml:space="preserve"> </w:t>
      </w:r>
      <w:r w:rsidR="00BF138B">
        <w:br/>
      </w:r>
    </w:p>
    <w:p w:rsidR="00BF138B" w:rsidRDefault="00BF138B" w:rsidP="00BF138B">
      <w:pPr>
        <w:pStyle w:val="Newparagraph"/>
        <w:spacing w:line="240" w:lineRule="auto"/>
        <w:ind w:firstLine="0"/>
      </w:pPr>
      <w:r>
        <w:t xml:space="preserve">Stalking, therefore, covers several behaviours </w:t>
      </w:r>
      <w:r w:rsidR="00A5405C">
        <w:t xml:space="preserve">and includes acts such as: </w:t>
      </w:r>
      <w:r>
        <w:br/>
      </w:r>
    </w:p>
    <w:p w:rsidR="00A5405C" w:rsidRDefault="00D904F8" w:rsidP="00A5405C">
      <w:pPr>
        <w:pStyle w:val="Newparagraph"/>
        <w:spacing w:line="240" w:lineRule="auto"/>
        <w:ind w:left="720" w:firstLine="0"/>
      </w:pPr>
      <w:r>
        <w:t>‘</w:t>
      </w:r>
      <w:r w:rsidR="00A5405C">
        <w:t>… (a) following a person, … (d) monitoring the use by a person of the internet, email or any other form of electronic communication</w:t>
      </w:r>
      <w:r w:rsidR="005E7267">
        <w:t xml:space="preserve"> </w:t>
      </w:r>
      <w:r w:rsidR="00A5405C">
        <w:t xml:space="preserve">… [and] (g) </w:t>
      </w:r>
      <w:r w:rsidR="0065516E">
        <w:t>watching or spying on a person.</w:t>
      </w:r>
      <w:r>
        <w:t>’</w:t>
      </w:r>
      <w:r w:rsidR="00BE3AC5">
        <w:rPr>
          <w:rStyle w:val="FootnoteReference"/>
        </w:rPr>
        <w:footnoteReference w:id="10"/>
      </w:r>
      <w:r w:rsidR="00A5405C">
        <w:t xml:space="preserve">  </w:t>
      </w:r>
    </w:p>
    <w:p w:rsidR="00A5405C" w:rsidRDefault="00A5405C" w:rsidP="00A5405C">
      <w:pPr>
        <w:pStyle w:val="Newparagraph"/>
        <w:spacing w:line="240" w:lineRule="auto"/>
        <w:ind w:left="720" w:firstLine="0"/>
      </w:pPr>
    </w:p>
    <w:p w:rsidR="00997B0F" w:rsidRDefault="00A5405C" w:rsidP="00A5405C">
      <w:pPr>
        <w:pStyle w:val="Newparagraph"/>
        <w:ind w:firstLine="0"/>
      </w:pPr>
      <w:r>
        <w:t xml:space="preserve">Under the PHA, there is currently no </w:t>
      </w:r>
      <w:r w:rsidR="00BF138B">
        <w:t>strict</w:t>
      </w:r>
      <w:r>
        <w:t xml:space="preserve"> definition of stalking, instead</w:t>
      </w:r>
      <w:r w:rsidR="00E07322">
        <w:t>,</w:t>
      </w:r>
      <w:r>
        <w:t xml:space="preserve"> the law consists of </w:t>
      </w:r>
      <w:r w:rsidR="00D2218E">
        <w:t>several</w:t>
      </w:r>
      <w:r>
        <w:t xml:space="preserve"> behaviours, like those above, which can be considered as amounting to the conduct of stalking.</w:t>
      </w:r>
      <w:r w:rsidR="00BF138B">
        <w:rPr>
          <w:rStyle w:val="FootnoteReference"/>
        </w:rPr>
        <w:footnoteReference w:id="11"/>
      </w:r>
      <w:r>
        <w:t xml:space="preserve"> The lack of a </w:t>
      </w:r>
      <w:r w:rsidR="00BE3AC5">
        <w:t>coherent</w:t>
      </w:r>
      <w:r>
        <w:t xml:space="preserve"> definition in relation to </w:t>
      </w:r>
      <w:r w:rsidR="005E7267">
        <w:t>this type of behaviour</w:t>
      </w:r>
      <w:r>
        <w:t xml:space="preserve"> has meant that the law has not always been applied adequately when it comes to differentiating between harassment and stalking, this is particularly true in cases where social media </w:t>
      </w:r>
      <w:r w:rsidR="005C754A">
        <w:t>has been</w:t>
      </w:r>
      <w:r>
        <w:t xml:space="preserve"> used to facilitate the offence.</w:t>
      </w:r>
      <w:r w:rsidR="00BF138B">
        <w:rPr>
          <w:rStyle w:val="FootnoteReference"/>
        </w:rPr>
        <w:footnoteReference w:id="12"/>
      </w:r>
      <w:r>
        <w:t xml:space="preserve"> The following </w:t>
      </w:r>
      <w:r w:rsidR="00BE3AC5">
        <w:t>discussion</w:t>
      </w:r>
      <w:r>
        <w:t xml:space="preserve"> </w:t>
      </w:r>
      <w:r>
        <w:lastRenderedPageBreak/>
        <w:t>will outline the two offences of harassment and stalking</w:t>
      </w:r>
      <w:r w:rsidR="00BE3AC5">
        <w:t xml:space="preserve"> and their current </w:t>
      </w:r>
      <w:r w:rsidR="005C754A">
        <w:t>application</w:t>
      </w:r>
      <w:r w:rsidR="00BE3AC5">
        <w:t xml:space="preserve"> in </w:t>
      </w:r>
      <w:r w:rsidR="00D2218E">
        <w:t xml:space="preserve">a </w:t>
      </w:r>
      <w:r w:rsidR="00BE3AC5">
        <w:t xml:space="preserve">technology-based world. </w:t>
      </w:r>
    </w:p>
    <w:p w:rsidR="00BE3AC5" w:rsidRDefault="00BE3AC5" w:rsidP="00BE3AC5">
      <w:pPr>
        <w:pStyle w:val="Heading1"/>
      </w:pPr>
      <w:r w:rsidRPr="00BE3AC5">
        <w:t>Harassment, a course of conduct and social media</w:t>
      </w:r>
    </w:p>
    <w:p w:rsidR="00D2218E" w:rsidRDefault="00BE3AC5" w:rsidP="00D2218E">
      <w:pPr>
        <w:pStyle w:val="Paragraph"/>
        <w:spacing w:before="0"/>
      </w:pPr>
      <w:r>
        <w:t xml:space="preserve">Section 1 of the PHA </w:t>
      </w:r>
      <w:r w:rsidR="00BF138B">
        <w:t>forbids</w:t>
      </w:r>
      <w:r>
        <w:t xml:space="preserve"> the conduct of harassing another person. Under the </w:t>
      </w:r>
      <w:r w:rsidR="0065516E">
        <w:t xml:space="preserve">Act, </w:t>
      </w:r>
      <w:r w:rsidR="00BF138B">
        <w:t xml:space="preserve">individuals are prohibited from </w:t>
      </w:r>
      <w:r w:rsidR="00981A37">
        <w:t>pursuing</w:t>
      </w:r>
      <w:r w:rsidR="0065516E">
        <w:t xml:space="preserve"> </w:t>
      </w:r>
      <w:r w:rsidR="00D904F8">
        <w:t>‘</w:t>
      </w:r>
      <w:r>
        <w:t>… a course of conduct which amounts to harassment of another, and which [a person] knows or ought to know amou</w:t>
      </w:r>
      <w:r w:rsidR="0065516E">
        <w:t>nts to harassment of the other.</w:t>
      </w:r>
      <w:r w:rsidR="00D904F8">
        <w:t>’</w:t>
      </w:r>
      <w:r w:rsidR="005E7267">
        <w:rPr>
          <w:rStyle w:val="FootnoteReference"/>
        </w:rPr>
        <w:footnoteReference w:id="13"/>
      </w:r>
      <w:r w:rsidR="00D01C61">
        <w:t xml:space="preserve"> </w:t>
      </w:r>
      <w:r w:rsidR="00B17572">
        <w:t>S</w:t>
      </w:r>
      <w:r w:rsidR="00BF138B">
        <w:t>ection 2 of the PHA makes it a criminal offence to</w:t>
      </w:r>
      <w:r w:rsidR="00A8191F">
        <w:t xml:space="preserve"> harass another person</w:t>
      </w:r>
      <w:r w:rsidR="007D5E80">
        <w:t xml:space="preserve">. </w:t>
      </w:r>
      <w:r>
        <w:t xml:space="preserve">For the </w:t>
      </w:r>
      <w:r w:rsidRPr="0065516E">
        <w:t>actus reus</w:t>
      </w:r>
      <w:r>
        <w:t xml:space="preserve"> to be established in the offence, it must be found that the behaviour being complained about amounted to both a course of conduct and harassment</w:t>
      </w:r>
      <w:r w:rsidR="003D5EA9">
        <w:t>.</w:t>
      </w:r>
      <w:r>
        <w:t xml:space="preserve"> </w:t>
      </w:r>
      <w:r w:rsidR="003D5EA9">
        <w:t>I</w:t>
      </w:r>
      <w:r>
        <w:t xml:space="preserve">f either of these elements </w:t>
      </w:r>
      <w:r w:rsidR="00E07322">
        <w:t>is</w:t>
      </w:r>
      <w:r>
        <w:t xml:space="preserve"> missing,</w:t>
      </w:r>
      <w:r w:rsidR="003D5EA9">
        <w:t xml:space="preserve"> a course of conduct or behaviour constituting harassment,</w:t>
      </w:r>
      <w:r>
        <w:t xml:space="preserve"> no criminal liability will be placed on the defendant under the PHA.</w:t>
      </w:r>
      <w:r>
        <w:rPr>
          <w:rStyle w:val="FootnoteReference"/>
        </w:rPr>
        <w:footnoteReference w:id="14"/>
      </w:r>
      <w:r>
        <w:t xml:space="preserve">  </w:t>
      </w:r>
    </w:p>
    <w:p w:rsidR="00BE3AC5" w:rsidRDefault="00BE3AC5" w:rsidP="00D2218E">
      <w:pPr>
        <w:pStyle w:val="Paragraph"/>
        <w:spacing w:before="0"/>
        <w:ind w:firstLine="720"/>
      </w:pPr>
      <w:r>
        <w:t>A course of conduct is considered contact that occurs on a</w:t>
      </w:r>
      <w:r w:rsidR="003D5EA9">
        <w:t>t</w:t>
      </w:r>
      <w:r>
        <w:t xml:space="preserve"> least two occasions where one person is committing the </w:t>
      </w:r>
      <w:r w:rsidR="005C754A">
        <w:t>offence</w:t>
      </w:r>
      <w:r>
        <w:t>.</w:t>
      </w:r>
      <w:r w:rsidR="003D5EA9">
        <w:rPr>
          <w:rStyle w:val="FootnoteReference"/>
        </w:rPr>
        <w:footnoteReference w:id="15"/>
      </w:r>
      <w:r>
        <w:t xml:space="preserve"> Where two or more people are involved, the law defines a course of conduct as</w:t>
      </w:r>
      <w:r w:rsidR="00525435">
        <w:t xml:space="preserve"> contact</w:t>
      </w:r>
      <w:r w:rsidR="0065516E">
        <w:t xml:space="preserve"> </w:t>
      </w:r>
      <w:r w:rsidR="00D904F8">
        <w:t>‘</w:t>
      </w:r>
      <w:r w:rsidR="00B757B9">
        <w:t xml:space="preserve">… </w:t>
      </w:r>
      <w:r>
        <w:t>on at least one occasion in rel</w:t>
      </w:r>
      <w:r w:rsidR="0065516E">
        <w:t>ation to each of those persons.</w:t>
      </w:r>
      <w:r w:rsidR="00D904F8">
        <w:t>’</w:t>
      </w:r>
      <w:r w:rsidR="00525435">
        <w:rPr>
          <w:rStyle w:val="FootnoteReference"/>
        </w:rPr>
        <w:footnoteReference w:id="16"/>
      </w:r>
      <w:r>
        <w:t xml:space="preserve"> </w:t>
      </w:r>
      <w:r w:rsidR="007D5E80">
        <w:t xml:space="preserve">A course of conduct has been given a wide definition in law: </w:t>
      </w:r>
      <w:r>
        <w:t xml:space="preserve">  </w:t>
      </w:r>
    </w:p>
    <w:p w:rsidR="00BE3AC5" w:rsidRDefault="00D904F8" w:rsidP="00525435">
      <w:pPr>
        <w:pStyle w:val="Paragraph"/>
        <w:spacing w:before="0" w:line="240" w:lineRule="auto"/>
        <w:ind w:left="720"/>
      </w:pPr>
      <w:r>
        <w:t>‘</w:t>
      </w:r>
      <w:r w:rsidR="00BE3AC5">
        <w:t>I fully accept that the incidents which need to be proved in relation to harassment need not exceed two incidents, but, as it seems to me, the fewer the occasions and the wider they are spread the less likely it would be that a finding of har</w:t>
      </w:r>
      <w:r w:rsidR="0065516E">
        <w:t>assment can reasonably be made.</w:t>
      </w:r>
      <w:r>
        <w:t>’</w:t>
      </w:r>
      <w:r w:rsidR="00525435">
        <w:rPr>
          <w:rStyle w:val="FootnoteReference"/>
        </w:rPr>
        <w:footnoteReference w:id="17"/>
      </w:r>
      <w:r w:rsidR="00BE3AC5">
        <w:t xml:space="preserve"> </w:t>
      </w:r>
      <w:r w:rsidR="00D2218E">
        <w:br/>
      </w:r>
    </w:p>
    <w:p w:rsidR="008B301F" w:rsidRDefault="007D5E80" w:rsidP="00005B8F">
      <w:pPr>
        <w:pStyle w:val="Paragraph"/>
        <w:spacing w:before="0"/>
      </w:pPr>
      <w:r>
        <w:t>A minimum requirement has</w:t>
      </w:r>
      <w:r w:rsidR="00A8191F">
        <w:t>, therefore,</w:t>
      </w:r>
      <w:r>
        <w:t xml:space="preserve"> been set by Parliament as to when certain behaviours may invoke the PHA. However, in most </w:t>
      </w:r>
      <w:r w:rsidR="00BE3AC5">
        <w:t>circumstances, for the criminal justice system to be satisfied that a course of conduct is present in a matter, contact must occur on more than two occasions.</w:t>
      </w:r>
      <w:r w:rsidRPr="007D5E80">
        <w:rPr>
          <w:rStyle w:val="FootnoteReference"/>
        </w:rPr>
        <w:t xml:space="preserve"> </w:t>
      </w:r>
      <w:r>
        <w:rPr>
          <w:rStyle w:val="FootnoteReference"/>
        </w:rPr>
        <w:footnoteReference w:id="18"/>
      </w:r>
      <w:r>
        <w:t xml:space="preserve"> Here,</w:t>
      </w:r>
      <w:r w:rsidR="00BE3AC5" w:rsidRPr="008048D5">
        <w:t xml:space="preserve"> the conduct must be close in both time and proximity</w:t>
      </w:r>
      <w:r w:rsidR="008048D5" w:rsidRPr="008048D5">
        <w:t>.</w:t>
      </w:r>
      <w:r>
        <w:rPr>
          <w:rStyle w:val="FootnoteReference"/>
        </w:rPr>
        <w:footnoteReference w:id="19"/>
      </w:r>
      <w:r w:rsidR="008048D5" w:rsidRPr="008048D5">
        <w:t xml:space="preserve"> This can create problems when harassment is pursued </w:t>
      </w:r>
      <w:r w:rsidR="008048D5" w:rsidRPr="0065516E">
        <w:t>via</w:t>
      </w:r>
      <w:r w:rsidR="008048D5" w:rsidRPr="008048D5">
        <w:t xml:space="preserve"> the use of social media</w:t>
      </w:r>
      <w:r w:rsidR="008B301F">
        <w:t xml:space="preserve">: </w:t>
      </w:r>
    </w:p>
    <w:p w:rsidR="008B301F" w:rsidRPr="008B301F" w:rsidRDefault="00D904F8" w:rsidP="00005B8F">
      <w:pPr>
        <w:pStyle w:val="Paragraph"/>
        <w:spacing w:before="0" w:line="240" w:lineRule="auto"/>
        <w:ind w:left="720"/>
      </w:pPr>
      <w:r>
        <w:t>‘</w:t>
      </w:r>
      <w:r w:rsidR="008B301F">
        <w:t>The requirement that the harassee shows a course of conduct amounting to harassment, with the acts forming that harassment equating to actionable criminal acts makes it difficult for someone suffering the posting of slanderous comments, or the taking over of email addresses, or the bombarding with messages</w:t>
      </w:r>
      <w:r w:rsidR="00A01573">
        <w:t xml:space="preserve">, to obtain legal satisfaction </w:t>
      </w:r>
      <w:r w:rsidR="002B0FB1">
        <w:t>…</w:t>
      </w:r>
      <w:r>
        <w:t>’</w:t>
      </w:r>
      <w:r w:rsidR="008B301F">
        <w:rPr>
          <w:rStyle w:val="FootnoteReference"/>
        </w:rPr>
        <w:footnoteReference w:id="20"/>
      </w:r>
      <w:r w:rsidR="008B301F">
        <w:t xml:space="preserve"> </w:t>
      </w:r>
      <w:r w:rsidR="008048D5" w:rsidRPr="008048D5">
        <w:t xml:space="preserve"> </w:t>
      </w:r>
      <w:r w:rsidR="002B0FB1">
        <w:br/>
      </w:r>
    </w:p>
    <w:p w:rsidR="00525435" w:rsidRDefault="00BE3AC5" w:rsidP="00525435">
      <w:pPr>
        <w:pStyle w:val="Paragraph"/>
        <w:spacing w:before="0"/>
        <w:ind w:firstLine="720"/>
      </w:pPr>
      <w:r>
        <w:t>The anonymity of the internet has made it easier for harassment to be conducted</w:t>
      </w:r>
      <w:r w:rsidR="007D5E80">
        <w:rPr>
          <w:rStyle w:val="FootnoteReference"/>
        </w:rPr>
        <w:footnoteReference w:id="21"/>
      </w:r>
      <w:r>
        <w:t xml:space="preserve"> and has been coined cyber harassment.</w:t>
      </w:r>
      <w:r w:rsidR="007D5E80">
        <w:rPr>
          <w:rStyle w:val="FootnoteReference"/>
        </w:rPr>
        <w:footnoteReference w:id="22"/>
      </w:r>
      <w:r>
        <w:t xml:space="preserve"> Howev</w:t>
      </w:r>
      <w:r w:rsidR="0023098C">
        <w:t>er, the ability to fit section 2</w:t>
      </w:r>
      <w:r>
        <w:t xml:space="preserve"> of the PHA to a technology-based </w:t>
      </w:r>
      <w:r w:rsidR="00495754">
        <w:t>world</w:t>
      </w:r>
      <w:r>
        <w:t xml:space="preserve"> </w:t>
      </w:r>
      <w:r w:rsidR="007575E4">
        <w:t>can be</w:t>
      </w:r>
      <w:r>
        <w:t xml:space="preserve"> difficult when it comes to establishing a course of conduct</w:t>
      </w:r>
      <w:r w:rsidR="00A01573">
        <w:t xml:space="preserve">. </w:t>
      </w:r>
      <w:r>
        <w:t>In many cases, social media profiles can be created with very few security questions being asked.</w:t>
      </w:r>
      <w:r w:rsidR="00525435">
        <w:rPr>
          <w:rStyle w:val="FootnoteReference"/>
        </w:rPr>
        <w:footnoteReference w:id="23"/>
      </w:r>
      <w:r w:rsidR="00525435">
        <w:t xml:space="preserve"> </w:t>
      </w:r>
      <w:r>
        <w:t>For example, to create a Facebook profile, the user merely needs an email address; all other questions can be answered using an alias.</w:t>
      </w:r>
      <w:r w:rsidR="00525435">
        <w:rPr>
          <w:rStyle w:val="FootnoteReference"/>
        </w:rPr>
        <w:footnoteReference w:id="24"/>
      </w:r>
      <w:r w:rsidR="00525435">
        <w:t xml:space="preserve"> </w:t>
      </w:r>
      <w:r>
        <w:t>Consequently, we have witnessed a rise in fake accounts</w:t>
      </w:r>
      <w:r w:rsidR="002C76C2">
        <w:t>,</w:t>
      </w:r>
      <w:r w:rsidR="0065516E">
        <w:rPr>
          <w:rStyle w:val="FootnoteReference"/>
        </w:rPr>
        <w:footnoteReference w:id="25"/>
      </w:r>
      <w:r w:rsidR="0065516E">
        <w:t xml:space="preserve"> </w:t>
      </w:r>
      <w:r>
        <w:t xml:space="preserve">which </w:t>
      </w:r>
      <w:r w:rsidR="002C76C2">
        <w:t xml:space="preserve">can be </w:t>
      </w:r>
      <w:r>
        <w:t xml:space="preserve">created solely for the aim of tormenting another individual. </w:t>
      </w:r>
    </w:p>
    <w:p w:rsidR="001920D8" w:rsidRDefault="00525435" w:rsidP="00A01573">
      <w:pPr>
        <w:pStyle w:val="Paragraph"/>
        <w:spacing w:before="0"/>
        <w:ind w:firstLine="720"/>
      </w:pPr>
      <w:r>
        <w:t>The use of fake online profiles</w:t>
      </w:r>
      <w:r w:rsidR="00BC34DB">
        <w:t xml:space="preserve"> and the anonymity of the internet</w:t>
      </w:r>
      <w:r>
        <w:t xml:space="preserve"> </w:t>
      </w:r>
      <w:r w:rsidR="00BC34DB">
        <w:t xml:space="preserve">can </w:t>
      </w:r>
      <w:r>
        <w:t>create difficulties for victim</w:t>
      </w:r>
      <w:r w:rsidR="003D5EA9">
        <w:t>s</w:t>
      </w:r>
      <w:r>
        <w:t xml:space="preserve"> and the police </w:t>
      </w:r>
      <w:r w:rsidR="00A01573">
        <w:t>in tracking</w:t>
      </w:r>
      <w:r>
        <w:t xml:space="preserve"> perpetrators </w:t>
      </w:r>
      <w:r w:rsidR="008048D5">
        <w:t xml:space="preserve">of </w:t>
      </w:r>
      <w:r>
        <w:t>online</w:t>
      </w:r>
      <w:r w:rsidR="008048D5">
        <w:t xml:space="preserve"> harassment</w:t>
      </w:r>
      <w:r w:rsidR="00A01573">
        <w:t xml:space="preserve">, further </w:t>
      </w:r>
      <w:r w:rsidR="00A01573" w:rsidRPr="00A01573">
        <w:t xml:space="preserve">exacerbated </w:t>
      </w:r>
      <w:r w:rsidR="00A01573">
        <w:t>if the perpetrator is unknown to the victim</w:t>
      </w:r>
      <w:r w:rsidR="00A01573">
        <w:rPr>
          <w:rStyle w:val="FootnoteReference"/>
        </w:rPr>
        <w:footnoteReference w:id="26"/>
      </w:r>
      <w:r w:rsidR="00A01573">
        <w:t xml:space="preserve">, </w:t>
      </w:r>
      <w:r w:rsidR="001920D8">
        <w:t xml:space="preserve">despite a digital trace being available. All electronic communications can be traced to an IP </w:t>
      </w:r>
      <w:r w:rsidR="00D45F73">
        <w:t>address;</w:t>
      </w:r>
      <w:r w:rsidR="001920D8">
        <w:rPr>
          <w:rStyle w:val="FootnoteReference"/>
        </w:rPr>
        <w:footnoteReference w:id="27"/>
      </w:r>
      <w:r w:rsidR="00D45F73">
        <w:t xml:space="preserve"> however</w:t>
      </w:r>
      <w:r w:rsidR="001920D8">
        <w:t>, if a person has used a public network to facilitate abusive behaviour online, it can become impossible in some instances to track th</w:t>
      </w:r>
      <w:r w:rsidR="00A8191F">
        <w:t>e</w:t>
      </w:r>
      <w:r w:rsidR="001920D8">
        <w:t xml:space="preserve"> </w:t>
      </w:r>
      <w:r w:rsidR="00B25F99">
        <w:t>perpetrator</w:t>
      </w:r>
      <w:r w:rsidR="001920D8">
        <w:t>,</w:t>
      </w:r>
      <w:r w:rsidR="001920D8">
        <w:rPr>
          <w:rStyle w:val="FootnoteReference"/>
        </w:rPr>
        <w:footnoteReference w:id="28"/>
      </w:r>
      <w:r w:rsidR="001920D8">
        <w:t xml:space="preserve"> especially if the comments have </w:t>
      </w:r>
      <w:r w:rsidR="00D45F73">
        <w:t xml:space="preserve">come from </w:t>
      </w:r>
      <w:r w:rsidR="001920D8">
        <w:t>outside of the United Kingdom.</w:t>
      </w:r>
      <w:r w:rsidR="002C76C2">
        <w:t xml:space="preserve"> Here, the justice system </w:t>
      </w:r>
      <w:r w:rsidR="00B25F99">
        <w:t>must</w:t>
      </w:r>
      <w:r w:rsidR="002C76C2">
        <w:t xml:space="preserve"> rely on the </w:t>
      </w:r>
      <w:r w:rsidR="00B25F99" w:rsidRPr="00B25F99">
        <w:t>cooperati</w:t>
      </w:r>
      <w:r w:rsidR="00B25F99">
        <w:t xml:space="preserve">on </w:t>
      </w:r>
      <w:r w:rsidR="002C76C2">
        <w:t>of social networking companies, such as that of Fa</w:t>
      </w:r>
      <w:r w:rsidR="00D45F73">
        <w:t>cebook and Twitter, who have been reluctant in the past to release information about its users.</w:t>
      </w:r>
      <w:r w:rsidR="00D45F73" w:rsidRPr="00D45F73">
        <w:rPr>
          <w:rStyle w:val="FootnoteReference"/>
        </w:rPr>
        <w:t xml:space="preserve"> </w:t>
      </w:r>
      <w:r w:rsidR="00D45F73">
        <w:rPr>
          <w:rStyle w:val="FootnoteReference"/>
        </w:rPr>
        <w:footnoteReference w:id="29"/>
      </w:r>
      <w:r w:rsidR="00D45F73">
        <w:t xml:space="preserve">  </w:t>
      </w:r>
    </w:p>
    <w:p w:rsidR="00CB7036" w:rsidRDefault="00A8191F" w:rsidP="00D767DF">
      <w:pPr>
        <w:pStyle w:val="Paragraph"/>
        <w:spacing w:before="0"/>
        <w:ind w:firstLine="720"/>
      </w:pPr>
      <w:r>
        <w:t>For a successful conviction under the PHA, t</w:t>
      </w:r>
      <w:r w:rsidR="00CB7036">
        <w:t>he prosecution must</w:t>
      </w:r>
      <w:r>
        <w:t xml:space="preserve"> be able to</w:t>
      </w:r>
      <w:r w:rsidR="00CB7036">
        <w:t xml:space="preserve"> prove a course of </w:t>
      </w:r>
      <w:r w:rsidR="007F4C3F">
        <w:t>conduct that</w:t>
      </w:r>
      <w:r w:rsidR="00CB7036">
        <w:t xml:space="preserve"> exceeds more than two occasions</w:t>
      </w:r>
      <w:r>
        <w:t xml:space="preserve">. Here, each separate complained about behaviour must directly link back to the accused. </w:t>
      </w:r>
      <w:r w:rsidR="00D767DF">
        <w:t>If a</w:t>
      </w:r>
      <w:r w:rsidR="00CB7036">
        <w:t xml:space="preserve"> perpetrator of online abuse uses multiple servers,</w:t>
      </w:r>
      <w:r w:rsidR="00B02C25">
        <w:t xml:space="preserve"> along with fake social media profiles,</w:t>
      </w:r>
      <w:r w:rsidR="00CB7036">
        <w:t xml:space="preserve"> this can </w:t>
      </w:r>
      <w:r w:rsidR="00B02C25">
        <w:t xml:space="preserve">cause issues in establishing a course of conduct, especially in a time when police funding is being </w:t>
      </w:r>
      <w:r w:rsidR="00465C0F">
        <w:t>reduced</w:t>
      </w:r>
      <w:r w:rsidR="00B02C25">
        <w:t>.</w:t>
      </w:r>
      <w:r w:rsidR="00D767DF">
        <w:rPr>
          <w:rStyle w:val="FootnoteReference"/>
        </w:rPr>
        <w:footnoteReference w:id="30"/>
      </w:r>
    </w:p>
    <w:p w:rsidR="009D0669" w:rsidRDefault="009D0669" w:rsidP="009D0669">
      <w:pPr>
        <w:pStyle w:val="Heading1"/>
      </w:pPr>
      <w:r w:rsidRPr="00BE3AC5">
        <w:t>Harassment</w:t>
      </w:r>
      <w:r>
        <w:t xml:space="preserve"> and social media </w:t>
      </w:r>
    </w:p>
    <w:p w:rsidR="009D0669" w:rsidRDefault="009D0669" w:rsidP="009D0669">
      <w:pPr>
        <w:pStyle w:val="Newparagraph"/>
      </w:pPr>
      <w:r w:rsidRPr="00AD7DAF">
        <w:t>If a course of conduct can be established, next, the complained about behaviour needs to amount to harassment, as governed under section 1</w:t>
      </w:r>
      <w:r w:rsidR="00B757B9">
        <w:t>(1)</w:t>
      </w:r>
      <w:r w:rsidRPr="00AD7DAF">
        <w:t xml:space="preserve"> of the PHA. Harassment under the Act </w:t>
      </w:r>
      <w:r w:rsidR="002B0FB1">
        <w:t xml:space="preserve">includes the </w:t>
      </w:r>
      <w:r w:rsidR="00B757B9">
        <w:t>behaviour</w:t>
      </w:r>
      <w:r w:rsidR="002B0FB1">
        <w:t>s</w:t>
      </w:r>
      <w:r w:rsidR="00B757B9">
        <w:t xml:space="preserve"> of </w:t>
      </w:r>
      <w:r w:rsidR="00D904F8">
        <w:t>‘</w:t>
      </w:r>
      <w:r w:rsidR="00B757B9">
        <w:t>alarming</w:t>
      </w:r>
      <w:r w:rsidR="00D904F8">
        <w:t>’</w:t>
      </w:r>
      <w:r w:rsidR="0065516E">
        <w:t xml:space="preserve"> a person or causing them </w:t>
      </w:r>
      <w:r w:rsidR="00D904F8">
        <w:t>‘</w:t>
      </w:r>
      <w:r w:rsidR="0065516E">
        <w:t>distress</w:t>
      </w:r>
      <w:r w:rsidR="00D904F8">
        <w:t>’</w:t>
      </w:r>
      <w:r w:rsidR="00AD7DAF" w:rsidRPr="00AD7DAF">
        <w:t>.</w:t>
      </w:r>
      <w:r w:rsidRPr="00AD7DAF">
        <w:rPr>
          <w:rStyle w:val="FootnoteReference"/>
        </w:rPr>
        <w:footnoteReference w:id="31"/>
      </w:r>
      <w:r>
        <w:t xml:space="preserve"> To prove alarm o</w:t>
      </w:r>
      <w:r w:rsidR="00AD7DAF">
        <w:t>r</w:t>
      </w:r>
      <w:r>
        <w:t xml:space="preserve"> distress, this will be</w:t>
      </w:r>
      <w:r w:rsidR="00AD7DAF">
        <w:t xml:space="preserve"> essentially</w:t>
      </w:r>
      <w:r>
        <w:t xml:space="preserve"> an evidential exercise, </w:t>
      </w:r>
      <w:r w:rsidR="00AD7DAF">
        <w:t>based</w:t>
      </w:r>
      <w:r>
        <w:t xml:space="preserve"> on the </w:t>
      </w:r>
      <w:r w:rsidR="00AD7DAF">
        <w:t>case facts</w:t>
      </w:r>
      <w:r>
        <w:t xml:space="preserve">:  </w:t>
      </w:r>
    </w:p>
    <w:p w:rsidR="009D0669" w:rsidRDefault="00D904F8" w:rsidP="009D0669">
      <w:pPr>
        <w:pStyle w:val="Newparagraph"/>
        <w:spacing w:line="240" w:lineRule="auto"/>
        <w:ind w:left="720" w:firstLine="0"/>
      </w:pPr>
      <w:r>
        <w:t>‘</w:t>
      </w:r>
      <w:r w:rsidR="009D0669">
        <w:t>Where the quality of the conduct said to constitute harassment is being examined, courts will have in mind that irritations, annoyances, even a measure of upset, arise at times in everybody's day-to-day dealings with other people. Courts are well able to recognise the boundary between conduct which is unattractive, even unreasonable, and conduct which is oppressive and unacceptable. To cross the boundary from the regrettable to the unacceptable the gravity of the misconduct must be of an order which wou</w:t>
      </w:r>
      <w:r w:rsidR="0065516E">
        <w:t>ld sustain criminal liability …</w:t>
      </w:r>
      <w:r>
        <w:t>’</w:t>
      </w:r>
      <w:r w:rsidR="009D0669">
        <w:rPr>
          <w:rStyle w:val="FootnoteReference"/>
        </w:rPr>
        <w:footnoteReference w:id="32"/>
      </w:r>
      <w:r w:rsidR="009D0669">
        <w:t xml:space="preserve">  </w:t>
      </w:r>
    </w:p>
    <w:p w:rsidR="009D0669" w:rsidRDefault="009D0669" w:rsidP="009D0669">
      <w:pPr>
        <w:pStyle w:val="Newparagraph"/>
        <w:spacing w:line="240" w:lineRule="auto"/>
        <w:ind w:firstLine="0"/>
      </w:pPr>
    </w:p>
    <w:p w:rsidR="009D0669" w:rsidRDefault="009D0669" w:rsidP="009D0669">
      <w:pPr>
        <w:pStyle w:val="Newparagraph"/>
        <w:ind w:firstLine="0"/>
      </w:pPr>
      <w:r>
        <w:t xml:space="preserve">It is clear from previous case law that the matter needs to go beyond what can be </w:t>
      </w:r>
      <w:r w:rsidR="00B03D24">
        <w:t>deemed</w:t>
      </w:r>
      <w:r w:rsidR="0065516E">
        <w:t xml:space="preserve"> as </w:t>
      </w:r>
      <w:r w:rsidR="00D904F8">
        <w:t>‘</w:t>
      </w:r>
      <w:r w:rsidR="0065516E">
        <w:t>disturbing</w:t>
      </w:r>
      <w:r w:rsidR="00D904F8">
        <w:t>’</w:t>
      </w:r>
      <w:r w:rsidR="0065516E">
        <w:t xml:space="preserve"> and </w:t>
      </w:r>
      <w:r w:rsidR="00D904F8">
        <w:t>‘</w:t>
      </w:r>
      <w:r>
        <w:t>unpleasant</w:t>
      </w:r>
      <w:r w:rsidR="00D904F8">
        <w:t>’</w:t>
      </w:r>
      <w:r>
        <w:t xml:space="preserve"> behaviour</w:t>
      </w:r>
      <w:r w:rsidR="00AD7DAF">
        <w:t>,</w:t>
      </w:r>
      <w:r>
        <w:t xml:space="preserve"> to </w:t>
      </w:r>
      <w:r w:rsidR="00D904F8">
        <w:t>‘</w:t>
      </w:r>
      <w:r w:rsidR="00B757B9">
        <w:t xml:space="preserve">cross </w:t>
      </w:r>
      <w:r w:rsidR="002B0FB1">
        <w:t>[a]</w:t>
      </w:r>
      <w:r w:rsidR="00B757B9">
        <w:t xml:space="preserve"> boundary</w:t>
      </w:r>
      <w:r w:rsidR="00D904F8">
        <w:t>’</w:t>
      </w:r>
      <w:r w:rsidR="00B757B9">
        <w:t xml:space="preserve"> </w:t>
      </w:r>
      <w:r w:rsidR="002B0FB1">
        <w:t>to invoke the criminal law, allowing the criminal justice system to uphold a person</w:t>
      </w:r>
      <w:r w:rsidR="00975217">
        <w:t>’</w:t>
      </w:r>
      <w:r w:rsidR="002B0FB1">
        <w:t xml:space="preserve">s right to freedom of expression. </w:t>
      </w:r>
    </w:p>
    <w:p w:rsidR="002B0FB1" w:rsidRDefault="002B0FB1" w:rsidP="009D0669">
      <w:pPr>
        <w:pStyle w:val="Newparagraph"/>
        <w:ind w:firstLine="0"/>
      </w:pPr>
      <w:r>
        <w:tab/>
        <w:t xml:space="preserve">Under </w:t>
      </w:r>
      <w:r w:rsidR="00465C0F">
        <w:t>A</w:t>
      </w:r>
      <w:r>
        <w:t>rticle 10 of the European Convention on Human Rights</w:t>
      </w:r>
      <w:r w:rsidR="00473BAC">
        <w:t xml:space="preserve">, States who are signatory to the </w:t>
      </w:r>
      <w:r w:rsidR="00E04581">
        <w:t>C</w:t>
      </w:r>
      <w:r w:rsidR="00473BAC">
        <w:t xml:space="preserve">onvention must protect a citizen’s right to free speech </w:t>
      </w:r>
      <w:r w:rsidR="00404ADF">
        <w:t>in order to</w:t>
      </w:r>
      <w:r w:rsidR="00473BAC">
        <w:t xml:space="preserve"> maintain a democratic society.</w:t>
      </w:r>
      <w:r w:rsidR="00473BAC">
        <w:rPr>
          <w:rStyle w:val="FootnoteReference"/>
        </w:rPr>
        <w:footnoteReference w:id="33"/>
      </w:r>
      <w:r w:rsidR="00473BAC">
        <w:t xml:space="preserve"> This includes the right to be offensive: </w:t>
      </w:r>
    </w:p>
    <w:p w:rsidR="00473BAC" w:rsidRDefault="00D904F8" w:rsidP="00473BAC">
      <w:pPr>
        <w:pStyle w:val="Newparagraph"/>
        <w:spacing w:line="240" w:lineRule="auto"/>
        <w:ind w:left="720" w:firstLine="0"/>
      </w:pPr>
      <w:r>
        <w:t>‘</w:t>
      </w:r>
      <w:r w:rsidR="00473BAC" w:rsidRPr="00473BAC">
        <w:t>Freedom of speech includes not only the inoffensive but the irritating, the contentious, the eccentric, the heretical, the unwelcome and the provocative, provided it does not tend to provoke violence.</w:t>
      </w:r>
      <w:r>
        <w:t>’</w:t>
      </w:r>
      <w:r w:rsidR="00473BAC">
        <w:rPr>
          <w:rStyle w:val="FootnoteReference"/>
        </w:rPr>
        <w:footnoteReference w:id="34"/>
      </w:r>
      <w:r w:rsidR="00473BAC">
        <w:br/>
      </w:r>
    </w:p>
    <w:p w:rsidR="00473BAC" w:rsidRDefault="00404ADF" w:rsidP="009D0669">
      <w:pPr>
        <w:pStyle w:val="Newparagraph"/>
        <w:ind w:firstLine="0"/>
      </w:pPr>
      <w:r>
        <w:t xml:space="preserve">Despite the need to protect free speech, </w:t>
      </w:r>
      <w:r w:rsidR="009E01B3" w:rsidRPr="009E01B3">
        <w:t xml:space="preserve">Akhtar </w:t>
      </w:r>
      <w:r w:rsidR="009E01B3">
        <w:t xml:space="preserve">argues </w:t>
      </w:r>
      <w:r>
        <w:t xml:space="preserve">that the criminal justice system has </w:t>
      </w:r>
      <w:r w:rsidR="00473BAC">
        <w:t xml:space="preserve">‘tilted’ too much in the direction of </w:t>
      </w:r>
      <w:r>
        <w:t>freedom of expression</w:t>
      </w:r>
      <w:r w:rsidR="00473BAC">
        <w:t xml:space="preserve"> when it comes to matters concerning conduct carried out online.</w:t>
      </w:r>
      <w:r w:rsidR="00270779">
        <w:rPr>
          <w:rStyle w:val="FootnoteReference"/>
        </w:rPr>
        <w:footnoteReference w:id="35"/>
      </w:r>
      <w:r w:rsidR="00473BAC">
        <w:t xml:space="preserve"> </w:t>
      </w:r>
    </w:p>
    <w:p w:rsidR="009D0669" w:rsidRDefault="009D0669" w:rsidP="00436BB6">
      <w:pPr>
        <w:pStyle w:val="Newparagraph"/>
      </w:pPr>
      <w:r>
        <w:t>In a social media age,</w:t>
      </w:r>
      <w:r w:rsidR="00436BB6">
        <w:t xml:space="preserve"> the high threshold associated with free speech</w:t>
      </w:r>
      <w:r>
        <w:t xml:space="preserve"> puts further disadvantage</w:t>
      </w:r>
      <w:r w:rsidR="00B147FC">
        <w:t>s</w:t>
      </w:r>
      <w:r>
        <w:t xml:space="preserve"> on victims of cyber harassment. In many cases, the </w:t>
      </w:r>
      <w:r w:rsidR="00D113E0">
        <w:t>matter</w:t>
      </w:r>
      <w:r>
        <w:t xml:space="preserve"> being complai</w:t>
      </w:r>
      <w:r w:rsidR="0065516E">
        <w:t xml:space="preserve">ned about can be considered as </w:t>
      </w:r>
      <w:r w:rsidR="00D904F8">
        <w:t>‘</w:t>
      </w:r>
      <w:r>
        <w:t>disturbing, unpleasant and may transgress t</w:t>
      </w:r>
      <w:r w:rsidR="0065516E">
        <w:t>he norms of socially acceptable</w:t>
      </w:r>
      <w:r w:rsidR="00D904F8">
        <w:t>’</w:t>
      </w:r>
      <w:r>
        <w:rPr>
          <w:rStyle w:val="FootnoteReference"/>
        </w:rPr>
        <w:footnoteReference w:id="36"/>
      </w:r>
      <w:r>
        <w:t xml:space="preserve"> behaviour, but it is difficult to prove that the conduct crosses the evidential line to be considered </w:t>
      </w:r>
      <w:r w:rsidR="00436BB6">
        <w:t>as breaching the law</w:t>
      </w:r>
      <w:r>
        <w:t>.</w:t>
      </w:r>
      <w:r w:rsidR="00436BB6">
        <w:t xml:space="preserve"> This is further reflected in the work of Basu and Jones, who suggest that conduct carried out via the aid of social media is more sinister than offline behaviours.</w:t>
      </w:r>
      <w:r w:rsidR="00B147FC">
        <w:rPr>
          <w:rStyle w:val="FootnoteReference"/>
        </w:rPr>
        <w:footnoteReference w:id="37"/>
      </w:r>
      <w:r w:rsidR="00436BB6">
        <w:t xml:space="preserve"> As a result, the criminal justice system is struggling to appreciate the severity cyber harassment can have upon an individual, shown further in the abuse experienced by </w:t>
      </w:r>
      <w:r w:rsidR="00436BB6" w:rsidRPr="00436BB6">
        <w:t>Caroline Criado-Perez</w:t>
      </w:r>
      <w:r w:rsidR="00436BB6">
        <w:t xml:space="preserve"> in 2013.</w:t>
      </w:r>
      <w:r>
        <w:t xml:space="preserve">  </w:t>
      </w:r>
    </w:p>
    <w:p w:rsidR="009D0669" w:rsidRDefault="00436BB6" w:rsidP="009D0669">
      <w:pPr>
        <w:pStyle w:val="Newparagraph"/>
      </w:pPr>
      <w:r>
        <w:t xml:space="preserve">Ms </w:t>
      </w:r>
      <w:r w:rsidR="009D0669">
        <w:t xml:space="preserve">Criado-Perez, an active feminist supporter, launched a public campaign in 2013 to get the well-known author, Jane Austin, printed on banknotes in the United Kingdom. Following her launching </w:t>
      </w:r>
      <w:r w:rsidR="00D96854">
        <w:t>the</w:t>
      </w:r>
      <w:r w:rsidR="009D0669">
        <w:t xml:space="preserve"> campaign, Ms Criado-Perez was subjected to explicit threats of sexual violence online, </w:t>
      </w:r>
      <w:r w:rsidR="009D0669" w:rsidRPr="00465C0F">
        <w:t>including thre</w:t>
      </w:r>
      <w:r w:rsidR="0065516E" w:rsidRPr="00465C0F">
        <w:t xml:space="preserve">ats of rape. Comments </w:t>
      </w:r>
      <w:r w:rsidR="00465C0F" w:rsidRPr="00465C0F">
        <w:t>encompassed</w:t>
      </w:r>
      <w:r w:rsidR="0065516E">
        <w:t xml:space="preserve"> </w:t>
      </w:r>
      <w:r w:rsidR="00D904F8">
        <w:t>‘</w:t>
      </w:r>
      <w:r w:rsidR="0065516E">
        <w:t>rape her nice ass</w:t>
      </w:r>
      <w:r w:rsidR="00D904F8">
        <w:t>’</w:t>
      </w:r>
      <w:r w:rsidR="0065516E">
        <w:t xml:space="preserve"> and </w:t>
      </w:r>
      <w:r w:rsidR="00D904F8">
        <w:t>‘</w:t>
      </w:r>
      <w:r w:rsidR="009D0669">
        <w:t>f</w:t>
      </w:r>
      <w:r w:rsidR="00261B94">
        <w:t>uc</w:t>
      </w:r>
      <w:r w:rsidR="009D0669">
        <w:t xml:space="preserve">k off and die you </w:t>
      </w:r>
      <w:r w:rsidR="0065516E">
        <w:t>worthless piece of crap.</w:t>
      </w:r>
      <w:r w:rsidR="00D904F8">
        <w:t>’</w:t>
      </w:r>
      <w:r w:rsidR="009D0669">
        <w:rPr>
          <w:rStyle w:val="FootnoteReference"/>
        </w:rPr>
        <w:footnoteReference w:id="38"/>
      </w:r>
      <w:r w:rsidR="009D0669">
        <w:t xml:space="preserve"> In particular, one individual, Peter Nunn, </w:t>
      </w:r>
      <w:r w:rsidR="00DA0A61">
        <w:t xml:space="preserve">tormented </w:t>
      </w:r>
      <w:r w:rsidR="009D0669">
        <w:t xml:space="preserve">her with a crusade of misogynistic abuse, as detailed in Ms Criado-Perez’s blog: </w:t>
      </w:r>
    </w:p>
    <w:p w:rsidR="009D0669" w:rsidRDefault="00D904F8" w:rsidP="00CE14A4">
      <w:pPr>
        <w:pStyle w:val="Newparagraph"/>
        <w:spacing w:line="240" w:lineRule="auto"/>
        <w:ind w:left="720" w:firstLine="0"/>
      </w:pPr>
      <w:r>
        <w:t>‘</w:t>
      </w:r>
      <w:r w:rsidR="009D0669">
        <w:t xml:space="preserve">He dug up my work history. He dug up my relationship and family history. He dug up my family’s work history – including publishing home addresses. He wrote reams of blogs about me and my every public move. He made numerous videos about me. He set up numerous twitter accounts all of which spoke almost exclusively about me. In these same twitter accounts he detailed the best way to rape and drown a witch, alongside repeatedly naming me as </w:t>
      </w:r>
      <w:r w:rsidR="0065516E">
        <w:t>the head of the ‘witches’ coven’</w:t>
      </w:r>
      <w:r w:rsidR="009D0669">
        <w:t>. He also boasted on twitter in the same account about hav</w:t>
      </w:r>
      <w:r w:rsidR="0065516E">
        <w:t>ing bought a gun, and wondered ‘how much death’ this gun could buy him.</w:t>
      </w:r>
      <w:r>
        <w:t>’</w:t>
      </w:r>
      <w:r w:rsidR="00CE14A4">
        <w:rPr>
          <w:rStyle w:val="FootnoteReference"/>
        </w:rPr>
        <w:footnoteReference w:id="39"/>
      </w:r>
      <w:r w:rsidR="009D0669">
        <w:t xml:space="preserve"> </w:t>
      </w:r>
      <w:r w:rsidR="00B757B9">
        <w:t>[sic]</w:t>
      </w:r>
    </w:p>
    <w:p w:rsidR="00CE14A4" w:rsidRDefault="00CE14A4" w:rsidP="00CE14A4">
      <w:pPr>
        <w:pStyle w:val="Newparagraph"/>
        <w:spacing w:line="240" w:lineRule="auto"/>
        <w:ind w:left="720" w:firstLine="0"/>
      </w:pPr>
    </w:p>
    <w:p w:rsidR="009E01B3" w:rsidRDefault="009D0669" w:rsidP="00CE14A4">
      <w:pPr>
        <w:pStyle w:val="Newparagraph"/>
        <w:ind w:firstLine="0"/>
      </w:pPr>
      <w:r>
        <w:t>Despite a clear course of conduct being present, Nunn was prosecuted and found guilty of sending grossly offensive communications contrary to section 127 of the Communication</w:t>
      </w:r>
      <w:r w:rsidR="006D5C1A">
        <w:t>s</w:t>
      </w:r>
      <w:r w:rsidR="00B757B9">
        <w:t xml:space="preserve"> Act 2003</w:t>
      </w:r>
      <w:r w:rsidR="009E01B3">
        <w:t xml:space="preserve"> (CA). He received</w:t>
      </w:r>
      <w:r>
        <w:t xml:space="preserve"> a six week custodial sentence</w:t>
      </w:r>
      <w:r w:rsidR="009E01B3">
        <w:t>.</w:t>
      </w:r>
      <w:r w:rsidR="009E01B3" w:rsidRPr="009E01B3">
        <w:rPr>
          <w:rStyle w:val="FootnoteReference"/>
        </w:rPr>
        <w:t xml:space="preserve"> </w:t>
      </w:r>
      <w:r w:rsidR="009E01B3">
        <w:rPr>
          <w:rStyle w:val="FootnoteReference"/>
        </w:rPr>
        <w:footnoteReference w:id="40"/>
      </w:r>
      <w:r w:rsidR="009E01B3">
        <w:t xml:space="preserve">   </w:t>
      </w:r>
    </w:p>
    <w:p w:rsidR="009D0669" w:rsidRDefault="009D0669" w:rsidP="009E01B3">
      <w:pPr>
        <w:pStyle w:val="Newparagraph"/>
      </w:pPr>
      <w:r>
        <w:t xml:space="preserve">Ms Criado-Perez </w:t>
      </w:r>
      <w:r w:rsidR="00CE14A4">
        <w:t xml:space="preserve">has been very critical of the </w:t>
      </w:r>
      <w:r w:rsidR="00B757B9">
        <w:t>Crown Prosecution Services (CPS)</w:t>
      </w:r>
      <w:r w:rsidR="009E01B3">
        <w:t xml:space="preserve"> charging decision </w:t>
      </w:r>
      <w:r w:rsidR="00893732">
        <w:t>in the matter of Nunn</w:t>
      </w:r>
      <w:r>
        <w:t>:</w:t>
      </w:r>
    </w:p>
    <w:p w:rsidR="009D0669" w:rsidRDefault="00D904F8" w:rsidP="00CE14A4">
      <w:pPr>
        <w:pStyle w:val="Newparagraph"/>
        <w:spacing w:line="240" w:lineRule="auto"/>
        <w:ind w:left="720" w:firstLine="0"/>
      </w:pPr>
      <w:r>
        <w:t>‘</w:t>
      </w:r>
      <w:r w:rsidR="009D0669">
        <w:t>This man made me fear for my life as no-one ever has before. I felt he was a clear and present threat to me. He made me scared to go outside, to appear in public. He stopped me being able to sleep; being able to work. He seemed obsessed enough to carry out his threats. I am glad he has been found guilty. I am glad he cannot contact me again. I hope he has learnt from this. But I think the CPS got the charge wrong. I don’t feel they understood what happened to me</w:t>
      </w:r>
      <w:r w:rsidR="0065516E">
        <w:t>.</w:t>
      </w:r>
      <w:r>
        <w:t>’</w:t>
      </w:r>
      <w:r w:rsidR="00CE14A4">
        <w:rPr>
          <w:rStyle w:val="FootnoteReference"/>
        </w:rPr>
        <w:footnoteReference w:id="41"/>
      </w:r>
      <w:r w:rsidR="00CE14A4">
        <w:br/>
      </w:r>
    </w:p>
    <w:p w:rsidR="00BE3AC5" w:rsidRDefault="009D0669" w:rsidP="009D0669">
      <w:pPr>
        <w:pStyle w:val="Newparagraph"/>
        <w:ind w:firstLine="0"/>
      </w:pPr>
      <w:r>
        <w:t xml:space="preserve">By applying the </w:t>
      </w:r>
      <w:r w:rsidRPr="0065516E">
        <w:t>actus reus</w:t>
      </w:r>
      <w:r>
        <w:t xml:space="preserve"> of section</w:t>
      </w:r>
      <w:r w:rsidR="00AB33E0">
        <w:t xml:space="preserve"> </w:t>
      </w:r>
      <w:r w:rsidR="00465C0F">
        <w:t>1</w:t>
      </w:r>
      <w:r>
        <w:t xml:space="preserve"> of the PHA, it is difficult to distinguish why th</w:t>
      </w:r>
      <w:r w:rsidR="00205529">
        <w:t>e case of Nunn</w:t>
      </w:r>
      <w:r>
        <w:t xml:space="preserve"> was prosecuted under section 127 of the CA as opposed to the PHA. Nunn contacted her on numerous occasions, clearly </w:t>
      </w:r>
      <w:r w:rsidR="00CE14A4">
        <w:t>fulfilling</w:t>
      </w:r>
      <w:r>
        <w:t xml:space="preserve"> the element</w:t>
      </w:r>
      <w:r w:rsidR="00CE14A4">
        <w:t>s required for</w:t>
      </w:r>
      <w:r>
        <w:t xml:space="preserve"> a course of conduct. </w:t>
      </w:r>
      <w:r w:rsidR="00D96854">
        <w:t xml:space="preserve">Furthermore, </w:t>
      </w:r>
      <w:r>
        <w:t>Ms Criado-Perez was made to fear for her</w:t>
      </w:r>
      <w:r w:rsidR="00D96854">
        <w:t xml:space="preserve"> own</w:t>
      </w:r>
      <w:r>
        <w:t xml:space="preserve"> life, with the behaviour she was subjected to having significant effect</w:t>
      </w:r>
      <w:r w:rsidR="00B03D24">
        <w:t>s</w:t>
      </w:r>
      <w:r>
        <w:t xml:space="preserve"> on her employment and mental wellbeing. Yet, the CPS brought</w:t>
      </w:r>
      <w:r w:rsidR="00443F39">
        <w:t xml:space="preserve"> an </w:t>
      </w:r>
      <w:r>
        <w:t>action before the court under a different Act of Parliament,</w:t>
      </w:r>
      <w:r w:rsidR="00404ADF">
        <w:t xml:space="preserve"> suggesting </w:t>
      </w:r>
      <w:r>
        <w:t>that the criminal justice system is struggling to appreciate when the PHA can be used to protect victims of online abuse.</w:t>
      </w:r>
      <w:r w:rsidR="007F0D54">
        <w:rPr>
          <w:rStyle w:val="FootnoteReference"/>
        </w:rPr>
        <w:footnoteReference w:id="42"/>
      </w:r>
      <w:r>
        <w:t xml:space="preserve"> </w:t>
      </w:r>
      <w:r w:rsidR="00423E24">
        <w:t xml:space="preserve">The case of Nunn illustrates the continued </w:t>
      </w:r>
      <w:r w:rsidR="003134D8">
        <w:t>problems</w:t>
      </w:r>
      <w:r w:rsidR="00423E24">
        <w:t xml:space="preserve"> the criminal justice system experiences when it comes to labelling an incident as cyber harassment. </w:t>
      </w:r>
      <w:r>
        <w:t xml:space="preserve">This is particularly true when it comes to stalking offences and the use of the PHA in a social media context.  </w:t>
      </w:r>
    </w:p>
    <w:p w:rsidR="00CE14A4" w:rsidRDefault="00CE14A4" w:rsidP="00CE14A4">
      <w:pPr>
        <w:pStyle w:val="Heading1"/>
      </w:pPr>
      <w:r>
        <w:t xml:space="preserve">Stalking and social media </w:t>
      </w:r>
    </w:p>
    <w:p w:rsidR="00CE14A4" w:rsidRDefault="00CE14A4" w:rsidP="00CE14A4">
      <w:pPr>
        <w:pStyle w:val="Newparagraph"/>
      </w:pPr>
      <w:r>
        <w:t xml:space="preserve">Whereas section </w:t>
      </w:r>
      <w:r w:rsidR="000050F2">
        <w:t>2</w:t>
      </w:r>
      <w:r>
        <w:t xml:space="preserve"> criminalises the conduct of harassment, section 2A makes it a specific illegal offence to stalk another person. As previously stated, prior to 2012, stalking and harassment were treated as </w:t>
      </w:r>
      <w:r w:rsidR="000050F2">
        <w:t>the same</w:t>
      </w:r>
      <w:r>
        <w:t xml:space="preserve"> offence and both governed under section </w:t>
      </w:r>
      <w:r w:rsidR="000050F2">
        <w:t xml:space="preserve">2 </w:t>
      </w:r>
      <w:r>
        <w:t xml:space="preserve">of the PHA. However, in 2012 stalking was included in the Act as a separate offence in its own right under section 111(1) of the Protection from Freedoms Act, after concerns were raised that the law was failing to protect stalking victims:  </w:t>
      </w:r>
    </w:p>
    <w:p w:rsidR="00CE14A4" w:rsidRDefault="00D904F8" w:rsidP="0043668F">
      <w:pPr>
        <w:pStyle w:val="Newparagraph"/>
        <w:spacing w:line="240" w:lineRule="auto"/>
        <w:ind w:left="720" w:firstLine="0"/>
      </w:pPr>
      <w:r>
        <w:t>‘</w:t>
      </w:r>
      <w:r w:rsidR="00CE14A4">
        <w:t>The majority of respondents considered that</w:t>
      </w:r>
      <w:r w:rsidR="00D27A8E">
        <w:t xml:space="preserve"> [the]</w:t>
      </w:r>
      <w:r w:rsidR="00CE14A4">
        <w:t xml:space="preserve"> current legislation</w:t>
      </w:r>
      <w:r w:rsidR="00D27A8E">
        <w:t xml:space="preserve"> [PHA]</w:t>
      </w:r>
      <w:r w:rsidR="00CE14A4">
        <w:t xml:space="preserve"> was inadequate for dealing with stalking perpetrators (56%) and 51% felt that stalking needed to be defined in </w:t>
      </w:r>
      <w:r w:rsidR="0065516E">
        <w:t>law through a specific offence.</w:t>
      </w:r>
      <w:r>
        <w:t>’</w:t>
      </w:r>
      <w:r w:rsidR="00CE14A4">
        <w:rPr>
          <w:rStyle w:val="FootnoteReference"/>
        </w:rPr>
        <w:footnoteReference w:id="43"/>
      </w:r>
      <w:r w:rsidR="00CE14A4">
        <w:t xml:space="preserve"> </w:t>
      </w:r>
      <w:r w:rsidR="0043668F">
        <w:br/>
      </w:r>
    </w:p>
    <w:p w:rsidR="00CE14A4" w:rsidRDefault="00CE14A4" w:rsidP="00CE14A4">
      <w:pPr>
        <w:pStyle w:val="Newparagraph"/>
      </w:pPr>
      <w:r>
        <w:t>Under section 2A of the PHA</w:t>
      </w:r>
      <w:r w:rsidR="00443F39">
        <w:t>,</w:t>
      </w:r>
      <w:r>
        <w:t xml:space="preserve"> it is an offence to pursue ‘… a course of conduct in breach of section 1(1), … [in which] the course of conduct amounts to stalking.’</w:t>
      </w:r>
      <w:r>
        <w:rPr>
          <w:rStyle w:val="FootnoteReference"/>
        </w:rPr>
        <w:footnoteReference w:id="44"/>
      </w:r>
      <w:r>
        <w:t xml:space="preserve">  Like that of the offence governed under section </w:t>
      </w:r>
      <w:r w:rsidR="00975217">
        <w:t xml:space="preserve">2 </w:t>
      </w:r>
      <w:r>
        <w:t xml:space="preserve">of the Act, the </w:t>
      </w:r>
      <w:r w:rsidRPr="0065516E">
        <w:t>actus reus</w:t>
      </w:r>
      <w:r>
        <w:t xml:space="preserve"> consists of a course of conduct that occurs on at least two occasions</w:t>
      </w:r>
      <w:r w:rsidR="00D27A8E">
        <w:t>, where there is one perpetrator,</w:t>
      </w:r>
      <w:r>
        <w:t xml:space="preserve"> which can be considered as causing alarm </w:t>
      </w:r>
      <w:r w:rsidR="00A471D1">
        <w:t>or</w:t>
      </w:r>
      <w:r>
        <w:t xml:space="preserve"> distress </w:t>
      </w:r>
      <w:r w:rsidR="0065516E">
        <w:t>up</w:t>
      </w:r>
      <w:r>
        <w:t xml:space="preserve">on the victim. In addition, it must be found that the complained about behaviour amounts to stalking under the law. As mentioned </w:t>
      </w:r>
      <w:r w:rsidR="0065516E">
        <w:t>previously</w:t>
      </w:r>
      <w:r>
        <w:t xml:space="preserve">, the PHA does not contain a specific definition of </w:t>
      </w:r>
      <w:r w:rsidR="0065516E">
        <w:t>stalking;</w:t>
      </w:r>
      <w:r>
        <w:t xml:space="preserve"> </w:t>
      </w:r>
      <w:r w:rsidR="0065516E">
        <w:t>instead,</w:t>
      </w:r>
      <w:r>
        <w:t xml:space="preserve"> the Act encompasses a non-exhaustive list of </w:t>
      </w:r>
      <w:r w:rsidR="0065516E">
        <w:t>conducts, which</w:t>
      </w:r>
      <w:r>
        <w:t xml:space="preserve"> are considered to amount to this type of </w:t>
      </w:r>
      <w:r w:rsidR="0096023D">
        <w:t>behaviour</w:t>
      </w:r>
      <w:r>
        <w:t>:</w:t>
      </w:r>
    </w:p>
    <w:p w:rsidR="00CE14A4" w:rsidRDefault="00D904F8" w:rsidP="00CE14A4">
      <w:pPr>
        <w:pStyle w:val="Newparagraph"/>
        <w:spacing w:line="240" w:lineRule="auto"/>
        <w:ind w:left="720" w:firstLine="0"/>
      </w:pPr>
      <w:r>
        <w:t>‘</w:t>
      </w:r>
      <w:r w:rsidR="00CE14A4">
        <w:t xml:space="preserve">The following are examples of acts or omissions which, in particular circumstances, are ones associated with stalking— (a) following a person, (b) contacting, or attempting to contact, a person by any means, (c) publishing any statement or other material – (i) relating or purporting to relate to a person, or (ii) purporting to originate from a person; (d) monitoring the use by a person of the internet, email or any other form of electronic communication, (e) loitering in any place (whether public or private), (f) interfering with any property in the possession of a person, (g) </w:t>
      </w:r>
      <w:r w:rsidR="0065516E">
        <w:t>watching or spying on a person.</w:t>
      </w:r>
      <w:r>
        <w:t>’</w:t>
      </w:r>
      <w:r w:rsidR="00CE14A4">
        <w:rPr>
          <w:rStyle w:val="FootnoteReference"/>
        </w:rPr>
        <w:footnoteReference w:id="45"/>
      </w:r>
      <w:r w:rsidR="00CE14A4">
        <w:t xml:space="preserve">   </w:t>
      </w:r>
      <w:r w:rsidR="00CE14A4">
        <w:br/>
      </w:r>
    </w:p>
    <w:p w:rsidR="00CE14A4" w:rsidRDefault="00CE14A4" w:rsidP="00CE14A4">
      <w:pPr>
        <w:pStyle w:val="Newparagraph"/>
        <w:ind w:firstLine="0"/>
      </w:pPr>
      <w:r>
        <w:t xml:space="preserve">If the </w:t>
      </w:r>
      <w:r w:rsidR="0096023D">
        <w:t>issues</w:t>
      </w:r>
      <w:r>
        <w:t xml:space="preserve"> being complained about can be regarded as stalking</w:t>
      </w:r>
      <w:r w:rsidR="0096023D">
        <w:t>,</w:t>
      </w:r>
      <w:r w:rsidR="004E75FB">
        <w:t xml:space="preserve"> </w:t>
      </w:r>
      <w:r>
        <w:t>and a course of conduct is present</w:t>
      </w:r>
      <w:r w:rsidR="00D96854">
        <w:t xml:space="preserve"> in the matter</w:t>
      </w:r>
      <w:r>
        <w:t xml:space="preserve"> which amounts to harassment, then the </w:t>
      </w:r>
      <w:r w:rsidRPr="0065516E">
        <w:t>actus reus</w:t>
      </w:r>
      <w:r>
        <w:t xml:space="preserve"> for section 2A of the PHA will be satisfied.</w:t>
      </w:r>
      <w:r w:rsidR="004E75FB">
        <w:rPr>
          <w:rStyle w:val="FootnoteReference"/>
        </w:rPr>
        <w:footnoteReference w:id="46"/>
      </w:r>
      <w:r>
        <w:t xml:space="preserve">  </w:t>
      </w:r>
    </w:p>
    <w:p w:rsidR="008933F2" w:rsidRDefault="00CE14A4" w:rsidP="00776F94">
      <w:pPr>
        <w:pStyle w:val="Newparagraph"/>
      </w:pPr>
      <w:r>
        <w:t xml:space="preserve">Like that of harassment, it has been accepted that stalking can now be </w:t>
      </w:r>
      <w:r w:rsidR="004E75FB">
        <w:t>pursued</w:t>
      </w:r>
      <w:r>
        <w:t xml:space="preserve"> online and i</w:t>
      </w:r>
      <w:r w:rsidR="0096023D">
        <w:t>s</w:t>
      </w:r>
      <w:r>
        <w:t xml:space="preserve"> commonly referred to as cyberstalking</w:t>
      </w:r>
      <w:r w:rsidR="0043668F">
        <w:t>.</w:t>
      </w:r>
      <w:r w:rsidR="008933F2">
        <w:rPr>
          <w:rStyle w:val="FootnoteReference"/>
        </w:rPr>
        <w:footnoteReference w:id="47"/>
      </w:r>
      <w:r w:rsidR="00776F94">
        <w:t xml:space="preserve"> </w:t>
      </w:r>
      <w:r w:rsidR="0043668F">
        <w:t>H</w:t>
      </w:r>
      <w:r w:rsidR="00776F94">
        <w:t>owever</w:t>
      </w:r>
      <w:r w:rsidR="008933F2">
        <w:t xml:space="preserve">, </w:t>
      </w:r>
      <w:r w:rsidR="0043668F">
        <w:t>cyberstalking,</w:t>
      </w:r>
      <w:r w:rsidR="0055326A">
        <w:t xml:space="preserve"> similar to</w:t>
      </w:r>
      <w:r w:rsidR="008933F2">
        <w:t xml:space="preserve"> stalking </w:t>
      </w:r>
      <w:r w:rsidR="0043668F">
        <w:t>itself, lacks a</w:t>
      </w:r>
      <w:r w:rsidR="008933F2">
        <w:t xml:space="preserve"> rigid le</w:t>
      </w:r>
      <w:r w:rsidR="00776F94">
        <w:t>gal definition</w:t>
      </w:r>
      <w:r w:rsidR="0043668F">
        <w:t>.</w:t>
      </w:r>
      <w:r w:rsidR="008933F2">
        <w:rPr>
          <w:rStyle w:val="FootnoteReference"/>
        </w:rPr>
        <w:footnoteReference w:id="48"/>
      </w:r>
      <w:r w:rsidR="00776F94">
        <w:t xml:space="preserve"> Instead, it has been </w:t>
      </w:r>
      <w:r w:rsidR="008933F2">
        <w:t>suggest</w:t>
      </w:r>
      <w:r w:rsidR="00776F94">
        <w:t>ed</w:t>
      </w:r>
      <w:r w:rsidR="008933F2">
        <w:t xml:space="preserve"> that certain behaviours can be </w:t>
      </w:r>
      <w:r w:rsidR="00776F94">
        <w:t xml:space="preserve">associated with </w:t>
      </w:r>
      <w:r w:rsidR="0043668F">
        <w:t>stalking</w:t>
      </w:r>
      <w:r w:rsidR="0043668F" w:rsidRPr="0043668F">
        <w:t xml:space="preserve"> </w:t>
      </w:r>
      <w:r w:rsidR="0043668F">
        <w:t>online</w:t>
      </w:r>
      <w:r w:rsidR="00776F94">
        <w:t>:</w:t>
      </w:r>
      <w:r w:rsidR="008933F2">
        <w:t xml:space="preserve"> </w:t>
      </w:r>
    </w:p>
    <w:p w:rsidR="008933F2" w:rsidRDefault="00D278D0" w:rsidP="008933F2">
      <w:pPr>
        <w:pStyle w:val="Newparagraph"/>
        <w:spacing w:line="240" w:lineRule="auto"/>
        <w:ind w:left="720" w:firstLine="0"/>
      </w:pPr>
      <w:r>
        <w:t>‘</w:t>
      </w:r>
      <w:r w:rsidR="008933F2">
        <w:t>seeking and compiling information on the victim in order to harass, threaten and intimidate the victim online or off-line; repeated unsolicited e-mailing and Instant Messaging; electronic sabotage such as spamming and sending viruses to the target; identity theft; subscribing the victim to services; purchasing goods and services in the victim’s name; impersonating another online; sending or posting hostile material, misinformation and false messages (e.g. to Usenet groups); and, tricking other Internet users into harassing or threatening a victim (e.g. by posting the victim’s personal details on a bulletin board along with a controversial invitation)</w:t>
      </w:r>
      <w:r>
        <w:t>’.</w:t>
      </w:r>
      <w:r w:rsidR="008933F2">
        <w:rPr>
          <w:rStyle w:val="FootnoteReference"/>
        </w:rPr>
        <w:footnoteReference w:id="49"/>
      </w:r>
    </w:p>
    <w:p w:rsidR="00776F94" w:rsidRDefault="00776F94" w:rsidP="008933F2">
      <w:pPr>
        <w:pStyle w:val="Newparagraph"/>
        <w:spacing w:line="240" w:lineRule="auto"/>
        <w:ind w:left="720" w:firstLine="0"/>
      </w:pPr>
    </w:p>
    <w:p w:rsidR="00CE14A4" w:rsidRDefault="0055326A" w:rsidP="008933F2">
      <w:pPr>
        <w:pStyle w:val="Newparagraph"/>
        <w:ind w:firstLine="0"/>
      </w:pPr>
      <w:r>
        <w:t>T</w:t>
      </w:r>
      <w:r w:rsidR="00CE14A4">
        <w:t>he internet</w:t>
      </w:r>
      <w:r>
        <w:t xml:space="preserve"> has</w:t>
      </w:r>
      <w:r w:rsidR="00CE14A4">
        <w:t xml:space="preserve"> now created new and unique ways to stalk another, </w:t>
      </w:r>
      <w:r>
        <w:t>whilst</w:t>
      </w:r>
      <w:r w:rsidR="00CE14A4">
        <w:t xml:space="preserve"> allow</w:t>
      </w:r>
      <w:r>
        <w:t>ing</w:t>
      </w:r>
      <w:r w:rsidR="00CE14A4">
        <w:t xml:space="preserve"> for direct contact between the perpetrator of the offence and the victim,</w:t>
      </w:r>
      <w:r w:rsidR="0065516E">
        <w:t xml:space="preserve"> which in many cases can occur </w:t>
      </w:r>
      <w:r w:rsidR="00D278D0">
        <w:t>‘</w:t>
      </w:r>
      <w:r w:rsidR="0065516E">
        <w:t>around the clock</w:t>
      </w:r>
      <w:r w:rsidR="00D278D0">
        <w:t>’</w:t>
      </w:r>
      <w:r w:rsidR="00CE14A4">
        <w:t>.</w:t>
      </w:r>
      <w:r w:rsidR="004E75FB">
        <w:rPr>
          <w:rStyle w:val="FootnoteReference"/>
        </w:rPr>
        <w:footnoteReference w:id="50"/>
      </w:r>
      <w:r w:rsidR="0065516E">
        <w:t xml:space="preserve"> </w:t>
      </w:r>
      <w:r w:rsidR="004E75FB">
        <w:t xml:space="preserve">There </w:t>
      </w:r>
      <w:r w:rsidR="00776F94">
        <w:t xml:space="preserve">continues to be, however, </w:t>
      </w:r>
      <w:r w:rsidR="004E75FB">
        <w:t xml:space="preserve">issues as to when someone’s continued unwanted contact goes beyond </w:t>
      </w:r>
      <w:r w:rsidR="00776F94">
        <w:t xml:space="preserve">the conduct of </w:t>
      </w:r>
      <w:r w:rsidR="004E75FB">
        <w:t xml:space="preserve">harassment to stalking. </w:t>
      </w:r>
      <w:r w:rsidR="00CE14A4">
        <w:t xml:space="preserve"> </w:t>
      </w:r>
    </w:p>
    <w:p w:rsidR="00CE14A4" w:rsidRDefault="00CE14A4" w:rsidP="004E75FB">
      <w:pPr>
        <w:pStyle w:val="Newparagraph"/>
      </w:pPr>
      <w:r>
        <w:t xml:space="preserve">This has caused several problems in the criminal justice system, as exposed in a report conducted by the Criminal Justice Inspectorates and HM Crown Prosecution Service Inspectorate in 2017: </w:t>
      </w:r>
    </w:p>
    <w:p w:rsidR="00CE14A4" w:rsidRDefault="00D278D0" w:rsidP="004E75FB">
      <w:pPr>
        <w:pStyle w:val="Newparagraph"/>
        <w:spacing w:line="240" w:lineRule="auto"/>
        <w:ind w:left="720" w:firstLine="0"/>
      </w:pPr>
      <w:r>
        <w:t>‘</w:t>
      </w:r>
      <w:r w:rsidR="00CE14A4">
        <w:t>There are many links between harassment and stalking, including the legislation itself. However, we found that the police and the CPS frequently struggled to separate the two offences. We found that stalking in particular was misunderstood by the police and the CPS. As a result, it often went unrecognised. The police sometimes mis-recorded stalking offences, or worse, did not record them at all. Prosecutors on occasions missed opportunities to charge stalking offences, instead preferring other off</w:t>
      </w:r>
      <w:r w:rsidR="0065516E">
        <w:t>ences, particularly harassment.</w:t>
      </w:r>
      <w:r>
        <w:t>’</w:t>
      </w:r>
      <w:r w:rsidR="004E75FB">
        <w:rPr>
          <w:rStyle w:val="FootnoteReference"/>
        </w:rPr>
        <w:footnoteReference w:id="51"/>
      </w:r>
      <w:r w:rsidR="00CE14A4">
        <w:t xml:space="preserve"> </w:t>
      </w:r>
      <w:r w:rsidR="004E75FB">
        <w:br/>
      </w:r>
    </w:p>
    <w:p w:rsidR="004E75FB" w:rsidRDefault="00CE14A4" w:rsidP="004E75FB">
      <w:pPr>
        <w:pStyle w:val="Newparagraph"/>
        <w:ind w:firstLine="0"/>
      </w:pPr>
      <w:r>
        <w:t xml:space="preserve">The report was </w:t>
      </w:r>
      <w:r w:rsidR="0065516E">
        <w:t>conducted following the annual Violence against Women and G</w:t>
      </w:r>
      <w:r>
        <w:t>irls review in 2016.</w:t>
      </w:r>
      <w:r w:rsidR="004E75FB">
        <w:rPr>
          <w:rStyle w:val="FootnoteReference"/>
        </w:rPr>
        <w:footnoteReference w:id="52"/>
      </w:r>
      <w:r>
        <w:t xml:space="preserve"> The 10th anniversary edition found a drop-in prosecutions brought under the PHA. Consequently, a recommendation was put forward to the Criminal Justice Inspectorates and HM Crown Prosecution Service Inspectorate to investigate why </w:t>
      </w:r>
      <w:r w:rsidR="004E75FB">
        <w:t xml:space="preserve">fewer matters were being prosecuted </w:t>
      </w:r>
      <w:r w:rsidR="0096023D">
        <w:t>contrary to the</w:t>
      </w:r>
      <w:r w:rsidR="004E75FB">
        <w:t xml:space="preserve"> PHA.</w:t>
      </w:r>
      <w:r w:rsidR="004E75FB">
        <w:rPr>
          <w:rStyle w:val="FootnoteReference"/>
        </w:rPr>
        <w:footnoteReference w:id="53"/>
      </w:r>
      <w:r w:rsidR="004E75FB">
        <w:t xml:space="preserve"> </w:t>
      </w:r>
      <w:r>
        <w:t xml:space="preserve"> </w:t>
      </w:r>
    </w:p>
    <w:p w:rsidR="00CE14A4" w:rsidRDefault="00CE14A4" w:rsidP="0065516E">
      <w:pPr>
        <w:pStyle w:val="Newparagraph"/>
      </w:pPr>
      <w:r>
        <w:t xml:space="preserve">During the investigation, it was found that there was a complete failure across all police forces in England and Wales to take the reporting of harassment and stalking </w:t>
      </w:r>
      <w:r w:rsidR="004E75FB">
        <w:t>behaviour</w:t>
      </w:r>
      <w:r>
        <w:t xml:space="preserve"> seriously. In addition, 112</w:t>
      </w:r>
      <w:r w:rsidR="004E75FB">
        <w:rPr>
          <w:rStyle w:val="FootnoteReference"/>
        </w:rPr>
        <w:footnoteReference w:id="54"/>
      </w:r>
      <w:r>
        <w:t xml:space="preserve"> cases of stalking and harassment were examined in detail, w</w:t>
      </w:r>
      <w:r w:rsidR="0065516E">
        <w:t xml:space="preserve">ith the report concluding that </w:t>
      </w:r>
      <w:r w:rsidR="00D278D0">
        <w:t>‘</w:t>
      </w:r>
      <w:r>
        <w:t>[n]one of these</w:t>
      </w:r>
      <w:r w:rsidR="0065516E">
        <w:t xml:space="preserve"> cases had been dealt with well</w:t>
      </w:r>
      <w:r w:rsidR="00D278D0">
        <w:t>’</w:t>
      </w:r>
      <w:r w:rsidR="0096023D">
        <w:t>.</w:t>
      </w:r>
      <w:r w:rsidR="004E75FB">
        <w:rPr>
          <w:rStyle w:val="FootnoteReference"/>
        </w:rPr>
        <w:footnoteReference w:id="55"/>
      </w:r>
      <w:r w:rsidR="0096023D">
        <w:t xml:space="preserve"> </w:t>
      </w:r>
      <w:r w:rsidR="0072700C">
        <w:t>I</w:t>
      </w:r>
      <w:r w:rsidR="0096023D">
        <w:t xml:space="preserve">n </w:t>
      </w:r>
      <w:r>
        <w:t xml:space="preserve">many of these </w:t>
      </w:r>
      <w:r w:rsidR="004E75FB">
        <w:t>matters</w:t>
      </w:r>
      <w:r>
        <w:t xml:space="preserve">, </w:t>
      </w:r>
      <w:r w:rsidR="0096023D">
        <w:t xml:space="preserve">police forces </w:t>
      </w:r>
      <w:r w:rsidR="00C1798A">
        <w:t>misunderstood the</w:t>
      </w:r>
      <w:r>
        <w:t xml:space="preserve"> differences between these two types of behaviours</w:t>
      </w:r>
      <w:r w:rsidR="00C1798A">
        <w:t>, as harassment and stalking are inherently interlinked.</w:t>
      </w:r>
      <w:r w:rsidR="00C1798A">
        <w:rPr>
          <w:rStyle w:val="FootnoteReference"/>
        </w:rPr>
        <w:footnoteReference w:id="56"/>
      </w:r>
    </w:p>
    <w:p w:rsidR="00062D46" w:rsidRDefault="00C1798A" w:rsidP="0065516E">
      <w:pPr>
        <w:pStyle w:val="Newparagraph"/>
      </w:pPr>
      <w:r>
        <w:t>As previously</w:t>
      </w:r>
      <w:r w:rsidR="00B36C0E">
        <w:t xml:space="preserve"> stated</w:t>
      </w:r>
      <w:r>
        <w:t>, there is no specific legal definition of stalking, instead</w:t>
      </w:r>
      <w:r w:rsidR="00443F39">
        <w:t>,</w:t>
      </w:r>
      <w:r>
        <w:t xml:space="preserve"> the PHA relies on the idea that the conduct falls within the </w:t>
      </w:r>
      <w:r w:rsidR="00D278D0">
        <w:t>‘</w:t>
      </w:r>
      <w:r>
        <w:t>definition of harassment.</w:t>
      </w:r>
      <w:r w:rsidR="00D278D0">
        <w:t>’</w:t>
      </w:r>
      <w:r>
        <w:rPr>
          <w:rStyle w:val="FootnoteReference"/>
        </w:rPr>
        <w:footnoteReference w:id="57"/>
      </w:r>
      <w:r>
        <w:t xml:space="preserve"> However, for MacEwan</w:t>
      </w:r>
      <w:r w:rsidR="00443F39">
        <w:t>,</w:t>
      </w:r>
      <w:r>
        <w:t xml:space="preserve"> this ideal is not possible, as certain behaviours which amount to stalking</w:t>
      </w:r>
      <w:r w:rsidR="00062D46">
        <w:t xml:space="preserve">, </w:t>
      </w:r>
      <w:r w:rsidR="00D278D0">
        <w:t>‘</w:t>
      </w:r>
      <w:r w:rsidR="00062D46">
        <w:t>within a cyberstalking context</w:t>
      </w:r>
      <w:r w:rsidR="00D278D0">
        <w:t>’</w:t>
      </w:r>
      <w:r w:rsidR="00062D46">
        <w:t>, may not pass the threshold of harassment to warrant criminalisation, for instance</w:t>
      </w:r>
      <w:r w:rsidR="00443F39">
        <w:t>,</w:t>
      </w:r>
      <w:r w:rsidR="00062D46">
        <w:t xml:space="preserve"> </w:t>
      </w:r>
      <w:r w:rsidR="00D278D0">
        <w:t>‘</w:t>
      </w:r>
      <w:r w:rsidR="00062D46">
        <w:t>watching and spying on a person.</w:t>
      </w:r>
      <w:r w:rsidR="00D278D0">
        <w:t>’</w:t>
      </w:r>
      <w:r w:rsidR="00062D46">
        <w:rPr>
          <w:rStyle w:val="FootnoteReference"/>
        </w:rPr>
        <w:footnoteReference w:id="58"/>
      </w:r>
      <w:r>
        <w:t xml:space="preserve"> </w:t>
      </w:r>
      <w:r w:rsidR="00062D46">
        <w:t xml:space="preserve">This is disputed by Gillespie, who suggests that the PHA is flexible enough to be used to prosecute cyberstalking offences: </w:t>
      </w:r>
    </w:p>
    <w:p w:rsidR="00C1798A" w:rsidRDefault="00D278D0" w:rsidP="00062D46">
      <w:pPr>
        <w:pStyle w:val="Newparagraph"/>
        <w:spacing w:line="240" w:lineRule="auto"/>
        <w:ind w:left="720" w:firstLine="0"/>
      </w:pPr>
      <w:r>
        <w:t>‘</w:t>
      </w:r>
      <w:r w:rsidR="00062D46" w:rsidRPr="00062D46">
        <w:t xml:space="preserve">The law, it is submitted, can protect victims. The flexibility of a </w:t>
      </w:r>
      <w:r w:rsidR="00412ACE">
        <w:t>‘</w:t>
      </w:r>
      <w:r w:rsidR="00062D46" w:rsidRPr="00062D46">
        <w:t>course of conduct</w:t>
      </w:r>
      <w:r w:rsidR="00412ACE">
        <w:t>’</w:t>
      </w:r>
      <w:r w:rsidR="00062D46" w:rsidRPr="00062D46">
        <w:t>, and the interpretation the courts have taken to both the victim impact condition and the mens rea element mean that where covert activity is detected it is highly likely that the offence would be established</w:t>
      </w:r>
      <w:r w:rsidR="00062D46">
        <w:t>.</w:t>
      </w:r>
      <w:r>
        <w:t>’</w:t>
      </w:r>
      <w:r w:rsidR="00062D46">
        <w:rPr>
          <w:rStyle w:val="FootnoteReference"/>
        </w:rPr>
        <w:footnoteReference w:id="59"/>
      </w:r>
    </w:p>
    <w:p w:rsidR="00062D46" w:rsidRDefault="00062D46" w:rsidP="00062D46">
      <w:pPr>
        <w:pStyle w:val="Newparagraph"/>
        <w:spacing w:line="240" w:lineRule="auto"/>
        <w:ind w:firstLine="0"/>
      </w:pPr>
    </w:p>
    <w:p w:rsidR="00062D46" w:rsidRDefault="00062D46" w:rsidP="00062D46">
      <w:pPr>
        <w:pStyle w:val="Newparagraph"/>
        <w:ind w:firstLine="0"/>
      </w:pPr>
      <w:r>
        <w:t xml:space="preserve">Nevertheless, as exposed in the report conducted by </w:t>
      </w:r>
      <w:r w:rsidRPr="00062D46">
        <w:t>the Criminal Justice Inspectorates and HM Crown Prosecution Service Inspectorate</w:t>
      </w:r>
      <w:r>
        <w:t>, the lack of a coherent definition in relation to stalking, is creating serious misunderstandings in the criminal justice system.</w:t>
      </w:r>
      <w:r>
        <w:rPr>
          <w:rStyle w:val="FootnoteReference"/>
        </w:rPr>
        <w:footnoteReference w:id="60"/>
      </w:r>
      <w:r>
        <w:t xml:space="preserve"> </w:t>
      </w:r>
      <w:r w:rsidR="002D0EC9">
        <w:t>This is more evident when social media is used to facilitate the offence, as experienced by Nicola Roberts.</w:t>
      </w:r>
    </w:p>
    <w:p w:rsidR="00070564" w:rsidRDefault="00070564" w:rsidP="00062D46">
      <w:pPr>
        <w:pStyle w:val="Newparagraph"/>
        <w:ind w:firstLine="0"/>
      </w:pPr>
      <w:r>
        <w:tab/>
      </w:r>
      <w:r w:rsidR="004A2D8D">
        <w:t xml:space="preserve">Ms Roberts, a well-known </w:t>
      </w:r>
      <w:r w:rsidR="00AE6A23">
        <w:t>performer</w:t>
      </w:r>
      <w:r w:rsidR="004A2D8D">
        <w:t xml:space="preserve"> from the</w:t>
      </w:r>
      <w:r w:rsidR="00AE6A23">
        <w:t xml:space="preserve"> band</w:t>
      </w:r>
      <w:r w:rsidR="00653583">
        <w:t>,</w:t>
      </w:r>
      <w:r w:rsidR="004A2D8D">
        <w:t xml:space="preserve"> ‘Girls Aloud’</w:t>
      </w:r>
      <w:r w:rsidR="00653583">
        <w:t>,</w:t>
      </w:r>
      <w:r w:rsidR="004A2D8D">
        <w:t xml:space="preserve"> was subjected to thousands of threatening messages, her social media accounts being used to spy on her and made to fear for her own life, by </w:t>
      </w:r>
      <w:r w:rsidR="00653583">
        <w:t>an</w:t>
      </w:r>
      <w:r w:rsidR="004A2D8D">
        <w:t xml:space="preserve"> ex-partner.</w:t>
      </w:r>
      <w:r w:rsidR="002D0EC9">
        <w:rPr>
          <w:rStyle w:val="FootnoteReference"/>
        </w:rPr>
        <w:footnoteReference w:id="61"/>
      </w:r>
      <w:r w:rsidR="004A2D8D">
        <w:t xml:space="preserve"> He stalked her for a period of 10 years. During this time a restraining order was placed upon her ex-partner, which was later broken when he started ‘following’ her on the social networking site Instagram. Subsequently, he was charged for breaching his restraining order; however, these charges were later dropped by the CPS: </w:t>
      </w:r>
    </w:p>
    <w:p w:rsidR="004A2D8D" w:rsidRDefault="002827C9" w:rsidP="002D0EC9">
      <w:pPr>
        <w:pStyle w:val="Newparagraph"/>
        <w:spacing w:line="240" w:lineRule="auto"/>
        <w:ind w:left="720" w:firstLine="0"/>
      </w:pPr>
      <w:r>
        <w:t>‘“</w:t>
      </w:r>
      <w:r w:rsidR="004A2D8D" w:rsidRPr="00070564">
        <w:t>The failure in Nicola's</w:t>
      </w:r>
      <w:r w:rsidR="004A2D8D">
        <w:t xml:space="preserve"> [Roberts]</w:t>
      </w:r>
      <w:r w:rsidR="004A2D8D" w:rsidRPr="00070564">
        <w:t xml:space="preserve"> case was born out of a lack of understanding about how certain social media platforms work, which resulted in a decision to offer no evidence. Due to how the CPS dealt with this procedurally, no charges can now be brought</w:t>
      </w:r>
      <w:r w:rsidR="0060646C">
        <w:t>.”’</w:t>
      </w:r>
      <w:r w:rsidR="002D0EC9">
        <w:rPr>
          <w:rStyle w:val="FootnoteReference"/>
        </w:rPr>
        <w:footnoteReference w:id="62"/>
      </w:r>
      <w:r w:rsidR="002D0EC9">
        <w:br/>
      </w:r>
    </w:p>
    <w:p w:rsidR="00653583" w:rsidRDefault="004A2D8D" w:rsidP="00062D46">
      <w:pPr>
        <w:pStyle w:val="Newparagraph"/>
        <w:ind w:firstLine="0"/>
      </w:pPr>
      <w:r>
        <w:t xml:space="preserve">The CPS has since apologised for their lack of understanding </w:t>
      </w:r>
      <w:r w:rsidR="002827C9">
        <w:t>‘</w:t>
      </w:r>
      <w:r w:rsidRPr="004A2D8D">
        <w:t>about how certain social media platforms work</w:t>
      </w:r>
      <w:r w:rsidR="002827C9">
        <w:t>’</w:t>
      </w:r>
      <w:r w:rsidR="0060646C">
        <w:t>.</w:t>
      </w:r>
      <w:r w:rsidR="00013710">
        <w:rPr>
          <w:rStyle w:val="FootnoteReference"/>
        </w:rPr>
        <w:footnoteReference w:id="63"/>
      </w:r>
      <w:r w:rsidR="002D0EC9">
        <w:t xml:space="preserve"> </w:t>
      </w:r>
    </w:p>
    <w:p w:rsidR="00AE6A23" w:rsidRDefault="00AE6A23" w:rsidP="00062D46">
      <w:pPr>
        <w:pStyle w:val="Newparagraph"/>
        <w:spacing w:line="240" w:lineRule="auto"/>
        <w:ind w:firstLine="0"/>
        <w:rPr>
          <w:b/>
        </w:rPr>
      </w:pPr>
    </w:p>
    <w:p w:rsidR="00062D46" w:rsidRPr="00626484" w:rsidRDefault="00626484" w:rsidP="00062D46">
      <w:pPr>
        <w:pStyle w:val="Newparagraph"/>
        <w:spacing w:line="240" w:lineRule="auto"/>
        <w:ind w:firstLine="0"/>
        <w:rPr>
          <w:b/>
        </w:rPr>
      </w:pPr>
      <w:r w:rsidRPr="00626484">
        <w:rPr>
          <w:b/>
        </w:rPr>
        <w:t xml:space="preserve">The criminal justice system, social media and the PHA </w:t>
      </w:r>
    </w:p>
    <w:p w:rsidR="00062D46" w:rsidRDefault="00062D46" w:rsidP="00062D46">
      <w:pPr>
        <w:pStyle w:val="Newparagraph"/>
        <w:spacing w:line="240" w:lineRule="auto"/>
        <w:ind w:firstLine="0"/>
      </w:pPr>
    </w:p>
    <w:p w:rsidR="004369EB" w:rsidRDefault="003C5ECD" w:rsidP="004369EB">
      <w:pPr>
        <w:pStyle w:val="Newparagraph"/>
        <w:ind w:firstLine="0"/>
      </w:pPr>
      <w:r>
        <w:tab/>
      </w:r>
      <w:r w:rsidR="004369EB">
        <w:t>The Home Office, in July 2012, undertook a complete review of the PHA, paving the way for stalking to be included as a specific offence under the Act. The information gathered from</w:t>
      </w:r>
      <w:r w:rsidR="004A714F">
        <w:t xml:space="preserve"> the </w:t>
      </w:r>
      <w:r w:rsidR="004369EB">
        <w:t>study, uncovered that 69% of those surveyed (156 people) felt that the criminal justice system did not fully understand stalking.</w:t>
      </w:r>
      <w:r w:rsidR="00CD4783">
        <w:t xml:space="preserve"> This is even more apparent when the behaviours criminalised under the PHA are conducted online, as</w:t>
      </w:r>
      <w:r w:rsidR="004369EB">
        <w:t xml:space="preserve"> reflected </w:t>
      </w:r>
      <w:r w:rsidR="00CD4783">
        <w:t xml:space="preserve">in </w:t>
      </w:r>
      <w:r w:rsidR="004369EB">
        <w:t>the work of Salter and Bryan</w:t>
      </w:r>
      <w:r w:rsidR="00CD4783">
        <w:t xml:space="preserve">: </w:t>
      </w:r>
    </w:p>
    <w:p w:rsidR="004369EB" w:rsidRDefault="002827C9" w:rsidP="004369EB">
      <w:pPr>
        <w:pStyle w:val="Newparagraph"/>
        <w:spacing w:line="240" w:lineRule="auto"/>
      </w:pPr>
      <w:r>
        <w:t>‘</w:t>
      </w:r>
      <w:r w:rsidR="004369EB">
        <w:t>There is also evidence that the concept of cyber harassment is not always</w:t>
      </w:r>
    </w:p>
    <w:p w:rsidR="003C5ECD" w:rsidRDefault="004369EB" w:rsidP="004369EB">
      <w:pPr>
        <w:pStyle w:val="Newparagraph"/>
        <w:spacing w:line="240" w:lineRule="auto"/>
        <w:ind w:left="720" w:firstLine="0"/>
      </w:pPr>
      <w:r>
        <w:t>taken seriously, with advice to victims being simply to change their email address or to switch off their computers.</w:t>
      </w:r>
      <w:r w:rsidR="002827C9">
        <w:t>’</w:t>
      </w:r>
      <w:r>
        <w:rPr>
          <w:rStyle w:val="FootnoteReference"/>
        </w:rPr>
        <w:footnoteReference w:id="64"/>
      </w:r>
    </w:p>
    <w:p w:rsidR="003C5ECD" w:rsidRDefault="003C5ECD" w:rsidP="00062D46">
      <w:pPr>
        <w:pStyle w:val="Newparagraph"/>
        <w:spacing w:line="240" w:lineRule="auto"/>
        <w:ind w:firstLine="0"/>
      </w:pPr>
    </w:p>
    <w:p w:rsidR="009D02F2" w:rsidRDefault="009D02F2" w:rsidP="000B69C0">
      <w:pPr>
        <w:pStyle w:val="Newparagraph"/>
        <w:ind w:firstLine="0"/>
      </w:pPr>
      <w:r>
        <w:t xml:space="preserve">Sadly, a response which is still given by some police forces: </w:t>
      </w:r>
    </w:p>
    <w:p w:rsidR="009D02F2" w:rsidRDefault="009D02F2" w:rsidP="009D02F2">
      <w:pPr>
        <w:pStyle w:val="Newparagraph"/>
        <w:spacing w:line="240" w:lineRule="auto"/>
        <w:ind w:left="720" w:firstLine="0"/>
      </w:pPr>
      <w:r>
        <w:t>“‘It wasn’t her (the perpetrator’s) fault for sending abusive Facebook messages, it was my fault for being on Facebook … And the only way to stop these messages is if I deactivate my Facebook account, and come off social media. I didn’t think that was very fair at all.’”</w:t>
      </w:r>
      <w:r>
        <w:rPr>
          <w:rStyle w:val="FootnoteReference"/>
        </w:rPr>
        <w:footnoteReference w:id="65"/>
      </w:r>
      <w:r>
        <w:t xml:space="preserve"> [sic]</w:t>
      </w:r>
    </w:p>
    <w:p w:rsidR="009D02F2" w:rsidRDefault="009D02F2" w:rsidP="009D02F2">
      <w:pPr>
        <w:pStyle w:val="Newparagraph"/>
        <w:spacing w:line="240" w:lineRule="auto"/>
        <w:ind w:firstLine="0"/>
      </w:pPr>
    </w:p>
    <w:p w:rsidR="009D02F2" w:rsidRDefault="009D02F2" w:rsidP="000B69C0">
      <w:pPr>
        <w:pStyle w:val="Newparagraph"/>
        <w:ind w:firstLine="0"/>
      </w:pPr>
      <w:r>
        <w:t>Victim blaming is not a new phenomenon within the justice system and is often used to reflect the crime onto the person who has reported the offence.</w:t>
      </w:r>
      <w:r>
        <w:rPr>
          <w:rStyle w:val="FootnoteReference"/>
        </w:rPr>
        <w:footnoteReference w:id="66"/>
      </w:r>
      <w:r>
        <w:t xml:space="preserve"> For instance, in relation to sexual assaults and rape, victims are often questioned on their choice to walk home alone in the dark.</w:t>
      </w:r>
      <w:r>
        <w:rPr>
          <w:rStyle w:val="FootnoteReference"/>
        </w:rPr>
        <w:footnoteReference w:id="67"/>
      </w:r>
      <w:r>
        <w:t xml:space="preserve"> In many cases, victims are even judged on their choice of clothing when the incident occurred.</w:t>
      </w:r>
      <w:r>
        <w:rPr>
          <w:rStyle w:val="FootnoteReference"/>
        </w:rPr>
        <w:footnoteReference w:id="68"/>
      </w:r>
      <w:r>
        <w:t xml:space="preserve"> This attitude has now been reflected towards complainants of social media abuse, who are often blamed for their experiences simply for having a social media profile.</w:t>
      </w:r>
    </w:p>
    <w:p w:rsidR="003C5ECD" w:rsidRDefault="004369EB" w:rsidP="00B91461">
      <w:pPr>
        <w:pStyle w:val="Newparagraph"/>
      </w:pPr>
      <w:r>
        <w:t xml:space="preserve">The lack of understanding by the criminal justice system, in relation to cyber harassment and cyberstalking is also mirrored in </w:t>
      </w:r>
      <w:r w:rsidR="00673150">
        <w:t>the justice systems</w:t>
      </w:r>
      <w:r>
        <w:t xml:space="preserve"> approach to cybercrime </w:t>
      </w:r>
      <w:r w:rsidR="000B69C0">
        <w:t>in general</w:t>
      </w:r>
      <w:r>
        <w:t>.</w:t>
      </w:r>
      <w:r>
        <w:rPr>
          <w:rStyle w:val="FootnoteReference"/>
        </w:rPr>
        <w:footnoteReference w:id="69"/>
      </w:r>
      <w:r w:rsidR="000B69C0">
        <w:t xml:space="preserve"> </w:t>
      </w:r>
      <w:r w:rsidR="00934D7F">
        <w:t>In 2012, an individual had his conviction for the sending of malicious communication</w:t>
      </w:r>
      <w:r w:rsidR="00B91461">
        <w:t>s</w:t>
      </w:r>
      <w:r w:rsidR="00934D7F">
        <w:t xml:space="preserve"> under</w:t>
      </w:r>
      <w:r w:rsidR="00DA2988">
        <w:t xml:space="preserve"> section 127 of</w:t>
      </w:r>
      <w:r w:rsidR="00934D7F">
        <w:t xml:space="preserve"> the CA overturned by the High Court</w:t>
      </w:r>
      <w:r w:rsidR="00B91461">
        <w:t>,</w:t>
      </w:r>
      <w:r w:rsidR="00934D7F">
        <w:t xml:space="preserve"> after it was concluded that a message he had sent on Twitter was indeed an </w:t>
      </w:r>
      <w:r w:rsidR="002827C9">
        <w:t>‘</w:t>
      </w:r>
      <w:r w:rsidR="00934D7F">
        <w:t>ill-thought out</w:t>
      </w:r>
      <w:r w:rsidR="00443F39">
        <w:t>-</w:t>
      </w:r>
      <w:r w:rsidR="00934D7F">
        <w:t>joke</w:t>
      </w:r>
      <w:r w:rsidR="002827C9">
        <w:t>’</w:t>
      </w:r>
      <w:r w:rsidR="00934D7F">
        <w:t xml:space="preserve"> as opposed to a criminal offence.</w:t>
      </w:r>
      <w:r w:rsidR="00934D7F">
        <w:rPr>
          <w:rStyle w:val="FootnoteReference"/>
        </w:rPr>
        <w:footnoteReference w:id="70"/>
      </w:r>
      <w:r w:rsidR="00934D7F">
        <w:t xml:space="preserve"> </w:t>
      </w:r>
      <w:r w:rsidR="00673150">
        <w:t xml:space="preserve">Paul </w:t>
      </w:r>
      <w:r w:rsidR="00934D7F">
        <w:t>Chambers, following the closure of Doncaster Robin Hood Airport</w:t>
      </w:r>
      <w:r w:rsidR="00B91461">
        <w:t xml:space="preserve">, took to Twitter to vent his frustration at not being able to fly to Northern Ireland to meet with his girlfriend: </w:t>
      </w:r>
      <w:r w:rsidR="002827C9">
        <w:t>‘</w:t>
      </w:r>
      <w:r w:rsidR="00B91461" w:rsidRPr="00B91461">
        <w:t xml:space="preserve">Crap! Robin Hood Airport is closed. You’ve </w:t>
      </w:r>
      <w:r w:rsidR="00CD4783" w:rsidRPr="00B91461">
        <w:t xml:space="preserve">[sic] </w:t>
      </w:r>
      <w:r w:rsidR="00B91461" w:rsidRPr="00B91461">
        <w:t>got week and a bit to get your shit together otherwise I’m blowing the airport sky high</w:t>
      </w:r>
      <w:r w:rsidR="00B91461">
        <w:t>.</w:t>
      </w:r>
      <w:r w:rsidR="002827C9">
        <w:t>’</w:t>
      </w:r>
      <w:r w:rsidR="00B91461">
        <w:t xml:space="preserve"> At the court of first instance he was convicted and fined £385, along with being ordered to pay £600 in court fees. Following this case, and </w:t>
      </w:r>
      <w:r w:rsidR="00CD4783">
        <w:t>others</w:t>
      </w:r>
      <w:r w:rsidR="00B91461">
        <w:t>,</w:t>
      </w:r>
      <w:r w:rsidR="00B91461" w:rsidRPr="00B91461">
        <w:rPr>
          <w:rStyle w:val="FootnoteReference"/>
        </w:rPr>
        <w:t xml:space="preserve"> </w:t>
      </w:r>
      <w:r w:rsidR="00B91461">
        <w:rPr>
          <w:rStyle w:val="FootnoteReference"/>
        </w:rPr>
        <w:footnoteReference w:id="71"/>
      </w:r>
      <w:r w:rsidR="00B91461">
        <w:t xml:space="preserve"> </w:t>
      </w:r>
      <w:r w:rsidR="000B69C0">
        <w:t>guidelines were created for matters concerning conduct carried out online</w:t>
      </w:r>
      <w:r w:rsidR="00673150">
        <w:t xml:space="preserve"> via the use of social media. </w:t>
      </w:r>
      <w:r w:rsidR="000B69C0">
        <w:t xml:space="preserve"> </w:t>
      </w:r>
    </w:p>
    <w:p w:rsidR="009E7413" w:rsidRDefault="000B69C0" w:rsidP="000B69C0">
      <w:pPr>
        <w:pStyle w:val="Newparagraph"/>
        <w:ind w:firstLine="0"/>
      </w:pPr>
      <w:r>
        <w:tab/>
        <w:t>The guidelines were made publicly available in 2013, later being updated in 2016</w:t>
      </w:r>
      <w:r w:rsidR="00975217">
        <w:t xml:space="preserve"> and 2018</w:t>
      </w:r>
      <w:r>
        <w:t xml:space="preserve">. The purpose of the guidelines was </w:t>
      </w:r>
      <w:r w:rsidR="00506327">
        <w:t>to</w:t>
      </w:r>
      <w:r>
        <w:t xml:space="preserve"> </w:t>
      </w:r>
      <w:r w:rsidR="002827C9">
        <w:t>‘</w:t>
      </w:r>
      <w:r w:rsidR="00506327" w:rsidRPr="00506327">
        <w:t>give clear advice to prosecutors who have been asked either for a charging decision or for early advice to the police …</w:t>
      </w:r>
      <w:r w:rsidR="002827C9">
        <w:t>’</w:t>
      </w:r>
      <w:r w:rsidR="00975217">
        <w:t>.</w:t>
      </w:r>
      <w:r w:rsidR="00506327">
        <w:rPr>
          <w:rStyle w:val="FootnoteReference"/>
        </w:rPr>
        <w:footnoteReference w:id="72"/>
      </w:r>
      <w:r w:rsidR="009E7413">
        <w:t xml:space="preserve"> This was advocated by the then Director of Public Prosecutions, Keir Starmer QC: </w:t>
      </w:r>
    </w:p>
    <w:p w:rsidR="009E7413" w:rsidRDefault="002827C9" w:rsidP="009E7413">
      <w:pPr>
        <w:pStyle w:val="Newparagraph"/>
        <w:spacing w:line="240" w:lineRule="auto"/>
        <w:ind w:left="720" w:firstLine="0"/>
      </w:pPr>
      <w:r>
        <w:t>‘</w:t>
      </w:r>
      <w:r w:rsidR="009E7413">
        <w:t>The guidelines will help prosecutors to make fair and consistent decisions to prosecute in those cases that clearly require robust prosecution in accordance with the Code for Crown Prosecutors …</w:t>
      </w:r>
      <w:r>
        <w:t>’</w:t>
      </w:r>
      <w:r w:rsidR="009E7413">
        <w:rPr>
          <w:rStyle w:val="FootnoteReference"/>
        </w:rPr>
        <w:footnoteReference w:id="73"/>
      </w:r>
      <w:r w:rsidR="009E7413">
        <w:br/>
      </w:r>
    </w:p>
    <w:p w:rsidR="000B69C0" w:rsidRDefault="00506327" w:rsidP="000B69C0">
      <w:pPr>
        <w:pStyle w:val="Newparagraph"/>
        <w:ind w:firstLine="0"/>
      </w:pPr>
      <w:r>
        <w:t>The guidelines</w:t>
      </w:r>
      <w:r w:rsidR="00653583">
        <w:t xml:space="preserve"> themselves,</w:t>
      </w:r>
      <w:r>
        <w:t xml:space="preserve"> contain information about harassment and stalking, with reference made throughout the document that </w:t>
      </w:r>
      <w:r w:rsidR="009D0F27">
        <w:t>‘</w:t>
      </w:r>
      <w:r>
        <w:t>prosecutors should consider the facts of the case carefully, to determine whether the evidence establishes the offences of harassment or stalking.</w:t>
      </w:r>
      <w:r w:rsidR="009D0F27">
        <w:t>’</w:t>
      </w:r>
      <w:r>
        <w:rPr>
          <w:rStyle w:val="FootnoteReference"/>
        </w:rPr>
        <w:footnoteReference w:id="74"/>
      </w:r>
      <w:r>
        <w:t xml:space="preserve"> Yet the</w:t>
      </w:r>
      <w:r w:rsidR="00673150">
        <w:t>re</w:t>
      </w:r>
      <w:r>
        <w:t xml:space="preserve"> continues to be difficulties by both the police and the CPS when it comes to harassment and stalking online. </w:t>
      </w:r>
    </w:p>
    <w:p w:rsidR="00CE14A4" w:rsidRDefault="00CE14A4" w:rsidP="004E75FB">
      <w:pPr>
        <w:pStyle w:val="Newparagraph"/>
      </w:pPr>
      <w:r>
        <w:t xml:space="preserve">In June 2017, Molly McLaren ended her seven month relationship with Joshua Stimpson, </w:t>
      </w:r>
      <w:r w:rsidR="00B757B9">
        <w:t>after having</w:t>
      </w:r>
      <w:r>
        <w:t xml:space="preserve"> concerns about his controlling </w:t>
      </w:r>
      <w:r w:rsidR="004E75FB">
        <w:t>behaviour</w:t>
      </w:r>
      <w:r>
        <w:t xml:space="preserve">. Within days </w:t>
      </w:r>
      <w:r w:rsidR="004E75FB">
        <w:t>Ms McLaren</w:t>
      </w:r>
      <w:r>
        <w:t xml:space="preserve"> had to approach her local police force after Mr Stimpson started to harass her </w:t>
      </w:r>
      <w:r w:rsidRPr="0065516E">
        <w:t>via</w:t>
      </w:r>
      <w:r>
        <w:t xml:space="preserve"> </w:t>
      </w:r>
      <w:r w:rsidR="000E33A1">
        <w:t xml:space="preserve">the social networking site, </w:t>
      </w:r>
      <w:r>
        <w:t>Facebook.</w:t>
      </w:r>
      <w:r w:rsidR="004E75FB">
        <w:t xml:space="preserve"> </w:t>
      </w:r>
      <w:r>
        <w:t>She made comments to her friends at the time that he ha</w:t>
      </w:r>
      <w:r w:rsidR="000E33A1">
        <w:t>d</w:t>
      </w:r>
      <w:r w:rsidR="00B757B9">
        <w:t xml:space="preserve"> </w:t>
      </w:r>
      <w:r w:rsidR="009D0F27">
        <w:t>‘</w:t>
      </w:r>
      <w:r w:rsidR="00B757B9">
        <w:t>lost the plot</w:t>
      </w:r>
      <w:r w:rsidR="009D0F27">
        <w:t>’</w:t>
      </w:r>
      <w:r>
        <w:t xml:space="preserve"> and </w:t>
      </w:r>
      <w:r w:rsidR="000E33A1">
        <w:t xml:space="preserve">she </w:t>
      </w:r>
      <w:r>
        <w:t>was in fear of her own life.</w:t>
      </w:r>
      <w:r w:rsidR="004E75FB">
        <w:rPr>
          <w:rStyle w:val="FootnoteReference"/>
        </w:rPr>
        <w:footnoteReference w:id="75"/>
      </w:r>
      <w:r>
        <w:t xml:space="preserve"> Despite, </w:t>
      </w:r>
      <w:r w:rsidR="004E75FB">
        <w:t>her</w:t>
      </w:r>
      <w:r>
        <w:t xml:space="preserve"> concerns for her own welfare, Mr Stimpson </w:t>
      </w:r>
      <w:r w:rsidR="000E33A1">
        <w:t xml:space="preserve">simply </w:t>
      </w:r>
      <w:r>
        <w:t xml:space="preserve">received a phone call from </w:t>
      </w:r>
      <w:r w:rsidR="000E33A1">
        <w:t>officers, warning him about his behaviour. A week after the phone call,</w:t>
      </w:r>
      <w:r w:rsidR="004E75FB">
        <w:t xml:space="preserve"> </w:t>
      </w:r>
      <w:r>
        <w:t>Mr Stimpson stabbed Molly 75 times outside a gym in broad daylight, resulting in the force reporting itself to the Independent Office for Police Misconduct.</w:t>
      </w:r>
      <w:r w:rsidR="00F1097C">
        <w:rPr>
          <w:rStyle w:val="FootnoteReference"/>
        </w:rPr>
        <w:footnoteReference w:id="76"/>
      </w:r>
      <w:r>
        <w:t xml:space="preserve"> </w:t>
      </w:r>
    </w:p>
    <w:p w:rsidR="00CE14A4" w:rsidRDefault="00CE14A4" w:rsidP="004E75FB">
      <w:pPr>
        <w:pStyle w:val="Newparagraph"/>
      </w:pPr>
      <w:r>
        <w:t xml:space="preserve">Sadly, </w:t>
      </w:r>
      <w:r w:rsidR="00410BFD">
        <w:t xml:space="preserve">the experiences suffered by </w:t>
      </w:r>
      <w:r w:rsidR="004E75FB">
        <w:t xml:space="preserve">Ms </w:t>
      </w:r>
      <w:r w:rsidR="00410BFD">
        <w:t xml:space="preserve">McLaren </w:t>
      </w:r>
      <w:r w:rsidR="006B28F3">
        <w:t>have</w:t>
      </w:r>
      <w:r>
        <w:t xml:space="preserve"> not</w:t>
      </w:r>
      <w:r w:rsidR="006B28F3">
        <w:t xml:space="preserve"> been</w:t>
      </w:r>
      <w:r>
        <w:t xml:space="preserve"> in the minority. Lily Allen, a </w:t>
      </w:r>
      <w:r w:rsidR="00B757B9">
        <w:t xml:space="preserve">well-known </w:t>
      </w:r>
      <w:r>
        <w:t>singer, found herself a victim of online stalking</w:t>
      </w:r>
      <w:r w:rsidR="000E33A1">
        <w:t>, in 2009.</w:t>
      </w:r>
      <w:r w:rsidR="00410BFD">
        <w:t xml:space="preserve"> The stalking started</w:t>
      </w:r>
      <w:r>
        <w:t xml:space="preserve"> with a tweet being sent to her by a stranger</w:t>
      </w:r>
      <w:r w:rsidR="000E33A1">
        <w:t>. This</w:t>
      </w:r>
      <w:r>
        <w:t xml:space="preserve"> end</w:t>
      </w:r>
      <w:r w:rsidR="000E33A1">
        <w:t>ed</w:t>
      </w:r>
      <w:r>
        <w:t xml:space="preserve"> in the </w:t>
      </w:r>
      <w:r w:rsidR="00410BFD">
        <w:t>perpetrator</w:t>
      </w:r>
      <w:r>
        <w:t xml:space="preserve"> breaking into her home whilst she and her children slept</w:t>
      </w:r>
      <w:r w:rsidR="0072700C">
        <w:t xml:space="preserve">. </w:t>
      </w:r>
      <w:r w:rsidR="00B757B9">
        <w:t>H</w:t>
      </w:r>
      <w:r w:rsidR="0072700C">
        <w:t>er stalker had the</w:t>
      </w:r>
      <w:r>
        <w:t xml:space="preserve"> intention to cause her</w:t>
      </w:r>
      <w:r w:rsidR="0072700C">
        <w:t xml:space="preserve"> some form of</w:t>
      </w:r>
      <w:r>
        <w:t xml:space="preserve"> harm</w:t>
      </w:r>
      <w:r w:rsidR="0072700C">
        <w:t xml:space="preserve"> that evening but</w:t>
      </w:r>
      <w:r w:rsidR="00F12336">
        <w:t>,</w:t>
      </w:r>
      <w:r w:rsidR="0072700C">
        <w:t xml:space="preserve"> was fortunately interrupted by a friend of Ms Allen’s who was staying with her at the time</w:t>
      </w:r>
      <w:r>
        <w:t>.</w:t>
      </w:r>
      <w:r w:rsidR="00410BFD">
        <w:rPr>
          <w:rStyle w:val="FootnoteReference"/>
        </w:rPr>
        <w:footnoteReference w:id="77"/>
      </w:r>
      <w:r>
        <w:t xml:space="preserve"> Like </w:t>
      </w:r>
      <w:r w:rsidR="00410BFD">
        <w:t>Ms McLaren</w:t>
      </w:r>
      <w:r>
        <w:t>, Ms Allen had reported the behaviour to her local police force</w:t>
      </w:r>
      <w:r w:rsidR="0072700C">
        <w:t>, however, they were</w:t>
      </w:r>
      <w:r>
        <w:t xml:space="preserve"> dismissive of her </w:t>
      </w:r>
      <w:r w:rsidR="0072700C">
        <w:t>version of events</w:t>
      </w:r>
      <w:r>
        <w:t xml:space="preserve">: </w:t>
      </w:r>
    </w:p>
    <w:p w:rsidR="007F7241" w:rsidRDefault="009D0F27" w:rsidP="00F921DF">
      <w:pPr>
        <w:pStyle w:val="Newparagraph"/>
        <w:spacing w:line="240" w:lineRule="auto"/>
        <w:ind w:left="720" w:firstLine="0"/>
      </w:pPr>
      <w:r>
        <w:t>‘</w:t>
      </w:r>
      <w:r w:rsidR="00CE14A4">
        <w:t>Calling the police back the next day, Allen told them she thought the intruder could be the same man</w:t>
      </w:r>
      <w:r w:rsidR="0065516E">
        <w:t xml:space="preserve"> who had been threatening her. </w:t>
      </w:r>
      <w:r>
        <w:t>“</w:t>
      </w:r>
      <w:r w:rsidR="00CE14A4">
        <w:t>But they were uncomfortable with the idea. Then I realised my handbag was missing and the change in atmosphere was palpable,</w:t>
      </w:r>
      <w:r w:rsidR="00064C9F">
        <w:t xml:space="preserve"> it was like a sigh of relief: </w:t>
      </w:r>
      <w:r w:rsidR="00CE14A4">
        <w:t>now it’</w:t>
      </w:r>
      <w:r w:rsidR="00064C9F">
        <w:t>s burglary – we understand that</w:t>
      </w:r>
      <w:r>
        <w:t>”</w:t>
      </w:r>
      <w:r w:rsidR="00CE14A4">
        <w:t>.</w:t>
      </w:r>
      <w:r>
        <w:t>’</w:t>
      </w:r>
      <w:r w:rsidR="00410BFD">
        <w:rPr>
          <w:rStyle w:val="FootnoteReference"/>
        </w:rPr>
        <w:footnoteReference w:id="78"/>
      </w:r>
      <w:r w:rsidR="00F12336">
        <w:br/>
      </w:r>
    </w:p>
    <w:p w:rsidR="00875C06" w:rsidRDefault="00875C06" w:rsidP="007F7241">
      <w:pPr>
        <w:pStyle w:val="Newparagraph"/>
        <w:ind w:firstLine="0"/>
      </w:pPr>
      <w:r>
        <w:tab/>
      </w:r>
      <w:r w:rsidR="005E4DD5">
        <w:t>T</w:t>
      </w:r>
      <w:r>
        <w:t xml:space="preserve">he failures of the criminal justice system to take online conduct more seriously is nothing new. </w:t>
      </w:r>
      <w:r w:rsidRPr="00875C06">
        <w:t>Her Majesty’s Inspectorate of Constabulary</w:t>
      </w:r>
      <w:r>
        <w:t>, in 2015, conducted a report examining the policing of digital crime. Here, they raised concerns that the police were not fully recognising the impact of digital crime on victims:</w:t>
      </w:r>
    </w:p>
    <w:p w:rsidR="00875C06" w:rsidRDefault="009D0F27" w:rsidP="00875C06">
      <w:pPr>
        <w:pStyle w:val="Newparagraph"/>
        <w:spacing w:line="240" w:lineRule="auto"/>
      </w:pPr>
      <w:r>
        <w:t>‘</w:t>
      </w:r>
      <w:r w:rsidR="00875C06">
        <w:t>We found that some police officers and staff were dismissive of complaints</w:t>
      </w:r>
    </w:p>
    <w:p w:rsidR="00875C06" w:rsidRDefault="00875C06" w:rsidP="00875C06">
      <w:pPr>
        <w:pStyle w:val="Newparagraph"/>
        <w:spacing w:line="240" w:lineRule="auto"/>
      </w:pPr>
      <w:r>
        <w:t>about the misuse of social media sites. We were met with comments such as:</w:t>
      </w:r>
    </w:p>
    <w:p w:rsidR="00875C06" w:rsidRDefault="009D0F27" w:rsidP="000A0406">
      <w:pPr>
        <w:pStyle w:val="Newparagraph"/>
        <w:spacing w:line="240" w:lineRule="auto"/>
        <w:ind w:left="720" w:firstLine="0"/>
      </w:pPr>
      <w:r>
        <w:t>“</w:t>
      </w:r>
      <w:r w:rsidR="00875C06">
        <w:t>[w]hat do they [the victim] expect us to do about it?</w:t>
      </w:r>
      <w:r>
        <w:t>”</w:t>
      </w:r>
      <w:r w:rsidR="00875C06">
        <w:t xml:space="preserve"> </w:t>
      </w:r>
      <w:r>
        <w:t>“</w:t>
      </w:r>
      <w:r w:rsidR="00875C06">
        <w:t>I do not use social media; how am I supposed to investigate it?’”</w:t>
      </w:r>
      <w:r w:rsidR="00875C06">
        <w:rPr>
          <w:rStyle w:val="FootnoteReference"/>
        </w:rPr>
        <w:footnoteReference w:id="79"/>
      </w:r>
      <w:r w:rsidR="00875C06">
        <w:t xml:space="preserve"> </w:t>
      </w:r>
      <w:r w:rsidR="000A0406">
        <w:br/>
      </w:r>
    </w:p>
    <w:p w:rsidR="000A0406" w:rsidRDefault="00622C11" w:rsidP="007F7241">
      <w:pPr>
        <w:pStyle w:val="Newparagraph"/>
        <w:ind w:firstLine="0"/>
      </w:pPr>
      <w:r>
        <w:t>Three</w:t>
      </w:r>
      <w:r w:rsidR="000A0406">
        <w:t xml:space="preserve"> years later, we are seeing similar attitudes to harassment and stalking conducted online.  </w:t>
      </w:r>
    </w:p>
    <w:p w:rsidR="009E7413" w:rsidRDefault="009E7413" w:rsidP="00EE62EC">
      <w:pPr>
        <w:pStyle w:val="Newparagraph"/>
      </w:pPr>
      <w:r>
        <w:t>In March 2017, Gemma</w:t>
      </w:r>
      <w:r>
        <w:rPr>
          <w:rStyle w:val="FootnoteReference"/>
        </w:rPr>
        <w:footnoteReference w:id="80"/>
      </w:r>
      <w:r>
        <w:t xml:space="preserve"> received an anonymous message online, containing explicit material.</w:t>
      </w:r>
      <w:r>
        <w:rPr>
          <w:rStyle w:val="FootnoteReference"/>
        </w:rPr>
        <w:footnoteReference w:id="81"/>
      </w:r>
      <w:r>
        <w:t xml:space="preserve"> The message was sent from an account she did not recognise via Facebook. Following the first message being sent, the account was deactivated. However, soon after, new social media profiles emerged continuing the abuse against her: </w:t>
      </w:r>
      <w:r w:rsidR="009D0F27">
        <w:t>‘</w:t>
      </w:r>
      <w:r>
        <w:t>The messages included one telling me I should not be afraid of dark alleyways because he preferred the daylight.</w:t>
      </w:r>
      <w:r w:rsidR="009D0F27">
        <w:t>’</w:t>
      </w:r>
      <w:r>
        <w:t xml:space="preserve"> As a consequence of the constant abuse, Gemma reported her online experience</w:t>
      </w:r>
      <w:r w:rsidR="00F12336">
        <w:t>s</w:t>
      </w:r>
      <w:r>
        <w:t xml:space="preserve"> to her local police forc</w:t>
      </w:r>
      <w:r w:rsidR="00443F39">
        <w:t>e</w:t>
      </w:r>
      <w:r>
        <w:t xml:space="preserve"> but was informed, at first, that there was little they could do because of the multiple accounts and because the perpetrator was using a proxy server</w:t>
      </w:r>
      <w:r w:rsidR="000A0406">
        <w:t xml:space="preserve">. </w:t>
      </w:r>
      <w:r>
        <w:t xml:space="preserve"> Over the course of a few months, she continued to receive abusive messages, with little help given to her from the criminal justice system: </w:t>
      </w:r>
      <w:r w:rsidR="009D0F27">
        <w:t>‘</w:t>
      </w:r>
      <w:r>
        <w:t>The dismissal by the police made me feel even more isolated.</w:t>
      </w:r>
      <w:r w:rsidR="009D0F27">
        <w:t>’</w:t>
      </w:r>
      <w:r>
        <w:rPr>
          <w:rStyle w:val="FootnoteReference"/>
        </w:rPr>
        <w:footnoteReference w:id="82"/>
      </w:r>
      <w:r>
        <w:t xml:space="preserve">   </w:t>
      </w:r>
    </w:p>
    <w:p w:rsidR="009E7413" w:rsidRDefault="009E7413" w:rsidP="009E7413">
      <w:pPr>
        <w:pStyle w:val="Newparagraph"/>
      </w:pPr>
      <w:r>
        <w:t>The report conducted by the Criminal Justice Inspectorates and HM Crown Prosecution Service Inspectorate</w:t>
      </w:r>
      <w:r w:rsidR="00F12336">
        <w:t xml:space="preserve"> in 2017,</w:t>
      </w:r>
      <w:r>
        <w:t xml:space="preserve"> goes further to find a failure by some police forces to link all conduct undertaken by a defendant together, despite the social media prosecution guidelines empathising the importance of this: </w:t>
      </w:r>
    </w:p>
    <w:p w:rsidR="009E7413" w:rsidRDefault="009D0F27" w:rsidP="009E7413">
      <w:pPr>
        <w:pStyle w:val="Newparagraph"/>
        <w:spacing w:line="240" w:lineRule="auto"/>
        <w:ind w:left="720" w:firstLine="0"/>
      </w:pPr>
      <w:r>
        <w:t>‘</w:t>
      </w:r>
      <w:r w:rsidR="009E7413">
        <w:t>Where an individual receives unwanted communications from another person via social media in addition to other unwanted behaviour, all the behaviour should be considered together in the round by the prosecutor when determining whether or not a course of conduct is made out.</w:t>
      </w:r>
      <w:r>
        <w:t>’</w:t>
      </w:r>
      <w:r w:rsidR="009E7413">
        <w:rPr>
          <w:rStyle w:val="FootnoteReference"/>
        </w:rPr>
        <w:footnoteReference w:id="83"/>
      </w:r>
      <w:r w:rsidR="009E7413">
        <w:t xml:space="preserve">  </w:t>
      </w:r>
      <w:r w:rsidR="009E7413">
        <w:br/>
      </w:r>
    </w:p>
    <w:p w:rsidR="009E7413" w:rsidRDefault="009E7413" w:rsidP="009E7413">
      <w:pPr>
        <w:pStyle w:val="Newparagraph"/>
        <w:ind w:firstLine="0"/>
      </w:pPr>
      <w:r>
        <w:t>The guidelines make numerous remarks reminding prosecutors to take into account the PHA, yet there has been a drop-in prosecutions under this Act of Parliament, despite an increase in</w:t>
      </w:r>
      <w:r w:rsidR="006B28F3">
        <w:t xml:space="preserve"> reports made to police concerning</w:t>
      </w:r>
      <w:r>
        <w:t xml:space="preserve"> abuse conducted online.</w:t>
      </w:r>
      <w:r>
        <w:rPr>
          <w:rStyle w:val="FootnoteReference"/>
        </w:rPr>
        <w:footnoteReference w:id="84"/>
      </w:r>
      <w:r>
        <w:t xml:space="preserve"> </w:t>
      </w:r>
    </w:p>
    <w:p w:rsidR="001E7461" w:rsidRDefault="001E7461" w:rsidP="001E7461">
      <w:pPr>
        <w:pStyle w:val="Heading1"/>
      </w:pPr>
      <w:r>
        <w:t xml:space="preserve">Protection from Harassment Act: the future </w:t>
      </w:r>
    </w:p>
    <w:p w:rsidR="00EB74F2" w:rsidRDefault="001E7461" w:rsidP="00EB74F2">
      <w:pPr>
        <w:pStyle w:val="Newparagraph"/>
      </w:pPr>
      <w:r>
        <w:t>The criminal justice system</w:t>
      </w:r>
      <w:r w:rsidR="00064C9F">
        <w:t>, society</w:t>
      </w:r>
      <w:r w:rsidR="00B757B9">
        <w:t>,</w:t>
      </w:r>
      <w:r w:rsidR="00064C9F">
        <w:t xml:space="preserve"> and social networking sites are struggling to keep pace with the advancements of changing technology. The</w:t>
      </w:r>
      <w:r w:rsidR="005E4DD5">
        <w:t xml:space="preserve"> example</w:t>
      </w:r>
      <w:r w:rsidR="00287051">
        <w:t>s</w:t>
      </w:r>
      <w:r w:rsidR="005E4DD5">
        <w:t xml:space="preserve"> above </w:t>
      </w:r>
      <w:r w:rsidR="00287051">
        <w:t>illustrate</w:t>
      </w:r>
      <w:r w:rsidR="00064C9F">
        <w:t xml:space="preserve"> a failu</w:t>
      </w:r>
      <w:r w:rsidR="00FF5F46">
        <w:t xml:space="preserve">re by the police and the CPS to </w:t>
      </w:r>
      <w:r>
        <w:t xml:space="preserve">link online abusive content to the behaviours </w:t>
      </w:r>
      <w:r w:rsidR="006B7AA9">
        <w:t xml:space="preserve">of </w:t>
      </w:r>
      <w:r>
        <w:t xml:space="preserve">stalking and harassment, resulting in devastating consequences for some individuals. Clearly more needs to be done to protect victims </w:t>
      </w:r>
      <w:r w:rsidR="00B757B9">
        <w:t>from</w:t>
      </w:r>
      <w:r>
        <w:t xml:space="preserve"> this form of abuse</w:t>
      </w:r>
      <w:r w:rsidR="00287051">
        <w:t xml:space="preserve">, from changes in the legal system to better education on the impact of social media. Recently, the government has </w:t>
      </w:r>
      <w:r w:rsidR="00EB74F2">
        <w:t>implemented compulsory education for 5 to 16 year olds in relation to online safety and how to use the internet respectfully. The purpose of a compulsory national computer curriculum is to ensure:</w:t>
      </w:r>
    </w:p>
    <w:p w:rsidR="00287051" w:rsidRDefault="009D0F27" w:rsidP="00EB74F2">
      <w:pPr>
        <w:pStyle w:val="Newparagraph"/>
        <w:spacing w:line="240" w:lineRule="auto"/>
        <w:ind w:left="720" w:firstLine="0"/>
      </w:pPr>
      <w:r>
        <w:t>‘</w:t>
      </w:r>
      <w:r w:rsidR="00EB74F2">
        <w:t>all young people are equipped to have healthy and respectful relationships in both the online and offline world,</w:t>
      </w:r>
      <w:r w:rsidR="00F94E36">
        <w:t xml:space="preserve"> </w:t>
      </w:r>
      <w:r w:rsidR="00EB74F2">
        <w:t>and leave school with the knowledge to prepare them for adult life.</w:t>
      </w:r>
      <w:r>
        <w:t>’</w:t>
      </w:r>
      <w:r w:rsidR="00306BDE">
        <w:rPr>
          <w:rStyle w:val="FootnoteReference"/>
        </w:rPr>
        <w:footnoteReference w:id="85"/>
      </w:r>
      <w:r w:rsidR="00EB74F2">
        <w:br/>
      </w:r>
    </w:p>
    <w:p w:rsidR="001E7461" w:rsidRDefault="00EB74F2" w:rsidP="00DA2988">
      <w:pPr>
        <w:pStyle w:val="Newparagraph"/>
      </w:pPr>
      <w:r>
        <w:t xml:space="preserve">Whilst compulsory education is a positive step forward, further emphasis has been placed </w:t>
      </w:r>
      <w:r w:rsidR="001E7461">
        <w:t xml:space="preserve">on social networking sites to do more to stop online abuse: </w:t>
      </w:r>
    </w:p>
    <w:p w:rsidR="001E7461" w:rsidRDefault="009D0F27" w:rsidP="001E7461">
      <w:pPr>
        <w:pStyle w:val="Newparagraph"/>
        <w:spacing w:line="240" w:lineRule="auto"/>
        <w:ind w:left="720" w:firstLine="0"/>
      </w:pPr>
      <w:r>
        <w:t>‘</w:t>
      </w:r>
      <w:r w:rsidR="001E7461">
        <w:t>The government cannot keep citizens safe on its own, everyone has a role here: government, industry, parents, civil society and citizens. In particular, we need the technical understanding and expertise of the industry. This is why we will work in partnership with social media and other technology companies, working with them to provide safer online platforms for their users and providing support</w:t>
      </w:r>
      <w:r w:rsidR="00FF5F46">
        <w:t xml:space="preserve"> to do this where it is needed.</w:t>
      </w:r>
      <w:r>
        <w:t>’</w:t>
      </w:r>
      <w:r w:rsidR="001E7461">
        <w:rPr>
          <w:rStyle w:val="FootnoteReference"/>
        </w:rPr>
        <w:footnoteReference w:id="86"/>
      </w:r>
      <w:r w:rsidR="001E7461">
        <w:t xml:space="preserve"> </w:t>
      </w:r>
      <w:r w:rsidR="001E7461">
        <w:br/>
      </w:r>
    </w:p>
    <w:p w:rsidR="001E7461" w:rsidRDefault="001E7461" w:rsidP="001E7461">
      <w:pPr>
        <w:pStyle w:val="Newparagraph"/>
        <w:ind w:firstLine="0"/>
      </w:pPr>
      <w:r>
        <w:t>Currently, under European Law, social media networks, are protected under the e-Commerce Directive (2000/31/EC), as being regarded as hosts rather than publishers</w:t>
      </w:r>
      <w:r w:rsidR="006D57B9">
        <w:t xml:space="preserve">, when certain </w:t>
      </w:r>
      <w:r w:rsidR="005E1EBA">
        <w:t>criterions</w:t>
      </w:r>
      <w:r w:rsidR="006D57B9">
        <w:t xml:space="preserve"> are met</w:t>
      </w:r>
      <w:r w:rsidR="009278A2">
        <w:t>.</w:t>
      </w:r>
      <w:r w:rsidR="000F46F2">
        <w:t xml:space="preserve"> Put s</w:t>
      </w:r>
      <w:r>
        <w:t xml:space="preserve">imply, </w:t>
      </w:r>
      <w:r w:rsidR="006747B3">
        <w:t>social media companies are only under an obligation to remove content from their sites if they have actual knowledge of its existence. Here, in some Members of States, the court will consider how the Internet Society Service provider was made aware of the illegal content and whether the information given to the provider was sufficient to constitute knowledge.</w:t>
      </w:r>
      <w:r w:rsidR="006747B3">
        <w:rPr>
          <w:rStyle w:val="FootnoteReference"/>
        </w:rPr>
        <w:footnoteReference w:id="87"/>
      </w:r>
      <w:r w:rsidR="006747B3">
        <w:t xml:space="preserve"> If sufficient knowledge is given, service providers must </w:t>
      </w:r>
      <w:r w:rsidR="00DA2988">
        <w:t xml:space="preserve">then </w:t>
      </w:r>
      <w:r w:rsidR="006747B3">
        <w:t xml:space="preserve">act ‘expeditiously’ to remove such content from its site. Despite these obligations, </w:t>
      </w:r>
      <w:r>
        <w:t>social media companies are slow in their response to the removal of online abuse, as exposed in the work of the Fawcett Society. In August 2017, the Fawcett Society reported several abusive tweets to Twitter, including threats of rape, racist commentary and misogynist</w:t>
      </w:r>
      <w:r w:rsidR="006B7AA9">
        <w:t>ic</w:t>
      </w:r>
      <w:r>
        <w:t xml:space="preserve"> abuse. A week after these comments were reported</w:t>
      </w:r>
      <w:r w:rsidR="00FF5F46">
        <w:t xml:space="preserve"> to Twitter</w:t>
      </w:r>
      <w:r>
        <w:t>, they were still publicly viewab</w:t>
      </w:r>
      <w:r w:rsidR="00FF5F46">
        <w:t>le, this included a video of an apparent rape.</w:t>
      </w:r>
      <w:r w:rsidR="00517440">
        <w:rPr>
          <w:rStyle w:val="FootnoteReference"/>
        </w:rPr>
        <w:footnoteReference w:id="88"/>
      </w:r>
      <w:r>
        <w:t xml:space="preserve"> </w:t>
      </w:r>
    </w:p>
    <w:p w:rsidR="001E7461" w:rsidRDefault="001E7461" w:rsidP="00517440">
      <w:pPr>
        <w:pStyle w:val="Newparagraph"/>
      </w:pPr>
      <w:r>
        <w:t>The Home Affairs Committee, in 2017, held a review examining hate crime and extremist content online.</w:t>
      </w:r>
      <w:r w:rsidR="00517440">
        <w:rPr>
          <w:rStyle w:val="FootnoteReference"/>
        </w:rPr>
        <w:footnoteReference w:id="89"/>
      </w:r>
      <w:r w:rsidR="00FF5F46">
        <w:t xml:space="preserve"> </w:t>
      </w:r>
      <w:r>
        <w:t>Representatives from Facebook, Twitter and YouTube</w:t>
      </w:r>
      <w:r w:rsidR="00517440">
        <w:rPr>
          <w:rStyle w:val="FootnoteReference"/>
        </w:rPr>
        <w:footnoteReference w:id="90"/>
      </w:r>
      <w:r>
        <w:t xml:space="preserve"> attended the committee meeting to respond to questions posed to them by MPs about their role in containing abusive and extremist content on their sites, where they were heavily </w:t>
      </w:r>
      <w:r w:rsidR="00517440">
        <w:t xml:space="preserve">criticised: </w:t>
      </w:r>
    </w:p>
    <w:p w:rsidR="001E7461" w:rsidRDefault="009D0F27" w:rsidP="00517440">
      <w:pPr>
        <w:pStyle w:val="Newparagraph"/>
        <w:spacing w:line="240" w:lineRule="auto"/>
        <w:ind w:left="720" w:firstLine="0"/>
      </w:pPr>
      <w:r>
        <w:t>‘</w:t>
      </w:r>
      <w:r w:rsidR="001E7461">
        <w:t>The biggest companies have been repeatedly urged by Governments, police forces, community leaders and the public, to clean up their act, and to respond quickly and proactively to identify and remove illegal content. They h</w:t>
      </w:r>
      <w:r w:rsidR="00FF5F46">
        <w:t>ave repeatedly failed to do so.</w:t>
      </w:r>
      <w:r>
        <w:t>’</w:t>
      </w:r>
      <w:r w:rsidR="00517440">
        <w:rPr>
          <w:rStyle w:val="FootnoteReference"/>
        </w:rPr>
        <w:footnoteReference w:id="91"/>
      </w:r>
      <w:r w:rsidR="001E7461">
        <w:t xml:space="preserve"> </w:t>
      </w:r>
    </w:p>
    <w:p w:rsidR="00517440" w:rsidRDefault="00517440" w:rsidP="00517440">
      <w:pPr>
        <w:pStyle w:val="Newparagraph"/>
        <w:spacing w:line="240" w:lineRule="auto"/>
        <w:ind w:left="720" w:firstLine="0"/>
      </w:pPr>
    </w:p>
    <w:p w:rsidR="001E7461" w:rsidRDefault="001E7461" w:rsidP="00517440">
      <w:pPr>
        <w:pStyle w:val="Newparagraph"/>
        <w:ind w:firstLine="0"/>
      </w:pPr>
      <w:r>
        <w:t>Social networking companies are, therefore, not only reluctant in working with the criminal justice system to disclose information contained on their sites but also, they are slow in the application of removing abusive content fr</w:t>
      </w:r>
      <w:r w:rsidR="00FF5F46">
        <w:t>om their network. The law must</w:t>
      </w:r>
      <w:r w:rsidR="00F91FAD">
        <w:t>, therefore,</w:t>
      </w:r>
      <w:r w:rsidR="00FF5F46">
        <w:t xml:space="preserve"> </w:t>
      </w:r>
      <w:r>
        <w:t>intervene more adequately to protect individuals from online abuse</w:t>
      </w:r>
      <w:r w:rsidR="00FF5F46">
        <w:t xml:space="preserve">. Better training of legal personnel within the justice system, clearer </w:t>
      </w:r>
      <w:r w:rsidR="00AB7357">
        <w:t>legal frameworks</w:t>
      </w:r>
      <w:r w:rsidR="00FF5F46">
        <w:t xml:space="preserve"> and improved education is needed to help tackle this growing problem in society.  </w:t>
      </w:r>
    </w:p>
    <w:p w:rsidR="00704DDC" w:rsidRDefault="00704DDC" w:rsidP="00517440">
      <w:pPr>
        <w:pStyle w:val="Newparagraph"/>
        <w:ind w:firstLine="0"/>
      </w:pPr>
      <w:r>
        <w:tab/>
        <w:t xml:space="preserve">In an era where access to social media sites are only a click away, cyber harassment and cyberstalking are </w:t>
      </w:r>
      <w:r w:rsidR="00FF5F46">
        <w:t>becoming</w:t>
      </w:r>
      <w:r>
        <w:t xml:space="preserve"> more prominent.</w:t>
      </w:r>
      <w:r w:rsidR="007371EF">
        <w:t xml:space="preserve"> Victims can be faced with continued contact around the clock and when they turn to the criminal justice </w:t>
      </w:r>
      <w:r w:rsidR="00AB7357">
        <w:t xml:space="preserve">system </w:t>
      </w:r>
      <w:r w:rsidR="007371EF">
        <w:t>for help, are often left frustrated at the lack of support given to them. The internet, in particular</w:t>
      </w:r>
      <w:r w:rsidR="00443F39">
        <w:t>,</w:t>
      </w:r>
      <w:r w:rsidR="007371EF">
        <w:t xml:space="preserve"> social media, has become </w:t>
      </w:r>
      <w:r w:rsidR="008309BE">
        <w:t>part</w:t>
      </w:r>
      <w:r w:rsidR="007371EF">
        <w:t xml:space="preserve"> of many individuals lives, it can no longer be considered a</w:t>
      </w:r>
      <w:r w:rsidR="00FF5F46">
        <w:t>s</w:t>
      </w:r>
      <w:r w:rsidR="007371EF">
        <w:t xml:space="preserve"> separate </w:t>
      </w:r>
      <w:r w:rsidR="00443F39">
        <w:t>from</w:t>
      </w:r>
      <w:r w:rsidR="007371EF">
        <w:t xml:space="preserve"> real-life.</w:t>
      </w:r>
      <w:r w:rsidR="007F4F2E">
        <w:rPr>
          <w:rStyle w:val="FootnoteReference"/>
        </w:rPr>
        <w:footnoteReference w:id="92"/>
      </w:r>
      <w:r w:rsidR="007371EF">
        <w:t xml:space="preserve"> The law and the criminal justice system must, therefore, change its approach in order to help those who become subject to </w:t>
      </w:r>
      <w:r w:rsidR="00E76B66">
        <w:t xml:space="preserve">cyber harassment and cyberstalking. </w:t>
      </w:r>
      <w:r w:rsidR="007371EF">
        <w:t xml:space="preserve">    </w:t>
      </w:r>
    </w:p>
    <w:p w:rsidR="001E7461" w:rsidRDefault="001E7461" w:rsidP="001E7461">
      <w:pPr>
        <w:pStyle w:val="Newparagraph"/>
      </w:pPr>
    </w:p>
    <w:p w:rsidR="00410BFD" w:rsidRDefault="00410BFD" w:rsidP="00CE14A4">
      <w:pPr>
        <w:pStyle w:val="Newparagraph"/>
        <w:ind w:firstLine="0"/>
      </w:pPr>
    </w:p>
    <w:sectPr w:rsidR="00410BFD" w:rsidSect="00074B81">
      <w:footerReference w:type="default" r:id="rId8"/>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886" w:rsidRDefault="00385886" w:rsidP="00AF2C92">
      <w:r>
        <w:separator/>
      </w:r>
    </w:p>
  </w:endnote>
  <w:endnote w:type="continuationSeparator" w:id="0">
    <w:p w:rsidR="00385886" w:rsidRDefault="00385886"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31800"/>
      <w:docPartObj>
        <w:docPartGallery w:val="Page Numbers (Bottom of Page)"/>
        <w:docPartUnique/>
      </w:docPartObj>
    </w:sdtPr>
    <w:sdtEndPr/>
    <w:sdtContent>
      <w:sdt>
        <w:sdtPr>
          <w:id w:val="1728636285"/>
          <w:docPartObj>
            <w:docPartGallery w:val="Page Numbers (Top of Page)"/>
            <w:docPartUnique/>
          </w:docPartObj>
        </w:sdtPr>
        <w:sdtEndPr/>
        <w:sdtContent>
          <w:p w:rsidR="00682FCB" w:rsidRDefault="00682FCB">
            <w:pPr>
              <w:pStyle w:val="Footer"/>
              <w:jc w:val="center"/>
            </w:pPr>
            <w:r>
              <w:t xml:space="preserve">Page </w:t>
            </w:r>
            <w:r>
              <w:rPr>
                <w:b/>
                <w:bCs/>
              </w:rPr>
              <w:fldChar w:fldCharType="begin"/>
            </w:r>
            <w:r>
              <w:rPr>
                <w:b/>
                <w:bCs/>
              </w:rPr>
              <w:instrText xml:space="preserve"> PAGE </w:instrText>
            </w:r>
            <w:r>
              <w:rPr>
                <w:b/>
                <w:bCs/>
              </w:rPr>
              <w:fldChar w:fldCharType="separate"/>
            </w:r>
            <w:r w:rsidR="00D852A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852AA">
              <w:rPr>
                <w:b/>
                <w:bCs/>
                <w:noProof/>
              </w:rPr>
              <w:t>1</w:t>
            </w:r>
            <w:r>
              <w:rPr>
                <w:b/>
                <w:bCs/>
              </w:rPr>
              <w:fldChar w:fldCharType="end"/>
            </w:r>
          </w:p>
        </w:sdtContent>
      </w:sdt>
    </w:sdtContent>
  </w:sdt>
  <w:p w:rsidR="00682FCB" w:rsidRDefault="00682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886" w:rsidRDefault="00385886" w:rsidP="00AF2C92">
      <w:r>
        <w:separator/>
      </w:r>
    </w:p>
  </w:footnote>
  <w:footnote w:type="continuationSeparator" w:id="0">
    <w:p w:rsidR="00385886" w:rsidRDefault="00385886" w:rsidP="00AF2C92">
      <w:r>
        <w:continuationSeparator/>
      </w:r>
    </w:p>
  </w:footnote>
  <w:footnote w:id="1">
    <w:p w:rsidR="0065516E" w:rsidRDefault="0065516E" w:rsidP="00DE60B5">
      <w:pPr>
        <w:pStyle w:val="FootnoteText"/>
      </w:pPr>
      <w:r>
        <w:rPr>
          <w:rStyle w:val="FootnoteReference"/>
        </w:rPr>
        <w:footnoteRef/>
      </w:r>
      <w:r>
        <w:t xml:space="preserve"> </w:t>
      </w:r>
      <w:r>
        <w:rPr>
          <w:lang w:val="en-US"/>
        </w:rPr>
        <w:t>J</w:t>
      </w:r>
      <w:r w:rsidR="0085691F">
        <w:rPr>
          <w:lang w:val="en-US"/>
        </w:rPr>
        <w:t>.</w:t>
      </w:r>
      <w:r>
        <w:rPr>
          <w:lang w:val="en-US"/>
        </w:rPr>
        <w:t xml:space="preserve"> </w:t>
      </w:r>
      <w:r w:rsidR="00FC46E6">
        <w:rPr>
          <w:lang w:val="en-US"/>
        </w:rPr>
        <w:t xml:space="preserve">Gowland, </w:t>
      </w:r>
      <w:r w:rsidR="009A4916">
        <w:rPr>
          <w:lang w:val="en-US"/>
        </w:rPr>
        <w:t>‘</w:t>
      </w:r>
      <w:r w:rsidRPr="75237B53">
        <w:rPr>
          <w:lang w:val="en-US"/>
        </w:rPr>
        <w:t>Protection</w:t>
      </w:r>
      <w:r w:rsidR="00FC46E6">
        <w:rPr>
          <w:lang w:val="en-US"/>
        </w:rPr>
        <w:t xml:space="preserve"> from Harassment Act 1997: the </w:t>
      </w:r>
      <w:r w:rsidR="0050769D">
        <w:rPr>
          <w:lang w:val="en-US"/>
        </w:rPr>
        <w:t>‘</w:t>
      </w:r>
      <w:r w:rsidR="00FC46E6">
        <w:rPr>
          <w:lang w:val="en-US"/>
        </w:rPr>
        <w:t>new</w:t>
      </w:r>
      <w:r w:rsidR="0050769D">
        <w:rPr>
          <w:lang w:val="en-US"/>
        </w:rPr>
        <w:t>’</w:t>
      </w:r>
      <w:r w:rsidR="00FC46E6">
        <w:rPr>
          <w:lang w:val="en-US"/>
        </w:rPr>
        <w:t xml:space="preserve"> stalking offences</w:t>
      </w:r>
      <w:r w:rsidR="009A4916">
        <w:rPr>
          <w:lang w:val="en-US"/>
        </w:rPr>
        <w:t>’</w:t>
      </w:r>
      <w:r w:rsidRPr="75237B53">
        <w:rPr>
          <w:lang w:val="en-US"/>
        </w:rPr>
        <w:t xml:space="preserve"> (2013)</w:t>
      </w:r>
      <w:r>
        <w:rPr>
          <w:lang w:val="en-US"/>
        </w:rPr>
        <w:t xml:space="preserve"> </w:t>
      </w:r>
      <w:r w:rsidRPr="75237B53">
        <w:rPr>
          <w:lang w:val="en-US"/>
        </w:rPr>
        <w:t xml:space="preserve">77(5) </w:t>
      </w:r>
      <w:r>
        <w:rPr>
          <w:lang w:val="en-US"/>
        </w:rPr>
        <w:t>J</w:t>
      </w:r>
      <w:r w:rsidR="00962674">
        <w:rPr>
          <w:lang w:val="en-US"/>
        </w:rPr>
        <w:t>ournal of Criminal Law</w:t>
      </w:r>
      <w:r w:rsidRPr="75237B53">
        <w:rPr>
          <w:lang w:val="en-US"/>
        </w:rPr>
        <w:t xml:space="preserve"> 387</w:t>
      </w:r>
      <w:r w:rsidR="0085691F">
        <w:rPr>
          <w:lang w:val="en-US"/>
        </w:rPr>
        <w:t>.</w:t>
      </w:r>
    </w:p>
  </w:footnote>
  <w:footnote w:id="2">
    <w:p w:rsidR="0065516E" w:rsidRDefault="0065516E" w:rsidP="00DE60B5">
      <w:pPr>
        <w:pStyle w:val="FootnoteText"/>
      </w:pPr>
      <w:r>
        <w:rPr>
          <w:rStyle w:val="FootnoteReference"/>
        </w:rPr>
        <w:footnoteRef/>
      </w:r>
      <w:r>
        <w:t xml:space="preserve"> </w:t>
      </w:r>
      <w:bookmarkStart w:id="1" w:name="_Hlk504325058"/>
      <w:r w:rsidRPr="00C33141">
        <w:t xml:space="preserve">Home Office, </w:t>
      </w:r>
      <w:r w:rsidRPr="009A3F07">
        <w:rPr>
          <w:i/>
        </w:rPr>
        <w:t>Stalking A Consultation Paper</w:t>
      </w:r>
      <w:r w:rsidRPr="00C33141">
        <w:t xml:space="preserve"> (</w:t>
      </w:r>
      <w:r w:rsidR="00962674">
        <w:t>London: Home Office,</w:t>
      </w:r>
      <w:r w:rsidRPr="00C33141">
        <w:t xml:space="preserve"> 1996)</w:t>
      </w:r>
      <w:r w:rsidR="00962674">
        <w:t>,</w:t>
      </w:r>
      <w:r>
        <w:t xml:space="preserve"> </w:t>
      </w:r>
      <w:bookmarkEnd w:id="1"/>
      <w:r w:rsidRPr="00C33141">
        <w:t>para 3.4-3.6</w:t>
      </w:r>
      <w:r w:rsidR="0085691F">
        <w:t>.</w:t>
      </w:r>
    </w:p>
  </w:footnote>
  <w:footnote w:id="3">
    <w:p w:rsidR="0065516E" w:rsidRDefault="0065516E" w:rsidP="0085691F">
      <w:pPr>
        <w:pStyle w:val="FootnoteText"/>
      </w:pPr>
      <w:r>
        <w:rPr>
          <w:rStyle w:val="FootnoteReference"/>
        </w:rPr>
        <w:footnoteRef/>
      </w:r>
      <w:r>
        <w:t xml:space="preserve"> </w:t>
      </w:r>
      <w:r w:rsidR="0085691F">
        <w:t>Available at:</w:t>
      </w:r>
      <w:r w:rsidR="0085691F" w:rsidRPr="0085691F">
        <w:t xml:space="preserve"> </w:t>
      </w:r>
      <w:r w:rsidRPr="0085691F">
        <w:t>http://www.independent.co.uk/life-style/stalked-for-years-by-a-man-she-met-once-1569160.html</w:t>
      </w:r>
      <w:r w:rsidR="0085691F" w:rsidRPr="0085691F">
        <w:t xml:space="preserve"> </w:t>
      </w:r>
      <w:r w:rsidR="0085691F">
        <w:t>(a</w:t>
      </w:r>
      <w:r>
        <w:t>ccessed 4 January 2018</w:t>
      </w:r>
      <w:r w:rsidR="0085691F">
        <w:t>).</w:t>
      </w:r>
    </w:p>
  </w:footnote>
  <w:footnote w:id="4">
    <w:p w:rsidR="0065516E" w:rsidRDefault="0065516E" w:rsidP="00DE60B5">
      <w:pPr>
        <w:pStyle w:val="FootnoteText"/>
      </w:pPr>
      <w:r>
        <w:rPr>
          <w:rStyle w:val="FootnoteReference"/>
        </w:rPr>
        <w:footnoteRef/>
      </w:r>
      <w:r>
        <w:t xml:space="preserve"> </w:t>
      </w:r>
      <w:r w:rsidR="0085691F" w:rsidRPr="009A4916">
        <w:t>Ibid</w:t>
      </w:r>
      <w:r w:rsidR="0085691F">
        <w:t xml:space="preserve">., </w:t>
      </w:r>
    </w:p>
  </w:footnote>
  <w:footnote w:id="5">
    <w:p w:rsidR="0065516E" w:rsidRDefault="0065516E" w:rsidP="00DE60B5">
      <w:pPr>
        <w:pStyle w:val="FootnoteText"/>
      </w:pPr>
      <w:r>
        <w:rPr>
          <w:rStyle w:val="FootnoteReference"/>
        </w:rPr>
        <w:footnoteRef/>
      </w:r>
      <w:r>
        <w:t xml:space="preserve"> For example, the Suzy Lamplugh Trust</w:t>
      </w:r>
      <w:r w:rsidR="009A4916">
        <w:t>.</w:t>
      </w:r>
    </w:p>
  </w:footnote>
  <w:footnote w:id="6">
    <w:p w:rsidR="0065516E" w:rsidRDefault="0065516E" w:rsidP="00DE60B5">
      <w:pPr>
        <w:pStyle w:val="FootnoteText"/>
      </w:pPr>
      <w:r>
        <w:rPr>
          <w:rStyle w:val="FootnoteReference"/>
        </w:rPr>
        <w:footnoteRef/>
      </w:r>
      <w:r>
        <w:t xml:space="preserve"> </w:t>
      </w:r>
      <w:r w:rsidRPr="75237B53">
        <w:rPr>
          <w:lang w:val="en-US"/>
        </w:rPr>
        <w:t>HL Deb 24 January 1997, Vol 1, col 917</w:t>
      </w:r>
      <w:r w:rsidR="009A4916">
        <w:rPr>
          <w:lang w:val="en-US"/>
        </w:rPr>
        <w:t>.</w:t>
      </w:r>
    </w:p>
  </w:footnote>
  <w:footnote w:id="7">
    <w:p w:rsidR="0079352F" w:rsidRDefault="0079352F">
      <w:pPr>
        <w:pStyle w:val="FootnoteText"/>
      </w:pPr>
      <w:r>
        <w:rPr>
          <w:rStyle w:val="FootnoteReference"/>
        </w:rPr>
        <w:footnoteRef/>
      </w:r>
      <w:r>
        <w:t xml:space="preserve"> The </w:t>
      </w:r>
      <w:r w:rsidRPr="00A9468C">
        <w:t xml:space="preserve">Home Office, </w:t>
      </w:r>
      <w:r w:rsidRPr="00A9468C">
        <w:rPr>
          <w:i/>
        </w:rPr>
        <w:t>The Protection from Harassment Act 1997: Improving Pro</w:t>
      </w:r>
      <w:r>
        <w:rPr>
          <w:i/>
        </w:rPr>
        <w:t xml:space="preserve">tection for Victims of Stalking </w:t>
      </w:r>
      <w:r>
        <w:t>(London: Home Office, 2012)</w:t>
      </w:r>
      <w:r w:rsidR="009A4916">
        <w:t>.</w:t>
      </w:r>
    </w:p>
  </w:footnote>
  <w:footnote w:id="8">
    <w:p w:rsidR="0065516E" w:rsidRDefault="0065516E">
      <w:pPr>
        <w:pStyle w:val="FootnoteText"/>
      </w:pPr>
      <w:r>
        <w:rPr>
          <w:rStyle w:val="FootnoteReference"/>
        </w:rPr>
        <w:footnoteRef/>
      </w:r>
      <w:r>
        <w:t xml:space="preserve"> </w:t>
      </w:r>
      <w:bookmarkStart w:id="2" w:name="_Hlk510788036"/>
      <w:r>
        <w:rPr>
          <w:lang w:val="en-US"/>
        </w:rPr>
        <w:t xml:space="preserve">The Crown Prosecution Service, </w:t>
      </w:r>
      <w:r w:rsidRPr="00CE595D">
        <w:rPr>
          <w:i/>
          <w:lang w:val="en-US"/>
        </w:rPr>
        <w:t>Stalking and Harassment</w:t>
      </w:r>
      <w:r w:rsidR="00CE595D">
        <w:rPr>
          <w:lang w:val="en-US"/>
        </w:rPr>
        <w:t xml:space="preserve"> </w:t>
      </w:r>
      <w:r w:rsidRPr="75237B53">
        <w:rPr>
          <w:lang w:val="en-US"/>
        </w:rPr>
        <w:t>(</w:t>
      </w:r>
      <w:bookmarkEnd w:id="2"/>
      <w:r w:rsidR="00CE595D">
        <w:rPr>
          <w:lang w:val="en-US"/>
        </w:rPr>
        <w:t>London: HMSO, 2018)</w:t>
      </w:r>
      <w:r w:rsidR="009A4916">
        <w:rPr>
          <w:lang w:val="en-US"/>
        </w:rPr>
        <w:t>.</w:t>
      </w:r>
    </w:p>
  </w:footnote>
  <w:footnote w:id="9">
    <w:p w:rsidR="00BF138B" w:rsidRPr="00BF138B" w:rsidRDefault="00BF138B" w:rsidP="0085691F">
      <w:pPr>
        <w:pStyle w:val="FootnoteText"/>
      </w:pPr>
      <w:r>
        <w:rPr>
          <w:rStyle w:val="FootnoteReference"/>
        </w:rPr>
        <w:footnoteRef/>
      </w:r>
      <w:r>
        <w:t xml:space="preserve"> </w:t>
      </w:r>
      <w:r w:rsidR="0085691F">
        <w:t>Available at:</w:t>
      </w:r>
      <w:r w:rsidR="0085691F" w:rsidRPr="00BF138B">
        <w:rPr>
          <w:i/>
        </w:rPr>
        <w:t xml:space="preserve"> </w:t>
      </w:r>
      <w:r w:rsidRPr="0085691F">
        <w:t>https://www.gov.uk/government/publications/a-change-to-the-protection-from-harassment-act-1997-introduction-of-two-new-specific-offences-of-stalking</w:t>
      </w:r>
      <w:r>
        <w:rPr>
          <w:i/>
        </w:rPr>
        <w:t xml:space="preserve"> </w:t>
      </w:r>
      <w:r w:rsidR="0085691F">
        <w:t>(</w:t>
      </w:r>
      <w:r w:rsidR="009A4916">
        <w:t>a</w:t>
      </w:r>
      <w:r>
        <w:t>ccessed 28 June 2018</w:t>
      </w:r>
      <w:r w:rsidR="0085691F">
        <w:t>)</w:t>
      </w:r>
      <w:r w:rsidR="009A4916">
        <w:t>.</w:t>
      </w:r>
    </w:p>
  </w:footnote>
  <w:footnote w:id="10">
    <w:p w:rsidR="0065516E" w:rsidRDefault="0065516E">
      <w:pPr>
        <w:pStyle w:val="FootnoteText"/>
      </w:pPr>
      <w:r>
        <w:rPr>
          <w:rStyle w:val="FootnoteReference"/>
        </w:rPr>
        <w:footnoteRef/>
      </w:r>
      <w:r>
        <w:t xml:space="preserve"> </w:t>
      </w:r>
      <w:bookmarkStart w:id="3" w:name="_Hlk510788072"/>
      <w:r w:rsidR="00962674">
        <w:rPr>
          <w:lang w:val="en-US"/>
        </w:rPr>
        <w:t>Protection from Harassment Act</w:t>
      </w:r>
      <w:r>
        <w:rPr>
          <w:lang w:val="en-US"/>
        </w:rPr>
        <w:t xml:space="preserve"> s.</w:t>
      </w:r>
      <w:r w:rsidRPr="75237B53">
        <w:rPr>
          <w:lang w:val="en-US"/>
        </w:rPr>
        <w:t>2A</w:t>
      </w:r>
      <w:r w:rsidR="009A4916">
        <w:rPr>
          <w:lang w:val="en-US"/>
        </w:rPr>
        <w:t xml:space="preserve"> </w:t>
      </w:r>
      <w:r w:rsidRPr="75237B53">
        <w:rPr>
          <w:lang w:val="en-US"/>
        </w:rPr>
        <w:t>(3)</w:t>
      </w:r>
      <w:bookmarkEnd w:id="3"/>
      <w:r w:rsidR="009A4916">
        <w:rPr>
          <w:lang w:val="en-US"/>
        </w:rPr>
        <w:t>.</w:t>
      </w:r>
    </w:p>
  </w:footnote>
  <w:footnote w:id="11">
    <w:p w:rsidR="00BF138B" w:rsidRDefault="00BF138B">
      <w:pPr>
        <w:pStyle w:val="FootnoteText"/>
      </w:pPr>
      <w:r>
        <w:rPr>
          <w:rStyle w:val="FootnoteReference"/>
        </w:rPr>
        <w:footnoteRef/>
      </w:r>
      <w:r>
        <w:t xml:space="preserve"> </w:t>
      </w:r>
      <w:r>
        <w:rPr>
          <w:lang w:val="en-US"/>
        </w:rPr>
        <w:t>The Crown Prosecution Service,</w:t>
      </w:r>
      <w:r w:rsidR="009A4916">
        <w:rPr>
          <w:lang w:val="en-US"/>
        </w:rPr>
        <w:t xml:space="preserve"> above n.8. </w:t>
      </w:r>
    </w:p>
  </w:footnote>
  <w:footnote w:id="12">
    <w:p w:rsidR="00BF138B" w:rsidRDefault="00BF138B">
      <w:pPr>
        <w:pStyle w:val="FootnoteText"/>
      </w:pPr>
      <w:r>
        <w:rPr>
          <w:rStyle w:val="FootnoteReference"/>
        </w:rPr>
        <w:footnoteRef/>
      </w:r>
      <w:r>
        <w:t xml:space="preserve"> </w:t>
      </w:r>
      <w:r>
        <w:rPr>
          <w:rFonts w:eastAsia="Arial Unicode MS" w:cs="Arial Unicode MS"/>
        </w:rPr>
        <w:t xml:space="preserve">Criminal Justice Inspectorates &amp; HM Crown Prosecution Service Inspectorate, </w:t>
      </w:r>
      <w:r w:rsidRPr="00596396">
        <w:rPr>
          <w:rFonts w:eastAsia="Arial Unicode MS" w:cs="Arial Unicode MS"/>
          <w:i/>
        </w:rPr>
        <w:t>Living in fear – the police and CPS response to harassment and stalking</w:t>
      </w:r>
      <w:r>
        <w:rPr>
          <w:rFonts w:eastAsia="Arial Unicode MS" w:cs="Arial Unicode MS"/>
        </w:rPr>
        <w:t xml:space="preserve"> (London: HMIC &amp; HMCPSI, 2017) pp. 52-53</w:t>
      </w:r>
      <w:r w:rsidR="009A4916">
        <w:rPr>
          <w:rFonts w:eastAsia="Arial Unicode MS" w:cs="Arial Unicode MS"/>
        </w:rPr>
        <w:t>.</w:t>
      </w:r>
      <w:r>
        <w:rPr>
          <w:rFonts w:eastAsia="Arial Unicode MS" w:cs="Arial Unicode MS"/>
        </w:rPr>
        <w:t xml:space="preserve"> </w:t>
      </w:r>
    </w:p>
  </w:footnote>
  <w:footnote w:id="13">
    <w:p w:rsidR="005E7267" w:rsidRDefault="005E7267" w:rsidP="00B757B9">
      <w:pPr>
        <w:pStyle w:val="FootnoteText"/>
      </w:pPr>
      <w:r>
        <w:rPr>
          <w:rStyle w:val="FootnoteReference"/>
        </w:rPr>
        <w:footnoteRef/>
      </w:r>
      <w:r>
        <w:t xml:space="preserve"> </w:t>
      </w:r>
      <w:r w:rsidR="00B757B9">
        <w:rPr>
          <w:lang w:val="en-US"/>
        </w:rPr>
        <w:t>Protection from Harassment Act s.1(1)</w:t>
      </w:r>
      <w:r w:rsidR="009A4916">
        <w:rPr>
          <w:lang w:val="en-US"/>
        </w:rPr>
        <w:t>.</w:t>
      </w:r>
    </w:p>
  </w:footnote>
  <w:footnote w:id="14">
    <w:p w:rsidR="0065516E" w:rsidRDefault="0065516E">
      <w:pPr>
        <w:pStyle w:val="FootnoteText"/>
      </w:pPr>
      <w:r>
        <w:rPr>
          <w:rStyle w:val="FootnoteReference"/>
        </w:rPr>
        <w:footnoteRef/>
      </w:r>
      <w:r>
        <w:t xml:space="preserve"> </w:t>
      </w:r>
      <w:r w:rsidRPr="00BE3AC5">
        <w:t xml:space="preserve">The </w:t>
      </w:r>
      <w:r w:rsidRPr="00962674">
        <w:t>mens rea</w:t>
      </w:r>
      <w:r w:rsidRPr="00BE3AC5">
        <w:t xml:space="preserve"> for the offence of harassment is based on the construction of knowledge. Here, it must be proven by the prosecution that the defendant, </w:t>
      </w:r>
      <w:r w:rsidR="009A4916">
        <w:t>‘</w:t>
      </w:r>
      <w:r w:rsidRPr="00BE3AC5">
        <w:t xml:space="preserve">knows or ought to know that the[ir] behaviour would amount </w:t>
      </w:r>
      <w:r>
        <w:t>to [the] harassment of another.</w:t>
      </w:r>
      <w:r w:rsidR="009A4916">
        <w:t>’</w:t>
      </w:r>
      <w:r w:rsidR="007D5E80">
        <w:t xml:space="preserve"> (Protection from Harassment Act 1(1)</w:t>
      </w:r>
      <w:r w:rsidR="009A4916">
        <w:t>)</w:t>
      </w:r>
      <w:r w:rsidR="007D5E80">
        <w:t xml:space="preserve"> </w:t>
      </w:r>
      <w:r w:rsidRPr="00BE3AC5">
        <w:t xml:space="preserve">This will turn on the reasonable person test, where it must be found that the average person, who in the same position as the defendant, would come to the knowledge or should have come to the knowledge, that their conduct would amount to the harassment of another individual. If both the </w:t>
      </w:r>
      <w:r w:rsidRPr="00962674">
        <w:t>actus reus</w:t>
      </w:r>
      <w:r w:rsidRPr="00BE3AC5">
        <w:t xml:space="preserve"> and </w:t>
      </w:r>
      <w:r w:rsidRPr="00962674">
        <w:t xml:space="preserve">mens rea </w:t>
      </w:r>
      <w:r w:rsidRPr="00BE3AC5">
        <w:t xml:space="preserve">of the offence can be found, then the defendant is liable for a breach of </w:t>
      </w:r>
      <w:r>
        <w:t>s.</w:t>
      </w:r>
      <w:r w:rsidRPr="00BE3AC5">
        <w:t>1</w:t>
      </w:r>
      <w:r w:rsidR="00AB7357">
        <w:t>(1)</w:t>
      </w:r>
      <w:r w:rsidRPr="00BE3AC5">
        <w:t xml:space="preserve"> of the Protection from Harassment Act.</w:t>
      </w:r>
    </w:p>
  </w:footnote>
  <w:footnote w:id="15">
    <w:p w:rsidR="0065516E" w:rsidRDefault="0065516E">
      <w:pPr>
        <w:pStyle w:val="FootnoteText"/>
      </w:pPr>
      <w:r>
        <w:rPr>
          <w:rStyle w:val="FootnoteReference"/>
        </w:rPr>
        <w:footnoteRef/>
      </w:r>
      <w:r>
        <w:t xml:space="preserve"> </w:t>
      </w:r>
      <w:r w:rsidR="00962674">
        <w:t>Protection from Harassment Act</w:t>
      </w:r>
      <w:r>
        <w:t xml:space="preserve"> s.7</w:t>
      </w:r>
      <w:r w:rsidR="009A4916">
        <w:t>.</w:t>
      </w:r>
    </w:p>
  </w:footnote>
  <w:footnote w:id="16">
    <w:p w:rsidR="0065516E" w:rsidRDefault="0065516E">
      <w:pPr>
        <w:pStyle w:val="FootnoteText"/>
      </w:pPr>
      <w:r>
        <w:rPr>
          <w:rStyle w:val="FootnoteReference"/>
        </w:rPr>
        <w:footnoteRef/>
      </w:r>
      <w:r>
        <w:t xml:space="preserve"> </w:t>
      </w:r>
      <w:r w:rsidR="00962674" w:rsidRPr="00962674">
        <w:t>Protection from Harassment Act</w:t>
      </w:r>
      <w:r w:rsidRPr="00962674">
        <w:t xml:space="preserve"> </w:t>
      </w:r>
      <w:r>
        <w:t>s.7(3)(b)</w:t>
      </w:r>
      <w:r w:rsidR="009A4916">
        <w:t>.</w:t>
      </w:r>
    </w:p>
  </w:footnote>
  <w:footnote w:id="17">
    <w:p w:rsidR="0065516E" w:rsidRDefault="0065516E">
      <w:pPr>
        <w:pStyle w:val="FootnoteText"/>
      </w:pPr>
      <w:r>
        <w:rPr>
          <w:rStyle w:val="FootnoteReference"/>
        </w:rPr>
        <w:footnoteRef/>
      </w:r>
      <w:r>
        <w:t xml:space="preserve"> </w:t>
      </w:r>
      <w:bookmarkStart w:id="4" w:name="_Hlk499831810"/>
      <w:r w:rsidRPr="007D06A0">
        <w:rPr>
          <w:i/>
        </w:rPr>
        <w:t>Lau v Director of Public Prosecutions</w:t>
      </w:r>
      <w:r w:rsidRPr="007D06A0">
        <w:t xml:space="preserve"> [2000] 1 FLR 799 (DC) </w:t>
      </w:r>
      <w:bookmarkEnd w:id="4"/>
      <w:r>
        <w:t>per</w:t>
      </w:r>
      <w:r w:rsidRPr="007D06A0">
        <w:t xml:space="preserve"> Schiemann</w:t>
      </w:r>
      <w:r>
        <w:t xml:space="preserve"> L.J. at </w:t>
      </w:r>
      <w:r w:rsidRPr="007D06A0">
        <w:t>para 15</w:t>
      </w:r>
      <w:r w:rsidR="009A4916">
        <w:t>.</w:t>
      </w:r>
    </w:p>
  </w:footnote>
  <w:footnote w:id="18">
    <w:p w:rsidR="007D5E80" w:rsidRDefault="007D5E80" w:rsidP="007D5E80">
      <w:pPr>
        <w:pStyle w:val="FootnoteText"/>
      </w:pPr>
      <w:r>
        <w:rPr>
          <w:rStyle w:val="FootnoteReference"/>
        </w:rPr>
        <w:footnoteRef/>
      </w:r>
      <w:r>
        <w:t xml:space="preserve"> </w:t>
      </w:r>
      <w:bookmarkStart w:id="5" w:name="_Hlk499831828"/>
      <w:bookmarkStart w:id="6" w:name="_Hlk504325145"/>
      <w:r w:rsidR="009A4916">
        <w:t>J</w:t>
      </w:r>
      <w:r w:rsidR="002B6BC8">
        <w:t xml:space="preserve">. </w:t>
      </w:r>
      <w:r w:rsidRPr="00DB3EA6">
        <w:t>Agate</w:t>
      </w:r>
      <w:r>
        <w:t xml:space="preserve"> &amp; </w:t>
      </w:r>
      <w:r w:rsidRPr="00A26486">
        <w:t>J</w:t>
      </w:r>
      <w:r w:rsidR="002B6BC8">
        <w:t>.</w:t>
      </w:r>
      <w:r w:rsidR="009A4916">
        <w:t xml:space="preserve"> </w:t>
      </w:r>
      <w:r w:rsidRPr="00DB3EA6">
        <w:t>Ledward</w:t>
      </w:r>
      <w:r>
        <w:t xml:space="preserve">, </w:t>
      </w:r>
      <w:r w:rsidR="009A4916">
        <w:t>‘</w:t>
      </w:r>
      <w:r w:rsidRPr="00DB3EA6">
        <w:t>Social media: how the net is closing in on cyber bullies</w:t>
      </w:r>
      <w:r w:rsidR="009A4916">
        <w:t>’</w:t>
      </w:r>
      <w:r>
        <w:t xml:space="preserve"> (2013) 24(8) </w:t>
      </w:r>
      <w:r w:rsidRPr="00962674">
        <w:t>Entertainment Law Review</w:t>
      </w:r>
      <w:r>
        <w:rPr>
          <w:i/>
        </w:rPr>
        <w:t xml:space="preserve"> </w:t>
      </w:r>
      <w:r>
        <w:t>263</w:t>
      </w:r>
      <w:bookmarkEnd w:id="5"/>
      <w:r>
        <w:t>, 266.</w:t>
      </w:r>
      <w:bookmarkEnd w:id="6"/>
      <w:r>
        <w:t xml:space="preserve"> It is important to note that under s.1(3) of Protection from Harassment Act, there is a defence available with regard to </w:t>
      </w:r>
      <w:r w:rsidR="009A4916">
        <w:t>‘</w:t>
      </w:r>
      <w:r>
        <w:t>a course of conduct</w:t>
      </w:r>
      <w:r w:rsidR="009A4916">
        <w:t>’</w:t>
      </w:r>
      <w:r>
        <w:t xml:space="preserve">: </w:t>
      </w:r>
      <w:r w:rsidR="009A4916">
        <w:t>‘</w:t>
      </w:r>
      <w:r>
        <w:t xml:space="preserve">… (a) </w:t>
      </w:r>
      <w:r w:rsidRPr="00AA71A3">
        <w:t>that it was pursued for the purpose of preventing or detecting crime</w:t>
      </w:r>
      <w:r>
        <w:t xml:space="preserve">, (b) </w:t>
      </w:r>
      <w:r w:rsidRPr="00AA71A3">
        <w:t>that it was pursued under any enactment or rule of law or to comply with any condition or requirement imposed by any person under any enactment</w:t>
      </w:r>
      <w:r>
        <w:t xml:space="preserve">, (c) or </w:t>
      </w:r>
      <w:r w:rsidRPr="00AA71A3">
        <w:t>that in the particular circumstances the pursuit of the course of conduct was reasonable</w:t>
      </w:r>
      <w:r>
        <w:t>.</w:t>
      </w:r>
      <w:r w:rsidR="009A4916">
        <w:t>’</w:t>
      </w:r>
    </w:p>
  </w:footnote>
  <w:footnote w:id="19">
    <w:p w:rsidR="007D5E80" w:rsidRDefault="007D5E80">
      <w:pPr>
        <w:pStyle w:val="FootnoteText"/>
      </w:pPr>
      <w:r>
        <w:rPr>
          <w:rStyle w:val="FootnoteReference"/>
        </w:rPr>
        <w:footnoteRef/>
      </w:r>
      <w:r>
        <w:t xml:space="preserve"> </w:t>
      </w:r>
      <w:r w:rsidR="009A4916">
        <w:t>Agate &amp; Ledward, above n.18</w:t>
      </w:r>
      <w:r>
        <w:t xml:space="preserve">. See also, </w:t>
      </w:r>
      <w:r w:rsidRPr="007D06A0">
        <w:rPr>
          <w:i/>
        </w:rPr>
        <w:t>Lau v Director of Public Prosecutions</w:t>
      </w:r>
      <w:r w:rsidRPr="007D06A0">
        <w:t xml:space="preserve"> [2000] 1 FLR 799 (DC) </w:t>
      </w:r>
      <w:r>
        <w:t>per</w:t>
      </w:r>
      <w:r w:rsidRPr="007D06A0">
        <w:t xml:space="preserve"> Schiemann</w:t>
      </w:r>
      <w:r>
        <w:t xml:space="preserve"> L.J. at </w:t>
      </w:r>
      <w:r w:rsidRPr="007D06A0">
        <w:t>para 15</w:t>
      </w:r>
      <w:r w:rsidR="009A4916">
        <w:t>.</w:t>
      </w:r>
    </w:p>
  </w:footnote>
  <w:footnote w:id="20">
    <w:p w:rsidR="008B301F" w:rsidRDefault="008B301F">
      <w:pPr>
        <w:pStyle w:val="FootnoteText"/>
      </w:pPr>
      <w:r>
        <w:rPr>
          <w:rStyle w:val="FootnoteReference"/>
        </w:rPr>
        <w:footnoteRef/>
      </w:r>
      <w:r>
        <w:t xml:space="preserve"> </w:t>
      </w:r>
      <w:r w:rsidRPr="008B301F">
        <w:t>M</w:t>
      </w:r>
      <w:r w:rsidR="002B6BC8">
        <w:t>.</w:t>
      </w:r>
      <w:r w:rsidR="009A4916">
        <w:t xml:space="preserve"> </w:t>
      </w:r>
      <w:r w:rsidRPr="008B301F">
        <w:t xml:space="preserve">Salter &amp; </w:t>
      </w:r>
      <w:r w:rsidR="009A4916">
        <w:t>C</w:t>
      </w:r>
      <w:r w:rsidR="002B6BC8">
        <w:t>.</w:t>
      </w:r>
      <w:r w:rsidR="009A4916">
        <w:t xml:space="preserve"> </w:t>
      </w:r>
      <w:r w:rsidRPr="008B301F">
        <w:t xml:space="preserve">Bryden, </w:t>
      </w:r>
      <w:r w:rsidR="009A4916">
        <w:t>‘</w:t>
      </w:r>
      <w:r w:rsidRPr="008B301F">
        <w:t>I can see you: harassment and stalking on the Internet</w:t>
      </w:r>
      <w:r w:rsidR="009A4916">
        <w:t>’</w:t>
      </w:r>
      <w:r w:rsidRPr="008B301F">
        <w:t xml:space="preserve"> (2009) 18(2) Information &amp; Communications Technology Law 99, 10</w:t>
      </w:r>
      <w:r>
        <w:t>0</w:t>
      </w:r>
      <w:r w:rsidR="009A4916">
        <w:t>.</w:t>
      </w:r>
      <w:r>
        <w:t xml:space="preserve"> </w:t>
      </w:r>
    </w:p>
  </w:footnote>
  <w:footnote w:id="21">
    <w:p w:rsidR="007D5E80" w:rsidRDefault="007D5E80" w:rsidP="007D5E80">
      <w:pPr>
        <w:pStyle w:val="FootnoteText"/>
      </w:pPr>
      <w:r>
        <w:rPr>
          <w:rStyle w:val="FootnoteReference"/>
        </w:rPr>
        <w:footnoteRef/>
      </w:r>
      <w:r>
        <w:t xml:space="preserve"> For example, research conducted by Women’s Aid found that 85% of those surveyed had received online abuse </w:t>
      </w:r>
      <w:r w:rsidR="002B6BC8">
        <w:t>b</w:t>
      </w:r>
      <w:r>
        <w:t>y a partner or ex-partner</w:t>
      </w:r>
      <w:r w:rsidR="009A4916">
        <w:t xml:space="preserve">, available at: </w:t>
      </w:r>
      <w:r w:rsidRPr="009A4916">
        <w:t xml:space="preserve">https://www.womensaid.org.uk/information-support/what-is-domestic-abuse/onlinesafety/ </w:t>
      </w:r>
      <w:r w:rsidR="009A4916">
        <w:t>(accessed 9 October 2018)</w:t>
      </w:r>
      <w:r w:rsidR="002B6BC8">
        <w:t>.</w:t>
      </w:r>
      <w:r w:rsidR="009A4916">
        <w:t xml:space="preserve"> </w:t>
      </w:r>
    </w:p>
  </w:footnote>
  <w:footnote w:id="22">
    <w:p w:rsidR="007D5E80" w:rsidRDefault="007D5E80">
      <w:pPr>
        <w:pStyle w:val="FootnoteText"/>
      </w:pPr>
      <w:r>
        <w:rPr>
          <w:rStyle w:val="FootnoteReference"/>
        </w:rPr>
        <w:footnoteRef/>
      </w:r>
      <w:r>
        <w:t xml:space="preserve"> J</w:t>
      </w:r>
      <w:r w:rsidR="002B6BC8">
        <w:t>.</w:t>
      </w:r>
      <w:r>
        <w:t xml:space="preserve"> Brannon, </w:t>
      </w:r>
      <w:r w:rsidR="009A4916">
        <w:t>‘</w:t>
      </w:r>
      <w:r>
        <w:t>Crime and social network sites</w:t>
      </w:r>
      <w:r w:rsidR="009A4916">
        <w:t>’</w:t>
      </w:r>
      <w:r w:rsidR="007575E4">
        <w:t xml:space="preserve"> (2013) 1 Judicial Review 41, 43</w:t>
      </w:r>
      <w:r w:rsidR="009A4916">
        <w:t>.</w:t>
      </w:r>
      <w:r w:rsidR="007575E4">
        <w:t xml:space="preserve">  </w:t>
      </w:r>
    </w:p>
  </w:footnote>
  <w:footnote w:id="23">
    <w:p w:rsidR="0065516E" w:rsidRDefault="0065516E">
      <w:pPr>
        <w:pStyle w:val="FootnoteText"/>
      </w:pPr>
      <w:r>
        <w:rPr>
          <w:rStyle w:val="FootnoteReference"/>
        </w:rPr>
        <w:footnoteRef/>
      </w:r>
      <w:r>
        <w:t xml:space="preserve"> </w:t>
      </w:r>
      <w:r w:rsidR="009A4916">
        <w:t>Salter &amp; Bryden, above n.20 at 99.</w:t>
      </w:r>
    </w:p>
  </w:footnote>
  <w:footnote w:id="24">
    <w:p w:rsidR="0065516E" w:rsidRDefault="0065516E">
      <w:pPr>
        <w:pStyle w:val="FootnoteText"/>
      </w:pPr>
      <w:r>
        <w:rPr>
          <w:rStyle w:val="FootnoteReference"/>
        </w:rPr>
        <w:footnoteRef/>
      </w:r>
      <w:r>
        <w:t xml:space="preserve"> </w:t>
      </w:r>
      <w:bookmarkStart w:id="7" w:name="_Hlk499831951"/>
      <w:r w:rsidR="009A4916">
        <w:t>Available at:</w:t>
      </w:r>
      <w:r w:rsidR="00CE595D">
        <w:t xml:space="preserve"> </w:t>
      </w:r>
      <w:r w:rsidRPr="007467E7">
        <w:rPr>
          <w:i/>
        </w:rPr>
        <w:t>https://www.facebook.com/help/345121355559712</w:t>
      </w:r>
      <w:r>
        <w:t xml:space="preserve"> </w:t>
      </w:r>
      <w:bookmarkEnd w:id="7"/>
      <w:r w:rsidR="009A4916">
        <w:t>(a</w:t>
      </w:r>
      <w:r>
        <w:t>ccessed 12 November 2017</w:t>
      </w:r>
      <w:r w:rsidR="009A4916">
        <w:t>).</w:t>
      </w:r>
    </w:p>
  </w:footnote>
  <w:footnote w:id="25">
    <w:p w:rsidR="0065516E" w:rsidRDefault="0065516E" w:rsidP="0065516E">
      <w:pPr>
        <w:pStyle w:val="FootnoteText"/>
      </w:pPr>
      <w:r>
        <w:rPr>
          <w:rStyle w:val="FootnoteReference"/>
        </w:rPr>
        <w:footnoteRef/>
      </w:r>
      <w:r>
        <w:t xml:space="preserve"> Between January and March 2018, Facebook removed 583 million fake account</w:t>
      </w:r>
      <w:r w:rsidR="009A4916">
        <w:t>s, available at:</w:t>
      </w:r>
      <w:r>
        <w:t xml:space="preserve"> </w:t>
      </w:r>
      <w:r w:rsidRPr="0065516E">
        <w:rPr>
          <w:i/>
        </w:rPr>
        <w:t>http://www.bbc.co.uk/news/technology-44122967</w:t>
      </w:r>
      <w:r>
        <w:t xml:space="preserve"> </w:t>
      </w:r>
      <w:r w:rsidR="009A4916">
        <w:t>(a</w:t>
      </w:r>
      <w:r>
        <w:t>ccessed 17 May 2018</w:t>
      </w:r>
      <w:r w:rsidR="009A4916">
        <w:t xml:space="preserve">). </w:t>
      </w:r>
    </w:p>
  </w:footnote>
  <w:footnote w:id="26">
    <w:p w:rsidR="00A01573" w:rsidRDefault="00A01573" w:rsidP="00A01573">
      <w:pPr>
        <w:pStyle w:val="FootnoteText"/>
      </w:pPr>
      <w:r>
        <w:rPr>
          <w:rStyle w:val="FootnoteReference"/>
        </w:rPr>
        <w:footnoteRef/>
      </w:r>
      <w:r>
        <w:t xml:space="preserve"> </w:t>
      </w:r>
      <w:bookmarkStart w:id="8" w:name="_Hlk517961333"/>
      <w:r w:rsidR="002B6BC8">
        <w:t xml:space="preserve">Salter &amp; Bryden, above n.20 at </w:t>
      </w:r>
      <w:r w:rsidRPr="008B301F">
        <w:t>10</w:t>
      </w:r>
      <w:r>
        <w:t>1</w:t>
      </w:r>
      <w:bookmarkEnd w:id="8"/>
      <w:r w:rsidR="005B2986">
        <w:t>.</w:t>
      </w:r>
    </w:p>
  </w:footnote>
  <w:footnote w:id="27">
    <w:p w:rsidR="001920D8" w:rsidRDefault="001920D8">
      <w:pPr>
        <w:pStyle w:val="FootnoteText"/>
      </w:pPr>
      <w:r>
        <w:rPr>
          <w:rStyle w:val="FootnoteReference"/>
        </w:rPr>
        <w:footnoteRef/>
      </w:r>
      <w:r>
        <w:t xml:space="preserve"> An IP address is a unique code which identifies a computer using a communications network. </w:t>
      </w:r>
    </w:p>
  </w:footnote>
  <w:footnote w:id="28">
    <w:p w:rsidR="001920D8" w:rsidRDefault="001920D8">
      <w:pPr>
        <w:pStyle w:val="FootnoteText"/>
      </w:pPr>
      <w:r>
        <w:rPr>
          <w:rStyle w:val="FootnoteReference"/>
        </w:rPr>
        <w:footnoteRef/>
      </w:r>
      <w:r>
        <w:t xml:space="preserve"> </w:t>
      </w:r>
      <w:r w:rsidR="002B6BC8">
        <w:t>D.K.</w:t>
      </w:r>
      <w:r>
        <w:t xml:space="preserve"> Citron, </w:t>
      </w:r>
      <w:r w:rsidR="00CB7036" w:rsidRPr="00CB7036">
        <w:rPr>
          <w:i/>
        </w:rPr>
        <w:t>Hate Crimes in Cyberspace</w:t>
      </w:r>
      <w:r w:rsidR="00CB7036">
        <w:t xml:space="preserve"> (Harvard University Press</w:t>
      </w:r>
      <w:r w:rsidR="002B6BC8">
        <w:t>: USA</w:t>
      </w:r>
      <w:r w:rsidR="00CB7036">
        <w:t xml:space="preserve"> 2014) </w:t>
      </w:r>
      <w:r>
        <w:t>165</w:t>
      </w:r>
      <w:r w:rsidR="002B6BC8">
        <w:t>.</w:t>
      </w:r>
    </w:p>
  </w:footnote>
  <w:footnote w:id="29">
    <w:p w:rsidR="00D45F73" w:rsidRDefault="00D45F73" w:rsidP="00D45F73">
      <w:pPr>
        <w:pStyle w:val="FootnoteText"/>
      </w:pPr>
      <w:r>
        <w:rPr>
          <w:rStyle w:val="FootnoteReference"/>
        </w:rPr>
        <w:footnoteRef/>
      </w:r>
      <w:r>
        <w:t xml:space="preserve"> </w:t>
      </w:r>
      <w:r w:rsidR="002B6BC8">
        <w:t>Available at:</w:t>
      </w:r>
      <w:r>
        <w:t xml:space="preserve"> </w:t>
      </w:r>
      <w:r w:rsidRPr="002B6BC8">
        <w:t>http://www.telegraph.co.uk/technology/twitter/9834776/Twitter-refuses-to-hand-member-information-to-police.html</w:t>
      </w:r>
      <w:r>
        <w:t xml:space="preserve"> </w:t>
      </w:r>
      <w:r w:rsidR="002B6BC8">
        <w:t>(a</w:t>
      </w:r>
      <w:r>
        <w:t>ccessed 28 June 2018</w:t>
      </w:r>
      <w:r w:rsidR="002B6BC8">
        <w:t>).</w:t>
      </w:r>
    </w:p>
  </w:footnote>
  <w:footnote w:id="30">
    <w:p w:rsidR="00D767DF" w:rsidRDefault="00D767DF">
      <w:pPr>
        <w:pStyle w:val="FootnoteText"/>
      </w:pPr>
      <w:r>
        <w:rPr>
          <w:rStyle w:val="FootnoteReference"/>
        </w:rPr>
        <w:footnoteRef/>
      </w:r>
      <w:r>
        <w:t xml:space="preserve"> It is curren</w:t>
      </w:r>
      <w:r w:rsidR="008A1D68">
        <w:t xml:space="preserve">tly estimated that police funding will be reduced by £700m </w:t>
      </w:r>
      <w:r w:rsidR="00E04581">
        <w:t>by 2020</w:t>
      </w:r>
      <w:r w:rsidR="002B6BC8">
        <w:t>, available at:</w:t>
      </w:r>
      <w:r w:rsidR="00E04581">
        <w:t xml:space="preserve"> </w:t>
      </w:r>
      <w:r w:rsidR="00E04581" w:rsidRPr="002B6BC8">
        <w:t>https://www.theguardian.com/uk-news/2017/nov/09/britains-police-budgets-to-lose-700m-by-2020-amid-rising</w:t>
      </w:r>
      <w:r w:rsidR="00E04581">
        <w:t xml:space="preserve"> </w:t>
      </w:r>
      <w:r w:rsidR="002B6BC8">
        <w:t>(a</w:t>
      </w:r>
      <w:r w:rsidR="00E04581">
        <w:t>ccessed 1 August 2018</w:t>
      </w:r>
      <w:r w:rsidR="002B6BC8">
        <w:t>).</w:t>
      </w:r>
    </w:p>
  </w:footnote>
  <w:footnote w:id="31">
    <w:p w:rsidR="0065516E" w:rsidRDefault="0065516E">
      <w:pPr>
        <w:pStyle w:val="FootnoteText"/>
      </w:pPr>
      <w:r>
        <w:rPr>
          <w:rStyle w:val="FootnoteReference"/>
        </w:rPr>
        <w:footnoteRef/>
      </w:r>
      <w:r>
        <w:t xml:space="preserve"> </w:t>
      </w:r>
      <w:r w:rsidR="00962674">
        <w:t>Protection from Harassment Act</w:t>
      </w:r>
      <w:r>
        <w:t xml:space="preserve"> s.7(2)</w:t>
      </w:r>
      <w:r w:rsidR="005B2986">
        <w:t>.</w:t>
      </w:r>
    </w:p>
  </w:footnote>
  <w:footnote w:id="32">
    <w:p w:rsidR="0065516E" w:rsidRDefault="0065516E">
      <w:pPr>
        <w:pStyle w:val="FootnoteText"/>
      </w:pPr>
      <w:r>
        <w:rPr>
          <w:rStyle w:val="FootnoteReference"/>
        </w:rPr>
        <w:footnoteRef/>
      </w:r>
      <w:r>
        <w:t xml:space="preserve"> </w:t>
      </w:r>
      <w:bookmarkStart w:id="9" w:name="_Hlk499831864"/>
      <w:r w:rsidRPr="00B54980">
        <w:rPr>
          <w:i/>
        </w:rPr>
        <w:t>Majrowski v Guy's and St Thomas's NHS Trust</w:t>
      </w:r>
      <w:r>
        <w:t xml:space="preserve"> </w:t>
      </w:r>
      <w:r w:rsidRPr="00B54980">
        <w:t>[2006] UKHL 34</w:t>
      </w:r>
      <w:r>
        <w:t xml:space="preserve">, </w:t>
      </w:r>
      <w:r w:rsidRPr="00B54980">
        <w:t xml:space="preserve">[2007] 1 AC </w:t>
      </w:r>
      <w:bookmarkEnd w:id="9"/>
      <w:r w:rsidRPr="00B54980">
        <w:t>224</w:t>
      </w:r>
      <w:r>
        <w:t xml:space="preserve"> per Lord Nicolls at para 30</w:t>
      </w:r>
      <w:r w:rsidR="005B2986">
        <w:t>.</w:t>
      </w:r>
    </w:p>
  </w:footnote>
  <w:footnote w:id="33">
    <w:p w:rsidR="00473BAC" w:rsidRDefault="00473BAC">
      <w:pPr>
        <w:pStyle w:val="FootnoteText"/>
      </w:pPr>
      <w:r>
        <w:rPr>
          <w:rStyle w:val="FootnoteReference"/>
        </w:rPr>
        <w:footnoteRef/>
      </w:r>
      <w:r>
        <w:t xml:space="preserve"> </w:t>
      </w:r>
      <w:r w:rsidRPr="00473BAC">
        <w:rPr>
          <w:i/>
        </w:rPr>
        <w:t>Handyside v United Kingdom</w:t>
      </w:r>
      <w:r w:rsidRPr="00473BAC">
        <w:t xml:space="preserve"> (1976)1 EHRR 737 at para 49</w:t>
      </w:r>
      <w:r w:rsidR="005B2986">
        <w:t>.</w:t>
      </w:r>
    </w:p>
  </w:footnote>
  <w:footnote w:id="34">
    <w:p w:rsidR="00473BAC" w:rsidRDefault="00473BAC">
      <w:pPr>
        <w:pStyle w:val="FootnoteText"/>
      </w:pPr>
      <w:r>
        <w:rPr>
          <w:rStyle w:val="FootnoteReference"/>
        </w:rPr>
        <w:footnoteRef/>
      </w:r>
      <w:r>
        <w:t xml:space="preserve"> </w:t>
      </w:r>
      <w:r w:rsidRPr="00473BAC">
        <w:rPr>
          <w:i/>
        </w:rPr>
        <w:t>Redmond-Bate v DPP</w:t>
      </w:r>
      <w:r>
        <w:t xml:space="preserve"> </w:t>
      </w:r>
      <w:r w:rsidRPr="00473BAC">
        <w:t>[2000] H.R.L.R. 249</w:t>
      </w:r>
      <w:r>
        <w:t xml:space="preserve"> per Sedley LJ at para 20</w:t>
      </w:r>
      <w:r w:rsidR="005B2986">
        <w:t>.</w:t>
      </w:r>
    </w:p>
  </w:footnote>
  <w:footnote w:id="35">
    <w:p w:rsidR="00270779" w:rsidRDefault="00270779">
      <w:pPr>
        <w:pStyle w:val="FootnoteText"/>
      </w:pPr>
      <w:r>
        <w:rPr>
          <w:rStyle w:val="FootnoteReference"/>
        </w:rPr>
        <w:footnoteRef/>
      </w:r>
      <w:r>
        <w:t xml:space="preserve"> </w:t>
      </w:r>
      <w:r w:rsidRPr="00270779">
        <w:t>Z</w:t>
      </w:r>
      <w:r w:rsidR="005B2986">
        <w:t xml:space="preserve">. </w:t>
      </w:r>
      <w:r w:rsidRPr="00270779">
        <w:t>Akhtar, ‘Malicious</w:t>
      </w:r>
      <w:r>
        <w:t xml:space="preserve"> </w:t>
      </w:r>
      <w:r w:rsidRPr="00270779">
        <w:t>communications, media</w:t>
      </w:r>
      <w:r>
        <w:t xml:space="preserve"> </w:t>
      </w:r>
      <w:r w:rsidRPr="00270779">
        <w:t>platforms and legal sanctions’ (2014)</w:t>
      </w:r>
      <w:r>
        <w:t xml:space="preserve"> </w:t>
      </w:r>
      <w:r w:rsidRPr="00270779">
        <w:t>20(6) Computer and Telecommunications Law Review 179, 181</w:t>
      </w:r>
      <w:r w:rsidR="005B2986">
        <w:t>.</w:t>
      </w:r>
    </w:p>
  </w:footnote>
  <w:footnote w:id="36">
    <w:p w:rsidR="0065516E" w:rsidRDefault="0065516E">
      <w:pPr>
        <w:pStyle w:val="FootnoteText"/>
      </w:pPr>
      <w:r>
        <w:rPr>
          <w:rStyle w:val="FootnoteReference"/>
        </w:rPr>
        <w:footnoteRef/>
      </w:r>
      <w:r>
        <w:t xml:space="preserve"> </w:t>
      </w:r>
      <w:bookmarkStart w:id="10" w:name="_Hlk499216328"/>
      <w:r w:rsidR="005B2986">
        <w:t xml:space="preserve">Salter &amp; Bryden, above n.20 at </w:t>
      </w:r>
      <w:r>
        <w:t>103</w:t>
      </w:r>
      <w:bookmarkEnd w:id="10"/>
      <w:r w:rsidR="005B2986">
        <w:t xml:space="preserve">. </w:t>
      </w:r>
    </w:p>
  </w:footnote>
  <w:footnote w:id="37">
    <w:p w:rsidR="00B147FC" w:rsidRDefault="00B147FC">
      <w:pPr>
        <w:pStyle w:val="FootnoteText"/>
      </w:pPr>
      <w:r>
        <w:rPr>
          <w:rStyle w:val="FootnoteReference"/>
        </w:rPr>
        <w:footnoteRef/>
      </w:r>
      <w:r>
        <w:t xml:space="preserve"> </w:t>
      </w:r>
      <w:r w:rsidR="005B2986">
        <w:t>S.</w:t>
      </w:r>
      <w:r w:rsidR="00A700D4" w:rsidRPr="00A700D4">
        <w:t xml:space="preserve"> Basu </w:t>
      </w:r>
      <w:r w:rsidR="00A700D4">
        <w:t xml:space="preserve">&amp; </w:t>
      </w:r>
      <w:r w:rsidR="005B2986">
        <w:t>R.</w:t>
      </w:r>
      <w:r w:rsidR="00A700D4">
        <w:t xml:space="preserve"> Jones, </w:t>
      </w:r>
      <w:r w:rsidR="005B2986">
        <w:t>‘</w:t>
      </w:r>
      <w:r w:rsidR="00A700D4" w:rsidRPr="00A700D4">
        <w:t>Regulating Cyberstalking</w:t>
      </w:r>
      <w:r w:rsidR="005B2986">
        <w:t>’</w:t>
      </w:r>
      <w:r w:rsidR="00A700D4">
        <w:t xml:space="preserve"> (2007) 2</w:t>
      </w:r>
      <w:r w:rsidR="00A700D4" w:rsidRPr="00A700D4">
        <w:t xml:space="preserve"> Journal of Information, Law and Technology</w:t>
      </w:r>
      <w:r w:rsidR="00A700D4">
        <w:t xml:space="preserve"> 1 at para 45</w:t>
      </w:r>
    </w:p>
  </w:footnote>
  <w:footnote w:id="38">
    <w:p w:rsidR="0065516E" w:rsidRDefault="0065516E">
      <w:pPr>
        <w:pStyle w:val="FootnoteText"/>
      </w:pPr>
      <w:r>
        <w:rPr>
          <w:rStyle w:val="FootnoteReference"/>
        </w:rPr>
        <w:footnoteRef/>
      </w:r>
      <w:r>
        <w:t xml:space="preserve"> </w:t>
      </w:r>
      <w:bookmarkStart w:id="11" w:name="_Hlk499832071"/>
      <w:r w:rsidR="005B2986">
        <w:t>Available at:</w:t>
      </w:r>
      <w:r w:rsidRPr="00F1055A">
        <w:t xml:space="preserve"> </w:t>
      </w:r>
      <w:r w:rsidRPr="005B2986">
        <w:t>https://www.theguardian.com/society/2014/jan/07/jane-austen-banknote-abusive-tweets-criado-perez</w:t>
      </w:r>
      <w:r w:rsidRPr="00F1055A">
        <w:t xml:space="preserve"> </w:t>
      </w:r>
      <w:bookmarkEnd w:id="11"/>
      <w:r w:rsidR="005B2986">
        <w:t>(a</w:t>
      </w:r>
      <w:r w:rsidRPr="00F1055A">
        <w:t>ccessed 10 October 2016</w:t>
      </w:r>
      <w:r w:rsidR="005B2986">
        <w:t>)</w:t>
      </w:r>
    </w:p>
  </w:footnote>
  <w:footnote w:id="39">
    <w:p w:rsidR="00404ADF" w:rsidRPr="00404ADF" w:rsidRDefault="0065516E">
      <w:pPr>
        <w:pStyle w:val="FootnoteText"/>
        <w:rPr>
          <w:rFonts w:eastAsia="Arial Unicode MS" w:cs="Arial Unicode MS"/>
        </w:rPr>
      </w:pPr>
      <w:r>
        <w:rPr>
          <w:rStyle w:val="FootnoteReference"/>
        </w:rPr>
        <w:footnoteRef/>
      </w:r>
      <w:r>
        <w:t xml:space="preserve"> </w:t>
      </w:r>
      <w:r w:rsidR="00404ADF">
        <w:rPr>
          <w:rFonts w:eastAsia="Arial Unicode MS" w:cs="Arial Unicode MS"/>
        </w:rPr>
        <w:t xml:space="preserve">Criminal Justice Inspectorates &amp; HM Crown Prosecution Service Inspectorate, </w:t>
      </w:r>
      <w:r w:rsidR="005B2986">
        <w:rPr>
          <w:rFonts w:eastAsia="Arial Unicode MS" w:cs="Arial Unicode MS"/>
        </w:rPr>
        <w:t xml:space="preserve">above n.12 at </w:t>
      </w:r>
      <w:r w:rsidR="00404ADF">
        <w:rPr>
          <w:rFonts w:eastAsia="Arial Unicode MS" w:cs="Arial Unicode MS"/>
        </w:rPr>
        <w:t>27</w:t>
      </w:r>
      <w:r w:rsidR="005B2986">
        <w:rPr>
          <w:rFonts w:eastAsia="Arial Unicode MS" w:cs="Arial Unicode MS"/>
        </w:rPr>
        <w:t>.</w:t>
      </w:r>
    </w:p>
  </w:footnote>
  <w:footnote w:id="40">
    <w:p w:rsidR="009E01B3" w:rsidRDefault="009E01B3" w:rsidP="009E01B3">
      <w:pPr>
        <w:pStyle w:val="FootnoteText"/>
      </w:pPr>
      <w:r>
        <w:rPr>
          <w:rStyle w:val="FootnoteReference"/>
        </w:rPr>
        <w:footnoteRef/>
      </w:r>
      <w:r>
        <w:t xml:space="preserve"> </w:t>
      </w:r>
      <w:bookmarkStart w:id="12" w:name="_Hlk499832120"/>
      <w:r w:rsidRPr="00316D50">
        <w:rPr>
          <w:i/>
        </w:rPr>
        <w:t>R v Peter Nu</w:t>
      </w:r>
      <w:r>
        <w:rPr>
          <w:i/>
        </w:rPr>
        <w:t>n</w:t>
      </w:r>
      <w:r w:rsidRPr="00316D50">
        <w:rPr>
          <w:i/>
        </w:rPr>
        <w:t>n</w:t>
      </w:r>
      <w:r>
        <w:t xml:space="preserve"> unreported 29 September 2014 MC</w:t>
      </w:r>
      <w:bookmarkEnd w:id="12"/>
      <w:r w:rsidR="00F451B7">
        <w:t xml:space="preserve">. </w:t>
      </w:r>
    </w:p>
  </w:footnote>
  <w:footnote w:id="41">
    <w:p w:rsidR="0065516E" w:rsidRDefault="0065516E" w:rsidP="00531369">
      <w:pPr>
        <w:pStyle w:val="FootnoteText"/>
      </w:pPr>
      <w:r>
        <w:rPr>
          <w:rStyle w:val="FootnoteReference"/>
        </w:rPr>
        <w:footnoteRef/>
      </w:r>
      <w:r>
        <w:t xml:space="preserve"> </w:t>
      </w:r>
      <w:r w:rsidR="00F451B7">
        <w:t>Available at:</w:t>
      </w:r>
      <w:r>
        <w:t xml:space="preserve"> </w:t>
      </w:r>
      <w:r w:rsidRPr="00067EC8">
        <w:rPr>
          <w:i/>
        </w:rPr>
        <w:t>https://weekwoman.wordpress.com/2014/09/29/a-brief-comment-on-peter-nunn/</w:t>
      </w:r>
      <w:r>
        <w:t xml:space="preserve"> </w:t>
      </w:r>
      <w:r w:rsidR="00F451B7">
        <w:t>(a</w:t>
      </w:r>
      <w:r w:rsidRPr="00F1055A">
        <w:t>ccessed 29 October 2016</w:t>
      </w:r>
      <w:r w:rsidR="00F451B7">
        <w:t>)</w:t>
      </w:r>
    </w:p>
  </w:footnote>
  <w:footnote w:id="42">
    <w:p w:rsidR="007F0D54" w:rsidRDefault="007F0D54">
      <w:pPr>
        <w:pStyle w:val="FootnoteText"/>
      </w:pPr>
      <w:r>
        <w:rPr>
          <w:rStyle w:val="FootnoteReference"/>
        </w:rPr>
        <w:footnoteRef/>
      </w:r>
      <w:r>
        <w:t xml:space="preserve"> </w:t>
      </w:r>
      <w:r w:rsidR="00F451B7">
        <w:rPr>
          <w:rFonts w:eastAsia="Arial Unicode MS" w:cs="Arial Unicode MS"/>
        </w:rPr>
        <w:t xml:space="preserve">Criminal Justice Inspectorates &amp; HM Crown Prosecution Service Inspectorate, above n.12 at </w:t>
      </w:r>
      <w:r>
        <w:t>87</w:t>
      </w:r>
    </w:p>
  </w:footnote>
  <w:footnote w:id="43">
    <w:p w:rsidR="0065516E" w:rsidRDefault="0065516E">
      <w:pPr>
        <w:pStyle w:val="FootnoteText"/>
      </w:pPr>
      <w:r>
        <w:rPr>
          <w:rStyle w:val="FootnoteReference"/>
        </w:rPr>
        <w:footnoteRef/>
      </w:r>
      <w:r>
        <w:t xml:space="preserve"> </w:t>
      </w:r>
      <w:bookmarkStart w:id="13" w:name="_Hlk499832249"/>
      <w:bookmarkStart w:id="14" w:name="_Hlk499140005"/>
      <w:r>
        <w:t xml:space="preserve">The </w:t>
      </w:r>
      <w:r w:rsidRPr="00A9468C">
        <w:t xml:space="preserve">Home Office, </w:t>
      </w:r>
      <w:r w:rsidR="00F451B7" w:rsidRPr="00F451B7">
        <w:t>above n.7 at</w:t>
      </w:r>
      <w:bookmarkEnd w:id="13"/>
      <w:r w:rsidR="00F451B7">
        <w:rPr>
          <w:i/>
        </w:rPr>
        <w:t xml:space="preserve"> </w:t>
      </w:r>
      <w:r>
        <w:t>1</w:t>
      </w:r>
      <w:bookmarkEnd w:id="14"/>
      <w:r>
        <w:t>4</w:t>
      </w:r>
      <w:r w:rsidR="00F451B7">
        <w:t>.</w:t>
      </w:r>
    </w:p>
  </w:footnote>
  <w:footnote w:id="44">
    <w:p w:rsidR="0065516E" w:rsidRDefault="0065516E">
      <w:pPr>
        <w:pStyle w:val="FootnoteText"/>
      </w:pPr>
      <w:r>
        <w:rPr>
          <w:rStyle w:val="FootnoteReference"/>
        </w:rPr>
        <w:footnoteRef/>
      </w:r>
      <w:r>
        <w:t xml:space="preserve"> </w:t>
      </w:r>
      <w:r w:rsidR="00962674">
        <w:t>Protection from Harassment Act</w:t>
      </w:r>
      <w:r>
        <w:t xml:space="preserve"> s.2A(1)</w:t>
      </w:r>
      <w:r w:rsidR="00F451B7">
        <w:t>.</w:t>
      </w:r>
    </w:p>
  </w:footnote>
  <w:footnote w:id="45">
    <w:p w:rsidR="0065516E" w:rsidRDefault="0065516E">
      <w:pPr>
        <w:pStyle w:val="FootnoteText"/>
      </w:pPr>
      <w:r>
        <w:rPr>
          <w:rStyle w:val="FootnoteReference"/>
        </w:rPr>
        <w:footnoteRef/>
      </w:r>
      <w:r>
        <w:t xml:space="preserve"> </w:t>
      </w:r>
      <w:r w:rsidR="00962674">
        <w:t>Protection from Harassment Act</w:t>
      </w:r>
      <w:r>
        <w:t xml:space="preserve"> s.2A(3)</w:t>
      </w:r>
      <w:r w:rsidR="00F451B7">
        <w:t>.</w:t>
      </w:r>
    </w:p>
  </w:footnote>
  <w:footnote w:id="46">
    <w:p w:rsidR="0065516E" w:rsidRDefault="0065516E">
      <w:pPr>
        <w:pStyle w:val="FootnoteText"/>
      </w:pPr>
      <w:r>
        <w:rPr>
          <w:rStyle w:val="FootnoteReference"/>
        </w:rPr>
        <w:footnoteRef/>
      </w:r>
      <w:r>
        <w:t xml:space="preserve"> It is important to note that under s.4A(4) of the </w:t>
      </w:r>
      <w:r w:rsidR="00962674">
        <w:t>Protection from Harassment Act</w:t>
      </w:r>
      <w:r>
        <w:t xml:space="preserve">, there is a defence available with regard to a course of conduct amount to stalking: </w:t>
      </w:r>
      <w:r w:rsidR="00AF31AA">
        <w:t>‘</w:t>
      </w:r>
      <w:r>
        <w:t xml:space="preserve">… (a) </w:t>
      </w:r>
      <w:r w:rsidRPr="00AA71A3">
        <w:t>A's course of conduct was pursued for the purpose of preventing or detecting crime</w:t>
      </w:r>
      <w:r>
        <w:t xml:space="preserve"> or, (b) </w:t>
      </w:r>
      <w:r w:rsidRPr="00AA71A3">
        <w:t>A's course of conduct was pursued under any enactment or rule of law or to comply with any condition or requirement imposed by any person under any enactment</w:t>
      </w:r>
      <w:r>
        <w:t xml:space="preserve">, or (c) </w:t>
      </w:r>
      <w:r w:rsidRPr="00953D97">
        <w:t>the pursuit of A's course of conduct was reasonable for the protection of A or another or for the protection of A's or another's property.</w:t>
      </w:r>
      <w:r w:rsidR="00AF31AA">
        <w:t>’</w:t>
      </w:r>
    </w:p>
  </w:footnote>
  <w:footnote w:id="47">
    <w:p w:rsidR="008933F2" w:rsidRDefault="008933F2" w:rsidP="008933F2">
      <w:pPr>
        <w:pStyle w:val="FootnoteText"/>
      </w:pPr>
      <w:r>
        <w:rPr>
          <w:rStyle w:val="FootnoteReference"/>
        </w:rPr>
        <w:footnoteRef/>
      </w:r>
      <w:r>
        <w:t xml:space="preserve"> L</w:t>
      </w:r>
      <w:r w:rsidR="00AF31AA">
        <w:t xml:space="preserve">. </w:t>
      </w:r>
      <w:r>
        <w:t xml:space="preserve">Sheridan &amp; </w:t>
      </w:r>
      <w:r w:rsidR="00AF31AA">
        <w:t>T.</w:t>
      </w:r>
      <w:r>
        <w:t xml:space="preserve"> Grant, </w:t>
      </w:r>
      <w:r w:rsidR="00AF31AA">
        <w:t>‘</w:t>
      </w:r>
      <w:r>
        <w:t>Is cyberstalking different?</w:t>
      </w:r>
      <w:r w:rsidR="00AF31AA">
        <w:t>’</w:t>
      </w:r>
      <w:r>
        <w:t xml:space="preserve"> (2007) 13(6) Psychology, Crime &amp; Law 627</w:t>
      </w:r>
      <w:r w:rsidR="00776F94">
        <w:t>-629</w:t>
      </w:r>
      <w:r w:rsidR="001455A2">
        <w:t>.</w:t>
      </w:r>
      <w:r w:rsidR="00776F94">
        <w:t xml:space="preserve"> </w:t>
      </w:r>
      <w:r>
        <w:t xml:space="preserve"> </w:t>
      </w:r>
    </w:p>
  </w:footnote>
  <w:footnote w:id="48">
    <w:p w:rsidR="008933F2" w:rsidRDefault="008933F2">
      <w:pPr>
        <w:pStyle w:val="FootnoteText"/>
      </w:pPr>
      <w:r>
        <w:rPr>
          <w:rStyle w:val="FootnoteReference"/>
        </w:rPr>
        <w:footnoteRef/>
      </w:r>
      <w:r>
        <w:t xml:space="preserve"> The lack of a specific legal definition in relation to cyberstalking is supported by Gillespie. See, </w:t>
      </w:r>
      <w:r w:rsidR="00AF31AA">
        <w:t>A.A.</w:t>
      </w:r>
      <w:r w:rsidR="00C1798A" w:rsidRPr="00C1798A">
        <w:t xml:space="preserve"> Gillespie</w:t>
      </w:r>
      <w:r w:rsidR="00C1798A">
        <w:t xml:space="preserve">, </w:t>
      </w:r>
      <w:r w:rsidR="00AF31AA">
        <w:t>‘</w:t>
      </w:r>
      <w:r w:rsidR="00C1798A" w:rsidRPr="00C1798A">
        <w:t>Cyberstalking and the law: a response to Neil MacEwan</w:t>
      </w:r>
      <w:r w:rsidR="00AF31AA">
        <w:t>’</w:t>
      </w:r>
      <w:r w:rsidR="00C1798A">
        <w:t xml:space="preserve"> (2013) 1 Criminal Law Review 38</w:t>
      </w:r>
      <w:r w:rsidR="00AF31AA">
        <w:t>.</w:t>
      </w:r>
    </w:p>
  </w:footnote>
  <w:footnote w:id="49">
    <w:p w:rsidR="008933F2" w:rsidRDefault="008933F2">
      <w:pPr>
        <w:pStyle w:val="FootnoteText"/>
      </w:pPr>
      <w:r>
        <w:rPr>
          <w:rStyle w:val="FootnoteReference"/>
        </w:rPr>
        <w:footnoteRef/>
      </w:r>
      <w:r>
        <w:t xml:space="preserve"> Sheridan &amp; Grant, </w:t>
      </w:r>
      <w:r w:rsidR="00AF31AA">
        <w:t>above n.47 at</w:t>
      </w:r>
      <w:r>
        <w:t xml:space="preserve"> 627-628</w:t>
      </w:r>
      <w:r w:rsidR="001455A2">
        <w:t>.</w:t>
      </w:r>
      <w:r>
        <w:t xml:space="preserve"> </w:t>
      </w:r>
    </w:p>
  </w:footnote>
  <w:footnote w:id="50">
    <w:p w:rsidR="0065516E" w:rsidRDefault="0065516E">
      <w:pPr>
        <w:pStyle w:val="FootnoteText"/>
      </w:pPr>
      <w:r>
        <w:rPr>
          <w:rStyle w:val="FootnoteReference"/>
        </w:rPr>
        <w:footnoteRef/>
      </w:r>
      <w:r>
        <w:t xml:space="preserve"> </w:t>
      </w:r>
      <w:bookmarkStart w:id="15" w:name="_Hlk498965017"/>
      <w:r w:rsidRPr="00EA3D8B">
        <w:t>N</w:t>
      </w:r>
      <w:r w:rsidR="00AF31AA">
        <w:t>.</w:t>
      </w:r>
      <w:r>
        <w:t xml:space="preserve"> </w:t>
      </w:r>
      <w:r w:rsidRPr="00EA3D8B">
        <w:t>MacEwan</w:t>
      </w:r>
      <w:r w:rsidR="000F6370">
        <w:t xml:space="preserve">, </w:t>
      </w:r>
      <w:r w:rsidR="00AF31AA">
        <w:t>‘</w:t>
      </w:r>
      <w:r w:rsidRPr="00EA3D8B">
        <w:t>The new stalking offences in English law: will they provide effectiv</w:t>
      </w:r>
      <w:r>
        <w:t>e</w:t>
      </w:r>
      <w:r w:rsidR="000F6370">
        <w:t xml:space="preserve"> protection from cyberstalking?</w:t>
      </w:r>
      <w:r w:rsidR="00AF31AA">
        <w:t>’</w:t>
      </w:r>
      <w:r>
        <w:t xml:space="preserve"> (2012) 10 </w:t>
      </w:r>
      <w:r w:rsidR="00962674" w:rsidRPr="00962674">
        <w:t>Criminal Law Review</w:t>
      </w:r>
      <w:r w:rsidRPr="00EA3D8B">
        <w:rPr>
          <w:i/>
        </w:rPr>
        <w:t xml:space="preserve"> </w:t>
      </w:r>
      <w:r>
        <w:t>767</w:t>
      </w:r>
      <w:bookmarkEnd w:id="15"/>
      <w:r>
        <w:t>, 771</w:t>
      </w:r>
      <w:r w:rsidR="001455A2">
        <w:t>.</w:t>
      </w:r>
    </w:p>
  </w:footnote>
  <w:footnote w:id="51">
    <w:p w:rsidR="0065516E" w:rsidRDefault="0065516E">
      <w:pPr>
        <w:pStyle w:val="FootnoteText"/>
      </w:pPr>
      <w:r>
        <w:rPr>
          <w:rStyle w:val="FootnoteReference"/>
        </w:rPr>
        <w:footnoteRef/>
      </w:r>
      <w:r>
        <w:t xml:space="preserve"> </w:t>
      </w:r>
      <w:r w:rsidR="001455A2">
        <w:rPr>
          <w:rFonts w:eastAsia="Arial Unicode MS" w:cs="Arial Unicode MS"/>
        </w:rPr>
        <w:t>Criminal Justice Inspectorates &amp; HM Crown Prosecution Service Inspectorate, above n.12 at 7.</w:t>
      </w:r>
    </w:p>
  </w:footnote>
  <w:footnote w:id="52">
    <w:p w:rsidR="0065516E" w:rsidRDefault="0065516E">
      <w:pPr>
        <w:pStyle w:val="FootnoteText"/>
      </w:pPr>
      <w:r>
        <w:rPr>
          <w:rStyle w:val="FootnoteReference"/>
        </w:rPr>
        <w:footnoteRef/>
      </w:r>
      <w:r>
        <w:t xml:space="preserve"> The Crown Prosecution Service</w:t>
      </w:r>
      <w:bookmarkStart w:id="16" w:name="_Hlk505188349"/>
      <w:r w:rsidR="000F6370">
        <w:t xml:space="preserve">, </w:t>
      </w:r>
      <w:r w:rsidRPr="00CE595D">
        <w:rPr>
          <w:i/>
        </w:rPr>
        <w:t xml:space="preserve">Violence against </w:t>
      </w:r>
      <w:r w:rsidR="00CE595D">
        <w:rPr>
          <w:i/>
        </w:rPr>
        <w:t>W</w:t>
      </w:r>
      <w:r w:rsidRPr="00CE595D">
        <w:rPr>
          <w:i/>
        </w:rPr>
        <w:t xml:space="preserve">omen </w:t>
      </w:r>
      <w:r w:rsidR="000F6370" w:rsidRPr="00CE595D">
        <w:rPr>
          <w:i/>
        </w:rPr>
        <w:t xml:space="preserve">and </w:t>
      </w:r>
      <w:r w:rsidR="00CE595D">
        <w:rPr>
          <w:i/>
        </w:rPr>
        <w:t>G</w:t>
      </w:r>
      <w:r w:rsidR="000F6370" w:rsidRPr="00CE595D">
        <w:rPr>
          <w:i/>
        </w:rPr>
        <w:t>irls report: tenth edition</w:t>
      </w:r>
      <w:r w:rsidR="00CE595D" w:rsidRPr="00CE595D">
        <w:rPr>
          <w:i/>
        </w:rPr>
        <w:t xml:space="preserve"> </w:t>
      </w:r>
      <w:r>
        <w:t>(</w:t>
      </w:r>
      <w:r w:rsidR="00962674">
        <w:t>London: HMSO</w:t>
      </w:r>
      <w:r>
        <w:t>, 2017)</w:t>
      </w:r>
      <w:r w:rsidR="001455A2">
        <w:t>.</w:t>
      </w:r>
      <w:r>
        <w:t xml:space="preserve"> </w:t>
      </w:r>
      <w:bookmarkEnd w:id="16"/>
    </w:p>
  </w:footnote>
  <w:footnote w:id="53">
    <w:p w:rsidR="0065516E" w:rsidRDefault="0065516E" w:rsidP="00962674">
      <w:pPr>
        <w:pStyle w:val="FootnoteText"/>
      </w:pPr>
      <w:r>
        <w:rPr>
          <w:rStyle w:val="FootnoteReference"/>
        </w:rPr>
        <w:footnoteRef/>
      </w:r>
      <w:r>
        <w:t xml:space="preserve"> </w:t>
      </w:r>
      <w:r w:rsidR="001455A2">
        <w:t xml:space="preserve">Ibid., </w:t>
      </w:r>
      <w:r w:rsidR="00962674">
        <w:t>7</w:t>
      </w:r>
      <w:r w:rsidR="001455A2">
        <w:t>.</w:t>
      </w:r>
    </w:p>
  </w:footnote>
  <w:footnote w:id="54">
    <w:p w:rsidR="0065516E" w:rsidRDefault="0065516E">
      <w:pPr>
        <w:pStyle w:val="FootnoteText"/>
      </w:pPr>
      <w:r>
        <w:rPr>
          <w:rStyle w:val="FootnoteReference"/>
        </w:rPr>
        <w:footnoteRef/>
      </w:r>
      <w:r>
        <w:t xml:space="preserve"> Of these 112 cases, 82 cases involved social media. </w:t>
      </w:r>
    </w:p>
  </w:footnote>
  <w:footnote w:id="55">
    <w:p w:rsidR="0065516E" w:rsidRDefault="0065516E">
      <w:pPr>
        <w:pStyle w:val="FootnoteText"/>
      </w:pPr>
      <w:r>
        <w:rPr>
          <w:rStyle w:val="FootnoteReference"/>
        </w:rPr>
        <w:footnoteRef/>
      </w:r>
      <w:r>
        <w:t xml:space="preserve"> </w:t>
      </w:r>
      <w:r w:rsidR="001455A2">
        <w:rPr>
          <w:rFonts w:eastAsia="Arial Unicode MS" w:cs="Arial Unicode MS"/>
        </w:rPr>
        <w:t>Criminal Justice Inspectorates &amp; HM Crown Prosecution Service Inspectorate, above n.12 at 13.</w:t>
      </w:r>
    </w:p>
  </w:footnote>
  <w:footnote w:id="56">
    <w:p w:rsidR="00C1798A" w:rsidRDefault="00C1798A">
      <w:pPr>
        <w:pStyle w:val="FootnoteText"/>
      </w:pPr>
      <w:r>
        <w:rPr>
          <w:rStyle w:val="FootnoteReference"/>
        </w:rPr>
        <w:footnoteRef/>
      </w:r>
      <w:r>
        <w:t xml:space="preserve"> </w:t>
      </w:r>
      <w:r w:rsidRPr="00C1798A">
        <w:t>MacEwan</w:t>
      </w:r>
      <w:r>
        <w:t xml:space="preserve">, </w:t>
      </w:r>
      <w:r w:rsidR="001455A2">
        <w:t xml:space="preserve">above n.50 at </w:t>
      </w:r>
      <w:r>
        <w:t>769</w:t>
      </w:r>
      <w:r w:rsidR="001455A2">
        <w:t>.</w:t>
      </w:r>
      <w:r>
        <w:t xml:space="preserve"> </w:t>
      </w:r>
    </w:p>
  </w:footnote>
  <w:footnote w:id="57">
    <w:p w:rsidR="00C1798A" w:rsidRDefault="00C1798A">
      <w:pPr>
        <w:pStyle w:val="FootnoteText"/>
      </w:pPr>
      <w:r>
        <w:rPr>
          <w:rStyle w:val="FootnoteReference"/>
        </w:rPr>
        <w:footnoteRef/>
      </w:r>
      <w:r>
        <w:t xml:space="preserve"> </w:t>
      </w:r>
      <w:r w:rsidR="002030AC">
        <w:t>Ibid.,</w:t>
      </w:r>
    </w:p>
  </w:footnote>
  <w:footnote w:id="58">
    <w:p w:rsidR="00062D46" w:rsidRPr="002030AC" w:rsidRDefault="00062D46">
      <w:pPr>
        <w:pStyle w:val="FootnoteText"/>
      </w:pPr>
      <w:r>
        <w:rPr>
          <w:rStyle w:val="FootnoteReference"/>
        </w:rPr>
        <w:footnoteRef/>
      </w:r>
      <w:r>
        <w:t xml:space="preserve"> </w:t>
      </w:r>
      <w:r w:rsidR="002030AC">
        <w:t>Ibid.,</w:t>
      </w:r>
    </w:p>
  </w:footnote>
  <w:footnote w:id="59">
    <w:p w:rsidR="00062D46" w:rsidRDefault="00062D46">
      <w:pPr>
        <w:pStyle w:val="FootnoteText"/>
      </w:pPr>
      <w:r>
        <w:rPr>
          <w:rStyle w:val="FootnoteReference"/>
        </w:rPr>
        <w:footnoteRef/>
      </w:r>
      <w:r>
        <w:t xml:space="preserve"> </w:t>
      </w:r>
      <w:r w:rsidRPr="00C1798A">
        <w:t>Gillespie</w:t>
      </w:r>
      <w:r>
        <w:t>,</w:t>
      </w:r>
      <w:r w:rsidR="002030AC">
        <w:t xml:space="preserve"> above n.48 at</w:t>
      </w:r>
      <w:r>
        <w:t xml:space="preserve"> 45  </w:t>
      </w:r>
    </w:p>
  </w:footnote>
  <w:footnote w:id="60">
    <w:p w:rsidR="00062D46" w:rsidRDefault="00062D46">
      <w:pPr>
        <w:pStyle w:val="FootnoteText"/>
      </w:pPr>
      <w:r>
        <w:rPr>
          <w:rStyle w:val="FootnoteReference"/>
        </w:rPr>
        <w:footnoteRef/>
      </w:r>
      <w:r>
        <w:t xml:space="preserve"> </w:t>
      </w:r>
      <w:r w:rsidR="002030AC">
        <w:rPr>
          <w:rFonts w:eastAsia="Arial Unicode MS" w:cs="Arial Unicode MS"/>
        </w:rPr>
        <w:t xml:space="preserve">Criminal Justice Inspectorates &amp; HM Crown Prosecution Service Inspectorate, above n.12 at 7. </w:t>
      </w:r>
    </w:p>
  </w:footnote>
  <w:footnote w:id="61">
    <w:p w:rsidR="002D0EC9" w:rsidRDefault="002D0EC9">
      <w:pPr>
        <w:pStyle w:val="FootnoteText"/>
      </w:pPr>
      <w:r>
        <w:rPr>
          <w:rStyle w:val="FootnoteReference"/>
        </w:rPr>
        <w:footnoteRef/>
      </w:r>
      <w:r>
        <w:t xml:space="preserve"> </w:t>
      </w:r>
      <w:bookmarkStart w:id="17" w:name="_Hlk520365858"/>
      <w:r w:rsidR="002030AC">
        <w:t>Available at</w:t>
      </w:r>
      <w:r>
        <w:t>,</w:t>
      </w:r>
      <w:r w:rsidRPr="002D0EC9">
        <w:t xml:space="preserve"> </w:t>
      </w:r>
      <w:r w:rsidRPr="002030AC">
        <w:t>https://www.independent.co.uk/arts-entertainment/music/news/nicola-roberts-stalker-girls-aloud-cps-apology-carl-davies-a8459656.html?amp&amp;__twitter_impression=true</w:t>
      </w:r>
      <w:r>
        <w:t xml:space="preserve"> </w:t>
      </w:r>
      <w:r w:rsidR="002030AC">
        <w:t>(a</w:t>
      </w:r>
      <w:r>
        <w:t>ccessed 27 July 2018</w:t>
      </w:r>
      <w:bookmarkEnd w:id="17"/>
      <w:r w:rsidR="002030AC">
        <w:t>)</w:t>
      </w:r>
    </w:p>
  </w:footnote>
  <w:footnote w:id="62">
    <w:p w:rsidR="002D0EC9" w:rsidRDefault="002D0EC9">
      <w:pPr>
        <w:pStyle w:val="FootnoteText"/>
      </w:pPr>
      <w:r>
        <w:rPr>
          <w:rStyle w:val="FootnoteReference"/>
        </w:rPr>
        <w:footnoteRef/>
      </w:r>
      <w:r>
        <w:t xml:space="preserve"> </w:t>
      </w:r>
      <w:r w:rsidR="001A7C52">
        <w:t>Ibid.,</w:t>
      </w:r>
    </w:p>
  </w:footnote>
  <w:footnote w:id="63">
    <w:p w:rsidR="00013710" w:rsidRPr="001A7C52" w:rsidRDefault="00013710">
      <w:pPr>
        <w:pStyle w:val="FootnoteText"/>
      </w:pPr>
      <w:r>
        <w:rPr>
          <w:rStyle w:val="FootnoteReference"/>
        </w:rPr>
        <w:footnoteRef/>
      </w:r>
      <w:r>
        <w:t xml:space="preserve"> </w:t>
      </w:r>
      <w:r w:rsidR="001A7C52">
        <w:t xml:space="preserve">Ibid., </w:t>
      </w:r>
    </w:p>
  </w:footnote>
  <w:footnote w:id="64">
    <w:p w:rsidR="004369EB" w:rsidRDefault="004369EB">
      <w:pPr>
        <w:pStyle w:val="FootnoteText"/>
      </w:pPr>
      <w:r>
        <w:rPr>
          <w:rStyle w:val="FootnoteReference"/>
        </w:rPr>
        <w:footnoteRef/>
      </w:r>
      <w:r>
        <w:t xml:space="preserve"> </w:t>
      </w:r>
      <w:r w:rsidR="001A7C52">
        <w:t xml:space="preserve">Salter &amp; Bryden, above n.20 at </w:t>
      </w:r>
      <w:r w:rsidRPr="008B301F">
        <w:t>10</w:t>
      </w:r>
      <w:r>
        <w:t>1</w:t>
      </w:r>
    </w:p>
  </w:footnote>
  <w:footnote w:id="65">
    <w:p w:rsidR="009D02F2" w:rsidRDefault="009D02F2" w:rsidP="009D02F2">
      <w:pPr>
        <w:pStyle w:val="FootnoteText"/>
      </w:pPr>
      <w:r>
        <w:rPr>
          <w:rStyle w:val="FootnoteReference"/>
        </w:rPr>
        <w:footnoteRef/>
      </w:r>
      <w:r>
        <w:t xml:space="preserve"> </w:t>
      </w:r>
      <w:r w:rsidR="001A7C52">
        <w:rPr>
          <w:rFonts w:eastAsia="Arial Unicode MS" w:cs="Arial Unicode MS"/>
        </w:rPr>
        <w:t xml:space="preserve">Criminal Justice Inspectorates &amp; HM Crown Prosecution Service Inspectorate, n.12 at </w:t>
      </w:r>
      <w:r>
        <w:rPr>
          <w:rFonts w:eastAsia="Arial Unicode MS" w:cs="Arial Unicode MS"/>
        </w:rPr>
        <w:t>52</w:t>
      </w:r>
    </w:p>
  </w:footnote>
  <w:footnote w:id="66">
    <w:p w:rsidR="009D02F2" w:rsidRDefault="009D02F2" w:rsidP="009D02F2">
      <w:pPr>
        <w:pStyle w:val="FootnoteText"/>
      </w:pPr>
      <w:r>
        <w:rPr>
          <w:rStyle w:val="FootnoteReference"/>
        </w:rPr>
        <w:footnoteRef/>
      </w:r>
      <w:r>
        <w:t xml:space="preserve"> S</w:t>
      </w:r>
      <w:r w:rsidR="001A7C52">
        <w:t>.</w:t>
      </w:r>
      <w:r>
        <w:t>E</w:t>
      </w:r>
      <w:r w:rsidR="001A7C52">
        <w:t>.</w:t>
      </w:r>
      <w:r>
        <w:t xml:space="preserve"> </w:t>
      </w:r>
      <w:r w:rsidRPr="005D7213">
        <w:t>Ullman</w:t>
      </w:r>
      <w:r>
        <w:t xml:space="preserve">, </w:t>
      </w:r>
      <w:r w:rsidRPr="00F94E36">
        <w:t>Sexual Assault: Society's Response to Survivors</w:t>
      </w:r>
      <w:r w:rsidRPr="005D7213">
        <w:rPr>
          <w:i/>
        </w:rPr>
        <w:t xml:space="preserve"> </w:t>
      </w:r>
      <w:r>
        <w:t>(</w:t>
      </w:r>
      <w:r w:rsidRPr="005D7213">
        <w:t>American Psychological Association</w:t>
      </w:r>
      <w:r w:rsidR="001A7C52">
        <w:t>: USA,</w:t>
      </w:r>
      <w:r>
        <w:t xml:space="preserve"> 2010) </w:t>
      </w:r>
    </w:p>
  </w:footnote>
  <w:footnote w:id="67">
    <w:p w:rsidR="009D02F2" w:rsidRDefault="009D02F2" w:rsidP="009D02F2">
      <w:pPr>
        <w:pStyle w:val="FootnoteText"/>
      </w:pPr>
      <w:r>
        <w:rPr>
          <w:rStyle w:val="FootnoteReference"/>
        </w:rPr>
        <w:footnoteRef/>
      </w:r>
      <w:r>
        <w:t xml:space="preserve"> </w:t>
      </w:r>
      <w:r w:rsidRPr="009031E9">
        <w:t>D</w:t>
      </w:r>
      <w:r w:rsidR="001A7C52">
        <w:t xml:space="preserve">.L. </w:t>
      </w:r>
      <w:r w:rsidRPr="009031E9">
        <w:t xml:space="preserve">Payne, </w:t>
      </w:r>
      <w:r w:rsidR="001A7C52">
        <w:t>K.A</w:t>
      </w:r>
      <w:r w:rsidRPr="009031E9">
        <w:t xml:space="preserve">. Lonsway, </w:t>
      </w:r>
      <w:r>
        <w:t>&amp;</w:t>
      </w:r>
      <w:r w:rsidRPr="009031E9">
        <w:t xml:space="preserve"> L</w:t>
      </w:r>
      <w:r w:rsidR="001A7C52">
        <w:t>.</w:t>
      </w:r>
      <w:r w:rsidRPr="009031E9">
        <w:t>F. Fitzgerald</w:t>
      </w:r>
      <w:r>
        <w:t>,</w:t>
      </w:r>
      <w:r w:rsidRPr="009031E9">
        <w:t xml:space="preserve"> </w:t>
      </w:r>
      <w:r w:rsidR="001A7C52">
        <w:t>‘</w:t>
      </w:r>
      <w:r>
        <w:t>Rape myth acceptance: Exploration of its structure and its measurement using the Illinois Rape Myth Acceptance Scale</w:t>
      </w:r>
      <w:r w:rsidR="001A7C52">
        <w:t>’</w:t>
      </w:r>
      <w:r>
        <w:t xml:space="preserve"> (1999) 33 </w:t>
      </w:r>
      <w:r w:rsidRPr="008A0A69">
        <w:t>Journal Research Personality</w:t>
      </w:r>
      <w:r w:rsidRPr="008A2796">
        <w:rPr>
          <w:i/>
        </w:rPr>
        <w:t xml:space="preserve"> </w:t>
      </w:r>
      <w:r>
        <w:t xml:space="preserve">27. </w:t>
      </w:r>
      <w:r w:rsidR="001A7C52">
        <w:t xml:space="preserve">Available at: </w:t>
      </w:r>
      <w:r w:rsidRPr="001A7C52">
        <w:t>https://www.independent.co.uk/news/uk/crime/rape-sexual-history-assault-cross-examine-trial-court-voices4victims-plaid-cymru-mp-liz-savile-a7570286.html</w:t>
      </w:r>
      <w:r>
        <w:t xml:space="preserve"> </w:t>
      </w:r>
      <w:r w:rsidR="001A7C52">
        <w:t>(a</w:t>
      </w:r>
      <w:r>
        <w:t>ccessed 3 May 2018</w:t>
      </w:r>
      <w:r w:rsidR="001A7C52">
        <w:t>)</w:t>
      </w:r>
      <w:r>
        <w:t xml:space="preserve"> </w:t>
      </w:r>
    </w:p>
  </w:footnote>
  <w:footnote w:id="68">
    <w:p w:rsidR="009D02F2" w:rsidRDefault="009D02F2" w:rsidP="009D02F2">
      <w:pPr>
        <w:pStyle w:val="FootnoteText"/>
      </w:pPr>
      <w:r>
        <w:rPr>
          <w:rStyle w:val="FootnoteReference"/>
        </w:rPr>
        <w:footnoteRef/>
      </w:r>
      <w:r>
        <w:t xml:space="preserve"> </w:t>
      </w:r>
      <w:r w:rsidRPr="009031E9">
        <w:t xml:space="preserve">Payne, Lonsway, </w:t>
      </w:r>
      <w:r>
        <w:t>&amp;</w:t>
      </w:r>
      <w:r w:rsidRPr="009031E9">
        <w:t xml:space="preserve"> Fitzgerald</w:t>
      </w:r>
      <w:r>
        <w:t>,</w:t>
      </w:r>
      <w:r w:rsidRPr="009031E9">
        <w:t xml:space="preserve"> </w:t>
      </w:r>
      <w:r w:rsidR="001A7C52">
        <w:t>above n.67.</w:t>
      </w:r>
    </w:p>
  </w:footnote>
  <w:footnote w:id="69">
    <w:p w:rsidR="004369EB" w:rsidRDefault="004369EB">
      <w:pPr>
        <w:pStyle w:val="FootnoteText"/>
      </w:pPr>
      <w:r>
        <w:rPr>
          <w:rStyle w:val="FootnoteReference"/>
        </w:rPr>
        <w:footnoteRef/>
      </w:r>
      <w:r>
        <w:t xml:space="preserve"> M. Yar</w:t>
      </w:r>
      <w:r w:rsidR="000B69C0">
        <w:t xml:space="preserve">, </w:t>
      </w:r>
      <w:r w:rsidR="000B69C0" w:rsidRPr="000B69C0">
        <w:rPr>
          <w:i/>
        </w:rPr>
        <w:t>Cybercrime and Society</w:t>
      </w:r>
      <w:r w:rsidR="000B69C0">
        <w:t xml:space="preserve"> (</w:t>
      </w:r>
      <w:r w:rsidR="001A7C52">
        <w:t xml:space="preserve">Thousand Oaks: </w:t>
      </w:r>
      <w:r w:rsidR="000B69C0">
        <w:t>London</w:t>
      </w:r>
      <w:r w:rsidR="001A7C52">
        <w:t>,</w:t>
      </w:r>
      <w:r w:rsidR="000B69C0">
        <w:t xml:space="preserve"> 2006)16</w:t>
      </w:r>
      <w:r w:rsidR="001A7C52">
        <w:t>.</w:t>
      </w:r>
    </w:p>
  </w:footnote>
  <w:footnote w:id="70">
    <w:p w:rsidR="00934D7F" w:rsidRDefault="00934D7F">
      <w:pPr>
        <w:pStyle w:val="FootnoteText"/>
      </w:pPr>
      <w:r>
        <w:rPr>
          <w:rStyle w:val="FootnoteReference"/>
        </w:rPr>
        <w:footnoteRef/>
      </w:r>
      <w:r>
        <w:t xml:space="preserve"> </w:t>
      </w:r>
      <w:r w:rsidRPr="00934D7F">
        <w:rPr>
          <w:i/>
        </w:rPr>
        <w:t>Chambers v DPP</w:t>
      </w:r>
      <w:r w:rsidRPr="00934D7F">
        <w:t xml:space="preserve"> [2012] EWHC 2157 (Admin), [2013] 1 WLR 1833.</w:t>
      </w:r>
      <w:r>
        <w:t xml:space="preserve"> </w:t>
      </w:r>
    </w:p>
  </w:footnote>
  <w:footnote w:id="71">
    <w:p w:rsidR="00B91461" w:rsidRDefault="00B91461" w:rsidP="00B91461">
      <w:pPr>
        <w:pStyle w:val="FootnoteText"/>
      </w:pPr>
      <w:r>
        <w:rPr>
          <w:rStyle w:val="FootnoteReference"/>
        </w:rPr>
        <w:footnoteRef/>
      </w:r>
      <w:r>
        <w:t xml:space="preserve"> </w:t>
      </w:r>
      <w:r w:rsidR="001A7C52">
        <w:t>Available at:</w:t>
      </w:r>
      <w:r>
        <w:t xml:space="preserve"> </w:t>
      </w:r>
      <w:r w:rsidRPr="001A7C52">
        <w:t>http://blog.cps.gov.uk/2012/09/dpp-statement-on-tom-daley-case-and-socialmedia-prosecutions.html</w:t>
      </w:r>
      <w:r>
        <w:t xml:space="preserve"> </w:t>
      </w:r>
      <w:r w:rsidR="001A7C52">
        <w:t>(a</w:t>
      </w:r>
      <w:r>
        <w:t>ccessed 2 July 2018</w:t>
      </w:r>
      <w:r w:rsidR="001A7C52">
        <w:t>)</w:t>
      </w:r>
      <w:r w:rsidR="00F94E36">
        <w:t>.</w:t>
      </w:r>
      <w:r>
        <w:t xml:space="preserve"> </w:t>
      </w:r>
    </w:p>
  </w:footnote>
  <w:footnote w:id="72">
    <w:p w:rsidR="00506327" w:rsidRDefault="00506327">
      <w:pPr>
        <w:pStyle w:val="FootnoteText"/>
      </w:pPr>
      <w:r>
        <w:rPr>
          <w:rStyle w:val="FootnoteReference"/>
        </w:rPr>
        <w:footnoteRef/>
      </w:r>
      <w:r>
        <w:t xml:space="preserve"> </w:t>
      </w:r>
      <w:r w:rsidRPr="00962674">
        <w:t xml:space="preserve">Crown Prosecution Service, </w:t>
      </w:r>
      <w:r w:rsidRPr="00962674">
        <w:rPr>
          <w:i/>
        </w:rPr>
        <w:t xml:space="preserve">Guidelines on prosecuting cases involving communications sent via social media </w:t>
      </w:r>
      <w:r w:rsidRPr="00962674">
        <w:t>(London: HMSO, 201</w:t>
      </w:r>
      <w:r>
        <w:t>3)</w:t>
      </w:r>
      <w:r w:rsidR="001A7C52">
        <w:t>.</w:t>
      </w:r>
      <w:r>
        <w:t xml:space="preserve"> </w:t>
      </w:r>
    </w:p>
  </w:footnote>
  <w:footnote w:id="73">
    <w:p w:rsidR="009E7413" w:rsidRDefault="009E7413" w:rsidP="009E7413">
      <w:pPr>
        <w:pStyle w:val="FootnoteText"/>
      </w:pPr>
      <w:r>
        <w:rPr>
          <w:rStyle w:val="FootnoteReference"/>
        </w:rPr>
        <w:footnoteRef/>
      </w:r>
      <w:r>
        <w:t xml:space="preserve"> </w:t>
      </w:r>
      <w:r w:rsidR="001A7C52">
        <w:t>Ibid.,</w:t>
      </w:r>
    </w:p>
  </w:footnote>
  <w:footnote w:id="74">
    <w:p w:rsidR="00506327" w:rsidRDefault="00506327">
      <w:pPr>
        <w:pStyle w:val="FootnoteText"/>
      </w:pPr>
      <w:r>
        <w:rPr>
          <w:rStyle w:val="FootnoteReference"/>
        </w:rPr>
        <w:footnoteRef/>
      </w:r>
      <w:r>
        <w:t xml:space="preserve"> </w:t>
      </w:r>
      <w:r w:rsidR="001A7C52">
        <w:t>Ibid.,</w:t>
      </w:r>
    </w:p>
  </w:footnote>
  <w:footnote w:id="75">
    <w:p w:rsidR="0065516E" w:rsidRDefault="0065516E">
      <w:pPr>
        <w:pStyle w:val="FootnoteText"/>
      </w:pPr>
      <w:r>
        <w:rPr>
          <w:rStyle w:val="FootnoteReference"/>
        </w:rPr>
        <w:footnoteRef/>
      </w:r>
      <w:r>
        <w:t xml:space="preserve"> </w:t>
      </w:r>
      <w:r w:rsidR="001A7C52">
        <w:t>Available at:</w:t>
      </w:r>
      <w:r>
        <w:t xml:space="preserve"> </w:t>
      </w:r>
      <w:r w:rsidRPr="001A7C52">
        <w:t>https://www.independent.co.uk/voices/molly-mclaren-stalking-joshua-stimpson-stabbed-theodore-johnson-cps a8198836.html?utm_campaign=Echobox&amp;utm_medium=Social&amp;utm_source=Facebook</w:t>
      </w:r>
      <w:r w:rsidRPr="00D54BEA">
        <w:rPr>
          <w:i/>
        </w:rPr>
        <w:t xml:space="preserve"> </w:t>
      </w:r>
      <w:r w:rsidR="001A7C52">
        <w:t>(a</w:t>
      </w:r>
      <w:r>
        <w:t>ccessed 3 April 201</w:t>
      </w:r>
      <w:r w:rsidR="00F94E36">
        <w:t>8).</w:t>
      </w:r>
    </w:p>
  </w:footnote>
  <w:footnote w:id="76">
    <w:p w:rsidR="00F1097C" w:rsidRDefault="00F1097C">
      <w:pPr>
        <w:pStyle w:val="FootnoteText"/>
      </w:pPr>
      <w:r>
        <w:rPr>
          <w:rStyle w:val="FootnoteReference"/>
        </w:rPr>
        <w:footnoteRef/>
      </w:r>
      <w:r>
        <w:t xml:space="preserve"> At the time of writing, </w:t>
      </w:r>
      <w:r w:rsidR="008823BD">
        <w:t xml:space="preserve">the </w:t>
      </w:r>
      <w:r w:rsidR="008823BD" w:rsidRPr="008823BD">
        <w:t>Independent Office for Police Misconduct</w:t>
      </w:r>
      <w:r w:rsidR="008823BD">
        <w:t xml:space="preserve"> review into the case of Molly McLaren is still ongoing. </w:t>
      </w:r>
    </w:p>
  </w:footnote>
  <w:footnote w:id="77">
    <w:p w:rsidR="0065516E" w:rsidRDefault="0065516E">
      <w:pPr>
        <w:pStyle w:val="FootnoteText"/>
      </w:pPr>
      <w:r>
        <w:rPr>
          <w:rStyle w:val="FootnoteReference"/>
        </w:rPr>
        <w:footnoteRef/>
      </w:r>
      <w:r>
        <w:t xml:space="preserve"> </w:t>
      </w:r>
      <w:r w:rsidR="001A7C52">
        <w:t>Available at:</w:t>
      </w:r>
      <w:r w:rsidR="004A1DDD">
        <w:t xml:space="preserve"> </w:t>
      </w:r>
      <w:r w:rsidRPr="00D54BEA">
        <w:rPr>
          <w:i/>
        </w:rPr>
        <w:t xml:space="preserve">https://www.theguardian.com/music/2016/apr/16/lily-allen-stalked-singer-police </w:t>
      </w:r>
      <w:r w:rsidR="001A7C52">
        <w:t>(a</w:t>
      </w:r>
      <w:r>
        <w:t>ccessed 3 April 2018</w:t>
      </w:r>
      <w:r w:rsidR="001A7C52">
        <w:t>)</w:t>
      </w:r>
      <w:r w:rsidR="00F94E36">
        <w:t>.</w:t>
      </w:r>
    </w:p>
  </w:footnote>
  <w:footnote w:id="78">
    <w:p w:rsidR="0065516E" w:rsidRDefault="0065516E">
      <w:pPr>
        <w:pStyle w:val="FootnoteText"/>
      </w:pPr>
      <w:r>
        <w:rPr>
          <w:rStyle w:val="FootnoteReference"/>
        </w:rPr>
        <w:footnoteRef/>
      </w:r>
      <w:r>
        <w:t xml:space="preserve"> </w:t>
      </w:r>
      <w:r w:rsidR="001A7C52" w:rsidRPr="00F94E36">
        <w:t>Ibid</w:t>
      </w:r>
      <w:r w:rsidR="001A7C52">
        <w:t>.,</w:t>
      </w:r>
    </w:p>
  </w:footnote>
  <w:footnote w:id="79">
    <w:p w:rsidR="00875C06" w:rsidRDefault="00875C06">
      <w:pPr>
        <w:pStyle w:val="FootnoteText"/>
      </w:pPr>
      <w:r>
        <w:rPr>
          <w:rStyle w:val="FootnoteReference"/>
        </w:rPr>
        <w:footnoteRef/>
      </w:r>
      <w:r>
        <w:t xml:space="preserve"> </w:t>
      </w:r>
      <w:r w:rsidRPr="00875C06">
        <w:t>Her Majesty’s Inspectorate of Constabulary</w:t>
      </w:r>
      <w:r w:rsidR="000A0406">
        <w:t xml:space="preserve">, </w:t>
      </w:r>
      <w:r w:rsidR="000A0406" w:rsidRPr="000A0406">
        <w:rPr>
          <w:i/>
        </w:rPr>
        <w:t>Real lives, real crime: A study of  digital crime and policing</w:t>
      </w:r>
      <w:r w:rsidR="000A0406">
        <w:t xml:space="preserve"> (London: HMIC, 2015) at para 6.14</w:t>
      </w:r>
      <w:r w:rsidR="00F94E36">
        <w:t>.</w:t>
      </w:r>
      <w:r w:rsidR="000A0406">
        <w:t xml:space="preserve"> </w:t>
      </w:r>
    </w:p>
  </w:footnote>
  <w:footnote w:id="80">
    <w:p w:rsidR="009E7413" w:rsidRDefault="009E7413" w:rsidP="009E7413">
      <w:pPr>
        <w:pStyle w:val="FootnoteText"/>
      </w:pPr>
      <w:r>
        <w:rPr>
          <w:rStyle w:val="FootnoteReference"/>
        </w:rPr>
        <w:footnoteRef/>
      </w:r>
      <w:r>
        <w:t xml:space="preserve"> Please note, this is not the victims real name.</w:t>
      </w:r>
    </w:p>
  </w:footnote>
  <w:footnote w:id="81">
    <w:p w:rsidR="009E7413" w:rsidRDefault="009E7413" w:rsidP="009E7413">
      <w:pPr>
        <w:pStyle w:val="FootnoteText"/>
      </w:pPr>
      <w:r>
        <w:rPr>
          <w:rStyle w:val="FootnoteReference"/>
        </w:rPr>
        <w:footnoteRef/>
      </w:r>
      <w:r>
        <w:t xml:space="preserve"> </w:t>
      </w:r>
      <w:r w:rsidR="001A7C52">
        <w:t>Available at</w:t>
      </w:r>
      <w:r>
        <w:t xml:space="preserve">, </w:t>
      </w:r>
      <w:r w:rsidRPr="00F94E36">
        <w:t xml:space="preserve">http://www.bbc.co.uk/news/uk-england-hereford-worcester-43291038 </w:t>
      </w:r>
      <w:r w:rsidR="001A7C52" w:rsidRPr="00F94E36">
        <w:t>(</w:t>
      </w:r>
      <w:r w:rsidR="001A7C52">
        <w:t>a</w:t>
      </w:r>
      <w:r>
        <w:t>ccessed 3 April 2018</w:t>
      </w:r>
      <w:r w:rsidR="001A7C52">
        <w:t>).</w:t>
      </w:r>
    </w:p>
  </w:footnote>
  <w:footnote w:id="82">
    <w:p w:rsidR="009E7413" w:rsidRDefault="009E7413" w:rsidP="009E7413">
      <w:pPr>
        <w:pStyle w:val="FootnoteText"/>
      </w:pPr>
      <w:r>
        <w:rPr>
          <w:rStyle w:val="FootnoteReference"/>
        </w:rPr>
        <w:footnoteRef/>
      </w:r>
      <w:r>
        <w:t xml:space="preserve"> </w:t>
      </w:r>
      <w:r w:rsidR="00F94E36">
        <w:t xml:space="preserve">Ibid., </w:t>
      </w:r>
    </w:p>
  </w:footnote>
  <w:footnote w:id="83">
    <w:p w:rsidR="009E7413" w:rsidRDefault="009E7413" w:rsidP="009E7413">
      <w:pPr>
        <w:pStyle w:val="FootnoteText"/>
      </w:pPr>
      <w:r>
        <w:rPr>
          <w:rStyle w:val="FootnoteReference"/>
        </w:rPr>
        <w:footnoteRef/>
      </w:r>
      <w:r>
        <w:t xml:space="preserve"> </w:t>
      </w:r>
      <w:r w:rsidRPr="00962674">
        <w:t>Crown Prosecution Service,</w:t>
      </w:r>
      <w:r w:rsidR="00F94E36">
        <w:t xml:space="preserve"> n.72.</w:t>
      </w:r>
    </w:p>
  </w:footnote>
  <w:footnote w:id="84">
    <w:p w:rsidR="009E7413" w:rsidRDefault="009E7413" w:rsidP="009E7413">
      <w:pPr>
        <w:pStyle w:val="FootnoteText"/>
      </w:pPr>
      <w:r>
        <w:rPr>
          <w:rStyle w:val="FootnoteReference"/>
        </w:rPr>
        <w:footnoteRef/>
      </w:r>
      <w:r>
        <w:t xml:space="preserve"> </w:t>
      </w:r>
      <w:r w:rsidR="00F94E36">
        <w:t>Available at:</w:t>
      </w:r>
      <w:r>
        <w:t xml:space="preserve"> </w:t>
      </w:r>
      <w:r w:rsidRPr="00F94E36">
        <w:t>http://www.bbc.co.uk/news/uk-england-41693437</w:t>
      </w:r>
      <w:r>
        <w:t xml:space="preserve"> </w:t>
      </w:r>
      <w:r w:rsidR="00F94E36">
        <w:t>(a</w:t>
      </w:r>
      <w:r>
        <w:t>ccessed 30 January 2018</w:t>
      </w:r>
      <w:r w:rsidR="00F94E36">
        <w:t>).</w:t>
      </w:r>
    </w:p>
  </w:footnote>
  <w:footnote w:id="85">
    <w:p w:rsidR="00306BDE" w:rsidRDefault="00306BDE" w:rsidP="00306BDE">
      <w:pPr>
        <w:pStyle w:val="FootnoteText"/>
      </w:pPr>
      <w:r>
        <w:rPr>
          <w:rStyle w:val="FootnoteReference"/>
        </w:rPr>
        <w:footnoteRef/>
      </w:r>
      <w:r>
        <w:t xml:space="preserve"> HM Government, </w:t>
      </w:r>
      <w:r w:rsidRPr="00306BDE">
        <w:rPr>
          <w:i/>
        </w:rPr>
        <w:t>Government response to the Internet Safety Strategy Green Paper</w:t>
      </w:r>
      <w:r>
        <w:t xml:space="preserve"> (London: HM Government, 2018) 31</w:t>
      </w:r>
    </w:p>
  </w:footnote>
  <w:footnote w:id="86">
    <w:p w:rsidR="0065516E" w:rsidRDefault="0065516E">
      <w:pPr>
        <w:pStyle w:val="FootnoteText"/>
      </w:pPr>
      <w:r>
        <w:rPr>
          <w:rStyle w:val="FootnoteReference"/>
        </w:rPr>
        <w:footnoteRef/>
      </w:r>
      <w:r>
        <w:t xml:space="preserve"> </w:t>
      </w:r>
      <w:r w:rsidR="00F94E36">
        <w:t>Ibid., 1</w:t>
      </w:r>
      <w:r>
        <w:t>6</w:t>
      </w:r>
    </w:p>
  </w:footnote>
  <w:footnote w:id="87">
    <w:p w:rsidR="006747B3" w:rsidRDefault="006747B3">
      <w:pPr>
        <w:pStyle w:val="FootnoteText"/>
      </w:pPr>
      <w:r>
        <w:rPr>
          <w:rStyle w:val="FootnoteReference"/>
        </w:rPr>
        <w:footnoteRef/>
      </w:r>
      <w:r>
        <w:t xml:space="preserve"> </w:t>
      </w:r>
      <w:r w:rsidR="006A69DB" w:rsidRPr="006A69DB">
        <w:t>I</w:t>
      </w:r>
      <w:r w:rsidR="00F94E36">
        <w:t>.</w:t>
      </w:r>
      <w:r w:rsidR="006A69DB" w:rsidRPr="006A69DB">
        <w:t xml:space="preserve"> Walden in A</w:t>
      </w:r>
      <w:r w:rsidR="00F94E36">
        <w:t>.</w:t>
      </w:r>
      <w:r w:rsidR="006A69DB" w:rsidRPr="006A69DB">
        <w:t xml:space="preserve"> Büllesbach et al (eds) </w:t>
      </w:r>
      <w:r w:rsidR="006A69DB" w:rsidRPr="00F94E36">
        <w:t>Concise European IT Law</w:t>
      </w:r>
      <w:r w:rsidR="006A69DB" w:rsidRPr="006A69DB">
        <w:t xml:space="preserve"> (Kluwer Law International</w:t>
      </w:r>
      <w:r w:rsidR="00F94E36">
        <w:t>: Netherlands,</w:t>
      </w:r>
      <w:r w:rsidR="006A69DB">
        <w:t xml:space="preserve"> </w:t>
      </w:r>
      <w:r w:rsidR="006A69DB" w:rsidRPr="006A69DB">
        <w:t>2010)</w:t>
      </w:r>
      <w:r w:rsidR="00F94E36">
        <w:t xml:space="preserve"> </w:t>
      </w:r>
      <w:r w:rsidR="006A69DB" w:rsidRPr="006A69DB">
        <w:t>253</w:t>
      </w:r>
    </w:p>
  </w:footnote>
  <w:footnote w:id="88">
    <w:p w:rsidR="0065516E" w:rsidRDefault="0065516E">
      <w:pPr>
        <w:pStyle w:val="FootnoteText"/>
      </w:pPr>
      <w:r>
        <w:rPr>
          <w:rStyle w:val="FootnoteReference"/>
        </w:rPr>
        <w:footnoteRef/>
      </w:r>
      <w:r w:rsidR="000F6370">
        <w:t xml:space="preserve"> </w:t>
      </w:r>
      <w:r w:rsidR="00F94E36">
        <w:t>Available at:</w:t>
      </w:r>
      <w:r w:rsidR="007235CB">
        <w:t xml:space="preserve"> </w:t>
      </w:r>
      <w:r w:rsidRPr="008A2796">
        <w:rPr>
          <w:i/>
        </w:rPr>
        <w:t>https://www.fawcettsociety.org.uk/news/twitter-failing-women-experiencing-online-threats-harassment</w:t>
      </w:r>
      <w:r>
        <w:t xml:space="preserve"> </w:t>
      </w:r>
      <w:r w:rsidR="00F94E36">
        <w:t>(accessed 9 October 2018).</w:t>
      </w:r>
      <w:r>
        <w:t xml:space="preserve"> </w:t>
      </w:r>
    </w:p>
  </w:footnote>
  <w:footnote w:id="89">
    <w:p w:rsidR="0065516E" w:rsidRDefault="0065516E">
      <w:pPr>
        <w:pStyle w:val="FootnoteText"/>
      </w:pPr>
      <w:r>
        <w:rPr>
          <w:rStyle w:val="FootnoteReference"/>
        </w:rPr>
        <w:footnoteRef/>
      </w:r>
      <w:r>
        <w:t xml:space="preserve"> </w:t>
      </w:r>
      <w:bookmarkStart w:id="18" w:name="_Hlk507518834"/>
      <w:r>
        <w:t xml:space="preserve">Home Affairs Committee, </w:t>
      </w:r>
      <w:r w:rsidRPr="0047535F">
        <w:rPr>
          <w:i/>
        </w:rPr>
        <w:t>Hate crime: abuse, hate and extremism online</w:t>
      </w:r>
      <w:r>
        <w:t xml:space="preserve"> (</w:t>
      </w:r>
      <w:r w:rsidR="007235CB">
        <w:t xml:space="preserve">London: </w:t>
      </w:r>
      <w:r>
        <w:t>H</w:t>
      </w:r>
      <w:r w:rsidR="007235CB">
        <w:t>ome Affairs Committee</w:t>
      </w:r>
      <w:r>
        <w:t>, 2016)</w:t>
      </w:r>
      <w:r w:rsidR="00F94E36">
        <w:t>.</w:t>
      </w:r>
      <w:r>
        <w:t xml:space="preserve"> </w:t>
      </w:r>
      <w:bookmarkEnd w:id="18"/>
    </w:p>
  </w:footnote>
  <w:footnote w:id="90">
    <w:p w:rsidR="0065516E" w:rsidRDefault="0065516E">
      <w:pPr>
        <w:pStyle w:val="FootnoteText"/>
      </w:pPr>
      <w:r>
        <w:rPr>
          <w:rStyle w:val="FootnoteReference"/>
        </w:rPr>
        <w:footnoteRef/>
      </w:r>
      <w:r>
        <w:t xml:space="preserve"> Only these three Social Networking companies were present as they are the only companies with representatives in the United Kingdom.</w:t>
      </w:r>
    </w:p>
  </w:footnote>
  <w:footnote w:id="91">
    <w:p w:rsidR="0065516E" w:rsidRDefault="0065516E">
      <w:pPr>
        <w:pStyle w:val="FootnoteText"/>
      </w:pPr>
      <w:r>
        <w:rPr>
          <w:rStyle w:val="FootnoteReference"/>
        </w:rPr>
        <w:footnoteRef/>
      </w:r>
      <w:r>
        <w:t xml:space="preserve"> </w:t>
      </w:r>
      <w:r w:rsidR="00F94E36">
        <w:t>Home Affairs Committee, above, n.89 at 36</w:t>
      </w:r>
      <w:r w:rsidR="00B87B80">
        <w:t>.</w:t>
      </w:r>
    </w:p>
  </w:footnote>
  <w:footnote w:id="92">
    <w:p w:rsidR="007F4F2E" w:rsidRDefault="007F4F2E">
      <w:pPr>
        <w:pStyle w:val="FootnoteText"/>
      </w:pPr>
      <w:r>
        <w:rPr>
          <w:rStyle w:val="FootnoteReference"/>
        </w:rPr>
        <w:footnoteRef/>
      </w:r>
      <w:r>
        <w:t xml:space="preserve"> Figures released by the Office of National Statistics found that 90% of men and 88% of women were regular internet users</w:t>
      </w:r>
      <w:r w:rsidR="00F94E36">
        <w:t xml:space="preserve">, available at: </w:t>
      </w:r>
      <w:r w:rsidRPr="00F94E36">
        <w:t>https://www.ons.gov.uk/businessindustryandtrade/itandinternetindustry/bulletins/internetusers/2017</w:t>
      </w:r>
      <w:r w:rsidR="00F94E36">
        <w:t xml:space="preserve"> (a</w:t>
      </w:r>
      <w:r>
        <w:t>ccessed 17 May 2018</w:t>
      </w:r>
      <w:r w:rsidR="00F94E36">
        <w:t>)</w:t>
      </w:r>
      <w:r w:rsidR="00B87B80">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28F5DD8"/>
    <w:multiLevelType w:val="hybridMultilevel"/>
    <w:tmpl w:val="E2C412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4"/>
  </w:num>
  <w:num w:numId="16">
    <w:abstractNumId w:val="17"/>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3"/>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5D"/>
    <w:rsid w:val="00001899"/>
    <w:rsid w:val="000049AD"/>
    <w:rsid w:val="000050F2"/>
    <w:rsid w:val="00005B8F"/>
    <w:rsid w:val="0000681B"/>
    <w:rsid w:val="000133C0"/>
    <w:rsid w:val="0001371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62D46"/>
    <w:rsid w:val="00064C9F"/>
    <w:rsid w:val="00067EC8"/>
    <w:rsid w:val="00070564"/>
    <w:rsid w:val="000733AC"/>
    <w:rsid w:val="00074B81"/>
    <w:rsid w:val="00074D22"/>
    <w:rsid w:val="00075081"/>
    <w:rsid w:val="0007528A"/>
    <w:rsid w:val="000776A1"/>
    <w:rsid w:val="000811AB"/>
    <w:rsid w:val="00083C5F"/>
    <w:rsid w:val="0009172C"/>
    <w:rsid w:val="000930EC"/>
    <w:rsid w:val="00095E61"/>
    <w:rsid w:val="000966C1"/>
    <w:rsid w:val="000970AC"/>
    <w:rsid w:val="000A0406"/>
    <w:rsid w:val="000A1167"/>
    <w:rsid w:val="000A4428"/>
    <w:rsid w:val="000A6D40"/>
    <w:rsid w:val="000A7BC3"/>
    <w:rsid w:val="000B1661"/>
    <w:rsid w:val="000B1F0B"/>
    <w:rsid w:val="000B2E88"/>
    <w:rsid w:val="000B4603"/>
    <w:rsid w:val="000B69C0"/>
    <w:rsid w:val="000C09BE"/>
    <w:rsid w:val="000C1134"/>
    <w:rsid w:val="000C1380"/>
    <w:rsid w:val="000C554F"/>
    <w:rsid w:val="000D0DC5"/>
    <w:rsid w:val="000D15FF"/>
    <w:rsid w:val="000D28DF"/>
    <w:rsid w:val="000D488B"/>
    <w:rsid w:val="000D68DF"/>
    <w:rsid w:val="000E138D"/>
    <w:rsid w:val="000E187A"/>
    <w:rsid w:val="000E2D61"/>
    <w:rsid w:val="000E33A1"/>
    <w:rsid w:val="000E450E"/>
    <w:rsid w:val="000E6259"/>
    <w:rsid w:val="000F4677"/>
    <w:rsid w:val="000F46F2"/>
    <w:rsid w:val="000F5BE0"/>
    <w:rsid w:val="000F6370"/>
    <w:rsid w:val="00100587"/>
    <w:rsid w:val="0010284E"/>
    <w:rsid w:val="00103122"/>
    <w:rsid w:val="0010336A"/>
    <w:rsid w:val="001050F1"/>
    <w:rsid w:val="00105AEA"/>
    <w:rsid w:val="00106DAF"/>
    <w:rsid w:val="00107483"/>
    <w:rsid w:val="00114ABE"/>
    <w:rsid w:val="00116023"/>
    <w:rsid w:val="00130724"/>
    <w:rsid w:val="00134A51"/>
    <w:rsid w:val="00140727"/>
    <w:rsid w:val="001455A2"/>
    <w:rsid w:val="00146BAB"/>
    <w:rsid w:val="00160628"/>
    <w:rsid w:val="00161344"/>
    <w:rsid w:val="00162195"/>
    <w:rsid w:val="0016322A"/>
    <w:rsid w:val="00165A21"/>
    <w:rsid w:val="001705CE"/>
    <w:rsid w:val="0017714B"/>
    <w:rsid w:val="001804DF"/>
    <w:rsid w:val="00181BDC"/>
    <w:rsid w:val="00181CC6"/>
    <w:rsid w:val="00181DB0"/>
    <w:rsid w:val="001829E3"/>
    <w:rsid w:val="001920D8"/>
    <w:rsid w:val="001924C0"/>
    <w:rsid w:val="0019731E"/>
    <w:rsid w:val="001A09FE"/>
    <w:rsid w:val="001A53B8"/>
    <w:rsid w:val="001A67C9"/>
    <w:rsid w:val="001A69DE"/>
    <w:rsid w:val="001A713C"/>
    <w:rsid w:val="001A7C52"/>
    <w:rsid w:val="001B0E14"/>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4109"/>
    <w:rsid w:val="001E6302"/>
    <w:rsid w:val="001E7461"/>
    <w:rsid w:val="001E7DCB"/>
    <w:rsid w:val="001F3411"/>
    <w:rsid w:val="001F4287"/>
    <w:rsid w:val="001F4DBA"/>
    <w:rsid w:val="002030AC"/>
    <w:rsid w:val="0020415E"/>
    <w:rsid w:val="00204FF4"/>
    <w:rsid w:val="00205529"/>
    <w:rsid w:val="0021056E"/>
    <w:rsid w:val="0021075D"/>
    <w:rsid w:val="0021165A"/>
    <w:rsid w:val="00211BC9"/>
    <w:rsid w:val="0021484C"/>
    <w:rsid w:val="0021620C"/>
    <w:rsid w:val="00216E78"/>
    <w:rsid w:val="00217275"/>
    <w:rsid w:val="002211DD"/>
    <w:rsid w:val="0023098C"/>
    <w:rsid w:val="00236F4B"/>
    <w:rsid w:val="00242B0D"/>
    <w:rsid w:val="002467C6"/>
    <w:rsid w:val="0024692A"/>
    <w:rsid w:val="00252BBA"/>
    <w:rsid w:val="00253123"/>
    <w:rsid w:val="00261B94"/>
    <w:rsid w:val="00264001"/>
    <w:rsid w:val="00266354"/>
    <w:rsid w:val="00267A18"/>
    <w:rsid w:val="00270779"/>
    <w:rsid w:val="00273462"/>
    <w:rsid w:val="0027395B"/>
    <w:rsid w:val="00275854"/>
    <w:rsid w:val="002827C9"/>
    <w:rsid w:val="00283B41"/>
    <w:rsid w:val="00285F28"/>
    <w:rsid w:val="00286012"/>
    <w:rsid w:val="00286398"/>
    <w:rsid w:val="00287051"/>
    <w:rsid w:val="002A3C42"/>
    <w:rsid w:val="002A5D75"/>
    <w:rsid w:val="002B0FB1"/>
    <w:rsid w:val="002B1B1A"/>
    <w:rsid w:val="002B6815"/>
    <w:rsid w:val="002B6BC8"/>
    <w:rsid w:val="002B7228"/>
    <w:rsid w:val="002C53EE"/>
    <w:rsid w:val="002C76C2"/>
    <w:rsid w:val="002D0EC9"/>
    <w:rsid w:val="002D24F7"/>
    <w:rsid w:val="002D2799"/>
    <w:rsid w:val="002D2CD7"/>
    <w:rsid w:val="002D4DDC"/>
    <w:rsid w:val="002D4F75"/>
    <w:rsid w:val="002D6493"/>
    <w:rsid w:val="002D7AB6"/>
    <w:rsid w:val="002E06D0"/>
    <w:rsid w:val="002E3C27"/>
    <w:rsid w:val="002E403A"/>
    <w:rsid w:val="002E7F3A"/>
    <w:rsid w:val="002F139F"/>
    <w:rsid w:val="002F481E"/>
    <w:rsid w:val="002F492C"/>
    <w:rsid w:val="002F4EDB"/>
    <w:rsid w:val="002F6054"/>
    <w:rsid w:val="00303BDE"/>
    <w:rsid w:val="00306BDE"/>
    <w:rsid w:val="00310E13"/>
    <w:rsid w:val="003134D8"/>
    <w:rsid w:val="00313DDF"/>
    <w:rsid w:val="00315713"/>
    <w:rsid w:val="0031686C"/>
    <w:rsid w:val="00316FE0"/>
    <w:rsid w:val="003204D2"/>
    <w:rsid w:val="00321413"/>
    <w:rsid w:val="00325D04"/>
    <w:rsid w:val="0032605E"/>
    <w:rsid w:val="003275D1"/>
    <w:rsid w:val="00330B2A"/>
    <w:rsid w:val="00331E17"/>
    <w:rsid w:val="00333063"/>
    <w:rsid w:val="00334EA6"/>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769CF"/>
    <w:rsid w:val="00381FB6"/>
    <w:rsid w:val="003836D3"/>
    <w:rsid w:val="00383A52"/>
    <w:rsid w:val="00385886"/>
    <w:rsid w:val="00391652"/>
    <w:rsid w:val="0039507F"/>
    <w:rsid w:val="003A1260"/>
    <w:rsid w:val="003A295F"/>
    <w:rsid w:val="003A41DD"/>
    <w:rsid w:val="003A7033"/>
    <w:rsid w:val="003B47FE"/>
    <w:rsid w:val="003B5673"/>
    <w:rsid w:val="003B6287"/>
    <w:rsid w:val="003B62C9"/>
    <w:rsid w:val="003C164E"/>
    <w:rsid w:val="003C5ECD"/>
    <w:rsid w:val="003C7176"/>
    <w:rsid w:val="003D0929"/>
    <w:rsid w:val="003D4729"/>
    <w:rsid w:val="003D5EA9"/>
    <w:rsid w:val="003D7DD6"/>
    <w:rsid w:val="003E5AAF"/>
    <w:rsid w:val="003E600D"/>
    <w:rsid w:val="003E64DF"/>
    <w:rsid w:val="003E6A5D"/>
    <w:rsid w:val="003F193A"/>
    <w:rsid w:val="003F4207"/>
    <w:rsid w:val="003F5C46"/>
    <w:rsid w:val="003F7CBB"/>
    <w:rsid w:val="003F7D34"/>
    <w:rsid w:val="0040006A"/>
    <w:rsid w:val="00402ECD"/>
    <w:rsid w:val="00404ADF"/>
    <w:rsid w:val="00410BFD"/>
    <w:rsid w:val="00412ACE"/>
    <w:rsid w:val="00412C8E"/>
    <w:rsid w:val="0041518D"/>
    <w:rsid w:val="0042221D"/>
    <w:rsid w:val="00423E24"/>
    <w:rsid w:val="00424DD3"/>
    <w:rsid w:val="004269C5"/>
    <w:rsid w:val="00435939"/>
    <w:rsid w:val="0043668F"/>
    <w:rsid w:val="004369EB"/>
    <w:rsid w:val="00436BB6"/>
    <w:rsid w:val="00437CC7"/>
    <w:rsid w:val="00441BAF"/>
    <w:rsid w:val="00442B9C"/>
    <w:rsid w:val="00443F39"/>
    <w:rsid w:val="00445EFA"/>
    <w:rsid w:val="0044738A"/>
    <w:rsid w:val="004473D3"/>
    <w:rsid w:val="00452231"/>
    <w:rsid w:val="00460C13"/>
    <w:rsid w:val="00463228"/>
    <w:rsid w:val="00463782"/>
    <w:rsid w:val="00465C0F"/>
    <w:rsid w:val="004667E0"/>
    <w:rsid w:val="0046760E"/>
    <w:rsid w:val="00470E10"/>
    <w:rsid w:val="00473BAC"/>
    <w:rsid w:val="00477A97"/>
    <w:rsid w:val="00481343"/>
    <w:rsid w:val="0048549E"/>
    <w:rsid w:val="004930C6"/>
    <w:rsid w:val="00493347"/>
    <w:rsid w:val="00493393"/>
    <w:rsid w:val="00495754"/>
    <w:rsid w:val="00496092"/>
    <w:rsid w:val="004A08DB"/>
    <w:rsid w:val="004A1DDD"/>
    <w:rsid w:val="004A25D0"/>
    <w:rsid w:val="004A2D8D"/>
    <w:rsid w:val="004A37E8"/>
    <w:rsid w:val="004A714F"/>
    <w:rsid w:val="004A7549"/>
    <w:rsid w:val="004B09D4"/>
    <w:rsid w:val="004B309D"/>
    <w:rsid w:val="004B330A"/>
    <w:rsid w:val="004B7C8E"/>
    <w:rsid w:val="004C3D3C"/>
    <w:rsid w:val="004D0EDC"/>
    <w:rsid w:val="004D1220"/>
    <w:rsid w:val="004D14B3"/>
    <w:rsid w:val="004D1529"/>
    <w:rsid w:val="004D2253"/>
    <w:rsid w:val="004D2822"/>
    <w:rsid w:val="004D5514"/>
    <w:rsid w:val="004D56C3"/>
    <w:rsid w:val="004E0338"/>
    <w:rsid w:val="004E4FF3"/>
    <w:rsid w:val="004E56A8"/>
    <w:rsid w:val="004E75FB"/>
    <w:rsid w:val="004F3B55"/>
    <w:rsid w:val="004F428E"/>
    <w:rsid w:val="004F4E46"/>
    <w:rsid w:val="004F6B7D"/>
    <w:rsid w:val="005015F6"/>
    <w:rsid w:val="005030C4"/>
    <w:rsid w:val="005031C5"/>
    <w:rsid w:val="00504FDC"/>
    <w:rsid w:val="00506327"/>
    <w:rsid w:val="0050769D"/>
    <w:rsid w:val="005120CC"/>
    <w:rsid w:val="00512B7B"/>
    <w:rsid w:val="00514EA1"/>
    <w:rsid w:val="00517440"/>
    <w:rsid w:val="0051798B"/>
    <w:rsid w:val="00521F5A"/>
    <w:rsid w:val="00525435"/>
    <w:rsid w:val="00525E06"/>
    <w:rsid w:val="00526454"/>
    <w:rsid w:val="0052757A"/>
    <w:rsid w:val="00531369"/>
    <w:rsid w:val="00531823"/>
    <w:rsid w:val="00534ECC"/>
    <w:rsid w:val="0053720D"/>
    <w:rsid w:val="00540EF5"/>
    <w:rsid w:val="00541BF3"/>
    <w:rsid w:val="00541CD3"/>
    <w:rsid w:val="005476FA"/>
    <w:rsid w:val="00547F03"/>
    <w:rsid w:val="005526AF"/>
    <w:rsid w:val="0055326A"/>
    <w:rsid w:val="0055595E"/>
    <w:rsid w:val="00557988"/>
    <w:rsid w:val="00562C49"/>
    <w:rsid w:val="00562DEF"/>
    <w:rsid w:val="0056321A"/>
    <w:rsid w:val="00563A35"/>
    <w:rsid w:val="00566596"/>
    <w:rsid w:val="005741E9"/>
    <w:rsid w:val="005748CF"/>
    <w:rsid w:val="0058255B"/>
    <w:rsid w:val="00584270"/>
    <w:rsid w:val="00584738"/>
    <w:rsid w:val="005920B0"/>
    <w:rsid w:val="0059380D"/>
    <w:rsid w:val="00595A8F"/>
    <w:rsid w:val="00596396"/>
    <w:rsid w:val="005977C2"/>
    <w:rsid w:val="00597BF2"/>
    <w:rsid w:val="005A1F54"/>
    <w:rsid w:val="005A3020"/>
    <w:rsid w:val="005B134E"/>
    <w:rsid w:val="005B2039"/>
    <w:rsid w:val="005B2986"/>
    <w:rsid w:val="005B344F"/>
    <w:rsid w:val="005B3FBA"/>
    <w:rsid w:val="005B4A1D"/>
    <w:rsid w:val="005B674D"/>
    <w:rsid w:val="005C056D"/>
    <w:rsid w:val="005C0CBE"/>
    <w:rsid w:val="005C1FCF"/>
    <w:rsid w:val="005C3F41"/>
    <w:rsid w:val="005C754A"/>
    <w:rsid w:val="005D1885"/>
    <w:rsid w:val="005D4A38"/>
    <w:rsid w:val="005D7213"/>
    <w:rsid w:val="005E1EBA"/>
    <w:rsid w:val="005E2EEA"/>
    <w:rsid w:val="005E3708"/>
    <w:rsid w:val="005E3CCD"/>
    <w:rsid w:val="005E3D6B"/>
    <w:rsid w:val="005E4DD5"/>
    <w:rsid w:val="005E5B55"/>
    <w:rsid w:val="005E5E4A"/>
    <w:rsid w:val="005E693D"/>
    <w:rsid w:val="005E7267"/>
    <w:rsid w:val="005E75BF"/>
    <w:rsid w:val="005F57BA"/>
    <w:rsid w:val="005F61E6"/>
    <w:rsid w:val="005F6C45"/>
    <w:rsid w:val="00605A69"/>
    <w:rsid w:val="00605E5D"/>
    <w:rsid w:val="0060646C"/>
    <w:rsid w:val="00606C54"/>
    <w:rsid w:val="0061082C"/>
    <w:rsid w:val="00614375"/>
    <w:rsid w:val="00615B0A"/>
    <w:rsid w:val="006168CF"/>
    <w:rsid w:val="0062011B"/>
    <w:rsid w:val="00622C11"/>
    <w:rsid w:val="00626484"/>
    <w:rsid w:val="00626DE0"/>
    <w:rsid w:val="00630901"/>
    <w:rsid w:val="00631F8E"/>
    <w:rsid w:val="00636EE9"/>
    <w:rsid w:val="00640950"/>
    <w:rsid w:val="00641AE7"/>
    <w:rsid w:val="00642629"/>
    <w:rsid w:val="0064716F"/>
    <w:rsid w:val="0064782B"/>
    <w:rsid w:val="0065293D"/>
    <w:rsid w:val="00653583"/>
    <w:rsid w:val="00653EFC"/>
    <w:rsid w:val="00654021"/>
    <w:rsid w:val="0065516E"/>
    <w:rsid w:val="00661045"/>
    <w:rsid w:val="00666DA8"/>
    <w:rsid w:val="00671057"/>
    <w:rsid w:val="00673150"/>
    <w:rsid w:val="006747B3"/>
    <w:rsid w:val="00675AAF"/>
    <w:rsid w:val="0068031A"/>
    <w:rsid w:val="00681B2F"/>
    <w:rsid w:val="00682FCB"/>
    <w:rsid w:val="0068335F"/>
    <w:rsid w:val="00687217"/>
    <w:rsid w:val="00693302"/>
    <w:rsid w:val="0069640B"/>
    <w:rsid w:val="006A1B83"/>
    <w:rsid w:val="006A21CD"/>
    <w:rsid w:val="006A5918"/>
    <w:rsid w:val="006A69DB"/>
    <w:rsid w:val="006B21B2"/>
    <w:rsid w:val="006B28F3"/>
    <w:rsid w:val="006B4A4A"/>
    <w:rsid w:val="006B7AA9"/>
    <w:rsid w:val="006C19B2"/>
    <w:rsid w:val="006C4409"/>
    <w:rsid w:val="006C5BB8"/>
    <w:rsid w:val="006C6936"/>
    <w:rsid w:val="006C7B01"/>
    <w:rsid w:val="006D0FE8"/>
    <w:rsid w:val="006D4B2B"/>
    <w:rsid w:val="006D4F3C"/>
    <w:rsid w:val="006D57B9"/>
    <w:rsid w:val="006D5C1A"/>
    <w:rsid w:val="006D5C66"/>
    <w:rsid w:val="006D7002"/>
    <w:rsid w:val="006E1B3C"/>
    <w:rsid w:val="006E23FB"/>
    <w:rsid w:val="006E325A"/>
    <w:rsid w:val="006E33EC"/>
    <w:rsid w:val="006E3802"/>
    <w:rsid w:val="006E56D3"/>
    <w:rsid w:val="006E6C02"/>
    <w:rsid w:val="006F231A"/>
    <w:rsid w:val="006F6B55"/>
    <w:rsid w:val="006F788D"/>
    <w:rsid w:val="006F78E1"/>
    <w:rsid w:val="00701072"/>
    <w:rsid w:val="00702054"/>
    <w:rsid w:val="007035A4"/>
    <w:rsid w:val="00704DDC"/>
    <w:rsid w:val="00711799"/>
    <w:rsid w:val="00712B78"/>
    <w:rsid w:val="0071393B"/>
    <w:rsid w:val="00713EE2"/>
    <w:rsid w:val="007177FC"/>
    <w:rsid w:val="00720C5E"/>
    <w:rsid w:val="00721701"/>
    <w:rsid w:val="007235CB"/>
    <w:rsid w:val="0072700C"/>
    <w:rsid w:val="00731835"/>
    <w:rsid w:val="007341F8"/>
    <w:rsid w:val="00734372"/>
    <w:rsid w:val="00734EB8"/>
    <w:rsid w:val="00735F8B"/>
    <w:rsid w:val="007371EF"/>
    <w:rsid w:val="0074090B"/>
    <w:rsid w:val="00742D1F"/>
    <w:rsid w:val="00743EBA"/>
    <w:rsid w:val="00744C8E"/>
    <w:rsid w:val="007467E7"/>
    <w:rsid w:val="0074707E"/>
    <w:rsid w:val="007516DC"/>
    <w:rsid w:val="00752E58"/>
    <w:rsid w:val="00754B80"/>
    <w:rsid w:val="007575E4"/>
    <w:rsid w:val="00761918"/>
    <w:rsid w:val="00762F03"/>
    <w:rsid w:val="0076413B"/>
    <w:rsid w:val="007648AE"/>
    <w:rsid w:val="00764BF8"/>
    <w:rsid w:val="0076514D"/>
    <w:rsid w:val="00773D59"/>
    <w:rsid w:val="00776F94"/>
    <w:rsid w:val="00781003"/>
    <w:rsid w:val="007911FD"/>
    <w:rsid w:val="0079352F"/>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5E80"/>
    <w:rsid w:val="007D730F"/>
    <w:rsid w:val="007D7CD8"/>
    <w:rsid w:val="007E3AA7"/>
    <w:rsid w:val="007F0D54"/>
    <w:rsid w:val="007F4C3F"/>
    <w:rsid w:val="007F4F2E"/>
    <w:rsid w:val="007F7241"/>
    <w:rsid w:val="007F737D"/>
    <w:rsid w:val="0080308E"/>
    <w:rsid w:val="008048D5"/>
    <w:rsid w:val="00805303"/>
    <w:rsid w:val="00806705"/>
    <w:rsid w:val="00806738"/>
    <w:rsid w:val="0080789C"/>
    <w:rsid w:val="008216D5"/>
    <w:rsid w:val="008249CE"/>
    <w:rsid w:val="00827417"/>
    <w:rsid w:val="008309BE"/>
    <w:rsid w:val="00831A50"/>
    <w:rsid w:val="00831B3C"/>
    <w:rsid w:val="00831C89"/>
    <w:rsid w:val="00832114"/>
    <w:rsid w:val="00834C46"/>
    <w:rsid w:val="0084093E"/>
    <w:rsid w:val="00841CE1"/>
    <w:rsid w:val="008473D8"/>
    <w:rsid w:val="008528DC"/>
    <w:rsid w:val="00852B8C"/>
    <w:rsid w:val="00854981"/>
    <w:rsid w:val="0085691F"/>
    <w:rsid w:val="00864B2E"/>
    <w:rsid w:val="00865963"/>
    <w:rsid w:val="008668D8"/>
    <w:rsid w:val="00871C1D"/>
    <w:rsid w:val="0087450E"/>
    <w:rsid w:val="00875A82"/>
    <w:rsid w:val="00875C06"/>
    <w:rsid w:val="00876CA3"/>
    <w:rsid w:val="008772FE"/>
    <w:rsid w:val="008775F1"/>
    <w:rsid w:val="008821AE"/>
    <w:rsid w:val="008823BD"/>
    <w:rsid w:val="00883D3A"/>
    <w:rsid w:val="008854F7"/>
    <w:rsid w:val="00885A9D"/>
    <w:rsid w:val="008929D2"/>
    <w:rsid w:val="008933F2"/>
    <w:rsid w:val="00893636"/>
    <w:rsid w:val="00893732"/>
    <w:rsid w:val="00893B94"/>
    <w:rsid w:val="00896E9D"/>
    <w:rsid w:val="00896F11"/>
    <w:rsid w:val="008A0A69"/>
    <w:rsid w:val="008A1049"/>
    <w:rsid w:val="008A1C98"/>
    <w:rsid w:val="008A1D68"/>
    <w:rsid w:val="008A2796"/>
    <w:rsid w:val="008A322D"/>
    <w:rsid w:val="008A4D72"/>
    <w:rsid w:val="008A6285"/>
    <w:rsid w:val="008A63B2"/>
    <w:rsid w:val="008B301F"/>
    <w:rsid w:val="008B345D"/>
    <w:rsid w:val="008C1FC2"/>
    <w:rsid w:val="008C2980"/>
    <w:rsid w:val="008C4DD6"/>
    <w:rsid w:val="008C5AFB"/>
    <w:rsid w:val="008D07FB"/>
    <w:rsid w:val="008D0C02"/>
    <w:rsid w:val="008D357D"/>
    <w:rsid w:val="008D435A"/>
    <w:rsid w:val="008E387B"/>
    <w:rsid w:val="008E6087"/>
    <w:rsid w:val="008E758D"/>
    <w:rsid w:val="008F10A7"/>
    <w:rsid w:val="008F1CB9"/>
    <w:rsid w:val="008F2E67"/>
    <w:rsid w:val="008F755D"/>
    <w:rsid w:val="008F7A39"/>
    <w:rsid w:val="009021E8"/>
    <w:rsid w:val="00904677"/>
    <w:rsid w:val="00905EE2"/>
    <w:rsid w:val="00911440"/>
    <w:rsid w:val="00911712"/>
    <w:rsid w:val="00911B27"/>
    <w:rsid w:val="009170BE"/>
    <w:rsid w:val="00920B55"/>
    <w:rsid w:val="00925C8C"/>
    <w:rsid w:val="009262C9"/>
    <w:rsid w:val="009278A2"/>
    <w:rsid w:val="00930EB9"/>
    <w:rsid w:val="00933DC7"/>
    <w:rsid w:val="00934D7F"/>
    <w:rsid w:val="009410E0"/>
    <w:rsid w:val="009418F4"/>
    <w:rsid w:val="00942BBC"/>
    <w:rsid w:val="00943AB5"/>
    <w:rsid w:val="00944180"/>
    <w:rsid w:val="00944AA0"/>
    <w:rsid w:val="00947DA2"/>
    <w:rsid w:val="00951177"/>
    <w:rsid w:val="0096023D"/>
    <w:rsid w:val="00962674"/>
    <w:rsid w:val="009673E8"/>
    <w:rsid w:val="00974DB8"/>
    <w:rsid w:val="00975217"/>
    <w:rsid w:val="00980661"/>
    <w:rsid w:val="0098093B"/>
    <w:rsid w:val="00981A37"/>
    <w:rsid w:val="009876D4"/>
    <w:rsid w:val="009914A5"/>
    <w:rsid w:val="0099548E"/>
    <w:rsid w:val="00996456"/>
    <w:rsid w:val="00996A12"/>
    <w:rsid w:val="00997B0F"/>
    <w:rsid w:val="009A0CC3"/>
    <w:rsid w:val="009A1CAD"/>
    <w:rsid w:val="009A3440"/>
    <w:rsid w:val="009A3F07"/>
    <w:rsid w:val="009A4916"/>
    <w:rsid w:val="009A5832"/>
    <w:rsid w:val="009A6838"/>
    <w:rsid w:val="009B24B5"/>
    <w:rsid w:val="009B4700"/>
    <w:rsid w:val="009B4EBC"/>
    <w:rsid w:val="009B5ABB"/>
    <w:rsid w:val="009B73CE"/>
    <w:rsid w:val="009C2461"/>
    <w:rsid w:val="009C5A15"/>
    <w:rsid w:val="009C6FE2"/>
    <w:rsid w:val="009C7674"/>
    <w:rsid w:val="009D004A"/>
    <w:rsid w:val="009D02F2"/>
    <w:rsid w:val="009D04C6"/>
    <w:rsid w:val="009D0669"/>
    <w:rsid w:val="009D0F27"/>
    <w:rsid w:val="009D5880"/>
    <w:rsid w:val="009E01B3"/>
    <w:rsid w:val="009E1FD4"/>
    <w:rsid w:val="009E3B07"/>
    <w:rsid w:val="009E51D1"/>
    <w:rsid w:val="009E5531"/>
    <w:rsid w:val="009E7413"/>
    <w:rsid w:val="009F171E"/>
    <w:rsid w:val="009F3D2F"/>
    <w:rsid w:val="009F7052"/>
    <w:rsid w:val="00A01573"/>
    <w:rsid w:val="00A02668"/>
    <w:rsid w:val="00A02801"/>
    <w:rsid w:val="00A06A39"/>
    <w:rsid w:val="00A07F58"/>
    <w:rsid w:val="00A131CB"/>
    <w:rsid w:val="00A14847"/>
    <w:rsid w:val="00A16D6D"/>
    <w:rsid w:val="00A21383"/>
    <w:rsid w:val="00A2199F"/>
    <w:rsid w:val="00A21B31"/>
    <w:rsid w:val="00A2360E"/>
    <w:rsid w:val="00A26486"/>
    <w:rsid w:val="00A26E0C"/>
    <w:rsid w:val="00A32FCB"/>
    <w:rsid w:val="00A34C25"/>
    <w:rsid w:val="00A3507D"/>
    <w:rsid w:val="00A3717A"/>
    <w:rsid w:val="00A4088C"/>
    <w:rsid w:val="00A41988"/>
    <w:rsid w:val="00A4456B"/>
    <w:rsid w:val="00A448D4"/>
    <w:rsid w:val="00A452E0"/>
    <w:rsid w:val="00A471D1"/>
    <w:rsid w:val="00A506DF"/>
    <w:rsid w:val="00A51EA5"/>
    <w:rsid w:val="00A53742"/>
    <w:rsid w:val="00A5405C"/>
    <w:rsid w:val="00A557A1"/>
    <w:rsid w:val="00A63059"/>
    <w:rsid w:val="00A63AE3"/>
    <w:rsid w:val="00A651A4"/>
    <w:rsid w:val="00A700D4"/>
    <w:rsid w:val="00A71361"/>
    <w:rsid w:val="00A746E2"/>
    <w:rsid w:val="00A8191F"/>
    <w:rsid w:val="00A81FF2"/>
    <w:rsid w:val="00A83904"/>
    <w:rsid w:val="00A876C7"/>
    <w:rsid w:val="00A90A79"/>
    <w:rsid w:val="00A96B30"/>
    <w:rsid w:val="00AA442D"/>
    <w:rsid w:val="00AA59B5"/>
    <w:rsid w:val="00AA7777"/>
    <w:rsid w:val="00AA7B84"/>
    <w:rsid w:val="00AB33E0"/>
    <w:rsid w:val="00AB7357"/>
    <w:rsid w:val="00AC0B4C"/>
    <w:rsid w:val="00AC1164"/>
    <w:rsid w:val="00AC21A7"/>
    <w:rsid w:val="00AC2296"/>
    <w:rsid w:val="00AC2754"/>
    <w:rsid w:val="00AC48B0"/>
    <w:rsid w:val="00AC4ACD"/>
    <w:rsid w:val="00AC5DFB"/>
    <w:rsid w:val="00AD13DC"/>
    <w:rsid w:val="00AD6DE2"/>
    <w:rsid w:val="00AD7DAF"/>
    <w:rsid w:val="00AE0A40"/>
    <w:rsid w:val="00AE1ED4"/>
    <w:rsid w:val="00AE21E1"/>
    <w:rsid w:val="00AE2F8D"/>
    <w:rsid w:val="00AE3BAE"/>
    <w:rsid w:val="00AE6A21"/>
    <w:rsid w:val="00AE6A23"/>
    <w:rsid w:val="00AF08DC"/>
    <w:rsid w:val="00AF1C8F"/>
    <w:rsid w:val="00AF2B68"/>
    <w:rsid w:val="00AF2C92"/>
    <w:rsid w:val="00AF31AA"/>
    <w:rsid w:val="00AF3EC1"/>
    <w:rsid w:val="00AF5025"/>
    <w:rsid w:val="00AF519F"/>
    <w:rsid w:val="00AF5387"/>
    <w:rsid w:val="00AF55F5"/>
    <w:rsid w:val="00AF7E86"/>
    <w:rsid w:val="00B024B9"/>
    <w:rsid w:val="00B02C25"/>
    <w:rsid w:val="00B03D24"/>
    <w:rsid w:val="00B077FA"/>
    <w:rsid w:val="00B127D7"/>
    <w:rsid w:val="00B13B0C"/>
    <w:rsid w:val="00B14408"/>
    <w:rsid w:val="00B1453A"/>
    <w:rsid w:val="00B147FC"/>
    <w:rsid w:val="00B17572"/>
    <w:rsid w:val="00B20F82"/>
    <w:rsid w:val="00B25BD5"/>
    <w:rsid w:val="00B25F99"/>
    <w:rsid w:val="00B34079"/>
    <w:rsid w:val="00B36C0E"/>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56A0"/>
    <w:rsid w:val="00B757B9"/>
    <w:rsid w:val="00B770C7"/>
    <w:rsid w:val="00B80F26"/>
    <w:rsid w:val="00B822BD"/>
    <w:rsid w:val="00B842F4"/>
    <w:rsid w:val="00B87B80"/>
    <w:rsid w:val="00B91461"/>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4DB"/>
    <w:rsid w:val="00BC3C1F"/>
    <w:rsid w:val="00BC498C"/>
    <w:rsid w:val="00BC7CE7"/>
    <w:rsid w:val="00BD295E"/>
    <w:rsid w:val="00BD4664"/>
    <w:rsid w:val="00BE1193"/>
    <w:rsid w:val="00BE3AC5"/>
    <w:rsid w:val="00BF138B"/>
    <w:rsid w:val="00BF4849"/>
    <w:rsid w:val="00BF4EA7"/>
    <w:rsid w:val="00BF6525"/>
    <w:rsid w:val="00C00EDB"/>
    <w:rsid w:val="00C02863"/>
    <w:rsid w:val="00C0383A"/>
    <w:rsid w:val="00C067FF"/>
    <w:rsid w:val="00C12862"/>
    <w:rsid w:val="00C13D28"/>
    <w:rsid w:val="00C14585"/>
    <w:rsid w:val="00C165A0"/>
    <w:rsid w:val="00C1798A"/>
    <w:rsid w:val="00C216CE"/>
    <w:rsid w:val="00C2184F"/>
    <w:rsid w:val="00C22A78"/>
    <w:rsid w:val="00C23C7E"/>
    <w:rsid w:val="00C246C5"/>
    <w:rsid w:val="00C25A82"/>
    <w:rsid w:val="00C30A2A"/>
    <w:rsid w:val="00C33993"/>
    <w:rsid w:val="00C4069E"/>
    <w:rsid w:val="00C41ADC"/>
    <w:rsid w:val="00C44149"/>
    <w:rsid w:val="00C44410"/>
    <w:rsid w:val="00C44A15"/>
    <w:rsid w:val="00C4621F"/>
    <w:rsid w:val="00C4630A"/>
    <w:rsid w:val="00C523F0"/>
    <w:rsid w:val="00C526D2"/>
    <w:rsid w:val="00C53A91"/>
    <w:rsid w:val="00C5794E"/>
    <w:rsid w:val="00C60968"/>
    <w:rsid w:val="00C63D39"/>
    <w:rsid w:val="00C63EDD"/>
    <w:rsid w:val="00C65B36"/>
    <w:rsid w:val="00C7292E"/>
    <w:rsid w:val="00C74E88"/>
    <w:rsid w:val="00C80924"/>
    <w:rsid w:val="00C8286B"/>
    <w:rsid w:val="00C87CBA"/>
    <w:rsid w:val="00C947F8"/>
    <w:rsid w:val="00C9515F"/>
    <w:rsid w:val="00C963C5"/>
    <w:rsid w:val="00CA030C"/>
    <w:rsid w:val="00CA1F41"/>
    <w:rsid w:val="00CA32EE"/>
    <w:rsid w:val="00CA5771"/>
    <w:rsid w:val="00CA6A1A"/>
    <w:rsid w:val="00CB7036"/>
    <w:rsid w:val="00CC1E75"/>
    <w:rsid w:val="00CC2E0E"/>
    <w:rsid w:val="00CC361C"/>
    <w:rsid w:val="00CC474B"/>
    <w:rsid w:val="00CC658C"/>
    <w:rsid w:val="00CC67BF"/>
    <w:rsid w:val="00CD0843"/>
    <w:rsid w:val="00CD4783"/>
    <w:rsid w:val="00CD4E31"/>
    <w:rsid w:val="00CD5A78"/>
    <w:rsid w:val="00CD7345"/>
    <w:rsid w:val="00CE14A4"/>
    <w:rsid w:val="00CE372E"/>
    <w:rsid w:val="00CE595D"/>
    <w:rsid w:val="00CF0A1B"/>
    <w:rsid w:val="00CF19F6"/>
    <w:rsid w:val="00CF2F4F"/>
    <w:rsid w:val="00CF536D"/>
    <w:rsid w:val="00D01C61"/>
    <w:rsid w:val="00D02E9D"/>
    <w:rsid w:val="00D02FD6"/>
    <w:rsid w:val="00D10CB8"/>
    <w:rsid w:val="00D113E0"/>
    <w:rsid w:val="00D12806"/>
    <w:rsid w:val="00D12D44"/>
    <w:rsid w:val="00D15018"/>
    <w:rsid w:val="00D158AC"/>
    <w:rsid w:val="00D1694C"/>
    <w:rsid w:val="00D20F5E"/>
    <w:rsid w:val="00D2218E"/>
    <w:rsid w:val="00D23B76"/>
    <w:rsid w:val="00D24B4A"/>
    <w:rsid w:val="00D278D0"/>
    <w:rsid w:val="00D27A8E"/>
    <w:rsid w:val="00D379A3"/>
    <w:rsid w:val="00D44A3F"/>
    <w:rsid w:val="00D45F73"/>
    <w:rsid w:val="00D45FF3"/>
    <w:rsid w:val="00D512CF"/>
    <w:rsid w:val="00D528B9"/>
    <w:rsid w:val="00D53186"/>
    <w:rsid w:val="00D5487D"/>
    <w:rsid w:val="00D54BEA"/>
    <w:rsid w:val="00D60140"/>
    <w:rsid w:val="00D6024A"/>
    <w:rsid w:val="00D608B5"/>
    <w:rsid w:val="00D64739"/>
    <w:rsid w:val="00D71F99"/>
    <w:rsid w:val="00D73CA4"/>
    <w:rsid w:val="00D73D71"/>
    <w:rsid w:val="00D74396"/>
    <w:rsid w:val="00D767DF"/>
    <w:rsid w:val="00D80284"/>
    <w:rsid w:val="00D81F71"/>
    <w:rsid w:val="00D852AA"/>
    <w:rsid w:val="00D8642D"/>
    <w:rsid w:val="00D904F8"/>
    <w:rsid w:val="00D90A5E"/>
    <w:rsid w:val="00D91A68"/>
    <w:rsid w:val="00D95A68"/>
    <w:rsid w:val="00D96854"/>
    <w:rsid w:val="00DA0A61"/>
    <w:rsid w:val="00DA17C7"/>
    <w:rsid w:val="00DA2988"/>
    <w:rsid w:val="00DA6A9A"/>
    <w:rsid w:val="00DA6BF1"/>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60B5"/>
    <w:rsid w:val="00DE7BEA"/>
    <w:rsid w:val="00DF1EF9"/>
    <w:rsid w:val="00DF5B84"/>
    <w:rsid w:val="00DF6D5B"/>
    <w:rsid w:val="00DF771B"/>
    <w:rsid w:val="00DF7EE2"/>
    <w:rsid w:val="00E01BAA"/>
    <w:rsid w:val="00E0282A"/>
    <w:rsid w:val="00E02F9B"/>
    <w:rsid w:val="00E04581"/>
    <w:rsid w:val="00E07322"/>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76B66"/>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B74F2"/>
    <w:rsid w:val="00EC0FE9"/>
    <w:rsid w:val="00EC198B"/>
    <w:rsid w:val="00EC426D"/>
    <w:rsid w:val="00EC571B"/>
    <w:rsid w:val="00EC57D7"/>
    <w:rsid w:val="00EC6385"/>
    <w:rsid w:val="00ED1DE9"/>
    <w:rsid w:val="00ED23D4"/>
    <w:rsid w:val="00ED5E0B"/>
    <w:rsid w:val="00EE37B6"/>
    <w:rsid w:val="00EE62EC"/>
    <w:rsid w:val="00EF0F45"/>
    <w:rsid w:val="00EF7463"/>
    <w:rsid w:val="00EF7971"/>
    <w:rsid w:val="00F002EF"/>
    <w:rsid w:val="00F01EE9"/>
    <w:rsid w:val="00F04900"/>
    <w:rsid w:val="00F065A4"/>
    <w:rsid w:val="00F1097C"/>
    <w:rsid w:val="00F12336"/>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451B7"/>
    <w:rsid w:val="00F53A35"/>
    <w:rsid w:val="00F55A3D"/>
    <w:rsid w:val="00F5744B"/>
    <w:rsid w:val="00F61209"/>
    <w:rsid w:val="00F6259E"/>
    <w:rsid w:val="00F65DD4"/>
    <w:rsid w:val="00F672B2"/>
    <w:rsid w:val="00F67C64"/>
    <w:rsid w:val="00F76B0F"/>
    <w:rsid w:val="00F83973"/>
    <w:rsid w:val="00F87FA3"/>
    <w:rsid w:val="00F91FAD"/>
    <w:rsid w:val="00F921DF"/>
    <w:rsid w:val="00F93D8C"/>
    <w:rsid w:val="00F94E36"/>
    <w:rsid w:val="00FA3102"/>
    <w:rsid w:val="00FA48D4"/>
    <w:rsid w:val="00FA54FA"/>
    <w:rsid w:val="00FA6D39"/>
    <w:rsid w:val="00FB227E"/>
    <w:rsid w:val="00FB3D61"/>
    <w:rsid w:val="00FB44CE"/>
    <w:rsid w:val="00FB5009"/>
    <w:rsid w:val="00FB76AB"/>
    <w:rsid w:val="00FC46E6"/>
    <w:rsid w:val="00FD03FE"/>
    <w:rsid w:val="00FD126E"/>
    <w:rsid w:val="00FD3C36"/>
    <w:rsid w:val="00FD4D81"/>
    <w:rsid w:val="00FD7498"/>
    <w:rsid w:val="00FD7FB3"/>
    <w:rsid w:val="00FE4713"/>
    <w:rsid w:val="00FE5DA6"/>
    <w:rsid w:val="00FF1F44"/>
    <w:rsid w:val="00FF225E"/>
    <w:rsid w:val="00FF5F46"/>
    <w:rsid w:val="00FF672C"/>
    <w:rsid w:val="00FF6816"/>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30"/>
  <w15:docId w15:val="{A7FD69DF-7316-48C5-97A6-13C87432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DE60B5"/>
    <w:pPr>
      <w:spacing w:line="240" w:lineRule="auto"/>
    </w:pPr>
    <w:rPr>
      <w:sz w:val="22"/>
      <w:szCs w:val="20"/>
    </w:rPr>
  </w:style>
  <w:style w:type="character" w:customStyle="1" w:styleId="FootnoteTextChar">
    <w:name w:val="Footnote Text Char"/>
    <w:basedOn w:val="DefaultParagraphFont"/>
    <w:link w:val="FootnoteText"/>
    <w:uiPriority w:val="99"/>
    <w:rsid w:val="00DE60B5"/>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334EA6"/>
    <w:rPr>
      <w:color w:val="0000FF" w:themeColor="hyperlink"/>
      <w:u w:val="single"/>
    </w:rPr>
  </w:style>
  <w:style w:type="character" w:customStyle="1" w:styleId="UnresolvedMention1">
    <w:name w:val="Unresolved Mention1"/>
    <w:basedOn w:val="DefaultParagraphFont"/>
    <w:uiPriority w:val="99"/>
    <w:semiHidden/>
    <w:unhideWhenUsed/>
    <w:rsid w:val="00181CC6"/>
    <w:rPr>
      <w:color w:val="808080"/>
      <w:shd w:val="clear" w:color="auto" w:fill="E6E6E6"/>
    </w:rPr>
  </w:style>
  <w:style w:type="paragraph" w:styleId="BalloonText">
    <w:name w:val="Balloon Text"/>
    <w:basedOn w:val="Normal"/>
    <w:link w:val="BalloonTextChar"/>
    <w:semiHidden/>
    <w:unhideWhenUsed/>
    <w:rsid w:val="008F1C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F1CB9"/>
    <w:rPr>
      <w:rFonts w:ascii="Segoe UI" w:hAnsi="Segoe UI" w:cs="Segoe UI"/>
      <w:sz w:val="18"/>
      <w:szCs w:val="18"/>
    </w:rPr>
  </w:style>
  <w:style w:type="character" w:styleId="Emphasis">
    <w:name w:val="Emphasis"/>
    <w:basedOn w:val="DefaultParagraphFont"/>
    <w:uiPriority w:val="20"/>
    <w:qFormat/>
    <w:rsid w:val="00CE595D"/>
    <w:rPr>
      <w:i/>
      <w:iCs/>
    </w:rPr>
  </w:style>
  <w:style w:type="character" w:customStyle="1" w:styleId="UnresolvedMention2">
    <w:name w:val="Unresolved Mention2"/>
    <w:basedOn w:val="DefaultParagraphFont"/>
    <w:uiPriority w:val="99"/>
    <w:semiHidden/>
    <w:unhideWhenUsed/>
    <w:rsid w:val="00BF138B"/>
    <w:rPr>
      <w:color w:val="605E5C"/>
      <w:shd w:val="clear" w:color="auto" w:fill="E1DFDD"/>
    </w:rPr>
  </w:style>
  <w:style w:type="character" w:customStyle="1" w:styleId="UnresolvedMention">
    <w:name w:val="Unresolved Mention"/>
    <w:basedOn w:val="DefaultParagraphFont"/>
    <w:uiPriority w:val="99"/>
    <w:semiHidden/>
    <w:unhideWhenUsed/>
    <w:rsid w:val="002D0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AppData\Local\Temp\Temp2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D541C-F8F4-4AD0-B708-87B4FB23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1</TotalTime>
  <Pages>30</Pages>
  <Words>5122</Words>
  <Characters>29200</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34254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Laura Bliss</dc:creator>
  <cp:lastModifiedBy>Juliet Bibby</cp:lastModifiedBy>
  <cp:revision>2</cp:revision>
  <cp:lastPrinted>2018-07-26T13:41:00Z</cp:lastPrinted>
  <dcterms:created xsi:type="dcterms:W3CDTF">2019-01-22T13:35:00Z</dcterms:created>
  <dcterms:modified xsi:type="dcterms:W3CDTF">2019-01-22T13:35:00Z</dcterms:modified>
</cp:coreProperties>
</file>