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ACA3" w14:textId="6888A9F4" w:rsidR="004C1B24" w:rsidRDefault="004C1B24" w:rsidP="00D30D78">
      <w:pPr>
        <w:jc w:val="center"/>
        <w:rPr>
          <w:rFonts w:ascii="Times New Roman" w:hAnsi="Times New Roman" w:cs="Times New Roman"/>
          <w:b/>
          <w:bCs/>
          <w:u w:val="single"/>
        </w:rPr>
      </w:pPr>
      <w:r w:rsidRPr="004C1B24">
        <w:rPr>
          <w:rFonts w:ascii="Times New Roman" w:hAnsi="Times New Roman" w:cs="Times New Roman"/>
          <w:b/>
          <w:bCs/>
          <w:u w:val="single"/>
        </w:rPr>
        <w:t>COMMENTARY</w:t>
      </w:r>
    </w:p>
    <w:p w14:paraId="5DECECD0" w14:textId="77777777" w:rsidR="004C1B24" w:rsidRPr="004C1B24" w:rsidRDefault="004C1B24" w:rsidP="00D30D78">
      <w:pPr>
        <w:jc w:val="center"/>
        <w:rPr>
          <w:rFonts w:ascii="Times New Roman" w:hAnsi="Times New Roman" w:cs="Times New Roman"/>
          <w:b/>
          <w:bCs/>
          <w:u w:val="single"/>
        </w:rPr>
      </w:pPr>
    </w:p>
    <w:p w14:paraId="6D5EAC30" w14:textId="6057B72E" w:rsidR="005766D1" w:rsidRDefault="004A2F2B" w:rsidP="00D30D78">
      <w:pPr>
        <w:jc w:val="center"/>
        <w:rPr>
          <w:rFonts w:ascii="Times New Roman" w:hAnsi="Times New Roman" w:cs="Times New Roman"/>
          <w:b/>
          <w:bCs/>
          <w:u w:val="single"/>
        </w:rPr>
      </w:pPr>
      <w:r w:rsidRPr="00D30D78">
        <w:rPr>
          <w:rFonts w:ascii="Times New Roman" w:hAnsi="Times New Roman" w:cs="Times New Roman"/>
          <w:b/>
          <w:bCs/>
          <w:u w:val="single"/>
        </w:rPr>
        <w:t xml:space="preserve">A </w:t>
      </w:r>
      <w:r w:rsidR="00E0169C" w:rsidRPr="00D30D78">
        <w:rPr>
          <w:rFonts w:ascii="Times New Roman" w:hAnsi="Times New Roman" w:cs="Times New Roman"/>
          <w:b/>
          <w:bCs/>
          <w:u w:val="single"/>
        </w:rPr>
        <w:t>BACKWARDS</w:t>
      </w:r>
      <w:r w:rsidRPr="00D30D78">
        <w:rPr>
          <w:rFonts w:ascii="Times New Roman" w:hAnsi="Times New Roman" w:cs="Times New Roman"/>
          <w:b/>
          <w:bCs/>
          <w:u w:val="single"/>
        </w:rPr>
        <w:t>-</w:t>
      </w:r>
      <w:r w:rsidR="00E0169C" w:rsidRPr="00D30D78">
        <w:rPr>
          <w:rFonts w:ascii="Times New Roman" w:hAnsi="Times New Roman" w:cs="Times New Roman"/>
          <w:b/>
          <w:bCs/>
          <w:u w:val="single"/>
        </w:rPr>
        <w:t>STEP</w:t>
      </w:r>
      <w:r w:rsidRPr="00D30D78">
        <w:rPr>
          <w:rFonts w:ascii="Times New Roman" w:hAnsi="Times New Roman" w:cs="Times New Roman"/>
          <w:b/>
          <w:bCs/>
          <w:u w:val="single"/>
        </w:rPr>
        <w:t xml:space="preserve"> </w:t>
      </w:r>
      <w:r w:rsidR="00E0169C" w:rsidRPr="00D30D78">
        <w:rPr>
          <w:rFonts w:ascii="Times New Roman" w:hAnsi="Times New Roman" w:cs="Times New Roman"/>
          <w:b/>
          <w:bCs/>
          <w:u w:val="single"/>
        </w:rPr>
        <w:t>FOR</w:t>
      </w:r>
      <w:r w:rsidRPr="00D30D78">
        <w:rPr>
          <w:rFonts w:ascii="Times New Roman" w:hAnsi="Times New Roman" w:cs="Times New Roman"/>
          <w:b/>
          <w:bCs/>
          <w:u w:val="single"/>
        </w:rPr>
        <w:t xml:space="preserve"> </w:t>
      </w:r>
      <w:r w:rsidRPr="00D30D78">
        <w:rPr>
          <w:rFonts w:ascii="Times New Roman" w:hAnsi="Times New Roman" w:cs="Times New Roman"/>
          <w:b/>
          <w:bCs/>
          <w:i/>
          <w:iCs/>
          <w:u w:val="single"/>
        </w:rPr>
        <w:t>G</w:t>
      </w:r>
      <w:r w:rsidR="00E0169C" w:rsidRPr="00D30D78">
        <w:rPr>
          <w:rFonts w:ascii="Times New Roman" w:hAnsi="Times New Roman" w:cs="Times New Roman"/>
          <w:b/>
          <w:bCs/>
          <w:i/>
          <w:iCs/>
          <w:u w:val="single"/>
        </w:rPr>
        <w:t>ILLICK</w:t>
      </w:r>
      <w:r w:rsidRPr="00D30D78">
        <w:rPr>
          <w:rFonts w:ascii="Times New Roman" w:hAnsi="Times New Roman" w:cs="Times New Roman"/>
          <w:b/>
          <w:bCs/>
          <w:u w:val="single"/>
        </w:rPr>
        <w:t>: T</w:t>
      </w:r>
      <w:r w:rsidR="00E0169C" w:rsidRPr="00D30D78">
        <w:rPr>
          <w:rFonts w:ascii="Times New Roman" w:hAnsi="Times New Roman" w:cs="Times New Roman"/>
          <w:b/>
          <w:bCs/>
          <w:u w:val="single"/>
        </w:rPr>
        <w:t>RANS</w:t>
      </w:r>
      <w:r w:rsidRPr="00D30D78">
        <w:rPr>
          <w:rFonts w:ascii="Times New Roman" w:hAnsi="Times New Roman" w:cs="Times New Roman"/>
          <w:b/>
          <w:bCs/>
          <w:u w:val="single"/>
        </w:rPr>
        <w:t xml:space="preserve"> </w:t>
      </w:r>
      <w:r w:rsidR="00E0169C" w:rsidRPr="00D30D78">
        <w:rPr>
          <w:rFonts w:ascii="Times New Roman" w:hAnsi="Times New Roman" w:cs="Times New Roman"/>
          <w:b/>
          <w:bCs/>
          <w:u w:val="single"/>
        </w:rPr>
        <w:t>CHILDREN’S</w:t>
      </w:r>
      <w:r w:rsidRPr="00D30D78">
        <w:rPr>
          <w:rFonts w:ascii="Times New Roman" w:hAnsi="Times New Roman" w:cs="Times New Roman"/>
          <w:b/>
          <w:bCs/>
          <w:u w:val="single"/>
        </w:rPr>
        <w:t xml:space="preserve"> </w:t>
      </w:r>
      <w:r w:rsidR="00E0169C" w:rsidRPr="00D30D78">
        <w:rPr>
          <w:rFonts w:ascii="Times New Roman" w:hAnsi="Times New Roman" w:cs="Times New Roman"/>
          <w:b/>
          <w:bCs/>
          <w:u w:val="single"/>
        </w:rPr>
        <w:t>INABILITY</w:t>
      </w:r>
      <w:r w:rsidRPr="00D30D78">
        <w:rPr>
          <w:rFonts w:ascii="Times New Roman" w:hAnsi="Times New Roman" w:cs="Times New Roman"/>
          <w:b/>
          <w:bCs/>
          <w:u w:val="single"/>
        </w:rPr>
        <w:t xml:space="preserve"> </w:t>
      </w:r>
      <w:r w:rsidR="00E0169C" w:rsidRPr="00D30D78">
        <w:rPr>
          <w:rFonts w:ascii="Times New Roman" w:hAnsi="Times New Roman" w:cs="Times New Roman"/>
          <w:b/>
          <w:bCs/>
          <w:u w:val="single"/>
        </w:rPr>
        <w:t>TO</w:t>
      </w:r>
      <w:r w:rsidRPr="00D30D78">
        <w:rPr>
          <w:rFonts w:ascii="Times New Roman" w:hAnsi="Times New Roman" w:cs="Times New Roman"/>
          <w:b/>
          <w:bCs/>
          <w:u w:val="single"/>
        </w:rPr>
        <w:t xml:space="preserve"> </w:t>
      </w:r>
      <w:r w:rsidR="00E0169C" w:rsidRPr="00D30D78">
        <w:rPr>
          <w:rFonts w:ascii="Times New Roman" w:hAnsi="Times New Roman" w:cs="Times New Roman"/>
          <w:b/>
          <w:bCs/>
          <w:u w:val="single"/>
        </w:rPr>
        <w:t>CONSENT</w:t>
      </w:r>
      <w:r w:rsidRPr="00D30D78">
        <w:rPr>
          <w:rFonts w:ascii="Times New Roman" w:hAnsi="Times New Roman" w:cs="Times New Roman"/>
          <w:b/>
          <w:bCs/>
          <w:u w:val="single"/>
        </w:rPr>
        <w:t xml:space="preserve"> </w:t>
      </w:r>
      <w:r w:rsidR="00E0169C" w:rsidRPr="00D30D78">
        <w:rPr>
          <w:rFonts w:ascii="Times New Roman" w:hAnsi="Times New Roman" w:cs="Times New Roman"/>
          <w:b/>
          <w:bCs/>
          <w:u w:val="single"/>
        </w:rPr>
        <w:t>TO</w:t>
      </w:r>
      <w:r w:rsidRPr="00D30D78">
        <w:rPr>
          <w:rFonts w:ascii="Times New Roman" w:hAnsi="Times New Roman" w:cs="Times New Roman"/>
          <w:b/>
          <w:bCs/>
          <w:u w:val="single"/>
        </w:rPr>
        <w:t xml:space="preserve"> </w:t>
      </w:r>
      <w:r w:rsidR="00E0169C" w:rsidRPr="00D30D78">
        <w:rPr>
          <w:rFonts w:ascii="Times New Roman" w:hAnsi="Times New Roman" w:cs="Times New Roman"/>
          <w:b/>
          <w:bCs/>
          <w:u w:val="single"/>
        </w:rPr>
        <w:t>TREATMENT FOR GENDER DYSPHORIA</w:t>
      </w:r>
      <w:r w:rsidRPr="00D30D78">
        <w:rPr>
          <w:rFonts w:ascii="Times New Roman" w:hAnsi="Times New Roman" w:cs="Times New Roman"/>
          <w:b/>
          <w:bCs/>
          <w:i/>
          <w:iCs/>
          <w:u w:val="single"/>
        </w:rPr>
        <w:t xml:space="preserve"> – </w:t>
      </w:r>
      <w:r w:rsidR="005766D1" w:rsidRPr="00D30D78">
        <w:rPr>
          <w:rFonts w:ascii="Times New Roman" w:hAnsi="Times New Roman" w:cs="Times New Roman"/>
          <w:b/>
          <w:bCs/>
          <w:i/>
          <w:iCs/>
          <w:u w:val="single"/>
        </w:rPr>
        <w:t xml:space="preserve">Quincy Bell &amp; Mrs A </w:t>
      </w:r>
      <w:r w:rsidR="005766D1" w:rsidRPr="00D30D78">
        <w:rPr>
          <w:rFonts w:ascii="Times New Roman" w:hAnsi="Times New Roman" w:cs="Times New Roman"/>
          <w:b/>
          <w:bCs/>
          <w:u w:val="single"/>
        </w:rPr>
        <w:t>v</w:t>
      </w:r>
      <w:r w:rsidR="005766D1" w:rsidRPr="00D30D78">
        <w:rPr>
          <w:rFonts w:ascii="Times New Roman" w:hAnsi="Times New Roman" w:cs="Times New Roman"/>
          <w:b/>
          <w:bCs/>
          <w:i/>
          <w:iCs/>
          <w:u w:val="single"/>
        </w:rPr>
        <w:t xml:space="preserve"> The Tavistock and Portman NHS Foundation Trust and</w:t>
      </w:r>
      <w:r w:rsidR="005766D1" w:rsidRPr="00D30D78">
        <w:rPr>
          <w:rFonts w:ascii="Times New Roman" w:hAnsi="Times New Roman" w:cs="Times New Roman"/>
          <w:b/>
          <w:bCs/>
          <w:u w:val="single"/>
        </w:rPr>
        <w:t xml:space="preserve"> </w:t>
      </w:r>
      <w:proofErr w:type="spellStart"/>
      <w:r w:rsidR="005766D1" w:rsidRPr="00D30D78">
        <w:rPr>
          <w:rFonts w:ascii="Times New Roman" w:hAnsi="Times New Roman" w:cs="Times New Roman"/>
          <w:b/>
          <w:bCs/>
          <w:i/>
          <w:iCs/>
          <w:u w:val="single"/>
        </w:rPr>
        <w:t>Ors</w:t>
      </w:r>
      <w:proofErr w:type="spellEnd"/>
      <w:r w:rsidR="005766D1" w:rsidRPr="00D30D78">
        <w:rPr>
          <w:rFonts w:ascii="Times New Roman" w:hAnsi="Times New Roman" w:cs="Times New Roman"/>
          <w:b/>
          <w:bCs/>
          <w:i/>
          <w:iCs/>
          <w:u w:val="single"/>
        </w:rPr>
        <w:t xml:space="preserve"> </w:t>
      </w:r>
      <w:r w:rsidR="005766D1" w:rsidRPr="00D30D78">
        <w:rPr>
          <w:rFonts w:ascii="Times New Roman" w:hAnsi="Times New Roman" w:cs="Times New Roman"/>
          <w:b/>
          <w:bCs/>
          <w:u w:val="single"/>
        </w:rPr>
        <w:t>[2020] EWHC 3274 (Admin)</w:t>
      </w:r>
    </w:p>
    <w:p w14:paraId="201B4B89" w14:textId="522D88DB" w:rsidR="004C1B24" w:rsidRDefault="004C1B24" w:rsidP="00D30D78">
      <w:pPr>
        <w:jc w:val="center"/>
        <w:rPr>
          <w:rFonts w:ascii="Times New Roman" w:hAnsi="Times New Roman" w:cs="Times New Roman"/>
          <w:b/>
          <w:bCs/>
          <w:u w:val="single"/>
        </w:rPr>
      </w:pPr>
    </w:p>
    <w:p w14:paraId="60E9FEB9" w14:textId="77777777" w:rsidR="004C1B24" w:rsidRPr="00DE4E52" w:rsidRDefault="004C1B24" w:rsidP="004C1B24">
      <w:pPr>
        <w:rPr>
          <w:rFonts w:ascii="Times New Roman" w:hAnsi="Times New Roman" w:cs="Times New Roman"/>
        </w:rPr>
      </w:pPr>
      <w:r w:rsidRPr="00DE4E52">
        <w:rPr>
          <w:rFonts w:ascii="Times New Roman" w:hAnsi="Times New Roman" w:cs="Times New Roman"/>
        </w:rPr>
        <w:t>Kirsty L Moreton</w:t>
      </w:r>
    </w:p>
    <w:p w14:paraId="0BDDDF7E" w14:textId="77777777" w:rsidR="004C1B24" w:rsidRPr="00DE4E52" w:rsidRDefault="004C1B24" w:rsidP="004C1B24">
      <w:pPr>
        <w:rPr>
          <w:rFonts w:ascii="Times New Roman" w:hAnsi="Times New Roman" w:cs="Times New Roman"/>
        </w:rPr>
      </w:pPr>
    </w:p>
    <w:p w14:paraId="59D3A7E8" w14:textId="77777777" w:rsidR="004C1B24" w:rsidRPr="00DE4E52" w:rsidRDefault="004C1B24" w:rsidP="004C1B24">
      <w:pPr>
        <w:rPr>
          <w:rFonts w:ascii="Times New Roman" w:hAnsi="Times New Roman" w:cs="Times New Roman"/>
        </w:rPr>
      </w:pPr>
      <w:r w:rsidRPr="00DE4E52">
        <w:rPr>
          <w:rFonts w:ascii="Times New Roman" w:hAnsi="Times New Roman" w:cs="Times New Roman"/>
        </w:rPr>
        <w:t>School of Law,</w:t>
      </w:r>
    </w:p>
    <w:p w14:paraId="27DD65E5" w14:textId="77777777" w:rsidR="004C1B24" w:rsidRPr="00DE4E52" w:rsidRDefault="004C1B24" w:rsidP="004C1B24">
      <w:pPr>
        <w:rPr>
          <w:rFonts w:ascii="Times New Roman" w:hAnsi="Times New Roman" w:cs="Times New Roman"/>
        </w:rPr>
      </w:pPr>
      <w:proofErr w:type="spellStart"/>
      <w:r w:rsidRPr="00DE4E52">
        <w:rPr>
          <w:rFonts w:ascii="Times New Roman" w:hAnsi="Times New Roman" w:cs="Times New Roman"/>
        </w:rPr>
        <w:t>Keele</w:t>
      </w:r>
      <w:proofErr w:type="spellEnd"/>
      <w:r w:rsidRPr="00DE4E52">
        <w:rPr>
          <w:rFonts w:ascii="Times New Roman" w:hAnsi="Times New Roman" w:cs="Times New Roman"/>
        </w:rPr>
        <w:t xml:space="preserve"> University,</w:t>
      </w:r>
    </w:p>
    <w:p w14:paraId="739ACA45" w14:textId="77777777" w:rsidR="004C1B24" w:rsidRPr="00DE4E52" w:rsidRDefault="004C1B24" w:rsidP="004C1B24">
      <w:pPr>
        <w:rPr>
          <w:rFonts w:ascii="Times New Roman" w:hAnsi="Times New Roman" w:cs="Times New Roman"/>
        </w:rPr>
      </w:pPr>
      <w:proofErr w:type="spellStart"/>
      <w:r w:rsidRPr="00DE4E52">
        <w:rPr>
          <w:rFonts w:ascii="Times New Roman" w:hAnsi="Times New Roman" w:cs="Times New Roman"/>
        </w:rPr>
        <w:t>Keele</w:t>
      </w:r>
      <w:proofErr w:type="spellEnd"/>
      <w:r w:rsidRPr="00DE4E52">
        <w:rPr>
          <w:rFonts w:ascii="Times New Roman" w:hAnsi="Times New Roman" w:cs="Times New Roman"/>
        </w:rPr>
        <w:t>,</w:t>
      </w:r>
    </w:p>
    <w:p w14:paraId="144EAF3B" w14:textId="77777777" w:rsidR="004C1B24" w:rsidRPr="00DE4E52" w:rsidRDefault="004C1B24" w:rsidP="004C1B24">
      <w:pPr>
        <w:rPr>
          <w:rFonts w:ascii="Times New Roman" w:hAnsi="Times New Roman" w:cs="Times New Roman"/>
        </w:rPr>
      </w:pPr>
      <w:r w:rsidRPr="00DE4E52">
        <w:rPr>
          <w:rFonts w:ascii="Times New Roman" w:hAnsi="Times New Roman" w:cs="Times New Roman"/>
        </w:rPr>
        <w:t>UK.</w:t>
      </w:r>
    </w:p>
    <w:p w14:paraId="29A52F25" w14:textId="77777777" w:rsidR="004C1B24" w:rsidRPr="00DE4E52" w:rsidRDefault="004C1B24" w:rsidP="004C1B24">
      <w:pPr>
        <w:rPr>
          <w:rFonts w:ascii="Times New Roman" w:hAnsi="Times New Roman" w:cs="Times New Roman"/>
        </w:rPr>
      </w:pPr>
    </w:p>
    <w:p w14:paraId="410E6792" w14:textId="77777777" w:rsidR="004C1B24" w:rsidRPr="00DE4E52" w:rsidRDefault="004C1B24" w:rsidP="004C1B24">
      <w:pPr>
        <w:rPr>
          <w:rFonts w:ascii="Times New Roman" w:hAnsi="Times New Roman" w:cs="Times New Roman"/>
        </w:rPr>
      </w:pPr>
      <w:r w:rsidRPr="00DE4E52">
        <w:rPr>
          <w:rFonts w:ascii="Times New Roman" w:hAnsi="Times New Roman" w:cs="Times New Roman"/>
        </w:rPr>
        <w:t xml:space="preserve">Corresponding Author: Dr K Moreton, School of Law, </w:t>
      </w:r>
      <w:proofErr w:type="spellStart"/>
      <w:r w:rsidRPr="00DE4E52">
        <w:rPr>
          <w:rFonts w:ascii="Times New Roman" w:hAnsi="Times New Roman" w:cs="Times New Roman"/>
        </w:rPr>
        <w:t>Keele</w:t>
      </w:r>
      <w:proofErr w:type="spellEnd"/>
      <w:r w:rsidRPr="00DE4E52">
        <w:rPr>
          <w:rFonts w:ascii="Times New Roman" w:hAnsi="Times New Roman" w:cs="Times New Roman"/>
        </w:rPr>
        <w:t xml:space="preserve"> University, </w:t>
      </w:r>
      <w:proofErr w:type="spellStart"/>
      <w:r w:rsidRPr="00DE4E52">
        <w:rPr>
          <w:rFonts w:ascii="Times New Roman" w:hAnsi="Times New Roman" w:cs="Times New Roman"/>
        </w:rPr>
        <w:t>Keele</w:t>
      </w:r>
      <w:proofErr w:type="spellEnd"/>
      <w:r w:rsidRPr="00DE4E52">
        <w:rPr>
          <w:rFonts w:ascii="Times New Roman" w:hAnsi="Times New Roman" w:cs="Times New Roman"/>
        </w:rPr>
        <w:t xml:space="preserve">, Staffordshire, UK, ST5 5BG. Email: </w:t>
      </w:r>
      <w:hyperlink r:id="rId7" w:history="1">
        <w:r w:rsidRPr="00DE4E52">
          <w:rPr>
            <w:rStyle w:val="Hyperlink"/>
            <w:rFonts w:ascii="Times New Roman" w:hAnsi="Times New Roman" w:cs="Times New Roman"/>
          </w:rPr>
          <w:t>k.moreton@keele.ac.uk</w:t>
        </w:r>
      </w:hyperlink>
    </w:p>
    <w:p w14:paraId="60A830AB" w14:textId="77777777" w:rsidR="004C1B24" w:rsidRPr="00DE4E52" w:rsidRDefault="004C1B24" w:rsidP="004C1B24">
      <w:pPr>
        <w:rPr>
          <w:rFonts w:ascii="Times New Roman" w:hAnsi="Times New Roman" w:cs="Times New Roman"/>
        </w:rPr>
      </w:pPr>
    </w:p>
    <w:p w14:paraId="2F5FE7CA" w14:textId="0D44FDB3" w:rsidR="004C1B24" w:rsidRDefault="004C1B24" w:rsidP="004C1B24">
      <w:pPr>
        <w:rPr>
          <w:rFonts w:ascii="Times New Roman" w:hAnsi="Times New Roman" w:cs="Times New Roman"/>
        </w:rPr>
      </w:pPr>
      <w:r w:rsidRPr="00DE4E52">
        <w:rPr>
          <w:rFonts w:ascii="Times New Roman" w:hAnsi="Times New Roman" w:cs="Times New Roman"/>
        </w:rPr>
        <w:t>Declarations: No ethical approval necessary, no conflict of interest to declare.</w:t>
      </w:r>
    </w:p>
    <w:p w14:paraId="2AC57546" w14:textId="77777777" w:rsidR="004C1B24" w:rsidRPr="00DE4E52" w:rsidRDefault="004C1B24" w:rsidP="004C1B24">
      <w:pPr>
        <w:rPr>
          <w:rFonts w:ascii="Times New Roman" w:hAnsi="Times New Roman" w:cs="Times New Roman"/>
        </w:rPr>
      </w:pPr>
    </w:p>
    <w:p w14:paraId="37E81B57" w14:textId="731209EC" w:rsidR="004C1B24" w:rsidRDefault="004C1B24" w:rsidP="00D30D78">
      <w:pPr>
        <w:jc w:val="center"/>
        <w:rPr>
          <w:rFonts w:ascii="Times New Roman" w:hAnsi="Times New Roman" w:cs="Times New Roman"/>
          <w:b/>
          <w:bCs/>
          <w:u w:val="single"/>
        </w:rPr>
      </w:pPr>
      <w:r>
        <w:rPr>
          <w:rFonts w:ascii="Times New Roman" w:hAnsi="Times New Roman" w:cs="Times New Roman"/>
          <w:b/>
          <w:bCs/>
          <w:u w:val="single"/>
        </w:rPr>
        <w:t>ABSTRACT</w:t>
      </w:r>
    </w:p>
    <w:p w14:paraId="04C31739" w14:textId="0AC34CDD" w:rsidR="004C1B24" w:rsidRDefault="004C1B24" w:rsidP="004C1B24">
      <w:pPr>
        <w:rPr>
          <w:rFonts w:ascii="Times New Roman" w:hAnsi="Times New Roman" w:cs="Times New Roman"/>
        </w:rPr>
      </w:pPr>
      <w:r>
        <w:rPr>
          <w:rFonts w:ascii="Times New Roman" w:hAnsi="Times New Roman" w:cs="Times New Roman"/>
        </w:rPr>
        <w:t xml:space="preserve">The case of </w:t>
      </w:r>
      <w:r w:rsidRPr="0017298F">
        <w:rPr>
          <w:rFonts w:ascii="Times New Roman" w:hAnsi="Times New Roman" w:cs="Times New Roman"/>
          <w:i/>
          <w:iCs/>
        </w:rPr>
        <w:t xml:space="preserve">Quincy Bell &amp; Mrs A v The Tavistock and </w:t>
      </w:r>
      <w:r>
        <w:rPr>
          <w:rFonts w:ascii="Times New Roman" w:hAnsi="Times New Roman" w:cs="Times New Roman"/>
          <w:i/>
          <w:iCs/>
        </w:rPr>
        <w:t>P</w:t>
      </w:r>
      <w:r w:rsidRPr="0017298F">
        <w:rPr>
          <w:rFonts w:ascii="Times New Roman" w:hAnsi="Times New Roman" w:cs="Times New Roman"/>
          <w:i/>
          <w:iCs/>
        </w:rPr>
        <w:t xml:space="preserve">ortman NHS Foundation Trust and </w:t>
      </w:r>
      <w:proofErr w:type="spellStart"/>
      <w:r w:rsidRPr="0017298F">
        <w:rPr>
          <w:rFonts w:ascii="Times New Roman" w:hAnsi="Times New Roman" w:cs="Times New Roman"/>
          <w:i/>
          <w:iCs/>
        </w:rPr>
        <w:t>Ors</w:t>
      </w:r>
      <w:proofErr w:type="spellEnd"/>
      <w:r>
        <w:rPr>
          <w:rFonts w:ascii="Times New Roman" w:hAnsi="Times New Roman" w:cs="Times New Roman"/>
          <w:i/>
          <w:iCs/>
        </w:rPr>
        <w:t xml:space="preserve"> </w:t>
      </w:r>
      <w:r>
        <w:rPr>
          <w:rFonts w:ascii="Times New Roman" w:hAnsi="Times New Roman" w:cs="Times New Roman"/>
        </w:rPr>
        <w:t xml:space="preserve">is a Judicial Review into the treatment practices of the Gender Identity Development Service (GIDS) run by Tavistock NHS Trust. The Divisional Court considered whether children and young people with Gender Dysphoria can ever be </w:t>
      </w:r>
      <w:r w:rsidRPr="005F4EDC">
        <w:rPr>
          <w:rFonts w:ascii="Times New Roman" w:hAnsi="Times New Roman" w:cs="Times New Roman"/>
          <w:i/>
          <w:iCs/>
        </w:rPr>
        <w:t>Gillick</w:t>
      </w:r>
      <w:r>
        <w:rPr>
          <w:rFonts w:ascii="Times New Roman" w:hAnsi="Times New Roman" w:cs="Times New Roman"/>
        </w:rPr>
        <w:t xml:space="preserve"> competent to consent to treatment with Puberty Blockers, and if so whether GIDS provided sufficient information to support an informed consent. This commentary examines the six key areas of the judgment: the nature of Gender Dysphoria and its treatment with Puberty Blockers; the categorisation of Puberty Blockers as experimental treatment; the high bar set to achieve </w:t>
      </w:r>
      <w:r w:rsidRPr="00E511E5">
        <w:rPr>
          <w:rFonts w:ascii="Times New Roman" w:hAnsi="Times New Roman" w:cs="Times New Roman"/>
          <w:i/>
          <w:iCs/>
        </w:rPr>
        <w:t>Gillick</w:t>
      </w:r>
      <w:r>
        <w:rPr>
          <w:rFonts w:ascii="Times New Roman" w:hAnsi="Times New Roman" w:cs="Times New Roman"/>
        </w:rPr>
        <w:t xml:space="preserve"> competence; the convergence of information provision and competence; the role of parental consent; and finally the protective jurisdiction of the court. The conclusion of the court that transgender children aged under 16 will find </w:t>
      </w:r>
      <w:r w:rsidRPr="000D3FA1">
        <w:rPr>
          <w:rFonts w:ascii="Times New Roman" w:hAnsi="Times New Roman" w:cs="Times New Roman"/>
        </w:rPr>
        <w:t>‘enormous difficulties’</w:t>
      </w:r>
      <w:r>
        <w:rPr>
          <w:rFonts w:ascii="Times New Roman" w:hAnsi="Times New Roman" w:cs="Times New Roman"/>
        </w:rPr>
        <w:t xml:space="preserve"> in reaching the </w:t>
      </w:r>
      <w:r w:rsidRPr="00E511E5">
        <w:rPr>
          <w:rFonts w:ascii="Times New Roman" w:hAnsi="Times New Roman" w:cs="Times New Roman"/>
          <w:i/>
          <w:iCs/>
        </w:rPr>
        <w:t>Gillick</w:t>
      </w:r>
      <w:r>
        <w:rPr>
          <w:rFonts w:ascii="Times New Roman" w:hAnsi="Times New Roman" w:cs="Times New Roman"/>
        </w:rPr>
        <w:t xml:space="preserve"> threshold to be able to consent to Puberty Blockers, and that even 16-17 year olds would benefit from a ‘best interests determination’ from the court, signals judicial thinking which is markedly protectionist. Considering the broad contemporary stance in healthcare of facilitating competence, valuing patient participation and respecting rights, I argue that this judgment is out of step. It has implications not only for transgender children, but it may be a worrying signal of a greater general retreat from </w:t>
      </w:r>
      <w:r w:rsidRPr="00747521">
        <w:rPr>
          <w:rFonts w:ascii="Times New Roman" w:hAnsi="Times New Roman" w:cs="Times New Roman"/>
          <w:i/>
          <w:iCs/>
        </w:rPr>
        <w:t>Gillick</w:t>
      </w:r>
      <w:r>
        <w:rPr>
          <w:rFonts w:ascii="Times New Roman" w:hAnsi="Times New Roman" w:cs="Times New Roman"/>
          <w:i/>
          <w:iCs/>
        </w:rPr>
        <w:t xml:space="preserve"> </w:t>
      </w:r>
      <w:r>
        <w:rPr>
          <w:rFonts w:ascii="Times New Roman" w:hAnsi="Times New Roman" w:cs="Times New Roman"/>
        </w:rPr>
        <w:t>and a corresponding advance in emphasis on judicially determined best interests.</w:t>
      </w:r>
    </w:p>
    <w:p w14:paraId="0168642D" w14:textId="77777777" w:rsidR="004C1B24" w:rsidRDefault="004C1B24" w:rsidP="004C1B24">
      <w:pPr>
        <w:rPr>
          <w:rFonts w:ascii="Times New Roman" w:hAnsi="Times New Roman" w:cs="Times New Roman"/>
        </w:rPr>
      </w:pPr>
    </w:p>
    <w:p w14:paraId="4267C52B" w14:textId="052F830D" w:rsidR="004C1B24" w:rsidRPr="004C1B24" w:rsidRDefault="004C1B24" w:rsidP="004C1B24">
      <w:pPr>
        <w:rPr>
          <w:rFonts w:ascii="Times New Roman" w:hAnsi="Times New Roman" w:cs="Times New Roman"/>
        </w:rPr>
      </w:pPr>
      <w:r w:rsidRPr="004C1B24">
        <w:rPr>
          <w:rFonts w:ascii="Times New Roman" w:hAnsi="Times New Roman" w:cs="Times New Roman"/>
          <w:b/>
          <w:bCs/>
        </w:rPr>
        <w:t>KEYWORDS:</w:t>
      </w:r>
      <w:r>
        <w:rPr>
          <w:rFonts w:ascii="Times New Roman" w:hAnsi="Times New Roman" w:cs="Times New Roman"/>
          <w:b/>
          <w:bCs/>
        </w:rPr>
        <w:t xml:space="preserve"> </w:t>
      </w:r>
      <w:r>
        <w:rPr>
          <w:rFonts w:ascii="Times New Roman" w:hAnsi="Times New Roman" w:cs="Times New Roman"/>
        </w:rPr>
        <w:t>Children, Decision-Making, Experimental Treatment, Gender Dysphoria, Gillick Competence, Transgender.</w:t>
      </w:r>
    </w:p>
    <w:p w14:paraId="5FD9BB59" w14:textId="7430CF93" w:rsidR="004C1B24" w:rsidRDefault="004C1B24" w:rsidP="00D30D78">
      <w:pPr>
        <w:jc w:val="center"/>
        <w:rPr>
          <w:rFonts w:ascii="Times New Roman" w:hAnsi="Times New Roman" w:cs="Times New Roman"/>
          <w:b/>
          <w:bCs/>
          <w:u w:val="single"/>
        </w:rPr>
      </w:pPr>
    </w:p>
    <w:p w14:paraId="0F982FBE" w14:textId="77777777" w:rsidR="004C1B24" w:rsidRDefault="004C1B24" w:rsidP="00D30D78">
      <w:pPr>
        <w:jc w:val="center"/>
        <w:rPr>
          <w:rFonts w:ascii="Times New Roman" w:hAnsi="Times New Roman" w:cs="Times New Roman"/>
          <w:b/>
          <w:bCs/>
          <w:u w:val="single"/>
        </w:rPr>
      </w:pPr>
    </w:p>
    <w:p w14:paraId="2742F998" w14:textId="4F6E0187" w:rsidR="004C1B24" w:rsidRDefault="004C1B24" w:rsidP="00D30D78">
      <w:pPr>
        <w:jc w:val="center"/>
        <w:rPr>
          <w:rFonts w:ascii="Times New Roman" w:hAnsi="Times New Roman" w:cs="Times New Roman"/>
          <w:b/>
          <w:bCs/>
          <w:u w:val="single"/>
        </w:rPr>
      </w:pPr>
    </w:p>
    <w:p w14:paraId="4A3D728E" w14:textId="32609B9C" w:rsidR="004C1B24" w:rsidRDefault="004C1B24" w:rsidP="00D30D78">
      <w:pPr>
        <w:jc w:val="center"/>
        <w:rPr>
          <w:rFonts w:ascii="Times New Roman" w:hAnsi="Times New Roman" w:cs="Times New Roman"/>
          <w:b/>
          <w:bCs/>
          <w:u w:val="single"/>
        </w:rPr>
      </w:pPr>
    </w:p>
    <w:p w14:paraId="3F3E8A56" w14:textId="5D4DD6D6" w:rsidR="004C1B24" w:rsidRDefault="004C1B24" w:rsidP="00D30D78">
      <w:pPr>
        <w:jc w:val="center"/>
        <w:rPr>
          <w:rFonts w:ascii="Times New Roman" w:hAnsi="Times New Roman" w:cs="Times New Roman"/>
          <w:b/>
          <w:bCs/>
          <w:u w:val="single"/>
        </w:rPr>
      </w:pPr>
    </w:p>
    <w:p w14:paraId="0E37C888" w14:textId="0D14B565" w:rsidR="004C1B24" w:rsidRDefault="004C1B24" w:rsidP="00D30D78">
      <w:pPr>
        <w:jc w:val="center"/>
        <w:rPr>
          <w:rFonts w:ascii="Times New Roman" w:hAnsi="Times New Roman" w:cs="Times New Roman"/>
          <w:b/>
          <w:bCs/>
          <w:u w:val="single"/>
        </w:rPr>
      </w:pPr>
    </w:p>
    <w:p w14:paraId="6E7F88B4" w14:textId="2DAC5741" w:rsidR="004C1B24" w:rsidRDefault="004C1B24" w:rsidP="00D30D78">
      <w:pPr>
        <w:jc w:val="center"/>
        <w:rPr>
          <w:rFonts w:ascii="Times New Roman" w:hAnsi="Times New Roman" w:cs="Times New Roman"/>
          <w:b/>
          <w:bCs/>
          <w:u w:val="single"/>
        </w:rPr>
      </w:pPr>
    </w:p>
    <w:p w14:paraId="58A96657" w14:textId="1CD7B411" w:rsidR="004C1B24" w:rsidRDefault="004C1B24" w:rsidP="00D30D78">
      <w:pPr>
        <w:jc w:val="center"/>
        <w:rPr>
          <w:rFonts w:ascii="Times New Roman" w:hAnsi="Times New Roman" w:cs="Times New Roman"/>
          <w:b/>
          <w:bCs/>
          <w:u w:val="single"/>
        </w:rPr>
      </w:pPr>
    </w:p>
    <w:p w14:paraId="1A23BFFA" w14:textId="77777777" w:rsidR="004C1B24" w:rsidRDefault="004C1B24" w:rsidP="00D30D78">
      <w:pPr>
        <w:jc w:val="center"/>
        <w:rPr>
          <w:rFonts w:ascii="Times New Roman" w:hAnsi="Times New Roman" w:cs="Times New Roman"/>
          <w:b/>
          <w:bCs/>
          <w:u w:val="single"/>
        </w:rPr>
      </w:pPr>
    </w:p>
    <w:p w14:paraId="1238D795" w14:textId="77777777" w:rsidR="004C1B24" w:rsidRPr="00D30D78" w:rsidRDefault="004C1B24" w:rsidP="00D30D78">
      <w:pPr>
        <w:jc w:val="center"/>
        <w:rPr>
          <w:rFonts w:ascii="Times New Roman" w:hAnsi="Times New Roman" w:cs="Times New Roman"/>
          <w:b/>
          <w:bCs/>
          <w:u w:val="single"/>
        </w:rPr>
      </w:pPr>
    </w:p>
    <w:p w14:paraId="52B9C287" w14:textId="77777777" w:rsidR="005766D1" w:rsidRPr="003B696E" w:rsidRDefault="005766D1">
      <w:pPr>
        <w:rPr>
          <w:rFonts w:ascii="Times New Roman" w:hAnsi="Times New Roman" w:cs="Times New Roman"/>
          <w:sz w:val="28"/>
          <w:szCs w:val="28"/>
          <w:u w:val="single"/>
        </w:rPr>
      </w:pPr>
    </w:p>
    <w:p w14:paraId="4F24377F" w14:textId="77777777" w:rsidR="004D0DF2" w:rsidRPr="00D30D78" w:rsidRDefault="004D0DF2" w:rsidP="004D0DF2">
      <w:pPr>
        <w:jc w:val="center"/>
        <w:rPr>
          <w:rFonts w:ascii="Times New Roman" w:hAnsi="Times New Roman" w:cs="Times New Roman"/>
          <w:b/>
          <w:bCs/>
          <w:u w:val="single"/>
        </w:rPr>
      </w:pPr>
      <w:r w:rsidRPr="00D30D78">
        <w:rPr>
          <w:rFonts w:ascii="Times New Roman" w:hAnsi="Times New Roman" w:cs="Times New Roman"/>
          <w:u w:val="single"/>
        </w:rPr>
        <w:t>I.</w:t>
      </w:r>
      <w:r w:rsidRPr="00D30D78">
        <w:rPr>
          <w:rFonts w:ascii="Times New Roman" w:hAnsi="Times New Roman" w:cs="Times New Roman"/>
          <w:b/>
          <w:bCs/>
          <w:u w:val="single"/>
        </w:rPr>
        <w:t>INTRODUCTION</w:t>
      </w:r>
    </w:p>
    <w:p w14:paraId="3B71E7D7" w14:textId="56FA0020" w:rsidR="004D0DF2" w:rsidRDefault="004D0DF2" w:rsidP="004D0DF2">
      <w:pPr>
        <w:rPr>
          <w:rFonts w:ascii="Times New Roman" w:hAnsi="Times New Roman" w:cs="Times New Roman"/>
        </w:rPr>
      </w:pPr>
      <w:r>
        <w:rPr>
          <w:rFonts w:ascii="Times New Roman" w:hAnsi="Times New Roman" w:cs="Times New Roman"/>
        </w:rPr>
        <w:t>It is tempting to view the Judicial Review into the treatment practices of the Gender Identity Development Service (GIDS) in</w:t>
      </w:r>
      <w:r w:rsidRPr="0017298F">
        <w:rPr>
          <w:rFonts w:ascii="Times New Roman" w:hAnsi="Times New Roman" w:cs="Times New Roman"/>
          <w:i/>
          <w:iCs/>
        </w:rPr>
        <w:t xml:space="preserve"> Quincy Bell &amp; Mrs A v The Tavistock and </w:t>
      </w:r>
      <w:r>
        <w:rPr>
          <w:rFonts w:ascii="Times New Roman" w:hAnsi="Times New Roman" w:cs="Times New Roman"/>
          <w:i/>
          <w:iCs/>
        </w:rPr>
        <w:t>P</w:t>
      </w:r>
      <w:r w:rsidRPr="0017298F">
        <w:rPr>
          <w:rFonts w:ascii="Times New Roman" w:hAnsi="Times New Roman" w:cs="Times New Roman"/>
          <w:i/>
          <w:iCs/>
        </w:rPr>
        <w:t xml:space="preserve">ortman NHS Foundation Trust and </w:t>
      </w:r>
      <w:proofErr w:type="spellStart"/>
      <w:r w:rsidRPr="0017298F">
        <w:rPr>
          <w:rFonts w:ascii="Times New Roman" w:hAnsi="Times New Roman" w:cs="Times New Roman"/>
          <w:i/>
          <w:iCs/>
        </w:rPr>
        <w:t>Ors</w:t>
      </w:r>
      <w:proofErr w:type="spellEnd"/>
      <w:r>
        <w:rPr>
          <w:rStyle w:val="FootnoteReference"/>
          <w:rFonts w:ascii="Times New Roman" w:hAnsi="Times New Roman" w:cs="Times New Roman"/>
          <w:i/>
          <w:iCs/>
        </w:rPr>
        <w:footnoteReference w:id="1"/>
      </w:r>
      <w:r w:rsidR="0074328B">
        <w:rPr>
          <w:rFonts w:ascii="Times New Roman" w:hAnsi="Times New Roman" w:cs="Times New Roman"/>
          <w:i/>
          <w:iCs/>
        </w:rPr>
        <w:t xml:space="preserve"> </w:t>
      </w:r>
      <w:r w:rsidRPr="0017298F">
        <w:rPr>
          <w:rFonts w:ascii="Times New Roman" w:hAnsi="Times New Roman" w:cs="Times New Roman"/>
        </w:rPr>
        <w:t>as</w:t>
      </w:r>
      <w:r>
        <w:rPr>
          <w:rFonts w:ascii="Times New Roman" w:hAnsi="Times New Roman" w:cs="Times New Roman"/>
        </w:rPr>
        <w:t xml:space="preserve"> a</w:t>
      </w:r>
      <w:r>
        <w:rPr>
          <w:rFonts w:ascii="Times New Roman" w:hAnsi="Times New Roman" w:cs="Times New Roman"/>
          <w:i/>
          <w:iCs/>
        </w:rPr>
        <w:t xml:space="preserve"> </w:t>
      </w:r>
      <w:r>
        <w:rPr>
          <w:rFonts w:ascii="Times New Roman" w:hAnsi="Times New Roman" w:cs="Times New Roman"/>
        </w:rPr>
        <w:t>case about transgender children</w:t>
      </w:r>
      <w:r w:rsidR="0074328B">
        <w:rPr>
          <w:rFonts w:ascii="Times New Roman" w:hAnsi="Times New Roman" w:cs="Times New Roman"/>
        </w:rPr>
        <w:t xml:space="preserve"> and </w:t>
      </w:r>
      <w:r>
        <w:rPr>
          <w:rFonts w:ascii="Times New Roman" w:hAnsi="Times New Roman" w:cs="Times New Roman"/>
        </w:rPr>
        <w:t>the courts’ declaration on their likely inability to consent to treatment with Puberty Blockers (PBs) for Gender Dysphoria (GD). Doubtless, context is important. Sitting within the wider discussion about trans rights,</w:t>
      </w:r>
      <w:r>
        <w:rPr>
          <w:rStyle w:val="FootnoteReference"/>
          <w:rFonts w:ascii="Times New Roman" w:hAnsi="Times New Roman" w:cs="Times New Roman"/>
        </w:rPr>
        <w:footnoteReference w:id="2"/>
      </w:r>
      <w:r>
        <w:rPr>
          <w:rFonts w:ascii="Times New Roman" w:hAnsi="Times New Roman" w:cs="Times New Roman"/>
        </w:rPr>
        <w:t xml:space="preserve"> the case illustrates the ‘societal polarisations and tensions’</w:t>
      </w:r>
      <w:r>
        <w:rPr>
          <w:rStyle w:val="FootnoteReference"/>
          <w:rFonts w:ascii="Times New Roman" w:hAnsi="Times New Roman" w:cs="Times New Roman"/>
        </w:rPr>
        <w:footnoteReference w:id="3"/>
      </w:r>
      <w:r>
        <w:rPr>
          <w:rFonts w:ascii="Times New Roman" w:hAnsi="Times New Roman" w:cs="Times New Roman"/>
        </w:rPr>
        <w:t xml:space="preserve"> between concerns over the nature and purpose of treatment for GD, and the ever increasing demand for children’s gender identity services.</w:t>
      </w:r>
      <w:r>
        <w:rPr>
          <w:rStyle w:val="FootnoteReference"/>
          <w:rFonts w:ascii="Times New Roman" w:hAnsi="Times New Roman" w:cs="Times New Roman"/>
        </w:rPr>
        <w:footnoteReference w:id="4"/>
      </w:r>
      <w:r>
        <w:rPr>
          <w:rFonts w:ascii="Times New Roman" w:hAnsi="Times New Roman" w:cs="Times New Roman"/>
        </w:rPr>
        <w:t xml:space="preserve"> Nor, should the impact of the judgment in </w:t>
      </w:r>
      <w:r w:rsidRPr="002642BA">
        <w:rPr>
          <w:rFonts w:ascii="Times New Roman" w:hAnsi="Times New Roman" w:cs="Times New Roman"/>
          <w:i/>
          <w:iCs/>
        </w:rPr>
        <w:t>Bell</w:t>
      </w:r>
      <w:r>
        <w:rPr>
          <w:rFonts w:ascii="Times New Roman" w:hAnsi="Times New Roman" w:cs="Times New Roman"/>
        </w:rPr>
        <w:t xml:space="preserve"> on the lives of some individual trans children be underestimated.</w:t>
      </w:r>
      <w:r>
        <w:rPr>
          <w:rStyle w:val="FootnoteReference"/>
          <w:rFonts w:ascii="Times New Roman" w:hAnsi="Times New Roman" w:cs="Times New Roman"/>
        </w:rPr>
        <w:footnoteReference w:id="5"/>
      </w:r>
      <w:r>
        <w:rPr>
          <w:rFonts w:ascii="Times New Roman" w:hAnsi="Times New Roman" w:cs="Times New Roman"/>
        </w:rPr>
        <w:t xml:space="preserve"> Nonetheless, the significance of </w:t>
      </w:r>
      <w:r w:rsidRPr="00BB1193">
        <w:rPr>
          <w:rFonts w:ascii="Times New Roman" w:hAnsi="Times New Roman" w:cs="Times New Roman"/>
          <w:i/>
          <w:iCs/>
        </w:rPr>
        <w:t>Bell</w:t>
      </w:r>
      <w:r>
        <w:rPr>
          <w:rFonts w:ascii="Times New Roman" w:hAnsi="Times New Roman" w:cs="Times New Roman"/>
        </w:rPr>
        <w:t xml:space="preserve"> is wider reaching than all of this. Whilst most of the case-law over the 35 years since the House of Lords created the test for child competence </w:t>
      </w:r>
      <w:r>
        <w:rPr>
          <w:rStyle w:val="FootnoteReference"/>
          <w:rFonts w:ascii="Times New Roman" w:hAnsi="Times New Roman" w:cs="Times New Roman"/>
        </w:rPr>
        <w:footnoteReference w:id="6"/>
      </w:r>
      <w:r w:rsidRPr="00BB1193">
        <w:rPr>
          <w:rFonts w:ascii="Times New Roman" w:hAnsi="Times New Roman" w:cs="Times New Roman"/>
        </w:rPr>
        <w:t xml:space="preserve"> </w:t>
      </w:r>
      <w:r>
        <w:rPr>
          <w:rFonts w:ascii="Times New Roman" w:hAnsi="Times New Roman" w:cs="Times New Roman"/>
        </w:rPr>
        <w:t xml:space="preserve">has focused on judicial reluctance to permit child treatment refusal, the High Court in this case squarely confronts the ability of children to positively </w:t>
      </w:r>
      <w:r w:rsidRPr="00BB1193">
        <w:rPr>
          <w:rFonts w:ascii="Times New Roman" w:hAnsi="Times New Roman" w:cs="Times New Roman"/>
          <w:i/>
          <w:iCs/>
        </w:rPr>
        <w:t>consent</w:t>
      </w:r>
      <w:r>
        <w:rPr>
          <w:rFonts w:ascii="Times New Roman" w:hAnsi="Times New Roman" w:cs="Times New Roman"/>
        </w:rPr>
        <w:t xml:space="preserve"> to treatment – and in my view, comes to an </w:t>
      </w:r>
      <w:r w:rsidRPr="00D55A57">
        <w:rPr>
          <w:rFonts w:ascii="Times New Roman" w:hAnsi="Times New Roman" w:cs="Times New Roman"/>
          <w:color w:val="000000" w:themeColor="text1"/>
        </w:rPr>
        <w:t xml:space="preserve">untenable </w:t>
      </w:r>
      <w:r>
        <w:rPr>
          <w:rFonts w:ascii="Times New Roman" w:hAnsi="Times New Roman" w:cs="Times New Roman"/>
        </w:rPr>
        <w:t>conclusion.</w:t>
      </w:r>
    </w:p>
    <w:p w14:paraId="1BD801BE" w14:textId="1AD347ED" w:rsidR="004D0DF2" w:rsidRDefault="004D0DF2" w:rsidP="004D0DF2">
      <w:pPr>
        <w:ind w:firstLine="720"/>
        <w:rPr>
          <w:rFonts w:ascii="Times New Roman" w:hAnsi="Times New Roman" w:cs="Times New Roman"/>
        </w:rPr>
      </w:pPr>
      <w:r>
        <w:rPr>
          <w:rFonts w:ascii="Times New Roman" w:hAnsi="Times New Roman" w:cs="Times New Roman"/>
        </w:rPr>
        <w:t xml:space="preserve">The judgment contains </w:t>
      </w:r>
      <w:r w:rsidR="00F50F8C">
        <w:rPr>
          <w:rFonts w:ascii="Times New Roman" w:hAnsi="Times New Roman" w:cs="Times New Roman"/>
        </w:rPr>
        <w:t>six</w:t>
      </w:r>
      <w:r>
        <w:rPr>
          <w:rFonts w:ascii="Times New Roman" w:hAnsi="Times New Roman" w:cs="Times New Roman"/>
        </w:rPr>
        <w:t xml:space="preserve"> key features </w:t>
      </w:r>
      <w:r w:rsidR="00111F98">
        <w:rPr>
          <w:rFonts w:ascii="Times New Roman" w:hAnsi="Times New Roman" w:cs="Times New Roman"/>
        </w:rPr>
        <w:t>that</w:t>
      </w:r>
      <w:r>
        <w:rPr>
          <w:rFonts w:ascii="Times New Roman" w:hAnsi="Times New Roman" w:cs="Times New Roman"/>
        </w:rPr>
        <w:t xml:space="preserve"> I will discuss in this commentary. First, the court’s uneasiness around the concept of GD and its diagnosis. Second, the novel labelling of PB’s as “experimental” treatment. Third, the court</w:t>
      </w:r>
      <w:r w:rsidR="00111F98">
        <w:rPr>
          <w:rFonts w:ascii="Times New Roman" w:hAnsi="Times New Roman" w:cs="Times New Roman"/>
        </w:rPr>
        <w:t>’</w:t>
      </w:r>
      <w:r>
        <w:rPr>
          <w:rFonts w:ascii="Times New Roman" w:hAnsi="Times New Roman" w:cs="Times New Roman"/>
        </w:rPr>
        <w:t xml:space="preserve">s very narrow interpretation of </w:t>
      </w:r>
      <w:r w:rsidRPr="00772445">
        <w:rPr>
          <w:rFonts w:ascii="Times New Roman" w:hAnsi="Times New Roman" w:cs="Times New Roman"/>
          <w:i/>
          <w:iCs/>
        </w:rPr>
        <w:t>Gillick</w:t>
      </w:r>
      <w:r>
        <w:rPr>
          <w:rFonts w:ascii="Times New Roman" w:hAnsi="Times New Roman" w:cs="Times New Roman"/>
        </w:rPr>
        <w:t xml:space="preserve"> competence to consent</w:t>
      </w:r>
      <w:r w:rsidR="00F50F8C">
        <w:rPr>
          <w:rFonts w:ascii="Times New Roman" w:hAnsi="Times New Roman" w:cs="Times New Roman"/>
        </w:rPr>
        <w:t>. Fourth,</w:t>
      </w:r>
      <w:r w:rsidR="00A7740A">
        <w:rPr>
          <w:rFonts w:ascii="Times New Roman" w:hAnsi="Times New Roman" w:cs="Times New Roman"/>
        </w:rPr>
        <w:t xml:space="preserve"> the</w:t>
      </w:r>
      <w:r>
        <w:rPr>
          <w:rFonts w:ascii="Times New Roman" w:hAnsi="Times New Roman" w:cs="Times New Roman"/>
        </w:rPr>
        <w:t xml:space="preserve"> problematic convergence of information provision and competence. F</w:t>
      </w:r>
      <w:r w:rsidR="00F50F8C">
        <w:rPr>
          <w:rFonts w:ascii="Times New Roman" w:hAnsi="Times New Roman" w:cs="Times New Roman"/>
        </w:rPr>
        <w:t>ifth</w:t>
      </w:r>
      <w:r>
        <w:rPr>
          <w:rFonts w:ascii="Times New Roman" w:hAnsi="Times New Roman" w:cs="Times New Roman"/>
        </w:rPr>
        <w:t>, the surprising absence of consideration</w:t>
      </w:r>
      <w:r w:rsidR="00A7740A">
        <w:rPr>
          <w:rFonts w:ascii="Times New Roman" w:hAnsi="Times New Roman" w:cs="Times New Roman"/>
        </w:rPr>
        <w:t xml:space="preserve"> of</w:t>
      </w:r>
      <w:r>
        <w:rPr>
          <w:rFonts w:ascii="Times New Roman" w:hAnsi="Times New Roman" w:cs="Times New Roman"/>
        </w:rPr>
        <w:t xml:space="preserve"> parental consent</w:t>
      </w:r>
      <w:r w:rsidR="00A7740A">
        <w:rPr>
          <w:rFonts w:ascii="Times New Roman" w:hAnsi="Times New Roman" w:cs="Times New Roman"/>
        </w:rPr>
        <w:t xml:space="preserve">. </w:t>
      </w:r>
      <w:r w:rsidR="00F50F8C">
        <w:rPr>
          <w:rFonts w:ascii="Times New Roman" w:hAnsi="Times New Roman" w:cs="Times New Roman"/>
        </w:rPr>
        <w:t>Sixth</w:t>
      </w:r>
      <w:r>
        <w:rPr>
          <w:rFonts w:ascii="Times New Roman" w:hAnsi="Times New Roman" w:cs="Times New Roman"/>
        </w:rPr>
        <w:t>, the protectionist role of the court, and the determination of best interests in trans treatment cases.</w:t>
      </w:r>
    </w:p>
    <w:p w14:paraId="60E87B81" w14:textId="31F938A9" w:rsidR="00D30D78" w:rsidRPr="00D30D78" w:rsidRDefault="004D0DF2" w:rsidP="00D30D78">
      <w:pPr>
        <w:ind w:firstLine="720"/>
        <w:rPr>
          <w:rFonts w:ascii="Times New Roman" w:hAnsi="Times New Roman" w:cs="Times New Roman"/>
        </w:rPr>
      </w:pPr>
      <w:r>
        <w:rPr>
          <w:rFonts w:ascii="Times New Roman" w:hAnsi="Times New Roman" w:cs="Times New Roman"/>
        </w:rPr>
        <w:t xml:space="preserve">Overall, the result is a judgment which is markedly protectionist. </w:t>
      </w:r>
      <w:r w:rsidRPr="00F50F8C">
        <w:rPr>
          <w:rFonts w:ascii="Times New Roman" w:hAnsi="Times New Roman" w:cs="Times New Roman"/>
          <w:color w:val="000000" w:themeColor="text1"/>
        </w:rPr>
        <w:t>Considering the broad contemporary stance in healthcare of facilitating competence, valuing patient participation and respecting rights,</w:t>
      </w:r>
      <w:r w:rsidR="0074328B">
        <w:rPr>
          <w:rStyle w:val="FootnoteReference"/>
          <w:rFonts w:ascii="Times New Roman" w:hAnsi="Times New Roman" w:cs="Times New Roman"/>
          <w:color w:val="000000" w:themeColor="text1"/>
        </w:rPr>
        <w:footnoteReference w:id="7"/>
      </w:r>
      <w:r w:rsidRPr="00F50F8C">
        <w:rPr>
          <w:rFonts w:ascii="Times New Roman" w:hAnsi="Times New Roman" w:cs="Times New Roman"/>
          <w:color w:val="000000" w:themeColor="text1"/>
        </w:rPr>
        <w:t xml:space="preserve"> I argue that this judgment is out of step. Even in the more welfare focused arena of child decision-making, it seems contrary to the intention of both the statutory provisions</w:t>
      </w:r>
      <w:r w:rsidRPr="00F50F8C">
        <w:rPr>
          <w:rStyle w:val="FootnoteReference"/>
          <w:rFonts w:ascii="Times New Roman" w:hAnsi="Times New Roman" w:cs="Times New Roman"/>
          <w:color w:val="000000" w:themeColor="text1"/>
        </w:rPr>
        <w:footnoteReference w:id="8"/>
      </w:r>
      <w:r w:rsidRPr="00F50F8C">
        <w:rPr>
          <w:rFonts w:ascii="Times New Roman" w:hAnsi="Times New Roman" w:cs="Times New Roman"/>
          <w:color w:val="000000" w:themeColor="text1"/>
        </w:rPr>
        <w:t xml:space="preserve"> and common law tests</w:t>
      </w:r>
      <w:r w:rsidRPr="00F50F8C">
        <w:rPr>
          <w:rStyle w:val="FootnoteReference"/>
          <w:rFonts w:ascii="Times New Roman" w:hAnsi="Times New Roman" w:cs="Times New Roman"/>
          <w:color w:val="000000" w:themeColor="text1"/>
        </w:rPr>
        <w:footnoteReference w:id="9"/>
      </w:r>
      <w:r w:rsidRPr="00F50F8C">
        <w:rPr>
          <w:rFonts w:ascii="Times New Roman" w:hAnsi="Times New Roman" w:cs="Times New Roman"/>
          <w:color w:val="000000" w:themeColor="text1"/>
        </w:rPr>
        <w:t xml:space="preserve"> aimed at permitting children to exercise autonomy in consenting to treatments that affect their own bodies and well-being. </w:t>
      </w:r>
      <w:r>
        <w:rPr>
          <w:rFonts w:ascii="Times New Roman" w:hAnsi="Times New Roman" w:cs="Times New Roman"/>
        </w:rPr>
        <w:t xml:space="preserve">Whether, this stance of the court is specific to its context or is a worrying signal of a greater general retreat from </w:t>
      </w:r>
      <w:r w:rsidRPr="00747521">
        <w:rPr>
          <w:rFonts w:ascii="Times New Roman" w:hAnsi="Times New Roman" w:cs="Times New Roman"/>
          <w:i/>
          <w:iCs/>
        </w:rPr>
        <w:t>Gillick</w:t>
      </w:r>
      <w:r>
        <w:rPr>
          <w:rFonts w:ascii="Times New Roman" w:hAnsi="Times New Roman" w:cs="Times New Roman"/>
          <w:i/>
          <w:iCs/>
        </w:rPr>
        <w:t xml:space="preserve"> </w:t>
      </w:r>
      <w:r>
        <w:rPr>
          <w:rFonts w:ascii="Times New Roman" w:hAnsi="Times New Roman" w:cs="Times New Roman"/>
        </w:rPr>
        <w:t>and a corresponding advance in emphasis on judicially determined best interests, remains to be seen</w:t>
      </w:r>
      <w:r w:rsidR="00D30D78">
        <w:rPr>
          <w:rFonts w:ascii="Times New Roman" w:hAnsi="Times New Roman" w:cs="Times New Roman"/>
        </w:rPr>
        <w:t>.</w:t>
      </w:r>
    </w:p>
    <w:p w14:paraId="122E47D7" w14:textId="77777777" w:rsidR="00252061" w:rsidRPr="00E0506E" w:rsidRDefault="00252061" w:rsidP="00252061">
      <w:pPr>
        <w:jc w:val="center"/>
        <w:rPr>
          <w:rFonts w:ascii="Times New Roman" w:hAnsi="Times New Roman" w:cs="Times New Roman"/>
          <w:b/>
          <w:bCs/>
          <w:u w:val="single"/>
        </w:rPr>
      </w:pPr>
      <w:r w:rsidRPr="00E0506E">
        <w:rPr>
          <w:rFonts w:ascii="Times New Roman" w:hAnsi="Times New Roman" w:cs="Times New Roman"/>
          <w:b/>
          <w:bCs/>
          <w:u w:val="single"/>
        </w:rPr>
        <w:t>II.BACKGROUND</w:t>
      </w:r>
    </w:p>
    <w:p w14:paraId="1486B59C" w14:textId="55C8B0F7" w:rsidR="00252061" w:rsidRPr="00E0506E" w:rsidRDefault="00252061" w:rsidP="00252061">
      <w:pPr>
        <w:rPr>
          <w:rFonts w:ascii="Times New Roman" w:hAnsi="Times New Roman" w:cs="Times New Roman"/>
        </w:rPr>
      </w:pPr>
      <w:r w:rsidRPr="00E0506E">
        <w:rPr>
          <w:rFonts w:ascii="Times New Roman" w:hAnsi="Times New Roman" w:cs="Times New Roman"/>
        </w:rPr>
        <w:t>The starting point</w:t>
      </w:r>
      <w:r w:rsidR="000D0092">
        <w:rPr>
          <w:rFonts w:ascii="Times New Roman" w:hAnsi="Times New Roman" w:cs="Times New Roman"/>
        </w:rPr>
        <w:t xml:space="preserve"> </w:t>
      </w:r>
      <w:r w:rsidR="000D0092" w:rsidRPr="00E0506E">
        <w:rPr>
          <w:rFonts w:ascii="Times New Roman" w:hAnsi="Times New Roman" w:cs="Times New Roman"/>
        </w:rPr>
        <w:t>in relation to</w:t>
      </w:r>
      <w:r w:rsidR="00D839EF">
        <w:rPr>
          <w:rFonts w:ascii="Times New Roman" w:hAnsi="Times New Roman" w:cs="Times New Roman"/>
        </w:rPr>
        <w:t xml:space="preserve"> children’s</w:t>
      </w:r>
      <w:r w:rsidR="000D0092" w:rsidRPr="00E0506E">
        <w:rPr>
          <w:rFonts w:ascii="Times New Roman" w:hAnsi="Times New Roman" w:cs="Times New Roman"/>
        </w:rPr>
        <w:t xml:space="preserve"> healthcare decision-making </w:t>
      </w:r>
      <w:r w:rsidRPr="00E0506E">
        <w:rPr>
          <w:rFonts w:ascii="Times New Roman" w:hAnsi="Times New Roman" w:cs="Times New Roman"/>
        </w:rPr>
        <w:t>is the presumption that under 18s lack decisional competence and those with parental responsibility will act as proxy decision-makers in accordance with the Children Act 1989.</w:t>
      </w:r>
      <w:r w:rsidRPr="00E0506E">
        <w:rPr>
          <w:rStyle w:val="FootnoteReference"/>
          <w:rFonts w:ascii="Times New Roman" w:hAnsi="Times New Roman" w:cs="Times New Roman"/>
        </w:rPr>
        <w:footnoteReference w:id="10"/>
      </w:r>
      <w:r w:rsidRPr="00E0506E">
        <w:rPr>
          <w:rFonts w:ascii="Times New Roman" w:hAnsi="Times New Roman" w:cs="Times New Roman"/>
        </w:rPr>
        <w:t xml:space="preserve"> Before the courts, decisions are made in accordance with the child’s welfare,</w:t>
      </w:r>
      <w:r w:rsidRPr="00E0506E">
        <w:rPr>
          <w:rStyle w:val="FootnoteReference"/>
          <w:rFonts w:ascii="Times New Roman" w:hAnsi="Times New Roman" w:cs="Times New Roman"/>
        </w:rPr>
        <w:footnoteReference w:id="11"/>
      </w:r>
      <w:r w:rsidRPr="00E0506E">
        <w:rPr>
          <w:rFonts w:ascii="Times New Roman" w:hAnsi="Times New Roman" w:cs="Times New Roman"/>
        </w:rPr>
        <w:t xml:space="preserve"> - a principle also enshrined in Article 3 of the United Nations Convention on the Rights of the Child (UNCRC). However, the law </w:t>
      </w:r>
      <w:r w:rsidRPr="00E0506E">
        <w:rPr>
          <w:rFonts w:ascii="Times New Roman" w:hAnsi="Times New Roman" w:cs="Times New Roman"/>
        </w:rPr>
        <w:lastRenderedPageBreak/>
        <w:t>recognises that some children are capable of making their own decisions about their health. Under the Family Law Reform Act 1969</w:t>
      </w:r>
      <w:r w:rsidR="0074328B">
        <w:rPr>
          <w:rFonts w:ascii="Times New Roman" w:hAnsi="Times New Roman" w:cs="Times New Roman"/>
        </w:rPr>
        <w:t xml:space="preserve"> (FLRA)</w:t>
      </w:r>
      <w:r w:rsidRPr="00E0506E">
        <w:rPr>
          <w:rFonts w:ascii="Times New Roman" w:hAnsi="Times New Roman" w:cs="Times New Roman"/>
        </w:rPr>
        <w:t>, the consent of young people aged 16</w:t>
      </w:r>
      <w:r w:rsidR="00111F98">
        <w:rPr>
          <w:rFonts w:ascii="Times New Roman" w:hAnsi="Times New Roman" w:cs="Times New Roman"/>
        </w:rPr>
        <w:t>-</w:t>
      </w:r>
      <w:r w:rsidRPr="00E0506E">
        <w:rPr>
          <w:rFonts w:ascii="Times New Roman" w:hAnsi="Times New Roman" w:cs="Times New Roman"/>
        </w:rPr>
        <w:t>17 to medical treatment is acknowledged to be as effective as if they were adults.</w:t>
      </w:r>
      <w:r w:rsidRPr="00E0506E">
        <w:rPr>
          <w:rStyle w:val="FootnoteReference"/>
          <w:rFonts w:ascii="Times New Roman" w:hAnsi="Times New Roman" w:cs="Times New Roman"/>
        </w:rPr>
        <w:footnoteReference w:id="12"/>
      </w:r>
      <w:r w:rsidRPr="00E0506E">
        <w:rPr>
          <w:rFonts w:ascii="Times New Roman" w:hAnsi="Times New Roman" w:cs="Times New Roman"/>
        </w:rPr>
        <w:t xml:space="preserve"> For under 16</w:t>
      </w:r>
      <w:r w:rsidR="00636AA6">
        <w:rPr>
          <w:rFonts w:ascii="Times New Roman" w:hAnsi="Times New Roman" w:cs="Times New Roman"/>
        </w:rPr>
        <w:t>s</w:t>
      </w:r>
      <w:r w:rsidRPr="00E0506E">
        <w:rPr>
          <w:rFonts w:ascii="Times New Roman" w:hAnsi="Times New Roman" w:cs="Times New Roman"/>
        </w:rPr>
        <w:t xml:space="preserve">, </w:t>
      </w:r>
      <w:r w:rsidRPr="00E0506E">
        <w:rPr>
          <w:rFonts w:ascii="Times New Roman" w:hAnsi="Times New Roman" w:cs="Times New Roman"/>
          <w:i/>
          <w:iCs/>
        </w:rPr>
        <w:t>Gillick v West Norfolk and Wisbech</w:t>
      </w:r>
      <w:r w:rsidRPr="00E0506E">
        <w:rPr>
          <w:rFonts w:ascii="Times New Roman" w:hAnsi="Times New Roman" w:cs="Times New Roman"/>
        </w:rPr>
        <w:t xml:space="preserve"> </w:t>
      </w:r>
      <w:r w:rsidRPr="00E0506E">
        <w:rPr>
          <w:rFonts w:ascii="Times New Roman" w:hAnsi="Times New Roman" w:cs="Times New Roman"/>
          <w:i/>
          <w:iCs/>
        </w:rPr>
        <w:t xml:space="preserve">AHA, </w:t>
      </w:r>
      <w:r w:rsidRPr="00E0506E">
        <w:rPr>
          <w:rStyle w:val="FootnoteReference"/>
          <w:rFonts w:ascii="Times New Roman" w:hAnsi="Times New Roman" w:cs="Times New Roman"/>
          <w:i/>
          <w:iCs/>
        </w:rPr>
        <w:footnoteReference w:id="13"/>
      </w:r>
      <w:r w:rsidRPr="00E0506E">
        <w:rPr>
          <w:rFonts w:ascii="Times New Roman" w:hAnsi="Times New Roman" w:cs="Times New Roman"/>
        </w:rPr>
        <w:t xml:space="preserve"> sets a threshold test of child competence, reached when a child demonstrates ‘sufficient understanding and intelligence to enable him or her to understand fully what is proposed’.</w:t>
      </w:r>
      <w:r w:rsidRPr="00E0506E">
        <w:rPr>
          <w:rStyle w:val="FootnoteReference"/>
          <w:rFonts w:ascii="Times New Roman" w:hAnsi="Times New Roman" w:cs="Times New Roman"/>
        </w:rPr>
        <w:footnoteReference w:id="14"/>
      </w:r>
      <w:r w:rsidRPr="00E0506E">
        <w:rPr>
          <w:rFonts w:ascii="Times New Roman" w:hAnsi="Times New Roman" w:cs="Times New Roman"/>
        </w:rPr>
        <w:t xml:space="preserve"> </w:t>
      </w:r>
    </w:p>
    <w:p w14:paraId="2AD41E4B" w14:textId="73451AE5" w:rsidR="00D30D78" w:rsidRDefault="00252061" w:rsidP="00D839EF">
      <w:pPr>
        <w:ind w:firstLine="720"/>
        <w:rPr>
          <w:rFonts w:ascii="Times New Roman" w:eastAsia="Times New Roman" w:hAnsi="Times New Roman" w:cs="Times New Roman"/>
          <w:i/>
          <w:iCs/>
        </w:rPr>
      </w:pPr>
      <w:r w:rsidRPr="00E0506E">
        <w:rPr>
          <w:rFonts w:ascii="Times New Roman" w:hAnsi="Times New Roman" w:cs="Times New Roman"/>
        </w:rPr>
        <w:t xml:space="preserve">This seemingly strong position regarding children’s participatory rights is affirmed under Article 12 of the UNCRC. Yet, the </w:t>
      </w:r>
      <w:r w:rsidRPr="00E0506E">
        <w:rPr>
          <w:rFonts w:ascii="Times New Roman" w:hAnsi="Times New Roman" w:cs="Times New Roman"/>
          <w:i/>
          <w:iCs/>
        </w:rPr>
        <w:t xml:space="preserve">Gillick </w:t>
      </w:r>
      <w:r w:rsidRPr="00E0506E">
        <w:rPr>
          <w:rFonts w:ascii="Times New Roman" w:hAnsi="Times New Roman" w:cs="Times New Roman"/>
        </w:rPr>
        <w:t>and FLRA provisions have come under increasing strain;</w:t>
      </w:r>
      <w:r w:rsidRPr="00E0506E">
        <w:rPr>
          <w:rStyle w:val="FootnoteReference"/>
          <w:rFonts w:ascii="Times New Roman" w:hAnsi="Times New Roman" w:cs="Times New Roman"/>
        </w:rPr>
        <w:footnoteReference w:id="15"/>
      </w:r>
      <w:r w:rsidRPr="00E0506E">
        <w:rPr>
          <w:rFonts w:ascii="Times New Roman" w:hAnsi="Times New Roman" w:cs="Times New Roman"/>
        </w:rPr>
        <w:t xml:space="preserve"> particularly when applied to treatment refusal.</w:t>
      </w:r>
      <w:r w:rsidRPr="00E0506E">
        <w:rPr>
          <w:rStyle w:val="FootnoteReference"/>
          <w:rFonts w:ascii="Times New Roman" w:hAnsi="Times New Roman" w:cs="Times New Roman"/>
        </w:rPr>
        <w:footnoteReference w:id="16"/>
      </w:r>
      <w:r w:rsidRPr="00E0506E">
        <w:rPr>
          <w:rFonts w:ascii="Times New Roman" w:hAnsi="Times New Roman" w:cs="Times New Roman"/>
        </w:rPr>
        <w:t xml:space="preserve"> </w:t>
      </w:r>
      <w:r w:rsidR="00636AA6">
        <w:rPr>
          <w:rFonts w:ascii="Times New Roman" w:hAnsi="Times New Roman" w:cs="Times New Roman"/>
        </w:rPr>
        <w:t>However, i</w:t>
      </w:r>
      <w:r w:rsidRPr="00E0506E">
        <w:rPr>
          <w:rFonts w:ascii="Times New Roman" w:hAnsi="Times New Roman" w:cs="Times New Roman"/>
        </w:rPr>
        <w:t xml:space="preserve">t is vital not to lose sight of the fact that </w:t>
      </w:r>
      <w:r w:rsidRPr="00E0506E">
        <w:rPr>
          <w:rFonts w:ascii="Times New Roman" w:hAnsi="Times New Roman" w:cs="Times New Roman"/>
          <w:i/>
          <w:iCs/>
        </w:rPr>
        <w:t xml:space="preserve">Bell </w:t>
      </w:r>
      <w:r w:rsidRPr="00E0506E">
        <w:rPr>
          <w:rFonts w:ascii="Times New Roman" w:hAnsi="Times New Roman" w:cs="Times New Roman"/>
        </w:rPr>
        <w:t xml:space="preserve">is a case about treatment </w:t>
      </w:r>
      <w:r w:rsidRPr="00E0506E">
        <w:rPr>
          <w:rFonts w:ascii="Times New Roman" w:hAnsi="Times New Roman" w:cs="Times New Roman"/>
          <w:i/>
          <w:iCs/>
        </w:rPr>
        <w:t>consent</w:t>
      </w:r>
      <w:r w:rsidR="00D839EF" w:rsidRPr="00D839EF">
        <w:rPr>
          <w:rFonts w:ascii="Times New Roman" w:hAnsi="Times New Roman" w:cs="Times New Roman"/>
        </w:rPr>
        <w:t>.</w:t>
      </w:r>
      <w:r w:rsidRPr="00D839EF">
        <w:rPr>
          <w:rFonts w:ascii="Times New Roman" w:hAnsi="Times New Roman" w:cs="Times New Roman"/>
        </w:rPr>
        <w:t xml:space="preserve"> </w:t>
      </w:r>
      <w:r w:rsidRPr="00E0506E">
        <w:rPr>
          <w:rFonts w:ascii="Times New Roman" w:hAnsi="Times New Roman" w:cs="Times New Roman"/>
        </w:rPr>
        <w:t>Consent cases are few and far between</w:t>
      </w:r>
      <w:r w:rsidR="00636AA6">
        <w:rPr>
          <w:rFonts w:ascii="Times New Roman" w:hAnsi="Times New Roman" w:cs="Times New Roman"/>
        </w:rPr>
        <w:t xml:space="preserve">; </w:t>
      </w:r>
      <w:r w:rsidRPr="00E0506E">
        <w:rPr>
          <w:rFonts w:ascii="Times New Roman" w:hAnsi="Times New Roman" w:cs="Times New Roman"/>
        </w:rPr>
        <w:t xml:space="preserve">a notable recent example being </w:t>
      </w:r>
      <w:r w:rsidRPr="00E0506E">
        <w:rPr>
          <w:rFonts w:ascii="Times New Roman" w:hAnsi="Times New Roman" w:cs="Times New Roman"/>
          <w:i/>
        </w:rPr>
        <w:t>An NHS Trust</w:t>
      </w:r>
      <w:r w:rsidRPr="00E0506E">
        <w:rPr>
          <w:rFonts w:ascii="Times New Roman" w:hAnsi="Times New Roman" w:cs="Times New Roman"/>
        </w:rPr>
        <w:t xml:space="preserve"> v </w:t>
      </w:r>
      <w:r w:rsidRPr="00E0506E">
        <w:rPr>
          <w:rFonts w:ascii="Times New Roman" w:hAnsi="Times New Roman" w:cs="Times New Roman"/>
          <w:i/>
        </w:rPr>
        <w:t>ABC,</w:t>
      </w:r>
      <w:r w:rsidRPr="00E0506E">
        <w:rPr>
          <w:rStyle w:val="FootnoteReference"/>
          <w:rFonts w:ascii="Times New Roman" w:hAnsi="Times New Roman" w:cs="Times New Roman"/>
          <w:i/>
        </w:rPr>
        <w:footnoteReference w:id="17"/>
      </w:r>
      <w:r w:rsidRPr="00E0506E">
        <w:rPr>
          <w:rFonts w:ascii="Times New Roman" w:hAnsi="Times New Roman" w:cs="Times New Roman"/>
        </w:rPr>
        <w:t xml:space="preserve"> where, as I have written elsewhere,</w:t>
      </w:r>
      <w:r w:rsidRPr="00E0506E">
        <w:rPr>
          <w:rStyle w:val="FootnoteReference"/>
          <w:rFonts w:ascii="Times New Roman" w:hAnsi="Times New Roman" w:cs="Times New Roman"/>
        </w:rPr>
        <w:footnoteReference w:id="18"/>
      </w:r>
      <w:r w:rsidRPr="00E0506E">
        <w:rPr>
          <w:rFonts w:ascii="Times New Roman" w:hAnsi="Times New Roman" w:cs="Times New Roman"/>
        </w:rPr>
        <w:t xml:space="preserve"> the court encouragingly took an unambiguous stance to a finding of </w:t>
      </w:r>
      <w:r w:rsidRPr="00E0506E">
        <w:rPr>
          <w:rFonts w:ascii="Times New Roman" w:hAnsi="Times New Roman" w:cs="Times New Roman"/>
          <w:i/>
          <w:iCs/>
        </w:rPr>
        <w:t>Gillick</w:t>
      </w:r>
      <w:r w:rsidRPr="00E0506E">
        <w:rPr>
          <w:rFonts w:ascii="Times New Roman" w:hAnsi="Times New Roman" w:cs="Times New Roman"/>
        </w:rPr>
        <w:t xml:space="preserve"> competence as ‘the end of the matter’, permitting the child to make a determinative choice.</w:t>
      </w:r>
      <w:r w:rsidRPr="00E0506E">
        <w:rPr>
          <w:rStyle w:val="FootnoteReference"/>
          <w:rFonts w:ascii="Times New Roman" w:hAnsi="Times New Roman" w:cs="Times New Roman"/>
        </w:rPr>
        <w:footnoteReference w:id="19"/>
      </w:r>
      <w:r w:rsidRPr="00E0506E">
        <w:rPr>
          <w:rFonts w:ascii="Times New Roman" w:hAnsi="Times New Roman" w:cs="Times New Roman"/>
        </w:rPr>
        <w:t xml:space="preserve"> Taken with the strong statement issued by the A</w:t>
      </w:r>
      <w:r w:rsidR="0030399A">
        <w:rPr>
          <w:rFonts w:ascii="Times New Roman" w:hAnsi="Times New Roman" w:cs="Times New Roman"/>
        </w:rPr>
        <w:t xml:space="preserve">cademy of </w:t>
      </w:r>
      <w:r w:rsidRPr="00E0506E">
        <w:rPr>
          <w:rFonts w:ascii="Times New Roman" w:hAnsi="Times New Roman" w:cs="Times New Roman"/>
        </w:rPr>
        <w:t>M</w:t>
      </w:r>
      <w:r w:rsidR="0030399A">
        <w:rPr>
          <w:rFonts w:ascii="Times New Roman" w:hAnsi="Times New Roman" w:cs="Times New Roman"/>
        </w:rPr>
        <w:t xml:space="preserve">edical </w:t>
      </w:r>
      <w:r w:rsidRPr="00E0506E">
        <w:rPr>
          <w:rFonts w:ascii="Times New Roman" w:hAnsi="Times New Roman" w:cs="Times New Roman"/>
        </w:rPr>
        <w:t>R</w:t>
      </w:r>
      <w:r w:rsidR="0030399A">
        <w:rPr>
          <w:rFonts w:ascii="Times New Roman" w:hAnsi="Times New Roman" w:cs="Times New Roman"/>
        </w:rPr>
        <w:t xml:space="preserve">oyal </w:t>
      </w:r>
      <w:r w:rsidRPr="00E0506E">
        <w:rPr>
          <w:rFonts w:ascii="Times New Roman" w:hAnsi="Times New Roman" w:cs="Times New Roman"/>
        </w:rPr>
        <w:t>C</w:t>
      </w:r>
      <w:r w:rsidR="0030399A">
        <w:rPr>
          <w:rFonts w:ascii="Times New Roman" w:hAnsi="Times New Roman" w:cs="Times New Roman"/>
        </w:rPr>
        <w:t>olleges</w:t>
      </w:r>
      <w:r w:rsidRPr="00E0506E">
        <w:rPr>
          <w:rFonts w:ascii="Times New Roman" w:hAnsi="Times New Roman" w:cs="Times New Roman"/>
        </w:rPr>
        <w:t xml:space="preserve"> in June 2020 affirming the importance of </w:t>
      </w:r>
      <w:r w:rsidRPr="00E0506E">
        <w:rPr>
          <w:rFonts w:ascii="Times New Roman" w:hAnsi="Times New Roman" w:cs="Times New Roman"/>
          <w:i/>
          <w:iCs/>
        </w:rPr>
        <w:t>Gillick</w:t>
      </w:r>
      <w:r w:rsidRPr="00E0506E">
        <w:rPr>
          <w:rFonts w:ascii="Times New Roman" w:hAnsi="Times New Roman" w:cs="Times New Roman"/>
        </w:rPr>
        <w:t>,</w:t>
      </w:r>
      <w:r w:rsidRPr="00E0506E">
        <w:rPr>
          <w:rStyle w:val="FootnoteReference"/>
          <w:rFonts w:ascii="Times New Roman" w:hAnsi="Times New Roman" w:cs="Times New Roman"/>
        </w:rPr>
        <w:footnoteReference w:id="20"/>
      </w:r>
      <w:r w:rsidRPr="00E0506E">
        <w:rPr>
          <w:rFonts w:ascii="Times New Roman" w:hAnsi="Times New Roman" w:cs="Times New Roman"/>
        </w:rPr>
        <w:t xml:space="preserve"> suggest</w:t>
      </w:r>
      <w:r w:rsidR="00111F98">
        <w:rPr>
          <w:rFonts w:ascii="Times New Roman" w:hAnsi="Times New Roman" w:cs="Times New Roman"/>
        </w:rPr>
        <w:t>s</w:t>
      </w:r>
      <w:r w:rsidRPr="00E0506E">
        <w:rPr>
          <w:rFonts w:ascii="Times New Roman" w:hAnsi="Times New Roman" w:cs="Times New Roman"/>
        </w:rPr>
        <w:t xml:space="preserve"> a clear position regarding consent.</w:t>
      </w:r>
      <w:r w:rsidR="00D839EF">
        <w:rPr>
          <w:rFonts w:ascii="Times New Roman" w:hAnsi="Times New Roman" w:cs="Times New Roman"/>
        </w:rPr>
        <w:t xml:space="preserve"> However, a</w:t>
      </w:r>
      <w:r w:rsidRPr="00E0506E">
        <w:rPr>
          <w:rFonts w:ascii="Times New Roman" w:hAnsi="Times New Roman" w:cs="Times New Roman"/>
        </w:rPr>
        <w:t xml:space="preserve"> month after </w:t>
      </w:r>
      <w:r w:rsidRPr="00E0506E">
        <w:rPr>
          <w:rFonts w:ascii="Times New Roman" w:hAnsi="Times New Roman" w:cs="Times New Roman"/>
          <w:i/>
          <w:iCs/>
        </w:rPr>
        <w:t>Bell,</w:t>
      </w:r>
      <w:r w:rsidRPr="00E0506E">
        <w:rPr>
          <w:rFonts w:ascii="Times New Roman" w:hAnsi="Times New Roman" w:cs="Times New Roman"/>
        </w:rPr>
        <w:t xml:space="preserve"> </w:t>
      </w:r>
      <w:r w:rsidR="00F0778F">
        <w:rPr>
          <w:rFonts w:ascii="Times New Roman" w:hAnsi="Times New Roman" w:cs="Times New Roman"/>
        </w:rPr>
        <w:t xml:space="preserve">a </w:t>
      </w:r>
      <w:r w:rsidRPr="00E0506E">
        <w:rPr>
          <w:rFonts w:ascii="Times New Roman" w:hAnsi="Times New Roman" w:cs="Times New Roman"/>
        </w:rPr>
        <w:t xml:space="preserve">judgment was handed down in </w:t>
      </w:r>
      <w:r w:rsidRPr="00E0506E">
        <w:rPr>
          <w:rFonts w:ascii="Times New Roman" w:hAnsi="Times New Roman" w:cs="Times New Roman"/>
          <w:i/>
          <w:iCs/>
        </w:rPr>
        <w:t>Re X (A Child),</w:t>
      </w:r>
      <w:r w:rsidRPr="00E0506E">
        <w:rPr>
          <w:rStyle w:val="FootnoteReference"/>
          <w:rFonts w:ascii="Times New Roman" w:hAnsi="Times New Roman" w:cs="Times New Roman"/>
          <w:i/>
          <w:iCs/>
        </w:rPr>
        <w:footnoteReference w:id="21"/>
      </w:r>
      <w:r w:rsidRPr="00E0506E">
        <w:rPr>
          <w:rFonts w:ascii="Times New Roman" w:hAnsi="Times New Roman" w:cs="Times New Roman"/>
        </w:rPr>
        <w:t xml:space="preserve"> where</w:t>
      </w:r>
      <w:r w:rsidR="00D839EF">
        <w:rPr>
          <w:rFonts w:ascii="Times New Roman" w:hAnsi="Times New Roman" w:cs="Times New Roman"/>
        </w:rPr>
        <w:t xml:space="preserve"> Sir James Munby rejected</w:t>
      </w:r>
      <w:r w:rsidRPr="00E0506E">
        <w:rPr>
          <w:rFonts w:ascii="Times New Roman" w:hAnsi="Times New Roman" w:cs="Times New Roman"/>
        </w:rPr>
        <w:t xml:space="preserve"> the claimant</w:t>
      </w:r>
      <w:r w:rsidR="00111F98">
        <w:rPr>
          <w:rFonts w:ascii="Times New Roman" w:hAnsi="Times New Roman" w:cs="Times New Roman"/>
        </w:rPr>
        <w:t>’</w:t>
      </w:r>
      <w:r w:rsidR="00D839EF">
        <w:rPr>
          <w:rFonts w:ascii="Times New Roman" w:hAnsi="Times New Roman" w:cs="Times New Roman"/>
        </w:rPr>
        <w:t>s</w:t>
      </w:r>
      <w:r w:rsidRPr="00E0506E">
        <w:rPr>
          <w:rFonts w:ascii="Times New Roman" w:hAnsi="Times New Roman" w:cs="Times New Roman"/>
        </w:rPr>
        <w:t xml:space="preserve"> argu</w:t>
      </w:r>
      <w:r w:rsidR="00D839EF">
        <w:rPr>
          <w:rFonts w:ascii="Times New Roman" w:hAnsi="Times New Roman" w:cs="Times New Roman"/>
        </w:rPr>
        <w:t>ment</w:t>
      </w:r>
      <w:r w:rsidRPr="00E0506E">
        <w:rPr>
          <w:rFonts w:ascii="Times New Roman" w:hAnsi="Times New Roman" w:cs="Times New Roman"/>
        </w:rPr>
        <w:t xml:space="preserve"> </w:t>
      </w:r>
      <w:r w:rsidR="00D839EF">
        <w:rPr>
          <w:rFonts w:ascii="Times New Roman" w:hAnsi="Times New Roman" w:cs="Times New Roman"/>
        </w:rPr>
        <w:t xml:space="preserve">that </w:t>
      </w:r>
      <w:r w:rsidRPr="00E0506E">
        <w:rPr>
          <w:rFonts w:ascii="Times New Roman" w:hAnsi="Times New Roman" w:cs="Times New Roman"/>
        </w:rPr>
        <w:t>traditional approach</w:t>
      </w:r>
      <w:r w:rsidR="00F4576E">
        <w:rPr>
          <w:rFonts w:ascii="Times New Roman" w:hAnsi="Times New Roman" w:cs="Times New Roman"/>
        </w:rPr>
        <w:t>e</w:t>
      </w:r>
      <w:r w:rsidR="00636AA6">
        <w:rPr>
          <w:rFonts w:ascii="Times New Roman" w:hAnsi="Times New Roman" w:cs="Times New Roman"/>
        </w:rPr>
        <w:t>s</w:t>
      </w:r>
      <w:r w:rsidRPr="00E0506E">
        <w:rPr>
          <w:rFonts w:ascii="Times New Roman" w:hAnsi="Times New Roman" w:cs="Times New Roman"/>
        </w:rPr>
        <w:t xml:space="preserve"> had not kept up with changes in children’s rights, the M</w:t>
      </w:r>
      <w:r w:rsidR="0074328B">
        <w:rPr>
          <w:rFonts w:ascii="Times New Roman" w:hAnsi="Times New Roman" w:cs="Times New Roman"/>
        </w:rPr>
        <w:t xml:space="preserve">ental </w:t>
      </w:r>
      <w:r w:rsidRPr="00E0506E">
        <w:rPr>
          <w:rFonts w:ascii="Times New Roman" w:hAnsi="Times New Roman" w:cs="Times New Roman"/>
        </w:rPr>
        <w:t>C</w:t>
      </w:r>
      <w:r w:rsidR="0074328B">
        <w:rPr>
          <w:rFonts w:ascii="Times New Roman" w:hAnsi="Times New Roman" w:cs="Times New Roman"/>
        </w:rPr>
        <w:t xml:space="preserve">apacity </w:t>
      </w:r>
      <w:r w:rsidRPr="00E0506E">
        <w:rPr>
          <w:rFonts w:ascii="Times New Roman" w:hAnsi="Times New Roman" w:cs="Times New Roman"/>
        </w:rPr>
        <w:t>A</w:t>
      </w:r>
      <w:r w:rsidR="0074328B">
        <w:rPr>
          <w:rFonts w:ascii="Times New Roman" w:hAnsi="Times New Roman" w:cs="Times New Roman"/>
        </w:rPr>
        <w:t>ct 2005 (MCA)</w:t>
      </w:r>
      <w:r w:rsidR="00F4576E">
        <w:rPr>
          <w:rFonts w:ascii="Times New Roman" w:hAnsi="Times New Roman" w:cs="Times New Roman"/>
        </w:rPr>
        <w:t>,</w:t>
      </w:r>
      <w:r w:rsidRPr="00E0506E">
        <w:rPr>
          <w:rFonts w:ascii="Times New Roman" w:hAnsi="Times New Roman" w:cs="Times New Roman"/>
        </w:rPr>
        <w:t xml:space="preserve"> or ideas around patient autonomy</w:t>
      </w:r>
      <w:r w:rsidR="00886A76">
        <w:rPr>
          <w:rFonts w:ascii="Times New Roman" w:hAnsi="Times New Roman" w:cs="Times New Roman"/>
        </w:rPr>
        <w:t>.</w:t>
      </w:r>
      <w:r w:rsidR="00D839EF">
        <w:rPr>
          <w:rFonts w:ascii="Times New Roman" w:hAnsi="Times New Roman" w:cs="Times New Roman"/>
        </w:rPr>
        <w:t xml:space="preserve"> </w:t>
      </w:r>
      <w:r w:rsidR="00886A76">
        <w:rPr>
          <w:rFonts w:ascii="Times New Roman" w:hAnsi="Times New Roman" w:cs="Times New Roman"/>
        </w:rPr>
        <w:t>He</w:t>
      </w:r>
      <w:r w:rsidR="00D839EF">
        <w:rPr>
          <w:rFonts w:ascii="Times New Roman" w:hAnsi="Times New Roman" w:cs="Times New Roman"/>
        </w:rPr>
        <w:t xml:space="preserve"> </w:t>
      </w:r>
      <w:r w:rsidRPr="00E0506E">
        <w:rPr>
          <w:rFonts w:ascii="Times New Roman" w:hAnsi="Times New Roman" w:cs="Times New Roman"/>
        </w:rPr>
        <w:t>upheld</w:t>
      </w:r>
      <w:r w:rsidR="00111F98">
        <w:rPr>
          <w:rFonts w:ascii="Times New Roman" w:hAnsi="Times New Roman" w:cs="Times New Roman"/>
        </w:rPr>
        <w:t xml:space="preserve"> the</w:t>
      </w:r>
      <w:r w:rsidRPr="00E0506E">
        <w:rPr>
          <w:rFonts w:ascii="Times New Roman" w:hAnsi="Times New Roman" w:cs="Times New Roman"/>
        </w:rPr>
        <w:t xml:space="preserve"> </w:t>
      </w:r>
      <w:r w:rsidR="00D839EF">
        <w:rPr>
          <w:rFonts w:ascii="Times New Roman" w:hAnsi="Times New Roman" w:cs="Times New Roman"/>
        </w:rPr>
        <w:t xml:space="preserve">court’s </w:t>
      </w:r>
      <w:r w:rsidRPr="00E0506E">
        <w:rPr>
          <w:rFonts w:ascii="Times New Roman" w:hAnsi="Times New Roman" w:cs="Times New Roman"/>
        </w:rPr>
        <w:t>right of veto over</w:t>
      </w:r>
      <w:r w:rsidR="00636AA6">
        <w:rPr>
          <w:rFonts w:ascii="Times New Roman" w:hAnsi="Times New Roman" w:cs="Times New Roman"/>
        </w:rPr>
        <w:t xml:space="preserve"> </w:t>
      </w:r>
      <w:r w:rsidRPr="00E0506E">
        <w:rPr>
          <w:rFonts w:ascii="Times New Roman" w:hAnsi="Times New Roman" w:cs="Times New Roman"/>
        </w:rPr>
        <w:t>not only child</w:t>
      </w:r>
      <w:r w:rsidR="00636AA6">
        <w:rPr>
          <w:rFonts w:ascii="Times New Roman" w:hAnsi="Times New Roman" w:cs="Times New Roman"/>
        </w:rPr>
        <w:t xml:space="preserve"> </w:t>
      </w:r>
      <w:r w:rsidRPr="00E0506E">
        <w:rPr>
          <w:rFonts w:ascii="Times New Roman" w:hAnsi="Times New Roman" w:cs="Times New Roman"/>
        </w:rPr>
        <w:t xml:space="preserve">refusal, but also consent. I agree with Cave’s assessment that </w:t>
      </w:r>
      <w:r w:rsidRPr="00E0506E">
        <w:rPr>
          <w:rFonts w:ascii="Times New Roman" w:hAnsi="Times New Roman" w:cs="Times New Roman"/>
          <w:i/>
          <w:iCs/>
        </w:rPr>
        <w:t>Re X</w:t>
      </w:r>
      <w:r w:rsidRPr="00E0506E">
        <w:rPr>
          <w:rFonts w:ascii="Times New Roman" w:hAnsi="Times New Roman" w:cs="Times New Roman"/>
        </w:rPr>
        <w:t xml:space="preserve"> ‘</w:t>
      </w:r>
      <w:r w:rsidRPr="00E0506E">
        <w:rPr>
          <w:rFonts w:ascii="Times New Roman" w:eastAsia="Times New Roman" w:hAnsi="Times New Roman" w:cs="Times New Roman"/>
        </w:rPr>
        <w:t>is a blow to children’s rights to be heard’,</w:t>
      </w:r>
      <w:r w:rsidRPr="00E0506E">
        <w:rPr>
          <w:rStyle w:val="FootnoteReference"/>
          <w:rFonts w:ascii="Times New Roman" w:eastAsia="Times New Roman" w:hAnsi="Times New Roman" w:cs="Times New Roman"/>
        </w:rPr>
        <w:footnoteReference w:id="22"/>
      </w:r>
      <w:r w:rsidRPr="00E0506E">
        <w:rPr>
          <w:rFonts w:ascii="Times New Roman" w:eastAsia="Times New Roman" w:hAnsi="Times New Roman" w:cs="Times New Roman"/>
        </w:rPr>
        <w:t xml:space="preserve"> as is the judgment in </w:t>
      </w:r>
      <w:r w:rsidRPr="00E0506E">
        <w:rPr>
          <w:rFonts w:ascii="Times New Roman" w:eastAsia="Times New Roman" w:hAnsi="Times New Roman" w:cs="Times New Roman"/>
          <w:i/>
          <w:iCs/>
        </w:rPr>
        <w:t>Bell.</w:t>
      </w:r>
    </w:p>
    <w:p w14:paraId="1FCA0AC0" w14:textId="77777777" w:rsidR="00D30D78" w:rsidRDefault="00D30D78" w:rsidP="004C7E5B">
      <w:pPr>
        <w:ind w:firstLine="720"/>
        <w:rPr>
          <w:rFonts w:ascii="Times New Roman" w:eastAsia="Times New Roman" w:hAnsi="Times New Roman" w:cs="Times New Roman"/>
          <w:i/>
          <w:iCs/>
        </w:rPr>
      </w:pPr>
    </w:p>
    <w:p w14:paraId="55CB80EB" w14:textId="62E2CE14" w:rsidR="00FB66AE" w:rsidRDefault="00FB66AE" w:rsidP="00D30D78">
      <w:pPr>
        <w:jc w:val="center"/>
        <w:rPr>
          <w:rFonts w:ascii="Times New Roman" w:hAnsi="Times New Roman" w:cs="Times New Roman"/>
          <w:b/>
          <w:bCs/>
          <w:u w:val="single"/>
        </w:rPr>
      </w:pPr>
      <w:r w:rsidRPr="003B696E">
        <w:rPr>
          <w:rFonts w:ascii="Times New Roman" w:hAnsi="Times New Roman" w:cs="Times New Roman"/>
          <w:b/>
          <w:bCs/>
          <w:u w:val="single"/>
        </w:rPr>
        <w:t>III.</w:t>
      </w:r>
      <w:r>
        <w:rPr>
          <w:rFonts w:ascii="Times New Roman" w:hAnsi="Times New Roman" w:cs="Times New Roman"/>
          <w:b/>
          <w:bCs/>
          <w:u w:val="single"/>
        </w:rPr>
        <w:t xml:space="preserve"> </w:t>
      </w:r>
      <w:r w:rsidRPr="003B696E">
        <w:rPr>
          <w:rFonts w:ascii="Times New Roman" w:hAnsi="Times New Roman" w:cs="Times New Roman"/>
          <w:b/>
          <w:bCs/>
          <w:u w:val="single"/>
        </w:rPr>
        <w:t>FACTS AND REASONING</w:t>
      </w:r>
    </w:p>
    <w:p w14:paraId="7B1D940E" w14:textId="33A2F6C3" w:rsidR="00FB66AE" w:rsidRDefault="00FB66AE" w:rsidP="00FB66AE">
      <w:pPr>
        <w:rPr>
          <w:rFonts w:ascii="Times New Roman" w:hAnsi="Times New Roman" w:cs="Times New Roman"/>
        </w:rPr>
      </w:pPr>
      <w:r>
        <w:rPr>
          <w:rFonts w:ascii="Times New Roman" w:hAnsi="Times New Roman" w:cs="Times New Roman"/>
        </w:rPr>
        <w:t>This case was a judicial review</w:t>
      </w:r>
      <w:r w:rsidR="00BA27EB">
        <w:rPr>
          <w:rFonts w:ascii="Times New Roman" w:hAnsi="Times New Roman" w:cs="Times New Roman"/>
        </w:rPr>
        <w:t xml:space="preserve"> </w:t>
      </w:r>
      <w:r>
        <w:rPr>
          <w:rFonts w:ascii="Times New Roman" w:hAnsi="Times New Roman" w:cs="Times New Roman"/>
        </w:rPr>
        <w:t xml:space="preserve">of the practices of The Tavistock and Portman NHS Foundation Trust. </w:t>
      </w:r>
      <w:r w:rsidR="00BA27EB">
        <w:rPr>
          <w:rFonts w:ascii="Times New Roman" w:hAnsi="Times New Roman" w:cs="Times New Roman"/>
        </w:rPr>
        <w:t>Although the</w:t>
      </w:r>
      <w:r w:rsidR="00F257CC">
        <w:rPr>
          <w:rFonts w:ascii="Times New Roman" w:hAnsi="Times New Roman" w:cs="Times New Roman"/>
        </w:rPr>
        <w:t xml:space="preserve"> judgment did not reveal the</w:t>
      </w:r>
      <w:r w:rsidR="00BA27EB">
        <w:rPr>
          <w:rFonts w:ascii="Times New Roman" w:hAnsi="Times New Roman" w:cs="Times New Roman"/>
        </w:rPr>
        <w:t xml:space="preserve"> precise grounds </w:t>
      </w:r>
      <w:r w:rsidR="00F257CC">
        <w:rPr>
          <w:rFonts w:ascii="Times New Roman" w:hAnsi="Times New Roman" w:cs="Times New Roman"/>
        </w:rPr>
        <w:t>founding the application for</w:t>
      </w:r>
      <w:r w:rsidR="00BA27EB">
        <w:rPr>
          <w:rFonts w:ascii="Times New Roman" w:hAnsi="Times New Roman" w:cs="Times New Roman"/>
        </w:rPr>
        <w:t xml:space="preserve"> judicial review</w:t>
      </w:r>
      <w:r w:rsidR="00F257CC">
        <w:rPr>
          <w:rFonts w:ascii="Times New Roman" w:hAnsi="Times New Roman" w:cs="Times New Roman"/>
        </w:rPr>
        <w:t>, i</w:t>
      </w:r>
      <w:r>
        <w:rPr>
          <w:rFonts w:ascii="Times New Roman" w:hAnsi="Times New Roman" w:cs="Times New Roman"/>
        </w:rPr>
        <w:t>t related to</w:t>
      </w:r>
      <w:r w:rsidR="00EF2F6F">
        <w:rPr>
          <w:rFonts w:ascii="Times New Roman" w:hAnsi="Times New Roman" w:cs="Times New Roman"/>
        </w:rPr>
        <w:t xml:space="preserve"> the legal requirements of the process of obtaining consent</w:t>
      </w:r>
      <w:r>
        <w:rPr>
          <w:rFonts w:ascii="Times New Roman" w:hAnsi="Times New Roman" w:cs="Times New Roman"/>
        </w:rPr>
        <w:t xml:space="preserve"> </w:t>
      </w:r>
      <w:r w:rsidR="00EF2F6F">
        <w:rPr>
          <w:rFonts w:ascii="Times New Roman" w:hAnsi="Times New Roman" w:cs="Times New Roman"/>
        </w:rPr>
        <w:t>for</w:t>
      </w:r>
      <w:r>
        <w:rPr>
          <w:rFonts w:ascii="Times New Roman" w:hAnsi="Times New Roman" w:cs="Times New Roman"/>
        </w:rPr>
        <w:t xml:space="preserve"> treatment provi</w:t>
      </w:r>
      <w:r w:rsidR="00EF2F6F">
        <w:rPr>
          <w:rFonts w:ascii="Times New Roman" w:hAnsi="Times New Roman" w:cs="Times New Roman"/>
        </w:rPr>
        <w:t>ded</w:t>
      </w:r>
      <w:r>
        <w:rPr>
          <w:rFonts w:ascii="Times New Roman" w:hAnsi="Times New Roman" w:cs="Times New Roman"/>
        </w:rPr>
        <w:t xml:space="preserve"> through</w:t>
      </w:r>
      <w:r w:rsidR="00EF2F6F">
        <w:rPr>
          <w:rFonts w:ascii="Times New Roman" w:hAnsi="Times New Roman" w:cs="Times New Roman"/>
        </w:rPr>
        <w:t xml:space="preserve"> </w:t>
      </w:r>
      <w:r>
        <w:rPr>
          <w:rFonts w:ascii="Times New Roman" w:hAnsi="Times New Roman" w:cs="Times New Roman"/>
        </w:rPr>
        <w:t>GIDS for children (aged 10-15) and young people (aged 16-17) experiencing G</w:t>
      </w:r>
      <w:r w:rsidR="00EF2F6F">
        <w:rPr>
          <w:rFonts w:ascii="Times New Roman" w:hAnsi="Times New Roman" w:cs="Times New Roman"/>
        </w:rPr>
        <w:t>D</w:t>
      </w:r>
      <w:r>
        <w:rPr>
          <w:rFonts w:ascii="Times New Roman" w:hAnsi="Times New Roman" w:cs="Times New Roman"/>
        </w:rPr>
        <w:t>. In particular, the court was asked to review the use of gonadotropin-releasing hormone agonists (</w:t>
      </w:r>
      <w:proofErr w:type="spellStart"/>
      <w:r>
        <w:rPr>
          <w:rFonts w:ascii="Times New Roman" w:hAnsi="Times New Roman" w:cs="Times New Roman"/>
        </w:rPr>
        <w:t>GnRHa</w:t>
      </w:r>
      <w:proofErr w:type="spellEnd"/>
      <w:r>
        <w:rPr>
          <w:rFonts w:ascii="Times New Roman" w:hAnsi="Times New Roman" w:cs="Times New Roman"/>
        </w:rPr>
        <w:t xml:space="preserve">); a type of puberty blocker (PB) used to supress the </w:t>
      </w:r>
      <w:r w:rsidR="00111F98">
        <w:rPr>
          <w:rFonts w:ascii="Times New Roman" w:hAnsi="Times New Roman" w:cs="Times New Roman"/>
        </w:rPr>
        <w:t>progress</w:t>
      </w:r>
      <w:r>
        <w:rPr>
          <w:rFonts w:ascii="Times New Roman" w:hAnsi="Times New Roman" w:cs="Times New Roman"/>
        </w:rPr>
        <w:t xml:space="preserve"> of puberty.</w:t>
      </w:r>
      <w:r>
        <w:rPr>
          <w:rStyle w:val="FootnoteReference"/>
          <w:rFonts w:ascii="Times New Roman" w:hAnsi="Times New Roman" w:cs="Times New Roman"/>
        </w:rPr>
        <w:footnoteReference w:id="23"/>
      </w:r>
      <w:r>
        <w:rPr>
          <w:rFonts w:ascii="Times New Roman" w:hAnsi="Times New Roman" w:cs="Times New Roman"/>
        </w:rPr>
        <w:t xml:space="preserve"> Upon referral by GIDS, PBs were administered by clinicians at either U</w:t>
      </w:r>
      <w:r w:rsidR="0074328B">
        <w:rPr>
          <w:rFonts w:ascii="Times New Roman" w:hAnsi="Times New Roman" w:cs="Times New Roman"/>
        </w:rPr>
        <w:t xml:space="preserve">niversity </w:t>
      </w:r>
      <w:r>
        <w:rPr>
          <w:rFonts w:ascii="Times New Roman" w:hAnsi="Times New Roman" w:cs="Times New Roman"/>
        </w:rPr>
        <w:t>C</w:t>
      </w:r>
      <w:r w:rsidR="0074328B">
        <w:rPr>
          <w:rFonts w:ascii="Times New Roman" w:hAnsi="Times New Roman" w:cs="Times New Roman"/>
        </w:rPr>
        <w:t xml:space="preserve">ollege </w:t>
      </w:r>
      <w:r>
        <w:rPr>
          <w:rFonts w:ascii="Times New Roman" w:hAnsi="Times New Roman" w:cs="Times New Roman"/>
        </w:rPr>
        <w:t>L</w:t>
      </w:r>
      <w:r w:rsidR="0074328B">
        <w:rPr>
          <w:rFonts w:ascii="Times New Roman" w:hAnsi="Times New Roman" w:cs="Times New Roman"/>
        </w:rPr>
        <w:t xml:space="preserve">ondon </w:t>
      </w:r>
      <w:r>
        <w:rPr>
          <w:rFonts w:ascii="Times New Roman" w:hAnsi="Times New Roman" w:cs="Times New Roman"/>
        </w:rPr>
        <w:t>H</w:t>
      </w:r>
      <w:r w:rsidR="0074328B">
        <w:rPr>
          <w:rFonts w:ascii="Times New Roman" w:hAnsi="Times New Roman" w:cs="Times New Roman"/>
        </w:rPr>
        <w:t>ospital</w:t>
      </w:r>
      <w:r>
        <w:rPr>
          <w:rFonts w:ascii="Times New Roman" w:hAnsi="Times New Roman" w:cs="Times New Roman"/>
        </w:rPr>
        <w:t xml:space="preserve"> or Leeds NHS Trusts.</w:t>
      </w:r>
      <w:r>
        <w:rPr>
          <w:rStyle w:val="FootnoteReference"/>
          <w:rFonts w:ascii="Times New Roman" w:hAnsi="Times New Roman" w:cs="Times New Roman"/>
        </w:rPr>
        <w:footnoteReference w:id="24"/>
      </w:r>
      <w:r>
        <w:rPr>
          <w:rFonts w:ascii="Times New Roman" w:hAnsi="Times New Roman" w:cs="Times New Roman"/>
        </w:rPr>
        <w:t xml:space="preserve"> GIDS’ treatment protocol has three possible stages of intervention, with stage 1 being the administration of PB’s, possibly followed by stage 2 cross-sex hormones (CSH), and stage 3 </w:t>
      </w:r>
      <w:r>
        <w:rPr>
          <w:rFonts w:ascii="Times New Roman" w:hAnsi="Times New Roman" w:cs="Times New Roman"/>
        </w:rPr>
        <w:lastRenderedPageBreak/>
        <w:t>surgery.</w:t>
      </w:r>
      <w:r>
        <w:rPr>
          <w:rStyle w:val="FootnoteReference"/>
          <w:rFonts w:ascii="Times New Roman" w:hAnsi="Times New Roman" w:cs="Times New Roman"/>
        </w:rPr>
        <w:footnoteReference w:id="25"/>
      </w:r>
      <w:r>
        <w:rPr>
          <w:rFonts w:ascii="Times New Roman" w:hAnsi="Times New Roman" w:cs="Times New Roman"/>
        </w:rPr>
        <w:t xml:space="preserve"> The practice of GIDS and the</w:t>
      </w:r>
      <w:r w:rsidR="00111F98">
        <w:rPr>
          <w:rFonts w:ascii="Times New Roman" w:hAnsi="Times New Roman" w:cs="Times New Roman"/>
        </w:rPr>
        <w:t xml:space="preserve"> </w:t>
      </w:r>
      <w:r>
        <w:rPr>
          <w:rFonts w:ascii="Times New Roman" w:hAnsi="Times New Roman" w:cs="Times New Roman"/>
        </w:rPr>
        <w:t>Trusts was to administer these treatments on the basis of the valid consent of the competent child patient, rather than seeking consent from those with parental responsibility.</w:t>
      </w:r>
      <w:r>
        <w:rPr>
          <w:rStyle w:val="FootnoteReference"/>
          <w:rFonts w:ascii="Times New Roman" w:hAnsi="Times New Roman" w:cs="Times New Roman"/>
        </w:rPr>
        <w:footnoteReference w:id="26"/>
      </w:r>
      <w:r>
        <w:rPr>
          <w:rFonts w:ascii="Times New Roman" w:hAnsi="Times New Roman" w:cs="Times New Roman"/>
        </w:rPr>
        <w:t xml:space="preserve"> The claim for judicial review was bought by Keira Bell</w:t>
      </w:r>
      <w:r w:rsidR="00111F98">
        <w:rPr>
          <w:rFonts w:ascii="Times New Roman" w:hAnsi="Times New Roman" w:cs="Times New Roman"/>
        </w:rPr>
        <w:t xml:space="preserve">, </w:t>
      </w:r>
      <w:r>
        <w:rPr>
          <w:rFonts w:ascii="Times New Roman" w:hAnsi="Times New Roman" w:cs="Times New Roman"/>
        </w:rPr>
        <w:t xml:space="preserve">a former patient of GIDS, </w:t>
      </w:r>
      <w:r w:rsidR="00886A76">
        <w:rPr>
          <w:rFonts w:ascii="Times New Roman" w:hAnsi="Times New Roman" w:cs="Times New Roman"/>
        </w:rPr>
        <w:t xml:space="preserve">who </w:t>
      </w:r>
      <w:r>
        <w:rPr>
          <w:rFonts w:ascii="Times New Roman" w:hAnsi="Times New Roman" w:cs="Times New Roman"/>
        </w:rPr>
        <w:t>had chosen to de-transition</w:t>
      </w:r>
      <w:r w:rsidR="00886A76">
        <w:rPr>
          <w:rFonts w:ascii="Times New Roman" w:hAnsi="Times New Roman" w:cs="Times New Roman"/>
        </w:rPr>
        <w:t>,</w:t>
      </w:r>
      <w:r>
        <w:rPr>
          <w:rStyle w:val="FootnoteReference"/>
          <w:rFonts w:ascii="Times New Roman" w:hAnsi="Times New Roman" w:cs="Times New Roman"/>
        </w:rPr>
        <w:footnoteReference w:id="27"/>
      </w:r>
      <w:r>
        <w:rPr>
          <w:rFonts w:ascii="Times New Roman" w:hAnsi="Times New Roman" w:cs="Times New Roman"/>
        </w:rPr>
        <w:t xml:space="preserve"> </w:t>
      </w:r>
      <w:r w:rsidR="00886A76">
        <w:rPr>
          <w:rFonts w:ascii="Times New Roman" w:hAnsi="Times New Roman" w:cs="Times New Roman"/>
        </w:rPr>
        <w:t xml:space="preserve">and </w:t>
      </w:r>
      <w:r>
        <w:rPr>
          <w:rFonts w:ascii="Times New Roman" w:hAnsi="Times New Roman" w:cs="Times New Roman"/>
        </w:rPr>
        <w:t>Mrs A,</w:t>
      </w:r>
      <w:r w:rsidR="00886A76">
        <w:rPr>
          <w:rFonts w:ascii="Times New Roman" w:hAnsi="Times New Roman" w:cs="Times New Roman"/>
        </w:rPr>
        <w:t xml:space="preserve"> </w:t>
      </w:r>
      <w:r>
        <w:rPr>
          <w:rFonts w:ascii="Times New Roman" w:hAnsi="Times New Roman" w:cs="Times New Roman"/>
        </w:rPr>
        <w:t>the mother of a 15-year old daughter with Autistic Spectrum Disorder who objected to a potential referral to GIDS.</w:t>
      </w:r>
      <w:r>
        <w:rPr>
          <w:rStyle w:val="FootnoteReference"/>
          <w:rFonts w:ascii="Times New Roman" w:hAnsi="Times New Roman" w:cs="Times New Roman"/>
        </w:rPr>
        <w:footnoteReference w:id="28"/>
      </w:r>
      <w:r>
        <w:rPr>
          <w:rFonts w:ascii="Times New Roman" w:hAnsi="Times New Roman" w:cs="Times New Roman"/>
        </w:rPr>
        <w:t xml:space="preserve"> Their case contained two claims: First, that the information given by GIDS to under 18s is ‘misleading, and insufficient’</w:t>
      </w:r>
      <w:r>
        <w:rPr>
          <w:rStyle w:val="FootnoteReference"/>
          <w:rFonts w:ascii="Times New Roman" w:hAnsi="Times New Roman" w:cs="Times New Roman"/>
        </w:rPr>
        <w:footnoteReference w:id="29"/>
      </w:r>
      <w:r>
        <w:rPr>
          <w:rFonts w:ascii="Times New Roman" w:hAnsi="Times New Roman" w:cs="Times New Roman"/>
        </w:rPr>
        <w:t xml:space="preserve"> to ensure they can give informed consent. Second, that no child under 18 is </w:t>
      </w:r>
      <w:r w:rsidRPr="00B959B1">
        <w:rPr>
          <w:rFonts w:ascii="Times New Roman" w:hAnsi="Times New Roman" w:cs="Times New Roman"/>
          <w:i/>
          <w:iCs/>
        </w:rPr>
        <w:t>Gillick</w:t>
      </w:r>
      <w:r>
        <w:rPr>
          <w:rFonts w:ascii="Times New Roman" w:hAnsi="Times New Roman" w:cs="Times New Roman"/>
        </w:rPr>
        <w:t xml:space="preserve"> competent to consent to the administration of PBs.</w:t>
      </w:r>
      <w:r>
        <w:rPr>
          <w:rStyle w:val="FootnoteReference"/>
          <w:rFonts w:ascii="Times New Roman" w:hAnsi="Times New Roman" w:cs="Times New Roman"/>
        </w:rPr>
        <w:footnoteReference w:id="30"/>
      </w:r>
      <w:r>
        <w:rPr>
          <w:rFonts w:ascii="Times New Roman" w:hAnsi="Times New Roman" w:cs="Times New Roman"/>
        </w:rPr>
        <w:t xml:space="preserve"> GIDs and both</w:t>
      </w:r>
      <w:r w:rsidR="0012244F">
        <w:rPr>
          <w:rFonts w:ascii="Times New Roman" w:hAnsi="Times New Roman" w:cs="Times New Roman"/>
        </w:rPr>
        <w:t xml:space="preserve"> </w:t>
      </w:r>
      <w:r>
        <w:rPr>
          <w:rFonts w:ascii="Times New Roman" w:hAnsi="Times New Roman" w:cs="Times New Roman"/>
        </w:rPr>
        <w:t>Trusts denied these claims, contending that their practices were compliant with NHS Service Specifications and International Frameworks.</w:t>
      </w:r>
      <w:r>
        <w:rPr>
          <w:rStyle w:val="FootnoteReference"/>
          <w:rFonts w:ascii="Times New Roman" w:hAnsi="Times New Roman" w:cs="Times New Roman"/>
        </w:rPr>
        <w:footnoteReference w:id="31"/>
      </w:r>
    </w:p>
    <w:p w14:paraId="38C5D160" w14:textId="736B719A" w:rsidR="00FB66AE" w:rsidRDefault="00FB66AE" w:rsidP="00FB66AE">
      <w:pPr>
        <w:ind w:firstLine="720"/>
        <w:rPr>
          <w:rFonts w:ascii="Times New Roman" w:hAnsi="Times New Roman" w:cs="Times New Roman"/>
        </w:rPr>
      </w:pPr>
      <w:r w:rsidRPr="00F616D5">
        <w:rPr>
          <w:rFonts w:ascii="Times New Roman" w:hAnsi="Times New Roman" w:cs="Times New Roman"/>
        </w:rPr>
        <w:t xml:space="preserve">The court declared that the question of </w:t>
      </w:r>
      <w:r w:rsidRPr="000C21E6">
        <w:rPr>
          <w:rFonts w:ascii="Times New Roman" w:hAnsi="Times New Roman" w:cs="Times New Roman"/>
          <w:i/>
          <w:iCs/>
        </w:rPr>
        <w:t>Gillick</w:t>
      </w:r>
      <w:r w:rsidRPr="00F616D5">
        <w:rPr>
          <w:rFonts w:ascii="Times New Roman" w:hAnsi="Times New Roman" w:cs="Times New Roman"/>
        </w:rPr>
        <w:t xml:space="preserve"> competence must come before that of information sufficiency, and</w:t>
      </w:r>
      <w:r w:rsidRPr="00204100">
        <w:rPr>
          <w:rFonts w:ascii="Times New Roman" w:hAnsi="Times New Roman" w:cs="Times New Roman"/>
        </w:rPr>
        <w:t xml:space="preserve"> tackled the claims in that order.</w:t>
      </w:r>
      <w:r w:rsidRPr="00204100">
        <w:rPr>
          <w:rStyle w:val="FootnoteReference"/>
          <w:rFonts w:ascii="Times New Roman" w:hAnsi="Times New Roman" w:cs="Times New Roman"/>
        </w:rPr>
        <w:footnoteReference w:id="32"/>
      </w:r>
      <w:r w:rsidRPr="00204100">
        <w:rPr>
          <w:rFonts w:ascii="Times New Roman" w:hAnsi="Times New Roman" w:cs="Times New Roman"/>
        </w:rPr>
        <w:t xml:space="preserve"> </w:t>
      </w:r>
      <w:r>
        <w:rPr>
          <w:rFonts w:ascii="Times New Roman" w:hAnsi="Times New Roman" w:cs="Times New Roman"/>
        </w:rPr>
        <w:t xml:space="preserve">They </w:t>
      </w:r>
      <w:r w:rsidRPr="00204100">
        <w:rPr>
          <w:rFonts w:ascii="Times New Roman" w:hAnsi="Times New Roman" w:cs="Times New Roman"/>
        </w:rPr>
        <w:t>held that the administration of PBs for GD is rightly categorised as an ‘experimental treatment</w:t>
      </w:r>
      <w:r>
        <w:rPr>
          <w:rFonts w:ascii="Times New Roman" w:hAnsi="Times New Roman" w:cs="Times New Roman"/>
        </w:rPr>
        <w:t>’</w:t>
      </w:r>
      <w:r w:rsidRPr="00204100">
        <w:rPr>
          <w:rFonts w:ascii="Times New Roman" w:hAnsi="Times New Roman" w:cs="Times New Roman"/>
        </w:rPr>
        <w:t>, due to the lack of evidence of the short and long-term consequences, its efficacy, or its purpose.</w:t>
      </w:r>
      <w:r w:rsidRPr="00204100">
        <w:rPr>
          <w:rStyle w:val="FootnoteReference"/>
          <w:rFonts w:ascii="Times New Roman" w:hAnsi="Times New Roman" w:cs="Times New Roman"/>
        </w:rPr>
        <w:footnoteReference w:id="33"/>
      </w:r>
      <w:r w:rsidRPr="00204100">
        <w:rPr>
          <w:rFonts w:ascii="Times New Roman" w:hAnsi="Times New Roman" w:cs="Times New Roman"/>
        </w:rPr>
        <w:t xml:space="preserve"> </w:t>
      </w:r>
      <w:r w:rsidR="00974D77">
        <w:rPr>
          <w:rFonts w:ascii="Times New Roman" w:hAnsi="Times New Roman" w:cs="Times New Roman"/>
        </w:rPr>
        <w:t xml:space="preserve">They produced </w:t>
      </w:r>
      <w:r w:rsidR="00E53D54">
        <w:rPr>
          <w:rFonts w:ascii="Times New Roman" w:hAnsi="Times New Roman" w:cs="Times New Roman"/>
        </w:rPr>
        <w:t>six</w:t>
      </w:r>
      <w:r w:rsidR="00974D77">
        <w:rPr>
          <w:rFonts w:ascii="Times New Roman" w:hAnsi="Times New Roman" w:cs="Times New Roman"/>
        </w:rPr>
        <w:t xml:space="preserve"> key principles; first</w:t>
      </w:r>
      <w:r w:rsidRPr="00204100">
        <w:rPr>
          <w:rFonts w:ascii="Times New Roman" w:hAnsi="Times New Roman" w:cs="Times New Roman"/>
        </w:rPr>
        <w:t xml:space="preserve">, </w:t>
      </w:r>
      <w:r w:rsidRPr="00204100">
        <w:rPr>
          <w:rFonts w:ascii="Times New Roman" w:hAnsi="Times New Roman" w:cs="Times New Roman"/>
          <w:color w:val="000000" w:themeColor="text1"/>
        </w:rPr>
        <w:t xml:space="preserve">whilst </w:t>
      </w:r>
      <w:r w:rsidRPr="00204100">
        <w:rPr>
          <w:rFonts w:ascii="Times New Roman" w:hAnsi="Times New Roman" w:cs="Times New Roman"/>
          <w:i/>
          <w:iCs/>
          <w:color w:val="000000" w:themeColor="text1"/>
        </w:rPr>
        <w:t>Gillick</w:t>
      </w:r>
      <w:r w:rsidRPr="00204100">
        <w:rPr>
          <w:rFonts w:ascii="Times New Roman" w:hAnsi="Times New Roman" w:cs="Times New Roman"/>
          <w:color w:val="000000" w:themeColor="text1"/>
        </w:rPr>
        <w:t xml:space="preserve"> competence was decision and person-specific, the more significant and life-changing a decision the greater the onus </w:t>
      </w:r>
      <w:r>
        <w:rPr>
          <w:rFonts w:ascii="Times New Roman" w:hAnsi="Times New Roman" w:cs="Times New Roman"/>
          <w:color w:val="000000" w:themeColor="text1"/>
        </w:rPr>
        <w:t>on</w:t>
      </w:r>
      <w:r w:rsidRPr="00204100">
        <w:rPr>
          <w:rFonts w:ascii="Times New Roman" w:hAnsi="Times New Roman" w:cs="Times New Roman"/>
          <w:color w:val="000000" w:themeColor="text1"/>
        </w:rPr>
        <w:t xml:space="preserve"> understanding</w:t>
      </w:r>
      <w:r w:rsidR="00E566FB">
        <w:rPr>
          <w:rFonts w:ascii="Times New Roman" w:hAnsi="Times New Roman" w:cs="Times New Roman"/>
          <w:color w:val="000000" w:themeColor="text1"/>
        </w:rPr>
        <w:t xml:space="preserve">, </w:t>
      </w:r>
      <w:r w:rsidRPr="00204100">
        <w:rPr>
          <w:rFonts w:ascii="Times New Roman" w:hAnsi="Times New Roman" w:cs="Times New Roman"/>
          <w:color w:val="000000" w:themeColor="text1"/>
        </w:rPr>
        <w:t>and</w:t>
      </w:r>
      <w:r w:rsidR="00974D77">
        <w:rPr>
          <w:rFonts w:ascii="Times New Roman" w:hAnsi="Times New Roman" w:cs="Times New Roman"/>
          <w:color w:val="000000" w:themeColor="text1"/>
        </w:rPr>
        <w:t xml:space="preserve"> second, that</w:t>
      </w:r>
      <w:r w:rsidRPr="00204100">
        <w:rPr>
          <w:rFonts w:ascii="Times New Roman" w:hAnsi="Times New Roman" w:cs="Times New Roman"/>
          <w:color w:val="000000" w:themeColor="text1"/>
        </w:rPr>
        <w:t xml:space="preserve"> lines could be drawn below which no child could be deemed competent.</w:t>
      </w:r>
      <w:r w:rsidRPr="00204100">
        <w:rPr>
          <w:rStyle w:val="FootnoteReference"/>
          <w:rFonts w:ascii="Times New Roman" w:hAnsi="Times New Roman" w:cs="Times New Roman"/>
          <w:color w:val="000000" w:themeColor="text1"/>
        </w:rPr>
        <w:footnoteReference w:id="34"/>
      </w:r>
      <w:r w:rsidRPr="00204100">
        <w:rPr>
          <w:rFonts w:ascii="Times New Roman" w:hAnsi="Times New Roman" w:cs="Times New Roman"/>
          <w:color w:val="000000" w:themeColor="text1"/>
        </w:rPr>
        <w:t xml:space="preserve"> </w:t>
      </w:r>
      <w:r w:rsidR="00974D77">
        <w:rPr>
          <w:rFonts w:ascii="Times New Roman" w:hAnsi="Times New Roman" w:cs="Times New Roman"/>
        </w:rPr>
        <w:t xml:space="preserve">Third, </w:t>
      </w:r>
      <w:r w:rsidRPr="00204100">
        <w:rPr>
          <w:rFonts w:ascii="Times New Roman" w:hAnsi="Times New Roman" w:cs="Times New Roman"/>
        </w:rPr>
        <w:t xml:space="preserve">that clinicians should work with children to help them achieve </w:t>
      </w:r>
      <w:r w:rsidRPr="00204100">
        <w:rPr>
          <w:rFonts w:ascii="Times New Roman" w:hAnsi="Times New Roman" w:cs="Times New Roman"/>
          <w:i/>
          <w:iCs/>
        </w:rPr>
        <w:t xml:space="preserve">Gillick </w:t>
      </w:r>
      <w:r w:rsidRPr="00204100">
        <w:rPr>
          <w:rFonts w:ascii="Times New Roman" w:hAnsi="Times New Roman" w:cs="Times New Roman"/>
        </w:rPr>
        <w:t xml:space="preserve">competence, </w:t>
      </w:r>
      <w:r w:rsidR="00974D77">
        <w:rPr>
          <w:rFonts w:ascii="Times New Roman" w:hAnsi="Times New Roman" w:cs="Times New Roman"/>
        </w:rPr>
        <w:t xml:space="preserve">but that, fourth, not every child under 16 will achieve this. Fifth, that </w:t>
      </w:r>
      <w:r w:rsidRPr="00204100">
        <w:rPr>
          <w:rFonts w:ascii="Times New Roman" w:hAnsi="Times New Roman" w:cs="Times New Roman"/>
        </w:rPr>
        <w:t xml:space="preserve">the bar should not be set too high; in particular that the level of information provision set out in </w:t>
      </w:r>
      <w:r w:rsidR="00E566FB" w:rsidRPr="00204100">
        <w:rPr>
          <w:rFonts w:ascii="Times New Roman" w:hAnsi="Times New Roman" w:cs="Times New Roman"/>
          <w:i/>
          <w:iCs/>
        </w:rPr>
        <w:t>Montgomery v Lancashire Health Board</w:t>
      </w:r>
      <w:r w:rsidR="00E566FB" w:rsidRPr="00204100">
        <w:rPr>
          <w:rFonts w:ascii="Times New Roman" w:hAnsi="Times New Roman" w:cs="Times New Roman"/>
        </w:rPr>
        <w:t>,</w:t>
      </w:r>
      <w:r w:rsidR="00E566FB" w:rsidRPr="00204100">
        <w:rPr>
          <w:rStyle w:val="FootnoteReference"/>
          <w:rFonts w:ascii="Times New Roman" w:hAnsi="Times New Roman" w:cs="Times New Roman"/>
        </w:rPr>
        <w:footnoteReference w:id="35"/>
      </w:r>
      <w:r w:rsidRPr="00204100">
        <w:rPr>
          <w:rFonts w:ascii="Times New Roman" w:hAnsi="Times New Roman" w:cs="Times New Roman"/>
        </w:rPr>
        <w:t xml:space="preserve"> is not necessary for achieving </w:t>
      </w:r>
      <w:r w:rsidRPr="00204100">
        <w:rPr>
          <w:rFonts w:ascii="Times New Roman" w:hAnsi="Times New Roman" w:cs="Times New Roman"/>
          <w:i/>
          <w:iCs/>
        </w:rPr>
        <w:t>Gillick</w:t>
      </w:r>
      <w:r w:rsidRPr="00204100">
        <w:rPr>
          <w:rFonts w:ascii="Times New Roman" w:hAnsi="Times New Roman" w:cs="Times New Roman"/>
        </w:rPr>
        <w:t xml:space="preserve"> competence.</w:t>
      </w:r>
      <w:r w:rsidRPr="00204100">
        <w:rPr>
          <w:rStyle w:val="FootnoteReference"/>
          <w:rFonts w:ascii="Times New Roman" w:hAnsi="Times New Roman" w:cs="Times New Roman"/>
          <w:color w:val="000000" w:themeColor="text1"/>
        </w:rPr>
        <w:footnoteReference w:id="36"/>
      </w:r>
      <w:r w:rsidRPr="00204100">
        <w:rPr>
          <w:rFonts w:ascii="Times New Roman" w:hAnsi="Times New Roman" w:cs="Times New Roman"/>
          <w:color w:val="000000" w:themeColor="text1"/>
        </w:rPr>
        <w:t xml:space="preserve"> </w:t>
      </w:r>
      <w:r w:rsidR="00E53D54">
        <w:rPr>
          <w:rFonts w:ascii="Times New Roman" w:hAnsi="Times New Roman" w:cs="Times New Roman"/>
          <w:color w:val="000000" w:themeColor="text1"/>
        </w:rPr>
        <w:t xml:space="preserve">Sixth, that in deciding salient facts and sufficient understanding ‘it is necessary to have regard to matters which are those which objectively ought to be given weight in the future’ – including impact </w:t>
      </w:r>
      <w:r w:rsidR="0012244F">
        <w:rPr>
          <w:rFonts w:ascii="Times New Roman" w:hAnsi="Times New Roman" w:cs="Times New Roman"/>
          <w:color w:val="000000" w:themeColor="text1"/>
        </w:rPr>
        <w:t>on</w:t>
      </w:r>
      <w:r w:rsidR="00E53D54">
        <w:rPr>
          <w:rFonts w:ascii="Times New Roman" w:hAnsi="Times New Roman" w:cs="Times New Roman"/>
          <w:color w:val="000000" w:themeColor="text1"/>
        </w:rPr>
        <w:t xml:space="preserve"> fertility and future sexual functioning.</w:t>
      </w:r>
      <w:r w:rsidR="0012244F">
        <w:rPr>
          <w:rFonts w:ascii="Times New Roman" w:hAnsi="Times New Roman" w:cs="Times New Roman"/>
          <w:color w:val="000000" w:themeColor="text1"/>
        </w:rPr>
        <w:t>’</w:t>
      </w:r>
      <w:r w:rsidR="00E53D54">
        <w:rPr>
          <w:rStyle w:val="FootnoteReference"/>
          <w:rFonts w:ascii="Times New Roman" w:hAnsi="Times New Roman" w:cs="Times New Roman"/>
          <w:color w:val="000000" w:themeColor="text1"/>
        </w:rPr>
        <w:footnoteReference w:id="37"/>
      </w:r>
      <w:r w:rsidR="00E53D54" w:rsidRPr="00EB03BB">
        <w:rPr>
          <w:rFonts w:ascii="Times New Roman" w:hAnsi="Times New Roman" w:cs="Times New Roman"/>
          <w:color w:val="000000" w:themeColor="text1"/>
        </w:rPr>
        <w:t xml:space="preserve"> </w:t>
      </w:r>
    </w:p>
    <w:p w14:paraId="17FE261F" w14:textId="02A9FAA0" w:rsidR="00FB66AE" w:rsidRDefault="00FB66AE" w:rsidP="00FB66AE">
      <w:pPr>
        <w:ind w:firstLine="720"/>
      </w:pPr>
      <w:r w:rsidRPr="004830FC">
        <w:rPr>
          <w:rFonts w:ascii="Times New Roman" w:hAnsi="Times New Roman" w:cs="Times New Roman"/>
          <w:color w:val="000000" w:themeColor="text1"/>
        </w:rPr>
        <w:t>In conclusion, the categorisation of</w:t>
      </w:r>
      <w:r w:rsidR="0012244F" w:rsidRPr="004830FC">
        <w:rPr>
          <w:rFonts w:ascii="Times New Roman" w:hAnsi="Times New Roman" w:cs="Times New Roman"/>
          <w:color w:val="000000" w:themeColor="text1"/>
        </w:rPr>
        <w:t xml:space="preserve"> PBs as</w:t>
      </w:r>
      <w:r w:rsidRPr="004830FC">
        <w:rPr>
          <w:rFonts w:ascii="Times New Roman" w:hAnsi="Times New Roman" w:cs="Times New Roman"/>
          <w:color w:val="000000" w:themeColor="text1"/>
        </w:rPr>
        <w:t xml:space="preserve"> “experimental treatment” </w:t>
      </w:r>
      <w:r w:rsidR="0012244F" w:rsidRPr="004830FC">
        <w:rPr>
          <w:rFonts w:ascii="Times New Roman" w:hAnsi="Times New Roman" w:cs="Times New Roman"/>
          <w:color w:val="000000" w:themeColor="text1"/>
        </w:rPr>
        <w:t xml:space="preserve">plus </w:t>
      </w:r>
      <w:r w:rsidRPr="004830FC">
        <w:rPr>
          <w:rFonts w:ascii="Times New Roman" w:hAnsi="Times New Roman" w:cs="Times New Roman"/>
          <w:color w:val="000000" w:themeColor="text1"/>
        </w:rPr>
        <w:t>the assertion that the</w:t>
      </w:r>
      <w:r w:rsidR="0012244F" w:rsidRPr="004830FC">
        <w:rPr>
          <w:rFonts w:ascii="Times New Roman" w:hAnsi="Times New Roman" w:cs="Times New Roman"/>
          <w:color w:val="000000" w:themeColor="text1"/>
        </w:rPr>
        <w:t>ir</w:t>
      </w:r>
      <w:r w:rsidRPr="004830FC">
        <w:rPr>
          <w:rFonts w:ascii="Times New Roman" w:hAnsi="Times New Roman" w:cs="Times New Roman"/>
          <w:color w:val="000000" w:themeColor="text1"/>
        </w:rPr>
        <w:t xml:space="preserve"> commencement inevitably lead</w:t>
      </w:r>
      <w:r w:rsidR="0012244F" w:rsidRPr="004830FC">
        <w:rPr>
          <w:rFonts w:ascii="Times New Roman" w:hAnsi="Times New Roman" w:cs="Times New Roman"/>
          <w:color w:val="000000" w:themeColor="text1"/>
        </w:rPr>
        <w:t>s</w:t>
      </w:r>
      <w:r w:rsidRPr="004830FC">
        <w:rPr>
          <w:rFonts w:ascii="Times New Roman" w:hAnsi="Times New Roman" w:cs="Times New Roman"/>
          <w:color w:val="000000" w:themeColor="text1"/>
        </w:rPr>
        <w:t xml:space="preserve"> to CSH,</w:t>
      </w:r>
      <w:r w:rsidRPr="004830FC">
        <w:rPr>
          <w:rStyle w:val="FootnoteReference"/>
          <w:rFonts w:ascii="Times New Roman" w:hAnsi="Times New Roman" w:cs="Times New Roman"/>
          <w:color w:val="000000" w:themeColor="text1"/>
        </w:rPr>
        <w:footnoteReference w:id="38"/>
      </w:r>
      <w:r w:rsidRPr="004830FC">
        <w:rPr>
          <w:rFonts w:ascii="Times New Roman" w:hAnsi="Times New Roman" w:cs="Times New Roman"/>
          <w:color w:val="000000" w:themeColor="text1"/>
        </w:rPr>
        <w:t xml:space="preserve"> requir</w:t>
      </w:r>
      <w:r w:rsidR="004830FC" w:rsidRPr="004830FC">
        <w:rPr>
          <w:rFonts w:ascii="Times New Roman" w:hAnsi="Times New Roman" w:cs="Times New Roman"/>
          <w:color w:val="000000" w:themeColor="text1"/>
        </w:rPr>
        <w:t>ed</w:t>
      </w:r>
      <w:r w:rsidRPr="004830FC">
        <w:rPr>
          <w:rFonts w:ascii="Times New Roman" w:hAnsi="Times New Roman" w:cs="Times New Roman"/>
          <w:color w:val="000000" w:themeColor="text1"/>
        </w:rPr>
        <w:t xml:space="preserve"> the child</w:t>
      </w:r>
      <w:r w:rsidR="004830FC" w:rsidRPr="004830FC">
        <w:rPr>
          <w:rFonts w:ascii="Times New Roman" w:hAnsi="Times New Roman" w:cs="Times New Roman"/>
          <w:color w:val="000000" w:themeColor="text1"/>
        </w:rPr>
        <w:t xml:space="preserve"> to</w:t>
      </w:r>
      <w:r w:rsidRPr="004830FC">
        <w:rPr>
          <w:rFonts w:ascii="Times New Roman" w:hAnsi="Times New Roman" w:cs="Times New Roman"/>
          <w:color w:val="000000" w:themeColor="text1"/>
        </w:rPr>
        <w:t xml:space="preserve"> understand the nature and consequences of </w:t>
      </w:r>
      <w:r w:rsidRPr="004830FC">
        <w:rPr>
          <w:rFonts w:ascii="Times New Roman" w:hAnsi="Times New Roman" w:cs="Times New Roman"/>
          <w:i/>
          <w:iCs/>
          <w:color w:val="000000" w:themeColor="text1"/>
        </w:rPr>
        <w:t>both</w:t>
      </w:r>
      <w:r w:rsidRPr="004830FC">
        <w:rPr>
          <w:rFonts w:ascii="Times New Roman" w:hAnsi="Times New Roman" w:cs="Times New Roman"/>
          <w:color w:val="000000" w:themeColor="text1"/>
        </w:rPr>
        <w:t xml:space="preserve"> treatments</w:t>
      </w:r>
      <w:r w:rsidR="004830FC" w:rsidRPr="004830FC">
        <w:rPr>
          <w:rFonts w:ascii="Times New Roman" w:hAnsi="Times New Roman" w:cs="Times New Roman"/>
          <w:color w:val="000000" w:themeColor="text1"/>
        </w:rPr>
        <w:t xml:space="preserve"> to attain competence</w:t>
      </w:r>
      <w:r w:rsidRPr="004830FC">
        <w:rPr>
          <w:rFonts w:ascii="Times New Roman" w:hAnsi="Times New Roman" w:cs="Times New Roman"/>
          <w:color w:val="000000" w:themeColor="text1"/>
        </w:rPr>
        <w:t xml:space="preserve"> to consent to PBs </w:t>
      </w:r>
      <w:r w:rsidRPr="004830FC">
        <w:rPr>
          <w:rStyle w:val="FootnoteReference"/>
          <w:rFonts w:ascii="Times New Roman" w:hAnsi="Times New Roman" w:cs="Times New Roman"/>
          <w:color w:val="000000" w:themeColor="text1"/>
        </w:rPr>
        <w:footnoteReference w:id="39"/>
      </w:r>
      <w:r w:rsidRPr="004830FC">
        <w:rPr>
          <w:rFonts w:ascii="Times New Roman" w:hAnsi="Times New Roman" w:cs="Times New Roman"/>
          <w:color w:val="000000" w:themeColor="text1"/>
        </w:rPr>
        <w:t xml:space="preserve"> – a high bar indeed.</w:t>
      </w:r>
      <w:r w:rsidRPr="004830FC">
        <w:rPr>
          <w:rStyle w:val="FootnoteReference"/>
          <w:rFonts w:ascii="Times New Roman" w:hAnsi="Times New Roman" w:cs="Times New Roman"/>
          <w:color w:val="000000" w:themeColor="text1"/>
        </w:rPr>
        <w:footnoteReference w:id="40"/>
      </w:r>
      <w:r w:rsidRPr="004830FC">
        <w:rPr>
          <w:rFonts w:ascii="Times New Roman" w:hAnsi="Times New Roman" w:cs="Times New Roman"/>
          <w:color w:val="000000" w:themeColor="text1"/>
        </w:rPr>
        <w:t xml:space="preserve"> </w:t>
      </w:r>
      <w:r w:rsidR="004830FC">
        <w:rPr>
          <w:rFonts w:ascii="Times New Roman" w:hAnsi="Times New Roman" w:cs="Times New Roman"/>
        </w:rPr>
        <w:t>Stressing for</w:t>
      </w:r>
      <w:r w:rsidRPr="000D3FA1">
        <w:rPr>
          <w:rFonts w:ascii="Times New Roman" w:hAnsi="Times New Roman" w:cs="Times New Roman"/>
        </w:rPr>
        <w:t xml:space="preserve"> </w:t>
      </w:r>
      <w:r w:rsidRPr="004830FC">
        <w:rPr>
          <w:rFonts w:ascii="Times New Roman" w:hAnsi="Times New Roman" w:cs="Times New Roman"/>
          <w:i/>
          <w:iCs/>
        </w:rPr>
        <w:t>this</w:t>
      </w:r>
      <w:r w:rsidRPr="000D3FA1">
        <w:rPr>
          <w:rFonts w:ascii="Times New Roman" w:hAnsi="Times New Roman" w:cs="Times New Roman"/>
        </w:rPr>
        <w:t xml:space="preserve"> particular context and for </w:t>
      </w:r>
      <w:r w:rsidRPr="004830FC">
        <w:rPr>
          <w:rFonts w:ascii="Times New Roman" w:hAnsi="Times New Roman" w:cs="Times New Roman"/>
          <w:i/>
          <w:iCs/>
        </w:rPr>
        <w:t xml:space="preserve">this </w:t>
      </w:r>
      <w:r w:rsidRPr="000D3FA1">
        <w:rPr>
          <w:rFonts w:ascii="Times New Roman" w:hAnsi="Times New Roman" w:cs="Times New Roman"/>
        </w:rPr>
        <w:t xml:space="preserve">cohort of patients, </w:t>
      </w:r>
      <w:r>
        <w:rPr>
          <w:rFonts w:ascii="Times New Roman" w:hAnsi="Times New Roman" w:cs="Times New Roman"/>
        </w:rPr>
        <w:t xml:space="preserve">the court </w:t>
      </w:r>
      <w:r w:rsidR="004830FC">
        <w:rPr>
          <w:rFonts w:ascii="Times New Roman" w:hAnsi="Times New Roman" w:cs="Times New Roman"/>
        </w:rPr>
        <w:t>deemed</w:t>
      </w:r>
      <w:r>
        <w:rPr>
          <w:rFonts w:ascii="Times New Roman" w:hAnsi="Times New Roman" w:cs="Times New Roman"/>
        </w:rPr>
        <w:t xml:space="preserve"> </w:t>
      </w:r>
      <w:r w:rsidRPr="000D3FA1">
        <w:rPr>
          <w:rFonts w:ascii="Times New Roman" w:hAnsi="Times New Roman" w:cs="Times New Roman"/>
        </w:rPr>
        <w:t>specific guidance</w:t>
      </w:r>
      <w:r w:rsidR="004830FC">
        <w:rPr>
          <w:rFonts w:ascii="Times New Roman" w:hAnsi="Times New Roman" w:cs="Times New Roman"/>
        </w:rPr>
        <w:t xml:space="preserve"> to be necessary</w:t>
      </w:r>
      <w:r w:rsidRPr="000D3FA1">
        <w:rPr>
          <w:rFonts w:ascii="Times New Roman" w:hAnsi="Times New Roman" w:cs="Times New Roman"/>
        </w:rPr>
        <w:t xml:space="preserve">. </w:t>
      </w:r>
      <w:r w:rsidR="001A0860">
        <w:rPr>
          <w:rFonts w:ascii="Times New Roman" w:hAnsi="Times New Roman" w:cs="Times New Roman"/>
        </w:rPr>
        <w:t xml:space="preserve">Declaring </w:t>
      </w:r>
      <w:r w:rsidRPr="000D3FA1">
        <w:rPr>
          <w:rFonts w:ascii="Times New Roman" w:hAnsi="Times New Roman" w:cs="Times New Roman"/>
        </w:rPr>
        <w:t>that there would be ‘enormous difficulties’ in under 16</w:t>
      </w:r>
      <w:r w:rsidR="001A0860">
        <w:rPr>
          <w:rFonts w:ascii="Times New Roman" w:hAnsi="Times New Roman" w:cs="Times New Roman"/>
        </w:rPr>
        <w:t>s</w:t>
      </w:r>
      <w:r w:rsidRPr="000D3FA1">
        <w:rPr>
          <w:rFonts w:ascii="Times New Roman" w:hAnsi="Times New Roman" w:cs="Times New Roman"/>
        </w:rPr>
        <w:t xml:space="preserve"> understanding and weighing the necessary information</w:t>
      </w:r>
      <w:r w:rsidR="00F0511B">
        <w:rPr>
          <w:rFonts w:ascii="Times New Roman" w:hAnsi="Times New Roman" w:cs="Times New Roman"/>
        </w:rPr>
        <w:t>,</w:t>
      </w:r>
      <w:r w:rsidRPr="000D3FA1">
        <w:rPr>
          <w:rFonts w:ascii="Times New Roman" w:hAnsi="Times New Roman" w:cs="Times New Roman"/>
        </w:rPr>
        <w:t xml:space="preserve"> </w:t>
      </w:r>
      <w:r w:rsidR="001A0860">
        <w:rPr>
          <w:rFonts w:ascii="Times New Roman" w:hAnsi="Times New Roman" w:cs="Times New Roman"/>
        </w:rPr>
        <w:t xml:space="preserve">they added that </w:t>
      </w:r>
      <w:r w:rsidRPr="000D3FA1">
        <w:rPr>
          <w:rFonts w:ascii="Times New Roman" w:hAnsi="Times New Roman" w:cs="Times New Roman"/>
        </w:rPr>
        <w:t>it would be ‘highly unlikely’ that under 13</w:t>
      </w:r>
      <w:r w:rsidR="001A0860">
        <w:rPr>
          <w:rFonts w:ascii="Times New Roman" w:hAnsi="Times New Roman" w:cs="Times New Roman"/>
        </w:rPr>
        <w:t>s</w:t>
      </w:r>
      <w:r w:rsidRPr="000D3FA1">
        <w:rPr>
          <w:rFonts w:ascii="Times New Roman" w:hAnsi="Times New Roman" w:cs="Times New Roman"/>
        </w:rPr>
        <w:t xml:space="preserve"> would be </w:t>
      </w:r>
      <w:r w:rsidRPr="00337052">
        <w:rPr>
          <w:rFonts w:ascii="Times New Roman" w:hAnsi="Times New Roman" w:cs="Times New Roman"/>
          <w:i/>
          <w:iCs/>
        </w:rPr>
        <w:t>Gillick</w:t>
      </w:r>
      <w:r w:rsidRPr="000D3FA1">
        <w:rPr>
          <w:rFonts w:ascii="Times New Roman" w:hAnsi="Times New Roman" w:cs="Times New Roman"/>
        </w:rPr>
        <w:t xml:space="preserve"> competent and ‘doubtful’ for</w:t>
      </w:r>
      <w:r>
        <w:rPr>
          <w:rFonts w:ascii="Times New Roman" w:hAnsi="Times New Roman" w:cs="Times New Roman"/>
        </w:rPr>
        <w:t xml:space="preserve"> </w:t>
      </w:r>
      <w:r w:rsidRPr="000D3FA1">
        <w:rPr>
          <w:rFonts w:ascii="Times New Roman" w:hAnsi="Times New Roman" w:cs="Times New Roman"/>
        </w:rPr>
        <w:t>14</w:t>
      </w:r>
      <w:r>
        <w:rPr>
          <w:rFonts w:ascii="Times New Roman" w:hAnsi="Times New Roman" w:cs="Times New Roman"/>
        </w:rPr>
        <w:t>-</w:t>
      </w:r>
      <w:r w:rsidRPr="000D3FA1">
        <w:rPr>
          <w:rFonts w:ascii="Times New Roman" w:hAnsi="Times New Roman" w:cs="Times New Roman"/>
        </w:rPr>
        <w:t>15</w:t>
      </w:r>
      <w:r>
        <w:rPr>
          <w:rFonts w:ascii="Times New Roman" w:hAnsi="Times New Roman" w:cs="Times New Roman"/>
        </w:rPr>
        <w:t>-</w:t>
      </w:r>
      <w:r w:rsidRPr="000D3FA1">
        <w:rPr>
          <w:rFonts w:ascii="Times New Roman" w:hAnsi="Times New Roman" w:cs="Times New Roman"/>
        </w:rPr>
        <w:t>year old</w:t>
      </w:r>
      <w:r>
        <w:rPr>
          <w:rFonts w:ascii="Times New Roman" w:hAnsi="Times New Roman" w:cs="Times New Roman"/>
        </w:rPr>
        <w:t>s</w:t>
      </w:r>
      <w:r w:rsidR="001A0860">
        <w:rPr>
          <w:rFonts w:ascii="Times New Roman" w:hAnsi="Times New Roman" w:cs="Times New Roman"/>
        </w:rPr>
        <w:t>.</w:t>
      </w:r>
      <w:r w:rsidR="001A0860" w:rsidRPr="001A0860">
        <w:rPr>
          <w:rStyle w:val="FootnoteReference"/>
          <w:rFonts w:ascii="Times New Roman" w:hAnsi="Times New Roman" w:cs="Times New Roman"/>
        </w:rPr>
        <w:t xml:space="preserve"> </w:t>
      </w:r>
      <w:r w:rsidR="001A0860" w:rsidRPr="000D3FA1">
        <w:rPr>
          <w:rStyle w:val="FootnoteReference"/>
          <w:rFonts w:ascii="Times New Roman" w:hAnsi="Times New Roman" w:cs="Times New Roman"/>
        </w:rPr>
        <w:footnoteReference w:id="41"/>
      </w:r>
      <w:r w:rsidR="001A0860">
        <w:rPr>
          <w:rFonts w:ascii="Times New Roman" w:hAnsi="Times New Roman" w:cs="Times New Roman"/>
        </w:rPr>
        <w:t xml:space="preserve"> </w:t>
      </w:r>
      <w:r w:rsidRPr="00E37B11">
        <w:rPr>
          <w:rFonts w:ascii="Times New Roman" w:hAnsi="Times New Roman" w:cs="Times New Roman"/>
        </w:rPr>
        <w:t xml:space="preserve"> </w:t>
      </w:r>
      <w:r w:rsidR="001A0860">
        <w:rPr>
          <w:rFonts w:ascii="Times New Roman" w:hAnsi="Times New Roman" w:cs="Times New Roman"/>
        </w:rPr>
        <w:t xml:space="preserve">A </w:t>
      </w:r>
      <w:r w:rsidRPr="00E37B11">
        <w:rPr>
          <w:rFonts w:ascii="Times New Roman" w:hAnsi="Times New Roman" w:cs="Times New Roman"/>
        </w:rPr>
        <w:t>‘best interests determination’</w:t>
      </w:r>
      <w:r>
        <w:rPr>
          <w:rFonts w:ascii="Times New Roman" w:hAnsi="Times New Roman" w:cs="Times New Roman"/>
        </w:rPr>
        <w:t xml:space="preserve"> would be necessary</w:t>
      </w:r>
      <w:r w:rsidR="001A0860">
        <w:rPr>
          <w:rFonts w:ascii="Times New Roman" w:hAnsi="Times New Roman" w:cs="Times New Roman"/>
        </w:rPr>
        <w:t>,</w:t>
      </w:r>
      <w:r w:rsidRPr="000D3FA1">
        <w:rPr>
          <w:rStyle w:val="FootnoteReference"/>
          <w:rFonts w:ascii="Times New Roman" w:hAnsi="Times New Roman" w:cs="Times New Roman"/>
        </w:rPr>
        <w:footnoteReference w:id="42"/>
      </w:r>
      <w:r w:rsidRPr="000D3FA1">
        <w:rPr>
          <w:rFonts w:ascii="Times New Roman" w:hAnsi="Times New Roman" w:cs="Times New Roman"/>
        </w:rPr>
        <w:t xml:space="preserve"> </w:t>
      </w:r>
      <w:r w:rsidR="001A0860">
        <w:rPr>
          <w:rFonts w:ascii="Times New Roman" w:hAnsi="Times New Roman" w:cs="Times New Roman"/>
        </w:rPr>
        <w:t xml:space="preserve">and </w:t>
      </w:r>
      <w:r w:rsidR="001A0860">
        <w:rPr>
          <w:rFonts w:ascii="Times New Roman" w:hAnsi="Times New Roman" w:cs="Times New Roman"/>
        </w:rPr>
        <w:lastRenderedPageBreak/>
        <w:t>despite the legal presumption of competence,</w:t>
      </w:r>
      <w:r w:rsidR="001A0860" w:rsidRPr="001A0860">
        <w:rPr>
          <w:rStyle w:val="FootnoteReference"/>
          <w:rFonts w:ascii="Times New Roman" w:hAnsi="Times New Roman" w:cs="Times New Roman"/>
        </w:rPr>
        <w:t xml:space="preserve"> </w:t>
      </w:r>
      <w:r w:rsidR="001A0860" w:rsidRPr="000D3FA1">
        <w:rPr>
          <w:rStyle w:val="FootnoteReference"/>
          <w:rFonts w:ascii="Times New Roman" w:hAnsi="Times New Roman" w:cs="Times New Roman"/>
        </w:rPr>
        <w:footnoteReference w:id="43"/>
      </w:r>
      <w:r w:rsidR="001A0860" w:rsidRPr="000D3FA1">
        <w:rPr>
          <w:rFonts w:ascii="Times New Roman" w:hAnsi="Times New Roman" w:cs="Times New Roman"/>
        </w:rPr>
        <w:t xml:space="preserve"> </w:t>
      </w:r>
      <w:r w:rsidR="0030399A">
        <w:rPr>
          <w:rFonts w:ascii="Times New Roman" w:hAnsi="Times New Roman" w:cs="Times New Roman"/>
        </w:rPr>
        <w:t>doctors</w:t>
      </w:r>
      <w:r w:rsidR="001A0860">
        <w:rPr>
          <w:rFonts w:ascii="Times New Roman" w:hAnsi="Times New Roman" w:cs="Times New Roman"/>
        </w:rPr>
        <w:t xml:space="preserve"> may seek prior authorisation e</w:t>
      </w:r>
      <w:r w:rsidRPr="000D3FA1">
        <w:rPr>
          <w:rFonts w:ascii="Times New Roman" w:hAnsi="Times New Roman" w:cs="Times New Roman"/>
        </w:rPr>
        <w:t>ven for 16 and 17-year olds</w:t>
      </w:r>
      <w:r w:rsidR="001A0860">
        <w:rPr>
          <w:rFonts w:ascii="Times New Roman" w:hAnsi="Times New Roman" w:cs="Times New Roman"/>
        </w:rPr>
        <w:t>.</w:t>
      </w:r>
      <w:r w:rsidR="001A0860" w:rsidRPr="000D3FA1">
        <w:rPr>
          <w:rStyle w:val="FootnoteReference"/>
          <w:rFonts w:ascii="Times New Roman" w:hAnsi="Times New Roman" w:cs="Times New Roman"/>
        </w:rPr>
        <w:footnoteReference w:id="44"/>
      </w:r>
      <w:r w:rsidR="001A0860">
        <w:t xml:space="preserve"> </w:t>
      </w:r>
      <w:r w:rsidRPr="000D3FA1">
        <w:rPr>
          <w:rFonts w:ascii="Times New Roman" w:hAnsi="Times New Roman" w:cs="Times New Roman"/>
        </w:rPr>
        <w:t xml:space="preserve"> </w:t>
      </w:r>
    </w:p>
    <w:p w14:paraId="0C09295D" w14:textId="0DE17660" w:rsidR="00FB66AE" w:rsidRDefault="00FB66AE" w:rsidP="00FB66AE">
      <w:pPr>
        <w:ind w:firstLine="720"/>
        <w:rPr>
          <w:rFonts w:ascii="Times New Roman" w:hAnsi="Times New Roman" w:cs="Times New Roman"/>
        </w:rPr>
      </w:pPr>
      <w:r>
        <w:rPr>
          <w:rFonts w:ascii="Times New Roman" w:hAnsi="Times New Roman" w:cs="Times New Roman"/>
        </w:rPr>
        <w:t xml:space="preserve">By way of post-script, </w:t>
      </w:r>
      <w:r w:rsidR="001A0860" w:rsidRPr="00DF52E5">
        <w:rPr>
          <w:rFonts w:ascii="Times New Roman" w:hAnsi="Times New Roman" w:cs="Times New Roman"/>
          <w:i/>
          <w:iCs/>
        </w:rPr>
        <w:t xml:space="preserve">AB v CD &amp; </w:t>
      </w:r>
      <w:proofErr w:type="spellStart"/>
      <w:r w:rsidR="001A0860" w:rsidRPr="00DF52E5">
        <w:rPr>
          <w:rFonts w:ascii="Times New Roman" w:hAnsi="Times New Roman" w:cs="Times New Roman"/>
          <w:i/>
          <w:iCs/>
        </w:rPr>
        <w:t>Ors</w:t>
      </w:r>
      <w:proofErr w:type="spellEnd"/>
      <w:r w:rsidR="001A0860">
        <w:rPr>
          <w:rFonts w:ascii="Times New Roman" w:hAnsi="Times New Roman" w:cs="Times New Roman"/>
          <w:i/>
          <w:iCs/>
        </w:rPr>
        <w:t>,</w:t>
      </w:r>
      <w:r w:rsidR="001A0860">
        <w:rPr>
          <w:rStyle w:val="FootnoteReference"/>
          <w:rFonts w:ascii="Times New Roman" w:hAnsi="Times New Roman" w:cs="Times New Roman"/>
          <w:i/>
          <w:iCs/>
        </w:rPr>
        <w:footnoteReference w:id="45"/>
      </w:r>
      <w:r w:rsidR="001A0860">
        <w:rPr>
          <w:rFonts w:ascii="Times New Roman" w:hAnsi="Times New Roman" w:cs="Times New Roman"/>
        </w:rPr>
        <w:t xml:space="preserve"> came </w:t>
      </w:r>
      <w:r>
        <w:rPr>
          <w:rFonts w:ascii="Times New Roman" w:hAnsi="Times New Roman" w:cs="Times New Roman"/>
        </w:rPr>
        <w:t>before the High Court in March 2021</w:t>
      </w:r>
      <w:r w:rsidR="001A0860">
        <w:rPr>
          <w:rFonts w:ascii="Times New Roman" w:hAnsi="Times New Roman" w:cs="Times New Roman"/>
        </w:rPr>
        <w:t>.</w:t>
      </w:r>
      <w:r>
        <w:rPr>
          <w:rFonts w:ascii="Times New Roman" w:hAnsi="Times New Roman" w:cs="Times New Roman"/>
        </w:rPr>
        <w:t xml:space="preserve"> AB,</w:t>
      </w:r>
      <w:r w:rsidR="001A0860">
        <w:rPr>
          <w:rFonts w:ascii="Times New Roman" w:hAnsi="Times New Roman" w:cs="Times New Roman"/>
        </w:rPr>
        <w:t xml:space="preserve"> sought a declaration that she had the legal ability to consent to the administration of PBs on behalf of her</w:t>
      </w:r>
      <w:r>
        <w:rPr>
          <w:rFonts w:ascii="Times New Roman" w:hAnsi="Times New Roman" w:cs="Times New Roman"/>
        </w:rPr>
        <w:t xml:space="preserve"> 15-year old trans daughter</w:t>
      </w:r>
      <w:r w:rsidR="001A0860">
        <w:rPr>
          <w:rFonts w:ascii="Times New Roman" w:hAnsi="Times New Roman" w:cs="Times New Roman"/>
        </w:rPr>
        <w:t xml:space="preserve"> who</w:t>
      </w:r>
      <w:r>
        <w:rPr>
          <w:rFonts w:ascii="Times New Roman" w:hAnsi="Times New Roman" w:cs="Times New Roman"/>
        </w:rPr>
        <w:t xml:space="preserve"> was currently receiving PBs under the care of GIDS</w:t>
      </w:r>
      <w:r w:rsidR="001A0860">
        <w:rPr>
          <w:rFonts w:ascii="Times New Roman" w:hAnsi="Times New Roman" w:cs="Times New Roman"/>
        </w:rPr>
        <w:t>,</w:t>
      </w:r>
      <w:r>
        <w:rPr>
          <w:rFonts w:ascii="Times New Roman" w:hAnsi="Times New Roman" w:cs="Times New Roman"/>
        </w:rPr>
        <w:t xml:space="preserve"> and was therefore directly affected by the judgment in </w:t>
      </w:r>
      <w:r w:rsidRPr="00DF52E5">
        <w:rPr>
          <w:rFonts w:ascii="Times New Roman" w:hAnsi="Times New Roman" w:cs="Times New Roman"/>
          <w:i/>
          <w:iCs/>
        </w:rPr>
        <w:t>Bell.</w:t>
      </w:r>
      <w:r>
        <w:rPr>
          <w:rFonts w:ascii="Times New Roman" w:hAnsi="Times New Roman" w:cs="Times New Roman"/>
        </w:rPr>
        <w:t xml:space="preserve"> The court considered whether parents retain ‘a concurrent right’ to consent with a </w:t>
      </w:r>
      <w:r w:rsidRPr="00375CF0">
        <w:rPr>
          <w:rFonts w:ascii="Times New Roman" w:hAnsi="Times New Roman" w:cs="Times New Roman"/>
          <w:i/>
          <w:iCs/>
        </w:rPr>
        <w:t>Gillick</w:t>
      </w:r>
      <w:r>
        <w:rPr>
          <w:rFonts w:ascii="Times New Roman" w:hAnsi="Times New Roman" w:cs="Times New Roman"/>
        </w:rPr>
        <w:t xml:space="preserve"> competent child, and whether PBs fall into a “special category” of medical treatment </w:t>
      </w:r>
      <w:r w:rsidR="001A0860">
        <w:rPr>
          <w:rFonts w:ascii="Times New Roman" w:hAnsi="Times New Roman" w:cs="Times New Roman"/>
        </w:rPr>
        <w:t>requiring</w:t>
      </w:r>
      <w:r>
        <w:rPr>
          <w:rFonts w:ascii="Times New Roman" w:hAnsi="Times New Roman" w:cs="Times New Roman"/>
        </w:rPr>
        <w:t xml:space="preserve"> an application to the Court.</w:t>
      </w:r>
      <w:r>
        <w:rPr>
          <w:rStyle w:val="FootnoteReference"/>
          <w:rFonts w:ascii="Times New Roman" w:hAnsi="Times New Roman" w:cs="Times New Roman"/>
        </w:rPr>
        <w:footnoteReference w:id="46"/>
      </w:r>
      <w:r>
        <w:rPr>
          <w:rFonts w:ascii="Times New Roman" w:hAnsi="Times New Roman" w:cs="Times New Roman"/>
        </w:rPr>
        <w:t xml:space="preserve"> Relevant parts of this judgment </w:t>
      </w:r>
      <w:r w:rsidR="001A0860">
        <w:rPr>
          <w:rFonts w:ascii="Times New Roman" w:hAnsi="Times New Roman" w:cs="Times New Roman"/>
        </w:rPr>
        <w:t>are</w:t>
      </w:r>
      <w:r>
        <w:rPr>
          <w:rFonts w:ascii="Times New Roman" w:hAnsi="Times New Roman" w:cs="Times New Roman"/>
        </w:rPr>
        <w:t xml:space="preserve"> referred to in the analysis below. </w:t>
      </w:r>
    </w:p>
    <w:p w14:paraId="52E68B95" w14:textId="77777777" w:rsidR="003E2579" w:rsidRPr="00204100" w:rsidRDefault="003E2579" w:rsidP="00204100">
      <w:pPr>
        <w:rPr>
          <w:rFonts w:ascii="Times New Roman" w:hAnsi="Times New Roman" w:cs="Times New Roman"/>
        </w:rPr>
      </w:pPr>
    </w:p>
    <w:p w14:paraId="0152D312" w14:textId="413B8903" w:rsidR="005766D1" w:rsidRDefault="005766D1" w:rsidP="00E0169C">
      <w:pPr>
        <w:jc w:val="center"/>
        <w:rPr>
          <w:rFonts w:ascii="Times New Roman" w:hAnsi="Times New Roman" w:cs="Times New Roman"/>
          <w:b/>
          <w:bCs/>
          <w:u w:val="single"/>
        </w:rPr>
      </w:pPr>
      <w:r w:rsidRPr="003B696E">
        <w:rPr>
          <w:rFonts w:ascii="Times New Roman" w:hAnsi="Times New Roman" w:cs="Times New Roman"/>
          <w:b/>
          <w:bCs/>
          <w:u w:val="single"/>
        </w:rPr>
        <w:t>IV. CRITICAL ANALYSIS</w:t>
      </w:r>
    </w:p>
    <w:p w14:paraId="6476FBF5" w14:textId="308BB71A" w:rsidR="003B696E" w:rsidRDefault="00D82145" w:rsidP="00E0169C">
      <w:pPr>
        <w:pStyle w:val="ListParagraph"/>
        <w:numPr>
          <w:ilvl w:val="0"/>
          <w:numId w:val="4"/>
        </w:numPr>
        <w:jc w:val="center"/>
        <w:rPr>
          <w:rFonts w:ascii="Times New Roman" w:hAnsi="Times New Roman" w:cs="Times New Roman"/>
          <w:i/>
          <w:iCs/>
          <w:u w:val="single"/>
        </w:rPr>
      </w:pPr>
      <w:r>
        <w:rPr>
          <w:rFonts w:ascii="Times New Roman" w:hAnsi="Times New Roman" w:cs="Times New Roman"/>
          <w:i/>
          <w:iCs/>
          <w:u w:val="single"/>
        </w:rPr>
        <w:t>Gender Dysphoria</w:t>
      </w:r>
    </w:p>
    <w:p w14:paraId="629D926F" w14:textId="1D870B0E" w:rsidR="000D0092" w:rsidRPr="000D0092" w:rsidRDefault="000D0092" w:rsidP="000D0092">
      <w:pPr>
        <w:rPr>
          <w:rFonts w:ascii="Times New Roman" w:hAnsi="Times New Roman" w:cs="Times New Roman"/>
          <w:color w:val="000000" w:themeColor="text1"/>
        </w:rPr>
      </w:pPr>
      <w:r w:rsidRPr="000D0092">
        <w:rPr>
          <w:rFonts w:ascii="Times New Roman" w:hAnsi="Times New Roman" w:cs="Times New Roman"/>
          <w:color w:val="000000" w:themeColor="text1"/>
        </w:rPr>
        <w:t>It is pertinent to begin where the court began – with an examination of the context</w:t>
      </w:r>
      <w:r w:rsidR="00FE2238">
        <w:rPr>
          <w:rFonts w:ascii="Times New Roman" w:hAnsi="Times New Roman" w:cs="Times New Roman"/>
          <w:color w:val="000000" w:themeColor="text1"/>
        </w:rPr>
        <w:t xml:space="preserve"> of decision-making. This </w:t>
      </w:r>
      <w:r w:rsidRPr="000D0092">
        <w:rPr>
          <w:rFonts w:ascii="Times New Roman" w:hAnsi="Times New Roman" w:cs="Times New Roman"/>
          <w:color w:val="000000" w:themeColor="text1"/>
        </w:rPr>
        <w:t xml:space="preserve">is important because, as per Lord Scarman in </w:t>
      </w:r>
      <w:r w:rsidRPr="000D0092">
        <w:rPr>
          <w:rFonts w:ascii="Times New Roman" w:hAnsi="Times New Roman" w:cs="Times New Roman"/>
          <w:i/>
          <w:iCs/>
          <w:color w:val="000000" w:themeColor="text1"/>
        </w:rPr>
        <w:t>Gillick</w:t>
      </w:r>
      <w:r w:rsidRPr="000D0092">
        <w:rPr>
          <w:rFonts w:ascii="Times New Roman" w:hAnsi="Times New Roman" w:cs="Times New Roman"/>
          <w:color w:val="000000" w:themeColor="text1"/>
        </w:rPr>
        <w:t>, ‘the courts should establish a principle flexible enough to enable justice to be achieved by its application to the particular circumstances (…)’</w:t>
      </w:r>
      <w:r w:rsidRPr="00E153FC">
        <w:rPr>
          <w:rStyle w:val="FootnoteReference"/>
          <w:rFonts w:ascii="Times New Roman" w:hAnsi="Times New Roman" w:cs="Times New Roman"/>
          <w:color w:val="000000" w:themeColor="text1"/>
        </w:rPr>
        <w:footnoteReference w:id="47"/>
      </w:r>
      <w:r w:rsidRPr="000D0092">
        <w:rPr>
          <w:rFonts w:ascii="Times New Roman" w:hAnsi="Times New Roman" w:cs="Times New Roman"/>
          <w:color w:val="000000" w:themeColor="text1"/>
        </w:rPr>
        <w:t xml:space="preserve"> - in other words competence is determined on a person-specific and decision-specific basis. The court rightly noted that it was not its role to assess the merits or efficacy of the treatment in question; that is a job for the clinicians, but that ‘[t]he sole legal issue</w:t>
      </w:r>
      <w:r w:rsidR="00FE2238">
        <w:rPr>
          <w:rFonts w:ascii="Times New Roman" w:hAnsi="Times New Roman" w:cs="Times New Roman"/>
          <w:color w:val="000000" w:themeColor="text1"/>
        </w:rPr>
        <w:t>’</w:t>
      </w:r>
      <w:r w:rsidRPr="000D0092">
        <w:rPr>
          <w:rFonts w:ascii="Times New Roman" w:hAnsi="Times New Roman" w:cs="Times New Roman"/>
          <w:color w:val="000000" w:themeColor="text1"/>
        </w:rPr>
        <w:t xml:space="preserve"> is the circumstances in which </w:t>
      </w:r>
      <w:r w:rsidR="00FE2238">
        <w:rPr>
          <w:rFonts w:ascii="Times New Roman" w:hAnsi="Times New Roman" w:cs="Times New Roman"/>
          <w:color w:val="000000" w:themeColor="text1"/>
        </w:rPr>
        <w:t>the</w:t>
      </w:r>
      <w:r w:rsidRPr="000D0092">
        <w:rPr>
          <w:rFonts w:ascii="Times New Roman" w:hAnsi="Times New Roman" w:cs="Times New Roman"/>
          <w:color w:val="000000" w:themeColor="text1"/>
        </w:rPr>
        <w:t xml:space="preserve"> child may be competent</w:t>
      </w:r>
      <w:r w:rsidR="00FE2238">
        <w:rPr>
          <w:rFonts w:ascii="Times New Roman" w:hAnsi="Times New Roman" w:cs="Times New Roman"/>
          <w:color w:val="000000" w:themeColor="text1"/>
        </w:rPr>
        <w:t xml:space="preserve"> and the process of obtaining</w:t>
      </w:r>
      <w:r w:rsidRPr="000D0092">
        <w:rPr>
          <w:rFonts w:ascii="Times New Roman" w:hAnsi="Times New Roman" w:cs="Times New Roman"/>
          <w:color w:val="000000" w:themeColor="text1"/>
        </w:rPr>
        <w:t xml:space="preserve"> </w:t>
      </w:r>
      <w:r w:rsidR="00FE2238">
        <w:rPr>
          <w:rFonts w:ascii="Times New Roman" w:hAnsi="Times New Roman" w:cs="Times New Roman"/>
          <w:color w:val="000000" w:themeColor="text1"/>
        </w:rPr>
        <w:t>consent</w:t>
      </w:r>
      <w:r w:rsidRPr="000D0092">
        <w:rPr>
          <w:rFonts w:ascii="Times New Roman" w:hAnsi="Times New Roman" w:cs="Times New Roman"/>
          <w:color w:val="000000" w:themeColor="text1"/>
        </w:rPr>
        <w:t>.</w:t>
      </w:r>
      <w:r w:rsidRPr="00E153FC">
        <w:rPr>
          <w:rStyle w:val="FootnoteReference"/>
          <w:rFonts w:ascii="Times New Roman" w:hAnsi="Times New Roman" w:cs="Times New Roman"/>
          <w:color w:val="000000" w:themeColor="text1"/>
        </w:rPr>
        <w:footnoteReference w:id="48"/>
      </w:r>
      <w:r w:rsidRPr="000D0092">
        <w:rPr>
          <w:rFonts w:ascii="Times New Roman" w:hAnsi="Times New Roman" w:cs="Times New Roman"/>
          <w:color w:val="000000" w:themeColor="text1"/>
        </w:rPr>
        <w:t xml:space="preserve"> Yet, </w:t>
      </w:r>
      <w:r w:rsidR="00FE2238" w:rsidRPr="000D0092">
        <w:rPr>
          <w:rFonts w:ascii="Times New Roman" w:hAnsi="Times New Roman" w:cs="Times New Roman"/>
          <w:color w:val="000000" w:themeColor="text1"/>
        </w:rPr>
        <w:t>with 17 pages given over to an examination of GD and its treatment</w:t>
      </w:r>
      <w:r w:rsidR="00FE2238">
        <w:rPr>
          <w:rFonts w:ascii="Times New Roman" w:hAnsi="Times New Roman" w:cs="Times New Roman"/>
          <w:color w:val="000000" w:themeColor="text1"/>
        </w:rPr>
        <w:t xml:space="preserve"> demonstrated the</w:t>
      </w:r>
      <w:r w:rsidRPr="000D0092">
        <w:rPr>
          <w:rFonts w:ascii="Times New Roman" w:hAnsi="Times New Roman" w:cs="Times New Roman"/>
          <w:color w:val="000000" w:themeColor="text1"/>
        </w:rPr>
        <w:t xml:space="preserve"> difficulty in disentangling these two tasks. Whilst it</w:t>
      </w:r>
      <w:r w:rsidR="00FE2238">
        <w:rPr>
          <w:rFonts w:ascii="Times New Roman" w:hAnsi="Times New Roman" w:cs="Times New Roman"/>
          <w:color w:val="000000" w:themeColor="text1"/>
        </w:rPr>
        <w:t xml:space="preserve"> is not</w:t>
      </w:r>
      <w:r w:rsidRPr="000D0092">
        <w:rPr>
          <w:rFonts w:ascii="Times New Roman" w:hAnsi="Times New Roman" w:cs="Times New Roman"/>
          <w:color w:val="000000" w:themeColor="text1"/>
        </w:rPr>
        <w:t xml:space="preserve"> my purpose to comment on the appropriateness of </w:t>
      </w:r>
      <w:r w:rsidR="00FE2238">
        <w:rPr>
          <w:rFonts w:ascii="Times New Roman" w:hAnsi="Times New Roman" w:cs="Times New Roman"/>
          <w:color w:val="000000" w:themeColor="text1"/>
        </w:rPr>
        <w:t xml:space="preserve">PBs, </w:t>
      </w:r>
      <w:r w:rsidRPr="000D0092">
        <w:rPr>
          <w:rFonts w:ascii="Times New Roman" w:hAnsi="Times New Roman" w:cs="Times New Roman"/>
          <w:color w:val="000000" w:themeColor="text1"/>
        </w:rPr>
        <w:t xml:space="preserve">I agree with Duffy’s assessment that the court in </w:t>
      </w:r>
      <w:r w:rsidRPr="000D0092">
        <w:rPr>
          <w:rFonts w:ascii="Times New Roman" w:hAnsi="Times New Roman" w:cs="Times New Roman"/>
          <w:i/>
          <w:iCs/>
          <w:color w:val="000000" w:themeColor="text1"/>
        </w:rPr>
        <w:t>Bell</w:t>
      </w:r>
      <w:r w:rsidRPr="000D0092">
        <w:rPr>
          <w:rFonts w:ascii="Times New Roman" w:hAnsi="Times New Roman" w:cs="Times New Roman"/>
          <w:color w:val="000000" w:themeColor="text1"/>
        </w:rPr>
        <w:t xml:space="preserve"> took a ‘particularly </w:t>
      </w:r>
      <w:proofErr w:type="spellStart"/>
      <w:r w:rsidRPr="000D0092">
        <w:rPr>
          <w:rFonts w:ascii="Times New Roman" w:hAnsi="Times New Roman" w:cs="Times New Roman"/>
          <w:color w:val="000000" w:themeColor="text1"/>
        </w:rPr>
        <w:t>pathologised</w:t>
      </w:r>
      <w:proofErr w:type="spellEnd"/>
      <w:r w:rsidRPr="000D0092">
        <w:rPr>
          <w:rFonts w:ascii="Times New Roman" w:hAnsi="Times New Roman" w:cs="Times New Roman"/>
          <w:color w:val="000000" w:themeColor="text1"/>
        </w:rPr>
        <w:t>’ approach to trans identity</w:t>
      </w:r>
      <w:r w:rsidR="00FE2238">
        <w:rPr>
          <w:rFonts w:ascii="Times New Roman" w:hAnsi="Times New Roman" w:cs="Times New Roman"/>
          <w:color w:val="000000" w:themeColor="text1"/>
        </w:rPr>
        <w:t>.</w:t>
      </w:r>
      <w:r w:rsidRPr="00E153FC">
        <w:rPr>
          <w:rStyle w:val="FootnoteReference"/>
          <w:rFonts w:ascii="Times New Roman" w:hAnsi="Times New Roman" w:cs="Times New Roman"/>
          <w:color w:val="000000" w:themeColor="text1"/>
        </w:rPr>
        <w:footnoteReference w:id="49"/>
      </w:r>
      <w:r w:rsidRPr="000D0092">
        <w:rPr>
          <w:rFonts w:ascii="Times New Roman" w:hAnsi="Times New Roman" w:cs="Times New Roman"/>
          <w:color w:val="000000" w:themeColor="text1"/>
        </w:rPr>
        <w:t xml:space="preserve"> Judicial reticence is perhaps understandable given the poor evidence base presented to the court.</w:t>
      </w:r>
      <w:r w:rsidRPr="00E153FC">
        <w:rPr>
          <w:rStyle w:val="FootnoteReference"/>
          <w:rFonts w:ascii="Times New Roman" w:hAnsi="Times New Roman" w:cs="Times New Roman"/>
          <w:color w:val="000000" w:themeColor="text1"/>
        </w:rPr>
        <w:footnoteReference w:id="50"/>
      </w:r>
      <w:r w:rsidRPr="000D0092">
        <w:rPr>
          <w:rFonts w:ascii="Times New Roman" w:hAnsi="Times New Roman" w:cs="Times New Roman"/>
          <w:color w:val="000000" w:themeColor="text1"/>
        </w:rPr>
        <w:t xml:space="preserve"> Nonetheless they drew some questionable conclusions from the data that </w:t>
      </w:r>
      <w:r w:rsidRPr="000D0092">
        <w:rPr>
          <w:rFonts w:ascii="Times New Roman" w:hAnsi="Times New Roman" w:cs="Times New Roman"/>
          <w:i/>
          <w:iCs/>
          <w:color w:val="000000" w:themeColor="text1"/>
        </w:rPr>
        <w:t>was</w:t>
      </w:r>
      <w:r w:rsidRPr="000D0092">
        <w:rPr>
          <w:rFonts w:ascii="Times New Roman" w:hAnsi="Times New Roman" w:cs="Times New Roman"/>
          <w:color w:val="000000" w:themeColor="text1"/>
        </w:rPr>
        <w:t xml:space="preserve"> available. Adopting the psychological diagnosis of GD as found in the DSM-5,</w:t>
      </w:r>
      <w:r w:rsidRPr="00E153FC">
        <w:rPr>
          <w:rStyle w:val="FootnoteReference"/>
          <w:rFonts w:ascii="Times New Roman" w:hAnsi="Times New Roman" w:cs="Times New Roman"/>
          <w:color w:val="000000" w:themeColor="text1"/>
        </w:rPr>
        <w:footnoteReference w:id="51"/>
      </w:r>
      <w:r w:rsidRPr="000D0092">
        <w:rPr>
          <w:rFonts w:ascii="Times New Roman" w:hAnsi="Times New Roman" w:cs="Times New Roman"/>
          <w:color w:val="000000" w:themeColor="text1"/>
        </w:rPr>
        <w:t xml:space="preserve"> the court express</w:t>
      </w:r>
      <w:r w:rsidR="00CB4CBA">
        <w:rPr>
          <w:rFonts w:ascii="Times New Roman" w:hAnsi="Times New Roman" w:cs="Times New Roman"/>
          <w:color w:val="000000" w:themeColor="text1"/>
        </w:rPr>
        <w:t>ed</w:t>
      </w:r>
      <w:r w:rsidRPr="000D0092">
        <w:rPr>
          <w:rFonts w:ascii="Times New Roman" w:hAnsi="Times New Roman" w:cs="Times New Roman"/>
          <w:color w:val="000000" w:themeColor="text1"/>
        </w:rPr>
        <w:t xml:space="preserve"> concern about statistics given on age distribution, gender split and co-morbidities. Patients were labelled as ‘vulnerable young people’,</w:t>
      </w:r>
      <w:r w:rsidRPr="00E153FC">
        <w:rPr>
          <w:rStyle w:val="FootnoteReference"/>
          <w:rFonts w:ascii="Times New Roman" w:hAnsi="Times New Roman" w:cs="Times New Roman"/>
          <w:color w:val="000000" w:themeColor="text1"/>
        </w:rPr>
        <w:footnoteReference w:id="52"/>
      </w:r>
      <w:r w:rsidRPr="000D0092">
        <w:rPr>
          <w:rFonts w:ascii="Times New Roman" w:hAnsi="Times New Roman" w:cs="Times New Roman"/>
          <w:color w:val="000000" w:themeColor="text1"/>
        </w:rPr>
        <w:t xml:space="preserve"> and</w:t>
      </w:r>
      <w:r w:rsidR="008E7AAA">
        <w:rPr>
          <w:rFonts w:ascii="Times New Roman" w:hAnsi="Times New Roman" w:cs="Times New Roman"/>
          <w:color w:val="000000" w:themeColor="text1"/>
        </w:rPr>
        <w:t xml:space="preserve"> treating</w:t>
      </w:r>
      <w:r w:rsidRPr="000D0092">
        <w:rPr>
          <w:rFonts w:ascii="Times New Roman" w:hAnsi="Times New Roman" w:cs="Times New Roman"/>
          <w:color w:val="000000" w:themeColor="text1"/>
        </w:rPr>
        <w:t xml:space="preserve"> GD</w:t>
      </w:r>
      <w:r w:rsidR="008E7AAA">
        <w:rPr>
          <w:rFonts w:ascii="Times New Roman" w:hAnsi="Times New Roman" w:cs="Times New Roman"/>
          <w:color w:val="000000" w:themeColor="text1"/>
        </w:rPr>
        <w:t xml:space="preserve"> with PBs</w:t>
      </w:r>
      <w:r w:rsidR="008E7AAA" w:rsidRPr="008E7AAA">
        <w:rPr>
          <w:rFonts w:ascii="Times New Roman" w:hAnsi="Times New Roman" w:cs="Times New Roman"/>
          <w:color w:val="000000" w:themeColor="text1"/>
        </w:rPr>
        <w:t xml:space="preserve"> </w:t>
      </w:r>
      <w:r w:rsidR="008E7AAA" w:rsidRPr="000D0092">
        <w:rPr>
          <w:rFonts w:ascii="Times New Roman" w:hAnsi="Times New Roman" w:cs="Times New Roman"/>
          <w:color w:val="000000" w:themeColor="text1"/>
        </w:rPr>
        <w:t>painted as</w:t>
      </w:r>
      <w:r w:rsidR="008E7AAA">
        <w:rPr>
          <w:rFonts w:ascii="Times New Roman" w:hAnsi="Times New Roman" w:cs="Times New Roman"/>
          <w:color w:val="000000" w:themeColor="text1"/>
        </w:rPr>
        <w:t xml:space="preserve"> </w:t>
      </w:r>
      <w:r w:rsidR="008E7AAA" w:rsidRPr="000D0092">
        <w:rPr>
          <w:rFonts w:ascii="Times New Roman" w:hAnsi="Times New Roman" w:cs="Times New Roman"/>
          <w:color w:val="000000" w:themeColor="text1"/>
        </w:rPr>
        <w:t>different to other interventions</w:t>
      </w:r>
      <w:r w:rsidR="008E7AAA">
        <w:rPr>
          <w:rFonts w:ascii="Times New Roman" w:hAnsi="Times New Roman" w:cs="Times New Roman"/>
          <w:color w:val="000000" w:themeColor="text1"/>
        </w:rPr>
        <w:t xml:space="preserve">, given it was a condition with </w:t>
      </w:r>
      <w:r w:rsidR="008E7AAA" w:rsidRPr="000D0092">
        <w:rPr>
          <w:rFonts w:ascii="Times New Roman" w:hAnsi="Times New Roman" w:cs="Times New Roman"/>
          <w:color w:val="000000" w:themeColor="text1"/>
        </w:rPr>
        <w:t>‘no direct physical manifestation’</w:t>
      </w:r>
      <w:r w:rsidR="008E7AAA">
        <w:rPr>
          <w:rFonts w:ascii="Times New Roman" w:hAnsi="Times New Roman" w:cs="Times New Roman"/>
          <w:color w:val="000000" w:themeColor="text1"/>
        </w:rPr>
        <w:t xml:space="preserve"> </w:t>
      </w:r>
      <w:r w:rsidR="008E7AAA" w:rsidRPr="000D0092">
        <w:rPr>
          <w:rFonts w:ascii="Times New Roman" w:hAnsi="Times New Roman" w:cs="Times New Roman"/>
          <w:color w:val="000000" w:themeColor="text1"/>
        </w:rPr>
        <w:t>but</w:t>
      </w:r>
      <w:r w:rsidR="008E7AAA">
        <w:rPr>
          <w:rFonts w:ascii="Times New Roman" w:hAnsi="Times New Roman" w:cs="Times New Roman"/>
          <w:color w:val="000000" w:themeColor="text1"/>
        </w:rPr>
        <w:t xml:space="preserve"> a treatment</w:t>
      </w:r>
      <w:r w:rsidR="008E7AAA" w:rsidRPr="000D0092">
        <w:rPr>
          <w:rFonts w:ascii="Times New Roman" w:hAnsi="Times New Roman" w:cs="Times New Roman"/>
          <w:color w:val="000000" w:themeColor="text1"/>
        </w:rPr>
        <w:t xml:space="preserve"> </w:t>
      </w:r>
      <w:r w:rsidR="008E7AAA">
        <w:rPr>
          <w:rFonts w:ascii="Times New Roman" w:hAnsi="Times New Roman" w:cs="Times New Roman"/>
          <w:color w:val="000000" w:themeColor="text1"/>
        </w:rPr>
        <w:t xml:space="preserve">with </w:t>
      </w:r>
      <w:r w:rsidR="008E7AAA" w:rsidRPr="000D0092">
        <w:rPr>
          <w:rFonts w:ascii="Times New Roman" w:hAnsi="Times New Roman" w:cs="Times New Roman"/>
          <w:color w:val="000000" w:themeColor="text1"/>
        </w:rPr>
        <w:t>‘direct physical consequences</w:t>
      </w:r>
      <w:r w:rsidR="008E7AAA">
        <w:rPr>
          <w:rFonts w:ascii="Times New Roman" w:hAnsi="Times New Roman" w:cs="Times New Roman"/>
          <w:color w:val="000000" w:themeColor="text1"/>
        </w:rPr>
        <w:t>’</w:t>
      </w:r>
      <w:r w:rsidRPr="000D0092">
        <w:rPr>
          <w:rFonts w:ascii="Times New Roman" w:hAnsi="Times New Roman" w:cs="Times New Roman"/>
          <w:color w:val="000000" w:themeColor="text1"/>
        </w:rPr>
        <w:t>.</w:t>
      </w:r>
      <w:r w:rsidRPr="00E153FC">
        <w:rPr>
          <w:rStyle w:val="FootnoteReference"/>
          <w:rFonts w:ascii="Times New Roman" w:hAnsi="Times New Roman" w:cs="Times New Roman"/>
          <w:color w:val="000000" w:themeColor="text1"/>
        </w:rPr>
        <w:footnoteReference w:id="53"/>
      </w:r>
      <w:r w:rsidRPr="000D0092">
        <w:rPr>
          <w:rFonts w:ascii="Times New Roman" w:hAnsi="Times New Roman" w:cs="Times New Roman"/>
          <w:color w:val="000000" w:themeColor="text1"/>
        </w:rPr>
        <w:t xml:space="preserve"> First, </w:t>
      </w:r>
      <w:r w:rsidR="008E7AAA">
        <w:rPr>
          <w:rFonts w:ascii="Times New Roman" w:hAnsi="Times New Roman" w:cs="Times New Roman"/>
          <w:color w:val="000000" w:themeColor="text1"/>
        </w:rPr>
        <w:t xml:space="preserve">this </w:t>
      </w:r>
      <w:r w:rsidRPr="000D0092">
        <w:rPr>
          <w:rFonts w:ascii="Times New Roman" w:hAnsi="Times New Roman" w:cs="Times New Roman"/>
          <w:color w:val="000000" w:themeColor="text1"/>
        </w:rPr>
        <w:t>stress</w:t>
      </w:r>
      <w:r w:rsidR="008E7AAA">
        <w:rPr>
          <w:rFonts w:ascii="Times New Roman" w:hAnsi="Times New Roman" w:cs="Times New Roman"/>
          <w:color w:val="000000" w:themeColor="text1"/>
        </w:rPr>
        <w:t xml:space="preserve"> on</w:t>
      </w:r>
      <w:r w:rsidRPr="000D0092">
        <w:rPr>
          <w:rFonts w:ascii="Times New Roman" w:hAnsi="Times New Roman" w:cs="Times New Roman"/>
          <w:color w:val="000000" w:themeColor="text1"/>
        </w:rPr>
        <w:t xml:space="preserve"> a mind/body split</w:t>
      </w:r>
      <w:r w:rsidR="008E7AAA">
        <w:rPr>
          <w:rFonts w:ascii="Times New Roman" w:hAnsi="Times New Roman" w:cs="Times New Roman"/>
          <w:color w:val="000000" w:themeColor="text1"/>
        </w:rPr>
        <w:t xml:space="preserve"> is questionable,</w:t>
      </w:r>
      <w:r w:rsidRPr="000D0092">
        <w:rPr>
          <w:rFonts w:ascii="Times New Roman" w:hAnsi="Times New Roman" w:cs="Times New Roman"/>
          <w:color w:val="000000" w:themeColor="text1"/>
        </w:rPr>
        <w:t xml:space="preserve"> with the implication that mental </w:t>
      </w:r>
      <w:r w:rsidR="00CB4CBA">
        <w:rPr>
          <w:rFonts w:ascii="Times New Roman" w:hAnsi="Times New Roman" w:cs="Times New Roman"/>
          <w:color w:val="000000" w:themeColor="text1"/>
        </w:rPr>
        <w:t>conditions</w:t>
      </w:r>
      <w:r w:rsidRPr="000D0092">
        <w:rPr>
          <w:rFonts w:ascii="Times New Roman" w:hAnsi="Times New Roman" w:cs="Times New Roman"/>
          <w:color w:val="000000" w:themeColor="text1"/>
        </w:rPr>
        <w:t xml:space="preserve"> are taken less seriously than physical ones. Second, stat</w:t>
      </w:r>
      <w:r w:rsidR="008E7AAA">
        <w:rPr>
          <w:rFonts w:ascii="Times New Roman" w:hAnsi="Times New Roman" w:cs="Times New Roman"/>
          <w:color w:val="000000" w:themeColor="text1"/>
        </w:rPr>
        <w:t>ing</w:t>
      </w:r>
      <w:r w:rsidRPr="000D0092">
        <w:rPr>
          <w:rFonts w:ascii="Times New Roman" w:hAnsi="Times New Roman" w:cs="Times New Roman"/>
          <w:color w:val="000000" w:themeColor="text1"/>
        </w:rPr>
        <w:t xml:space="preserve"> that PBs are a</w:t>
      </w:r>
      <w:r w:rsidR="008E7AAA">
        <w:rPr>
          <w:rFonts w:ascii="Times New Roman" w:hAnsi="Times New Roman" w:cs="Times New Roman"/>
          <w:color w:val="000000" w:themeColor="text1"/>
        </w:rPr>
        <w:t xml:space="preserve"> different</w:t>
      </w:r>
      <w:r w:rsidRPr="000D0092">
        <w:rPr>
          <w:rFonts w:ascii="Times New Roman" w:hAnsi="Times New Roman" w:cs="Times New Roman"/>
          <w:color w:val="000000" w:themeColor="text1"/>
        </w:rPr>
        <w:t xml:space="preserve"> intervention </w:t>
      </w:r>
      <w:r w:rsidR="008E7AAA">
        <w:rPr>
          <w:rFonts w:ascii="Times New Roman" w:hAnsi="Times New Roman" w:cs="Times New Roman"/>
          <w:color w:val="000000" w:themeColor="text1"/>
        </w:rPr>
        <w:t>is inaccurate</w:t>
      </w:r>
      <w:r w:rsidRPr="000D0092">
        <w:rPr>
          <w:rFonts w:ascii="Times New Roman" w:hAnsi="Times New Roman" w:cs="Times New Roman"/>
          <w:color w:val="000000" w:themeColor="text1"/>
        </w:rPr>
        <w:t xml:space="preserve"> when lots of treatments for mental disorders have physical implications, such as antidepressants</w:t>
      </w:r>
      <w:r w:rsidR="008E7AAA">
        <w:rPr>
          <w:rFonts w:ascii="Times New Roman" w:hAnsi="Times New Roman" w:cs="Times New Roman"/>
          <w:color w:val="000000" w:themeColor="text1"/>
        </w:rPr>
        <w:t xml:space="preserve"> increasing</w:t>
      </w:r>
      <w:r w:rsidRPr="000D0092">
        <w:rPr>
          <w:rFonts w:ascii="Times New Roman" w:hAnsi="Times New Roman" w:cs="Times New Roman"/>
          <w:color w:val="000000" w:themeColor="text1"/>
        </w:rPr>
        <w:t xml:space="preserve"> the level of serotonin in the brain, or E</w:t>
      </w:r>
      <w:r w:rsidR="00216D4F">
        <w:rPr>
          <w:rFonts w:ascii="Times New Roman" w:hAnsi="Times New Roman" w:cs="Times New Roman"/>
          <w:color w:val="000000" w:themeColor="text1"/>
        </w:rPr>
        <w:t>lectro-</w:t>
      </w:r>
      <w:r w:rsidRPr="000D0092">
        <w:rPr>
          <w:rFonts w:ascii="Times New Roman" w:hAnsi="Times New Roman" w:cs="Times New Roman"/>
          <w:color w:val="000000" w:themeColor="text1"/>
        </w:rPr>
        <w:t>C</w:t>
      </w:r>
      <w:r w:rsidR="00216D4F">
        <w:rPr>
          <w:rFonts w:ascii="Times New Roman" w:hAnsi="Times New Roman" w:cs="Times New Roman"/>
          <w:color w:val="000000" w:themeColor="text1"/>
        </w:rPr>
        <w:t xml:space="preserve">onvulsive </w:t>
      </w:r>
      <w:r w:rsidRPr="000D0092">
        <w:rPr>
          <w:rFonts w:ascii="Times New Roman" w:hAnsi="Times New Roman" w:cs="Times New Roman"/>
          <w:color w:val="000000" w:themeColor="text1"/>
        </w:rPr>
        <w:t>T</w:t>
      </w:r>
      <w:r w:rsidR="00216D4F">
        <w:rPr>
          <w:rFonts w:ascii="Times New Roman" w:hAnsi="Times New Roman" w:cs="Times New Roman"/>
          <w:color w:val="000000" w:themeColor="text1"/>
        </w:rPr>
        <w:t>herapy</w:t>
      </w:r>
      <w:r w:rsidRPr="000D0092">
        <w:rPr>
          <w:rFonts w:ascii="Times New Roman" w:hAnsi="Times New Roman" w:cs="Times New Roman"/>
          <w:color w:val="000000" w:themeColor="text1"/>
        </w:rPr>
        <w:t xml:space="preserve"> trigger</w:t>
      </w:r>
      <w:r w:rsidR="008E7AAA">
        <w:rPr>
          <w:rFonts w:ascii="Times New Roman" w:hAnsi="Times New Roman" w:cs="Times New Roman"/>
          <w:color w:val="000000" w:themeColor="text1"/>
        </w:rPr>
        <w:t>ing</w:t>
      </w:r>
      <w:r w:rsidRPr="000D0092">
        <w:rPr>
          <w:rFonts w:ascii="Times New Roman" w:hAnsi="Times New Roman" w:cs="Times New Roman"/>
          <w:color w:val="000000" w:themeColor="text1"/>
        </w:rPr>
        <w:t xml:space="preserve"> seizures. </w:t>
      </w:r>
    </w:p>
    <w:p w14:paraId="5207918D" w14:textId="7CB25AC8" w:rsidR="000D0092" w:rsidRPr="000D0092" w:rsidRDefault="000D0092" w:rsidP="000D0092">
      <w:pPr>
        <w:ind w:firstLine="360"/>
        <w:rPr>
          <w:rFonts w:ascii="Times New Roman" w:eastAsia="Times New Roman" w:hAnsi="Times New Roman" w:cs="Times New Roman"/>
        </w:rPr>
      </w:pPr>
      <w:r w:rsidRPr="000D0092">
        <w:rPr>
          <w:rFonts w:ascii="Times New Roman" w:hAnsi="Times New Roman" w:cs="Times New Roman"/>
        </w:rPr>
        <w:t xml:space="preserve">Additionally, the multiplicity of reasons for administering PBs, such as buying “time to think”, reducing suicidal ideation, or facilitating easier transition </w:t>
      </w:r>
      <w:r w:rsidR="008E7AAA">
        <w:rPr>
          <w:rFonts w:ascii="Times New Roman" w:hAnsi="Times New Roman" w:cs="Times New Roman"/>
        </w:rPr>
        <w:t>to</w:t>
      </w:r>
      <w:r w:rsidRPr="000D0092">
        <w:rPr>
          <w:rFonts w:ascii="Times New Roman" w:hAnsi="Times New Roman" w:cs="Times New Roman"/>
        </w:rPr>
        <w:t xml:space="preserve"> CSH or surgery, </w:t>
      </w:r>
      <w:r w:rsidR="008E7AAA">
        <w:rPr>
          <w:rFonts w:ascii="Times New Roman" w:hAnsi="Times New Roman" w:cs="Times New Roman"/>
        </w:rPr>
        <w:t>was portrayed as</w:t>
      </w:r>
      <w:r w:rsidRPr="000D0092">
        <w:rPr>
          <w:rFonts w:ascii="Times New Roman" w:hAnsi="Times New Roman" w:cs="Times New Roman"/>
        </w:rPr>
        <w:t xml:space="preserve"> giving rise to ‘dispute’.</w:t>
      </w:r>
      <w:r>
        <w:rPr>
          <w:rStyle w:val="FootnoteReference"/>
          <w:rFonts w:ascii="Times New Roman" w:hAnsi="Times New Roman" w:cs="Times New Roman"/>
        </w:rPr>
        <w:footnoteReference w:id="54"/>
      </w:r>
      <w:r w:rsidRPr="000D0092">
        <w:rPr>
          <w:rFonts w:ascii="Times New Roman" w:hAnsi="Times New Roman" w:cs="Times New Roman"/>
        </w:rPr>
        <w:t xml:space="preserve"> I</w:t>
      </w:r>
      <w:r w:rsidR="008E7AAA">
        <w:rPr>
          <w:rFonts w:ascii="Times New Roman" w:hAnsi="Times New Roman" w:cs="Times New Roman"/>
        </w:rPr>
        <w:t xml:space="preserve"> </w:t>
      </w:r>
      <w:r w:rsidRPr="000D0092">
        <w:rPr>
          <w:rFonts w:ascii="Times New Roman" w:hAnsi="Times New Roman" w:cs="Times New Roman"/>
        </w:rPr>
        <w:t>question the need for a sole purpose – multiplicity of reasons does not undermine authenticity of action. The</w:t>
      </w:r>
      <w:r w:rsidR="008E7AAA">
        <w:rPr>
          <w:rFonts w:ascii="Times New Roman" w:hAnsi="Times New Roman" w:cs="Times New Roman"/>
        </w:rPr>
        <w:t>re</w:t>
      </w:r>
      <w:r w:rsidRPr="000D0092">
        <w:rPr>
          <w:rFonts w:ascii="Times New Roman" w:hAnsi="Times New Roman" w:cs="Times New Roman"/>
        </w:rPr>
        <w:t xml:space="preserve"> w</w:t>
      </w:r>
      <w:r w:rsidR="008E7AAA">
        <w:rPr>
          <w:rFonts w:ascii="Times New Roman" w:hAnsi="Times New Roman" w:cs="Times New Roman"/>
        </w:rPr>
        <w:t>as</w:t>
      </w:r>
      <w:r w:rsidRPr="000D0092">
        <w:rPr>
          <w:rFonts w:ascii="Times New Roman" w:hAnsi="Times New Roman" w:cs="Times New Roman"/>
        </w:rPr>
        <w:t xml:space="preserve"> particular sceptic</w:t>
      </w:r>
      <w:r w:rsidR="008E7AAA">
        <w:rPr>
          <w:rFonts w:ascii="Times New Roman" w:hAnsi="Times New Roman" w:cs="Times New Roman"/>
        </w:rPr>
        <w:t xml:space="preserve">ism </w:t>
      </w:r>
      <w:r w:rsidRPr="000D0092">
        <w:rPr>
          <w:rFonts w:ascii="Times New Roman" w:hAnsi="Times New Roman" w:cs="Times New Roman"/>
        </w:rPr>
        <w:t xml:space="preserve">of the </w:t>
      </w:r>
      <w:r w:rsidRPr="000D0092">
        <w:rPr>
          <w:rFonts w:ascii="Times New Roman" w:hAnsi="Times New Roman" w:cs="Times New Roman"/>
        </w:rPr>
        <w:lastRenderedPageBreak/>
        <w:t xml:space="preserve">“time to think” justification, contending that </w:t>
      </w:r>
      <w:r w:rsidRPr="000D0092">
        <w:rPr>
          <w:rFonts w:ascii="Times New Roman" w:eastAsia="Times New Roman" w:hAnsi="Times New Roman" w:cs="Times New Roman"/>
        </w:rPr>
        <w:t>‘the treatment might be supporting persistence of GD in circumstances in which it is at least possible that without that treatment, the GD would resolve itself’.</w:t>
      </w:r>
      <w:r>
        <w:rPr>
          <w:rStyle w:val="FootnoteReference"/>
          <w:rFonts w:ascii="Times New Roman" w:eastAsia="Times New Roman" w:hAnsi="Times New Roman" w:cs="Times New Roman"/>
        </w:rPr>
        <w:footnoteReference w:id="55"/>
      </w:r>
      <w:r w:rsidRPr="000D0092">
        <w:rPr>
          <w:rFonts w:ascii="Times New Roman" w:hAnsi="Times New Roman" w:cs="Times New Roman"/>
        </w:rPr>
        <w:t xml:space="preserve"> This reveals an attitude to persistence as a negative outcome, </w:t>
      </w:r>
      <w:r w:rsidR="008E7AAA">
        <w:rPr>
          <w:rFonts w:ascii="Times New Roman" w:hAnsi="Times New Roman" w:cs="Times New Roman"/>
        </w:rPr>
        <w:t>evidenced</w:t>
      </w:r>
      <w:r w:rsidRPr="000D0092">
        <w:rPr>
          <w:rFonts w:ascii="Times New Roman" w:hAnsi="Times New Roman" w:cs="Times New Roman"/>
        </w:rPr>
        <w:t xml:space="preserve"> by the claim that </w:t>
      </w:r>
      <w:r w:rsidRPr="000D0092">
        <w:rPr>
          <w:rFonts w:ascii="Times New Roman" w:eastAsia="Times New Roman" w:hAnsi="Times New Roman" w:cs="Times New Roman"/>
        </w:rPr>
        <w:t>‘[t]he use of puberty blockers is not itself a neutral process by which time stands still for the child on PBs</w:t>
      </w:r>
      <w:r w:rsidR="008E7AAA">
        <w:rPr>
          <w:rFonts w:ascii="Times New Roman" w:eastAsia="Times New Roman" w:hAnsi="Times New Roman" w:cs="Times New Roman"/>
        </w:rPr>
        <w:t>’</w:t>
      </w:r>
      <w:r w:rsidRPr="000D0092">
        <w:rPr>
          <w:rFonts w:ascii="Times New Roman" w:eastAsia="Times New Roman" w:hAnsi="Times New Roman" w:cs="Times New Roman"/>
        </w:rPr>
        <w:t>.’</w:t>
      </w:r>
      <w:r>
        <w:rPr>
          <w:rStyle w:val="FootnoteReference"/>
          <w:rFonts w:ascii="Times New Roman" w:eastAsia="Times New Roman" w:hAnsi="Times New Roman" w:cs="Times New Roman"/>
        </w:rPr>
        <w:footnoteReference w:id="56"/>
      </w:r>
      <w:r w:rsidRPr="000D0092">
        <w:rPr>
          <w:rFonts w:ascii="Times New Roman" w:eastAsia="Times New Roman" w:hAnsi="Times New Roman" w:cs="Times New Roman"/>
        </w:rPr>
        <w:t xml:space="preserve"> But neither is non-intervention a neutral process.</w:t>
      </w:r>
      <w:r w:rsidRPr="000E087D">
        <w:rPr>
          <w:rStyle w:val="FootnoteReference"/>
          <w:rFonts w:ascii="Times New Roman" w:eastAsia="Times New Roman" w:hAnsi="Times New Roman" w:cs="Times New Roman"/>
        </w:rPr>
        <w:footnoteReference w:id="57"/>
      </w:r>
      <w:r w:rsidRPr="000D0092">
        <w:rPr>
          <w:rFonts w:ascii="Times New Roman" w:eastAsia="Times New Roman" w:hAnsi="Times New Roman" w:cs="Times New Roman"/>
        </w:rPr>
        <w:t xml:space="preserve"> Very little consideration was given to the ‘the physical and psychological consequences of requiring a child to go through the “wrong” puberty</w:t>
      </w:r>
      <w:r w:rsidR="00B52B7D">
        <w:rPr>
          <w:rFonts w:ascii="Times New Roman" w:eastAsia="Times New Roman" w:hAnsi="Times New Roman" w:cs="Times New Roman"/>
        </w:rPr>
        <w:t>’</w:t>
      </w:r>
      <w:r w:rsidRPr="000D0092">
        <w:rPr>
          <w:rFonts w:ascii="Times New Roman" w:eastAsia="Times New Roman" w:hAnsi="Times New Roman" w:cs="Times New Roman"/>
        </w:rPr>
        <w:t>.</w:t>
      </w:r>
      <w:r>
        <w:rPr>
          <w:rStyle w:val="FootnoteReference"/>
          <w:rFonts w:ascii="Times New Roman" w:eastAsia="Times New Roman" w:hAnsi="Times New Roman" w:cs="Times New Roman"/>
        </w:rPr>
        <w:footnoteReference w:id="58"/>
      </w:r>
      <w:r w:rsidRPr="000D0092">
        <w:rPr>
          <w:rFonts w:ascii="Times New Roman" w:eastAsia="Times New Roman" w:hAnsi="Times New Roman" w:cs="Times New Roman"/>
        </w:rPr>
        <w:t xml:space="preserve"> </w:t>
      </w:r>
      <w:r w:rsidR="00B52B7D">
        <w:rPr>
          <w:rFonts w:ascii="Times New Roman" w:eastAsia="Times New Roman" w:hAnsi="Times New Roman" w:cs="Times New Roman"/>
        </w:rPr>
        <w:t>C</w:t>
      </w:r>
      <w:r w:rsidRPr="000D0092">
        <w:rPr>
          <w:rFonts w:ascii="Times New Roman" w:eastAsia="Times New Roman" w:hAnsi="Times New Roman" w:cs="Times New Roman"/>
        </w:rPr>
        <w:t xml:space="preserve">hildren on PBs will not skip puberty completely, it will just be delayed until they </w:t>
      </w:r>
      <w:r w:rsidR="00B52B7D">
        <w:rPr>
          <w:rFonts w:ascii="Times New Roman" w:eastAsia="Times New Roman" w:hAnsi="Times New Roman" w:cs="Times New Roman"/>
        </w:rPr>
        <w:t>cease</w:t>
      </w:r>
      <w:r w:rsidRPr="000D0092">
        <w:rPr>
          <w:rFonts w:ascii="Times New Roman" w:eastAsia="Times New Roman" w:hAnsi="Times New Roman" w:cs="Times New Roman"/>
        </w:rPr>
        <w:t xml:space="preserve"> PBs, or take CSH. </w:t>
      </w:r>
      <w:r w:rsidR="00B52B7D">
        <w:rPr>
          <w:rFonts w:ascii="Times New Roman" w:eastAsia="Times New Roman" w:hAnsi="Times New Roman" w:cs="Times New Roman"/>
        </w:rPr>
        <w:t>T</w:t>
      </w:r>
      <w:r w:rsidRPr="000D0092">
        <w:rPr>
          <w:rFonts w:ascii="Times New Roman" w:eastAsia="Times New Roman" w:hAnsi="Times New Roman" w:cs="Times New Roman"/>
        </w:rPr>
        <w:t>here is little purpose in prevent</w:t>
      </w:r>
      <w:r w:rsidR="00B52B7D">
        <w:rPr>
          <w:rFonts w:ascii="Times New Roman" w:eastAsia="Times New Roman" w:hAnsi="Times New Roman" w:cs="Times New Roman"/>
        </w:rPr>
        <w:t>ing</w:t>
      </w:r>
      <w:r w:rsidRPr="000D0092">
        <w:rPr>
          <w:rFonts w:ascii="Times New Roman" w:eastAsia="Times New Roman" w:hAnsi="Times New Roman" w:cs="Times New Roman"/>
        </w:rPr>
        <w:t xml:space="preserve"> children from accessing PBs until an age when natal pubertal changes are largely complete, especially when administrati</w:t>
      </w:r>
      <w:r w:rsidR="00B52B7D">
        <w:rPr>
          <w:rFonts w:ascii="Times New Roman" w:eastAsia="Times New Roman" w:hAnsi="Times New Roman" w:cs="Times New Roman"/>
        </w:rPr>
        <w:t>ng PB</w:t>
      </w:r>
      <w:r w:rsidR="00987053">
        <w:rPr>
          <w:rFonts w:ascii="Times New Roman" w:eastAsia="Times New Roman" w:hAnsi="Times New Roman" w:cs="Times New Roman"/>
        </w:rPr>
        <w:t>s</w:t>
      </w:r>
      <w:r w:rsidR="00B52B7D">
        <w:rPr>
          <w:rFonts w:ascii="Times New Roman" w:eastAsia="Times New Roman" w:hAnsi="Times New Roman" w:cs="Times New Roman"/>
        </w:rPr>
        <w:t xml:space="preserve"> early</w:t>
      </w:r>
      <w:r w:rsidRPr="000D0092">
        <w:rPr>
          <w:rFonts w:ascii="Times New Roman" w:eastAsia="Times New Roman" w:hAnsi="Times New Roman" w:cs="Times New Roman"/>
        </w:rPr>
        <w:t xml:space="preserve"> can be </w:t>
      </w:r>
      <w:r w:rsidRPr="000D0092">
        <w:rPr>
          <w:rFonts w:ascii="Times New Roman" w:hAnsi="Times New Roman" w:cs="Times New Roman"/>
        </w:rPr>
        <w:t>‘life savers’.</w:t>
      </w:r>
      <w:r w:rsidRPr="000E087D">
        <w:rPr>
          <w:rStyle w:val="FootnoteReference"/>
          <w:rFonts w:ascii="Times New Roman" w:hAnsi="Times New Roman" w:cs="Times New Roman"/>
        </w:rPr>
        <w:footnoteReference w:id="59"/>
      </w:r>
      <w:r w:rsidRPr="000D0092">
        <w:rPr>
          <w:rFonts w:ascii="Times New Roman" w:hAnsi="Times New Roman" w:cs="Times New Roman"/>
        </w:rPr>
        <w:t xml:space="preserve"> </w:t>
      </w:r>
      <w:r w:rsidRPr="000D0092">
        <w:rPr>
          <w:rFonts w:ascii="Times New Roman" w:eastAsia="Times New Roman" w:hAnsi="Times New Roman" w:cs="Times New Roman"/>
        </w:rPr>
        <w:t>Much was made of treatment regret, with Bell’s story serving as an example</w:t>
      </w:r>
      <w:r w:rsidR="00CB4CBA">
        <w:rPr>
          <w:rFonts w:ascii="Times New Roman" w:eastAsia="Times New Roman" w:hAnsi="Times New Roman" w:cs="Times New Roman"/>
        </w:rPr>
        <w:t xml:space="preserve">, </w:t>
      </w:r>
      <w:r w:rsidR="00987053">
        <w:rPr>
          <w:rFonts w:ascii="Times New Roman" w:eastAsia="Times New Roman" w:hAnsi="Times New Roman" w:cs="Times New Roman"/>
        </w:rPr>
        <w:t>however</w:t>
      </w:r>
      <w:r w:rsidRPr="000D0092">
        <w:rPr>
          <w:rFonts w:ascii="Times New Roman" w:eastAsia="Times New Roman" w:hAnsi="Times New Roman" w:cs="Times New Roman"/>
        </w:rPr>
        <w:t xml:space="preserve"> </w:t>
      </w:r>
      <w:r w:rsidR="00B52B7D">
        <w:rPr>
          <w:rFonts w:ascii="Times New Roman" w:eastAsia="Times New Roman" w:hAnsi="Times New Roman" w:cs="Times New Roman"/>
        </w:rPr>
        <w:t>she</w:t>
      </w:r>
      <w:r w:rsidRPr="000D0092">
        <w:rPr>
          <w:rFonts w:ascii="Times New Roman" w:eastAsia="Times New Roman" w:hAnsi="Times New Roman" w:cs="Times New Roman"/>
        </w:rPr>
        <w:t xml:space="preserve"> did</w:t>
      </w:r>
      <w:r w:rsidR="00B52B7D">
        <w:rPr>
          <w:rFonts w:ascii="Times New Roman" w:eastAsia="Times New Roman" w:hAnsi="Times New Roman" w:cs="Times New Roman"/>
        </w:rPr>
        <w:t xml:space="preserve"> not</w:t>
      </w:r>
      <w:r w:rsidRPr="000D0092">
        <w:rPr>
          <w:rFonts w:ascii="Times New Roman" w:eastAsia="Times New Roman" w:hAnsi="Times New Roman" w:cs="Times New Roman"/>
        </w:rPr>
        <w:t xml:space="preserve"> commence treatment until she was 16, so the relevance of her story to the issue</w:t>
      </w:r>
      <w:r w:rsidR="00B52B7D">
        <w:rPr>
          <w:rFonts w:ascii="Times New Roman" w:eastAsia="Times New Roman" w:hAnsi="Times New Roman" w:cs="Times New Roman"/>
        </w:rPr>
        <w:t>s</w:t>
      </w:r>
      <w:r w:rsidRPr="000D0092">
        <w:rPr>
          <w:rFonts w:ascii="Times New Roman" w:eastAsia="Times New Roman" w:hAnsi="Times New Roman" w:cs="Times New Roman"/>
        </w:rPr>
        <w:t xml:space="preserve"> before the court was questionable. A</w:t>
      </w:r>
      <w:r w:rsidR="00987053">
        <w:rPr>
          <w:rFonts w:ascii="Times New Roman" w:eastAsia="Times New Roman" w:hAnsi="Times New Roman" w:cs="Times New Roman"/>
        </w:rPr>
        <w:t>dditionally</w:t>
      </w:r>
      <w:r w:rsidRPr="000D0092">
        <w:rPr>
          <w:rFonts w:ascii="Times New Roman" w:eastAsia="Times New Roman" w:hAnsi="Times New Roman" w:cs="Times New Roman"/>
        </w:rPr>
        <w:t xml:space="preserve">, Giordano </w:t>
      </w:r>
      <w:r w:rsidR="00B52B7D">
        <w:rPr>
          <w:rFonts w:ascii="Times New Roman" w:eastAsia="Times New Roman" w:hAnsi="Times New Roman" w:cs="Times New Roman"/>
        </w:rPr>
        <w:t>identifies</w:t>
      </w:r>
      <w:r w:rsidRPr="000D0092">
        <w:rPr>
          <w:rFonts w:ascii="Times New Roman" w:eastAsia="Times New Roman" w:hAnsi="Times New Roman" w:cs="Times New Roman"/>
        </w:rPr>
        <w:t xml:space="preserve"> </w:t>
      </w:r>
      <w:r w:rsidR="00B52B7D">
        <w:rPr>
          <w:rFonts w:ascii="Times New Roman" w:eastAsia="Times New Roman" w:hAnsi="Times New Roman" w:cs="Times New Roman"/>
        </w:rPr>
        <w:t xml:space="preserve">a conceptual </w:t>
      </w:r>
      <w:r w:rsidRPr="000D0092">
        <w:rPr>
          <w:rFonts w:ascii="Times New Roman" w:eastAsia="Times New Roman" w:hAnsi="Times New Roman" w:cs="Times New Roman"/>
        </w:rPr>
        <w:t>confusion between de-transition, regret and unfavourable outcomes - de-transition does not necessarily indicate regret of PBs.</w:t>
      </w:r>
      <w:r>
        <w:rPr>
          <w:rStyle w:val="FootnoteReference"/>
          <w:rFonts w:ascii="Times New Roman" w:eastAsia="Times New Roman" w:hAnsi="Times New Roman" w:cs="Times New Roman"/>
        </w:rPr>
        <w:footnoteReference w:id="60"/>
      </w:r>
    </w:p>
    <w:p w14:paraId="0767B747" w14:textId="6C9AF505" w:rsidR="000D0092" w:rsidRPr="000D0092" w:rsidRDefault="000D0092" w:rsidP="000D0092">
      <w:pPr>
        <w:ind w:firstLine="360"/>
        <w:rPr>
          <w:rFonts w:ascii="Times New Roman" w:hAnsi="Times New Roman" w:cs="Times New Roman"/>
        </w:rPr>
      </w:pPr>
      <w:r w:rsidRPr="000D0092">
        <w:rPr>
          <w:rFonts w:ascii="Times New Roman" w:hAnsi="Times New Roman" w:cs="Times New Roman"/>
        </w:rPr>
        <w:t>W</w:t>
      </w:r>
      <w:r w:rsidRPr="000D0092">
        <w:rPr>
          <w:rFonts w:ascii="Times New Roman" w:eastAsia="Times New Roman" w:hAnsi="Times New Roman" w:cs="Times New Roman"/>
        </w:rPr>
        <w:t>hilst acknowledging</w:t>
      </w:r>
      <w:r w:rsidR="00987053">
        <w:rPr>
          <w:rFonts w:ascii="Times New Roman" w:eastAsia="Times New Roman" w:hAnsi="Times New Roman" w:cs="Times New Roman"/>
        </w:rPr>
        <w:t xml:space="preserve"> that</w:t>
      </w:r>
      <w:r w:rsidRPr="000D0092">
        <w:rPr>
          <w:rFonts w:ascii="Times New Roman" w:eastAsia="Times New Roman" w:hAnsi="Times New Roman" w:cs="Times New Roman"/>
        </w:rPr>
        <w:t xml:space="preserve"> GIDS see PBs and CSH as two separate treatments,</w:t>
      </w:r>
      <w:r>
        <w:rPr>
          <w:rStyle w:val="FootnoteReference"/>
          <w:rFonts w:ascii="Times New Roman" w:eastAsia="Times New Roman" w:hAnsi="Times New Roman" w:cs="Times New Roman"/>
        </w:rPr>
        <w:footnoteReference w:id="61"/>
      </w:r>
      <w:r w:rsidRPr="000D0092">
        <w:rPr>
          <w:rFonts w:ascii="Times New Roman" w:eastAsia="Times New Roman" w:hAnsi="Times New Roman" w:cs="Times New Roman"/>
        </w:rPr>
        <w:t xml:space="preserve"> the court </w:t>
      </w:r>
      <w:r w:rsidR="00B52B7D">
        <w:rPr>
          <w:rFonts w:ascii="Times New Roman" w:eastAsia="Times New Roman" w:hAnsi="Times New Roman" w:cs="Times New Roman"/>
        </w:rPr>
        <w:t xml:space="preserve">relied on testimony </w:t>
      </w:r>
      <w:r w:rsidRPr="000D0092">
        <w:rPr>
          <w:rFonts w:ascii="Times New Roman" w:eastAsia="Times New Roman" w:hAnsi="Times New Roman" w:cs="Times New Roman"/>
        </w:rPr>
        <w:t xml:space="preserve">of Dr de Vries that only 1.9% of patients did not </w:t>
      </w:r>
      <w:r w:rsidR="00B52B7D">
        <w:rPr>
          <w:rFonts w:ascii="Times New Roman" w:eastAsia="Times New Roman" w:hAnsi="Times New Roman" w:cs="Times New Roman"/>
        </w:rPr>
        <w:t xml:space="preserve">progress </w:t>
      </w:r>
      <w:r w:rsidRPr="000D0092">
        <w:rPr>
          <w:rFonts w:ascii="Times New Roman" w:eastAsia="Times New Roman" w:hAnsi="Times New Roman" w:cs="Times New Roman"/>
        </w:rPr>
        <w:t>to CSH.</w:t>
      </w:r>
      <w:r>
        <w:rPr>
          <w:rStyle w:val="FootnoteReference"/>
          <w:rFonts w:ascii="Times New Roman" w:eastAsia="Times New Roman" w:hAnsi="Times New Roman" w:cs="Times New Roman"/>
        </w:rPr>
        <w:footnoteReference w:id="62"/>
      </w:r>
      <w:r w:rsidRPr="000D0092">
        <w:rPr>
          <w:rFonts w:ascii="Times New Roman" w:eastAsia="Times New Roman" w:hAnsi="Times New Roman" w:cs="Times New Roman"/>
        </w:rPr>
        <w:t xml:space="preserve"> </w:t>
      </w:r>
      <w:r w:rsidR="00B52B7D">
        <w:rPr>
          <w:rFonts w:ascii="Times New Roman" w:eastAsia="Times New Roman" w:hAnsi="Times New Roman" w:cs="Times New Roman"/>
        </w:rPr>
        <w:t>T</w:t>
      </w:r>
      <w:r w:rsidRPr="000D0092">
        <w:rPr>
          <w:rFonts w:ascii="Times New Roman" w:eastAsia="Times New Roman" w:hAnsi="Times New Roman" w:cs="Times New Roman"/>
        </w:rPr>
        <w:t>his resulted in a</w:t>
      </w:r>
      <w:r w:rsidR="00B52B7D">
        <w:rPr>
          <w:rFonts w:ascii="Times New Roman" w:eastAsia="Times New Roman" w:hAnsi="Times New Roman" w:cs="Times New Roman"/>
        </w:rPr>
        <w:t xml:space="preserve"> problematic</w:t>
      </w:r>
      <w:r w:rsidRPr="000D0092">
        <w:rPr>
          <w:rFonts w:ascii="Times New Roman" w:eastAsia="Times New Roman" w:hAnsi="Times New Roman" w:cs="Times New Roman"/>
        </w:rPr>
        <w:t xml:space="preserve"> conflation of the two stages, with the judges agreeing that ‘commencing PBs in practice puts a young person on a virtually inexorable path to taking CSH’.</w:t>
      </w:r>
      <w:r>
        <w:rPr>
          <w:rStyle w:val="FootnoteReference"/>
          <w:rFonts w:ascii="Times New Roman" w:eastAsia="Times New Roman" w:hAnsi="Times New Roman" w:cs="Times New Roman"/>
        </w:rPr>
        <w:footnoteReference w:id="63"/>
      </w:r>
      <w:r w:rsidRPr="000D0092">
        <w:rPr>
          <w:rFonts w:ascii="Times New Roman" w:eastAsia="Times New Roman" w:hAnsi="Times New Roman" w:cs="Times New Roman"/>
        </w:rPr>
        <w:t xml:space="preserve"> This cannot be correct. First, </w:t>
      </w:r>
      <w:r w:rsidR="00B52B7D">
        <w:rPr>
          <w:rFonts w:ascii="Times New Roman" w:eastAsia="Times New Roman" w:hAnsi="Times New Roman" w:cs="Times New Roman"/>
        </w:rPr>
        <w:t xml:space="preserve">as </w:t>
      </w:r>
      <w:r w:rsidRPr="000D0092">
        <w:rPr>
          <w:rFonts w:ascii="Times New Roman" w:eastAsia="Times New Roman" w:hAnsi="Times New Roman" w:cs="Times New Roman"/>
        </w:rPr>
        <w:t xml:space="preserve">Duffy </w:t>
      </w:r>
      <w:r w:rsidR="00B52B7D">
        <w:rPr>
          <w:rFonts w:ascii="Times New Roman" w:eastAsia="Times New Roman" w:hAnsi="Times New Roman" w:cs="Times New Roman"/>
        </w:rPr>
        <w:t>contends</w:t>
      </w:r>
      <w:r w:rsidRPr="000D0092">
        <w:rPr>
          <w:rFonts w:ascii="Times New Roman" w:eastAsia="Times New Roman" w:hAnsi="Times New Roman" w:cs="Times New Roman"/>
        </w:rPr>
        <w:t xml:space="preserve"> ‘correlation is not destiny’.</w:t>
      </w:r>
      <w:r>
        <w:rPr>
          <w:rStyle w:val="FootnoteReference"/>
          <w:rFonts w:ascii="Times New Roman" w:eastAsia="Times New Roman" w:hAnsi="Times New Roman" w:cs="Times New Roman"/>
        </w:rPr>
        <w:footnoteReference w:id="64"/>
      </w:r>
      <w:r w:rsidRPr="000D0092">
        <w:rPr>
          <w:rFonts w:ascii="Times New Roman" w:eastAsia="Times New Roman" w:hAnsi="Times New Roman" w:cs="Times New Roman"/>
        </w:rPr>
        <w:t xml:space="preserve"> Indeed, it maybe that GIDS processes are so thorough </w:t>
      </w:r>
      <w:r w:rsidR="00B52B7D">
        <w:rPr>
          <w:rFonts w:ascii="Times New Roman" w:eastAsia="Times New Roman" w:hAnsi="Times New Roman" w:cs="Times New Roman"/>
        </w:rPr>
        <w:t xml:space="preserve">that only </w:t>
      </w:r>
      <w:r w:rsidRPr="000D0092">
        <w:rPr>
          <w:rFonts w:ascii="Times New Roman" w:eastAsia="Times New Roman" w:hAnsi="Times New Roman" w:cs="Times New Roman"/>
        </w:rPr>
        <w:t xml:space="preserve">the most persistent and severe cases of GD are prescribed PBs, and therefore evidence of </w:t>
      </w:r>
      <w:r w:rsidR="00B52B7D">
        <w:rPr>
          <w:rFonts w:ascii="Times New Roman" w:eastAsia="Times New Roman" w:hAnsi="Times New Roman" w:cs="Times New Roman"/>
        </w:rPr>
        <w:t xml:space="preserve">large percentages </w:t>
      </w:r>
      <w:r w:rsidRPr="000D0092">
        <w:rPr>
          <w:rFonts w:ascii="Times New Roman" w:eastAsia="Times New Roman" w:hAnsi="Times New Roman" w:cs="Times New Roman"/>
        </w:rPr>
        <w:t xml:space="preserve">continuing to CSH is validation that GIDS “got it right”. Second, the court </w:t>
      </w:r>
      <w:r w:rsidR="00B52B7D">
        <w:rPr>
          <w:rFonts w:ascii="Times New Roman" w:eastAsia="Times New Roman" w:hAnsi="Times New Roman" w:cs="Times New Roman"/>
        </w:rPr>
        <w:t xml:space="preserve">declined </w:t>
      </w:r>
      <w:r w:rsidRPr="000D0092">
        <w:rPr>
          <w:rFonts w:ascii="Times New Roman" w:eastAsia="Times New Roman" w:hAnsi="Times New Roman" w:cs="Times New Roman"/>
        </w:rPr>
        <w:t xml:space="preserve">to appreciate that only 16% of patients utilise the endocrine services, </w:t>
      </w:r>
      <w:r w:rsidR="00B52B7D">
        <w:rPr>
          <w:rFonts w:ascii="Times New Roman" w:eastAsia="Times New Roman" w:hAnsi="Times New Roman" w:cs="Times New Roman"/>
        </w:rPr>
        <w:t>with</w:t>
      </w:r>
      <w:r w:rsidRPr="000D0092">
        <w:rPr>
          <w:rFonts w:ascii="Times New Roman" w:eastAsia="Times New Roman" w:hAnsi="Times New Roman" w:cs="Times New Roman"/>
        </w:rPr>
        <w:t xml:space="preserve"> only 8.7% approved for CSH.</w:t>
      </w:r>
      <w:r>
        <w:rPr>
          <w:rStyle w:val="FootnoteReference"/>
          <w:rFonts w:ascii="Times New Roman" w:eastAsia="Times New Roman" w:hAnsi="Times New Roman" w:cs="Times New Roman"/>
        </w:rPr>
        <w:footnoteReference w:id="65"/>
      </w:r>
      <w:r w:rsidRPr="000D0092">
        <w:rPr>
          <w:rFonts w:ascii="Times New Roman" w:eastAsia="Times New Roman" w:hAnsi="Times New Roman" w:cs="Times New Roman"/>
        </w:rPr>
        <w:t xml:space="preserve"> GIDS stress that they are </w:t>
      </w:r>
      <w:r w:rsidRPr="000D0092">
        <w:rPr>
          <w:rFonts w:ascii="Times New Roman" w:hAnsi="Times New Roman" w:cs="Times New Roman"/>
        </w:rPr>
        <w:t>‘</w:t>
      </w:r>
      <w:r w:rsidRPr="000D0092">
        <w:rPr>
          <w:rFonts w:ascii="Times New Roman" w:eastAsia="Times New Roman" w:hAnsi="Times New Roman" w:cs="Times New Roman"/>
        </w:rPr>
        <w:t>primarily a psycho-social service’.</w:t>
      </w:r>
      <w:r>
        <w:rPr>
          <w:rStyle w:val="FootnoteReference"/>
          <w:rFonts w:ascii="Times New Roman" w:eastAsia="Times New Roman" w:hAnsi="Times New Roman" w:cs="Times New Roman"/>
        </w:rPr>
        <w:footnoteReference w:id="66"/>
      </w:r>
      <w:r w:rsidRPr="000D0092">
        <w:rPr>
          <w:rFonts w:ascii="Times New Roman" w:eastAsia="Times New Roman" w:hAnsi="Times New Roman" w:cs="Times New Roman"/>
        </w:rPr>
        <w:t xml:space="preserve"> Th</w:t>
      </w:r>
      <w:r w:rsidR="00FF062F">
        <w:rPr>
          <w:rFonts w:ascii="Times New Roman" w:eastAsia="Times New Roman" w:hAnsi="Times New Roman" w:cs="Times New Roman"/>
        </w:rPr>
        <w:t>is</w:t>
      </w:r>
      <w:r w:rsidRPr="000D0092">
        <w:rPr>
          <w:rFonts w:ascii="Times New Roman" w:eastAsia="Times New Roman" w:hAnsi="Times New Roman" w:cs="Times New Roman"/>
        </w:rPr>
        <w:t xml:space="preserve"> conflation </w:t>
      </w:r>
      <w:r w:rsidR="00FF062F">
        <w:rPr>
          <w:rFonts w:ascii="Times New Roman" w:eastAsia="Times New Roman" w:hAnsi="Times New Roman" w:cs="Times New Roman"/>
        </w:rPr>
        <w:t xml:space="preserve">aided </w:t>
      </w:r>
      <w:r w:rsidR="00CB4CBA">
        <w:rPr>
          <w:rFonts w:ascii="Times New Roman" w:eastAsia="Times New Roman" w:hAnsi="Times New Roman" w:cs="Times New Roman"/>
        </w:rPr>
        <w:t>categorisation</w:t>
      </w:r>
      <w:r w:rsidRPr="000D0092">
        <w:rPr>
          <w:rFonts w:ascii="Times New Roman" w:eastAsia="Times New Roman" w:hAnsi="Times New Roman" w:cs="Times New Roman"/>
        </w:rPr>
        <w:t xml:space="preserve"> of treatment as </w:t>
      </w:r>
      <w:r w:rsidRPr="000D0092">
        <w:rPr>
          <w:rFonts w:ascii="Times New Roman" w:hAnsi="Times New Roman" w:cs="Times New Roman"/>
        </w:rPr>
        <w:t>‘lifelong and lifechanging in the most fundamental way imaginable’ (…) which ‘goes to the heart of the individual’s identity</w:t>
      </w:r>
      <w:r w:rsidR="00FF062F">
        <w:rPr>
          <w:rFonts w:ascii="Times New Roman" w:hAnsi="Times New Roman" w:cs="Times New Roman"/>
        </w:rPr>
        <w:t>’</w:t>
      </w:r>
      <w:r w:rsidRPr="000D0092">
        <w:rPr>
          <w:rFonts w:ascii="Times New Roman" w:hAnsi="Times New Roman" w:cs="Times New Roman"/>
        </w:rPr>
        <w:t>.</w:t>
      </w:r>
      <w:r>
        <w:rPr>
          <w:rStyle w:val="FootnoteReference"/>
          <w:rFonts w:ascii="Times New Roman" w:hAnsi="Times New Roman" w:cs="Times New Roman"/>
        </w:rPr>
        <w:footnoteReference w:id="67"/>
      </w:r>
      <w:r w:rsidRPr="000D0092">
        <w:rPr>
          <w:rFonts w:ascii="Times New Roman" w:hAnsi="Times New Roman" w:cs="Times New Roman"/>
        </w:rPr>
        <w:t xml:space="preserve"> </w:t>
      </w:r>
    </w:p>
    <w:p w14:paraId="2E1E719A" w14:textId="77777777" w:rsidR="00112909" w:rsidRDefault="00112909" w:rsidP="00082BED">
      <w:pPr>
        <w:rPr>
          <w:rFonts w:ascii="Times New Roman" w:eastAsia="Times New Roman" w:hAnsi="Times New Roman" w:cs="Times New Roman"/>
        </w:rPr>
      </w:pPr>
    </w:p>
    <w:p w14:paraId="5BEE2F02" w14:textId="60F8DCD0" w:rsidR="007675B5" w:rsidRDefault="007675B5" w:rsidP="007675B5">
      <w:pPr>
        <w:pStyle w:val="ListParagraph"/>
        <w:numPr>
          <w:ilvl w:val="0"/>
          <w:numId w:val="4"/>
        </w:numPr>
        <w:jc w:val="center"/>
        <w:rPr>
          <w:rFonts w:ascii="Times New Roman" w:hAnsi="Times New Roman" w:cs="Times New Roman"/>
          <w:i/>
          <w:iCs/>
          <w:u w:val="single"/>
        </w:rPr>
      </w:pPr>
      <w:r w:rsidRPr="007675B5">
        <w:rPr>
          <w:rFonts w:ascii="Times New Roman" w:hAnsi="Times New Roman" w:cs="Times New Roman"/>
          <w:i/>
          <w:iCs/>
          <w:u w:val="single"/>
        </w:rPr>
        <w:t>Experimental Treatment</w:t>
      </w:r>
    </w:p>
    <w:p w14:paraId="3E5C1DF3" w14:textId="579442EF" w:rsidR="00D862A4" w:rsidRPr="00D862A4" w:rsidRDefault="007D7C5D" w:rsidP="00D862A4">
      <w:pPr>
        <w:rPr>
          <w:rFonts w:ascii="Times New Roman" w:eastAsia="Times New Roman" w:hAnsi="Times New Roman" w:cs="Times New Roman"/>
        </w:rPr>
      </w:pPr>
      <w:r>
        <w:rPr>
          <w:rFonts w:ascii="Times New Roman" w:hAnsi="Times New Roman" w:cs="Times New Roman"/>
          <w:color w:val="000000" w:themeColor="text1"/>
        </w:rPr>
        <w:t>The</w:t>
      </w:r>
      <w:r w:rsidR="00987053">
        <w:rPr>
          <w:rFonts w:ascii="Times New Roman" w:hAnsi="Times New Roman" w:cs="Times New Roman"/>
          <w:color w:val="000000" w:themeColor="text1"/>
        </w:rPr>
        <w:t xml:space="preserve"> factor that </w:t>
      </w:r>
      <w:r w:rsidR="00987053" w:rsidRPr="00D862A4">
        <w:rPr>
          <w:rFonts w:ascii="Times New Roman" w:hAnsi="Times New Roman" w:cs="Times New Roman"/>
          <w:color w:val="000000" w:themeColor="text1"/>
        </w:rPr>
        <w:t>had the most impact on the final outcome of the case</w:t>
      </w:r>
      <w:r w:rsidR="00987053">
        <w:rPr>
          <w:rFonts w:ascii="Times New Roman" w:hAnsi="Times New Roman" w:cs="Times New Roman"/>
          <w:color w:val="000000" w:themeColor="text1"/>
        </w:rPr>
        <w:t xml:space="preserve"> was the</w:t>
      </w:r>
      <w:r>
        <w:rPr>
          <w:rFonts w:ascii="Times New Roman" w:hAnsi="Times New Roman" w:cs="Times New Roman"/>
          <w:color w:val="000000" w:themeColor="text1"/>
        </w:rPr>
        <w:t xml:space="preserve"> court a</w:t>
      </w:r>
      <w:r w:rsidR="00D862A4" w:rsidRPr="00D862A4">
        <w:rPr>
          <w:rFonts w:ascii="Times New Roman" w:hAnsi="Times New Roman" w:cs="Times New Roman"/>
          <w:color w:val="000000" w:themeColor="text1"/>
        </w:rPr>
        <w:t xml:space="preserve">greeing with the claimants’ argument that the administration of </w:t>
      </w:r>
      <w:r w:rsidR="00D862A4" w:rsidRPr="00D862A4">
        <w:rPr>
          <w:rFonts w:ascii="Times New Roman" w:hAnsi="Times New Roman" w:cs="Times New Roman"/>
        </w:rPr>
        <w:t>PBs is a treatment which is experimental, with a very limited evidence-base, and highly controversial</w:t>
      </w:r>
      <w:r w:rsidR="00987053">
        <w:rPr>
          <w:rFonts w:ascii="Times New Roman" w:hAnsi="Times New Roman" w:cs="Times New Roman"/>
        </w:rPr>
        <w:t>.</w:t>
      </w:r>
      <w:r w:rsidR="00D862A4">
        <w:rPr>
          <w:rStyle w:val="FootnoteReference"/>
          <w:rFonts w:ascii="Times New Roman" w:hAnsi="Times New Roman" w:cs="Times New Roman"/>
        </w:rPr>
        <w:footnoteReference w:id="68"/>
      </w:r>
      <w:r w:rsidR="00D862A4" w:rsidRPr="00D862A4">
        <w:rPr>
          <w:rFonts w:ascii="Times New Roman" w:hAnsi="Times New Roman" w:cs="Times New Roman"/>
        </w:rPr>
        <w:t xml:space="preserve"> Lieven J in </w:t>
      </w:r>
      <w:r w:rsidR="00D862A4" w:rsidRPr="00D862A4">
        <w:rPr>
          <w:rFonts w:ascii="Times New Roman" w:hAnsi="Times New Roman" w:cs="Times New Roman"/>
          <w:i/>
          <w:iCs/>
        </w:rPr>
        <w:t>AB</w:t>
      </w:r>
      <w:r w:rsidR="00D862A4" w:rsidRPr="00D862A4">
        <w:rPr>
          <w:rFonts w:ascii="Times New Roman" w:hAnsi="Times New Roman" w:cs="Times New Roman"/>
        </w:rPr>
        <w:t xml:space="preserve"> also noted </w:t>
      </w:r>
      <w:r w:rsidR="00D862A4" w:rsidRPr="00D862A4">
        <w:rPr>
          <w:rFonts w:ascii="Times New Roman" w:hAnsi="Times New Roman" w:cs="Times New Roman"/>
          <w:i/>
          <w:iCs/>
        </w:rPr>
        <w:t>Bell</w:t>
      </w:r>
      <w:r w:rsidR="00FF062F">
        <w:rPr>
          <w:rFonts w:ascii="Times New Roman" w:hAnsi="Times New Roman" w:cs="Times New Roman"/>
          <w:i/>
          <w:iCs/>
        </w:rPr>
        <w:t xml:space="preserve">’s </w:t>
      </w:r>
      <w:r w:rsidR="00FF062F" w:rsidRPr="00FF062F">
        <w:rPr>
          <w:rFonts w:ascii="Times New Roman" w:hAnsi="Times New Roman" w:cs="Times New Roman"/>
        </w:rPr>
        <w:t>analysis</w:t>
      </w:r>
      <w:r w:rsidR="00FF062F">
        <w:rPr>
          <w:rFonts w:ascii="Times New Roman" w:hAnsi="Times New Roman" w:cs="Times New Roman"/>
        </w:rPr>
        <w:t xml:space="preserve"> on this</w:t>
      </w:r>
      <w:r w:rsidR="00D862A4" w:rsidRPr="00FF062F">
        <w:rPr>
          <w:rFonts w:ascii="Times New Roman" w:hAnsi="Times New Roman" w:cs="Times New Roman"/>
        </w:rPr>
        <w:t xml:space="preserve"> </w:t>
      </w:r>
      <w:r w:rsidR="00D862A4" w:rsidRPr="00D862A4">
        <w:rPr>
          <w:rFonts w:ascii="Times New Roman" w:hAnsi="Times New Roman" w:cs="Times New Roman"/>
        </w:rPr>
        <w:t>was ‘highly relevant’.</w:t>
      </w:r>
      <w:r w:rsidR="00D862A4">
        <w:rPr>
          <w:rStyle w:val="FootnoteReference"/>
          <w:rFonts w:ascii="Times New Roman" w:hAnsi="Times New Roman" w:cs="Times New Roman"/>
        </w:rPr>
        <w:footnoteReference w:id="69"/>
      </w:r>
      <w:r w:rsidR="00D862A4" w:rsidRPr="00D862A4">
        <w:rPr>
          <w:rFonts w:ascii="Times New Roman" w:hAnsi="Times New Roman" w:cs="Times New Roman"/>
        </w:rPr>
        <w:t xml:space="preserve"> </w:t>
      </w:r>
      <w:r w:rsidR="00D862A4" w:rsidRPr="00D862A4">
        <w:rPr>
          <w:rFonts w:ascii="Times New Roman" w:eastAsia="Times New Roman" w:hAnsi="Times New Roman" w:cs="Times New Roman"/>
        </w:rPr>
        <w:t xml:space="preserve">Yet, it is difficult to see how PBs are rightly categorised as “experimental”. As Duffy </w:t>
      </w:r>
      <w:r w:rsidR="00987053">
        <w:rPr>
          <w:rFonts w:ascii="Times New Roman" w:eastAsia="Times New Roman" w:hAnsi="Times New Roman" w:cs="Times New Roman"/>
        </w:rPr>
        <w:t>explains</w:t>
      </w:r>
      <w:r w:rsidR="00D862A4" w:rsidRPr="00D862A4">
        <w:rPr>
          <w:rFonts w:ascii="Times New Roman" w:eastAsia="Times New Roman" w:hAnsi="Times New Roman" w:cs="Times New Roman"/>
        </w:rPr>
        <w:t xml:space="preserve"> ‘the international evidence base </w:t>
      </w:r>
      <w:r w:rsidR="00D862A4" w:rsidRPr="00D862A4">
        <w:rPr>
          <w:rFonts w:ascii="Times New Roman" w:eastAsia="Times New Roman" w:hAnsi="Times New Roman" w:cs="Times New Roman"/>
        </w:rPr>
        <w:lastRenderedPageBreak/>
        <w:t>for their use shows them to be both safe and reversible’.</w:t>
      </w:r>
      <w:r w:rsidR="00D862A4">
        <w:rPr>
          <w:rStyle w:val="FootnoteReference"/>
          <w:rFonts w:ascii="Times New Roman" w:eastAsia="Times New Roman" w:hAnsi="Times New Roman" w:cs="Times New Roman"/>
        </w:rPr>
        <w:footnoteReference w:id="70"/>
      </w:r>
      <w:r w:rsidR="00D862A4" w:rsidRPr="00D862A4">
        <w:rPr>
          <w:rFonts w:ascii="Times New Roman" w:eastAsia="Times New Roman" w:hAnsi="Times New Roman" w:cs="Times New Roman"/>
        </w:rPr>
        <w:t xml:space="preserve"> Giordano and Holm’s persuasive rebuttal demonstrates PB’s long history of use in children with endometriosis and precocious puberty, and that professional guidance for GD has existed for over 20 years.</w:t>
      </w:r>
      <w:r w:rsidR="00D862A4">
        <w:rPr>
          <w:rStyle w:val="FootnoteReference"/>
          <w:rFonts w:ascii="Times New Roman" w:eastAsia="Times New Roman" w:hAnsi="Times New Roman" w:cs="Times New Roman"/>
        </w:rPr>
        <w:footnoteReference w:id="71"/>
      </w:r>
      <w:r w:rsidR="00D862A4" w:rsidRPr="00D862A4">
        <w:rPr>
          <w:rFonts w:ascii="Times New Roman" w:eastAsia="Times New Roman" w:hAnsi="Times New Roman" w:cs="Times New Roman"/>
        </w:rPr>
        <w:t xml:space="preserve"> They explore, and dismiss, objections raised in the case including PBs being “off label” and unknown long-term effects.</w:t>
      </w:r>
      <w:r w:rsidR="00D862A4">
        <w:rPr>
          <w:rStyle w:val="FootnoteReference"/>
          <w:rFonts w:ascii="Times New Roman" w:eastAsia="Times New Roman" w:hAnsi="Times New Roman" w:cs="Times New Roman"/>
        </w:rPr>
        <w:footnoteReference w:id="72"/>
      </w:r>
      <w:r w:rsidR="00D862A4" w:rsidRPr="00D862A4">
        <w:rPr>
          <w:rFonts w:ascii="Times New Roman" w:eastAsia="Times New Roman" w:hAnsi="Times New Roman" w:cs="Times New Roman"/>
        </w:rPr>
        <w:t xml:space="preserve"> In </w:t>
      </w:r>
      <w:r w:rsidR="00D862A4" w:rsidRPr="00D862A4">
        <w:rPr>
          <w:rFonts w:ascii="Times New Roman" w:eastAsia="Times New Roman" w:hAnsi="Times New Roman" w:cs="Times New Roman"/>
          <w:i/>
          <w:iCs/>
        </w:rPr>
        <w:t>Bell</w:t>
      </w:r>
      <w:r w:rsidR="00D862A4" w:rsidRPr="00D862A4">
        <w:rPr>
          <w:rFonts w:ascii="Times New Roman" w:eastAsia="Times New Roman" w:hAnsi="Times New Roman" w:cs="Times New Roman"/>
        </w:rPr>
        <w:t>, Professor Butler for UCLH contended that</w:t>
      </w:r>
      <w:r>
        <w:rPr>
          <w:rFonts w:ascii="Times New Roman" w:eastAsia="Times New Roman" w:hAnsi="Times New Roman" w:cs="Times New Roman"/>
        </w:rPr>
        <w:t xml:space="preserve"> use of “off-label”</w:t>
      </w:r>
      <w:r w:rsidR="00D862A4" w:rsidRPr="00D862A4">
        <w:rPr>
          <w:rFonts w:ascii="Times New Roman" w:eastAsia="Times New Roman" w:hAnsi="Times New Roman" w:cs="Times New Roman"/>
        </w:rPr>
        <w:t xml:space="preserve"> paediatric treatments </w:t>
      </w:r>
      <w:r>
        <w:rPr>
          <w:rFonts w:ascii="Times New Roman" w:eastAsia="Times New Roman" w:hAnsi="Times New Roman" w:cs="Times New Roman"/>
        </w:rPr>
        <w:t>was common</w:t>
      </w:r>
      <w:r w:rsidR="00D862A4" w:rsidRPr="00D862A4">
        <w:rPr>
          <w:rFonts w:ascii="Times New Roman" w:eastAsia="Times New Roman" w:hAnsi="Times New Roman" w:cs="Times New Roman"/>
        </w:rPr>
        <w:t>,</w:t>
      </w:r>
      <w:r w:rsidR="00D862A4">
        <w:rPr>
          <w:rStyle w:val="FootnoteReference"/>
          <w:rFonts w:ascii="Times New Roman" w:eastAsia="Times New Roman" w:hAnsi="Times New Roman" w:cs="Times New Roman"/>
        </w:rPr>
        <w:footnoteReference w:id="73"/>
      </w:r>
      <w:r w:rsidR="00D862A4" w:rsidRPr="00D862A4">
        <w:rPr>
          <w:rFonts w:ascii="Times New Roman" w:eastAsia="Times New Roman" w:hAnsi="Times New Roman" w:cs="Times New Roman"/>
        </w:rPr>
        <w:t xml:space="preserve"> and Giordano and Holm confirm that </w:t>
      </w:r>
      <w:proofErr w:type="spellStart"/>
      <w:r w:rsidR="00D862A4" w:rsidRPr="00D862A4">
        <w:rPr>
          <w:rFonts w:ascii="Times New Roman" w:eastAsia="Times New Roman" w:hAnsi="Times New Roman" w:cs="Times New Roman"/>
        </w:rPr>
        <w:t>unlicenced</w:t>
      </w:r>
      <w:proofErr w:type="spellEnd"/>
      <w:r w:rsidR="00D862A4" w:rsidRPr="00D862A4">
        <w:rPr>
          <w:rFonts w:ascii="Times New Roman" w:eastAsia="Times New Roman" w:hAnsi="Times New Roman" w:cs="Times New Roman"/>
        </w:rPr>
        <w:t xml:space="preserve"> does not mean unevidenced</w:t>
      </w:r>
      <w:r>
        <w:rPr>
          <w:rFonts w:ascii="Times New Roman" w:eastAsia="Times New Roman" w:hAnsi="Times New Roman" w:cs="Times New Roman"/>
        </w:rPr>
        <w:t>.</w:t>
      </w:r>
      <w:r w:rsidR="00D862A4" w:rsidRPr="00D862A4">
        <w:rPr>
          <w:rFonts w:ascii="Times New Roman" w:eastAsia="Times New Roman" w:hAnsi="Times New Roman" w:cs="Times New Roman"/>
        </w:rPr>
        <w:t xml:space="preserve"> </w:t>
      </w:r>
      <w:r>
        <w:rPr>
          <w:rFonts w:ascii="Times New Roman" w:eastAsia="Times New Roman" w:hAnsi="Times New Roman" w:cs="Times New Roman"/>
        </w:rPr>
        <w:t>Instead,</w:t>
      </w:r>
      <w:r w:rsidR="00D862A4" w:rsidRPr="00D862A4">
        <w:rPr>
          <w:rFonts w:ascii="Times New Roman" w:eastAsia="Times New Roman" w:hAnsi="Times New Roman" w:cs="Times New Roman"/>
        </w:rPr>
        <w:t xml:space="preserve"> </w:t>
      </w:r>
      <w:r w:rsidR="001B5685">
        <w:rPr>
          <w:rFonts w:ascii="Times New Roman" w:eastAsia="Times New Roman" w:hAnsi="Times New Roman" w:cs="Times New Roman"/>
        </w:rPr>
        <w:t>doctors</w:t>
      </w:r>
      <w:r w:rsidR="00D862A4" w:rsidRPr="00D862A4">
        <w:rPr>
          <w:rFonts w:ascii="Times New Roman" w:eastAsia="Times New Roman" w:hAnsi="Times New Roman" w:cs="Times New Roman"/>
        </w:rPr>
        <w:t xml:space="preserve"> employ “ethical prescribing” to determine patient benefit</w:t>
      </w:r>
      <w:r>
        <w:rPr>
          <w:rFonts w:ascii="Times New Roman" w:eastAsia="Times New Roman" w:hAnsi="Times New Roman" w:cs="Times New Roman"/>
        </w:rPr>
        <w:t>.</w:t>
      </w:r>
      <w:r w:rsidR="00D862A4" w:rsidRPr="00D862A4">
        <w:rPr>
          <w:rStyle w:val="FootnoteReference"/>
          <w:rFonts w:ascii="Times New Roman" w:eastAsia="Times New Roman" w:hAnsi="Times New Roman" w:cs="Times New Roman"/>
        </w:rPr>
        <w:t xml:space="preserve"> </w:t>
      </w:r>
      <w:r w:rsidR="00D862A4">
        <w:rPr>
          <w:rStyle w:val="FootnoteReference"/>
          <w:rFonts w:ascii="Times New Roman" w:eastAsia="Times New Roman" w:hAnsi="Times New Roman" w:cs="Times New Roman"/>
        </w:rPr>
        <w:footnoteReference w:id="74"/>
      </w:r>
      <w:r w:rsidR="00D862A4" w:rsidRPr="00D862A4">
        <w:rPr>
          <w:rFonts w:ascii="Times New Roman" w:eastAsia="Times New Roman" w:hAnsi="Times New Roman" w:cs="Times New Roman"/>
        </w:rPr>
        <w:t xml:space="preserve"> They also reject the label of “experimental” merely because of unknown long-term effects, for example on bone-density or reproductive capability, </w:t>
      </w:r>
      <w:r>
        <w:rPr>
          <w:rFonts w:ascii="Times New Roman" w:eastAsia="Times New Roman" w:hAnsi="Times New Roman" w:cs="Times New Roman"/>
        </w:rPr>
        <w:t xml:space="preserve">as most drugs have unknown </w:t>
      </w:r>
      <w:r w:rsidR="00D862A4" w:rsidRPr="00D862A4">
        <w:rPr>
          <w:rFonts w:ascii="Times New Roman" w:eastAsia="Times New Roman" w:hAnsi="Times New Roman" w:cs="Times New Roman"/>
        </w:rPr>
        <w:t xml:space="preserve">long-term effects </w:t>
      </w:r>
      <w:r>
        <w:rPr>
          <w:rFonts w:ascii="Times New Roman" w:eastAsia="Times New Roman" w:hAnsi="Times New Roman" w:cs="Times New Roman"/>
        </w:rPr>
        <w:t xml:space="preserve">when initially marketed. </w:t>
      </w:r>
      <w:r w:rsidR="00D862A4" w:rsidRPr="00D862A4">
        <w:rPr>
          <w:rFonts w:ascii="Times New Roman" w:eastAsia="Times New Roman" w:hAnsi="Times New Roman" w:cs="Times New Roman"/>
        </w:rPr>
        <w:t xml:space="preserve">Nor </w:t>
      </w:r>
      <w:r>
        <w:rPr>
          <w:rFonts w:ascii="Times New Roman" w:eastAsia="Times New Roman" w:hAnsi="Times New Roman" w:cs="Times New Roman"/>
        </w:rPr>
        <w:t>can individual responses be predicted, or</w:t>
      </w:r>
      <w:r w:rsidR="00D862A4" w:rsidRPr="00D862A4">
        <w:rPr>
          <w:rFonts w:ascii="Times New Roman" w:eastAsia="Times New Roman" w:hAnsi="Times New Roman" w:cs="Times New Roman"/>
        </w:rPr>
        <w:t xml:space="preserve"> effects of PBs</w:t>
      </w:r>
      <w:r>
        <w:rPr>
          <w:rFonts w:ascii="Times New Roman" w:eastAsia="Times New Roman" w:hAnsi="Times New Roman" w:cs="Times New Roman"/>
        </w:rPr>
        <w:t xml:space="preserve"> be disentangled</w:t>
      </w:r>
      <w:r w:rsidR="00D862A4" w:rsidRPr="00D862A4">
        <w:rPr>
          <w:rFonts w:ascii="Times New Roman" w:eastAsia="Times New Roman" w:hAnsi="Times New Roman" w:cs="Times New Roman"/>
        </w:rPr>
        <w:t xml:space="preserve"> from those of other life-style or health factor</w:t>
      </w:r>
      <w:r>
        <w:rPr>
          <w:rFonts w:ascii="Times New Roman" w:eastAsia="Times New Roman" w:hAnsi="Times New Roman" w:cs="Times New Roman"/>
        </w:rPr>
        <w:t>s.</w:t>
      </w:r>
      <w:r w:rsidR="00D862A4">
        <w:rPr>
          <w:rStyle w:val="FootnoteReference"/>
          <w:rFonts w:ascii="Times New Roman" w:eastAsia="Times New Roman" w:hAnsi="Times New Roman" w:cs="Times New Roman"/>
        </w:rPr>
        <w:footnoteReference w:id="75"/>
      </w:r>
    </w:p>
    <w:p w14:paraId="6EF5D787" w14:textId="0DB5B0E4" w:rsidR="00D862A4" w:rsidRPr="00D862A4" w:rsidRDefault="00D862A4" w:rsidP="00D862A4">
      <w:pPr>
        <w:ind w:firstLine="360"/>
        <w:rPr>
          <w:rFonts w:ascii="Times New Roman" w:eastAsia="Times New Roman" w:hAnsi="Times New Roman" w:cs="Times New Roman"/>
          <w:color w:val="000000" w:themeColor="text1"/>
        </w:rPr>
      </w:pPr>
      <w:r w:rsidRPr="00D862A4">
        <w:rPr>
          <w:rFonts w:ascii="Times New Roman" w:eastAsia="Times New Roman" w:hAnsi="Times New Roman" w:cs="Times New Roman"/>
        </w:rPr>
        <w:t xml:space="preserve">There is a precedent for a different approach to experimental treatment. In </w:t>
      </w:r>
      <w:r w:rsidRPr="00D862A4">
        <w:rPr>
          <w:rFonts w:ascii="Times New Roman" w:eastAsia="Times New Roman" w:hAnsi="Times New Roman" w:cs="Times New Roman"/>
          <w:i/>
          <w:iCs/>
        </w:rPr>
        <w:t xml:space="preserve">Simms v Simms, </w:t>
      </w:r>
      <w:r w:rsidRPr="00D862A4">
        <w:rPr>
          <w:rFonts w:ascii="Times New Roman" w:eastAsia="Times New Roman" w:hAnsi="Times New Roman" w:cs="Times New Roman"/>
        </w:rPr>
        <w:t xml:space="preserve">the administration of truly experimental treatment to two </w:t>
      </w:r>
      <w:proofErr w:type="spellStart"/>
      <w:r w:rsidRPr="00D862A4">
        <w:rPr>
          <w:rFonts w:ascii="Times New Roman" w:eastAsia="Times New Roman" w:hAnsi="Times New Roman" w:cs="Times New Roman"/>
        </w:rPr>
        <w:t>incapacitous</w:t>
      </w:r>
      <w:proofErr w:type="spellEnd"/>
      <w:r w:rsidRPr="00D862A4">
        <w:rPr>
          <w:rFonts w:ascii="Times New Roman" w:eastAsia="Times New Roman" w:hAnsi="Times New Roman" w:cs="Times New Roman"/>
        </w:rPr>
        <w:t xml:space="preserve"> teenagers suffering from </w:t>
      </w:r>
      <w:proofErr w:type="spellStart"/>
      <w:r w:rsidRPr="00D862A4">
        <w:rPr>
          <w:rFonts w:ascii="Times New Roman" w:eastAsia="Times New Roman" w:hAnsi="Times New Roman" w:cs="Times New Roman"/>
        </w:rPr>
        <w:t>vCJD</w:t>
      </w:r>
      <w:proofErr w:type="spellEnd"/>
      <w:r w:rsidRPr="00D862A4">
        <w:rPr>
          <w:rFonts w:ascii="Times New Roman" w:eastAsia="Times New Roman" w:hAnsi="Times New Roman" w:cs="Times New Roman"/>
        </w:rPr>
        <w:t>, was justified by contending that ‘a patient who is not able to consent to pioneering treatment ought not to be deprived of the chance (…)’.</w:t>
      </w:r>
      <w:r>
        <w:rPr>
          <w:rStyle w:val="FootnoteReference"/>
          <w:rFonts w:ascii="Times New Roman" w:eastAsia="Times New Roman" w:hAnsi="Times New Roman" w:cs="Times New Roman"/>
        </w:rPr>
        <w:footnoteReference w:id="76"/>
      </w:r>
      <w:r w:rsidRPr="00D862A4">
        <w:rPr>
          <w:rFonts w:ascii="Times New Roman" w:eastAsia="Times New Roman" w:hAnsi="Times New Roman" w:cs="Times New Roman"/>
        </w:rPr>
        <w:t xml:space="preserve"> In the adult context, </w:t>
      </w:r>
      <w:r w:rsidRPr="00D862A4">
        <w:rPr>
          <w:rFonts w:ascii="Times New Roman" w:eastAsia="Times New Roman" w:hAnsi="Times New Roman" w:cs="Times New Roman"/>
          <w:i/>
          <w:iCs/>
        </w:rPr>
        <w:t xml:space="preserve">UCLH &amp; </w:t>
      </w:r>
      <w:proofErr w:type="spellStart"/>
      <w:r w:rsidRPr="00D862A4">
        <w:rPr>
          <w:rFonts w:ascii="Times New Roman" w:eastAsia="Times New Roman" w:hAnsi="Times New Roman" w:cs="Times New Roman"/>
          <w:i/>
          <w:iCs/>
        </w:rPr>
        <w:t>Ors</w:t>
      </w:r>
      <w:proofErr w:type="spellEnd"/>
      <w:r w:rsidRPr="00D862A4">
        <w:rPr>
          <w:rFonts w:ascii="Times New Roman" w:eastAsia="Times New Roman" w:hAnsi="Times New Roman" w:cs="Times New Roman"/>
          <w:i/>
          <w:iCs/>
        </w:rPr>
        <w:t xml:space="preserve"> v KG</w:t>
      </w:r>
      <w:r w:rsidRPr="00D862A4">
        <w:rPr>
          <w:rFonts w:ascii="Times New Roman" w:eastAsia="Times New Roman" w:hAnsi="Times New Roman" w:cs="Times New Roman"/>
        </w:rPr>
        <w:t xml:space="preserve"> authorised the use of novel treatment PRN100 for a middle-aged man with CJD.</w:t>
      </w:r>
      <w:r>
        <w:rPr>
          <w:rStyle w:val="FootnoteReference"/>
          <w:rFonts w:ascii="Times New Roman" w:eastAsia="Times New Roman" w:hAnsi="Times New Roman" w:cs="Times New Roman"/>
        </w:rPr>
        <w:footnoteReference w:id="77"/>
      </w:r>
      <w:r w:rsidRPr="00D862A4">
        <w:rPr>
          <w:rFonts w:ascii="Times New Roman" w:eastAsia="Times New Roman" w:hAnsi="Times New Roman" w:cs="Times New Roman"/>
        </w:rPr>
        <w:t xml:space="preserve"> However, </w:t>
      </w:r>
      <w:r w:rsidRPr="00D862A4">
        <w:rPr>
          <w:rFonts w:ascii="Times New Roman" w:eastAsia="Times New Roman" w:hAnsi="Times New Roman" w:cs="Times New Roman"/>
          <w:color w:val="000000" w:themeColor="text1"/>
        </w:rPr>
        <w:t xml:space="preserve">Lieven J in </w:t>
      </w:r>
      <w:r w:rsidRPr="00D862A4">
        <w:rPr>
          <w:rFonts w:ascii="Times New Roman" w:eastAsia="Times New Roman" w:hAnsi="Times New Roman" w:cs="Times New Roman"/>
          <w:i/>
          <w:iCs/>
          <w:color w:val="000000" w:themeColor="text1"/>
        </w:rPr>
        <w:t xml:space="preserve">AB </w:t>
      </w:r>
      <w:r w:rsidRPr="00D862A4">
        <w:rPr>
          <w:rFonts w:ascii="Times New Roman" w:eastAsia="Times New Roman" w:hAnsi="Times New Roman" w:cs="Times New Roman"/>
          <w:color w:val="000000" w:themeColor="text1"/>
        </w:rPr>
        <w:t>rejected these cases as being unhelpful, as they involved fatal conditions with no alternative treatment. She claimed that PBs raised different issues, ‘[</w:t>
      </w:r>
      <w:proofErr w:type="spellStart"/>
      <w:r w:rsidRPr="00D862A4">
        <w:rPr>
          <w:rFonts w:ascii="Times New Roman" w:eastAsia="Times New Roman" w:hAnsi="Times New Roman" w:cs="Times New Roman"/>
          <w:color w:val="000000" w:themeColor="text1"/>
        </w:rPr>
        <w:t>i</w:t>
      </w:r>
      <w:proofErr w:type="spellEnd"/>
      <w:r w:rsidRPr="00D862A4">
        <w:rPr>
          <w:rFonts w:ascii="Times New Roman" w:eastAsia="Times New Roman" w:hAnsi="Times New Roman" w:cs="Times New Roman"/>
          <w:color w:val="000000" w:themeColor="text1"/>
        </w:rPr>
        <w:t>]n particular, the child is not facing a terminal illness, and the treatment has life-changing and life-long consequences, the implications of which are not fully understood’.</w:t>
      </w:r>
      <w:r>
        <w:rPr>
          <w:rStyle w:val="FootnoteReference"/>
          <w:rFonts w:ascii="Times New Roman" w:eastAsia="Times New Roman" w:hAnsi="Times New Roman" w:cs="Times New Roman"/>
          <w:color w:val="000000" w:themeColor="text1"/>
        </w:rPr>
        <w:footnoteReference w:id="78"/>
      </w:r>
      <w:r w:rsidRPr="00D862A4">
        <w:rPr>
          <w:rFonts w:ascii="Times New Roman" w:eastAsia="Times New Roman" w:hAnsi="Times New Roman" w:cs="Times New Roman"/>
          <w:color w:val="000000" w:themeColor="text1"/>
        </w:rPr>
        <w:t xml:space="preserve"> </w:t>
      </w:r>
      <w:r w:rsidR="00F41F40">
        <w:rPr>
          <w:rFonts w:ascii="Times New Roman" w:eastAsia="Times New Roman" w:hAnsi="Times New Roman" w:cs="Times New Roman"/>
          <w:color w:val="000000" w:themeColor="text1"/>
        </w:rPr>
        <w:t xml:space="preserve">This assessment </w:t>
      </w:r>
      <w:r w:rsidR="00F41F40" w:rsidRPr="00D862A4">
        <w:rPr>
          <w:rFonts w:ascii="Times New Roman" w:eastAsia="Times New Roman" w:hAnsi="Times New Roman" w:cs="Times New Roman"/>
          <w:color w:val="000000" w:themeColor="text1"/>
        </w:rPr>
        <w:t xml:space="preserve">shows the same conflation with CSH as seen in </w:t>
      </w:r>
      <w:r w:rsidR="00F41F40" w:rsidRPr="00D862A4">
        <w:rPr>
          <w:rFonts w:ascii="Times New Roman" w:eastAsia="Times New Roman" w:hAnsi="Times New Roman" w:cs="Times New Roman"/>
          <w:i/>
          <w:iCs/>
          <w:color w:val="000000" w:themeColor="text1"/>
        </w:rPr>
        <w:t xml:space="preserve">Bell. </w:t>
      </w:r>
      <w:r w:rsidRPr="00D862A4">
        <w:rPr>
          <w:rFonts w:ascii="Times New Roman" w:eastAsia="Times New Roman" w:hAnsi="Times New Roman" w:cs="Times New Roman"/>
          <w:color w:val="000000" w:themeColor="text1"/>
        </w:rPr>
        <w:t>Whilst true that GD is not fatal in the sense that CJD is, nor are PBs “experimental” in the sense that PRN-100 is. Lieven J</w:t>
      </w:r>
      <w:r w:rsidR="007D7C5D">
        <w:rPr>
          <w:rFonts w:ascii="Times New Roman" w:eastAsia="Times New Roman" w:hAnsi="Times New Roman" w:cs="Times New Roman"/>
          <w:color w:val="000000" w:themeColor="text1"/>
        </w:rPr>
        <w:t>’s appraisal</w:t>
      </w:r>
      <w:r w:rsidRPr="00D862A4">
        <w:rPr>
          <w:rFonts w:ascii="Times New Roman" w:eastAsia="Times New Roman" w:hAnsi="Times New Roman" w:cs="Times New Roman"/>
          <w:color w:val="000000" w:themeColor="text1"/>
        </w:rPr>
        <w:t xml:space="preserve"> reveals a lack of insight into both the nature of GD and the purpose of PBs. Aside from psychological therapy, there is no alternative treatment. The level of suicidal ideation means that untreated severe GD can be fatal.</w:t>
      </w:r>
      <w:r>
        <w:rPr>
          <w:rStyle w:val="FootnoteReference"/>
          <w:rFonts w:ascii="Times New Roman" w:eastAsia="Times New Roman" w:hAnsi="Times New Roman" w:cs="Times New Roman"/>
          <w:color w:val="000000" w:themeColor="text1"/>
        </w:rPr>
        <w:footnoteReference w:id="79"/>
      </w:r>
      <w:r w:rsidRPr="00D862A4">
        <w:rPr>
          <w:rFonts w:ascii="Times New Roman" w:eastAsia="Times New Roman" w:hAnsi="Times New Roman" w:cs="Times New Roman"/>
          <w:color w:val="000000" w:themeColor="text1"/>
        </w:rPr>
        <w:t xml:space="preserve"> </w:t>
      </w:r>
      <w:r w:rsidRPr="00D862A4">
        <w:rPr>
          <w:rFonts w:ascii="Times New Roman" w:eastAsia="Times New Roman" w:hAnsi="Times New Roman" w:cs="Times New Roman"/>
        </w:rPr>
        <w:t xml:space="preserve">I agree with Fletcher, even if PBs </w:t>
      </w:r>
      <w:r w:rsidRPr="00D862A4">
        <w:rPr>
          <w:rFonts w:ascii="Times New Roman" w:eastAsia="Times New Roman" w:hAnsi="Times New Roman" w:cs="Times New Roman"/>
          <w:i/>
          <w:iCs/>
        </w:rPr>
        <w:t>are</w:t>
      </w:r>
      <w:r w:rsidRPr="00D862A4">
        <w:rPr>
          <w:rFonts w:ascii="Times New Roman" w:eastAsia="Times New Roman" w:hAnsi="Times New Roman" w:cs="Times New Roman"/>
        </w:rPr>
        <w:t xml:space="preserve"> rightly categorised as experimental, </w:t>
      </w:r>
      <w:r w:rsidR="00F41F40">
        <w:rPr>
          <w:rFonts w:ascii="Times New Roman" w:eastAsia="Times New Roman" w:hAnsi="Times New Roman" w:cs="Times New Roman"/>
        </w:rPr>
        <w:t xml:space="preserve">why is </w:t>
      </w:r>
      <w:r w:rsidRPr="00D862A4">
        <w:rPr>
          <w:rFonts w:ascii="Times New Roman" w:eastAsia="Times New Roman" w:hAnsi="Times New Roman" w:cs="Times New Roman"/>
        </w:rPr>
        <w:t>a negative view</w:t>
      </w:r>
      <w:r w:rsidR="00F41F40">
        <w:rPr>
          <w:rFonts w:ascii="Times New Roman" w:eastAsia="Times New Roman" w:hAnsi="Times New Roman" w:cs="Times New Roman"/>
        </w:rPr>
        <w:t>,</w:t>
      </w:r>
      <w:r w:rsidRPr="00D862A4">
        <w:rPr>
          <w:rFonts w:ascii="Times New Roman" w:eastAsia="Times New Roman" w:hAnsi="Times New Roman" w:cs="Times New Roman"/>
        </w:rPr>
        <w:t xml:space="preserve"> </w:t>
      </w:r>
      <w:r w:rsidRPr="00D862A4">
        <w:rPr>
          <w:rFonts w:ascii="Times New Roman" w:eastAsia="Times New Roman" w:hAnsi="Times New Roman" w:cs="Times New Roman"/>
          <w:color w:val="000000" w:themeColor="text1"/>
        </w:rPr>
        <w:t>effectively denying children access to them</w:t>
      </w:r>
      <w:r w:rsidR="00F41F40">
        <w:rPr>
          <w:rFonts w:ascii="Times New Roman" w:eastAsia="Times New Roman" w:hAnsi="Times New Roman" w:cs="Times New Roman"/>
          <w:color w:val="000000" w:themeColor="text1"/>
        </w:rPr>
        <w:t xml:space="preserve">, </w:t>
      </w:r>
      <w:r w:rsidRPr="00D862A4">
        <w:rPr>
          <w:rFonts w:ascii="Times New Roman" w:eastAsia="Times New Roman" w:hAnsi="Times New Roman" w:cs="Times New Roman"/>
          <w:color w:val="000000" w:themeColor="text1"/>
        </w:rPr>
        <w:t>inevitable</w:t>
      </w:r>
      <w:r w:rsidR="00F41F40">
        <w:rPr>
          <w:rFonts w:ascii="Times New Roman" w:eastAsia="Times New Roman" w:hAnsi="Times New Roman" w:cs="Times New Roman"/>
          <w:color w:val="000000" w:themeColor="text1"/>
        </w:rPr>
        <w:t>?</w:t>
      </w:r>
      <w:r w:rsidRPr="00981AB1">
        <w:rPr>
          <w:rStyle w:val="FootnoteReference"/>
          <w:rFonts w:ascii="Times New Roman" w:eastAsia="Times New Roman" w:hAnsi="Times New Roman" w:cs="Times New Roman"/>
          <w:color w:val="000000" w:themeColor="text1"/>
        </w:rPr>
        <w:footnoteReference w:id="80"/>
      </w:r>
    </w:p>
    <w:p w14:paraId="3B6B8F68" w14:textId="6545D0C3" w:rsidR="00D30D78" w:rsidRDefault="00D862A4" w:rsidP="004C1B24">
      <w:pPr>
        <w:ind w:firstLine="360"/>
        <w:rPr>
          <w:rFonts w:ascii="Times New Roman" w:hAnsi="Times New Roman" w:cs="Times New Roman"/>
          <w:i/>
          <w:iCs/>
          <w:color w:val="000000" w:themeColor="text1"/>
        </w:rPr>
      </w:pPr>
      <w:r w:rsidRPr="00D862A4">
        <w:rPr>
          <w:rFonts w:ascii="Times New Roman" w:eastAsia="Times New Roman" w:hAnsi="Times New Roman" w:cs="Times New Roman"/>
          <w:color w:val="000000" w:themeColor="text1"/>
        </w:rPr>
        <w:t xml:space="preserve">The implications of categorising PBs as experimental treatment are two-fold. First, it meant a significant raising of the bar of </w:t>
      </w:r>
      <w:r w:rsidRPr="00D862A4">
        <w:rPr>
          <w:rFonts w:ascii="Times New Roman" w:eastAsia="Times New Roman" w:hAnsi="Times New Roman" w:cs="Times New Roman"/>
          <w:i/>
          <w:iCs/>
          <w:color w:val="000000" w:themeColor="text1"/>
        </w:rPr>
        <w:t>Gillick</w:t>
      </w:r>
      <w:r w:rsidRPr="00D862A4">
        <w:rPr>
          <w:rFonts w:ascii="Times New Roman" w:eastAsia="Times New Roman" w:hAnsi="Times New Roman" w:cs="Times New Roman"/>
          <w:color w:val="000000" w:themeColor="text1"/>
        </w:rPr>
        <w:t xml:space="preserve"> competence, with the court claiming it </w:t>
      </w:r>
      <w:r w:rsidRPr="00D862A4">
        <w:rPr>
          <w:rFonts w:ascii="Times New Roman" w:hAnsi="Times New Roman" w:cs="Times New Roman"/>
          <w:color w:val="000000" w:themeColor="text1"/>
        </w:rPr>
        <w:t>‘does go to the critical issue of whether a young person can have sufficient understanding of the risks and benefits to be able lawfully to consent to that treatment’.</w:t>
      </w:r>
      <w:r w:rsidRPr="00981AB1">
        <w:rPr>
          <w:rStyle w:val="FootnoteReference"/>
          <w:rFonts w:ascii="Times New Roman" w:hAnsi="Times New Roman" w:cs="Times New Roman"/>
          <w:color w:val="000000" w:themeColor="text1"/>
        </w:rPr>
        <w:footnoteReference w:id="81"/>
      </w:r>
      <w:r w:rsidRPr="00D862A4">
        <w:rPr>
          <w:rFonts w:ascii="Times New Roman" w:hAnsi="Times New Roman" w:cs="Times New Roman"/>
          <w:color w:val="000000" w:themeColor="text1"/>
        </w:rPr>
        <w:t xml:space="preserve"> </w:t>
      </w:r>
      <w:r w:rsidRPr="00D862A4">
        <w:rPr>
          <w:rFonts w:ascii="Times New Roman" w:eastAsia="Times New Roman" w:hAnsi="Times New Roman" w:cs="Times New Roman"/>
          <w:color w:val="000000" w:themeColor="text1"/>
        </w:rPr>
        <w:t xml:space="preserve">Second, it raised questions around parental rights to </w:t>
      </w:r>
      <w:r w:rsidRPr="00D862A4">
        <w:rPr>
          <w:rFonts w:ascii="Times New Roman" w:hAnsi="Times New Roman" w:cs="Times New Roman"/>
          <w:color w:val="000000" w:themeColor="text1"/>
        </w:rPr>
        <w:t xml:space="preserve">consent on behalf of their child, or whether PBs would </w:t>
      </w:r>
      <w:r w:rsidR="00F41F40">
        <w:rPr>
          <w:rFonts w:ascii="Times New Roman" w:hAnsi="Times New Roman" w:cs="Times New Roman"/>
          <w:color w:val="000000" w:themeColor="text1"/>
        </w:rPr>
        <w:t xml:space="preserve"> require court authorisation because they </w:t>
      </w:r>
      <w:r w:rsidRPr="00D862A4">
        <w:rPr>
          <w:rFonts w:ascii="Times New Roman" w:hAnsi="Times New Roman" w:cs="Times New Roman"/>
          <w:color w:val="000000" w:themeColor="text1"/>
        </w:rPr>
        <w:t>constitute a “special category”</w:t>
      </w:r>
      <w:r w:rsidR="00F50F8C">
        <w:rPr>
          <w:rFonts w:ascii="Times New Roman" w:hAnsi="Times New Roman" w:cs="Times New Roman"/>
          <w:color w:val="000000" w:themeColor="text1"/>
        </w:rPr>
        <w:t xml:space="preserve">. </w:t>
      </w:r>
      <w:r w:rsidR="00F50F8C" w:rsidRPr="00D862A4">
        <w:rPr>
          <w:rFonts w:ascii="Times New Roman" w:hAnsi="Times New Roman" w:cs="Times New Roman"/>
          <w:color w:val="000000" w:themeColor="text1"/>
        </w:rPr>
        <w:t xml:space="preserve">Parental consent was quickly dismissed in </w:t>
      </w:r>
      <w:r w:rsidR="00F50F8C" w:rsidRPr="00D862A4">
        <w:rPr>
          <w:rFonts w:ascii="Times New Roman" w:hAnsi="Times New Roman" w:cs="Times New Roman"/>
          <w:i/>
          <w:iCs/>
          <w:color w:val="000000" w:themeColor="text1"/>
        </w:rPr>
        <w:t>Bell</w:t>
      </w:r>
      <w:r w:rsidR="00F50F8C">
        <w:rPr>
          <w:rFonts w:ascii="Times New Roman" w:hAnsi="Times New Roman" w:cs="Times New Roman"/>
          <w:color w:val="000000" w:themeColor="text1"/>
        </w:rPr>
        <w:t xml:space="preserve">, but </w:t>
      </w:r>
      <w:r w:rsidR="00F50F8C" w:rsidRPr="00D862A4">
        <w:rPr>
          <w:rFonts w:ascii="Times New Roman" w:hAnsi="Times New Roman" w:cs="Times New Roman"/>
          <w:color w:val="000000" w:themeColor="text1"/>
        </w:rPr>
        <w:t xml:space="preserve">was the focal question in </w:t>
      </w:r>
      <w:r w:rsidR="00F50F8C" w:rsidRPr="00D862A4">
        <w:rPr>
          <w:rFonts w:ascii="Times New Roman" w:hAnsi="Times New Roman" w:cs="Times New Roman"/>
          <w:i/>
          <w:iCs/>
          <w:color w:val="000000" w:themeColor="text1"/>
        </w:rPr>
        <w:t>AB</w:t>
      </w:r>
      <w:r w:rsidR="00F50F8C">
        <w:rPr>
          <w:rFonts w:ascii="Times New Roman" w:hAnsi="Times New Roman" w:cs="Times New Roman"/>
          <w:i/>
          <w:iCs/>
          <w:color w:val="000000" w:themeColor="text1"/>
        </w:rPr>
        <w:t>.</w:t>
      </w:r>
      <w:r w:rsidR="00F50F8C" w:rsidRPr="00D862A4">
        <w:rPr>
          <w:rFonts w:ascii="Times New Roman" w:hAnsi="Times New Roman" w:cs="Times New Roman"/>
          <w:i/>
          <w:iCs/>
          <w:color w:val="000000" w:themeColor="text1"/>
        </w:rPr>
        <w:t xml:space="preserve"> </w:t>
      </w:r>
    </w:p>
    <w:p w14:paraId="4266A394" w14:textId="77777777" w:rsidR="004C1B24" w:rsidRDefault="004C1B24" w:rsidP="004C1B24">
      <w:pPr>
        <w:ind w:firstLine="360"/>
        <w:rPr>
          <w:rFonts w:ascii="Times New Roman" w:eastAsia="Times New Roman" w:hAnsi="Times New Roman" w:cs="Times New Roman"/>
          <w:color w:val="000000" w:themeColor="text1"/>
        </w:rPr>
      </w:pPr>
    </w:p>
    <w:p w14:paraId="720B9457" w14:textId="77777777" w:rsidR="00216D4F" w:rsidRPr="00D30D78" w:rsidRDefault="00216D4F" w:rsidP="00D30D78">
      <w:pPr>
        <w:ind w:firstLine="360"/>
        <w:rPr>
          <w:rFonts w:ascii="Times New Roman" w:eastAsia="Times New Roman" w:hAnsi="Times New Roman" w:cs="Times New Roman"/>
          <w:color w:val="000000" w:themeColor="text1"/>
        </w:rPr>
      </w:pPr>
    </w:p>
    <w:p w14:paraId="21AD4288" w14:textId="5445EB1F" w:rsidR="00DA13B6" w:rsidRPr="00DA13B6" w:rsidRDefault="003E5377" w:rsidP="00574200">
      <w:pPr>
        <w:pStyle w:val="ListParagraph"/>
        <w:numPr>
          <w:ilvl w:val="0"/>
          <w:numId w:val="4"/>
        </w:numPr>
        <w:jc w:val="center"/>
        <w:rPr>
          <w:rFonts w:ascii="Times New Roman" w:hAnsi="Times New Roman" w:cs="Times New Roman"/>
          <w:i/>
          <w:iCs/>
          <w:u w:val="single"/>
        </w:rPr>
      </w:pPr>
      <w:r>
        <w:rPr>
          <w:rFonts w:ascii="Times New Roman" w:hAnsi="Times New Roman" w:cs="Times New Roman"/>
          <w:i/>
          <w:iCs/>
          <w:u w:val="single"/>
        </w:rPr>
        <w:lastRenderedPageBreak/>
        <w:t>Gillick Competence</w:t>
      </w:r>
    </w:p>
    <w:p w14:paraId="6533E023" w14:textId="4A828AE8" w:rsidR="00F50F8C" w:rsidRDefault="00886A76" w:rsidP="00CC6F80">
      <w:pPr>
        <w:rPr>
          <w:rFonts w:ascii="Times New Roman" w:hAnsi="Times New Roman" w:cs="Times New Roman"/>
          <w:color w:val="000000" w:themeColor="text1"/>
        </w:rPr>
      </w:pPr>
      <w:r w:rsidRPr="004E41CA">
        <w:rPr>
          <w:rFonts w:ascii="Times New Roman" w:hAnsi="Times New Roman" w:cs="Times New Roman"/>
        </w:rPr>
        <w:t xml:space="preserve">The key questions for the court were whether under 18s could ever be </w:t>
      </w:r>
      <w:r w:rsidRPr="004E41CA">
        <w:rPr>
          <w:rFonts w:ascii="Times New Roman" w:hAnsi="Times New Roman" w:cs="Times New Roman"/>
          <w:i/>
          <w:iCs/>
        </w:rPr>
        <w:t>Gillick</w:t>
      </w:r>
      <w:r w:rsidRPr="004E41CA">
        <w:rPr>
          <w:rFonts w:ascii="Times New Roman" w:hAnsi="Times New Roman" w:cs="Times New Roman"/>
        </w:rPr>
        <w:t xml:space="preserve"> competent to consent to PBs, and if so, whether information provision was sufficient.</w:t>
      </w:r>
      <w:r>
        <w:rPr>
          <w:rStyle w:val="FootnoteReference"/>
          <w:rFonts w:ascii="Times New Roman" w:hAnsi="Times New Roman" w:cs="Times New Roman"/>
        </w:rPr>
        <w:footnoteReference w:id="82"/>
      </w:r>
      <w:r w:rsidRPr="004E41CA">
        <w:rPr>
          <w:rFonts w:ascii="Times New Roman" w:hAnsi="Times New Roman" w:cs="Times New Roman"/>
        </w:rPr>
        <w:t xml:space="preserve"> </w:t>
      </w:r>
      <w:r w:rsidRPr="004E41CA">
        <w:rPr>
          <w:rFonts w:ascii="Times New Roman" w:hAnsi="Times New Roman" w:cs="Times New Roman"/>
          <w:color w:val="000000" w:themeColor="text1"/>
        </w:rPr>
        <w:t>They began with a rather puzzling examination of case-law, focusing on two treatment refusal cases, and a third consent case</w:t>
      </w:r>
      <w:r>
        <w:rPr>
          <w:rFonts w:ascii="Times New Roman" w:hAnsi="Times New Roman" w:cs="Times New Roman"/>
          <w:color w:val="000000" w:themeColor="text1"/>
        </w:rPr>
        <w:t>,</w:t>
      </w:r>
      <w:r w:rsidRPr="004E41CA">
        <w:rPr>
          <w:rFonts w:ascii="Times New Roman" w:hAnsi="Times New Roman" w:cs="Times New Roman"/>
          <w:color w:val="000000" w:themeColor="text1"/>
        </w:rPr>
        <w:t xml:space="preserve"> but in the context of adoption.</w:t>
      </w:r>
      <w:r w:rsidRPr="009B2C84">
        <w:rPr>
          <w:rStyle w:val="FootnoteReference"/>
          <w:rFonts w:ascii="Times New Roman" w:hAnsi="Times New Roman" w:cs="Times New Roman"/>
          <w:color w:val="000000" w:themeColor="text1"/>
        </w:rPr>
        <w:footnoteReference w:id="83"/>
      </w:r>
      <w:r w:rsidRPr="004E41CA">
        <w:rPr>
          <w:rFonts w:ascii="Times New Roman" w:hAnsi="Times New Roman" w:cs="Times New Roman"/>
          <w:color w:val="000000" w:themeColor="text1"/>
        </w:rPr>
        <w:t xml:space="preserve"> Relying on the precedent in </w:t>
      </w:r>
      <w:r w:rsidRPr="004E41CA">
        <w:rPr>
          <w:rFonts w:ascii="Times New Roman" w:hAnsi="Times New Roman" w:cs="Times New Roman"/>
          <w:i/>
          <w:iCs/>
          <w:color w:val="000000" w:themeColor="text1"/>
        </w:rPr>
        <w:t>Re W,</w:t>
      </w:r>
      <w:r>
        <w:rPr>
          <w:rStyle w:val="FootnoteReference"/>
          <w:rFonts w:ascii="Times New Roman" w:hAnsi="Times New Roman" w:cs="Times New Roman"/>
          <w:i/>
          <w:iCs/>
          <w:color w:val="000000" w:themeColor="text1"/>
        </w:rPr>
        <w:footnoteReference w:id="84"/>
      </w:r>
      <w:r w:rsidRPr="004E41CA">
        <w:rPr>
          <w:rFonts w:ascii="Times New Roman" w:hAnsi="Times New Roman" w:cs="Times New Roman"/>
          <w:i/>
          <w:iCs/>
          <w:color w:val="000000" w:themeColor="text1"/>
        </w:rPr>
        <w:t xml:space="preserve"> </w:t>
      </w:r>
      <w:r w:rsidRPr="004E41CA">
        <w:rPr>
          <w:rFonts w:ascii="Times New Roman" w:hAnsi="Times New Roman" w:cs="Times New Roman"/>
          <w:color w:val="000000" w:themeColor="text1"/>
        </w:rPr>
        <w:t xml:space="preserve">the court affirmed its ability under the inherent jurisdiction to override treatment decisions of even 16-17 year olds and tied the FLRA provision to a presumption of </w:t>
      </w:r>
      <w:r w:rsidRPr="004E41CA">
        <w:rPr>
          <w:rFonts w:ascii="Times New Roman" w:hAnsi="Times New Roman" w:cs="Times New Roman"/>
          <w:i/>
          <w:iCs/>
          <w:color w:val="000000" w:themeColor="text1"/>
        </w:rPr>
        <w:t xml:space="preserve">Gillick </w:t>
      </w:r>
      <w:r w:rsidRPr="004E41CA">
        <w:rPr>
          <w:rFonts w:ascii="Times New Roman" w:hAnsi="Times New Roman" w:cs="Times New Roman"/>
          <w:color w:val="000000" w:themeColor="text1"/>
        </w:rPr>
        <w:t>competence.</w:t>
      </w:r>
      <w:r>
        <w:rPr>
          <w:rStyle w:val="FootnoteReference"/>
          <w:rFonts w:ascii="Times New Roman" w:hAnsi="Times New Roman" w:cs="Times New Roman"/>
          <w:color w:val="000000" w:themeColor="text1"/>
        </w:rPr>
        <w:footnoteReference w:id="85"/>
      </w:r>
      <w:r w:rsidRPr="004E41CA">
        <w:rPr>
          <w:rFonts w:ascii="Times New Roman" w:hAnsi="Times New Roman" w:cs="Times New Roman"/>
          <w:color w:val="000000" w:themeColor="text1"/>
        </w:rPr>
        <w:t xml:space="preserve"> This is problematic given that the FLRA states a 16-17 year old can give consent as if they were an adult</w:t>
      </w:r>
      <w:r w:rsidR="00AE78C2">
        <w:rPr>
          <w:rFonts w:ascii="Times New Roman" w:hAnsi="Times New Roman" w:cs="Times New Roman"/>
          <w:color w:val="000000" w:themeColor="text1"/>
        </w:rPr>
        <w:t>. Therefore</w:t>
      </w:r>
      <w:r w:rsidR="003E6350">
        <w:rPr>
          <w:rFonts w:ascii="Times New Roman" w:hAnsi="Times New Roman" w:cs="Times New Roman"/>
          <w:color w:val="000000" w:themeColor="text1"/>
        </w:rPr>
        <w:t>,</w:t>
      </w:r>
      <w:r w:rsidR="00AE78C2">
        <w:rPr>
          <w:rFonts w:ascii="Times New Roman" w:hAnsi="Times New Roman" w:cs="Times New Roman"/>
          <w:color w:val="000000" w:themeColor="text1"/>
        </w:rPr>
        <w:t xml:space="preserve"> this should be</w:t>
      </w:r>
      <w:r w:rsidRPr="004E41CA">
        <w:rPr>
          <w:rFonts w:ascii="Times New Roman" w:hAnsi="Times New Roman" w:cs="Times New Roman"/>
          <w:color w:val="000000" w:themeColor="text1"/>
        </w:rPr>
        <w:t xml:space="preserve"> akin to capacity under the MCA</w:t>
      </w:r>
      <w:r w:rsidR="00AE78C2">
        <w:rPr>
          <w:rFonts w:ascii="Times New Roman" w:hAnsi="Times New Roman" w:cs="Times New Roman"/>
          <w:color w:val="000000" w:themeColor="text1"/>
        </w:rPr>
        <w:t>, wh</w:t>
      </w:r>
      <w:r w:rsidR="00CC6F80">
        <w:rPr>
          <w:rFonts w:ascii="Times New Roman" w:hAnsi="Times New Roman" w:cs="Times New Roman"/>
          <w:color w:val="000000" w:themeColor="text1"/>
        </w:rPr>
        <w:t>ich applies to over 16s</w:t>
      </w:r>
      <w:r w:rsidR="00CC6F80">
        <w:rPr>
          <w:rStyle w:val="FootnoteReference"/>
          <w:rFonts w:ascii="Times New Roman" w:hAnsi="Times New Roman" w:cs="Times New Roman"/>
          <w:color w:val="000000" w:themeColor="text1"/>
        </w:rPr>
        <w:footnoteReference w:id="86"/>
      </w:r>
      <w:r w:rsidR="00CC6F80">
        <w:rPr>
          <w:rFonts w:ascii="Times New Roman" w:hAnsi="Times New Roman" w:cs="Times New Roman"/>
          <w:color w:val="000000" w:themeColor="text1"/>
        </w:rPr>
        <w:t xml:space="preserve"> and recognises the</w:t>
      </w:r>
      <w:r w:rsidR="00AE78C2">
        <w:rPr>
          <w:rFonts w:ascii="Times New Roman" w:hAnsi="Times New Roman" w:cs="Times New Roman"/>
          <w:color w:val="000000" w:themeColor="text1"/>
        </w:rPr>
        <w:t xml:space="preserve"> right to consent to and refuse treatment that can only be overridden in cases of incapacity</w:t>
      </w:r>
      <w:r w:rsidR="00CC6F80">
        <w:rPr>
          <w:rFonts w:ascii="Times New Roman" w:hAnsi="Times New Roman" w:cs="Times New Roman"/>
          <w:color w:val="000000" w:themeColor="text1"/>
        </w:rPr>
        <w:t xml:space="preserve"> </w:t>
      </w:r>
      <w:r w:rsidR="003E6350">
        <w:rPr>
          <w:rFonts w:ascii="Times New Roman" w:hAnsi="Times New Roman" w:cs="Times New Roman"/>
          <w:color w:val="000000" w:themeColor="text1"/>
        </w:rPr>
        <w:t>-</w:t>
      </w:r>
      <w:r w:rsidR="00AE78C2">
        <w:rPr>
          <w:rFonts w:ascii="Times New Roman" w:hAnsi="Times New Roman" w:cs="Times New Roman"/>
          <w:color w:val="000000" w:themeColor="text1"/>
        </w:rPr>
        <w:t xml:space="preserve"> </w:t>
      </w:r>
      <w:r w:rsidR="00AE78C2">
        <w:rPr>
          <w:rStyle w:val="FootnoteReference"/>
          <w:rFonts w:ascii="Times New Roman" w:hAnsi="Times New Roman" w:cs="Times New Roman"/>
          <w:color w:val="000000" w:themeColor="text1"/>
        </w:rPr>
        <w:footnoteReference w:id="87"/>
      </w:r>
      <w:r w:rsidR="003E6350">
        <w:rPr>
          <w:rFonts w:ascii="Times New Roman" w:hAnsi="Times New Roman" w:cs="Times New Roman"/>
          <w:color w:val="000000" w:themeColor="text1"/>
        </w:rPr>
        <w:t xml:space="preserve"> </w:t>
      </w:r>
      <w:r w:rsidR="002306A8">
        <w:rPr>
          <w:rFonts w:ascii="Times New Roman" w:hAnsi="Times New Roman" w:cs="Times New Roman"/>
          <w:color w:val="000000" w:themeColor="text1"/>
        </w:rPr>
        <w:t xml:space="preserve"> which is </w:t>
      </w:r>
      <w:r w:rsidR="00AE78C2">
        <w:rPr>
          <w:rFonts w:ascii="Times New Roman" w:hAnsi="Times New Roman" w:cs="Times New Roman"/>
          <w:color w:val="000000" w:themeColor="text1"/>
        </w:rPr>
        <w:t xml:space="preserve">apparently </w:t>
      </w:r>
      <w:r w:rsidRPr="004E41CA">
        <w:rPr>
          <w:rFonts w:ascii="Times New Roman" w:hAnsi="Times New Roman" w:cs="Times New Roman"/>
          <w:color w:val="000000" w:themeColor="text1"/>
        </w:rPr>
        <w:t>not</w:t>
      </w:r>
      <w:r w:rsidR="00AE78C2">
        <w:rPr>
          <w:rFonts w:ascii="Times New Roman" w:hAnsi="Times New Roman" w:cs="Times New Roman"/>
          <w:color w:val="000000" w:themeColor="text1"/>
        </w:rPr>
        <w:t xml:space="preserve"> so under </w:t>
      </w:r>
      <w:r w:rsidRPr="004E41CA">
        <w:rPr>
          <w:rFonts w:ascii="Times New Roman" w:hAnsi="Times New Roman" w:cs="Times New Roman"/>
          <w:i/>
          <w:iCs/>
          <w:color w:val="000000" w:themeColor="text1"/>
        </w:rPr>
        <w:t>Gillick</w:t>
      </w:r>
      <w:r w:rsidRPr="004E41CA">
        <w:rPr>
          <w:rFonts w:ascii="Times New Roman" w:hAnsi="Times New Roman" w:cs="Times New Roman"/>
          <w:color w:val="000000" w:themeColor="text1"/>
        </w:rPr>
        <w:t xml:space="preserve">. </w:t>
      </w:r>
      <w:r w:rsidRPr="004E41CA">
        <w:rPr>
          <w:rFonts w:ascii="Times New Roman" w:hAnsi="Times New Roman" w:cs="Times New Roman"/>
          <w:i/>
          <w:iCs/>
          <w:color w:val="000000" w:themeColor="text1"/>
        </w:rPr>
        <w:t>Re L</w:t>
      </w:r>
      <w:r w:rsidRPr="009B2C84">
        <w:rPr>
          <w:rStyle w:val="FootnoteReference"/>
          <w:rFonts w:ascii="Times New Roman" w:hAnsi="Times New Roman" w:cs="Times New Roman"/>
          <w:i/>
          <w:iCs/>
          <w:color w:val="000000" w:themeColor="text1"/>
        </w:rPr>
        <w:footnoteReference w:id="88"/>
      </w:r>
      <w:r w:rsidRPr="004E41CA">
        <w:rPr>
          <w:rFonts w:ascii="Times New Roman" w:hAnsi="Times New Roman" w:cs="Times New Roman"/>
          <w:i/>
          <w:iCs/>
          <w:color w:val="000000" w:themeColor="text1"/>
        </w:rPr>
        <w:t xml:space="preserve"> </w:t>
      </w:r>
      <w:r w:rsidRPr="004E41CA">
        <w:rPr>
          <w:rFonts w:ascii="Times New Roman" w:hAnsi="Times New Roman" w:cs="Times New Roman"/>
          <w:color w:val="000000" w:themeColor="text1"/>
        </w:rPr>
        <w:t xml:space="preserve">and </w:t>
      </w:r>
      <w:r w:rsidRPr="004E41CA">
        <w:rPr>
          <w:rFonts w:ascii="Times New Roman" w:hAnsi="Times New Roman" w:cs="Times New Roman"/>
          <w:i/>
          <w:iCs/>
          <w:color w:val="000000" w:themeColor="text1"/>
        </w:rPr>
        <w:t>Re S,</w:t>
      </w:r>
      <w:r w:rsidRPr="009B2C84">
        <w:rPr>
          <w:rStyle w:val="FootnoteReference"/>
          <w:rFonts w:ascii="Times New Roman" w:hAnsi="Times New Roman" w:cs="Times New Roman"/>
          <w:i/>
          <w:iCs/>
          <w:color w:val="000000" w:themeColor="text1"/>
        </w:rPr>
        <w:footnoteReference w:id="89"/>
      </w:r>
      <w:r w:rsidRPr="004E41CA">
        <w:rPr>
          <w:rFonts w:ascii="Times New Roman" w:hAnsi="Times New Roman" w:cs="Times New Roman"/>
          <w:i/>
          <w:iCs/>
          <w:color w:val="000000" w:themeColor="text1"/>
        </w:rPr>
        <w:t xml:space="preserve"> </w:t>
      </w:r>
      <w:r w:rsidRPr="004E41CA">
        <w:rPr>
          <w:rFonts w:ascii="Times New Roman" w:hAnsi="Times New Roman" w:cs="Times New Roman"/>
          <w:color w:val="000000" w:themeColor="text1"/>
        </w:rPr>
        <w:t>deemed to involve ‘difficult medical and ethical situations’,</w:t>
      </w:r>
      <w:r w:rsidRPr="009B2C84">
        <w:rPr>
          <w:rStyle w:val="FootnoteReference"/>
          <w:rFonts w:ascii="Times New Roman" w:hAnsi="Times New Roman" w:cs="Times New Roman"/>
          <w:color w:val="000000" w:themeColor="text1"/>
        </w:rPr>
        <w:footnoteReference w:id="90"/>
      </w:r>
      <w:r w:rsidRPr="004E41CA">
        <w:rPr>
          <w:rFonts w:ascii="Times New Roman" w:hAnsi="Times New Roman" w:cs="Times New Roman"/>
          <w:color w:val="000000" w:themeColor="text1"/>
        </w:rPr>
        <w:t xml:space="preserve"> were found to be instructive. From </w:t>
      </w:r>
      <w:r w:rsidRPr="004E41CA">
        <w:rPr>
          <w:rFonts w:ascii="Times New Roman" w:hAnsi="Times New Roman" w:cs="Times New Roman"/>
          <w:i/>
          <w:iCs/>
          <w:color w:val="000000" w:themeColor="text1"/>
        </w:rPr>
        <w:t>Re L</w:t>
      </w:r>
      <w:r w:rsidRPr="004E41CA">
        <w:rPr>
          <w:rFonts w:ascii="Times New Roman" w:hAnsi="Times New Roman" w:cs="Times New Roman"/>
          <w:color w:val="000000" w:themeColor="text1"/>
        </w:rPr>
        <w:t xml:space="preserve"> the court focused on the impact of limited life experience,</w:t>
      </w:r>
      <w:r w:rsidRPr="009B2C84">
        <w:rPr>
          <w:rStyle w:val="FootnoteReference"/>
          <w:rFonts w:ascii="Times New Roman" w:hAnsi="Times New Roman" w:cs="Times New Roman"/>
          <w:color w:val="000000" w:themeColor="text1"/>
        </w:rPr>
        <w:footnoteReference w:id="91"/>
      </w:r>
      <w:r w:rsidRPr="004E41CA">
        <w:rPr>
          <w:rFonts w:ascii="Times New Roman" w:hAnsi="Times New Roman" w:cs="Times New Roman"/>
          <w:color w:val="000000" w:themeColor="text1"/>
        </w:rPr>
        <w:t xml:space="preserve"> presumably to suggest that children with GD do not have sufficient experience to make the decisions they are tasked with.</w:t>
      </w:r>
      <w:r w:rsidR="003E6350">
        <w:rPr>
          <w:rFonts w:ascii="Times New Roman" w:hAnsi="Times New Roman" w:cs="Times New Roman"/>
          <w:color w:val="000000" w:themeColor="text1"/>
        </w:rPr>
        <w:t xml:space="preserve"> </w:t>
      </w:r>
      <w:r w:rsidRPr="004E41CA">
        <w:rPr>
          <w:rFonts w:ascii="Times New Roman" w:hAnsi="Times New Roman" w:cs="Times New Roman"/>
          <w:color w:val="000000" w:themeColor="text1"/>
        </w:rPr>
        <w:t xml:space="preserve">This is disputable, as these children may have many years of lived experience of GD, thus gaining insights which no amount of adult experience will be able to provide. From </w:t>
      </w:r>
      <w:r w:rsidRPr="004E41CA">
        <w:rPr>
          <w:rFonts w:ascii="Times New Roman" w:hAnsi="Times New Roman" w:cs="Times New Roman"/>
          <w:i/>
          <w:iCs/>
          <w:color w:val="000000" w:themeColor="text1"/>
        </w:rPr>
        <w:t xml:space="preserve">Re S </w:t>
      </w:r>
      <w:r w:rsidRPr="004E41CA">
        <w:rPr>
          <w:rFonts w:ascii="Times New Roman" w:hAnsi="Times New Roman" w:cs="Times New Roman"/>
          <w:color w:val="000000" w:themeColor="text1"/>
        </w:rPr>
        <w:t xml:space="preserve">they drew attention to Cobb J’s use of MCA concepts and language in determining </w:t>
      </w:r>
      <w:r w:rsidRPr="004E41CA">
        <w:rPr>
          <w:rFonts w:ascii="Times New Roman" w:hAnsi="Times New Roman" w:cs="Times New Roman"/>
          <w:i/>
          <w:iCs/>
          <w:color w:val="000000" w:themeColor="text1"/>
        </w:rPr>
        <w:t>Gillick</w:t>
      </w:r>
      <w:r w:rsidRPr="004E41CA">
        <w:rPr>
          <w:rFonts w:ascii="Times New Roman" w:hAnsi="Times New Roman" w:cs="Times New Roman"/>
          <w:color w:val="000000" w:themeColor="text1"/>
        </w:rPr>
        <w:t xml:space="preserve"> competence</w:t>
      </w:r>
      <w:r w:rsidRPr="009B2C84">
        <w:rPr>
          <w:rStyle w:val="FootnoteReference"/>
          <w:rFonts w:ascii="Times New Roman" w:hAnsi="Times New Roman" w:cs="Times New Roman"/>
          <w:color w:val="000000" w:themeColor="text1"/>
        </w:rPr>
        <w:footnoteReference w:id="92"/>
      </w:r>
      <w:r w:rsidRPr="004E41CA">
        <w:rPr>
          <w:rFonts w:ascii="Times New Roman" w:hAnsi="Times New Roman" w:cs="Times New Roman"/>
          <w:color w:val="000000" w:themeColor="text1"/>
        </w:rPr>
        <w:t xml:space="preserve"> - an idea that has appeared in several recent child cases, perhaps suggesting that the </w:t>
      </w:r>
      <w:r w:rsidRPr="004E41CA">
        <w:rPr>
          <w:rFonts w:ascii="Times New Roman" w:hAnsi="Times New Roman" w:cs="Times New Roman"/>
          <w:i/>
          <w:iCs/>
          <w:color w:val="000000" w:themeColor="text1"/>
        </w:rPr>
        <w:t>Gillick</w:t>
      </w:r>
      <w:r w:rsidRPr="004E41CA">
        <w:rPr>
          <w:rFonts w:ascii="Times New Roman" w:hAnsi="Times New Roman" w:cs="Times New Roman"/>
          <w:color w:val="000000" w:themeColor="text1"/>
        </w:rPr>
        <w:t xml:space="preserve"> test needs further clarification and that capacity under the MCA is analogous. </w:t>
      </w:r>
      <w:r w:rsidRPr="004E41CA">
        <w:rPr>
          <w:rFonts w:ascii="Times New Roman" w:hAnsi="Times New Roman" w:cs="Times New Roman"/>
        </w:rPr>
        <w:t>Munby J</w:t>
      </w:r>
      <w:r w:rsidR="003E6350">
        <w:rPr>
          <w:rFonts w:ascii="Times New Roman" w:hAnsi="Times New Roman" w:cs="Times New Roman"/>
        </w:rPr>
        <w:t>’s judgment</w:t>
      </w:r>
      <w:r w:rsidR="00F50F8C">
        <w:rPr>
          <w:rFonts w:ascii="Times New Roman" w:hAnsi="Times New Roman" w:cs="Times New Roman"/>
        </w:rPr>
        <w:t xml:space="preserve"> in </w:t>
      </w:r>
      <w:r w:rsidR="00F50F8C" w:rsidRPr="00F50F8C">
        <w:rPr>
          <w:rFonts w:ascii="Times New Roman" w:hAnsi="Times New Roman" w:cs="Times New Roman"/>
          <w:i/>
          <w:iCs/>
        </w:rPr>
        <w:t>Re X</w:t>
      </w:r>
      <w:r w:rsidR="003E6350">
        <w:rPr>
          <w:rFonts w:ascii="Times New Roman" w:hAnsi="Times New Roman" w:cs="Times New Roman"/>
          <w:i/>
          <w:iCs/>
        </w:rPr>
        <w:t xml:space="preserve"> </w:t>
      </w:r>
      <w:r w:rsidR="003E6350">
        <w:rPr>
          <w:rFonts w:ascii="Times New Roman" w:hAnsi="Times New Roman" w:cs="Times New Roman"/>
        </w:rPr>
        <w:t>may cast doubt on this, as he</w:t>
      </w:r>
      <w:r w:rsidRPr="004E41CA">
        <w:rPr>
          <w:rFonts w:ascii="Times New Roman" w:hAnsi="Times New Roman" w:cs="Times New Roman"/>
        </w:rPr>
        <w:t xml:space="preserve"> disagreed with </w:t>
      </w:r>
      <w:r w:rsidRPr="004E41CA">
        <w:rPr>
          <w:rFonts w:ascii="Times New Roman" w:hAnsi="Times New Roman" w:cs="Times New Roman"/>
          <w:i/>
          <w:iCs/>
        </w:rPr>
        <w:t xml:space="preserve">Bell’s </w:t>
      </w:r>
      <w:r w:rsidRPr="004E41CA">
        <w:rPr>
          <w:rFonts w:ascii="Times New Roman" w:hAnsi="Times New Roman" w:cs="Times New Roman"/>
        </w:rPr>
        <w:t xml:space="preserve">assessment of </w:t>
      </w:r>
      <w:r w:rsidR="00F50F8C" w:rsidRPr="00F50F8C">
        <w:rPr>
          <w:rFonts w:ascii="Times New Roman" w:hAnsi="Times New Roman" w:cs="Times New Roman"/>
        </w:rPr>
        <w:t>the relationship of</w:t>
      </w:r>
      <w:r w:rsidR="00F50F8C">
        <w:rPr>
          <w:rFonts w:ascii="Times New Roman" w:hAnsi="Times New Roman" w:cs="Times New Roman"/>
          <w:i/>
          <w:iCs/>
        </w:rPr>
        <w:t xml:space="preserve"> </w:t>
      </w:r>
      <w:r w:rsidRPr="004E41CA">
        <w:rPr>
          <w:rFonts w:ascii="Times New Roman" w:hAnsi="Times New Roman" w:cs="Times New Roman"/>
          <w:i/>
          <w:iCs/>
        </w:rPr>
        <w:t>Gillick</w:t>
      </w:r>
      <w:r w:rsidRPr="004E41CA">
        <w:rPr>
          <w:rFonts w:ascii="Times New Roman" w:hAnsi="Times New Roman" w:cs="Times New Roman"/>
        </w:rPr>
        <w:t xml:space="preserve"> to MCA capacity</w:t>
      </w:r>
      <w:r w:rsidR="003E6350">
        <w:rPr>
          <w:rFonts w:ascii="Times New Roman" w:hAnsi="Times New Roman" w:cs="Times New Roman"/>
        </w:rPr>
        <w:t>.</w:t>
      </w:r>
      <w:r w:rsidRPr="004E41CA">
        <w:rPr>
          <w:rFonts w:ascii="Times New Roman" w:hAnsi="Times New Roman" w:cs="Times New Roman"/>
        </w:rPr>
        <w:t xml:space="preserve"> </w:t>
      </w:r>
      <w:r w:rsidR="0012001C">
        <w:rPr>
          <w:rFonts w:ascii="Times New Roman" w:hAnsi="Times New Roman" w:cs="Times New Roman"/>
        </w:rPr>
        <w:t xml:space="preserve">Proclaiming that MCA capacity and </w:t>
      </w:r>
      <w:r w:rsidR="0012001C" w:rsidRPr="0012001C">
        <w:rPr>
          <w:rFonts w:ascii="Times New Roman" w:hAnsi="Times New Roman" w:cs="Times New Roman"/>
          <w:i/>
          <w:iCs/>
        </w:rPr>
        <w:t>Gillick</w:t>
      </w:r>
      <w:r w:rsidR="0012001C">
        <w:rPr>
          <w:rFonts w:ascii="Times New Roman" w:hAnsi="Times New Roman" w:cs="Times New Roman"/>
        </w:rPr>
        <w:t xml:space="preserve"> competence </w:t>
      </w:r>
      <w:r w:rsidRPr="004E41CA">
        <w:rPr>
          <w:rFonts w:ascii="Times New Roman" w:hAnsi="Times New Roman" w:cs="Times New Roman"/>
        </w:rPr>
        <w:t>‘are</w:t>
      </w:r>
      <w:r w:rsidR="003E6350">
        <w:rPr>
          <w:rFonts w:ascii="Times New Roman" w:hAnsi="Times New Roman" w:cs="Times New Roman"/>
        </w:rPr>
        <w:t>…</w:t>
      </w:r>
      <w:r w:rsidRPr="004E41CA">
        <w:rPr>
          <w:rFonts w:ascii="Times New Roman" w:hAnsi="Times New Roman" w:cs="Times New Roman"/>
        </w:rPr>
        <w:t>both historically and conceptually quite distinct’</w:t>
      </w:r>
      <w:r w:rsidR="0012001C">
        <w:rPr>
          <w:rFonts w:ascii="Times New Roman" w:hAnsi="Times New Roman" w:cs="Times New Roman"/>
        </w:rPr>
        <w:t xml:space="preserve"> due to their origins in different areas of scientific knowledge, the former being in the realm of psychiatry whilst the latter in child developmental psychology, he concluded that the MCA has ‘nothing to say’ about children of any age who are </w:t>
      </w:r>
      <w:r w:rsidR="0012001C" w:rsidRPr="0012001C">
        <w:rPr>
          <w:rFonts w:ascii="Times New Roman" w:hAnsi="Times New Roman" w:cs="Times New Roman"/>
          <w:i/>
          <w:iCs/>
        </w:rPr>
        <w:t>Gillick</w:t>
      </w:r>
      <w:r w:rsidR="0012001C">
        <w:rPr>
          <w:rFonts w:ascii="Times New Roman" w:hAnsi="Times New Roman" w:cs="Times New Roman"/>
        </w:rPr>
        <w:t xml:space="preserve"> competent.</w:t>
      </w:r>
      <w:r>
        <w:rPr>
          <w:rStyle w:val="FootnoteReference"/>
          <w:rFonts w:ascii="Times New Roman" w:hAnsi="Times New Roman" w:cs="Times New Roman"/>
        </w:rPr>
        <w:footnoteReference w:id="93"/>
      </w:r>
      <w:r w:rsidR="0012001C">
        <w:rPr>
          <w:rFonts w:ascii="Times New Roman" w:hAnsi="Times New Roman" w:cs="Times New Roman"/>
        </w:rPr>
        <w:t xml:space="preserve"> Whilst</w:t>
      </w:r>
      <w:r w:rsidR="00574200">
        <w:rPr>
          <w:rFonts w:ascii="Times New Roman" w:hAnsi="Times New Roman" w:cs="Times New Roman"/>
        </w:rPr>
        <w:t>, there may be a valid point here for under 16s this reasoning is less convincing for 16-17 year olds. Additionally, on information provision</w:t>
      </w:r>
      <w:r w:rsidRPr="004E41CA">
        <w:rPr>
          <w:rFonts w:ascii="Times New Roman" w:hAnsi="Times New Roman" w:cs="Times New Roman"/>
          <w:color w:val="000000" w:themeColor="text1"/>
        </w:rPr>
        <w:t xml:space="preserve"> the court</w:t>
      </w:r>
      <w:r w:rsidR="00574200">
        <w:rPr>
          <w:rFonts w:ascii="Times New Roman" w:hAnsi="Times New Roman" w:cs="Times New Roman"/>
          <w:color w:val="000000" w:themeColor="text1"/>
        </w:rPr>
        <w:t xml:space="preserve"> in </w:t>
      </w:r>
      <w:r w:rsidR="00574200" w:rsidRPr="00574200">
        <w:rPr>
          <w:rFonts w:ascii="Times New Roman" w:hAnsi="Times New Roman" w:cs="Times New Roman"/>
          <w:i/>
          <w:iCs/>
          <w:color w:val="000000" w:themeColor="text1"/>
        </w:rPr>
        <w:t>Bell</w:t>
      </w:r>
      <w:r w:rsidRPr="004E41CA">
        <w:rPr>
          <w:rFonts w:ascii="Times New Roman" w:hAnsi="Times New Roman" w:cs="Times New Roman"/>
          <w:color w:val="000000" w:themeColor="text1"/>
        </w:rPr>
        <w:t xml:space="preserve"> approved of Cobb J’s finding that </w:t>
      </w:r>
      <w:r w:rsidRPr="004E41CA">
        <w:rPr>
          <w:rFonts w:ascii="Times New Roman" w:hAnsi="Times New Roman" w:cs="Times New Roman"/>
          <w:i/>
          <w:iCs/>
          <w:color w:val="000000" w:themeColor="text1"/>
        </w:rPr>
        <w:t>Gillick</w:t>
      </w:r>
      <w:r w:rsidRPr="004E41CA">
        <w:rPr>
          <w:rFonts w:ascii="Times New Roman" w:hAnsi="Times New Roman" w:cs="Times New Roman"/>
          <w:color w:val="000000" w:themeColor="text1"/>
        </w:rPr>
        <w:t xml:space="preserve"> competence required a demonstration of ‘sufficient understanding of the salient facts’ and not those which were ‘peripheral</w:t>
      </w:r>
      <w:r>
        <w:rPr>
          <w:rFonts w:ascii="Times New Roman" w:hAnsi="Times New Roman" w:cs="Times New Roman"/>
          <w:color w:val="000000" w:themeColor="text1"/>
        </w:rPr>
        <w:t>’.</w:t>
      </w:r>
      <w:r w:rsidRPr="009B2C84">
        <w:rPr>
          <w:rStyle w:val="FootnoteReference"/>
          <w:rFonts w:ascii="Times New Roman" w:hAnsi="Times New Roman" w:cs="Times New Roman"/>
          <w:color w:val="000000" w:themeColor="text1"/>
        </w:rPr>
        <w:footnoteReference w:id="94"/>
      </w:r>
      <w:r w:rsidRPr="004E41CA">
        <w:rPr>
          <w:rFonts w:ascii="Times New Roman" w:hAnsi="Times New Roman" w:cs="Times New Roman"/>
          <w:color w:val="000000" w:themeColor="text1"/>
        </w:rPr>
        <w:t xml:space="preserve"> </w:t>
      </w:r>
    </w:p>
    <w:p w14:paraId="6D31DA5A" w14:textId="21AB734F" w:rsidR="00886A76" w:rsidRDefault="00886A76" w:rsidP="00F50F8C">
      <w:pPr>
        <w:ind w:firstLine="720"/>
        <w:rPr>
          <w:rFonts w:ascii="Times New Roman" w:hAnsi="Times New Roman" w:cs="Times New Roman"/>
          <w:color w:val="000000" w:themeColor="text1"/>
        </w:rPr>
      </w:pPr>
      <w:r w:rsidRPr="004E41CA">
        <w:rPr>
          <w:rFonts w:ascii="Times New Roman" w:hAnsi="Times New Roman" w:cs="Times New Roman"/>
          <w:color w:val="000000" w:themeColor="text1"/>
        </w:rPr>
        <w:t xml:space="preserve">Contrary to the protectionist reasoning gleaned from </w:t>
      </w:r>
      <w:r w:rsidRPr="004E41CA">
        <w:rPr>
          <w:rFonts w:ascii="Times New Roman" w:hAnsi="Times New Roman" w:cs="Times New Roman"/>
          <w:i/>
          <w:iCs/>
          <w:color w:val="000000" w:themeColor="text1"/>
        </w:rPr>
        <w:t>Re L</w:t>
      </w:r>
      <w:r w:rsidRPr="004E41CA">
        <w:rPr>
          <w:rFonts w:ascii="Times New Roman" w:hAnsi="Times New Roman" w:cs="Times New Roman"/>
          <w:color w:val="000000" w:themeColor="text1"/>
        </w:rPr>
        <w:t xml:space="preserve"> and </w:t>
      </w:r>
      <w:r w:rsidRPr="004E41CA">
        <w:rPr>
          <w:rFonts w:ascii="Times New Roman" w:hAnsi="Times New Roman" w:cs="Times New Roman"/>
          <w:i/>
          <w:iCs/>
          <w:color w:val="000000" w:themeColor="text1"/>
        </w:rPr>
        <w:t>Re S,</w:t>
      </w:r>
      <w:r w:rsidRPr="004E41CA">
        <w:rPr>
          <w:rFonts w:ascii="Times New Roman" w:hAnsi="Times New Roman" w:cs="Times New Roman"/>
          <w:color w:val="000000" w:themeColor="text1"/>
        </w:rPr>
        <w:t xml:space="preserve"> had the court considered consent cases </w:t>
      </w:r>
      <w:r>
        <w:rPr>
          <w:rFonts w:ascii="Times New Roman" w:hAnsi="Times New Roman" w:cs="Times New Roman"/>
          <w:color w:val="000000" w:themeColor="text1"/>
        </w:rPr>
        <w:t>t</w:t>
      </w:r>
      <w:r w:rsidRPr="004E41CA">
        <w:rPr>
          <w:rFonts w:ascii="Times New Roman" w:hAnsi="Times New Roman" w:cs="Times New Roman"/>
          <w:color w:val="000000" w:themeColor="text1"/>
        </w:rPr>
        <w:t xml:space="preserve">hey would have seen strong statements about children’s rights. In </w:t>
      </w:r>
      <w:r w:rsidRPr="004E41CA">
        <w:rPr>
          <w:rFonts w:ascii="Times New Roman" w:hAnsi="Times New Roman" w:cs="Times New Roman"/>
          <w:i/>
          <w:iCs/>
          <w:color w:val="000000" w:themeColor="text1"/>
        </w:rPr>
        <w:t>NHS Trust v ABC &amp; a Local Authority,</w:t>
      </w:r>
      <w:r w:rsidRPr="004E41CA">
        <w:rPr>
          <w:rFonts w:ascii="Times New Roman" w:hAnsi="Times New Roman" w:cs="Times New Roman"/>
          <w:color w:val="000000" w:themeColor="text1"/>
        </w:rPr>
        <w:t xml:space="preserve"> Mostyn J holds that it is implicit that if the </w:t>
      </w:r>
      <w:r w:rsidRPr="004E41CA">
        <w:rPr>
          <w:rFonts w:ascii="Times New Roman" w:hAnsi="Times New Roman" w:cs="Times New Roman"/>
          <w:i/>
          <w:iCs/>
          <w:color w:val="000000" w:themeColor="text1"/>
        </w:rPr>
        <w:t>Gillick</w:t>
      </w:r>
      <w:r w:rsidRPr="004E41CA">
        <w:rPr>
          <w:rFonts w:ascii="Times New Roman" w:hAnsi="Times New Roman" w:cs="Times New Roman"/>
          <w:color w:val="000000" w:themeColor="text1"/>
        </w:rPr>
        <w:t xml:space="preserve"> threshold is reached, then a child is free to choose a treatment ‘even if the result of that would lead her to take steps which are wholly contrary to her best interests’.</w:t>
      </w:r>
      <w:r w:rsidRPr="004E41CA">
        <w:rPr>
          <w:rStyle w:val="FootnoteReference"/>
          <w:rFonts w:ascii="Times New Roman" w:hAnsi="Times New Roman" w:cs="Times New Roman"/>
          <w:color w:val="000000" w:themeColor="text1"/>
        </w:rPr>
        <w:t xml:space="preserve"> </w:t>
      </w:r>
      <w:r>
        <w:rPr>
          <w:rStyle w:val="FootnoteReference"/>
          <w:rFonts w:ascii="Times New Roman" w:hAnsi="Times New Roman" w:cs="Times New Roman"/>
          <w:color w:val="000000" w:themeColor="text1"/>
        </w:rPr>
        <w:footnoteReference w:id="95"/>
      </w:r>
      <w:r w:rsidRPr="004E41CA">
        <w:rPr>
          <w:rFonts w:ascii="Times New Roman" w:hAnsi="Times New Roman" w:cs="Times New Roman"/>
          <w:color w:val="000000" w:themeColor="text1"/>
        </w:rPr>
        <w:t xml:space="preserve"> </w:t>
      </w:r>
      <w:r w:rsidRPr="004E41CA">
        <w:rPr>
          <w:rFonts w:ascii="Times New Roman" w:hAnsi="Times New Roman" w:cs="Times New Roman"/>
          <w:i/>
          <w:iCs/>
          <w:color w:val="000000" w:themeColor="text1"/>
        </w:rPr>
        <w:t>PD v SD</w:t>
      </w:r>
      <w:r w:rsidRPr="004E41CA">
        <w:rPr>
          <w:rFonts w:ascii="Times New Roman" w:hAnsi="Times New Roman" w:cs="Times New Roman"/>
          <w:color w:val="000000" w:themeColor="text1"/>
        </w:rPr>
        <w:t xml:space="preserve">, a case involving </w:t>
      </w:r>
      <w:r w:rsidR="00B15343">
        <w:rPr>
          <w:rFonts w:ascii="Times New Roman" w:hAnsi="Times New Roman" w:cs="Times New Roman"/>
          <w:color w:val="000000" w:themeColor="text1"/>
        </w:rPr>
        <w:t>a</w:t>
      </w:r>
      <w:r w:rsidRPr="004E41CA">
        <w:rPr>
          <w:rFonts w:ascii="Times New Roman" w:hAnsi="Times New Roman" w:cs="Times New Roman"/>
          <w:color w:val="000000" w:themeColor="text1"/>
        </w:rPr>
        <w:t>16 year-old trans boy</w:t>
      </w:r>
      <w:r w:rsidR="00B15343">
        <w:rPr>
          <w:rFonts w:ascii="Times New Roman" w:hAnsi="Times New Roman" w:cs="Times New Roman"/>
          <w:color w:val="000000" w:themeColor="text1"/>
        </w:rPr>
        <w:t>’s desire</w:t>
      </w:r>
      <w:r w:rsidRPr="004E41CA">
        <w:rPr>
          <w:rFonts w:ascii="Times New Roman" w:hAnsi="Times New Roman" w:cs="Times New Roman"/>
          <w:color w:val="000000" w:themeColor="text1"/>
        </w:rPr>
        <w:t xml:space="preserve"> to keep his</w:t>
      </w:r>
      <w:r w:rsidR="00B15343">
        <w:rPr>
          <w:rFonts w:ascii="Times New Roman" w:hAnsi="Times New Roman" w:cs="Times New Roman"/>
          <w:color w:val="000000" w:themeColor="text1"/>
        </w:rPr>
        <w:t xml:space="preserve"> GIDS</w:t>
      </w:r>
      <w:r w:rsidRPr="004E41CA">
        <w:rPr>
          <w:rFonts w:ascii="Times New Roman" w:hAnsi="Times New Roman" w:cs="Times New Roman"/>
          <w:color w:val="000000" w:themeColor="text1"/>
        </w:rPr>
        <w:t xml:space="preserve"> treatment confidential from his </w:t>
      </w:r>
      <w:r w:rsidRPr="004E41CA">
        <w:rPr>
          <w:rFonts w:ascii="Times New Roman" w:hAnsi="Times New Roman" w:cs="Times New Roman"/>
          <w:color w:val="000000" w:themeColor="text1"/>
        </w:rPr>
        <w:lastRenderedPageBreak/>
        <w:t xml:space="preserve">adoptive parents, saw </w:t>
      </w:r>
      <w:proofErr w:type="spellStart"/>
      <w:r w:rsidRPr="004E41CA">
        <w:rPr>
          <w:rFonts w:ascii="Times New Roman" w:hAnsi="Times New Roman" w:cs="Times New Roman"/>
          <w:color w:val="000000" w:themeColor="text1"/>
        </w:rPr>
        <w:t>Keehan</w:t>
      </w:r>
      <w:proofErr w:type="spellEnd"/>
      <w:r w:rsidRPr="004E41CA">
        <w:rPr>
          <w:rFonts w:ascii="Times New Roman" w:hAnsi="Times New Roman" w:cs="Times New Roman"/>
          <w:color w:val="000000" w:themeColor="text1"/>
        </w:rPr>
        <w:t xml:space="preserve"> J proclaim that consent to medical treatment (by implication this involves PBs or CSH) is valid by virtue of the FLRA</w:t>
      </w:r>
      <w:r>
        <w:rPr>
          <w:rStyle w:val="FootnoteReference"/>
          <w:rFonts w:ascii="Times New Roman" w:hAnsi="Times New Roman" w:cs="Times New Roman"/>
          <w:color w:val="000000" w:themeColor="text1"/>
        </w:rPr>
        <w:footnoteReference w:id="96"/>
      </w:r>
      <w:r w:rsidRPr="004E41CA">
        <w:rPr>
          <w:rFonts w:ascii="Times New Roman" w:hAnsi="Times New Roman" w:cs="Times New Roman"/>
          <w:color w:val="000000" w:themeColor="text1"/>
        </w:rPr>
        <w:t xml:space="preserve"> </w:t>
      </w:r>
    </w:p>
    <w:p w14:paraId="2C92B186" w14:textId="6687C98E" w:rsidR="00886A76" w:rsidRDefault="00886A76" w:rsidP="00886A76">
      <w:pPr>
        <w:ind w:firstLine="720"/>
        <w:rPr>
          <w:rFonts w:ascii="Times New Roman" w:hAnsi="Times New Roman" w:cs="Times New Roman"/>
          <w:color w:val="000000" w:themeColor="text1"/>
        </w:rPr>
      </w:pPr>
      <w:r>
        <w:rPr>
          <w:rFonts w:ascii="Times New Roman" w:hAnsi="Times New Roman" w:cs="Times New Roman"/>
          <w:color w:val="000000" w:themeColor="text1"/>
        </w:rPr>
        <w:t>Feeding</w:t>
      </w:r>
      <w:r w:rsidR="00B15343">
        <w:rPr>
          <w:rFonts w:ascii="Times New Roman" w:hAnsi="Times New Roman" w:cs="Times New Roman"/>
          <w:color w:val="000000" w:themeColor="text1"/>
        </w:rPr>
        <w:t xml:space="preserve"> in</w:t>
      </w:r>
      <w:r>
        <w:rPr>
          <w:rFonts w:ascii="Times New Roman" w:hAnsi="Times New Roman" w:cs="Times New Roman"/>
          <w:color w:val="000000" w:themeColor="text1"/>
        </w:rPr>
        <w:t xml:space="preserve"> their assessments on the nature of GD and the categorisation of PBs as experimental, the court produced six key principles, as outlined in section III above. The determination that PBs are </w:t>
      </w:r>
      <w:r w:rsidRPr="00901D4C">
        <w:rPr>
          <w:rFonts w:ascii="Times New Roman" w:hAnsi="Times New Roman" w:cs="Times New Roman"/>
          <w:color w:val="000000" w:themeColor="text1"/>
        </w:rPr>
        <w:t xml:space="preserve">‘significant and life changing’ </w:t>
      </w:r>
      <w:r>
        <w:rPr>
          <w:rFonts w:ascii="Times New Roman" w:hAnsi="Times New Roman" w:cs="Times New Roman"/>
          <w:color w:val="000000" w:themeColor="text1"/>
        </w:rPr>
        <w:t xml:space="preserve">seems to stem from the problematic conclusion that </w:t>
      </w:r>
      <w:r w:rsidRPr="00B63A90">
        <w:rPr>
          <w:rFonts w:ascii="Times New Roman" w:hAnsi="Times New Roman" w:cs="Times New Roman"/>
          <w:color w:val="000000" w:themeColor="text1"/>
        </w:rPr>
        <w:t xml:space="preserve">the consequences which ‘flow from’ taking PBs necessarily include those that come from taking </w:t>
      </w:r>
      <w:r>
        <w:rPr>
          <w:rFonts w:ascii="Times New Roman" w:hAnsi="Times New Roman" w:cs="Times New Roman"/>
          <w:color w:val="000000" w:themeColor="text1"/>
        </w:rPr>
        <w:t>C</w:t>
      </w:r>
      <w:r w:rsidRPr="00B63A90">
        <w:rPr>
          <w:rFonts w:ascii="Times New Roman" w:hAnsi="Times New Roman" w:cs="Times New Roman"/>
          <w:color w:val="000000" w:themeColor="text1"/>
        </w:rPr>
        <w:t>SH</w:t>
      </w:r>
      <w:r>
        <w:rPr>
          <w:rFonts w:ascii="Times New Roman" w:hAnsi="Times New Roman" w:cs="Times New Roman"/>
          <w:color w:val="000000" w:themeColor="text1"/>
        </w:rPr>
        <w:t xml:space="preserve"> and to undertake </w:t>
      </w:r>
      <w:r w:rsidRPr="00B63A90">
        <w:rPr>
          <w:rFonts w:ascii="Times New Roman" w:hAnsi="Times New Roman" w:cs="Times New Roman"/>
          <w:color w:val="000000" w:themeColor="text1"/>
        </w:rPr>
        <w:t xml:space="preserve">separate </w:t>
      </w:r>
      <w:r w:rsidRPr="005A5071">
        <w:rPr>
          <w:rFonts w:ascii="Times New Roman" w:hAnsi="Times New Roman" w:cs="Times New Roman"/>
          <w:i/>
          <w:iCs/>
          <w:color w:val="000000" w:themeColor="text1"/>
        </w:rPr>
        <w:t>Gillick</w:t>
      </w:r>
      <w:r w:rsidRPr="00B63A90">
        <w:rPr>
          <w:rFonts w:ascii="Times New Roman" w:hAnsi="Times New Roman" w:cs="Times New Roman"/>
          <w:color w:val="000000" w:themeColor="text1"/>
        </w:rPr>
        <w:t xml:space="preserve"> assessments</w:t>
      </w:r>
      <w:r>
        <w:rPr>
          <w:rFonts w:ascii="Times New Roman" w:hAnsi="Times New Roman" w:cs="Times New Roman"/>
          <w:color w:val="000000" w:themeColor="text1"/>
        </w:rPr>
        <w:t xml:space="preserve"> for each</w:t>
      </w:r>
      <w:r w:rsidRPr="00B63A90">
        <w:rPr>
          <w:rFonts w:ascii="Times New Roman" w:hAnsi="Times New Roman" w:cs="Times New Roman"/>
          <w:color w:val="000000" w:themeColor="text1"/>
        </w:rPr>
        <w:t xml:space="preserve"> ‘does not reflect the reality’.</w:t>
      </w:r>
      <w:r w:rsidRPr="00B63A90">
        <w:rPr>
          <w:rStyle w:val="FootnoteReference"/>
          <w:rFonts w:ascii="Times New Roman" w:hAnsi="Times New Roman" w:cs="Times New Roman"/>
          <w:color w:val="000000" w:themeColor="text1"/>
        </w:rPr>
        <w:footnoteReference w:id="97"/>
      </w:r>
      <w:r>
        <w:rPr>
          <w:rFonts w:ascii="Times New Roman" w:hAnsi="Times New Roman" w:cs="Times New Roman"/>
          <w:color w:val="000000" w:themeColor="text1"/>
        </w:rPr>
        <w:t xml:space="preserve"> The requirement that the child should show sufficient understanding of the salient facts,</w:t>
      </w:r>
      <w:r>
        <w:rPr>
          <w:rStyle w:val="FootnoteReference"/>
          <w:rFonts w:ascii="Times New Roman" w:hAnsi="Times New Roman" w:cs="Times New Roman"/>
          <w:color w:val="000000" w:themeColor="text1"/>
        </w:rPr>
        <w:footnoteReference w:id="98"/>
      </w:r>
      <w:r>
        <w:rPr>
          <w:rFonts w:ascii="Times New Roman" w:hAnsi="Times New Roman" w:cs="Times New Roman"/>
          <w:color w:val="000000" w:themeColor="text1"/>
        </w:rPr>
        <w:t xml:space="preserve"> indicates that information provision </w:t>
      </w:r>
      <w:r w:rsidRPr="006B58C4">
        <w:rPr>
          <w:rFonts w:ascii="Times New Roman" w:hAnsi="Times New Roman" w:cs="Times New Roman"/>
          <w:i/>
          <w:iCs/>
          <w:color w:val="000000" w:themeColor="text1"/>
        </w:rPr>
        <w:t>is</w:t>
      </w:r>
      <w:r>
        <w:rPr>
          <w:rFonts w:ascii="Times New Roman" w:hAnsi="Times New Roman" w:cs="Times New Roman"/>
          <w:color w:val="000000" w:themeColor="text1"/>
        </w:rPr>
        <w:t xml:space="preserve"> used as an aspect of achieving </w:t>
      </w:r>
      <w:r w:rsidRPr="006B58C4">
        <w:rPr>
          <w:rFonts w:ascii="Times New Roman" w:hAnsi="Times New Roman" w:cs="Times New Roman"/>
          <w:i/>
          <w:iCs/>
          <w:color w:val="000000" w:themeColor="text1"/>
        </w:rPr>
        <w:t>Gillick</w:t>
      </w:r>
      <w:r>
        <w:rPr>
          <w:rFonts w:ascii="Times New Roman" w:hAnsi="Times New Roman" w:cs="Times New Roman"/>
          <w:color w:val="000000" w:themeColor="text1"/>
        </w:rPr>
        <w:t xml:space="preserve"> competence, despite the claims of the court to keep the two issues separate. Additionally, there is a disconnect between the requirement for an explanation ‘in broad terms’, yet the need to understand ‘salient facts’; the nature of which maybe such that ‘</w:t>
      </w:r>
      <w:r w:rsidRPr="00901D4C">
        <w:rPr>
          <w:rFonts w:ascii="Times New Roman" w:hAnsi="Times New Roman" w:cs="Times New Roman"/>
          <w:i/>
          <w:iCs/>
          <w:color w:val="000000" w:themeColor="text1"/>
        </w:rPr>
        <w:t>Gillick</w:t>
      </w:r>
      <w:r>
        <w:rPr>
          <w:rFonts w:ascii="Times New Roman" w:hAnsi="Times New Roman" w:cs="Times New Roman"/>
          <w:color w:val="000000" w:themeColor="text1"/>
        </w:rPr>
        <w:t xml:space="preserve"> competence cannot be achieved, however much information and supportive discussion is undertaken’.</w:t>
      </w:r>
      <w:r>
        <w:rPr>
          <w:rStyle w:val="FootnoteReference"/>
          <w:rFonts w:ascii="Times New Roman" w:hAnsi="Times New Roman" w:cs="Times New Roman"/>
          <w:color w:val="000000" w:themeColor="text1"/>
        </w:rPr>
        <w:footnoteReference w:id="99"/>
      </w:r>
      <w:r>
        <w:rPr>
          <w:rFonts w:ascii="Times New Roman" w:hAnsi="Times New Roman" w:cs="Times New Roman"/>
          <w:color w:val="000000" w:themeColor="text1"/>
        </w:rPr>
        <w:t xml:space="preserve"> Eight factors were listed that a child has to understand, retain and weigh,</w:t>
      </w:r>
      <w:r>
        <w:rPr>
          <w:rStyle w:val="FootnoteReference"/>
          <w:rFonts w:ascii="Times New Roman" w:hAnsi="Times New Roman" w:cs="Times New Roman"/>
          <w:color w:val="000000" w:themeColor="text1"/>
        </w:rPr>
        <w:footnoteReference w:id="100"/>
      </w:r>
      <w:r>
        <w:rPr>
          <w:rFonts w:ascii="Times New Roman" w:hAnsi="Times New Roman" w:cs="Times New Roman"/>
          <w:color w:val="000000" w:themeColor="text1"/>
        </w:rPr>
        <w:t xml:space="preserve"> (again, referring to MCA principles),</w:t>
      </w:r>
      <w:r w:rsidRPr="005A5071">
        <w:rPr>
          <w:rStyle w:val="FootnoteReference"/>
          <w:rFonts w:ascii="Times New Roman" w:hAnsi="Times New Roman" w:cs="Times New Roman"/>
          <w:color w:val="000000" w:themeColor="text1"/>
        </w:rPr>
        <w:t xml:space="preserve"> </w:t>
      </w:r>
      <w:r>
        <w:rPr>
          <w:rStyle w:val="FootnoteReference"/>
          <w:rFonts w:ascii="Times New Roman" w:hAnsi="Times New Roman" w:cs="Times New Roman"/>
          <w:color w:val="000000" w:themeColor="text1"/>
        </w:rPr>
        <w:footnoteReference w:id="101"/>
      </w:r>
      <w:r>
        <w:rPr>
          <w:rFonts w:ascii="Times New Roman" w:hAnsi="Times New Roman" w:cs="Times New Roman"/>
          <w:color w:val="000000" w:themeColor="text1"/>
        </w:rPr>
        <w:t xml:space="preserve"> most of which conflated PBS and CSH. First, t</w:t>
      </w:r>
      <w:r w:rsidRPr="00EB03BB">
        <w:rPr>
          <w:rFonts w:ascii="Times New Roman" w:hAnsi="Times New Roman" w:cs="Times New Roman"/>
          <w:color w:val="000000" w:themeColor="text1"/>
        </w:rPr>
        <w:t>he immediate physical and psychological consequences of treatment</w:t>
      </w:r>
      <w:r>
        <w:rPr>
          <w:rFonts w:ascii="Times New Roman" w:hAnsi="Times New Roman" w:cs="Times New Roman"/>
          <w:color w:val="000000" w:themeColor="text1"/>
        </w:rPr>
        <w:t>. Second, that they are on a pathway where the majority go on to take CSH. Third, the r</w:t>
      </w:r>
      <w:r w:rsidRPr="00EB03BB">
        <w:rPr>
          <w:rFonts w:ascii="Times New Roman" w:hAnsi="Times New Roman" w:cs="Times New Roman"/>
          <w:color w:val="000000" w:themeColor="text1"/>
        </w:rPr>
        <w:t>elationship between CSH and surgery (and its implications)</w:t>
      </w:r>
      <w:r>
        <w:rPr>
          <w:rFonts w:ascii="Times New Roman" w:hAnsi="Times New Roman" w:cs="Times New Roman"/>
          <w:color w:val="000000" w:themeColor="text1"/>
        </w:rPr>
        <w:t>. Fourth, t</w:t>
      </w:r>
      <w:r w:rsidRPr="00EB03BB">
        <w:rPr>
          <w:rFonts w:ascii="Times New Roman" w:hAnsi="Times New Roman" w:cs="Times New Roman"/>
          <w:color w:val="000000" w:themeColor="text1"/>
        </w:rPr>
        <w:t>hat CSH may lead to loss of fertility</w:t>
      </w:r>
      <w:r>
        <w:rPr>
          <w:rFonts w:ascii="Times New Roman" w:hAnsi="Times New Roman" w:cs="Times New Roman"/>
          <w:color w:val="000000" w:themeColor="text1"/>
        </w:rPr>
        <w:t>. Fifth, the i</w:t>
      </w:r>
      <w:r w:rsidRPr="00EB03BB">
        <w:rPr>
          <w:rFonts w:ascii="Times New Roman" w:hAnsi="Times New Roman" w:cs="Times New Roman"/>
          <w:color w:val="000000" w:themeColor="text1"/>
        </w:rPr>
        <w:t>mpact of CSH on sexual function</w:t>
      </w:r>
      <w:r>
        <w:rPr>
          <w:rFonts w:ascii="Times New Roman" w:hAnsi="Times New Roman" w:cs="Times New Roman"/>
          <w:color w:val="000000" w:themeColor="text1"/>
        </w:rPr>
        <w:t>. Sixth, the i</w:t>
      </w:r>
      <w:r w:rsidRPr="00EB03BB">
        <w:rPr>
          <w:rFonts w:ascii="Times New Roman" w:hAnsi="Times New Roman" w:cs="Times New Roman"/>
          <w:color w:val="000000" w:themeColor="text1"/>
        </w:rPr>
        <w:t>mpact on future and life-long relationships</w:t>
      </w:r>
      <w:r>
        <w:rPr>
          <w:rFonts w:ascii="Times New Roman" w:hAnsi="Times New Roman" w:cs="Times New Roman"/>
          <w:color w:val="000000" w:themeColor="text1"/>
        </w:rPr>
        <w:t>. Seventh, the u</w:t>
      </w:r>
      <w:r w:rsidRPr="00EB03BB">
        <w:rPr>
          <w:rFonts w:ascii="Times New Roman" w:hAnsi="Times New Roman" w:cs="Times New Roman"/>
          <w:color w:val="000000" w:themeColor="text1"/>
        </w:rPr>
        <w:t>nknown physical consequences of taking PBs</w:t>
      </w:r>
      <w:r>
        <w:rPr>
          <w:rFonts w:ascii="Times New Roman" w:hAnsi="Times New Roman" w:cs="Times New Roman"/>
          <w:color w:val="000000" w:themeColor="text1"/>
        </w:rPr>
        <w:t>. Eighth, that the e</w:t>
      </w:r>
      <w:r w:rsidRPr="00EB03BB">
        <w:rPr>
          <w:rFonts w:ascii="Times New Roman" w:hAnsi="Times New Roman" w:cs="Times New Roman"/>
          <w:color w:val="000000" w:themeColor="text1"/>
        </w:rPr>
        <w:t xml:space="preserve">vidence base is highly uncertain. </w:t>
      </w:r>
      <w:r>
        <w:rPr>
          <w:rStyle w:val="FootnoteReference"/>
          <w:rFonts w:ascii="Times New Roman" w:hAnsi="Times New Roman" w:cs="Times New Roman"/>
          <w:color w:val="000000" w:themeColor="text1"/>
        </w:rPr>
        <w:footnoteReference w:id="102"/>
      </w:r>
      <w:r>
        <w:rPr>
          <w:rFonts w:ascii="Times New Roman" w:hAnsi="Times New Roman" w:cs="Times New Roman"/>
          <w:color w:val="000000" w:themeColor="text1"/>
        </w:rPr>
        <w:t xml:space="preserve"> These eight factors can be summed up as all of the (real and perceived) risks and none of the benefits!</w:t>
      </w:r>
    </w:p>
    <w:p w14:paraId="12B11ADA" w14:textId="756CE090" w:rsidR="00886A76" w:rsidRPr="00D30D78" w:rsidRDefault="00886A76" w:rsidP="00886A76">
      <w:pPr>
        <w:ind w:firstLine="720"/>
        <w:rPr>
          <w:rFonts w:ascii="Times New Roman" w:eastAsia="Times New Roman" w:hAnsi="Times New Roman" w:cs="Times New Roman"/>
        </w:rPr>
      </w:pPr>
      <w:r>
        <w:rPr>
          <w:rFonts w:ascii="Times New Roman" w:hAnsi="Times New Roman" w:cs="Times New Roman"/>
          <w:color w:val="000000" w:themeColor="text1"/>
        </w:rPr>
        <w:t>The implications of this finding are hugely concerning. Requiring children to understand factors which relate not only to PBs but also to CSH,</w:t>
      </w:r>
      <w:r>
        <w:rPr>
          <w:rStyle w:val="FootnoteReference"/>
          <w:rFonts w:ascii="Times New Roman" w:hAnsi="Times New Roman" w:cs="Times New Roman"/>
          <w:color w:val="000000" w:themeColor="text1"/>
        </w:rPr>
        <w:footnoteReference w:id="103"/>
      </w:r>
      <w:r>
        <w:rPr>
          <w:rFonts w:ascii="Times New Roman" w:hAnsi="Times New Roman" w:cs="Times New Roman"/>
          <w:color w:val="000000" w:themeColor="text1"/>
        </w:rPr>
        <w:t xml:space="preserve"> undermines the decision-specific principle set out in </w:t>
      </w:r>
      <w:r w:rsidRPr="00AC1FF6">
        <w:rPr>
          <w:rFonts w:ascii="Times New Roman" w:hAnsi="Times New Roman" w:cs="Times New Roman"/>
          <w:i/>
          <w:iCs/>
          <w:color w:val="000000" w:themeColor="text1"/>
        </w:rPr>
        <w:t>Gillick</w:t>
      </w:r>
      <w:r>
        <w:rPr>
          <w:rFonts w:ascii="Times New Roman" w:hAnsi="Times New Roman" w:cs="Times New Roman"/>
          <w:color w:val="000000" w:themeColor="text1"/>
        </w:rPr>
        <w:t>. The court contends that the child’s understanding of how loss of fertility will affect their adult life, or their attitude to having biological children or experiencing sexual fulfilment, is ‘likely to change between childhood and adulthood’.</w:t>
      </w:r>
      <w:r>
        <w:rPr>
          <w:rStyle w:val="FootnoteReference"/>
          <w:rFonts w:ascii="Times New Roman" w:hAnsi="Times New Roman" w:cs="Times New Roman"/>
          <w:color w:val="000000" w:themeColor="text1"/>
        </w:rPr>
        <w:footnoteReference w:id="104"/>
      </w:r>
      <w:r>
        <w:rPr>
          <w:rFonts w:ascii="Times New Roman" w:hAnsi="Times New Roman" w:cs="Times New Roman"/>
          <w:color w:val="000000" w:themeColor="text1"/>
        </w:rPr>
        <w:t xml:space="preserve"> This goes far beyond Lord Fraser’s requirement of understanding ‘moral and family’ questions in </w:t>
      </w:r>
      <w:r w:rsidRPr="00810B89">
        <w:rPr>
          <w:rFonts w:ascii="Times New Roman" w:hAnsi="Times New Roman" w:cs="Times New Roman"/>
          <w:i/>
          <w:iCs/>
          <w:color w:val="000000" w:themeColor="text1"/>
        </w:rPr>
        <w:t>Gillick</w:t>
      </w:r>
      <w:r>
        <w:rPr>
          <w:rFonts w:ascii="Times New Roman" w:hAnsi="Times New Roman" w:cs="Times New Roman"/>
          <w:color w:val="000000" w:themeColor="text1"/>
        </w:rPr>
        <w:t>,</w:t>
      </w:r>
      <w:r>
        <w:rPr>
          <w:rStyle w:val="FootnoteReference"/>
          <w:rFonts w:ascii="Times New Roman" w:eastAsia="Times New Roman" w:hAnsi="Times New Roman" w:cs="Times New Roman"/>
        </w:rPr>
        <w:footnoteReference w:id="105"/>
      </w:r>
      <w:r>
        <w:rPr>
          <w:rFonts w:ascii="Times New Roman" w:eastAsia="Times New Roman" w:hAnsi="Times New Roman" w:cs="Times New Roman"/>
        </w:rPr>
        <w:t xml:space="preserve"> </w:t>
      </w:r>
      <w:r>
        <w:rPr>
          <w:rFonts w:ascii="Times New Roman" w:hAnsi="Times New Roman" w:cs="Times New Roman"/>
          <w:color w:val="000000" w:themeColor="text1"/>
        </w:rPr>
        <w:t>and</w:t>
      </w:r>
      <w:r w:rsidR="00B15343">
        <w:rPr>
          <w:rFonts w:ascii="Times New Roman" w:hAnsi="Times New Roman" w:cs="Times New Roman"/>
          <w:color w:val="000000" w:themeColor="text1"/>
        </w:rPr>
        <w:t xml:space="preserve"> is unfair to expect 13-year olds to understand factors that relate only to CSH, which they are ineligible to receive until at least 16.</w:t>
      </w:r>
      <w:r>
        <w:rPr>
          <w:rFonts w:ascii="Times New Roman" w:hAnsi="Times New Roman" w:cs="Times New Roman"/>
          <w:color w:val="000000" w:themeColor="text1"/>
        </w:rPr>
        <w:t xml:space="preserve"> </w:t>
      </w:r>
      <w:r w:rsidR="00B15343">
        <w:rPr>
          <w:rFonts w:ascii="Times New Roman" w:hAnsi="Times New Roman" w:cs="Times New Roman"/>
          <w:color w:val="000000" w:themeColor="text1"/>
        </w:rPr>
        <w:t>As</w:t>
      </w:r>
      <w:r>
        <w:rPr>
          <w:rFonts w:ascii="Times New Roman" w:hAnsi="Times New Roman" w:cs="Times New Roman"/>
          <w:color w:val="000000" w:themeColor="text1"/>
        </w:rPr>
        <w:t xml:space="preserve"> Duffy posits, the courts have chosen to ‘use a reasonable-person standard that it is holding high above the heads of children’.</w:t>
      </w:r>
      <w:r>
        <w:rPr>
          <w:rStyle w:val="FootnoteReference"/>
          <w:rFonts w:ascii="Times New Roman" w:hAnsi="Times New Roman" w:cs="Times New Roman"/>
          <w:color w:val="000000" w:themeColor="text1"/>
        </w:rPr>
        <w:footnoteReference w:id="106"/>
      </w:r>
      <w:r>
        <w:rPr>
          <w:rFonts w:ascii="Times New Roman" w:hAnsi="Times New Roman" w:cs="Times New Roman"/>
          <w:color w:val="000000" w:themeColor="text1"/>
        </w:rPr>
        <w:t xml:space="preserve"> It is questionable whether these issues are much easier to understand even at 18, yet adult decision-making is unfettered despite the marked difference in outlook and experience between young adults and the middle-aged. </w:t>
      </w:r>
      <w:r>
        <w:rPr>
          <w:rFonts w:ascii="Times New Roman" w:hAnsi="Times New Roman" w:cs="Times New Roman"/>
        </w:rPr>
        <w:t>R</w:t>
      </w:r>
      <w:r w:rsidRPr="009668CE">
        <w:rPr>
          <w:rFonts w:ascii="Times New Roman" w:hAnsi="Times New Roman" w:cs="Times New Roman"/>
        </w:rPr>
        <w:t>el</w:t>
      </w:r>
      <w:r>
        <w:rPr>
          <w:rFonts w:ascii="Times New Roman" w:hAnsi="Times New Roman" w:cs="Times New Roman"/>
        </w:rPr>
        <w:t>ying</w:t>
      </w:r>
      <w:r w:rsidRPr="009668CE">
        <w:rPr>
          <w:rFonts w:ascii="Times New Roman" w:hAnsi="Times New Roman" w:cs="Times New Roman"/>
        </w:rPr>
        <w:t xml:space="preserve"> on evidence of neuroscientist Professor Scott</w:t>
      </w:r>
      <w:r>
        <w:rPr>
          <w:rFonts w:ascii="Times New Roman" w:hAnsi="Times New Roman" w:cs="Times New Roman"/>
        </w:rPr>
        <w:t xml:space="preserve">, the court was persuaded that </w:t>
      </w:r>
      <w:r w:rsidRPr="009668CE">
        <w:rPr>
          <w:rFonts w:ascii="Times New Roman" w:hAnsi="Times New Roman" w:cs="Times New Roman"/>
        </w:rPr>
        <w:t>under 18s making</w:t>
      </w:r>
      <w:r>
        <w:rPr>
          <w:rFonts w:ascii="Times New Roman" w:hAnsi="Times New Roman" w:cs="Times New Roman"/>
        </w:rPr>
        <w:t xml:space="preserve"> “emotional”</w:t>
      </w:r>
      <w:r w:rsidRPr="009668CE">
        <w:rPr>
          <w:rFonts w:ascii="Times New Roman" w:hAnsi="Times New Roman" w:cs="Times New Roman"/>
        </w:rPr>
        <w:t xml:space="preserve"> decisions are more likely to make different, more risky decisions than adults.</w:t>
      </w:r>
      <w:r w:rsidRPr="009668CE">
        <w:rPr>
          <w:rStyle w:val="FootnoteReference"/>
          <w:rFonts w:ascii="Times New Roman" w:hAnsi="Times New Roman" w:cs="Times New Roman"/>
        </w:rPr>
        <w:footnoteReference w:id="107"/>
      </w:r>
      <w:r>
        <w:rPr>
          <w:rFonts w:ascii="Times New Roman" w:hAnsi="Times New Roman" w:cs="Times New Roman"/>
        </w:rPr>
        <w:t xml:space="preserve"> But Giordano, Garland and Holm question the invalidation of decision-making due to emotional investment.</w:t>
      </w:r>
      <w:r>
        <w:rPr>
          <w:rStyle w:val="FootnoteReference"/>
          <w:rFonts w:ascii="Times New Roman" w:hAnsi="Times New Roman" w:cs="Times New Roman"/>
        </w:rPr>
        <w:footnoteReference w:id="108"/>
      </w:r>
      <w:r>
        <w:rPr>
          <w:rFonts w:ascii="Times New Roman" w:hAnsi="Times New Roman" w:cs="Times New Roman"/>
        </w:rPr>
        <w:t xml:space="preserve"> Many </w:t>
      </w:r>
      <w:r>
        <w:rPr>
          <w:rFonts w:ascii="Times New Roman" w:hAnsi="Times New Roman" w:cs="Times New Roman"/>
        </w:rPr>
        <w:lastRenderedPageBreak/>
        <w:t>healthcare decisions, such</w:t>
      </w:r>
      <w:r w:rsidR="0032440D">
        <w:rPr>
          <w:rFonts w:ascii="Times New Roman" w:hAnsi="Times New Roman" w:cs="Times New Roman"/>
        </w:rPr>
        <w:t xml:space="preserve"> as</w:t>
      </w:r>
      <w:bookmarkStart w:id="0" w:name="_GoBack"/>
      <w:bookmarkEnd w:id="0"/>
      <w:r>
        <w:rPr>
          <w:rFonts w:ascii="Times New Roman" w:hAnsi="Times New Roman" w:cs="Times New Roman"/>
        </w:rPr>
        <w:t xml:space="preserve"> abortion or organ transplantation, would equally involve strong feelings. Indeed, ‘there is nothing emotionally special about the treatment of gender diverse minors’.</w:t>
      </w:r>
      <w:r>
        <w:rPr>
          <w:rStyle w:val="FootnoteReference"/>
          <w:rFonts w:ascii="Times New Roman" w:hAnsi="Times New Roman" w:cs="Times New Roman"/>
        </w:rPr>
        <w:footnoteReference w:id="109"/>
      </w:r>
      <w:r w:rsidRPr="009668CE">
        <w:rPr>
          <w:rFonts w:ascii="Times New Roman" w:hAnsi="Times New Roman" w:cs="Times New Roman"/>
        </w:rPr>
        <w:t xml:space="preserve"> </w:t>
      </w:r>
      <w:r>
        <w:rPr>
          <w:rFonts w:ascii="Times New Roman" w:hAnsi="Times New Roman" w:cs="Times New Roman"/>
        </w:rPr>
        <w:t>T</w:t>
      </w:r>
      <w:r>
        <w:rPr>
          <w:rFonts w:ascii="Times New Roman" w:hAnsi="Times New Roman" w:cs="Times New Roman"/>
          <w:color w:val="000000" w:themeColor="text1"/>
        </w:rPr>
        <w:t xml:space="preserve">he </w:t>
      </w:r>
      <w:r w:rsidRPr="009668CE">
        <w:rPr>
          <w:rFonts w:ascii="Times New Roman" w:hAnsi="Times New Roman" w:cs="Times New Roman"/>
          <w:color w:val="000000" w:themeColor="text1"/>
        </w:rPr>
        <w:t xml:space="preserve">court in </w:t>
      </w:r>
      <w:r w:rsidRPr="009668CE">
        <w:rPr>
          <w:rFonts w:ascii="Times New Roman" w:hAnsi="Times New Roman" w:cs="Times New Roman"/>
          <w:i/>
          <w:iCs/>
          <w:color w:val="000000" w:themeColor="text1"/>
        </w:rPr>
        <w:t>Bell</w:t>
      </w:r>
      <w:r w:rsidRPr="009668CE">
        <w:rPr>
          <w:rFonts w:ascii="Times New Roman" w:hAnsi="Times New Roman" w:cs="Times New Roman"/>
          <w:color w:val="000000" w:themeColor="text1"/>
        </w:rPr>
        <w:t xml:space="preserve"> went further still,</w:t>
      </w:r>
      <w:r>
        <w:rPr>
          <w:rFonts w:ascii="Times New Roman" w:hAnsi="Times New Roman" w:cs="Times New Roman"/>
          <w:color w:val="000000" w:themeColor="text1"/>
        </w:rPr>
        <w:t xml:space="preserve"> by</w:t>
      </w:r>
      <w:r w:rsidRPr="009668CE">
        <w:rPr>
          <w:rFonts w:ascii="Times New Roman" w:hAnsi="Times New Roman" w:cs="Times New Roman"/>
          <w:color w:val="000000" w:themeColor="text1"/>
        </w:rPr>
        <w:t xml:space="preserve"> also</w:t>
      </w:r>
      <w:r>
        <w:rPr>
          <w:rFonts w:ascii="Times New Roman" w:hAnsi="Times New Roman" w:cs="Times New Roman"/>
          <w:color w:val="000000" w:themeColor="text1"/>
        </w:rPr>
        <w:t xml:space="preserve"> undermining</w:t>
      </w:r>
      <w:r w:rsidRPr="009668CE">
        <w:rPr>
          <w:rFonts w:ascii="Times New Roman" w:hAnsi="Times New Roman" w:cs="Times New Roman"/>
          <w:color w:val="000000" w:themeColor="text1"/>
        </w:rPr>
        <w:t xml:space="preserve"> person-specificity</w:t>
      </w:r>
      <w:r>
        <w:rPr>
          <w:rFonts w:ascii="Times New Roman" w:hAnsi="Times New Roman" w:cs="Times New Roman"/>
          <w:color w:val="000000" w:themeColor="text1"/>
        </w:rPr>
        <w:t>. It</w:t>
      </w:r>
      <w:r w:rsidRPr="009668CE">
        <w:rPr>
          <w:rFonts w:ascii="Times New Roman" w:hAnsi="Times New Roman" w:cs="Times New Roman"/>
          <w:color w:val="000000" w:themeColor="text1"/>
        </w:rPr>
        <w:t xml:space="preserve"> set out broad age</w:t>
      </w:r>
      <w:r>
        <w:rPr>
          <w:rFonts w:ascii="Times New Roman" w:hAnsi="Times New Roman" w:cs="Times New Roman"/>
          <w:color w:val="000000" w:themeColor="text1"/>
        </w:rPr>
        <w:t>-</w:t>
      </w:r>
      <w:r w:rsidRPr="009668CE">
        <w:rPr>
          <w:rFonts w:ascii="Times New Roman" w:hAnsi="Times New Roman" w:cs="Times New Roman"/>
          <w:color w:val="000000" w:themeColor="text1"/>
        </w:rPr>
        <w:t>based categories and conclud</w:t>
      </w:r>
      <w:r>
        <w:rPr>
          <w:rFonts w:ascii="Times New Roman" w:hAnsi="Times New Roman" w:cs="Times New Roman"/>
          <w:color w:val="000000" w:themeColor="text1"/>
        </w:rPr>
        <w:t>ed</w:t>
      </w:r>
      <w:r w:rsidRPr="009668CE">
        <w:rPr>
          <w:rFonts w:ascii="Times New Roman" w:hAnsi="Times New Roman" w:cs="Times New Roman"/>
          <w:color w:val="000000" w:themeColor="text1"/>
        </w:rPr>
        <w:t xml:space="preserve"> that within them </w:t>
      </w:r>
      <w:r w:rsidRPr="009668CE">
        <w:rPr>
          <w:rFonts w:ascii="Times New Roman" w:hAnsi="Times New Roman" w:cs="Times New Roman"/>
          <w:i/>
          <w:iCs/>
          <w:color w:val="000000" w:themeColor="text1"/>
        </w:rPr>
        <w:t>Gillick</w:t>
      </w:r>
      <w:r w:rsidRPr="009668CE">
        <w:rPr>
          <w:rFonts w:ascii="Times New Roman" w:hAnsi="Times New Roman" w:cs="Times New Roman"/>
          <w:color w:val="000000" w:themeColor="text1"/>
        </w:rPr>
        <w:t xml:space="preserve"> competence of trans children of under 13 was ‘highly unlikely’ and for 14 and 15-year olds ‘very doubtful</w:t>
      </w:r>
      <w:r>
        <w:rPr>
          <w:rFonts w:ascii="Times New Roman" w:hAnsi="Times New Roman" w:cs="Times New Roman"/>
          <w:color w:val="000000" w:themeColor="text1"/>
        </w:rPr>
        <w:t>’</w:t>
      </w:r>
      <w:r w:rsidRPr="009668CE">
        <w:rPr>
          <w:rFonts w:ascii="Times New Roman" w:hAnsi="Times New Roman" w:cs="Times New Roman"/>
          <w:color w:val="000000" w:themeColor="text1"/>
        </w:rPr>
        <w:t>.</w:t>
      </w:r>
      <w:r w:rsidRPr="009668CE">
        <w:rPr>
          <w:rStyle w:val="FootnoteReference"/>
          <w:rFonts w:ascii="Times New Roman" w:hAnsi="Times New Roman" w:cs="Times New Roman"/>
          <w:color w:val="000000" w:themeColor="text1"/>
        </w:rPr>
        <w:footnoteReference w:id="110"/>
      </w:r>
      <w:r w:rsidRPr="009668C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This could be a </w:t>
      </w:r>
      <w:r w:rsidRPr="009668CE">
        <w:rPr>
          <w:rFonts w:ascii="Times New Roman" w:hAnsi="Times New Roman" w:cs="Times New Roman"/>
          <w:color w:val="000000" w:themeColor="text1"/>
        </w:rPr>
        <w:t>reaction to</w:t>
      </w:r>
      <w:r>
        <w:rPr>
          <w:rFonts w:ascii="Times New Roman" w:hAnsi="Times New Roman" w:cs="Times New Roman"/>
          <w:color w:val="000000" w:themeColor="text1"/>
        </w:rPr>
        <w:t xml:space="preserve"> the court’s</w:t>
      </w:r>
      <w:r w:rsidRPr="009668CE">
        <w:rPr>
          <w:rFonts w:ascii="Times New Roman" w:hAnsi="Times New Roman" w:cs="Times New Roman"/>
          <w:color w:val="000000" w:themeColor="text1"/>
        </w:rPr>
        <w:t xml:space="preserve"> apparent worry that the </w:t>
      </w:r>
      <w:r w:rsidRPr="009668CE">
        <w:rPr>
          <w:rFonts w:ascii="Times New Roman" w:hAnsi="Times New Roman" w:cs="Times New Roman"/>
        </w:rPr>
        <w:t xml:space="preserve">assessment process was not robust enough </w:t>
      </w:r>
      <w:r>
        <w:rPr>
          <w:rFonts w:ascii="Times New Roman" w:hAnsi="Times New Roman" w:cs="Times New Roman"/>
        </w:rPr>
        <w:t xml:space="preserve">because </w:t>
      </w:r>
      <w:r w:rsidRPr="009668CE">
        <w:rPr>
          <w:rFonts w:ascii="Times New Roman" w:hAnsi="Times New Roman" w:cs="Times New Roman"/>
        </w:rPr>
        <w:t>‘it was extremely unusual for either GIDS or the Trusts to refuse to give PBs on the ground that the young person was not competent to give consent’.</w:t>
      </w:r>
      <w:r w:rsidRPr="009668CE">
        <w:rPr>
          <w:rStyle w:val="FootnoteReference"/>
          <w:rFonts w:ascii="Times New Roman" w:hAnsi="Times New Roman" w:cs="Times New Roman"/>
        </w:rPr>
        <w:footnoteReference w:id="111"/>
      </w:r>
      <w:r w:rsidRPr="009668CE">
        <w:rPr>
          <w:rFonts w:ascii="Times New Roman" w:hAnsi="Times New Roman" w:cs="Times New Roman"/>
        </w:rPr>
        <w:t xml:space="preserve"> Fletcher rightly observes that this blanket approach is contrary to the trend towards facilitating capacity in a person-specific way, </w:t>
      </w:r>
      <w:r w:rsidR="009A4EB9">
        <w:rPr>
          <w:rFonts w:ascii="Times New Roman" w:hAnsi="Times New Roman" w:cs="Times New Roman"/>
        </w:rPr>
        <w:t xml:space="preserve">and </w:t>
      </w:r>
      <w:r w:rsidRPr="009668CE">
        <w:rPr>
          <w:rFonts w:ascii="Times New Roman" w:hAnsi="Times New Roman" w:cs="Times New Roman"/>
        </w:rPr>
        <w:t>directly pit</w:t>
      </w:r>
      <w:r w:rsidR="009A4EB9">
        <w:rPr>
          <w:rFonts w:ascii="Times New Roman" w:hAnsi="Times New Roman" w:cs="Times New Roman"/>
        </w:rPr>
        <w:t>s</w:t>
      </w:r>
      <w:r w:rsidRPr="009668CE">
        <w:rPr>
          <w:rFonts w:ascii="Times New Roman" w:hAnsi="Times New Roman" w:cs="Times New Roman"/>
        </w:rPr>
        <w:t xml:space="preserve"> issues of functionality against those of status.</w:t>
      </w:r>
      <w:r w:rsidRPr="009668CE">
        <w:rPr>
          <w:rStyle w:val="FootnoteReference"/>
          <w:rFonts w:ascii="Times New Roman" w:hAnsi="Times New Roman" w:cs="Times New Roman"/>
        </w:rPr>
        <w:footnoteReference w:id="112"/>
      </w:r>
      <w:r w:rsidRPr="009668CE">
        <w:rPr>
          <w:rFonts w:ascii="Times New Roman" w:hAnsi="Times New Roman" w:cs="Times New Roman"/>
        </w:rPr>
        <w:t xml:space="preserve"> </w:t>
      </w:r>
      <w:r>
        <w:rPr>
          <w:rFonts w:ascii="Times New Roman" w:hAnsi="Times New Roman" w:cs="Times New Roman"/>
          <w:color w:val="000000" w:themeColor="text1"/>
        </w:rPr>
        <w:t xml:space="preserve">It is also in opposition to the paramountcy of the </w:t>
      </w:r>
      <w:r w:rsidRPr="009668CE">
        <w:rPr>
          <w:rFonts w:ascii="Times New Roman" w:hAnsi="Times New Roman" w:cs="Times New Roman"/>
          <w:color w:val="000000" w:themeColor="text1"/>
        </w:rPr>
        <w:t xml:space="preserve">welfare of the individual child as </w:t>
      </w:r>
      <w:r>
        <w:rPr>
          <w:rFonts w:ascii="Times New Roman" w:hAnsi="Times New Roman" w:cs="Times New Roman"/>
          <w:color w:val="000000" w:themeColor="text1"/>
        </w:rPr>
        <w:t xml:space="preserve">per the </w:t>
      </w:r>
      <w:r w:rsidRPr="009668CE">
        <w:rPr>
          <w:rFonts w:ascii="Times New Roman" w:hAnsi="Times New Roman" w:cs="Times New Roman"/>
          <w:color w:val="000000" w:themeColor="text1"/>
        </w:rPr>
        <w:t>Children Act 1989.</w:t>
      </w:r>
      <w:r w:rsidRPr="009668CE">
        <w:rPr>
          <w:rStyle w:val="FootnoteReference"/>
          <w:rFonts w:ascii="Times New Roman" w:hAnsi="Times New Roman" w:cs="Times New Roman"/>
          <w:color w:val="000000" w:themeColor="text1"/>
        </w:rPr>
        <w:footnoteReference w:id="113"/>
      </w:r>
      <w:r w:rsidRPr="009668CE">
        <w:rPr>
          <w:rFonts w:ascii="Times New Roman" w:hAnsi="Times New Roman" w:cs="Times New Roman"/>
          <w:b/>
          <w:bCs/>
          <w:color w:val="000000" w:themeColor="text1"/>
        </w:rPr>
        <w:t xml:space="preserve"> </w:t>
      </w:r>
      <w:r>
        <w:rPr>
          <w:rFonts w:ascii="Times New Roman" w:hAnsi="Times New Roman" w:cs="Times New Roman"/>
          <w:color w:val="000000" w:themeColor="text1"/>
        </w:rPr>
        <w:t xml:space="preserve">Categories </w:t>
      </w:r>
      <w:r w:rsidRPr="009668CE">
        <w:rPr>
          <w:rFonts w:ascii="Times New Roman" w:hAnsi="Times New Roman" w:cs="Times New Roman"/>
          <w:color w:val="000000" w:themeColor="text1"/>
        </w:rPr>
        <w:t xml:space="preserve">undermine the spirit of </w:t>
      </w:r>
      <w:r w:rsidRPr="00757B5B">
        <w:rPr>
          <w:rFonts w:ascii="Times New Roman" w:hAnsi="Times New Roman" w:cs="Times New Roman"/>
          <w:i/>
          <w:iCs/>
          <w:color w:val="000000" w:themeColor="text1"/>
        </w:rPr>
        <w:t>Gillick</w:t>
      </w:r>
      <w:r w:rsidRPr="009668CE">
        <w:rPr>
          <w:rFonts w:ascii="Times New Roman" w:hAnsi="Times New Roman" w:cs="Times New Roman"/>
          <w:color w:val="000000" w:themeColor="text1"/>
        </w:rPr>
        <w:t xml:space="preserve"> where</w:t>
      </w:r>
      <w:r>
        <w:rPr>
          <w:rFonts w:ascii="Times New Roman" w:hAnsi="Times New Roman" w:cs="Times New Roman"/>
          <w:color w:val="000000" w:themeColor="text1"/>
        </w:rPr>
        <w:t xml:space="preserve"> </w:t>
      </w:r>
      <w:r>
        <w:rPr>
          <w:rFonts w:ascii="Times New Roman" w:eastAsia="Times New Roman" w:hAnsi="Times New Roman" w:cs="Times New Roman"/>
        </w:rPr>
        <w:t>Lord Scarman observed that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sidRPr="00FD760B">
        <w:rPr>
          <w:rFonts w:ascii="Times New Roman" w:eastAsia="Times New Roman" w:hAnsi="Times New Roman" w:cs="Times New Roman"/>
        </w:rPr>
        <w:t>f the law should impose upon the process of "growing up" fixed limits where nature knows only a continuous process, the price would be artificiality and a lack of realism in an area where the law must be sensitive to human development and social change</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114"/>
      </w:r>
      <w:r>
        <w:rPr>
          <w:rFonts w:ascii="Times New Roman" w:eastAsia="Times New Roman" w:hAnsi="Times New Roman" w:cs="Times New Roman"/>
        </w:rPr>
        <w:t xml:space="preserve"> Not only this, as Mermaids notes, the judgment</w:t>
      </w:r>
      <w:r w:rsidRPr="00757B5B">
        <w:rPr>
          <w:rFonts w:ascii="Times New Roman" w:eastAsia="Times New Roman" w:hAnsi="Times New Roman" w:cs="Times New Roman"/>
        </w:rPr>
        <w:t xml:space="preserve"> </w:t>
      </w:r>
      <w:r w:rsidRPr="009668CE">
        <w:rPr>
          <w:rFonts w:ascii="Times New Roman" w:eastAsia="Times New Roman" w:hAnsi="Times New Roman" w:cs="Times New Roman"/>
        </w:rPr>
        <w:t>treat</w:t>
      </w:r>
      <w:r>
        <w:rPr>
          <w:rFonts w:ascii="Times New Roman" w:eastAsia="Times New Roman" w:hAnsi="Times New Roman" w:cs="Times New Roman"/>
        </w:rPr>
        <w:t>s</w:t>
      </w:r>
      <w:r w:rsidRPr="009668CE">
        <w:rPr>
          <w:rFonts w:ascii="Times New Roman" w:eastAsia="Times New Roman" w:hAnsi="Times New Roman" w:cs="Times New Roman"/>
        </w:rPr>
        <w:t xml:space="preserve"> </w:t>
      </w:r>
      <w:r>
        <w:rPr>
          <w:rFonts w:ascii="Times New Roman" w:eastAsia="Times New Roman" w:hAnsi="Times New Roman" w:cs="Times New Roman"/>
        </w:rPr>
        <w:t>‘</w:t>
      </w:r>
      <w:r w:rsidRPr="009668CE">
        <w:rPr>
          <w:rFonts w:ascii="Times New Roman" w:eastAsia="Times New Roman" w:hAnsi="Times New Roman" w:cs="Times New Roman"/>
        </w:rPr>
        <w:t>trans young people and their rights differently from their peers, simply because they are trans’</w:t>
      </w:r>
      <w:r>
        <w:rPr>
          <w:rFonts w:ascii="Times New Roman" w:eastAsia="Times New Roman" w:hAnsi="Times New Roman" w:cs="Times New Roman"/>
        </w:rPr>
        <w:t>,</w:t>
      </w:r>
      <w:r w:rsidRPr="009668CE">
        <w:rPr>
          <w:rStyle w:val="FootnoteReference"/>
          <w:rFonts w:ascii="Times New Roman" w:eastAsia="Times New Roman" w:hAnsi="Times New Roman" w:cs="Times New Roman"/>
        </w:rPr>
        <w:footnoteReference w:id="115"/>
      </w:r>
      <w:r>
        <w:rPr>
          <w:rFonts w:ascii="Times New Roman" w:eastAsia="Times New Roman" w:hAnsi="Times New Roman" w:cs="Times New Roman"/>
        </w:rPr>
        <w:t xml:space="preserve"> potentially in contravention of</w:t>
      </w:r>
      <w:r>
        <w:rPr>
          <w:rFonts w:ascii="Times New Roman" w:hAnsi="Times New Roman" w:cs="Times New Roman"/>
          <w:color w:val="000000" w:themeColor="text1"/>
        </w:rPr>
        <w:t xml:space="preserve"> </w:t>
      </w:r>
      <w:r w:rsidRPr="009668CE">
        <w:rPr>
          <w:rFonts w:ascii="Times New Roman" w:hAnsi="Times New Roman" w:cs="Times New Roman"/>
          <w:color w:val="000000" w:themeColor="text1"/>
        </w:rPr>
        <w:t>the Equality Act 2010</w:t>
      </w:r>
      <w:r>
        <w:rPr>
          <w:rFonts w:ascii="Times New Roman" w:hAnsi="Times New Roman" w:cs="Times New Roman"/>
          <w:color w:val="000000" w:themeColor="text1"/>
        </w:rPr>
        <w:t xml:space="preserve"> where gender reassignment is a protected characteristic.</w:t>
      </w:r>
      <w:r w:rsidRPr="009668CE">
        <w:rPr>
          <w:rFonts w:ascii="Times New Roman" w:hAnsi="Times New Roman" w:cs="Times New Roman"/>
          <w:color w:val="000000" w:themeColor="text1"/>
        </w:rPr>
        <w:t xml:space="preserve"> </w:t>
      </w:r>
    </w:p>
    <w:p w14:paraId="2F5FE760" w14:textId="77777777" w:rsidR="00886A76" w:rsidRPr="0046424B" w:rsidRDefault="00886A76" w:rsidP="00886A76">
      <w:pPr>
        <w:pStyle w:val="ListParagraph"/>
        <w:numPr>
          <w:ilvl w:val="0"/>
          <w:numId w:val="4"/>
        </w:numPr>
        <w:jc w:val="center"/>
        <w:rPr>
          <w:rFonts w:ascii="Times New Roman" w:hAnsi="Times New Roman" w:cs="Times New Roman"/>
          <w:i/>
          <w:iCs/>
          <w:u w:val="single"/>
        </w:rPr>
      </w:pPr>
      <w:r w:rsidRPr="007E24EA">
        <w:rPr>
          <w:rFonts w:ascii="Times New Roman" w:hAnsi="Times New Roman" w:cs="Times New Roman"/>
          <w:i/>
          <w:iCs/>
          <w:u w:val="single"/>
        </w:rPr>
        <w:t>Information Provision</w:t>
      </w:r>
    </w:p>
    <w:p w14:paraId="0D3C20F9" w14:textId="6A037D7D" w:rsidR="00886A76" w:rsidRPr="00E208F7" w:rsidRDefault="00886A76" w:rsidP="00886A76">
      <w:pPr>
        <w:rPr>
          <w:rFonts w:ascii="Times New Roman" w:hAnsi="Times New Roman" w:cs="Times New Roman"/>
          <w:color w:val="000000" w:themeColor="text1"/>
        </w:rPr>
      </w:pPr>
      <w:r w:rsidRPr="00E66B4F">
        <w:rPr>
          <w:rFonts w:ascii="Times New Roman" w:hAnsi="Times New Roman" w:cs="Times New Roman"/>
          <w:color w:val="000000" w:themeColor="text1"/>
        </w:rPr>
        <w:t>The second question the court tackled was that of informed consent.</w:t>
      </w:r>
      <w:r w:rsidRPr="00E208F7">
        <w:rPr>
          <w:rFonts w:ascii="Times New Roman" w:hAnsi="Times New Roman" w:cs="Times New Roman"/>
        </w:rPr>
        <w:t xml:space="preserve"> </w:t>
      </w:r>
      <w:r>
        <w:rPr>
          <w:rFonts w:ascii="Times New Roman" w:hAnsi="Times New Roman" w:cs="Times New Roman"/>
        </w:rPr>
        <w:t>This separation from competence was promising, suggest</w:t>
      </w:r>
      <w:r w:rsidR="009A4EB9">
        <w:rPr>
          <w:rFonts w:ascii="Times New Roman" w:hAnsi="Times New Roman" w:cs="Times New Roman"/>
        </w:rPr>
        <w:t>ing</w:t>
      </w:r>
      <w:r>
        <w:rPr>
          <w:rFonts w:ascii="Times New Roman" w:hAnsi="Times New Roman" w:cs="Times New Roman"/>
        </w:rPr>
        <w:t xml:space="preserve"> a pattern more often seen in adult cases</w:t>
      </w:r>
      <w:r w:rsidR="009A4EB9">
        <w:rPr>
          <w:rFonts w:ascii="Times New Roman" w:hAnsi="Times New Roman" w:cs="Times New Roman"/>
        </w:rPr>
        <w:t>.</w:t>
      </w:r>
      <w:r>
        <w:rPr>
          <w:rFonts w:ascii="Times New Roman" w:hAnsi="Times New Roman" w:cs="Times New Roman"/>
        </w:rPr>
        <w:t xml:space="preserve"> </w:t>
      </w:r>
      <w:r w:rsidR="009A4EB9">
        <w:rPr>
          <w:rFonts w:ascii="Times New Roman" w:hAnsi="Times New Roman" w:cs="Times New Roman"/>
        </w:rPr>
        <w:t>W</w:t>
      </w:r>
      <w:r>
        <w:rPr>
          <w:rFonts w:ascii="Times New Roman" w:hAnsi="Times New Roman" w:cs="Times New Roman"/>
        </w:rPr>
        <w:t>hereas the presumption of incompetence for children</w:t>
      </w:r>
      <w:r w:rsidR="009A4EB9">
        <w:rPr>
          <w:rFonts w:ascii="Times New Roman" w:hAnsi="Times New Roman" w:cs="Times New Roman"/>
        </w:rPr>
        <w:t xml:space="preserve"> had</w:t>
      </w:r>
      <w:r>
        <w:rPr>
          <w:rFonts w:ascii="Times New Roman" w:hAnsi="Times New Roman" w:cs="Times New Roman"/>
        </w:rPr>
        <w:t xml:space="preserve"> lead to </w:t>
      </w:r>
      <w:r w:rsidRPr="007E24EA">
        <w:rPr>
          <w:rFonts w:ascii="Times New Roman" w:hAnsi="Times New Roman" w:cs="Times New Roman"/>
        </w:rPr>
        <w:t>information</w:t>
      </w:r>
      <w:r>
        <w:rPr>
          <w:rFonts w:ascii="Times New Roman" w:hAnsi="Times New Roman" w:cs="Times New Roman"/>
        </w:rPr>
        <w:t xml:space="preserve"> insufficiency being used to</w:t>
      </w:r>
      <w:r w:rsidRPr="007E24EA">
        <w:rPr>
          <w:rFonts w:ascii="Times New Roman" w:hAnsi="Times New Roman" w:cs="Times New Roman"/>
        </w:rPr>
        <w:t xml:space="preserve"> </w:t>
      </w:r>
      <w:r>
        <w:rPr>
          <w:rFonts w:ascii="Times New Roman" w:hAnsi="Times New Roman" w:cs="Times New Roman"/>
        </w:rPr>
        <w:t>deny competence</w:t>
      </w:r>
      <w:r w:rsidR="009A4EB9">
        <w:rPr>
          <w:rFonts w:ascii="Times New Roman" w:hAnsi="Times New Roman" w:cs="Times New Roman"/>
        </w:rPr>
        <w:t>,</w:t>
      </w:r>
      <w:r>
        <w:rPr>
          <w:rFonts w:ascii="Times New Roman" w:hAnsi="Times New Roman" w:cs="Times New Roman"/>
        </w:rPr>
        <w:t xml:space="preserve"> when the child otherwise reached the </w:t>
      </w:r>
      <w:r w:rsidRPr="00BA2CAF">
        <w:rPr>
          <w:rFonts w:ascii="Times New Roman" w:hAnsi="Times New Roman" w:cs="Times New Roman"/>
          <w:i/>
          <w:iCs/>
        </w:rPr>
        <w:t>Gillick</w:t>
      </w:r>
      <w:r>
        <w:rPr>
          <w:rFonts w:ascii="Times New Roman" w:hAnsi="Times New Roman" w:cs="Times New Roman"/>
        </w:rPr>
        <w:t xml:space="preserve"> threshold.</w:t>
      </w:r>
      <w:r>
        <w:rPr>
          <w:rStyle w:val="FootnoteReference"/>
          <w:rFonts w:ascii="Times New Roman" w:hAnsi="Times New Roman" w:cs="Times New Roman"/>
        </w:rPr>
        <w:footnoteReference w:id="116"/>
      </w:r>
      <w:r>
        <w:rPr>
          <w:rFonts w:ascii="Times New Roman" w:hAnsi="Times New Roman" w:cs="Times New Roman"/>
        </w:rPr>
        <w:t xml:space="preserve"> </w:t>
      </w:r>
      <w:r w:rsidRPr="00E66B4F">
        <w:rPr>
          <w:rFonts w:ascii="Times New Roman" w:hAnsi="Times New Roman" w:cs="Times New Roman"/>
          <w:color w:val="000000" w:themeColor="text1"/>
        </w:rPr>
        <w:t>GIDS stated that it was their practice to require ‘informed consent’ from the child</w:t>
      </w:r>
      <w:r w:rsidR="009A4EB9">
        <w:rPr>
          <w:rFonts w:ascii="Times New Roman" w:hAnsi="Times New Roman" w:cs="Times New Roman"/>
          <w:color w:val="000000" w:themeColor="text1"/>
        </w:rPr>
        <w:t>,</w:t>
      </w:r>
      <w:r w:rsidRPr="00E66B4F">
        <w:rPr>
          <w:rStyle w:val="FootnoteReference"/>
          <w:rFonts w:ascii="Times New Roman" w:hAnsi="Times New Roman" w:cs="Times New Roman"/>
          <w:color w:val="000000" w:themeColor="text1"/>
        </w:rPr>
        <w:footnoteReference w:id="117"/>
      </w:r>
      <w:r w:rsidRPr="00E66B4F">
        <w:rPr>
          <w:rFonts w:ascii="Times New Roman" w:hAnsi="Times New Roman" w:cs="Times New Roman"/>
          <w:color w:val="000000" w:themeColor="text1"/>
        </w:rPr>
        <w:t xml:space="preserve"> but the claimants argued that advice given to children about PBs was misleading on reversibility, purpose and benefits.</w:t>
      </w:r>
      <w:r w:rsidRPr="00E66B4F">
        <w:rPr>
          <w:rStyle w:val="FootnoteReference"/>
          <w:rFonts w:ascii="Times New Roman" w:hAnsi="Times New Roman" w:cs="Times New Roman"/>
          <w:color w:val="000000" w:themeColor="text1"/>
        </w:rPr>
        <w:footnoteReference w:id="118"/>
      </w:r>
      <w:r w:rsidRPr="00E66B4F">
        <w:rPr>
          <w:rFonts w:ascii="Times New Roman" w:hAnsi="Times New Roman" w:cs="Times New Roman"/>
          <w:color w:val="000000" w:themeColor="text1"/>
        </w:rPr>
        <w:t xml:space="preserve"> The court considered arguments from counsel on the appropriate level of information provision and understanding</w:t>
      </w:r>
      <w:r>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119"/>
      </w:r>
      <w:r w:rsidRPr="00E66B4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including a </w:t>
      </w:r>
      <w:r w:rsidRPr="00E66B4F">
        <w:rPr>
          <w:rFonts w:ascii="Times New Roman" w:hAnsi="Times New Roman" w:cs="Times New Roman"/>
          <w:color w:val="000000" w:themeColor="text1"/>
        </w:rPr>
        <w:t>submission that</w:t>
      </w:r>
      <w:r>
        <w:rPr>
          <w:rFonts w:ascii="Times New Roman" w:hAnsi="Times New Roman" w:cs="Times New Roman"/>
          <w:color w:val="000000" w:themeColor="text1"/>
        </w:rPr>
        <w:t xml:space="preserve"> the patient-centred approach in</w:t>
      </w:r>
      <w:r w:rsidRPr="00E66B4F">
        <w:rPr>
          <w:rFonts w:ascii="Times New Roman" w:hAnsi="Times New Roman" w:cs="Times New Roman"/>
          <w:color w:val="000000" w:themeColor="text1"/>
        </w:rPr>
        <w:t xml:space="preserve"> </w:t>
      </w:r>
      <w:r w:rsidRPr="00E66B4F">
        <w:rPr>
          <w:rFonts w:ascii="Times New Roman" w:hAnsi="Times New Roman" w:cs="Times New Roman"/>
          <w:i/>
          <w:iCs/>
          <w:color w:val="000000" w:themeColor="text1"/>
        </w:rPr>
        <w:t>Montgomery</w:t>
      </w:r>
      <w:r w:rsidRPr="00E66B4F">
        <w:rPr>
          <w:rFonts w:ascii="Times New Roman" w:hAnsi="Times New Roman" w:cs="Times New Roman"/>
          <w:color w:val="000000" w:themeColor="text1"/>
        </w:rPr>
        <w:t xml:space="preserve"> was of limited relevance </w:t>
      </w:r>
      <w:r>
        <w:rPr>
          <w:rFonts w:ascii="Times New Roman" w:hAnsi="Times New Roman" w:cs="Times New Roman"/>
          <w:color w:val="000000" w:themeColor="text1"/>
        </w:rPr>
        <w:t xml:space="preserve">given it </w:t>
      </w:r>
      <w:r w:rsidRPr="00E66B4F">
        <w:rPr>
          <w:rFonts w:ascii="Times New Roman" w:hAnsi="Times New Roman" w:cs="Times New Roman"/>
          <w:color w:val="000000" w:themeColor="text1"/>
        </w:rPr>
        <w:t>involv</w:t>
      </w:r>
      <w:r>
        <w:rPr>
          <w:rFonts w:ascii="Times New Roman" w:hAnsi="Times New Roman" w:cs="Times New Roman"/>
          <w:color w:val="000000" w:themeColor="text1"/>
        </w:rPr>
        <w:t>ed</w:t>
      </w:r>
      <w:r w:rsidRPr="00E66B4F">
        <w:rPr>
          <w:rFonts w:ascii="Times New Roman" w:hAnsi="Times New Roman" w:cs="Times New Roman"/>
          <w:color w:val="000000" w:themeColor="text1"/>
        </w:rPr>
        <w:t xml:space="preserve"> adult decision-making and founded on the presumption of capacity found in the </w:t>
      </w:r>
      <w:r>
        <w:rPr>
          <w:rFonts w:ascii="Times New Roman" w:hAnsi="Times New Roman" w:cs="Times New Roman"/>
          <w:color w:val="000000" w:themeColor="text1"/>
        </w:rPr>
        <w:t>MCA</w:t>
      </w:r>
      <w:r w:rsidRPr="00E66B4F">
        <w:rPr>
          <w:rFonts w:ascii="Times New Roman" w:hAnsi="Times New Roman" w:cs="Times New Roman"/>
          <w:color w:val="000000" w:themeColor="text1"/>
        </w:rPr>
        <w:t>.</w:t>
      </w:r>
      <w:r w:rsidRPr="00E66B4F">
        <w:rPr>
          <w:rStyle w:val="FootnoteReference"/>
          <w:rFonts w:ascii="Times New Roman" w:hAnsi="Times New Roman" w:cs="Times New Roman"/>
          <w:color w:val="000000" w:themeColor="text1"/>
        </w:rPr>
        <w:footnoteReference w:id="120"/>
      </w:r>
      <w:r>
        <w:rPr>
          <w:rFonts w:ascii="Times New Roman" w:hAnsi="Times New Roman" w:cs="Times New Roman"/>
          <w:color w:val="000000" w:themeColor="text1"/>
        </w:rPr>
        <w:t xml:space="preserve"> Whilst </w:t>
      </w:r>
      <w:r w:rsidRPr="00656D66">
        <w:rPr>
          <w:rFonts w:ascii="Times New Roman" w:eastAsia="Times New Roman" w:hAnsi="Times New Roman" w:cs="Times New Roman"/>
        </w:rPr>
        <w:t>GIDS and</w:t>
      </w:r>
      <w:r>
        <w:rPr>
          <w:rFonts w:ascii="Times New Roman" w:eastAsia="Times New Roman" w:hAnsi="Times New Roman" w:cs="Times New Roman"/>
        </w:rPr>
        <w:t xml:space="preserve"> the</w:t>
      </w:r>
      <w:r w:rsidRPr="00656D66">
        <w:rPr>
          <w:rFonts w:ascii="Times New Roman" w:eastAsia="Times New Roman" w:hAnsi="Times New Roman" w:cs="Times New Roman"/>
        </w:rPr>
        <w:t xml:space="preserve"> Trusts sa</w:t>
      </w:r>
      <w:r>
        <w:rPr>
          <w:rFonts w:ascii="Times New Roman" w:eastAsia="Times New Roman" w:hAnsi="Times New Roman" w:cs="Times New Roman"/>
        </w:rPr>
        <w:t>id</w:t>
      </w:r>
      <w:r w:rsidRPr="00656D66">
        <w:rPr>
          <w:rFonts w:ascii="Times New Roman" w:eastAsia="Times New Roman" w:hAnsi="Times New Roman" w:cs="Times New Roman"/>
        </w:rPr>
        <w:t xml:space="preserve"> their processes </w:t>
      </w:r>
      <w:r>
        <w:rPr>
          <w:rFonts w:ascii="Times New Roman" w:eastAsia="Times New Roman" w:hAnsi="Times New Roman" w:cs="Times New Roman"/>
        </w:rPr>
        <w:t>were</w:t>
      </w:r>
      <w:r w:rsidRPr="00656D66">
        <w:rPr>
          <w:rFonts w:ascii="Times New Roman" w:eastAsia="Times New Roman" w:hAnsi="Times New Roman" w:cs="Times New Roman"/>
        </w:rPr>
        <w:t xml:space="preserve"> ‘deeply Montgomery compliant’</w:t>
      </w:r>
      <w:r>
        <w:rPr>
          <w:rFonts w:ascii="Times New Roman" w:eastAsia="Times New Roman" w:hAnsi="Times New Roman" w:cs="Times New Roman"/>
        </w:rPr>
        <w:t>,</w:t>
      </w:r>
      <w:r w:rsidRPr="00656D66">
        <w:rPr>
          <w:rStyle w:val="FootnoteReference"/>
          <w:rFonts w:ascii="Times New Roman" w:eastAsia="Times New Roman" w:hAnsi="Times New Roman" w:cs="Times New Roman"/>
        </w:rPr>
        <w:footnoteReference w:id="121"/>
      </w:r>
      <w:r>
        <w:rPr>
          <w:rFonts w:ascii="Times New Roman" w:eastAsia="Times New Roman" w:hAnsi="Times New Roman" w:cs="Times New Roman"/>
        </w:rPr>
        <w:t xml:space="preserve"> it </w:t>
      </w:r>
      <w:r w:rsidRPr="003E2035">
        <w:rPr>
          <w:rFonts w:ascii="Times New Roman" w:eastAsia="Times New Roman" w:hAnsi="Times New Roman" w:cs="Times New Roman"/>
          <w:i/>
          <w:iCs/>
        </w:rPr>
        <w:t xml:space="preserve">is </w:t>
      </w:r>
      <w:r>
        <w:rPr>
          <w:rFonts w:ascii="Times New Roman" w:eastAsia="Times New Roman" w:hAnsi="Times New Roman" w:cs="Times New Roman"/>
        </w:rPr>
        <w:t xml:space="preserve">questionable that </w:t>
      </w:r>
      <w:r w:rsidRPr="00CF250A">
        <w:rPr>
          <w:rFonts w:ascii="Times New Roman" w:eastAsia="Times New Roman" w:hAnsi="Times New Roman" w:cs="Times New Roman"/>
          <w:i/>
          <w:iCs/>
        </w:rPr>
        <w:t>Montgomery</w:t>
      </w:r>
      <w:r>
        <w:rPr>
          <w:rFonts w:ascii="Times New Roman" w:eastAsia="Times New Roman" w:hAnsi="Times New Roman" w:cs="Times New Roman"/>
        </w:rPr>
        <w:t xml:space="preserve"> </w:t>
      </w:r>
      <w:r w:rsidRPr="00E105F3">
        <w:rPr>
          <w:rFonts w:ascii="Times New Roman" w:eastAsia="Times New Roman" w:hAnsi="Times New Roman" w:cs="Times New Roman"/>
          <w:color w:val="000000" w:themeColor="text1"/>
        </w:rPr>
        <w:t xml:space="preserve">applies to children at all. Cave and </w:t>
      </w:r>
      <w:proofErr w:type="spellStart"/>
      <w:r w:rsidRPr="00E105F3">
        <w:rPr>
          <w:rFonts w:ascii="Times New Roman" w:eastAsia="Times New Roman" w:hAnsi="Times New Roman" w:cs="Times New Roman"/>
          <w:color w:val="000000" w:themeColor="text1"/>
        </w:rPr>
        <w:t>Purshouse</w:t>
      </w:r>
      <w:proofErr w:type="spellEnd"/>
      <w:r w:rsidRPr="00E105F3">
        <w:rPr>
          <w:rFonts w:ascii="Times New Roman" w:eastAsia="Times New Roman" w:hAnsi="Times New Roman" w:cs="Times New Roman"/>
          <w:color w:val="000000" w:themeColor="text1"/>
        </w:rPr>
        <w:t xml:space="preserve"> characterise this doubt as arising from the double obstacles of best interests decision-making, combined with the provision of proxy consent.</w:t>
      </w:r>
      <w:r w:rsidRPr="00E105F3">
        <w:rPr>
          <w:rStyle w:val="FootnoteReference"/>
          <w:rFonts w:ascii="Times New Roman" w:eastAsia="Times New Roman" w:hAnsi="Times New Roman" w:cs="Times New Roman"/>
          <w:color w:val="000000" w:themeColor="text1"/>
        </w:rPr>
        <w:footnoteReference w:id="122"/>
      </w:r>
    </w:p>
    <w:p w14:paraId="56C9B4CA" w14:textId="19A88CED" w:rsidR="00886A76" w:rsidRDefault="00886A76" w:rsidP="00886A76">
      <w:pPr>
        <w:ind w:firstLine="720"/>
        <w:rPr>
          <w:rFonts w:ascii="Times New Roman" w:hAnsi="Times New Roman" w:cs="Times New Roman"/>
        </w:rPr>
      </w:pPr>
      <w:r>
        <w:rPr>
          <w:rFonts w:ascii="Times New Roman" w:eastAsia="Times New Roman" w:hAnsi="Times New Roman" w:cs="Times New Roman"/>
          <w:color w:val="000000" w:themeColor="text1"/>
        </w:rPr>
        <w:t xml:space="preserve">The courts rightly rejected a </w:t>
      </w:r>
      <w:r w:rsidRPr="007B5872">
        <w:rPr>
          <w:rFonts w:ascii="Times New Roman" w:eastAsia="Times New Roman" w:hAnsi="Times New Roman" w:cs="Times New Roman"/>
          <w:i/>
          <w:iCs/>
          <w:color w:val="000000" w:themeColor="text1"/>
        </w:rPr>
        <w:t>Montgomery</w:t>
      </w:r>
      <w:r>
        <w:rPr>
          <w:rFonts w:ascii="Times New Roman" w:eastAsia="Times New Roman" w:hAnsi="Times New Roman" w:cs="Times New Roman"/>
          <w:color w:val="000000" w:themeColor="text1"/>
        </w:rPr>
        <w:t xml:space="preserve"> level of understanding for competence</w:t>
      </w:r>
      <w:r>
        <w:rPr>
          <w:rFonts w:ascii="Times New Roman" w:hAnsi="Times New Roman" w:cs="Times New Roman"/>
        </w:rPr>
        <w:t>,</w:t>
      </w:r>
      <w:r w:rsidRPr="00204100">
        <w:rPr>
          <w:rStyle w:val="FootnoteReference"/>
          <w:rFonts w:ascii="Times New Roman" w:hAnsi="Times New Roman" w:cs="Times New Roman"/>
          <w:color w:val="000000" w:themeColor="text1"/>
        </w:rPr>
        <w:footnoteReference w:id="123"/>
      </w:r>
      <w:r w:rsidRPr="00204100">
        <w:rPr>
          <w:rFonts w:ascii="Times New Roman" w:hAnsi="Times New Roman" w:cs="Times New Roman"/>
          <w:color w:val="000000" w:themeColor="text1"/>
        </w:rPr>
        <w:t xml:space="preserve"> </w:t>
      </w:r>
      <w:r>
        <w:rPr>
          <w:rFonts w:ascii="Times New Roman" w:hAnsi="Times New Roman" w:cs="Times New Roman"/>
          <w:color w:val="000000" w:themeColor="text1"/>
        </w:rPr>
        <w:t>and</w:t>
      </w:r>
      <w:r w:rsidRPr="00204100">
        <w:rPr>
          <w:rFonts w:ascii="Times New Roman" w:hAnsi="Times New Roman" w:cs="Times New Roman"/>
          <w:color w:val="000000" w:themeColor="text1"/>
        </w:rPr>
        <w:t xml:space="preserve"> held that the correct approach was that ‘the child must have sufficient understanding of </w:t>
      </w:r>
      <w:r w:rsidRPr="00204100">
        <w:rPr>
          <w:rFonts w:ascii="Times New Roman" w:hAnsi="Times New Roman" w:cs="Times New Roman"/>
          <w:color w:val="000000" w:themeColor="text1"/>
        </w:rPr>
        <w:lastRenderedPageBreak/>
        <w:t>the</w:t>
      </w:r>
      <w:r>
        <w:rPr>
          <w:rFonts w:ascii="Times New Roman" w:hAnsi="Times New Roman" w:cs="Times New Roman"/>
          <w:color w:val="000000" w:themeColor="text1"/>
        </w:rPr>
        <w:t xml:space="preserve"> salient </w:t>
      </w:r>
      <w:r w:rsidRPr="00204100">
        <w:rPr>
          <w:rFonts w:ascii="Times New Roman" w:hAnsi="Times New Roman" w:cs="Times New Roman"/>
          <w:color w:val="000000" w:themeColor="text1"/>
        </w:rPr>
        <w:t>factors</w:t>
      </w:r>
      <w:r>
        <w:rPr>
          <w:rFonts w:ascii="Times New Roman" w:hAnsi="Times New Roman" w:cs="Times New Roman"/>
          <w:color w:val="000000" w:themeColor="text1"/>
        </w:rPr>
        <w:t>’.</w:t>
      </w:r>
      <w:r w:rsidRPr="00204100">
        <w:rPr>
          <w:rStyle w:val="FootnoteReference"/>
          <w:rFonts w:ascii="Times New Roman" w:hAnsi="Times New Roman" w:cs="Times New Roman"/>
          <w:color w:val="000000" w:themeColor="text1"/>
        </w:rPr>
        <w:footnoteReference w:id="124"/>
      </w:r>
      <w:r>
        <w:rPr>
          <w:rFonts w:ascii="Times New Roman" w:hAnsi="Times New Roman" w:cs="Times New Roman"/>
          <w:color w:val="000000" w:themeColor="text1"/>
        </w:rPr>
        <w:t xml:space="preserve"> However statements such as ‘</w:t>
      </w:r>
      <w:r>
        <w:rPr>
          <w:rFonts w:ascii="Times New Roman" w:hAnsi="Times New Roman" w:cs="Times New Roman"/>
        </w:rPr>
        <w:t>[t]here is no age appropriate way to explain to many of these children what losing their fertility or full sexual function may mean to them in later years’,</w:t>
      </w:r>
      <w:r>
        <w:rPr>
          <w:rStyle w:val="FootnoteReference"/>
          <w:rFonts w:ascii="Times New Roman" w:hAnsi="Times New Roman" w:cs="Times New Roman"/>
        </w:rPr>
        <w:footnoteReference w:id="125"/>
      </w:r>
      <w:r>
        <w:rPr>
          <w:rFonts w:ascii="Times New Roman" w:hAnsi="Times New Roman" w:cs="Times New Roman"/>
        </w:rPr>
        <w:t xml:space="preserve"> suggests a requirement for a detailed level of knowledge beyond that necessary to found a finding of competence. As </w:t>
      </w:r>
      <w:r w:rsidRPr="00031CFB">
        <w:rPr>
          <w:rFonts w:ascii="Times New Roman" w:hAnsi="Times New Roman" w:cs="Times New Roman"/>
          <w:color w:val="000000" w:themeColor="text1"/>
        </w:rPr>
        <w:t xml:space="preserve">Fletcher </w:t>
      </w:r>
      <w:r>
        <w:rPr>
          <w:rFonts w:ascii="Times New Roman" w:hAnsi="Times New Roman" w:cs="Times New Roman"/>
          <w:color w:val="000000" w:themeColor="text1"/>
        </w:rPr>
        <w:t>notes,</w:t>
      </w:r>
      <w:r w:rsidRPr="001E5BD6">
        <w:rPr>
          <w:rStyle w:val="FootnoteReference"/>
          <w:rFonts w:ascii="Times New Roman" w:hAnsi="Times New Roman" w:cs="Times New Roman"/>
          <w:color w:val="000000" w:themeColor="text1"/>
        </w:rPr>
        <w:t xml:space="preserve"> </w:t>
      </w:r>
      <w:r w:rsidRPr="00031CFB">
        <w:rPr>
          <w:rStyle w:val="FootnoteReference"/>
          <w:rFonts w:ascii="Times New Roman" w:hAnsi="Times New Roman" w:cs="Times New Roman"/>
          <w:color w:val="000000" w:themeColor="text1"/>
        </w:rPr>
        <w:footnoteReference w:id="126"/>
      </w:r>
      <w:r>
        <w:rPr>
          <w:rFonts w:ascii="Times New Roman" w:hAnsi="Times New Roman" w:cs="Times New Roman"/>
          <w:color w:val="000000" w:themeColor="text1"/>
        </w:rPr>
        <w:t xml:space="preserve">  this basic standard necessary to determine competence and avoid battery</w:t>
      </w:r>
      <w:r w:rsidR="009A4EB9">
        <w:rPr>
          <w:rFonts w:ascii="Times New Roman" w:hAnsi="Times New Roman" w:cs="Times New Roman"/>
          <w:color w:val="000000" w:themeColor="text1"/>
        </w:rPr>
        <w:t>,</w:t>
      </w:r>
      <w:r>
        <w:rPr>
          <w:rFonts w:ascii="Times New Roman" w:hAnsi="Times New Roman" w:cs="Times New Roman"/>
          <w:color w:val="000000" w:themeColor="text1"/>
        </w:rPr>
        <w:t xml:space="preserve"> has been </w:t>
      </w:r>
      <w:r w:rsidRPr="00031CFB">
        <w:rPr>
          <w:rFonts w:ascii="Times New Roman" w:hAnsi="Times New Roman" w:cs="Times New Roman"/>
          <w:color w:val="000000" w:themeColor="text1"/>
        </w:rPr>
        <w:t>conflat</w:t>
      </w:r>
      <w:r>
        <w:rPr>
          <w:rFonts w:ascii="Times New Roman" w:hAnsi="Times New Roman" w:cs="Times New Roman"/>
          <w:color w:val="000000" w:themeColor="text1"/>
        </w:rPr>
        <w:t>ed</w:t>
      </w:r>
      <w:r w:rsidRPr="00031CF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with the </w:t>
      </w:r>
      <w:r w:rsidRPr="007B5872">
        <w:rPr>
          <w:rFonts w:ascii="Times New Roman" w:hAnsi="Times New Roman" w:cs="Times New Roman"/>
          <w:i/>
          <w:iCs/>
          <w:color w:val="000000" w:themeColor="text1"/>
        </w:rPr>
        <w:t>Montgomery</w:t>
      </w:r>
      <w:r w:rsidRPr="00031CFB">
        <w:rPr>
          <w:rFonts w:ascii="Times New Roman" w:hAnsi="Times New Roman" w:cs="Times New Roman"/>
          <w:color w:val="000000" w:themeColor="text1"/>
        </w:rPr>
        <w:t xml:space="preserve"> standard, which concerns actions in negligence</w:t>
      </w:r>
      <w:r>
        <w:rPr>
          <w:rFonts w:ascii="Times New Roman" w:eastAsia="Times New Roman" w:hAnsi="Times New Roman" w:cs="Times New Roman"/>
          <w:color w:val="000000" w:themeColor="text1"/>
        </w:rPr>
        <w:t xml:space="preserve"> </w:t>
      </w:r>
      <w:r w:rsidRPr="00031CFB">
        <w:rPr>
          <w:rFonts w:ascii="Times New Roman" w:hAnsi="Times New Roman" w:cs="Times New Roman"/>
          <w:color w:val="000000" w:themeColor="text1"/>
        </w:rPr>
        <w:t xml:space="preserve">and </w:t>
      </w:r>
      <w:r w:rsidR="009A4EB9">
        <w:rPr>
          <w:rFonts w:ascii="Times New Roman" w:hAnsi="Times New Roman" w:cs="Times New Roman"/>
          <w:color w:val="000000" w:themeColor="text1"/>
        </w:rPr>
        <w:t>requiring a</w:t>
      </w:r>
      <w:r w:rsidRPr="00031CFB">
        <w:rPr>
          <w:rFonts w:ascii="Times New Roman" w:hAnsi="Times New Roman" w:cs="Times New Roman"/>
          <w:color w:val="000000" w:themeColor="text1"/>
        </w:rPr>
        <w:t xml:space="preserve"> higher level of information provision</w:t>
      </w:r>
      <w:r>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127"/>
      </w:r>
      <w:r>
        <w:rPr>
          <w:rFonts w:ascii="Times New Roman" w:hAnsi="Times New Roman" w:cs="Times New Roman"/>
          <w:color w:val="000000" w:themeColor="text1"/>
        </w:rPr>
        <w:t xml:space="preserve"> </w:t>
      </w:r>
      <w:r>
        <w:rPr>
          <w:rFonts w:ascii="Times New Roman" w:hAnsi="Times New Roman" w:cs="Times New Roman"/>
        </w:rPr>
        <w:t xml:space="preserve">Sufficient information is one of the three legs of a valid consent, but the lack of it is NOT something that should automatically undermine </w:t>
      </w:r>
      <w:r w:rsidRPr="00BF413E">
        <w:rPr>
          <w:rFonts w:ascii="Times New Roman" w:hAnsi="Times New Roman" w:cs="Times New Roman"/>
          <w:i/>
          <w:iCs/>
        </w:rPr>
        <w:t>Gillick</w:t>
      </w:r>
      <w:r>
        <w:rPr>
          <w:rFonts w:ascii="Times New Roman" w:hAnsi="Times New Roman" w:cs="Times New Roman"/>
        </w:rPr>
        <w:t xml:space="preserve"> competence. </w:t>
      </w:r>
    </w:p>
    <w:p w14:paraId="0D7D440E" w14:textId="77777777" w:rsidR="009A4EB9" w:rsidRPr="00574AC4" w:rsidRDefault="009A4EB9" w:rsidP="003E5377">
      <w:pPr>
        <w:rPr>
          <w:rFonts w:ascii="Times New Roman" w:hAnsi="Times New Roman" w:cs="Times New Roman"/>
        </w:rPr>
      </w:pPr>
    </w:p>
    <w:p w14:paraId="05BB5C52" w14:textId="4146C3D8" w:rsidR="003E5377" w:rsidRPr="00F50F8C" w:rsidRDefault="00F50F8C" w:rsidP="00F50F8C">
      <w:pPr>
        <w:ind w:left="720"/>
        <w:jc w:val="center"/>
        <w:rPr>
          <w:rFonts w:ascii="Times New Roman" w:hAnsi="Times New Roman" w:cs="Times New Roman"/>
          <w:i/>
          <w:iCs/>
          <w:color w:val="000000" w:themeColor="text1"/>
          <w:u w:val="single"/>
        </w:rPr>
      </w:pPr>
      <w:r>
        <w:rPr>
          <w:rFonts w:ascii="Times New Roman" w:hAnsi="Times New Roman" w:cs="Times New Roman"/>
          <w:i/>
          <w:iCs/>
          <w:color w:val="000000" w:themeColor="text1"/>
          <w:u w:val="single"/>
        </w:rPr>
        <w:t>E</w:t>
      </w:r>
      <w:r w:rsidR="00216D4F">
        <w:rPr>
          <w:rFonts w:ascii="Times New Roman" w:hAnsi="Times New Roman" w:cs="Times New Roman"/>
          <w:i/>
          <w:iCs/>
          <w:color w:val="000000" w:themeColor="text1"/>
          <w:u w:val="single"/>
        </w:rPr>
        <w:t xml:space="preserve"> </w:t>
      </w:r>
      <w:r>
        <w:rPr>
          <w:rFonts w:ascii="Times New Roman" w:hAnsi="Times New Roman" w:cs="Times New Roman"/>
          <w:i/>
          <w:iCs/>
          <w:color w:val="000000" w:themeColor="text1"/>
          <w:u w:val="single"/>
        </w:rPr>
        <w:t>.</w:t>
      </w:r>
      <w:r w:rsidR="003E5377" w:rsidRPr="00F50F8C">
        <w:rPr>
          <w:rFonts w:ascii="Times New Roman" w:hAnsi="Times New Roman" w:cs="Times New Roman"/>
          <w:i/>
          <w:iCs/>
          <w:color w:val="000000" w:themeColor="text1"/>
          <w:u w:val="single"/>
        </w:rPr>
        <w:t>Parental Responsibility</w:t>
      </w:r>
    </w:p>
    <w:p w14:paraId="41676AD0" w14:textId="3A797FEE" w:rsidR="006C1145" w:rsidRPr="006C1145" w:rsidRDefault="006C1145" w:rsidP="006C1145">
      <w:pPr>
        <w:rPr>
          <w:rFonts w:ascii="Times New Roman" w:hAnsi="Times New Roman" w:cs="Times New Roman"/>
        </w:rPr>
      </w:pPr>
      <w:proofErr w:type="spellStart"/>
      <w:r w:rsidRPr="006C1145">
        <w:rPr>
          <w:rFonts w:ascii="Times New Roman" w:hAnsi="Times New Roman" w:cs="Times New Roman"/>
          <w:color w:val="000000" w:themeColor="text1"/>
        </w:rPr>
        <w:t>Suprisingly</w:t>
      </w:r>
      <w:proofErr w:type="spellEnd"/>
      <w:r w:rsidRPr="006C1145">
        <w:rPr>
          <w:rFonts w:ascii="Times New Roman" w:hAnsi="Times New Roman" w:cs="Times New Roman"/>
          <w:color w:val="000000" w:themeColor="text1"/>
        </w:rPr>
        <w:t xml:space="preserve">, the court declined to consider whether parents had the right to consent in the child’s best interests, stating that </w:t>
      </w:r>
      <w:r w:rsidRPr="006C1145">
        <w:rPr>
          <w:rFonts w:ascii="Times New Roman" w:hAnsi="Times New Roman" w:cs="Times New Roman"/>
        </w:rPr>
        <w:t>‘[</w:t>
      </w:r>
      <w:proofErr w:type="spellStart"/>
      <w:r w:rsidRPr="006C1145">
        <w:rPr>
          <w:rFonts w:ascii="Times New Roman" w:hAnsi="Times New Roman" w:cs="Times New Roman"/>
        </w:rPr>
        <w:t>i</w:t>
      </w:r>
      <w:proofErr w:type="spellEnd"/>
      <w:r w:rsidRPr="006C1145">
        <w:rPr>
          <w:rFonts w:ascii="Times New Roman" w:hAnsi="Times New Roman" w:cs="Times New Roman"/>
        </w:rPr>
        <w:t>]t follows that is not necessary for us to consider whether parents could consent to the treatment if the child cannot lawfully do so because this is not the policy or practice of the defendant and such a case could not currently arise on the facts’.</w:t>
      </w:r>
      <w:r w:rsidRPr="00574AC4">
        <w:rPr>
          <w:rStyle w:val="FootnoteReference"/>
          <w:rFonts w:ascii="Times New Roman" w:hAnsi="Times New Roman" w:cs="Times New Roman"/>
        </w:rPr>
        <w:footnoteReference w:id="128"/>
      </w:r>
      <w:r w:rsidRPr="006C1145">
        <w:rPr>
          <w:rFonts w:ascii="Times New Roman" w:hAnsi="Times New Roman" w:cs="Times New Roman"/>
        </w:rPr>
        <w:t xml:space="preserve"> This is strange, as a finding of incompetence normally drives the court towards best interests decision-making. As White and </w:t>
      </w:r>
      <w:proofErr w:type="spellStart"/>
      <w:r w:rsidRPr="006C1145">
        <w:rPr>
          <w:rFonts w:ascii="Times New Roman" w:hAnsi="Times New Roman" w:cs="Times New Roman"/>
        </w:rPr>
        <w:t>Newbegin</w:t>
      </w:r>
      <w:proofErr w:type="spellEnd"/>
      <w:r w:rsidRPr="006C1145">
        <w:rPr>
          <w:rFonts w:ascii="Times New Roman" w:hAnsi="Times New Roman" w:cs="Times New Roman"/>
        </w:rPr>
        <w:t xml:space="preserve"> observe, if GIDS policy is not to treat without parents being on board, then they are already obtaining parental consent, or at least approval.</w:t>
      </w:r>
      <w:r>
        <w:rPr>
          <w:rStyle w:val="FootnoteReference"/>
          <w:rFonts w:ascii="Times New Roman" w:hAnsi="Times New Roman" w:cs="Times New Roman"/>
        </w:rPr>
        <w:footnoteReference w:id="129"/>
      </w:r>
      <w:r w:rsidRPr="006C1145">
        <w:rPr>
          <w:rFonts w:ascii="Times New Roman" w:hAnsi="Times New Roman" w:cs="Times New Roman"/>
        </w:rPr>
        <w:t xml:space="preserve"> This judicial reluctance is incongruous when the court was willing to undermine </w:t>
      </w:r>
      <w:r w:rsidR="00404FAF">
        <w:rPr>
          <w:rFonts w:ascii="Times New Roman" w:hAnsi="Times New Roman" w:cs="Times New Roman"/>
        </w:rPr>
        <w:t>GIDS</w:t>
      </w:r>
      <w:r w:rsidRPr="006C1145">
        <w:rPr>
          <w:rFonts w:ascii="Times New Roman" w:hAnsi="Times New Roman" w:cs="Times New Roman"/>
        </w:rPr>
        <w:t xml:space="preserve"> consent process</w:t>
      </w:r>
      <w:r w:rsidR="00404FAF">
        <w:rPr>
          <w:rFonts w:ascii="Times New Roman" w:hAnsi="Times New Roman" w:cs="Times New Roman"/>
        </w:rPr>
        <w:t>es</w:t>
      </w:r>
      <w:r w:rsidRPr="006C1145">
        <w:rPr>
          <w:rFonts w:ascii="Times New Roman" w:hAnsi="Times New Roman" w:cs="Times New Roman"/>
        </w:rPr>
        <w:t xml:space="preserve"> with blanket categories and requiring court authorisation</w:t>
      </w:r>
      <w:r w:rsidR="00404FAF">
        <w:rPr>
          <w:rFonts w:ascii="Times New Roman" w:hAnsi="Times New Roman" w:cs="Times New Roman"/>
        </w:rPr>
        <w:t>,</w:t>
      </w:r>
      <w:r w:rsidRPr="006C1145">
        <w:rPr>
          <w:rFonts w:ascii="Times New Roman" w:hAnsi="Times New Roman" w:cs="Times New Roman"/>
        </w:rPr>
        <w:t xml:space="preserve"> despite all parties being in agreement as to best interests -  a situation the Good Law Project’s lawyers were ‘unable to identify any precedent in English Law for’.</w:t>
      </w:r>
      <w:r>
        <w:rPr>
          <w:rStyle w:val="FootnoteReference"/>
          <w:rFonts w:ascii="Times New Roman" w:hAnsi="Times New Roman" w:cs="Times New Roman"/>
        </w:rPr>
        <w:footnoteReference w:id="130"/>
      </w:r>
    </w:p>
    <w:p w14:paraId="196B242C" w14:textId="71C40E30" w:rsidR="0066679D" w:rsidRDefault="006C1145" w:rsidP="00216D4F">
      <w:pPr>
        <w:ind w:firstLine="720"/>
      </w:pPr>
      <w:r w:rsidRPr="006C1145">
        <w:rPr>
          <w:rFonts w:ascii="Times New Roman" w:hAnsi="Times New Roman" w:cs="Times New Roman"/>
          <w:i/>
          <w:iCs/>
        </w:rPr>
        <w:t>A</w:t>
      </w:r>
      <w:r w:rsidR="0066679D">
        <w:rPr>
          <w:rFonts w:ascii="Times New Roman" w:hAnsi="Times New Roman" w:cs="Times New Roman"/>
          <w:i/>
          <w:iCs/>
        </w:rPr>
        <w:t xml:space="preserve">B </w:t>
      </w:r>
      <w:r w:rsidR="0066679D">
        <w:rPr>
          <w:rFonts w:ascii="Times New Roman" w:hAnsi="Times New Roman" w:cs="Times New Roman"/>
        </w:rPr>
        <w:t>did tackle the issue,</w:t>
      </w:r>
      <w:r w:rsidRPr="006C1145">
        <w:rPr>
          <w:rFonts w:ascii="Times New Roman" w:hAnsi="Times New Roman" w:cs="Times New Roman"/>
        </w:rPr>
        <w:t xml:space="preserve"> consider</w:t>
      </w:r>
      <w:r w:rsidR="0066679D">
        <w:rPr>
          <w:rFonts w:ascii="Times New Roman" w:hAnsi="Times New Roman" w:cs="Times New Roman"/>
        </w:rPr>
        <w:t>ing</w:t>
      </w:r>
      <w:r w:rsidRPr="006C1145">
        <w:rPr>
          <w:rFonts w:ascii="Times New Roman" w:hAnsi="Times New Roman" w:cs="Times New Roman"/>
        </w:rPr>
        <w:t xml:space="preserve"> whether parents retained a concurrent right of consent with a </w:t>
      </w:r>
      <w:r w:rsidRPr="006C1145">
        <w:rPr>
          <w:rFonts w:ascii="Times New Roman" w:hAnsi="Times New Roman" w:cs="Times New Roman"/>
          <w:i/>
          <w:iCs/>
        </w:rPr>
        <w:t>Gillick</w:t>
      </w:r>
      <w:r w:rsidRPr="006C1145">
        <w:rPr>
          <w:rFonts w:ascii="Times New Roman" w:hAnsi="Times New Roman" w:cs="Times New Roman"/>
        </w:rPr>
        <w:t xml:space="preserve"> competent child. Lieven J adopted the analysis from </w:t>
      </w:r>
      <w:r w:rsidRPr="006C1145">
        <w:rPr>
          <w:rFonts w:ascii="Times New Roman" w:hAnsi="Times New Roman" w:cs="Times New Roman"/>
          <w:i/>
          <w:iCs/>
        </w:rPr>
        <w:t>Bell</w:t>
      </w:r>
      <w:r w:rsidRPr="006C1145">
        <w:rPr>
          <w:rFonts w:ascii="Times New Roman" w:hAnsi="Times New Roman" w:cs="Times New Roman"/>
        </w:rPr>
        <w:t xml:space="preserve"> on the nature of PBs, experimental treatment, reversibility and treatment-pathway.</w:t>
      </w:r>
      <w:r>
        <w:rPr>
          <w:rStyle w:val="FootnoteReference"/>
          <w:rFonts w:ascii="Times New Roman" w:hAnsi="Times New Roman" w:cs="Times New Roman"/>
        </w:rPr>
        <w:footnoteReference w:id="131"/>
      </w:r>
      <w:r w:rsidRPr="006C1145">
        <w:rPr>
          <w:rFonts w:ascii="Times New Roman" w:hAnsi="Times New Roman" w:cs="Times New Roman"/>
        </w:rPr>
        <w:t xml:space="preserve"> What was less clear was whether a finding of competence and a child wishing to consent, terminated the parental right to consent</w:t>
      </w:r>
      <w:r w:rsidRPr="006C1145">
        <w:rPr>
          <w:rFonts w:ascii="Times New Roman" w:hAnsi="Times New Roman" w:cs="Times New Roman"/>
          <w:i/>
          <w:iCs/>
        </w:rPr>
        <w:t>. Re X</w:t>
      </w:r>
      <w:r w:rsidRPr="006C1145">
        <w:rPr>
          <w:rFonts w:ascii="Times New Roman" w:hAnsi="Times New Roman" w:cs="Times New Roman"/>
        </w:rPr>
        <w:t xml:space="preserve"> was reviewed, and whilst Munby J upheld </w:t>
      </w:r>
      <w:r w:rsidRPr="006C1145">
        <w:rPr>
          <w:rFonts w:ascii="Times New Roman" w:hAnsi="Times New Roman" w:cs="Times New Roman"/>
          <w:i/>
          <w:iCs/>
        </w:rPr>
        <w:t>Re W</w:t>
      </w:r>
      <w:r w:rsidRPr="006C1145">
        <w:rPr>
          <w:rFonts w:ascii="Times New Roman" w:hAnsi="Times New Roman" w:cs="Times New Roman"/>
        </w:rPr>
        <w:t xml:space="preserve"> and </w:t>
      </w:r>
      <w:r w:rsidRPr="006C1145">
        <w:rPr>
          <w:rFonts w:ascii="Times New Roman" w:hAnsi="Times New Roman" w:cs="Times New Roman"/>
          <w:i/>
          <w:iCs/>
        </w:rPr>
        <w:t>Re R</w:t>
      </w:r>
      <w:r w:rsidRPr="006C1145">
        <w:rPr>
          <w:rFonts w:ascii="Times New Roman" w:hAnsi="Times New Roman" w:cs="Times New Roman"/>
        </w:rPr>
        <w:t>,</w:t>
      </w:r>
      <w:r>
        <w:rPr>
          <w:rStyle w:val="FootnoteReference"/>
          <w:rFonts w:ascii="Times New Roman" w:hAnsi="Times New Roman" w:cs="Times New Roman"/>
        </w:rPr>
        <w:footnoteReference w:id="132"/>
      </w:r>
      <w:r w:rsidRPr="006C1145">
        <w:rPr>
          <w:rFonts w:ascii="Times New Roman" w:hAnsi="Times New Roman" w:cs="Times New Roman"/>
        </w:rPr>
        <w:t xml:space="preserve"> Lieven J </w:t>
      </w:r>
      <w:r w:rsidRPr="006C1145">
        <w:rPr>
          <w:rFonts w:ascii="Times New Roman" w:hAnsi="Times New Roman" w:cs="Times New Roman"/>
          <w:color w:val="000000" w:themeColor="text1"/>
        </w:rPr>
        <w:t>concluded that as the case d</w:t>
      </w:r>
      <w:r w:rsidR="001B5685">
        <w:rPr>
          <w:rFonts w:ascii="Times New Roman" w:hAnsi="Times New Roman" w:cs="Times New Roman"/>
          <w:color w:val="000000" w:themeColor="text1"/>
        </w:rPr>
        <w:t>id not</w:t>
      </w:r>
      <w:r w:rsidRPr="006C1145">
        <w:rPr>
          <w:rFonts w:ascii="Times New Roman" w:hAnsi="Times New Roman" w:cs="Times New Roman"/>
          <w:color w:val="000000" w:themeColor="text1"/>
        </w:rPr>
        <w:t xml:space="preserve"> concern concurrent consent, it took her no further forward.</w:t>
      </w:r>
      <w:r w:rsidRPr="006C1145">
        <w:rPr>
          <w:rStyle w:val="FootnoteReference"/>
          <w:rFonts w:ascii="Times New Roman" w:hAnsi="Times New Roman" w:cs="Times New Roman"/>
          <w:color w:val="000000" w:themeColor="text1"/>
        </w:rPr>
        <w:t xml:space="preserve"> </w:t>
      </w:r>
      <w:r>
        <w:rPr>
          <w:rStyle w:val="FootnoteReference"/>
          <w:rFonts w:ascii="Times New Roman" w:hAnsi="Times New Roman" w:cs="Times New Roman"/>
          <w:color w:val="000000" w:themeColor="text1"/>
        </w:rPr>
        <w:footnoteReference w:id="133"/>
      </w:r>
      <w:r w:rsidRPr="006C1145">
        <w:rPr>
          <w:rFonts w:ascii="Times New Roman" w:hAnsi="Times New Roman" w:cs="Times New Roman"/>
          <w:color w:val="000000" w:themeColor="text1"/>
        </w:rPr>
        <w:t xml:space="preserve"> </w:t>
      </w:r>
      <w:r w:rsidR="001B5685">
        <w:rPr>
          <w:rFonts w:ascii="Times New Roman" w:hAnsi="Times New Roman" w:cs="Times New Roman"/>
          <w:color w:val="000000" w:themeColor="text1"/>
        </w:rPr>
        <w:t>E</w:t>
      </w:r>
      <w:r w:rsidRPr="006C1145">
        <w:rPr>
          <w:rFonts w:ascii="Times New Roman" w:hAnsi="Times New Roman" w:cs="Times New Roman"/>
          <w:color w:val="000000" w:themeColor="text1"/>
        </w:rPr>
        <w:t xml:space="preserve">ncouragingly, she distinguished her reasoning from the stark protectionism seen in </w:t>
      </w:r>
      <w:r w:rsidRPr="006C1145">
        <w:rPr>
          <w:rFonts w:ascii="Times New Roman" w:hAnsi="Times New Roman" w:cs="Times New Roman"/>
          <w:i/>
          <w:iCs/>
          <w:color w:val="000000" w:themeColor="text1"/>
        </w:rPr>
        <w:t>Re X</w:t>
      </w:r>
      <w:r w:rsidRPr="006C1145">
        <w:rPr>
          <w:rFonts w:ascii="Times New Roman" w:hAnsi="Times New Roman" w:cs="Times New Roman"/>
          <w:color w:val="000000" w:themeColor="text1"/>
        </w:rPr>
        <w:t xml:space="preserve">, declaring that ‘[t]he very essence of </w:t>
      </w:r>
      <w:r w:rsidRPr="006C1145">
        <w:rPr>
          <w:rFonts w:ascii="Times New Roman" w:hAnsi="Times New Roman" w:cs="Times New Roman"/>
          <w:i/>
          <w:iCs/>
          <w:color w:val="000000" w:themeColor="text1"/>
        </w:rPr>
        <w:t>Gillick</w:t>
      </w:r>
      <w:r w:rsidRPr="006C1145">
        <w:rPr>
          <w:rFonts w:ascii="Times New Roman" w:hAnsi="Times New Roman" w:cs="Times New Roman"/>
          <w:color w:val="000000" w:themeColor="text1"/>
        </w:rPr>
        <w:t xml:space="preserve"> is, in my view, that a parent’s right to consent or “determine’ treatment cannot trump or overbear the decision of the child. (…) I cannot accept that Lord Scarman was drawing the distinction between the child making the decision and the parent being able to give legally operative consent that Lord Donaldson seems to have drawn in </w:t>
      </w:r>
      <w:r w:rsidRPr="006C1145">
        <w:rPr>
          <w:rFonts w:ascii="Times New Roman" w:hAnsi="Times New Roman" w:cs="Times New Roman"/>
          <w:i/>
          <w:iCs/>
          <w:color w:val="000000" w:themeColor="text1"/>
        </w:rPr>
        <w:t>Re R’</w:t>
      </w:r>
      <w:r w:rsidRPr="006C1145">
        <w:rPr>
          <w:rFonts w:ascii="Times New Roman" w:hAnsi="Times New Roman" w:cs="Times New Roman"/>
          <w:color w:val="000000" w:themeColor="text1"/>
        </w:rPr>
        <w:t xml:space="preserve">. </w:t>
      </w:r>
      <w:r>
        <w:rPr>
          <w:rStyle w:val="FootnoteReference"/>
          <w:rFonts w:ascii="Times New Roman" w:hAnsi="Times New Roman" w:cs="Times New Roman"/>
          <w:color w:val="000000" w:themeColor="text1"/>
        </w:rPr>
        <w:footnoteReference w:id="134"/>
      </w:r>
      <w:r w:rsidRPr="006C1145">
        <w:rPr>
          <w:rFonts w:ascii="Times New Roman" w:hAnsi="Times New Roman" w:cs="Times New Roman"/>
          <w:color w:val="000000" w:themeColor="text1"/>
        </w:rPr>
        <w:t xml:space="preserve"> Her conclusion was that parents do retain a concurrent right to consent to PBs, only</w:t>
      </w:r>
      <w:r w:rsidR="0066679D">
        <w:rPr>
          <w:rFonts w:ascii="Times New Roman" w:hAnsi="Times New Roman" w:cs="Times New Roman"/>
          <w:color w:val="000000" w:themeColor="text1"/>
        </w:rPr>
        <w:t xml:space="preserve"> to</w:t>
      </w:r>
      <w:r w:rsidRPr="006C1145">
        <w:rPr>
          <w:rFonts w:ascii="Times New Roman" w:hAnsi="Times New Roman" w:cs="Times New Roman"/>
          <w:color w:val="000000" w:themeColor="text1"/>
        </w:rPr>
        <w:t xml:space="preserve"> be utilised where a competent child does not object, or where she is incompetent.</w:t>
      </w:r>
      <w:r>
        <w:rPr>
          <w:rStyle w:val="FootnoteReference"/>
          <w:rFonts w:ascii="Times New Roman" w:hAnsi="Times New Roman" w:cs="Times New Roman"/>
          <w:color w:val="000000" w:themeColor="text1"/>
        </w:rPr>
        <w:footnoteReference w:id="135"/>
      </w:r>
      <w:r w:rsidRPr="006C1145">
        <w:rPr>
          <w:rFonts w:ascii="Times New Roman" w:hAnsi="Times New Roman" w:cs="Times New Roman"/>
          <w:color w:val="000000" w:themeColor="text1"/>
        </w:rPr>
        <w:t xml:space="preserve"> </w:t>
      </w:r>
      <w:r w:rsidRPr="006C1145">
        <w:rPr>
          <w:rFonts w:ascii="Times New Roman" w:hAnsi="Times New Roman" w:cs="Times New Roman"/>
        </w:rPr>
        <w:t>On the second issue, as Jackson observed, the only scenario where case law has restricted parental responsibility and required authorisation of the court is sterilisation/ hysterectomy.</w:t>
      </w:r>
      <w:r>
        <w:rPr>
          <w:rStyle w:val="FootnoteReference"/>
          <w:rFonts w:ascii="Times New Roman" w:hAnsi="Times New Roman" w:cs="Times New Roman"/>
        </w:rPr>
        <w:footnoteReference w:id="136"/>
      </w:r>
      <w:r w:rsidRPr="006C1145">
        <w:rPr>
          <w:rFonts w:ascii="Times New Roman" w:hAnsi="Times New Roman" w:cs="Times New Roman"/>
        </w:rPr>
        <w:t xml:space="preserve"> I would question whether the administration of PBs are in any way analogous to sterilisation. </w:t>
      </w:r>
      <w:r w:rsidRPr="006C1145">
        <w:rPr>
          <w:rFonts w:ascii="Times New Roman" w:hAnsi="Times New Roman" w:cs="Times New Roman"/>
        </w:rPr>
        <w:lastRenderedPageBreak/>
        <w:t xml:space="preserve">After considering the reasoning in the child sterilisation cases, </w:t>
      </w:r>
      <w:r>
        <w:rPr>
          <w:rStyle w:val="FootnoteReference"/>
          <w:rFonts w:ascii="Times New Roman" w:hAnsi="Times New Roman" w:cs="Times New Roman"/>
          <w:i/>
          <w:iCs/>
          <w:color w:val="000000" w:themeColor="text1"/>
        </w:rPr>
        <w:footnoteReference w:id="137"/>
      </w:r>
      <w:r w:rsidRPr="006C1145">
        <w:rPr>
          <w:rFonts w:ascii="Times New Roman" w:hAnsi="Times New Roman" w:cs="Times New Roman"/>
        </w:rPr>
        <w:t xml:space="preserve"> </w:t>
      </w:r>
      <w:r w:rsidRPr="006C1145">
        <w:rPr>
          <w:rFonts w:ascii="Times New Roman" w:hAnsi="Times New Roman" w:cs="Times New Roman"/>
          <w:color w:val="000000" w:themeColor="text1"/>
        </w:rPr>
        <w:t>and similar cases involving incapacitated adults,</w:t>
      </w:r>
      <w:r>
        <w:rPr>
          <w:rStyle w:val="FootnoteReference"/>
          <w:rFonts w:ascii="Times New Roman" w:hAnsi="Times New Roman" w:cs="Times New Roman"/>
          <w:color w:val="000000" w:themeColor="text1"/>
        </w:rPr>
        <w:footnoteReference w:id="138"/>
      </w:r>
      <w:r w:rsidRPr="006C1145">
        <w:rPr>
          <w:rFonts w:ascii="Times New Roman" w:hAnsi="Times New Roman" w:cs="Times New Roman"/>
          <w:color w:val="000000" w:themeColor="text1"/>
        </w:rPr>
        <w:t xml:space="preserve"> Lieven J observed a move away from court authorised special categories, in favour of parental consent if Drs were satisfied that the procedure was for therapeutic purposes.</w:t>
      </w:r>
      <w:r>
        <w:rPr>
          <w:rStyle w:val="FootnoteReference"/>
          <w:rFonts w:ascii="Times New Roman" w:hAnsi="Times New Roman" w:cs="Times New Roman"/>
          <w:color w:val="000000" w:themeColor="text1"/>
        </w:rPr>
        <w:footnoteReference w:id="139"/>
      </w:r>
      <w:r w:rsidRPr="006C1145">
        <w:rPr>
          <w:rFonts w:ascii="Times New Roman" w:hAnsi="Times New Roman" w:cs="Times New Roman"/>
          <w:color w:val="000000" w:themeColor="text1"/>
        </w:rPr>
        <w:t xml:space="preserve"> </w:t>
      </w:r>
      <w:r w:rsidR="0066679D" w:rsidRPr="00D862A4">
        <w:rPr>
          <w:rFonts w:ascii="Times New Roman" w:eastAsia="Times New Roman" w:hAnsi="Times New Roman" w:cs="Times New Roman"/>
          <w:color w:val="000000" w:themeColor="text1"/>
        </w:rPr>
        <w:t>Acknowledging</w:t>
      </w:r>
      <w:r w:rsidR="0066679D">
        <w:rPr>
          <w:rFonts w:ascii="Times New Roman" w:eastAsia="Times New Roman" w:hAnsi="Times New Roman" w:cs="Times New Roman"/>
          <w:color w:val="000000" w:themeColor="text1"/>
        </w:rPr>
        <w:t xml:space="preserve"> no special restriction</w:t>
      </w:r>
      <w:r w:rsidR="0066679D" w:rsidRPr="00D862A4">
        <w:rPr>
          <w:rFonts w:ascii="Times New Roman" w:eastAsia="Times New Roman" w:hAnsi="Times New Roman" w:cs="Times New Roman"/>
          <w:color w:val="000000" w:themeColor="text1"/>
        </w:rPr>
        <w:t xml:space="preserve"> ‘[</w:t>
      </w:r>
      <w:proofErr w:type="spellStart"/>
      <w:r w:rsidR="0066679D" w:rsidRPr="00D862A4">
        <w:rPr>
          <w:rFonts w:ascii="Times New Roman" w:eastAsia="Times New Roman" w:hAnsi="Times New Roman" w:cs="Times New Roman"/>
          <w:color w:val="000000" w:themeColor="text1"/>
        </w:rPr>
        <w:t>i</w:t>
      </w:r>
      <w:proofErr w:type="spellEnd"/>
      <w:r w:rsidR="0066679D" w:rsidRPr="00D862A4">
        <w:rPr>
          <w:rFonts w:ascii="Times New Roman" w:eastAsia="Times New Roman" w:hAnsi="Times New Roman" w:cs="Times New Roman"/>
          <w:color w:val="000000" w:themeColor="text1"/>
        </w:rPr>
        <w:t>]n all other contexts, including whether a parental decision will lead to a child’s life ending</w:t>
      </w:r>
      <w:r w:rsidR="0066679D">
        <w:rPr>
          <w:rFonts w:ascii="Times New Roman" w:eastAsia="Times New Roman" w:hAnsi="Times New Roman" w:cs="Times New Roman"/>
          <w:color w:val="000000" w:themeColor="text1"/>
        </w:rPr>
        <w:t>,</w:t>
      </w:r>
      <w:r w:rsidR="0066679D" w:rsidRPr="00981AB1">
        <w:rPr>
          <w:rStyle w:val="FootnoteReference"/>
          <w:rFonts w:ascii="Times New Roman" w:eastAsia="Times New Roman" w:hAnsi="Times New Roman" w:cs="Times New Roman"/>
          <w:color w:val="000000" w:themeColor="text1"/>
        </w:rPr>
        <w:footnoteReference w:id="140"/>
      </w:r>
      <w:r w:rsidR="0066679D" w:rsidRPr="00D862A4">
        <w:rPr>
          <w:rFonts w:ascii="Times New Roman" w:eastAsia="Times New Roman" w:hAnsi="Times New Roman" w:cs="Times New Roman"/>
          <w:color w:val="000000" w:themeColor="text1"/>
        </w:rPr>
        <w:t xml:space="preserve"> the court held parents will be in the same position to exercise their right to consent as for any other medical treatment.  </w:t>
      </w:r>
    </w:p>
    <w:p w14:paraId="4994AB63" w14:textId="47CFDE64" w:rsidR="006C1145" w:rsidRPr="006C1145" w:rsidRDefault="006C1145" w:rsidP="0066679D">
      <w:pPr>
        <w:ind w:firstLine="720"/>
        <w:rPr>
          <w:rFonts w:ascii="Times New Roman" w:hAnsi="Times New Roman" w:cs="Times New Roman"/>
          <w:color w:val="000000" w:themeColor="text1"/>
        </w:rPr>
      </w:pPr>
      <w:r w:rsidRPr="006C1145">
        <w:rPr>
          <w:rFonts w:ascii="Times New Roman" w:hAnsi="Times New Roman" w:cs="Times New Roman"/>
        </w:rPr>
        <w:t>Whilst hailed as a hugely significant decision,</w:t>
      </w:r>
      <w:r w:rsidRPr="006C1145">
        <w:rPr>
          <w:rStyle w:val="FootnoteReference"/>
          <w:rFonts w:ascii="Times New Roman" w:hAnsi="Times New Roman" w:cs="Times New Roman"/>
        </w:rPr>
        <w:t xml:space="preserve"> </w:t>
      </w:r>
      <w:r>
        <w:rPr>
          <w:rStyle w:val="FootnoteReference"/>
          <w:rFonts w:ascii="Times New Roman" w:hAnsi="Times New Roman" w:cs="Times New Roman"/>
        </w:rPr>
        <w:footnoteReference w:id="141"/>
      </w:r>
      <w:r w:rsidRPr="006C1145">
        <w:rPr>
          <w:rFonts w:ascii="Times New Roman" w:hAnsi="Times New Roman" w:cs="Times New Roman"/>
          <w:i/>
          <w:iCs/>
        </w:rPr>
        <w:t>AB</w:t>
      </w:r>
      <w:r w:rsidRPr="006C1145">
        <w:rPr>
          <w:rFonts w:ascii="Times New Roman" w:hAnsi="Times New Roman" w:cs="Times New Roman"/>
        </w:rPr>
        <w:t xml:space="preserve"> is not without its problems. As a pragmatic solution it will only be helpful to children</w:t>
      </w:r>
      <w:r w:rsidR="0066679D">
        <w:rPr>
          <w:rFonts w:ascii="Times New Roman" w:hAnsi="Times New Roman" w:cs="Times New Roman"/>
        </w:rPr>
        <w:t xml:space="preserve"> with supportive parents</w:t>
      </w:r>
      <w:r w:rsidRPr="006C1145">
        <w:rPr>
          <w:rFonts w:ascii="Times New Roman" w:hAnsi="Times New Roman" w:cs="Times New Roman"/>
        </w:rPr>
        <w:t>.</w:t>
      </w:r>
      <w:r>
        <w:rPr>
          <w:rStyle w:val="FootnoteReference"/>
          <w:rFonts w:ascii="Times New Roman" w:hAnsi="Times New Roman" w:cs="Times New Roman"/>
        </w:rPr>
        <w:footnoteReference w:id="142"/>
      </w:r>
      <w:r w:rsidR="006C0119">
        <w:rPr>
          <w:rFonts w:ascii="Times New Roman" w:hAnsi="Times New Roman" w:cs="Times New Roman"/>
        </w:rPr>
        <w:t xml:space="preserve"> </w:t>
      </w:r>
      <w:r w:rsidRPr="006C1145">
        <w:rPr>
          <w:rFonts w:ascii="Times New Roman" w:hAnsi="Times New Roman" w:cs="Times New Roman"/>
        </w:rPr>
        <w:t xml:space="preserve">However, it does nothing to address the fundamental curtailing of the scope of </w:t>
      </w:r>
      <w:r w:rsidRPr="006C1145">
        <w:rPr>
          <w:rFonts w:ascii="Times New Roman" w:hAnsi="Times New Roman" w:cs="Times New Roman"/>
          <w:i/>
          <w:iCs/>
        </w:rPr>
        <w:t>Gillick</w:t>
      </w:r>
      <w:r w:rsidRPr="006C1145">
        <w:rPr>
          <w:rFonts w:ascii="Times New Roman" w:hAnsi="Times New Roman" w:cs="Times New Roman"/>
        </w:rPr>
        <w:t xml:space="preserve"> and undermining of competent children’s rights to consent to legitimate medical treatment. The perceived distinction between parents, as adults with full-capacity, and children, led the court to claim that the</w:t>
      </w:r>
      <w:r w:rsidRPr="006C1145">
        <w:rPr>
          <w:rFonts w:ascii="Times New Roman" w:hAnsi="Times New Roman" w:cs="Times New Roman"/>
          <w:color w:val="000000" w:themeColor="text1"/>
        </w:rPr>
        <w:t xml:space="preserve"> factors in </w:t>
      </w:r>
      <w:r w:rsidRPr="006C1145">
        <w:rPr>
          <w:rFonts w:ascii="Times New Roman" w:hAnsi="Times New Roman" w:cs="Times New Roman"/>
          <w:i/>
          <w:iCs/>
          <w:color w:val="000000" w:themeColor="text1"/>
        </w:rPr>
        <w:t>Bell</w:t>
      </w:r>
      <w:r w:rsidRPr="006C1145">
        <w:rPr>
          <w:rFonts w:ascii="Times New Roman" w:hAnsi="Times New Roman" w:cs="Times New Roman"/>
          <w:color w:val="000000" w:themeColor="text1"/>
        </w:rPr>
        <w:t xml:space="preserve"> did not justify removing parental rights to consent as although‘[t]he experimental nature of the PBs should give any parent pause for thought, (…) parents can and do routinely consent on their child’s behalf to experimental treatment, sometimes with considerable, including life-changing, potential side-effects’.</w:t>
      </w:r>
      <w:r>
        <w:rPr>
          <w:rStyle w:val="FootnoteReference"/>
          <w:rFonts w:ascii="Times New Roman" w:hAnsi="Times New Roman" w:cs="Times New Roman"/>
          <w:color w:val="000000" w:themeColor="text1"/>
        </w:rPr>
        <w:footnoteReference w:id="143"/>
      </w:r>
      <w:r w:rsidRPr="006C1145">
        <w:rPr>
          <w:rFonts w:ascii="Times New Roman" w:hAnsi="Times New Roman" w:cs="Times New Roman"/>
          <w:color w:val="000000" w:themeColor="text1"/>
        </w:rPr>
        <w:t xml:space="preserve"> I contest the strength of this distinction. Whilst parents may have certain insights, they lack the thing that trans children have first-hand experience of - the embodied reality of living with</w:t>
      </w:r>
      <w:r w:rsidR="0066679D">
        <w:rPr>
          <w:rFonts w:ascii="Times New Roman" w:hAnsi="Times New Roman" w:cs="Times New Roman"/>
          <w:color w:val="000000" w:themeColor="text1"/>
        </w:rPr>
        <w:t xml:space="preserve"> GD</w:t>
      </w:r>
      <w:r w:rsidRPr="006C1145">
        <w:rPr>
          <w:rFonts w:ascii="Times New Roman" w:hAnsi="Times New Roman" w:cs="Times New Roman"/>
          <w:color w:val="000000" w:themeColor="text1"/>
        </w:rPr>
        <w:t>.</w:t>
      </w:r>
    </w:p>
    <w:p w14:paraId="6A71EE34" w14:textId="77777777" w:rsidR="003E5377" w:rsidRPr="007E24EA" w:rsidRDefault="003E5377" w:rsidP="003E5377">
      <w:pPr>
        <w:rPr>
          <w:rFonts w:ascii="Times New Roman" w:hAnsi="Times New Roman" w:cs="Times New Roman"/>
        </w:rPr>
      </w:pPr>
    </w:p>
    <w:p w14:paraId="2FCC22D3" w14:textId="49DDF393" w:rsidR="003E5377" w:rsidRDefault="00F50F8C" w:rsidP="005D7D25">
      <w:pPr>
        <w:ind w:left="720" w:firstLine="720"/>
        <w:rPr>
          <w:rFonts w:ascii="Times New Roman" w:hAnsi="Times New Roman" w:cs="Times New Roman"/>
          <w:i/>
          <w:iCs/>
          <w:u w:val="single"/>
        </w:rPr>
      </w:pPr>
      <w:r>
        <w:rPr>
          <w:rFonts w:ascii="Times New Roman" w:hAnsi="Times New Roman" w:cs="Times New Roman"/>
          <w:i/>
          <w:iCs/>
          <w:u w:val="single"/>
        </w:rPr>
        <w:t>F</w:t>
      </w:r>
      <w:r w:rsidR="003E5377">
        <w:rPr>
          <w:rFonts w:ascii="Times New Roman" w:hAnsi="Times New Roman" w:cs="Times New Roman"/>
          <w:i/>
          <w:iCs/>
          <w:u w:val="single"/>
        </w:rPr>
        <w:t>.</w:t>
      </w:r>
      <w:r w:rsidR="003E5377" w:rsidRPr="00DC4A57">
        <w:rPr>
          <w:rFonts w:ascii="Times New Roman" w:hAnsi="Times New Roman" w:cs="Times New Roman"/>
          <w:i/>
          <w:iCs/>
          <w:u w:val="single"/>
        </w:rPr>
        <w:t xml:space="preserve"> Best Interest</w:t>
      </w:r>
      <w:r w:rsidR="003E5377">
        <w:rPr>
          <w:rFonts w:ascii="Times New Roman" w:hAnsi="Times New Roman" w:cs="Times New Roman"/>
          <w:i/>
          <w:iCs/>
          <w:u w:val="single"/>
        </w:rPr>
        <w:t>s</w:t>
      </w:r>
      <w:r w:rsidR="006C1145">
        <w:rPr>
          <w:rFonts w:ascii="Times New Roman" w:hAnsi="Times New Roman" w:cs="Times New Roman"/>
          <w:i/>
          <w:iCs/>
          <w:u w:val="single"/>
        </w:rPr>
        <w:t xml:space="preserve"> </w:t>
      </w:r>
      <w:r w:rsidR="003E5377" w:rsidRPr="00DC4A57">
        <w:rPr>
          <w:rFonts w:ascii="Times New Roman" w:hAnsi="Times New Roman" w:cs="Times New Roman"/>
          <w:i/>
          <w:iCs/>
          <w:u w:val="single"/>
        </w:rPr>
        <w:t>and th</w:t>
      </w:r>
      <w:r w:rsidR="006C1145">
        <w:rPr>
          <w:rFonts w:ascii="Times New Roman" w:hAnsi="Times New Roman" w:cs="Times New Roman"/>
          <w:i/>
          <w:iCs/>
          <w:u w:val="single"/>
        </w:rPr>
        <w:t>e Protective</w:t>
      </w:r>
      <w:r w:rsidR="003E5377" w:rsidRPr="00DC4A57">
        <w:rPr>
          <w:rFonts w:ascii="Times New Roman" w:hAnsi="Times New Roman" w:cs="Times New Roman"/>
          <w:i/>
          <w:iCs/>
          <w:u w:val="single"/>
        </w:rPr>
        <w:t xml:space="preserve"> Role of the Court</w:t>
      </w:r>
    </w:p>
    <w:p w14:paraId="7F51A5F1" w14:textId="2DAA57AF" w:rsidR="001B2309" w:rsidRPr="001B2309" w:rsidRDefault="001B2309" w:rsidP="001B2309">
      <w:pPr>
        <w:rPr>
          <w:rFonts w:ascii="Times New Roman" w:hAnsi="Times New Roman" w:cs="Times New Roman"/>
        </w:rPr>
      </w:pPr>
      <w:r>
        <w:rPr>
          <w:rFonts w:ascii="Times New Roman" w:hAnsi="Times New Roman" w:cs="Times New Roman"/>
        </w:rPr>
        <w:t xml:space="preserve">The outcome of </w:t>
      </w:r>
      <w:r w:rsidRPr="0083689C">
        <w:rPr>
          <w:rFonts w:ascii="Times New Roman" w:hAnsi="Times New Roman" w:cs="Times New Roman"/>
          <w:i/>
          <w:iCs/>
        </w:rPr>
        <w:t>Bell</w:t>
      </w:r>
      <w:r>
        <w:rPr>
          <w:rFonts w:ascii="Times New Roman" w:hAnsi="Times New Roman" w:cs="Times New Roman"/>
        </w:rPr>
        <w:t xml:space="preserve"> was a declaration that any decision for under 16s on the administration of PBs would need a best interests determination by the court, </w:t>
      </w:r>
      <w:r>
        <w:rPr>
          <w:rStyle w:val="FootnoteReference"/>
          <w:rFonts w:ascii="Times New Roman" w:hAnsi="Times New Roman" w:cs="Times New Roman"/>
        </w:rPr>
        <w:footnoteReference w:id="144"/>
      </w:r>
      <w:r>
        <w:rPr>
          <w:rFonts w:ascii="Times New Roman" w:hAnsi="Times New Roman" w:cs="Times New Roman"/>
        </w:rPr>
        <w:t xml:space="preserve"> and that this might be appropriate for 16-17 year olds, if there is any doubt about long-term best interests.</w:t>
      </w:r>
      <w:r>
        <w:rPr>
          <w:rStyle w:val="FootnoteReference"/>
          <w:rFonts w:ascii="Times New Roman" w:hAnsi="Times New Roman" w:cs="Times New Roman"/>
        </w:rPr>
        <w:footnoteReference w:id="145"/>
      </w:r>
      <w:r>
        <w:rPr>
          <w:rFonts w:ascii="Times New Roman" w:hAnsi="Times New Roman" w:cs="Times New Roman"/>
        </w:rPr>
        <w:t xml:space="preserve">  For older adolescents this contradicts both the FLRA and MCA presumptions of capacity, and undermines the court</w:t>
      </w:r>
      <w:r w:rsidR="00D30D78">
        <w:rPr>
          <w:rFonts w:ascii="Times New Roman" w:hAnsi="Times New Roman" w:cs="Times New Roman"/>
        </w:rPr>
        <w:t>’</w:t>
      </w:r>
      <w:r>
        <w:rPr>
          <w:rFonts w:ascii="Times New Roman" w:hAnsi="Times New Roman" w:cs="Times New Roman"/>
        </w:rPr>
        <w:t>s own statement that they cannot ‘adopt an intrusive jurisdiction in relation to one form of clinical intervention’.</w:t>
      </w:r>
      <w:r>
        <w:rPr>
          <w:rStyle w:val="FootnoteReference"/>
          <w:rFonts w:ascii="Times New Roman" w:hAnsi="Times New Roman" w:cs="Times New Roman"/>
        </w:rPr>
        <w:footnoteReference w:id="146"/>
      </w:r>
      <w:r>
        <w:rPr>
          <w:rFonts w:ascii="Times New Roman" w:hAnsi="Times New Roman" w:cs="Times New Roman"/>
        </w:rPr>
        <w:t xml:space="preserve"> The court’s claim of real benefit in judicial oversight</w:t>
      </w:r>
      <w:r>
        <w:rPr>
          <w:rStyle w:val="FootnoteReference"/>
          <w:rFonts w:ascii="Times New Roman" w:hAnsi="Times New Roman" w:cs="Times New Roman"/>
          <w:color w:val="000000" w:themeColor="text1"/>
        </w:rPr>
        <w:footnoteReference w:id="147"/>
      </w:r>
      <w:r>
        <w:rPr>
          <w:rFonts w:ascii="Times New Roman" w:hAnsi="Times New Roman" w:cs="Times New Roman"/>
          <w:color w:val="000000" w:themeColor="text1"/>
        </w:rPr>
        <w:t xml:space="preserve"> </w:t>
      </w:r>
      <w:r>
        <w:rPr>
          <w:rFonts w:ascii="Times New Roman" w:hAnsi="Times New Roman" w:cs="Times New Roman"/>
        </w:rPr>
        <w:t>is questionable</w:t>
      </w:r>
      <w:r>
        <w:rPr>
          <w:rFonts w:ascii="Times New Roman" w:hAnsi="Times New Roman" w:cs="Times New Roman"/>
          <w:color w:val="000000" w:themeColor="text1"/>
        </w:rPr>
        <w:t>, given Jackson’s observation that the added stress and potential months long time-delay, would leave the child in limbo.</w:t>
      </w:r>
      <w:r>
        <w:rPr>
          <w:rStyle w:val="FootnoteReference"/>
          <w:rFonts w:ascii="Times New Roman" w:hAnsi="Times New Roman" w:cs="Times New Roman"/>
          <w:color w:val="000000" w:themeColor="text1"/>
        </w:rPr>
        <w:footnoteReference w:id="148"/>
      </w:r>
      <w:r>
        <w:rPr>
          <w:rFonts w:ascii="Times New Roman" w:hAnsi="Times New Roman" w:cs="Times New Roman"/>
          <w:color w:val="000000" w:themeColor="text1"/>
        </w:rPr>
        <w:t xml:space="preserve"> This approach is also out of step with international </w:t>
      </w:r>
      <w:r w:rsidRPr="00D3733B">
        <w:rPr>
          <w:rFonts w:ascii="Times New Roman" w:hAnsi="Times New Roman" w:cs="Times New Roman"/>
          <w:color w:val="000000" w:themeColor="text1"/>
        </w:rPr>
        <w:t>norms</w:t>
      </w:r>
      <w:r w:rsidR="0066679D">
        <w:rPr>
          <w:rFonts w:ascii="Times New Roman" w:hAnsi="Times New Roman" w:cs="Times New Roman"/>
          <w:color w:val="000000" w:themeColor="text1"/>
        </w:rPr>
        <w:t xml:space="preserve">, as seen in </w:t>
      </w:r>
      <w:r>
        <w:rPr>
          <w:rFonts w:ascii="Times New Roman" w:hAnsi="Times New Roman" w:cs="Times New Roman"/>
          <w:color w:val="000000" w:themeColor="text1"/>
        </w:rPr>
        <w:t>a</w:t>
      </w:r>
      <w:r w:rsidRPr="00D3733B">
        <w:rPr>
          <w:rFonts w:ascii="Times New Roman" w:hAnsi="Times New Roman" w:cs="Times New Roman"/>
          <w:color w:val="000000" w:themeColor="text1"/>
        </w:rPr>
        <w:t xml:space="preserve"> series of Australian cases</w:t>
      </w:r>
      <w:r>
        <w:rPr>
          <w:rFonts w:ascii="Times New Roman" w:hAnsi="Times New Roman" w:cs="Times New Roman"/>
          <w:color w:val="000000" w:themeColor="text1"/>
        </w:rPr>
        <w:t xml:space="preserve"> beg</w:t>
      </w:r>
      <w:r w:rsidR="0066679D">
        <w:rPr>
          <w:rFonts w:ascii="Times New Roman" w:hAnsi="Times New Roman" w:cs="Times New Roman"/>
          <w:color w:val="000000" w:themeColor="text1"/>
        </w:rPr>
        <w:t>inning</w:t>
      </w:r>
      <w:r>
        <w:rPr>
          <w:rFonts w:ascii="Times New Roman" w:hAnsi="Times New Roman" w:cs="Times New Roman"/>
          <w:color w:val="000000" w:themeColor="text1"/>
        </w:rPr>
        <w:t xml:space="preserve"> where </w:t>
      </w:r>
      <w:r w:rsidRPr="00AF1659">
        <w:rPr>
          <w:rFonts w:ascii="Times New Roman" w:hAnsi="Times New Roman" w:cs="Times New Roman"/>
          <w:i/>
          <w:iCs/>
          <w:color w:val="000000" w:themeColor="text1"/>
        </w:rPr>
        <w:t>Bell</w:t>
      </w:r>
      <w:r>
        <w:rPr>
          <w:rFonts w:ascii="Times New Roman" w:hAnsi="Times New Roman" w:cs="Times New Roman"/>
          <w:color w:val="000000" w:themeColor="text1"/>
        </w:rPr>
        <w:t xml:space="preserve"> finishes,</w:t>
      </w:r>
      <w:r w:rsidRPr="00D3733B">
        <w:rPr>
          <w:rFonts w:ascii="Times New Roman" w:hAnsi="Times New Roman" w:cs="Times New Roman"/>
          <w:color w:val="000000" w:themeColor="text1"/>
        </w:rPr>
        <w:t xml:space="preserve"> with </w:t>
      </w:r>
      <w:r w:rsidRPr="00D3733B">
        <w:rPr>
          <w:rFonts w:ascii="Times New Roman" w:hAnsi="Times New Roman" w:cs="Times New Roman"/>
          <w:i/>
          <w:iCs/>
          <w:color w:val="000000" w:themeColor="text1"/>
        </w:rPr>
        <w:t>Re Alex</w:t>
      </w:r>
      <w:r w:rsidRPr="00D3733B">
        <w:rPr>
          <w:rFonts w:ascii="Times New Roman" w:hAnsi="Times New Roman" w:cs="Times New Roman"/>
          <w:color w:val="000000" w:themeColor="text1"/>
        </w:rPr>
        <w:t xml:space="preserve"> in 2004</w:t>
      </w:r>
      <w:r>
        <w:rPr>
          <w:rFonts w:ascii="Times New Roman" w:hAnsi="Times New Roman" w:cs="Times New Roman"/>
          <w:color w:val="000000" w:themeColor="text1"/>
        </w:rPr>
        <w:t xml:space="preserve"> declaring that </w:t>
      </w:r>
      <w:r w:rsidRPr="00D3733B">
        <w:rPr>
          <w:rFonts w:ascii="Times New Roman" w:hAnsi="Times New Roman" w:cs="Times New Roman"/>
          <w:color w:val="000000" w:themeColor="text1"/>
        </w:rPr>
        <w:t>PBs were ‘special medical treatment’</w:t>
      </w:r>
      <w:r>
        <w:rPr>
          <w:rFonts w:ascii="Times New Roman" w:hAnsi="Times New Roman" w:cs="Times New Roman"/>
          <w:color w:val="000000" w:themeColor="text1"/>
        </w:rPr>
        <w:t xml:space="preserve"> requiring </w:t>
      </w:r>
      <w:r w:rsidRPr="00D3733B">
        <w:rPr>
          <w:rFonts w:ascii="Times New Roman" w:hAnsi="Times New Roman" w:cs="Times New Roman"/>
          <w:color w:val="000000" w:themeColor="text1"/>
        </w:rPr>
        <w:t xml:space="preserve">the authorisation of the court. </w:t>
      </w:r>
      <w:r w:rsidRPr="00D3733B">
        <w:rPr>
          <w:rStyle w:val="FootnoteReference"/>
          <w:rFonts w:ascii="Times New Roman" w:hAnsi="Times New Roman" w:cs="Times New Roman"/>
          <w:color w:val="000000" w:themeColor="text1"/>
        </w:rPr>
        <w:footnoteReference w:id="149"/>
      </w:r>
      <w:r w:rsidRPr="00D3733B">
        <w:rPr>
          <w:rFonts w:ascii="Times New Roman" w:hAnsi="Times New Roman" w:cs="Times New Roman"/>
          <w:color w:val="000000" w:themeColor="text1"/>
        </w:rPr>
        <w:t xml:space="preserve"> </w:t>
      </w:r>
      <w:r>
        <w:rPr>
          <w:rFonts w:ascii="Times New Roman" w:hAnsi="Times New Roman" w:cs="Times New Roman"/>
          <w:color w:val="000000" w:themeColor="text1"/>
        </w:rPr>
        <w:t>Yet by 2017, Australian jurisprudence both removed this label and deemed both PBs and CSH to be separate stages</w:t>
      </w:r>
      <w:r w:rsidRPr="00D3733B">
        <w:rPr>
          <w:rFonts w:ascii="Times New Roman" w:hAnsi="Times New Roman" w:cs="Times New Roman"/>
          <w:color w:val="000000" w:themeColor="text1"/>
        </w:rPr>
        <w:t>,</w:t>
      </w:r>
      <w:r w:rsidRPr="00D3733B">
        <w:rPr>
          <w:rStyle w:val="FootnoteReference"/>
          <w:rFonts w:ascii="Times New Roman" w:hAnsi="Times New Roman" w:cs="Times New Roman"/>
          <w:color w:val="000000" w:themeColor="text1"/>
        </w:rPr>
        <w:footnoteReference w:id="150"/>
      </w:r>
      <w:r w:rsidR="006C0119">
        <w:rPr>
          <w:rFonts w:ascii="Times New Roman" w:hAnsi="Times New Roman" w:cs="Times New Roman"/>
          <w:color w:val="000000" w:themeColor="text1"/>
        </w:rPr>
        <w:t xml:space="preserve"> </w:t>
      </w:r>
      <w:r>
        <w:rPr>
          <w:rFonts w:ascii="Times New Roman" w:hAnsi="Times New Roman" w:cs="Times New Roman"/>
          <w:color w:val="000000" w:themeColor="text1"/>
        </w:rPr>
        <w:t>to which either competent supported children or parents could consent, without court approval.</w:t>
      </w:r>
      <w:r w:rsidRPr="00D3733B">
        <w:rPr>
          <w:rStyle w:val="FootnoteReference"/>
          <w:rFonts w:ascii="Times New Roman" w:hAnsi="Times New Roman" w:cs="Times New Roman"/>
          <w:color w:val="000000" w:themeColor="text1"/>
        </w:rPr>
        <w:footnoteReference w:id="151"/>
      </w:r>
      <w:r w:rsidRPr="00D3733B">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Pr="00D3733B">
        <w:rPr>
          <w:rFonts w:ascii="Times New Roman" w:hAnsi="Times New Roman" w:cs="Times New Roman"/>
          <w:color w:val="000000" w:themeColor="text1"/>
        </w:rPr>
        <w:t xml:space="preserve">n </w:t>
      </w:r>
      <w:r w:rsidRPr="00D3733B">
        <w:rPr>
          <w:rFonts w:ascii="Times New Roman" w:hAnsi="Times New Roman" w:cs="Times New Roman"/>
          <w:i/>
          <w:iCs/>
          <w:color w:val="000000" w:themeColor="text1"/>
        </w:rPr>
        <w:t>AB</w:t>
      </w:r>
      <w:r w:rsidRPr="00D3733B">
        <w:rPr>
          <w:rFonts w:ascii="Times New Roman" w:hAnsi="Times New Roman" w:cs="Times New Roman"/>
          <w:color w:val="000000" w:themeColor="text1"/>
        </w:rPr>
        <w:t xml:space="preserve">, Lieven J said the court in </w:t>
      </w:r>
      <w:r w:rsidRPr="00D3733B">
        <w:rPr>
          <w:rFonts w:ascii="Times New Roman" w:hAnsi="Times New Roman" w:cs="Times New Roman"/>
          <w:i/>
          <w:iCs/>
          <w:color w:val="000000" w:themeColor="text1"/>
        </w:rPr>
        <w:t>Bell</w:t>
      </w:r>
      <w:r w:rsidRPr="00D3733B">
        <w:rPr>
          <w:rFonts w:ascii="Times New Roman" w:hAnsi="Times New Roman" w:cs="Times New Roman"/>
          <w:color w:val="000000" w:themeColor="text1"/>
        </w:rPr>
        <w:t xml:space="preserve"> saw the position with GD and PBs differently than the Australian courts.</w:t>
      </w:r>
      <w:r w:rsidRPr="00D3733B">
        <w:rPr>
          <w:rStyle w:val="FootnoteReference"/>
          <w:rFonts w:ascii="Times New Roman" w:hAnsi="Times New Roman" w:cs="Times New Roman"/>
          <w:color w:val="000000" w:themeColor="text1"/>
        </w:rPr>
        <w:t xml:space="preserve"> </w:t>
      </w:r>
      <w:r w:rsidRPr="00D3733B">
        <w:rPr>
          <w:rStyle w:val="FootnoteReference"/>
          <w:rFonts w:ascii="Times New Roman" w:hAnsi="Times New Roman" w:cs="Times New Roman"/>
          <w:color w:val="000000" w:themeColor="text1"/>
        </w:rPr>
        <w:footnoteReference w:id="152"/>
      </w:r>
      <w:r w:rsidRPr="00D3733B">
        <w:rPr>
          <w:rFonts w:ascii="Times New Roman" w:hAnsi="Times New Roman" w:cs="Times New Roman"/>
          <w:color w:val="000000" w:themeColor="text1"/>
        </w:rPr>
        <w:t xml:space="preserve"> </w:t>
      </w:r>
      <w:r w:rsidRPr="00D3733B">
        <w:rPr>
          <w:rFonts w:ascii="Times New Roman" w:hAnsi="Times New Roman" w:cs="Times New Roman"/>
          <w:color w:val="000000" w:themeColor="text1"/>
        </w:rPr>
        <w:lastRenderedPageBreak/>
        <w:t xml:space="preserve">Indeed, the truth of this is </w:t>
      </w:r>
      <w:r>
        <w:rPr>
          <w:rFonts w:ascii="Times New Roman" w:hAnsi="Times New Roman" w:cs="Times New Roman"/>
          <w:color w:val="000000" w:themeColor="text1"/>
        </w:rPr>
        <w:t xml:space="preserve">illustrated </w:t>
      </w:r>
      <w:r w:rsidRPr="00D3733B">
        <w:rPr>
          <w:rFonts w:ascii="Times New Roman" w:hAnsi="Times New Roman" w:cs="Times New Roman"/>
          <w:color w:val="000000" w:themeColor="text1"/>
        </w:rPr>
        <w:t xml:space="preserve">in the difference in language, as exemplified in </w:t>
      </w:r>
      <w:r w:rsidRPr="00D3733B">
        <w:rPr>
          <w:rFonts w:ascii="Times New Roman" w:hAnsi="Times New Roman" w:cs="Times New Roman"/>
          <w:i/>
          <w:iCs/>
          <w:color w:val="000000" w:themeColor="text1"/>
        </w:rPr>
        <w:t xml:space="preserve">Re Jamie </w:t>
      </w:r>
      <w:r w:rsidRPr="00D3733B">
        <w:rPr>
          <w:rFonts w:ascii="Times New Roman" w:hAnsi="Times New Roman" w:cs="Times New Roman"/>
          <w:color w:val="000000" w:themeColor="text1"/>
        </w:rPr>
        <w:t xml:space="preserve">where the court held that it would be contrary to the UNCRC and </w:t>
      </w:r>
      <w:r w:rsidRPr="0089047C">
        <w:rPr>
          <w:rFonts w:ascii="Times New Roman" w:hAnsi="Times New Roman" w:cs="Times New Roman"/>
          <w:i/>
          <w:iCs/>
          <w:color w:val="000000" w:themeColor="text1"/>
        </w:rPr>
        <w:t>Gillick</w:t>
      </w:r>
      <w:r w:rsidRPr="00D3733B">
        <w:rPr>
          <w:rFonts w:ascii="Times New Roman" w:hAnsi="Times New Roman" w:cs="Times New Roman"/>
          <w:color w:val="000000" w:themeColor="text1"/>
        </w:rPr>
        <w:t xml:space="preserve"> ‘to hold that there is a particular class of treatment (…) that disentitles autonomous decision-making by the child’.</w:t>
      </w:r>
      <w:r w:rsidRPr="00D3733B">
        <w:rPr>
          <w:rStyle w:val="FootnoteReference"/>
          <w:rFonts w:ascii="Times New Roman" w:hAnsi="Times New Roman" w:cs="Times New Roman"/>
          <w:color w:val="000000" w:themeColor="text1"/>
        </w:rPr>
        <w:footnoteReference w:id="153"/>
      </w:r>
      <w:r w:rsidRPr="00D3733B">
        <w:rPr>
          <w:rFonts w:ascii="Times New Roman" w:hAnsi="Times New Roman" w:cs="Times New Roman"/>
          <w:color w:val="000000" w:themeColor="text1"/>
        </w:rPr>
        <w:t xml:space="preserve"> They went on to say that ‘treatment for something as personal and essential as the perception of one’s gender and sexuality would be the very exemplar of when the rights of the Gillick-competent child should be given full effect’.</w:t>
      </w:r>
      <w:r w:rsidRPr="00D3733B">
        <w:rPr>
          <w:rStyle w:val="FootnoteReference"/>
          <w:rFonts w:ascii="Times New Roman" w:hAnsi="Times New Roman" w:cs="Times New Roman"/>
          <w:color w:val="000000" w:themeColor="text1"/>
        </w:rPr>
        <w:footnoteReference w:id="154"/>
      </w:r>
      <w:r w:rsidRPr="00D3733B">
        <w:rPr>
          <w:rFonts w:ascii="Times New Roman" w:hAnsi="Times New Roman" w:cs="Times New Roman"/>
          <w:color w:val="000000" w:themeColor="text1"/>
        </w:rPr>
        <w:t xml:space="preserve"> I suggest that the Australian approach is the correct one. </w:t>
      </w:r>
      <w:r>
        <w:rPr>
          <w:rFonts w:ascii="Times New Roman" w:hAnsi="Times New Roman" w:cs="Times New Roman"/>
        </w:rPr>
        <w:t>The resource implications of holding best interests hearings were quickly dismissed as ‘not the correct approach’ becaus</w:t>
      </w:r>
      <w:r>
        <w:rPr>
          <w:rFonts w:ascii="Times New Roman" w:hAnsi="Times New Roman" w:cs="Times New Roman"/>
          <w:color w:val="000000" w:themeColor="text1"/>
        </w:rPr>
        <w:t>e the court’s role is to protect children.</w:t>
      </w:r>
      <w:r w:rsidRPr="00221701">
        <w:rPr>
          <w:rStyle w:val="FootnoteReference"/>
          <w:rFonts w:ascii="Times New Roman" w:hAnsi="Times New Roman" w:cs="Times New Roman"/>
          <w:color w:val="000000" w:themeColor="text1"/>
        </w:rPr>
        <w:footnoteReference w:id="155"/>
      </w:r>
      <w:r w:rsidR="0066679D">
        <w:rPr>
          <w:rFonts w:ascii="Times New Roman" w:hAnsi="Times New Roman" w:cs="Times New Roman"/>
          <w:color w:val="000000" w:themeColor="text1"/>
        </w:rPr>
        <w:t xml:space="preserve"> </w:t>
      </w:r>
      <w:r>
        <w:rPr>
          <w:rFonts w:ascii="Times New Roman" w:hAnsi="Times New Roman" w:cs="Times New Roman"/>
          <w:color w:val="000000" w:themeColor="text1"/>
        </w:rPr>
        <w:t>Yet, as Lock explained, family division judges would have to find space for up to 500 additional cases a year, the challenges of which are ‘not insignificant’.</w:t>
      </w:r>
      <w:r>
        <w:rPr>
          <w:rStyle w:val="FootnoteReference"/>
          <w:rFonts w:ascii="Times New Roman" w:hAnsi="Times New Roman" w:cs="Times New Roman"/>
          <w:color w:val="000000" w:themeColor="text1"/>
        </w:rPr>
        <w:footnoteReference w:id="156"/>
      </w:r>
      <w:r>
        <w:rPr>
          <w:rFonts w:ascii="Times New Roman" w:hAnsi="Times New Roman" w:cs="Times New Roman"/>
          <w:color w:val="000000" w:themeColor="text1"/>
        </w:rPr>
        <w:t xml:space="preserve"> Given that all parties are in agreement about the treatment, the precise role of the court in the best interests assessment is also questionable.</w:t>
      </w:r>
      <w:r w:rsidRPr="004372E4">
        <w:rPr>
          <w:rStyle w:val="FootnoteReference"/>
          <w:rFonts w:ascii="Times New Roman" w:hAnsi="Times New Roman" w:cs="Times New Roman"/>
          <w:color w:val="000000" w:themeColor="text1"/>
        </w:rPr>
        <w:footnoteReference w:id="157"/>
      </w:r>
      <w:r>
        <w:rPr>
          <w:rFonts w:ascii="Times New Roman" w:hAnsi="Times New Roman" w:cs="Times New Roman"/>
          <w:color w:val="000000" w:themeColor="text1"/>
        </w:rPr>
        <w:t xml:space="preserve"> It could become a pointless check-box exercise, or if the reticence around PBs was adopted by later courts</w:t>
      </w:r>
      <w:r w:rsidR="006C0119">
        <w:rPr>
          <w:rFonts w:ascii="Times New Roman" w:hAnsi="Times New Roman" w:cs="Times New Roman"/>
          <w:color w:val="000000" w:themeColor="text1"/>
        </w:rPr>
        <w:t>,</w:t>
      </w:r>
      <w:r>
        <w:rPr>
          <w:rFonts w:ascii="Times New Roman" w:hAnsi="Times New Roman" w:cs="Times New Roman"/>
          <w:color w:val="000000" w:themeColor="text1"/>
        </w:rPr>
        <w:t xml:space="preserve"> it </w:t>
      </w:r>
      <w:r w:rsidR="005B3A85">
        <w:rPr>
          <w:rFonts w:ascii="Times New Roman" w:hAnsi="Times New Roman" w:cs="Times New Roman"/>
          <w:color w:val="000000" w:themeColor="text1"/>
        </w:rPr>
        <w:t>is</w:t>
      </w:r>
      <w:r>
        <w:rPr>
          <w:rFonts w:ascii="Times New Roman" w:hAnsi="Times New Roman" w:cs="Times New Roman"/>
          <w:color w:val="000000" w:themeColor="text1"/>
        </w:rPr>
        <w:t xml:space="preserve"> unlikely that the treatment w</w:t>
      </w:r>
      <w:r w:rsidR="005B3A85">
        <w:rPr>
          <w:rFonts w:ascii="Times New Roman" w:hAnsi="Times New Roman" w:cs="Times New Roman"/>
          <w:color w:val="000000" w:themeColor="text1"/>
        </w:rPr>
        <w:t>ould</w:t>
      </w:r>
      <w:r>
        <w:rPr>
          <w:rFonts w:ascii="Times New Roman" w:hAnsi="Times New Roman" w:cs="Times New Roman"/>
          <w:color w:val="000000" w:themeColor="text1"/>
        </w:rPr>
        <w:t xml:space="preserve"> ever  be in the child’s best interests.</w:t>
      </w:r>
    </w:p>
    <w:p w14:paraId="6A4FABB0" w14:textId="769E3D54" w:rsidR="00574200" w:rsidRDefault="001B2309" w:rsidP="004C1B24">
      <w:pPr>
        <w:ind w:firstLine="720"/>
        <w:rPr>
          <w:rFonts w:ascii="Times New Roman" w:hAnsi="Times New Roman" w:cs="Times New Roman"/>
          <w:color w:val="000000" w:themeColor="text1"/>
        </w:rPr>
      </w:pPr>
      <w:r>
        <w:rPr>
          <w:rFonts w:ascii="Times New Roman" w:hAnsi="Times New Roman" w:cs="Times New Roman"/>
        </w:rPr>
        <w:t xml:space="preserve">The overall flavour of the of the judgment in </w:t>
      </w:r>
      <w:r w:rsidRPr="00F5263A">
        <w:rPr>
          <w:rFonts w:ascii="Times New Roman" w:hAnsi="Times New Roman" w:cs="Times New Roman"/>
          <w:i/>
          <w:iCs/>
        </w:rPr>
        <w:t>Bell</w:t>
      </w:r>
      <w:r>
        <w:rPr>
          <w:rFonts w:ascii="Times New Roman" w:hAnsi="Times New Roman" w:cs="Times New Roman"/>
          <w:i/>
          <w:iCs/>
        </w:rPr>
        <w:t xml:space="preserve"> </w:t>
      </w:r>
      <w:r>
        <w:rPr>
          <w:rFonts w:ascii="Times New Roman" w:hAnsi="Times New Roman" w:cs="Times New Roman"/>
        </w:rPr>
        <w:t>was a protectionist one, creating a particular view of trans children as an anomalous group, fuelled by a view</w:t>
      </w:r>
      <w:r w:rsidR="005B3A85">
        <w:rPr>
          <w:rFonts w:ascii="Times New Roman" w:hAnsi="Times New Roman" w:cs="Times New Roman"/>
        </w:rPr>
        <w:t xml:space="preserve"> that</w:t>
      </w:r>
      <w:r>
        <w:rPr>
          <w:rFonts w:ascii="Times New Roman" w:hAnsi="Times New Roman" w:cs="Times New Roman"/>
        </w:rPr>
        <w:t xml:space="preserve"> PBs would undermine</w:t>
      </w:r>
      <w:r>
        <w:rPr>
          <w:rFonts w:ascii="Times New Roman" w:eastAsia="Times New Roman" w:hAnsi="Times New Roman" w:cs="Times New Roman"/>
          <w:color w:val="000000" w:themeColor="text1"/>
        </w:rPr>
        <w:t xml:space="preserve"> valuable </w:t>
      </w:r>
      <w:r w:rsidRPr="00981AB1">
        <w:rPr>
          <w:rFonts w:ascii="Times New Roman" w:eastAsia="Times New Roman" w:hAnsi="Times New Roman" w:cs="Times New Roman"/>
          <w:color w:val="000000" w:themeColor="text1"/>
        </w:rPr>
        <w:t>“normal” social experience,</w:t>
      </w:r>
      <w:r>
        <w:rPr>
          <w:rFonts w:ascii="Times New Roman" w:eastAsia="Times New Roman" w:hAnsi="Times New Roman" w:cs="Times New Roman"/>
        </w:rPr>
        <w:t xml:space="preserve"> noting that ‘the child or young person will have missed a period, (…) of normal biological, psychological and social experience through adolescence</w:t>
      </w:r>
      <w:r w:rsidR="00D30D78">
        <w:rPr>
          <w:rFonts w:ascii="Times New Roman" w:eastAsia="Times New Roman" w:hAnsi="Times New Roman" w:cs="Times New Roman"/>
        </w:rPr>
        <w:t>’ something that ‘</w:t>
      </w:r>
      <w:r>
        <w:rPr>
          <w:rFonts w:ascii="Times New Roman" w:eastAsia="Times New Roman" w:hAnsi="Times New Roman" w:cs="Times New Roman"/>
        </w:rPr>
        <w:t>can never be truly recovered or “reversed”.’</w:t>
      </w:r>
      <w:r>
        <w:rPr>
          <w:rStyle w:val="FootnoteReference"/>
          <w:rFonts w:ascii="Times New Roman" w:eastAsia="Times New Roman" w:hAnsi="Times New Roman" w:cs="Times New Roman"/>
        </w:rPr>
        <w:footnoteReference w:id="158"/>
      </w:r>
      <w:r>
        <w:rPr>
          <w:rFonts w:ascii="Times New Roman" w:eastAsia="Times New Roman" w:hAnsi="Times New Roman" w:cs="Times New Roman"/>
        </w:rPr>
        <w:t xml:space="preserve"> </w:t>
      </w:r>
      <w:r>
        <w:rPr>
          <w:rFonts w:ascii="Times New Roman" w:hAnsi="Times New Roman" w:cs="Times New Roman"/>
        </w:rPr>
        <w:t>Recognising the clash between autonomy and welfare flagged up by GIDS,</w:t>
      </w:r>
      <w:r w:rsidRPr="00176DAF">
        <w:rPr>
          <w:rStyle w:val="FootnoteReference"/>
          <w:rFonts w:ascii="Times New Roman" w:hAnsi="Times New Roman" w:cs="Times New Roman"/>
        </w:rPr>
        <w:t xml:space="preserve"> </w:t>
      </w:r>
      <w:r>
        <w:rPr>
          <w:rStyle w:val="FootnoteReference"/>
          <w:rFonts w:ascii="Times New Roman" w:hAnsi="Times New Roman" w:cs="Times New Roman"/>
        </w:rPr>
        <w:footnoteReference w:id="159"/>
      </w:r>
      <w:r>
        <w:rPr>
          <w:rFonts w:ascii="Times New Roman" w:hAnsi="Times New Roman" w:cs="Times New Roman"/>
        </w:rPr>
        <w:t>the court nonetheless concluded ‘this treatment to be one where the protective role of the court is appropriate’.</w:t>
      </w:r>
      <w:r>
        <w:rPr>
          <w:rStyle w:val="FootnoteReference"/>
          <w:rFonts w:ascii="Times New Roman" w:hAnsi="Times New Roman" w:cs="Times New Roman"/>
        </w:rPr>
        <w:footnoteReference w:id="160"/>
      </w:r>
      <w:r>
        <w:rPr>
          <w:rFonts w:ascii="Times New Roman" w:hAnsi="Times New Roman" w:cs="Times New Roman"/>
        </w:rPr>
        <w:t xml:space="preserve"> Drawing on psychological distress not as a symptom that needed alleviating through treatment, but as a character facet which makes trans children ‘highly vulnerable’. Yet, at the same time down-playing the weight of distress, with the court contending that trans children see the trade-off in fertility or sexual function as a result of endocrine treatments as a ‘small price to pay’ and</w:t>
      </w:r>
      <w:r w:rsidR="006C0119">
        <w:rPr>
          <w:rFonts w:ascii="Times New Roman" w:hAnsi="Times New Roman" w:cs="Times New Roman"/>
        </w:rPr>
        <w:t xml:space="preserve"> that they</w:t>
      </w:r>
      <w:r>
        <w:rPr>
          <w:rFonts w:ascii="Times New Roman" w:hAnsi="Times New Roman" w:cs="Times New Roman"/>
        </w:rPr>
        <w:t xml:space="preserve"> do not always consider the longer-term consequences as ‘perhaps a statement of the obvious’.</w:t>
      </w:r>
      <w:r>
        <w:rPr>
          <w:rStyle w:val="FootnoteReference"/>
          <w:rFonts w:ascii="Times New Roman" w:hAnsi="Times New Roman" w:cs="Times New Roman"/>
        </w:rPr>
        <w:footnoteReference w:id="161"/>
      </w:r>
      <w:r>
        <w:rPr>
          <w:rFonts w:ascii="Times New Roman" w:hAnsi="Times New Roman" w:cs="Times New Roman"/>
        </w:rPr>
        <w:t xml:space="preserve"> However, </w:t>
      </w:r>
      <w:r>
        <w:rPr>
          <w:rFonts w:ascii="Times New Roman" w:hAnsi="Times New Roman" w:cs="Times New Roman"/>
          <w:color w:val="000000" w:themeColor="text1"/>
        </w:rPr>
        <w:t>lauding adult experience over that of the child, reveals something more fundamental about how we view children, something captured in Crompton’s injunction that ‘we need to consider children as complete entities rather than simply immature adults’.</w:t>
      </w:r>
      <w:r>
        <w:rPr>
          <w:rStyle w:val="FootnoteReference"/>
          <w:rFonts w:ascii="Times New Roman" w:hAnsi="Times New Roman" w:cs="Times New Roman"/>
          <w:color w:val="000000" w:themeColor="text1"/>
        </w:rPr>
        <w:footnoteReference w:id="162"/>
      </w:r>
      <w:r>
        <w:rPr>
          <w:rFonts w:ascii="Times New Roman" w:hAnsi="Times New Roman" w:cs="Times New Roman"/>
          <w:color w:val="000000" w:themeColor="text1"/>
        </w:rPr>
        <w:t xml:space="preserve"> Protectionist reasoning acts to obscure this. Zimmermann frames the question we really need to ask as ‘not so much a question as to whether a child should be recognized as having a capacity to give informed consent, but whether a person, who happens to be a child, bears such a capacity’.</w:t>
      </w:r>
      <w:r>
        <w:rPr>
          <w:rStyle w:val="FootnoteReference"/>
          <w:rFonts w:ascii="Times New Roman" w:hAnsi="Times New Roman" w:cs="Times New Roman"/>
          <w:color w:val="000000" w:themeColor="text1"/>
        </w:rPr>
        <w:footnoteReference w:id="163"/>
      </w:r>
      <w:r>
        <w:rPr>
          <w:rFonts w:ascii="Times New Roman" w:hAnsi="Times New Roman" w:cs="Times New Roman"/>
          <w:color w:val="000000" w:themeColor="text1"/>
        </w:rPr>
        <w:t xml:space="preserve"> </w:t>
      </w:r>
    </w:p>
    <w:p w14:paraId="2FA3B42E" w14:textId="36441B82" w:rsidR="004C1B24" w:rsidRDefault="004C1B24" w:rsidP="004C1B24">
      <w:pPr>
        <w:ind w:firstLine="720"/>
        <w:rPr>
          <w:rFonts w:ascii="Times New Roman" w:hAnsi="Times New Roman" w:cs="Times New Roman"/>
          <w:color w:val="000000" w:themeColor="text1"/>
        </w:rPr>
      </w:pPr>
    </w:p>
    <w:p w14:paraId="6DE0190C" w14:textId="492DE4DC" w:rsidR="004C1B24" w:rsidRDefault="004C1B24" w:rsidP="004C1B24">
      <w:pPr>
        <w:ind w:firstLine="720"/>
        <w:rPr>
          <w:rFonts w:ascii="Times New Roman" w:hAnsi="Times New Roman" w:cs="Times New Roman"/>
          <w:color w:val="000000" w:themeColor="text1"/>
        </w:rPr>
      </w:pPr>
    </w:p>
    <w:p w14:paraId="00B19D60" w14:textId="77777777" w:rsidR="004C1B24" w:rsidRPr="005D7D25" w:rsidRDefault="004C1B24" w:rsidP="004C1B24">
      <w:pPr>
        <w:ind w:firstLine="720"/>
        <w:rPr>
          <w:rFonts w:ascii="Times New Roman" w:hAnsi="Times New Roman" w:cs="Times New Roman"/>
          <w:color w:val="000000" w:themeColor="text1"/>
        </w:rPr>
      </w:pPr>
    </w:p>
    <w:p w14:paraId="4D723A38" w14:textId="77777777" w:rsidR="003E5377" w:rsidRPr="003B696E" w:rsidRDefault="003E5377" w:rsidP="003E5377">
      <w:pPr>
        <w:jc w:val="center"/>
        <w:rPr>
          <w:rFonts w:ascii="Times New Roman" w:hAnsi="Times New Roman" w:cs="Times New Roman"/>
          <w:b/>
          <w:bCs/>
          <w:u w:val="single"/>
        </w:rPr>
      </w:pPr>
    </w:p>
    <w:p w14:paraId="13BBEC3D" w14:textId="227ADA71" w:rsidR="004C7E5B" w:rsidRDefault="003E5377" w:rsidP="004C7E5B">
      <w:pPr>
        <w:jc w:val="center"/>
        <w:rPr>
          <w:rFonts w:ascii="Times New Roman" w:hAnsi="Times New Roman" w:cs="Times New Roman"/>
          <w:b/>
          <w:bCs/>
          <w:u w:val="single"/>
        </w:rPr>
      </w:pPr>
      <w:r w:rsidRPr="003B696E">
        <w:rPr>
          <w:rFonts w:ascii="Times New Roman" w:hAnsi="Times New Roman" w:cs="Times New Roman"/>
          <w:b/>
          <w:bCs/>
          <w:u w:val="single"/>
        </w:rPr>
        <w:lastRenderedPageBreak/>
        <w:t>V. CONCLUDING THOUGHTS</w:t>
      </w:r>
    </w:p>
    <w:p w14:paraId="2B62924A" w14:textId="2372F30C" w:rsidR="004C7E5B" w:rsidRDefault="004C7E5B" w:rsidP="004C7E5B">
      <w:pPr>
        <w:rPr>
          <w:rFonts w:ascii="Times New Roman" w:hAnsi="Times New Roman" w:cs="Times New Roman"/>
        </w:rPr>
      </w:pPr>
      <w:r>
        <w:rPr>
          <w:rFonts w:ascii="Times New Roman" w:hAnsi="Times New Roman" w:cs="Times New Roman"/>
        </w:rPr>
        <w:t>Criticised as being ‘introduced with ugly and undue haste’,</w:t>
      </w:r>
      <w:r>
        <w:rPr>
          <w:rStyle w:val="FootnoteReference"/>
          <w:rFonts w:ascii="Times New Roman" w:hAnsi="Times New Roman" w:cs="Times New Roman"/>
        </w:rPr>
        <w:footnoteReference w:id="164"/>
      </w:r>
      <w:r>
        <w:rPr>
          <w:rFonts w:ascii="Times New Roman" w:hAnsi="Times New Roman" w:cs="Times New Roman"/>
        </w:rPr>
        <w:t xml:space="preserve"> the first consequence of the judgement was immediate amendments made by the NHS to GIDS Service Specification,</w:t>
      </w:r>
      <w:r>
        <w:rPr>
          <w:rStyle w:val="FootnoteReference"/>
          <w:rFonts w:ascii="Times New Roman" w:hAnsi="Times New Roman" w:cs="Times New Roman"/>
        </w:rPr>
        <w:footnoteReference w:id="165"/>
      </w:r>
      <w:r>
        <w:rPr>
          <w:rFonts w:ascii="Times New Roman" w:hAnsi="Times New Roman" w:cs="Times New Roman"/>
        </w:rPr>
        <w:t xml:space="preserve"> barring GIDS from making new referrals for PBs without court authorisation, and requiring a full clinical review of each existing case to ascertain the necessity of a best interests hearing if prescription of PBs or CSH were to continue. For </w:t>
      </w:r>
      <w:proofErr w:type="spellStart"/>
      <w:r>
        <w:rPr>
          <w:rFonts w:ascii="Times New Roman" w:hAnsi="Times New Roman" w:cs="Times New Roman"/>
        </w:rPr>
        <w:t>capacitous</w:t>
      </w:r>
      <w:proofErr w:type="spellEnd"/>
      <w:r>
        <w:rPr>
          <w:rFonts w:ascii="Times New Roman" w:hAnsi="Times New Roman" w:cs="Times New Roman"/>
        </w:rPr>
        <w:t xml:space="preserve"> 16-17-year olds, treatment could continue on condition of the unanimous agreement of the parties. GIDS response was one of disappointment,</w:t>
      </w:r>
      <w:r>
        <w:rPr>
          <w:rStyle w:val="FootnoteReference"/>
          <w:rFonts w:ascii="Times New Roman" w:hAnsi="Times New Roman" w:cs="Times New Roman"/>
        </w:rPr>
        <w:footnoteReference w:id="166"/>
      </w:r>
      <w:r>
        <w:rPr>
          <w:rFonts w:ascii="Times New Roman" w:hAnsi="Times New Roman" w:cs="Times New Roman"/>
        </w:rPr>
        <w:t xml:space="preserve"> whilst Mermaids questioned the blanket response of the NHS to treatment for all under 16s, given that the judgment itself was more subtle in its categories</w:t>
      </w:r>
      <w:r w:rsidR="00D30D78">
        <w:rPr>
          <w:rFonts w:ascii="Times New Roman" w:hAnsi="Times New Roman" w:cs="Times New Roman"/>
        </w:rPr>
        <w:t>,</w:t>
      </w:r>
      <w:r>
        <w:rPr>
          <w:rFonts w:ascii="Times New Roman" w:hAnsi="Times New Roman" w:cs="Times New Roman"/>
        </w:rPr>
        <w:t xml:space="preserve"> and lamented the change ‘</w:t>
      </w:r>
      <w:r w:rsidRPr="007E24EA">
        <w:rPr>
          <w:rFonts w:ascii="Times New Roman" w:hAnsi="Times New Roman" w:cs="Times New Roman"/>
        </w:rPr>
        <w:t>has resulted in many young people and family members terrified for their future’.</w:t>
      </w:r>
      <w:r w:rsidRPr="007E24EA">
        <w:rPr>
          <w:rStyle w:val="FootnoteReference"/>
          <w:rFonts w:ascii="Times New Roman" w:hAnsi="Times New Roman" w:cs="Times New Roman"/>
        </w:rPr>
        <w:footnoteReference w:id="167"/>
      </w:r>
      <w:r>
        <w:rPr>
          <w:rFonts w:ascii="Times New Roman" w:hAnsi="Times New Roman" w:cs="Times New Roman"/>
        </w:rPr>
        <w:t xml:space="preserve">Leave to appeal the judgment was granted by the Court of Appeal with the hearing listed for 23 June 2021. Meanwhile, as a result of the judgment in </w:t>
      </w:r>
      <w:r w:rsidRPr="00795BDF">
        <w:rPr>
          <w:rFonts w:ascii="Times New Roman" w:hAnsi="Times New Roman" w:cs="Times New Roman"/>
          <w:i/>
          <w:iCs/>
        </w:rPr>
        <w:t>AB</w:t>
      </w:r>
      <w:r>
        <w:rPr>
          <w:rFonts w:ascii="Times New Roman" w:hAnsi="Times New Roman" w:cs="Times New Roman"/>
        </w:rPr>
        <w:t xml:space="preserve">, the service specification was updated in April 2021, to indicate that parental consent could be relied upon for under 18s already being prescribed PBs, </w:t>
      </w:r>
      <w:r w:rsidRPr="00795BDF">
        <w:rPr>
          <w:rFonts w:ascii="Times New Roman" w:hAnsi="Times New Roman" w:cs="Times New Roman"/>
          <w:i/>
          <w:iCs/>
        </w:rPr>
        <w:t xml:space="preserve">if </w:t>
      </w:r>
      <w:r>
        <w:rPr>
          <w:rFonts w:ascii="Times New Roman" w:hAnsi="Times New Roman" w:cs="Times New Roman"/>
        </w:rPr>
        <w:t xml:space="preserve">there is full alignment between child, parents and GIDS that it is in the child’s best interests and supported by the new independent multi-professional review group that has been set up as an additional safeguard in response to the courts suggestions in </w:t>
      </w:r>
      <w:r w:rsidRPr="00021A45">
        <w:rPr>
          <w:rFonts w:ascii="Times New Roman" w:hAnsi="Times New Roman" w:cs="Times New Roman"/>
          <w:i/>
          <w:iCs/>
        </w:rPr>
        <w:t>AB</w:t>
      </w:r>
      <w:r>
        <w:rPr>
          <w:rFonts w:ascii="Times New Roman" w:hAnsi="Times New Roman" w:cs="Times New Roman"/>
        </w:rPr>
        <w:t>.</w:t>
      </w:r>
      <w:r>
        <w:rPr>
          <w:rStyle w:val="FootnoteReference"/>
          <w:rFonts w:ascii="Times New Roman" w:hAnsi="Times New Roman" w:cs="Times New Roman"/>
        </w:rPr>
        <w:footnoteReference w:id="168"/>
      </w:r>
    </w:p>
    <w:p w14:paraId="7F92E836" w14:textId="63E647B1" w:rsidR="004C7E5B" w:rsidRPr="001060B4" w:rsidRDefault="004C7E5B" w:rsidP="004C7E5B">
      <w:pPr>
        <w:rPr>
          <w:rFonts w:ascii="Times New Roman" w:eastAsia="Times New Roman" w:hAnsi="Times New Roman" w:cs="Times New Roman"/>
        </w:rPr>
      </w:pPr>
      <w:r>
        <w:rPr>
          <w:rFonts w:ascii="Times New Roman" w:hAnsi="Times New Roman" w:cs="Times New Roman"/>
        </w:rPr>
        <w:tab/>
      </w:r>
      <w:r w:rsidRPr="00281544">
        <w:rPr>
          <w:rFonts w:ascii="Times New Roman" w:hAnsi="Times New Roman" w:cs="Times New Roman"/>
          <w:i/>
          <w:iCs/>
        </w:rPr>
        <w:t>AB</w:t>
      </w:r>
      <w:r>
        <w:rPr>
          <w:rFonts w:ascii="Times New Roman" w:hAnsi="Times New Roman" w:cs="Times New Roman"/>
        </w:rPr>
        <w:t xml:space="preserve"> has addressed some</w:t>
      </w:r>
      <w:r w:rsidR="00D30D78">
        <w:rPr>
          <w:rFonts w:ascii="Times New Roman" w:hAnsi="Times New Roman" w:cs="Times New Roman"/>
        </w:rPr>
        <w:t xml:space="preserve"> of</w:t>
      </w:r>
      <w:r>
        <w:rPr>
          <w:rFonts w:ascii="Times New Roman" w:hAnsi="Times New Roman" w:cs="Times New Roman"/>
        </w:rPr>
        <w:t xml:space="preserve"> the issues arising from </w:t>
      </w:r>
      <w:r w:rsidRPr="00281544">
        <w:rPr>
          <w:rFonts w:ascii="Times New Roman" w:hAnsi="Times New Roman" w:cs="Times New Roman"/>
          <w:i/>
          <w:iCs/>
        </w:rPr>
        <w:t>Bell</w:t>
      </w:r>
      <w:r>
        <w:rPr>
          <w:rFonts w:ascii="Times New Roman" w:hAnsi="Times New Roman" w:cs="Times New Roman"/>
          <w:i/>
          <w:iCs/>
        </w:rPr>
        <w:t xml:space="preserve">, </w:t>
      </w:r>
      <w:r>
        <w:rPr>
          <w:rFonts w:ascii="Times New Roman" w:hAnsi="Times New Roman" w:cs="Times New Roman"/>
        </w:rPr>
        <w:t>but</w:t>
      </w:r>
      <w:r>
        <w:rPr>
          <w:rFonts w:ascii="Times New Roman" w:hAnsi="Times New Roman" w:cs="Times New Roman"/>
          <w:i/>
          <w:iCs/>
        </w:rPr>
        <w:t xml:space="preserve"> </w:t>
      </w:r>
      <w:r>
        <w:rPr>
          <w:rFonts w:ascii="Times New Roman" w:hAnsi="Times New Roman" w:cs="Times New Roman"/>
        </w:rPr>
        <w:t>I agree with Lock that whilst ‘</w:t>
      </w:r>
      <w:r w:rsidRPr="00AF7DC6">
        <w:rPr>
          <w:rFonts w:ascii="Times New Roman" w:hAnsi="Times New Roman" w:cs="Times New Roman"/>
          <w:i/>
          <w:iCs/>
        </w:rPr>
        <w:t>AB</w:t>
      </w:r>
      <w:r>
        <w:rPr>
          <w:rFonts w:ascii="Times New Roman" w:hAnsi="Times New Roman" w:cs="Times New Roman"/>
        </w:rPr>
        <w:t xml:space="preserve"> could be seen as being “round 2” of </w:t>
      </w:r>
      <w:r w:rsidRPr="00AF7DC6">
        <w:rPr>
          <w:rFonts w:ascii="Times New Roman" w:hAnsi="Times New Roman" w:cs="Times New Roman"/>
          <w:i/>
          <w:iCs/>
        </w:rPr>
        <w:t>Bell v Tavistock</w:t>
      </w:r>
      <w:r>
        <w:rPr>
          <w:rFonts w:ascii="Times New Roman" w:hAnsi="Times New Roman" w:cs="Times New Roman"/>
        </w:rPr>
        <w:t>…that would</w:t>
      </w:r>
      <w:r w:rsidR="001B5685">
        <w:rPr>
          <w:rFonts w:ascii="Times New Roman" w:hAnsi="Times New Roman" w:cs="Times New Roman"/>
        </w:rPr>
        <w:t xml:space="preserve"> not</w:t>
      </w:r>
      <w:r>
        <w:rPr>
          <w:rFonts w:ascii="Times New Roman" w:hAnsi="Times New Roman" w:cs="Times New Roman"/>
        </w:rPr>
        <w:t xml:space="preserve"> be </w:t>
      </w:r>
      <w:r w:rsidR="001B5685">
        <w:rPr>
          <w:rFonts w:ascii="Times New Roman" w:hAnsi="Times New Roman" w:cs="Times New Roman"/>
        </w:rPr>
        <w:t xml:space="preserve">wholly </w:t>
      </w:r>
      <w:r>
        <w:rPr>
          <w:rFonts w:ascii="Times New Roman" w:hAnsi="Times New Roman" w:cs="Times New Roman"/>
        </w:rPr>
        <w:t>accurate’.</w:t>
      </w:r>
      <w:r>
        <w:rPr>
          <w:rStyle w:val="FootnoteReference"/>
          <w:rFonts w:ascii="Times New Roman" w:hAnsi="Times New Roman" w:cs="Times New Roman"/>
        </w:rPr>
        <w:footnoteReference w:id="169"/>
      </w:r>
      <w:r>
        <w:rPr>
          <w:rFonts w:ascii="Times New Roman" w:hAnsi="Times New Roman" w:cs="Times New Roman"/>
        </w:rPr>
        <w:t xml:space="preserve"> Indeed, there is still plenty left for the appeal. Questions remain around the perception of GD and the role of PBs, and why the court chose not to follow the Australian jurisprudence. The categorisation of PBs as “experimental”, left unquestioned in </w:t>
      </w:r>
      <w:r w:rsidRPr="001060B4">
        <w:rPr>
          <w:rFonts w:ascii="Times New Roman" w:hAnsi="Times New Roman" w:cs="Times New Roman"/>
          <w:i/>
          <w:iCs/>
        </w:rPr>
        <w:t>AB</w:t>
      </w:r>
      <w:r>
        <w:rPr>
          <w:rFonts w:ascii="Times New Roman" w:hAnsi="Times New Roman" w:cs="Times New Roman"/>
        </w:rPr>
        <w:t xml:space="preserve">, treatment is open to challenge. Although any success will largely depend on whether GIDS can present a stronger evidence base. Most fundamentally, the step-back from </w:t>
      </w:r>
      <w:r w:rsidRPr="00281544">
        <w:rPr>
          <w:rFonts w:ascii="Times New Roman" w:hAnsi="Times New Roman" w:cs="Times New Roman"/>
          <w:i/>
          <w:iCs/>
        </w:rPr>
        <w:t>Gillick</w:t>
      </w:r>
      <w:r>
        <w:rPr>
          <w:rFonts w:ascii="Times New Roman" w:hAnsi="Times New Roman" w:cs="Times New Roman"/>
        </w:rPr>
        <w:t xml:space="preserve"> and the undermining of the decision and person-specific principles by the provision of blanket categories, is ripe for further examination. There will certainly be challenges based on the protected characteristic of gender reassignment under the Equality Act 2010, plus potential discrimination claims under Article 14 ECHR. Indeed, as </w:t>
      </w:r>
      <w:proofErr w:type="spellStart"/>
      <w:r>
        <w:rPr>
          <w:rFonts w:ascii="Times New Roman" w:hAnsi="Times New Roman" w:cs="Times New Roman"/>
        </w:rPr>
        <w:t>Budhi</w:t>
      </w:r>
      <w:proofErr w:type="spellEnd"/>
      <w:r>
        <w:rPr>
          <w:rFonts w:ascii="Times New Roman" w:hAnsi="Times New Roman" w:cs="Times New Roman"/>
        </w:rPr>
        <w:t xml:space="preserve"> contends, ‘</w:t>
      </w:r>
      <w:r w:rsidRPr="007E24EA">
        <w:rPr>
          <w:rFonts w:ascii="Times New Roman" w:eastAsia="Times New Roman" w:hAnsi="Times New Roman" w:cs="Times New Roman"/>
        </w:rPr>
        <w:t>Gillick Competence recognises “the evolving maturity and individuality of children”. All children. Not certain children with certain needs</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170"/>
      </w:r>
      <w:r>
        <w:rPr>
          <w:rFonts w:ascii="Times New Roman" w:eastAsia="Times New Roman" w:hAnsi="Times New Roman" w:cs="Times New Roman"/>
        </w:rPr>
        <w:t xml:space="preserve"> Problematic as it is, </w:t>
      </w:r>
      <w:r>
        <w:rPr>
          <w:rFonts w:ascii="Times New Roman" w:hAnsi="Times New Roman" w:cs="Times New Roman"/>
        </w:rPr>
        <w:t xml:space="preserve">whether the notion of the ‘difference’ of PBs is enough to keep the reasoning of </w:t>
      </w:r>
      <w:r w:rsidRPr="00E60BDC">
        <w:rPr>
          <w:rFonts w:ascii="Times New Roman" w:hAnsi="Times New Roman" w:cs="Times New Roman"/>
          <w:i/>
          <w:iCs/>
        </w:rPr>
        <w:t>Bell</w:t>
      </w:r>
      <w:r>
        <w:rPr>
          <w:rFonts w:ascii="Times New Roman" w:hAnsi="Times New Roman" w:cs="Times New Roman"/>
        </w:rPr>
        <w:t xml:space="preserve"> contained, or if it marks a shift in judicial thinking towards greater protectionism remains to be seen. The latter could essentially roll back </w:t>
      </w:r>
      <w:r w:rsidRPr="008322E5">
        <w:rPr>
          <w:rFonts w:ascii="Times New Roman" w:hAnsi="Times New Roman" w:cs="Times New Roman"/>
          <w:i/>
          <w:iCs/>
        </w:rPr>
        <w:t>Gillick</w:t>
      </w:r>
      <w:r>
        <w:rPr>
          <w:rFonts w:ascii="Times New Roman" w:hAnsi="Times New Roman" w:cs="Times New Roman"/>
        </w:rPr>
        <w:t xml:space="preserve"> and </w:t>
      </w:r>
      <w:r w:rsidRPr="008322E5">
        <w:rPr>
          <w:rFonts w:ascii="Times New Roman" w:hAnsi="Times New Roman" w:cs="Times New Roman"/>
          <w:i/>
          <w:iCs/>
        </w:rPr>
        <w:t>Axon</w:t>
      </w:r>
      <w:r>
        <w:rPr>
          <w:rFonts w:ascii="Times New Roman" w:hAnsi="Times New Roman" w:cs="Times New Roman"/>
          <w:i/>
          <w:iCs/>
        </w:rPr>
        <w:t>,</w:t>
      </w:r>
      <w:r>
        <w:rPr>
          <w:rFonts w:ascii="Times New Roman" w:hAnsi="Times New Roman" w:cs="Times New Roman"/>
        </w:rPr>
        <w:t xml:space="preserve"> and more broadly restrict the ability of children to consent in other areas such as abortion and contraception. Worryingly, the judgment in </w:t>
      </w:r>
      <w:r w:rsidRPr="009069BC">
        <w:rPr>
          <w:rFonts w:ascii="Times New Roman" w:hAnsi="Times New Roman" w:cs="Times New Roman"/>
          <w:i/>
          <w:iCs/>
        </w:rPr>
        <w:t>Re X</w:t>
      </w:r>
      <w:r>
        <w:rPr>
          <w:rFonts w:ascii="Times New Roman" w:hAnsi="Times New Roman" w:cs="Times New Roman"/>
        </w:rPr>
        <w:t xml:space="preserve"> indicates that a return to welfarism is a judicial trend with application outside of the trans context. However, Lieven J’s strong desire to protect the integrity of the purpose of </w:t>
      </w:r>
      <w:r w:rsidRPr="0077760D">
        <w:rPr>
          <w:rFonts w:ascii="Times New Roman" w:hAnsi="Times New Roman" w:cs="Times New Roman"/>
          <w:i/>
          <w:iCs/>
        </w:rPr>
        <w:t xml:space="preserve">Gillick </w:t>
      </w:r>
      <w:r>
        <w:rPr>
          <w:rFonts w:ascii="Times New Roman" w:hAnsi="Times New Roman" w:cs="Times New Roman"/>
        </w:rPr>
        <w:t xml:space="preserve">when it comes to consent as seen in </w:t>
      </w:r>
      <w:r w:rsidRPr="0077760D">
        <w:rPr>
          <w:rFonts w:ascii="Times New Roman" w:hAnsi="Times New Roman" w:cs="Times New Roman"/>
          <w:i/>
          <w:iCs/>
        </w:rPr>
        <w:t>AB</w:t>
      </w:r>
      <w:r>
        <w:rPr>
          <w:rFonts w:ascii="Times New Roman" w:hAnsi="Times New Roman" w:cs="Times New Roman"/>
          <w:i/>
          <w:iCs/>
        </w:rPr>
        <w:t>,</w:t>
      </w:r>
      <w:r>
        <w:rPr>
          <w:rFonts w:ascii="Times New Roman" w:hAnsi="Times New Roman" w:cs="Times New Roman"/>
        </w:rPr>
        <w:t xml:space="preserve"> offers a glimmer of hope.</w:t>
      </w:r>
    </w:p>
    <w:p w14:paraId="71E2FD6B" w14:textId="20357F7A" w:rsidR="00C555D9" w:rsidRPr="0046424B" w:rsidRDefault="00C555D9" w:rsidP="00AE36A0">
      <w:pPr>
        <w:rPr>
          <w:rFonts w:ascii="Times New Roman" w:eastAsia="Times New Roman" w:hAnsi="Times New Roman" w:cs="Times New Roman"/>
        </w:rPr>
      </w:pPr>
    </w:p>
    <w:sectPr w:rsidR="00C555D9" w:rsidRPr="0046424B" w:rsidSect="00C4554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B7123" w14:textId="77777777" w:rsidR="00D651EE" w:rsidRDefault="00D651EE" w:rsidP="003B696E">
      <w:r>
        <w:separator/>
      </w:r>
    </w:p>
  </w:endnote>
  <w:endnote w:type="continuationSeparator" w:id="0">
    <w:p w14:paraId="58C0E682" w14:textId="77777777" w:rsidR="00D651EE" w:rsidRDefault="00D651EE" w:rsidP="003B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9476196"/>
      <w:docPartObj>
        <w:docPartGallery w:val="Page Numbers (Bottom of Page)"/>
        <w:docPartUnique/>
      </w:docPartObj>
    </w:sdtPr>
    <w:sdtEndPr>
      <w:rPr>
        <w:rStyle w:val="PageNumber"/>
      </w:rPr>
    </w:sdtEndPr>
    <w:sdtContent>
      <w:p w14:paraId="04755160" w14:textId="06D0F1D8" w:rsidR="004830FC" w:rsidRDefault="004830FC" w:rsidP="00AF2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3A810A" w14:textId="77777777" w:rsidR="004830FC" w:rsidRDefault="004830FC" w:rsidP="003B69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9745295"/>
      <w:docPartObj>
        <w:docPartGallery w:val="Page Numbers (Bottom of Page)"/>
        <w:docPartUnique/>
      </w:docPartObj>
    </w:sdtPr>
    <w:sdtEndPr>
      <w:rPr>
        <w:rStyle w:val="PageNumber"/>
      </w:rPr>
    </w:sdtEndPr>
    <w:sdtContent>
      <w:p w14:paraId="4754DFA8" w14:textId="67EB488C" w:rsidR="004830FC" w:rsidRDefault="004830FC" w:rsidP="00AF2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54768D" w14:textId="77777777" w:rsidR="004830FC" w:rsidRDefault="004830FC" w:rsidP="003B69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F6A5F" w14:textId="77777777" w:rsidR="00D651EE" w:rsidRDefault="00D651EE" w:rsidP="003B696E">
      <w:r>
        <w:separator/>
      </w:r>
    </w:p>
  </w:footnote>
  <w:footnote w:type="continuationSeparator" w:id="0">
    <w:p w14:paraId="1B7B54A7" w14:textId="77777777" w:rsidR="00D651EE" w:rsidRDefault="00D651EE" w:rsidP="003B696E">
      <w:r>
        <w:continuationSeparator/>
      </w:r>
    </w:p>
  </w:footnote>
  <w:footnote w:id="1">
    <w:p w14:paraId="2C5149E3" w14:textId="77777777" w:rsidR="004830FC" w:rsidRPr="00BA27EB" w:rsidRDefault="004830FC" w:rsidP="004D0DF2">
      <w:pPr>
        <w:pStyle w:val="FootnoteText"/>
        <w:rPr>
          <w:rFonts w:ascii="Times New Roman" w:hAnsi="Times New Roman" w:cs="Times New Roman"/>
          <w:color w:val="000000" w:themeColor="text1"/>
        </w:rPr>
      </w:pPr>
      <w:r w:rsidRPr="00BA27EB">
        <w:rPr>
          <w:rStyle w:val="FootnoteReference"/>
          <w:rFonts w:ascii="Times New Roman" w:hAnsi="Times New Roman" w:cs="Times New Roman"/>
          <w:color w:val="000000" w:themeColor="text1"/>
        </w:rPr>
        <w:footnoteRef/>
      </w:r>
      <w:r w:rsidRPr="00BA27EB">
        <w:rPr>
          <w:rFonts w:ascii="Times New Roman" w:hAnsi="Times New Roman" w:cs="Times New Roman"/>
          <w:color w:val="000000" w:themeColor="text1"/>
        </w:rPr>
        <w:t xml:space="preserve"> [2020] EWHC 3274 (Admin)</w:t>
      </w:r>
    </w:p>
  </w:footnote>
  <w:footnote w:id="2">
    <w:p w14:paraId="458C494E" w14:textId="77777777" w:rsidR="004830FC" w:rsidRPr="00BA27EB" w:rsidRDefault="004830FC" w:rsidP="004D0DF2">
      <w:pPr>
        <w:pStyle w:val="FootnoteText"/>
        <w:rPr>
          <w:rFonts w:ascii="Times New Roman" w:hAnsi="Times New Roman" w:cs="Times New Roman"/>
          <w:color w:val="000000" w:themeColor="text1"/>
        </w:rPr>
      </w:pPr>
      <w:r w:rsidRPr="00BA27EB">
        <w:rPr>
          <w:rStyle w:val="FootnoteReference"/>
          <w:rFonts w:ascii="Times New Roman" w:hAnsi="Times New Roman" w:cs="Times New Roman"/>
          <w:color w:val="000000" w:themeColor="text1"/>
        </w:rPr>
        <w:footnoteRef/>
      </w:r>
      <w:r w:rsidRPr="00BA27EB">
        <w:rPr>
          <w:rFonts w:ascii="Times New Roman" w:hAnsi="Times New Roman" w:cs="Times New Roman"/>
          <w:color w:val="000000" w:themeColor="text1"/>
        </w:rPr>
        <w:t xml:space="preserve"> Heather </w:t>
      </w:r>
      <w:proofErr w:type="spellStart"/>
      <w:r w:rsidRPr="00BA27EB">
        <w:rPr>
          <w:rFonts w:ascii="Times New Roman" w:hAnsi="Times New Roman" w:cs="Times New Roman"/>
          <w:color w:val="000000" w:themeColor="text1"/>
        </w:rPr>
        <w:t>Brunskell</w:t>
      </w:r>
      <w:proofErr w:type="spellEnd"/>
      <w:r w:rsidRPr="00BA27EB">
        <w:rPr>
          <w:rFonts w:ascii="Times New Roman" w:hAnsi="Times New Roman" w:cs="Times New Roman"/>
          <w:color w:val="000000" w:themeColor="text1"/>
        </w:rPr>
        <w:t>-Evans, ‘The Medico-Legal “Making” of “The Transgender Child” (2019) 27(4) Med LR 640.</w:t>
      </w:r>
    </w:p>
  </w:footnote>
  <w:footnote w:id="3">
    <w:p w14:paraId="31E505E3" w14:textId="42171EC7" w:rsidR="004830FC" w:rsidRPr="00BA27EB" w:rsidRDefault="004830FC" w:rsidP="004D0DF2">
      <w:pPr>
        <w:pStyle w:val="FootnoteText"/>
        <w:rPr>
          <w:rFonts w:ascii="Times New Roman" w:hAnsi="Times New Roman" w:cs="Times New Roman"/>
          <w:color w:val="000000" w:themeColor="text1"/>
        </w:rPr>
      </w:pPr>
      <w:r w:rsidRPr="00BA27EB">
        <w:rPr>
          <w:rStyle w:val="FootnoteReference"/>
          <w:rFonts w:ascii="Times New Roman" w:hAnsi="Times New Roman" w:cs="Times New Roman"/>
          <w:color w:val="000000" w:themeColor="text1"/>
        </w:rPr>
        <w:footnoteRef/>
      </w:r>
      <w:r w:rsidRPr="00BA27EB">
        <w:rPr>
          <w:rFonts w:ascii="Times New Roman" w:hAnsi="Times New Roman" w:cs="Times New Roman"/>
          <w:color w:val="000000" w:themeColor="text1"/>
        </w:rPr>
        <w:t xml:space="preserve"> Hilary Cass, ‘Letter to NHS England and NHS Improvement’ (10 May 2021) &lt;https://cass.independent-review.uk/letter-to-nhs-england-may-2021&gt;</w:t>
      </w:r>
    </w:p>
  </w:footnote>
  <w:footnote w:id="4">
    <w:p w14:paraId="3A1F930E" w14:textId="77777777" w:rsidR="004830FC" w:rsidRPr="00BA27EB" w:rsidRDefault="004830FC" w:rsidP="004D0DF2">
      <w:pPr>
        <w:pStyle w:val="FootnoteText"/>
        <w:rPr>
          <w:rFonts w:ascii="Times New Roman" w:hAnsi="Times New Roman" w:cs="Times New Roman"/>
        </w:rPr>
      </w:pPr>
      <w:r w:rsidRPr="00BA27EB">
        <w:rPr>
          <w:rStyle w:val="FootnoteReference"/>
          <w:rFonts w:ascii="Times New Roman" w:hAnsi="Times New Roman" w:cs="Times New Roman"/>
        </w:rPr>
        <w:footnoteRef/>
      </w:r>
      <w:r w:rsidRPr="00BA27EB">
        <w:rPr>
          <w:rFonts w:ascii="Times New Roman" w:hAnsi="Times New Roman" w:cs="Times New Roman"/>
        </w:rPr>
        <w:t xml:space="preserve"> Subject of the Independent Cass Review. Interim report expected Summer 2021.</w:t>
      </w:r>
    </w:p>
  </w:footnote>
  <w:footnote w:id="5">
    <w:p w14:paraId="685965C3" w14:textId="77777777" w:rsidR="004830FC" w:rsidRPr="00BA27EB" w:rsidRDefault="004830FC" w:rsidP="004D0DF2">
      <w:pPr>
        <w:pStyle w:val="FootnoteText"/>
        <w:rPr>
          <w:rFonts w:ascii="Times New Roman" w:hAnsi="Times New Roman" w:cs="Times New Roman"/>
          <w:color w:val="000000" w:themeColor="text1"/>
        </w:rPr>
      </w:pPr>
      <w:r w:rsidRPr="00BA27EB">
        <w:rPr>
          <w:rStyle w:val="FootnoteReference"/>
          <w:rFonts w:ascii="Times New Roman" w:hAnsi="Times New Roman" w:cs="Times New Roman"/>
          <w:color w:val="000000" w:themeColor="text1"/>
        </w:rPr>
        <w:footnoteRef/>
      </w:r>
      <w:r w:rsidRPr="00BA27EB">
        <w:rPr>
          <w:rFonts w:ascii="Times New Roman" w:hAnsi="Times New Roman" w:cs="Times New Roman"/>
          <w:color w:val="000000" w:themeColor="text1"/>
        </w:rPr>
        <w:t xml:space="preserve"> </w:t>
      </w:r>
      <w:r w:rsidRPr="00BA27EB">
        <w:rPr>
          <w:rFonts w:ascii="Times New Roman" w:hAnsi="Times New Roman" w:cs="Times New Roman"/>
          <w:i/>
          <w:iCs/>
          <w:color w:val="000000" w:themeColor="text1"/>
        </w:rPr>
        <w:t xml:space="preserve">AB &amp; CD v Tavistock &amp; Portman NHS Foundation Trust &amp; </w:t>
      </w:r>
      <w:proofErr w:type="spellStart"/>
      <w:r w:rsidRPr="00BA27EB">
        <w:rPr>
          <w:rFonts w:ascii="Times New Roman" w:hAnsi="Times New Roman" w:cs="Times New Roman"/>
          <w:i/>
          <w:iCs/>
          <w:color w:val="000000" w:themeColor="text1"/>
        </w:rPr>
        <w:t>Ors</w:t>
      </w:r>
      <w:proofErr w:type="spellEnd"/>
      <w:r w:rsidRPr="00BA27EB">
        <w:rPr>
          <w:rFonts w:ascii="Times New Roman" w:hAnsi="Times New Roman" w:cs="Times New Roman"/>
          <w:color w:val="000000" w:themeColor="text1"/>
        </w:rPr>
        <w:t xml:space="preserve"> [2021] EWHC 741 (Fam).</w:t>
      </w:r>
    </w:p>
  </w:footnote>
  <w:footnote w:id="6">
    <w:p w14:paraId="48A1D656" w14:textId="77777777" w:rsidR="004830FC" w:rsidRPr="00BA27EB" w:rsidRDefault="004830FC" w:rsidP="004D0DF2">
      <w:pPr>
        <w:pStyle w:val="FootnoteText"/>
        <w:rPr>
          <w:rFonts w:ascii="Times New Roman" w:hAnsi="Times New Roman" w:cs="Times New Roman"/>
          <w:color w:val="000000" w:themeColor="text1"/>
        </w:rPr>
      </w:pPr>
      <w:r w:rsidRPr="00BA27EB">
        <w:rPr>
          <w:rStyle w:val="FootnoteReference"/>
          <w:rFonts w:ascii="Times New Roman" w:hAnsi="Times New Roman" w:cs="Times New Roman"/>
          <w:color w:val="000000" w:themeColor="text1"/>
        </w:rPr>
        <w:footnoteRef/>
      </w:r>
      <w:r w:rsidRPr="00BA27EB">
        <w:rPr>
          <w:rFonts w:ascii="Times New Roman" w:hAnsi="Times New Roman" w:cs="Times New Roman"/>
          <w:color w:val="000000" w:themeColor="text1"/>
        </w:rPr>
        <w:t xml:space="preserve"> </w:t>
      </w:r>
      <w:r w:rsidRPr="00BA27EB">
        <w:rPr>
          <w:rFonts w:ascii="Times New Roman" w:hAnsi="Times New Roman" w:cs="Times New Roman"/>
          <w:i/>
          <w:iCs/>
          <w:color w:val="000000" w:themeColor="text1"/>
        </w:rPr>
        <w:t>Gillick v West Norfolk and Wisbech</w:t>
      </w:r>
      <w:r w:rsidRPr="00BA27EB">
        <w:rPr>
          <w:rFonts w:ascii="Times New Roman" w:hAnsi="Times New Roman" w:cs="Times New Roman"/>
          <w:color w:val="000000" w:themeColor="text1"/>
        </w:rPr>
        <w:t xml:space="preserve"> </w:t>
      </w:r>
      <w:r w:rsidRPr="00BA27EB">
        <w:rPr>
          <w:rFonts w:ascii="Times New Roman" w:hAnsi="Times New Roman" w:cs="Times New Roman"/>
          <w:i/>
          <w:iCs/>
          <w:color w:val="000000" w:themeColor="text1"/>
        </w:rPr>
        <w:t xml:space="preserve">AHA </w:t>
      </w:r>
      <w:r w:rsidRPr="00BA27EB">
        <w:rPr>
          <w:rFonts w:ascii="Times New Roman" w:hAnsi="Times New Roman" w:cs="Times New Roman"/>
          <w:color w:val="000000" w:themeColor="text1"/>
        </w:rPr>
        <w:t>[1986] AC 112</w:t>
      </w:r>
    </w:p>
  </w:footnote>
  <w:footnote w:id="7">
    <w:p w14:paraId="40FF7726" w14:textId="4FD08E18" w:rsidR="0074328B" w:rsidRPr="00BA27EB" w:rsidRDefault="0074328B">
      <w:pPr>
        <w:pStyle w:val="FootnoteText"/>
        <w:rPr>
          <w:rFonts w:ascii="Times New Roman" w:hAnsi="Times New Roman" w:cs="Times New Roman"/>
        </w:rPr>
      </w:pPr>
      <w:r w:rsidRPr="00BA27EB">
        <w:rPr>
          <w:rStyle w:val="FootnoteReference"/>
          <w:rFonts w:ascii="Times New Roman" w:hAnsi="Times New Roman" w:cs="Times New Roman"/>
        </w:rPr>
        <w:footnoteRef/>
      </w:r>
      <w:r w:rsidRPr="00BA27EB">
        <w:rPr>
          <w:rFonts w:ascii="Times New Roman" w:hAnsi="Times New Roman" w:cs="Times New Roman"/>
        </w:rPr>
        <w:t xml:space="preserve"> </w:t>
      </w:r>
      <w:r w:rsidR="008E4FDB" w:rsidRPr="00BA27EB">
        <w:rPr>
          <w:rFonts w:ascii="Times New Roman" w:hAnsi="Times New Roman" w:cs="Times New Roman"/>
        </w:rPr>
        <w:t xml:space="preserve"> </w:t>
      </w:r>
      <w:r w:rsidR="00EF2F6F">
        <w:rPr>
          <w:rFonts w:ascii="Times New Roman" w:hAnsi="Times New Roman" w:cs="Times New Roman"/>
        </w:rPr>
        <w:t>See f</w:t>
      </w:r>
      <w:r w:rsidR="008E4FDB" w:rsidRPr="00BA27EB">
        <w:rPr>
          <w:rFonts w:ascii="Times New Roman" w:hAnsi="Times New Roman" w:cs="Times New Roman"/>
        </w:rPr>
        <w:t>or example</w:t>
      </w:r>
      <w:r w:rsidR="00BA27EB">
        <w:rPr>
          <w:rFonts w:ascii="Times New Roman" w:hAnsi="Times New Roman" w:cs="Times New Roman"/>
        </w:rPr>
        <w:t>;</w:t>
      </w:r>
      <w:r w:rsidR="008E4FDB" w:rsidRPr="00BA27EB">
        <w:rPr>
          <w:rFonts w:ascii="Times New Roman" w:hAnsi="Times New Roman" w:cs="Times New Roman"/>
        </w:rPr>
        <w:t xml:space="preserve"> </w:t>
      </w:r>
      <w:r w:rsidR="00BA27EB" w:rsidRPr="00BA27EB">
        <w:rPr>
          <w:rFonts w:ascii="Times New Roman" w:hAnsi="Times New Roman" w:cs="Times New Roman"/>
        </w:rPr>
        <w:t xml:space="preserve">Rob Heywood and Jose </w:t>
      </w:r>
      <w:proofErr w:type="spellStart"/>
      <w:r w:rsidR="00BA27EB" w:rsidRPr="00BA27EB">
        <w:rPr>
          <w:rFonts w:ascii="Times New Roman" w:hAnsi="Times New Roman" w:cs="Times New Roman"/>
        </w:rPr>
        <w:t>Miola</w:t>
      </w:r>
      <w:proofErr w:type="spellEnd"/>
      <w:r w:rsidR="00BA27EB" w:rsidRPr="00BA27EB">
        <w:rPr>
          <w:rFonts w:ascii="Times New Roman" w:hAnsi="Times New Roman" w:cs="Times New Roman"/>
        </w:rPr>
        <w:t>, ‘The Changing Face of Pre-Operative Medical Disclosure: Placing the Patient at the Heart of the Matter’ (2017) 133(Apr) Law Quarterly Review 296.</w:t>
      </w:r>
    </w:p>
  </w:footnote>
  <w:footnote w:id="8">
    <w:p w14:paraId="03A87BAF" w14:textId="750E0634" w:rsidR="004830FC" w:rsidRPr="00BA27EB" w:rsidRDefault="004830FC" w:rsidP="004D0DF2">
      <w:pPr>
        <w:pStyle w:val="FootnoteText"/>
        <w:rPr>
          <w:rFonts w:ascii="Times New Roman" w:hAnsi="Times New Roman" w:cs="Times New Roman"/>
          <w:color w:val="FF0000"/>
        </w:rPr>
      </w:pPr>
      <w:r w:rsidRPr="00BA27EB">
        <w:rPr>
          <w:rStyle w:val="FootnoteReference"/>
          <w:rFonts w:ascii="Times New Roman" w:hAnsi="Times New Roman" w:cs="Times New Roman"/>
          <w:color w:val="000000" w:themeColor="text1"/>
        </w:rPr>
        <w:footnoteRef/>
      </w:r>
      <w:r w:rsidRPr="00BA27EB">
        <w:rPr>
          <w:rFonts w:ascii="Times New Roman" w:hAnsi="Times New Roman" w:cs="Times New Roman"/>
          <w:color w:val="000000" w:themeColor="text1"/>
        </w:rPr>
        <w:t xml:space="preserve"> Family Law Reform Act 1968 s8</w:t>
      </w:r>
    </w:p>
  </w:footnote>
  <w:footnote w:id="9">
    <w:p w14:paraId="719DA543" w14:textId="77777777" w:rsidR="004830FC" w:rsidRPr="00BA27EB" w:rsidRDefault="004830FC" w:rsidP="004D0DF2">
      <w:pPr>
        <w:pStyle w:val="FootnoteText"/>
        <w:rPr>
          <w:rFonts w:ascii="Times New Roman" w:hAnsi="Times New Roman" w:cs="Times New Roman"/>
        </w:rPr>
      </w:pPr>
      <w:r w:rsidRPr="00BA27EB">
        <w:rPr>
          <w:rStyle w:val="FootnoteReference"/>
          <w:rFonts w:ascii="Times New Roman" w:hAnsi="Times New Roman" w:cs="Times New Roman"/>
          <w:color w:val="000000" w:themeColor="text1"/>
        </w:rPr>
        <w:footnoteRef/>
      </w:r>
      <w:r w:rsidRPr="00BA27EB">
        <w:rPr>
          <w:rFonts w:ascii="Times New Roman" w:hAnsi="Times New Roman" w:cs="Times New Roman"/>
          <w:color w:val="000000" w:themeColor="text1"/>
        </w:rPr>
        <w:t xml:space="preserve"> </w:t>
      </w:r>
      <w:r w:rsidRPr="00BA27EB">
        <w:rPr>
          <w:rFonts w:ascii="Times New Roman" w:hAnsi="Times New Roman" w:cs="Times New Roman"/>
          <w:i/>
          <w:iCs/>
          <w:color w:val="000000" w:themeColor="text1"/>
        </w:rPr>
        <w:t xml:space="preserve">Gillick </w:t>
      </w:r>
      <w:r w:rsidRPr="00BA27EB">
        <w:rPr>
          <w:rFonts w:ascii="Times New Roman" w:hAnsi="Times New Roman" w:cs="Times New Roman"/>
          <w:color w:val="000000" w:themeColor="text1"/>
        </w:rPr>
        <w:t>(n6).</w:t>
      </w:r>
    </w:p>
  </w:footnote>
  <w:footnote w:id="10">
    <w:p w14:paraId="54BA619F" w14:textId="77777777" w:rsidR="004830FC" w:rsidRPr="000D0092" w:rsidRDefault="004830FC" w:rsidP="00252061">
      <w:pPr>
        <w:pStyle w:val="FootnoteText"/>
        <w:rPr>
          <w:rFonts w:ascii="Times New Roman" w:hAnsi="Times New Roman" w:cs="Times New Roman"/>
        </w:rPr>
      </w:pPr>
      <w:r w:rsidRPr="00BA27EB">
        <w:rPr>
          <w:rStyle w:val="FootnoteReference"/>
          <w:rFonts w:ascii="Times New Roman" w:hAnsi="Times New Roman" w:cs="Times New Roman"/>
        </w:rPr>
        <w:footnoteRef/>
      </w:r>
      <w:r w:rsidRPr="00BA27EB">
        <w:rPr>
          <w:rFonts w:ascii="Times New Roman" w:hAnsi="Times New Roman" w:cs="Times New Roman"/>
        </w:rPr>
        <w:t xml:space="preserve">  s3</w:t>
      </w:r>
    </w:p>
  </w:footnote>
  <w:footnote w:id="11">
    <w:p w14:paraId="0D3FE309" w14:textId="77777777" w:rsidR="004830FC" w:rsidRPr="000D0092" w:rsidRDefault="004830FC" w:rsidP="00252061">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ibid s1. </w:t>
      </w:r>
    </w:p>
  </w:footnote>
  <w:footnote w:id="12">
    <w:p w14:paraId="66F594AD" w14:textId="77777777" w:rsidR="004830FC" w:rsidRPr="000D0092" w:rsidRDefault="004830FC" w:rsidP="00252061">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s8(1).</w:t>
      </w:r>
    </w:p>
  </w:footnote>
  <w:footnote w:id="13">
    <w:p w14:paraId="7655AAD4" w14:textId="77777777" w:rsidR="004830FC" w:rsidRPr="000D0092" w:rsidRDefault="004830FC" w:rsidP="00252061">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w:t>
      </w:r>
      <w:r w:rsidRPr="000D0092">
        <w:rPr>
          <w:rFonts w:ascii="Times New Roman" w:hAnsi="Times New Roman" w:cs="Times New Roman"/>
          <w:i/>
          <w:iCs/>
        </w:rPr>
        <w:t>Gillick</w:t>
      </w:r>
      <w:r w:rsidRPr="000D0092">
        <w:rPr>
          <w:rFonts w:ascii="Times New Roman" w:hAnsi="Times New Roman" w:cs="Times New Roman"/>
        </w:rPr>
        <w:t xml:space="preserve"> (n6)</w:t>
      </w:r>
    </w:p>
  </w:footnote>
  <w:footnote w:id="14">
    <w:p w14:paraId="4F877C21" w14:textId="77777777" w:rsidR="004830FC" w:rsidRPr="000D0092" w:rsidRDefault="004830FC" w:rsidP="00252061">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ibid</w:t>
      </w:r>
      <w:r w:rsidRPr="000D0092">
        <w:rPr>
          <w:rFonts w:ascii="Times New Roman" w:hAnsi="Times New Roman" w:cs="Times New Roman"/>
          <w:i/>
          <w:iCs/>
        </w:rPr>
        <w:t xml:space="preserve"> </w:t>
      </w:r>
      <w:r w:rsidRPr="000D0092">
        <w:rPr>
          <w:rFonts w:ascii="Times New Roman" w:hAnsi="Times New Roman" w:cs="Times New Roman"/>
        </w:rPr>
        <w:t>189.</w:t>
      </w:r>
    </w:p>
  </w:footnote>
  <w:footnote w:id="15">
    <w:p w14:paraId="1027B7E6" w14:textId="77777777" w:rsidR="004830FC" w:rsidRPr="000D0092" w:rsidRDefault="004830FC" w:rsidP="00252061">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Emma Cave, ‘Goodbye </w:t>
      </w:r>
      <w:r w:rsidRPr="000D0092">
        <w:rPr>
          <w:rFonts w:ascii="Times New Roman" w:hAnsi="Times New Roman" w:cs="Times New Roman"/>
          <w:i/>
        </w:rPr>
        <w:t>Gillick</w:t>
      </w:r>
      <w:r w:rsidRPr="000D0092">
        <w:rPr>
          <w:rFonts w:ascii="Times New Roman" w:hAnsi="Times New Roman" w:cs="Times New Roman"/>
        </w:rPr>
        <w:t>? Identifying and resolving problems with the concept of child competence’ (2014) 34(1) Legal Studies 103,105.</w:t>
      </w:r>
    </w:p>
  </w:footnote>
  <w:footnote w:id="16">
    <w:p w14:paraId="5EC6AB93" w14:textId="42731D73" w:rsidR="004830FC" w:rsidRPr="000D0092" w:rsidRDefault="004830FC" w:rsidP="00252061">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w:t>
      </w:r>
      <w:r w:rsidRPr="000D0092">
        <w:rPr>
          <w:rFonts w:ascii="Times New Roman" w:hAnsi="Times New Roman" w:cs="Times New Roman"/>
          <w:i/>
          <w:lang w:val="en-US"/>
        </w:rPr>
        <w:t xml:space="preserve">Re R </w:t>
      </w:r>
      <w:r>
        <w:rPr>
          <w:rFonts w:ascii="Times New Roman" w:hAnsi="Times New Roman" w:cs="Times New Roman"/>
          <w:i/>
          <w:lang w:val="en-US"/>
        </w:rPr>
        <w:t>(</w:t>
      </w:r>
      <w:r w:rsidRPr="000D0092">
        <w:rPr>
          <w:rFonts w:ascii="Times New Roman" w:hAnsi="Times New Roman" w:cs="Times New Roman"/>
          <w:i/>
          <w:lang w:val="en-US"/>
        </w:rPr>
        <w:t xml:space="preserve">A Minor)(Wardship: Consent to Treatment) </w:t>
      </w:r>
      <w:r w:rsidRPr="000D0092">
        <w:rPr>
          <w:rFonts w:ascii="Times New Roman" w:hAnsi="Times New Roman" w:cs="Times New Roman"/>
          <w:lang w:val="en-US"/>
        </w:rPr>
        <w:t>[1992] Fam 11;</w:t>
      </w:r>
      <w:r w:rsidRPr="000D0092">
        <w:rPr>
          <w:rFonts w:ascii="Times New Roman" w:hAnsi="Times New Roman" w:cs="Times New Roman"/>
          <w:i/>
          <w:lang w:val="en-US"/>
        </w:rPr>
        <w:t xml:space="preserve"> Re W (A Minor)(Medical Treatment) </w:t>
      </w:r>
      <w:r w:rsidRPr="000D0092">
        <w:rPr>
          <w:rFonts w:ascii="Times New Roman" w:hAnsi="Times New Roman" w:cs="Times New Roman"/>
          <w:lang w:val="en-US"/>
        </w:rPr>
        <w:t>[1992] 4 All ER 627.</w:t>
      </w:r>
    </w:p>
  </w:footnote>
  <w:footnote w:id="17">
    <w:p w14:paraId="0A474A76" w14:textId="25C21291" w:rsidR="004830FC" w:rsidRPr="000D0092" w:rsidRDefault="004830FC" w:rsidP="00252061">
      <w:pPr>
        <w:rPr>
          <w:rFonts w:ascii="Times New Roman" w:hAnsi="Times New Roman" w:cs="Times New Roman"/>
          <w:sz w:val="20"/>
          <w:szCs w:val="20"/>
        </w:rPr>
      </w:pPr>
      <w:r w:rsidRPr="000D0092">
        <w:rPr>
          <w:rStyle w:val="FootnoteReference"/>
          <w:rFonts w:ascii="Times New Roman" w:hAnsi="Times New Roman" w:cs="Times New Roman"/>
          <w:sz w:val="20"/>
          <w:szCs w:val="20"/>
        </w:rPr>
        <w:footnoteRef/>
      </w:r>
      <w:r w:rsidRPr="000D0092">
        <w:rPr>
          <w:rFonts w:ascii="Times New Roman" w:hAnsi="Times New Roman" w:cs="Times New Roman"/>
          <w:sz w:val="20"/>
          <w:szCs w:val="20"/>
        </w:rPr>
        <w:t xml:space="preserve"> </w:t>
      </w:r>
      <w:r w:rsidRPr="000D0092">
        <w:rPr>
          <w:rFonts w:ascii="Times New Roman" w:hAnsi="Times New Roman" w:cs="Times New Roman"/>
          <w:i/>
          <w:sz w:val="20"/>
          <w:szCs w:val="20"/>
        </w:rPr>
        <w:t xml:space="preserve"> An NHS Trust</w:t>
      </w:r>
      <w:r w:rsidRPr="000D0092">
        <w:rPr>
          <w:rFonts w:ascii="Times New Roman" w:hAnsi="Times New Roman" w:cs="Times New Roman"/>
          <w:sz w:val="20"/>
          <w:szCs w:val="20"/>
        </w:rPr>
        <w:t xml:space="preserve"> v </w:t>
      </w:r>
      <w:r w:rsidRPr="000D0092">
        <w:rPr>
          <w:rFonts w:ascii="Times New Roman" w:hAnsi="Times New Roman" w:cs="Times New Roman"/>
          <w:i/>
          <w:sz w:val="20"/>
          <w:szCs w:val="20"/>
        </w:rPr>
        <w:t>ABC and a Local Authority</w:t>
      </w:r>
      <w:r w:rsidRPr="000D0092">
        <w:rPr>
          <w:rFonts w:ascii="Times New Roman" w:hAnsi="Times New Roman" w:cs="Times New Roman"/>
          <w:sz w:val="20"/>
          <w:szCs w:val="20"/>
        </w:rPr>
        <w:t xml:space="preserve"> [2014] EWHC 1445 (fam).</w:t>
      </w:r>
    </w:p>
  </w:footnote>
  <w:footnote w:id="18">
    <w:p w14:paraId="6C00405F" w14:textId="553DA5A9" w:rsidR="004830FC" w:rsidRPr="000D0092" w:rsidRDefault="004830FC" w:rsidP="00252061">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Kirsty </w:t>
      </w:r>
      <w:proofErr w:type="spellStart"/>
      <w:r w:rsidRPr="000D0092">
        <w:rPr>
          <w:rFonts w:ascii="Times New Roman" w:hAnsi="Times New Roman" w:cs="Times New Roman"/>
        </w:rPr>
        <w:t>Moreton,‘</w:t>
      </w:r>
      <w:r w:rsidRPr="000D0092">
        <w:rPr>
          <w:rFonts w:ascii="Times New Roman" w:hAnsi="Times New Roman" w:cs="Times New Roman"/>
          <w:i/>
          <w:iCs/>
        </w:rPr>
        <w:t>Gillick</w:t>
      </w:r>
      <w:proofErr w:type="spellEnd"/>
      <w:r w:rsidRPr="000D0092">
        <w:rPr>
          <w:rFonts w:ascii="Times New Roman" w:hAnsi="Times New Roman" w:cs="Times New Roman"/>
        </w:rPr>
        <w:t xml:space="preserve"> reinstated: Judging Mid-childhood Competence in Healthcare </w:t>
      </w:r>
      <w:proofErr w:type="spellStart"/>
      <w:r w:rsidRPr="000D0092">
        <w:rPr>
          <w:rFonts w:ascii="Times New Roman" w:hAnsi="Times New Roman" w:cs="Times New Roman"/>
        </w:rPr>
        <w:t>Law:</w:t>
      </w:r>
      <w:r w:rsidRPr="000D0092">
        <w:rPr>
          <w:rFonts w:ascii="Times New Roman" w:hAnsi="Times New Roman" w:cs="Times New Roman"/>
          <w:i/>
          <w:iCs/>
        </w:rPr>
        <w:t>An</w:t>
      </w:r>
      <w:proofErr w:type="spellEnd"/>
      <w:r w:rsidRPr="000D0092">
        <w:rPr>
          <w:rFonts w:ascii="Times New Roman" w:hAnsi="Times New Roman" w:cs="Times New Roman"/>
          <w:i/>
          <w:iCs/>
        </w:rPr>
        <w:t xml:space="preserve"> NHS Trust v ABC &amp; a Local Authority</w:t>
      </w:r>
      <w:r w:rsidRPr="000D0092">
        <w:rPr>
          <w:rFonts w:ascii="Times New Roman" w:hAnsi="Times New Roman" w:cs="Times New Roman"/>
        </w:rPr>
        <w:t xml:space="preserve"> [2014] EWHC 1445 (Fam)’ [2015] 23(2) Med LR 303,307.</w:t>
      </w:r>
    </w:p>
  </w:footnote>
  <w:footnote w:id="19">
    <w:p w14:paraId="60B25C7E" w14:textId="27D57B2E" w:rsidR="004830FC" w:rsidRPr="002A7191" w:rsidRDefault="004830FC" w:rsidP="00252061">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w:t>
      </w:r>
      <w:r w:rsidRPr="000D0092">
        <w:rPr>
          <w:rFonts w:ascii="Times New Roman" w:hAnsi="Times New Roman" w:cs="Times New Roman"/>
          <w:i/>
        </w:rPr>
        <w:t xml:space="preserve">ABC </w:t>
      </w:r>
      <w:r w:rsidRPr="000D0092">
        <w:rPr>
          <w:rFonts w:ascii="Times New Roman" w:hAnsi="Times New Roman" w:cs="Times New Roman"/>
          <w:iCs/>
        </w:rPr>
        <w:t>(</w:t>
      </w:r>
      <w:r>
        <w:rPr>
          <w:rFonts w:ascii="Times New Roman" w:hAnsi="Times New Roman" w:cs="Times New Roman"/>
          <w:iCs/>
        </w:rPr>
        <w:t>n1</w:t>
      </w:r>
      <w:r w:rsidR="00574200">
        <w:rPr>
          <w:rFonts w:ascii="Times New Roman" w:hAnsi="Times New Roman" w:cs="Times New Roman"/>
          <w:iCs/>
        </w:rPr>
        <w:t>7</w:t>
      </w:r>
      <w:r w:rsidRPr="000D0092">
        <w:rPr>
          <w:rFonts w:ascii="Times New Roman" w:hAnsi="Times New Roman" w:cs="Times New Roman"/>
          <w:iCs/>
        </w:rPr>
        <w:t>)[9]</w:t>
      </w:r>
      <w:r w:rsidRPr="002A7191">
        <w:rPr>
          <w:rFonts w:ascii="Times New Roman" w:hAnsi="Times New Roman" w:cs="Times New Roman"/>
        </w:rPr>
        <w:t xml:space="preserve"> </w:t>
      </w:r>
    </w:p>
  </w:footnote>
  <w:footnote w:id="20">
    <w:p w14:paraId="359341D7" w14:textId="77777777" w:rsidR="004830FC" w:rsidRPr="002A7191" w:rsidRDefault="004830FC" w:rsidP="00252061">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w:t>
      </w:r>
      <w:r w:rsidRPr="002A7191">
        <w:rPr>
          <w:rFonts w:ascii="Times New Roman" w:hAnsi="Times New Roman" w:cs="Times New Roman"/>
          <w:i/>
          <w:iCs/>
        </w:rPr>
        <w:t>Academy of Medical Royal Colleges Statement on Gillick Competency</w:t>
      </w:r>
      <w:r w:rsidRPr="002A7191">
        <w:rPr>
          <w:rFonts w:ascii="Times New Roman" w:hAnsi="Times New Roman" w:cs="Times New Roman"/>
        </w:rPr>
        <w:t xml:space="preserve"> (25 June 2020).</w:t>
      </w:r>
    </w:p>
  </w:footnote>
  <w:footnote w:id="21">
    <w:p w14:paraId="6D519671" w14:textId="7E8C37BE" w:rsidR="004830FC" w:rsidRPr="002A7191" w:rsidRDefault="004830FC" w:rsidP="00252061">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(No 2)[2021] EWHC</w:t>
      </w:r>
      <w:r>
        <w:rPr>
          <w:rFonts w:ascii="Times New Roman" w:hAnsi="Times New Roman" w:cs="Times New Roman"/>
        </w:rPr>
        <w:t xml:space="preserve"> </w:t>
      </w:r>
      <w:r w:rsidRPr="002A7191">
        <w:rPr>
          <w:rFonts w:ascii="Times New Roman" w:hAnsi="Times New Roman" w:cs="Times New Roman"/>
        </w:rPr>
        <w:t>65(Fam).</w:t>
      </w:r>
    </w:p>
  </w:footnote>
  <w:footnote w:id="22">
    <w:p w14:paraId="6E0555DF" w14:textId="64437460" w:rsidR="004830FC" w:rsidRPr="002A7191" w:rsidRDefault="004830FC" w:rsidP="00252061">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Emma Cave, ‘Confirmation of the High Court’s Power to Override a Child’s Treatment Decision: </w:t>
      </w:r>
      <w:r w:rsidRPr="002A7191">
        <w:rPr>
          <w:rFonts w:ascii="Times New Roman" w:hAnsi="Times New Roman" w:cs="Times New Roman"/>
          <w:i/>
          <w:iCs/>
        </w:rPr>
        <w:t>An NHS Trust v X (In the Matter of X (A Child) (No 2)</w:t>
      </w:r>
      <w:r w:rsidRPr="002A7191">
        <w:rPr>
          <w:rFonts w:ascii="Times New Roman" w:hAnsi="Times New Roman" w:cs="Times New Roman"/>
        </w:rPr>
        <w:t>[2021] EWHC 65 (Fam)’ [2021] Med LR doi:10.1093/</w:t>
      </w:r>
      <w:proofErr w:type="spellStart"/>
      <w:r w:rsidRPr="002A7191">
        <w:rPr>
          <w:rFonts w:ascii="Times New Roman" w:hAnsi="Times New Roman" w:cs="Times New Roman"/>
        </w:rPr>
        <w:t>medlaw</w:t>
      </w:r>
      <w:proofErr w:type="spellEnd"/>
      <w:r w:rsidRPr="002A7191">
        <w:rPr>
          <w:rFonts w:ascii="Times New Roman" w:hAnsi="Times New Roman" w:cs="Times New Roman"/>
        </w:rPr>
        <w:t>/fwab007, 10.</w:t>
      </w:r>
    </w:p>
  </w:footnote>
  <w:footnote w:id="23">
    <w:p w14:paraId="71B8C3DA" w14:textId="77777777" w:rsidR="004830FC" w:rsidRPr="002A7191" w:rsidRDefault="004830FC" w:rsidP="00FB66AE">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w:t>
      </w:r>
      <w:r w:rsidRPr="002A7191">
        <w:rPr>
          <w:rFonts w:ascii="Times New Roman" w:hAnsi="Times New Roman" w:cs="Times New Roman"/>
          <w:i/>
          <w:iCs/>
        </w:rPr>
        <w:t>Bell</w:t>
      </w:r>
      <w:r w:rsidRPr="002A7191">
        <w:rPr>
          <w:rFonts w:ascii="Times New Roman" w:hAnsi="Times New Roman" w:cs="Times New Roman"/>
        </w:rPr>
        <w:t xml:space="preserve"> (n1)[4].</w:t>
      </w:r>
    </w:p>
  </w:footnote>
  <w:footnote w:id="24">
    <w:p w14:paraId="583E65EC" w14:textId="77777777" w:rsidR="004830FC" w:rsidRPr="002A7191" w:rsidRDefault="004830FC" w:rsidP="00FB66AE">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w:t>
      </w:r>
      <w:r w:rsidRPr="002A7191">
        <w:rPr>
          <w:rFonts w:ascii="Times New Roman" w:hAnsi="Times New Roman" w:cs="Times New Roman"/>
          <w:i/>
          <w:iCs/>
        </w:rPr>
        <w:t>ibid</w:t>
      </w:r>
      <w:r w:rsidRPr="002A7191">
        <w:rPr>
          <w:rFonts w:ascii="Times New Roman" w:hAnsi="Times New Roman" w:cs="Times New Roman"/>
        </w:rPr>
        <w:t xml:space="preserve"> [4].</w:t>
      </w:r>
    </w:p>
  </w:footnote>
  <w:footnote w:id="25">
    <w:p w14:paraId="6CD905F1" w14:textId="77777777" w:rsidR="004830FC" w:rsidRPr="002A7191" w:rsidRDefault="004830FC" w:rsidP="00FB66AE">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w:t>
      </w:r>
      <w:r w:rsidRPr="002A7191">
        <w:rPr>
          <w:rFonts w:ascii="Times New Roman" w:hAnsi="Times New Roman" w:cs="Times New Roman"/>
          <w:i/>
          <w:iCs/>
        </w:rPr>
        <w:t xml:space="preserve">ibid </w:t>
      </w:r>
      <w:r w:rsidRPr="002A7191">
        <w:rPr>
          <w:rFonts w:ascii="Times New Roman" w:hAnsi="Times New Roman" w:cs="Times New Roman"/>
        </w:rPr>
        <w:t>[15].</w:t>
      </w:r>
    </w:p>
  </w:footnote>
  <w:footnote w:id="26">
    <w:p w14:paraId="5CC5EE61" w14:textId="2F3C6420" w:rsidR="004830FC" w:rsidRPr="002A7191" w:rsidRDefault="004830FC" w:rsidP="00FB66AE">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w:t>
      </w:r>
      <w:r w:rsidRPr="002A7191">
        <w:rPr>
          <w:rFonts w:ascii="Times New Roman" w:hAnsi="Times New Roman" w:cs="Times New Roman"/>
          <w:i/>
          <w:iCs/>
        </w:rPr>
        <w:t xml:space="preserve">ibid </w:t>
      </w:r>
      <w:r w:rsidRPr="002A7191">
        <w:rPr>
          <w:rFonts w:ascii="Times New Roman" w:hAnsi="Times New Roman" w:cs="Times New Roman"/>
        </w:rPr>
        <w:t>[5],[36].</w:t>
      </w:r>
    </w:p>
  </w:footnote>
  <w:footnote w:id="27">
    <w:p w14:paraId="0E262DB3" w14:textId="77777777" w:rsidR="004830FC" w:rsidRPr="002A7191" w:rsidRDefault="004830FC" w:rsidP="00FB66AE">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w:t>
      </w:r>
      <w:r w:rsidRPr="002A7191">
        <w:rPr>
          <w:rFonts w:ascii="Times New Roman" w:hAnsi="Times New Roman" w:cs="Times New Roman"/>
          <w:i/>
          <w:iCs/>
        </w:rPr>
        <w:t xml:space="preserve">ibid </w:t>
      </w:r>
      <w:r w:rsidRPr="002A7191">
        <w:rPr>
          <w:rFonts w:ascii="Times New Roman" w:hAnsi="Times New Roman" w:cs="Times New Roman"/>
        </w:rPr>
        <w:t>[78]-[83].</w:t>
      </w:r>
    </w:p>
  </w:footnote>
  <w:footnote w:id="28">
    <w:p w14:paraId="69B3F023" w14:textId="77777777" w:rsidR="004830FC" w:rsidRPr="002A7191" w:rsidRDefault="004830FC" w:rsidP="00FB66AE">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w:t>
      </w:r>
      <w:r w:rsidRPr="002A7191">
        <w:rPr>
          <w:rFonts w:ascii="Times New Roman" w:hAnsi="Times New Roman" w:cs="Times New Roman"/>
          <w:i/>
          <w:iCs/>
        </w:rPr>
        <w:t xml:space="preserve">ibid </w:t>
      </w:r>
      <w:r w:rsidRPr="002A7191">
        <w:rPr>
          <w:rFonts w:ascii="Times New Roman" w:hAnsi="Times New Roman" w:cs="Times New Roman"/>
        </w:rPr>
        <w:t>[89].</w:t>
      </w:r>
    </w:p>
  </w:footnote>
  <w:footnote w:id="29">
    <w:p w14:paraId="37104CD3" w14:textId="77777777" w:rsidR="004830FC" w:rsidRPr="002A7191" w:rsidRDefault="004830FC" w:rsidP="00FB66AE">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w:t>
      </w:r>
      <w:r w:rsidRPr="002A7191">
        <w:rPr>
          <w:rFonts w:ascii="Times New Roman" w:hAnsi="Times New Roman" w:cs="Times New Roman"/>
          <w:i/>
          <w:iCs/>
        </w:rPr>
        <w:t xml:space="preserve">ibid </w:t>
      </w:r>
      <w:r w:rsidRPr="002A7191">
        <w:rPr>
          <w:rFonts w:ascii="Times New Roman" w:hAnsi="Times New Roman" w:cs="Times New Roman"/>
        </w:rPr>
        <w:t>[7]</w:t>
      </w:r>
    </w:p>
  </w:footnote>
  <w:footnote w:id="30">
    <w:p w14:paraId="076019E4" w14:textId="77777777" w:rsidR="004830FC" w:rsidRPr="002A7191" w:rsidRDefault="004830FC" w:rsidP="00FB66AE">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w:t>
      </w:r>
      <w:r w:rsidRPr="002A7191">
        <w:rPr>
          <w:rFonts w:ascii="Times New Roman" w:hAnsi="Times New Roman" w:cs="Times New Roman"/>
          <w:i/>
          <w:iCs/>
        </w:rPr>
        <w:t>ibid</w:t>
      </w:r>
      <w:r w:rsidRPr="002A7191">
        <w:rPr>
          <w:rFonts w:ascii="Times New Roman" w:hAnsi="Times New Roman" w:cs="Times New Roman"/>
        </w:rPr>
        <w:t xml:space="preserve"> [7],[90].</w:t>
      </w:r>
    </w:p>
  </w:footnote>
  <w:footnote w:id="31">
    <w:p w14:paraId="0CCDEE23" w14:textId="77777777" w:rsidR="004830FC" w:rsidRPr="000D2F9B" w:rsidRDefault="004830FC" w:rsidP="00FB66AE">
      <w:pPr>
        <w:pStyle w:val="FootnoteText"/>
        <w:rPr>
          <w:rFonts w:cstheme="minorHAnsi"/>
        </w:rPr>
      </w:pPr>
      <w:r w:rsidRPr="002A7191">
        <w:rPr>
          <w:rStyle w:val="FootnoteReference"/>
          <w:rFonts w:ascii="Times New Roman" w:hAnsi="Times New Roman" w:cs="Times New Roman"/>
        </w:rPr>
        <w:footnoteRef/>
      </w:r>
      <w:r w:rsidRPr="002A7191">
        <w:rPr>
          <w:rFonts w:ascii="Times New Roman" w:hAnsi="Times New Roman" w:cs="Times New Roman"/>
        </w:rPr>
        <w:t xml:space="preserve"> </w:t>
      </w:r>
      <w:r w:rsidRPr="002A7191">
        <w:rPr>
          <w:rFonts w:ascii="Times New Roman" w:hAnsi="Times New Roman" w:cs="Times New Roman"/>
          <w:i/>
          <w:iCs/>
        </w:rPr>
        <w:t>ibid</w:t>
      </w:r>
      <w:r w:rsidRPr="002A7191">
        <w:rPr>
          <w:rFonts w:ascii="Times New Roman" w:hAnsi="Times New Roman" w:cs="Times New Roman"/>
        </w:rPr>
        <w:t xml:space="preserve"> [97]-[98].</w:t>
      </w:r>
    </w:p>
  </w:footnote>
  <w:footnote w:id="32">
    <w:p w14:paraId="533571EE" w14:textId="77777777" w:rsidR="004830FC" w:rsidRPr="002A7191" w:rsidRDefault="004830FC" w:rsidP="00FB66AE">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w:t>
      </w:r>
      <w:r w:rsidRPr="002A7191">
        <w:rPr>
          <w:rFonts w:ascii="Times New Roman" w:hAnsi="Times New Roman" w:cs="Times New Roman"/>
          <w:i/>
          <w:iCs/>
        </w:rPr>
        <w:t>ibid</w:t>
      </w:r>
      <w:r w:rsidRPr="002A7191">
        <w:rPr>
          <w:rFonts w:ascii="Times New Roman" w:hAnsi="Times New Roman" w:cs="Times New Roman"/>
        </w:rPr>
        <w:t xml:space="preserve"> [90].</w:t>
      </w:r>
    </w:p>
  </w:footnote>
  <w:footnote w:id="33">
    <w:p w14:paraId="4460A0A9" w14:textId="77777777" w:rsidR="004830FC" w:rsidRPr="002A7191" w:rsidRDefault="004830FC" w:rsidP="00FB66AE">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w:t>
      </w:r>
      <w:r w:rsidRPr="000F6409">
        <w:rPr>
          <w:rFonts w:ascii="Times New Roman" w:hAnsi="Times New Roman" w:cs="Times New Roman"/>
          <w:i/>
          <w:iCs/>
        </w:rPr>
        <w:t>ibid</w:t>
      </w:r>
      <w:r w:rsidRPr="002A7191">
        <w:rPr>
          <w:rFonts w:ascii="Times New Roman" w:hAnsi="Times New Roman" w:cs="Times New Roman"/>
        </w:rPr>
        <w:t xml:space="preserve"> [74],[134].</w:t>
      </w:r>
    </w:p>
  </w:footnote>
  <w:footnote w:id="34">
    <w:p w14:paraId="4A004E22" w14:textId="77777777" w:rsidR="004830FC" w:rsidRPr="002A7191" w:rsidRDefault="004830FC" w:rsidP="00FB66AE">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w:t>
      </w:r>
      <w:r w:rsidRPr="002A7191">
        <w:rPr>
          <w:rFonts w:ascii="Times New Roman" w:hAnsi="Times New Roman" w:cs="Times New Roman"/>
          <w:i/>
          <w:iCs/>
        </w:rPr>
        <w:t>ibid</w:t>
      </w:r>
      <w:r w:rsidRPr="002A7191">
        <w:rPr>
          <w:rFonts w:ascii="Times New Roman" w:hAnsi="Times New Roman" w:cs="Times New Roman"/>
        </w:rPr>
        <w:t>[126]-[127].</w:t>
      </w:r>
    </w:p>
  </w:footnote>
  <w:footnote w:id="35">
    <w:p w14:paraId="1E5ECBFD" w14:textId="77777777" w:rsidR="004830FC" w:rsidRPr="002A7191" w:rsidRDefault="004830FC" w:rsidP="00E566FB">
      <w:pPr>
        <w:pStyle w:val="FootnoteText"/>
        <w:rPr>
          <w:rFonts w:ascii="Times New Roman" w:hAnsi="Times New Roman" w:cs="Times New Roman"/>
        </w:rPr>
      </w:pPr>
      <w:r w:rsidRPr="002A7191">
        <w:rPr>
          <w:rStyle w:val="FootnoteReference"/>
          <w:rFonts w:ascii="Times New Roman" w:hAnsi="Times New Roman" w:cs="Times New Roman"/>
        </w:rPr>
        <w:footnoteRef/>
      </w:r>
      <w:r w:rsidRPr="002A7191">
        <w:rPr>
          <w:rFonts w:ascii="Times New Roman" w:hAnsi="Times New Roman" w:cs="Times New Roman"/>
        </w:rPr>
        <w:t xml:space="preserve"> [2015] UKSC 11.</w:t>
      </w:r>
    </w:p>
  </w:footnote>
  <w:footnote w:id="36">
    <w:p w14:paraId="248D6035" w14:textId="77777777" w:rsidR="004830FC" w:rsidRPr="000D0092" w:rsidRDefault="004830FC" w:rsidP="00FB66AE">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w:t>
      </w:r>
      <w:r w:rsidRPr="000D0092">
        <w:rPr>
          <w:rFonts w:ascii="Times New Roman" w:hAnsi="Times New Roman" w:cs="Times New Roman"/>
          <w:i/>
          <w:iCs/>
        </w:rPr>
        <w:t xml:space="preserve">ibid </w:t>
      </w:r>
      <w:r w:rsidRPr="000D0092">
        <w:rPr>
          <w:rFonts w:ascii="Times New Roman" w:hAnsi="Times New Roman" w:cs="Times New Roman"/>
        </w:rPr>
        <w:t>[128],[130].</w:t>
      </w:r>
    </w:p>
  </w:footnote>
  <w:footnote w:id="37">
    <w:p w14:paraId="4D8996C9" w14:textId="77777777" w:rsidR="004830FC" w:rsidRPr="00F42C32" w:rsidRDefault="004830FC" w:rsidP="00E53D54">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w:t>
      </w:r>
      <w:r w:rsidRPr="00F42C32">
        <w:rPr>
          <w:rFonts w:ascii="Times New Roman" w:hAnsi="Times New Roman" w:cs="Times New Roman"/>
          <w:i/>
          <w:iCs/>
        </w:rPr>
        <w:t>ibid</w:t>
      </w:r>
      <w:r w:rsidRPr="00F42C32">
        <w:rPr>
          <w:rFonts w:ascii="Times New Roman" w:hAnsi="Times New Roman" w:cs="Times New Roman"/>
        </w:rPr>
        <w:t xml:space="preserve"> [132].</w:t>
      </w:r>
    </w:p>
  </w:footnote>
  <w:footnote w:id="38">
    <w:p w14:paraId="59C054F5" w14:textId="77777777" w:rsidR="004830FC" w:rsidRPr="000D0092" w:rsidRDefault="004830FC" w:rsidP="00FB66AE">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w:t>
      </w:r>
      <w:r w:rsidRPr="000D0092">
        <w:rPr>
          <w:rFonts w:ascii="Times New Roman" w:hAnsi="Times New Roman" w:cs="Times New Roman"/>
          <w:i/>
          <w:iCs/>
        </w:rPr>
        <w:t xml:space="preserve">ibid </w:t>
      </w:r>
      <w:r w:rsidRPr="000D0092">
        <w:rPr>
          <w:rFonts w:ascii="Times New Roman" w:hAnsi="Times New Roman" w:cs="Times New Roman"/>
        </w:rPr>
        <w:t>[136]-[137].</w:t>
      </w:r>
    </w:p>
  </w:footnote>
  <w:footnote w:id="39">
    <w:p w14:paraId="42882268" w14:textId="77777777" w:rsidR="004830FC" w:rsidRPr="000D0092" w:rsidRDefault="004830FC" w:rsidP="00FB66AE">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w:t>
      </w:r>
      <w:r w:rsidRPr="000D0092">
        <w:rPr>
          <w:rFonts w:ascii="Times New Roman" w:hAnsi="Times New Roman" w:cs="Times New Roman"/>
          <w:i/>
          <w:iCs/>
        </w:rPr>
        <w:t xml:space="preserve">ibid </w:t>
      </w:r>
      <w:r w:rsidRPr="000D0092">
        <w:rPr>
          <w:rFonts w:ascii="Times New Roman" w:hAnsi="Times New Roman" w:cs="Times New Roman"/>
        </w:rPr>
        <w:t>[138]</w:t>
      </w:r>
    </w:p>
  </w:footnote>
  <w:footnote w:id="40">
    <w:p w14:paraId="7B9CBCBB" w14:textId="77777777" w:rsidR="004830FC" w:rsidRPr="000D0092" w:rsidRDefault="004830FC" w:rsidP="00FB66AE">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w:t>
      </w:r>
      <w:r w:rsidRPr="000D0092">
        <w:rPr>
          <w:rFonts w:ascii="Times New Roman" w:hAnsi="Times New Roman" w:cs="Times New Roman"/>
          <w:i/>
          <w:iCs/>
        </w:rPr>
        <w:t xml:space="preserve">ibid </w:t>
      </w:r>
      <w:r w:rsidRPr="000D0092">
        <w:rPr>
          <w:rFonts w:ascii="Times New Roman" w:hAnsi="Times New Roman" w:cs="Times New Roman"/>
        </w:rPr>
        <w:t>[132].</w:t>
      </w:r>
    </w:p>
  </w:footnote>
  <w:footnote w:id="41">
    <w:p w14:paraId="543A508D" w14:textId="77777777" w:rsidR="001A0860" w:rsidRPr="000D0092" w:rsidRDefault="001A0860" w:rsidP="001A0860">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w:t>
      </w:r>
      <w:r w:rsidRPr="000D0092">
        <w:rPr>
          <w:rFonts w:ascii="Times New Roman" w:hAnsi="Times New Roman" w:cs="Times New Roman"/>
          <w:i/>
          <w:iCs/>
        </w:rPr>
        <w:t xml:space="preserve">ibid </w:t>
      </w:r>
      <w:r w:rsidRPr="000D0092">
        <w:rPr>
          <w:rFonts w:ascii="Times New Roman" w:hAnsi="Times New Roman" w:cs="Times New Roman"/>
        </w:rPr>
        <w:t>[151].</w:t>
      </w:r>
    </w:p>
  </w:footnote>
  <w:footnote w:id="42">
    <w:p w14:paraId="470140AD" w14:textId="77777777" w:rsidR="004830FC" w:rsidRPr="000D0092" w:rsidRDefault="004830FC" w:rsidP="00FB66AE">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w:t>
      </w:r>
      <w:r w:rsidRPr="000D0092">
        <w:rPr>
          <w:rFonts w:ascii="Times New Roman" w:hAnsi="Times New Roman" w:cs="Times New Roman"/>
          <w:i/>
          <w:iCs/>
        </w:rPr>
        <w:t xml:space="preserve">ibid </w:t>
      </w:r>
      <w:r w:rsidRPr="000D0092">
        <w:rPr>
          <w:rFonts w:ascii="Times New Roman" w:hAnsi="Times New Roman" w:cs="Times New Roman"/>
        </w:rPr>
        <w:t>[151].</w:t>
      </w:r>
    </w:p>
  </w:footnote>
  <w:footnote w:id="43">
    <w:p w14:paraId="498326D5" w14:textId="03599527" w:rsidR="001A0860" w:rsidRPr="000D0092" w:rsidRDefault="001A0860" w:rsidP="001A0860">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(n</w:t>
      </w:r>
      <w:r w:rsidR="00574200">
        <w:rPr>
          <w:rFonts w:ascii="Times New Roman" w:hAnsi="Times New Roman" w:cs="Times New Roman"/>
        </w:rPr>
        <w:t>8</w:t>
      </w:r>
      <w:r w:rsidRPr="000D0092">
        <w:rPr>
          <w:rFonts w:ascii="Times New Roman" w:hAnsi="Times New Roman" w:cs="Times New Roman"/>
        </w:rPr>
        <w:t>) s8(1).</w:t>
      </w:r>
    </w:p>
  </w:footnote>
  <w:footnote w:id="44">
    <w:p w14:paraId="0E2CC716" w14:textId="77777777" w:rsidR="001A0860" w:rsidRPr="000D0092" w:rsidRDefault="001A0860" w:rsidP="001A0860">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w:t>
      </w:r>
      <w:r w:rsidRPr="000D0092">
        <w:rPr>
          <w:rFonts w:ascii="Times New Roman" w:hAnsi="Times New Roman" w:cs="Times New Roman"/>
          <w:i/>
          <w:iCs/>
        </w:rPr>
        <w:t>Bell</w:t>
      </w:r>
      <w:r w:rsidRPr="000D0092">
        <w:rPr>
          <w:rFonts w:ascii="Times New Roman" w:hAnsi="Times New Roman" w:cs="Times New Roman"/>
        </w:rPr>
        <w:t xml:space="preserve"> </w:t>
      </w:r>
      <w:r>
        <w:rPr>
          <w:rFonts w:ascii="Times New Roman" w:hAnsi="Times New Roman" w:cs="Times New Roman"/>
        </w:rPr>
        <w:t>(n1)</w:t>
      </w:r>
      <w:r w:rsidRPr="000D0092">
        <w:rPr>
          <w:rFonts w:ascii="Times New Roman" w:hAnsi="Times New Roman" w:cs="Times New Roman"/>
        </w:rPr>
        <w:t>[152].</w:t>
      </w:r>
    </w:p>
  </w:footnote>
  <w:footnote w:id="45">
    <w:p w14:paraId="4CBD9A13" w14:textId="77777777" w:rsidR="001A0860" w:rsidRPr="000D0092" w:rsidRDefault="001A0860" w:rsidP="001A0860">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w:t>
      </w:r>
      <w:r w:rsidRPr="000D0092">
        <w:rPr>
          <w:rFonts w:ascii="Times New Roman" w:hAnsi="Times New Roman" w:cs="Times New Roman"/>
          <w:i/>
          <w:iCs/>
        </w:rPr>
        <w:t>AB</w:t>
      </w:r>
      <w:r w:rsidRPr="000D0092">
        <w:rPr>
          <w:rFonts w:ascii="Times New Roman" w:hAnsi="Times New Roman" w:cs="Times New Roman"/>
        </w:rPr>
        <w:t xml:space="preserve"> (n5).</w:t>
      </w:r>
    </w:p>
  </w:footnote>
  <w:footnote w:id="46">
    <w:p w14:paraId="3C890DB4" w14:textId="77777777" w:rsidR="004830FC" w:rsidRPr="000D0092" w:rsidRDefault="004830FC" w:rsidP="00FB66AE">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w:t>
      </w:r>
      <w:r w:rsidRPr="000D0092">
        <w:rPr>
          <w:rFonts w:ascii="Times New Roman" w:hAnsi="Times New Roman" w:cs="Times New Roman"/>
          <w:i/>
          <w:iCs/>
        </w:rPr>
        <w:t>ibid</w:t>
      </w:r>
      <w:r w:rsidRPr="000D0092">
        <w:rPr>
          <w:rFonts w:ascii="Times New Roman" w:hAnsi="Times New Roman" w:cs="Times New Roman"/>
        </w:rPr>
        <w:t xml:space="preserve"> [34],[49].</w:t>
      </w:r>
    </w:p>
  </w:footnote>
  <w:footnote w:id="47">
    <w:p w14:paraId="30EEC53C" w14:textId="12ECCE1B" w:rsidR="004830FC" w:rsidRPr="00E153FC" w:rsidRDefault="004830FC" w:rsidP="000D0092">
      <w:pPr>
        <w:pStyle w:val="FootnoteText"/>
        <w:rPr>
          <w:rFonts w:ascii="Times New Roman" w:hAnsi="Times New Roman" w:cs="Times New Roman"/>
        </w:rPr>
      </w:pPr>
      <w:r w:rsidRPr="000D0092">
        <w:rPr>
          <w:rStyle w:val="FootnoteReference"/>
          <w:rFonts w:ascii="Times New Roman" w:hAnsi="Times New Roman" w:cs="Times New Roman"/>
        </w:rPr>
        <w:footnoteRef/>
      </w:r>
      <w:r w:rsidRPr="000D0092">
        <w:rPr>
          <w:rFonts w:ascii="Times New Roman" w:hAnsi="Times New Roman" w:cs="Times New Roman"/>
        </w:rPr>
        <w:t xml:space="preserve"> </w:t>
      </w:r>
      <w:r w:rsidRPr="000D0092">
        <w:rPr>
          <w:rFonts w:ascii="Times New Roman" w:hAnsi="Times New Roman" w:cs="Times New Roman"/>
          <w:i/>
          <w:iCs/>
        </w:rPr>
        <w:t>Gillick</w:t>
      </w:r>
      <w:r w:rsidRPr="000D0092">
        <w:rPr>
          <w:rFonts w:ascii="Times New Roman" w:hAnsi="Times New Roman" w:cs="Times New Roman"/>
        </w:rPr>
        <w:t xml:space="preserve"> 186 </w:t>
      </w:r>
    </w:p>
  </w:footnote>
  <w:footnote w:id="48">
    <w:p w14:paraId="5311493D" w14:textId="77777777" w:rsidR="004830FC" w:rsidRPr="00E153FC" w:rsidRDefault="004830FC" w:rsidP="000D0092">
      <w:pPr>
        <w:pStyle w:val="FootnoteText"/>
        <w:rPr>
          <w:rFonts w:ascii="Times New Roman" w:hAnsi="Times New Roman" w:cs="Times New Roman"/>
        </w:rPr>
      </w:pPr>
      <w:r w:rsidRPr="00E153FC">
        <w:rPr>
          <w:rStyle w:val="FootnoteReference"/>
          <w:rFonts w:ascii="Times New Roman" w:hAnsi="Times New Roman" w:cs="Times New Roman"/>
        </w:rPr>
        <w:footnoteRef/>
      </w:r>
      <w:r w:rsidRPr="00E153FC">
        <w:rPr>
          <w:rFonts w:ascii="Times New Roman" w:hAnsi="Times New Roman" w:cs="Times New Roman"/>
        </w:rPr>
        <w:t xml:space="preserve"> </w:t>
      </w:r>
      <w:r w:rsidRPr="00E153FC">
        <w:rPr>
          <w:rFonts w:ascii="Times New Roman" w:hAnsi="Times New Roman" w:cs="Times New Roman"/>
          <w:i/>
          <w:iCs/>
        </w:rPr>
        <w:t>Bell</w:t>
      </w:r>
      <w:r w:rsidRPr="00E153FC">
        <w:rPr>
          <w:rFonts w:ascii="Times New Roman" w:hAnsi="Times New Roman" w:cs="Times New Roman"/>
        </w:rPr>
        <w:t xml:space="preserve"> (n1)[9]</w:t>
      </w:r>
    </w:p>
  </w:footnote>
  <w:footnote w:id="49">
    <w:p w14:paraId="59339D13" w14:textId="77777777" w:rsidR="004830FC" w:rsidRPr="00E153FC" w:rsidRDefault="004830FC" w:rsidP="000D0092">
      <w:pPr>
        <w:pStyle w:val="FootnoteText"/>
        <w:rPr>
          <w:rFonts w:ascii="Times New Roman" w:hAnsi="Times New Roman" w:cs="Times New Roman"/>
        </w:rPr>
      </w:pPr>
      <w:r w:rsidRPr="00E153FC">
        <w:rPr>
          <w:rStyle w:val="FootnoteReference"/>
          <w:rFonts w:ascii="Times New Roman" w:hAnsi="Times New Roman" w:cs="Times New Roman"/>
        </w:rPr>
        <w:footnoteRef/>
      </w:r>
      <w:r w:rsidRPr="00E153FC">
        <w:rPr>
          <w:rFonts w:ascii="Times New Roman" w:hAnsi="Times New Roman" w:cs="Times New Roman"/>
        </w:rPr>
        <w:t xml:space="preserve"> Sandra Duffy. ‘Puberty Blockers Ruling will have a Chilling Effect’ (3 Dec 2020) Scottish Legal News. </w:t>
      </w:r>
    </w:p>
  </w:footnote>
  <w:footnote w:id="50">
    <w:p w14:paraId="2C1DBBAB" w14:textId="1FC9B503" w:rsidR="004830FC" w:rsidRPr="00E153FC" w:rsidRDefault="004830FC" w:rsidP="000D0092">
      <w:pPr>
        <w:pStyle w:val="FootnoteText"/>
        <w:rPr>
          <w:rFonts w:ascii="Times New Roman" w:hAnsi="Times New Roman" w:cs="Times New Roman"/>
        </w:rPr>
      </w:pPr>
      <w:r w:rsidRPr="00E153FC">
        <w:rPr>
          <w:rStyle w:val="FootnoteReference"/>
          <w:rFonts w:ascii="Times New Roman" w:hAnsi="Times New Roman" w:cs="Times New Roman"/>
        </w:rPr>
        <w:footnoteRef/>
      </w:r>
      <w:r w:rsidRPr="00E153FC">
        <w:rPr>
          <w:rFonts w:ascii="Times New Roman" w:hAnsi="Times New Roman" w:cs="Times New Roman"/>
        </w:rPr>
        <w:t xml:space="preserve"> </w:t>
      </w:r>
      <w:r w:rsidRPr="00E153FC">
        <w:rPr>
          <w:rFonts w:ascii="Times New Roman" w:hAnsi="Times New Roman" w:cs="Times New Roman"/>
          <w:i/>
          <w:iCs/>
        </w:rPr>
        <w:t xml:space="preserve">Bell </w:t>
      </w:r>
      <w:r w:rsidRPr="0051656A">
        <w:rPr>
          <w:rFonts w:ascii="Times New Roman" w:hAnsi="Times New Roman" w:cs="Times New Roman"/>
        </w:rPr>
        <w:t>(n1</w:t>
      </w:r>
      <w:r>
        <w:rPr>
          <w:rFonts w:ascii="Times New Roman" w:hAnsi="Times New Roman" w:cs="Times New Roman"/>
        </w:rPr>
        <w:t>)[</w:t>
      </w:r>
      <w:r w:rsidRPr="00E153FC">
        <w:rPr>
          <w:rFonts w:ascii="Times New Roman" w:hAnsi="Times New Roman" w:cs="Times New Roman"/>
        </w:rPr>
        <w:t xml:space="preserve">[28],[35]; Robin White and Nicola </w:t>
      </w:r>
      <w:proofErr w:type="spellStart"/>
      <w:r w:rsidRPr="00E153FC">
        <w:rPr>
          <w:rFonts w:ascii="Times New Roman" w:hAnsi="Times New Roman" w:cs="Times New Roman"/>
        </w:rPr>
        <w:t>Newbegin</w:t>
      </w:r>
      <w:proofErr w:type="spellEnd"/>
      <w:r w:rsidRPr="00E153FC">
        <w:rPr>
          <w:rFonts w:ascii="Times New Roman" w:hAnsi="Times New Roman" w:cs="Times New Roman"/>
        </w:rPr>
        <w:t xml:space="preserve">, ‘What about Parental Consent in the Treatment of Trans Children and Young People? – a View of </w:t>
      </w:r>
      <w:r w:rsidRPr="00E153FC">
        <w:rPr>
          <w:rFonts w:ascii="Times New Roman" w:hAnsi="Times New Roman" w:cs="Times New Roman"/>
          <w:i/>
          <w:iCs/>
        </w:rPr>
        <w:t>Bell v Tavistock</w:t>
      </w:r>
      <w:r w:rsidRPr="00E153FC">
        <w:rPr>
          <w:rFonts w:ascii="Times New Roman" w:hAnsi="Times New Roman" w:cs="Times New Roman"/>
        </w:rPr>
        <w:t>’(21 Dec 2020) Old Square Chambers.</w:t>
      </w:r>
    </w:p>
  </w:footnote>
  <w:footnote w:id="51">
    <w:p w14:paraId="0BB559D4" w14:textId="116F5411" w:rsidR="004830FC" w:rsidRPr="00E153FC" w:rsidRDefault="004830FC" w:rsidP="000D0092">
      <w:pPr>
        <w:pStyle w:val="FootnoteText"/>
        <w:rPr>
          <w:rFonts w:ascii="Times New Roman" w:hAnsi="Times New Roman" w:cs="Times New Roman"/>
        </w:rPr>
      </w:pPr>
      <w:r w:rsidRPr="00E153FC">
        <w:rPr>
          <w:rStyle w:val="FootnoteReference"/>
          <w:rFonts w:ascii="Times New Roman" w:hAnsi="Times New Roman" w:cs="Times New Roman"/>
        </w:rPr>
        <w:footnoteRef/>
      </w:r>
      <w:r w:rsidRPr="00E153FC">
        <w:rPr>
          <w:rFonts w:ascii="Times New Roman" w:hAnsi="Times New Roman" w:cs="Times New Roman"/>
        </w:rPr>
        <w:t xml:space="preserve"> </w:t>
      </w:r>
      <w:r w:rsidRPr="00E153FC">
        <w:rPr>
          <w:rFonts w:ascii="Times New Roman" w:hAnsi="Times New Roman" w:cs="Times New Roman"/>
          <w:i/>
          <w:iCs/>
        </w:rPr>
        <w:t>Bell</w:t>
      </w:r>
      <w:r>
        <w:rPr>
          <w:rFonts w:ascii="Times New Roman" w:hAnsi="Times New Roman" w:cs="Times New Roman"/>
          <w:i/>
          <w:iCs/>
        </w:rPr>
        <w:t xml:space="preserve"> </w:t>
      </w:r>
      <w:r w:rsidRPr="0051656A">
        <w:rPr>
          <w:rFonts w:ascii="Times New Roman" w:hAnsi="Times New Roman" w:cs="Times New Roman"/>
        </w:rPr>
        <w:t>(n1</w:t>
      </w:r>
      <w:r>
        <w:rPr>
          <w:rFonts w:ascii="Times New Roman" w:hAnsi="Times New Roman" w:cs="Times New Roman"/>
        </w:rPr>
        <w:t>)</w:t>
      </w:r>
      <w:r w:rsidRPr="00E153FC">
        <w:rPr>
          <w:rFonts w:ascii="Times New Roman" w:hAnsi="Times New Roman" w:cs="Times New Roman"/>
          <w:i/>
          <w:iCs/>
        </w:rPr>
        <w:t xml:space="preserve"> </w:t>
      </w:r>
      <w:r w:rsidRPr="00E153FC">
        <w:rPr>
          <w:rFonts w:ascii="Times New Roman" w:hAnsi="Times New Roman" w:cs="Times New Roman"/>
        </w:rPr>
        <w:t>[12].</w:t>
      </w:r>
    </w:p>
  </w:footnote>
  <w:footnote w:id="52">
    <w:p w14:paraId="4743D12A" w14:textId="77777777" w:rsidR="004830FC" w:rsidRPr="00E153FC" w:rsidRDefault="004830FC" w:rsidP="000D0092">
      <w:pPr>
        <w:pStyle w:val="FootnoteText"/>
        <w:rPr>
          <w:rFonts w:ascii="Times New Roman" w:hAnsi="Times New Roman" w:cs="Times New Roman"/>
        </w:rPr>
      </w:pPr>
      <w:r w:rsidRPr="00E153FC">
        <w:rPr>
          <w:rStyle w:val="FootnoteReference"/>
          <w:rFonts w:ascii="Times New Roman" w:hAnsi="Times New Roman" w:cs="Times New Roman"/>
        </w:rPr>
        <w:footnoteRef/>
      </w:r>
      <w:r w:rsidRPr="00E153FC">
        <w:rPr>
          <w:rFonts w:ascii="Times New Roman" w:hAnsi="Times New Roman" w:cs="Times New Roman"/>
        </w:rPr>
        <w:t xml:space="preserve"> </w:t>
      </w:r>
      <w:r w:rsidRPr="00E153FC">
        <w:rPr>
          <w:rFonts w:ascii="Times New Roman" w:hAnsi="Times New Roman" w:cs="Times New Roman"/>
          <w:i/>
          <w:iCs/>
        </w:rPr>
        <w:t xml:space="preserve">ibid </w:t>
      </w:r>
      <w:r w:rsidRPr="00E153FC">
        <w:rPr>
          <w:rFonts w:ascii="Times New Roman" w:hAnsi="Times New Roman" w:cs="Times New Roman"/>
        </w:rPr>
        <w:t>[93].</w:t>
      </w:r>
    </w:p>
  </w:footnote>
  <w:footnote w:id="53">
    <w:p w14:paraId="0FBC061D" w14:textId="77777777" w:rsidR="004830FC" w:rsidRPr="00E153FC" w:rsidRDefault="004830FC" w:rsidP="000D0092">
      <w:pPr>
        <w:pStyle w:val="FootnoteText"/>
        <w:rPr>
          <w:rFonts w:ascii="Times New Roman" w:hAnsi="Times New Roman" w:cs="Times New Roman"/>
        </w:rPr>
      </w:pPr>
      <w:r w:rsidRPr="00E153FC">
        <w:rPr>
          <w:rStyle w:val="FootnoteReference"/>
          <w:rFonts w:ascii="Times New Roman" w:hAnsi="Times New Roman" w:cs="Times New Roman"/>
        </w:rPr>
        <w:footnoteRef/>
      </w:r>
      <w:r w:rsidRPr="00E153FC">
        <w:rPr>
          <w:rFonts w:ascii="Times New Roman" w:hAnsi="Times New Roman" w:cs="Times New Roman"/>
        </w:rPr>
        <w:t xml:space="preserve"> </w:t>
      </w:r>
      <w:r w:rsidRPr="00E153FC">
        <w:rPr>
          <w:rFonts w:ascii="Times New Roman" w:hAnsi="Times New Roman" w:cs="Times New Roman"/>
          <w:i/>
          <w:iCs/>
        </w:rPr>
        <w:t>ibid</w:t>
      </w:r>
      <w:r w:rsidRPr="00E153FC">
        <w:rPr>
          <w:rFonts w:ascii="Times New Roman" w:hAnsi="Times New Roman" w:cs="Times New Roman"/>
        </w:rPr>
        <w:t xml:space="preserve"> [135].</w:t>
      </w:r>
    </w:p>
  </w:footnote>
  <w:footnote w:id="54">
    <w:p w14:paraId="3B432F72" w14:textId="77777777" w:rsidR="004830FC" w:rsidRPr="00E153FC" w:rsidRDefault="004830FC" w:rsidP="000D0092">
      <w:pPr>
        <w:pStyle w:val="FootnoteText"/>
        <w:rPr>
          <w:rFonts w:ascii="Times New Roman" w:hAnsi="Times New Roman" w:cs="Times New Roman"/>
        </w:rPr>
      </w:pPr>
      <w:r w:rsidRPr="00E153FC">
        <w:rPr>
          <w:rStyle w:val="FootnoteReference"/>
          <w:rFonts w:ascii="Times New Roman" w:hAnsi="Times New Roman" w:cs="Times New Roman"/>
        </w:rPr>
        <w:footnoteRef/>
      </w:r>
      <w:r w:rsidRPr="00E153FC">
        <w:rPr>
          <w:rFonts w:ascii="Times New Roman" w:hAnsi="Times New Roman" w:cs="Times New Roman"/>
        </w:rPr>
        <w:t xml:space="preserve"> </w:t>
      </w:r>
      <w:r w:rsidRPr="00E153FC">
        <w:rPr>
          <w:rFonts w:ascii="Times New Roman" w:hAnsi="Times New Roman" w:cs="Times New Roman"/>
          <w:i/>
          <w:iCs/>
        </w:rPr>
        <w:t>ibid</w:t>
      </w:r>
      <w:r w:rsidRPr="00E153FC">
        <w:rPr>
          <w:rFonts w:ascii="Times New Roman" w:hAnsi="Times New Roman" w:cs="Times New Roman"/>
        </w:rPr>
        <w:t xml:space="preserve"> [52].</w:t>
      </w:r>
    </w:p>
  </w:footnote>
  <w:footnote w:id="55">
    <w:p w14:paraId="1B800900" w14:textId="77777777" w:rsidR="004830FC" w:rsidRPr="00E153FC" w:rsidRDefault="004830FC" w:rsidP="000D0092">
      <w:pPr>
        <w:pStyle w:val="FootnoteText"/>
        <w:rPr>
          <w:rFonts w:ascii="Times New Roman" w:hAnsi="Times New Roman" w:cs="Times New Roman"/>
        </w:rPr>
      </w:pPr>
      <w:r w:rsidRPr="00E153FC">
        <w:rPr>
          <w:rStyle w:val="FootnoteReference"/>
          <w:rFonts w:ascii="Times New Roman" w:hAnsi="Times New Roman" w:cs="Times New Roman"/>
        </w:rPr>
        <w:footnoteRef/>
      </w:r>
      <w:r w:rsidRPr="00E153FC">
        <w:rPr>
          <w:rFonts w:ascii="Times New Roman" w:hAnsi="Times New Roman" w:cs="Times New Roman"/>
        </w:rPr>
        <w:t xml:space="preserve"> </w:t>
      </w:r>
      <w:r w:rsidRPr="004830FC">
        <w:rPr>
          <w:rFonts w:ascii="Times New Roman" w:hAnsi="Times New Roman" w:cs="Times New Roman"/>
          <w:i/>
          <w:iCs/>
        </w:rPr>
        <w:t>ibid</w:t>
      </w:r>
      <w:r w:rsidRPr="00E153FC">
        <w:rPr>
          <w:rFonts w:ascii="Times New Roman" w:hAnsi="Times New Roman" w:cs="Times New Roman"/>
          <w:i/>
          <w:iCs/>
        </w:rPr>
        <w:t xml:space="preserve"> </w:t>
      </w:r>
      <w:r w:rsidRPr="00E153FC">
        <w:rPr>
          <w:rFonts w:ascii="Times New Roman" w:hAnsi="Times New Roman" w:cs="Times New Roman"/>
        </w:rPr>
        <w:t>[77].</w:t>
      </w:r>
    </w:p>
  </w:footnote>
  <w:footnote w:id="56">
    <w:p w14:paraId="19E5FDA6" w14:textId="77777777" w:rsidR="004830FC" w:rsidRPr="00E153FC" w:rsidRDefault="004830FC" w:rsidP="000D0092">
      <w:pPr>
        <w:pStyle w:val="FootnoteText"/>
        <w:rPr>
          <w:rFonts w:ascii="Times New Roman" w:hAnsi="Times New Roman" w:cs="Times New Roman"/>
        </w:rPr>
      </w:pPr>
      <w:r w:rsidRPr="00E153FC">
        <w:rPr>
          <w:rStyle w:val="FootnoteReference"/>
          <w:rFonts w:ascii="Times New Roman" w:hAnsi="Times New Roman" w:cs="Times New Roman"/>
        </w:rPr>
        <w:footnoteRef/>
      </w:r>
      <w:r w:rsidRPr="00E153FC">
        <w:rPr>
          <w:rFonts w:ascii="Times New Roman" w:hAnsi="Times New Roman" w:cs="Times New Roman"/>
        </w:rPr>
        <w:t xml:space="preserve"> </w:t>
      </w:r>
      <w:r w:rsidRPr="00E153FC">
        <w:rPr>
          <w:rFonts w:ascii="Times New Roman" w:hAnsi="Times New Roman" w:cs="Times New Roman"/>
          <w:i/>
          <w:iCs/>
        </w:rPr>
        <w:t>ibid</w:t>
      </w:r>
      <w:r w:rsidRPr="00E153FC">
        <w:rPr>
          <w:rFonts w:ascii="Times New Roman" w:hAnsi="Times New Roman" w:cs="Times New Roman"/>
        </w:rPr>
        <w:t>[137].</w:t>
      </w:r>
    </w:p>
  </w:footnote>
  <w:footnote w:id="57">
    <w:p w14:paraId="27408912" w14:textId="585917F9" w:rsidR="004830FC" w:rsidRDefault="004830FC" w:rsidP="000D0092">
      <w:pPr>
        <w:pStyle w:val="FootnoteText"/>
      </w:pPr>
      <w:r w:rsidRPr="00E153FC">
        <w:rPr>
          <w:rStyle w:val="FootnoteReference"/>
          <w:rFonts w:ascii="Times New Roman" w:hAnsi="Times New Roman" w:cs="Times New Roman"/>
        </w:rPr>
        <w:footnoteRef/>
      </w:r>
      <w:r w:rsidRPr="00E153FC">
        <w:rPr>
          <w:rFonts w:ascii="Times New Roman" w:hAnsi="Times New Roman" w:cs="Times New Roman"/>
        </w:rPr>
        <w:t xml:space="preserve"> Jen Christensen, ‘Puberty-Blockers can be “Life-Saving” Drugs for Trans Teens, Study Shows’ CNN (23 Jan 2020) &lt;https://us.cnn.com/2020/01/23/health/transgender-puberty-blockers-suicide-study/index.html&gt;</w:t>
      </w:r>
      <w:r>
        <w:t xml:space="preserve"> </w:t>
      </w:r>
    </w:p>
  </w:footnote>
  <w:footnote w:id="58">
    <w:p w14:paraId="71D7411E" w14:textId="46C48D63" w:rsidR="004830FC" w:rsidRPr="00E153FC" w:rsidRDefault="004830FC" w:rsidP="000D0092">
      <w:pPr>
        <w:pStyle w:val="FootnoteText"/>
        <w:rPr>
          <w:rFonts w:ascii="Times New Roman" w:hAnsi="Times New Roman" w:cs="Times New Roman"/>
        </w:rPr>
      </w:pPr>
      <w:r w:rsidRPr="00E153FC">
        <w:rPr>
          <w:rStyle w:val="FootnoteReference"/>
          <w:rFonts w:ascii="Times New Roman" w:hAnsi="Times New Roman" w:cs="Times New Roman"/>
        </w:rPr>
        <w:footnoteRef/>
      </w:r>
      <w:r w:rsidRPr="00E153FC">
        <w:rPr>
          <w:rFonts w:ascii="Times New Roman" w:hAnsi="Times New Roman" w:cs="Times New Roman"/>
        </w:rPr>
        <w:t xml:space="preserve"> White (n</w:t>
      </w:r>
      <w:r w:rsidR="00574200">
        <w:rPr>
          <w:rFonts w:ascii="Times New Roman" w:hAnsi="Times New Roman" w:cs="Times New Roman"/>
        </w:rPr>
        <w:t>50</w:t>
      </w:r>
      <w:r w:rsidRPr="00E153FC">
        <w:rPr>
          <w:rFonts w:ascii="Times New Roman" w:hAnsi="Times New Roman" w:cs="Times New Roman"/>
        </w:rPr>
        <w:t>).</w:t>
      </w:r>
    </w:p>
  </w:footnote>
  <w:footnote w:id="59">
    <w:p w14:paraId="69EA03F9" w14:textId="77777777" w:rsidR="004830FC" w:rsidRPr="00E153FC" w:rsidRDefault="004830FC" w:rsidP="000D0092">
      <w:pPr>
        <w:pStyle w:val="FootnoteText"/>
        <w:rPr>
          <w:rFonts w:ascii="Times New Roman" w:hAnsi="Times New Roman" w:cs="Times New Roman"/>
        </w:rPr>
      </w:pPr>
      <w:r w:rsidRPr="00E153FC">
        <w:rPr>
          <w:rStyle w:val="FootnoteReference"/>
          <w:rFonts w:ascii="Times New Roman" w:hAnsi="Times New Roman" w:cs="Times New Roman"/>
        </w:rPr>
        <w:footnoteRef/>
      </w:r>
      <w:r w:rsidRPr="00E153FC">
        <w:rPr>
          <w:rFonts w:ascii="Times New Roman" w:hAnsi="Times New Roman" w:cs="Times New Roman"/>
        </w:rPr>
        <w:t xml:space="preserve"> Jack L Turban et al, ‘Pubertal Suppression for Transgender Youth and Risk of Suicidal Ideation’ (2020) 145(2) </w:t>
      </w:r>
      <w:proofErr w:type="spellStart"/>
      <w:r w:rsidRPr="00E153FC">
        <w:rPr>
          <w:rFonts w:ascii="Times New Roman" w:hAnsi="Times New Roman" w:cs="Times New Roman"/>
        </w:rPr>
        <w:t>Pediatrics</w:t>
      </w:r>
      <w:proofErr w:type="spellEnd"/>
      <w:r w:rsidRPr="00E153FC">
        <w:rPr>
          <w:rFonts w:ascii="Times New Roman" w:hAnsi="Times New Roman" w:cs="Times New Roman"/>
        </w:rPr>
        <w:t xml:space="preserve"> e20191725.</w:t>
      </w:r>
    </w:p>
  </w:footnote>
  <w:footnote w:id="60">
    <w:p w14:paraId="51A74CD6" w14:textId="76F8DB07" w:rsidR="004830FC" w:rsidRPr="00D862A4" w:rsidRDefault="004830FC" w:rsidP="000D0092">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w:t>
      </w:r>
      <w:r w:rsidRPr="00D862A4">
        <w:rPr>
          <w:rFonts w:ascii="Times New Roman" w:hAnsi="Times New Roman" w:cs="Times New Roman"/>
          <w:i/>
          <w:iCs/>
        </w:rPr>
        <w:t xml:space="preserve">Bell v Tavistock – The Medico-Legal Consequences </w:t>
      </w:r>
      <w:r w:rsidRPr="00D862A4">
        <w:rPr>
          <w:rFonts w:ascii="Times New Roman" w:hAnsi="Times New Roman" w:cs="Times New Roman"/>
        </w:rPr>
        <w:t>(University of Bristol, 3 March 2021).</w:t>
      </w:r>
    </w:p>
  </w:footnote>
  <w:footnote w:id="61">
    <w:p w14:paraId="1A3B7E5E" w14:textId="77777777" w:rsidR="004830FC" w:rsidRPr="00D862A4" w:rsidRDefault="004830FC" w:rsidP="000D0092">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w:t>
      </w:r>
      <w:r w:rsidRPr="00D862A4">
        <w:rPr>
          <w:rFonts w:ascii="Times New Roman" w:hAnsi="Times New Roman" w:cs="Times New Roman"/>
          <w:i/>
          <w:iCs/>
        </w:rPr>
        <w:t xml:space="preserve">Bell </w:t>
      </w:r>
      <w:r w:rsidRPr="00D862A4">
        <w:rPr>
          <w:rFonts w:ascii="Times New Roman" w:hAnsi="Times New Roman" w:cs="Times New Roman"/>
        </w:rPr>
        <w:t>(n1)[56].</w:t>
      </w:r>
    </w:p>
  </w:footnote>
  <w:footnote w:id="62">
    <w:p w14:paraId="776BA0B4" w14:textId="77777777" w:rsidR="004830FC" w:rsidRPr="00D862A4" w:rsidRDefault="004830FC" w:rsidP="000D0092">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w:t>
      </w:r>
      <w:r w:rsidRPr="00D862A4">
        <w:rPr>
          <w:rFonts w:ascii="Times New Roman" w:hAnsi="Times New Roman" w:cs="Times New Roman"/>
          <w:i/>
          <w:iCs/>
        </w:rPr>
        <w:t xml:space="preserve">ibid </w:t>
      </w:r>
      <w:r w:rsidRPr="00D862A4">
        <w:rPr>
          <w:rFonts w:ascii="Times New Roman" w:hAnsi="Times New Roman" w:cs="Times New Roman"/>
        </w:rPr>
        <w:t>[57].</w:t>
      </w:r>
    </w:p>
  </w:footnote>
  <w:footnote w:id="63">
    <w:p w14:paraId="7701214F" w14:textId="77777777" w:rsidR="004830FC" w:rsidRPr="00D862A4" w:rsidRDefault="004830FC" w:rsidP="000D0092">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w:t>
      </w:r>
      <w:r w:rsidRPr="00D862A4">
        <w:rPr>
          <w:rFonts w:ascii="Times New Roman" w:hAnsi="Times New Roman" w:cs="Times New Roman"/>
          <w:i/>
          <w:iCs/>
        </w:rPr>
        <w:t xml:space="preserve">ibid </w:t>
      </w:r>
      <w:r w:rsidRPr="00D862A4">
        <w:rPr>
          <w:rFonts w:ascii="Times New Roman" w:hAnsi="Times New Roman" w:cs="Times New Roman"/>
        </w:rPr>
        <w:t>[68].</w:t>
      </w:r>
    </w:p>
  </w:footnote>
  <w:footnote w:id="64">
    <w:p w14:paraId="0167C0B9" w14:textId="6D61125F" w:rsidR="004830FC" w:rsidRPr="00D862A4" w:rsidRDefault="004830FC" w:rsidP="000D0092">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Duffy (n</w:t>
      </w:r>
      <w:r w:rsidR="000B301E">
        <w:rPr>
          <w:rFonts w:ascii="Times New Roman" w:hAnsi="Times New Roman" w:cs="Times New Roman"/>
        </w:rPr>
        <w:t>4</w:t>
      </w:r>
      <w:r w:rsidR="00574200">
        <w:rPr>
          <w:rFonts w:ascii="Times New Roman" w:hAnsi="Times New Roman" w:cs="Times New Roman"/>
        </w:rPr>
        <w:t>9</w:t>
      </w:r>
      <w:r w:rsidRPr="00D862A4">
        <w:rPr>
          <w:rFonts w:ascii="Times New Roman" w:hAnsi="Times New Roman" w:cs="Times New Roman"/>
        </w:rPr>
        <w:t>)</w:t>
      </w:r>
    </w:p>
  </w:footnote>
  <w:footnote w:id="65">
    <w:p w14:paraId="045937C7" w14:textId="77777777" w:rsidR="004830FC" w:rsidRPr="00D862A4" w:rsidRDefault="004830FC" w:rsidP="000D0092">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w:t>
      </w:r>
      <w:r w:rsidRPr="00D862A4">
        <w:rPr>
          <w:rFonts w:ascii="Times New Roman" w:hAnsi="Times New Roman" w:cs="Times New Roman"/>
          <w:i/>
          <w:iCs/>
        </w:rPr>
        <w:t xml:space="preserve">Bell </w:t>
      </w:r>
      <w:r w:rsidRPr="00D862A4">
        <w:rPr>
          <w:rFonts w:ascii="Times New Roman" w:hAnsi="Times New Roman" w:cs="Times New Roman"/>
        </w:rPr>
        <w:t>(n1)[58].</w:t>
      </w:r>
    </w:p>
  </w:footnote>
  <w:footnote w:id="66">
    <w:p w14:paraId="6DBD741B" w14:textId="77777777" w:rsidR="004830FC" w:rsidRPr="00D862A4" w:rsidRDefault="004830FC" w:rsidP="000D0092">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GIDS &lt;GIDS.nhs.uk/about-us&gt;</w:t>
      </w:r>
    </w:p>
  </w:footnote>
  <w:footnote w:id="67">
    <w:p w14:paraId="181C1898" w14:textId="77777777" w:rsidR="004830FC" w:rsidRPr="00D862A4" w:rsidRDefault="004830FC" w:rsidP="000D0092">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w:t>
      </w:r>
      <w:r w:rsidRPr="00D862A4">
        <w:rPr>
          <w:rFonts w:ascii="Times New Roman" w:hAnsi="Times New Roman" w:cs="Times New Roman"/>
          <w:i/>
          <w:iCs/>
        </w:rPr>
        <w:t xml:space="preserve">ibid </w:t>
      </w:r>
      <w:r w:rsidRPr="00D862A4">
        <w:rPr>
          <w:rFonts w:ascii="Times New Roman" w:hAnsi="Times New Roman" w:cs="Times New Roman"/>
        </w:rPr>
        <w:t>[134].</w:t>
      </w:r>
    </w:p>
  </w:footnote>
  <w:footnote w:id="68">
    <w:p w14:paraId="6CDF3E4E" w14:textId="77777777" w:rsidR="004830FC" w:rsidRPr="00D862A4" w:rsidRDefault="004830FC" w:rsidP="00D862A4">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w:t>
      </w:r>
      <w:r w:rsidRPr="00D862A4">
        <w:rPr>
          <w:rFonts w:ascii="Times New Roman" w:hAnsi="Times New Roman" w:cs="Times New Roman"/>
          <w:i/>
          <w:iCs/>
        </w:rPr>
        <w:t>Bell</w:t>
      </w:r>
      <w:r w:rsidRPr="00D862A4">
        <w:rPr>
          <w:rFonts w:ascii="Times New Roman" w:hAnsi="Times New Roman" w:cs="Times New Roman"/>
        </w:rPr>
        <w:t>(n1)[69].</w:t>
      </w:r>
    </w:p>
  </w:footnote>
  <w:footnote w:id="69">
    <w:p w14:paraId="4B66193E" w14:textId="77777777" w:rsidR="004830FC" w:rsidRPr="00D862A4" w:rsidRDefault="004830FC" w:rsidP="00D862A4">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w:t>
      </w:r>
      <w:r w:rsidRPr="00D862A4">
        <w:rPr>
          <w:rFonts w:ascii="Times New Roman" w:hAnsi="Times New Roman" w:cs="Times New Roman"/>
          <w:i/>
          <w:iCs/>
        </w:rPr>
        <w:t xml:space="preserve">AB </w:t>
      </w:r>
      <w:r w:rsidRPr="00D862A4">
        <w:rPr>
          <w:rFonts w:ascii="Times New Roman" w:hAnsi="Times New Roman" w:cs="Times New Roman"/>
        </w:rPr>
        <w:t>(n5)[8]</w:t>
      </w:r>
    </w:p>
  </w:footnote>
  <w:footnote w:id="70">
    <w:p w14:paraId="26E3305F" w14:textId="77777777" w:rsidR="004830FC" w:rsidRPr="00D862A4" w:rsidRDefault="004830FC" w:rsidP="00D862A4">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Sandra Duffy, ‘Latest English Court Ruling on Puberty blockers is a step forward’ (31 March 2021) Scottish Legal News.</w:t>
      </w:r>
    </w:p>
  </w:footnote>
  <w:footnote w:id="71">
    <w:p w14:paraId="74C385F9" w14:textId="2208B52F" w:rsidR="004830FC" w:rsidRPr="00D862A4" w:rsidRDefault="004830FC" w:rsidP="00D862A4">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Simona Giordano and Soren Holm, ‘Is Puberty Delaying Treatment “Experimental” Treatment?’ [2020] 21(2) International Journal of Transgender Health 113</w:t>
      </w:r>
      <w:r>
        <w:rPr>
          <w:rFonts w:ascii="Times New Roman" w:hAnsi="Times New Roman" w:cs="Times New Roman"/>
        </w:rPr>
        <w:t>,</w:t>
      </w:r>
      <w:r w:rsidRPr="00D862A4">
        <w:rPr>
          <w:rFonts w:ascii="Times New Roman" w:hAnsi="Times New Roman" w:cs="Times New Roman"/>
        </w:rPr>
        <w:t>114.</w:t>
      </w:r>
    </w:p>
  </w:footnote>
  <w:footnote w:id="72">
    <w:p w14:paraId="0BF79D04" w14:textId="77777777" w:rsidR="004830FC" w:rsidRPr="00D862A4" w:rsidRDefault="004830FC" w:rsidP="00D862A4">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w:t>
      </w:r>
      <w:r w:rsidRPr="00D862A4">
        <w:rPr>
          <w:rFonts w:ascii="Times New Roman" w:hAnsi="Times New Roman" w:cs="Times New Roman"/>
          <w:i/>
          <w:iCs/>
        </w:rPr>
        <w:t>ibid</w:t>
      </w:r>
    </w:p>
  </w:footnote>
  <w:footnote w:id="73">
    <w:p w14:paraId="354F6A29" w14:textId="77777777" w:rsidR="004830FC" w:rsidRPr="00D862A4" w:rsidRDefault="004830FC" w:rsidP="00D862A4">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w:t>
      </w:r>
      <w:r w:rsidRPr="00D862A4">
        <w:rPr>
          <w:rFonts w:ascii="Times New Roman" w:hAnsi="Times New Roman" w:cs="Times New Roman"/>
          <w:i/>
          <w:iCs/>
        </w:rPr>
        <w:t>Bell</w:t>
      </w:r>
      <w:r w:rsidRPr="00D862A4">
        <w:rPr>
          <w:rFonts w:ascii="Times New Roman" w:hAnsi="Times New Roman" w:cs="Times New Roman"/>
        </w:rPr>
        <w:t xml:space="preserve"> (n1)[70].</w:t>
      </w:r>
    </w:p>
  </w:footnote>
  <w:footnote w:id="74">
    <w:p w14:paraId="42A87A37" w14:textId="7573CEE2" w:rsidR="004830FC" w:rsidRPr="00D862A4" w:rsidRDefault="004830FC" w:rsidP="00D862A4">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Giordano </w:t>
      </w:r>
      <w:r w:rsidRPr="00D862A4">
        <w:rPr>
          <w:rFonts w:ascii="Times New Roman" w:hAnsi="Times New Roman" w:cs="Times New Roman"/>
          <w:color w:val="000000" w:themeColor="text1"/>
        </w:rPr>
        <w:t>(n7</w:t>
      </w:r>
      <w:r w:rsidR="00574200">
        <w:rPr>
          <w:rFonts w:ascii="Times New Roman" w:hAnsi="Times New Roman" w:cs="Times New Roman"/>
          <w:color w:val="000000" w:themeColor="text1"/>
        </w:rPr>
        <w:t>1</w:t>
      </w:r>
      <w:r w:rsidRPr="00D862A4">
        <w:rPr>
          <w:rFonts w:ascii="Times New Roman" w:hAnsi="Times New Roman" w:cs="Times New Roman"/>
          <w:color w:val="000000" w:themeColor="text1"/>
        </w:rPr>
        <w:t>)</w:t>
      </w:r>
      <w:r w:rsidRPr="00D862A4">
        <w:rPr>
          <w:rFonts w:ascii="Times New Roman" w:hAnsi="Times New Roman" w:cs="Times New Roman"/>
        </w:rPr>
        <w:t>115.</w:t>
      </w:r>
    </w:p>
  </w:footnote>
  <w:footnote w:id="75">
    <w:p w14:paraId="51826FFF" w14:textId="77777777" w:rsidR="004830FC" w:rsidRPr="00D862A4" w:rsidRDefault="004830FC" w:rsidP="00D862A4">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w:t>
      </w:r>
      <w:r w:rsidRPr="00D862A4">
        <w:rPr>
          <w:rFonts w:ascii="Times New Roman" w:hAnsi="Times New Roman" w:cs="Times New Roman"/>
          <w:i/>
          <w:iCs/>
        </w:rPr>
        <w:t>ibid</w:t>
      </w:r>
      <w:r w:rsidRPr="00D862A4">
        <w:rPr>
          <w:rFonts w:ascii="Times New Roman" w:hAnsi="Times New Roman" w:cs="Times New Roman"/>
        </w:rPr>
        <w:t xml:space="preserve"> 116.</w:t>
      </w:r>
    </w:p>
  </w:footnote>
  <w:footnote w:id="76">
    <w:p w14:paraId="140F5DA2" w14:textId="43F786FE" w:rsidR="004830FC" w:rsidRPr="00D862A4" w:rsidRDefault="004830FC" w:rsidP="00D862A4">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[2002]EWHC 2734 (Fam)[57].</w:t>
      </w:r>
    </w:p>
  </w:footnote>
  <w:footnote w:id="77">
    <w:p w14:paraId="2C87DB15" w14:textId="77777777" w:rsidR="004830FC" w:rsidRPr="00D862A4" w:rsidRDefault="004830FC" w:rsidP="00D862A4">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[2018] EWCOP 29.</w:t>
      </w:r>
    </w:p>
  </w:footnote>
  <w:footnote w:id="78">
    <w:p w14:paraId="72EC7630" w14:textId="52176AA1" w:rsidR="004830FC" w:rsidRPr="00D862A4" w:rsidRDefault="004830FC" w:rsidP="00D862A4">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w:t>
      </w:r>
      <w:r w:rsidRPr="00D862A4">
        <w:rPr>
          <w:rFonts w:ascii="Times New Roman" w:hAnsi="Times New Roman" w:cs="Times New Roman"/>
          <w:i/>
          <w:iCs/>
        </w:rPr>
        <w:t xml:space="preserve">AB </w:t>
      </w:r>
      <w:r w:rsidRPr="00D862A4">
        <w:rPr>
          <w:rFonts w:ascii="Times New Roman" w:hAnsi="Times New Roman" w:cs="Times New Roman"/>
        </w:rPr>
        <w:t>(n5) [97].</w:t>
      </w:r>
    </w:p>
  </w:footnote>
  <w:footnote w:id="79">
    <w:p w14:paraId="747F0D2A" w14:textId="77777777" w:rsidR="004830FC" w:rsidRPr="00D862A4" w:rsidRDefault="004830FC" w:rsidP="00D862A4">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Elena Garcia-Vega et al, ‘Suicidal Ideation and Suicide Attempts in Persons with Gender Dysphoria’ (2018) 30(3) </w:t>
      </w:r>
      <w:proofErr w:type="spellStart"/>
      <w:r w:rsidRPr="00D862A4">
        <w:rPr>
          <w:rFonts w:ascii="Times New Roman" w:hAnsi="Times New Roman" w:cs="Times New Roman"/>
        </w:rPr>
        <w:t>Psicothema</w:t>
      </w:r>
      <w:proofErr w:type="spellEnd"/>
      <w:r w:rsidRPr="00D862A4">
        <w:rPr>
          <w:rFonts w:ascii="Times New Roman" w:hAnsi="Times New Roman" w:cs="Times New Roman"/>
        </w:rPr>
        <w:t xml:space="preserve"> 283. </w:t>
      </w:r>
    </w:p>
  </w:footnote>
  <w:footnote w:id="80">
    <w:p w14:paraId="4928FCAB" w14:textId="022520A3" w:rsidR="004830FC" w:rsidRPr="00D862A4" w:rsidRDefault="004830FC" w:rsidP="00D862A4">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Ruth Fletcher ‘Medical Law’ </w:t>
      </w:r>
      <w:r w:rsidRPr="00D862A4">
        <w:rPr>
          <w:rFonts w:ascii="Times New Roman" w:hAnsi="Times New Roman" w:cs="Times New Roman"/>
          <w:i/>
          <w:iCs/>
        </w:rPr>
        <w:t xml:space="preserve">Bell v Tavistock – The Medico-Legal Consequences </w:t>
      </w:r>
      <w:r w:rsidRPr="00D862A4">
        <w:rPr>
          <w:rFonts w:ascii="Times New Roman" w:hAnsi="Times New Roman" w:cs="Times New Roman"/>
        </w:rPr>
        <w:t>(University of Bristol, 3 March 2021).</w:t>
      </w:r>
    </w:p>
  </w:footnote>
  <w:footnote w:id="81">
    <w:p w14:paraId="44720210" w14:textId="6561D093" w:rsidR="004830FC" w:rsidRPr="00D862A4" w:rsidRDefault="004830FC" w:rsidP="00D862A4">
      <w:pPr>
        <w:pStyle w:val="FootnoteText"/>
        <w:rPr>
          <w:rFonts w:ascii="Times New Roman" w:hAnsi="Times New Roman" w:cs="Times New Roman"/>
        </w:rPr>
      </w:pPr>
      <w:r w:rsidRPr="00D862A4">
        <w:rPr>
          <w:rStyle w:val="FootnoteReference"/>
          <w:rFonts w:ascii="Times New Roman" w:hAnsi="Times New Roman" w:cs="Times New Roman"/>
        </w:rPr>
        <w:footnoteRef/>
      </w:r>
      <w:r w:rsidRPr="00D862A4">
        <w:rPr>
          <w:rFonts w:ascii="Times New Roman" w:hAnsi="Times New Roman" w:cs="Times New Roman"/>
        </w:rPr>
        <w:t xml:space="preserve"> </w:t>
      </w:r>
      <w:r w:rsidRPr="00D862A4">
        <w:rPr>
          <w:rFonts w:ascii="Times New Roman" w:hAnsi="Times New Roman" w:cs="Times New Roman"/>
          <w:i/>
          <w:iCs/>
        </w:rPr>
        <w:t xml:space="preserve">Bell </w:t>
      </w:r>
      <w:r w:rsidRPr="00D862A4">
        <w:rPr>
          <w:rFonts w:ascii="Times New Roman" w:hAnsi="Times New Roman" w:cs="Times New Roman"/>
        </w:rPr>
        <w:t>(n1)[74].</w:t>
      </w:r>
    </w:p>
  </w:footnote>
  <w:footnote w:id="82">
    <w:p w14:paraId="13299C67" w14:textId="06F510A3" w:rsidR="004830FC" w:rsidRPr="007E6671" w:rsidRDefault="004830FC" w:rsidP="00886A76">
      <w:pPr>
        <w:pStyle w:val="FootnoteText"/>
        <w:rPr>
          <w:rFonts w:ascii="Times New Roman" w:hAnsi="Times New Roman" w:cs="Times New Roman"/>
          <w:color w:val="000000" w:themeColor="text1"/>
        </w:rPr>
      </w:pPr>
      <w:r w:rsidRPr="007E6671">
        <w:rPr>
          <w:rStyle w:val="FootnoteReference"/>
          <w:rFonts w:ascii="Times New Roman" w:hAnsi="Times New Roman" w:cs="Times New Roman"/>
          <w:color w:val="000000" w:themeColor="text1"/>
        </w:rPr>
        <w:footnoteRef/>
      </w:r>
      <w:r w:rsidRPr="007E6671">
        <w:rPr>
          <w:rFonts w:ascii="Times New Roman" w:hAnsi="Times New Roman" w:cs="Times New Roman"/>
          <w:color w:val="000000" w:themeColor="text1"/>
        </w:rPr>
        <w:t xml:space="preserve"> </w:t>
      </w:r>
      <w:r w:rsidRPr="007E6671">
        <w:rPr>
          <w:rFonts w:ascii="Times New Roman" w:hAnsi="Times New Roman" w:cs="Times New Roman"/>
          <w:i/>
          <w:iCs/>
          <w:color w:val="000000" w:themeColor="text1"/>
        </w:rPr>
        <w:t xml:space="preserve">Bell </w:t>
      </w:r>
      <w:r w:rsidRPr="007E6671">
        <w:rPr>
          <w:rFonts w:ascii="Times New Roman" w:hAnsi="Times New Roman" w:cs="Times New Roman"/>
          <w:color w:val="000000" w:themeColor="text1"/>
        </w:rPr>
        <w:t>(n1)[8].</w:t>
      </w:r>
    </w:p>
  </w:footnote>
  <w:footnote w:id="83">
    <w:p w14:paraId="3E61C7ED" w14:textId="58D988DF" w:rsidR="004830FC" w:rsidRPr="007E6671" w:rsidRDefault="004830FC" w:rsidP="00886A76">
      <w:pPr>
        <w:pStyle w:val="FootnoteText"/>
        <w:rPr>
          <w:rFonts w:ascii="Times New Roman" w:hAnsi="Times New Roman" w:cs="Times New Roman"/>
          <w:color w:val="000000" w:themeColor="text1"/>
        </w:rPr>
      </w:pPr>
      <w:r w:rsidRPr="007E6671">
        <w:rPr>
          <w:rStyle w:val="FootnoteReference"/>
          <w:rFonts w:ascii="Times New Roman" w:hAnsi="Times New Roman" w:cs="Times New Roman"/>
          <w:color w:val="000000" w:themeColor="text1"/>
        </w:rPr>
        <w:footnoteRef/>
      </w:r>
      <w:r w:rsidRPr="007E6671">
        <w:rPr>
          <w:rFonts w:ascii="Times New Roman" w:hAnsi="Times New Roman" w:cs="Times New Roman"/>
          <w:color w:val="000000" w:themeColor="text1"/>
        </w:rPr>
        <w:t xml:space="preserve"> </w:t>
      </w:r>
      <w:r w:rsidRPr="007E6671">
        <w:rPr>
          <w:rFonts w:ascii="Times New Roman" w:hAnsi="Times New Roman" w:cs="Times New Roman"/>
          <w:i/>
          <w:iCs/>
          <w:color w:val="000000" w:themeColor="text1"/>
        </w:rPr>
        <w:t xml:space="preserve">Re W </w:t>
      </w:r>
      <w:r w:rsidRPr="00574200">
        <w:rPr>
          <w:rFonts w:ascii="Times New Roman" w:hAnsi="Times New Roman" w:cs="Times New Roman"/>
          <w:color w:val="000000" w:themeColor="text1"/>
        </w:rPr>
        <w:t>(n1</w:t>
      </w:r>
      <w:r w:rsidR="00574200" w:rsidRPr="00574200">
        <w:rPr>
          <w:rFonts w:ascii="Times New Roman" w:hAnsi="Times New Roman" w:cs="Times New Roman"/>
          <w:color w:val="000000" w:themeColor="text1"/>
        </w:rPr>
        <w:t>6</w:t>
      </w:r>
      <w:r w:rsidRPr="00574200">
        <w:rPr>
          <w:rFonts w:ascii="Times New Roman" w:hAnsi="Times New Roman" w:cs="Times New Roman"/>
          <w:color w:val="000000" w:themeColor="text1"/>
        </w:rPr>
        <w:t xml:space="preserve">); </w:t>
      </w:r>
      <w:r w:rsidRPr="007E6671">
        <w:rPr>
          <w:rFonts w:ascii="Times New Roman" w:hAnsi="Times New Roman" w:cs="Times New Roman"/>
          <w:i/>
          <w:iCs/>
          <w:color w:val="000000" w:themeColor="text1"/>
        </w:rPr>
        <w:t>Re L (Medical Treatment: Gillick Competency</w:t>
      </w:r>
      <w:r w:rsidRPr="007E6671">
        <w:rPr>
          <w:rFonts w:ascii="Times New Roman" w:hAnsi="Times New Roman" w:cs="Times New Roman"/>
          <w:color w:val="000000" w:themeColor="text1"/>
        </w:rPr>
        <w:t xml:space="preserve">) [1998] 2 FLR 810; </w:t>
      </w:r>
      <w:r w:rsidRPr="007E6671">
        <w:rPr>
          <w:rFonts w:ascii="Times New Roman" w:hAnsi="Times New Roman" w:cs="Times New Roman"/>
          <w:i/>
          <w:iCs/>
          <w:color w:val="000000" w:themeColor="text1"/>
        </w:rPr>
        <w:t>Re S (A Child) (Child Parent: Adoption Consent)</w:t>
      </w:r>
      <w:r w:rsidRPr="007E6671">
        <w:rPr>
          <w:rFonts w:ascii="Times New Roman" w:hAnsi="Times New Roman" w:cs="Times New Roman"/>
          <w:color w:val="000000" w:themeColor="text1"/>
        </w:rPr>
        <w:t xml:space="preserve"> [2019] 2 Fam 177.</w:t>
      </w:r>
    </w:p>
  </w:footnote>
  <w:footnote w:id="84">
    <w:p w14:paraId="483FA4E4" w14:textId="30C8D085" w:rsidR="004830FC" w:rsidRPr="007E6671" w:rsidRDefault="004830FC" w:rsidP="00886A76">
      <w:pPr>
        <w:pStyle w:val="FootnoteText"/>
        <w:rPr>
          <w:rFonts w:ascii="Times New Roman" w:hAnsi="Times New Roman" w:cs="Times New Roman"/>
          <w:iCs/>
          <w:color w:val="000000" w:themeColor="text1"/>
        </w:rPr>
      </w:pPr>
      <w:r w:rsidRPr="007E6671">
        <w:rPr>
          <w:rStyle w:val="FootnoteReference"/>
          <w:rFonts w:ascii="Times New Roman" w:hAnsi="Times New Roman" w:cs="Times New Roman"/>
          <w:color w:val="000000" w:themeColor="text1"/>
        </w:rPr>
        <w:footnoteRef/>
      </w:r>
      <w:r w:rsidRPr="007E6671">
        <w:rPr>
          <w:rFonts w:ascii="Times New Roman" w:hAnsi="Times New Roman" w:cs="Times New Roman"/>
          <w:color w:val="000000" w:themeColor="text1"/>
        </w:rPr>
        <w:t xml:space="preserve"> </w:t>
      </w:r>
      <w:r w:rsidRPr="007E6671">
        <w:rPr>
          <w:rFonts w:ascii="Times New Roman" w:hAnsi="Times New Roman" w:cs="Times New Roman"/>
          <w:i/>
          <w:color w:val="000000" w:themeColor="text1"/>
        </w:rPr>
        <w:t xml:space="preserve">Re W </w:t>
      </w:r>
      <w:r w:rsidRPr="007E6671">
        <w:rPr>
          <w:rFonts w:ascii="Times New Roman" w:hAnsi="Times New Roman" w:cs="Times New Roman"/>
          <w:iCs/>
          <w:color w:val="000000" w:themeColor="text1"/>
        </w:rPr>
        <w:t>(n1</w:t>
      </w:r>
      <w:r w:rsidR="00574200">
        <w:rPr>
          <w:rFonts w:ascii="Times New Roman" w:hAnsi="Times New Roman" w:cs="Times New Roman"/>
          <w:iCs/>
          <w:color w:val="000000" w:themeColor="text1"/>
        </w:rPr>
        <w:t>6</w:t>
      </w:r>
      <w:r w:rsidRPr="007E6671">
        <w:rPr>
          <w:rFonts w:ascii="Times New Roman" w:hAnsi="Times New Roman" w:cs="Times New Roman"/>
          <w:iCs/>
          <w:color w:val="000000" w:themeColor="text1"/>
        </w:rPr>
        <w:t>)</w:t>
      </w:r>
    </w:p>
  </w:footnote>
  <w:footnote w:id="85">
    <w:p w14:paraId="4CA597D8" w14:textId="27BB877D" w:rsidR="004830FC" w:rsidRPr="007E6671" w:rsidRDefault="004830FC" w:rsidP="00886A76">
      <w:pPr>
        <w:pStyle w:val="FootnoteText"/>
        <w:rPr>
          <w:rFonts w:ascii="Times New Roman" w:hAnsi="Times New Roman" w:cs="Times New Roman"/>
          <w:color w:val="000000" w:themeColor="text1"/>
        </w:rPr>
      </w:pPr>
      <w:r w:rsidRPr="007E6671">
        <w:rPr>
          <w:rStyle w:val="FootnoteReference"/>
          <w:rFonts w:ascii="Times New Roman" w:hAnsi="Times New Roman" w:cs="Times New Roman"/>
          <w:color w:val="000000" w:themeColor="text1"/>
        </w:rPr>
        <w:footnoteRef/>
      </w:r>
      <w:r w:rsidRPr="007E6671">
        <w:rPr>
          <w:rFonts w:ascii="Times New Roman" w:hAnsi="Times New Roman" w:cs="Times New Roman"/>
          <w:color w:val="000000" w:themeColor="text1"/>
        </w:rPr>
        <w:t xml:space="preserve"> </w:t>
      </w:r>
      <w:r w:rsidRPr="007E6671">
        <w:rPr>
          <w:rFonts w:ascii="Times New Roman" w:hAnsi="Times New Roman" w:cs="Times New Roman"/>
          <w:i/>
          <w:iCs/>
          <w:color w:val="000000" w:themeColor="text1"/>
        </w:rPr>
        <w:t xml:space="preserve">Bell </w:t>
      </w:r>
      <w:r w:rsidRPr="007E6671">
        <w:rPr>
          <w:rFonts w:ascii="Times New Roman" w:hAnsi="Times New Roman" w:cs="Times New Roman"/>
          <w:color w:val="000000" w:themeColor="text1"/>
        </w:rPr>
        <w:t>(n1)[110].</w:t>
      </w:r>
    </w:p>
  </w:footnote>
  <w:footnote w:id="86">
    <w:p w14:paraId="0EEF7DA2" w14:textId="5492BA1E" w:rsidR="00CC6F80" w:rsidRPr="007E6671" w:rsidRDefault="00CC6F80">
      <w:pPr>
        <w:pStyle w:val="FootnoteText"/>
        <w:rPr>
          <w:rFonts w:ascii="Times New Roman" w:hAnsi="Times New Roman" w:cs="Times New Roman"/>
        </w:rPr>
      </w:pPr>
      <w:r w:rsidRPr="007E6671">
        <w:rPr>
          <w:rStyle w:val="FootnoteReference"/>
          <w:rFonts w:ascii="Times New Roman" w:hAnsi="Times New Roman" w:cs="Times New Roman"/>
        </w:rPr>
        <w:footnoteRef/>
      </w:r>
      <w:r w:rsidRPr="007E6671">
        <w:rPr>
          <w:rFonts w:ascii="Times New Roman" w:hAnsi="Times New Roman" w:cs="Times New Roman"/>
        </w:rPr>
        <w:t xml:space="preserve"> S2(5)</w:t>
      </w:r>
    </w:p>
  </w:footnote>
  <w:footnote w:id="87">
    <w:p w14:paraId="3FC722AB" w14:textId="7EA12ABF" w:rsidR="00AE78C2" w:rsidRPr="007E6671" w:rsidRDefault="00AE78C2">
      <w:pPr>
        <w:pStyle w:val="FootnoteText"/>
        <w:rPr>
          <w:rFonts w:ascii="Times New Roman" w:hAnsi="Times New Roman" w:cs="Times New Roman"/>
        </w:rPr>
      </w:pPr>
      <w:r w:rsidRPr="007E6671">
        <w:rPr>
          <w:rStyle w:val="FootnoteReference"/>
          <w:rFonts w:ascii="Times New Roman" w:hAnsi="Times New Roman" w:cs="Times New Roman"/>
        </w:rPr>
        <w:footnoteRef/>
      </w:r>
      <w:r w:rsidRPr="007E6671">
        <w:rPr>
          <w:rFonts w:ascii="Times New Roman" w:hAnsi="Times New Roman" w:cs="Times New Roman"/>
        </w:rPr>
        <w:t xml:space="preserve"> s1(2),s1(4),S4; </w:t>
      </w:r>
      <w:r w:rsidRPr="007E6671">
        <w:rPr>
          <w:rFonts w:ascii="Times New Roman" w:hAnsi="Times New Roman" w:cs="Times New Roman"/>
          <w:i/>
          <w:iCs/>
        </w:rPr>
        <w:t>Re MB (Medical Treatment)</w:t>
      </w:r>
      <w:r w:rsidRPr="007E6671">
        <w:rPr>
          <w:rFonts w:ascii="Times New Roman" w:hAnsi="Times New Roman" w:cs="Times New Roman"/>
        </w:rPr>
        <w:t xml:space="preserve"> [1997] EWCA </w:t>
      </w:r>
      <w:proofErr w:type="spellStart"/>
      <w:r w:rsidRPr="007E6671">
        <w:rPr>
          <w:rFonts w:ascii="Times New Roman" w:hAnsi="Times New Roman" w:cs="Times New Roman"/>
        </w:rPr>
        <w:t>Civ</w:t>
      </w:r>
      <w:proofErr w:type="spellEnd"/>
      <w:r w:rsidRPr="007E6671">
        <w:rPr>
          <w:rFonts w:ascii="Times New Roman" w:hAnsi="Times New Roman" w:cs="Times New Roman"/>
        </w:rPr>
        <w:t xml:space="preserve"> 3093.</w:t>
      </w:r>
    </w:p>
  </w:footnote>
  <w:footnote w:id="88">
    <w:p w14:paraId="07BF0B38" w14:textId="77777777" w:rsidR="004830FC" w:rsidRPr="007E6671" w:rsidRDefault="004830FC" w:rsidP="00886A76">
      <w:pPr>
        <w:pStyle w:val="FootnoteText"/>
        <w:rPr>
          <w:rFonts w:ascii="Times New Roman" w:hAnsi="Times New Roman" w:cs="Times New Roman"/>
          <w:color w:val="000000" w:themeColor="text1"/>
        </w:rPr>
      </w:pPr>
      <w:r w:rsidRPr="007E6671">
        <w:rPr>
          <w:rStyle w:val="FootnoteReference"/>
          <w:rFonts w:ascii="Times New Roman" w:hAnsi="Times New Roman" w:cs="Times New Roman"/>
          <w:color w:val="000000" w:themeColor="text1"/>
        </w:rPr>
        <w:footnoteRef/>
      </w:r>
      <w:r w:rsidRPr="007E6671">
        <w:rPr>
          <w:rFonts w:ascii="Times New Roman" w:hAnsi="Times New Roman" w:cs="Times New Roman"/>
          <w:color w:val="000000" w:themeColor="text1"/>
        </w:rPr>
        <w:t xml:space="preserve"> </w:t>
      </w:r>
      <w:r w:rsidRPr="007E6671">
        <w:rPr>
          <w:rFonts w:ascii="Times New Roman" w:hAnsi="Times New Roman" w:cs="Times New Roman"/>
          <w:i/>
          <w:iCs/>
          <w:color w:val="000000" w:themeColor="text1"/>
        </w:rPr>
        <w:t>(Medical Treatment: Gillick Competency</w:t>
      </w:r>
      <w:r w:rsidRPr="007E6671">
        <w:rPr>
          <w:rFonts w:ascii="Times New Roman" w:hAnsi="Times New Roman" w:cs="Times New Roman"/>
          <w:color w:val="000000" w:themeColor="text1"/>
        </w:rPr>
        <w:t>) [1998] 2 FLR. 810</w:t>
      </w:r>
    </w:p>
  </w:footnote>
  <w:footnote w:id="89">
    <w:p w14:paraId="471E1D57" w14:textId="77777777" w:rsidR="004830FC" w:rsidRPr="007E6671" w:rsidRDefault="004830FC" w:rsidP="00886A76">
      <w:pPr>
        <w:pStyle w:val="FootnoteText"/>
        <w:rPr>
          <w:rFonts w:ascii="Times New Roman" w:hAnsi="Times New Roman" w:cs="Times New Roman"/>
          <w:color w:val="000000" w:themeColor="text1"/>
        </w:rPr>
      </w:pPr>
      <w:r w:rsidRPr="007E6671">
        <w:rPr>
          <w:rStyle w:val="FootnoteReference"/>
          <w:rFonts w:ascii="Times New Roman" w:hAnsi="Times New Roman" w:cs="Times New Roman"/>
          <w:color w:val="000000" w:themeColor="text1"/>
        </w:rPr>
        <w:footnoteRef/>
      </w:r>
      <w:r w:rsidRPr="007E6671">
        <w:rPr>
          <w:rFonts w:ascii="Times New Roman" w:hAnsi="Times New Roman" w:cs="Times New Roman"/>
          <w:color w:val="000000" w:themeColor="text1"/>
        </w:rPr>
        <w:t xml:space="preserve"> </w:t>
      </w:r>
      <w:r w:rsidRPr="007E6671">
        <w:rPr>
          <w:rFonts w:ascii="Times New Roman" w:hAnsi="Times New Roman" w:cs="Times New Roman"/>
          <w:i/>
          <w:iCs/>
          <w:color w:val="000000" w:themeColor="text1"/>
        </w:rPr>
        <w:t>(A Child) (Child Parent: Adoption Consent</w:t>
      </w:r>
      <w:r w:rsidRPr="007E6671">
        <w:rPr>
          <w:rFonts w:ascii="Times New Roman" w:hAnsi="Times New Roman" w:cs="Times New Roman"/>
          <w:color w:val="000000" w:themeColor="text1"/>
        </w:rPr>
        <w:t>) [2019] 2 Fam 177.</w:t>
      </w:r>
    </w:p>
  </w:footnote>
  <w:footnote w:id="90">
    <w:p w14:paraId="69585CB5" w14:textId="77777777" w:rsidR="004830FC" w:rsidRPr="007E6671" w:rsidRDefault="004830FC" w:rsidP="00886A76">
      <w:pPr>
        <w:pStyle w:val="FootnoteText"/>
        <w:rPr>
          <w:rFonts w:ascii="Times New Roman" w:hAnsi="Times New Roman" w:cs="Times New Roman"/>
          <w:color w:val="000000" w:themeColor="text1"/>
        </w:rPr>
      </w:pPr>
      <w:r w:rsidRPr="007E6671">
        <w:rPr>
          <w:rStyle w:val="FootnoteReference"/>
          <w:rFonts w:ascii="Times New Roman" w:hAnsi="Times New Roman" w:cs="Times New Roman"/>
          <w:color w:val="000000" w:themeColor="text1"/>
        </w:rPr>
        <w:footnoteRef/>
      </w:r>
      <w:r w:rsidRPr="007E6671">
        <w:rPr>
          <w:rFonts w:ascii="Times New Roman" w:hAnsi="Times New Roman" w:cs="Times New Roman"/>
          <w:i/>
          <w:iCs/>
          <w:color w:val="000000" w:themeColor="text1"/>
        </w:rPr>
        <w:t xml:space="preserve"> Bell</w:t>
      </w:r>
      <w:r w:rsidRPr="007E6671">
        <w:rPr>
          <w:rFonts w:ascii="Times New Roman" w:hAnsi="Times New Roman" w:cs="Times New Roman"/>
          <w:color w:val="000000" w:themeColor="text1"/>
        </w:rPr>
        <w:t xml:space="preserve"> (n1)[114].</w:t>
      </w:r>
    </w:p>
  </w:footnote>
  <w:footnote w:id="91">
    <w:p w14:paraId="7DE97E3E" w14:textId="77777777" w:rsidR="004830FC" w:rsidRPr="007E6671" w:rsidRDefault="004830FC" w:rsidP="00886A76">
      <w:pPr>
        <w:pStyle w:val="FootnoteText"/>
        <w:rPr>
          <w:rFonts w:ascii="Times New Roman" w:hAnsi="Times New Roman" w:cs="Times New Roman"/>
          <w:color w:val="000000" w:themeColor="text1"/>
        </w:rPr>
      </w:pPr>
      <w:r w:rsidRPr="007E6671">
        <w:rPr>
          <w:rStyle w:val="FootnoteReference"/>
          <w:rFonts w:ascii="Times New Roman" w:hAnsi="Times New Roman" w:cs="Times New Roman"/>
          <w:color w:val="000000" w:themeColor="text1"/>
        </w:rPr>
        <w:footnoteRef/>
      </w:r>
      <w:r w:rsidRPr="007E6671">
        <w:rPr>
          <w:rFonts w:ascii="Times New Roman" w:hAnsi="Times New Roman" w:cs="Times New Roman"/>
          <w:i/>
          <w:iCs/>
          <w:color w:val="000000" w:themeColor="text1"/>
        </w:rPr>
        <w:t xml:space="preserve"> ibid </w:t>
      </w:r>
      <w:r w:rsidRPr="007E6671">
        <w:rPr>
          <w:rFonts w:ascii="Times New Roman" w:hAnsi="Times New Roman" w:cs="Times New Roman"/>
          <w:color w:val="000000" w:themeColor="text1"/>
        </w:rPr>
        <w:t>[114]-[115].</w:t>
      </w:r>
    </w:p>
  </w:footnote>
  <w:footnote w:id="92">
    <w:p w14:paraId="019CFF59" w14:textId="0FDEAB20" w:rsidR="004830FC" w:rsidRPr="007E6671" w:rsidRDefault="004830FC" w:rsidP="00886A76">
      <w:pPr>
        <w:pStyle w:val="FootnoteText"/>
        <w:rPr>
          <w:rFonts w:ascii="Times New Roman" w:hAnsi="Times New Roman" w:cs="Times New Roman"/>
          <w:color w:val="000000" w:themeColor="text1"/>
        </w:rPr>
      </w:pPr>
      <w:r w:rsidRPr="007E6671">
        <w:rPr>
          <w:rStyle w:val="FootnoteReference"/>
          <w:rFonts w:ascii="Times New Roman" w:hAnsi="Times New Roman" w:cs="Times New Roman"/>
          <w:color w:val="000000" w:themeColor="text1"/>
        </w:rPr>
        <w:footnoteRef/>
      </w:r>
      <w:r w:rsidRPr="007E6671">
        <w:rPr>
          <w:rFonts w:ascii="Times New Roman" w:hAnsi="Times New Roman" w:cs="Times New Roman"/>
          <w:color w:val="000000" w:themeColor="text1"/>
        </w:rPr>
        <w:t xml:space="preserve"> </w:t>
      </w:r>
      <w:r w:rsidRPr="007E6671">
        <w:rPr>
          <w:rFonts w:ascii="Times New Roman" w:hAnsi="Times New Roman" w:cs="Times New Roman"/>
          <w:i/>
          <w:iCs/>
          <w:color w:val="000000" w:themeColor="text1"/>
        </w:rPr>
        <w:t xml:space="preserve">Re S </w:t>
      </w:r>
      <w:r w:rsidRPr="007E6671">
        <w:rPr>
          <w:rFonts w:ascii="Times New Roman" w:hAnsi="Times New Roman" w:cs="Times New Roman"/>
          <w:color w:val="000000" w:themeColor="text1"/>
        </w:rPr>
        <w:t>(n</w:t>
      </w:r>
      <w:r w:rsidR="000B301E" w:rsidRPr="007E6671">
        <w:rPr>
          <w:rFonts w:ascii="Times New Roman" w:hAnsi="Times New Roman" w:cs="Times New Roman"/>
          <w:color w:val="000000" w:themeColor="text1"/>
        </w:rPr>
        <w:t>8</w:t>
      </w:r>
      <w:r w:rsidR="00574200">
        <w:rPr>
          <w:rFonts w:ascii="Times New Roman" w:hAnsi="Times New Roman" w:cs="Times New Roman"/>
          <w:color w:val="000000" w:themeColor="text1"/>
        </w:rPr>
        <w:t>9</w:t>
      </w:r>
      <w:r w:rsidRPr="007E6671">
        <w:rPr>
          <w:rFonts w:ascii="Times New Roman" w:hAnsi="Times New Roman" w:cs="Times New Roman"/>
          <w:color w:val="000000" w:themeColor="text1"/>
        </w:rPr>
        <w:t>)[15],[16],[34]-[37] [60].</w:t>
      </w:r>
    </w:p>
  </w:footnote>
  <w:footnote w:id="93">
    <w:p w14:paraId="7EFC9F51" w14:textId="784D9DA2" w:rsidR="004830FC" w:rsidRPr="007E6671" w:rsidRDefault="004830FC" w:rsidP="00886A76">
      <w:pPr>
        <w:pStyle w:val="FootnoteText"/>
        <w:rPr>
          <w:rFonts w:ascii="Times New Roman" w:hAnsi="Times New Roman" w:cs="Times New Roman"/>
          <w:color w:val="000000" w:themeColor="text1"/>
        </w:rPr>
      </w:pPr>
      <w:r w:rsidRPr="007E6671">
        <w:rPr>
          <w:rStyle w:val="FootnoteReference"/>
          <w:rFonts w:ascii="Times New Roman" w:hAnsi="Times New Roman" w:cs="Times New Roman"/>
          <w:color w:val="000000" w:themeColor="text1"/>
        </w:rPr>
        <w:footnoteRef/>
      </w:r>
      <w:r w:rsidRPr="007E6671">
        <w:rPr>
          <w:rFonts w:ascii="Times New Roman" w:hAnsi="Times New Roman" w:cs="Times New Roman"/>
          <w:color w:val="000000" w:themeColor="text1"/>
        </w:rPr>
        <w:t xml:space="preserve"> </w:t>
      </w:r>
      <w:r w:rsidRPr="007E6671">
        <w:rPr>
          <w:rFonts w:ascii="Times New Roman" w:hAnsi="Times New Roman" w:cs="Times New Roman"/>
          <w:i/>
          <w:iCs/>
          <w:color w:val="000000" w:themeColor="text1"/>
        </w:rPr>
        <w:t>Re X</w:t>
      </w:r>
      <w:r w:rsidRPr="007E6671">
        <w:rPr>
          <w:rFonts w:ascii="Times New Roman" w:hAnsi="Times New Roman" w:cs="Times New Roman"/>
          <w:color w:val="000000" w:themeColor="text1"/>
        </w:rPr>
        <w:t xml:space="preserve"> (n2</w:t>
      </w:r>
      <w:r w:rsidR="00574200">
        <w:rPr>
          <w:rFonts w:ascii="Times New Roman" w:hAnsi="Times New Roman" w:cs="Times New Roman"/>
          <w:color w:val="000000" w:themeColor="text1"/>
        </w:rPr>
        <w:t>1</w:t>
      </w:r>
      <w:r w:rsidRPr="007E6671">
        <w:rPr>
          <w:rFonts w:ascii="Times New Roman" w:hAnsi="Times New Roman" w:cs="Times New Roman"/>
          <w:color w:val="000000" w:themeColor="text1"/>
        </w:rPr>
        <w:t>)[7</w:t>
      </w:r>
      <w:r w:rsidR="0012001C">
        <w:rPr>
          <w:rFonts w:ascii="Times New Roman" w:hAnsi="Times New Roman" w:cs="Times New Roman"/>
          <w:color w:val="000000" w:themeColor="text1"/>
        </w:rPr>
        <w:t>3</w:t>
      </w:r>
      <w:r w:rsidRPr="007E6671">
        <w:rPr>
          <w:rFonts w:ascii="Times New Roman" w:hAnsi="Times New Roman" w:cs="Times New Roman"/>
          <w:color w:val="000000" w:themeColor="text1"/>
        </w:rPr>
        <w:t>]</w:t>
      </w:r>
      <w:r w:rsidR="0012001C">
        <w:rPr>
          <w:rFonts w:ascii="Times New Roman" w:hAnsi="Times New Roman" w:cs="Times New Roman"/>
          <w:color w:val="000000" w:themeColor="text1"/>
        </w:rPr>
        <w:t>-[76].</w:t>
      </w:r>
    </w:p>
  </w:footnote>
  <w:footnote w:id="94">
    <w:p w14:paraId="3C78EA27" w14:textId="77777777" w:rsidR="004830FC" w:rsidRPr="007E6671" w:rsidRDefault="004830FC" w:rsidP="00886A76">
      <w:pPr>
        <w:pStyle w:val="FootnoteText"/>
        <w:rPr>
          <w:rFonts w:ascii="Times New Roman" w:hAnsi="Times New Roman" w:cs="Times New Roman"/>
          <w:color w:val="000000" w:themeColor="text1"/>
        </w:rPr>
      </w:pPr>
      <w:r w:rsidRPr="007E6671">
        <w:rPr>
          <w:rStyle w:val="FootnoteReference"/>
          <w:rFonts w:ascii="Times New Roman" w:hAnsi="Times New Roman" w:cs="Times New Roman"/>
          <w:color w:val="000000" w:themeColor="text1"/>
        </w:rPr>
        <w:footnoteRef/>
      </w:r>
      <w:r w:rsidRPr="007E6671">
        <w:rPr>
          <w:rFonts w:ascii="Times New Roman" w:hAnsi="Times New Roman" w:cs="Times New Roman"/>
          <w:color w:val="000000" w:themeColor="text1"/>
        </w:rPr>
        <w:t xml:space="preserve"> </w:t>
      </w:r>
      <w:r w:rsidRPr="007E6671">
        <w:rPr>
          <w:rFonts w:ascii="Times New Roman" w:hAnsi="Times New Roman" w:cs="Times New Roman"/>
          <w:i/>
          <w:iCs/>
          <w:color w:val="000000" w:themeColor="text1"/>
        </w:rPr>
        <w:t>Bell</w:t>
      </w:r>
      <w:r w:rsidRPr="007E6671">
        <w:rPr>
          <w:rFonts w:ascii="Times New Roman" w:hAnsi="Times New Roman" w:cs="Times New Roman"/>
          <w:color w:val="000000" w:themeColor="text1"/>
        </w:rPr>
        <w:t xml:space="preserve"> (n1)[118].</w:t>
      </w:r>
    </w:p>
  </w:footnote>
  <w:footnote w:id="95">
    <w:p w14:paraId="05BBA5A0" w14:textId="61AA211D" w:rsidR="004830FC" w:rsidRPr="007E6671" w:rsidRDefault="004830FC" w:rsidP="00886A76">
      <w:pPr>
        <w:pStyle w:val="FootnoteText"/>
        <w:rPr>
          <w:rFonts w:ascii="Times New Roman" w:hAnsi="Times New Roman" w:cs="Times New Roman"/>
          <w:color w:val="000000" w:themeColor="text1"/>
        </w:rPr>
      </w:pPr>
      <w:r w:rsidRPr="007E6671">
        <w:rPr>
          <w:rStyle w:val="FootnoteReference"/>
          <w:rFonts w:ascii="Times New Roman" w:hAnsi="Times New Roman" w:cs="Times New Roman"/>
          <w:color w:val="000000" w:themeColor="text1"/>
        </w:rPr>
        <w:footnoteRef/>
      </w:r>
      <w:r w:rsidRPr="007E6671">
        <w:rPr>
          <w:rFonts w:ascii="Times New Roman" w:hAnsi="Times New Roman" w:cs="Times New Roman"/>
          <w:color w:val="000000" w:themeColor="text1"/>
        </w:rPr>
        <w:t xml:space="preserve"> </w:t>
      </w:r>
      <w:r w:rsidRPr="007E6671">
        <w:rPr>
          <w:rFonts w:ascii="Times New Roman" w:hAnsi="Times New Roman" w:cs="Times New Roman"/>
          <w:i/>
          <w:iCs/>
          <w:color w:val="000000" w:themeColor="text1"/>
        </w:rPr>
        <w:t>ABC</w:t>
      </w:r>
      <w:r w:rsidRPr="007E6671">
        <w:rPr>
          <w:rFonts w:ascii="Times New Roman" w:hAnsi="Times New Roman" w:cs="Times New Roman"/>
          <w:color w:val="000000" w:themeColor="text1"/>
        </w:rPr>
        <w:t xml:space="preserve"> (n1</w:t>
      </w:r>
      <w:r w:rsidR="00574200">
        <w:rPr>
          <w:rFonts w:ascii="Times New Roman" w:hAnsi="Times New Roman" w:cs="Times New Roman"/>
          <w:color w:val="000000" w:themeColor="text1"/>
        </w:rPr>
        <w:t>7</w:t>
      </w:r>
      <w:r w:rsidRPr="007E6671">
        <w:rPr>
          <w:rFonts w:ascii="Times New Roman" w:hAnsi="Times New Roman" w:cs="Times New Roman"/>
          <w:color w:val="000000" w:themeColor="text1"/>
        </w:rPr>
        <w:t>)[10].</w:t>
      </w:r>
    </w:p>
  </w:footnote>
  <w:footnote w:id="96">
    <w:p w14:paraId="0ACD9B3C" w14:textId="77777777" w:rsidR="004830FC" w:rsidRPr="00057645" w:rsidRDefault="004830FC" w:rsidP="00886A76">
      <w:pPr>
        <w:pStyle w:val="FootnoteText"/>
        <w:rPr>
          <w:rFonts w:ascii="Times New Roman" w:hAnsi="Times New Roman" w:cs="Times New Roman"/>
          <w:color w:val="000000" w:themeColor="text1"/>
        </w:rPr>
      </w:pPr>
      <w:r w:rsidRPr="007E6671">
        <w:rPr>
          <w:rStyle w:val="FootnoteReference"/>
          <w:rFonts w:ascii="Times New Roman" w:hAnsi="Times New Roman" w:cs="Times New Roman"/>
          <w:color w:val="000000" w:themeColor="text1"/>
        </w:rPr>
        <w:footnoteRef/>
      </w:r>
      <w:r w:rsidRPr="007E6671">
        <w:rPr>
          <w:rFonts w:ascii="Times New Roman" w:hAnsi="Times New Roman" w:cs="Times New Roman"/>
          <w:color w:val="000000" w:themeColor="text1"/>
        </w:rPr>
        <w:t xml:space="preserve"> [2015] EWHC 4103 (Fam) [20].</w:t>
      </w:r>
    </w:p>
  </w:footnote>
  <w:footnote w:id="97">
    <w:p w14:paraId="0CC8F171" w14:textId="77777777" w:rsidR="004830FC" w:rsidRPr="00F42C32" w:rsidRDefault="004830FC" w:rsidP="00886A76">
      <w:pPr>
        <w:pStyle w:val="FootnoteText"/>
        <w:rPr>
          <w:rFonts w:ascii="Times New Roman" w:hAnsi="Times New Roman" w:cs="Times New Roman"/>
        </w:rPr>
      </w:pPr>
      <w:r w:rsidRPr="00057645">
        <w:rPr>
          <w:rStyle w:val="FootnoteReference"/>
          <w:rFonts w:ascii="Times New Roman" w:hAnsi="Times New Roman" w:cs="Times New Roman"/>
          <w:color w:val="000000" w:themeColor="text1"/>
        </w:rPr>
        <w:footnoteRef/>
      </w:r>
      <w:r w:rsidRPr="00057645">
        <w:rPr>
          <w:rFonts w:ascii="Times New Roman" w:hAnsi="Times New Roman" w:cs="Times New Roman"/>
          <w:color w:val="000000" w:themeColor="text1"/>
        </w:rPr>
        <w:t xml:space="preserve"> </w:t>
      </w:r>
      <w:r w:rsidRPr="00057645">
        <w:rPr>
          <w:rFonts w:ascii="Times New Roman" w:hAnsi="Times New Roman" w:cs="Times New Roman"/>
          <w:i/>
          <w:iCs/>
          <w:color w:val="000000" w:themeColor="text1"/>
        </w:rPr>
        <w:t xml:space="preserve">ibid </w:t>
      </w:r>
      <w:r w:rsidRPr="00057645">
        <w:rPr>
          <w:rFonts w:ascii="Times New Roman" w:hAnsi="Times New Roman" w:cs="Times New Roman"/>
          <w:color w:val="000000" w:themeColor="text1"/>
        </w:rPr>
        <w:t>[136].</w:t>
      </w:r>
    </w:p>
  </w:footnote>
  <w:footnote w:id="98">
    <w:p w14:paraId="13E328B6" w14:textId="16676605" w:rsidR="004830FC" w:rsidRPr="00F42C32" w:rsidRDefault="004830FC" w:rsidP="00886A76">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w:t>
      </w:r>
      <w:r w:rsidRPr="00F42C32">
        <w:rPr>
          <w:rFonts w:ascii="Times New Roman" w:hAnsi="Times New Roman" w:cs="Times New Roman"/>
          <w:i/>
          <w:iCs/>
        </w:rPr>
        <w:t xml:space="preserve">Bell </w:t>
      </w:r>
      <w:r w:rsidRPr="00F42C32">
        <w:rPr>
          <w:rFonts w:ascii="Times New Roman" w:hAnsi="Times New Roman" w:cs="Times New Roman"/>
        </w:rPr>
        <w:t>(n1</w:t>
      </w:r>
      <w:r>
        <w:rPr>
          <w:rFonts w:ascii="Times New Roman" w:hAnsi="Times New Roman" w:cs="Times New Roman"/>
        </w:rPr>
        <w:t>)</w:t>
      </w:r>
      <w:r w:rsidRPr="00F42C32">
        <w:rPr>
          <w:rFonts w:ascii="Times New Roman" w:hAnsi="Times New Roman" w:cs="Times New Roman"/>
        </w:rPr>
        <w:t>[131].</w:t>
      </w:r>
    </w:p>
  </w:footnote>
  <w:footnote w:id="99">
    <w:p w14:paraId="0C9D8B7D" w14:textId="77777777" w:rsidR="004830FC" w:rsidRPr="00F42C32" w:rsidRDefault="004830FC" w:rsidP="00886A76">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w:t>
      </w:r>
      <w:r w:rsidRPr="00F42C32">
        <w:rPr>
          <w:rFonts w:ascii="Times New Roman" w:hAnsi="Times New Roman" w:cs="Times New Roman"/>
          <w:i/>
          <w:iCs/>
        </w:rPr>
        <w:t xml:space="preserve">ibid </w:t>
      </w:r>
      <w:r w:rsidRPr="00F42C32">
        <w:rPr>
          <w:rFonts w:ascii="Times New Roman" w:hAnsi="Times New Roman" w:cs="Times New Roman"/>
        </w:rPr>
        <w:t>[129].</w:t>
      </w:r>
    </w:p>
  </w:footnote>
  <w:footnote w:id="100">
    <w:p w14:paraId="12FCE4D3" w14:textId="77777777" w:rsidR="004830FC" w:rsidRPr="00F42C32" w:rsidRDefault="004830FC" w:rsidP="00886A76">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S3.</w:t>
      </w:r>
    </w:p>
  </w:footnote>
  <w:footnote w:id="101">
    <w:p w14:paraId="0AE31ECA" w14:textId="77777777" w:rsidR="004830FC" w:rsidRPr="00F42C32" w:rsidRDefault="004830FC" w:rsidP="00886A76">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S3.</w:t>
      </w:r>
    </w:p>
  </w:footnote>
  <w:footnote w:id="102">
    <w:p w14:paraId="4620DE56" w14:textId="17C17DC6" w:rsidR="004830FC" w:rsidRPr="00F42C32" w:rsidRDefault="004830FC" w:rsidP="00886A76">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w:t>
      </w:r>
      <w:r w:rsidRPr="00F42C32">
        <w:rPr>
          <w:rFonts w:ascii="Times New Roman" w:hAnsi="Times New Roman" w:cs="Times New Roman"/>
          <w:i/>
          <w:iCs/>
        </w:rPr>
        <w:t xml:space="preserve">Bell </w:t>
      </w:r>
      <w:r w:rsidRPr="00F42C32">
        <w:rPr>
          <w:rFonts w:ascii="Times New Roman" w:hAnsi="Times New Roman" w:cs="Times New Roman"/>
        </w:rPr>
        <w:t>(n1)[138].</w:t>
      </w:r>
    </w:p>
  </w:footnote>
  <w:footnote w:id="103">
    <w:p w14:paraId="75FE507F" w14:textId="6918D507" w:rsidR="004830FC" w:rsidRDefault="004830FC" w:rsidP="00886A76">
      <w:pPr>
        <w:pStyle w:val="FootnoteText"/>
      </w:pPr>
      <w:r w:rsidRPr="00F42C32">
        <w:rPr>
          <w:rStyle w:val="FootnoteReference"/>
          <w:rFonts w:ascii="Times New Roman" w:hAnsi="Times New Roman" w:cs="Times New Roman"/>
        </w:rPr>
        <w:footnoteRef/>
      </w:r>
      <w:r w:rsidRPr="00F42C32">
        <w:rPr>
          <w:rFonts w:ascii="Times New Roman" w:hAnsi="Times New Roman" w:cs="Times New Roman"/>
        </w:rPr>
        <w:t xml:space="preserve">  Fletcher </w:t>
      </w:r>
      <w:r>
        <w:rPr>
          <w:rFonts w:ascii="Times New Roman" w:hAnsi="Times New Roman" w:cs="Times New Roman"/>
        </w:rPr>
        <w:t>(n</w:t>
      </w:r>
      <w:r w:rsidR="00574200">
        <w:rPr>
          <w:rFonts w:ascii="Times New Roman" w:hAnsi="Times New Roman" w:cs="Times New Roman"/>
        </w:rPr>
        <w:t>80</w:t>
      </w:r>
      <w:r>
        <w:rPr>
          <w:rFonts w:ascii="Times New Roman" w:hAnsi="Times New Roman" w:cs="Times New Roman"/>
        </w:rPr>
        <w:t>).</w:t>
      </w:r>
    </w:p>
  </w:footnote>
  <w:footnote w:id="104">
    <w:p w14:paraId="38630E60" w14:textId="73C5A0AF" w:rsidR="004830FC" w:rsidRPr="00F42C32" w:rsidRDefault="004830FC" w:rsidP="00886A76">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w:t>
      </w:r>
      <w:r w:rsidRPr="00F42C32">
        <w:rPr>
          <w:rFonts w:ascii="Times New Roman" w:hAnsi="Times New Roman" w:cs="Times New Roman"/>
          <w:i/>
          <w:iCs/>
        </w:rPr>
        <w:t xml:space="preserve">Bell </w:t>
      </w:r>
      <w:r w:rsidRPr="00F42C32">
        <w:rPr>
          <w:rFonts w:ascii="Times New Roman" w:hAnsi="Times New Roman" w:cs="Times New Roman"/>
        </w:rPr>
        <w:t>(n1</w:t>
      </w:r>
      <w:r>
        <w:rPr>
          <w:rFonts w:ascii="Times New Roman" w:hAnsi="Times New Roman" w:cs="Times New Roman"/>
        </w:rPr>
        <w:t>)</w:t>
      </w:r>
      <w:r w:rsidRPr="00F42C32">
        <w:rPr>
          <w:rFonts w:ascii="Times New Roman" w:hAnsi="Times New Roman" w:cs="Times New Roman"/>
        </w:rPr>
        <w:t>[139].</w:t>
      </w:r>
    </w:p>
  </w:footnote>
  <w:footnote w:id="105">
    <w:p w14:paraId="4B2B44A1" w14:textId="77777777" w:rsidR="004830FC" w:rsidRPr="00F42C32" w:rsidRDefault="004830FC" w:rsidP="00886A76">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w:t>
      </w:r>
      <w:r w:rsidRPr="00F42C32">
        <w:rPr>
          <w:rFonts w:ascii="Times New Roman" w:hAnsi="Times New Roman" w:cs="Times New Roman"/>
          <w:i/>
          <w:iCs/>
        </w:rPr>
        <w:t xml:space="preserve">Gillick </w:t>
      </w:r>
      <w:r w:rsidRPr="00F42C32">
        <w:rPr>
          <w:rFonts w:ascii="Times New Roman" w:hAnsi="Times New Roman" w:cs="Times New Roman"/>
        </w:rPr>
        <w:t>(n6) 189.</w:t>
      </w:r>
    </w:p>
  </w:footnote>
  <w:footnote w:id="106">
    <w:p w14:paraId="55F4A077" w14:textId="452BBF57" w:rsidR="004830FC" w:rsidRPr="00F42C32" w:rsidRDefault="004830FC" w:rsidP="00886A76">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Duffy </w:t>
      </w:r>
      <w:r>
        <w:rPr>
          <w:rFonts w:ascii="Times New Roman" w:hAnsi="Times New Roman" w:cs="Times New Roman"/>
        </w:rPr>
        <w:t>(n</w:t>
      </w:r>
      <w:r w:rsidR="00A70A67">
        <w:rPr>
          <w:rFonts w:ascii="Times New Roman" w:hAnsi="Times New Roman" w:cs="Times New Roman"/>
        </w:rPr>
        <w:t>4</w:t>
      </w:r>
      <w:r w:rsidR="00574200">
        <w:rPr>
          <w:rFonts w:ascii="Times New Roman" w:hAnsi="Times New Roman" w:cs="Times New Roman"/>
        </w:rPr>
        <w:t>9</w:t>
      </w:r>
      <w:r>
        <w:rPr>
          <w:rFonts w:ascii="Times New Roman" w:hAnsi="Times New Roman" w:cs="Times New Roman"/>
        </w:rPr>
        <w:t>)</w:t>
      </w:r>
      <w:r w:rsidRPr="00F42C32">
        <w:rPr>
          <w:rFonts w:ascii="Times New Roman" w:hAnsi="Times New Roman" w:cs="Times New Roman"/>
          <w:color w:val="FF0000"/>
        </w:rPr>
        <w:t xml:space="preserve"> </w:t>
      </w:r>
    </w:p>
  </w:footnote>
  <w:footnote w:id="107">
    <w:p w14:paraId="24BCD61D" w14:textId="148BB189" w:rsidR="004830FC" w:rsidRPr="00F42C32" w:rsidRDefault="004830FC" w:rsidP="00886A76">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w:t>
      </w:r>
      <w:r>
        <w:rPr>
          <w:rFonts w:ascii="Times New Roman" w:hAnsi="Times New Roman" w:cs="Times New Roman"/>
          <w:i/>
          <w:iCs/>
        </w:rPr>
        <w:t xml:space="preserve">Bell </w:t>
      </w:r>
      <w:r>
        <w:rPr>
          <w:rFonts w:ascii="Times New Roman" w:hAnsi="Times New Roman" w:cs="Times New Roman"/>
        </w:rPr>
        <w:t>(n1)</w:t>
      </w:r>
      <w:r w:rsidRPr="00F42C32">
        <w:rPr>
          <w:rFonts w:ascii="Times New Roman" w:hAnsi="Times New Roman" w:cs="Times New Roman"/>
        </w:rPr>
        <w:t>[46]</w:t>
      </w:r>
    </w:p>
  </w:footnote>
  <w:footnote w:id="108">
    <w:p w14:paraId="7B6EEB0D" w14:textId="77777777" w:rsidR="004830FC" w:rsidRPr="00F42C32" w:rsidRDefault="004830FC" w:rsidP="00886A76">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Simona Giordano, Fae Garland, Soren Holm, ‘Gender Dysphoria in Adolescents: Can Adolescents or Parents give Valid Consent to Puberty Blockers’ (2021) 47 J Med Ethics 324, 325.</w:t>
      </w:r>
    </w:p>
  </w:footnote>
  <w:footnote w:id="109">
    <w:p w14:paraId="693C4DBA" w14:textId="77777777" w:rsidR="004830FC" w:rsidRPr="00F42C32" w:rsidRDefault="004830FC" w:rsidP="00886A76">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ibid</w:t>
      </w:r>
    </w:p>
  </w:footnote>
  <w:footnote w:id="110">
    <w:p w14:paraId="497ECA16" w14:textId="4E2690A3" w:rsidR="004830FC" w:rsidRPr="00F42C32" w:rsidRDefault="004830FC" w:rsidP="00886A76">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w:t>
      </w:r>
      <w:r w:rsidRPr="00F42C32">
        <w:rPr>
          <w:rFonts w:ascii="Times New Roman" w:hAnsi="Times New Roman" w:cs="Times New Roman"/>
          <w:i/>
          <w:iCs/>
        </w:rPr>
        <w:t xml:space="preserve">Bell </w:t>
      </w:r>
      <w:r w:rsidRPr="00F42C32">
        <w:rPr>
          <w:rFonts w:ascii="Times New Roman" w:hAnsi="Times New Roman" w:cs="Times New Roman"/>
        </w:rPr>
        <w:t>(n1)[145].</w:t>
      </w:r>
    </w:p>
  </w:footnote>
  <w:footnote w:id="111">
    <w:p w14:paraId="201B8EF4" w14:textId="77777777" w:rsidR="004830FC" w:rsidRPr="00F42C32" w:rsidRDefault="004830FC" w:rsidP="00886A76">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w:t>
      </w:r>
      <w:r w:rsidRPr="00F42C32">
        <w:rPr>
          <w:rFonts w:ascii="Times New Roman" w:hAnsi="Times New Roman" w:cs="Times New Roman"/>
          <w:i/>
          <w:iCs/>
        </w:rPr>
        <w:t xml:space="preserve">ibid </w:t>
      </w:r>
      <w:r w:rsidRPr="00F42C32">
        <w:rPr>
          <w:rFonts w:ascii="Times New Roman" w:hAnsi="Times New Roman" w:cs="Times New Roman"/>
        </w:rPr>
        <w:t>[44]</w:t>
      </w:r>
    </w:p>
  </w:footnote>
  <w:footnote w:id="112">
    <w:p w14:paraId="5C47DBC3" w14:textId="7F0DC5C7" w:rsidR="004830FC" w:rsidRPr="00F42C32" w:rsidRDefault="004830FC" w:rsidP="00886A76">
      <w:pPr>
        <w:rPr>
          <w:rFonts w:ascii="Times New Roman" w:hAnsi="Times New Roman" w:cs="Times New Roman"/>
          <w:sz w:val="20"/>
          <w:szCs w:val="20"/>
        </w:rPr>
      </w:pPr>
      <w:r w:rsidRPr="00057645">
        <w:rPr>
          <w:rStyle w:val="FootnoteReference"/>
          <w:rFonts w:ascii="Times New Roman" w:hAnsi="Times New Roman" w:cs="Times New Roman"/>
          <w:color w:val="000000" w:themeColor="text1"/>
          <w:sz w:val="20"/>
          <w:szCs w:val="20"/>
        </w:rPr>
        <w:footnoteRef/>
      </w:r>
      <w:r w:rsidRPr="00057645">
        <w:rPr>
          <w:rFonts w:ascii="Times New Roman" w:hAnsi="Times New Roman" w:cs="Times New Roman"/>
          <w:color w:val="000000" w:themeColor="text1"/>
          <w:sz w:val="20"/>
          <w:szCs w:val="20"/>
        </w:rPr>
        <w:t xml:space="preserve"> Fletcher (n</w:t>
      </w:r>
      <w:r w:rsidR="00574200">
        <w:rPr>
          <w:rFonts w:ascii="Times New Roman" w:hAnsi="Times New Roman" w:cs="Times New Roman"/>
          <w:color w:val="000000" w:themeColor="text1"/>
          <w:sz w:val="20"/>
          <w:szCs w:val="20"/>
        </w:rPr>
        <w:t>80</w:t>
      </w:r>
      <w:r w:rsidRPr="00057645">
        <w:rPr>
          <w:rFonts w:ascii="Times New Roman" w:hAnsi="Times New Roman" w:cs="Times New Roman"/>
          <w:color w:val="000000" w:themeColor="text1"/>
          <w:sz w:val="20"/>
          <w:szCs w:val="20"/>
        </w:rPr>
        <w:t>).</w:t>
      </w:r>
    </w:p>
  </w:footnote>
  <w:footnote w:id="113">
    <w:p w14:paraId="4BC6BFBA" w14:textId="77777777" w:rsidR="004830FC" w:rsidRPr="00F42C32" w:rsidRDefault="004830FC" w:rsidP="00886A76">
      <w:pPr>
        <w:pStyle w:val="FootnoteText"/>
        <w:rPr>
          <w:rFonts w:ascii="Times New Roman" w:hAnsi="Times New Roman" w:cs="Times New Roman"/>
        </w:rPr>
      </w:pPr>
      <w:r w:rsidRPr="00F42C32">
        <w:rPr>
          <w:rStyle w:val="FootnoteReference"/>
          <w:rFonts w:ascii="Times New Roman" w:hAnsi="Times New Roman" w:cs="Times New Roman"/>
        </w:rPr>
        <w:footnoteRef/>
      </w:r>
      <w:r w:rsidRPr="00F42C32">
        <w:rPr>
          <w:rFonts w:ascii="Times New Roman" w:hAnsi="Times New Roman" w:cs="Times New Roman"/>
        </w:rPr>
        <w:t xml:space="preserve"> S1</w:t>
      </w:r>
    </w:p>
  </w:footnote>
  <w:footnote w:id="114">
    <w:p w14:paraId="22B60E06" w14:textId="77777777" w:rsidR="004830FC" w:rsidRDefault="004830FC" w:rsidP="00886A76">
      <w:pPr>
        <w:pStyle w:val="FootnoteText"/>
      </w:pPr>
      <w:r w:rsidRPr="00F42C32">
        <w:rPr>
          <w:rStyle w:val="FootnoteReference"/>
          <w:rFonts w:ascii="Times New Roman" w:hAnsi="Times New Roman" w:cs="Times New Roman"/>
        </w:rPr>
        <w:footnoteRef/>
      </w:r>
      <w:r w:rsidRPr="00F42C32">
        <w:rPr>
          <w:rFonts w:ascii="Times New Roman" w:hAnsi="Times New Roman" w:cs="Times New Roman"/>
        </w:rPr>
        <w:t xml:space="preserve"> </w:t>
      </w:r>
      <w:r>
        <w:rPr>
          <w:rFonts w:ascii="Times New Roman" w:hAnsi="Times New Roman" w:cs="Times New Roman"/>
          <w:i/>
          <w:iCs/>
        </w:rPr>
        <w:t xml:space="preserve">Gillick </w:t>
      </w:r>
      <w:r w:rsidRPr="00DE31E9">
        <w:rPr>
          <w:rFonts w:ascii="Times New Roman" w:hAnsi="Times New Roman" w:cs="Times New Roman"/>
        </w:rPr>
        <w:t>(n6)</w:t>
      </w:r>
      <w:r w:rsidRPr="00F42C32">
        <w:rPr>
          <w:rFonts w:ascii="Times New Roman" w:hAnsi="Times New Roman" w:cs="Times New Roman"/>
        </w:rPr>
        <w:t xml:space="preserve"> 186</w:t>
      </w:r>
      <w:r>
        <w:t xml:space="preserve"> </w:t>
      </w:r>
    </w:p>
  </w:footnote>
  <w:footnote w:id="115">
    <w:p w14:paraId="3D44D2A6" w14:textId="77777777" w:rsidR="004830FC" w:rsidRDefault="004830FC" w:rsidP="00886A76">
      <w:pPr>
        <w:pStyle w:val="FootnoteText"/>
      </w:pPr>
      <w:r w:rsidRPr="00F42C32">
        <w:rPr>
          <w:rStyle w:val="FootnoteReference"/>
          <w:rFonts w:ascii="Times New Roman" w:hAnsi="Times New Roman" w:cs="Times New Roman"/>
        </w:rPr>
        <w:footnoteRef/>
      </w:r>
      <w:r w:rsidRPr="00F42C32">
        <w:rPr>
          <w:rFonts w:ascii="Times New Roman" w:hAnsi="Times New Roman" w:cs="Times New Roman"/>
        </w:rPr>
        <w:t xml:space="preserve"> Mermaids, ‘Latest updates – Tavistock Judicial Review’ (6 Oct 2020)</w:t>
      </w:r>
      <w:r>
        <w:t xml:space="preserve"> </w:t>
      </w:r>
    </w:p>
  </w:footnote>
  <w:footnote w:id="116">
    <w:p w14:paraId="1451F550" w14:textId="77777777" w:rsidR="004830FC" w:rsidRPr="003E2035" w:rsidRDefault="004830FC" w:rsidP="00886A76">
      <w:pPr>
        <w:pStyle w:val="FootnoteText"/>
        <w:rPr>
          <w:rFonts w:ascii="Times New Roman" w:hAnsi="Times New Roman" w:cs="Times New Roman"/>
        </w:rPr>
      </w:pPr>
      <w:r w:rsidRPr="003E2035">
        <w:rPr>
          <w:rStyle w:val="FootnoteReference"/>
          <w:rFonts w:ascii="Times New Roman" w:hAnsi="Times New Roman" w:cs="Times New Roman"/>
        </w:rPr>
        <w:footnoteRef/>
      </w:r>
      <w:r w:rsidRPr="003E2035">
        <w:rPr>
          <w:rFonts w:ascii="Times New Roman" w:hAnsi="Times New Roman" w:cs="Times New Roman"/>
        </w:rPr>
        <w:t xml:space="preserve">  See </w:t>
      </w:r>
      <w:r w:rsidRPr="003E2035">
        <w:rPr>
          <w:rFonts w:ascii="Times New Roman" w:hAnsi="Times New Roman" w:cs="Times New Roman"/>
          <w:i/>
          <w:iCs/>
          <w:lang w:val="en-US"/>
        </w:rPr>
        <w:t xml:space="preserve">Re E (A Minor) (Wardship: Medical Treatment) </w:t>
      </w:r>
      <w:r w:rsidRPr="003E2035">
        <w:rPr>
          <w:rFonts w:ascii="Times New Roman" w:hAnsi="Times New Roman" w:cs="Times New Roman"/>
          <w:lang w:val="en-US"/>
        </w:rPr>
        <w:t>[1991] 1 FLR 386.</w:t>
      </w:r>
    </w:p>
  </w:footnote>
  <w:footnote w:id="117">
    <w:p w14:paraId="273CAAB9" w14:textId="7D13ECD0" w:rsidR="004830FC" w:rsidRPr="003E2035" w:rsidRDefault="004830FC" w:rsidP="00886A76">
      <w:pPr>
        <w:pStyle w:val="FootnoteText"/>
        <w:rPr>
          <w:rFonts w:ascii="Times New Roman" w:hAnsi="Times New Roman" w:cs="Times New Roman"/>
        </w:rPr>
      </w:pPr>
      <w:r w:rsidRPr="003E2035">
        <w:rPr>
          <w:rStyle w:val="FootnoteReference"/>
          <w:rFonts w:ascii="Times New Roman" w:hAnsi="Times New Roman" w:cs="Times New Roman"/>
        </w:rPr>
        <w:footnoteRef/>
      </w:r>
      <w:r w:rsidRPr="003E2035">
        <w:rPr>
          <w:rFonts w:ascii="Times New Roman" w:hAnsi="Times New Roman" w:cs="Times New Roman"/>
        </w:rPr>
        <w:t xml:space="preserve"> </w:t>
      </w:r>
      <w:r w:rsidRPr="003E2035">
        <w:rPr>
          <w:rFonts w:ascii="Times New Roman" w:hAnsi="Times New Roman" w:cs="Times New Roman"/>
          <w:i/>
          <w:iCs/>
        </w:rPr>
        <w:t xml:space="preserve">Bell </w:t>
      </w:r>
      <w:r w:rsidRPr="003E2035">
        <w:rPr>
          <w:rFonts w:ascii="Times New Roman" w:hAnsi="Times New Roman" w:cs="Times New Roman"/>
        </w:rPr>
        <w:t>(n1</w:t>
      </w:r>
      <w:r>
        <w:rPr>
          <w:rFonts w:ascii="Times New Roman" w:hAnsi="Times New Roman" w:cs="Times New Roman"/>
        </w:rPr>
        <w:t>)</w:t>
      </w:r>
      <w:r w:rsidRPr="003E2035">
        <w:rPr>
          <w:rFonts w:ascii="Times New Roman" w:hAnsi="Times New Roman" w:cs="Times New Roman"/>
        </w:rPr>
        <w:t>[8]</w:t>
      </w:r>
    </w:p>
  </w:footnote>
  <w:footnote w:id="118">
    <w:p w14:paraId="5D6E3892" w14:textId="77777777" w:rsidR="004830FC" w:rsidRPr="003E2035" w:rsidRDefault="004830FC" w:rsidP="00886A76">
      <w:pPr>
        <w:pStyle w:val="FootnoteText"/>
        <w:rPr>
          <w:rFonts w:ascii="Times New Roman" w:hAnsi="Times New Roman" w:cs="Times New Roman"/>
        </w:rPr>
      </w:pPr>
      <w:r w:rsidRPr="003E2035">
        <w:rPr>
          <w:rStyle w:val="FootnoteReference"/>
          <w:rFonts w:ascii="Times New Roman" w:hAnsi="Times New Roman" w:cs="Times New Roman"/>
        </w:rPr>
        <w:footnoteRef/>
      </w:r>
      <w:r w:rsidRPr="003E2035">
        <w:rPr>
          <w:rFonts w:ascii="Times New Roman" w:hAnsi="Times New Roman" w:cs="Times New Roman"/>
        </w:rPr>
        <w:t xml:space="preserve"> </w:t>
      </w:r>
      <w:r w:rsidRPr="003E2035">
        <w:rPr>
          <w:rFonts w:ascii="Times New Roman" w:hAnsi="Times New Roman" w:cs="Times New Roman"/>
          <w:i/>
          <w:iCs/>
        </w:rPr>
        <w:t xml:space="preserve">ibid </w:t>
      </w:r>
      <w:r w:rsidRPr="003E2035">
        <w:rPr>
          <w:rFonts w:ascii="Times New Roman" w:hAnsi="Times New Roman" w:cs="Times New Roman"/>
        </w:rPr>
        <w:t>[94].</w:t>
      </w:r>
    </w:p>
  </w:footnote>
  <w:footnote w:id="119">
    <w:p w14:paraId="687D302C" w14:textId="77777777" w:rsidR="004830FC" w:rsidRPr="003E2035" w:rsidRDefault="004830FC" w:rsidP="00886A76">
      <w:pPr>
        <w:pStyle w:val="FootnoteText"/>
        <w:rPr>
          <w:rFonts w:ascii="Times New Roman" w:hAnsi="Times New Roman" w:cs="Times New Roman"/>
        </w:rPr>
      </w:pPr>
      <w:r w:rsidRPr="003E2035">
        <w:rPr>
          <w:rStyle w:val="FootnoteReference"/>
          <w:rFonts w:ascii="Times New Roman" w:hAnsi="Times New Roman" w:cs="Times New Roman"/>
        </w:rPr>
        <w:footnoteRef/>
      </w:r>
      <w:r w:rsidRPr="003E2035">
        <w:rPr>
          <w:rFonts w:ascii="Times New Roman" w:hAnsi="Times New Roman" w:cs="Times New Roman"/>
        </w:rPr>
        <w:t xml:space="preserve"> </w:t>
      </w:r>
      <w:r w:rsidRPr="003E2035">
        <w:rPr>
          <w:rFonts w:ascii="Times New Roman" w:hAnsi="Times New Roman" w:cs="Times New Roman"/>
          <w:i/>
          <w:iCs/>
        </w:rPr>
        <w:t xml:space="preserve">ibid </w:t>
      </w:r>
      <w:r w:rsidRPr="003E2035">
        <w:rPr>
          <w:rFonts w:ascii="Times New Roman" w:hAnsi="Times New Roman" w:cs="Times New Roman"/>
        </w:rPr>
        <w:t>[121]-[123]</w:t>
      </w:r>
    </w:p>
  </w:footnote>
  <w:footnote w:id="120">
    <w:p w14:paraId="25AE00D8" w14:textId="77777777" w:rsidR="004830FC" w:rsidRPr="003E2035" w:rsidRDefault="004830FC" w:rsidP="00886A76">
      <w:pPr>
        <w:pStyle w:val="FootnoteText"/>
        <w:rPr>
          <w:rFonts w:ascii="Times New Roman" w:hAnsi="Times New Roman" w:cs="Times New Roman"/>
        </w:rPr>
      </w:pPr>
      <w:r w:rsidRPr="003E2035">
        <w:rPr>
          <w:rStyle w:val="FootnoteReference"/>
          <w:rFonts w:ascii="Times New Roman" w:hAnsi="Times New Roman" w:cs="Times New Roman"/>
        </w:rPr>
        <w:footnoteRef/>
      </w:r>
      <w:r w:rsidRPr="003E2035">
        <w:rPr>
          <w:rFonts w:ascii="Times New Roman" w:hAnsi="Times New Roman" w:cs="Times New Roman"/>
        </w:rPr>
        <w:t xml:space="preserve"> </w:t>
      </w:r>
      <w:r>
        <w:rPr>
          <w:rFonts w:ascii="Times New Roman" w:hAnsi="Times New Roman" w:cs="Times New Roman"/>
          <w:i/>
          <w:iCs/>
        </w:rPr>
        <w:t>ibid</w:t>
      </w:r>
      <w:r w:rsidRPr="003E2035">
        <w:rPr>
          <w:rFonts w:ascii="Times New Roman" w:hAnsi="Times New Roman" w:cs="Times New Roman"/>
          <w:i/>
          <w:iCs/>
        </w:rPr>
        <w:t xml:space="preserve"> </w:t>
      </w:r>
      <w:r w:rsidRPr="003E2035">
        <w:rPr>
          <w:rFonts w:ascii="Times New Roman" w:hAnsi="Times New Roman" w:cs="Times New Roman"/>
        </w:rPr>
        <w:t>[124]</w:t>
      </w:r>
      <w:r>
        <w:rPr>
          <w:rFonts w:ascii="Times New Roman" w:hAnsi="Times New Roman" w:cs="Times New Roman"/>
        </w:rPr>
        <w:t>.</w:t>
      </w:r>
    </w:p>
  </w:footnote>
  <w:footnote w:id="121">
    <w:p w14:paraId="1F6337C9" w14:textId="77777777" w:rsidR="004830FC" w:rsidRPr="003E2035" w:rsidRDefault="004830FC" w:rsidP="00886A76">
      <w:pPr>
        <w:pStyle w:val="FootnoteText"/>
        <w:rPr>
          <w:rFonts w:ascii="Times New Roman" w:hAnsi="Times New Roman" w:cs="Times New Roman"/>
        </w:rPr>
      </w:pPr>
      <w:r w:rsidRPr="003E2035">
        <w:rPr>
          <w:rStyle w:val="FootnoteReference"/>
          <w:rFonts w:ascii="Times New Roman" w:hAnsi="Times New Roman" w:cs="Times New Roman"/>
        </w:rPr>
        <w:footnoteRef/>
      </w:r>
      <w:r w:rsidRPr="003E2035">
        <w:rPr>
          <w:rFonts w:ascii="Times New Roman" w:hAnsi="Times New Roman" w:cs="Times New Roman"/>
        </w:rPr>
        <w:t xml:space="preserve"> </w:t>
      </w:r>
      <w:r>
        <w:rPr>
          <w:rFonts w:ascii="Times New Roman" w:hAnsi="Times New Roman" w:cs="Times New Roman"/>
          <w:i/>
          <w:iCs/>
        </w:rPr>
        <w:t>ibid</w:t>
      </w:r>
      <w:r w:rsidRPr="003E2035">
        <w:rPr>
          <w:rFonts w:ascii="Times New Roman" w:hAnsi="Times New Roman" w:cs="Times New Roman"/>
          <w:i/>
          <w:iCs/>
        </w:rPr>
        <w:t xml:space="preserve"> </w:t>
      </w:r>
      <w:r w:rsidRPr="003E2035">
        <w:rPr>
          <w:rFonts w:ascii="Times New Roman" w:hAnsi="Times New Roman" w:cs="Times New Roman"/>
        </w:rPr>
        <w:t>[98].</w:t>
      </w:r>
    </w:p>
  </w:footnote>
  <w:footnote w:id="122">
    <w:p w14:paraId="3C5FE147" w14:textId="77777777" w:rsidR="004830FC" w:rsidRPr="003E2035" w:rsidRDefault="004830FC" w:rsidP="00886A76">
      <w:pPr>
        <w:pStyle w:val="FootnoteText"/>
        <w:rPr>
          <w:rFonts w:ascii="Times New Roman" w:hAnsi="Times New Roman" w:cs="Times New Roman"/>
        </w:rPr>
      </w:pPr>
      <w:r w:rsidRPr="003E2035">
        <w:rPr>
          <w:rStyle w:val="FootnoteReference"/>
          <w:rFonts w:ascii="Times New Roman" w:hAnsi="Times New Roman" w:cs="Times New Roman"/>
        </w:rPr>
        <w:footnoteRef/>
      </w:r>
      <w:r w:rsidRPr="003E2035">
        <w:rPr>
          <w:rFonts w:ascii="Times New Roman" w:hAnsi="Times New Roman" w:cs="Times New Roman"/>
        </w:rPr>
        <w:t xml:space="preserve"> Emma Cave and Craig </w:t>
      </w:r>
      <w:proofErr w:type="spellStart"/>
      <w:r w:rsidRPr="003E2035">
        <w:rPr>
          <w:rFonts w:ascii="Times New Roman" w:hAnsi="Times New Roman" w:cs="Times New Roman"/>
        </w:rPr>
        <w:t>Purshouse</w:t>
      </w:r>
      <w:proofErr w:type="spellEnd"/>
      <w:r w:rsidRPr="003E2035">
        <w:rPr>
          <w:rFonts w:ascii="Times New Roman" w:hAnsi="Times New Roman" w:cs="Times New Roman"/>
        </w:rPr>
        <w:t>, ‘Think of the Children: Liability for non-disclosure of Information Post-Montgomery’ (2020) 28(2) Med LR 270.</w:t>
      </w:r>
    </w:p>
  </w:footnote>
  <w:footnote w:id="123">
    <w:p w14:paraId="455230AB" w14:textId="77777777" w:rsidR="004830FC" w:rsidRPr="003E2035" w:rsidRDefault="004830FC" w:rsidP="00886A76">
      <w:pPr>
        <w:pStyle w:val="FootnoteText"/>
        <w:rPr>
          <w:rFonts w:ascii="Times New Roman" w:hAnsi="Times New Roman" w:cs="Times New Roman"/>
        </w:rPr>
      </w:pPr>
      <w:r w:rsidRPr="003E2035">
        <w:rPr>
          <w:rStyle w:val="FootnoteReference"/>
          <w:rFonts w:ascii="Times New Roman" w:hAnsi="Times New Roman" w:cs="Times New Roman"/>
        </w:rPr>
        <w:footnoteRef/>
      </w:r>
      <w:r w:rsidRPr="003E2035">
        <w:rPr>
          <w:rFonts w:ascii="Times New Roman" w:hAnsi="Times New Roman" w:cs="Times New Roman"/>
        </w:rPr>
        <w:t xml:space="preserve"> </w:t>
      </w:r>
      <w:r w:rsidRPr="003E2035">
        <w:rPr>
          <w:rFonts w:ascii="Times New Roman" w:hAnsi="Times New Roman" w:cs="Times New Roman"/>
          <w:i/>
          <w:iCs/>
        </w:rPr>
        <w:t>Bell</w:t>
      </w:r>
      <w:r w:rsidRPr="00DE31E9">
        <w:rPr>
          <w:rFonts w:ascii="Times New Roman" w:hAnsi="Times New Roman" w:cs="Times New Roman"/>
        </w:rPr>
        <w:t>(n1)</w:t>
      </w:r>
      <w:r w:rsidRPr="003E2035">
        <w:rPr>
          <w:rFonts w:ascii="Times New Roman" w:hAnsi="Times New Roman" w:cs="Times New Roman"/>
          <w:i/>
          <w:iCs/>
        </w:rPr>
        <w:t xml:space="preserve"> </w:t>
      </w:r>
      <w:r w:rsidRPr="003E2035">
        <w:rPr>
          <w:rFonts w:ascii="Times New Roman" w:hAnsi="Times New Roman" w:cs="Times New Roman"/>
        </w:rPr>
        <w:t>[128],[130].</w:t>
      </w:r>
    </w:p>
  </w:footnote>
  <w:footnote w:id="124">
    <w:p w14:paraId="7D21DBB8" w14:textId="77777777" w:rsidR="004830FC" w:rsidRPr="003E2035" w:rsidRDefault="004830FC" w:rsidP="00886A76">
      <w:pPr>
        <w:pStyle w:val="FootnoteText"/>
        <w:rPr>
          <w:rFonts w:ascii="Times New Roman" w:hAnsi="Times New Roman" w:cs="Times New Roman"/>
        </w:rPr>
      </w:pPr>
      <w:r w:rsidRPr="003E2035">
        <w:rPr>
          <w:rStyle w:val="FootnoteReference"/>
          <w:rFonts w:ascii="Times New Roman" w:hAnsi="Times New Roman" w:cs="Times New Roman"/>
        </w:rPr>
        <w:footnoteRef/>
      </w:r>
      <w:r w:rsidRPr="003E2035">
        <w:rPr>
          <w:rFonts w:ascii="Times New Roman" w:hAnsi="Times New Roman" w:cs="Times New Roman"/>
        </w:rPr>
        <w:t xml:space="preserve"> </w:t>
      </w:r>
      <w:r w:rsidRPr="003E2035">
        <w:rPr>
          <w:rFonts w:ascii="Times New Roman" w:hAnsi="Times New Roman" w:cs="Times New Roman"/>
          <w:i/>
          <w:iCs/>
        </w:rPr>
        <w:t xml:space="preserve">Bell </w:t>
      </w:r>
      <w:r w:rsidRPr="003E2035">
        <w:rPr>
          <w:rFonts w:ascii="Times New Roman" w:hAnsi="Times New Roman" w:cs="Times New Roman"/>
        </w:rPr>
        <w:t xml:space="preserve">[124] </w:t>
      </w:r>
    </w:p>
  </w:footnote>
  <w:footnote w:id="125">
    <w:p w14:paraId="16F72C9D" w14:textId="77777777" w:rsidR="004830FC" w:rsidRPr="003E2035" w:rsidRDefault="004830FC" w:rsidP="00886A76">
      <w:pPr>
        <w:pStyle w:val="FootnoteText"/>
        <w:rPr>
          <w:rFonts w:ascii="Times New Roman" w:hAnsi="Times New Roman" w:cs="Times New Roman"/>
        </w:rPr>
      </w:pPr>
      <w:r w:rsidRPr="003E2035">
        <w:rPr>
          <w:rStyle w:val="FootnoteReference"/>
          <w:rFonts w:ascii="Times New Roman" w:hAnsi="Times New Roman" w:cs="Times New Roman"/>
        </w:rPr>
        <w:footnoteRef/>
      </w:r>
      <w:r w:rsidRPr="003E2035">
        <w:rPr>
          <w:rFonts w:ascii="Times New Roman" w:hAnsi="Times New Roman" w:cs="Times New Roman"/>
        </w:rPr>
        <w:t xml:space="preserve"> </w:t>
      </w:r>
      <w:r w:rsidRPr="003E2035">
        <w:rPr>
          <w:rFonts w:ascii="Times New Roman" w:hAnsi="Times New Roman" w:cs="Times New Roman"/>
          <w:i/>
          <w:iCs/>
        </w:rPr>
        <w:t xml:space="preserve">Bell </w:t>
      </w:r>
      <w:r w:rsidRPr="003E2035">
        <w:rPr>
          <w:rFonts w:ascii="Times New Roman" w:hAnsi="Times New Roman" w:cs="Times New Roman"/>
        </w:rPr>
        <w:t>[144]</w:t>
      </w:r>
    </w:p>
  </w:footnote>
  <w:footnote w:id="126">
    <w:p w14:paraId="237745CC" w14:textId="520802CE" w:rsidR="004830FC" w:rsidRPr="003E2035" w:rsidRDefault="004830FC" w:rsidP="00886A76">
      <w:pPr>
        <w:pStyle w:val="FootnoteText"/>
        <w:rPr>
          <w:rFonts w:ascii="Times New Roman" w:hAnsi="Times New Roman" w:cs="Times New Roman"/>
        </w:rPr>
      </w:pPr>
      <w:r w:rsidRPr="003E2035">
        <w:rPr>
          <w:rStyle w:val="FootnoteReference"/>
          <w:rFonts w:ascii="Times New Roman" w:hAnsi="Times New Roman" w:cs="Times New Roman"/>
        </w:rPr>
        <w:footnoteRef/>
      </w:r>
      <w:r w:rsidRPr="003E2035">
        <w:rPr>
          <w:rFonts w:ascii="Times New Roman" w:hAnsi="Times New Roman" w:cs="Times New Roman"/>
        </w:rPr>
        <w:t xml:space="preserve"> Fletcher </w:t>
      </w:r>
      <w:r>
        <w:rPr>
          <w:rFonts w:ascii="Times New Roman" w:hAnsi="Times New Roman" w:cs="Times New Roman"/>
        </w:rPr>
        <w:t>(n</w:t>
      </w:r>
      <w:r w:rsidR="00574200">
        <w:rPr>
          <w:rFonts w:ascii="Times New Roman" w:hAnsi="Times New Roman" w:cs="Times New Roman"/>
        </w:rPr>
        <w:t>80</w:t>
      </w:r>
      <w:r>
        <w:rPr>
          <w:rFonts w:ascii="Times New Roman" w:hAnsi="Times New Roman" w:cs="Times New Roman"/>
        </w:rPr>
        <w:t>).</w:t>
      </w:r>
    </w:p>
  </w:footnote>
  <w:footnote w:id="127">
    <w:p w14:paraId="31BD76E1" w14:textId="4831C098" w:rsidR="004830FC" w:rsidRDefault="004830FC" w:rsidP="00886A76">
      <w:pPr>
        <w:pStyle w:val="FootnoteText"/>
      </w:pPr>
      <w:r w:rsidRPr="003E2035">
        <w:rPr>
          <w:rStyle w:val="FootnoteReference"/>
          <w:rFonts w:ascii="Times New Roman" w:hAnsi="Times New Roman" w:cs="Times New Roman"/>
        </w:rPr>
        <w:footnoteRef/>
      </w:r>
      <w:r w:rsidRPr="003E2035">
        <w:rPr>
          <w:rFonts w:ascii="Times New Roman" w:hAnsi="Times New Roman" w:cs="Times New Roman"/>
        </w:rPr>
        <w:t xml:space="preserve"> Cave </w:t>
      </w:r>
      <w:r>
        <w:rPr>
          <w:rFonts w:ascii="Times New Roman" w:hAnsi="Times New Roman" w:cs="Times New Roman"/>
        </w:rPr>
        <w:t>(n1</w:t>
      </w:r>
      <w:r w:rsidR="00574200">
        <w:rPr>
          <w:rFonts w:ascii="Times New Roman" w:hAnsi="Times New Roman" w:cs="Times New Roman"/>
        </w:rPr>
        <w:t>22</w:t>
      </w:r>
      <w:r>
        <w:rPr>
          <w:rFonts w:ascii="Times New Roman" w:hAnsi="Times New Roman" w:cs="Times New Roman"/>
        </w:rPr>
        <w:t xml:space="preserve">) </w:t>
      </w:r>
      <w:r w:rsidRPr="003E2035">
        <w:rPr>
          <w:rFonts w:ascii="Times New Roman" w:hAnsi="Times New Roman" w:cs="Times New Roman"/>
        </w:rPr>
        <w:t>271.</w:t>
      </w:r>
    </w:p>
  </w:footnote>
  <w:footnote w:id="128">
    <w:p w14:paraId="677FCE34" w14:textId="19985DD8" w:rsidR="004830FC" w:rsidRPr="00335DB5" w:rsidRDefault="004830FC" w:rsidP="006C1145">
      <w:pPr>
        <w:pStyle w:val="FootnoteText"/>
        <w:rPr>
          <w:rFonts w:ascii="Times New Roman" w:hAnsi="Times New Roman" w:cs="Times New Roman"/>
        </w:rPr>
      </w:pPr>
      <w:r w:rsidRPr="00335DB5">
        <w:rPr>
          <w:rStyle w:val="FootnoteReference"/>
          <w:rFonts w:ascii="Times New Roman" w:hAnsi="Times New Roman" w:cs="Times New Roman"/>
        </w:rPr>
        <w:footnoteRef/>
      </w:r>
      <w:r w:rsidRPr="00335DB5">
        <w:rPr>
          <w:rFonts w:ascii="Times New Roman" w:hAnsi="Times New Roman" w:cs="Times New Roman"/>
        </w:rPr>
        <w:t xml:space="preserve"> </w:t>
      </w:r>
      <w:r>
        <w:rPr>
          <w:rFonts w:ascii="Times New Roman" w:hAnsi="Times New Roman" w:cs="Times New Roman"/>
          <w:i/>
          <w:iCs/>
        </w:rPr>
        <w:t xml:space="preserve">Bell </w:t>
      </w:r>
      <w:r>
        <w:rPr>
          <w:rFonts w:ascii="Times New Roman" w:hAnsi="Times New Roman" w:cs="Times New Roman"/>
        </w:rPr>
        <w:t>(n1)</w:t>
      </w:r>
      <w:r w:rsidRPr="00335DB5">
        <w:rPr>
          <w:rFonts w:ascii="Times New Roman" w:hAnsi="Times New Roman" w:cs="Times New Roman"/>
        </w:rPr>
        <w:t>[47]</w:t>
      </w:r>
    </w:p>
  </w:footnote>
  <w:footnote w:id="129">
    <w:p w14:paraId="2D16878B" w14:textId="3C73FBAD" w:rsidR="004830FC" w:rsidRPr="00DE31E9" w:rsidRDefault="004830FC" w:rsidP="006C1145">
      <w:pPr>
        <w:pStyle w:val="FootnoteText"/>
        <w:rPr>
          <w:rFonts w:ascii="Times New Roman" w:hAnsi="Times New Roman" w:cs="Times New Roman"/>
          <w:color w:val="000000" w:themeColor="text1"/>
        </w:rPr>
      </w:pPr>
      <w:r w:rsidRPr="00335DB5">
        <w:rPr>
          <w:rStyle w:val="FootnoteReference"/>
          <w:rFonts w:ascii="Times New Roman" w:hAnsi="Times New Roman" w:cs="Times New Roman"/>
        </w:rPr>
        <w:footnoteRef/>
      </w:r>
      <w:r w:rsidRPr="00335DB5">
        <w:rPr>
          <w:rFonts w:ascii="Times New Roman" w:hAnsi="Times New Roman" w:cs="Times New Roman"/>
        </w:rPr>
        <w:t xml:space="preserve"> White </w:t>
      </w:r>
      <w:r>
        <w:rPr>
          <w:rFonts w:ascii="Times New Roman" w:hAnsi="Times New Roman" w:cs="Times New Roman"/>
          <w:color w:val="000000" w:themeColor="text1"/>
        </w:rPr>
        <w:t>(n</w:t>
      </w:r>
      <w:r w:rsidR="00574200">
        <w:rPr>
          <w:rFonts w:ascii="Times New Roman" w:hAnsi="Times New Roman" w:cs="Times New Roman"/>
          <w:color w:val="000000" w:themeColor="text1"/>
        </w:rPr>
        <w:t>50</w:t>
      </w:r>
      <w:r>
        <w:rPr>
          <w:rFonts w:ascii="Times New Roman" w:hAnsi="Times New Roman" w:cs="Times New Roman"/>
          <w:color w:val="000000" w:themeColor="text1"/>
        </w:rPr>
        <w:t>).</w:t>
      </w:r>
    </w:p>
  </w:footnote>
  <w:footnote w:id="130">
    <w:p w14:paraId="545AB37D" w14:textId="77777777" w:rsidR="004830FC" w:rsidRPr="00335DB5" w:rsidRDefault="004830FC" w:rsidP="006C1145">
      <w:pPr>
        <w:pStyle w:val="FootnoteText"/>
        <w:rPr>
          <w:rFonts w:ascii="Times New Roman" w:hAnsi="Times New Roman" w:cs="Times New Roman"/>
        </w:rPr>
      </w:pPr>
      <w:r w:rsidRPr="00335DB5">
        <w:rPr>
          <w:rStyle w:val="FootnoteReference"/>
          <w:rFonts w:ascii="Times New Roman" w:hAnsi="Times New Roman" w:cs="Times New Roman"/>
        </w:rPr>
        <w:footnoteRef/>
      </w:r>
      <w:r w:rsidRPr="00335DB5">
        <w:rPr>
          <w:rFonts w:ascii="Times New Roman" w:hAnsi="Times New Roman" w:cs="Times New Roman"/>
        </w:rPr>
        <w:t xml:space="preserve"> Good Law project, ‘Our Parent Consent Case against the Tavistock has succeeded’. (26 March 2021).</w:t>
      </w:r>
    </w:p>
  </w:footnote>
  <w:footnote w:id="131">
    <w:p w14:paraId="36A4B401" w14:textId="122019D5" w:rsidR="004830FC" w:rsidRPr="00335DB5" w:rsidRDefault="004830FC" w:rsidP="006C1145">
      <w:pPr>
        <w:pStyle w:val="FootnoteText"/>
        <w:rPr>
          <w:rFonts w:ascii="Times New Roman" w:hAnsi="Times New Roman" w:cs="Times New Roman"/>
        </w:rPr>
      </w:pPr>
      <w:r w:rsidRPr="00335DB5">
        <w:rPr>
          <w:rStyle w:val="FootnoteReference"/>
          <w:rFonts w:ascii="Times New Roman" w:hAnsi="Times New Roman" w:cs="Times New Roman"/>
        </w:rPr>
        <w:footnoteRef/>
      </w:r>
      <w:r w:rsidRPr="00335DB5">
        <w:rPr>
          <w:rFonts w:ascii="Times New Roman" w:hAnsi="Times New Roman" w:cs="Times New Roman"/>
        </w:rPr>
        <w:t xml:space="preserve"> </w:t>
      </w:r>
      <w:r w:rsidR="00A70A67">
        <w:rPr>
          <w:rFonts w:ascii="Times New Roman" w:hAnsi="Times New Roman" w:cs="Times New Roman"/>
          <w:i/>
          <w:iCs/>
        </w:rPr>
        <w:t xml:space="preserve">AB </w:t>
      </w:r>
      <w:r w:rsidRPr="00335DB5">
        <w:rPr>
          <w:rFonts w:ascii="Times New Roman" w:hAnsi="Times New Roman" w:cs="Times New Roman"/>
        </w:rPr>
        <w:t>[8]-[9].</w:t>
      </w:r>
    </w:p>
  </w:footnote>
  <w:footnote w:id="132">
    <w:p w14:paraId="679A4BEC" w14:textId="16988BC2" w:rsidR="004830FC" w:rsidRPr="00DE31E9" w:rsidRDefault="004830FC" w:rsidP="006C1145">
      <w:pPr>
        <w:pStyle w:val="FootnoteText"/>
        <w:rPr>
          <w:rFonts w:ascii="Times New Roman" w:hAnsi="Times New Roman" w:cs="Times New Roman"/>
          <w:color w:val="000000" w:themeColor="text1"/>
        </w:rPr>
      </w:pPr>
      <w:r w:rsidRPr="00335DB5">
        <w:rPr>
          <w:rStyle w:val="FootnoteReference"/>
          <w:rFonts w:ascii="Times New Roman" w:hAnsi="Times New Roman" w:cs="Times New Roman"/>
        </w:rPr>
        <w:footnoteRef/>
      </w:r>
      <w:r w:rsidRPr="00335DB5">
        <w:rPr>
          <w:rFonts w:ascii="Times New Roman" w:hAnsi="Times New Roman" w:cs="Times New Roman"/>
        </w:rPr>
        <w:t xml:space="preserve"> </w:t>
      </w:r>
      <w:r w:rsidRPr="00335DB5">
        <w:rPr>
          <w:rFonts w:ascii="Times New Roman" w:hAnsi="Times New Roman" w:cs="Times New Roman"/>
          <w:i/>
          <w:iCs/>
        </w:rPr>
        <w:t xml:space="preserve">Re X </w:t>
      </w:r>
      <w:r>
        <w:rPr>
          <w:rFonts w:ascii="Times New Roman" w:hAnsi="Times New Roman" w:cs="Times New Roman"/>
          <w:color w:val="000000" w:themeColor="text1"/>
        </w:rPr>
        <w:t>(n2</w:t>
      </w:r>
      <w:r w:rsidR="00574200">
        <w:rPr>
          <w:rFonts w:ascii="Times New Roman" w:hAnsi="Times New Roman" w:cs="Times New Roman"/>
          <w:color w:val="000000" w:themeColor="text1"/>
        </w:rPr>
        <w:t>1</w:t>
      </w:r>
      <w:r>
        <w:rPr>
          <w:rFonts w:ascii="Times New Roman" w:hAnsi="Times New Roman" w:cs="Times New Roman"/>
          <w:color w:val="000000" w:themeColor="text1"/>
        </w:rPr>
        <w:t>)</w:t>
      </w:r>
    </w:p>
  </w:footnote>
  <w:footnote w:id="133">
    <w:p w14:paraId="255F9A77" w14:textId="794C80EC" w:rsidR="004830FC" w:rsidRPr="00335DB5" w:rsidRDefault="004830FC" w:rsidP="006C1145">
      <w:pPr>
        <w:pStyle w:val="FootnoteText"/>
        <w:rPr>
          <w:rFonts w:ascii="Times New Roman" w:hAnsi="Times New Roman" w:cs="Times New Roman"/>
        </w:rPr>
      </w:pPr>
      <w:r w:rsidRPr="00335DB5">
        <w:rPr>
          <w:rStyle w:val="FootnoteReference"/>
          <w:rFonts w:ascii="Times New Roman" w:hAnsi="Times New Roman" w:cs="Times New Roman"/>
        </w:rPr>
        <w:footnoteRef/>
      </w:r>
      <w:r w:rsidRPr="00335DB5">
        <w:rPr>
          <w:rFonts w:ascii="Times New Roman" w:hAnsi="Times New Roman" w:cs="Times New Roman"/>
        </w:rPr>
        <w:t xml:space="preserve"> </w:t>
      </w:r>
      <w:r w:rsidRPr="00335DB5">
        <w:rPr>
          <w:rFonts w:ascii="Times New Roman" w:hAnsi="Times New Roman" w:cs="Times New Roman"/>
          <w:i/>
          <w:iCs/>
        </w:rPr>
        <w:t xml:space="preserve">AB </w:t>
      </w:r>
      <w:r>
        <w:rPr>
          <w:rFonts w:ascii="Times New Roman" w:hAnsi="Times New Roman" w:cs="Times New Roman"/>
          <w:color w:val="000000" w:themeColor="text1"/>
        </w:rPr>
        <w:t>(n</w:t>
      </w:r>
      <w:r w:rsidR="00A70A67">
        <w:rPr>
          <w:rFonts w:ascii="Times New Roman" w:hAnsi="Times New Roman" w:cs="Times New Roman"/>
          <w:color w:val="000000" w:themeColor="text1"/>
        </w:rPr>
        <w:t>5</w:t>
      </w:r>
      <w:r>
        <w:rPr>
          <w:rFonts w:ascii="Times New Roman" w:hAnsi="Times New Roman" w:cs="Times New Roman"/>
          <w:color w:val="000000" w:themeColor="text1"/>
        </w:rPr>
        <w:t>)[</w:t>
      </w:r>
      <w:r w:rsidRPr="00335DB5">
        <w:rPr>
          <w:rFonts w:ascii="Times New Roman" w:hAnsi="Times New Roman" w:cs="Times New Roman"/>
        </w:rPr>
        <w:t>52],[59].</w:t>
      </w:r>
    </w:p>
  </w:footnote>
  <w:footnote w:id="134">
    <w:p w14:paraId="5FB59920" w14:textId="77777777" w:rsidR="004830FC" w:rsidRPr="00335DB5" w:rsidRDefault="004830FC" w:rsidP="006C1145">
      <w:pPr>
        <w:pStyle w:val="FootnoteText"/>
        <w:rPr>
          <w:rFonts w:ascii="Times New Roman" w:hAnsi="Times New Roman" w:cs="Times New Roman"/>
        </w:rPr>
      </w:pPr>
      <w:r w:rsidRPr="00335DB5">
        <w:rPr>
          <w:rStyle w:val="FootnoteReference"/>
          <w:rFonts w:ascii="Times New Roman" w:hAnsi="Times New Roman" w:cs="Times New Roman"/>
        </w:rPr>
        <w:footnoteRef/>
      </w:r>
      <w:r w:rsidRPr="00335DB5">
        <w:rPr>
          <w:rFonts w:ascii="Times New Roman" w:hAnsi="Times New Roman" w:cs="Times New Roman"/>
        </w:rPr>
        <w:t xml:space="preserve"> </w:t>
      </w:r>
      <w:r w:rsidRPr="00335DB5">
        <w:rPr>
          <w:rFonts w:ascii="Times New Roman" w:hAnsi="Times New Roman" w:cs="Times New Roman"/>
          <w:i/>
          <w:iCs/>
        </w:rPr>
        <w:t xml:space="preserve">ibid </w:t>
      </w:r>
      <w:r w:rsidRPr="00335DB5">
        <w:rPr>
          <w:rFonts w:ascii="Times New Roman" w:hAnsi="Times New Roman" w:cs="Times New Roman"/>
        </w:rPr>
        <w:t>[67].</w:t>
      </w:r>
    </w:p>
  </w:footnote>
  <w:footnote w:id="135">
    <w:p w14:paraId="54C04EEB" w14:textId="77777777" w:rsidR="004830FC" w:rsidRPr="00335DB5" w:rsidRDefault="004830FC" w:rsidP="006C1145">
      <w:pPr>
        <w:pStyle w:val="FootnoteText"/>
        <w:rPr>
          <w:rFonts w:ascii="Times New Roman" w:hAnsi="Times New Roman" w:cs="Times New Roman"/>
        </w:rPr>
      </w:pPr>
      <w:r w:rsidRPr="00335DB5">
        <w:rPr>
          <w:rStyle w:val="FootnoteReference"/>
          <w:rFonts w:ascii="Times New Roman" w:hAnsi="Times New Roman" w:cs="Times New Roman"/>
        </w:rPr>
        <w:footnoteRef/>
      </w:r>
      <w:r w:rsidRPr="00335DB5">
        <w:rPr>
          <w:rFonts w:ascii="Times New Roman" w:hAnsi="Times New Roman" w:cs="Times New Roman"/>
        </w:rPr>
        <w:t xml:space="preserve"> </w:t>
      </w:r>
      <w:r w:rsidRPr="00335DB5">
        <w:rPr>
          <w:rFonts w:ascii="Times New Roman" w:hAnsi="Times New Roman" w:cs="Times New Roman"/>
          <w:i/>
          <w:iCs/>
        </w:rPr>
        <w:t xml:space="preserve">ibid </w:t>
      </w:r>
      <w:r w:rsidRPr="00335DB5">
        <w:rPr>
          <w:rFonts w:ascii="Times New Roman" w:hAnsi="Times New Roman" w:cs="Times New Roman"/>
        </w:rPr>
        <w:t>[70]</w:t>
      </w:r>
    </w:p>
  </w:footnote>
  <w:footnote w:id="136">
    <w:p w14:paraId="70A07598" w14:textId="15A2450E" w:rsidR="004830FC" w:rsidRPr="00335DB5" w:rsidRDefault="004830FC" w:rsidP="006C1145">
      <w:pPr>
        <w:pStyle w:val="FootnoteText"/>
        <w:rPr>
          <w:rFonts w:ascii="Times New Roman" w:hAnsi="Times New Roman" w:cs="Times New Roman"/>
        </w:rPr>
      </w:pPr>
      <w:r w:rsidRPr="00335DB5">
        <w:rPr>
          <w:rStyle w:val="FootnoteReference"/>
          <w:rFonts w:ascii="Times New Roman" w:hAnsi="Times New Roman" w:cs="Times New Roman"/>
        </w:rPr>
        <w:footnoteRef/>
      </w:r>
      <w:r w:rsidRPr="00335DB5">
        <w:rPr>
          <w:rFonts w:ascii="Times New Roman" w:hAnsi="Times New Roman" w:cs="Times New Roman"/>
        </w:rPr>
        <w:t xml:space="preserve"> Bianca Jackson, ‘Best Interests Application’ </w:t>
      </w:r>
      <w:r w:rsidRPr="00335DB5">
        <w:rPr>
          <w:rFonts w:ascii="Times New Roman" w:hAnsi="Times New Roman" w:cs="Times New Roman"/>
          <w:i/>
          <w:iCs/>
        </w:rPr>
        <w:t xml:space="preserve">Bell v Tavistock – The Medico-Legal Consequences </w:t>
      </w:r>
      <w:r w:rsidRPr="00335DB5">
        <w:rPr>
          <w:rFonts w:ascii="Times New Roman" w:hAnsi="Times New Roman" w:cs="Times New Roman"/>
        </w:rPr>
        <w:t>(University of Bristol, 3 March 2021).</w:t>
      </w:r>
    </w:p>
  </w:footnote>
  <w:footnote w:id="137">
    <w:p w14:paraId="56CC3B75" w14:textId="77777777" w:rsidR="004830FC" w:rsidRPr="00335DB5" w:rsidRDefault="004830FC" w:rsidP="006C1145">
      <w:pPr>
        <w:pStyle w:val="FootnoteText"/>
        <w:rPr>
          <w:rFonts w:ascii="Times New Roman" w:hAnsi="Times New Roman" w:cs="Times New Roman"/>
        </w:rPr>
      </w:pPr>
      <w:r w:rsidRPr="00335DB5">
        <w:rPr>
          <w:rStyle w:val="FootnoteReference"/>
          <w:rFonts w:ascii="Times New Roman" w:hAnsi="Times New Roman" w:cs="Times New Roman"/>
        </w:rPr>
        <w:footnoteRef/>
      </w:r>
      <w:r w:rsidRPr="00335DB5">
        <w:rPr>
          <w:rFonts w:ascii="Times New Roman" w:hAnsi="Times New Roman" w:cs="Times New Roman"/>
        </w:rPr>
        <w:t xml:space="preserve"> </w:t>
      </w:r>
      <w:r w:rsidRPr="00335DB5">
        <w:rPr>
          <w:rFonts w:ascii="Times New Roman" w:hAnsi="Times New Roman" w:cs="Times New Roman"/>
          <w:i/>
          <w:iCs/>
          <w:color w:val="000000" w:themeColor="text1"/>
        </w:rPr>
        <w:t>Re D (A Minor)(</w:t>
      </w:r>
      <w:proofErr w:type="spellStart"/>
      <w:r w:rsidRPr="00335DB5">
        <w:rPr>
          <w:rFonts w:ascii="Times New Roman" w:hAnsi="Times New Roman" w:cs="Times New Roman"/>
          <w:i/>
          <w:iCs/>
          <w:color w:val="000000" w:themeColor="text1"/>
        </w:rPr>
        <w:t>Wardship:Sterilisation</w:t>
      </w:r>
      <w:proofErr w:type="spellEnd"/>
      <w:r w:rsidRPr="00335DB5">
        <w:rPr>
          <w:rFonts w:ascii="Times New Roman" w:hAnsi="Times New Roman" w:cs="Times New Roman"/>
          <w:i/>
          <w:iCs/>
          <w:color w:val="000000" w:themeColor="text1"/>
        </w:rPr>
        <w:t>)</w:t>
      </w:r>
      <w:r w:rsidRPr="00335DB5">
        <w:rPr>
          <w:rFonts w:ascii="Times New Roman" w:hAnsi="Times New Roman" w:cs="Times New Roman"/>
          <w:color w:val="000000" w:themeColor="text1"/>
        </w:rPr>
        <w:t xml:space="preserve"> [1976] 1 All ER 326; </w:t>
      </w:r>
      <w:r w:rsidRPr="00335DB5">
        <w:rPr>
          <w:rFonts w:ascii="Times New Roman" w:hAnsi="Times New Roman" w:cs="Times New Roman"/>
          <w:i/>
          <w:iCs/>
          <w:color w:val="000000" w:themeColor="text1"/>
        </w:rPr>
        <w:t>Re B (A Minor)(</w:t>
      </w:r>
      <w:proofErr w:type="spellStart"/>
      <w:r w:rsidRPr="00335DB5">
        <w:rPr>
          <w:rFonts w:ascii="Times New Roman" w:hAnsi="Times New Roman" w:cs="Times New Roman"/>
          <w:i/>
          <w:iCs/>
          <w:color w:val="000000" w:themeColor="text1"/>
        </w:rPr>
        <w:t>Wardship:Sterilisation</w:t>
      </w:r>
      <w:proofErr w:type="spellEnd"/>
      <w:r w:rsidRPr="00335DB5">
        <w:rPr>
          <w:rFonts w:ascii="Times New Roman" w:hAnsi="Times New Roman" w:cs="Times New Roman"/>
          <w:color w:val="000000" w:themeColor="text1"/>
        </w:rPr>
        <w:t xml:space="preserve">)[1987] 2 All ER 206; </w:t>
      </w:r>
      <w:r w:rsidRPr="00335DB5">
        <w:rPr>
          <w:rFonts w:ascii="Times New Roman" w:hAnsi="Times New Roman" w:cs="Times New Roman"/>
          <w:i/>
          <w:iCs/>
          <w:color w:val="000000" w:themeColor="text1"/>
        </w:rPr>
        <w:t>Re E (A Minor) (Medical Treatment)</w:t>
      </w:r>
      <w:r w:rsidRPr="00335DB5">
        <w:rPr>
          <w:rFonts w:ascii="Times New Roman" w:hAnsi="Times New Roman" w:cs="Times New Roman"/>
          <w:color w:val="000000" w:themeColor="text1"/>
        </w:rPr>
        <w:t xml:space="preserve"> [1991] 2 FLR 585.</w:t>
      </w:r>
    </w:p>
  </w:footnote>
  <w:footnote w:id="138">
    <w:p w14:paraId="7411DF6D" w14:textId="77777777" w:rsidR="004830FC" w:rsidRPr="00335DB5" w:rsidRDefault="004830FC" w:rsidP="006C1145">
      <w:pPr>
        <w:pStyle w:val="FootnoteText"/>
        <w:rPr>
          <w:rFonts w:ascii="Times New Roman" w:hAnsi="Times New Roman" w:cs="Times New Roman"/>
        </w:rPr>
      </w:pPr>
      <w:r w:rsidRPr="00335DB5">
        <w:rPr>
          <w:rStyle w:val="FootnoteReference"/>
          <w:rFonts w:ascii="Times New Roman" w:hAnsi="Times New Roman" w:cs="Times New Roman"/>
        </w:rPr>
        <w:footnoteRef/>
      </w:r>
      <w:r w:rsidRPr="00335DB5">
        <w:rPr>
          <w:rFonts w:ascii="Times New Roman" w:hAnsi="Times New Roman" w:cs="Times New Roman"/>
        </w:rPr>
        <w:t xml:space="preserve"> </w:t>
      </w:r>
      <w:r w:rsidRPr="00335DB5">
        <w:rPr>
          <w:rFonts w:ascii="Times New Roman" w:hAnsi="Times New Roman" w:cs="Times New Roman"/>
          <w:i/>
          <w:iCs/>
        </w:rPr>
        <w:t>F v West Berkshire HA</w:t>
      </w:r>
      <w:r w:rsidRPr="00335DB5">
        <w:rPr>
          <w:rFonts w:ascii="Times New Roman" w:hAnsi="Times New Roman" w:cs="Times New Roman"/>
        </w:rPr>
        <w:t xml:space="preserve"> [1990] 2 AC 1; </w:t>
      </w:r>
      <w:r w:rsidRPr="00335DB5">
        <w:rPr>
          <w:rFonts w:ascii="Times New Roman" w:hAnsi="Times New Roman" w:cs="Times New Roman"/>
          <w:i/>
          <w:iCs/>
        </w:rPr>
        <w:t>Re GF (Medical Treatment)</w:t>
      </w:r>
      <w:r w:rsidRPr="00335DB5">
        <w:rPr>
          <w:rFonts w:ascii="Times New Roman" w:hAnsi="Times New Roman" w:cs="Times New Roman"/>
        </w:rPr>
        <w:t xml:space="preserve"> [1992] 1 FLR 293; </w:t>
      </w:r>
      <w:r w:rsidRPr="00335DB5">
        <w:rPr>
          <w:rFonts w:ascii="Times New Roman" w:hAnsi="Times New Roman" w:cs="Times New Roman"/>
          <w:i/>
          <w:iCs/>
        </w:rPr>
        <w:t>Re S (Sterilisation Patients Best Interests)</w:t>
      </w:r>
      <w:r w:rsidRPr="00335DB5">
        <w:rPr>
          <w:rFonts w:ascii="Times New Roman" w:hAnsi="Times New Roman" w:cs="Times New Roman"/>
        </w:rPr>
        <w:t xml:space="preserve"> [2000] 2 FLR 389.</w:t>
      </w:r>
    </w:p>
  </w:footnote>
  <w:footnote w:id="139">
    <w:p w14:paraId="6CB55653" w14:textId="2CBB9F92" w:rsidR="004830FC" w:rsidRPr="00335DB5" w:rsidRDefault="004830FC" w:rsidP="006C1145">
      <w:pPr>
        <w:pStyle w:val="FootnoteText"/>
        <w:rPr>
          <w:rFonts w:ascii="Times New Roman" w:hAnsi="Times New Roman" w:cs="Times New Roman"/>
        </w:rPr>
      </w:pPr>
      <w:r w:rsidRPr="00335DB5">
        <w:rPr>
          <w:rStyle w:val="FootnoteReference"/>
          <w:rFonts w:ascii="Times New Roman" w:hAnsi="Times New Roman" w:cs="Times New Roman"/>
        </w:rPr>
        <w:footnoteRef/>
      </w:r>
      <w:r w:rsidRPr="00335DB5">
        <w:rPr>
          <w:rFonts w:ascii="Times New Roman" w:hAnsi="Times New Roman" w:cs="Times New Roman"/>
        </w:rPr>
        <w:t xml:space="preserve"> </w:t>
      </w:r>
      <w:r w:rsidRPr="00335DB5">
        <w:rPr>
          <w:rFonts w:ascii="Times New Roman" w:hAnsi="Times New Roman" w:cs="Times New Roman"/>
          <w:i/>
          <w:iCs/>
          <w:color w:val="000000" w:themeColor="text1"/>
        </w:rPr>
        <w:t xml:space="preserve">AB </w:t>
      </w:r>
      <w:r>
        <w:rPr>
          <w:rFonts w:ascii="Times New Roman" w:hAnsi="Times New Roman" w:cs="Times New Roman"/>
          <w:color w:val="000000" w:themeColor="text1"/>
        </w:rPr>
        <w:t>(n5)[</w:t>
      </w:r>
      <w:r w:rsidRPr="00335DB5">
        <w:rPr>
          <w:rFonts w:ascii="Times New Roman" w:hAnsi="Times New Roman" w:cs="Times New Roman"/>
          <w:color w:val="000000" w:themeColor="text1"/>
        </w:rPr>
        <w:t>74]-[90].</w:t>
      </w:r>
    </w:p>
  </w:footnote>
  <w:footnote w:id="140">
    <w:p w14:paraId="387D48F9" w14:textId="77777777" w:rsidR="0066679D" w:rsidRDefault="0066679D" w:rsidP="0066679D">
      <w:pPr>
        <w:pStyle w:val="FootnoteText"/>
      </w:pPr>
      <w:r w:rsidRPr="00D862A4">
        <w:rPr>
          <w:rStyle w:val="FootnoteReference"/>
          <w:rFonts w:ascii="Times New Roman" w:hAnsi="Times New Roman" w:cs="Times New Roman"/>
        </w:rPr>
        <w:footnoteRef/>
      </w:r>
      <w:r w:rsidRPr="00D862A4">
        <w:rPr>
          <w:rFonts w:ascii="Times New Roman" w:hAnsi="Times New Roman" w:cs="Times New Roman"/>
          <w:i/>
          <w:iCs/>
        </w:rPr>
        <w:t xml:space="preserve"> ibid</w:t>
      </w:r>
      <w:r w:rsidRPr="00D862A4">
        <w:rPr>
          <w:rFonts w:ascii="Times New Roman" w:hAnsi="Times New Roman" w:cs="Times New Roman"/>
        </w:rPr>
        <w:t xml:space="preserve"> [116].</w:t>
      </w:r>
    </w:p>
  </w:footnote>
  <w:footnote w:id="141">
    <w:p w14:paraId="03BDA691" w14:textId="3D3D62DB" w:rsidR="004830FC" w:rsidRPr="006465B4" w:rsidRDefault="004830FC" w:rsidP="006C1145">
      <w:pPr>
        <w:pStyle w:val="FootnoteText"/>
        <w:rPr>
          <w:rFonts w:ascii="Calibri" w:hAnsi="Calibri" w:cs="Calibri"/>
        </w:rPr>
      </w:pPr>
      <w:r w:rsidRPr="00335DB5">
        <w:rPr>
          <w:rStyle w:val="FootnoteReference"/>
          <w:rFonts w:ascii="Times New Roman" w:hAnsi="Times New Roman" w:cs="Times New Roman"/>
        </w:rPr>
        <w:footnoteRef/>
      </w:r>
      <w:r w:rsidRPr="00335DB5">
        <w:rPr>
          <w:rFonts w:ascii="Times New Roman" w:hAnsi="Times New Roman" w:cs="Times New Roman"/>
        </w:rPr>
        <w:t xml:space="preserve"> Good Law </w:t>
      </w:r>
      <w:r>
        <w:rPr>
          <w:rFonts w:ascii="Times New Roman" w:hAnsi="Times New Roman" w:cs="Times New Roman"/>
        </w:rPr>
        <w:t>(n13</w:t>
      </w:r>
      <w:r w:rsidR="00574200">
        <w:rPr>
          <w:rFonts w:ascii="Times New Roman" w:hAnsi="Times New Roman" w:cs="Times New Roman"/>
        </w:rPr>
        <w:t>0</w:t>
      </w:r>
      <w:r>
        <w:rPr>
          <w:rFonts w:ascii="Times New Roman" w:hAnsi="Times New Roman" w:cs="Times New Roman"/>
        </w:rPr>
        <w:t>).</w:t>
      </w:r>
    </w:p>
  </w:footnote>
  <w:footnote w:id="142">
    <w:p w14:paraId="1DABB842" w14:textId="53562375" w:rsidR="004830FC" w:rsidRPr="00DB37BC" w:rsidRDefault="004830FC" w:rsidP="006C1145">
      <w:pPr>
        <w:pStyle w:val="FootnoteText"/>
        <w:rPr>
          <w:rFonts w:ascii="Times New Roman" w:hAnsi="Times New Roman" w:cs="Times New Roman"/>
        </w:rPr>
      </w:pPr>
      <w:r w:rsidRPr="00DB37BC">
        <w:rPr>
          <w:rStyle w:val="FootnoteReference"/>
          <w:rFonts w:ascii="Times New Roman" w:hAnsi="Times New Roman" w:cs="Times New Roman"/>
        </w:rPr>
        <w:footnoteRef/>
      </w:r>
      <w:r w:rsidRPr="00DB37BC">
        <w:rPr>
          <w:rFonts w:ascii="Times New Roman" w:hAnsi="Times New Roman" w:cs="Times New Roman"/>
        </w:rPr>
        <w:t xml:space="preserve"> Duffy</w:t>
      </w:r>
      <w:r>
        <w:rPr>
          <w:rFonts w:ascii="Times New Roman" w:hAnsi="Times New Roman" w:cs="Times New Roman"/>
        </w:rPr>
        <w:t xml:space="preserve"> (n</w:t>
      </w:r>
      <w:r w:rsidR="00574200">
        <w:rPr>
          <w:rFonts w:ascii="Times New Roman" w:hAnsi="Times New Roman" w:cs="Times New Roman"/>
        </w:rPr>
        <w:t>70</w:t>
      </w:r>
      <w:r>
        <w:rPr>
          <w:rFonts w:ascii="Times New Roman" w:hAnsi="Times New Roman" w:cs="Times New Roman"/>
        </w:rPr>
        <w:t>).</w:t>
      </w:r>
    </w:p>
  </w:footnote>
  <w:footnote w:id="143">
    <w:p w14:paraId="5FC87C90" w14:textId="05A7650E" w:rsidR="004830FC" w:rsidRPr="006465B4" w:rsidRDefault="004830FC" w:rsidP="006C1145">
      <w:pPr>
        <w:pStyle w:val="FootnoteText"/>
        <w:rPr>
          <w:rFonts w:ascii="Calibri" w:hAnsi="Calibri" w:cs="Calibri"/>
        </w:rPr>
      </w:pPr>
      <w:r w:rsidRPr="00DB37BC">
        <w:rPr>
          <w:rStyle w:val="FootnoteReference"/>
          <w:rFonts w:ascii="Times New Roman" w:hAnsi="Times New Roman" w:cs="Times New Roman"/>
        </w:rPr>
        <w:footnoteRef/>
      </w:r>
      <w:r w:rsidRPr="00DB37BC">
        <w:rPr>
          <w:rFonts w:ascii="Times New Roman" w:hAnsi="Times New Roman" w:cs="Times New Roman"/>
        </w:rPr>
        <w:t xml:space="preserve"> </w:t>
      </w:r>
      <w:r w:rsidRPr="00DB37BC">
        <w:rPr>
          <w:rFonts w:ascii="Times New Roman" w:hAnsi="Times New Roman" w:cs="Times New Roman"/>
          <w:i/>
          <w:iCs/>
        </w:rPr>
        <w:t>AB</w:t>
      </w:r>
      <w:r>
        <w:rPr>
          <w:rFonts w:ascii="Times New Roman" w:hAnsi="Times New Roman" w:cs="Times New Roman"/>
          <w:i/>
          <w:iCs/>
        </w:rPr>
        <w:t xml:space="preserve"> </w:t>
      </w:r>
      <w:r>
        <w:rPr>
          <w:rFonts w:ascii="Times New Roman" w:hAnsi="Times New Roman" w:cs="Times New Roman"/>
          <w:color w:val="000000" w:themeColor="text1"/>
        </w:rPr>
        <w:t>(n5)</w:t>
      </w:r>
      <w:r>
        <w:rPr>
          <w:rFonts w:ascii="Times New Roman" w:hAnsi="Times New Roman" w:cs="Times New Roman"/>
        </w:rPr>
        <w:t>[</w:t>
      </w:r>
      <w:r w:rsidRPr="00DB37BC">
        <w:rPr>
          <w:rFonts w:ascii="Times New Roman" w:hAnsi="Times New Roman" w:cs="Times New Roman"/>
        </w:rPr>
        <w:t>120]-[121].</w:t>
      </w:r>
    </w:p>
  </w:footnote>
  <w:footnote w:id="144">
    <w:p w14:paraId="27B35FFB" w14:textId="01DC7D91" w:rsidR="004830FC" w:rsidRPr="00C15453" w:rsidRDefault="004830FC" w:rsidP="001B2309">
      <w:pPr>
        <w:pStyle w:val="FootnoteText"/>
        <w:rPr>
          <w:rFonts w:ascii="Times New Roman" w:hAnsi="Times New Roman" w:cs="Times New Roman"/>
        </w:rPr>
      </w:pPr>
      <w:r w:rsidRPr="00C15453">
        <w:rPr>
          <w:rStyle w:val="FootnoteReference"/>
          <w:rFonts w:ascii="Times New Roman" w:hAnsi="Times New Roman" w:cs="Times New Roman"/>
        </w:rPr>
        <w:footnoteRef/>
      </w:r>
      <w:r w:rsidRPr="00C15453">
        <w:rPr>
          <w:rFonts w:ascii="Times New Roman" w:hAnsi="Times New Roman" w:cs="Times New Roman"/>
        </w:rPr>
        <w:t xml:space="preserve"> Bell (n1)[149].</w:t>
      </w:r>
    </w:p>
  </w:footnote>
  <w:footnote w:id="145">
    <w:p w14:paraId="2775E6FE" w14:textId="77777777" w:rsidR="004830FC" w:rsidRPr="00C15453" w:rsidRDefault="004830FC" w:rsidP="001B2309">
      <w:pPr>
        <w:pStyle w:val="FootnoteText"/>
        <w:rPr>
          <w:rFonts w:ascii="Times New Roman" w:hAnsi="Times New Roman" w:cs="Times New Roman"/>
        </w:rPr>
      </w:pPr>
      <w:r w:rsidRPr="00C15453">
        <w:rPr>
          <w:rStyle w:val="FootnoteReference"/>
          <w:rFonts w:ascii="Times New Roman" w:hAnsi="Times New Roman" w:cs="Times New Roman"/>
        </w:rPr>
        <w:footnoteRef/>
      </w:r>
      <w:r w:rsidRPr="00C15453">
        <w:rPr>
          <w:rFonts w:ascii="Times New Roman" w:hAnsi="Times New Roman" w:cs="Times New Roman"/>
        </w:rPr>
        <w:t xml:space="preserve"> </w:t>
      </w:r>
      <w:r w:rsidRPr="00C15453">
        <w:rPr>
          <w:rFonts w:ascii="Times New Roman" w:hAnsi="Times New Roman" w:cs="Times New Roman"/>
          <w:i/>
          <w:iCs/>
        </w:rPr>
        <w:t>ibid</w:t>
      </w:r>
      <w:r w:rsidRPr="00C15453">
        <w:rPr>
          <w:rFonts w:ascii="Times New Roman" w:hAnsi="Times New Roman" w:cs="Times New Roman"/>
        </w:rPr>
        <w:t>[147].</w:t>
      </w:r>
    </w:p>
  </w:footnote>
  <w:footnote w:id="146">
    <w:p w14:paraId="712B6AB3" w14:textId="77777777" w:rsidR="004830FC" w:rsidRPr="00C15453" w:rsidRDefault="004830FC" w:rsidP="001B2309">
      <w:pPr>
        <w:pStyle w:val="FootnoteText"/>
        <w:rPr>
          <w:rFonts w:ascii="Times New Roman" w:hAnsi="Times New Roman" w:cs="Times New Roman"/>
        </w:rPr>
      </w:pPr>
      <w:r w:rsidRPr="00C15453">
        <w:rPr>
          <w:rStyle w:val="FootnoteReference"/>
          <w:rFonts w:ascii="Times New Roman" w:hAnsi="Times New Roman" w:cs="Times New Roman"/>
        </w:rPr>
        <w:footnoteRef/>
      </w:r>
      <w:r w:rsidRPr="00C15453">
        <w:rPr>
          <w:rFonts w:ascii="Times New Roman" w:hAnsi="Times New Roman" w:cs="Times New Roman"/>
        </w:rPr>
        <w:t xml:space="preserve"> </w:t>
      </w:r>
      <w:r w:rsidRPr="00C15453">
        <w:rPr>
          <w:rFonts w:ascii="Times New Roman" w:hAnsi="Times New Roman" w:cs="Times New Roman"/>
          <w:i/>
          <w:iCs/>
        </w:rPr>
        <w:t xml:space="preserve">ibid </w:t>
      </w:r>
      <w:r w:rsidRPr="00C15453">
        <w:rPr>
          <w:rFonts w:ascii="Times New Roman" w:hAnsi="Times New Roman" w:cs="Times New Roman"/>
        </w:rPr>
        <w:t>[146].</w:t>
      </w:r>
    </w:p>
  </w:footnote>
  <w:footnote w:id="147">
    <w:p w14:paraId="29A9395C" w14:textId="77777777" w:rsidR="004830FC" w:rsidRPr="00C15453" w:rsidRDefault="004830FC" w:rsidP="001B2309">
      <w:pPr>
        <w:pStyle w:val="FootnoteText"/>
        <w:rPr>
          <w:rFonts w:ascii="Times New Roman" w:hAnsi="Times New Roman" w:cs="Times New Roman"/>
        </w:rPr>
      </w:pPr>
      <w:r w:rsidRPr="00C15453">
        <w:rPr>
          <w:rStyle w:val="FootnoteReference"/>
          <w:rFonts w:ascii="Times New Roman" w:hAnsi="Times New Roman" w:cs="Times New Roman"/>
        </w:rPr>
        <w:footnoteRef/>
      </w:r>
      <w:r w:rsidRPr="00C15453">
        <w:rPr>
          <w:rFonts w:ascii="Times New Roman" w:hAnsi="Times New Roman" w:cs="Times New Roman"/>
        </w:rPr>
        <w:t xml:space="preserve"> </w:t>
      </w:r>
      <w:r w:rsidRPr="00C15453">
        <w:rPr>
          <w:rFonts w:ascii="Times New Roman" w:hAnsi="Times New Roman" w:cs="Times New Roman"/>
          <w:i/>
          <w:iCs/>
        </w:rPr>
        <w:t>ibid</w:t>
      </w:r>
      <w:r w:rsidRPr="00C15453">
        <w:rPr>
          <w:rFonts w:ascii="Times New Roman" w:hAnsi="Times New Roman" w:cs="Times New Roman"/>
        </w:rPr>
        <w:t>[149].</w:t>
      </w:r>
    </w:p>
  </w:footnote>
  <w:footnote w:id="148">
    <w:p w14:paraId="5C0A3A4A" w14:textId="1C58C8EF" w:rsidR="004830FC" w:rsidRPr="00C15453" w:rsidRDefault="004830FC" w:rsidP="001B2309">
      <w:pPr>
        <w:pStyle w:val="FootnoteText"/>
        <w:rPr>
          <w:rFonts w:ascii="Times New Roman" w:hAnsi="Times New Roman" w:cs="Times New Roman"/>
        </w:rPr>
      </w:pPr>
      <w:r w:rsidRPr="00C15453">
        <w:rPr>
          <w:rStyle w:val="FootnoteReference"/>
          <w:rFonts w:ascii="Times New Roman" w:hAnsi="Times New Roman" w:cs="Times New Roman"/>
        </w:rPr>
        <w:footnoteRef/>
      </w:r>
      <w:r w:rsidRPr="00C15453">
        <w:rPr>
          <w:rFonts w:ascii="Times New Roman" w:hAnsi="Times New Roman" w:cs="Times New Roman"/>
        </w:rPr>
        <w:t xml:space="preserve"> Jackson</w:t>
      </w:r>
      <w:r>
        <w:rPr>
          <w:rFonts w:ascii="Times New Roman" w:hAnsi="Times New Roman" w:cs="Times New Roman"/>
        </w:rPr>
        <w:t xml:space="preserve"> (n1</w:t>
      </w:r>
      <w:r w:rsidR="00A70A67">
        <w:rPr>
          <w:rFonts w:ascii="Times New Roman" w:hAnsi="Times New Roman" w:cs="Times New Roman"/>
        </w:rPr>
        <w:t>3</w:t>
      </w:r>
      <w:r w:rsidR="00574200">
        <w:rPr>
          <w:rFonts w:ascii="Times New Roman" w:hAnsi="Times New Roman" w:cs="Times New Roman"/>
        </w:rPr>
        <w:t>6</w:t>
      </w:r>
      <w:r>
        <w:rPr>
          <w:rFonts w:ascii="Times New Roman" w:hAnsi="Times New Roman" w:cs="Times New Roman"/>
        </w:rPr>
        <w:t>).</w:t>
      </w:r>
    </w:p>
  </w:footnote>
  <w:footnote w:id="149">
    <w:p w14:paraId="0F6B07BF" w14:textId="77777777" w:rsidR="004830FC" w:rsidRPr="00C15453" w:rsidRDefault="004830FC" w:rsidP="001B2309">
      <w:pPr>
        <w:pStyle w:val="FootnoteText"/>
        <w:rPr>
          <w:rFonts w:ascii="Times New Roman" w:hAnsi="Times New Roman" w:cs="Times New Roman"/>
        </w:rPr>
      </w:pPr>
      <w:r w:rsidRPr="00C15453">
        <w:rPr>
          <w:rStyle w:val="FootnoteReference"/>
          <w:rFonts w:ascii="Times New Roman" w:hAnsi="Times New Roman" w:cs="Times New Roman"/>
        </w:rPr>
        <w:footnoteRef/>
      </w:r>
      <w:r w:rsidRPr="00C15453">
        <w:rPr>
          <w:rFonts w:ascii="Times New Roman" w:hAnsi="Times New Roman" w:cs="Times New Roman"/>
        </w:rPr>
        <w:t xml:space="preserve"> [2004] </w:t>
      </w:r>
      <w:proofErr w:type="spellStart"/>
      <w:r w:rsidRPr="00C15453">
        <w:rPr>
          <w:rFonts w:ascii="Times New Roman" w:hAnsi="Times New Roman" w:cs="Times New Roman"/>
        </w:rPr>
        <w:t>FamCA</w:t>
      </w:r>
      <w:proofErr w:type="spellEnd"/>
      <w:r w:rsidRPr="00C15453">
        <w:rPr>
          <w:rFonts w:ascii="Times New Roman" w:hAnsi="Times New Roman" w:cs="Times New Roman"/>
        </w:rPr>
        <w:t xml:space="preserve"> 297.</w:t>
      </w:r>
    </w:p>
  </w:footnote>
  <w:footnote w:id="150">
    <w:p w14:paraId="1814DC38" w14:textId="77777777" w:rsidR="004830FC" w:rsidRPr="00C15453" w:rsidRDefault="004830FC" w:rsidP="001B2309">
      <w:pPr>
        <w:pStyle w:val="FootnoteText"/>
        <w:rPr>
          <w:rFonts w:ascii="Times New Roman" w:hAnsi="Times New Roman" w:cs="Times New Roman"/>
        </w:rPr>
      </w:pPr>
      <w:r w:rsidRPr="00C15453">
        <w:rPr>
          <w:rStyle w:val="FootnoteReference"/>
          <w:rFonts w:ascii="Times New Roman" w:hAnsi="Times New Roman" w:cs="Times New Roman"/>
        </w:rPr>
        <w:footnoteRef/>
      </w:r>
      <w:r w:rsidRPr="00C15453">
        <w:rPr>
          <w:rFonts w:ascii="Times New Roman" w:hAnsi="Times New Roman" w:cs="Times New Roman"/>
        </w:rPr>
        <w:t xml:space="preserve"> </w:t>
      </w:r>
      <w:r w:rsidRPr="00C15453">
        <w:rPr>
          <w:rFonts w:ascii="Times New Roman" w:hAnsi="Times New Roman" w:cs="Times New Roman"/>
          <w:i/>
          <w:iCs/>
        </w:rPr>
        <w:t>Re Jamie</w:t>
      </w:r>
      <w:r w:rsidRPr="00C15453">
        <w:rPr>
          <w:rFonts w:ascii="Times New Roman" w:hAnsi="Times New Roman" w:cs="Times New Roman"/>
        </w:rPr>
        <w:t xml:space="preserve"> [2013] Fam CAFC 110 [108]</w:t>
      </w:r>
    </w:p>
  </w:footnote>
  <w:footnote w:id="151">
    <w:p w14:paraId="7350FBCD" w14:textId="77777777" w:rsidR="004830FC" w:rsidRPr="00C15453" w:rsidRDefault="004830FC" w:rsidP="001B2309">
      <w:pPr>
        <w:pStyle w:val="FootnoteText"/>
        <w:rPr>
          <w:rFonts w:ascii="Times New Roman" w:hAnsi="Times New Roman" w:cs="Times New Roman"/>
        </w:rPr>
      </w:pPr>
      <w:r w:rsidRPr="00C15453">
        <w:rPr>
          <w:rStyle w:val="FootnoteReference"/>
          <w:rFonts w:ascii="Times New Roman" w:hAnsi="Times New Roman" w:cs="Times New Roman"/>
        </w:rPr>
        <w:footnoteRef/>
      </w:r>
      <w:r w:rsidRPr="00C15453">
        <w:rPr>
          <w:rFonts w:ascii="Times New Roman" w:hAnsi="Times New Roman" w:cs="Times New Roman"/>
        </w:rPr>
        <w:t xml:space="preserve"> </w:t>
      </w:r>
      <w:r w:rsidRPr="00C15453">
        <w:rPr>
          <w:rFonts w:ascii="Times New Roman" w:hAnsi="Times New Roman" w:cs="Times New Roman"/>
          <w:i/>
          <w:iCs/>
        </w:rPr>
        <w:t>Re Kelvin</w:t>
      </w:r>
      <w:r>
        <w:rPr>
          <w:rFonts w:ascii="Times New Roman" w:hAnsi="Times New Roman" w:cs="Times New Roman"/>
        </w:rPr>
        <w:t xml:space="preserve"> </w:t>
      </w:r>
      <w:r w:rsidRPr="00C15453">
        <w:rPr>
          <w:rFonts w:ascii="Times New Roman" w:hAnsi="Times New Roman" w:cs="Times New Roman"/>
        </w:rPr>
        <w:t xml:space="preserve">[2017] </w:t>
      </w:r>
      <w:proofErr w:type="spellStart"/>
      <w:r w:rsidRPr="00C15453">
        <w:rPr>
          <w:rFonts w:ascii="Times New Roman" w:hAnsi="Times New Roman" w:cs="Times New Roman"/>
        </w:rPr>
        <w:t>FamCA</w:t>
      </w:r>
      <w:proofErr w:type="spellEnd"/>
      <w:r w:rsidRPr="00C15453">
        <w:rPr>
          <w:rFonts w:ascii="Times New Roman" w:hAnsi="Times New Roman" w:cs="Times New Roman"/>
        </w:rPr>
        <w:t xml:space="preserve"> 78.</w:t>
      </w:r>
    </w:p>
  </w:footnote>
  <w:footnote w:id="152">
    <w:p w14:paraId="04D8CECD" w14:textId="01F03852" w:rsidR="004830FC" w:rsidRPr="00C15453" w:rsidRDefault="004830FC" w:rsidP="001B2309">
      <w:pPr>
        <w:pStyle w:val="FootnoteText"/>
        <w:rPr>
          <w:rFonts w:ascii="Times New Roman" w:hAnsi="Times New Roman" w:cs="Times New Roman"/>
        </w:rPr>
      </w:pPr>
      <w:r w:rsidRPr="00C15453">
        <w:rPr>
          <w:rStyle w:val="FootnoteReference"/>
          <w:rFonts w:ascii="Times New Roman" w:hAnsi="Times New Roman" w:cs="Times New Roman"/>
        </w:rPr>
        <w:footnoteRef/>
      </w:r>
      <w:r w:rsidRPr="00C15453">
        <w:rPr>
          <w:rFonts w:ascii="Times New Roman" w:hAnsi="Times New Roman" w:cs="Times New Roman"/>
        </w:rPr>
        <w:t xml:space="preserve"> </w:t>
      </w:r>
      <w:r w:rsidRPr="00C15453">
        <w:rPr>
          <w:rFonts w:ascii="Times New Roman" w:hAnsi="Times New Roman" w:cs="Times New Roman"/>
          <w:i/>
          <w:iCs/>
        </w:rPr>
        <w:t xml:space="preserve">AB </w:t>
      </w:r>
      <w:r>
        <w:rPr>
          <w:rFonts w:ascii="Times New Roman" w:hAnsi="Times New Roman" w:cs="Times New Roman"/>
          <w:color w:val="000000" w:themeColor="text1"/>
        </w:rPr>
        <w:t>(n5)</w:t>
      </w:r>
      <w:r w:rsidRPr="00C15453">
        <w:rPr>
          <w:rFonts w:ascii="Times New Roman" w:hAnsi="Times New Roman" w:cs="Times New Roman"/>
        </w:rPr>
        <w:t>[102].</w:t>
      </w:r>
    </w:p>
  </w:footnote>
  <w:footnote w:id="153">
    <w:p w14:paraId="0C825489" w14:textId="61F458EC" w:rsidR="004830FC" w:rsidRPr="00DE31E9" w:rsidRDefault="004830FC" w:rsidP="001B2309">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w:t>
      </w:r>
      <w:r w:rsidRPr="00DE31E9">
        <w:rPr>
          <w:rFonts w:ascii="Times New Roman" w:hAnsi="Times New Roman" w:cs="Times New Roman"/>
          <w:i/>
          <w:iCs/>
        </w:rPr>
        <w:t>Jamie</w:t>
      </w:r>
      <w:r w:rsidRPr="00DE31E9">
        <w:rPr>
          <w:rFonts w:ascii="Times New Roman" w:hAnsi="Times New Roman" w:cs="Times New Roman"/>
        </w:rPr>
        <w:t xml:space="preserve"> </w:t>
      </w:r>
      <w:r>
        <w:rPr>
          <w:rFonts w:ascii="Times New Roman" w:hAnsi="Times New Roman" w:cs="Times New Roman"/>
          <w:color w:val="000000" w:themeColor="text1"/>
        </w:rPr>
        <w:t>(n1</w:t>
      </w:r>
      <w:r w:rsidR="00574200">
        <w:rPr>
          <w:rFonts w:ascii="Times New Roman" w:hAnsi="Times New Roman" w:cs="Times New Roman"/>
          <w:color w:val="000000" w:themeColor="text1"/>
        </w:rPr>
        <w:t>50</w:t>
      </w:r>
      <w:r>
        <w:rPr>
          <w:rFonts w:ascii="Times New Roman" w:hAnsi="Times New Roman" w:cs="Times New Roman"/>
          <w:color w:val="000000" w:themeColor="text1"/>
        </w:rPr>
        <w:t>)[</w:t>
      </w:r>
      <w:r w:rsidRPr="00DE31E9">
        <w:rPr>
          <w:rFonts w:ascii="Times New Roman" w:hAnsi="Times New Roman" w:cs="Times New Roman"/>
        </w:rPr>
        <w:t>134].</w:t>
      </w:r>
    </w:p>
  </w:footnote>
  <w:footnote w:id="154">
    <w:p w14:paraId="7EF1B8DF" w14:textId="77777777" w:rsidR="004830FC" w:rsidRPr="00DE31E9" w:rsidRDefault="004830FC" w:rsidP="001B2309">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w:t>
      </w:r>
      <w:r w:rsidRPr="00F4576E">
        <w:rPr>
          <w:rFonts w:ascii="Times New Roman" w:hAnsi="Times New Roman" w:cs="Times New Roman"/>
          <w:i/>
          <w:iCs/>
        </w:rPr>
        <w:t>ibid</w:t>
      </w:r>
      <w:r w:rsidRPr="00DE31E9">
        <w:rPr>
          <w:rFonts w:ascii="Times New Roman" w:hAnsi="Times New Roman" w:cs="Times New Roman"/>
          <w:i/>
          <w:iCs/>
        </w:rPr>
        <w:t xml:space="preserve"> </w:t>
      </w:r>
      <w:r w:rsidRPr="00DE31E9">
        <w:rPr>
          <w:rFonts w:ascii="Times New Roman" w:hAnsi="Times New Roman" w:cs="Times New Roman"/>
        </w:rPr>
        <w:t>[135].</w:t>
      </w:r>
    </w:p>
  </w:footnote>
  <w:footnote w:id="155">
    <w:p w14:paraId="1A4E508E" w14:textId="02C9CEFD" w:rsidR="004830FC" w:rsidRPr="00DE31E9" w:rsidRDefault="004830FC" w:rsidP="001B2309">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w:t>
      </w:r>
      <w:r w:rsidRPr="00DE31E9">
        <w:rPr>
          <w:rFonts w:ascii="Times New Roman" w:hAnsi="Times New Roman" w:cs="Times New Roman"/>
          <w:i/>
          <w:iCs/>
        </w:rPr>
        <w:t xml:space="preserve">Bell </w:t>
      </w:r>
      <w:r w:rsidRPr="00DE31E9">
        <w:rPr>
          <w:rFonts w:ascii="Times New Roman" w:hAnsi="Times New Roman" w:cs="Times New Roman"/>
        </w:rPr>
        <w:t>(n1)[149].</w:t>
      </w:r>
    </w:p>
  </w:footnote>
  <w:footnote w:id="156">
    <w:p w14:paraId="2AE86E78" w14:textId="77777777" w:rsidR="004830FC" w:rsidRPr="00DE31E9" w:rsidRDefault="004830FC" w:rsidP="001B2309">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David Lock, ‘High Court affirms parents can consent to medical treatment for transgender children and confirms concurrent consent rights for parents and children’ (29 March 2021) Landmark Chambers &lt;https://www.landmarkcahmbers.co.uk/resouce-post/high-court-affirms-parents-can-consent-to-medical-treatmet-for-transgender-children-and-confimrs-concurrent-consent-rights-for-parents-and-children&gt;</w:t>
      </w:r>
    </w:p>
  </w:footnote>
  <w:footnote w:id="157">
    <w:p w14:paraId="31E2B1A9" w14:textId="75B74CF7" w:rsidR="004830FC" w:rsidRPr="00DE31E9" w:rsidRDefault="004830FC" w:rsidP="001B2309">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Bianca Jackson, ‘</w:t>
      </w:r>
      <w:r w:rsidRPr="00DE31E9">
        <w:rPr>
          <w:rFonts w:ascii="Times New Roman" w:hAnsi="Times New Roman" w:cs="Times New Roman"/>
          <w:i/>
          <w:iCs/>
        </w:rPr>
        <w:t xml:space="preserve">Bell v Tavistock </w:t>
      </w:r>
      <w:r w:rsidRPr="00DE31E9">
        <w:rPr>
          <w:rFonts w:ascii="Times New Roman" w:hAnsi="Times New Roman" w:cs="Times New Roman"/>
        </w:rPr>
        <w:t>and the implications for Trans Children’ (22 Dec 2020) Family Law Week.</w:t>
      </w:r>
    </w:p>
  </w:footnote>
  <w:footnote w:id="158">
    <w:p w14:paraId="60C65F7C" w14:textId="65B9EC83" w:rsidR="004830FC" w:rsidRPr="00DE31E9" w:rsidRDefault="004830FC" w:rsidP="001B2309">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w:t>
      </w:r>
      <w:r>
        <w:rPr>
          <w:rFonts w:ascii="Times New Roman" w:hAnsi="Times New Roman" w:cs="Times New Roman"/>
          <w:i/>
          <w:iCs/>
        </w:rPr>
        <w:t xml:space="preserve">Bell </w:t>
      </w:r>
      <w:r>
        <w:rPr>
          <w:rFonts w:ascii="Times New Roman" w:hAnsi="Times New Roman" w:cs="Times New Roman"/>
        </w:rPr>
        <w:t>(n1)</w:t>
      </w:r>
      <w:r w:rsidRPr="00DE31E9">
        <w:rPr>
          <w:rFonts w:ascii="Times New Roman" w:hAnsi="Times New Roman" w:cs="Times New Roman"/>
        </w:rPr>
        <w:t>[65].</w:t>
      </w:r>
    </w:p>
  </w:footnote>
  <w:footnote w:id="159">
    <w:p w14:paraId="3549EFA4" w14:textId="5BE4A85D" w:rsidR="004830FC" w:rsidRPr="00DE31E9" w:rsidRDefault="004830FC" w:rsidP="001B2309">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w:t>
      </w:r>
      <w:r>
        <w:rPr>
          <w:rFonts w:ascii="Times New Roman" w:hAnsi="Times New Roman" w:cs="Times New Roman"/>
          <w:i/>
          <w:iCs/>
        </w:rPr>
        <w:t>ibid</w:t>
      </w:r>
      <w:r w:rsidRPr="00DE31E9">
        <w:rPr>
          <w:rFonts w:ascii="Times New Roman" w:hAnsi="Times New Roman" w:cs="Times New Roman"/>
          <w:i/>
          <w:iCs/>
        </w:rPr>
        <w:t xml:space="preserve"> </w:t>
      </w:r>
      <w:r w:rsidRPr="00DE31E9">
        <w:rPr>
          <w:rFonts w:ascii="Times New Roman" w:hAnsi="Times New Roman" w:cs="Times New Roman"/>
        </w:rPr>
        <w:t>[149].</w:t>
      </w:r>
    </w:p>
  </w:footnote>
  <w:footnote w:id="160">
    <w:p w14:paraId="707B2704" w14:textId="77777777" w:rsidR="004830FC" w:rsidRPr="00DE31E9" w:rsidRDefault="004830FC" w:rsidP="001B2309">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i</w:t>
      </w:r>
      <w:r w:rsidRPr="00DE31E9">
        <w:rPr>
          <w:rFonts w:ascii="Times New Roman" w:hAnsi="Times New Roman" w:cs="Times New Roman"/>
          <w:i/>
          <w:iCs/>
        </w:rPr>
        <w:t>bid</w:t>
      </w:r>
      <w:r w:rsidRPr="00DE31E9">
        <w:rPr>
          <w:rFonts w:ascii="Times New Roman" w:hAnsi="Times New Roman" w:cs="Times New Roman"/>
        </w:rPr>
        <w:t>[149].</w:t>
      </w:r>
    </w:p>
  </w:footnote>
  <w:footnote w:id="161">
    <w:p w14:paraId="3F94A662" w14:textId="77777777" w:rsidR="004830FC" w:rsidRPr="00DE31E9" w:rsidRDefault="004830FC" w:rsidP="001B2309">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w:t>
      </w:r>
      <w:r w:rsidRPr="00DE31E9">
        <w:rPr>
          <w:rFonts w:ascii="Times New Roman" w:hAnsi="Times New Roman" w:cs="Times New Roman"/>
          <w:i/>
          <w:iCs/>
        </w:rPr>
        <w:t>ibid</w:t>
      </w:r>
      <w:r w:rsidRPr="00DE31E9">
        <w:rPr>
          <w:rFonts w:ascii="Times New Roman" w:hAnsi="Times New Roman" w:cs="Times New Roman"/>
        </w:rPr>
        <w:t xml:space="preserve"> [141].</w:t>
      </w:r>
    </w:p>
  </w:footnote>
  <w:footnote w:id="162">
    <w:p w14:paraId="44BFE707" w14:textId="77777777" w:rsidR="004830FC" w:rsidRPr="00DE31E9" w:rsidRDefault="004830FC" w:rsidP="001B2309">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Margaret Crompton, </w:t>
      </w:r>
      <w:r w:rsidRPr="00DE31E9">
        <w:rPr>
          <w:rFonts w:ascii="Times New Roman" w:hAnsi="Times New Roman" w:cs="Times New Roman"/>
          <w:i/>
          <w:iCs/>
        </w:rPr>
        <w:t>Children and Counselling</w:t>
      </w:r>
      <w:r w:rsidRPr="00DE31E9">
        <w:rPr>
          <w:rFonts w:ascii="Times New Roman" w:hAnsi="Times New Roman" w:cs="Times New Roman"/>
        </w:rPr>
        <w:t xml:space="preserve"> (Edward Arnold 1992).</w:t>
      </w:r>
    </w:p>
  </w:footnote>
  <w:footnote w:id="163">
    <w:p w14:paraId="110EC0D3" w14:textId="77777777" w:rsidR="004830FC" w:rsidRDefault="004830FC" w:rsidP="001B2309">
      <w:pPr>
        <w:pStyle w:val="FootnoteText"/>
      </w:pPr>
      <w:r w:rsidRPr="00DE31E9">
        <w:rPr>
          <w:rStyle w:val="FootnoteReference"/>
          <w:rFonts w:ascii="Times New Roman" w:hAnsi="Times New Roman" w:cs="Times New Roman"/>
        </w:rPr>
        <w:footnoteRef/>
      </w:r>
      <w:r w:rsidRPr="00DE31E9">
        <w:rPr>
          <w:rFonts w:ascii="Times New Roman" w:hAnsi="Times New Roman" w:cs="Times New Roman"/>
        </w:rPr>
        <w:t xml:space="preserve"> Nigel Zimmermann, ‘Gillick Competence: An Unnecessary Burden’ (2019) 25(1) The New Bioethics 78, 88.</w:t>
      </w:r>
    </w:p>
  </w:footnote>
  <w:footnote w:id="164">
    <w:p w14:paraId="4A6CD235" w14:textId="1ECC3096" w:rsidR="004830FC" w:rsidRPr="00DE31E9" w:rsidRDefault="004830FC" w:rsidP="004C7E5B">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Good Law</w:t>
      </w:r>
      <w:r>
        <w:rPr>
          <w:rFonts w:ascii="Times New Roman" w:hAnsi="Times New Roman" w:cs="Times New Roman"/>
        </w:rPr>
        <w:t xml:space="preserve"> (n13</w:t>
      </w:r>
      <w:r w:rsidR="00574200">
        <w:rPr>
          <w:rFonts w:ascii="Times New Roman" w:hAnsi="Times New Roman" w:cs="Times New Roman"/>
        </w:rPr>
        <w:t>0</w:t>
      </w:r>
      <w:r>
        <w:rPr>
          <w:rFonts w:ascii="Times New Roman" w:hAnsi="Times New Roman" w:cs="Times New Roman"/>
        </w:rPr>
        <w:t>).</w:t>
      </w:r>
    </w:p>
  </w:footnote>
  <w:footnote w:id="165">
    <w:p w14:paraId="4BC92700" w14:textId="77777777" w:rsidR="004830FC" w:rsidRPr="00DE31E9" w:rsidRDefault="004830FC" w:rsidP="004C7E5B">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w:t>
      </w:r>
      <w:r w:rsidRPr="00DE31E9">
        <w:rPr>
          <w:rFonts w:ascii="Times New Roman" w:hAnsi="Times New Roman" w:cs="Times New Roman"/>
          <w:color w:val="000000" w:themeColor="text1"/>
        </w:rPr>
        <w:t>Service Specification for Gender Identity Development Service for Children and Adolescents (E13/S(HSS)/e) – amended 1 December 2020.</w:t>
      </w:r>
    </w:p>
  </w:footnote>
  <w:footnote w:id="166">
    <w:p w14:paraId="7EEA0C7A" w14:textId="1961B850" w:rsidR="004830FC" w:rsidRPr="00DE31E9" w:rsidRDefault="004830FC" w:rsidP="004C7E5B">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GIDS, ‘Information following the Judicial Review judgment, 1 December 2020’ &lt;</w:t>
      </w:r>
      <w:hyperlink r:id="rId1" w:history="1">
        <w:r w:rsidRPr="00DE31E9">
          <w:rPr>
            <w:rStyle w:val="Hyperlink"/>
            <w:rFonts w:ascii="Times New Roman" w:hAnsi="Times New Roman" w:cs="Times New Roman"/>
          </w:rPr>
          <w:t>https://gids.nhs.uk/information-following-judical-review-judgment-december-2020</w:t>
        </w:r>
      </w:hyperlink>
      <w:r w:rsidRPr="00DE31E9">
        <w:rPr>
          <w:rFonts w:ascii="Times New Roman" w:hAnsi="Times New Roman" w:cs="Times New Roman"/>
        </w:rPr>
        <w:t xml:space="preserve"> &gt; </w:t>
      </w:r>
    </w:p>
  </w:footnote>
  <w:footnote w:id="167">
    <w:p w14:paraId="73EDB095" w14:textId="1EAC8175" w:rsidR="004830FC" w:rsidRPr="00DE31E9" w:rsidRDefault="004830FC" w:rsidP="004C7E5B">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Lui Asquith, Mermaids, ‘Understanding the High Court Hormone Blockers Judgment’ (1 Dec 2020) &lt;https://mermaidsuk.org.uk/news/qa-understanding-the-high-court-hormone-blockers-judgemnet-with-director-of-legal-and-policy-lui-asquith&gt; &gt; </w:t>
      </w:r>
    </w:p>
  </w:footnote>
  <w:footnote w:id="168">
    <w:p w14:paraId="009C4589" w14:textId="131672F1" w:rsidR="004830FC" w:rsidRPr="00DE31E9" w:rsidRDefault="004830FC" w:rsidP="004C7E5B">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w:t>
      </w:r>
      <w:r w:rsidRPr="00DE31E9">
        <w:rPr>
          <w:rFonts w:ascii="Times New Roman" w:hAnsi="Times New Roman" w:cs="Times New Roman"/>
          <w:i/>
          <w:iCs/>
        </w:rPr>
        <w:t xml:space="preserve">AB </w:t>
      </w:r>
      <w:r>
        <w:rPr>
          <w:rFonts w:ascii="Times New Roman" w:hAnsi="Times New Roman" w:cs="Times New Roman"/>
          <w:color w:val="000000" w:themeColor="text1"/>
        </w:rPr>
        <w:t>(n5)</w:t>
      </w:r>
      <w:r w:rsidRPr="00DE31E9">
        <w:rPr>
          <w:rFonts w:ascii="Times New Roman" w:hAnsi="Times New Roman" w:cs="Times New Roman"/>
        </w:rPr>
        <w:t>[124].</w:t>
      </w:r>
    </w:p>
  </w:footnote>
  <w:footnote w:id="169">
    <w:p w14:paraId="0624408F" w14:textId="70BBDE7C" w:rsidR="004830FC" w:rsidRPr="00DE31E9" w:rsidRDefault="004830FC" w:rsidP="004C7E5B">
      <w:pPr>
        <w:pStyle w:val="FootnoteText"/>
        <w:rPr>
          <w:rFonts w:ascii="Times New Roman" w:hAnsi="Times New Roman" w:cs="Times New Roman"/>
        </w:rPr>
      </w:pPr>
      <w:r w:rsidRPr="00DE31E9">
        <w:rPr>
          <w:rStyle w:val="FootnoteReference"/>
          <w:rFonts w:ascii="Times New Roman" w:hAnsi="Times New Roman" w:cs="Times New Roman"/>
        </w:rPr>
        <w:footnoteRef/>
      </w:r>
      <w:r w:rsidRPr="00DE31E9">
        <w:rPr>
          <w:rFonts w:ascii="Times New Roman" w:hAnsi="Times New Roman" w:cs="Times New Roman"/>
        </w:rPr>
        <w:t xml:space="preserve">  Lock</w:t>
      </w:r>
      <w:r>
        <w:rPr>
          <w:rFonts w:ascii="Times New Roman" w:hAnsi="Times New Roman" w:cs="Times New Roman"/>
        </w:rPr>
        <w:t xml:space="preserve"> (n1</w:t>
      </w:r>
      <w:r w:rsidR="00A70A67">
        <w:rPr>
          <w:rFonts w:ascii="Times New Roman" w:hAnsi="Times New Roman" w:cs="Times New Roman"/>
        </w:rPr>
        <w:t>5</w:t>
      </w:r>
      <w:r w:rsidR="00574200">
        <w:rPr>
          <w:rFonts w:ascii="Times New Roman" w:hAnsi="Times New Roman" w:cs="Times New Roman"/>
        </w:rPr>
        <w:t>6</w:t>
      </w:r>
      <w:r>
        <w:rPr>
          <w:rFonts w:ascii="Times New Roman" w:hAnsi="Times New Roman" w:cs="Times New Roman"/>
        </w:rPr>
        <w:t>).</w:t>
      </w:r>
    </w:p>
  </w:footnote>
  <w:footnote w:id="170">
    <w:p w14:paraId="37CD72BC" w14:textId="7C198078" w:rsidR="004830FC" w:rsidRDefault="004830FC" w:rsidP="004C7E5B">
      <w:pPr>
        <w:pStyle w:val="FootnoteText"/>
      </w:pPr>
      <w:r w:rsidRPr="00DE31E9">
        <w:rPr>
          <w:rStyle w:val="FootnoteReference"/>
          <w:rFonts w:ascii="Times New Roman" w:hAnsi="Times New Roman" w:cs="Times New Roman"/>
        </w:rPr>
        <w:footnoteRef/>
      </w:r>
      <w:r w:rsidRPr="00DE31E9">
        <w:rPr>
          <w:rFonts w:ascii="Times New Roman" w:hAnsi="Times New Roman" w:cs="Times New Roman"/>
        </w:rPr>
        <w:t xml:space="preserve"> </w:t>
      </w:r>
      <w:proofErr w:type="spellStart"/>
      <w:r w:rsidRPr="00DE31E9">
        <w:rPr>
          <w:rFonts w:ascii="Times New Roman" w:hAnsi="Times New Roman" w:cs="Times New Roman"/>
        </w:rPr>
        <w:t>Daminee</w:t>
      </w:r>
      <w:proofErr w:type="spellEnd"/>
      <w:r w:rsidRPr="00DE31E9">
        <w:rPr>
          <w:rFonts w:ascii="Times New Roman" w:hAnsi="Times New Roman" w:cs="Times New Roman"/>
        </w:rPr>
        <w:t xml:space="preserve"> </w:t>
      </w:r>
      <w:proofErr w:type="spellStart"/>
      <w:r w:rsidRPr="00DE31E9">
        <w:rPr>
          <w:rFonts w:ascii="Times New Roman" w:hAnsi="Times New Roman" w:cs="Times New Roman"/>
        </w:rPr>
        <w:t>Budhi</w:t>
      </w:r>
      <w:proofErr w:type="spellEnd"/>
      <w:r w:rsidRPr="00DE31E9">
        <w:rPr>
          <w:rFonts w:ascii="Times New Roman" w:hAnsi="Times New Roman" w:cs="Times New Roman"/>
        </w:rPr>
        <w:t>, Mermaids, ‘Tavistock Judicial Review</w:t>
      </w:r>
      <w:r>
        <w:rPr>
          <w:rFonts w:ascii="Times New Roman" w:hAnsi="Times New Roman" w:cs="Times New Roman"/>
        </w:rPr>
        <w:t>-</w:t>
      </w:r>
      <w:r w:rsidRPr="00DE31E9">
        <w:rPr>
          <w:rFonts w:ascii="Times New Roman" w:hAnsi="Times New Roman" w:cs="Times New Roman"/>
        </w:rPr>
        <w:t xml:space="preserve">Informed Consent and Puberty Blockers’ (6 Oct 2020) &lt;https://mermaidsuk.org.uk/news/tavistock-judicial-review/&gt;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031F"/>
    <w:multiLevelType w:val="hybridMultilevel"/>
    <w:tmpl w:val="1C8206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06247"/>
    <w:multiLevelType w:val="hybridMultilevel"/>
    <w:tmpl w:val="BE100988"/>
    <w:lvl w:ilvl="0" w:tplc="E01AD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71B56"/>
    <w:multiLevelType w:val="hybridMultilevel"/>
    <w:tmpl w:val="2D080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E742B"/>
    <w:multiLevelType w:val="hybridMultilevel"/>
    <w:tmpl w:val="E89AE61C"/>
    <w:lvl w:ilvl="0" w:tplc="77F44D68">
      <w:start w:val="1"/>
      <w:numFmt w:val="bullet"/>
      <w:lvlText w:val="•"/>
      <w:lvlJc w:val="left"/>
      <w:pPr>
        <w:tabs>
          <w:tab w:val="num" w:pos="720"/>
        </w:tabs>
        <w:ind w:left="720" w:hanging="360"/>
      </w:pPr>
      <w:rPr>
        <w:rFonts w:ascii="Times New Roman" w:hAnsi="Times New Roman" w:hint="default"/>
      </w:rPr>
    </w:lvl>
    <w:lvl w:ilvl="1" w:tplc="F40ABC7E" w:tentative="1">
      <w:start w:val="1"/>
      <w:numFmt w:val="bullet"/>
      <w:lvlText w:val="•"/>
      <w:lvlJc w:val="left"/>
      <w:pPr>
        <w:tabs>
          <w:tab w:val="num" w:pos="1440"/>
        </w:tabs>
        <w:ind w:left="1440" w:hanging="360"/>
      </w:pPr>
      <w:rPr>
        <w:rFonts w:ascii="Times New Roman" w:hAnsi="Times New Roman" w:hint="default"/>
      </w:rPr>
    </w:lvl>
    <w:lvl w:ilvl="2" w:tplc="A990A19C" w:tentative="1">
      <w:start w:val="1"/>
      <w:numFmt w:val="bullet"/>
      <w:lvlText w:val="•"/>
      <w:lvlJc w:val="left"/>
      <w:pPr>
        <w:tabs>
          <w:tab w:val="num" w:pos="2160"/>
        </w:tabs>
        <w:ind w:left="2160" w:hanging="360"/>
      </w:pPr>
      <w:rPr>
        <w:rFonts w:ascii="Times New Roman" w:hAnsi="Times New Roman" w:hint="default"/>
      </w:rPr>
    </w:lvl>
    <w:lvl w:ilvl="3" w:tplc="806072D4" w:tentative="1">
      <w:start w:val="1"/>
      <w:numFmt w:val="bullet"/>
      <w:lvlText w:val="•"/>
      <w:lvlJc w:val="left"/>
      <w:pPr>
        <w:tabs>
          <w:tab w:val="num" w:pos="2880"/>
        </w:tabs>
        <w:ind w:left="2880" w:hanging="360"/>
      </w:pPr>
      <w:rPr>
        <w:rFonts w:ascii="Times New Roman" w:hAnsi="Times New Roman" w:hint="default"/>
      </w:rPr>
    </w:lvl>
    <w:lvl w:ilvl="4" w:tplc="8DD465F8" w:tentative="1">
      <w:start w:val="1"/>
      <w:numFmt w:val="bullet"/>
      <w:lvlText w:val="•"/>
      <w:lvlJc w:val="left"/>
      <w:pPr>
        <w:tabs>
          <w:tab w:val="num" w:pos="3600"/>
        </w:tabs>
        <w:ind w:left="3600" w:hanging="360"/>
      </w:pPr>
      <w:rPr>
        <w:rFonts w:ascii="Times New Roman" w:hAnsi="Times New Roman" w:hint="default"/>
      </w:rPr>
    </w:lvl>
    <w:lvl w:ilvl="5" w:tplc="6408E710" w:tentative="1">
      <w:start w:val="1"/>
      <w:numFmt w:val="bullet"/>
      <w:lvlText w:val="•"/>
      <w:lvlJc w:val="left"/>
      <w:pPr>
        <w:tabs>
          <w:tab w:val="num" w:pos="4320"/>
        </w:tabs>
        <w:ind w:left="4320" w:hanging="360"/>
      </w:pPr>
      <w:rPr>
        <w:rFonts w:ascii="Times New Roman" w:hAnsi="Times New Roman" w:hint="default"/>
      </w:rPr>
    </w:lvl>
    <w:lvl w:ilvl="6" w:tplc="F54278E2" w:tentative="1">
      <w:start w:val="1"/>
      <w:numFmt w:val="bullet"/>
      <w:lvlText w:val="•"/>
      <w:lvlJc w:val="left"/>
      <w:pPr>
        <w:tabs>
          <w:tab w:val="num" w:pos="5040"/>
        </w:tabs>
        <w:ind w:left="5040" w:hanging="360"/>
      </w:pPr>
      <w:rPr>
        <w:rFonts w:ascii="Times New Roman" w:hAnsi="Times New Roman" w:hint="default"/>
      </w:rPr>
    </w:lvl>
    <w:lvl w:ilvl="7" w:tplc="E932A350" w:tentative="1">
      <w:start w:val="1"/>
      <w:numFmt w:val="bullet"/>
      <w:lvlText w:val="•"/>
      <w:lvlJc w:val="left"/>
      <w:pPr>
        <w:tabs>
          <w:tab w:val="num" w:pos="5760"/>
        </w:tabs>
        <w:ind w:left="5760" w:hanging="360"/>
      </w:pPr>
      <w:rPr>
        <w:rFonts w:ascii="Times New Roman" w:hAnsi="Times New Roman" w:hint="default"/>
      </w:rPr>
    </w:lvl>
    <w:lvl w:ilvl="8" w:tplc="D1DA28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F9585A"/>
    <w:multiLevelType w:val="hybridMultilevel"/>
    <w:tmpl w:val="9C9C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21F00"/>
    <w:multiLevelType w:val="hybridMultilevel"/>
    <w:tmpl w:val="1C8206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E4FF8"/>
    <w:multiLevelType w:val="hybridMultilevel"/>
    <w:tmpl w:val="EDF6B2DA"/>
    <w:lvl w:ilvl="0" w:tplc="079AF9F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1666F6"/>
    <w:multiLevelType w:val="hybridMultilevel"/>
    <w:tmpl w:val="F1888AD6"/>
    <w:lvl w:ilvl="0" w:tplc="EA0C60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A26698"/>
    <w:multiLevelType w:val="hybridMultilevel"/>
    <w:tmpl w:val="1C820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0" w15:restartNumberingAfterBreak="0">
    <w:nsid w:val="775F4A77"/>
    <w:multiLevelType w:val="hybridMultilevel"/>
    <w:tmpl w:val="A678C4CA"/>
    <w:lvl w:ilvl="0" w:tplc="84BEE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8"/>
  </w:num>
  <w:num w:numId="6">
    <w:abstractNumId w:val="0"/>
  </w:num>
  <w:num w:numId="7">
    <w:abstractNumId w:val="9"/>
  </w:num>
  <w:num w:numId="8">
    <w:abstractNumId w:val="1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D1"/>
    <w:rsid w:val="0001373F"/>
    <w:rsid w:val="00020FF2"/>
    <w:rsid w:val="00021A45"/>
    <w:rsid w:val="00022267"/>
    <w:rsid w:val="00031CFB"/>
    <w:rsid w:val="0003261A"/>
    <w:rsid w:val="0003626A"/>
    <w:rsid w:val="00036393"/>
    <w:rsid w:val="00037533"/>
    <w:rsid w:val="00057645"/>
    <w:rsid w:val="00062AD4"/>
    <w:rsid w:val="00062AE2"/>
    <w:rsid w:val="00063636"/>
    <w:rsid w:val="000822EE"/>
    <w:rsid w:val="00082BED"/>
    <w:rsid w:val="000848C2"/>
    <w:rsid w:val="00091BA7"/>
    <w:rsid w:val="00096EB7"/>
    <w:rsid w:val="000B301E"/>
    <w:rsid w:val="000B3EFE"/>
    <w:rsid w:val="000B7D49"/>
    <w:rsid w:val="000D0092"/>
    <w:rsid w:val="000D2F9B"/>
    <w:rsid w:val="000D3FA1"/>
    <w:rsid w:val="000E087D"/>
    <w:rsid w:val="000F6409"/>
    <w:rsid w:val="00110CC1"/>
    <w:rsid w:val="00111F98"/>
    <w:rsid w:val="00112909"/>
    <w:rsid w:val="00113C35"/>
    <w:rsid w:val="001167E6"/>
    <w:rsid w:val="00117731"/>
    <w:rsid w:val="0012001C"/>
    <w:rsid w:val="0012244F"/>
    <w:rsid w:val="00124393"/>
    <w:rsid w:val="001339EA"/>
    <w:rsid w:val="0014151F"/>
    <w:rsid w:val="00151047"/>
    <w:rsid w:val="00153F02"/>
    <w:rsid w:val="001715AC"/>
    <w:rsid w:val="0017298F"/>
    <w:rsid w:val="00176379"/>
    <w:rsid w:val="001812E5"/>
    <w:rsid w:val="0019148F"/>
    <w:rsid w:val="001A0860"/>
    <w:rsid w:val="001A67D4"/>
    <w:rsid w:val="001B2309"/>
    <w:rsid w:val="001B51E2"/>
    <w:rsid w:val="001B5685"/>
    <w:rsid w:val="001B6452"/>
    <w:rsid w:val="001B6C62"/>
    <w:rsid w:val="001B76FA"/>
    <w:rsid w:val="001C23AE"/>
    <w:rsid w:val="001C2501"/>
    <w:rsid w:val="001E052B"/>
    <w:rsid w:val="00204100"/>
    <w:rsid w:val="002127AB"/>
    <w:rsid w:val="00216D4F"/>
    <w:rsid w:val="00221701"/>
    <w:rsid w:val="002306A8"/>
    <w:rsid w:val="00231364"/>
    <w:rsid w:val="0023630D"/>
    <w:rsid w:val="00246014"/>
    <w:rsid w:val="00252061"/>
    <w:rsid w:val="002642BA"/>
    <w:rsid w:val="002732E6"/>
    <w:rsid w:val="00274480"/>
    <w:rsid w:val="00281544"/>
    <w:rsid w:val="002A590D"/>
    <w:rsid w:val="002A64C5"/>
    <w:rsid w:val="002A7191"/>
    <w:rsid w:val="002D63FD"/>
    <w:rsid w:val="002D6E70"/>
    <w:rsid w:val="003001C8"/>
    <w:rsid w:val="0030399A"/>
    <w:rsid w:val="0032440D"/>
    <w:rsid w:val="0032738F"/>
    <w:rsid w:val="0033227D"/>
    <w:rsid w:val="00332B55"/>
    <w:rsid w:val="003342B2"/>
    <w:rsid w:val="00337052"/>
    <w:rsid w:val="00352DBE"/>
    <w:rsid w:val="00354F52"/>
    <w:rsid w:val="00356A46"/>
    <w:rsid w:val="00356C33"/>
    <w:rsid w:val="00363A16"/>
    <w:rsid w:val="003742BA"/>
    <w:rsid w:val="00375CF0"/>
    <w:rsid w:val="0037657A"/>
    <w:rsid w:val="00376CD8"/>
    <w:rsid w:val="00391E55"/>
    <w:rsid w:val="003A2AAC"/>
    <w:rsid w:val="003B696E"/>
    <w:rsid w:val="003C1EB2"/>
    <w:rsid w:val="003E2579"/>
    <w:rsid w:val="003E5377"/>
    <w:rsid w:val="003E6350"/>
    <w:rsid w:val="003F24E1"/>
    <w:rsid w:val="004028D2"/>
    <w:rsid w:val="00404FAF"/>
    <w:rsid w:val="00411A3D"/>
    <w:rsid w:val="00425CBF"/>
    <w:rsid w:val="00426C6F"/>
    <w:rsid w:val="004372E4"/>
    <w:rsid w:val="004473B7"/>
    <w:rsid w:val="00450CED"/>
    <w:rsid w:val="00454F84"/>
    <w:rsid w:val="00460283"/>
    <w:rsid w:val="0046424B"/>
    <w:rsid w:val="004757FC"/>
    <w:rsid w:val="004830FC"/>
    <w:rsid w:val="004842F5"/>
    <w:rsid w:val="0049036E"/>
    <w:rsid w:val="00492485"/>
    <w:rsid w:val="004935F5"/>
    <w:rsid w:val="00495300"/>
    <w:rsid w:val="004A2F2B"/>
    <w:rsid w:val="004B2DB3"/>
    <w:rsid w:val="004B7D36"/>
    <w:rsid w:val="004C1B24"/>
    <w:rsid w:val="004C7E5B"/>
    <w:rsid w:val="004D0DF2"/>
    <w:rsid w:val="00502D36"/>
    <w:rsid w:val="00505BB6"/>
    <w:rsid w:val="0051656A"/>
    <w:rsid w:val="00517BAB"/>
    <w:rsid w:val="00525130"/>
    <w:rsid w:val="00544381"/>
    <w:rsid w:val="00565B27"/>
    <w:rsid w:val="0056777B"/>
    <w:rsid w:val="00574200"/>
    <w:rsid w:val="00574AC4"/>
    <w:rsid w:val="005766D1"/>
    <w:rsid w:val="005B357F"/>
    <w:rsid w:val="005B3A85"/>
    <w:rsid w:val="005B6521"/>
    <w:rsid w:val="005D7C70"/>
    <w:rsid w:val="005D7D25"/>
    <w:rsid w:val="005E4219"/>
    <w:rsid w:val="005E5D65"/>
    <w:rsid w:val="005F0D21"/>
    <w:rsid w:val="00601D94"/>
    <w:rsid w:val="00602762"/>
    <w:rsid w:val="006109F4"/>
    <w:rsid w:val="00636AA6"/>
    <w:rsid w:val="006465B4"/>
    <w:rsid w:val="00651574"/>
    <w:rsid w:val="00656D66"/>
    <w:rsid w:val="006637A7"/>
    <w:rsid w:val="0066416E"/>
    <w:rsid w:val="0066679D"/>
    <w:rsid w:val="00693068"/>
    <w:rsid w:val="006956C0"/>
    <w:rsid w:val="006B0416"/>
    <w:rsid w:val="006B73D7"/>
    <w:rsid w:val="006C0119"/>
    <w:rsid w:val="006C1145"/>
    <w:rsid w:val="006E0584"/>
    <w:rsid w:val="006E35B1"/>
    <w:rsid w:val="006E5020"/>
    <w:rsid w:val="006E7E00"/>
    <w:rsid w:val="007075E7"/>
    <w:rsid w:val="00715E5F"/>
    <w:rsid w:val="0071660F"/>
    <w:rsid w:val="00724F23"/>
    <w:rsid w:val="00736590"/>
    <w:rsid w:val="0074328B"/>
    <w:rsid w:val="00743A53"/>
    <w:rsid w:val="00744166"/>
    <w:rsid w:val="00747521"/>
    <w:rsid w:val="0075226A"/>
    <w:rsid w:val="00760679"/>
    <w:rsid w:val="00761F51"/>
    <w:rsid w:val="00764A2D"/>
    <w:rsid w:val="007675B5"/>
    <w:rsid w:val="00772445"/>
    <w:rsid w:val="0077760D"/>
    <w:rsid w:val="007821D5"/>
    <w:rsid w:val="00791178"/>
    <w:rsid w:val="007948BD"/>
    <w:rsid w:val="00795BDF"/>
    <w:rsid w:val="007A6E8A"/>
    <w:rsid w:val="007B5872"/>
    <w:rsid w:val="007C6FB6"/>
    <w:rsid w:val="007D7C5D"/>
    <w:rsid w:val="007E24EA"/>
    <w:rsid w:val="007E6671"/>
    <w:rsid w:val="007E7BBF"/>
    <w:rsid w:val="007F035B"/>
    <w:rsid w:val="0082362E"/>
    <w:rsid w:val="00825F16"/>
    <w:rsid w:val="008322E5"/>
    <w:rsid w:val="00832698"/>
    <w:rsid w:val="0083689C"/>
    <w:rsid w:val="008503AF"/>
    <w:rsid w:val="00866D8D"/>
    <w:rsid w:val="00870A23"/>
    <w:rsid w:val="00873647"/>
    <w:rsid w:val="00874D5F"/>
    <w:rsid w:val="008774F7"/>
    <w:rsid w:val="00886A76"/>
    <w:rsid w:val="008916FB"/>
    <w:rsid w:val="0089731A"/>
    <w:rsid w:val="008A30CC"/>
    <w:rsid w:val="008A6592"/>
    <w:rsid w:val="008B2CC6"/>
    <w:rsid w:val="008B69FB"/>
    <w:rsid w:val="008E4FDB"/>
    <w:rsid w:val="008E7AAA"/>
    <w:rsid w:val="008F5D66"/>
    <w:rsid w:val="00900318"/>
    <w:rsid w:val="00901D4C"/>
    <w:rsid w:val="009069BC"/>
    <w:rsid w:val="00910537"/>
    <w:rsid w:val="00915606"/>
    <w:rsid w:val="0093549A"/>
    <w:rsid w:val="009552BD"/>
    <w:rsid w:val="00955DFF"/>
    <w:rsid w:val="0096262A"/>
    <w:rsid w:val="00962BEB"/>
    <w:rsid w:val="009668CE"/>
    <w:rsid w:val="00974D77"/>
    <w:rsid w:val="00980BEC"/>
    <w:rsid w:val="00981AB1"/>
    <w:rsid w:val="00987053"/>
    <w:rsid w:val="009925CB"/>
    <w:rsid w:val="009A4EB9"/>
    <w:rsid w:val="009B2C84"/>
    <w:rsid w:val="009B2FE8"/>
    <w:rsid w:val="009C7752"/>
    <w:rsid w:val="009D1059"/>
    <w:rsid w:val="009D32C7"/>
    <w:rsid w:val="009F4820"/>
    <w:rsid w:val="009F5446"/>
    <w:rsid w:val="00A12422"/>
    <w:rsid w:val="00A20D2D"/>
    <w:rsid w:val="00A21E35"/>
    <w:rsid w:val="00A53619"/>
    <w:rsid w:val="00A576B1"/>
    <w:rsid w:val="00A62E20"/>
    <w:rsid w:val="00A66F5A"/>
    <w:rsid w:val="00A70A67"/>
    <w:rsid w:val="00A7149B"/>
    <w:rsid w:val="00A76125"/>
    <w:rsid w:val="00A7740A"/>
    <w:rsid w:val="00AA0DA4"/>
    <w:rsid w:val="00AA2F10"/>
    <w:rsid w:val="00AB189A"/>
    <w:rsid w:val="00AB4CEC"/>
    <w:rsid w:val="00AC1FF6"/>
    <w:rsid w:val="00AC3B6C"/>
    <w:rsid w:val="00AC6213"/>
    <w:rsid w:val="00AE332E"/>
    <w:rsid w:val="00AE36A0"/>
    <w:rsid w:val="00AE78C2"/>
    <w:rsid w:val="00AF2B54"/>
    <w:rsid w:val="00AF563C"/>
    <w:rsid w:val="00AF7DC6"/>
    <w:rsid w:val="00B11437"/>
    <w:rsid w:val="00B15343"/>
    <w:rsid w:val="00B160B1"/>
    <w:rsid w:val="00B35716"/>
    <w:rsid w:val="00B400E4"/>
    <w:rsid w:val="00B41CF7"/>
    <w:rsid w:val="00B44E88"/>
    <w:rsid w:val="00B52B7D"/>
    <w:rsid w:val="00B53458"/>
    <w:rsid w:val="00B63A90"/>
    <w:rsid w:val="00B67BE4"/>
    <w:rsid w:val="00B702E0"/>
    <w:rsid w:val="00B73A12"/>
    <w:rsid w:val="00B838A4"/>
    <w:rsid w:val="00B841A7"/>
    <w:rsid w:val="00B959B1"/>
    <w:rsid w:val="00BA27EB"/>
    <w:rsid w:val="00BA2CAF"/>
    <w:rsid w:val="00BB1193"/>
    <w:rsid w:val="00BB1E2F"/>
    <w:rsid w:val="00BC41A4"/>
    <w:rsid w:val="00BE1172"/>
    <w:rsid w:val="00BE25F0"/>
    <w:rsid w:val="00BF413E"/>
    <w:rsid w:val="00C0025B"/>
    <w:rsid w:val="00C362B4"/>
    <w:rsid w:val="00C4554F"/>
    <w:rsid w:val="00C555D9"/>
    <w:rsid w:val="00C60508"/>
    <w:rsid w:val="00C6555D"/>
    <w:rsid w:val="00C71BDB"/>
    <w:rsid w:val="00C73E79"/>
    <w:rsid w:val="00C776C5"/>
    <w:rsid w:val="00C86B07"/>
    <w:rsid w:val="00C86C91"/>
    <w:rsid w:val="00C95088"/>
    <w:rsid w:val="00CA7571"/>
    <w:rsid w:val="00CB4CBA"/>
    <w:rsid w:val="00CC4009"/>
    <w:rsid w:val="00CC4765"/>
    <w:rsid w:val="00CC6F80"/>
    <w:rsid w:val="00CF19EB"/>
    <w:rsid w:val="00CF250A"/>
    <w:rsid w:val="00CF3175"/>
    <w:rsid w:val="00D06005"/>
    <w:rsid w:val="00D15C91"/>
    <w:rsid w:val="00D17691"/>
    <w:rsid w:val="00D30D78"/>
    <w:rsid w:val="00D330D8"/>
    <w:rsid w:val="00D3733B"/>
    <w:rsid w:val="00D45D86"/>
    <w:rsid w:val="00D4671F"/>
    <w:rsid w:val="00D5381D"/>
    <w:rsid w:val="00D651EE"/>
    <w:rsid w:val="00D66FA0"/>
    <w:rsid w:val="00D82145"/>
    <w:rsid w:val="00D839EF"/>
    <w:rsid w:val="00D862A4"/>
    <w:rsid w:val="00D8799F"/>
    <w:rsid w:val="00D90704"/>
    <w:rsid w:val="00D94BAB"/>
    <w:rsid w:val="00D94D2E"/>
    <w:rsid w:val="00DA13B6"/>
    <w:rsid w:val="00DA7992"/>
    <w:rsid w:val="00DA7B2F"/>
    <w:rsid w:val="00DB3893"/>
    <w:rsid w:val="00DC3B9A"/>
    <w:rsid w:val="00DC4A57"/>
    <w:rsid w:val="00DD50EB"/>
    <w:rsid w:val="00DE1EDE"/>
    <w:rsid w:val="00DE31E9"/>
    <w:rsid w:val="00DF52E5"/>
    <w:rsid w:val="00DF5FB5"/>
    <w:rsid w:val="00E0169C"/>
    <w:rsid w:val="00E105F3"/>
    <w:rsid w:val="00E20AE8"/>
    <w:rsid w:val="00E237DE"/>
    <w:rsid w:val="00E23E1D"/>
    <w:rsid w:val="00E35DE7"/>
    <w:rsid w:val="00E37B11"/>
    <w:rsid w:val="00E43EC2"/>
    <w:rsid w:val="00E44334"/>
    <w:rsid w:val="00E464C2"/>
    <w:rsid w:val="00E478C6"/>
    <w:rsid w:val="00E47BCF"/>
    <w:rsid w:val="00E53160"/>
    <w:rsid w:val="00E53D54"/>
    <w:rsid w:val="00E559B1"/>
    <w:rsid w:val="00E566FB"/>
    <w:rsid w:val="00E57DEA"/>
    <w:rsid w:val="00E60BDC"/>
    <w:rsid w:val="00E66B4F"/>
    <w:rsid w:val="00E75038"/>
    <w:rsid w:val="00E93B2F"/>
    <w:rsid w:val="00EB03BB"/>
    <w:rsid w:val="00EC0A76"/>
    <w:rsid w:val="00EC27D7"/>
    <w:rsid w:val="00EE5C8A"/>
    <w:rsid w:val="00EE67F5"/>
    <w:rsid w:val="00EF2F6F"/>
    <w:rsid w:val="00F0511B"/>
    <w:rsid w:val="00F0778F"/>
    <w:rsid w:val="00F15588"/>
    <w:rsid w:val="00F166CD"/>
    <w:rsid w:val="00F232D3"/>
    <w:rsid w:val="00F257CC"/>
    <w:rsid w:val="00F3357E"/>
    <w:rsid w:val="00F41F40"/>
    <w:rsid w:val="00F4576E"/>
    <w:rsid w:val="00F50937"/>
    <w:rsid w:val="00F50F8C"/>
    <w:rsid w:val="00F5263A"/>
    <w:rsid w:val="00F53924"/>
    <w:rsid w:val="00F616D5"/>
    <w:rsid w:val="00F710A1"/>
    <w:rsid w:val="00F83917"/>
    <w:rsid w:val="00F844B4"/>
    <w:rsid w:val="00F93B60"/>
    <w:rsid w:val="00FB091C"/>
    <w:rsid w:val="00FB2F1A"/>
    <w:rsid w:val="00FB3C5B"/>
    <w:rsid w:val="00FB563E"/>
    <w:rsid w:val="00FB66AE"/>
    <w:rsid w:val="00FC0C5E"/>
    <w:rsid w:val="00FC5B69"/>
    <w:rsid w:val="00FD760B"/>
    <w:rsid w:val="00FE08E1"/>
    <w:rsid w:val="00FE2238"/>
    <w:rsid w:val="00FE2C75"/>
    <w:rsid w:val="00FE56D6"/>
    <w:rsid w:val="00FE5CAC"/>
    <w:rsid w:val="00FF062F"/>
    <w:rsid w:val="00FF1FD7"/>
    <w:rsid w:val="00FF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A89BF"/>
  <w15:chartTrackingRefBased/>
  <w15:docId w15:val="{6DA56ED2-54B3-854A-B0C9-990E241E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2F1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6D1"/>
    <w:pPr>
      <w:ind w:left="720"/>
      <w:contextualSpacing/>
    </w:pPr>
  </w:style>
  <w:style w:type="paragraph" w:styleId="Footer">
    <w:name w:val="footer"/>
    <w:basedOn w:val="Normal"/>
    <w:link w:val="FooterChar"/>
    <w:uiPriority w:val="99"/>
    <w:unhideWhenUsed/>
    <w:rsid w:val="003B696E"/>
    <w:pPr>
      <w:tabs>
        <w:tab w:val="center" w:pos="4680"/>
        <w:tab w:val="right" w:pos="9360"/>
      </w:tabs>
    </w:pPr>
  </w:style>
  <w:style w:type="character" w:customStyle="1" w:styleId="FooterChar">
    <w:name w:val="Footer Char"/>
    <w:basedOn w:val="DefaultParagraphFont"/>
    <w:link w:val="Footer"/>
    <w:uiPriority w:val="99"/>
    <w:rsid w:val="003B696E"/>
  </w:style>
  <w:style w:type="character" w:styleId="PageNumber">
    <w:name w:val="page number"/>
    <w:basedOn w:val="DefaultParagraphFont"/>
    <w:uiPriority w:val="99"/>
    <w:semiHidden/>
    <w:unhideWhenUsed/>
    <w:rsid w:val="003B696E"/>
  </w:style>
  <w:style w:type="paragraph" w:styleId="FootnoteText">
    <w:name w:val="footnote text"/>
    <w:basedOn w:val="Normal"/>
    <w:link w:val="FootnoteTextChar"/>
    <w:uiPriority w:val="99"/>
    <w:unhideWhenUsed/>
    <w:rsid w:val="00651574"/>
    <w:rPr>
      <w:sz w:val="20"/>
      <w:szCs w:val="20"/>
    </w:rPr>
  </w:style>
  <w:style w:type="character" w:customStyle="1" w:styleId="FootnoteTextChar">
    <w:name w:val="Footnote Text Char"/>
    <w:basedOn w:val="DefaultParagraphFont"/>
    <w:link w:val="FootnoteText"/>
    <w:uiPriority w:val="99"/>
    <w:rsid w:val="00651574"/>
    <w:rPr>
      <w:sz w:val="20"/>
      <w:szCs w:val="20"/>
    </w:rPr>
  </w:style>
  <w:style w:type="character" w:styleId="FootnoteReference">
    <w:name w:val="footnote reference"/>
    <w:basedOn w:val="DefaultParagraphFont"/>
    <w:uiPriority w:val="99"/>
    <w:unhideWhenUsed/>
    <w:rsid w:val="00651574"/>
    <w:rPr>
      <w:vertAlign w:val="superscript"/>
    </w:rPr>
  </w:style>
  <w:style w:type="character" w:styleId="Hyperlink">
    <w:name w:val="Hyperlink"/>
    <w:basedOn w:val="DefaultParagraphFont"/>
    <w:uiPriority w:val="99"/>
    <w:unhideWhenUsed/>
    <w:rsid w:val="00651574"/>
    <w:rPr>
      <w:color w:val="0563C1" w:themeColor="hyperlink"/>
      <w:u w:val="single"/>
    </w:rPr>
  </w:style>
  <w:style w:type="character" w:styleId="UnresolvedMention">
    <w:name w:val="Unresolved Mention"/>
    <w:basedOn w:val="DefaultParagraphFont"/>
    <w:uiPriority w:val="99"/>
    <w:semiHidden/>
    <w:unhideWhenUsed/>
    <w:rsid w:val="00651574"/>
    <w:rPr>
      <w:color w:val="605E5C"/>
      <w:shd w:val="clear" w:color="auto" w:fill="E1DFDD"/>
    </w:rPr>
  </w:style>
  <w:style w:type="character" w:styleId="FollowedHyperlink">
    <w:name w:val="FollowedHyperlink"/>
    <w:basedOn w:val="DefaultParagraphFont"/>
    <w:uiPriority w:val="99"/>
    <w:semiHidden/>
    <w:unhideWhenUsed/>
    <w:rsid w:val="00651574"/>
    <w:rPr>
      <w:color w:val="954F72" w:themeColor="followedHyperlink"/>
      <w:u w:val="single"/>
    </w:rPr>
  </w:style>
  <w:style w:type="character" w:styleId="Emphasis">
    <w:name w:val="Emphasis"/>
    <w:basedOn w:val="DefaultParagraphFont"/>
    <w:uiPriority w:val="20"/>
    <w:qFormat/>
    <w:rsid w:val="007E24EA"/>
    <w:rPr>
      <w:i/>
      <w:iCs/>
    </w:rPr>
  </w:style>
  <w:style w:type="paragraph" w:styleId="NormalWeb">
    <w:name w:val="Normal (Web)"/>
    <w:basedOn w:val="Normal"/>
    <w:uiPriority w:val="99"/>
    <w:unhideWhenUsed/>
    <w:rsid w:val="00AA2F1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A2F10"/>
    <w:rPr>
      <w:rFonts w:ascii="Times New Roman" w:eastAsia="Times New Roman" w:hAnsi="Times New Roman" w:cs="Times New Roman"/>
      <w:b/>
      <w:bCs/>
      <w:kern w:val="36"/>
      <w:sz w:val="48"/>
      <w:szCs w:val="48"/>
    </w:rPr>
  </w:style>
  <w:style w:type="paragraph" w:customStyle="1" w:styleId="ParaLevel1">
    <w:name w:val="ParaLevel1"/>
    <w:basedOn w:val="Normal"/>
    <w:rsid w:val="00FF1FD7"/>
    <w:pPr>
      <w:numPr>
        <w:numId w:val="7"/>
      </w:numPr>
      <w:suppressAutoHyphens/>
      <w:spacing w:before="240" w:after="240"/>
      <w:jc w:val="both"/>
      <w:outlineLvl w:val="0"/>
    </w:pPr>
    <w:rPr>
      <w:rFonts w:ascii="Times New Roman" w:eastAsia="Times New Roman" w:hAnsi="Times New Roman" w:cs="Times New Roman"/>
      <w:szCs w:val="20"/>
    </w:rPr>
  </w:style>
  <w:style w:type="paragraph" w:customStyle="1" w:styleId="ParaLevel2">
    <w:name w:val="ParaLevel2"/>
    <w:basedOn w:val="Normal"/>
    <w:rsid w:val="00FF1FD7"/>
    <w:pPr>
      <w:numPr>
        <w:ilvl w:val="1"/>
        <w:numId w:val="7"/>
      </w:numPr>
      <w:suppressAutoHyphens/>
      <w:spacing w:before="240" w:after="240"/>
      <w:jc w:val="both"/>
      <w:outlineLvl w:val="1"/>
    </w:pPr>
    <w:rPr>
      <w:rFonts w:ascii="Times New Roman" w:eastAsia="Times New Roman" w:hAnsi="Times New Roman" w:cs="Times New Roman"/>
      <w:szCs w:val="20"/>
    </w:rPr>
  </w:style>
  <w:style w:type="paragraph" w:customStyle="1" w:styleId="ParaLevel3">
    <w:name w:val="ParaLevel3"/>
    <w:basedOn w:val="Normal"/>
    <w:rsid w:val="00FF1FD7"/>
    <w:pPr>
      <w:numPr>
        <w:ilvl w:val="2"/>
        <w:numId w:val="7"/>
      </w:numPr>
      <w:suppressAutoHyphens/>
      <w:spacing w:before="240" w:after="240"/>
      <w:jc w:val="both"/>
      <w:outlineLvl w:val="2"/>
    </w:pPr>
    <w:rPr>
      <w:rFonts w:ascii="Times New Roman" w:eastAsia="Times New Roman" w:hAnsi="Times New Roman" w:cs="Times New Roman"/>
      <w:szCs w:val="20"/>
    </w:rPr>
  </w:style>
  <w:style w:type="paragraph" w:customStyle="1" w:styleId="ParaLevel4">
    <w:name w:val="ParaLevel4"/>
    <w:basedOn w:val="Normal"/>
    <w:rsid w:val="00FF1FD7"/>
    <w:pPr>
      <w:numPr>
        <w:ilvl w:val="3"/>
        <w:numId w:val="7"/>
      </w:numPr>
      <w:suppressAutoHyphens/>
      <w:spacing w:before="240" w:after="240"/>
      <w:jc w:val="both"/>
      <w:outlineLvl w:val="3"/>
    </w:pPr>
    <w:rPr>
      <w:rFonts w:ascii="Times New Roman" w:eastAsia="Times New Roman" w:hAnsi="Times New Roman" w:cs="Times New Roman"/>
      <w:szCs w:val="20"/>
    </w:rPr>
  </w:style>
  <w:style w:type="paragraph" w:customStyle="1" w:styleId="ParaLevel5">
    <w:name w:val="ParaLevel5"/>
    <w:basedOn w:val="Normal"/>
    <w:rsid w:val="00FF1FD7"/>
    <w:pPr>
      <w:numPr>
        <w:ilvl w:val="4"/>
        <w:numId w:val="7"/>
      </w:numPr>
      <w:suppressAutoHyphens/>
      <w:spacing w:before="240" w:after="240"/>
      <w:jc w:val="both"/>
      <w:outlineLvl w:val="4"/>
    </w:pPr>
    <w:rPr>
      <w:rFonts w:ascii="Times New Roman" w:eastAsia="Times New Roman" w:hAnsi="Times New Roman" w:cs="Times New Roman"/>
      <w:szCs w:val="20"/>
    </w:rPr>
  </w:style>
  <w:style w:type="paragraph" w:customStyle="1" w:styleId="ParaLevel6">
    <w:name w:val="ParaLevel6"/>
    <w:basedOn w:val="Normal"/>
    <w:rsid w:val="00FF1FD7"/>
    <w:pPr>
      <w:numPr>
        <w:ilvl w:val="5"/>
        <w:numId w:val="7"/>
      </w:numPr>
      <w:suppressAutoHyphens/>
      <w:spacing w:before="240" w:after="240"/>
      <w:jc w:val="both"/>
      <w:outlineLvl w:val="5"/>
    </w:pPr>
    <w:rPr>
      <w:rFonts w:ascii="Times New Roman" w:eastAsia="Times New Roman" w:hAnsi="Times New Roman" w:cs="Times New Roman"/>
      <w:szCs w:val="20"/>
    </w:rPr>
  </w:style>
  <w:style w:type="paragraph" w:customStyle="1" w:styleId="ParaLevel7">
    <w:name w:val="ParaLevel7"/>
    <w:basedOn w:val="Normal"/>
    <w:rsid w:val="00FF1FD7"/>
    <w:pPr>
      <w:numPr>
        <w:ilvl w:val="6"/>
        <w:numId w:val="7"/>
      </w:numPr>
      <w:suppressAutoHyphens/>
      <w:spacing w:before="240" w:after="240"/>
      <w:jc w:val="both"/>
      <w:outlineLvl w:val="6"/>
    </w:pPr>
    <w:rPr>
      <w:rFonts w:ascii="Times New Roman" w:eastAsia="Times New Roman" w:hAnsi="Times New Roman" w:cs="Times New Roman"/>
      <w:szCs w:val="20"/>
    </w:rPr>
  </w:style>
  <w:style w:type="paragraph" w:customStyle="1" w:styleId="ParaLevel8">
    <w:name w:val="ParaLevel8"/>
    <w:basedOn w:val="Normal"/>
    <w:rsid w:val="00FF1FD7"/>
    <w:pPr>
      <w:numPr>
        <w:ilvl w:val="7"/>
        <w:numId w:val="7"/>
      </w:numPr>
      <w:suppressAutoHyphens/>
      <w:spacing w:before="240" w:after="240"/>
      <w:jc w:val="both"/>
      <w:outlineLvl w:val="7"/>
    </w:pPr>
    <w:rPr>
      <w:rFonts w:ascii="Times New Roman" w:eastAsia="Times New Roman" w:hAnsi="Times New Roman" w:cs="Times New Roman"/>
      <w:szCs w:val="20"/>
    </w:rPr>
  </w:style>
  <w:style w:type="paragraph" w:customStyle="1" w:styleId="ParaLevel9">
    <w:name w:val="ParaLevel9"/>
    <w:basedOn w:val="Normal"/>
    <w:rsid w:val="00FF1FD7"/>
    <w:pPr>
      <w:numPr>
        <w:ilvl w:val="8"/>
        <w:numId w:val="7"/>
      </w:numPr>
      <w:suppressAutoHyphens/>
      <w:spacing w:before="240" w:after="240"/>
      <w:jc w:val="both"/>
      <w:outlineLvl w:val="8"/>
    </w:pPr>
    <w:rPr>
      <w:rFonts w:ascii="Times New Roman" w:eastAsia="Times New Roman" w:hAnsi="Times New Roman" w:cs="Times New Roman"/>
      <w:szCs w:val="20"/>
    </w:rPr>
  </w:style>
  <w:style w:type="character" w:customStyle="1" w:styleId="costarpage">
    <w:name w:val="co_starpage"/>
    <w:basedOn w:val="DefaultParagraphFont"/>
    <w:rsid w:val="00980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3249">
      <w:bodyDiv w:val="1"/>
      <w:marLeft w:val="0"/>
      <w:marRight w:val="0"/>
      <w:marTop w:val="0"/>
      <w:marBottom w:val="0"/>
      <w:divBdr>
        <w:top w:val="none" w:sz="0" w:space="0" w:color="auto"/>
        <w:left w:val="none" w:sz="0" w:space="0" w:color="auto"/>
        <w:bottom w:val="none" w:sz="0" w:space="0" w:color="auto"/>
        <w:right w:val="none" w:sz="0" w:space="0" w:color="auto"/>
      </w:divBdr>
    </w:div>
    <w:div w:id="137578531">
      <w:bodyDiv w:val="1"/>
      <w:marLeft w:val="0"/>
      <w:marRight w:val="0"/>
      <w:marTop w:val="0"/>
      <w:marBottom w:val="0"/>
      <w:divBdr>
        <w:top w:val="none" w:sz="0" w:space="0" w:color="auto"/>
        <w:left w:val="none" w:sz="0" w:space="0" w:color="auto"/>
        <w:bottom w:val="none" w:sz="0" w:space="0" w:color="auto"/>
        <w:right w:val="none" w:sz="0" w:space="0" w:color="auto"/>
      </w:divBdr>
    </w:div>
    <w:div w:id="145709900">
      <w:bodyDiv w:val="1"/>
      <w:marLeft w:val="0"/>
      <w:marRight w:val="0"/>
      <w:marTop w:val="0"/>
      <w:marBottom w:val="0"/>
      <w:divBdr>
        <w:top w:val="none" w:sz="0" w:space="0" w:color="auto"/>
        <w:left w:val="none" w:sz="0" w:space="0" w:color="auto"/>
        <w:bottom w:val="none" w:sz="0" w:space="0" w:color="auto"/>
        <w:right w:val="none" w:sz="0" w:space="0" w:color="auto"/>
      </w:divBdr>
    </w:div>
    <w:div w:id="191067828">
      <w:bodyDiv w:val="1"/>
      <w:marLeft w:val="0"/>
      <w:marRight w:val="0"/>
      <w:marTop w:val="0"/>
      <w:marBottom w:val="0"/>
      <w:divBdr>
        <w:top w:val="none" w:sz="0" w:space="0" w:color="auto"/>
        <w:left w:val="none" w:sz="0" w:space="0" w:color="auto"/>
        <w:bottom w:val="none" w:sz="0" w:space="0" w:color="auto"/>
        <w:right w:val="none" w:sz="0" w:space="0" w:color="auto"/>
      </w:divBdr>
    </w:div>
    <w:div w:id="244075562">
      <w:bodyDiv w:val="1"/>
      <w:marLeft w:val="0"/>
      <w:marRight w:val="0"/>
      <w:marTop w:val="0"/>
      <w:marBottom w:val="0"/>
      <w:divBdr>
        <w:top w:val="none" w:sz="0" w:space="0" w:color="auto"/>
        <w:left w:val="none" w:sz="0" w:space="0" w:color="auto"/>
        <w:bottom w:val="none" w:sz="0" w:space="0" w:color="auto"/>
        <w:right w:val="none" w:sz="0" w:space="0" w:color="auto"/>
      </w:divBdr>
    </w:div>
    <w:div w:id="248781563">
      <w:bodyDiv w:val="1"/>
      <w:marLeft w:val="0"/>
      <w:marRight w:val="0"/>
      <w:marTop w:val="0"/>
      <w:marBottom w:val="0"/>
      <w:divBdr>
        <w:top w:val="none" w:sz="0" w:space="0" w:color="auto"/>
        <w:left w:val="none" w:sz="0" w:space="0" w:color="auto"/>
        <w:bottom w:val="none" w:sz="0" w:space="0" w:color="auto"/>
        <w:right w:val="none" w:sz="0" w:space="0" w:color="auto"/>
      </w:divBdr>
    </w:div>
    <w:div w:id="472866353">
      <w:bodyDiv w:val="1"/>
      <w:marLeft w:val="0"/>
      <w:marRight w:val="0"/>
      <w:marTop w:val="0"/>
      <w:marBottom w:val="0"/>
      <w:divBdr>
        <w:top w:val="none" w:sz="0" w:space="0" w:color="auto"/>
        <w:left w:val="none" w:sz="0" w:space="0" w:color="auto"/>
        <w:bottom w:val="none" w:sz="0" w:space="0" w:color="auto"/>
        <w:right w:val="none" w:sz="0" w:space="0" w:color="auto"/>
      </w:divBdr>
    </w:div>
    <w:div w:id="516425809">
      <w:bodyDiv w:val="1"/>
      <w:marLeft w:val="0"/>
      <w:marRight w:val="0"/>
      <w:marTop w:val="0"/>
      <w:marBottom w:val="0"/>
      <w:divBdr>
        <w:top w:val="none" w:sz="0" w:space="0" w:color="auto"/>
        <w:left w:val="none" w:sz="0" w:space="0" w:color="auto"/>
        <w:bottom w:val="none" w:sz="0" w:space="0" w:color="auto"/>
        <w:right w:val="none" w:sz="0" w:space="0" w:color="auto"/>
      </w:divBdr>
      <w:divsChild>
        <w:div w:id="1421365167">
          <w:marLeft w:val="547"/>
          <w:marRight w:val="0"/>
          <w:marTop w:val="0"/>
          <w:marBottom w:val="0"/>
          <w:divBdr>
            <w:top w:val="none" w:sz="0" w:space="0" w:color="auto"/>
            <w:left w:val="none" w:sz="0" w:space="0" w:color="auto"/>
            <w:bottom w:val="none" w:sz="0" w:space="0" w:color="auto"/>
            <w:right w:val="none" w:sz="0" w:space="0" w:color="auto"/>
          </w:divBdr>
        </w:div>
      </w:divsChild>
    </w:div>
    <w:div w:id="676998197">
      <w:bodyDiv w:val="1"/>
      <w:marLeft w:val="0"/>
      <w:marRight w:val="0"/>
      <w:marTop w:val="0"/>
      <w:marBottom w:val="0"/>
      <w:divBdr>
        <w:top w:val="none" w:sz="0" w:space="0" w:color="auto"/>
        <w:left w:val="none" w:sz="0" w:space="0" w:color="auto"/>
        <w:bottom w:val="none" w:sz="0" w:space="0" w:color="auto"/>
        <w:right w:val="none" w:sz="0" w:space="0" w:color="auto"/>
      </w:divBdr>
    </w:div>
    <w:div w:id="791480790">
      <w:bodyDiv w:val="1"/>
      <w:marLeft w:val="0"/>
      <w:marRight w:val="0"/>
      <w:marTop w:val="0"/>
      <w:marBottom w:val="0"/>
      <w:divBdr>
        <w:top w:val="none" w:sz="0" w:space="0" w:color="auto"/>
        <w:left w:val="none" w:sz="0" w:space="0" w:color="auto"/>
        <w:bottom w:val="none" w:sz="0" w:space="0" w:color="auto"/>
        <w:right w:val="none" w:sz="0" w:space="0" w:color="auto"/>
      </w:divBdr>
    </w:div>
    <w:div w:id="991983484">
      <w:bodyDiv w:val="1"/>
      <w:marLeft w:val="0"/>
      <w:marRight w:val="0"/>
      <w:marTop w:val="0"/>
      <w:marBottom w:val="0"/>
      <w:divBdr>
        <w:top w:val="none" w:sz="0" w:space="0" w:color="auto"/>
        <w:left w:val="none" w:sz="0" w:space="0" w:color="auto"/>
        <w:bottom w:val="none" w:sz="0" w:space="0" w:color="auto"/>
        <w:right w:val="none" w:sz="0" w:space="0" w:color="auto"/>
      </w:divBdr>
    </w:div>
    <w:div w:id="1099255500">
      <w:bodyDiv w:val="1"/>
      <w:marLeft w:val="0"/>
      <w:marRight w:val="0"/>
      <w:marTop w:val="0"/>
      <w:marBottom w:val="0"/>
      <w:divBdr>
        <w:top w:val="none" w:sz="0" w:space="0" w:color="auto"/>
        <w:left w:val="none" w:sz="0" w:space="0" w:color="auto"/>
        <w:bottom w:val="none" w:sz="0" w:space="0" w:color="auto"/>
        <w:right w:val="none" w:sz="0" w:space="0" w:color="auto"/>
      </w:divBdr>
    </w:div>
    <w:div w:id="1207330135">
      <w:bodyDiv w:val="1"/>
      <w:marLeft w:val="0"/>
      <w:marRight w:val="0"/>
      <w:marTop w:val="0"/>
      <w:marBottom w:val="0"/>
      <w:divBdr>
        <w:top w:val="none" w:sz="0" w:space="0" w:color="auto"/>
        <w:left w:val="none" w:sz="0" w:space="0" w:color="auto"/>
        <w:bottom w:val="none" w:sz="0" w:space="0" w:color="auto"/>
        <w:right w:val="none" w:sz="0" w:space="0" w:color="auto"/>
      </w:divBdr>
    </w:div>
    <w:div w:id="1447776822">
      <w:bodyDiv w:val="1"/>
      <w:marLeft w:val="0"/>
      <w:marRight w:val="0"/>
      <w:marTop w:val="0"/>
      <w:marBottom w:val="0"/>
      <w:divBdr>
        <w:top w:val="none" w:sz="0" w:space="0" w:color="auto"/>
        <w:left w:val="none" w:sz="0" w:space="0" w:color="auto"/>
        <w:bottom w:val="none" w:sz="0" w:space="0" w:color="auto"/>
        <w:right w:val="none" w:sz="0" w:space="0" w:color="auto"/>
      </w:divBdr>
    </w:div>
    <w:div w:id="1601065780">
      <w:bodyDiv w:val="1"/>
      <w:marLeft w:val="0"/>
      <w:marRight w:val="0"/>
      <w:marTop w:val="0"/>
      <w:marBottom w:val="0"/>
      <w:divBdr>
        <w:top w:val="none" w:sz="0" w:space="0" w:color="auto"/>
        <w:left w:val="none" w:sz="0" w:space="0" w:color="auto"/>
        <w:bottom w:val="none" w:sz="0" w:space="0" w:color="auto"/>
        <w:right w:val="none" w:sz="0" w:space="0" w:color="auto"/>
      </w:divBdr>
      <w:divsChild>
        <w:div w:id="1863322045">
          <w:marLeft w:val="0"/>
          <w:marRight w:val="0"/>
          <w:marTop w:val="0"/>
          <w:marBottom w:val="0"/>
          <w:divBdr>
            <w:top w:val="none" w:sz="0" w:space="0" w:color="auto"/>
            <w:left w:val="none" w:sz="0" w:space="0" w:color="auto"/>
            <w:bottom w:val="none" w:sz="0" w:space="0" w:color="auto"/>
            <w:right w:val="none" w:sz="0" w:space="0" w:color="auto"/>
          </w:divBdr>
        </w:div>
        <w:div w:id="847643324">
          <w:marLeft w:val="0"/>
          <w:marRight w:val="0"/>
          <w:marTop w:val="0"/>
          <w:marBottom w:val="0"/>
          <w:divBdr>
            <w:top w:val="none" w:sz="0" w:space="0" w:color="auto"/>
            <w:left w:val="none" w:sz="0" w:space="0" w:color="auto"/>
            <w:bottom w:val="none" w:sz="0" w:space="0" w:color="auto"/>
            <w:right w:val="none" w:sz="0" w:space="0" w:color="auto"/>
          </w:divBdr>
        </w:div>
      </w:divsChild>
    </w:div>
    <w:div w:id="1601450370">
      <w:bodyDiv w:val="1"/>
      <w:marLeft w:val="0"/>
      <w:marRight w:val="0"/>
      <w:marTop w:val="0"/>
      <w:marBottom w:val="0"/>
      <w:divBdr>
        <w:top w:val="none" w:sz="0" w:space="0" w:color="auto"/>
        <w:left w:val="none" w:sz="0" w:space="0" w:color="auto"/>
        <w:bottom w:val="none" w:sz="0" w:space="0" w:color="auto"/>
        <w:right w:val="none" w:sz="0" w:space="0" w:color="auto"/>
      </w:divBdr>
    </w:div>
    <w:div w:id="1718620420">
      <w:bodyDiv w:val="1"/>
      <w:marLeft w:val="0"/>
      <w:marRight w:val="0"/>
      <w:marTop w:val="0"/>
      <w:marBottom w:val="0"/>
      <w:divBdr>
        <w:top w:val="none" w:sz="0" w:space="0" w:color="auto"/>
        <w:left w:val="none" w:sz="0" w:space="0" w:color="auto"/>
        <w:bottom w:val="none" w:sz="0" w:space="0" w:color="auto"/>
        <w:right w:val="none" w:sz="0" w:space="0" w:color="auto"/>
      </w:divBdr>
    </w:div>
    <w:div w:id="1867405072">
      <w:bodyDiv w:val="1"/>
      <w:marLeft w:val="0"/>
      <w:marRight w:val="0"/>
      <w:marTop w:val="0"/>
      <w:marBottom w:val="0"/>
      <w:divBdr>
        <w:top w:val="none" w:sz="0" w:space="0" w:color="auto"/>
        <w:left w:val="none" w:sz="0" w:space="0" w:color="auto"/>
        <w:bottom w:val="none" w:sz="0" w:space="0" w:color="auto"/>
        <w:right w:val="none" w:sz="0" w:space="0" w:color="auto"/>
      </w:divBdr>
    </w:div>
    <w:div w:id="1889414525">
      <w:bodyDiv w:val="1"/>
      <w:marLeft w:val="0"/>
      <w:marRight w:val="0"/>
      <w:marTop w:val="0"/>
      <w:marBottom w:val="0"/>
      <w:divBdr>
        <w:top w:val="none" w:sz="0" w:space="0" w:color="auto"/>
        <w:left w:val="none" w:sz="0" w:space="0" w:color="auto"/>
        <w:bottom w:val="none" w:sz="0" w:space="0" w:color="auto"/>
        <w:right w:val="none" w:sz="0" w:space="0" w:color="auto"/>
      </w:divBdr>
    </w:div>
    <w:div w:id="19762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oreton@kee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gids.nhs.uk/information-following-judical-review-judgment-decem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6154</Words>
  <Characters>35082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 Moreton</cp:lastModifiedBy>
  <cp:revision>2</cp:revision>
  <dcterms:created xsi:type="dcterms:W3CDTF">2021-06-09T11:12:00Z</dcterms:created>
  <dcterms:modified xsi:type="dcterms:W3CDTF">2021-06-09T11:12:00Z</dcterms:modified>
</cp:coreProperties>
</file>