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EFF0" w14:textId="77777777" w:rsidR="00141344" w:rsidRDefault="00141344" w:rsidP="00CA35E7">
      <w:pPr>
        <w:spacing w:after="0" w:line="360" w:lineRule="auto"/>
        <w:rPr>
          <w:rFonts w:ascii="Times New Roman" w:hAnsi="Times New Roman" w:cs="Times New Roman"/>
          <w:b/>
          <w:sz w:val="24"/>
          <w:szCs w:val="24"/>
          <w:lang w:val="en-US"/>
        </w:rPr>
      </w:pPr>
    </w:p>
    <w:p w14:paraId="3EC48468" w14:textId="141868CB" w:rsidR="00141344" w:rsidRPr="00141344" w:rsidRDefault="00141344" w:rsidP="00CA35E7">
      <w:pPr>
        <w:spacing w:after="0" w:line="360" w:lineRule="auto"/>
        <w:rPr>
          <w:rFonts w:ascii="Times New Roman" w:hAnsi="Times New Roman" w:cs="Times New Roman"/>
          <w:b/>
          <w:sz w:val="28"/>
          <w:szCs w:val="24"/>
          <w:lang w:val="en-US"/>
        </w:rPr>
      </w:pPr>
      <w:r w:rsidRPr="00141344">
        <w:rPr>
          <w:rFonts w:ascii="Times New Roman" w:hAnsi="Times New Roman" w:cs="Times New Roman"/>
          <w:b/>
          <w:sz w:val="28"/>
          <w:szCs w:val="24"/>
          <w:lang w:val="en-US"/>
        </w:rPr>
        <w:t>Chapter XY</w:t>
      </w:r>
    </w:p>
    <w:p w14:paraId="58E001DA" w14:textId="4622B22B" w:rsidR="004C6512" w:rsidRPr="00141344" w:rsidRDefault="00991F61" w:rsidP="00CA35E7">
      <w:pPr>
        <w:spacing w:after="0" w:line="360" w:lineRule="auto"/>
        <w:rPr>
          <w:rFonts w:ascii="Times New Roman" w:hAnsi="Times New Roman" w:cs="Times New Roman"/>
          <w:b/>
          <w:sz w:val="28"/>
          <w:szCs w:val="24"/>
          <w:lang w:val="en-US"/>
        </w:rPr>
      </w:pPr>
      <w:r w:rsidRPr="00141344">
        <w:rPr>
          <w:rFonts w:ascii="Times New Roman" w:hAnsi="Times New Roman" w:cs="Times New Roman"/>
          <w:b/>
          <w:sz w:val="28"/>
          <w:szCs w:val="24"/>
          <w:lang w:val="en-US"/>
        </w:rPr>
        <w:t>The le</w:t>
      </w:r>
      <w:r w:rsidR="00141344">
        <w:rPr>
          <w:rFonts w:ascii="Times New Roman" w:hAnsi="Times New Roman" w:cs="Times New Roman"/>
          <w:b/>
          <w:sz w:val="28"/>
          <w:szCs w:val="24"/>
          <w:lang w:val="en-US"/>
        </w:rPr>
        <w:t>opard does not change its spots</w:t>
      </w:r>
    </w:p>
    <w:p w14:paraId="24B3DEAA" w14:textId="1A77E773" w:rsidR="004C6512" w:rsidRDefault="00CD78AA" w:rsidP="00CA35E7">
      <w:pPr>
        <w:spacing w:after="0" w:line="360" w:lineRule="auto"/>
        <w:rPr>
          <w:rFonts w:ascii="Times New Roman" w:hAnsi="Times New Roman" w:cs="Times New Roman"/>
          <w:b/>
          <w:sz w:val="28"/>
          <w:szCs w:val="24"/>
          <w:lang w:val="en-US"/>
        </w:rPr>
      </w:pPr>
      <w:r w:rsidRPr="00141344">
        <w:rPr>
          <w:rFonts w:ascii="Times New Roman" w:hAnsi="Times New Roman" w:cs="Times New Roman"/>
          <w:b/>
          <w:sz w:val="28"/>
          <w:szCs w:val="24"/>
          <w:lang w:val="en-US"/>
        </w:rPr>
        <w:t xml:space="preserve">Naturalism and </w:t>
      </w:r>
      <w:r w:rsidR="00991F61" w:rsidRPr="00141344">
        <w:rPr>
          <w:rFonts w:ascii="Times New Roman" w:hAnsi="Times New Roman" w:cs="Times New Roman"/>
          <w:b/>
          <w:sz w:val="28"/>
          <w:szCs w:val="24"/>
          <w:lang w:val="en-US"/>
        </w:rPr>
        <w:t>the argument against methodological pluralism in the sciences</w:t>
      </w:r>
    </w:p>
    <w:p w14:paraId="3C1A03B2" w14:textId="77777777" w:rsidR="00141344" w:rsidRDefault="00141344" w:rsidP="00CA35E7">
      <w:pPr>
        <w:spacing w:after="0" w:line="360" w:lineRule="auto"/>
        <w:rPr>
          <w:rFonts w:ascii="Times New Roman" w:hAnsi="Times New Roman" w:cs="Times New Roman"/>
          <w:sz w:val="28"/>
          <w:szCs w:val="24"/>
          <w:lang w:val="en-US"/>
        </w:rPr>
      </w:pPr>
    </w:p>
    <w:p w14:paraId="2FB8E389" w14:textId="406E6A45" w:rsidR="00141344" w:rsidRDefault="00DB296D"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Giuseppina D’Oro, </w:t>
      </w:r>
      <w:proofErr w:type="spellStart"/>
      <w:r>
        <w:rPr>
          <w:rFonts w:ascii="Times New Roman" w:hAnsi="Times New Roman" w:cs="Times New Roman"/>
          <w:sz w:val="24"/>
          <w:szCs w:val="24"/>
          <w:lang w:val="en-US"/>
        </w:rPr>
        <w:t>Keele</w:t>
      </w:r>
      <w:proofErr w:type="spellEnd"/>
      <w:r>
        <w:rPr>
          <w:rFonts w:ascii="Times New Roman" w:hAnsi="Times New Roman" w:cs="Times New Roman"/>
          <w:sz w:val="24"/>
          <w:szCs w:val="24"/>
          <w:lang w:val="en-US"/>
        </w:rPr>
        <w:t xml:space="preserve"> University, g.d’oro@keele.ac.uk</w:t>
      </w:r>
    </w:p>
    <w:p w14:paraId="66EFBD9E" w14:textId="6CAC4798" w:rsidR="002505D9" w:rsidRPr="00E430A4" w:rsidRDefault="002505D9" w:rsidP="00CA35E7">
      <w:pPr>
        <w:spacing w:after="0" w:line="360" w:lineRule="auto"/>
        <w:rPr>
          <w:rFonts w:ascii="Times New Roman" w:hAnsi="Times New Roman" w:cs="Times New Roman"/>
          <w:sz w:val="24"/>
          <w:szCs w:val="24"/>
          <w:lang w:val="sv-FI"/>
        </w:rPr>
      </w:pPr>
      <w:r w:rsidRPr="00E430A4">
        <w:rPr>
          <w:rFonts w:ascii="Times New Roman" w:hAnsi="Times New Roman" w:cs="Times New Roman"/>
          <w:sz w:val="24"/>
          <w:szCs w:val="24"/>
          <w:lang w:val="sv-FI"/>
        </w:rPr>
        <w:t>Jonas Ahlskog, Åbo Akademi U</w:t>
      </w:r>
      <w:r>
        <w:rPr>
          <w:rFonts w:ascii="Times New Roman" w:hAnsi="Times New Roman" w:cs="Times New Roman"/>
          <w:sz w:val="24"/>
          <w:szCs w:val="24"/>
          <w:lang w:val="sv-FI"/>
        </w:rPr>
        <w:t>niversity, jonahlsk@abo.fi</w:t>
      </w:r>
    </w:p>
    <w:p w14:paraId="0761AE1F" w14:textId="77777777" w:rsidR="00DB296D" w:rsidRPr="00E430A4" w:rsidRDefault="00DB296D" w:rsidP="00CA35E7">
      <w:pPr>
        <w:spacing w:after="0" w:line="360" w:lineRule="auto"/>
        <w:rPr>
          <w:rFonts w:ascii="Times New Roman" w:hAnsi="Times New Roman" w:cs="Times New Roman"/>
          <w:color w:val="FF0000"/>
          <w:sz w:val="20"/>
          <w:szCs w:val="24"/>
          <w:lang w:val="sv-FI"/>
        </w:rPr>
      </w:pPr>
    </w:p>
    <w:p w14:paraId="414E5C12" w14:textId="77777777" w:rsidR="00DB296D" w:rsidRPr="00E430A4" w:rsidRDefault="00DB296D" w:rsidP="00CA35E7">
      <w:pPr>
        <w:spacing w:after="0" w:line="360" w:lineRule="auto"/>
        <w:rPr>
          <w:rFonts w:ascii="Times New Roman" w:hAnsi="Times New Roman" w:cs="Times New Roman"/>
          <w:color w:val="FF0000"/>
          <w:sz w:val="20"/>
          <w:szCs w:val="24"/>
          <w:lang w:val="sv-FI"/>
        </w:rPr>
      </w:pPr>
    </w:p>
    <w:p w14:paraId="3B9A5651" w14:textId="4961A045" w:rsidR="00141344" w:rsidRPr="00141344" w:rsidRDefault="00141344" w:rsidP="00CA35E7">
      <w:pPr>
        <w:spacing w:after="0" w:line="360" w:lineRule="auto"/>
        <w:rPr>
          <w:rFonts w:ascii="Times New Roman" w:hAnsi="Times New Roman" w:cs="Times New Roman"/>
          <w:color w:val="FF0000"/>
          <w:sz w:val="20"/>
          <w:szCs w:val="24"/>
          <w:lang w:val="en-US"/>
        </w:rPr>
      </w:pPr>
      <w:r w:rsidRPr="00141344">
        <w:rPr>
          <w:rFonts w:ascii="Times New Roman" w:hAnsi="Times New Roman" w:cs="Times New Roman"/>
          <w:color w:val="FF0000"/>
          <w:sz w:val="20"/>
          <w:szCs w:val="24"/>
          <w:lang w:val="en-US"/>
        </w:rPr>
        <w:t>Abstract: 150-200 words</w:t>
      </w:r>
    </w:p>
    <w:p w14:paraId="4F823EDC" w14:textId="77777777" w:rsidR="00DE71C1" w:rsidRDefault="00DE71C1" w:rsidP="00CA35E7">
      <w:pPr>
        <w:spacing w:after="0" w:line="360" w:lineRule="auto"/>
        <w:rPr>
          <w:rFonts w:ascii="Times New Roman" w:hAnsi="Times New Roman" w:cs="Times New Roman"/>
          <w:color w:val="FF0000"/>
          <w:sz w:val="20"/>
          <w:szCs w:val="24"/>
          <w:lang w:val="en-US"/>
        </w:rPr>
      </w:pPr>
    </w:p>
    <w:p w14:paraId="743113DB" w14:textId="70D80C0A" w:rsidR="00E25146" w:rsidRDefault="00E82982" w:rsidP="00CA35E7">
      <w:pPr>
        <w:spacing w:after="0" w:line="360" w:lineRule="auto"/>
        <w:rPr>
          <w:rFonts w:ascii="Times New Roman" w:hAnsi="Times New Roman" w:cs="Times New Roman"/>
          <w:color w:val="FF0000"/>
          <w:sz w:val="20"/>
          <w:szCs w:val="24"/>
          <w:lang w:val="en-US"/>
        </w:rPr>
      </w:pPr>
      <w:r>
        <w:rPr>
          <w:rFonts w:ascii="Times New Roman" w:hAnsi="Times New Roman" w:cs="Times New Roman"/>
          <w:color w:val="FF0000"/>
          <w:sz w:val="20"/>
          <w:szCs w:val="24"/>
          <w:lang w:val="en-US"/>
        </w:rPr>
        <w:t xml:space="preserve">This paper sets out to undermine the view that a commitment to the early modern conception of the mind as immortalized in Ryle’s metaphor of the (Cartesian) ghost in the machine and in Quine’s metaphor of the (Lockean) myth of the museum is required to articulate a defence of the sui generis character of humanistic explanations. These </w:t>
      </w:r>
      <w:r w:rsidR="00E25146">
        <w:rPr>
          <w:rFonts w:ascii="Times New Roman" w:hAnsi="Times New Roman" w:cs="Times New Roman"/>
          <w:color w:val="FF0000"/>
          <w:sz w:val="20"/>
          <w:szCs w:val="24"/>
          <w:lang w:val="en-US"/>
        </w:rPr>
        <w:t xml:space="preserve">powerful </w:t>
      </w:r>
      <w:r>
        <w:rPr>
          <w:rFonts w:ascii="Times New Roman" w:hAnsi="Times New Roman" w:cs="Times New Roman"/>
          <w:color w:val="FF0000"/>
          <w:sz w:val="20"/>
          <w:szCs w:val="24"/>
          <w:lang w:val="en-US"/>
        </w:rPr>
        <w:t>metaphors ha</w:t>
      </w:r>
      <w:r w:rsidR="00E25146">
        <w:rPr>
          <w:rFonts w:ascii="Times New Roman" w:hAnsi="Times New Roman" w:cs="Times New Roman"/>
          <w:color w:val="FF0000"/>
          <w:sz w:val="20"/>
          <w:szCs w:val="24"/>
          <w:lang w:val="en-US"/>
        </w:rPr>
        <w:t xml:space="preserve">ve not only contributed to undermining the claim for methodological pluralism by caricaturizing the arguments for disunity in the sciences; they have also, and more worryingly, planted red herrings that have diverted attention away from the genuine </w:t>
      </w:r>
      <w:r w:rsidR="00E70FED">
        <w:rPr>
          <w:rFonts w:ascii="Times New Roman" w:hAnsi="Times New Roman" w:cs="Times New Roman"/>
          <w:color w:val="FF0000"/>
          <w:sz w:val="20"/>
          <w:szCs w:val="24"/>
          <w:lang w:val="en-US"/>
        </w:rPr>
        <w:t>issues at stake</w:t>
      </w:r>
      <w:r w:rsidR="00E25146">
        <w:rPr>
          <w:rFonts w:ascii="Times New Roman" w:hAnsi="Times New Roman" w:cs="Times New Roman"/>
          <w:color w:val="FF0000"/>
          <w:sz w:val="20"/>
          <w:szCs w:val="24"/>
          <w:lang w:val="en-US"/>
        </w:rPr>
        <w:t>. This paper is an exercise in removing these false clues</w:t>
      </w:r>
      <w:r w:rsidR="004344DF">
        <w:rPr>
          <w:rFonts w:ascii="Times New Roman" w:hAnsi="Times New Roman" w:cs="Times New Roman"/>
          <w:color w:val="FF0000"/>
          <w:sz w:val="20"/>
          <w:szCs w:val="24"/>
          <w:lang w:val="en-US"/>
        </w:rPr>
        <w:t xml:space="preserve"> to reveal what the claim for the autonomy of humanistic explanations really amounts to.</w:t>
      </w:r>
    </w:p>
    <w:p w14:paraId="374239D0" w14:textId="02B0B456" w:rsidR="00B57A4E" w:rsidRDefault="00B57A4E" w:rsidP="00CA35E7">
      <w:pPr>
        <w:spacing w:after="0" w:line="360" w:lineRule="auto"/>
        <w:rPr>
          <w:rFonts w:ascii="Times New Roman" w:hAnsi="Times New Roman" w:cs="Times New Roman"/>
          <w:color w:val="FF0000"/>
          <w:sz w:val="20"/>
          <w:szCs w:val="24"/>
          <w:lang w:val="en-US"/>
        </w:rPr>
      </w:pPr>
    </w:p>
    <w:p w14:paraId="50030BF3" w14:textId="77777777" w:rsidR="00B57A4E" w:rsidRPr="00141344" w:rsidRDefault="00B57A4E" w:rsidP="00CA35E7">
      <w:pPr>
        <w:spacing w:after="0" w:line="360" w:lineRule="auto"/>
        <w:rPr>
          <w:rFonts w:ascii="Times New Roman" w:hAnsi="Times New Roman" w:cs="Times New Roman"/>
          <w:color w:val="FF0000"/>
          <w:sz w:val="20"/>
          <w:szCs w:val="24"/>
          <w:lang w:val="en-US"/>
        </w:rPr>
      </w:pPr>
    </w:p>
    <w:p w14:paraId="479AE099" w14:textId="3E7073F5" w:rsidR="00141344" w:rsidRPr="00141344" w:rsidRDefault="00141344" w:rsidP="00CA35E7">
      <w:pPr>
        <w:spacing w:after="0" w:line="360" w:lineRule="auto"/>
        <w:rPr>
          <w:rFonts w:ascii="Times New Roman" w:hAnsi="Times New Roman" w:cs="Times New Roman"/>
          <w:color w:val="FF0000"/>
          <w:sz w:val="20"/>
          <w:szCs w:val="24"/>
          <w:lang w:val="en-US"/>
        </w:rPr>
      </w:pPr>
      <w:r w:rsidRPr="00141344">
        <w:rPr>
          <w:rFonts w:ascii="Times New Roman" w:hAnsi="Times New Roman" w:cs="Times New Roman"/>
          <w:color w:val="FF0000"/>
          <w:sz w:val="20"/>
          <w:szCs w:val="24"/>
          <w:lang w:val="en-US"/>
        </w:rPr>
        <w:t xml:space="preserve">Keywords: </w:t>
      </w:r>
      <w:r w:rsidR="00DB296D">
        <w:rPr>
          <w:rFonts w:ascii="Times New Roman" w:hAnsi="Times New Roman" w:cs="Times New Roman"/>
          <w:color w:val="FF0000"/>
          <w:sz w:val="20"/>
          <w:szCs w:val="24"/>
          <w:lang w:val="en-US"/>
        </w:rPr>
        <w:t>Explanatory pluralism, naturalism, scientism, Collingwood, Quine, Winch</w:t>
      </w:r>
    </w:p>
    <w:p w14:paraId="67C96C58" w14:textId="77777777" w:rsidR="00141344" w:rsidRPr="00141344" w:rsidRDefault="00141344" w:rsidP="00CA35E7">
      <w:pPr>
        <w:spacing w:after="0" w:line="360" w:lineRule="auto"/>
        <w:rPr>
          <w:rFonts w:ascii="Times New Roman" w:hAnsi="Times New Roman" w:cs="Times New Roman"/>
          <w:sz w:val="24"/>
          <w:szCs w:val="24"/>
          <w:lang w:val="en-US"/>
        </w:rPr>
      </w:pPr>
    </w:p>
    <w:p w14:paraId="64480DDC" w14:textId="77777777" w:rsidR="004C6512" w:rsidRPr="00141344" w:rsidRDefault="00991F61" w:rsidP="00CA35E7">
      <w:pPr>
        <w:spacing w:after="0" w:line="360" w:lineRule="auto"/>
        <w:rPr>
          <w:rFonts w:ascii="Times New Roman" w:hAnsi="Times New Roman" w:cs="Times New Roman"/>
          <w:b/>
          <w:i/>
          <w:iCs/>
          <w:sz w:val="24"/>
          <w:szCs w:val="24"/>
          <w:lang w:val="en-US"/>
        </w:rPr>
      </w:pPr>
      <w:r w:rsidRPr="00141344">
        <w:rPr>
          <w:rFonts w:ascii="Times New Roman" w:hAnsi="Times New Roman" w:cs="Times New Roman"/>
          <w:i/>
          <w:iCs/>
          <w:color w:val="525252"/>
          <w:sz w:val="21"/>
          <w:szCs w:val="21"/>
          <w:shd w:val="clear" w:color="auto" w:fill="FFFFFF"/>
          <w:lang w:val="en-US"/>
        </w:rPr>
        <w:t>Vulpes pilum </w:t>
      </w:r>
      <w:proofErr w:type="spellStart"/>
      <w:r w:rsidRPr="00141344">
        <w:rPr>
          <w:rFonts w:ascii="Times New Roman" w:hAnsi="Times New Roman" w:cs="Times New Roman"/>
          <w:i/>
          <w:iCs/>
          <w:color w:val="525252"/>
          <w:sz w:val="21"/>
          <w:szCs w:val="21"/>
          <w:shd w:val="clear" w:color="auto" w:fill="FFFFFF"/>
          <w:lang w:val="en-US"/>
        </w:rPr>
        <w:t>mutat</w:t>
      </w:r>
      <w:proofErr w:type="spellEnd"/>
      <w:r w:rsidRPr="00141344">
        <w:rPr>
          <w:rFonts w:ascii="Times New Roman" w:hAnsi="Times New Roman" w:cs="Times New Roman"/>
          <w:i/>
          <w:iCs/>
          <w:color w:val="525252"/>
          <w:sz w:val="21"/>
          <w:szCs w:val="21"/>
          <w:shd w:val="clear" w:color="auto" w:fill="FFFFFF"/>
          <w:lang w:val="en-US"/>
        </w:rPr>
        <w:t>, </w:t>
      </w:r>
      <w:proofErr w:type="spellStart"/>
      <w:r w:rsidRPr="00141344">
        <w:rPr>
          <w:rFonts w:ascii="Times New Roman" w:hAnsi="Times New Roman" w:cs="Times New Roman"/>
          <w:i/>
          <w:iCs/>
          <w:color w:val="525252"/>
          <w:sz w:val="21"/>
          <w:szCs w:val="21"/>
          <w:shd w:val="clear" w:color="auto" w:fill="FFFFFF"/>
          <w:lang w:val="en-US"/>
        </w:rPr>
        <w:t>non mores</w:t>
      </w:r>
      <w:proofErr w:type="spellEnd"/>
    </w:p>
    <w:p w14:paraId="3B4894A7" w14:textId="77777777" w:rsidR="004C6512" w:rsidRPr="00141344" w:rsidRDefault="004C6512" w:rsidP="00CA35E7">
      <w:pPr>
        <w:spacing w:after="0" w:line="360" w:lineRule="auto"/>
        <w:rPr>
          <w:rFonts w:ascii="Times New Roman" w:hAnsi="Times New Roman" w:cs="Times New Roman"/>
          <w:b/>
          <w:bCs/>
          <w:sz w:val="24"/>
          <w:szCs w:val="24"/>
          <w:lang w:val="en-US"/>
        </w:rPr>
      </w:pPr>
    </w:p>
    <w:p w14:paraId="6A7B9B70" w14:textId="1ED63A32" w:rsidR="004C6512" w:rsidRPr="00141344" w:rsidRDefault="00CA35E7" w:rsidP="00CA35E7">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XY.1. </w:t>
      </w:r>
      <w:r w:rsidR="00991F61" w:rsidRPr="00141344">
        <w:rPr>
          <w:rFonts w:ascii="Times New Roman" w:hAnsi="Times New Roman" w:cs="Times New Roman"/>
          <w:b/>
          <w:bCs/>
          <w:sz w:val="24"/>
          <w:szCs w:val="24"/>
          <w:lang w:val="en-US"/>
        </w:rPr>
        <w:t>Introduction: the red herring of the mind as an inner theatre</w:t>
      </w:r>
    </w:p>
    <w:p w14:paraId="3DC95E7D" w14:textId="7B1D5D1F" w:rsidR="004A4F35" w:rsidRDefault="00991F61" w:rsidP="00CA35E7">
      <w:pPr>
        <w:spacing w:after="0" w:line="360" w:lineRule="auto"/>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The connection between meaning and inner inscrutable psychological items was immortalized by Locke who claimed that a parrot does not speak a language </w:t>
      </w:r>
      <w:proofErr w:type="spellStart"/>
      <w:r w:rsidRPr="00141344">
        <w:rPr>
          <w:rFonts w:ascii="Times New Roman" w:hAnsi="Times New Roman" w:cs="Times New Roman"/>
          <w:i/>
          <w:iCs/>
          <w:sz w:val="24"/>
          <w:szCs w:val="24"/>
          <w:lang w:val="en-US"/>
        </w:rPr>
        <w:t>stricto</w:t>
      </w:r>
      <w:proofErr w:type="spellEnd"/>
      <w:r w:rsidRPr="00141344">
        <w:rPr>
          <w:rFonts w:ascii="Times New Roman" w:hAnsi="Times New Roman" w:cs="Times New Roman"/>
          <w:i/>
          <w:iCs/>
          <w:sz w:val="24"/>
          <w:szCs w:val="24"/>
          <w:lang w:val="en-US"/>
        </w:rPr>
        <w:t xml:space="preserve"> </w:t>
      </w:r>
      <w:proofErr w:type="spellStart"/>
      <w:r w:rsidRPr="00141344">
        <w:rPr>
          <w:rFonts w:ascii="Times New Roman" w:hAnsi="Times New Roman" w:cs="Times New Roman"/>
          <w:i/>
          <w:iCs/>
          <w:sz w:val="24"/>
          <w:szCs w:val="24"/>
          <w:lang w:val="en-US"/>
        </w:rPr>
        <w:t>sensu</w:t>
      </w:r>
      <w:proofErr w:type="spellEnd"/>
      <w:r w:rsidRPr="00141344">
        <w:rPr>
          <w:rFonts w:ascii="Times New Roman" w:hAnsi="Times New Roman" w:cs="Times New Roman"/>
          <w:sz w:val="24"/>
          <w:szCs w:val="24"/>
          <w:lang w:val="en-US"/>
        </w:rPr>
        <w:t>, even though it can utter a word, because there is no idea in the parrot’s mind, of which the word is the outward expression. Without the underlying idea in the mind the word remains a mere sound and does not qualify as a linguistic item. The parrot does not mean anything when it utters a word. This close connection between the meaning of an utterance and the underlying psychological item underpins Locke’s well-known account of what it takes to un</w:t>
      </w:r>
      <w:r w:rsidR="00CA35E7">
        <w:rPr>
          <w:rFonts w:ascii="Times New Roman" w:hAnsi="Times New Roman" w:cs="Times New Roman"/>
          <w:sz w:val="24"/>
          <w:szCs w:val="24"/>
          <w:lang w:val="en-US"/>
        </w:rPr>
        <w:t>derstand others (cf. Locke 1690: B</w:t>
      </w:r>
      <w:r w:rsidRPr="00141344">
        <w:rPr>
          <w:rFonts w:ascii="Times New Roman" w:hAnsi="Times New Roman" w:cs="Times New Roman"/>
          <w:sz w:val="24"/>
          <w:szCs w:val="24"/>
          <w:lang w:val="en-US"/>
        </w:rPr>
        <w:t xml:space="preserve">ook III). On Locke’s account, when a person speaks, he </w:t>
      </w:r>
      <w:r w:rsidRPr="00141344">
        <w:rPr>
          <w:rFonts w:ascii="Times New Roman" w:hAnsi="Times New Roman" w:cs="Times New Roman"/>
          <w:sz w:val="24"/>
          <w:szCs w:val="24"/>
          <w:lang w:val="en-US"/>
        </w:rPr>
        <w:lastRenderedPageBreak/>
        <w:t xml:space="preserve">or she attaches a word (which, like a label, is public and observable) to an idea (which is inner and to that extent inscrutable). To understand the meaning of the speaker’s utterance, therefore, the listener must “translate” the public observable sign, the written or spoken word, back into an idea in their own mind, thereby recovering </w:t>
      </w:r>
      <w:r w:rsidR="004A4F35">
        <w:rPr>
          <w:rFonts w:ascii="Times New Roman" w:hAnsi="Times New Roman" w:cs="Times New Roman"/>
          <w:sz w:val="24"/>
          <w:szCs w:val="24"/>
          <w:lang w:val="en-US"/>
        </w:rPr>
        <w:t>the speaker’s original meaning.</w:t>
      </w:r>
    </w:p>
    <w:p w14:paraId="2307108D" w14:textId="4363A78D" w:rsidR="004C6512" w:rsidRPr="00141344" w:rsidRDefault="004A4F35"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In chapter 2 of Word and Object, Quine (1960) puts forward a positive proposal for how to “understand” others which dispenses with appeal to mental entities. The task of understanding others, for Quine, can (and should) be undertaken without invoking the mental notions which, on the Lockean picture of the relation between thought and language, are what allegedly bestows meaning onto the speaker’s linguistic </w:t>
      </w:r>
      <w:r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 xml:space="preserve">. Quine </w:t>
      </w:r>
      <w:r>
        <w:rPr>
          <w:rFonts w:ascii="Times New Roman" w:hAnsi="Times New Roman" w:cs="Times New Roman"/>
          <w:sz w:val="24"/>
          <w:szCs w:val="24"/>
          <w:lang w:val="en-US"/>
        </w:rPr>
        <w:t xml:space="preserve">(1960: 29) </w:t>
      </w:r>
      <w:r w:rsidR="00991F61" w:rsidRPr="00141344">
        <w:rPr>
          <w:rFonts w:ascii="Times New Roman" w:hAnsi="Times New Roman" w:cs="Times New Roman"/>
          <w:sz w:val="24"/>
          <w:szCs w:val="24"/>
          <w:lang w:val="en-US"/>
        </w:rPr>
        <w:t xml:space="preserve">considers how a field linguist who only has access to the publicly observable linguistic </w:t>
      </w:r>
      <w:r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 xml:space="preserve"> of “natives”, without any prior familiarity with their language, can translate sentences from the </w:t>
      </w:r>
      <w:proofErr w:type="spellStart"/>
      <w:r w:rsidR="00991F61" w:rsidRPr="00141344">
        <w:rPr>
          <w:rFonts w:ascii="Times New Roman" w:hAnsi="Times New Roman" w:cs="Times New Roman"/>
          <w:sz w:val="24"/>
          <w:szCs w:val="24"/>
          <w:lang w:val="en-US"/>
        </w:rPr>
        <w:t>natives’</w:t>
      </w:r>
      <w:r>
        <w:rPr>
          <w:rFonts w:ascii="Times New Roman" w:hAnsi="Times New Roman" w:cs="Times New Roman"/>
          <w:sz w:val="24"/>
          <w:szCs w:val="24"/>
          <w:lang w:val="en-US"/>
        </w:rPr>
        <w:t>s</w:t>
      </w:r>
      <w:proofErr w:type="spellEnd"/>
      <w:r w:rsidR="00991F61" w:rsidRPr="00141344">
        <w:rPr>
          <w:rFonts w:ascii="Times New Roman" w:hAnsi="Times New Roman" w:cs="Times New Roman"/>
          <w:sz w:val="24"/>
          <w:szCs w:val="24"/>
          <w:lang w:val="en-US"/>
        </w:rPr>
        <w:t xml:space="preserve"> language into her own. Translation from alien languages, Quine argues, is “radical”, in the sense that the linguist can only appeal to observable </w:t>
      </w:r>
      <w:r w:rsidR="002D6EE2" w:rsidRPr="00141344">
        <w:rPr>
          <w:rFonts w:ascii="Times New Roman" w:hAnsi="Times New Roman" w:cs="Times New Roman"/>
          <w:sz w:val="24"/>
          <w:szCs w:val="24"/>
          <w:lang w:val="en-US"/>
        </w:rPr>
        <w:t>behavioral</w:t>
      </w:r>
      <w:r w:rsidR="00991F61" w:rsidRPr="00141344">
        <w:rPr>
          <w:rFonts w:ascii="Times New Roman" w:hAnsi="Times New Roman" w:cs="Times New Roman"/>
          <w:sz w:val="24"/>
          <w:szCs w:val="24"/>
          <w:lang w:val="en-US"/>
        </w:rPr>
        <w:t xml:space="preserve"> aspects. What enables the linguist to render a term such as “</w:t>
      </w:r>
      <w:proofErr w:type="spellStart"/>
      <w:r w:rsidR="00991F61" w:rsidRPr="00141344">
        <w:rPr>
          <w:rFonts w:ascii="Times New Roman" w:hAnsi="Times New Roman" w:cs="Times New Roman"/>
          <w:sz w:val="24"/>
          <w:szCs w:val="24"/>
          <w:lang w:val="en-US"/>
        </w:rPr>
        <w:t>gavagai</w:t>
      </w:r>
      <w:proofErr w:type="spellEnd"/>
      <w:r w:rsidR="00991F61" w:rsidRPr="00141344">
        <w:rPr>
          <w:rFonts w:ascii="Times New Roman" w:hAnsi="Times New Roman" w:cs="Times New Roman"/>
          <w:sz w:val="24"/>
          <w:szCs w:val="24"/>
          <w:lang w:val="en-US"/>
        </w:rPr>
        <w:t xml:space="preserve">” as </w:t>
      </w:r>
      <w:r w:rsidR="002D6EE2">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rabbit” is the native speaker’s </w:t>
      </w:r>
      <w:r w:rsidR="002D6EE2" w:rsidRPr="00141344">
        <w:rPr>
          <w:rFonts w:ascii="Times New Roman" w:hAnsi="Times New Roman" w:cs="Times New Roman"/>
          <w:sz w:val="24"/>
          <w:szCs w:val="24"/>
          <w:lang w:val="en-US"/>
        </w:rPr>
        <w:t>behavioral</w:t>
      </w:r>
      <w:r w:rsidR="00991F61" w:rsidRPr="00141344">
        <w:rPr>
          <w:rFonts w:ascii="Times New Roman" w:hAnsi="Times New Roman" w:cs="Times New Roman"/>
          <w:sz w:val="24"/>
          <w:szCs w:val="24"/>
          <w:lang w:val="en-US"/>
        </w:rPr>
        <w:t xml:space="preserve"> disposition to assent to the term “</w:t>
      </w:r>
      <w:proofErr w:type="spellStart"/>
      <w:r w:rsidR="00991F61" w:rsidRPr="00141344">
        <w:rPr>
          <w:rFonts w:ascii="Times New Roman" w:hAnsi="Times New Roman" w:cs="Times New Roman"/>
          <w:sz w:val="24"/>
          <w:szCs w:val="24"/>
          <w:lang w:val="en-US"/>
        </w:rPr>
        <w:t>gavagai</w:t>
      </w:r>
      <w:proofErr w:type="spellEnd"/>
      <w:r w:rsidR="00991F61" w:rsidRPr="00141344">
        <w:rPr>
          <w:rFonts w:ascii="Times New Roman" w:hAnsi="Times New Roman" w:cs="Times New Roman"/>
          <w:sz w:val="24"/>
          <w:szCs w:val="24"/>
          <w:lang w:val="en-US"/>
        </w:rPr>
        <w:t>” when in the presence of a rabbit, rather than some supposed access to the concept or idea which, in the Loc</w:t>
      </w:r>
      <w:r w:rsidR="002D6EE2">
        <w:rPr>
          <w:rFonts w:ascii="Times New Roman" w:hAnsi="Times New Roman" w:cs="Times New Roman"/>
          <w:sz w:val="24"/>
          <w:szCs w:val="24"/>
          <w:lang w:val="en-US"/>
        </w:rPr>
        <w:t xml:space="preserve">kean view, the word signifies. </w:t>
      </w:r>
      <w:r w:rsidR="00991F61" w:rsidRPr="00141344">
        <w:rPr>
          <w:rFonts w:ascii="Times New Roman" w:hAnsi="Times New Roman" w:cs="Times New Roman"/>
          <w:sz w:val="24"/>
          <w:szCs w:val="24"/>
          <w:lang w:val="en-US"/>
        </w:rPr>
        <w:t>Radical translation, to be clear, is not just the method of the field linguist; it is a proposal for an alternative science of understanding which dispenses with the notion of meaning as no more than a conve</w:t>
      </w:r>
      <w:r w:rsidR="00F247DA">
        <w:rPr>
          <w:rFonts w:ascii="Times New Roman" w:hAnsi="Times New Roman" w:cs="Times New Roman"/>
          <w:sz w:val="24"/>
          <w:szCs w:val="24"/>
          <w:lang w:val="en-US"/>
        </w:rPr>
        <w:t>nient way of speaking (cf. Kirk</w:t>
      </w:r>
      <w:r w:rsidR="00991F61" w:rsidRPr="00141344">
        <w:rPr>
          <w:rFonts w:ascii="Times New Roman" w:hAnsi="Times New Roman" w:cs="Times New Roman"/>
          <w:sz w:val="24"/>
          <w:szCs w:val="24"/>
          <w:lang w:val="en-US"/>
        </w:rPr>
        <w:t xml:space="preserve"> 2004: 152). Quine’s argument for radical translation is therefore often seen as providing indirect support for his earlier (and more direct) attack on intensional notions in “Two Dogmas of Empiricism” (Quine 1951; for a discussion of this see Kemp 2006: 35).</w:t>
      </w:r>
    </w:p>
    <w:p w14:paraId="6112A42C" w14:textId="16081217" w:rsidR="004C6512" w:rsidRPr="00141344" w:rsidRDefault="00F247DA"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In the last half of the twentieth century Quine’s proposal for how to articulate a science of understanding which requires nothing beyond a purely extensional context of explanation has become something of an orthodoxy. What seems to have made Quine’s account of radical translation compelling to many is </w:t>
      </w:r>
      <w:bookmarkStart w:id="0" w:name="_Hlk51583603"/>
      <w:r w:rsidR="00991F61" w:rsidRPr="00141344">
        <w:rPr>
          <w:rFonts w:ascii="Times New Roman" w:hAnsi="Times New Roman" w:cs="Times New Roman"/>
          <w:sz w:val="24"/>
          <w:szCs w:val="24"/>
          <w:lang w:val="en-US"/>
        </w:rPr>
        <w:t xml:space="preserve">the assumption that, given the close connections between meaning and mental items as depicted in Locke’s account of language, rejecting the view that to understand others requires recovering inner, inscrutable psychological items, requires abandoning the notion of meaning itself. In other words, if one rejects the Lockean picture of how one understands others (speaker has idea, which she translates into word; listener hears word and translates back the word into an idea in her own mind) one must also reject the Lockean claim that there is more to a linguistic utterance than mere linguistic </w:t>
      </w:r>
      <w:r w:rsidR="007B29B0"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w:t>
      </w:r>
      <w:bookmarkEnd w:id="0"/>
    </w:p>
    <w:p w14:paraId="2331199B" w14:textId="565BBD9D" w:rsidR="004C6512" w:rsidRPr="00141344" w:rsidRDefault="007B29B0"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991F61" w:rsidRPr="00141344">
        <w:rPr>
          <w:rFonts w:ascii="Times New Roman" w:hAnsi="Times New Roman" w:cs="Times New Roman"/>
          <w:sz w:val="24"/>
          <w:szCs w:val="24"/>
          <w:lang w:val="en-US"/>
        </w:rPr>
        <w:t>In this paper we wish to challenge the view that to provide an account of how to understand others which dispenses with inscrutable inner mental items one must extrude all intensional notions as inherently suspicious and give up altoge</w:t>
      </w:r>
      <w:r>
        <w:rPr>
          <w:rFonts w:ascii="Times New Roman" w:hAnsi="Times New Roman" w:cs="Times New Roman"/>
          <w:sz w:val="24"/>
          <w:szCs w:val="24"/>
          <w:lang w:val="en-US"/>
        </w:rPr>
        <w:t xml:space="preserve">ther on the notion of meaning. </w:t>
      </w:r>
      <w:r w:rsidR="00991F61" w:rsidRPr="00141344">
        <w:rPr>
          <w:rFonts w:ascii="Times New Roman" w:hAnsi="Times New Roman" w:cs="Times New Roman"/>
          <w:sz w:val="24"/>
          <w:szCs w:val="24"/>
          <w:lang w:val="en-US"/>
        </w:rPr>
        <w:t xml:space="preserve">We shall argue that it is based on a red herring which has (quite effectively) diverted attention away from the genuine issues at stake between those who defend the autonomy and possibility of humanistic explanations and those who endorse a form of scientism which denies that such explanations are sui generis. The red herring is that in order to develop a humanistic account of how we understand others that does not fall prey to what Quine </w:t>
      </w:r>
      <w:r w:rsidR="00D63303">
        <w:rPr>
          <w:rFonts w:ascii="Times New Roman" w:hAnsi="Times New Roman" w:cs="Times New Roman"/>
          <w:sz w:val="24"/>
          <w:szCs w:val="24"/>
          <w:lang w:val="en-US"/>
        </w:rPr>
        <w:t xml:space="preserve">(1969: 27) </w:t>
      </w:r>
      <w:r w:rsidR="00991F61" w:rsidRPr="00141344">
        <w:rPr>
          <w:rFonts w:ascii="Times New Roman" w:hAnsi="Times New Roman" w:cs="Times New Roman"/>
          <w:sz w:val="24"/>
          <w:szCs w:val="24"/>
          <w:lang w:val="en-US"/>
        </w:rPr>
        <w:t>refers to as the Lockean “myth of the museum in which the exhibits are meanings and the words are labels”, and was earlier referred to by Ryle</w:t>
      </w:r>
      <w:r w:rsidR="00D63303">
        <w:rPr>
          <w:rFonts w:ascii="Times New Roman" w:hAnsi="Times New Roman" w:cs="Times New Roman"/>
          <w:sz w:val="24"/>
          <w:szCs w:val="24"/>
          <w:lang w:val="en-US"/>
        </w:rPr>
        <w:t xml:space="preserve"> (1949/1990: 17 ff.)</w:t>
      </w:r>
      <w:r w:rsidR="00991F61" w:rsidRPr="00141344">
        <w:rPr>
          <w:rFonts w:ascii="Times New Roman" w:hAnsi="Times New Roman" w:cs="Times New Roman"/>
          <w:sz w:val="24"/>
          <w:szCs w:val="24"/>
          <w:lang w:val="en-US"/>
        </w:rPr>
        <w:t xml:space="preserve"> as the “myth of the ghost in the machine”, it is necessary to endorse Quine’s positive proposal for a science of understanding, i.e. the view that all translation is radical, and its corollary: that there are no fixed meanings (the indeterminacy of translation).</w:t>
      </w:r>
    </w:p>
    <w:p w14:paraId="0F8390C9" w14:textId="27EE1602" w:rsidR="003D76CC" w:rsidRPr="00141344" w:rsidRDefault="00D63303"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We argue that the bone of contention between those who defend the autonomy of humanistic explanations and those who endorse a form of scientism which denies such explanations are sui generis is </w:t>
      </w:r>
      <w:r w:rsidR="00991F61" w:rsidRPr="00141344">
        <w:rPr>
          <w:rFonts w:ascii="Times New Roman" w:hAnsi="Times New Roman" w:cs="Times New Roman"/>
          <w:i/>
          <w:iCs/>
          <w:sz w:val="24"/>
          <w:szCs w:val="24"/>
          <w:lang w:val="en-US"/>
        </w:rPr>
        <w:t>not</w:t>
      </w:r>
      <w:r w:rsidR="00991F61" w:rsidRPr="00141344">
        <w:rPr>
          <w:rFonts w:ascii="Times New Roman" w:hAnsi="Times New Roman" w:cs="Times New Roman"/>
          <w:sz w:val="24"/>
          <w:szCs w:val="24"/>
          <w:lang w:val="en-US"/>
        </w:rPr>
        <w:t xml:space="preserve"> that the former commit to the existence (and accessibility) of inner mental items that are inscrutable from a purely </w:t>
      </w:r>
      <w:r w:rsidR="003A25A8" w:rsidRPr="00141344">
        <w:rPr>
          <w:rFonts w:ascii="Times New Roman" w:hAnsi="Times New Roman" w:cs="Times New Roman"/>
          <w:sz w:val="24"/>
          <w:szCs w:val="24"/>
          <w:lang w:val="en-US"/>
        </w:rPr>
        <w:t>behavioral</w:t>
      </w:r>
      <w:r w:rsidR="00991F61" w:rsidRPr="00141344">
        <w:rPr>
          <w:rFonts w:ascii="Times New Roman" w:hAnsi="Times New Roman" w:cs="Times New Roman"/>
          <w:sz w:val="24"/>
          <w:szCs w:val="24"/>
          <w:lang w:val="en-US"/>
        </w:rPr>
        <w:t xml:space="preserve"> perspective, while the latter reject them. What is at stake, rather, is whether explanations which invoke normative considerations are different in kind from causal explanations. Once the criticism that the </w:t>
      </w:r>
      <w:r w:rsidR="003A25A8" w:rsidRPr="00141344">
        <w:rPr>
          <w:rFonts w:ascii="Times New Roman" w:hAnsi="Times New Roman" w:cs="Times New Roman"/>
          <w:sz w:val="24"/>
          <w:szCs w:val="24"/>
          <w:lang w:val="en-US"/>
        </w:rPr>
        <w:t>defense</w:t>
      </w:r>
      <w:r w:rsidR="00991F61" w:rsidRPr="00141344">
        <w:rPr>
          <w:rFonts w:ascii="Times New Roman" w:hAnsi="Times New Roman" w:cs="Times New Roman"/>
          <w:sz w:val="24"/>
          <w:szCs w:val="24"/>
          <w:lang w:val="en-US"/>
        </w:rPr>
        <w:t xml:space="preserve"> of a distinctive form of humanistic understanding necessarily rests on a commitment to suspicious mental entities is exposed as a red herring, the motivation for endorsing Quine’s positive proposal concerning how to understand others (radical translation) and its corollary (indeterminacy of translation) is substantively weakened. We trace the history of this red herring to the way in which an earlier attempt to defend the possibility of distinctive humanistic explanations, viz. Collingwood’s, was dismissed, namely by falsely accusing it of relying on the early modern c</w:t>
      </w:r>
      <w:r w:rsidR="003A25A8">
        <w:rPr>
          <w:rFonts w:ascii="Times New Roman" w:hAnsi="Times New Roman" w:cs="Times New Roman"/>
          <w:sz w:val="24"/>
          <w:szCs w:val="24"/>
          <w:lang w:val="en-US"/>
        </w:rPr>
        <w:t>onception of the mind as an “inner theatre”</w:t>
      </w:r>
      <w:r w:rsidR="00991F61" w:rsidRPr="00141344">
        <w:rPr>
          <w:rFonts w:ascii="Times New Roman" w:hAnsi="Times New Roman" w:cs="Times New Roman"/>
          <w:sz w:val="24"/>
          <w:szCs w:val="24"/>
          <w:lang w:val="en-US"/>
        </w:rPr>
        <w:t xml:space="preserve">. Then we shall consider how this objection raised its head again and was mobilized by the </w:t>
      </w:r>
      <w:proofErr w:type="spellStart"/>
      <w:r w:rsidR="00991F61" w:rsidRPr="00141344">
        <w:rPr>
          <w:rFonts w:ascii="Times New Roman" w:hAnsi="Times New Roman" w:cs="Times New Roman"/>
          <w:sz w:val="24"/>
          <w:szCs w:val="24"/>
          <w:lang w:val="en-US"/>
        </w:rPr>
        <w:t>Quinean</w:t>
      </w:r>
      <w:proofErr w:type="spellEnd"/>
      <w:r w:rsidR="00991F61" w:rsidRPr="00141344">
        <w:rPr>
          <w:rFonts w:ascii="Times New Roman" w:hAnsi="Times New Roman" w:cs="Times New Roman"/>
          <w:sz w:val="24"/>
          <w:szCs w:val="24"/>
          <w:lang w:val="en-US"/>
        </w:rPr>
        <w:t xml:space="preserve"> naturalist against Peter Winch’s </w:t>
      </w:r>
      <w:r w:rsidR="00442D3D" w:rsidRPr="00141344">
        <w:rPr>
          <w:rFonts w:ascii="Times New Roman" w:hAnsi="Times New Roman" w:cs="Times New Roman"/>
          <w:sz w:val="24"/>
          <w:szCs w:val="24"/>
          <w:lang w:val="en-US"/>
        </w:rPr>
        <w:t>defense</w:t>
      </w:r>
      <w:r w:rsidR="00991F61" w:rsidRPr="00141344">
        <w:rPr>
          <w:rFonts w:ascii="Times New Roman" w:hAnsi="Times New Roman" w:cs="Times New Roman"/>
          <w:sz w:val="24"/>
          <w:szCs w:val="24"/>
          <w:lang w:val="en-US"/>
        </w:rPr>
        <w:t xml:space="preserve"> of humanistic explanations. </w:t>
      </w:r>
    </w:p>
    <w:p w14:paraId="574AB021" w14:textId="73CF12F4" w:rsidR="00F15D11" w:rsidRDefault="00442D3D" w:rsidP="00CA35E7">
      <w:pPr>
        <w:spacing w:after="0"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sidR="00991F61" w:rsidRPr="00442D3D">
        <w:rPr>
          <w:rFonts w:ascii="Times New Roman" w:hAnsi="Times New Roman" w:cs="Times New Roman"/>
          <w:bCs/>
          <w:sz w:val="24"/>
          <w:szCs w:val="24"/>
          <w:lang w:val="en-US"/>
        </w:rPr>
        <w:t xml:space="preserve">Section </w:t>
      </w:r>
      <w:commentRangeStart w:id="1"/>
      <w:r w:rsidRPr="00442D3D">
        <w:rPr>
          <w:rFonts w:ascii="Times New Roman" w:hAnsi="Times New Roman" w:cs="Times New Roman"/>
          <w:bCs/>
          <w:sz w:val="24"/>
          <w:szCs w:val="24"/>
          <w:lang w:val="en-US"/>
        </w:rPr>
        <w:t>XY.2</w:t>
      </w:r>
      <w:r w:rsidR="00991F61" w:rsidRPr="00442D3D">
        <w:rPr>
          <w:rFonts w:ascii="Times New Roman" w:hAnsi="Times New Roman" w:cs="Times New Roman"/>
          <w:sz w:val="24"/>
          <w:szCs w:val="24"/>
          <w:lang w:val="en-US"/>
        </w:rPr>
        <w:t xml:space="preserve"> </w:t>
      </w:r>
      <w:commentRangeEnd w:id="1"/>
      <w:r w:rsidR="00310271">
        <w:rPr>
          <w:rStyle w:val="CommentReference"/>
        </w:rPr>
        <w:commentReference w:id="1"/>
      </w:r>
      <w:r w:rsidR="00991F61" w:rsidRPr="00442D3D">
        <w:rPr>
          <w:rFonts w:ascii="Times New Roman" w:hAnsi="Times New Roman" w:cs="Times New Roman"/>
          <w:sz w:val="24"/>
          <w:szCs w:val="24"/>
          <w:lang w:val="en-US"/>
        </w:rPr>
        <w:t>introduces</w:t>
      </w:r>
      <w:r w:rsidR="00991F61" w:rsidRPr="00141344">
        <w:rPr>
          <w:rFonts w:ascii="Times New Roman" w:hAnsi="Times New Roman" w:cs="Times New Roman"/>
          <w:sz w:val="24"/>
          <w:szCs w:val="24"/>
          <w:lang w:val="en-US"/>
        </w:rPr>
        <w:t xml:space="preserve"> Collingwood’s argument for a humanistically oriented historiography, an argument that was redeployed by W.H. Dray to rebut Hempel’s neo-positivist </w:t>
      </w:r>
      <w:r w:rsidRPr="00141344">
        <w:rPr>
          <w:rFonts w:ascii="Times New Roman" w:hAnsi="Times New Roman" w:cs="Times New Roman"/>
          <w:sz w:val="24"/>
          <w:szCs w:val="24"/>
          <w:lang w:val="en-US"/>
        </w:rPr>
        <w:t>defense</w:t>
      </w:r>
      <w:r w:rsidR="00991F61" w:rsidRPr="00141344">
        <w:rPr>
          <w:rFonts w:ascii="Times New Roman" w:hAnsi="Times New Roman" w:cs="Times New Roman"/>
          <w:sz w:val="24"/>
          <w:szCs w:val="24"/>
          <w:lang w:val="en-US"/>
        </w:rPr>
        <w:t xml:space="preserve"> of the unity of science. We defend this argument against the </w:t>
      </w:r>
      <w:r w:rsidR="00991F61" w:rsidRPr="00141344">
        <w:rPr>
          <w:rFonts w:ascii="Times New Roman" w:hAnsi="Times New Roman" w:cs="Times New Roman"/>
          <w:i/>
          <w:iCs/>
          <w:sz w:val="24"/>
          <w:szCs w:val="24"/>
          <w:lang w:val="en-US"/>
        </w:rPr>
        <w:t>epistemological</w:t>
      </w:r>
      <w:r w:rsidR="00991F61" w:rsidRPr="00141344">
        <w:rPr>
          <w:rFonts w:ascii="Times New Roman" w:hAnsi="Times New Roman" w:cs="Times New Roman"/>
          <w:sz w:val="24"/>
          <w:szCs w:val="24"/>
          <w:lang w:val="en-US"/>
        </w:rPr>
        <w:t xml:space="preserve"> objection that humanistic explanations, as depicted by Collingwood and Dray, ascribe historians implausible telepathic powers of access to the minds of historical agents and their contents. We argue that, as Dray makes clear, Collingwood’s </w:t>
      </w:r>
      <w:r w:rsidRPr="00141344">
        <w:rPr>
          <w:rFonts w:ascii="Times New Roman" w:hAnsi="Times New Roman" w:cs="Times New Roman"/>
          <w:sz w:val="24"/>
          <w:szCs w:val="24"/>
          <w:lang w:val="en-US"/>
        </w:rPr>
        <w:t>defense</w:t>
      </w:r>
      <w:r w:rsidR="00991F61" w:rsidRPr="00141344">
        <w:rPr>
          <w:rFonts w:ascii="Times New Roman" w:hAnsi="Times New Roman" w:cs="Times New Roman"/>
          <w:sz w:val="24"/>
          <w:szCs w:val="24"/>
          <w:lang w:val="en-US"/>
        </w:rPr>
        <w:t xml:space="preserve"> of a </w:t>
      </w:r>
      <w:r w:rsidR="00991F61" w:rsidRPr="00141344">
        <w:rPr>
          <w:rFonts w:ascii="Times New Roman" w:hAnsi="Times New Roman" w:cs="Times New Roman"/>
          <w:sz w:val="24"/>
          <w:szCs w:val="24"/>
          <w:lang w:val="en-US"/>
        </w:rPr>
        <w:lastRenderedPageBreak/>
        <w:t xml:space="preserve">humanistically oriented historiography neither assumes that historians have special </w:t>
      </w:r>
      <w:r w:rsidR="00991F61" w:rsidRPr="00141344">
        <w:rPr>
          <w:rFonts w:ascii="Times New Roman" w:hAnsi="Times New Roman" w:cs="Times New Roman"/>
          <w:i/>
          <w:iCs/>
          <w:sz w:val="24"/>
          <w:szCs w:val="24"/>
          <w:lang w:val="en-US"/>
        </w:rPr>
        <w:t>epistemological</w:t>
      </w:r>
      <w:r w:rsidR="00991F61" w:rsidRPr="00141344">
        <w:rPr>
          <w:rFonts w:ascii="Times New Roman" w:hAnsi="Times New Roman" w:cs="Times New Roman"/>
          <w:sz w:val="24"/>
          <w:szCs w:val="24"/>
          <w:lang w:val="en-US"/>
        </w:rPr>
        <w:t xml:space="preserve"> powers of access to the minds of historical agents, nor rests on a commitment to </w:t>
      </w:r>
      <w:r w:rsidR="00991F61" w:rsidRPr="00141344">
        <w:rPr>
          <w:rFonts w:ascii="Times New Roman" w:hAnsi="Times New Roman" w:cs="Times New Roman"/>
          <w:i/>
          <w:iCs/>
          <w:sz w:val="24"/>
          <w:szCs w:val="24"/>
          <w:lang w:val="en-US"/>
        </w:rPr>
        <w:t>ontologically</w:t>
      </w:r>
      <w:r w:rsidR="00991F61" w:rsidRPr="00141344">
        <w:rPr>
          <w:rFonts w:ascii="Times New Roman" w:hAnsi="Times New Roman" w:cs="Times New Roman"/>
          <w:sz w:val="24"/>
          <w:szCs w:val="24"/>
          <w:lang w:val="en-US"/>
        </w:rPr>
        <w:t xml:space="preserve"> suspicious entities; it consists rather in the claim that explanations which invoke normative considerations are different in kind from causal explanations. </w:t>
      </w:r>
      <w:r w:rsidR="00991F61" w:rsidRPr="00442D3D">
        <w:rPr>
          <w:rFonts w:ascii="Times New Roman" w:hAnsi="Times New Roman" w:cs="Times New Roman"/>
          <w:bCs/>
          <w:sz w:val="24"/>
          <w:szCs w:val="24"/>
          <w:lang w:val="en-US"/>
        </w:rPr>
        <w:t xml:space="preserve">Section </w:t>
      </w:r>
      <w:r>
        <w:rPr>
          <w:rFonts w:ascii="Times New Roman" w:hAnsi="Times New Roman" w:cs="Times New Roman"/>
          <w:bCs/>
          <w:sz w:val="24"/>
          <w:szCs w:val="24"/>
          <w:lang w:val="en-US"/>
        </w:rPr>
        <w:t>XY.3</w:t>
      </w:r>
      <w:r w:rsidR="00991F61" w:rsidRPr="00141344">
        <w:rPr>
          <w:rFonts w:ascii="Times New Roman" w:hAnsi="Times New Roman" w:cs="Times New Roman"/>
          <w:sz w:val="24"/>
          <w:szCs w:val="24"/>
          <w:lang w:val="en-US"/>
        </w:rPr>
        <w:t xml:space="preserve"> considers a similar objection raised by the </w:t>
      </w:r>
      <w:proofErr w:type="spellStart"/>
      <w:r w:rsidR="00991F61" w:rsidRPr="00141344">
        <w:rPr>
          <w:rFonts w:ascii="Times New Roman" w:hAnsi="Times New Roman" w:cs="Times New Roman"/>
          <w:sz w:val="24"/>
          <w:szCs w:val="24"/>
          <w:lang w:val="en-US"/>
        </w:rPr>
        <w:t>Quinean</w:t>
      </w:r>
      <w:proofErr w:type="spellEnd"/>
      <w:r w:rsidR="00991F61" w:rsidRPr="00141344">
        <w:rPr>
          <w:rFonts w:ascii="Times New Roman" w:hAnsi="Times New Roman" w:cs="Times New Roman"/>
          <w:sz w:val="24"/>
          <w:szCs w:val="24"/>
          <w:lang w:val="en-US"/>
        </w:rPr>
        <w:t xml:space="preserve"> naturalist against Peter Winch’s argument for methodological diversity in the sciences. According to </w:t>
      </w:r>
      <w:proofErr w:type="spellStart"/>
      <w:r w:rsidR="00991F61" w:rsidRPr="00141344">
        <w:rPr>
          <w:rFonts w:ascii="Times New Roman" w:hAnsi="Times New Roman" w:cs="Times New Roman"/>
          <w:sz w:val="24"/>
          <w:szCs w:val="24"/>
          <w:lang w:val="en-US"/>
        </w:rPr>
        <w:t>Quinean</w:t>
      </w:r>
      <w:proofErr w:type="spellEnd"/>
      <w:r w:rsidR="00991F61" w:rsidRPr="00141344">
        <w:rPr>
          <w:rFonts w:ascii="Times New Roman" w:hAnsi="Times New Roman" w:cs="Times New Roman"/>
          <w:sz w:val="24"/>
          <w:szCs w:val="24"/>
          <w:lang w:val="en-US"/>
        </w:rPr>
        <w:t xml:space="preserve"> naturalists, Winch’s philosophy subscribed to an ontology of stable an</w:t>
      </w:r>
      <w:r>
        <w:rPr>
          <w:rFonts w:ascii="Times New Roman" w:hAnsi="Times New Roman" w:cs="Times New Roman"/>
          <w:sz w:val="24"/>
          <w:szCs w:val="24"/>
          <w:lang w:val="en-US"/>
        </w:rPr>
        <w:t>d determinate mental entities—</w:t>
      </w:r>
      <w:r w:rsidR="00991F61" w:rsidRPr="00141344">
        <w:rPr>
          <w:rFonts w:ascii="Times New Roman" w:hAnsi="Times New Roman" w:cs="Times New Roman"/>
          <w:sz w:val="24"/>
          <w:szCs w:val="24"/>
          <w:lang w:val="en-US"/>
        </w:rPr>
        <w:t>designated as ‘</w:t>
      </w:r>
      <w:r>
        <w:rPr>
          <w:rFonts w:ascii="Times New Roman" w:hAnsi="Times New Roman" w:cs="Times New Roman"/>
          <w:sz w:val="24"/>
          <w:szCs w:val="24"/>
          <w:lang w:val="en-US"/>
        </w:rPr>
        <w:t>the meaning’ of human actions—</w:t>
      </w:r>
      <w:r w:rsidR="00991F61" w:rsidRPr="00141344">
        <w:rPr>
          <w:rFonts w:ascii="Times New Roman" w:hAnsi="Times New Roman" w:cs="Times New Roman"/>
          <w:sz w:val="24"/>
          <w:szCs w:val="24"/>
          <w:lang w:val="en-US"/>
        </w:rPr>
        <w:t xml:space="preserve">which serve as the objects of understanding in social science research. Since naturalism explicitly denies the existence or knowability of such mental entities, naturalists dismiss Winch’s philosophy of the social sciences as a latter day idealist ontology about ‘ghosts in the machine’. We claim, once again, that this objection draws attention away from the true bone of contention, i.e. whether or not the logical form of humanistic explanation is irreducible to that of causal explanation. Tracing the history of this particular red herring back to the methodological debate for and against methodological unity in the sciences as it was played out between Hempel and Dray, shows that naturalism, like the leopard, has not changed its spots: the same </w:t>
      </w:r>
      <w:r w:rsidRPr="00141344">
        <w:rPr>
          <w:rFonts w:ascii="Times New Roman" w:hAnsi="Times New Roman" w:cs="Times New Roman"/>
          <w:sz w:val="24"/>
          <w:szCs w:val="24"/>
          <w:lang w:val="en-US"/>
        </w:rPr>
        <w:t>straw man</w:t>
      </w:r>
      <w:r w:rsidR="00991F61" w:rsidRPr="00141344">
        <w:rPr>
          <w:rFonts w:ascii="Times New Roman" w:hAnsi="Times New Roman" w:cs="Times New Roman"/>
          <w:sz w:val="24"/>
          <w:szCs w:val="24"/>
          <w:lang w:val="en-US"/>
        </w:rPr>
        <w:t xml:space="preserve"> objection is being re-mobilized here to motivate support for a solution to what is actually a false problem.</w:t>
      </w:r>
    </w:p>
    <w:p w14:paraId="6A4AE640" w14:textId="4A43B6F9" w:rsidR="004C6512" w:rsidRPr="00141344" w:rsidRDefault="003D76CC"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Naturalism, of course, comes in many shades of grey that this paper does not examine. It could therefore be objected that we are making our lives considerably easier by focusing on the renewal of the argument for methodological unity as</w:t>
      </w:r>
      <w:r w:rsidR="00032D42">
        <w:rPr>
          <w:rFonts w:ascii="Times New Roman" w:hAnsi="Times New Roman" w:cs="Times New Roman"/>
          <w:sz w:val="24"/>
          <w:szCs w:val="24"/>
          <w:lang w:val="en-US"/>
        </w:rPr>
        <w:t xml:space="preserve"> it </w:t>
      </w:r>
      <w:r>
        <w:rPr>
          <w:rFonts w:ascii="Times New Roman" w:hAnsi="Times New Roman" w:cs="Times New Roman"/>
          <w:sz w:val="24"/>
          <w:szCs w:val="24"/>
          <w:lang w:val="en-US"/>
        </w:rPr>
        <w:t xml:space="preserve">was articulated by </w:t>
      </w:r>
      <w:r w:rsidR="00495032">
        <w:rPr>
          <w:rFonts w:ascii="Times New Roman" w:hAnsi="Times New Roman" w:cs="Times New Roman"/>
          <w:sz w:val="24"/>
          <w:szCs w:val="24"/>
          <w:lang w:val="en-US"/>
        </w:rPr>
        <w:t>naturalism’s</w:t>
      </w:r>
      <w:r>
        <w:rPr>
          <w:rFonts w:ascii="Times New Roman" w:hAnsi="Times New Roman" w:cs="Times New Roman"/>
          <w:sz w:val="24"/>
          <w:szCs w:val="24"/>
          <w:lang w:val="en-US"/>
        </w:rPr>
        <w:t xml:space="preserve"> </w:t>
      </w:r>
      <w:r w:rsidR="00495032">
        <w:rPr>
          <w:rFonts w:ascii="Times New Roman" w:hAnsi="Times New Roman" w:cs="Times New Roman"/>
          <w:sz w:val="24"/>
          <w:szCs w:val="24"/>
          <w:lang w:val="en-US"/>
        </w:rPr>
        <w:t xml:space="preserve">chief </w:t>
      </w:r>
      <w:r>
        <w:rPr>
          <w:rFonts w:ascii="Times New Roman" w:hAnsi="Times New Roman" w:cs="Times New Roman"/>
          <w:sz w:val="24"/>
          <w:szCs w:val="24"/>
          <w:lang w:val="en-US"/>
        </w:rPr>
        <w:t>villain</w:t>
      </w:r>
      <w:r w:rsidR="00495032">
        <w:rPr>
          <w:rFonts w:ascii="Times New Roman" w:hAnsi="Times New Roman" w:cs="Times New Roman"/>
          <w:sz w:val="24"/>
          <w:szCs w:val="24"/>
          <w:lang w:val="en-US"/>
        </w:rPr>
        <w:t xml:space="preserve"> rather than focusing on softer forms of naturalism, such as those which are found in </w:t>
      </w:r>
      <w:r w:rsidR="005F01D8">
        <w:rPr>
          <w:rFonts w:ascii="Times New Roman" w:hAnsi="Times New Roman" w:cs="Times New Roman"/>
          <w:sz w:val="24"/>
          <w:szCs w:val="24"/>
          <w:lang w:val="en-US"/>
        </w:rPr>
        <w:t xml:space="preserve">Donald </w:t>
      </w:r>
      <w:r w:rsidR="00495032">
        <w:rPr>
          <w:rFonts w:ascii="Times New Roman" w:hAnsi="Times New Roman" w:cs="Times New Roman"/>
          <w:sz w:val="24"/>
          <w:szCs w:val="24"/>
          <w:lang w:val="en-US"/>
        </w:rPr>
        <w:t xml:space="preserve">Davidson’s </w:t>
      </w:r>
      <w:r w:rsidR="00032D42">
        <w:rPr>
          <w:rFonts w:ascii="Times New Roman" w:hAnsi="Times New Roman" w:cs="Times New Roman"/>
          <w:sz w:val="24"/>
          <w:szCs w:val="24"/>
          <w:lang w:val="en-US"/>
        </w:rPr>
        <w:t>a</w:t>
      </w:r>
      <w:r w:rsidR="00495032">
        <w:rPr>
          <w:rFonts w:ascii="Times New Roman" w:hAnsi="Times New Roman" w:cs="Times New Roman"/>
          <w:sz w:val="24"/>
          <w:szCs w:val="24"/>
          <w:lang w:val="en-US"/>
        </w:rPr>
        <w:t xml:space="preserve">nomalous </w:t>
      </w:r>
      <w:r w:rsidR="00032D42">
        <w:rPr>
          <w:rFonts w:ascii="Times New Roman" w:hAnsi="Times New Roman" w:cs="Times New Roman"/>
          <w:sz w:val="24"/>
          <w:szCs w:val="24"/>
          <w:lang w:val="en-US"/>
        </w:rPr>
        <w:t>m</w:t>
      </w:r>
      <w:r w:rsidR="00495032">
        <w:rPr>
          <w:rFonts w:ascii="Times New Roman" w:hAnsi="Times New Roman" w:cs="Times New Roman"/>
          <w:sz w:val="24"/>
          <w:szCs w:val="24"/>
          <w:lang w:val="en-US"/>
        </w:rPr>
        <w:t xml:space="preserve">onism and </w:t>
      </w:r>
      <w:r w:rsidR="005F01D8">
        <w:rPr>
          <w:rFonts w:ascii="Times New Roman" w:hAnsi="Times New Roman" w:cs="Times New Roman"/>
          <w:sz w:val="24"/>
          <w:szCs w:val="24"/>
          <w:lang w:val="en-US"/>
        </w:rPr>
        <w:t xml:space="preserve">John </w:t>
      </w:r>
      <w:r w:rsidR="00495032">
        <w:rPr>
          <w:rFonts w:ascii="Times New Roman" w:hAnsi="Times New Roman" w:cs="Times New Roman"/>
          <w:sz w:val="24"/>
          <w:szCs w:val="24"/>
          <w:lang w:val="en-US"/>
        </w:rPr>
        <w:t xml:space="preserve">McDowell’s liberal naturalism. They, unlike Quine, do not pursue an </w:t>
      </w:r>
      <w:proofErr w:type="spellStart"/>
      <w:r w:rsidR="00495032">
        <w:rPr>
          <w:rFonts w:ascii="Times New Roman" w:hAnsi="Times New Roman" w:cs="Times New Roman"/>
          <w:sz w:val="24"/>
          <w:szCs w:val="24"/>
          <w:lang w:val="en-US"/>
        </w:rPr>
        <w:t>eliminativist</w:t>
      </w:r>
      <w:proofErr w:type="spellEnd"/>
      <w:r w:rsidR="00495032">
        <w:rPr>
          <w:rFonts w:ascii="Times New Roman" w:hAnsi="Times New Roman" w:cs="Times New Roman"/>
          <w:sz w:val="24"/>
          <w:szCs w:val="24"/>
          <w:lang w:val="en-US"/>
        </w:rPr>
        <w:t xml:space="preserve"> </w:t>
      </w:r>
      <w:r w:rsidR="00752825">
        <w:rPr>
          <w:rFonts w:ascii="Times New Roman" w:hAnsi="Times New Roman" w:cs="Times New Roman"/>
          <w:sz w:val="24"/>
          <w:szCs w:val="24"/>
          <w:lang w:val="en-US"/>
        </w:rPr>
        <w:t xml:space="preserve">but a reconciliatory </w:t>
      </w:r>
      <w:r w:rsidR="00032D42">
        <w:rPr>
          <w:rFonts w:ascii="Times New Roman" w:hAnsi="Times New Roman" w:cs="Times New Roman"/>
          <w:sz w:val="24"/>
          <w:szCs w:val="24"/>
          <w:lang w:val="en-US"/>
        </w:rPr>
        <w:t>agenda</w:t>
      </w:r>
      <w:r w:rsidR="00752825">
        <w:rPr>
          <w:rFonts w:ascii="Times New Roman" w:hAnsi="Times New Roman" w:cs="Times New Roman"/>
          <w:sz w:val="24"/>
          <w:szCs w:val="24"/>
          <w:lang w:val="en-US"/>
        </w:rPr>
        <w:t xml:space="preserve">. </w:t>
      </w:r>
      <w:r w:rsidR="006910D3">
        <w:rPr>
          <w:rFonts w:ascii="Times New Roman" w:hAnsi="Times New Roman" w:cs="Times New Roman"/>
          <w:sz w:val="24"/>
          <w:szCs w:val="24"/>
          <w:lang w:val="en-US"/>
        </w:rPr>
        <w:t xml:space="preserve">Although it cannot be argued here, such attempts to do justice to the </w:t>
      </w:r>
      <w:r w:rsidR="00752825">
        <w:rPr>
          <w:rFonts w:ascii="Times New Roman" w:hAnsi="Times New Roman" w:cs="Times New Roman"/>
          <w:sz w:val="24"/>
          <w:szCs w:val="24"/>
          <w:lang w:val="en-US"/>
        </w:rPr>
        <w:t>normative sui generis character of the mental</w:t>
      </w:r>
      <w:r w:rsidR="006910D3">
        <w:rPr>
          <w:rFonts w:ascii="Times New Roman" w:hAnsi="Times New Roman" w:cs="Times New Roman"/>
          <w:sz w:val="24"/>
          <w:szCs w:val="24"/>
          <w:lang w:val="en-US"/>
        </w:rPr>
        <w:t xml:space="preserve"> within a </w:t>
      </w:r>
      <w:r w:rsidR="00752825">
        <w:rPr>
          <w:rFonts w:ascii="Times New Roman" w:hAnsi="Times New Roman" w:cs="Times New Roman"/>
          <w:sz w:val="24"/>
          <w:szCs w:val="24"/>
          <w:lang w:val="en-US"/>
        </w:rPr>
        <w:t>naturalistic framework</w:t>
      </w:r>
      <w:r w:rsidR="006910D3">
        <w:rPr>
          <w:rFonts w:ascii="Times New Roman" w:hAnsi="Times New Roman" w:cs="Times New Roman"/>
          <w:sz w:val="24"/>
          <w:szCs w:val="24"/>
          <w:lang w:val="en-US"/>
        </w:rPr>
        <w:t xml:space="preserve"> cannot succeed</w:t>
      </w:r>
      <w:r w:rsidR="00246CE7">
        <w:rPr>
          <w:rFonts w:ascii="Times New Roman" w:hAnsi="Times New Roman" w:cs="Times New Roman"/>
          <w:sz w:val="24"/>
          <w:szCs w:val="24"/>
          <w:lang w:val="en-US"/>
        </w:rPr>
        <w:t>;</w:t>
      </w:r>
      <w:r w:rsidR="006910D3">
        <w:rPr>
          <w:rFonts w:ascii="Times New Roman" w:hAnsi="Times New Roman" w:cs="Times New Roman"/>
          <w:sz w:val="24"/>
          <w:szCs w:val="24"/>
          <w:lang w:val="en-US"/>
        </w:rPr>
        <w:t xml:space="preserve"> </w:t>
      </w:r>
      <w:r w:rsidR="00752825">
        <w:rPr>
          <w:rFonts w:ascii="Times New Roman" w:hAnsi="Times New Roman" w:cs="Times New Roman"/>
          <w:sz w:val="24"/>
          <w:szCs w:val="24"/>
          <w:lang w:val="en-US"/>
        </w:rPr>
        <w:t>such reconciliatory efforts</w:t>
      </w:r>
      <w:r w:rsidR="006910D3">
        <w:rPr>
          <w:rFonts w:ascii="Times New Roman" w:hAnsi="Times New Roman" w:cs="Times New Roman"/>
          <w:sz w:val="24"/>
          <w:szCs w:val="24"/>
          <w:lang w:val="en-US"/>
        </w:rPr>
        <w:t xml:space="preserve"> are doomed to fail </w:t>
      </w:r>
      <w:r w:rsidR="00552CE0">
        <w:rPr>
          <w:rFonts w:ascii="Times New Roman" w:hAnsi="Times New Roman" w:cs="Times New Roman"/>
          <w:sz w:val="24"/>
          <w:szCs w:val="24"/>
          <w:lang w:val="en-US"/>
        </w:rPr>
        <w:t xml:space="preserve">just </w:t>
      </w:r>
      <w:r w:rsidR="006910D3">
        <w:rPr>
          <w:rFonts w:ascii="Times New Roman" w:hAnsi="Times New Roman" w:cs="Times New Roman"/>
          <w:sz w:val="24"/>
          <w:szCs w:val="24"/>
          <w:lang w:val="en-US"/>
        </w:rPr>
        <w:t>as the attempt to square the circle</w:t>
      </w:r>
      <w:r w:rsidR="00246CE7">
        <w:rPr>
          <w:rFonts w:ascii="Times New Roman" w:hAnsi="Times New Roman" w:cs="Times New Roman"/>
          <w:sz w:val="24"/>
          <w:szCs w:val="24"/>
          <w:lang w:val="en-US"/>
        </w:rPr>
        <w:t xml:space="preserve">, but to explain why this is the case would take a long excursus into deeply buried metaphilosophical </w:t>
      </w:r>
      <w:r w:rsidR="009B57AD">
        <w:rPr>
          <w:rFonts w:ascii="Times New Roman" w:hAnsi="Times New Roman" w:cs="Times New Roman"/>
          <w:sz w:val="24"/>
          <w:szCs w:val="24"/>
          <w:lang w:val="en-US"/>
        </w:rPr>
        <w:t>assumptions that cannot be fully explore</w:t>
      </w:r>
      <w:r w:rsidR="00897EAC">
        <w:rPr>
          <w:rFonts w:ascii="Times New Roman" w:hAnsi="Times New Roman" w:cs="Times New Roman"/>
          <w:sz w:val="24"/>
          <w:szCs w:val="24"/>
          <w:lang w:val="en-US"/>
        </w:rPr>
        <w:t>d</w:t>
      </w:r>
      <w:r w:rsidR="009B57AD">
        <w:rPr>
          <w:rFonts w:ascii="Times New Roman" w:hAnsi="Times New Roman" w:cs="Times New Roman"/>
          <w:sz w:val="24"/>
          <w:szCs w:val="24"/>
          <w:lang w:val="en-US"/>
        </w:rPr>
        <w:t xml:space="preserve"> here (see D’Oro 2012 and D’Oro, </w:t>
      </w:r>
      <w:proofErr w:type="spellStart"/>
      <w:r w:rsidR="009B57AD">
        <w:rPr>
          <w:rFonts w:ascii="Times New Roman" w:hAnsi="Times New Roman" w:cs="Times New Roman"/>
          <w:sz w:val="24"/>
          <w:szCs w:val="24"/>
          <w:lang w:val="en-US"/>
        </w:rPr>
        <w:t>Giladi</w:t>
      </w:r>
      <w:proofErr w:type="spellEnd"/>
      <w:r w:rsidR="009B57AD">
        <w:rPr>
          <w:rFonts w:ascii="Times New Roman" w:hAnsi="Times New Roman" w:cs="Times New Roman"/>
          <w:sz w:val="24"/>
          <w:szCs w:val="24"/>
          <w:lang w:val="en-US"/>
        </w:rPr>
        <w:t xml:space="preserve"> </w:t>
      </w:r>
      <w:proofErr w:type="spellStart"/>
      <w:r w:rsidR="009B57AD">
        <w:rPr>
          <w:rFonts w:ascii="Times New Roman" w:hAnsi="Times New Roman" w:cs="Times New Roman"/>
          <w:sz w:val="24"/>
          <w:szCs w:val="24"/>
          <w:lang w:val="en-US"/>
        </w:rPr>
        <w:t>Papazoglou</w:t>
      </w:r>
      <w:proofErr w:type="spellEnd"/>
      <w:r w:rsidR="009B57AD">
        <w:rPr>
          <w:rFonts w:ascii="Times New Roman" w:hAnsi="Times New Roman" w:cs="Times New Roman"/>
          <w:sz w:val="24"/>
          <w:szCs w:val="24"/>
          <w:lang w:val="en-US"/>
        </w:rPr>
        <w:t xml:space="preserve"> 2019)</w:t>
      </w:r>
      <w:r w:rsidR="00CC1A6E">
        <w:rPr>
          <w:rFonts w:ascii="Times New Roman" w:hAnsi="Times New Roman" w:cs="Times New Roman"/>
          <w:sz w:val="24"/>
          <w:szCs w:val="24"/>
          <w:lang w:val="en-US"/>
        </w:rPr>
        <w:t xml:space="preserve">. We focus </w:t>
      </w:r>
      <w:r w:rsidR="00752825">
        <w:rPr>
          <w:rFonts w:ascii="Times New Roman" w:hAnsi="Times New Roman" w:cs="Times New Roman"/>
          <w:sz w:val="24"/>
          <w:szCs w:val="24"/>
          <w:lang w:val="en-US"/>
        </w:rPr>
        <w:t>o</w:t>
      </w:r>
      <w:r w:rsidR="00CC1A6E">
        <w:rPr>
          <w:rFonts w:ascii="Times New Roman" w:hAnsi="Times New Roman" w:cs="Times New Roman"/>
          <w:sz w:val="24"/>
          <w:szCs w:val="24"/>
          <w:lang w:val="en-US"/>
        </w:rPr>
        <w:t>n Quine because</w:t>
      </w:r>
      <w:r w:rsidR="00897EAC">
        <w:rPr>
          <w:rFonts w:ascii="Times New Roman" w:hAnsi="Times New Roman" w:cs="Times New Roman"/>
          <w:sz w:val="24"/>
          <w:szCs w:val="24"/>
          <w:lang w:val="en-US"/>
        </w:rPr>
        <w:t xml:space="preserve"> instead of pursuing </w:t>
      </w:r>
      <w:r w:rsidR="00F44DA4">
        <w:rPr>
          <w:rFonts w:ascii="Times New Roman" w:hAnsi="Times New Roman" w:cs="Times New Roman"/>
          <w:sz w:val="24"/>
          <w:szCs w:val="24"/>
          <w:lang w:val="en-US"/>
        </w:rPr>
        <w:t>a</w:t>
      </w:r>
      <w:r w:rsidR="00897EAC">
        <w:rPr>
          <w:rFonts w:ascii="Times New Roman" w:hAnsi="Times New Roman" w:cs="Times New Roman"/>
          <w:sz w:val="24"/>
          <w:szCs w:val="24"/>
          <w:lang w:val="en-US"/>
        </w:rPr>
        <w:t xml:space="preserve"> reconciliatory agenda he </w:t>
      </w:r>
      <w:r w:rsidR="00752825">
        <w:rPr>
          <w:rFonts w:ascii="Times New Roman" w:hAnsi="Times New Roman" w:cs="Times New Roman"/>
          <w:sz w:val="24"/>
          <w:szCs w:val="24"/>
          <w:lang w:val="en-US"/>
        </w:rPr>
        <w:t xml:space="preserve">seeks to undercut the need </w:t>
      </w:r>
      <w:r w:rsidR="00897EAC">
        <w:rPr>
          <w:rFonts w:ascii="Times New Roman" w:hAnsi="Times New Roman" w:cs="Times New Roman"/>
          <w:sz w:val="24"/>
          <w:szCs w:val="24"/>
          <w:lang w:val="en-US"/>
        </w:rPr>
        <w:t>to do justice to</w:t>
      </w:r>
      <w:r w:rsidR="00032D42">
        <w:rPr>
          <w:rFonts w:ascii="Times New Roman" w:hAnsi="Times New Roman" w:cs="Times New Roman"/>
          <w:sz w:val="24"/>
          <w:szCs w:val="24"/>
          <w:lang w:val="en-US"/>
        </w:rPr>
        <w:t xml:space="preserve"> the </w:t>
      </w:r>
      <w:r w:rsidR="00BF3D7F">
        <w:rPr>
          <w:rFonts w:ascii="Times New Roman" w:hAnsi="Times New Roman" w:cs="Times New Roman"/>
          <w:sz w:val="24"/>
          <w:szCs w:val="24"/>
          <w:lang w:val="en-US"/>
        </w:rPr>
        <w:t>distinctive character</w:t>
      </w:r>
      <w:r w:rsidR="00032D42">
        <w:rPr>
          <w:rFonts w:ascii="Times New Roman" w:hAnsi="Times New Roman" w:cs="Times New Roman"/>
          <w:sz w:val="24"/>
          <w:szCs w:val="24"/>
          <w:lang w:val="en-US"/>
        </w:rPr>
        <w:t xml:space="preserve"> of</w:t>
      </w:r>
      <w:r w:rsidR="00897EAC">
        <w:rPr>
          <w:rFonts w:ascii="Times New Roman" w:hAnsi="Times New Roman" w:cs="Times New Roman"/>
          <w:sz w:val="24"/>
          <w:szCs w:val="24"/>
          <w:lang w:val="en-US"/>
        </w:rPr>
        <w:t xml:space="preserve"> normative/rationalizing</w:t>
      </w:r>
      <w:r w:rsidR="00752825">
        <w:rPr>
          <w:rFonts w:ascii="Times New Roman" w:hAnsi="Times New Roman" w:cs="Times New Roman"/>
          <w:sz w:val="24"/>
          <w:szCs w:val="24"/>
          <w:lang w:val="en-US"/>
        </w:rPr>
        <w:t xml:space="preserve"> explanations by dispensing with the very </w:t>
      </w:r>
      <w:r w:rsidR="00032D42">
        <w:rPr>
          <w:rFonts w:ascii="Times New Roman" w:hAnsi="Times New Roman" w:cs="Times New Roman"/>
          <w:sz w:val="24"/>
          <w:szCs w:val="24"/>
          <w:lang w:val="en-US"/>
        </w:rPr>
        <w:t>entities</w:t>
      </w:r>
      <w:r w:rsidR="00752825">
        <w:rPr>
          <w:rFonts w:ascii="Times New Roman" w:hAnsi="Times New Roman" w:cs="Times New Roman"/>
          <w:sz w:val="24"/>
          <w:szCs w:val="24"/>
          <w:lang w:val="en-US"/>
        </w:rPr>
        <w:t xml:space="preserve"> (</w:t>
      </w:r>
      <w:r w:rsidR="00BF77B5">
        <w:rPr>
          <w:rFonts w:ascii="Times New Roman" w:hAnsi="Times New Roman" w:cs="Times New Roman"/>
          <w:sz w:val="24"/>
          <w:szCs w:val="24"/>
          <w:lang w:val="en-US"/>
        </w:rPr>
        <w:t>inner</w:t>
      </w:r>
      <w:r w:rsidR="00752825">
        <w:rPr>
          <w:rFonts w:ascii="Times New Roman" w:hAnsi="Times New Roman" w:cs="Times New Roman"/>
          <w:sz w:val="24"/>
          <w:szCs w:val="24"/>
          <w:lang w:val="en-US"/>
        </w:rPr>
        <w:t xml:space="preserve"> mental </w:t>
      </w:r>
      <w:r w:rsidR="00EB1387">
        <w:rPr>
          <w:rFonts w:ascii="Times New Roman" w:hAnsi="Times New Roman" w:cs="Times New Roman"/>
          <w:sz w:val="24"/>
          <w:szCs w:val="24"/>
          <w:lang w:val="en-US"/>
        </w:rPr>
        <w:t>items</w:t>
      </w:r>
      <w:r w:rsidR="00752825">
        <w:rPr>
          <w:rFonts w:ascii="Times New Roman" w:hAnsi="Times New Roman" w:cs="Times New Roman"/>
          <w:sz w:val="24"/>
          <w:szCs w:val="24"/>
          <w:lang w:val="en-US"/>
        </w:rPr>
        <w:t>) which</w:t>
      </w:r>
      <w:r w:rsidR="00875830">
        <w:rPr>
          <w:rFonts w:ascii="Times New Roman" w:hAnsi="Times New Roman" w:cs="Times New Roman"/>
          <w:sz w:val="24"/>
          <w:szCs w:val="24"/>
          <w:lang w:val="en-US"/>
        </w:rPr>
        <w:t xml:space="preserve">, he believes, </w:t>
      </w:r>
      <w:r w:rsidR="00752825">
        <w:rPr>
          <w:rFonts w:ascii="Times New Roman" w:hAnsi="Times New Roman" w:cs="Times New Roman"/>
          <w:sz w:val="24"/>
          <w:szCs w:val="24"/>
          <w:lang w:val="en-US"/>
        </w:rPr>
        <w:t>generate the need for</w:t>
      </w:r>
      <w:r w:rsidR="008D3F3B">
        <w:rPr>
          <w:rFonts w:ascii="Times New Roman" w:hAnsi="Times New Roman" w:cs="Times New Roman"/>
          <w:sz w:val="24"/>
          <w:szCs w:val="24"/>
          <w:lang w:val="en-US"/>
        </w:rPr>
        <w:t xml:space="preserve"> such</w:t>
      </w:r>
      <w:r w:rsidR="00752825">
        <w:rPr>
          <w:rFonts w:ascii="Times New Roman" w:hAnsi="Times New Roman" w:cs="Times New Roman"/>
          <w:sz w:val="24"/>
          <w:szCs w:val="24"/>
          <w:lang w:val="en-US"/>
        </w:rPr>
        <w:t xml:space="preserve"> sui generis explanations in the first instance.</w:t>
      </w:r>
      <w:r w:rsidR="00875830">
        <w:rPr>
          <w:rFonts w:ascii="Times New Roman" w:hAnsi="Times New Roman" w:cs="Times New Roman"/>
          <w:sz w:val="24"/>
          <w:szCs w:val="24"/>
          <w:lang w:val="en-US"/>
        </w:rPr>
        <w:t xml:space="preserve"> We argue that the need to acknowledge the sui generis nature of rationalizing explanations was never born out </w:t>
      </w:r>
      <w:r w:rsidR="00F44DA4">
        <w:rPr>
          <w:rFonts w:ascii="Times New Roman" w:hAnsi="Times New Roman" w:cs="Times New Roman"/>
          <w:sz w:val="24"/>
          <w:szCs w:val="24"/>
          <w:lang w:val="en-US"/>
        </w:rPr>
        <w:t>of a commitment to the early modern conception</w:t>
      </w:r>
      <w:r w:rsidR="00B76C20">
        <w:rPr>
          <w:rFonts w:ascii="Times New Roman" w:hAnsi="Times New Roman" w:cs="Times New Roman"/>
          <w:sz w:val="24"/>
          <w:szCs w:val="24"/>
          <w:lang w:val="en-US"/>
        </w:rPr>
        <w:t xml:space="preserve"> of the mind as an inner theatre and that Quine’s attempt to undercut the </w:t>
      </w:r>
      <w:r w:rsidR="00B76C20">
        <w:rPr>
          <w:rFonts w:ascii="Times New Roman" w:hAnsi="Times New Roman" w:cs="Times New Roman"/>
          <w:sz w:val="24"/>
          <w:szCs w:val="24"/>
          <w:lang w:val="en-US"/>
        </w:rPr>
        <w:lastRenderedPageBreak/>
        <w:t xml:space="preserve">need for sui generis rationalizing explanations by eliminating the </w:t>
      </w:r>
      <w:r w:rsidR="007509C4">
        <w:rPr>
          <w:rFonts w:ascii="Times New Roman" w:hAnsi="Times New Roman" w:cs="Times New Roman"/>
          <w:sz w:val="24"/>
          <w:szCs w:val="24"/>
          <w:lang w:val="en-US"/>
        </w:rPr>
        <w:t>“</w:t>
      </w:r>
      <w:r w:rsidR="00B76C20">
        <w:rPr>
          <w:rFonts w:ascii="Times New Roman" w:hAnsi="Times New Roman" w:cs="Times New Roman"/>
          <w:sz w:val="24"/>
          <w:szCs w:val="24"/>
          <w:lang w:val="en-US"/>
        </w:rPr>
        <w:t>beetle</w:t>
      </w:r>
      <w:r w:rsidR="007509C4">
        <w:rPr>
          <w:rFonts w:ascii="Times New Roman" w:hAnsi="Times New Roman" w:cs="Times New Roman"/>
          <w:sz w:val="24"/>
          <w:szCs w:val="24"/>
          <w:lang w:val="en-US"/>
        </w:rPr>
        <w:t>”</w:t>
      </w:r>
      <w:r w:rsidR="00B76C20">
        <w:rPr>
          <w:rFonts w:ascii="Times New Roman" w:hAnsi="Times New Roman" w:cs="Times New Roman"/>
          <w:sz w:val="24"/>
          <w:szCs w:val="24"/>
          <w:lang w:val="en-US"/>
        </w:rPr>
        <w:t xml:space="preserve"> is directed at a straw man. Irreducibly normative/rationalizing explanations are needed </w:t>
      </w:r>
      <w:r w:rsidR="00EE370E">
        <w:rPr>
          <w:rFonts w:ascii="Times New Roman" w:hAnsi="Times New Roman" w:cs="Times New Roman"/>
          <w:sz w:val="24"/>
          <w:szCs w:val="24"/>
          <w:lang w:val="en-US"/>
        </w:rPr>
        <w:t>not to acknowledge the existence of the beetle in the mind box, but to do justice to</w:t>
      </w:r>
      <w:r w:rsidR="007509C4">
        <w:rPr>
          <w:rFonts w:ascii="Times New Roman" w:hAnsi="Times New Roman" w:cs="Times New Roman"/>
          <w:sz w:val="24"/>
          <w:szCs w:val="24"/>
          <w:lang w:val="en-US"/>
        </w:rPr>
        <w:t xml:space="preserve"> the subtleties of language, to capture the distinction between</w:t>
      </w:r>
      <w:r w:rsidR="004C06D8">
        <w:rPr>
          <w:rFonts w:ascii="Times New Roman" w:hAnsi="Times New Roman" w:cs="Times New Roman"/>
          <w:sz w:val="24"/>
          <w:szCs w:val="24"/>
          <w:lang w:val="en-US"/>
        </w:rPr>
        <w:t xml:space="preserve"> “actions”</w:t>
      </w:r>
      <w:r w:rsidR="00EE370E">
        <w:rPr>
          <w:rFonts w:ascii="Times New Roman" w:hAnsi="Times New Roman" w:cs="Times New Roman"/>
          <w:sz w:val="24"/>
          <w:szCs w:val="24"/>
          <w:lang w:val="en-US"/>
        </w:rPr>
        <w:t xml:space="preserve"> understood</w:t>
      </w:r>
      <w:r w:rsidR="004C06D8">
        <w:rPr>
          <w:rFonts w:ascii="Times New Roman" w:hAnsi="Times New Roman" w:cs="Times New Roman"/>
          <w:sz w:val="24"/>
          <w:szCs w:val="24"/>
          <w:lang w:val="en-US"/>
        </w:rPr>
        <w:t xml:space="preserve"> as bodily movements </w:t>
      </w:r>
      <w:r w:rsidR="00EE370E">
        <w:rPr>
          <w:rFonts w:ascii="Times New Roman" w:hAnsi="Times New Roman" w:cs="Times New Roman"/>
          <w:sz w:val="24"/>
          <w:szCs w:val="24"/>
          <w:lang w:val="en-US"/>
        </w:rPr>
        <w:t>(and thus as</w:t>
      </w:r>
      <w:r w:rsidR="004C06D8">
        <w:rPr>
          <w:rFonts w:ascii="Times New Roman" w:hAnsi="Times New Roman" w:cs="Times New Roman"/>
          <w:sz w:val="24"/>
          <w:szCs w:val="24"/>
          <w:lang w:val="en-US"/>
        </w:rPr>
        <w:t xml:space="preserve"> mere species of events which can be explained causally</w:t>
      </w:r>
      <w:r w:rsidR="00EE370E">
        <w:rPr>
          <w:rFonts w:ascii="Times New Roman" w:hAnsi="Times New Roman" w:cs="Times New Roman"/>
          <w:sz w:val="24"/>
          <w:szCs w:val="24"/>
          <w:lang w:val="en-US"/>
        </w:rPr>
        <w:t>)</w:t>
      </w:r>
      <w:r w:rsidR="004C06D8">
        <w:rPr>
          <w:rFonts w:ascii="Times New Roman" w:hAnsi="Times New Roman" w:cs="Times New Roman"/>
          <w:sz w:val="24"/>
          <w:szCs w:val="24"/>
          <w:lang w:val="en-US"/>
        </w:rPr>
        <w:t xml:space="preserve"> and </w:t>
      </w:r>
      <w:r w:rsidR="00693E08">
        <w:rPr>
          <w:rFonts w:ascii="Times New Roman" w:hAnsi="Times New Roman" w:cs="Times New Roman"/>
          <w:sz w:val="24"/>
          <w:szCs w:val="24"/>
          <w:lang w:val="en-US"/>
        </w:rPr>
        <w:t>“</w:t>
      </w:r>
      <w:r w:rsidR="004C06D8">
        <w:rPr>
          <w:rFonts w:ascii="Times New Roman" w:hAnsi="Times New Roman" w:cs="Times New Roman"/>
          <w:sz w:val="24"/>
          <w:szCs w:val="24"/>
          <w:lang w:val="en-US"/>
        </w:rPr>
        <w:t>actions</w:t>
      </w:r>
      <w:r w:rsidR="00693E08">
        <w:rPr>
          <w:rFonts w:ascii="Times New Roman" w:hAnsi="Times New Roman" w:cs="Times New Roman"/>
          <w:sz w:val="24"/>
          <w:szCs w:val="24"/>
          <w:lang w:val="en-US"/>
        </w:rPr>
        <w:t>” understood</w:t>
      </w:r>
      <w:r w:rsidR="004C06D8">
        <w:rPr>
          <w:rFonts w:ascii="Times New Roman" w:hAnsi="Times New Roman" w:cs="Times New Roman"/>
          <w:sz w:val="24"/>
          <w:szCs w:val="24"/>
          <w:lang w:val="en-US"/>
        </w:rPr>
        <w:t xml:space="preserve"> as responses to norms</w:t>
      </w:r>
      <w:r w:rsidR="00EE370E">
        <w:rPr>
          <w:rFonts w:ascii="Times New Roman" w:hAnsi="Times New Roman" w:cs="Times New Roman"/>
          <w:sz w:val="24"/>
          <w:szCs w:val="24"/>
          <w:lang w:val="en-US"/>
        </w:rPr>
        <w:t xml:space="preserve"> (</w:t>
      </w:r>
      <w:r w:rsidR="00310271">
        <w:rPr>
          <w:rFonts w:ascii="Times New Roman" w:hAnsi="Times New Roman" w:cs="Times New Roman"/>
          <w:sz w:val="24"/>
          <w:szCs w:val="24"/>
          <w:lang w:val="en-US"/>
        </w:rPr>
        <w:t xml:space="preserve">i.e., </w:t>
      </w:r>
      <w:r w:rsidR="00EE370E">
        <w:rPr>
          <w:rFonts w:ascii="Times New Roman" w:hAnsi="Times New Roman" w:cs="Times New Roman"/>
          <w:sz w:val="24"/>
          <w:szCs w:val="24"/>
          <w:lang w:val="en-US"/>
        </w:rPr>
        <w:t>as a sui generis concept</w:t>
      </w:r>
      <w:r w:rsidR="004C06D8">
        <w:rPr>
          <w:rFonts w:ascii="Times New Roman" w:hAnsi="Times New Roman" w:cs="Times New Roman"/>
          <w:sz w:val="24"/>
          <w:szCs w:val="24"/>
          <w:lang w:val="en-US"/>
        </w:rPr>
        <w:t>, which</w:t>
      </w:r>
      <w:r w:rsidR="00EE370E">
        <w:rPr>
          <w:rFonts w:ascii="Times New Roman" w:hAnsi="Times New Roman" w:cs="Times New Roman"/>
          <w:sz w:val="24"/>
          <w:szCs w:val="24"/>
          <w:lang w:val="en-US"/>
        </w:rPr>
        <w:t xml:space="preserve"> </w:t>
      </w:r>
      <w:r w:rsidR="007E4B94">
        <w:rPr>
          <w:rFonts w:ascii="Times New Roman" w:hAnsi="Times New Roman" w:cs="Times New Roman"/>
          <w:sz w:val="24"/>
          <w:szCs w:val="24"/>
          <w:lang w:val="en-US"/>
        </w:rPr>
        <w:t xml:space="preserve">do not stand to the concept of </w:t>
      </w:r>
      <w:r w:rsidR="00310271">
        <w:rPr>
          <w:rFonts w:ascii="Times New Roman" w:hAnsi="Times New Roman" w:cs="Times New Roman"/>
          <w:sz w:val="24"/>
          <w:szCs w:val="24"/>
          <w:lang w:val="en-US"/>
        </w:rPr>
        <w:t>“</w:t>
      </w:r>
      <w:r w:rsidR="007E4B94">
        <w:rPr>
          <w:rFonts w:ascii="Times New Roman" w:hAnsi="Times New Roman" w:cs="Times New Roman"/>
          <w:sz w:val="24"/>
          <w:szCs w:val="24"/>
          <w:lang w:val="en-US"/>
        </w:rPr>
        <w:t>event</w:t>
      </w:r>
      <w:r w:rsidR="00310271">
        <w:rPr>
          <w:rFonts w:ascii="Times New Roman" w:hAnsi="Times New Roman" w:cs="Times New Roman"/>
          <w:sz w:val="24"/>
          <w:szCs w:val="24"/>
          <w:lang w:val="en-US"/>
        </w:rPr>
        <w:t>”</w:t>
      </w:r>
      <w:r w:rsidR="007E4B94">
        <w:rPr>
          <w:rFonts w:ascii="Times New Roman" w:hAnsi="Times New Roman" w:cs="Times New Roman"/>
          <w:sz w:val="24"/>
          <w:szCs w:val="24"/>
          <w:lang w:val="en-US"/>
        </w:rPr>
        <w:t xml:space="preserve"> </w:t>
      </w:r>
      <w:r w:rsidR="00310271">
        <w:rPr>
          <w:rFonts w:ascii="Times New Roman" w:hAnsi="Times New Roman" w:cs="Times New Roman"/>
          <w:sz w:val="24"/>
          <w:szCs w:val="24"/>
          <w:lang w:val="en-US"/>
        </w:rPr>
        <w:t xml:space="preserve"> as a species to its genus, in the way in which, for example, </w:t>
      </w:r>
      <w:r w:rsidR="007E4B94">
        <w:rPr>
          <w:rFonts w:ascii="Times New Roman" w:hAnsi="Times New Roman" w:cs="Times New Roman"/>
          <w:sz w:val="24"/>
          <w:szCs w:val="24"/>
          <w:lang w:val="en-US"/>
        </w:rPr>
        <w:t>t</w:t>
      </w:r>
      <w:r w:rsidR="003C373A">
        <w:rPr>
          <w:rFonts w:ascii="Times New Roman" w:hAnsi="Times New Roman" w:cs="Times New Roman"/>
          <w:sz w:val="24"/>
          <w:szCs w:val="24"/>
          <w:lang w:val="en-US"/>
        </w:rPr>
        <w:t>he species</w:t>
      </w:r>
      <w:r w:rsidR="007E4B94">
        <w:rPr>
          <w:rFonts w:ascii="Times New Roman" w:hAnsi="Times New Roman" w:cs="Times New Roman"/>
          <w:sz w:val="24"/>
          <w:szCs w:val="24"/>
          <w:lang w:val="en-US"/>
        </w:rPr>
        <w:t xml:space="preserve"> </w:t>
      </w:r>
      <w:r w:rsidR="00310271">
        <w:rPr>
          <w:rFonts w:ascii="Times New Roman" w:hAnsi="Times New Roman" w:cs="Times New Roman"/>
          <w:sz w:val="24"/>
          <w:szCs w:val="24"/>
          <w:lang w:val="en-US"/>
        </w:rPr>
        <w:t>“</w:t>
      </w:r>
      <w:r w:rsidR="007E4B94" w:rsidRPr="00310271">
        <w:rPr>
          <w:rFonts w:ascii="Times New Roman" w:hAnsi="Times New Roman" w:cs="Times New Roman"/>
          <w:sz w:val="24"/>
          <w:szCs w:val="24"/>
          <w:lang w:val="en-US"/>
        </w:rPr>
        <w:t>cow</w:t>
      </w:r>
      <w:r w:rsidR="00310271">
        <w:rPr>
          <w:rFonts w:ascii="Times New Roman" w:hAnsi="Times New Roman" w:cs="Times New Roman"/>
          <w:sz w:val="24"/>
          <w:szCs w:val="24"/>
          <w:lang w:val="en-US"/>
        </w:rPr>
        <w:t>”</w:t>
      </w:r>
      <w:r w:rsidR="007E4B94">
        <w:rPr>
          <w:rFonts w:ascii="Times New Roman" w:hAnsi="Times New Roman" w:cs="Times New Roman"/>
          <w:sz w:val="24"/>
          <w:szCs w:val="24"/>
          <w:lang w:val="en-US"/>
        </w:rPr>
        <w:t xml:space="preserve"> </w:t>
      </w:r>
      <w:r w:rsidR="003C373A">
        <w:rPr>
          <w:rFonts w:ascii="Times New Roman" w:hAnsi="Times New Roman" w:cs="Times New Roman"/>
          <w:sz w:val="24"/>
          <w:szCs w:val="24"/>
          <w:lang w:val="en-US"/>
        </w:rPr>
        <w:t>stands to</w:t>
      </w:r>
      <w:r w:rsidR="007E4B94">
        <w:rPr>
          <w:rFonts w:ascii="Times New Roman" w:hAnsi="Times New Roman" w:cs="Times New Roman"/>
          <w:sz w:val="24"/>
          <w:szCs w:val="24"/>
          <w:lang w:val="en-US"/>
        </w:rPr>
        <w:t xml:space="preserve"> t</w:t>
      </w:r>
      <w:r w:rsidR="003C373A">
        <w:rPr>
          <w:rFonts w:ascii="Times New Roman" w:hAnsi="Times New Roman" w:cs="Times New Roman"/>
          <w:sz w:val="24"/>
          <w:szCs w:val="24"/>
          <w:lang w:val="en-US"/>
        </w:rPr>
        <w:t>he genus</w:t>
      </w:r>
      <w:r w:rsidR="007E4B94">
        <w:rPr>
          <w:rFonts w:ascii="Times New Roman" w:hAnsi="Times New Roman" w:cs="Times New Roman"/>
          <w:sz w:val="24"/>
          <w:szCs w:val="24"/>
          <w:lang w:val="en-US"/>
        </w:rPr>
        <w:t xml:space="preserve"> </w:t>
      </w:r>
      <w:r w:rsidR="00310271">
        <w:rPr>
          <w:rFonts w:ascii="Times New Roman" w:hAnsi="Times New Roman" w:cs="Times New Roman"/>
          <w:sz w:val="24"/>
          <w:szCs w:val="24"/>
          <w:lang w:val="en-US"/>
        </w:rPr>
        <w:t>“</w:t>
      </w:r>
      <w:r w:rsidR="007E4B94" w:rsidRPr="00310271">
        <w:rPr>
          <w:rFonts w:ascii="Times New Roman" w:hAnsi="Times New Roman" w:cs="Times New Roman"/>
          <w:sz w:val="24"/>
          <w:szCs w:val="24"/>
          <w:lang w:val="en-US"/>
        </w:rPr>
        <w:t>mammal</w:t>
      </w:r>
      <w:r w:rsidR="00310271">
        <w:rPr>
          <w:rFonts w:ascii="Times New Roman" w:hAnsi="Times New Roman" w:cs="Times New Roman"/>
          <w:sz w:val="24"/>
          <w:szCs w:val="24"/>
          <w:lang w:val="en-US"/>
        </w:rPr>
        <w:t>”</w:t>
      </w:r>
      <w:r w:rsidR="00EE370E">
        <w:rPr>
          <w:rFonts w:ascii="Times New Roman" w:hAnsi="Times New Roman" w:cs="Times New Roman"/>
          <w:sz w:val="24"/>
          <w:szCs w:val="24"/>
          <w:lang w:val="en-US"/>
        </w:rPr>
        <w:t>)</w:t>
      </w:r>
      <w:r w:rsidR="004C06D8">
        <w:rPr>
          <w:rFonts w:ascii="Times New Roman" w:hAnsi="Times New Roman" w:cs="Times New Roman"/>
          <w:sz w:val="24"/>
          <w:szCs w:val="24"/>
          <w:lang w:val="en-US"/>
        </w:rPr>
        <w:t>. Abolishing the distinction</w:t>
      </w:r>
      <w:r w:rsidR="00EE370E">
        <w:rPr>
          <w:rFonts w:ascii="Times New Roman" w:hAnsi="Times New Roman" w:cs="Times New Roman"/>
          <w:sz w:val="24"/>
          <w:szCs w:val="24"/>
          <w:lang w:val="en-US"/>
        </w:rPr>
        <w:t xml:space="preserve"> between these two senses of the term </w:t>
      </w:r>
      <w:r w:rsidR="00693E08">
        <w:rPr>
          <w:rFonts w:ascii="Times New Roman" w:hAnsi="Times New Roman" w:cs="Times New Roman"/>
          <w:sz w:val="24"/>
          <w:szCs w:val="24"/>
          <w:lang w:val="en-US"/>
        </w:rPr>
        <w:t>“</w:t>
      </w:r>
      <w:r w:rsidR="00EE370E">
        <w:rPr>
          <w:rFonts w:ascii="Times New Roman" w:hAnsi="Times New Roman" w:cs="Times New Roman"/>
          <w:sz w:val="24"/>
          <w:szCs w:val="24"/>
          <w:lang w:val="en-US"/>
        </w:rPr>
        <w:t>action</w:t>
      </w:r>
      <w:r w:rsidR="00693E08">
        <w:rPr>
          <w:rFonts w:ascii="Times New Roman" w:hAnsi="Times New Roman" w:cs="Times New Roman"/>
          <w:sz w:val="24"/>
          <w:szCs w:val="24"/>
          <w:lang w:val="en-US"/>
        </w:rPr>
        <w:t>”</w:t>
      </w:r>
      <w:r w:rsidR="00EE370E">
        <w:rPr>
          <w:rFonts w:ascii="Times New Roman" w:hAnsi="Times New Roman" w:cs="Times New Roman"/>
          <w:sz w:val="24"/>
          <w:szCs w:val="24"/>
          <w:lang w:val="en-US"/>
        </w:rPr>
        <w:t xml:space="preserve"> is to fail to see the difference between abiding by a norm and following a </w:t>
      </w:r>
      <w:r w:rsidR="00693E08">
        <w:rPr>
          <w:rFonts w:ascii="Times New Roman" w:hAnsi="Times New Roman" w:cs="Times New Roman"/>
          <w:sz w:val="24"/>
          <w:szCs w:val="24"/>
          <w:lang w:val="en-US"/>
        </w:rPr>
        <w:t>(</w:t>
      </w:r>
      <w:r w:rsidR="00EE370E">
        <w:rPr>
          <w:rFonts w:ascii="Times New Roman" w:hAnsi="Times New Roman" w:cs="Times New Roman"/>
          <w:sz w:val="24"/>
          <w:szCs w:val="24"/>
          <w:lang w:val="en-US"/>
        </w:rPr>
        <w:t>natural</w:t>
      </w:r>
      <w:r w:rsidR="00693E08">
        <w:rPr>
          <w:rFonts w:ascii="Times New Roman" w:hAnsi="Times New Roman" w:cs="Times New Roman"/>
          <w:sz w:val="24"/>
          <w:szCs w:val="24"/>
          <w:lang w:val="en-US"/>
        </w:rPr>
        <w:t>)</w:t>
      </w:r>
      <w:r w:rsidR="00EE370E">
        <w:rPr>
          <w:rFonts w:ascii="Times New Roman" w:hAnsi="Times New Roman" w:cs="Times New Roman"/>
          <w:sz w:val="24"/>
          <w:szCs w:val="24"/>
          <w:lang w:val="en-US"/>
        </w:rPr>
        <w:t xml:space="preserve"> law.</w:t>
      </w:r>
    </w:p>
    <w:p w14:paraId="56700E60" w14:textId="3F45FE3D" w:rsidR="004C6512" w:rsidRPr="00141344" w:rsidRDefault="00442D3D" w:rsidP="00CA35E7">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XY.2. T</w:t>
      </w:r>
      <w:r w:rsidR="00991F61" w:rsidRPr="00141344">
        <w:rPr>
          <w:rFonts w:ascii="Times New Roman" w:hAnsi="Times New Roman" w:cs="Times New Roman"/>
          <w:b/>
          <w:bCs/>
          <w:sz w:val="24"/>
          <w:szCs w:val="24"/>
          <w:lang w:val="en-US"/>
        </w:rPr>
        <w:t>he Hempelian challenge</w:t>
      </w:r>
    </w:p>
    <w:p w14:paraId="0CE952E7" w14:textId="77777777" w:rsidR="002B5788" w:rsidRDefault="00991F61" w:rsidP="00CA35E7">
      <w:pPr>
        <w:spacing w:after="0" w:line="360" w:lineRule="auto"/>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The possibility of a distinctive type of humanistic explanation that differs in kind from explanations in the natural sciences was a hotly disputed issue in mid-twentieth century philosophy. The debate for and against methodological unity in the sciences was reignited by the publication of Hempel’s influential 1942 paper “The Function of General Laws in History”, where he argued that humanistic explanations are not different in kind from scientific explanations because, appearances notwithstanding, they share the same logical form or structure. The battle for and against methodological unity in the sciences was by and large fought out on the turf of the philosophy of history, not least because the example used by Hempel to undermine the irreducibility of humanistic explanations was lifted from the pages of a historical text. Hempel’s famous example was that of dust bowl farmers who were said to have migrated because of deteriorating living conditions. Hempel’s claim was that such an historical explanation was not different in kind from the nomological explanations used in the natural sciences because it covertly relies on the general law “populations will tend to migrate when living conditions deteriorate”. Historical explanations are incomplete nomological explanations, or “explanation sketches” which, when filled in or duly completed, are revealed to be nomological explanations which are not different in kind from explanations used in the natural sciences to account for natural events such as volcanic explosions </w:t>
      </w:r>
      <w:r w:rsidR="002B5788">
        <w:rPr>
          <w:rFonts w:ascii="Times New Roman" w:hAnsi="Times New Roman" w:cs="Times New Roman"/>
          <w:sz w:val="24"/>
          <w:szCs w:val="24"/>
          <w:lang w:val="en-US"/>
        </w:rPr>
        <w:t>or solar eclipses.</w:t>
      </w:r>
    </w:p>
    <w:p w14:paraId="6248DB82" w14:textId="1A8D9484" w:rsidR="00743CA2" w:rsidRPr="00141344" w:rsidRDefault="002B5788"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Hempel’s challenge w</w:t>
      </w:r>
      <w:r w:rsidR="00757DF9">
        <w:rPr>
          <w:rFonts w:ascii="Times New Roman" w:hAnsi="Times New Roman" w:cs="Times New Roman"/>
          <w:sz w:val="24"/>
          <w:szCs w:val="24"/>
          <w:lang w:val="en-US"/>
        </w:rPr>
        <w:t>as picked up by W.H. Dray (1957,</w:t>
      </w:r>
      <w:r w:rsidR="00991F61" w:rsidRPr="00141344">
        <w:rPr>
          <w:rFonts w:ascii="Times New Roman" w:hAnsi="Times New Roman" w:cs="Times New Roman"/>
          <w:sz w:val="24"/>
          <w:szCs w:val="24"/>
          <w:lang w:val="en-US"/>
        </w:rPr>
        <w:t xml:space="preserve"> 1963</w:t>
      </w:r>
      <w:r w:rsidR="00757DF9">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1964) who mobilized Collingwood’s argument for the autonomy of historical explanation against Hempel’s claim for methodological unity. Historical explanations, Dray argued, are not incomplete nomological explanations, as Hempel thought, but complete explanations of a different kind. In a nomological explanation the explanandum is the conclusion of an inductive argument. The fact of water freezing, for example, is explained by pointing out that this is what </w:t>
      </w:r>
      <w:r w:rsidR="00991F61" w:rsidRPr="00141344">
        <w:rPr>
          <w:rFonts w:ascii="Times New Roman" w:hAnsi="Times New Roman" w:cs="Times New Roman"/>
          <w:sz w:val="24"/>
          <w:szCs w:val="24"/>
          <w:lang w:val="en-US"/>
        </w:rPr>
        <w:lastRenderedPageBreak/>
        <w:t xml:space="preserve">normally happens when the temperature drops below 0°C. The explanandum is inferred from a general law (if the temperature drops below 0°C water freezes) and certain antecedent conditions (the dropping of the temperature). In historical explanations, by contrast, the explanandum is the conclusion of a practical argument, not of an inductive one. When explained </w:t>
      </w:r>
      <w:r w:rsidR="00991F61" w:rsidRPr="00141344">
        <w:rPr>
          <w:rFonts w:ascii="Times New Roman" w:hAnsi="Times New Roman" w:cs="Times New Roman"/>
          <w:i/>
          <w:iCs/>
          <w:sz w:val="24"/>
          <w:szCs w:val="24"/>
          <w:lang w:val="en-US"/>
        </w:rPr>
        <w:t>historically</w:t>
      </w:r>
      <w:r w:rsidR="00991F61" w:rsidRPr="00141344">
        <w:rPr>
          <w:rFonts w:ascii="Times New Roman" w:hAnsi="Times New Roman" w:cs="Times New Roman"/>
          <w:sz w:val="24"/>
          <w:szCs w:val="24"/>
          <w:lang w:val="en-US"/>
        </w:rPr>
        <w:t xml:space="preserve">, the migration of the dust bowl farmers is presented as the result of a reasoning process in which the conclusion (the migration) is the logical or rational thing to do. Just as in Aristotle’s practical syllogism, the conclusion that eating chicken is good is rationally entailed by the premises that chicken is light meat, and that eating light meat is good for you, so here the migration of the dust bowl farmers is presented (in the context of a historical explanation) as the reasonable conclusion of the argument that it is better to migrate where living conditions are more </w:t>
      </w:r>
      <w:r w:rsidR="00164BF1" w:rsidRPr="00141344">
        <w:rPr>
          <w:rFonts w:ascii="Times New Roman" w:hAnsi="Times New Roman" w:cs="Times New Roman"/>
          <w:sz w:val="24"/>
          <w:szCs w:val="24"/>
          <w:lang w:val="en-US"/>
        </w:rPr>
        <w:t>favorable</w:t>
      </w:r>
      <w:r w:rsidR="00991F61" w:rsidRPr="00141344">
        <w:rPr>
          <w:rFonts w:ascii="Times New Roman" w:hAnsi="Times New Roman" w:cs="Times New Roman"/>
          <w:sz w:val="24"/>
          <w:szCs w:val="24"/>
          <w:lang w:val="en-US"/>
        </w:rPr>
        <w:t xml:space="preserve"> to the sustenance of life. Humanistic explanations differ from scientific explanations </w:t>
      </w:r>
      <w:r w:rsidR="00991F61" w:rsidRPr="00141344">
        <w:rPr>
          <w:rFonts w:ascii="Times New Roman" w:hAnsi="Times New Roman" w:cs="Times New Roman"/>
          <w:i/>
          <w:iCs/>
          <w:sz w:val="24"/>
          <w:szCs w:val="24"/>
          <w:lang w:val="en-US"/>
        </w:rPr>
        <w:t>not</w:t>
      </w:r>
      <w:r w:rsidR="00991F61" w:rsidRPr="00141344">
        <w:rPr>
          <w:rFonts w:ascii="Times New Roman" w:hAnsi="Times New Roman" w:cs="Times New Roman"/>
          <w:sz w:val="24"/>
          <w:szCs w:val="24"/>
          <w:lang w:val="en-US"/>
        </w:rPr>
        <w:t xml:space="preserve"> because they are incomplete nomological explanations or explanation sketches, as Hempel argued, but because they are complete explanations of a different kind; they are normative explanations which account for what agents do by invoking what they </w:t>
      </w:r>
      <w:r w:rsidR="00991F61" w:rsidRPr="00141344">
        <w:rPr>
          <w:rFonts w:ascii="Times New Roman" w:hAnsi="Times New Roman" w:cs="Times New Roman"/>
          <w:i/>
          <w:iCs/>
          <w:sz w:val="24"/>
          <w:szCs w:val="24"/>
          <w:lang w:val="en-US"/>
        </w:rPr>
        <w:t>ought</w:t>
      </w:r>
      <w:r w:rsidR="00991F61" w:rsidRPr="00141344">
        <w:rPr>
          <w:rFonts w:ascii="Times New Roman" w:hAnsi="Times New Roman" w:cs="Times New Roman"/>
          <w:sz w:val="24"/>
          <w:szCs w:val="24"/>
          <w:lang w:val="en-US"/>
        </w:rPr>
        <w:t xml:space="preserve"> to do if they act </w:t>
      </w:r>
      <w:commentRangeStart w:id="2"/>
      <w:commentRangeStart w:id="3"/>
      <w:r w:rsidR="00991F61" w:rsidRPr="00141344">
        <w:rPr>
          <w:rFonts w:ascii="Times New Roman" w:hAnsi="Times New Roman" w:cs="Times New Roman"/>
          <w:sz w:val="24"/>
          <w:szCs w:val="24"/>
          <w:lang w:val="en-US"/>
        </w:rPr>
        <w:t>reasonably</w:t>
      </w:r>
      <w:commentRangeEnd w:id="2"/>
      <w:r w:rsidR="00966E52">
        <w:rPr>
          <w:rStyle w:val="CommentReference"/>
        </w:rPr>
        <w:commentReference w:id="2"/>
      </w:r>
      <w:commentRangeEnd w:id="3"/>
      <w:r w:rsidR="00966E52">
        <w:rPr>
          <w:rStyle w:val="CommentReference"/>
        </w:rPr>
        <w:commentReference w:id="3"/>
      </w:r>
      <w:r w:rsidR="00991F61" w:rsidRPr="00141344">
        <w:rPr>
          <w:rFonts w:ascii="Times New Roman" w:hAnsi="Times New Roman" w:cs="Times New Roman"/>
          <w:sz w:val="24"/>
          <w:szCs w:val="24"/>
          <w:lang w:val="en-US"/>
        </w:rPr>
        <w:t>.</w:t>
      </w:r>
      <w:r w:rsidR="00743CA2">
        <w:rPr>
          <w:rFonts w:ascii="Times New Roman" w:hAnsi="Times New Roman" w:cs="Times New Roman"/>
          <w:sz w:val="24"/>
          <w:szCs w:val="24"/>
          <w:lang w:val="en-US"/>
        </w:rPr>
        <w:t xml:space="preserve"> </w:t>
      </w:r>
    </w:p>
    <w:p w14:paraId="085D32A2" w14:textId="75A766B7" w:rsidR="004C6512" w:rsidRPr="00141344" w:rsidRDefault="00164BF1"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Dray’s criticism of Hempel exposed the claim for methodological unity in the sciences as resting on a failure to distinguish between what Collingwood took to be the categories of Acti</w:t>
      </w:r>
      <w:r w:rsidR="005C5919">
        <w:rPr>
          <w:rFonts w:ascii="Times New Roman" w:hAnsi="Times New Roman" w:cs="Times New Roman"/>
          <w:sz w:val="24"/>
          <w:szCs w:val="24"/>
          <w:lang w:val="en-US"/>
        </w:rPr>
        <w:t>ons and Events (cf. Collingwood</w:t>
      </w:r>
      <w:r w:rsidR="00991F61" w:rsidRPr="00141344">
        <w:rPr>
          <w:rFonts w:ascii="Times New Roman" w:hAnsi="Times New Roman" w:cs="Times New Roman"/>
          <w:sz w:val="24"/>
          <w:szCs w:val="24"/>
          <w:lang w:val="en-US"/>
        </w:rPr>
        <w:t xml:space="preserve"> 1966: Part V, </w:t>
      </w:r>
      <w:proofErr w:type="spellStart"/>
      <w:r w:rsidR="00991F61" w:rsidRPr="00141344">
        <w:rPr>
          <w:rFonts w:ascii="Times New Roman" w:hAnsi="Times New Roman" w:cs="Times New Roman"/>
          <w:sz w:val="24"/>
          <w:szCs w:val="24"/>
          <w:lang w:val="en-US"/>
        </w:rPr>
        <w:t>Epilegomena</w:t>
      </w:r>
      <w:proofErr w:type="spellEnd"/>
      <w:r w:rsidR="00991F61" w:rsidRPr="00141344">
        <w:rPr>
          <w:rFonts w:ascii="Times New Roman" w:hAnsi="Times New Roman" w:cs="Times New Roman"/>
          <w:sz w:val="24"/>
          <w:szCs w:val="24"/>
          <w:lang w:val="en-US"/>
        </w:rPr>
        <w:t xml:space="preserve">). Actions (which he took to be the distinctive subject matter of history) are the correlative of normative/rationalizing explanations; humanistic explanations have a distinctive explanandum because they have a sui generis method that differs from the nomological explanations in natural science where the explanandum is Events (including human bodily movements understood as mere </w:t>
      </w:r>
      <w:r w:rsidR="005C5919"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 From Collingwood’s perspective the claim for methodological unity in the sciences was based on a category mistake (the conflation of the category of action and that of event) which arises when one fails to discern the different senses that the term cause/because possesses in different explanatory conte</w:t>
      </w:r>
      <w:r w:rsidR="005C5919">
        <w:rPr>
          <w:rFonts w:ascii="Times New Roman" w:hAnsi="Times New Roman" w:cs="Times New Roman"/>
          <w:sz w:val="24"/>
          <w:szCs w:val="24"/>
          <w:lang w:val="en-US"/>
        </w:rPr>
        <w:t>xts (cf. Collingwood</w:t>
      </w:r>
      <w:r w:rsidR="00991F61" w:rsidRPr="00141344">
        <w:rPr>
          <w:rFonts w:ascii="Times New Roman" w:hAnsi="Times New Roman" w:cs="Times New Roman"/>
          <w:sz w:val="24"/>
          <w:szCs w:val="24"/>
          <w:lang w:val="en-US"/>
        </w:rPr>
        <w:t xml:space="preserve"> 1940: 285ff.)</w:t>
      </w:r>
      <w:r w:rsidR="005C5919">
        <w:rPr>
          <w:rFonts w:ascii="Times New Roman" w:hAnsi="Times New Roman" w:cs="Times New Roman"/>
          <w:sz w:val="24"/>
          <w:szCs w:val="24"/>
          <w:lang w:val="en-US"/>
        </w:rPr>
        <w:t>.</w:t>
      </w:r>
    </w:p>
    <w:p w14:paraId="7A6C1869" w14:textId="21DB2F9C" w:rsidR="004C6512" w:rsidRPr="00141344" w:rsidRDefault="005C5919"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The Hempelian challenge to the claim that there is a sui generis form of action explanation did not deny the legitimacy of notions such as beliefs and desires; it rather co-opted them in the context of nomological explanations: just as the dropping of the temperature can, together with the general law that water freezes at 0°C, be used to explain why the water in a bucket froze overnight, so (for Hempel) beliefs and desires can be deployed in the context of nomological explanations to explain, for example, why the water froze when the temperature dropped. This attempt to co-opt propositional attitudes such as </w:t>
      </w:r>
      <w:r w:rsidR="00991F61" w:rsidRPr="00141344">
        <w:rPr>
          <w:rFonts w:ascii="Times New Roman" w:hAnsi="Times New Roman" w:cs="Times New Roman"/>
          <w:sz w:val="24"/>
          <w:szCs w:val="24"/>
          <w:lang w:val="en-US"/>
        </w:rPr>
        <w:lastRenderedPageBreak/>
        <w:t xml:space="preserve">beliefs and desires in the context of nomological explanations was however premised on the mistaken assumption that the relation between the explanans and the explanandum in an action explanation is an empirical connection that is established by observation and inductive generalization, rather than a conceptual connection. But reasons for actions, for Collingwood and Dray, are not Humean causes that are temporally prior to, and logically independent of, their effect: how one rationalizes the action determines what kind of action it is. Whether a person opening a window is “letting air in” or “letting a fly out” is not logically independent of how the action is rationalized. Because action explanations are rationalizations, they resist assimilation in a naturalistic picture in which they are presented as essentially types of events which are caused by antecedent conditions of a particular (internal) kind. As a contemporary </w:t>
      </w:r>
      <w:proofErr w:type="spellStart"/>
      <w:r w:rsidR="00991F61" w:rsidRPr="00141344">
        <w:rPr>
          <w:rFonts w:ascii="Times New Roman" w:hAnsi="Times New Roman" w:cs="Times New Roman"/>
          <w:sz w:val="24"/>
          <w:szCs w:val="24"/>
          <w:lang w:val="en-US"/>
        </w:rPr>
        <w:t>causalist</w:t>
      </w:r>
      <w:proofErr w:type="spellEnd"/>
      <w:r w:rsidR="00991F61" w:rsidRPr="00141344">
        <w:rPr>
          <w:rFonts w:ascii="Times New Roman" w:hAnsi="Times New Roman" w:cs="Times New Roman"/>
          <w:sz w:val="24"/>
          <w:szCs w:val="24"/>
          <w:lang w:val="en-US"/>
        </w:rPr>
        <w:t xml:space="preserve"> such as Albert Mele</w:t>
      </w:r>
      <w:r>
        <w:rPr>
          <w:rFonts w:ascii="Times New Roman" w:hAnsi="Times New Roman" w:cs="Times New Roman"/>
          <w:sz w:val="24"/>
          <w:szCs w:val="24"/>
          <w:lang w:val="en-US"/>
        </w:rPr>
        <w:t xml:space="preserve"> (2000: 279)</w:t>
      </w:r>
      <w:r w:rsidR="00991F61" w:rsidRPr="00141344">
        <w:rPr>
          <w:rFonts w:ascii="Times New Roman" w:hAnsi="Times New Roman" w:cs="Times New Roman"/>
          <w:sz w:val="24"/>
          <w:szCs w:val="24"/>
          <w:lang w:val="en-US"/>
        </w:rPr>
        <w:t xml:space="preserve"> would put it, “our a</w:t>
      </w:r>
      <w:r>
        <w:rPr>
          <w:rFonts w:ascii="Times New Roman" w:hAnsi="Times New Roman" w:cs="Times New Roman"/>
          <w:sz w:val="24"/>
          <w:szCs w:val="24"/>
          <w:lang w:val="en-US"/>
        </w:rPr>
        <w:t>ctions are, essentially events [...]</w:t>
      </w:r>
      <w:r w:rsidR="00991F61" w:rsidRPr="00141344">
        <w:rPr>
          <w:rFonts w:ascii="Times New Roman" w:hAnsi="Times New Roman" w:cs="Times New Roman"/>
          <w:sz w:val="24"/>
          <w:szCs w:val="24"/>
          <w:lang w:val="en-US"/>
        </w:rPr>
        <w:t xml:space="preserve"> that are suitably caused by mental items, or neural realizations of those items</w:t>
      </w:r>
      <w:r>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From Collingwood and Dray’s perspective, actions are not events because they are the correlative of different kinds of </w:t>
      </w:r>
      <w:commentRangeStart w:id="4"/>
      <w:commentRangeStart w:id="5"/>
      <w:r w:rsidR="00991F61" w:rsidRPr="00141344">
        <w:rPr>
          <w:rFonts w:ascii="Times New Roman" w:hAnsi="Times New Roman" w:cs="Times New Roman"/>
          <w:sz w:val="24"/>
          <w:szCs w:val="24"/>
          <w:lang w:val="en-US"/>
        </w:rPr>
        <w:t>explanations</w:t>
      </w:r>
      <w:commentRangeEnd w:id="4"/>
      <w:r w:rsidR="005C427C">
        <w:rPr>
          <w:rStyle w:val="CommentReference"/>
        </w:rPr>
        <w:commentReference w:id="4"/>
      </w:r>
      <w:commentRangeEnd w:id="5"/>
      <w:r w:rsidR="005C427C">
        <w:rPr>
          <w:rStyle w:val="CommentReference"/>
        </w:rPr>
        <w:commentReference w:id="5"/>
      </w:r>
      <w:r w:rsidR="00991F61" w:rsidRPr="00141344">
        <w:rPr>
          <w:rFonts w:ascii="Times New Roman" w:hAnsi="Times New Roman" w:cs="Times New Roman"/>
          <w:sz w:val="24"/>
          <w:szCs w:val="24"/>
          <w:lang w:val="en-US"/>
        </w:rPr>
        <w:t>;</w:t>
      </w:r>
      <w:r w:rsidR="00101BA5">
        <w:rPr>
          <w:rFonts w:ascii="Times New Roman" w:hAnsi="Times New Roman" w:cs="Times New Roman"/>
          <w:sz w:val="24"/>
          <w:szCs w:val="24"/>
          <w:lang w:val="en-US"/>
        </w:rPr>
        <w:t xml:space="preserve"> </w:t>
      </w:r>
      <w:r w:rsidR="00991F61" w:rsidRPr="00141344">
        <w:rPr>
          <w:rFonts w:ascii="Times New Roman" w:hAnsi="Times New Roman" w:cs="Times New Roman"/>
          <w:sz w:val="24"/>
          <w:szCs w:val="24"/>
          <w:lang w:val="en-US"/>
        </w:rPr>
        <w:t>the claim that actions are events, or a species of events (events which are the effects of internal rather than external causes) rests on a conflation of two distinct meanings of the term “because”.</w:t>
      </w:r>
      <w:r w:rsidR="00991F61" w:rsidRPr="00141344">
        <w:rPr>
          <w:rStyle w:val="FootnoteReference"/>
          <w:rFonts w:ascii="Times New Roman" w:hAnsi="Times New Roman" w:cs="Times New Roman"/>
          <w:sz w:val="24"/>
          <w:szCs w:val="24"/>
          <w:lang w:val="en-US"/>
        </w:rPr>
        <w:footnoteReference w:id="1"/>
      </w:r>
      <w:r w:rsidR="00991F61" w:rsidRPr="00141344">
        <w:rPr>
          <w:rFonts w:ascii="Times New Roman" w:hAnsi="Times New Roman" w:cs="Times New Roman"/>
          <w:sz w:val="24"/>
          <w:szCs w:val="24"/>
          <w:lang w:val="en-US"/>
        </w:rPr>
        <w:t xml:space="preserve"> </w:t>
      </w:r>
    </w:p>
    <w:p w14:paraId="1FF170C1" w14:textId="20A0699E" w:rsidR="004C6512" w:rsidRPr="00141344" w:rsidRDefault="00101BA5"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Hempel’s challenge was therefore met (and undermined) by the consideration that rationalizing explanations (of Actions) are not causal/nomological explanations (of Events) because the former establish conceptual rather than empirical connections and have a normative dimension that the latter lack: even when they are used predictively, rather than retrospectively, rational explanations do not foresee future </w:t>
      </w:r>
      <w:r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 xml:space="preserve"> by subsuming it under a general psychological law, but anticipate how one would act if one acted rationally, i.e. as one ought to act in the circumstances. The historical understanding of action is therefore a matter of rendering past </w:t>
      </w:r>
      <w:r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 xml:space="preserve"> intelligible by ascribing agents a practical argument that rationalizes (in an in instrumental rather than moral sense) the action. Rationalization, to be clear, is not a historical method only in so far as it applies to the understanding of past agents. One might say, in an exact reversal of Quine’s claim that radical translation applies not only to the field linguist but also to the translator of living languages, that rationalization begins at home: it is in the same way that we understand our contemporaries, and indeed ourselves, insofar as we explain what is done qua action (cf. Collingwood 1946: 219). The divide between humanistic and historical explanations is therefore not a divide between the future-</w:t>
      </w:r>
      <w:r w:rsidR="00991F61" w:rsidRPr="00141344">
        <w:rPr>
          <w:rFonts w:ascii="Times New Roman" w:hAnsi="Times New Roman" w:cs="Times New Roman"/>
          <w:sz w:val="24"/>
          <w:szCs w:val="24"/>
          <w:lang w:val="en-US"/>
        </w:rPr>
        <w:lastRenderedPageBreak/>
        <w:t>directed explanations of science and the past-directed explanations of history, but between radically different ways of homing in on the explanandum (cf. D’Oro 2018).</w:t>
      </w:r>
    </w:p>
    <w:p w14:paraId="0F8B8FE3" w14:textId="77777777" w:rsidR="00BF1136" w:rsidRDefault="00101BA5"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One important implication of the distinction between rationalizing explanations and causal explanations as defended by Collingwood and Dray is that actions, unlike events, are identified by invoking the thoughts which they express. In so far as the description of an action requires appeal to a thought process or rationalization, understanding action requires going beyond a purely extensional context of explanation, or the description of mere bodily movements. For, after all, the same bodily movements could be the expression of different rationalizations (as in Anscombe’s </w:t>
      </w:r>
      <w:r w:rsidR="00BF1136">
        <w:rPr>
          <w:rFonts w:ascii="Times New Roman" w:hAnsi="Times New Roman" w:cs="Times New Roman"/>
          <w:sz w:val="24"/>
          <w:szCs w:val="24"/>
          <w:lang w:val="en-US"/>
        </w:rPr>
        <w:t xml:space="preserve">(1957: 41) </w:t>
      </w:r>
      <w:r w:rsidR="00991F61" w:rsidRPr="00141344">
        <w:rPr>
          <w:rFonts w:ascii="Times New Roman" w:hAnsi="Times New Roman" w:cs="Times New Roman"/>
          <w:sz w:val="24"/>
          <w:szCs w:val="24"/>
          <w:lang w:val="en-US"/>
        </w:rPr>
        <w:t xml:space="preserve">example of the man who operates a water pump: is he replenishing the water supply or poisoning the inhabitants of the house?). It is this claim, viz. the claim that the understanding of action requires going beyond a purely extensional context of explanation to expose the thought of which the action is the expression, that has given rise to the criticism that Collingwood’s </w:t>
      </w:r>
      <w:r w:rsidR="00BF1136" w:rsidRPr="00141344">
        <w:rPr>
          <w:rFonts w:ascii="Times New Roman" w:hAnsi="Times New Roman" w:cs="Times New Roman"/>
          <w:sz w:val="24"/>
          <w:szCs w:val="24"/>
          <w:lang w:val="en-US"/>
        </w:rPr>
        <w:t>defense</w:t>
      </w:r>
      <w:r w:rsidR="00991F61" w:rsidRPr="00141344">
        <w:rPr>
          <w:rFonts w:ascii="Times New Roman" w:hAnsi="Times New Roman" w:cs="Times New Roman"/>
          <w:sz w:val="24"/>
          <w:szCs w:val="24"/>
          <w:lang w:val="en-US"/>
        </w:rPr>
        <w:t xml:space="preserve"> of the autonomy of historical explanation rests on the dubious </w:t>
      </w:r>
      <w:r w:rsidR="00991F61" w:rsidRPr="00141344">
        <w:rPr>
          <w:rFonts w:ascii="Times New Roman" w:hAnsi="Times New Roman" w:cs="Times New Roman"/>
          <w:i/>
          <w:iCs/>
          <w:sz w:val="24"/>
          <w:szCs w:val="24"/>
          <w:lang w:val="en-US"/>
        </w:rPr>
        <w:t>ontological</w:t>
      </w:r>
      <w:r w:rsidR="00991F61" w:rsidRPr="00141344">
        <w:rPr>
          <w:rFonts w:ascii="Times New Roman" w:hAnsi="Times New Roman" w:cs="Times New Roman"/>
          <w:sz w:val="24"/>
          <w:szCs w:val="24"/>
          <w:lang w:val="en-US"/>
        </w:rPr>
        <w:t xml:space="preserve"> commitment to the existence of hidden mental processes (the kind that Quine is keen to eliminate) and the equally suspicious epistemological claim that historians enjoy speci</w:t>
      </w:r>
      <w:r w:rsidR="00BF1136">
        <w:rPr>
          <w:rFonts w:ascii="Times New Roman" w:hAnsi="Times New Roman" w:cs="Times New Roman"/>
          <w:sz w:val="24"/>
          <w:szCs w:val="24"/>
          <w:lang w:val="en-US"/>
        </w:rPr>
        <w:t>al epistemic powers of insight.</w:t>
      </w:r>
    </w:p>
    <w:p w14:paraId="0C7F524A" w14:textId="6C539A38" w:rsidR="004C6512" w:rsidRDefault="00BF1136"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Collingwood came to be seen as the target of Ryle’s criticism of the myth of the ghost in the machine and Collingwood’s doctrine of re-enactment, which claimed that to understand an action historically is to rethink the thoughts of historical agents, was mocked for bestowing on historians unlikely telepathic powers of acces</w:t>
      </w:r>
      <w:r w:rsidR="00827028">
        <w:rPr>
          <w:rFonts w:ascii="Times New Roman" w:hAnsi="Times New Roman" w:cs="Times New Roman"/>
          <w:sz w:val="24"/>
          <w:szCs w:val="24"/>
          <w:lang w:val="en-US"/>
        </w:rPr>
        <w:t xml:space="preserve">s to other minds (cf. Gardiner </w:t>
      </w:r>
      <w:r w:rsidR="00991F61" w:rsidRPr="00141344">
        <w:rPr>
          <w:rFonts w:ascii="Times New Roman" w:hAnsi="Times New Roman" w:cs="Times New Roman"/>
          <w:sz w:val="24"/>
          <w:szCs w:val="24"/>
          <w:lang w:val="en-US"/>
        </w:rPr>
        <w:t xml:space="preserve">1952a and 1952b: 213). Objections of this nature may have been prompted by Collingwood’s unguarded use of language, by the claim, for example, that actions have an inside which events lack (Collingwood 1946: 213). But one only needs to scratch beneath the veneer of what he writes to reveal that talk of an “inside” and of an “outside” is a highly metaphorical way of expressing the claim that we are dealing here with different kinds of explanations, with a different logical form in each case, which suit the distinctive explanatory goals of scientific and humanistic explanations. The historical meaning or significance of an action, for Collingwood, is not a psychological process of which the action is an outward manifestation in the way in which, for Locke, a word is an observable sign that stands for an idea in the mind that is inscrutable from a third person perspective. The thought context which historians should take into account are not agents’ inner states. They are the epistemic, moral, legal, aesthetic norms which formed the background of their actions. Just as to understand a character in a period novel requires suspending the rules that govern the historian’s own lives and to imaginatively reconstruct what it means to live under a different </w:t>
      </w:r>
      <w:r w:rsidR="00991F61" w:rsidRPr="00141344">
        <w:rPr>
          <w:rFonts w:ascii="Times New Roman" w:hAnsi="Times New Roman" w:cs="Times New Roman"/>
          <w:sz w:val="24"/>
          <w:szCs w:val="24"/>
          <w:lang w:val="en-US"/>
        </w:rPr>
        <w:lastRenderedPageBreak/>
        <w:t>set of expectations and demands, so to understand agents in history is to see how they responded to the rules and expectations of their world. In other words, it is to enter into what Wittgenstein called their ‘forms of life’. As Collingwood puts it:</w:t>
      </w:r>
    </w:p>
    <w:p w14:paraId="64503462" w14:textId="77777777" w:rsidR="00743372" w:rsidRPr="00141344" w:rsidRDefault="00743372" w:rsidP="00CA35E7">
      <w:pPr>
        <w:spacing w:after="0" w:line="360" w:lineRule="auto"/>
        <w:rPr>
          <w:rFonts w:ascii="Times New Roman" w:hAnsi="Times New Roman" w:cs="Times New Roman"/>
          <w:sz w:val="24"/>
          <w:szCs w:val="24"/>
          <w:lang w:val="en-US"/>
        </w:rPr>
      </w:pPr>
    </w:p>
    <w:p w14:paraId="0B84A0E0" w14:textId="77777777" w:rsidR="004C6512" w:rsidRPr="00743372" w:rsidRDefault="00991F61" w:rsidP="00743372">
      <w:pPr>
        <w:spacing w:after="0" w:line="360" w:lineRule="auto"/>
        <w:ind w:left="567" w:right="567"/>
        <w:rPr>
          <w:rFonts w:ascii="Times New Roman" w:hAnsi="Times New Roman" w:cs="Times New Roman"/>
          <w:sz w:val="20"/>
          <w:szCs w:val="24"/>
          <w:lang w:val="en-US"/>
        </w:rPr>
      </w:pPr>
      <w:r w:rsidRPr="00743372">
        <w:rPr>
          <w:rFonts w:ascii="Times New Roman" w:hAnsi="Times New Roman" w:cs="Times New Roman"/>
          <w:sz w:val="20"/>
          <w:szCs w:val="24"/>
          <w:lang w:val="en-US"/>
        </w:rPr>
        <w:t>The Historian, investigating any event in the past, makes a distinction between what may be called the outside and the inside of an event. By the outside of the event I mean everything belonging to it which can be described in terms of bodies and their movements: the passage of Caesar, accompanied by certain men, across a river called the Rubicon at one date, or the spilling of his blood on the floor of the senate house at another. By the inside of the event I mean that in it which can only be described in terms of thought: Caesar’s defiance of Republican law, or the clash of constitutional policy between himself and his assassins. The historian is never concerned with either of these to the exclusion of the other. He is investigating not mere events (where by mere events I mean one which has only an outside and no inside) but actions, and an action is the unity of the outside and inside of the event. (Collingwood 1946: 213)</w:t>
      </w:r>
    </w:p>
    <w:p w14:paraId="7A1C697E" w14:textId="77777777" w:rsidR="004C6512" w:rsidRPr="00141344" w:rsidRDefault="004C6512" w:rsidP="00CA35E7">
      <w:pPr>
        <w:spacing w:after="0" w:line="360" w:lineRule="auto"/>
        <w:ind w:left="720"/>
        <w:rPr>
          <w:rFonts w:ascii="Times New Roman" w:hAnsi="Times New Roman" w:cs="Times New Roman"/>
          <w:sz w:val="24"/>
          <w:szCs w:val="24"/>
          <w:lang w:val="en-US"/>
        </w:rPr>
      </w:pPr>
    </w:p>
    <w:p w14:paraId="2F0808DA" w14:textId="77777777" w:rsidR="004C6512" w:rsidRPr="00141344" w:rsidRDefault="00991F61" w:rsidP="00CA35E7">
      <w:pPr>
        <w:spacing w:after="0" w:line="360" w:lineRule="auto"/>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As this passage makes (abundantly) clear, the meaning of Caesar’s action, which is what historical investigation aims to uncover, is not a thought inside Caesar’s head, but is what that action signifies in relation to the norms which governed the Roman republic. To uncover what Caesar’s action means requires understanding Republican law, just as to understand the meaning of a word is to understand the grammar of the language to which it belongs, not trying to enter the speaker’s head. </w:t>
      </w:r>
    </w:p>
    <w:p w14:paraId="62485342" w14:textId="0973CB90" w:rsidR="004C6512" w:rsidRPr="00141344" w:rsidRDefault="00743372"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There is no need to commit either to the </w:t>
      </w:r>
      <w:r w:rsidR="00991F61" w:rsidRPr="00141344">
        <w:rPr>
          <w:rFonts w:ascii="Times New Roman" w:hAnsi="Times New Roman" w:cs="Times New Roman"/>
          <w:i/>
          <w:iCs/>
          <w:sz w:val="24"/>
          <w:szCs w:val="24"/>
          <w:lang w:val="en-US"/>
        </w:rPr>
        <w:t>ontological</w:t>
      </w:r>
      <w:r w:rsidR="00991F61" w:rsidRPr="00141344">
        <w:rPr>
          <w:rFonts w:ascii="Times New Roman" w:hAnsi="Times New Roman" w:cs="Times New Roman"/>
          <w:sz w:val="24"/>
          <w:szCs w:val="24"/>
          <w:lang w:val="en-US"/>
        </w:rPr>
        <w:t xml:space="preserve"> claim that there are mental processes, nor to the epistemological claim that the historian has a hot line to these thoughts, in order to distinguish the way in which explanations in the human and the natural sciences operate and the nature of their explanandum. On Collingwood’s account of Caesar’s action, the crossing of the Rubicon has a determinate meaning, which is defined by the laws of the Republic, along with what counts as an infringement of them, just as a hand gesture, such as raising one’s hand at an academic conference, in this specific context signifies the request to ask a question. Collingwood would have accepted that to understand the meaning of Caesar’s action one needs insider knowledge of the rules and regulations that applied to Roman generals under the Republic, but would have denied that to have such “insider” knowledge one needs somehow to peek into the heads of Romans, or indeed assume that the meaning of Caesar’s action is captured by an internal monologue that he recited to himself while crossing the Rubicon. Meaning or significance, so understood, is not located in the head: to grasp the significance of Caesar’s action one needs “insider” knowledge of the Roman </w:t>
      </w:r>
      <w:commentRangeStart w:id="6"/>
      <w:commentRangeStart w:id="7"/>
      <w:r w:rsidR="00991F61" w:rsidRPr="00141344">
        <w:rPr>
          <w:rFonts w:ascii="Times New Roman" w:hAnsi="Times New Roman" w:cs="Times New Roman"/>
          <w:sz w:val="24"/>
          <w:szCs w:val="24"/>
          <w:lang w:val="en-US"/>
        </w:rPr>
        <w:t>world</w:t>
      </w:r>
      <w:commentRangeEnd w:id="6"/>
      <w:r w:rsidR="00A60AD8">
        <w:rPr>
          <w:rStyle w:val="CommentReference"/>
        </w:rPr>
        <w:commentReference w:id="6"/>
      </w:r>
      <w:commentRangeEnd w:id="7"/>
      <w:r w:rsidR="00C77E88">
        <w:rPr>
          <w:rStyle w:val="CommentReference"/>
        </w:rPr>
        <w:commentReference w:id="7"/>
      </w:r>
      <w:r w:rsidR="00991F61" w:rsidRPr="00141344">
        <w:rPr>
          <w:rFonts w:ascii="Times New Roman" w:hAnsi="Times New Roman" w:cs="Times New Roman"/>
          <w:sz w:val="24"/>
          <w:szCs w:val="24"/>
          <w:lang w:val="en-US"/>
        </w:rPr>
        <w:t>,</w:t>
      </w:r>
      <w:r w:rsidR="00D54783">
        <w:rPr>
          <w:rFonts w:ascii="Times New Roman" w:hAnsi="Times New Roman" w:cs="Times New Roman"/>
          <w:sz w:val="24"/>
          <w:szCs w:val="24"/>
          <w:lang w:val="en-US"/>
        </w:rPr>
        <w:t xml:space="preserve"> </w:t>
      </w:r>
      <w:r w:rsidR="00991F61" w:rsidRPr="00141344">
        <w:rPr>
          <w:rFonts w:ascii="Times New Roman" w:hAnsi="Times New Roman" w:cs="Times New Roman"/>
          <w:sz w:val="24"/>
          <w:szCs w:val="24"/>
          <w:lang w:val="en-US"/>
        </w:rPr>
        <w:t xml:space="preserve">not </w:t>
      </w:r>
      <w:r w:rsidR="00991F61" w:rsidRPr="00141344">
        <w:rPr>
          <w:rFonts w:ascii="Times New Roman" w:hAnsi="Times New Roman" w:cs="Times New Roman"/>
          <w:sz w:val="24"/>
          <w:szCs w:val="24"/>
          <w:lang w:val="en-US"/>
        </w:rPr>
        <w:lastRenderedPageBreak/>
        <w:t>knowledge of what goes on “inside” Caesar’s head, just as to understand the meaning of raising one’s hand at an academic conference requires understanding the rules of engagement that govern that context.</w:t>
      </w:r>
      <w:r w:rsidR="00A60AD8">
        <w:rPr>
          <w:rStyle w:val="FootnoteReference"/>
          <w:rFonts w:ascii="Times New Roman" w:hAnsi="Times New Roman" w:cs="Times New Roman"/>
          <w:sz w:val="24"/>
          <w:szCs w:val="24"/>
          <w:lang w:val="en-US"/>
        </w:rPr>
        <w:footnoteReference w:id="2"/>
      </w:r>
    </w:p>
    <w:p w14:paraId="3A597EC2" w14:textId="49570AD0" w:rsidR="0092300A" w:rsidRPr="00141344" w:rsidRDefault="00743372"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DA7EB7">
        <w:rPr>
          <w:rFonts w:ascii="Times New Roman" w:hAnsi="Times New Roman" w:cs="Times New Roman"/>
          <w:sz w:val="24"/>
          <w:szCs w:val="24"/>
          <w:lang w:val="en-US"/>
        </w:rPr>
        <w:t>Quine’s argument for the indeterminacy of translation arguably rests on an equivocation of these two different meanings of “inside”. He</w:t>
      </w:r>
      <w:r w:rsidR="00991F61" w:rsidRPr="00141344">
        <w:rPr>
          <w:rFonts w:ascii="Times New Roman" w:hAnsi="Times New Roman" w:cs="Times New Roman"/>
          <w:sz w:val="24"/>
          <w:szCs w:val="24"/>
          <w:lang w:val="en-US"/>
        </w:rPr>
        <w:t xml:space="preserve"> denies the radical translator (whose task is to render a word into the home language without any prior knowledge of the target language)</w:t>
      </w:r>
      <w:r w:rsidR="00DA7EB7">
        <w:rPr>
          <w:rFonts w:ascii="Times New Roman" w:hAnsi="Times New Roman" w:cs="Times New Roman"/>
          <w:sz w:val="24"/>
          <w:szCs w:val="24"/>
          <w:lang w:val="en-US"/>
        </w:rPr>
        <w:t xml:space="preserve"> </w:t>
      </w:r>
      <w:r w:rsidR="00DA7EB7" w:rsidRPr="00141344">
        <w:rPr>
          <w:rFonts w:ascii="Times New Roman" w:hAnsi="Times New Roman" w:cs="Times New Roman"/>
          <w:sz w:val="24"/>
          <w:szCs w:val="24"/>
          <w:lang w:val="en-US"/>
        </w:rPr>
        <w:t>“</w:t>
      </w:r>
      <w:r w:rsidR="00DA7EB7" w:rsidRPr="00141344">
        <w:rPr>
          <w:rFonts w:ascii="Times New Roman" w:hAnsi="Times New Roman" w:cs="Times New Roman"/>
          <w:i/>
          <w:iCs/>
          <w:sz w:val="24"/>
          <w:szCs w:val="24"/>
          <w:lang w:val="en-US"/>
        </w:rPr>
        <w:t>insider</w:t>
      </w:r>
      <w:r w:rsidR="00DA7EB7" w:rsidRPr="00141344">
        <w:rPr>
          <w:rFonts w:ascii="Times New Roman" w:hAnsi="Times New Roman" w:cs="Times New Roman"/>
          <w:sz w:val="24"/>
          <w:szCs w:val="24"/>
          <w:lang w:val="en-US"/>
        </w:rPr>
        <w:t xml:space="preserve"> knowledge” in the sense of prior familiarity with the </w:t>
      </w:r>
      <w:r w:rsidR="00DA7EB7">
        <w:rPr>
          <w:rFonts w:ascii="Times New Roman" w:hAnsi="Times New Roman" w:cs="Times New Roman"/>
          <w:sz w:val="24"/>
          <w:szCs w:val="24"/>
          <w:lang w:val="en-US"/>
        </w:rPr>
        <w:t xml:space="preserve">norms (linguistic and otherwise) that govern the agent’s behaviour </w:t>
      </w:r>
      <w:r w:rsidR="00991F61" w:rsidRPr="00141344">
        <w:rPr>
          <w:rFonts w:ascii="Times New Roman" w:hAnsi="Times New Roman" w:cs="Times New Roman"/>
          <w:sz w:val="24"/>
          <w:szCs w:val="24"/>
          <w:lang w:val="en-US"/>
        </w:rPr>
        <w:t>on the grounds that presupposing familiarity with the cultural context of the native speaker would be tantamount to being able to “see” “inside” the head of the speaker, just as a bilingual speaker could “see” the idea that stands behind the words of each language.</w:t>
      </w:r>
      <w:r w:rsidR="00151A1C">
        <w:rPr>
          <w:rStyle w:val="FootnoteReference"/>
          <w:rFonts w:ascii="Times New Roman" w:hAnsi="Times New Roman" w:cs="Times New Roman"/>
          <w:sz w:val="24"/>
          <w:szCs w:val="24"/>
          <w:lang w:val="en-US"/>
        </w:rPr>
        <w:footnoteReference w:id="3"/>
      </w:r>
      <w:r w:rsidR="00991F61" w:rsidRPr="00141344">
        <w:rPr>
          <w:rFonts w:ascii="Times New Roman" w:hAnsi="Times New Roman" w:cs="Times New Roman"/>
          <w:sz w:val="24"/>
          <w:szCs w:val="24"/>
          <w:lang w:val="en-US"/>
        </w:rPr>
        <w:t xml:space="preserve"> As we shall see in the next section, this objection has been raised by the </w:t>
      </w:r>
      <w:proofErr w:type="spellStart"/>
      <w:r w:rsidR="00991F61" w:rsidRPr="00141344">
        <w:rPr>
          <w:rFonts w:ascii="Times New Roman" w:hAnsi="Times New Roman" w:cs="Times New Roman"/>
          <w:sz w:val="24"/>
          <w:szCs w:val="24"/>
          <w:lang w:val="en-US"/>
        </w:rPr>
        <w:t>Quinean</w:t>
      </w:r>
      <w:proofErr w:type="spellEnd"/>
      <w:r w:rsidR="00991F61" w:rsidRPr="00141344">
        <w:rPr>
          <w:rFonts w:ascii="Times New Roman" w:hAnsi="Times New Roman" w:cs="Times New Roman"/>
          <w:sz w:val="24"/>
          <w:szCs w:val="24"/>
          <w:lang w:val="en-US"/>
        </w:rPr>
        <w:t xml:space="preserve">-inspired naturalist against Peter Winch’s </w:t>
      </w:r>
      <w:r w:rsidRPr="00141344">
        <w:rPr>
          <w:rFonts w:ascii="Times New Roman" w:hAnsi="Times New Roman" w:cs="Times New Roman"/>
          <w:sz w:val="24"/>
          <w:szCs w:val="24"/>
          <w:lang w:val="en-US"/>
        </w:rPr>
        <w:t>defense</w:t>
      </w:r>
      <w:r w:rsidR="00991F61" w:rsidRPr="00141344">
        <w:rPr>
          <w:rFonts w:ascii="Times New Roman" w:hAnsi="Times New Roman" w:cs="Times New Roman"/>
          <w:sz w:val="24"/>
          <w:szCs w:val="24"/>
          <w:lang w:val="en-US"/>
        </w:rPr>
        <w:t xml:space="preserve"> of sui generis social science explanations. But once again, the objection that the notion of meaning is inevitably bound up with an earlier conception of the mind as an inner theatre misses the target: radical translation is an implausible solution to an entirely fabricated problem.</w:t>
      </w:r>
    </w:p>
    <w:p w14:paraId="5E0B12A9" w14:textId="77777777" w:rsidR="00743372" w:rsidRDefault="00743372" w:rsidP="00CA35E7">
      <w:pPr>
        <w:spacing w:after="0" w:line="360" w:lineRule="auto"/>
        <w:rPr>
          <w:rFonts w:ascii="Times New Roman" w:hAnsi="Times New Roman" w:cs="Times New Roman"/>
          <w:b/>
          <w:bCs/>
          <w:sz w:val="24"/>
          <w:szCs w:val="24"/>
          <w:lang w:val="en-US"/>
        </w:rPr>
      </w:pPr>
    </w:p>
    <w:p w14:paraId="514A838D" w14:textId="2B46B50A" w:rsidR="004C6512" w:rsidRPr="00141344" w:rsidRDefault="00743372" w:rsidP="00CA35E7">
      <w:pPr>
        <w:spacing w:after="0"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XY</w:t>
      </w:r>
      <w:r w:rsidR="00743CA2">
        <w:rPr>
          <w:rFonts w:ascii="Times New Roman" w:hAnsi="Times New Roman" w:cs="Times New Roman"/>
          <w:b/>
          <w:bCs/>
          <w:sz w:val="24"/>
          <w:szCs w:val="24"/>
          <w:lang w:val="en-US"/>
        </w:rPr>
        <w:t>.</w:t>
      </w:r>
      <w:r>
        <w:rPr>
          <w:rFonts w:ascii="Times New Roman" w:hAnsi="Times New Roman" w:cs="Times New Roman"/>
          <w:b/>
          <w:bCs/>
          <w:sz w:val="24"/>
          <w:szCs w:val="24"/>
          <w:lang w:val="en-US"/>
        </w:rPr>
        <w:t>3. T</w:t>
      </w:r>
      <w:r w:rsidR="00991F61" w:rsidRPr="00141344">
        <w:rPr>
          <w:rFonts w:ascii="Times New Roman" w:hAnsi="Times New Roman" w:cs="Times New Roman"/>
          <w:b/>
          <w:bCs/>
          <w:sz w:val="24"/>
          <w:szCs w:val="24"/>
          <w:lang w:val="en-US"/>
        </w:rPr>
        <w:t xml:space="preserve">he </w:t>
      </w:r>
      <w:proofErr w:type="spellStart"/>
      <w:r w:rsidR="00991F61" w:rsidRPr="00141344">
        <w:rPr>
          <w:rFonts w:ascii="Times New Roman" w:hAnsi="Times New Roman" w:cs="Times New Roman"/>
          <w:b/>
          <w:bCs/>
          <w:sz w:val="24"/>
          <w:szCs w:val="24"/>
          <w:lang w:val="en-US"/>
        </w:rPr>
        <w:t>Quinean</w:t>
      </w:r>
      <w:proofErr w:type="spellEnd"/>
      <w:r w:rsidR="00991F61" w:rsidRPr="00141344">
        <w:rPr>
          <w:rFonts w:ascii="Times New Roman" w:hAnsi="Times New Roman" w:cs="Times New Roman"/>
          <w:b/>
          <w:bCs/>
          <w:sz w:val="24"/>
          <w:szCs w:val="24"/>
          <w:lang w:val="en-US"/>
        </w:rPr>
        <w:t xml:space="preserve"> </w:t>
      </w:r>
      <w:commentRangeStart w:id="8"/>
      <w:r w:rsidR="00991F61" w:rsidRPr="00141344">
        <w:rPr>
          <w:rFonts w:ascii="Times New Roman" w:hAnsi="Times New Roman" w:cs="Times New Roman"/>
          <w:b/>
          <w:bCs/>
          <w:sz w:val="24"/>
          <w:szCs w:val="24"/>
          <w:lang w:val="en-US"/>
        </w:rPr>
        <w:t>challenge</w:t>
      </w:r>
      <w:commentRangeEnd w:id="8"/>
      <w:r w:rsidR="00CB7431">
        <w:rPr>
          <w:rStyle w:val="CommentReference"/>
        </w:rPr>
        <w:commentReference w:id="8"/>
      </w:r>
      <w:r w:rsidR="004821F1">
        <w:rPr>
          <w:rFonts w:ascii="Times New Roman" w:hAnsi="Times New Roman" w:cs="Times New Roman"/>
          <w:b/>
          <w:bCs/>
          <w:sz w:val="24"/>
          <w:szCs w:val="24"/>
          <w:lang w:val="en-US"/>
        </w:rPr>
        <w:t xml:space="preserve"> </w:t>
      </w:r>
    </w:p>
    <w:p w14:paraId="0B4E690A" w14:textId="77777777" w:rsidR="00762864" w:rsidRDefault="00991F61" w:rsidP="00CA35E7">
      <w:pPr>
        <w:spacing w:after="0" w:line="360" w:lineRule="auto"/>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Along with Ludwig Wittgenstein, Collingwood is the other main source of inspiration for Peter Winch’s philosophy of the social sciences. Winch’s seminal work, </w:t>
      </w:r>
      <w:r w:rsidRPr="00141344">
        <w:rPr>
          <w:rFonts w:ascii="Times New Roman" w:hAnsi="Times New Roman" w:cs="Times New Roman"/>
          <w:i/>
          <w:iCs/>
          <w:sz w:val="24"/>
          <w:szCs w:val="24"/>
          <w:lang w:val="en-US"/>
        </w:rPr>
        <w:t xml:space="preserve">The Idea of a Social Science </w:t>
      </w:r>
      <w:r w:rsidRPr="00141344">
        <w:rPr>
          <w:rFonts w:ascii="Times New Roman" w:hAnsi="Times New Roman" w:cs="Times New Roman"/>
          <w:sz w:val="24"/>
          <w:szCs w:val="24"/>
          <w:lang w:val="en-US"/>
        </w:rPr>
        <w:t xml:space="preserve">(ISS), makes frequent reference to Collingwood, and the very title of the book consciously alludes to </w:t>
      </w:r>
      <w:r w:rsidRPr="00141344">
        <w:rPr>
          <w:rFonts w:ascii="Times New Roman" w:hAnsi="Times New Roman" w:cs="Times New Roman"/>
          <w:i/>
          <w:iCs/>
          <w:sz w:val="24"/>
          <w:szCs w:val="24"/>
          <w:lang w:val="en-US"/>
        </w:rPr>
        <w:t>The Idea of History</w:t>
      </w:r>
      <w:r w:rsidRPr="00141344">
        <w:rPr>
          <w:rFonts w:ascii="Times New Roman" w:hAnsi="Times New Roman" w:cs="Times New Roman"/>
          <w:sz w:val="24"/>
          <w:szCs w:val="24"/>
          <w:lang w:val="en-US"/>
        </w:rPr>
        <w:t xml:space="preserve">. However, while Winch often explicitly acknowledged the </w:t>
      </w:r>
      <w:proofErr w:type="spellStart"/>
      <w:r w:rsidRPr="00141344">
        <w:rPr>
          <w:rFonts w:ascii="Times New Roman" w:hAnsi="Times New Roman" w:cs="Times New Roman"/>
          <w:sz w:val="24"/>
          <w:szCs w:val="24"/>
          <w:lang w:val="en-US"/>
        </w:rPr>
        <w:t>Wittgensteinian</w:t>
      </w:r>
      <w:proofErr w:type="spellEnd"/>
      <w:r w:rsidRPr="00141344">
        <w:rPr>
          <w:rFonts w:ascii="Times New Roman" w:hAnsi="Times New Roman" w:cs="Times New Roman"/>
          <w:sz w:val="24"/>
          <w:szCs w:val="24"/>
          <w:lang w:val="en-US"/>
        </w:rPr>
        <w:t xml:space="preserve"> influence on his work, the inspiration he derived from Collingwood remained far less explicit. One reason for this may be that Winch himself was not fully aware of all the fundamental similarities between his own position and Collingwood’s. In addition, Winch was not always the most astute reader of Collingwood, and in </w:t>
      </w:r>
      <w:r w:rsidRPr="00141344">
        <w:rPr>
          <w:rFonts w:ascii="Times New Roman" w:hAnsi="Times New Roman" w:cs="Times New Roman"/>
          <w:i/>
          <w:iCs/>
          <w:sz w:val="24"/>
          <w:szCs w:val="24"/>
          <w:lang w:val="en-US"/>
        </w:rPr>
        <w:t>ISS</w:t>
      </w:r>
      <w:r w:rsidRPr="00141344">
        <w:rPr>
          <w:rFonts w:ascii="Times New Roman" w:hAnsi="Times New Roman" w:cs="Times New Roman"/>
          <w:sz w:val="24"/>
          <w:szCs w:val="24"/>
          <w:lang w:val="en-US"/>
        </w:rPr>
        <w:t xml:space="preserve"> he repeats the common misinterpretation of re-enactment as psychological </w:t>
      </w:r>
      <w:r w:rsidRPr="00141344">
        <w:rPr>
          <w:rFonts w:ascii="Times New Roman" w:hAnsi="Times New Roman" w:cs="Times New Roman"/>
          <w:i/>
          <w:sz w:val="24"/>
          <w:szCs w:val="24"/>
          <w:lang w:val="en-US"/>
        </w:rPr>
        <w:t>Einfühlung</w:t>
      </w:r>
      <w:r w:rsidRPr="00141344">
        <w:rPr>
          <w:rFonts w:ascii="Times New Roman" w:hAnsi="Times New Roman" w:cs="Times New Roman"/>
          <w:sz w:val="24"/>
          <w:szCs w:val="24"/>
          <w:lang w:val="en-US"/>
        </w:rPr>
        <w:t xml:space="preserve"> rather than seeing it, as Collingwood would have insisted, as a critical </w:t>
      </w:r>
      <w:r w:rsidRPr="00141344">
        <w:rPr>
          <w:rFonts w:ascii="Times New Roman" w:hAnsi="Times New Roman" w:cs="Times New Roman"/>
          <w:sz w:val="24"/>
          <w:szCs w:val="24"/>
          <w:lang w:val="en-US"/>
        </w:rPr>
        <w:lastRenderedPageBreak/>
        <w:t>reconstruction of past reasoning along with the historically contingent co</w:t>
      </w:r>
      <w:r w:rsidR="00762864">
        <w:rPr>
          <w:rFonts w:ascii="Times New Roman" w:hAnsi="Times New Roman" w:cs="Times New Roman"/>
          <w:sz w:val="24"/>
          <w:szCs w:val="24"/>
          <w:lang w:val="en-US"/>
        </w:rPr>
        <w:t>nditions of its meaningfulness.</w:t>
      </w:r>
    </w:p>
    <w:p w14:paraId="32A59F07" w14:textId="420872F8" w:rsidR="004C6512" w:rsidRPr="00141344" w:rsidRDefault="00762864"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Given these circumstances, it is only quite recently that scholars have articulated fundamental connections between Collingwood’s and Winch’s work, pointing to ways in which Winch’s philosophy of the social science can be read as an implicit development of themes found in Collingwood’s </w:t>
      </w:r>
      <w:r>
        <w:rPr>
          <w:rFonts w:ascii="Times New Roman" w:hAnsi="Times New Roman" w:cs="Times New Roman"/>
          <w:sz w:val="24"/>
          <w:szCs w:val="24"/>
          <w:lang w:val="en-US"/>
        </w:rPr>
        <w:t>philosophy of history (</w:t>
      </w:r>
      <w:proofErr w:type="spellStart"/>
      <w:r>
        <w:rPr>
          <w:rFonts w:ascii="Times New Roman" w:hAnsi="Times New Roman" w:cs="Times New Roman"/>
          <w:sz w:val="24"/>
          <w:szCs w:val="24"/>
          <w:lang w:val="en-US"/>
        </w:rPr>
        <w:t>Ahlskog</w:t>
      </w:r>
      <w:proofErr w:type="spellEnd"/>
      <w:r>
        <w:rPr>
          <w:rFonts w:ascii="Times New Roman" w:hAnsi="Times New Roman" w:cs="Times New Roman"/>
          <w:sz w:val="24"/>
          <w:szCs w:val="24"/>
          <w:lang w:val="en-US"/>
        </w:rPr>
        <w:t xml:space="preserve"> and</w:t>
      </w:r>
      <w:r w:rsidR="00991F61" w:rsidRPr="00141344">
        <w:rPr>
          <w:rFonts w:ascii="Times New Roman" w:hAnsi="Times New Roman" w:cs="Times New Roman"/>
          <w:sz w:val="24"/>
          <w:szCs w:val="24"/>
          <w:lang w:val="en-US"/>
        </w:rPr>
        <w:t xml:space="preserve"> </w:t>
      </w:r>
      <w:proofErr w:type="spellStart"/>
      <w:r w:rsidR="00991F61" w:rsidRPr="00141344">
        <w:rPr>
          <w:rFonts w:ascii="Times New Roman" w:hAnsi="Times New Roman" w:cs="Times New Roman"/>
          <w:sz w:val="24"/>
          <w:szCs w:val="24"/>
          <w:lang w:val="en-US"/>
        </w:rPr>
        <w:t>Lagerspetz</w:t>
      </w:r>
      <w:proofErr w:type="spellEnd"/>
      <w:r w:rsidR="00991F61" w:rsidRPr="00141344">
        <w:rPr>
          <w:rFonts w:ascii="Times New Roman" w:hAnsi="Times New Roman" w:cs="Times New Roman"/>
          <w:sz w:val="24"/>
          <w:szCs w:val="24"/>
          <w:lang w:val="en-US"/>
        </w:rPr>
        <w:t>, forthcoming). Collingwood’s and Winc</w:t>
      </w:r>
      <w:r>
        <w:rPr>
          <w:rFonts w:ascii="Times New Roman" w:hAnsi="Times New Roman" w:cs="Times New Roman"/>
          <w:sz w:val="24"/>
          <w:szCs w:val="24"/>
          <w:lang w:val="en-US"/>
        </w:rPr>
        <w:t>h’s seminal books on ‘the idea’</w:t>
      </w:r>
      <w:r w:rsidR="00991F61" w:rsidRPr="00141344">
        <w:rPr>
          <w:rFonts w:ascii="Times New Roman" w:hAnsi="Times New Roman" w:cs="Times New Roman"/>
          <w:sz w:val="24"/>
          <w:szCs w:val="24"/>
          <w:lang w:val="en-US"/>
        </w:rPr>
        <w:t xml:space="preserve"> shared views on what the human sciences </w:t>
      </w:r>
      <w:r w:rsidR="00991F61" w:rsidRPr="00141344">
        <w:rPr>
          <w:rFonts w:ascii="Times New Roman" w:hAnsi="Times New Roman" w:cs="Times New Roman"/>
          <w:i/>
          <w:sz w:val="24"/>
          <w:szCs w:val="24"/>
          <w:lang w:val="en-US"/>
        </w:rPr>
        <w:t>are about</w:t>
      </w:r>
      <w:r w:rsidR="00991F61" w:rsidRPr="00141344">
        <w:rPr>
          <w:rFonts w:ascii="Times New Roman" w:hAnsi="Times New Roman" w:cs="Times New Roman"/>
          <w:sz w:val="24"/>
          <w:szCs w:val="24"/>
          <w:lang w:val="en-US"/>
        </w:rPr>
        <w:t xml:space="preserve">. Both thinkers argued that the human sciences involved forms of understanding and explanation that are logically distinct from those employed in the natural sciences.  In the following section we present the challenge to Winch’s philosophy of the social sciences that has been mounted from the point of view of </w:t>
      </w:r>
      <w:proofErr w:type="spellStart"/>
      <w:r w:rsidR="00991F61" w:rsidRPr="00141344">
        <w:rPr>
          <w:rFonts w:ascii="Times New Roman" w:hAnsi="Times New Roman" w:cs="Times New Roman"/>
          <w:sz w:val="24"/>
          <w:szCs w:val="24"/>
          <w:lang w:val="en-US"/>
        </w:rPr>
        <w:t>Quinean</w:t>
      </w:r>
      <w:proofErr w:type="spellEnd"/>
      <w:r w:rsidR="00991F61" w:rsidRPr="00141344">
        <w:rPr>
          <w:rFonts w:ascii="Times New Roman" w:hAnsi="Times New Roman" w:cs="Times New Roman"/>
          <w:sz w:val="24"/>
          <w:szCs w:val="24"/>
          <w:lang w:val="en-US"/>
        </w:rPr>
        <w:t xml:space="preserve"> naturalism, a challenge that, if valid, applies ipso facto to Collingwood’s </w:t>
      </w:r>
      <w:r w:rsidRPr="00141344">
        <w:rPr>
          <w:rFonts w:ascii="Times New Roman" w:hAnsi="Times New Roman" w:cs="Times New Roman"/>
          <w:sz w:val="24"/>
          <w:szCs w:val="24"/>
          <w:lang w:val="en-US"/>
        </w:rPr>
        <w:t>defense</w:t>
      </w:r>
      <w:r w:rsidR="00991F61" w:rsidRPr="00141344">
        <w:rPr>
          <w:rFonts w:ascii="Times New Roman" w:hAnsi="Times New Roman" w:cs="Times New Roman"/>
          <w:sz w:val="24"/>
          <w:szCs w:val="24"/>
          <w:lang w:val="en-US"/>
        </w:rPr>
        <w:t xml:space="preserve"> of a humanistically oriented historiography.</w:t>
      </w:r>
    </w:p>
    <w:p w14:paraId="16D28B1D" w14:textId="7049D3C8" w:rsidR="004C6512" w:rsidRDefault="00762864"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The naturalist critique is inseparably connected with an ontological reading of central arguments in Winch’s philosophy of social in science. In a key passage in </w:t>
      </w:r>
      <w:r w:rsidR="00991F61" w:rsidRPr="00141344">
        <w:rPr>
          <w:rFonts w:ascii="Times New Roman" w:hAnsi="Times New Roman" w:cs="Times New Roman"/>
          <w:i/>
          <w:sz w:val="24"/>
          <w:szCs w:val="24"/>
          <w:lang w:val="en-US"/>
        </w:rPr>
        <w:t>ISS</w:t>
      </w:r>
      <w:r w:rsidR="00991F61" w:rsidRPr="00141344">
        <w:rPr>
          <w:rFonts w:ascii="Times New Roman" w:hAnsi="Times New Roman" w:cs="Times New Roman"/>
          <w:sz w:val="24"/>
          <w:szCs w:val="24"/>
          <w:lang w:val="en-US"/>
        </w:rPr>
        <w:t xml:space="preserve"> Winch argues that there is, in humanistic forms of explanation and understanding, a logical priority for the participant’s unreflective understanding of social phenomena. Winch’s crucial argument is that the description of a social or intellectual phenomenon cannot even get started unless the researcher can identify what </w:t>
      </w:r>
      <w:r w:rsidR="00991F61" w:rsidRPr="00141344">
        <w:rPr>
          <w:rFonts w:ascii="Times New Roman" w:hAnsi="Times New Roman" w:cs="Times New Roman"/>
          <w:i/>
          <w:sz w:val="24"/>
          <w:szCs w:val="24"/>
          <w:lang w:val="en-US"/>
        </w:rPr>
        <w:t>belongs to</w:t>
      </w:r>
      <w:r w:rsidR="00991F61" w:rsidRPr="00141344">
        <w:rPr>
          <w:rFonts w:ascii="Times New Roman" w:hAnsi="Times New Roman" w:cs="Times New Roman"/>
          <w:sz w:val="24"/>
          <w:szCs w:val="24"/>
          <w:lang w:val="en-US"/>
        </w:rPr>
        <w:t xml:space="preserve"> the phenomenon (and thus counts as ‘the same thing’) according to classifications that the participants in the target society th</w:t>
      </w:r>
      <w:r w:rsidR="0016639D">
        <w:rPr>
          <w:rFonts w:ascii="Times New Roman" w:hAnsi="Times New Roman" w:cs="Times New Roman"/>
          <w:sz w:val="24"/>
          <w:szCs w:val="24"/>
          <w:lang w:val="en-US"/>
        </w:rPr>
        <w:t>emselves would potentially use—</w:t>
      </w:r>
      <w:r w:rsidR="00991F61" w:rsidRPr="00141344">
        <w:rPr>
          <w:rFonts w:ascii="Times New Roman" w:hAnsi="Times New Roman" w:cs="Times New Roman"/>
          <w:sz w:val="24"/>
          <w:szCs w:val="24"/>
          <w:lang w:val="en-US"/>
        </w:rPr>
        <w:t xml:space="preserve">specifically identified by Winch as ‘the unreflective understanding’ of the participants. In that sense, the social scientist is not like an engineer investigating physical processes but more like an apprentice engineer who wants to understand the activities of his colleagues in terms of their concepts, reasons </w:t>
      </w:r>
      <w:r w:rsidR="0016639D">
        <w:rPr>
          <w:rFonts w:ascii="Times New Roman" w:hAnsi="Times New Roman" w:cs="Times New Roman"/>
          <w:sz w:val="24"/>
          <w:szCs w:val="24"/>
          <w:lang w:val="en-US"/>
        </w:rPr>
        <w:t>and norms of belief (Winch 1990:</w:t>
      </w:r>
      <w:r w:rsidR="00991F61" w:rsidRPr="00141344">
        <w:rPr>
          <w:rFonts w:ascii="Times New Roman" w:hAnsi="Times New Roman" w:cs="Times New Roman"/>
          <w:sz w:val="24"/>
          <w:szCs w:val="24"/>
          <w:lang w:val="en-US"/>
        </w:rPr>
        <w:t xml:space="preserve"> 88). However, Winch is keen to point out that this argument is about logical requirements for understanding social phenomena and not an ad hoc stipulation about the supposed impossibility of critical engagement with the participant’s own understanding; the latter interpretation has been the source of many misrepresentations of W</w:t>
      </w:r>
      <w:r w:rsidR="0016639D">
        <w:rPr>
          <w:rFonts w:ascii="Times New Roman" w:hAnsi="Times New Roman" w:cs="Times New Roman"/>
          <w:sz w:val="24"/>
          <w:szCs w:val="24"/>
          <w:lang w:val="en-US"/>
        </w:rPr>
        <w:t xml:space="preserve">inch’s philosophy (cf. </w:t>
      </w:r>
      <w:proofErr w:type="spellStart"/>
      <w:r w:rsidR="0016639D">
        <w:rPr>
          <w:rFonts w:ascii="Times New Roman" w:hAnsi="Times New Roman" w:cs="Times New Roman"/>
          <w:sz w:val="24"/>
          <w:szCs w:val="24"/>
          <w:lang w:val="en-US"/>
        </w:rPr>
        <w:t>Ahlskog</w:t>
      </w:r>
      <w:proofErr w:type="spellEnd"/>
      <w:r w:rsidR="0016639D">
        <w:rPr>
          <w:rFonts w:ascii="Times New Roman" w:hAnsi="Times New Roman" w:cs="Times New Roman"/>
          <w:sz w:val="24"/>
          <w:szCs w:val="24"/>
          <w:lang w:val="en-US"/>
        </w:rPr>
        <w:t xml:space="preserve"> and</w:t>
      </w:r>
      <w:r w:rsidR="00991F61" w:rsidRPr="00141344">
        <w:rPr>
          <w:rFonts w:ascii="Times New Roman" w:hAnsi="Times New Roman" w:cs="Times New Roman"/>
          <w:sz w:val="24"/>
          <w:szCs w:val="24"/>
          <w:lang w:val="en-US"/>
        </w:rPr>
        <w:t xml:space="preserve"> </w:t>
      </w:r>
      <w:proofErr w:type="spellStart"/>
      <w:r w:rsidR="00991F61" w:rsidRPr="00141344">
        <w:rPr>
          <w:rFonts w:ascii="Times New Roman" w:hAnsi="Times New Roman" w:cs="Times New Roman"/>
          <w:sz w:val="24"/>
          <w:szCs w:val="24"/>
          <w:lang w:val="en-US"/>
        </w:rPr>
        <w:t>Lagerspetz</w:t>
      </w:r>
      <w:proofErr w:type="spellEnd"/>
      <w:r w:rsidR="00991F61" w:rsidRPr="00141344">
        <w:rPr>
          <w:rFonts w:ascii="Times New Roman" w:hAnsi="Times New Roman" w:cs="Times New Roman"/>
          <w:sz w:val="24"/>
          <w:szCs w:val="24"/>
          <w:lang w:val="en-US"/>
        </w:rPr>
        <w:t xml:space="preserve"> 2015). Winch writes:</w:t>
      </w:r>
    </w:p>
    <w:p w14:paraId="5B4E9C6A" w14:textId="77777777" w:rsidR="0016639D" w:rsidRPr="00141344" w:rsidRDefault="0016639D" w:rsidP="00CA35E7">
      <w:pPr>
        <w:spacing w:after="0" w:line="360" w:lineRule="auto"/>
        <w:rPr>
          <w:rFonts w:ascii="Times New Roman" w:hAnsi="Times New Roman" w:cs="Times New Roman"/>
          <w:sz w:val="24"/>
          <w:szCs w:val="24"/>
          <w:lang w:val="en-US"/>
        </w:rPr>
      </w:pPr>
    </w:p>
    <w:p w14:paraId="262F9A86" w14:textId="2BC20154" w:rsidR="004C6512" w:rsidRPr="0016639D" w:rsidRDefault="00991F61" w:rsidP="0016639D">
      <w:pPr>
        <w:spacing w:after="0" w:line="360" w:lineRule="auto"/>
        <w:ind w:left="567" w:right="567"/>
        <w:rPr>
          <w:rFonts w:ascii="Times New Roman" w:hAnsi="Times New Roman" w:cs="Times New Roman"/>
          <w:sz w:val="20"/>
          <w:szCs w:val="24"/>
          <w:lang w:val="en-US"/>
        </w:rPr>
      </w:pPr>
      <w:r w:rsidRPr="0016639D">
        <w:rPr>
          <w:rFonts w:ascii="Times New Roman" w:hAnsi="Times New Roman" w:cs="Times New Roman"/>
          <w:sz w:val="20"/>
          <w:szCs w:val="24"/>
          <w:lang w:val="en-US"/>
        </w:rPr>
        <w:t>I do not wish to maintain that we must stop at the unreflective kind of understanding of which I gave as an instance the [apprentice] engineer’s understanding of the activities of his colleagues. But I do want to say that any more reflective understanding must necessarily presuppose, if it is to count as genuine understanding at all, the participant’s unr</w:t>
      </w:r>
      <w:r w:rsidR="0016639D">
        <w:rPr>
          <w:rFonts w:ascii="Times New Roman" w:hAnsi="Times New Roman" w:cs="Times New Roman"/>
          <w:sz w:val="20"/>
          <w:szCs w:val="24"/>
          <w:lang w:val="en-US"/>
        </w:rPr>
        <w:t xml:space="preserve">eflective understanding. [...] </w:t>
      </w:r>
      <w:r w:rsidRPr="0016639D">
        <w:rPr>
          <w:rFonts w:ascii="Times New Roman" w:hAnsi="Times New Roman" w:cs="Times New Roman"/>
          <w:sz w:val="20"/>
          <w:szCs w:val="24"/>
          <w:lang w:val="en-US"/>
        </w:rPr>
        <w:t>[A]</w:t>
      </w:r>
      <w:proofErr w:type="spellStart"/>
      <w:r w:rsidRPr="0016639D">
        <w:rPr>
          <w:rFonts w:ascii="Times New Roman" w:hAnsi="Times New Roman" w:cs="Times New Roman"/>
          <w:sz w:val="20"/>
          <w:szCs w:val="24"/>
          <w:lang w:val="en-US"/>
        </w:rPr>
        <w:t>lthough</w:t>
      </w:r>
      <w:proofErr w:type="spellEnd"/>
      <w:r w:rsidRPr="0016639D">
        <w:rPr>
          <w:rFonts w:ascii="Times New Roman" w:hAnsi="Times New Roman" w:cs="Times New Roman"/>
          <w:sz w:val="20"/>
          <w:szCs w:val="24"/>
          <w:lang w:val="en-US"/>
        </w:rPr>
        <w:t xml:space="preserve"> </w:t>
      </w:r>
      <w:r w:rsidRPr="0016639D">
        <w:rPr>
          <w:rFonts w:ascii="Times New Roman" w:hAnsi="Times New Roman" w:cs="Times New Roman"/>
          <w:sz w:val="20"/>
          <w:szCs w:val="24"/>
          <w:lang w:val="en-US"/>
        </w:rPr>
        <w:lastRenderedPageBreak/>
        <w:t xml:space="preserve">the reflective student of society, or of a particular mode of social life, may find it necessary to use concepts which are not taken from the forms of activity which he is investigating, </w:t>
      </w:r>
      <w:r w:rsidR="000A1CC2">
        <w:rPr>
          <w:rFonts w:ascii="Times New Roman" w:hAnsi="Times New Roman" w:cs="Times New Roman"/>
          <w:sz w:val="20"/>
          <w:szCs w:val="24"/>
          <w:lang w:val="en-US"/>
        </w:rPr>
        <w:t xml:space="preserve">[...] </w:t>
      </w:r>
      <w:r w:rsidRPr="0016639D">
        <w:rPr>
          <w:rFonts w:ascii="Times New Roman" w:hAnsi="Times New Roman" w:cs="Times New Roman"/>
          <w:sz w:val="20"/>
          <w:szCs w:val="24"/>
          <w:lang w:val="en-US"/>
        </w:rPr>
        <w:t>still these technical concepts of his will imply a previous understanding of those other concepts which belong to the activities under investigation.</w:t>
      </w:r>
      <w:r w:rsidR="0016639D" w:rsidRPr="0016639D">
        <w:rPr>
          <w:rFonts w:ascii="Times New Roman" w:hAnsi="Times New Roman" w:cs="Times New Roman"/>
          <w:sz w:val="20"/>
          <w:szCs w:val="24"/>
          <w:lang w:val="en-US"/>
        </w:rPr>
        <w:t xml:space="preserve"> (Winch 1990: 89)</w:t>
      </w:r>
    </w:p>
    <w:p w14:paraId="53DA8B78" w14:textId="77777777" w:rsidR="0016639D" w:rsidRPr="00141344" w:rsidRDefault="0016639D" w:rsidP="00CA35E7">
      <w:pPr>
        <w:spacing w:after="0" w:line="360" w:lineRule="auto"/>
        <w:ind w:left="720"/>
        <w:rPr>
          <w:rFonts w:ascii="Times New Roman" w:hAnsi="Times New Roman" w:cs="Times New Roman"/>
          <w:sz w:val="24"/>
          <w:szCs w:val="24"/>
          <w:lang w:val="en-US"/>
        </w:rPr>
      </w:pPr>
    </w:p>
    <w:p w14:paraId="0B47C8FF" w14:textId="0A502C7A" w:rsidR="004C6512" w:rsidRPr="00141344" w:rsidRDefault="00991F61" w:rsidP="00CA35E7">
      <w:pPr>
        <w:spacing w:after="0" w:line="360" w:lineRule="auto"/>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The decisive question raised by this quote is what Winch’s notion of the participants ‘unreflective understanding’ means. Throughout </w:t>
      </w:r>
      <w:r w:rsidRPr="00141344">
        <w:rPr>
          <w:rFonts w:ascii="Times New Roman" w:hAnsi="Times New Roman" w:cs="Times New Roman"/>
          <w:i/>
          <w:iCs/>
          <w:sz w:val="24"/>
          <w:szCs w:val="24"/>
          <w:lang w:val="en-US"/>
        </w:rPr>
        <w:t>ISS</w:t>
      </w:r>
      <w:r w:rsidRPr="00141344">
        <w:rPr>
          <w:rFonts w:ascii="Times New Roman" w:hAnsi="Times New Roman" w:cs="Times New Roman"/>
          <w:sz w:val="24"/>
          <w:szCs w:val="24"/>
          <w:lang w:val="en-US"/>
        </w:rPr>
        <w:t>, Winch explicates this notion as the ideas, concepts and rules that belong to the social phenomena themselves, and argues that it is by viewing the behavior of the agents in relation to such ideas and concepts that the social scientist makes sense of actions by historical agents. Winch emphasizes that ideas and concepts are not something apart from the action itself, and indeed advances something similar to Collingwood’s argument for the internal connection between action and thought. His point is that actions are what they are only in relation to the concepts and ideas embodied in the social relations and institutions of the target society itself. Without an understanding of the relevant ideas and concepts shared by the agents of the target society, one would not be able to explain how the actions and events in question follow from the motives and reasons of the agents. The reason for this, of course, is that it is only in r</w:t>
      </w:r>
      <w:r w:rsidR="000A1CC2">
        <w:rPr>
          <w:rFonts w:ascii="Times New Roman" w:hAnsi="Times New Roman" w:cs="Times New Roman"/>
          <w:sz w:val="24"/>
          <w:szCs w:val="24"/>
          <w:lang w:val="en-US"/>
        </w:rPr>
        <w:t>elation to ideas and concepts—</w:t>
      </w:r>
      <w:r w:rsidRPr="00141344">
        <w:rPr>
          <w:rFonts w:ascii="Times New Roman" w:hAnsi="Times New Roman" w:cs="Times New Roman"/>
          <w:sz w:val="24"/>
          <w:szCs w:val="24"/>
          <w:lang w:val="en-US"/>
        </w:rPr>
        <w:t>expressed in p</w:t>
      </w:r>
      <w:r w:rsidR="000A1CC2">
        <w:rPr>
          <w:rFonts w:ascii="Times New Roman" w:hAnsi="Times New Roman" w:cs="Times New Roman"/>
          <w:sz w:val="24"/>
          <w:szCs w:val="24"/>
          <w:lang w:val="en-US"/>
        </w:rPr>
        <w:t>ractices and ways of thinking—</w:t>
      </w:r>
      <w:r w:rsidRPr="00141344">
        <w:rPr>
          <w:rFonts w:ascii="Times New Roman" w:hAnsi="Times New Roman" w:cs="Times New Roman"/>
          <w:sz w:val="24"/>
          <w:szCs w:val="24"/>
          <w:lang w:val="en-US"/>
        </w:rPr>
        <w:t>that actions appear as reasonable responses to some situation the agent is facing. Winch’s main argument for showing how the meaning of actions derives from ideas and concepts was based on Wittgenstein’s idea of rule-following. Winch argued that actions are cases of rule-following, and that this feature distinguishes the category of action from brute biological or psychological dispositions and ha</w:t>
      </w:r>
      <w:r w:rsidR="000A1CC2">
        <w:rPr>
          <w:rFonts w:ascii="Times New Roman" w:hAnsi="Times New Roman" w:cs="Times New Roman"/>
          <w:sz w:val="24"/>
          <w:szCs w:val="24"/>
          <w:lang w:val="en-US"/>
        </w:rPr>
        <w:t xml:space="preserve">bits. According to Winch (1990: </w:t>
      </w:r>
      <w:r w:rsidRPr="00141344">
        <w:rPr>
          <w:rFonts w:ascii="Times New Roman" w:hAnsi="Times New Roman" w:cs="Times New Roman"/>
          <w:sz w:val="24"/>
          <w:szCs w:val="24"/>
          <w:lang w:val="en-US"/>
        </w:rPr>
        <w:t xml:space="preserve">52), “all behaviour which is meaningful is </w:t>
      </w:r>
      <w:r w:rsidRPr="00141344">
        <w:rPr>
          <w:rFonts w:ascii="Times New Roman" w:hAnsi="Times New Roman" w:cs="Times New Roman"/>
          <w:i/>
          <w:iCs/>
          <w:sz w:val="24"/>
          <w:szCs w:val="24"/>
          <w:lang w:val="en-US"/>
        </w:rPr>
        <w:t>ipso facto</w:t>
      </w:r>
      <w:r w:rsidRPr="00141344">
        <w:rPr>
          <w:rFonts w:ascii="Times New Roman" w:hAnsi="Times New Roman" w:cs="Times New Roman"/>
          <w:sz w:val="24"/>
          <w:szCs w:val="24"/>
          <w:lang w:val="en-US"/>
        </w:rPr>
        <w:t xml:space="preserve"> rule-governed.” Consequently, the social scientist who endeavors to understand social phenomena from the perspective of the agents must do so in terms of the historically specific rules and norms in relation to which reasons and motives carry normative force. </w:t>
      </w:r>
    </w:p>
    <w:p w14:paraId="5394A2FA" w14:textId="5B00AD6A" w:rsidR="00B22870" w:rsidRDefault="000A1CC2"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According to the naturalist critique, Winch’s notion of rules stipulates an ontology of Platonic meanings that constitutes and supplies the social world with a rigid and univocal structure</w:t>
      </w:r>
      <w:r w:rsidR="00057491">
        <w:rPr>
          <w:rFonts w:ascii="Times New Roman" w:hAnsi="Times New Roman" w:cs="Times New Roman"/>
          <w:sz w:val="24"/>
          <w:szCs w:val="24"/>
          <w:lang w:val="en-US"/>
        </w:rPr>
        <w:t>.</w:t>
      </w:r>
      <w:r w:rsidR="00057491">
        <w:rPr>
          <w:rStyle w:val="FootnoteReference"/>
          <w:rFonts w:ascii="Times New Roman" w:hAnsi="Times New Roman" w:cs="Times New Roman"/>
          <w:sz w:val="24"/>
          <w:szCs w:val="24"/>
          <w:lang w:val="en-US"/>
        </w:rPr>
        <w:footnoteReference w:id="4"/>
      </w:r>
      <w:r w:rsidR="00991F61" w:rsidRPr="00141344">
        <w:rPr>
          <w:rFonts w:ascii="Times New Roman" w:hAnsi="Times New Roman" w:cs="Times New Roman"/>
          <w:sz w:val="24"/>
          <w:szCs w:val="24"/>
          <w:lang w:val="en-US"/>
        </w:rPr>
        <w:t xml:space="preserve"> As Mark </w:t>
      </w:r>
      <w:proofErr w:type="spellStart"/>
      <w:r w:rsidR="00991F61" w:rsidRPr="00141344">
        <w:rPr>
          <w:rFonts w:ascii="Times New Roman" w:hAnsi="Times New Roman" w:cs="Times New Roman"/>
          <w:sz w:val="24"/>
          <w:szCs w:val="24"/>
          <w:lang w:val="en-US"/>
        </w:rPr>
        <w:t>Theunissen</w:t>
      </w:r>
      <w:proofErr w:type="spellEnd"/>
      <w:r w:rsidR="00991F61" w:rsidRPr="00141344">
        <w:rPr>
          <w:rFonts w:ascii="Times New Roman" w:hAnsi="Times New Roman" w:cs="Times New Roman"/>
          <w:sz w:val="24"/>
          <w:szCs w:val="24"/>
          <w:lang w:val="en-US"/>
        </w:rPr>
        <w:t xml:space="preserve"> (202</w:t>
      </w:r>
      <w:r w:rsidR="001771EC">
        <w:rPr>
          <w:rFonts w:ascii="Times New Roman" w:hAnsi="Times New Roman" w:cs="Times New Roman"/>
          <w:sz w:val="24"/>
          <w:szCs w:val="24"/>
          <w:lang w:val="en-US"/>
        </w:rPr>
        <w:t>0:</w:t>
      </w:r>
      <w:r w:rsidR="00991F61" w:rsidRPr="00141344">
        <w:rPr>
          <w:rFonts w:ascii="Times New Roman" w:hAnsi="Times New Roman" w:cs="Times New Roman"/>
          <w:sz w:val="24"/>
          <w:szCs w:val="24"/>
          <w:lang w:val="en-US"/>
        </w:rPr>
        <w:t xml:space="preserve"> 259) has recently summarized this interpretation of Winch: “According to this reading, ISS argues that the social world can only have the necessary stability if built on a web of shared rules independent of any one individual, which magically constrains each one of us from destabilizing the social reality we are members of.</w:t>
      </w:r>
      <w:r w:rsidR="001771EC">
        <w:rPr>
          <w:rFonts w:ascii="Times New Roman" w:hAnsi="Times New Roman" w:cs="Times New Roman"/>
          <w:sz w:val="24"/>
          <w:szCs w:val="24"/>
          <w:lang w:val="en-US"/>
        </w:rPr>
        <w:t xml:space="preserve">” </w:t>
      </w:r>
      <w:r w:rsidR="001771EC">
        <w:rPr>
          <w:rFonts w:ascii="Times New Roman" w:hAnsi="Times New Roman" w:cs="Times New Roman"/>
          <w:sz w:val="24"/>
          <w:szCs w:val="24"/>
          <w:lang w:val="en-US"/>
        </w:rPr>
        <w:lastRenderedPageBreak/>
        <w:t xml:space="preserve">According to Paul Roth (1987: </w:t>
      </w:r>
      <w:r w:rsidR="00991F61" w:rsidRPr="00141344">
        <w:rPr>
          <w:rFonts w:ascii="Times New Roman" w:hAnsi="Times New Roman" w:cs="Times New Roman"/>
          <w:sz w:val="24"/>
          <w:szCs w:val="24"/>
          <w:lang w:val="en-US"/>
        </w:rPr>
        <w:t>134), Winch’s philosophy “hypostasizes social rules and talks of them […] as if they were an independent object of study.” This reading is found also among scholars sympathetic to Winch. For instance, Nigel Pleasants (1999, 2000) writes that Winch ontologizes Wittgenstein, while Philip Pettit (2000) complains that Winch’s ontology of rules imposes overly rigid constr</w:t>
      </w:r>
      <w:r w:rsidR="002D6066">
        <w:rPr>
          <w:rFonts w:ascii="Times New Roman" w:hAnsi="Times New Roman" w:cs="Times New Roman"/>
          <w:sz w:val="24"/>
          <w:szCs w:val="24"/>
          <w:lang w:val="en-US"/>
        </w:rPr>
        <w:t xml:space="preserve">aints on the freedom of </w:t>
      </w:r>
      <w:commentRangeStart w:id="9"/>
      <w:r w:rsidR="002D6066">
        <w:rPr>
          <w:rFonts w:ascii="Times New Roman" w:hAnsi="Times New Roman" w:cs="Times New Roman"/>
          <w:sz w:val="24"/>
          <w:szCs w:val="24"/>
          <w:lang w:val="en-US"/>
        </w:rPr>
        <w:t>agency</w:t>
      </w:r>
      <w:commentRangeEnd w:id="9"/>
      <w:r w:rsidR="00D62417">
        <w:rPr>
          <w:rStyle w:val="CommentReference"/>
        </w:rPr>
        <w:commentReference w:id="9"/>
      </w:r>
      <w:r w:rsidR="002D6066">
        <w:rPr>
          <w:rFonts w:ascii="Times New Roman" w:hAnsi="Times New Roman" w:cs="Times New Roman"/>
          <w:sz w:val="24"/>
          <w:szCs w:val="24"/>
          <w:lang w:val="en-US"/>
        </w:rPr>
        <w:t>.</w:t>
      </w:r>
      <w:r w:rsidR="00B22870">
        <w:rPr>
          <w:rFonts w:ascii="Times New Roman" w:hAnsi="Times New Roman" w:cs="Times New Roman"/>
          <w:sz w:val="24"/>
          <w:szCs w:val="24"/>
          <w:lang w:val="en-US"/>
        </w:rPr>
        <w:t xml:space="preserve"> </w:t>
      </w:r>
    </w:p>
    <w:p w14:paraId="5BF68898" w14:textId="63EB02D6" w:rsidR="004C6512" w:rsidRPr="00141344" w:rsidRDefault="002D6066"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There are also those who view Winch’s supposed ontology in positive terms. Alice </w:t>
      </w:r>
      <w:proofErr w:type="spellStart"/>
      <w:r w:rsidR="00991F61" w:rsidRPr="00141344">
        <w:rPr>
          <w:rFonts w:ascii="Times New Roman" w:hAnsi="Times New Roman" w:cs="Times New Roman"/>
          <w:sz w:val="24"/>
          <w:szCs w:val="24"/>
          <w:lang w:val="en-US"/>
        </w:rPr>
        <w:t>Crary</w:t>
      </w:r>
      <w:proofErr w:type="spellEnd"/>
      <w:r w:rsidR="001771EC">
        <w:rPr>
          <w:rFonts w:ascii="Times New Roman" w:hAnsi="Times New Roman" w:cs="Times New Roman"/>
          <w:sz w:val="24"/>
          <w:szCs w:val="24"/>
          <w:lang w:val="en-US"/>
        </w:rPr>
        <w:t xml:space="preserve"> (2018: 31)</w:t>
      </w:r>
      <w:r w:rsidR="00991F61" w:rsidRPr="00141344">
        <w:rPr>
          <w:rFonts w:ascii="Times New Roman" w:hAnsi="Times New Roman" w:cs="Times New Roman"/>
          <w:sz w:val="24"/>
          <w:szCs w:val="24"/>
          <w:lang w:val="en-US"/>
        </w:rPr>
        <w:t xml:space="preserve"> construes Winch as proposing “a distinctive </w:t>
      </w:r>
      <w:r w:rsidR="00991F61" w:rsidRPr="00141344">
        <w:rPr>
          <w:rFonts w:ascii="Times New Roman" w:hAnsi="Times New Roman" w:cs="Times New Roman"/>
          <w:i/>
          <w:sz w:val="24"/>
          <w:szCs w:val="24"/>
          <w:lang w:val="en-US"/>
        </w:rPr>
        <w:t>social ontology</w:t>
      </w:r>
      <w:r w:rsidR="00991F61" w:rsidRPr="00141344">
        <w:rPr>
          <w:rFonts w:ascii="Times New Roman" w:hAnsi="Times New Roman" w:cs="Times New Roman"/>
          <w:sz w:val="24"/>
          <w:szCs w:val="24"/>
          <w:lang w:val="en-US"/>
        </w:rPr>
        <w:t xml:space="preserve">. At issue is an ontology on which objective features of the social world are irreducibly ethical.” Winch, on </w:t>
      </w:r>
      <w:proofErr w:type="spellStart"/>
      <w:r w:rsidR="00991F61" w:rsidRPr="00141344">
        <w:rPr>
          <w:rFonts w:ascii="Times New Roman" w:hAnsi="Times New Roman" w:cs="Times New Roman"/>
          <w:sz w:val="24"/>
          <w:szCs w:val="24"/>
          <w:lang w:val="en-US"/>
        </w:rPr>
        <w:t>Crary’s</w:t>
      </w:r>
      <w:proofErr w:type="spellEnd"/>
      <w:r w:rsidR="00991F61" w:rsidRPr="00141344">
        <w:rPr>
          <w:rFonts w:ascii="Times New Roman" w:hAnsi="Times New Roman" w:cs="Times New Roman"/>
          <w:sz w:val="24"/>
          <w:szCs w:val="24"/>
          <w:lang w:val="en-US"/>
        </w:rPr>
        <w:t xml:space="preserve"> </w:t>
      </w:r>
      <w:r w:rsidR="001771EC">
        <w:rPr>
          <w:rFonts w:ascii="Times New Roman" w:hAnsi="Times New Roman" w:cs="Times New Roman"/>
          <w:sz w:val="24"/>
          <w:szCs w:val="24"/>
          <w:lang w:val="en-US"/>
        </w:rPr>
        <w:t>(2018:</w:t>
      </w:r>
      <w:r w:rsidR="0073366B">
        <w:rPr>
          <w:rFonts w:ascii="Times New Roman" w:hAnsi="Times New Roman" w:cs="Times New Roman"/>
          <w:sz w:val="24"/>
          <w:szCs w:val="24"/>
          <w:lang w:val="en-US"/>
        </w:rPr>
        <w:t xml:space="preserve"> </w:t>
      </w:r>
      <w:r w:rsidR="001771EC">
        <w:rPr>
          <w:rFonts w:ascii="Times New Roman" w:hAnsi="Times New Roman" w:cs="Times New Roman"/>
          <w:sz w:val="24"/>
          <w:szCs w:val="24"/>
          <w:lang w:val="en-US"/>
        </w:rPr>
        <w:t xml:space="preserve">31) </w:t>
      </w:r>
      <w:r w:rsidR="00991F61" w:rsidRPr="00141344">
        <w:rPr>
          <w:rFonts w:ascii="Times New Roman" w:hAnsi="Times New Roman" w:cs="Times New Roman"/>
          <w:sz w:val="24"/>
          <w:szCs w:val="24"/>
          <w:lang w:val="en-US"/>
        </w:rPr>
        <w:t xml:space="preserve">reading, tells us that values are just as real, or almost as </w:t>
      </w:r>
      <w:r w:rsidR="001771EC">
        <w:rPr>
          <w:rFonts w:ascii="Times New Roman" w:hAnsi="Times New Roman" w:cs="Times New Roman"/>
          <w:sz w:val="24"/>
          <w:szCs w:val="24"/>
          <w:lang w:val="en-US"/>
        </w:rPr>
        <w:t>real, as physical objects are—</w:t>
      </w:r>
      <w:r w:rsidR="00991F61" w:rsidRPr="00141344">
        <w:rPr>
          <w:rFonts w:ascii="Times New Roman" w:hAnsi="Times New Roman" w:cs="Times New Roman"/>
          <w:sz w:val="24"/>
          <w:szCs w:val="24"/>
          <w:lang w:val="en-US"/>
        </w:rPr>
        <w:t>for Winch’s account “is giving us an image of a region of objective reality as an intrinsically ethical realm.” Still, Winch’s supposed ontology of rules is more often read as a misguided endorsement of both cultural relativism and social conservatism (Roth 2003, 2011; Turner 1994; Turner and Roth 2003). But it is equally common, especially among naturalists, to construe Winch’s supposed ontology as dependent on a hypothesis about mental en</w:t>
      </w:r>
      <w:r>
        <w:rPr>
          <w:rFonts w:ascii="Times New Roman" w:hAnsi="Times New Roman" w:cs="Times New Roman"/>
          <w:sz w:val="24"/>
          <w:szCs w:val="24"/>
          <w:lang w:val="en-US"/>
        </w:rPr>
        <w:t>tities. For example, Roth (1987:</w:t>
      </w:r>
      <w:r w:rsidR="00991F61" w:rsidRPr="00141344">
        <w:rPr>
          <w:rFonts w:ascii="Times New Roman" w:hAnsi="Times New Roman" w:cs="Times New Roman"/>
          <w:sz w:val="24"/>
          <w:szCs w:val="24"/>
          <w:lang w:val="en-US"/>
        </w:rPr>
        <w:t xml:space="preserve"> 138) derides, with implicit reference to Winch, philosophers of social science “who believe that there exist conceptual models lurking in mental space awaiting discovery.”</w:t>
      </w:r>
    </w:p>
    <w:p w14:paraId="1BE324A2" w14:textId="74D856C4" w:rsidR="004C6512" w:rsidRPr="00141344" w:rsidRDefault="002D6066"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The main line of attack in the naturalist critique is to contend that Winch’s ontology steers social science in the wrong direction. For if translation of meaning is, as Quine argued, essentially indeterminate, then the task of discovering supposedly univocal meaning-entities turns out to be an entirely misguided endeavor. According to Roth, this dismissal follows directly from Quine’s thesis about the indeterminacy of translation and the uprooting of the analytic/synthetic distinction on which it is based. A</w:t>
      </w:r>
      <w:r w:rsidR="0090570D">
        <w:rPr>
          <w:rFonts w:ascii="Times New Roman" w:hAnsi="Times New Roman" w:cs="Times New Roman"/>
          <w:sz w:val="24"/>
          <w:szCs w:val="24"/>
          <w:lang w:val="en-US"/>
        </w:rPr>
        <w:t>s Roth writes (1987:</w:t>
      </w:r>
      <w:r w:rsidR="00991F61" w:rsidRPr="00141344">
        <w:rPr>
          <w:rFonts w:ascii="Times New Roman" w:hAnsi="Times New Roman" w:cs="Times New Roman"/>
          <w:sz w:val="24"/>
          <w:szCs w:val="24"/>
          <w:lang w:val="en-US"/>
        </w:rPr>
        <w:t xml:space="preserve"> 139), the key issue is that Quine’s thesis undermines the entire idea of believing that there exists a “mental model that a propitious translation might mirror.” The point is, as Quine is supposed to have shown, that in contrast to the “objectively determinable stimulus conditions for observation sentences”, there can be no “similar warrant for an assumptio</w:t>
      </w:r>
      <w:r w:rsidR="0090570D">
        <w:rPr>
          <w:rFonts w:ascii="Times New Roman" w:hAnsi="Times New Roman" w:cs="Times New Roman"/>
          <w:sz w:val="24"/>
          <w:szCs w:val="24"/>
          <w:lang w:val="en-US"/>
        </w:rPr>
        <w:t>n about a shared semantic model” (Roth 1987:</w:t>
      </w:r>
      <w:r w:rsidR="00991F61" w:rsidRPr="00141344">
        <w:rPr>
          <w:rFonts w:ascii="Times New Roman" w:hAnsi="Times New Roman" w:cs="Times New Roman"/>
          <w:sz w:val="24"/>
          <w:szCs w:val="24"/>
          <w:lang w:val="en-US"/>
        </w:rPr>
        <w:t xml:space="preserve"> 143)</w:t>
      </w:r>
      <w:r w:rsidR="0090570D">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There are, Roth claims, no observable meaning-facts parallel to natural facts. Quine’s thesis shows, therefore, that “there is no behavioral fact of the matter [to separate between impositions and discoveries] moreover […] there are no introspective facts of the matte</w:t>
      </w:r>
      <w:r w:rsidR="0090570D">
        <w:rPr>
          <w:rFonts w:ascii="Times New Roman" w:hAnsi="Times New Roman" w:cs="Times New Roman"/>
          <w:sz w:val="24"/>
          <w:szCs w:val="24"/>
          <w:lang w:val="en-US"/>
        </w:rPr>
        <w:t>r to settle the question either” (Roth 1987:</w:t>
      </w:r>
      <w:r w:rsidR="00991F61" w:rsidRPr="00141344">
        <w:rPr>
          <w:rFonts w:ascii="Times New Roman" w:hAnsi="Times New Roman" w:cs="Times New Roman"/>
          <w:sz w:val="24"/>
          <w:szCs w:val="24"/>
          <w:lang w:val="en-US"/>
        </w:rPr>
        <w:t xml:space="preserve"> 234)</w:t>
      </w:r>
      <w:r w:rsidR="0090570D">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On the basis of su</w:t>
      </w:r>
      <w:r w:rsidR="00CC381C">
        <w:rPr>
          <w:rFonts w:ascii="Times New Roman" w:hAnsi="Times New Roman" w:cs="Times New Roman"/>
          <w:sz w:val="24"/>
          <w:szCs w:val="24"/>
          <w:lang w:val="en-US"/>
        </w:rPr>
        <w:t>ch considerations Roth (1987:</w:t>
      </w:r>
      <w:r w:rsidR="00991F61" w:rsidRPr="00141344">
        <w:rPr>
          <w:rFonts w:ascii="Times New Roman" w:hAnsi="Times New Roman" w:cs="Times New Roman"/>
          <w:sz w:val="24"/>
          <w:szCs w:val="24"/>
          <w:lang w:val="en-US"/>
        </w:rPr>
        <w:t xml:space="preserve"> 143–44) concludes that Quine’s thesis directly undercuts what he takes to be Winch’s central proposal for the social sciences: “If we have no reason for assuming that there exists some unique set of rules by which individuals jointly make sense </w:t>
      </w:r>
      <w:r w:rsidR="00991F61" w:rsidRPr="00141344">
        <w:rPr>
          <w:rFonts w:ascii="Times New Roman" w:hAnsi="Times New Roman" w:cs="Times New Roman"/>
          <w:sz w:val="24"/>
          <w:szCs w:val="24"/>
          <w:lang w:val="en-US"/>
        </w:rPr>
        <w:lastRenderedPageBreak/>
        <w:t>of their social environment, then it can hardly be maintained that the sole purpose of social analysis is to discover such rules.”</w:t>
      </w:r>
    </w:p>
    <w:p w14:paraId="74012687" w14:textId="08C942D2" w:rsidR="004C6512" w:rsidRPr="00141344" w:rsidRDefault="00CC381C"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There are two distinctly different ways in which one could defend Winch against the naturalist critique. One alternative is to tone down the rigidity of Winch’s supposed ontological claims about the social world. Such a defense can be mounted by stressing that Winch makes many qualifying remarks in this connection. Social rules, for Winch, are neither static nor univocal build</w:t>
      </w:r>
      <w:r w:rsidR="00DD3058">
        <w:rPr>
          <w:rFonts w:ascii="Times New Roman" w:hAnsi="Times New Roman" w:cs="Times New Roman"/>
          <w:sz w:val="24"/>
          <w:szCs w:val="24"/>
          <w:lang w:val="en-US"/>
        </w:rPr>
        <w:t>ing blocks of the human realm (c</w:t>
      </w:r>
      <w:r w:rsidR="00991F61" w:rsidRPr="00141344">
        <w:rPr>
          <w:rFonts w:ascii="Times New Roman" w:hAnsi="Times New Roman" w:cs="Times New Roman"/>
          <w:sz w:val="24"/>
          <w:szCs w:val="24"/>
          <w:lang w:val="en-US"/>
        </w:rPr>
        <w:t xml:space="preserve">f. </w:t>
      </w:r>
      <w:r w:rsidR="00991F61" w:rsidRPr="00141344">
        <w:rPr>
          <w:rFonts w:ascii="Times New Roman" w:hAnsi="Times New Roman" w:cs="Times New Roman"/>
          <w:i/>
          <w:iCs/>
          <w:sz w:val="24"/>
          <w:szCs w:val="24"/>
          <w:lang w:val="en-US"/>
        </w:rPr>
        <w:t>ISS</w:t>
      </w:r>
      <w:r w:rsidR="002D55F4">
        <w:rPr>
          <w:rFonts w:ascii="Times New Roman" w:hAnsi="Times New Roman" w:cs="Times New Roman"/>
          <w:i/>
          <w:iCs/>
          <w:sz w:val="24"/>
          <w:szCs w:val="24"/>
          <w:lang w:val="en-US"/>
        </w:rPr>
        <w:t>:</w:t>
      </w:r>
      <w:r w:rsidR="00991F61" w:rsidRPr="00141344">
        <w:rPr>
          <w:rFonts w:ascii="Times New Roman" w:hAnsi="Times New Roman" w:cs="Times New Roman"/>
          <w:sz w:val="24"/>
          <w:szCs w:val="24"/>
          <w:lang w:val="en-US"/>
        </w:rPr>
        <w:t xml:space="preserve"> 1.8). Winch also shows the diversity of social rules, some of which are implicit and others explicit; some are rigid while others are more permissive (</w:t>
      </w:r>
      <w:r w:rsidR="00991F61" w:rsidRPr="00141344">
        <w:rPr>
          <w:rFonts w:ascii="Times New Roman" w:hAnsi="Times New Roman" w:cs="Times New Roman"/>
          <w:i/>
          <w:iCs/>
          <w:sz w:val="24"/>
          <w:szCs w:val="24"/>
          <w:lang w:val="en-US"/>
        </w:rPr>
        <w:t>ISS</w:t>
      </w:r>
      <w:r w:rsidR="002D55F4">
        <w:rPr>
          <w:rFonts w:ascii="Times New Roman" w:hAnsi="Times New Roman" w:cs="Times New Roman"/>
          <w:sz w:val="24"/>
          <w:szCs w:val="24"/>
          <w:lang w:val="en-US"/>
        </w:rPr>
        <w:t>: 2.2-2.5).</w:t>
      </w:r>
      <w:r w:rsidR="00331D1B">
        <w:rPr>
          <w:rStyle w:val="FootnoteReference"/>
          <w:rFonts w:ascii="Times New Roman" w:hAnsi="Times New Roman" w:cs="Times New Roman"/>
          <w:sz w:val="24"/>
          <w:szCs w:val="24"/>
          <w:lang w:val="en-US"/>
        </w:rPr>
        <w:footnoteReference w:id="5"/>
      </w:r>
      <w:r w:rsidR="002D55F4">
        <w:rPr>
          <w:rFonts w:ascii="Times New Roman" w:hAnsi="Times New Roman" w:cs="Times New Roman"/>
          <w:sz w:val="24"/>
          <w:szCs w:val="24"/>
          <w:lang w:val="en-US"/>
        </w:rPr>
        <w:t xml:space="preserve"> </w:t>
      </w:r>
      <w:proofErr w:type="spellStart"/>
      <w:r w:rsidR="002D55F4">
        <w:rPr>
          <w:rFonts w:ascii="Times New Roman" w:hAnsi="Times New Roman" w:cs="Times New Roman"/>
          <w:sz w:val="24"/>
          <w:szCs w:val="24"/>
          <w:lang w:val="en-US"/>
        </w:rPr>
        <w:t>Theunissen</w:t>
      </w:r>
      <w:proofErr w:type="spellEnd"/>
      <w:r w:rsidR="002D55F4">
        <w:rPr>
          <w:rFonts w:ascii="Times New Roman" w:hAnsi="Times New Roman" w:cs="Times New Roman"/>
          <w:sz w:val="24"/>
          <w:szCs w:val="24"/>
          <w:lang w:val="en-US"/>
        </w:rPr>
        <w:t xml:space="preserve"> (2020: </w:t>
      </w:r>
      <w:r w:rsidR="00991F61" w:rsidRPr="00141344">
        <w:rPr>
          <w:rFonts w:ascii="Times New Roman" w:hAnsi="Times New Roman" w:cs="Times New Roman"/>
          <w:sz w:val="24"/>
          <w:szCs w:val="24"/>
          <w:lang w:val="en-US"/>
        </w:rPr>
        <w:t xml:space="preserve">265) uses this line of defense and writes: “[For Winch,] rules aren’t a homogeneous class of ontological entities that fix social life as ready for interpretation, rather they are varied, multifaceted, contingently or necessarily indeterminate, subject to change and thus as pluriform and dynamic as we expect social life to be.” However, the problem with this line of defense is that it does not pull Winch firmly enough out of the ontological trench. Emphasizing the diversity of rules simply risks transforming Winch from a rigorous </w:t>
      </w:r>
      <w:proofErr w:type="spellStart"/>
      <w:r w:rsidR="00991F61" w:rsidRPr="00141344">
        <w:rPr>
          <w:rFonts w:ascii="Times New Roman" w:hAnsi="Times New Roman" w:cs="Times New Roman"/>
          <w:sz w:val="24"/>
          <w:szCs w:val="24"/>
          <w:lang w:val="en-US"/>
        </w:rPr>
        <w:t>ontologist</w:t>
      </w:r>
      <w:proofErr w:type="spellEnd"/>
      <w:r w:rsidR="00991F61" w:rsidRPr="00141344">
        <w:rPr>
          <w:rFonts w:ascii="Times New Roman" w:hAnsi="Times New Roman" w:cs="Times New Roman"/>
          <w:sz w:val="24"/>
          <w:szCs w:val="24"/>
          <w:lang w:val="en-US"/>
        </w:rPr>
        <w:t xml:space="preserve"> who subscribes to determinate Platonic meanings into an indecisive </w:t>
      </w:r>
      <w:proofErr w:type="spellStart"/>
      <w:r w:rsidR="00991F61" w:rsidRPr="00141344">
        <w:rPr>
          <w:rFonts w:ascii="Times New Roman" w:hAnsi="Times New Roman" w:cs="Times New Roman"/>
          <w:sz w:val="24"/>
          <w:szCs w:val="24"/>
          <w:lang w:val="en-US"/>
        </w:rPr>
        <w:t>ontologist</w:t>
      </w:r>
      <w:proofErr w:type="spellEnd"/>
      <w:r w:rsidR="00991F61" w:rsidRPr="00141344">
        <w:rPr>
          <w:rFonts w:ascii="Times New Roman" w:hAnsi="Times New Roman" w:cs="Times New Roman"/>
          <w:sz w:val="24"/>
          <w:szCs w:val="24"/>
          <w:lang w:val="en-US"/>
        </w:rPr>
        <w:t xml:space="preserve"> who believes that social rules are so varied that one cannot say much about them at all, while lamenting that meaning-entities are as complex as life itself. Furthermore, this kind of defense carries no weight against naturalism. For whether meaning-entities are univocal or multifaceted makes no difference for the thesis of</w:t>
      </w:r>
      <w:r w:rsidR="002D55F4">
        <w:rPr>
          <w:rFonts w:ascii="Times New Roman" w:hAnsi="Times New Roman" w:cs="Times New Roman"/>
          <w:sz w:val="24"/>
          <w:szCs w:val="24"/>
          <w:lang w:val="en-US"/>
        </w:rPr>
        <w:t xml:space="preserve"> indeterminacy of translation—</w:t>
      </w:r>
      <w:r w:rsidR="00991F61" w:rsidRPr="00141344">
        <w:rPr>
          <w:rFonts w:ascii="Times New Roman" w:hAnsi="Times New Roman" w:cs="Times New Roman"/>
          <w:sz w:val="24"/>
          <w:szCs w:val="24"/>
          <w:lang w:val="en-US"/>
        </w:rPr>
        <w:t>the argument is that no specifiable meaning can be discovered ‘be</w:t>
      </w:r>
      <w:r w:rsidR="002D55F4">
        <w:rPr>
          <w:rFonts w:ascii="Times New Roman" w:hAnsi="Times New Roman" w:cs="Times New Roman"/>
          <w:sz w:val="24"/>
          <w:szCs w:val="24"/>
          <w:lang w:val="en-US"/>
        </w:rPr>
        <w:t>hind’ behavioral facts at all (cf. Roth 1987:</w:t>
      </w:r>
      <w:r w:rsidR="00991F61" w:rsidRPr="00141344">
        <w:rPr>
          <w:rFonts w:ascii="Times New Roman" w:hAnsi="Times New Roman" w:cs="Times New Roman"/>
          <w:sz w:val="24"/>
          <w:szCs w:val="24"/>
          <w:lang w:val="en-US"/>
        </w:rPr>
        <w:t xml:space="preserve"> 143).</w:t>
      </w:r>
      <w:r w:rsidR="00991F61" w:rsidRPr="00141344">
        <w:rPr>
          <w:rStyle w:val="FootnoteReference"/>
          <w:rFonts w:ascii="Times New Roman" w:hAnsi="Times New Roman" w:cs="Times New Roman"/>
          <w:sz w:val="24"/>
          <w:szCs w:val="24"/>
          <w:lang w:val="en-US"/>
        </w:rPr>
        <w:footnoteReference w:id="6"/>
      </w:r>
    </w:p>
    <w:p w14:paraId="6B2FF46A" w14:textId="4FE451A7" w:rsidR="004C6512" w:rsidRDefault="002D55F4"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An alternative line of defense is to dispute that Winch was engaged with ontology in the first place, which means denying that</w:t>
      </w:r>
      <w:r w:rsidR="00991F61" w:rsidRPr="00141344">
        <w:rPr>
          <w:rFonts w:ascii="Times New Roman" w:hAnsi="Times New Roman" w:cs="Times New Roman"/>
          <w:i/>
          <w:iCs/>
          <w:sz w:val="24"/>
          <w:szCs w:val="24"/>
          <w:lang w:val="en-US"/>
        </w:rPr>
        <w:t xml:space="preserve"> ISS</w:t>
      </w:r>
      <w:r w:rsidR="00991F61" w:rsidRPr="00141344">
        <w:rPr>
          <w:rFonts w:ascii="Times New Roman" w:hAnsi="Times New Roman" w:cs="Times New Roman"/>
          <w:sz w:val="24"/>
          <w:szCs w:val="24"/>
          <w:lang w:val="en-US"/>
        </w:rPr>
        <w:t xml:space="preserve"> is in the business of determining what kinds of things generally exist in the world. In that case, one must explicate what kind of philosophical work Winch himself assigns to the much-debated concept of rule-following. It is important to note that Winch does not understand rule-following as a concept for making ontological claims, but rather as a concept used for </w:t>
      </w:r>
      <w:r w:rsidR="00991F61" w:rsidRPr="00141344">
        <w:rPr>
          <w:rFonts w:ascii="Times New Roman" w:hAnsi="Times New Roman" w:cs="Times New Roman"/>
          <w:i/>
          <w:sz w:val="24"/>
          <w:szCs w:val="24"/>
          <w:lang w:val="en-US"/>
        </w:rPr>
        <w:t>delineating logical distinctions</w:t>
      </w:r>
      <w:r w:rsidR="00991F61" w:rsidRPr="00141344">
        <w:rPr>
          <w:rFonts w:ascii="Times New Roman" w:hAnsi="Times New Roman" w:cs="Times New Roman"/>
          <w:sz w:val="24"/>
          <w:szCs w:val="24"/>
          <w:lang w:val="en-US"/>
        </w:rPr>
        <w:t xml:space="preserve"> between forms of understanding and explanation in social and natural science respectively. When </w:t>
      </w:r>
      <w:r w:rsidR="00991F61" w:rsidRPr="00141344">
        <w:rPr>
          <w:rFonts w:ascii="Times New Roman" w:hAnsi="Times New Roman" w:cs="Times New Roman"/>
          <w:sz w:val="24"/>
          <w:szCs w:val="24"/>
          <w:lang w:val="en-US"/>
        </w:rPr>
        <w:lastRenderedPageBreak/>
        <w:t>Winch reflects on the main argument of</w:t>
      </w:r>
      <w:r w:rsidR="00991F61" w:rsidRPr="00141344">
        <w:rPr>
          <w:rFonts w:ascii="Times New Roman" w:hAnsi="Times New Roman" w:cs="Times New Roman"/>
          <w:i/>
          <w:iCs/>
          <w:sz w:val="24"/>
          <w:szCs w:val="24"/>
          <w:lang w:val="en-US"/>
        </w:rPr>
        <w:t xml:space="preserve"> ISS</w:t>
      </w:r>
      <w:r w:rsidR="00991F61" w:rsidRPr="00141344">
        <w:rPr>
          <w:rFonts w:ascii="Times New Roman" w:hAnsi="Times New Roman" w:cs="Times New Roman"/>
          <w:sz w:val="24"/>
          <w:szCs w:val="24"/>
          <w:lang w:val="en-US"/>
        </w:rPr>
        <w:t xml:space="preserve"> in his new introduction for the second edition of the book, he makes the following clarification: </w:t>
      </w:r>
    </w:p>
    <w:p w14:paraId="76D6DF3F" w14:textId="77777777" w:rsidR="002D55F4" w:rsidRPr="00141344" w:rsidRDefault="002D55F4" w:rsidP="00CA35E7">
      <w:pPr>
        <w:spacing w:after="0" w:line="360" w:lineRule="auto"/>
        <w:rPr>
          <w:rFonts w:ascii="Times New Roman" w:hAnsi="Times New Roman" w:cs="Times New Roman"/>
          <w:sz w:val="24"/>
          <w:szCs w:val="24"/>
          <w:lang w:val="en-US"/>
        </w:rPr>
      </w:pPr>
    </w:p>
    <w:p w14:paraId="29C06B96" w14:textId="7658B0BD" w:rsidR="004C6512" w:rsidRPr="002D55F4" w:rsidRDefault="00991F61" w:rsidP="002D55F4">
      <w:pPr>
        <w:spacing w:after="0" w:line="360" w:lineRule="auto"/>
        <w:ind w:left="567" w:right="567"/>
        <w:rPr>
          <w:rFonts w:ascii="Times New Roman" w:eastAsia="Times New Roman" w:hAnsi="Times New Roman" w:cs="Times New Roman"/>
          <w:sz w:val="20"/>
          <w:szCs w:val="24"/>
          <w:lang w:val="en-US" w:eastAsia="sv-SE"/>
        </w:rPr>
      </w:pPr>
      <w:r w:rsidRPr="002D55F4">
        <w:rPr>
          <w:rFonts w:ascii="Times New Roman" w:eastAsia="Times New Roman" w:hAnsi="Times New Roman" w:cs="Times New Roman"/>
          <w:sz w:val="20"/>
          <w:szCs w:val="24"/>
          <w:lang w:val="en-US" w:eastAsia="sv-SE"/>
        </w:rPr>
        <w:t xml:space="preserve">The discussion of the distinction between the natural and the social sciences in the book revolves round the concept of </w:t>
      </w:r>
      <w:r w:rsidRPr="002D55F4">
        <w:rPr>
          <w:rFonts w:ascii="Times New Roman" w:eastAsia="Times New Roman" w:hAnsi="Times New Roman" w:cs="Times New Roman"/>
          <w:i/>
          <w:iCs/>
          <w:sz w:val="20"/>
          <w:szCs w:val="24"/>
          <w:lang w:val="en-US" w:eastAsia="sv-SE"/>
        </w:rPr>
        <w:t xml:space="preserve">generality </w:t>
      </w:r>
      <w:r w:rsidRPr="002D55F4">
        <w:rPr>
          <w:rFonts w:ascii="Times New Roman" w:eastAsia="Times New Roman" w:hAnsi="Times New Roman" w:cs="Times New Roman"/>
          <w:sz w:val="20"/>
          <w:szCs w:val="24"/>
          <w:lang w:val="en-US" w:eastAsia="sv-SE"/>
        </w:rPr>
        <w:t xml:space="preserve">and the different ways in which this characterizes our understanding of natural and social phenomena respectively. I expressed this difference by saying that our understanding of natural phenomena is in terms of the notion of cause, while our understanding of social phenomena involves the categories of </w:t>
      </w:r>
      <w:r w:rsidRPr="002D55F4">
        <w:rPr>
          <w:rFonts w:ascii="Times New Roman" w:eastAsia="Times New Roman" w:hAnsi="Times New Roman" w:cs="Times New Roman"/>
          <w:i/>
          <w:iCs/>
          <w:sz w:val="20"/>
          <w:szCs w:val="24"/>
          <w:lang w:val="en-US" w:eastAsia="sv-SE"/>
        </w:rPr>
        <w:t xml:space="preserve">motives </w:t>
      </w:r>
      <w:r w:rsidRPr="002D55F4">
        <w:rPr>
          <w:rFonts w:ascii="Times New Roman" w:eastAsia="Times New Roman" w:hAnsi="Times New Roman" w:cs="Times New Roman"/>
          <w:sz w:val="20"/>
          <w:szCs w:val="24"/>
          <w:lang w:val="en-US" w:eastAsia="sv-SE"/>
        </w:rPr>
        <w:t xml:space="preserve">and </w:t>
      </w:r>
      <w:r w:rsidRPr="002D55F4">
        <w:rPr>
          <w:rFonts w:ascii="Times New Roman" w:eastAsia="Times New Roman" w:hAnsi="Times New Roman" w:cs="Times New Roman"/>
          <w:i/>
          <w:iCs/>
          <w:sz w:val="20"/>
          <w:szCs w:val="24"/>
          <w:lang w:val="en-US" w:eastAsia="sv-SE"/>
        </w:rPr>
        <w:t xml:space="preserve">reasons </w:t>
      </w:r>
      <w:r w:rsidRPr="002D55F4">
        <w:rPr>
          <w:rFonts w:ascii="Times New Roman" w:eastAsia="Times New Roman" w:hAnsi="Times New Roman" w:cs="Times New Roman"/>
          <w:sz w:val="20"/>
          <w:szCs w:val="24"/>
          <w:lang w:val="en-US" w:eastAsia="sv-SE"/>
        </w:rPr>
        <w:t>for actions. Furthermore, I argued, whereas the category of cause involves generality by way of empirical generalizations, that of a reason for action involves generality by way of rules. And these notions—of generalization and of rule—differ from each other in important logical respects. (</w:t>
      </w:r>
      <w:r w:rsidR="002D55F4" w:rsidRPr="002D55F4">
        <w:rPr>
          <w:rFonts w:ascii="Times New Roman" w:eastAsia="Times New Roman" w:hAnsi="Times New Roman" w:cs="Times New Roman"/>
          <w:sz w:val="20"/>
          <w:szCs w:val="24"/>
          <w:lang w:val="en-US" w:eastAsia="sv-SE"/>
        </w:rPr>
        <w:t>Winch 1990:</w:t>
      </w:r>
      <w:r w:rsidRPr="002D55F4">
        <w:rPr>
          <w:rFonts w:ascii="Times New Roman" w:eastAsia="Times New Roman" w:hAnsi="Times New Roman" w:cs="Times New Roman"/>
          <w:sz w:val="20"/>
          <w:szCs w:val="24"/>
          <w:lang w:val="en-US" w:eastAsia="sv-SE"/>
        </w:rPr>
        <w:t xml:space="preserve"> xi</w:t>
      </w:r>
      <w:r w:rsidR="002D55F4">
        <w:rPr>
          <w:rFonts w:ascii="Times New Roman" w:eastAsia="Times New Roman" w:hAnsi="Times New Roman" w:cs="Times New Roman"/>
          <w:sz w:val="20"/>
          <w:szCs w:val="24"/>
          <w:lang w:val="en-US" w:eastAsia="sv-SE"/>
        </w:rPr>
        <w:t>, original emphases</w:t>
      </w:r>
      <w:r w:rsidRPr="002D55F4">
        <w:rPr>
          <w:rFonts w:ascii="Times New Roman" w:eastAsia="Times New Roman" w:hAnsi="Times New Roman" w:cs="Times New Roman"/>
          <w:sz w:val="20"/>
          <w:szCs w:val="24"/>
          <w:lang w:val="en-US" w:eastAsia="sv-SE"/>
        </w:rPr>
        <w:t>)</w:t>
      </w:r>
    </w:p>
    <w:p w14:paraId="2C3F67A7" w14:textId="77777777" w:rsidR="002D55F4" w:rsidRPr="00141344" w:rsidRDefault="002D55F4" w:rsidP="00CA35E7">
      <w:pPr>
        <w:spacing w:after="0" w:line="360" w:lineRule="auto"/>
        <w:ind w:left="720"/>
        <w:rPr>
          <w:rFonts w:ascii="Times New Roman" w:eastAsia="Times New Roman" w:hAnsi="Times New Roman" w:cs="Times New Roman"/>
          <w:sz w:val="24"/>
          <w:szCs w:val="24"/>
          <w:lang w:val="en-US" w:eastAsia="sv-SE"/>
        </w:rPr>
      </w:pPr>
    </w:p>
    <w:p w14:paraId="55EC34AE" w14:textId="3BD5E2FE" w:rsidR="004C6512" w:rsidRPr="00141344" w:rsidRDefault="00991F61" w:rsidP="00CA35E7">
      <w:pPr>
        <w:spacing w:after="0" w:line="360" w:lineRule="auto"/>
        <w:rPr>
          <w:rFonts w:ascii="Times New Roman" w:hAnsi="Times New Roman" w:cs="Times New Roman"/>
          <w:sz w:val="24"/>
          <w:szCs w:val="24"/>
          <w:lang w:val="en-US"/>
        </w:rPr>
      </w:pPr>
      <w:r w:rsidRPr="00141344">
        <w:rPr>
          <w:rFonts w:ascii="Times New Roman" w:hAnsi="Times New Roman" w:cs="Times New Roman"/>
          <w:sz w:val="24"/>
          <w:szCs w:val="24"/>
          <w:lang w:val="en-US"/>
        </w:rPr>
        <w:t>In the paragraphs which follow these remarks Winch furthermore clarifies that he is not merely making a verbal distinction here, as if he was legislating about t</w:t>
      </w:r>
      <w:r w:rsidR="009C1512">
        <w:rPr>
          <w:rFonts w:ascii="Times New Roman" w:hAnsi="Times New Roman" w:cs="Times New Roman"/>
          <w:sz w:val="24"/>
          <w:szCs w:val="24"/>
          <w:lang w:val="en-US"/>
        </w:rPr>
        <w:t>he way we should use our words.</w:t>
      </w:r>
      <w:r w:rsidRPr="00141344">
        <w:rPr>
          <w:rFonts w:ascii="Times New Roman" w:hAnsi="Times New Roman" w:cs="Times New Roman"/>
          <w:sz w:val="24"/>
          <w:szCs w:val="24"/>
          <w:lang w:val="en-US"/>
        </w:rPr>
        <w:t xml:space="preserve"> Winch emphasizes that we can, and do, </w:t>
      </w:r>
      <w:r w:rsidR="009C1512">
        <w:rPr>
          <w:rFonts w:ascii="Times New Roman" w:hAnsi="Times New Roman" w:cs="Times New Roman"/>
          <w:sz w:val="24"/>
          <w:szCs w:val="24"/>
          <w:lang w:val="en-US"/>
        </w:rPr>
        <w:t>speak about actions as caused—</w:t>
      </w:r>
      <w:r w:rsidRPr="00141344">
        <w:rPr>
          <w:rFonts w:ascii="Times New Roman" w:hAnsi="Times New Roman" w:cs="Times New Roman"/>
          <w:sz w:val="24"/>
          <w:szCs w:val="24"/>
          <w:lang w:val="en-US"/>
        </w:rPr>
        <w:t>in phrases such as ‘what was the cause of his doing that?’</w:t>
      </w:r>
      <w:r w:rsidR="009C1512">
        <w:rPr>
          <w:rFonts w:ascii="Times New Roman" w:hAnsi="Times New Roman" w:cs="Times New Roman"/>
          <w:sz w:val="24"/>
          <w:szCs w:val="24"/>
          <w:lang w:val="en-US"/>
        </w:rPr>
        <w:t>—</w:t>
      </w:r>
      <w:r w:rsidRPr="00141344">
        <w:rPr>
          <w:rFonts w:ascii="Times New Roman" w:hAnsi="Times New Roman" w:cs="Times New Roman"/>
          <w:sz w:val="24"/>
          <w:szCs w:val="24"/>
          <w:lang w:val="en-US"/>
        </w:rPr>
        <w:t>which implies that causal terms do apply to human actions also. Nonetheless, Winch</w:t>
      </w:r>
      <w:r w:rsidR="009C1512">
        <w:rPr>
          <w:rFonts w:ascii="Times New Roman" w:hAnsi="Times New Roman" w:cs="Times New Roman"/>
          <w:sz w:val="24"/>
          <w:szCs w:val="24"/>
          <w:lang w:val="en-US"/>
        </w:rPr>
        <w:t xml:space="preserve"> (1990: xii)</w:t>
      </w:r>
      <w:r w:rsidRPr="00141344">
        <w:rPr>
          <w:rFonts w:ascii="Times New Roman" w:hAnsi="Times New Roman" w:cs="Times New Roman"/>
          <w:sz w:val="24"/>
          <w:szCs w:val="24"/>
          <w:lang w:val="en-US"/>
        </w:rPr>
        <w:t xml:space="preserve"> points out that this does not matter for the logical distinction that he is investigating: “it would be a great mistake to think that, in saying this [that causal terms apply to action], we are saying anything substantial about the form of explanation and understanding of hi</w:t>
      </w:r>
      <w:r w:rsidR="009C1512">
        <w:rPr>
          <w:rFonts w:ascii="Times New Roman" w:hAnsi="Times New Roman" w:cs="Times New Roman"/>
          <w:sz w:val="24"/>
          <w:szCs w:val="24"/>
          <w:lang w:val="en-US"/>
        </w:rPr>
        <w:t>s behaviour that is in question.”</w:t>
      </w:r>
    </w:p>
    <w:p w14:paraId="61ADD339" w14:textId="1120E9CA" w:rsidR="004C6512" w:rsidRPr="00141344" w:rsidRDefault="009C1512"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For Winch, the concept of rule serves a logical function in the form of explanation that distinguishes social</w:t>
      </w:r>
      <w:r w:rsidR="00AE1375">
        <w:rPr>
          <w:rFonts w:ascii="Times New Roman" w:hAnsi="Times New Roman" w:cs="Times New Roman"/>
          <w:sz w:val="24"/>
          <w:szCs w:val="24"/>
          <w:lang w:val="en-US"/>
        </w:rPr>
        <w:t xml:space="preserve"> science from natural science. </w:t>
      </w:r>
      <w:r w:rsidR="00991F61" w:rsidRPr="00141344">
        <w:rPr>
          <w:rFonts w:ascii="Times New Roman" w:hAnsi="Times New Roman" w:cs="Times New Roman"/>
          <w:sz w:val="24"/>
          <w:szCs w:val="24"/>
          <w:lang w:val="en-US"/>
        </w:rPr>
        <w:t xml:space="preserve">The social scientist does not start by hypostasizing that such and such social rules exist as ready-made meaning-entities. Rather, rules, norms and concepts are what social scientists must (logically) </w:t>
      </w:r>
      <w:r w:rsidR="00991F61" w:rsidRPr="00141344">
        <w:rPr>
          <w:rFonts w:ascii="Times New Roman" w:hAnsi="Times New Roman" w:cs="Times New Roman"/>
          <w:i/>
          <w:iCs/>
          <w:sz w:val="24"/>
          <w:szCs w:val="24"/>
          <w:lang w:val="en-US"/>
        </w:rPr>
        <w:t>look for</w:t>
      </w:r>
      <w:r w:rsidR="00991F61" w:rsidRPr="00141344">
        <w:rPr>
          <w:rFonts w:ascii="Times New Roman" w:hAnsi="Times New Roman" w:cs="Times New Roman"/>
          <w:sz w:val="24"/>
          <w:szCs w:val="24"/>
          <w:lang w:val="en-US"/>
        </w:rPr>
        <w:t xml:space="preserve"> in order to render action intelligible by invoking motives and reasons on the part of the agents. For in so far as what counts as legitimate reasons and motives for action are </w:t>
      </w:r>
      <w:r w:rsidR="00991F61" w:rsidRPr="00141344">
        <w:rPr>
          <w:rFonts w:ascii="Times New Roman" w:hAnsi="Times New Roman" w:cs="Times New Roman"/>
          <w:i/>
          <w:iCs/>
          <w:sz w:val="24"/>
          <w:szCs w:val="24"/>
          <w:lang w:val="en-US"/>
        </w:rPr>
        <w:t>not</w:t>
      </w:r>
      <w:r w:rsidR="00991F61" w:rsidRPr="00141344">
        <w:rPr>
          <w:rFonts w:ascii="Times New Roman" w:hAnsi="Times New Roman" w:cs="Times New Roman"/>
          <w:sz w:val="24"/>
          <w:szCs w:val="24"/>
          <w:lang w:val="en-US"/>
        </w:rPr>
        <w:t xml:space="preserve"> determined by universal human nature, the possibility of giving explanations in terms of reasons and motives will, necessarily, depend on understanding historically specific rul</w:t>
      </w:r>
      <w:r w:rsidR="00AE1375">
        <w:rPr>
          <w:rFonts w:ascii="Times New Roman" w:hAnsi="Times New Roman" w:cs="Times New Roman"/>
          <w:sz w:val="24"/>
          <w:szCs w:val="24"/>
          <w:lang w:val="en-US"/>
        </w:rPr>
        <w:t>es, norms, ideas and concepts—</w:t>
      </w:r>
      <w:r w:rsidR="00991F61" w:rsidRPr="00141344">
        <w:rPr>
          <w:rFonts w:ascii="Times New Roman" w:hAnsi="Times New Roman" w:cs="Times New Roman"/>
          <w:sz w:val="24"/>
          <w:szCs w:val="24"/>
          <w:lang w:val="en-US"/>
        </w:rPr>
        <w:t xml:space="preserve">expressed in </w:t>
      </w:r>
      <w:r w:rsidR="00AE1375">
        <w:rPr>
          <w:rFonts w:ascii="Times New Roman" w:hAnsi="Times New Roman" w:cs="Times New Roman"/>
          <w:sz w:val="24"/>
          <w:szCs w:val="24"/>
          <w:lang w:val="en-US"/>
        </w:rPr>
        <w:t>practices and ways of thinking—</w:t>
      </w:r>
      <w:r w:rsidR="00991F61" w:rsidRPr="00141344">
        <w:rPr>
          <w:rFonts w:ascii="Times New Roman" w:hAnsi="Times New Roman" w:cs="Times New Roman"/>
          <w:sz w:val="24"/>
          <w:szCs w:val="24"/>
          <w:lang w:val="en-US"/>
        </w:rPr>
        <w:t xml:space="preserve">in virtue of which reasons and motives have normative force. In fact, in a very similar way, for the natural scientist, using the concept of cause does not entail the supposition of causes as ready-made entities in the natural world. Rather, ‘causality’ </w:t>
      </w:r>
      <w:r w:rsidR="00AE1375" w:rsidRPr="00141344">
        <w:rPr>
          <w:rFonts w:ascii="Times New Roman" w:hAnsi="Times New Roman" w:cs="Times New Roman"/>
          <w:sz w:val="24"/>
          <w:szCs w:val="24"/>
          <w:lang w:val="en-US"/>
        </w:rPr>
        <w:t>characterizes</w:t>
      </w:r>
      <w:r w:rsidR="00991F61" w:rsidRPr="00141344">
        <w:rPr>
          <w:rFonts w:ascii="Times New Roman" w:hAnsi="Times New Roman" w:cs="Times New Roman"/>
          <w:sz w:val="24"/>
          <w:szCs w:val="24"/>
          <w:lang w:val="en-US"/>
        </w:rPr>
        <w:t xml:space="preserve"> </w:t>
      </w:r>
      <w:r w:rsidR="00991F61" w:rsidRPr="00141344">
        <w:rPr>
          <w:rFonts w:ascii="Times New Roman" w:hAnsi="Times New Roman" w:cs="Times New Roman"/>
          <w:i/>
          <w:sz w:val="24"/>
          <w:szCs w:val="24"/>
          <w:lang w:val="en-US"/>
        </w:rPr>
        <w:t>the form of explanation</w:t>
      </w:r>
      <w:r w:rsidR="00991F61" w:rsidRPr="00141344">
        <w:rPr>
          <w:rFonts w:ascii="Times New Roman" w:hAnsi="Times New Roman" w:cs="Times New Roman"/>
          <w:sz w:val="24"/>
          <w:szCs w:val="24"/>
          <w:lang w:val="en-US"/>
        </w:rPr>
        <w:t xml:space="preserve"> by way of which the natural scientist investigates empirical generalizations. Consequently, the question of whether social rules</w:t>
      </w:r>
      <w:r w:rsidR="00AE1375">
        <w:rPr>
          <w:rFonts w:ascii="Times New Roman" w:hAnsi="Times New Roman" w:cs="Times New Roman"/>
          <w:sz w:val="24"/>
          <w:szCs w:val="24"/>
          <w:lang w:val="en-US"/>
        </w:rPr>
        <w:t xml:space="preserve"> are univocal or multifaceted—</w:t>
      </w:r>
      <w:r w:rsidR="00991F61" w:rsidRPr="00141344">
        <w:rPr>
          <w:rFonts w:ascii="Times New Roman" w:hAnsi="Times New Roman" w:cs="Times New Roman"/>
          <w:sz w:val="24"/>
          <w:szCs w:val="24"/>
          <w:lang w:val="en-US"/>
        </w:rPr>
        <w:t>or whether</w:t>
      </w:r>
      <w:r w:rsidR="00AE1375">
        <w:rPr>
          <w:rFonts w:ascii="Times New Roman" w:hAnsi="Times New Roman" w:cs="Times New Roman"/>
          <w:sz w:val="24"/>
          <w:szCs w:val="24"/>
          <w:lang w:val="en-US"/>
        </w:rPr>
        <w:t xml:space="preserve"> causes are simple or complex—</w:t>
      </w:r>
      <w:r w:rsidR="00991F61" w:rsidRPr="00141344">
        <w:rPr>
          <w:rFonts w:ascii="Times New Roman" w:hAnsi="Times New Roman" w:cs="Times New Roman"/>
          <w:sz w:val="24"/>
          <w:szCs w:val="24"/>
          <w:lang w:val="en-US"/>
        </w:rPr>
        <w:t xml:space="preserve">is not a </w:t>
      </w:r>
      <w:r w:rsidR="00991F61" w:rsidRPr="00141344">
        <w:rPr>
          <w:rFonts w:ascii="Times New Roman" w:hAnsi="Times New Roman" w:cs="Times New Roman"/>
          <w:sz w:val="24"/>
          <w:szCs w:val="24"/>
          <w:lang w:val="en-US"/>
        </w:rPr>
        <w:lastRenderedPageBreak/>
        <w:t>question to be solved by ontological theory, but rather an empirical question that finds its answer in the actual work of the social and natural scientists respectively. Again it is important to note that Winch stresses these points by quoting passages in which Wittgenstein speaks of ‘language-games’ and ‘rules’ not as entities independent of our forms of understanding, but rather as concepts of comparison through which we r</w:t>
      </w:r>
      <w:r w:rsidR="00AE1375">
        <w:rPr>
          <w:rFonts w:ascii="Times New Roman" w:hAnsi="Times New Roman" w:cs="Times New Roman"/>
          <w:sz w:val="24"/>
          <w:szCs w:val="24"/>
          <w:lang w:val="en-US"/>
        </w:rPr>
        <w:t>ender experience intelligible (cf. Winch 1990:</w:t>
      </w:r>
      <w:r w:rsidR="00991F61" w:rsidRPr="00141344">
        <w:rPr>
          <w:rFonts w:ascii="Times New Roman" w:hAnsi="Times New Roman" w:cs="Times New Roman"/>
          <w:sz w:val="24"/>
          <w:szCs w:val="24"/>
          <w:lang w:val="en-US"/>
        </w:rPr>
        <w:t xml:space="preserve"> xiv).</w:t>
      </w:r>
    </w:p>
    <w:p w14:paraId="648D0DA4" w14:textId="24EF747A" w:rsidR="004C6512" w:rsidRPr="00141344" w:rsidRDefault="00AE1375"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The naturalist critique of Winch rests on confusing his delineations of </w:t>
      </w:r>
      <w:r w:rsidR="00991F61" w:rsidRPr="00141344">
        <w:rPr>
          <w:rFonts w:ascii="Times New Roman" w:hAnsi="Times New Roman" w:cs="Times New Roman"/>
          <w:i/>
          <w:sz w:val="24"/>
          <w:szCs w:val="24"/>
          <w:lang w:val="en-US"/>
        </w:rPr>
        <w:t>logical commitments</w:t>
      </w:r>
      <w:r w:rsidR="00991F61" w:rsidRPr="00141344">
        <w:rPr>
          <w:rFonts w:ascii="Times New Roman" w:hAnsi="Times New Roman" w:cs="Times New Roman"/>
          <w:sz w:val="24"/>
          <w:szCs w:val="24"/>
          <w:lang w:val="en-US"/>
        </w:rPr>
        <w:t xml:space="preserve">, inherent in different forms of explanation, with </w:t>
      </w:r>
      <w:r w:rsidR="00991F61" w:rsidRPr="00141344">
        <w:rPr>
          <w:rFonts w:ascii="Times New Roman" w:hAnsi="Times New Roman" w:cs="Times New Roman"/>
          <w:i/>
          <w:sz w:val="24"/>
          <w:szCs w:val="24"/>
          <w:lang w:val="en-US"/>
        </w:rPr>
        <w:t>ontological claims</w:t>
      </w:r>
      <w:r w:rsidR="00991F61" w:rsidRPr="00141344">
        <w:rPr>
          <w:rFonts w:ascii="Times New Roman" w:hAnsi="Times New Roman" w:cs="Times New Roman"/>
          <w:sz w:val="24"/>
          <w:szCs w:val="24"/>
          <w:lang w:val="en-US"/>
        </w:rPr>
        <w:t xml:space="preserve"> about what kinds of thing exist in the world. Importantly, Winch explicitly rejects the assumption that naturalists believe to be the most problematic feature of his philosophy of the social science, namely, that explanation by way of social rules, norms and concepts presupposes an idea of hidden mental entities. Winch</w:t>
      </w:r>
      <w:r w:rsidR="00381565">
        <w:rPr>
          <w:rFonts w:ascii="Times New Roman" w:hAnsi="Times New Roman" w:cs="Times New Roman"/>
          <w:sz w:val="24"/>
          <w:szCs w:val="24"/>
          <w:lang w:val="en-US"/>
        </w:rPr>
        <w:t xml:space="preserve"> (1990: 119)</w:t>
      </w:r>
      <w:r w:rsidR="00991F61" w:rsidRPr="00141344">
        <w:rPr>
          <w:rFonts w:ascii="Times New Roman" w:hAnsi="Times New Roman" w:cs="Times New Roman"/>
          <w:sz w:val="24"/>
          <w:szCs w:val="24"/>
          <w:lang w:val="en-US"/>
        </w:rPr>
        <w:t xml:space="preserve"> writes: “It must be said very firmly here that the case for saying that the understanding of society is logically different from the understanding of nature does not rest on the hypothesis of an ‘inner sense’.” Furthermore, Winch’s own account of ‘social rules’ is directly opposed to the idea that such rules are to be understood as ‘inner’ mental, conceptual structures: “In fact it follows from my argument in Chapter II that the concepts in terms of which we understand our </w:t>
      </w:r>
      <w:r w:rsidR="00991F61" w:rsidRPr="00141344">
        <w:rPr>
          <w:rFonts w:ascii="Times New Roman" w:hAnsi="Times New Roman" w:cs="Times New Roman"/>
          <w:i/>
          <w:iCs/>
          <w:sz w:val="24"/>
          <w:szCs w:val="24"/>
          <w:lang w:val="en-US"/>
        </w:rPr>
        <w:t xml:space="preserve">own </w:t>
      </w:r>
      <w:r w:rsidR="00991F61" w:rsidRPr="00141344">
        <w:rPr>
          <w:rFonts w:ascii="Times New Roman" w:hAnsi="Times New Roman" w:cs="Times New Roman"/>
          <w:sz w:val="24"/>
          <w:szCs w:val="24"/>
          <w:lang w:val="en-US"/>
        </w:rPr>
        <w:t xml:space="preserve">mental processes and behaviour have to be learned, and must, therefore, be </w:t>
      </w:r>
      <w:r w:rsidR="00991F61" w:rsidRPr="00141344">
        <w:rPr>
          <w:rFonts w:ascii="Times New Roman" w:hAnsi="Times New Roman" w:cs="Times New Roman"/>
          <w:i/>
          <w:iCs/>
          <w:sz w:val="24"/>
          <w:szCs w:val="24"/>
          <w:lang w:val="en-US"/>
        </w:rPr>
        <w:t xml:space="preserve">socially </w:t>
      </w:r>
      <w:r w:rsidR="00991F61" w:rsidRPr="00141344">
        <w:rPr>
          <w:rFonts w:ascii="Times New Roman" w:hAnsi="Times New Roman" w:cs="Times New Roman"/>
          <w:sz w:val="24"/>
          <w:szCs w:val="24"/>
          <w:lang w:val="en-US"/>
        </w:rPr>
        <w:t>established, just as much as the concepts in terms of which we come to understand the beh</w:t>
      </w:r>
      <w:r w:rsidR="005A1AEA">
        <w:rPr>
          <w:rFonts w:ascii="Times New Roman" w:hAnsi="Times New Roman" w:cs="Times New Roman"/>
          <w:sz w:val="24"/>
          <w:szCs w:val="24"/>
          <w:lang w:val="en-US"/>
        </w:rPr>
        <w:t>aviour of other people</w:t>
      </w:r>
      <w:r w:rsidR="00991F61" w:rsidRPr="00141344">
        <w:rPr>
          <w:rFonts w:ascii="Times New Roman" w:hAnsi="Times New Roman" w:cs="Times New Roman"/>
          <w:sz w:val="24"/>
          <w:szCs w:val="24"/>
          <w:lang w:val="en-US"/>
        </w:rPr>
        <w:t>” (</w:t>
      </w:r>
      <w:r w:rsidR="005A1AEA">
        <w:rPr>
          <w:rFonts w:ascii="Times New Roman" w:hAnsi="Times New Roman" w:cs="Times New Roman"/>
          <w:sz w:val="24"/>
          <w:szCs w:val="24"/>
          <w:lang w:val="en-US"/>
        </w:rPr>
        <w:t>Winch 1990:</w:t>
      </w:r>
      <w:r w:rsidR="00991F61" w:rsidRPr="00141344">
        <w:rPr>
          <w:rFonts w:ascii="Times New Roman" w:hAnsi="Times New Roman" w:cs="Times New Roman"/>
          <w:sz w:val="24"/>
          <w:szCs w:val="24"/>
          <w:lang w:val="en-US"/>
        </w:rPr>
        <w:t xml:space="preserve"> 119</w:t>
      </w:r>
      <w:r w:rsidR="005A1AEA">
        <w:rPr>
          <w:rFonts w:ascii="Times New Roman" w:hAnsi="Times New Roman" w:cs="Times New Roman"/>
          <w:sz w:val="24"/>
          <w:szCs w:val="24"/>
          <w:lang w:val="en-US"/>
        </w:rPr>
        <w:t>, original emphases</w:t>
      </w:r>
      <w:r w:rsidR="00991F61" w:rsidRPr="00141344">
        <w:rPr>
          <w:rFonts w:ascii="Times New Roman" w:hAnsi="Times New Roman" w:cs="Times New Roman"/>
          <w:sz w:val="24"/>
          <w:szCs w:val="24"/>
          <w:lang w:val="en-US"/>
        </w:rPr>
        <w:t>)</w:t>
      </w:r>
      <w:r w:rsidR="005A1AEA">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Hence, the core mentalist presupposition which the naturalist critique ascribes to Winch is in fact explicitly undermined by the main arguments of </w:t>
      </w:r>
      <w:r w:rsidR="00991F61" w:rsidRPr="00141344">
        <w:rPr>
          <w:rFonts w:ascii="Times New Roman" w:hAnsi="Times New Roman" w:cs="Times New Roman"/>
          <w:i/>
          <w:iCs/>
          <w:sz w:val="24"/>
          <w:szCs w:val="24"/>
          <w:lang w:val="en-US"/>
        </w:rPr>
        <w:t>ISS</w:t>
      </w:r>
      <w:r w:rsidR="00991F61" w:rsidRPr="00141344">
        <w:rPr>
          <w:rFonts w:ascii="Times New Roman" w:hAnsi="Times New Roman" w:cs="Times New Roman"/>
          <w:sz w:val="24"/>
          <w:szCs w:val="24"/>
          <w:lang w:val="en-US"/>
        </w:rPr>
        <w:t xml:space="preserve">. </w:t>
      </w:r>
    </w:p>
    <w:p w14:paraId="125147EA" w14:textId="09CA8A0F" w:rsidR="004C6512" w:rsidRPr="00141344" w:rsidRDefault="003239B3"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However, does this mean that Winch is actually closer to naturalist accounts? For if Winch does not think that social rules are ontological entities residing in a hidden ‘mental space’, does this not mean that r</w:t>
      </w:r>
      <w:r w:rsidR="003C11A2">
        <w:rPr>
          <w:rFonts w:ascii="Times New Roman" w:hAnsi="Times New Roman" w:cs="Times New Roman"/>
          <w:sz w:val="24"/>
          <w:szCs w:val="24"/>
          <w:lang w:val="en-US"/>
        </w:rPr>
        <w:t>ules, norms and concepts must—as several naturalists argue (cf. Roth 2011)—</w:t>
      </w:r>
      <w:r w:rsidR="00991F61" w:rsidRPr="00141344">
        <w:rPr>
          <w:rFonts w:ascii="Times New Roman" w:hAnsi="Times New Roman" w:cs="Times New Roman"/>
          <w:sz w:val="24"/>
          <w:szCs w:val="24"/>
          <w:lang w:val="en-US"/>
        </w:rPr>
        <w:t xml:space="preserve">be construed as mere intellectual tools, devised by the social scientist and imposed for purposes of explanation? Winch addressed this question head on in his critique of Karl Popper’s methodological individualism. Popper’s position </w:t>
      </w:r>
      <w:r w:rsidR="00FC3678">
        <w:rPr>
          <w:rFonts w:ascii="Times New Roman" w:hAnsi="Times New Roman" w:cs="Times New Roman"/>
          <w:color w:val="FF0000"/>
          <w:sz w:val="24"/>
          <w:szCs w:val="24"/>
          <w:lang w:val="en-US"/>
        </w:rPr>
        <w:t xml:space="preserve">(1957) </w:t>
      </w:r>
      <w:r w:rsidR="00991F61" w:rsidRPr="00141344">
        <w:rPr>
          <w:rFonts w:ascii="Times New Roman" w:hAnsi="Times New Roman" w:cs="Times New Roman"/>
          <w:sz w:val="24"/>
          <w:szCs w:val="24"/>
          <w:lang w:val="en-US"/>
        </w:rPr>
        <w:t xml:space="preserve">implies that there is no significant distinction to be made between, on the one hand, intentional descriptions of the historical agent’s action and, on the other hand, the theoretical models used by the researcher to explain the agent’s </w:t>
      </w:r>
      <w:r w:rsidR="005360E1"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 As Winch pointed out, Popper’s neglect of this distinction is closely related to his project of presenting the social scientist’s descriptions as analogous to the construction of theoretical models used in the natural sciences, an approach which is very similar to th</w:t>
      </w:r>
      <w:r w:rsidR="005360E1">
        <w:rPr>
          <w:rFonts w:ascii="Times New Roman" w:hAnsi="Times New Roman" w:cs="Times New Roman"/>
          <w:sz w:val="24"/>
          <w:szCs w:val="24"/>
          <w:lang w:val="en-US"/>
        </w:rPr>
        <w:t>at of present day naturalists (c</w:t>
      </w:r>
      <w:r w:rsidR="00991F61" w:rsidRPr="00141344">
        <w:rPr>
          <w:rFonts w:ascii="Times New Roman" w:hAnsi="Times New Roman" w:cs="Times New Roman"/>
          <w:sz w:val="24"/>
          <w:szCs w:val="24"/>
          <w:lang w:val="en-US"/>
        </w:rPr>
        <w:t>f. Roth 1987; 2011; Turner and Roth 2003). Popp</w:t>
      </w:r>
      <w:r w:rsidR="005360E1">
        <w:rPr>
          <w:rFonts w:ascii="Times New Roman" w:hAnsi="Times New Roman" w:cs="Times New Roman"/>
          <w:sz w:val="24"/>
          <w:szCs w:val="24"/>
          <w:lang w:val="en-US"/>
        </w:rPr>
        <w:t>er was fighting what he called “methodological essentialism,”</w:t>
      </w:r>
      <w:r w:rsidR="00991F61" w:rsidRPr="00141344">
        <w:rPr>
          <w:rFonts w:ascii="Times New Roman" w:hAnsi="Times New Roman" w:cs="Times New Roman"/>
          <w:sz w:val="24"/>
          <w:szCs w:val="24"/>
          <w:lang w:val="en-US"/>
        </w:rPr>
        <w:t xml:space="preserve"> which, he believed, would </w:t>
      </w:r>
      <w:r w:rsidR="00991F61" w:rsidRPr="00141344">
        <w:rPr>
          <w:rFonts w:ascii="Times New Roman" w:hAnsi="Times New Roman" w:cs="Times New Roman"/>
          <w:sz w:val="24"/>
          <w:szCs w:val="24"/>
          <w:lang w:val="en-US"/>
        </w:rPr>
        <w:lastRenderedPageBreak/>
        <w:t>involve the assumption that behind the explanatory models of the scientist there would be some kind of “observable ghost or essence” (Popper,</w:t>
      </w:r>
      <w:r w:rsidR="005360E1">
        <w:rPr>
          <w:rFonts w:ascii="Times New Roman" w:hAnsi="Times New Roman" w:cs="Times New Roman"/>
          <w:sz w:val="24"/>
          <w:szCs w:val="24"/>
          <w:lang w:val="en-US"/>
        </w:rPr>
        <w:t xml:space="preserve"> quoted in Winch 1990:</w:t>
      </w:r>
      <w:r w:rsidR="00991F61" w:rsidRPr="00141344">
        <w:rPr>
          <w:rFonts w:ascii="Times New Roman" w:hAnsi="Times New Roman" w:cs="Times New Roman"/>
          <w:sz w:val="24"/>
          <w:szCs w:val="24"/>
          <w:lang w:val="en-US"/>
        </w:rPr>
        <w:t xml:space="preserve"> 127). Popper claimed therefore, again in a way that is reminiscent of present day naturalists, that our knowledge of social action and events is no different from other</w:t>
      </w:r>
      <w:r w:rsidR="00945566">
        <w:rPr>
          <w:rFonts w:ascii="Times New Roman" w:hAnsi="Times New Roman" w:cs="Times New Roman"/>
          <w:sz w:val="24"/>
          <w:szCs w:val="24"/>
          <w:lang w:val="en-US"/>
        </w:rPr>
        <w:t xml:space="preserve"> kinds of empirical knowledge—</w:t>
      </w:r>
      <w:r w:rsidR="00991F61" w:rsidRPr="00141344">
        <w:rPr>
          <w:rFonts w:ascii="Times New Roman" w:hAnsi="Times New Roman" w:cs="Times New Roman"/>
          <w:sz w:val="24"/>
          <w:szCs w:val="24"/>
          <w:lang w:val="en-US"/>
        </w:rPr>
        <w:t xml:space="preserve">for all such knowledge simply consists in the explanation of experiential data by way of the researcher’s imposition of scientific categories and theoretical </w:t>
      </w:r>
      <w:commentRangeStart w:id="10"/>
      <w:r w:rsidR="00991F61" w:rsidRPr="00141344">
        <w:rPr>
          <w:rFonts w:ascii="Times New Roman" w:hAnsi="Times New Roman" w:cs="Times New Roman"/>
          <w:sz w:val="24"/>
          <w:szCs w:val="24"/>
          <w:lang w:val="en-US"/>
        </w:rPr>
        <w:t>models</w:t>
      </w:r>
      <w:commentRangeEnd w:id="10"/>
      <w:r w:rsidR="009E7F74">
        <w:rPr>
          <w:rStyle w:val="CommentReference"/>
        </w:rPr>
        <w:commentReference w:id="10"/>
      </w:r>
      <w:r w:rsidR="009E7F74">
        <w:rPr>
          <w:rFonts w:ascii="Times New Roman" w:hAnsi="Times New Roman" w:cs="Times New Roman"/>
          <w:sz w:val="24"/>
          <w:szCs w:val="24"/>
          <w:lang w:val="en-US"/>
        </w:rPr>
        <w:t xml:space="preserve"> (Cf. Roth 2012</w:t>
      </w:r>
      <w:r w:rsidR="0073366B">
        <w:rPr>
          <w:rFonts w:ascii="Times New Roman" w:hAnsi="Times New Roman" w:cs="Times New Roman"/>
          <w:sz w:val="24"/>
          <w:szCs w:val="24"/>
          <w:lang w:val="en-US"/>
        </w:rPr>
        <w:t>:</w:t>
      </w:r>
      <w:r w:rsidR="009E7F74">
        <w:rPr>
          <w:rFonts w:ascii="Times New Roman" w:hAnsi="Times New Roman" w:cs="Times New Roman"/>
          <w:sz w:val="24"/>
          <w:szCs w:val="24"/>
          <w:lang w:val="en-US"/>
        </w:rPr>
        <w:t xml:space="preserve"> 315; 2020</w:t>
      </w:r>
      <w:r w:rsidR="0073366B">
        <w:rPr>
          <w:rFonts w:ascii="Times New Roman" w:hAnsi="Times New Roman" w:cs="Times New Roman"/>
          <w:sz w:val="24"/>
          <w:szCs w:val="24"/>
          <w:lang w:val="en-US"/>
        </w:rPr>
        <w:t>:</w:t>
      </w:r>
      <w:r w:rsidR="009E7F74">
        <w:rPr>
          <w:rFonts w:ascii="Times New Roman" w:hAnsi="Times New Roman" w:cs="Times New Roman"/>
          <w:sz w:val="24"/>
          <w:szCs w:val="24"/>
          <w:lang w:val="en-US"/>
        </w:rPr>
        <w:t xml:space="preserve"> 48, 61)</w:t>
      </w:r>
      <w:r w:rsidR="00991F61" w:rsidRPr="00141344">
        <w:rPr>
          <w:rFonts w:ascii="Times New Roman" w:hAnsi="Times New Roman" w:cs="Times New Roman"/>
          <w:sz w:val="24"/>
          <w:szCs w:val="24"/>
          <w:lang w:val="en-US"/>
        </w:rPr>
        <w:t xml:space="preserve">. </w:t>
      </w:r>
    </w:p>
    <w:p w14:paraId="53408EBC" w14:textId="10559A9D" w:rsidR="004C6512" w:rsidRDefault="00945566"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One well-known consequence of this view was Popper’s description of social institutions as mere models that are applied for explanatory purposes. Winch</w:t>
      </w:r>
      <w:r w:rsidR="00CB3D3F">
        <w:rPr>
          <w:rFonts w:ascii="Times New Roman" w:hAnsi="Times New Roman" w:cs="Times New Roman"/>
          <w:sz w:val="24"/>
          <w:szCs w:val="24"/>
          <w:lang w:val="en-US"/>
        </w:rPr>
        <w:t xml:space="preserve"> (1990: 127)</w:t>
      </w:r>
      <w:r w:rsidR="00991F61" w:rsidRPr="00141344">
        <w:rPr>
          <w:rFonts w:ascii="Times New Roman" w:hAnsi="Times New Roman" w:cs="Times New Roman"/>
          <w:sz w:val="24"/>
          <w:szCs w:val="24"/>
          <w:lang w:val="en-US"/>
        </w:rPr>
        <w:t xml:space="preserve"> called that idea “palpably untrue.” He argued, instead, that the actions of historical agents embody concepts that belong to the perspectives of meaning inherent in the ways of life and thought of the agents themselves. In other words, the explananda of social science embody concepts. Winch argued, furthermore, that this was the chief feature distinguishing the social scientist’s relation to their subject matter from that of the natural scientist. As Winch writes: </w:t>
      </w:r>
    </w:p>
    <w:p w14:paraId="1492AC68" w14:textId="77777777" w:rsidR="004D2960" w:rsidRPr="00141344" w:rsidRDefault="004D2960" w:rsidP="00CA35E7">
      <w:pPr>
        <w:spacing w:after="0" w:line="360" w:lineRule="auto"/>
        <w:rPr>
          <w:rFonts w:ascii="Times New Roman" w:hAnsi="Times New Roman" w:cs="Times New Roman"/>
          <w:sz w:val="24"/>
          <w:szCs w:val="24"/>
          <w:lang w:val="en-US"/>
        </w:rPr>
      </w:pPr>
    </w:p>
    <w:p w14:paraId="6EB09B02" w14:textId="7D10937C" w:rsidR="004C6512" w:rsidRPr="004D2960" w:rsidRDefault="00991F61" w:rsidP="004D2960">
      <w:pPr>
        <w:spacing w:after="0" w:line="360" w:lineRule="auto"/>
        <w:ind w:left="567" w:right="567"/>
        <w:rPr>
          <w:rFonts w:ascii="Times New Roman" w:hAnsi="Times New Roman" w:cs="Times New Roman"/>
          <w:sz w:val="20"/>
          <w:szCs w:val="24"/>
          <w:lang w:val="en-US"/>
        </w:rPr>
      </w:pPr>
      <w:r w:rsidRPr="004D2960">
        <w:rPr>
          <w:rFonts w:ascii="Times New Roman" w:hAnsi="Times New Roman" w:cs="Times New Roman"/>
          <w:sz w:val="20"/>
          <w:szCs w:val="24"/>
          <w:lang w:val="en-US"/>
        </w:rPr>
        <w:t xml:space="preserve">The ways of thinking embodied in institutions govern the way the members of the societies studied by the social scientist behave. The idea of war, for instance, which is one of Popper’s examples, was not simply invented by people who wanted to </w:t>
      </w:r>
      <w:r w:rsidRPr="004D2960">
        <w:rPr>
          <w:rFonts w:ascii="Times New Roman" w:hAnsi="Times New Roman" w:cs="Times New Roman"/>
          <w:i/>
          <w:iCs/>
          <w:sz w:val="20"/>
          <w:szCs w:val="24"/>
          <w:lang w:val="en-US"/>
        </w:rPr>
        <w:t>explain</w:t>
      </w:r>
      <w:r w:rsidRPr="004D2960">
        <w:rPr>
          <w:rFonts w:ascii="Times New Roman" w:hAnsi="Times New Roman" w:cs="Times New Roman"/>
          <w:iCs/>
          <w:sz w:val="20"/>
          <w:szCs w:val="24"/>
          <w:lang w:val="en-US"/>
        </w:rPr>
        <w:t xml:space="preserve"> </w:t>
      </w:r>
      <w:r w:rsidRPr="004D2960">
        <w:rPr>
          <w:rFonts w:ascii="Times New Roman" w:hAnsi="Times New Roman" w:cs="Times New Roman"/>
          <w:sz w:val="20"/>
          <w:szCs w:val="24"/>
          <w:lang w:val="en-US"/>
        </w:rPr>
        <w:t xml:space="preserve">what happens when societies come into armed conflict. It is an idea which provides the criteria of what is appropriate in the behaviour of members of the conflicting societies. Because my country is at war there are certain things which I must and certain things which I must not do. My behaviour is governed, one could say, by my concept of myself as a member of a belligerent country. The concept of war belongs </w:t>
      </w:r>
      <w:r w:rsidRPr="004D2960">
        <w:rPr>
          <w:rFonts w:ascii="Times New Roman" w:hAnsi="Times New Roman" w:cs="Times New Roman"/>
          <w:i/>
          <w:iCs/>
          <w:sz w:val="20"/>
          <w:szCs w:val="24"/>
          <w:lang w:val="en-US"/>
        </w:rPr>
        <w:t>essentially</w:t>
      </w:r>
      <w:r w:rsidRPr="004D2960">
        <w:rPr>
          <w:rFonts w:ascii="Times New Roman" w:hAnsi="Times New Roman" w:cs="Times New Roman"/>
          <w:iCs/>
          <w:sz w:val="20"/>
          <w:szCs w:val="24"/>
          <w:lang w:val="en-US"/>
        </w:rPr>
        <w:t xml:space="preserve"> </w:t>
      </w:r>
      <w:r w:rsidRPr="004D2960">
        <w:rPr>
          <w:rFonts w:ascii="Times New Roman" w:hAnsi="Times New Roman" w:cs="Times New Roman"/>
          <w:sz w:val="20"/>
          <w:szCs w:val="24"/>
          <w:lang w:val="en-US"/>
        </w:rPr>
        <w:t xml:space="preserve">to my behaviour. But the concept of gravity does not belong essentially to the behaviour of a falling apple in the same way: it belongs rather to the physicist’s </w:t>
      </w:r>
      <w:r w:rsidRPr="004D2960">
        <w:rPr>
          <w:rFonts w:ascii="Times New Roman" w:hAnsi="Times New Roman" w:cs="Times New Roman"/>
          <w:i/>
          <w:iCs/>
          <w:sz w:val="20"/>
          <w:szCs w:val="24"/>
          <w:lang w:val="en-US"/>
        </w:rPr>
        <w:t>explanation</w:t>
      </w:r>
      <w:r w:rsidRPr="004D2960">
        <w:rPr>
          <w:rFonts w:ascii="Times New Roman" w:hAnsi="Times New Roman" w:cs="Times New Roman"/>
          <w:iCs/>
          <w:sz w:val="20"/>
          <w:szCs w:val="24"/>
          <w:lang w:val="en-US"/>
        </w:rPr>
        <w:t xml:space="preserve"> </w:t>
      </w:r>
      <w:r w:rsidRPr="004D2960">
        <w:rPr>
          <w:rFonts w:ascii="Times New Roman" w:hAnsi="Times New Roman" w:cs="Times New Roman"/>
          <w:sz w:val="20"/>
          <w:szCs w:val="24"/>
          <w:lang w:val="en-US"/>
        </w:rPr>
        <w:t xml:space="preserve">of the apple’s behaviour. To recognize this has, </w:t>
      </w:r>
      <w:r w:rsidRPr="004D2960">
        <w:rPr>
          <w:rFonts w:ascii="Times New Roman" w:hAnsi="Times New Roman" w:cs="Times New Roman"/>
          <w:i/>
          <w:iCs/>
          <w:sz w:val="20"/>
          <w:szCs w:val="24"/>
          <w:lang w:val="en-US"/>
        </w:rPr>
        <w:t>pace</w:t>
      </w:r>
      <w:r w:rsidRPr="004D2960">
        <w:rPr>
          <w:rFonts w:ascii="Times New Roman" w:hAnsi="Times New Roman" w:cs="Times New Roman"/>
          <w:iCs/>
          <w:sz w:val="20"/>
          <w:szCs w:val="24"/>
          <w:lang w:val="en-US"/>
        </w:rPr>
        <w:t xml:space="preserve"> </w:t>
      </w:r>
      <w:r w:rsidRPr="004D2960">
        <w:rPr>
          <w:rFonts w:ascii="Times New Roman" w:hAnsi="Times New Roman" w:cs="Times New Roman"/>
          <w:sz w:val="20"/>
          <w:szCs w:val="24"/>
          <w:lang w:val="en-US"/>
        </w:rPr>
        <w:t>Popper, nothing to do with a belief in ghosts behind the phenomena. Further, it is impossible to go far in specifying the attitudes, expectations and relations of individuals without referring to concepts which enter into those attitudes. (</w:t>
      </w:r>
      <w:r w:rsidR="004D2960">
        <w:rPr>
          <w:rFonts w:ascii="Times New Roman" w:hAnsi="Times New Roman" w:cs="Times New Roman"/>
          <w:sz w:val="20"/>
          <w:szCs w:val="24"/>
          <w:lang w:val="en-US"/>
        </w:rPr>
        <w:t>Winch 1990:</w:t>
      </w:r>
      <w:r w:rsidRPr="004D2960">
        <w:rPr>
          <w:rFonts w:ascii="Times New Roman" w:hAnsi="Times New Roman" w:cs="Times New Roman"/>
          <w:sz w:val="20"/>
          <w:szCs w:val="24"/>
          <w:lang w:val="en-US"/>
        </w:rPr>
        <w:t xml:space="preserve"> 127–28</w:t>
      </w:r>
      <w:r w:rsidR="00820C77">
        <w:rPr>
          <w:rFonts w:ascii="Times New Roman" w:hAnsi="Times New Roman" w:cs="Times New Roman"/>
          <w:sz w:val="20"/>
          <w:szCs w:val="24"/>
          <w:lang w:val="en-US"/>
        </w:rPr>
        <w:t>, original emphases</w:t>
      </w:r>
      <w:r w:rsidRPr="004D2960">
        <w:rPr>
          <w:rFonts w:ascii="Times New Roman" w:hAnsi="Times New Roman" w:cs="Times New Roman"/>
          <w:sz w:val="20"/>
          <w:szCs w:val="24"/>
          <w:lang w:val="en-US"/>
        </w:rPr>
        <w:t>)</w:t>
      </w:r>
    </w:p>
    <w:p w14:paraId="59ECC6AE" w14:textId="77777777" w:rsidR="004D2960" w:rsidRPr="00141344" w:rsidRDefault="004D2960" w:rsidP="00CA35E7">
      <w:pPr>
        <w:spacing w:after="0" w:line="360" w:lineRule="auto"/>
        <w:ind w:left="720"/>
        <w:rPr>
          <w:rFonts w:ascii="Times New Roman" w:hAnsi="Times New Roman" w:cs="Times New Roman"/>
          <w:sz w:val="24"/>
          <w:szCs w:val="24"/>
          <w:lang w:val="en-US"/>
        </w:rPr>
      </w:pPr>
    </w:p>
    <w:p w14:paraId="3B971A1F" w14:textId="77777777" w:rsidR="00353345" w:rsidRDefault="00991F61" w:rsidP="00CA35E7">
      <w:pPr>
        <w:spacing w:after="0" w:line="360" w:lineRule="auto"/>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Again, Winch’s argument here is not ontological, but concerns a logical distinction between the different presuppositions for describing phenomena within social and natural sciences respectively. As Winch emphasizes, the very possibility of describing human action as an intelligible response to a historically specific context is logically dependent on understanding the norms and concepts that belong to the agents’ understanding of their situation. Furthermore, as Winch’s point about the concept of war aims to show, the normative dimension is not something added to actions by social scientists in and through their </w:t>
      </w:r>
      <w:r w:rsidRPr="00141344">
        <w:rPr>
          <w:rFonts w:ascii="Times New Roman" w:hAnsi="Times New Roman" w:cs="Times New Roman"/>
          <w:sz w:val="24"/>
          <w:szCs w:val="24"/>
          <w:lang w:val="en-US"/>
        </w:rPr>
        <w:lastRenderedPageBreak/>
        <w:t>explanations. Quite the contrary, the normative dimension is already part of the original context of the agents, which is clear from the fact that appealing to the normative dimension of ‘being at war’ would also be essential if the agents themselves were to make sense of what they were doing. In addition, the concept of ‘being at war’ would shape explanations of their actions independently of the fact that individual agents may have cheered the war on, while others opposed the very idea of war as co</w:t>
      </w:r>
      <w:r w:rsidR="00942419">
        <w:rPr>
          <w:rFonts w:ascii="Times New Roman" w:hAnsi="Times New Roman" w:cs="Times New Roman"/>
          <w:sz w:val="24"/>
          <w:szCs w:val="24"/>
          <w:lang w:val="en-US"/>
        </w:rPr>
        <w:t>nscientious objectors.</w:t>
      </w:r>
      <w:r w:rsidR="00353345">
        <w:rPr>
          <w:rFonts w:ascii="Times New Roman" w:hAnsi="Times New Roman" w:cs="Times New Roman"/>
          <w:sz w:val="24"/>
          <w:szCs w:val="24"/>
          <w:lang w:val="en-US"/>
        </w:rPr>
        <w:t xml:space="preserve"> </w:t>
      </w:r>
      <w:r w:rsidRPr="00141344">
        <w:rPr>
          <w:rFonts w:ascii="Times New Roman" w:hAnsi="Times New Roman" w:cs="Times New Roman"/>
          <w:sz w:val="24"/>
          <w:szCs w:val="24"/>
          <w:lang w:val="en-US"/>
        </w:rPr>
        <w:t>Thus rationalization is not a feature added by social scientists, but an aspect that logically belongs to every form of desc</w:t>
      </w:r>
      <w:r w:rsidR="00353345">
        <w:rPr>
          <w:rFonts w:ascii="Times New Roman" w:hAnsi="Times New Roman" w:cs="Times New Roman"/>
          <w:sz w:val="24"/>
          <w:szCs w:val="24"/>
          <w:lang w:val="en-US"/>
        </w:rPr>
        <w:t>ription of behavior as action—</w:t>
      </w:r>
      <w:r w:rsidRPr="00141344">
        <w:rPr>
          <w:rFonts w:ascii="Times New Roman" w:hAnsi="Times New Roman" w:cs="Times New Roman"/>
          <w:sz w:val="24"/>
          <w:szCs w:val="24"/>
          <w:lang w:val="en-US"/>
        </w:rPr>
        <w:t>irrespective of whether such descriptions are made by historical agents or so</w:t>
      </w:r>
      <w:r w:rsidR="00353345">
        <w:rPr>
          <w:rFonts w:ascii="Times New Roman" w:hAnsi="Times New Roman" w:cs="Times New Roman"/>
          <w:sz w:val="24"/>
          <w:szCs w:val="24"/>
          <w:lang w:val="en-US"/>
        </w:rPr>
        <w:t>cial scientists.</w:t>
      </w:r>
    </w:p>
    <w:p w14:paraId="08379E55" w14:textId="481DF87A" w:rsidR="004C6512" w:rsidRDefault="00353345"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The internal relations between ideas, social relations and the identity of action is further explored in Winch’s critique of Max Weber’s ‘scientific’ attempt to pry apart those very internal relations by describing social phenomena in purely extensional terms. Winch writes: </w:t>
      </w:r>
    </w:p>
    <w:p w14:paraId="40D24673" w14:textId="77777777" w:rsidR="00353345" w:rsidRPr="00141344" w:rsidRDefault="00353345" w:rsidP="00CA35E7">
      <w:pPr>
        <w:spacing w:after="0" w:line="360" w:lineRule="auto"/>
        <w:rPr>
          <w:rFonts w:ascii="Times New Roman" w:hAnsi="Times New Roman" w:cs="Times New Roman"/>
          <w:sz w:val="24"/>
          <w:szCs w:val="24"/>
          <w:lang w:val="en-US"/>
        </w:rPr>
      </w:pPr>
    </w:p>
    <w:p w14:paraId="58C1C711" w14:textId="120641B0" w:rsidR="004C6512" w:rsidRPr="00353345" w:rsidRDefault="00991F61" w:rsidP="00353345">
      <w:pPr>
        <w:spacing w:after="0" w:line="360" w:lineRule="auto"/>
        <w:ind w:left="567" w:right="567"/>
        <w:rPr>
          <w:rFonts w:ascii="Times New Roman" w:hAnsi="Times New Roman" w:cs="Times New Roman"/>
          <w:sz w:val="20"/>
          <w:szCs w:val="24"/>
          <w:lang w:val="en-US"/>
        </w:rPr>
      </w:pPr>
      <w:r w:rsidRPr="00353345">
        <w:rPr>
          <w:rFonts w:ascii="Times New Roman" w:hAnsi="Times New Roman" w:cs="Times New Roman"/>
          <w:sz w:val="20"/>
          <w:szCs w:val="24"/>
          <w:lang w:val="en-US"/>
        </w:rPr>
        <w:t xml:space="preserve">Weber ceases to use the notions that would be appropriate to an interpretative understanding of the situation. Instead of speaking of the workers in his factory being paid and spending money, he speaks of their being handed pieces of metal, handing those pieces of metal to other people and receiving other objects from them; he does not speak of policemen protecting the workers’ property, but of ‘people with helmets’ coming and giving back the workers the pieces of metal which other people have taken from them; and so on. In short, he adopts the external point of view and forgets to take account of the ‘subjectively intended sense’ of the behaviour he is talking about: and this, I want to say, is a natural result of his attempt to divorce the </w:t>
      </w:r>
      <w:r w:rsidRPr="00353345">
        <w:rPr>
          <w:rFonts w:ascii="Times New Roman" w:hAnsi="Times New Roman" w:cs="Times New Roman"/>
          <w:i/>
          <w:iCs/>
          <w:sz w:val="20"/>
          <w:szCs w:val="24"/>
          <w:lang w:val="en-US"/>
        </w:rPr>
        <w:t xml:space="preserve">social relations </w:t>
      </w:r>
      <w:r w:rsidRPr="00353345">
        <w:rPr>
          <w:rFonts w:ascii="Times New Roman" w:hAnsi="Times New Roman" w:cs="Times New Roman"/>
          <w:sz w:val="20"/>
          <w:szCs w:val="24"/>
          <w:lang w:val="en-US"/>
        </w:rPr>
        <w:t xml:space="preserve">linking those workers from the </w:t>
      </w:r>
      <w:r w:rsidRPr="00353345">
        <w:rPr>
          <w:rFonts w:ascii="Times New Roman" w:hAnsi="Times New Roman" w:cs="Times New Roman"/>
          <w:i/>
          <w:iCs/>
          <w:sz w:val="20"/>
          <w:szCs w:val="24"/>
          <w:lang w:val="en-US"/>
        </w:rPr>
        <w:t xml:space="preserve">ideas </w:t>
      </w:r>
      <w:r w:rsidRPr="00353345">
        <w:rPr>
          <w:rFonts w:ascii="Times New Roman" w:hAnsi="Times New Roman" w:cs="Times New Roman"/>
          <w:sz w:val="20"/>
          <w:szCs w:val="24"/>
          <w:lang w:val="en-US"/>
        </w:rPr>
        <w:t>which their actions embody: ideas such as those of ‘money’, ‘property’, ‘police’, ‘buying and selling’, and so on. Their relations to each other exist only through those ideas and similarly those ideas exist only in their relations to each other. (</w:t>
      </w:r>
      <w:r w:rsidR="00353345" w:rsidRPr="00353345">
        <w:rPr>
          <w:rFonts w:ascii="Times New Roman" w:hAnsi="Times New Roman" w:cs="Times New Roman"/>
          <w:sz w:val="20"/>
          <w:szCs w:val="24"/>
          <w:lang w:val="en-US"/>
        </w:rPr>
        <w:t>Winch 1990:</w:t>
      </w:r>
      <w:r w:rsidRPr="00353345">
        <w:rPr>
          <w:rFonts w:ascii="Times New Roman" w:hAnsi="Times New Roman" w:cs="Times New Roman"/>
          <w:sz w:val="20"/>
          <w:szCs w:val="24"/>
          <w:lang w:val="en-US"/>
        </w:rPr>
        <w:t xml:space="preserve"> 117–18)</w:t>
      </w:r>
    </w:p>
    <w:p w14:paraId="5DE5735B" w14:textId="77777777" w:rsidR="00353345" w:rsidRPr="00141344" w:rsidRDefault="00353345" w:rsidP="00CA35E7">
      <w:pPr>
        <w:spacing w:after="0" w:line="360" w:lineRule="auto"/>
        <w:ind w:left="720"/>
        <w:rPr>
          <w:rFonts w:ascii="Times New Roman" w:hAnsi="Times New Roman" w:cs="Times New Roman"/>
          <w:sz w:val="24"/>
          <w:szCs w:val="24"/>
          <w:lang w:val="en-US"/>
        </w:rPr>
      </w:pPr>
    </w:p>
    <w:p w14:paraId="1CFECD1E" w14:textId="330672FA" w:rsidR="004C6512" w:rsidRPr="00141344" w:rsidRDefault="00991F61" w:rsidP="00CA35E7">
      <w:pPr>
        <w:spacing w:after="0" w:line="360" w:lineRule="auto"/>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Winch does not deny that Weber’s ‘externalization’ may have some beneficial results; such as a </w:t>
      </w:r>
      <w:proofErr w:type="spellStart"/>
      <w:r w:rsidRPr="00141344">
        <w:rPr>
          <w:rFonts w:ascii="Times New Roman" w:hAnsi="Times New Roman" w:cs="Times New Roman"/>
          <w:i/>
          <w:iCs/>
          <w:sz w:val="24"/>
          <w:szCs w:val="24"/>
          <w:lang w:val="en-US"/>
        </w:rPr>
        <w:t>Verfremdungseffekt</w:t>
      </w:r>
      <w:proofErr w:type="spellEnd"/>
      <w:r w:rsidRPr="00141344">
        <w:rPr>
          <w:rFonts w:ascii="Times New Roman" w:hAnsi="Times New Roman" w:cs="Times New Roman"/>
          <w:i/>
          <w:iCs/>
          <w:sz w:val="24"/>
          <w:szCs w:val="24"/>
          <w:lang w:val="en-US"/>
        </w:rPr>
        <w:t xml:space="preserve"> </w:t>
      </w:r>
      <w:r w:rsidRPr="00141344">
        <w:rPr>
          <w:rFonts w:ascii="Times New Roman" w:hAnsi="Times New Roman" w:cs="Times New Roman"/>
          <w:sz w:val="24"/>
          <w:szCs w:val="24"/>
          <w:lang w:val="en-US"/>
        </w:rPr>
        <w:t xml:space="preserve">that offers researchers a possibility for observing details that may have remained unnoticed due to their familiar and obvious status. However, what Winch stresses is that the benefits of externalized descriptions presuppose that the situation has already been rendered intelligible by way of interpretive understanding. The external standpoint is not a perspective that is, somehow, more real or true, but one that is parasitic on the social scientist’s ability to make sense of the agent’s </w:t>
      </w:r>
      <w:r w:rsidR="00FE023D" w:rsidRPr="00141344">
        <w:rPr>
          <w:rFonts w:ascii="Times New Roman" w:hAnsi="Times New Roman" w:cs="Times New Roman"/>
          <w:sz w:val="24"/>
          <w:szCs w:val="24"/>
          <w:lang w:val="en-US"/>
        </w:rPr>
        <w:t>behavior</w:t>
      </w:r>
      <w:r w:rsidRPr="00141344">
        <w:rPr>
          <w:rFonts w:ascii="Times New Roman" w:hAnsi="Times New Roman" w:cs="Times New Roman"/>
          <w:sz w:val="24"/>
          <w:szCs w:val="24"/>
          <w:lang w:val="en-US"/>
        </w:rPr>
        <w:t xml:space="preserve"> as action which is expressive of certain concepts and ideas. </w:t>
      </w:r>
    </w:p>
    <w:p w14:paraId="760FA7A0" w14:textId="4B1E1FFD" w:rsidR="004C6512" w:rsidRPr="00141344" w:rsidRDefault="00FE023D"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991F61" w:rsidRPr="00141344">
        <w:rPr>
          <w:rFonts w:ascii="Times New Roman" w:hAnsi="Times New Roman" w:cs="Times New Roman"/>
          <w:sz w:val="24"/>
          <w:szCs w:val="24"/>
          <w:lang w:val="en-US"/>
        </w:rPr>
        <w:t xml:space="preserve">Winch’s point about logical requirements for describing social phenomena takes us to the heart of the naturalist challenge. For what Winch shows is that without interpretive understanding there cannot even </w:t>
      </w:r>
      <w:r w:rsidR="00991F61" w:rsidRPr="00141344">
        <w:rPr>
          <w:rFonts w:ascii="Times New Roman" w:hAnsi="Times New Roman" w:cs="Times New Roman"/>
          <w:i/>
          <w:iCs/>
          <w:sz w:val="24"/>
          <w:szCs w:val="24"/>
          <w:lang w:val="en-US"/>
        </w:rPr>
        <w:t>exist</w:t>
      </w:r>
      <w:r w:rsidR="00991F61" w:rsidRPr="00141344">
        <w:rPr>
          <w:rFonts w:ascii="Times New Roman" w:hAnsi="Times New Roman" w:cs="Times New Roman"/>
          <w:sz w:val="24"/>
          <w:szCs w:val="24"/>
          <w:lang w:val="en-US"/>
        </w:rPr>
        <w:t xml:space="preserve"> any relevant candidate descriptions to choose between for the social scientist’s investigation. That there are such candidate descriptions is something naturalists take for granted. For instance, Roth argues that the translation of meaning is a process of empirical investigation, one that parallels the way theories are tested in </w:t>
      </w:r>
      <w:r w:rsidR="00966E71">
        <w:rPr>
          <w:rFonts w:ascii="Times New Roman" w:hAnsi="Times New Roman" w:cs="Times New Roman"/>
          <w:sz w:val="24"/>
          <w:szCs w:val="24"/>
          <w:lang w:val="en-US"/>
        </w:rPr>
        <w:t>the natural sciences (Roth 1987:</w:t>
      </w:r>
      <w:r w:rsidR="00991F61" w:rsidRPr="00141344">
        <w:rPr>
          <w:rFonts w:ascii="Times New Roman" w:hAnsi="Times New Roman" w:cs="Times New Roman"/>
          <w:sz w:val="24"/>
          <w:szCs w:val="24"/>
          <w:lang w:val="en-US"/>
        </w:rPr>
        <w:t xml:space="preserve"> 240). He concludes that deciding between competing translations is like a “scientific test” in which the researcher does not aim for </w:t>
      </w:r>
      <w:r w:rsidR="00991F61" w:rsidRPr="00141344">
        <w:rPr>
          <w:rFonts w:ascii="Times New Roman" w:hAnsi="Times New Roman" w:cs="Times New Roman"/>
          <w:i/>
          <w:iCs/>
          <w:sz w:val="24"/>
          <w:szCs w:val="24"/>
          <w:lang w:val="en-US"/>
        </w:rPr>
        <w:t>the</w:t>
      </w:r>
      <w:r w:rsidR="00991F61" w:rsidRPr="00141344">
        <w:rPr>
          <w:rFonts w:ascii="Times New Roman" w:hAnsi="Times New Roman" w:cs="Times New Roman"/>
          <w:sz w:val="24"/>
          <w:szCs w:val="24"/>
          <w:lang w:val="en-US"/>
        </w:rPr>
        <w:t xml:space="preserve"> right answer: “the searc</w:t>
      </w:r>
      <w:r w:rsidR="00D54D76">
        <w:rPr>
          <w:rFonts w:ascii="Times New Roman" w:hAnsi="Times New Roman" w:cs="Times New Roman"/>
          <w:sz w:val="24"/>
          <w:szCs w:val="24"/>
          <w:lang w:val="en-US"/>
        </w:rPr>
        <w:t>h, as always, is for the best—</w:t>
      </w:r>
      <w:r w:rsidR="00991F61" w:rsidRPr="00141344">
        <w:rPr>
          <w:rFonts w:ascii="Times New Roman" w:hAnsi="Times New Roman" w:cs="Times New Roman"/>
          <w:sz w:val="24"/>
          <w:szCs w:val="24"/>
          <w:lang w:val="en-US"/>
        </w:rPr>
        <w:t>the most e</w:t>
      </w:r>
      <w:r w:rsidR="00D54D76">
        <w:rPr>
          <w:rFonts w:ascii="Times New Roman" w:hAnsi="Times New Roman" w:cs="Times New Roman"/>
          <w:sz w:val="24"/>
          <w:szCs w:val="24"/>
          <w:lang w:val="en-US"/>
        </w:rPr>
        <w:t>mpirically adequate, simplest—account we can give at the time” (Roth 1987:</w:t>
      </w:r>
      <w:r w:rsidR="00991F61" w:rsidRPr="00141344">
        <w:rPr>
          <w:rFonts w:ascii="Times New Roman" w:hAnsi="Times New Roman" w:cs="Times New Roman"/>
          <w:sz w:val="24"/>
          <w:szCs w:val="24"/>
          <w:lang w:val="en-US"/>
        </w:rPr>
        <w:t xml:space="preserve"> 244)</w:t>
      </w:r>
      <w:r w:rsidR="00D54D76">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However, later on in the same section, Roth</w:t>
      </w:r>
      <w:r w:rsidR="00692957">
        <w:rPr>
          <w:rFonts w:ascii="Times New Roman" w:hAnsi="Times New Roman" w:cs="Times New Roman"/>
          <w:sz w:val="24"/>
          <w:szCs w:val="24"/>
          <w:lang w:val="en-US"/>
        </w:rPr>
        <w:t xml:space="preserve"> (1987: 244)</w:t>
      </w:r>
      <w:r w:rsidR="00991F61" w:rsidRPr="00141344">
        <w:rPr>
          <w:rFonts w:ascii="Times New Roman" w:hAnsi="Times New Roman" w:cs="Times New Roman"/>
          <w:sz w:val="24"/>
          <w:szCs w:val="24"/>
          <w:lang w:val="en-US"/>
        </w:rPr>
        <w:t xml:space="preserve"> concedes that our study may sometimes “[lead] us to unusual translations of what others are about</w:t>
      </w:r>
      <w:r w:rsidR="009A7FDF">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The same unwarranted presupposition (that candidate descriptions are available on naturalist premises) is also betrayed by Quine himself. It is embedded in the very argument for the indeterminacy thesis when he speculatively writes about what the “likely” reference of the native-speakers’ ‘</w:t>
      </w:r>
      <w:proofErr w:type="spellStart"/>
      <w:r w:rsidR="00991F61" w:rsidRPr="00141344">
        <w:rPr>
          <w:rFonts w:ascii="Times New Roman" w:hAnsi="Times New Roman" w:cs="Times New Roman"/>
          <w:sz w:val="24"/>
          <w:szCs w:val="24"/>
          <w:lang w:val="en-US"/>
        </w:rPr>
        <w:t>gavagai</w:t>
      </w:r>
      <w:proofErr w:type="spellEnd"/>
      <w:r w:rsidR="0093051D">
        <w:rPr>
          <w:rFonts w:ascii="Times New Roman" w:hAnsi="Times New Roman" w:cs="Times New Roman"/>
          <w:sz w:val="24"/>
          <w:szCs w:val="24"/>
          <w:lang w:val="en-US"/>
        </w:rPr>
        <w:t>’ expression may be (Quine 1969:</w:t>
      </w:r>
      <w:r w:rsidR="00991F61" w:rsidRPr="00141344">
        <w:rPr>
          <w:rFonts w:ascii="Times New Roman" w:hAnsi="Times New Roman" w:cs="Times New Roman"/>
          <w:sz w:val="24"/>
          <w:szCs w:val="24"/>
          <w:lang w:val="en-US"/>
        </w:rPr>
        <w:t xml:space="preserve"> 34). </w:t>
      </w:r>
    </w:p>
    <w:p w14:paraId="519E9A03" w14:textId="23176082" w:rsidR="004C6512" w:rsidRDefault="0093051D"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If Quine’s empiricist approach is actually endorsed, with the result that all intensional terms are to be eschewed and only empirical descriptions of </w:t>
      </w:r>
      <w:r w:rsidR="00C039ED" w:rsidRPr="00141344">
        <w:rPr>
          <w:rFonts w:ascii="Times New Roman" w:hAnsi="Times New Roman" w:cs="Times New Roman"/>
          <w:sz w:val="24"/>
          <w:szCs w:val="24"/>
          <w:lang w:val="en-US"/>
        </w:rPr>
        <w:t>behavioral</w:t>
      </w:r>
      <w:r w:rsidR="00991F61" w:rsidRPr="00141344">
        <w:rPr>
          <w:rFonts w:ascii="Times New Roman" w:hAnsi="Times New Roman" w:cs="Times New Roman"/>
          <w:sz w:val="24"/>
          <w:szCs w:val="24"/>
          <w:lang w:val="en-US"/>
        </w:rPr>
        <w:t xml:space="preserve"> data are permitted, it follows that there can be no grounds for saying that one translation is more ‘unusual’, ‘likely’ or ‘better’ than the other. The reason is that the very first attempt to make out what the native speaker’s expression means already requires that the expression in question is grasped from within the context of utterance to which it belongs. This contextualization requires the very understanding of rules, norms and concepts that Winch argued for. It is in light of this consideration that </w:t>
      </w:r>
      <w:proofErr w:type="spellStart"/>
      <w:r w:rsidR="00991F61" w:rsidRPr="00141344">
        <w:rPr>
          <w:rFonts w:ascii="Times New Roman" w:hAnsi="Times New Roman" w:cs="Times New Roman"/>
          <w:sz w:val="24"/>
          <w:szCs w:val="24"/>
          <w:lang w:val="en-US"/>
        </w:rPr>
        <w:t>Sören</w:t>
      </w:r>
      <w:proofErr w:type="spellEnd"/>
      <w:r w:rsidR="00991F61" w:rsidRPr="00141344">
        <w:rPr>
          <w:rFonts w:ascii="Times New Roman" w:hAnsi="Times New Roman" w:cs="Times New Roman"/>
          <w:sz w:val="24"/>
          <w:szCs w:val="24"/>
          <w:lang w:val="en-US"/>
        </w:rPr>
        <w:t xml:space="preserve"> </w:t>
      </w:r>
      <w:proofErr w:type="spellStart"/>
      <w:r w:rsidR="00991F61" w:rsidRPr="00141344">
        <w:rPr>
          <w:rFonts w:ascii="Times New Roman" w:hAnsi="Times New Roman" w:cs="Times New Roman"/>
          <w:sz w:val="24"/>
          <w:szCs w:val="24"/>
          <w:lang w:val="en-US"/>
        </w:rPr>
        <w:t>Stenlund</w:t>
      </w:r>
      <w:proofErr w:type="spellEnd"/>
      <w:r w:rsidR="00991F61" w:rsidRPr="00141344">
        <w:rPr>
          <w:rFonts w:ascii="Times New Roman" w:hAnsi="Times New Roman" w:cs="Times New Roman"/>
          <w:sz w:val="24"/>
          <w:szCs w:val="24"/>
          <w:lang w:val="en-US"/>
        </w:rPr>
        <w:t xml:space="preserve"> (1990) has detected an incoherency at the very heart of Quine’s influential thesis. </w:t>
      </w:r>
      <w:proofErr w:type="spellStart"/>
      <w:r w:rsidR="00991F61" w:rsidRPr="00141344">
        <w:rPr>
          <w:rFonts w:ascii="Times New Roman" w:hAnsi="Times New Roman" w:cs="Times New Roman"/>
          <w:sz w:val="24"/>
          <w:szCs w:val="24"/>
          <w:lang w:val="en-US"/>
        </w:rPr>
        <w:t>Stenlund</w:t>
      </w:r>
      <w:proofErr w:type="spellEnd"/>
      <w:r w:rsidR="00991F61" w:rsidRPr="00141344">
        <w:rPr>
          <w:rFonts w:ascii="Times New Roman" w:hAnsi="Times New Roman" w:cs="Times New Roman"/>
          <w:sz w:val="24"/>
          <w:szCs w:val="24"/>
          <w:lang w:val="en-US"/>
        </w:rPr>
        <w:t xml:space="preserve"> argues that if one takes Quine’s empiricism seriously, then speaking of an ‘indeterminacy of translatio</w:t>
      </w:r>
      <w:r w:rsidR="00C039ED">
        <w:rPr>
          <w:rFonts w:ascii="Times New Roman" w:hAnsi="Times New Roman" w:cs="Times New Roman"/>
          <w:sz w:val="24"/>
          <w:szCs w:val="24"/>
          <w:lang w:val="en-US"/>
        </w:rPr>
        <w:t>n’ is already saying too much—</w:t>
      </w:r>
      <w:r w:rsidR="00991F61" w:rsidRPr="00141344">
        <w:rPr>
          <w:rFonts w:ascii="Times New Roman" w:hAnsi="Times New Roman" w:cs="Times New Roman"/>
          <w:sz w:val="24"/>
          <w:szCs w:val="24"/>
          <w:lang w:val="en-US"/>
        </w:rPr>
        <w:t xml:space="preserve">for such a position requires candidate descriptions for translation. What one ends up with is rather an ‘indeterminacy of forms of expressions’ in which the social scientist is permitted to say nothing more than that the native speakers are uttering expressions that the social scientist </w:t>
      </w:r>
      <w:r w:rsidR="00C039ED">
        <w:rPr>
          <w:rFonts w:ascii="Times New Roman" w:hAnsi="Times New Roman" w:cs="Times New Roman"/>
          <w:sz w:val="24"/>
          <w:szCs w:val="24"/>
          <w:lang w:val="en-US"/>
        </w:rPr>
        <w:t xml:space="preserve">cannot understand. As </w:t>
      </w:r>
      <w:proofErr w:type="spellStart"/>
      <w:r w:rsidR="00C039ED">
        <w:rPr>
          <w:rFonts w:ascii="Times New Roman" w:hAnsi="Times New Roman" w:cs="Times New Roman"/>
          <w:sz w:val="24"/>
          <w:szCs w:val="24"/>
          <w:lang w:val="en-US"/>
        </w:rPr>
        <w:t>Stenlund</w:t>
      </w:r>
      <w:proofErr w:type="spellEnd"/>
      <w:r w:rsidR="00C039ED">
        <w:rPr>
          <w:rFonts w:ascii="Times New Roman" w:hAnsi="Times New Roman" w:cs="Times New Roman"/>
          <w:sz w:val="24"/>
          <w:szCs w:val="24"/>
          <w:lang w:val="en-US"/>
        </w:rPr>
        <w:t xml:space="preserve"> writes:</w:t>
      </w:r>
    </w:p>
    <w:p w14:paraId="4DF09F2D" w14:textId="77777777" w:rsidR="00C039ED" w:rsidRPr="00141344" w:rsidRDefault="00C039ED" w:rsidP="00CA35E7">
      <w:pPr>
        <w:spacing w:after="0" w:line="360" w:lineRule="auto"/>
        <w:rPr>
          <w:rFonts w:ascii="Times New Roman" w:hAnsi="Times New Roman" w:cs="Times New Roman"/>
          <w:sz w:val="24"/>
          <w:szCs w:val="24"/>
          <w:lang w:val="en-US"/>
        </w:rPr>
      </w:pPr>
    </w:p>
    <w:p w14:paraId="4C874CB7" w14:textId="461A0785" w:rsidR="004C6512" w:rsidRPr="00C039ED" w:rsidRDefault="00991F61" w:rsidP="00C039ED">
      <w:pPr>
        <w:spacing w:after="0" w:line="360" w:lineRule="auto"/>
        <w:ind w:left="567" w:right="567"/>
        <w:rPr>
          <w:rFonts w:ascii="Times New Roman" w:hAnsi="Times New Roman" w:cs="Times New Roman"/>
          <w:sz w:val="20"/>
          <w:szCs w:val="24"/>
          <w:lang w:val="en-US"/>
        </w:rPr>
      </w:pPr>
      <w:r w:rsidRPr="00C039ED">
        <w:rPr>
          <w:rFonts w:ascii="Times New Roman" w:hAnsi="Times New Roman" w:cs="Times New Roman"/>
          <w:sz w:val="20"/>
          <w:szCs w:val="24"/>
          <w:lang w:val="en-US"/>
        </w:rPr>
        <w:t xml:space="preserve">It is presupposed in Quine’s argument that the field linguist, engaged in radical translation, is able to identify phonetically the expressions of the foreign language. He is supposed to be able to recognize two different utterances of the same sentence as such. And this is an important point because it is on this basis that he is able to formulate hypotheses of translation and test them </w:t>
      </w:r>
      <w:r w:rsidRPr="00C039ED">
        <w:rPr>
          <w:rFonts w:ascii="Times New Roman" w:hAnsi="Times New Roman" w:cs="Times New Roman"/>
          <w:sz w:val="20"/>
          <w:szCs w:val="24"/>
          <w:lang w:val="en-US"/>
        </w:rPr>
        <w:lastRenderedPageBreak/>
        <w:t xml:space="preserve">empirically. He must be able to identify the sentences in order to make hypotheses about their correct translation. But how can he even do that? By what criteria is he judging two different utterances as utterances of the same expression? That the linguist thinks that two utterances </w:t>
      </w:r>
      <w:r w:rsidRPr="00C039ED">
        <w:rPr>
          <w:rFonts w:ascii="Times New Roman" w:hAnsi="Times New Roman" w:cs="Times New Roman"/>
          <w:i/>
          <w:iCs/>
          <w:sz w:val="20"/>
          <w:szCs w:val="24"/>
          <w:lang w:val="en-US"/>
        </w:rPr>
        <w:t xml:space="preserve">sound alike </w:t>
      </w:r>
      <w:r w:rsidRPr="00C039ED">
        <w:rPr>
          <w:rFonts w:ascii="Times New Roman" w:hAnsi="Times New Roman" w:cs="Times New Roman"/>
          <w:sz w:val="20"/>
          <w:szCs w:val="24"/>
          <w:lang w:val="en-US"/>
        </w:rPr>
        <w:t>may not be a good criterion if it is a radically foreign language. Can he determine the ‘phonetic norms’ of the foreign language prior to the investigation of the meaning and the uses of expressions? Quine is obviously presupposing that he can.</w:t>
      </w:r>
      <w:r w:rsidR="00C039ED" w:rsidRPr="00C039ED">
        <w:rPr>
          <w:rFonts w:ascii="Times New Roman" w:hAnsi="Times New Roman" w:cs="Times New Roman"/>
          <w:sz w:val="20"/>
          <w:szCs w:val="24"/>
          <w:lang w:val="en-US"/>
        </w:rPr>
        <w:t xml:space="preserve"> (</w:t>
      </w:r>
      <w:proofErr w:type="spellStart"/>
      <w:r w:rsidR="00C039ED" w:rsidRPr="00C039ED">
        <w:rPr>
          <w:rFonts w:ascii="Times New Roman" w:hAnsi="Times New Roman" w:cs="Times New Roman"/>
          <w:sz w:val="20"/>
          <w:szCs w:val="24"/>
          <w:lang w:val="en-US"/>
        </w:rPr>
        <w:t>Stenlund</w:t>
      </w:r>
      <w:proofErr w:type="spellEnd"/>
      <w:r w:rsidR="00C039ED" w:rsidRPr="00C039ED">
        <w:rPr>
          <w:rFonts w:ascii="Times New Roman" w:hAnsi="Times New Roman" w:cs="Times New Roman"/>
          <w:sz w:val="20"/>
          <w:szCs w:val="24"/>
          <w:lang w:val="en-US"/>
        </w:rPr>
        <w:t xml:space="preserve"> 1990: 94</w:t>
      </w:r>
      <w:r w:rsidR="007E1AEF">
        <w:rPr>
          <w:rFonts w:ascii="Times New Roman" w:hAnsi="Times New Roman" w:cs="Times New Roman"/>
          <w:sz w:val="20"/>
          <w:szCs w:val="24"/>
          <w:lang w:val="en-US"/>
        </w:rPr>
        <w:t>, original emphasi</w:t>
      </w:r>
      <w:r w:rsidR="00EE55E2">
        <w:rPr>
          <w:rFonts w:ascii="Times New Roman" w:hAnsi="Times New Roman" w:cs="Times New Roman"/>
          <w:sz w:val="20"/>
          <w:szCs w:val="24"/>
          <w:lang w:val="en-US"/>
        </w:rPr>
        <w:t>s</w:t>
      </w:r>
      <w:r w:rsidR="00C039ED" w:rsidRPr="00C039ED">
        <w:rPr>
          <w:rFonts w:ascii="Times New Roman" w:hAnsi="Times New Roman" w:cs="Times New Roman"/>
          <w:sz w:val="20"/>
          <w:szCs w:val="24"/>
          <w:lang w:val="en-US"/>
        </w:rPr>
        <w:t>)</w:t>
      </w:r>
    </w:p>
    <w:p w14:paraId="121C4314" w14:textId="77777777" w:rsidR="00C039ED" w:rsidRDefault="00C039ED" w:rsidP="00CA35E7">
      <w:pPr>
        <w:spacing w:after="0" w:line="360" w:lineRule="auto"/>
        <w:rPr>
          <w:rFonts w:ascii="Times New Roman" w:hAnsi="Times New Roman" w:cs="Times New Roman"/>
          <w:sz w:val="24"/>
          <w:szCs w:val="24"/>
          <w:lang w:val="en-US"/>
        </w:rPr>
      </w:pPr>
    </w:p>
    <w:p w14:paraId="7D96EA55" w14:textId="57A11DC6" w:rsidR="004C6512" w:rsidRPr="00141344" w:rsidRDefault="00991F61" w:rsidP="00CA35E7">
      <w:pPr>
        <w:spacing w:after="0" w:line="360" w:lineRule="auto"/>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The core of </w:t>
      </w:r>
      <w:proofErr w:type="spellStart"/>
      <w:r w:rsidRPr="00141344">
        <w:rPr>
          <w:rFonts w:ascii="Times New Roman" w:hAnsi="Times New Roman" w:cs="Times New Roman"/>
          <w:sz w:val="24"/>
          <w:szCs w:val="24"/>
          <w:lang w:val="en-US"/>
        </w:rPr>
        <w:t>Stenlund’s</w:t>
      </w:r>
      <w:proofErr w:type="spellEnd"/>
      <w:r w:rsidRPr="00141344">
        <w:rPr>
          <w:rFonts w:ascii="Times New Roman" w:hAnsi="Times New Roman" w:cs="Times New Roman"/>
          <w:sz w:val="24"/>
          <w:szCs w:val="24"/>
          <w:lang w:val="en-US"/>
        </w:rPr>
        <w:t xml:space="preserve"> argument is that Quine neglects the fact that a normative context is also needed for identifying the relevant expressions to be used in the field linguist’s empirical test. Phonetic norms that govern tone, pitch, rhythm etc. make a great difference to the meaning of what is said, and without this kind of understanding “how is the linguist to know what features of two utterances are essential to them </w:t>
      </w:r>
      <w:r w:rsidRPr="00141344">
        <w:rPr>
          <w:rFonts w:ascii="Times New Roman" w:hAnsi="Times New Roman" w:cs="Times New Roman"/>
          <w:i/>
          <w:iCs/>
          <w:sz w:val="24"/>
          <w:szCs w:val="24"/>
          <w:lang w:val="en-US"/>
        </w:rPr>
        <w:t xml:space="preserve">qua </w:t>
      </w:r>
      <w:r w:rsidRPr="00141344">
        <w:rPr>
          <w:rFonts w:ascii="Times New Roman" w:hAnsi="Times New Roman" w:cs="Times New Roman"/>
          <w:sz w:val="24"/>
          <w:szCs w:val="24"/>
          <w:lang w:val="en-US"/>
        </w:rPr>
        <w:t>utteranc</w:t>
      </w:r>
      <w:r w:rsidR="005E0D66">
        <w:rPr>
          <w:rFonts w:ascii="Times New Roman" w:hAnsi="Times New Roman" w:cs="Times New Roman"/>
          <w:sz w:val="24"/>
          <w:szCs w:val="24"/>
          <w:lang w:val="en-US"/>
        </w:rPr>
        <w:t>es of the same sentence?” (1990:</w:t>
      </w:r>
      <w:r w:rsidRPr="00141344">
        <w:rPr>
          <w:rFonts w:ascii="Times New Roman" w:hAnsi="Times New Roman" w:cs="Times New Roman"/>
          <w:sz w:val="24"/>
          <w:szCs w:val="24"/>
          <w:lang w:val="en-US"/>
        </w:rPr>
        <w:t xml:space="preserve"> 95). According to </w:t>
      </w:r>
      <w:proofErr w:type="spellStart"/>
      <w:r w:rsidRPr="00141344">
        <w:rPr>
          <w:rFonts w:ascii="Times New Roman" w:hAnsi="Times New Roman" w:cs="Times New Roman"/>
          <w:sz w:val="24"/>
          <w:szCs w:val="24"/>
          <w:lang w:val="en-US"/>
        </w:rPr>
        <w:t>Stenlund</w:t>
      </w:r>
      <w:proofErr w:type="spellEnd"/>
      <w:r w:rsidRPr="00141344">
        <w:rPr>
          <w:rFonts w:ascii="Times New Roman" w:hAnsi="Times New Roman" w:cs="Times New Roman"/>
          <w:sz w:val="24"/>
          <w:szCs w:val="24"/>
          <w:lang w:val="en-US"/>
        </w:rPr>
        <w:t>, this stronger form of indeterminacy undermines the entire conceptual and methodological structure of Quine’s indeterminacy thesis. What Quine had erroneously assumed was that norms governing expressions can be identified in purely naturalistic terms, i.e. independently of an investigation of the uses of such expressions in</w:t>
      </w:r>
      <w:r w:rsidR="005E0D66">
        <w:rPr>
          <w:rFonts w:ascii="Times New Roman" w:hAnsi="Times New Roman" w:cs="Times New Roman"/>
          <w:sz w:val="24"/>
          <w:szCs w:val="24"/>
          <w:lang w:val="en-US"/>
        </w:rPr>
        <w:t xml:space="preserve"> actual contexts of utterance—</w:t>
      </w:r>
      <w:r w:rsidRPr="00141344">
        <w:rPr>
          <w:rFonts w:ascii="Times New Roman" w:hAnsi="Times New Roman" w:cs="Times New Roman"/>
          <w:sz w:val="24"/>
          <w:szCs w:val="24"/>
          <w:lang w:val="en-US"/>
        </w:rPr>
        <w:t xml:space="preserve">uses of expressions that must be fleshed out in relation to concepts, rules and norms of the target society. According to </w:t>
      </w:r>
      <w:proofErr w:type="spellStart"/>
      <w:r w:rsidRPr="00141344">
        <w:rPr>
          <w:rFonts w:ascii="Times New Roman" w:hAnsi="Times New Roman" w:cs="Times New Roman"/>
          <w:sz w:val="24"/>
          <w:szCs w:val="24"/>
          <w:lang w:val="en-US"/>
        </w:rPr>
        <w:t>Stenlund</w:t>
      </w:r>
      <w:proofErr w:type="spellEnd"/>
      <w:r w:rsidRPr="00141344">
        <w:rPr>
          <w:rFonts w:ascii="Times New Roman" w:hAnsi="Times New Roman" w:cs="Times New Roman"/>
          <w:sz w:val="24"/>
          <w:szCs w:val="24"/>
          <w:lang w:val="en-US"/>
        </w:rPr>
        <w:t>, the fact that Quine assumes the possibility of a strictly naturalist identification of expressions shows that Quine assumes actual human language to have a formal structure, like a scientific theory. A structure that can be identified and specified in isolation from the forms of use of its expressions. However, actual language derives its meaning from its application in different contexts of utterance, which entails that understanding a language is not like understanding a scien</w:t>
      </w:r>
      <w:r w:rsidR="005E0D66">
        <w:rPr>
          <w:rFonts w:ascii="Times New Roman" w:hAnsi="Times New Roman" w:cs="Times New Roman"/>
          <w:sz w:val="24"/>
          <w:szCs w:val="24"/>
          <w:lang w:val="en-US"/>
        </w:rPr>
        <w:t xml:space="preserve">tific theory. As </w:t>
      </w:r>
      <w:proofErr w:type="spellStart"/>
      <w:r w:rsidR="005E0D66">
        <w:rPr>
          <w:rFonts w:ascii="Times New Roman" w:hAnsi="Times New Roman" w:cs="Times New Roman"/>
          <w:sz w:val="24"/>
          <w:szCs w:val="24"/>
          <w:lang w:val="en-US"/>
        </w:rPr>
        <w:t>Stenlund</w:t>
      </w:r>
      <w:proofErr w:type="spellEnd"/>
      <w:r w:rsidR="005E0D66">
        <w:rPr>
          <w:rFonts w:ascii="Times New Roman" w:hAnsi="Times New Roman" w:cs="Times New Roman"/>
          <w:sz w:val="24"/>
          <w:szCs w:val="24"/>
          <w:lang w:val="en-US"/>
        </w:rPr>
        <w:t xml:space="preserve"> (1990:</w:t>
      </w:r>
      <w:r w:rsidRPr="00141344">
        <w:rPr>
          <w:rFonts w:ascii="Times New Roman" w:hAnsi="Times New Roman" w:cs="Times New Roman"/>
          <w:sz w:val="24"/>
          <w:szCs w:val="24"/>
          <w:lang w:val="en-US"/>
        </w:rPr>
        <w:t xml:space="preserve"> 96) writes: “If a human language is conceived of as a system of rules for using expressions, then </w:t>
      </w:r>
      <w:r w:rsidRPr="00141344">
        <w:rPr>
          <w:rFonts w:ascii="Times New Roman" w:hAnsi="Times New Roman" w:cs="Times New Roman"/>
          <w:i/>
          <w:iCs/>
          <w:sz w:val="24"/>
          <w:szCs w:val="24"/>
          <w:lang w:val="en-US"/>
        </w:rPr>
        <w:t xml:space="preserve">what constitutes following the rules correctly </w:t>
      </w:r>
      <w:r w:rsidRPr="00141344">
        <w:rPr>
          <w:rFonts w:ascii="Times New Roman" w:hAnsi="Times New Roman" w:cs="Times New Roman"/>
          <w:sz w:val="24"/>
          <w:szCs w:val="24"/>
          <w:lang w:val="en-US"/>
        </w:rPr>
        <w:t xml:space="preserve">is determined ultimately within the forms of </w:t>
      </w:r>
      <w:r w:rsidR="005E0D66">
        <w:rPr>
          <w:rFonts w:ascii="Times New Roman" w:hAnsi="Times New Roman" w:cs="Times New Roman"/>
          <w:sz w:val="24"/>
          <w:szCs w:val="24"/>
          <w:lang w:val="en-US"/>
        </w:rPr>
        <w:t>life where the language belongs</w:t>
      </w:r>
      <w:r w:rsidRPr="00141344">
        <w:rPr>
          <w:rFonts w:ascii="Times New Roman" w:hAnsi="Times New Roman" w:cs="Times New Roman"/>
          <w:sz w:val="24"/>
          <w:szCs w:val="24"/>
          <w:lang w:val="en-US"/>
        </w:rPr>
        <w:t>”</w:t>
      </w:r>
      <w:r w:rsidR="005E0D66">
        <w:rPr>
          <w:rFonts w:ascii="Times New Roman" w:hAnsi="Times New Roman" w:cs="Times New Roman"/>
          <w:sz w:val="24"/>
          <w:szCs w:val="24"/>
          <w:lang w:val="en-US"/>
        </w:rPr>
        <w:t xml:space="preserve"> (original emphases).</w:t>
      </w:r>
    </w:p>
    <w:p w14:paraId="41E4669A" w14:textId="77777777" w:rsidR="008C3812" w:rsidRDefault="00B6505F"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The naturalist alternative to Winch’s account of the social sciences fails for three related reasons. First, naturalists assume that the only way to account for the normative dimension of action explanation is to hypostasize a hidden mental structure behind the overt </w:t>
      </w:r>
      <w:r w:rsidR="008C3812"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 xml:space="preserve"> of historical agents. Winch made no such assumption. He argued instead that norms, rules and concepts are not hidden ontological entities, but rather features of the forms of understanding that logically distinguish social science from natural science. Secondly, naturalists erroneously assume that the only le</w:t>
      </w:r>
      <w:r w:rsidR="008C3812">
        <w:rPr>
          <w:rFonts w:ascii="Times New Roman" w:hAnsi="Times New Roman" w:cs="Times New Roman"/>
          <w:sz w:val="24"/>
          <w:szCs w:val="24"/>
          <w:lang w:val="en-US"/>
        </w:rPr>
        <w:t>gitimate way that normativity—</w:t>
      </w:r>
      <w:r w:rsidR="00991F61" w:rsidRPr="00141344">
        <w:rPr>
          <w:rFonts w:ascii="Times New Roman" w:hAnsi="Times New Roman" w:cs="Times New Roman"/>
          <w:sz w:val="24"/>
          <w:szCs w:val="24"/>
          <w:lang w:val="en-US"/>
        </w:rPr>
        <w:t>in t</w:t>
      </w:r>
      <w:r w:rsidR="008C3812">
        <w:rPr>
          <w:rFonts w:ascii="Times New Roman" w:hAnsi="Times New Roman" w:cs="Times New Roman"/>
          <w:sz w:val="24"/>
          <w:szCs w:val="24"/>
          <w:lang w:val="en-US"/>
        </w:rPr>
        <w:t>he form of rules and concepts—</w:t>
      </w:r>
      <w:r w:rsidR="00991F61" w:rsidRPr="00141344">
        <w:rPr>
          <w:rFonts w:ascii="Times New Roman" w:hAnsi="Times New Roman" w:cs="Times New Roman"/>
          <w:sz w:val="24"/>
          <w:szCs w:val="24"/>
          <w:lang w:val="en-US"/>
        </w:rPr>
        <w:t xml:space="preserve">enters social science research is by way of imposition on the part of the </w:t>
      </w:r>
      <w:r w:rsidR="00991F61" w:rsidRPr="00141344">
        <w:rPr>
          <w:rFonts w:ascii="Times New Roman" w:hAnsi="Times New Roman" w:cs="Times New Roman"/>
          <w:sz w:val="24"/>
          <w:szCs w:val="24"/>
          <w:lang w:val="en-US"/>
        </w:rPr>
        <w:lastRenderedPageBreak/>
        <w:t xml:space="preserve">social scientist. Against this idea, Winch argued that concepts and rules belong to the very identification of </w:t>
      </w:r>
      <w:r w:rsidR="008C3812"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 xml:space="preserve"> as action, which means that normativity is also intrinsic to the ways in which historical agents themselves understood what they were doing. Thirdly, Winch pointed out that descriptions of social phenomena could not even get off the ground without understanding the background of rules, norms and concepts in terms of which actions and expressions can b</w:t>
      </w:r>
      <w:r w:rsidR="008C3812">
        <w:rPr>
          <w:rFonts w:ascii="Times New Roman" w:hAnsi="Times New Roman" w:cs="Times New Roman"/>
          <w:sz w:val="24"/>
          <w:szCs w:val="24"/>
          <w:lang w:val="en-US"/>
        </w:rPr>
        <w:t>e identified for what they are.</w:t>
      </w:r>
    </w:p>
    <w:p w14:paraId="21A8C7A0" w14:textId="475755B2" w:rsidR="004C6512" w:rsidRPr="00141344" w:rsidRDefault="008C3812"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 xml:space="preserve">Furthermore, as </w:t>
      </w:r>
      <w:proofErr w:type="spellStart"/>
      <w:r w:rsidR="00991F61" w:rsidRPr="00141344">
        <w:rPr>
          <w:rFonts w:ascii="Times New Roman" w:hAnsi="Times New Roman" w:cs="Times New Roman"/>
          <w:sz w:val="24"/>
          <w:szCs w:val="24"/>
          <w:lang w:val="en-US"/>
        </w:rPr>
        <w:t>Stenlund’s</w:t>
      </w:r>
      <w:proofErr w:type="spellEnd"/>
      <w:r w:rsidR="00991F61" w:rsidRPr="00141344">
        <w:rPr>
          <w:rFonts w:ascii="Times New Roman" w:hAnsi="Times New Roman" w:cs="Times New Roman"/>
          <w:sz w:val="24"/>
          <w:szCs w:val="24"/>
          <w:lang w:val="en-US"/>
        </w:rPr>
        <w:t xml:space="preserve"> elaboration of the argument shows, the naturalist fails to appreciate that actual human expressions are always already rooted in contexts of utterance that reflect the rules, norms and concepts of the agents. This entails that there simply is no such thing as a purely naturalist identification of the sense or reference for an expression. Without invoking intensional terms, the naturalist would only be able to speculate about, say, the way in which the tone of voice, or the way signs are jotted down on the paper, show signs of biologically or psychologically disposed behavior patterns. In a trivial sense, purely extensional descriptions of human </w:t>
      </w:r>
      <w:r w:rsidR="006F0BA4"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 xml:space="preserve"> are not impossible. However, such descriptions of social phenomena cannot (logically) communicate anything of interest to historians and social scientists. In conclusion, Winch is not putting forward an argument about what kinds of things exist in the world; on the contrary, he wants to outline the kinds of logical commitment that shape our descriptions and explanations of </w:t>
      </w:r>
      <w:r w:rsidR="006F0BA4" w:rsidRPr="00141344">
        <w:rPr>
          <w:rFonts w:ascii="Times New Roman" w:hAnsi="Times New Roman" w:cs="Times New Roman"/>
          <w:sz w:val="24"/>
          <w:szCs w:val="24"/>
          <w:lang w:val="en-US"/>
        </w:rPr>
        <w:t>behavior</w:t>
      </w:r>
      <w:r w:rsidR="00991F61" w:rsidRPr="00141344">
        <w:rPr>
          <w:rFonts w:ascii="Times New Roman" w:hAnsi="Times New Roman" w:cs="Times New Roman"/>
          <w:sz w:val="24"/>
          <w:szCs w:val="24"/>
          <w:lang w:val="en-US"/>
        </w:rPr>
        <w:t xml:space="preserve"> and events </w:t>
      </w:r>
      <w:r w:rsidR="00991F61" w:rsidRPr="00141344">
        <w:rPr>
          <w:rFonts w:ascii="Times New Roman" w:hAnsi="Times New Roman" w:cs="Times New Roman"/>
          <w:i/>
          <w:iCs/>
          <w:sz w:val="24"/>
          <w:szCs w:val="24"/>
          <w:lang w:val="en-US"/>
        </w:rPr>
        <w:t xml:space="preserve">qua </w:t>
      </w:r>
      <w:r w:rsidR="00991F61" w:rsidRPr="00141344">
        <w:rPr>
          <w:rFonts w:ascii="Times New Roman" w:hAnsi="Times New Roman" w:cs="Times New Roman"/>
          <w:sz w:val="24"/>
          <w:szCs w:val="24"/>
          <w:lang w:val="en-US"/>
        </w:rPr>
        <w:t xml:space="preserve">actions and social phenomena. </w:t>
      </w:r>
    </w:p>
    <w:p w14:paraId="2BA2A61D" w14:textId="77777777" w:rsidR="006E15FC" w:rsidRDefault="006E15FC" w:rsidP="00CA35E7">
      <w:pPr>
        <w:spacing w:after="0" w:line="360" w:lineRule="auto"/>
        <w:rPr>
          <w:rFonts w:ascii="Times New Roman" w:hAnsi="Times New Roman" w:cs="Times New Roman"/>
          <w:b/>
          <w:bCs/>
          <w:sz w:val="24"/>
          <w:szCs w:val="24"/>
          <w:lang w:val="en-US"/>
        </w:rPr>
      </w:pPr>
    </w:p>
    <w:p w14:paraId="62FF0BA1" w14:textId="4AB41C87" w:rsidR="004C6512" w:rsidRPr="00141344" w:rsidRDefault="004821F1" w:rsidP="00CA35E7">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XY.4</w:t>
      </w:r>
      <w:r w:rsidR="006E15FC">
        <w:rPr>
          <w:rFonts w:ascii="Times New Roman" w:hAnsi="Times New Roman" w:cs="Times New Roman"/>
          <w:b/>
          <w:bCs/>
          <w:sz w:val="24"/>
          <w:szCs w:val="24"/>
          <w:lang w:val="en-US"/>
        </w:rPr>
        <w:t xml:space="preserve">. </w:t>
      </w:r>
      <w:r w:rsidR="00991F61" w:rsidRPr="00141344">
        <w:rPr>
          <w:rFonts w:ascii="Times New Roman" w:hAnsi="Times New Roman" w:cs="Times New Roman"/>
          <w:b/>
          <w:bCs/>
          <w:sz w:val="24"/>
          <w:szCs w:val="24"/>
          <w:lang w:val="en-US"/>
        </w:rPr>
        <w:t>Conclusion</w:t>
      </w:r>
    </w:p>
    <w:p w14:paraId="62235A5D" w14:textId="1FAB32CD" w:rsidR="000644A6" w:rsidRDefault="00991F61" w:rsidP="00CA35E7">
      <w:pPr>
        <w:spacing w:after="0" w:line="360" w:lineRule="auto"/>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The </w:t>
      </w:r>
      <w:proofErr w:type="spellStart"/>
      <w:r w:rsidRPr="00141344">
        <w:rPr>
          <w:rFonts w:ascii="Times New Roman" w:hAnsi="Times New Roman" w:cs="Times New Roman"/>
          <w:sz w:val="24"/>
          <w:szCs w:val="24"/>
          <w:lang w:val="en-US"/>
        </w:rPr>
        <w:t>Quinean</w:t>
      </w:r>
      <w:proofErr w:type="spellEnd"/>
      <w:r w:rsidRPr="00141344">
        <w:rPr>
          <w:rFonts w:ascii="Times New Roman" w:hAnsi="Times New Roman" w:cs="Times New Roman"/>
          <w:sz w:val="24"/>
          <w:szCs w:val="24"/>
          <w:lang w:val="en-US"/>
        </w:rPr>
        <w:t xml:space="preserve"> challenge to the possibility of distinctive humanistic explanations is more radical than the earlier Hempelian argument for methodological unity in the sciences. Hempel’s challenge treated beliefs and desires as internal causes of external </w:t>
      </w:r>
      <w:r w:rsidR="006F0BA4" w:rsidRPr="00141344">
        <w:rPr>
          <w:rFonts w:ascii="Times New Roman" w:hAnsi="Times New Roman" w:cs="Times New Roman"/>
          <w:sz w:val="24"/>
          <w:szCs w:val="24"/>
          <w:lang w:val="en-US"/>
        </w:rPr>
        <w:t>behavior</w:t>
      </w:r>
      <w:r w:rsidRPr="00141344">
        <w:rPr>
          <w:rFonts w:ascii="Times New Roman" w:hAnsi="Times New Roman" w:cs="Times New Roman"/>
          <w:sz w:val="24"/>
          <w:szCs w:val="24"/>
          <w:lang w:val="en-US"/>
        </w:rPr>
        <w:t xml:space="preserve">, as antecedent conditions which lie in the mind rather than the external world. Quine, by contrast, dismisses them as belonging to the Lockean “myth of the museum”. He is not so much an epistemological </w:t>
      </w:r>
      <w:r w:rsidR="006F0BA4" w:rsidRPr="00141344">
        <w:rPr>
          <w:rFonts w:ascii="Times New Roman" w:hAnsi="Times New Roman" w:cs="Times New Roman"/>
          <w:sz w:val="24"/>
          <w:szCs w:val="24"/>
          <w:lang w:val="en-US"/>
        </w:rPr>
        <w:t>skeptic</w:t>
      </w:r>
      <w:r w:rsidRPr="00141344">
        <w:rPr>
          <w:rFonts w:ascii="Times New Roman" w:hAnsi="Times New Roman" w:cs="Times New Roman"/>
          <w:sz w:val="24"/>
          <w:szCs w:val="24"/>
          <w:lang w:val="en-US"/>
        </w:rPr>
        <w:t xml:space="preserve"> about the possibility of recovering the meaning behind actions or words as a kin</w:t>
      </w:r>
      <w:r w:rsidR="000644A6">
        <w:rPr>
          <w:rFonts w:ascii="Times New Roman" w:hAnsi="Times New Roman" w:cs="Times New Roman"/>
          <w:sz w:val="24"/>
          <w:szCs w:val="24"/>
          <w:lang w:val="en-US"/>
        </w:rPr>
        <w:t>d of nihilist (Kirk 2004: 153).</w:t>
      </w:r>
    </w:p>
    <w:p w14:paraId="6D6E1CC4" w14:textId="13A768FD" w:rsidR="004C6512" w:rsidRPr="00141344" w:rsidRDefault="000644A6" w:rsidP="00CA35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91F61" w:rsidRPr="00141344">
        <w:rPr>
          <w:rFonts w:ascii="Times New Roman" w:hAnsi="Times New Roman" w:cs="Times New Roman"/>
          <w:sz w:val="24"/>
          <w:szCs w:val="24"/>
          <w:lang w:val="en-US"/>
        </w:rPr>
        <w:t>These difference</w:t>
      </w:r>
      <w:r w:rsidR="006F0BA4">
        <w:rPr>
          <w:rFonts w:ascii="Times New Roman" w:hAnsi="Times New Roman" w:cs="Times New Roman"/>
          <w:sz w:val="24"/>
          <w:szCs w:val="24"/>
          <w:lang w:val="en-US"/>
        </w:rPr>
        <w:t>s</w:t>
      </w:r>
      <w:r w:rsidR="00991F61" w:rsidRPr="00141344">
        <w:rPr>
          <w:rFonts w:ascii="Times New Roman" w:hAnsi="Times New Roman" w:cs="Times New Roman"/>
          <w:sz w:val="24"/>
          <w:szCs w:val="24"/>
          <w:lang w:val="en-US"/>
        </w:rPr>
        <w:t xml:space="preserve"> notwithstanding, both the Hempelian and the </w:t>
      </w:r>
      <w:proofErr w:type="spellStart"/>
      <w:r w:rsidR="00991F61" w:rsidRPr="00141344">
        <w:rPr>
          <w:rFonts w:ascii="Times New Roman" w:hAnsi="Times New Roman" w:cs="Times New Roman"/>
          <w:sz w:val="24"/>
          <w:szCs w:val="24"/>
          <w:lang w:val="en-US"/>
        </w:rPr>
        <w:t>Quinean</w:t>
      </w:r>
      <w:proofErr w:type="spellEnd"/>
      <w:r w:rsidR="00991F61" w:rsidRPr="00141344">
        <w:rPr>
          <w:rFonts w:ascii="Times New Roman" w:hAnsi="Times New Roman" w:cs="Times New Roman"/>
          <w:sz w:val="24"/>
          <w:szCs w:val="24"/>
          <w:lang w:val="en-US"/>
        </w:rPr>
        <w:t xml:space="preserve"> challenge to the possibility of a </w:t>
      </w:r>
      <w:r w:rsidR="00991F61" w:rsidRPr="006F0BA4">
        <w:rPr>
          <w:rFonts w:ascii="Times New Roman" w:hAnsi="Times New Roman" w:cs="Times New Roman"/>
          <w:i/>
          <w:sz w:val="24"/>
          <w:szCs w:val="24"/>
          <w:lang w:val="en-US"/>
        </w:rPr>
        <w:t>sui generis</w:t>
      </w:r>
      <w:r w:rsidR="00991F61" w:rsidRPr="00141344">
        <w:rPr>
          <w:rFonts w:ascii="Times New Roman" w:hAnsi="Times New Roman" w:cs="Times New Roman"/>
          <w:sz w:val="24"/>
          <w:szCs w:val="24"/>
          <w:lang w:val="en-US"/>
        </w:rPr>
        <w:t xml:space="preserve"> humanistic science of interpretation rest on a failure to grasp that humanistic explanations have a normative dimension that is irreducible to causal explanations. In both cases attention was diverted away from the genuine issues at stake by the accusation that any attempt to defend the possibility of humanistic explanations cannot escape a commitment to the early modern conception of the mind as an inner theatre. </w:t>
      </w:r>
      <w:r w:rsidR="00991F61" w:rsidRPr="00141344">
        <w:rPr>
          <w:rFonts w:ascii="Times New Roman" w:hAnsi="Times New Roman" w:cs="Times New Roman"/>
          <w:sz w:val="24"/>
          <w:szCs w:val="24"/>
          <w:lang w:val="en-US"/>
        </w:rPr>
        <w:lastRenderedPageBreak/>
        <w:t xml:space="preserve">Collingwood’s account of re-enactment was mocked by Gardiner for endowing historians with telepathic powers of access to the minds of historical agents, and Quine’s positive proposal for a science of understanding acquired its plausibility from the consideration that any </w:t>
      </w:r>
      <w:r w:rsidR="00DC44A2" w:rsidRPr="00141344">
        <w:rPr>
          <w:rFonts w:ascii="Times New Roman" w:hAnsi="Times New Roman" w:cs="Times New Roman"/>
          <w:sz w:val="24"/>
          <w:szCs w:val="24"/>
          <w:lang w:val="en-US"/>
        </w:rPr>
        <w:t>defense</w:t>
      </w:r>
      <w:r w:rsidR="00991F61" w:rsidRPr="00141344">
        <w:rPr>
          <w:rFonts w:ascii="Times New Roman" w:hAnsi="Times New Roman" w:cs="Times New Roman"/>
          <w:sz w:val="24"/>
          <w:szCs w:val="24"/>
          <w:lang w:val="en-US"/>
        </w:rPr>
        <w:t xml:space="preserve"> of humanistic explanations must be committed to the existence of ontologically dubious entities. Once this misrepresentation is corrected, it becomes clear that there is no need to choose between the Lockean account of the relationship between words and ideas, with its associated model of how we understand others, and Quine’s </w:t>
      </w:r>
      <w:proofErr w:type="spellStart"/>
      <w:r w:rsidR="00991F61" w:rsidRPr="00141344">
        <w:rPr>
          <w:rFonts w:ascii="Times New Roman" w:hAnsi="Times New Roman" w:cs="Times New Roman"/>
          <w:sz w:val="24"/>
          <w:szCs w:val="24"/>
          <w:lang w:val="en-US"/>
        </w:rPr>
        <w:t>eliminativism</w:t>
      </w:r>
      <w:proofErr w:type="spellEnd"/>
      <w:r w:rsidR="00991F61" w:rsidRPr="00141344">
        <w:rPr>
          <w:rFonts w:ascii="Times New Roman" w:hAnsi="Times New Roman" w:cs="Times New Roman"/>
          <w:sz w:val="24"/>
          <w:szCs w:val="24"/>
          <w:lang w:val="en-US"/>
        </w:rPr>
        <w:t xml:space="preserve"> about meaning and his associated account of radical translation. The myth which needs debunking is no longer that of the ghost in the machine. It is the myth that any attempt to defend the autonomy of humanistic explanations must involve buying into the Lockean “myth of the museum”.</w:t>
      </w:r>
    </w:p>
    <w:p w14:paraId="34528004" w14:textId="77777777" w:rsidR="004C6512" w:rsidRPr="00141344" w:rsidRDefault="004C6512" w:rsidP="00CA35E7">
      <w:pPr>
        <w:spacing w:after="0" w:line="360" w:lineRule="auto"/>
        <w:rPr>
          <w:rFonts w:ascii="Times New Roman" w:hAnsi="Times New Roman" w:cs="Times New Roman"/>
          <w:sz w:val="24"/>
          <w:szCs w:val="24"/>
          <w:lang w:val="en-US"/>
        </w:rPr>
      </w:pPr>
    </w:p>
    <w:p w14:paraId="5C05FA2F" w14:textId="04BCEA83" w:rsidR="004C6512" w:rsidRPr="00141344" w:rsidRDefault="008B600A" w:rsidP="00CA35E7">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XY.5. References</w:t>
      </w:r>
    </w:p>
    <w:p w14:paraId="6C5BCA04" w14:textId="6D1FCEBD" w:rsidR="004C6512" w:rsidRPr="00141344" w:rsidRDefault="00991F61" w:rsidP="00CA35E7">
      <w:pPr>
        <w:spacing w:after="0" w:line="360" w:lineRule="auto"/>
        <w:ind w:left="851" w:hanging="851"/>
        <w:rPr>
          <w:rFonts w:ascii="Times New Roman" w:hAnsi="Times New Roman" w:cs="Times New Roman"/>
          <w:sz w:val="24"/>
          <w:szCs w:val="24"/>
          <w:lang w:val="en-US"/>
        </w:rPr>
      </w:pPr>
      <w:proofErr w:type="spellStart"/>
      <w:r w:rsidRPr="00141344">
        <w:rPr>
          <w:rFonts w:ascii="Times New Roman" w:hAnsi="Times New Roman" w:cs="Times New Roman"/>
          <w:sz w:val="24"/>
          <w:szCs w:val="24"/>
          <w:lang w:val="en-US"/>
        </w:rPr>
        <w:t>Ahlskog</w:t>
      </w:r>
      <w:proofErr w:type="spellEnd"/>
      <w:r w:rsidRPr="00141344">
        <w:rPr>
          <w:rFonts w:ascii="Times New Roman" w:hAnsi="Times New Roman" w:cs="Times New Roman"/>
          <w:sz w:val="24"/>
          <w:szCs w:val="24"/>
          <w:lang w:val="en-US"/>
        </w:rPr>
        <w:t xml:space="preserve">, J. and </w:t>
      </w:r>
      <w:r w:rsidR="0007338C">
        <w:rPr>
          <w:rFonts w:ascii="Times New Roman" w:hAnsi="Times New Roman" w:cs="Times New Roman"/>
          <w:sz w:val="24"/>
          <w:szCs w:val="24"/>
          <w:lang w:val="en-US"/>
        </w:rPr>
        <w:t xml:space="preserve">O. </w:t>
      </w:r>
      <w:proofErr w:type="spellStart"/>
      <w:r w:rsidR="0007338C">
        <w:rPr>
          <w:rFonts w:ascii="Times New Roman" w:hAnsi="Times New Roman" w:cs="Times New Roman"/>
          <w:sz w:val="24"/>
          <w:szCs w:val="24"/>
          <w:lang w:val="en-US"/>
        </w:rPr>
        <w:t>Lagerspetz</w:t>
      </w:r>
      <w:proofErr w:type="spellEnd"/>
      <w:r w:rsidRPr="00141344">
        <w:rPr>
          <w:rFonts w:ascii="Times New Roman" w:hAnsi="Times New Roman" w:cs="Times New Roman"/>
          <w:sz w:val="24"/>
          <w:szCs w:val="24"/>
          <w:lang w:val="en-US"/>
        </w:rPr>
        <w:t xml:space="preserve"> </w:t>
      </w:r>
      <w:r w:rsidR="0007338C">
        <w:rPr>
          <w:rFonts w:ascii="Times New Roman" w:hAnsi="Times New Roman" w:cs="Times New Roman"/>
          <w:sz w:val="24"/>
          <w:szCs w:val="24"/>
          <w:lang w:val="en-US"/>
        </w:rPr>
        <w:t>(2015) ‘</w:t>
      </w:r>
      <w:r w:rsidRPr="00141344">
        <w:rPr>
          <w:rFonts w:ascii="Times New Roman" w:hAnsi="Times New Roman" w:cs="Times New Roman"/>
          <w:sz w:val="24"/>
          <w:szCs w:val="24"/>
          <w:lang w:val="en-US"/>
        </w:rPr>
        <w:t>Language-Games and Relativism: On Cora D</w:t>
      </w:r>
      <w:r w:rsidR="0007338C">
        <w:rPr>
          <w:rFonts w:ascii="Times New Roman" w:hAnsi="Times New Roman" w:cs="Times New Roman"/>
          <w:sz w:val="24"/>
          <w:szCs w:val="24"/>
          <w:lang w:val="en-US"/>
        </w:rPr>
        <w:t>iamond’s Reading of Peter Winch’</w:t>
      </w:r>
      <w:r w:rsidRPr="00141344">
        <w:rPr>
          <w:rFonts w:ascii="Times New Roman" w:hAnsi="Times New Roman" w:cs="Times New Roman"/>
          <w:sz w:val="24"/>
          <w:szCs w:val="24"/>
          <w:lang w:val="en-US"/>
        </w:rPr>
        <w:t xml:space="preserve">, </w:t>
      </w:r>
      <w:r w:rsidRPr="00141344">
        <w:rPr>
          <w:rFonts w:ascii="Times New Roman" w:hAnsi="Times New Roman" w:cs="Times New Roman"/>
          <w:i/>
          <w:iCs/>
          <w:sz w:val="24"/>
          <w:szCs w:val="24"/>
          <w:lang w:val="en-US"/>
        </w:rPr>
        <w:t xml:space="preserve">Philosophical Investigations </w:t>
      </w:r>
      <w:r w:rsidRPr="00141344">
        <w:rPr>
          <w:rFonts w:ascii="Times New Roman" w:hAnsi="Times New Roman" w:cs="Times New Roman"/>
          <w:sz w:val="24"/>
          <w:szCs w:val="24"/>
          <w:lang w:val="en-US"/>
        </w:rPr>
        <w:t>38</w:t>
      </w:r>
      <w:r w:rsidR="0007338C">
        <w:rPr>
          <w:rFonts w:ascii="Times New Roman" w:hAnsi="Times New Roman" w:cs="Times New Roman"/>
          <w:sz w:val="24"/>
          <w:szCs w:val="24"/>
          <w:lang w:val="en-US"/>
        </w:rPr>
        <w:t xml:space="preserve"> </w:t>
      </w:r>
      <w:r w:rsidRPr="00141344">
        <w:rPr>
          <w:rFonts w:ascii="Times New Roman" w:hAnsi="Times New Roman" w:cs="Times New Roman"/>
          <w:sz w:val="24"/>
          <w:szCs w:val="24"/>
          <w:lang w:val="en-US"/>
        </w:rPr>
        <w:t xml:space="preserve">(4): 293–315. </w:t>
      </w:r>
    </w:p>
    <w:p w14:paraId="1861FFB4" w14:textId="6B771ABC" w:rsidR="004C6512" w:rsidRPr="00141344" w:rsidRDefault="00991F61" w:rsidP="00CA35E7">
      <w:pPr>
        <w:spacing w:after="0" w:line="360" w:lineRule="auto"/>
        <w:ind w:left="851" w:hanging="851"/>
        <w:rPr>
          <w:rFonts w:ascii="Times New Roman" w:hAnsi="Times New Roman" w:cs="Times New Roman"/>
          <w:sz w:val="24"/>
          <w:szCs w:val="24"/>
          <w:lang w:val="en-US"/>
        </w:rPr>
      </w:pPr>
      <w:proofErr w:type="spellStart"/>
      <w:r w:rsidRPr="00141344">
        <w:rPr>
          <w:rFonts w:ascii="Times New Roman" w:hAnsi="Times New Roman" w:cs="Times New Roman"/>
          <w:sz w:val="24"/>
          <w:szCs w:val="24"/>
          <w:lang w:val="en-US"/>
        </w:rPr>
        <w:t>Ahlskog</w:t>
      </w:r>
      <w:proofErr w:type="spellEnd"/>
      <w:r w:rsidRPr="00141344">
        <w:rPr>
          <w:rFonts w:ascii="Times New Roman" w:hAnsi="Times New Roman" w:cs="Times New Roman"/>
          <w:sz w:val="24"/>
          <w:szCs w:val="24"/>
          <w:lang w:val="en-US"/>
        </w:rPr>
        <w:t xml:space="preserve">, J. and </w:t>
      </w:r>
      <w:r w:rsidR="0007338C">
        <w:rPr>
          <w:rFonts w:ascii="Times New Roman" w:hAnsi="Times New Roman" w:cs="Times New Roman"/>
          <w:sz w:val="24"/>
          <w:szCs w:val="24"/>
          <w:lang w:val="en-US"/>
        </w:rPr>
        <w:t xml:space="preserve">O. </w:t>
      </w:r>
      <w:proofErr w:type="spellStart"/>
      <w:r w:rsidR="0007338C">
        <w:rPr>
          <w:rFonts w:ascii="Times New Roman" w:hAnsi="Times New Roman" w:cs="Times New Roman"/>
          <w:sz w:val="24"/>
          <w:szCs w:val="24"/>
          <w:lang w:val="en-US"/>
        </w:rPr>
        <w:t>Lagerspetz</w:t>
      </w:r>
      <w:proofErr w:type="spellEnd"/>
      <w:r w:rsidR="0007338C">
        <w:rPr>
          <w:rFonts w:ascii="Times New Roman" w:hAnsi="Times New Roman" w:cs="Times New Roman"/>
          <w:sz w:val="24"/>
          <w:szCs w:val="24"/>
          <w:lang w:val="en-US"/>
        </w:rPr>
        <w:t xml:space="preserve"> (forthcoming), ‘</w:t>
      </w:r>
      <w:r w:rsidRPr="00141344">
        <w:rPr>
          <w:rFonts w:ascii="Times New Roman" w:hAnsi="Times New Roman" w:cs="Times New Roman"/>
          <w:sz w:val="24"/>
          <w:szCs w:val="24"/>
          <w:lang w:val="en-US"/>
        </w:rPr>
        <w:t xml:space="preserve">The Pincer Movement: Winch and Collingwood on the Metaphilosophical </w:t>
      </w:r>
      <w:r w:rsidR="0007338C">
        <w:rPr>
          <w:rFonts w:ascii="Times New Roman" w:hAnsi="Times New Roman" w:cs="Times New Roman"/>
          <w:sz w:val="24"/>
          <w:szCs w:val="24"/>
          <w:lang w:val="en-US"/>
        </w:rPr>
        <w:t>Dimension of the Human Sciences’</w:t>
      </w:r>
      <w:r w:rsidRPr="00141344">
        <w:rPr>
          <w:rFonts w:ascii="Times New Roman" w:hAnsi="Times New Roman" w:cs="Times New Roman"/>
          <w:sz w:val="24"/>
          <w:szCs w:val="24"/>
          <w:lang w:val="en-US"/>
        </w:rPr>
        <w:t xml:space="preserve">, </w:t>
      </w:r>
      <w:r w:rsidRPr="00141344">
        <w:rPr>
          <w:rFonts w:ascii="Times New Roman" w:hAnsi="Times New Roman" w:cs="Times New Roman"/>
          <w:i/>
          <w:iCs/>
          <w:sz w:val="24"/>
          <w:szCs w:val="24"/>
          <w:lang w:val="en-US"/>
        </w:rPr>
        <w:t>History of the Human Sciences</w:t>
      </w:r>
      <w:r w:rsidRPr="00141344">
        <w:rPr>
          <w:rFonts w:ascii="Times New Roman" w:hAnsi="Times New Roman" w:cs="Times New Roman"/>
          <w:sz w:val="24"/>
          <w:szCs w:val="24"/>
          <w:lang w:val="en-US"/>
        </w:rPr>
        <w:t>.</w:t>
      </w:r>
    </w:p>
    <w:p w14:paraId="029B66CC" w14:textId="2298FDE4" w:rsidR="004C6512" w:rsidRPr="00141344" w:rsidRDefault="0007338C" w:rsidP="00CA35E7">
      <w:pPr>
        <w:spacing w:after="0" w:line="360" w:lineRule="auto"/>
        <w:ind w:left="851" w:hanging="851"/>
        <w:rPr>
          <w:rFonts w:ascii="Times New Roman" w:hAnsi="Times New Roman" w:cs="Times New Roman"/>
          <w:sz w:val="24"/>
          <w:szCs w:val="24"/>
          <w:lang w:val="en-US"/>
        </w:rPr>
      </w:pPr>
      <w:r>
        <w:rPr>
          <w:rFonts w:ascii="Times New Roman" w:hAnsi="Times New Roman" w:cs="Times New Roman"/>
          <w:sz w:val="24"/>
          <w:szCs w:val="24"/>
          <w:lang w:val="en-US"/>
        </w:rPr>
        <w:t>Anscombe, G.E.M.</w:t>
      </w:r>
      <w:r w:rsidR="00991F61" w:rsidRPr="0014134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1957</w:t>
      </w:r>
      <w:r>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w:t>
      </w:r>
      <w:r w:rsidR="00991F61" w:rsidRPr="00141344">
        <w:rPr>
          <w:rFonts w:ascii="Times New Roman" w:hAnsi="Times New Roman" w:cs="Times New Roman"/>
          <w:i/>
          <w:sz w:val="24"/>
          <w:szCs w:val="24"/>
          <w:lang w:val="en-US"/>
        </w:rPr>
        <w:t>Intentions</w:t>
      </w:r>
      <w:r>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Oxford: Basil Blackwell.</w:t>
      </w:r>
    </w:p>
    <w:p w14:paraId="1EC361C0" w14:textId="34579A08" w:rsidR="004C6512" w:rsidRPr="00141344" w:rsidRDefault="00991F61" w:rsidP="00CA35E7">
      <w:pPr>
        <w:spacing w:after="0" w:line="360" w:lineRule="auto"/>
        <w:ind w:left="851" w:hanging="851"/>
        <w:rPr>
          <w:rStyle w:val="Emphasis"/>
          <w:rFonts w:ascii="Times New Roman" w:eastAsia="Times New Roman" w:hAnsi="Times New Roman" w:cs="Times New Roman"/>
          <w:i w:val="0"/>
          <w:iCs w:val="0"/>
          <w:color w:val="000000" w:themeColor="text1"/>
          <w:sz w:val="24"/>
          <w:szCs w:val="24"/>
          <w:lang w:val="en-US"/>
        </w:rPr>
      </w:pPr>
      <w:proofErr w:type="spellStart"/>
      <w:r w:rsidRPr="00141344">
        <w:rPr>
          <w:rStyle w:val="Emphasis"/>
          <w:rFonts w:ascii="Times New Roman" w:eastAsia="Times New Roman" w:hAnsi="Times New Roman" w:cs="Times New Roman"/>
          <w:i w:val="0"/>
          <w:iCs w:val="0"/>
          <w:color w:val="000000" w:themeColor="text1"/>
          <w:sz w:val="24"/>
          <w:szCs w:val="24"/>
          <w:lang w:val="en-US"/>
        </w:rPr>
        <w:t>Bohman</w:t>
      </w:r>
      <w:proofErr w:type="spellEnd"/>
      <w:r w:rsidRPr="00141344">
        <w:rPr>
          <w:rStyle w:val="Emphasis"/>
          <w:rFonts w:ascii="Times New Roman" w:eastAsia="Times New Roman" w:hAnsi="Times New Roman" w:cs="Times New Roman"/>
          <w:i w:val="0"/>
          <w:iCs w:val="0"/>
          <w:color w:val="000000" w:themeColor="text1"/>
          <w:sz w:val="24"/>
          <w:szCs w:val="24"/>
          <w:lang w:val="en-US"/>
        </w:rPr>
        <w:t xml:space="preserve">, J. </w:t>
      </w:r>
      <w:r w:rsidR="0007338C">
        <w:rPr>
          <w:rStyle w:val="Emphasis"/>
          <w:rFonts w:ascii="Times New Roman" w:eastAsia="Times New Roman" w:hAnsi="Times New Roman" w:cs="Times New Roman"/>
          <w:i w:val="0"/>
          <w:iCs w:val="0"/>
          <w:color w:val="000000" w:themeColor="text1"/>
          <w:sz w:val="24"/>
          <w:szCs w:val="24"/>
          <w:lang w:val="en-US"/>
        </w:rPr>
        <w:t>(1993),</w:t>
      </w:r>
      <w:r w:rsidRPr="00141344">
        <w:rPr>
          <w:rStyle w:val="Emphasis"/>
          <w:rFonts w:ascii="Times New Roman" w:eastAsia="Times New Roman" w:hAnsi="Times New Roman" w:cs="Times New Roman"/>
          <w:i w:val="0"/>
          <w:iCs w:val="0"/>
          <w:color w:val="000000" w:themeColor="text1"/>
          <w:sz w:val="24"/>
          <w:szCs w:val="24"/>
          <w:lang w:val="en-US"/>
        </w:rPr>
        <w:t xml:space="preserve"> </w:t>
      </w:r>
      <w:r w:rsidRPr="00141344">
        <w:rPr>
          <w:rStyle w:val="Emphasis"/>
          <w:rFonts w:ascii="Times New Roman" w:eastAsia="Times New Roman" w:hAnsi="Times New Roman" w:cs="Times New Roman"/>
          <w:color w:val="000000" w:themeColor="text1"/>
          <w:sz w:val="24"/>
          <w:szCs w:val="24"/>
          <w:lang w:val="en-US"/>
        </w:rPr>
        <w:t>New Philosophy of Social Science: Problems of Indeterminacy</w:t>
      </w:r>
      <w:r w:rsidR="0007338C">
        <w:rPr>
          <w:rStyle w:val="Emphasis"/>
          <w:rFonts w:ascii="Times New Roman" w:eastAsia="Times New Roman" w:hAnsi="Times New Roman" w:cs="Times New Roman"/>
          <w:i w:val="0"/>
          <w:iCs w:val="0"/>
          <w:color w:val="000000" w:themeColor="text1"/>
          <w:sz w:val="24"/>
          <w:szCs w:val="24"/>
          <w:lang w:val="en-US"/>
        </w:rPr>
        <w:t>,</w:t>
      </w:r>
      <w:r w:rsidRPr="00141344">
        <w:rPr>
          <w:rStyle w:val="Emphasis"/>
          <w:rFonts w:ascii="Times New Roman" w:eastAsia="Times New Roman" w:hAnsi="Times New Roman" w:cs="Times New Roman"/>
          <w:i w:val="0"/>
          <w:iCs w:val="0"/>
          <w:color w:val="000000" w:themeColor="text1"/>
          <w:sz w:val="24"/>
          <w:szCs w:val="24"/>
          <w:lang w:val="en-US"/>
        </w:rPr>
        <w:t xml:space="preserve"> Cambridge</w:t>
      </w:r>
      <w:r w:rsidR="00A22DDD">
        <w:rPr>
          <w:rStyle w:val="Emphasis"/>
          <w:rFonts w:ascii="Times New Roman" w:eastAsia="Times New Roman" w:hAnsi="Times New Roman" w:cs="Times New Roman"/>
          <w:i w:val="0"/>
          <w:iCs w:val="0"/>
          <w:color w:val="000000" w:themeColor="text1"/>
          <w:sz w:val="24"/>
          <w:szCs w:val="24"/>
          <w:lang w:val="en-US"/>
        </w:rPr>
        <w:t>, MA.</w:t>
      </w:r>
      <w:r w:rsidRPr="00141344">
        <w:rPr>
          <w:rStyle w:val="Emphasis"/>
          <w:rFonts w:ascii="Times New Roman" w:eastAsia="Times New Roman" w:hAnsi="Times New Roman" w:cs="Times New Roman"/>
          <w:i w:val="0"/>
          <w:iCs w:val="0"/>
          <w:color w:val="000000" w:themeColor="text1"/>
          <w:sz w:val="24"/>
          <w:szCs w:val="24"/>
          <w:lang w:val="en-US"/>
        </w:rPr>
        <w:t>: MIT Press.</w:t>
      </w:r>
    </w:p>
    <w:p w14:paraId="4889BAB9" w14:textId="2B6244F6" w:rsidR="004C6512" w:rsidRPr="00141344" w:rsidRDefault="00A22DDD" w:rsidP="00CA35E7">
      <w:pPr>
        <w:spacing w:after="0" w:line="360" w:lineRule="auto"/>
        <w:ind w:left="851" w:hanging="851"/>
        <w:rPr>
          <w:rFonts w:ascii="Times New Roman" w:eastAsia="Times New Roman" w:hAnsi="Times New Roman" w:cs="Times New Roman"/>
          <w:sz w:val="24"/>
          <w:szCs w:val="24"/>
          <w:lang w:val="en-US"/>
        </w:rPr>
      </w:pPr>
      <w:r>
        <w:rPr>
          <w:rStyle w:val="Emphasis"/>
          <w:rFonts w:ascii="Times New Roman" w:eastAsia="Times New Roman" w:hAnsi="Times New Roman" w:cs="Times New Roman"/>
          <w:i w:val="0"/>
          <w:iCs w:val="0"/>
          <w:sz w:val="24"/>
          <w:szCs w:val="24"/>
          <w:lang w:val="en-US"/>
        </w:rPr>
        <w:t>Collingwood, R.G. (1940/</w:t>
      </w:r>
      <w:r w:rsidR="00991F61" w:rsidRPr="00141344">
        <w:rPr>
          <w:rStyle w:val="Emphasis"/>
          <w:rFonts w:ascii="Times New Roman" w:eastAsia="Times New Roman" w:hAnsi="Times New Roman" w:cs="Times New Roman"/>
          <w:i w:val="0"/>
          <w:iCs w:val="0"/>
          <w:sz w:val="24"/>
          <w:szCs w:val="24"/>
          <w:lang w:val="en-US"/>
        </w:rPr>
        <w:t>1998</w:t>
      </w:r>
      <w:r>
        <w:rPr>
          <w:rStyle w:val="Emphasis"/>
          <w:rFonts w:ascii="Times New Roman" w:eastAsia="Times New Roman" w:hAnsi="Times New Roman" w:cs="Times New Roman"/>
          <w:i w:val="0"/>
          <w:sz w:val="24"/>
          <w:szCs w:val="24"/>
          <w:lang w:val="en-US"/>
        </w:rPr>
        <w:t>),</w:t>
      </w:r>
      <w:r w:rsidR="00991F61" w:rsidRPr="00141344">
        <w:rPr>
          <w:rStyle w:val="Emphasis"/>
          <w:rFonts w:ascii="Times New Roman" w:eastAsia="Times New Roman" w:hAnsi="Times New Roman" w:cs="Times New Roman"/>
          <w:sz w:val="24"/>
          <w:szCs w:val="24"/>
          <w:lang w:val="en-US"/>
        </w:rPr>
        <w:t xml:space="preserve"> An Essay on Metaphysics</w:t>
      </w:r>
      <w:r w:rsidR="00991F61" w:rsidRPr="00141344">
        <w:rPr>
          <w:rFonts w:ascii="Times New Roman" w:eastAsia="Times New Roman" w:hAnsi="Times New Roman" w:cs="Times New Roman"/>
          <w:sz w:val="24"/>
          <w:szCs w:val="24"/>
          <w:lang w:val="en-US"/>
        </w:rPr>
        <w:t>, revised edition, with an introduction by Rex Martin, Oxford: Oxford University Press.</w:t>
      </w:r>
    </w:p>
    <w:p w14:paraId="66CD2FFC" w14:textId="10B4EA6D" w:rsidR="004C6512" w:rsidRPr="00141344" w:rsidRDefault="00A22DDD" w:rsidP="00CA35E7">
      <w:pPr>
        <w:spacing w:after="0" w:line="360" w:lineRule="auto"/>
        <w:ind w:left="851" w:hanging="851"/>
        <w:rPr>
          <w:rFonts w:ascii="Times New Roman" w:hAnsi="Times New Roman" w:cs="Times New Roman"/>
          <w:sz w:val="24"/>
          <w:szCs w:val="24"/>
          <w:lang w:val="en-US"/>
        </w:rPr>
      </w:pPr>
      <w:r>
        <w:rPr>
          <w:rFonts w:ascii="Times New Roman" w:hAnsi="Times New Roman" w:cs="Times New Roman"/>
          <w:sz w:val="24"/>
          <w:szCs w:val="24"/>
          <w:lang w:val="en-US"/>
        </w:rPr>
        <w:t>Collingwood, R.G. (1946/</w:t>
      </w:r>
      <w:r w:rsidR="00991F61" w:rsidRPr="00141344">
        <w:rPr>
          <w:rFonts w:ascii="Times New Roman" w:hAnsi="Times New Roman" w:cs="Times New Roman"/>
          <w:sz w:val="24"/>
          <w:szCs w:val="24"/>
          <w:lang w:val="en-US"/>
        </w:rPr>
        <w:t>1993</w:t>
      </w:r>
      <w:r>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w:t>
      </w:r>
      <w:r w:rsidR="00991F61" w:rsidRPr="00141344">
        <w:rPr>
          <w:rFonts w:ascii="Times New Roman" w:hAnsi="Times New Roman" w:cs="Times New Roman"/>
          <w:i/>
          <w:iCs/>
          <w:sz w:val="24"/>
          <w:szCs w:val="24"/>
          <w:lang w:val="en-US"/>
        </w:rPr>
        <w:t>The Idea of History</w:t>
      </w:r>
      <w:r w:rsidR="00991F61" w:rsidRPr="00141344">
        <w:rPr>
          <w:rFonts w:ascii="Times New Roman" w:hAnsi="Times New Roman" w:cs="Times New Roman"/>
          <w:sz w:val="24"/>
          <w:szCs w:val="24"/>
          <w:lang w:val="en-US"/>
        </w:rPr>
        <w:t>, revised edition, with an int</w:t>
      </w:r>
      <w:r>
        <w:rPr>
          <w:rFonts w:ascii="Times New Roman" w:hAnsi="Times New Roman" w:cs="Times New Roman"/>
          <w:sz w:val="24"/>
          <w:szCs w:val="24"/>
          <w:lang w:val="en-US"/>
        </w:rPr>
        <w:t xml:space="preserve">roduction by Jan Van der </w:t>
      </w:r>
      <w:proofErr w:type="spellStart"/>
      <w:r>
        <w:rPr>
          <w:rFonts w:ascii="Times New Roman" w:hAnsi="Times New Roman" w:cs="Times New Roman"/>
          <w:sz w:val="24"/>
          <w:szCs w:val="24"/>
          <w:lang w:val="en-US"/>
        </w:rPr>
        <w:t>Dussen</w:t>
      </w:r>
      <w:proofErr w:type="spellEnd"/>
      <w:r>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Oxford: Oxford University Press.</w:t>
      </w:r>
    </w:p>
    <w:p w14:paraId="68B6BC26" w14:textId="3A1F19A5" w:rsidR="004C6512" w:rsidRDefault="00991F61" w:rsidP="00CA35E7">
      <w:pPr>
        <w:spacing w:after="0" w:line="360" w:lineRule="auto"/>
        <w:ind w:left="851" w:hanging="851"/>
        <w:rPr>
          <w:rFonts w:ascii="Times New Roman" w:hAnsi="Times New Roman" w:cs="Times New Roman"/>
          <w:sz w:val="24"/>
          <w:szCs w:val="24"/>
          <w:lang w:val="en-US"/>
        </w:rPr>
      </w:pPr>
      <w:proofErr w:type="spellStart"/>
      <w:r w:rsidRPr="00141344">
        <w:rPr>
          <w:rFonts w:ascii="Times New Roman" w:hAnsi="Times New Roman" w:cs="Times New Roman"/>
          <w:sz w:val="24"/>
          <w:szCs w:val="24"/>
          <w:lang w:val="en-US"/>
        </w:rPr>
        <w:t>Crary</w:t>
      </w:r>
      <w:proofErr w:type="spellEnd"/>
      <w:r w:rsidRPr="00141344">
        <w:rPr>
          <w:rFonts w:ascii="Times New Roman" w:hAnsi="Times New Roman" w:cs="Times New Roman"/>
          <w:sz w:val="24"/>
          <w:szCs w:val="24"/>
          <w:lang w:val="en-US"/>
        </w:rPr>
        <w:t xml:space="preserve">, A. </w:t>
      </w:r>
      <w:r w:rsidR="00A22DDD">
        <w:rPr>
          <w:rFonts w:ascii="Times New Roman" w:hAnsi="Times New Roman" w:cs="Times New Roman"/>
          <w:sz w:val="24"/>
          <w:szCs w:val="24"/>
          <w:lang w:val="en-US"/>
        </w:rPr>
        <w:t>(</w:t>
      </w:r>
      <w:r w:rsidRPr="00141344">
        <w:rPr>
          <w:rFonts w:ascii="Times New Roman" w:hAnsi="Times New Roman" w:cs="Times New Roman"/>
          <w:sz w:val="24"/>
          <w:szCs w:val="24"/>
          <w:lang w:val="en-US"/>
        </w:rPr>
        <w:t>2018</w:t>
      </w:r>
      <w:r w:rsidR="00A22DDD">
        <w:rPr>
          <w:rFonts w:ascii="Times New Roman" w:hAnsi="Times New Roman" w:cs="Times New Roman"/>
          <w:sz w:val="24"/>
          <w:szCs w:val="24"/>
          <w:lang w:val="en-US"/>
        </w:rPr>
        <w:t>), ‘</w:t>
      </w:r>
      <w:r w:rsidRPr="00141344">
        <w:rPr>
          <w:rFonts w:ascii="Times New Roman" w:hAnsi="Times New Roman" w:cs="Times New Roman"/>
          <w:sz w:val="24"/>
          <w:szCs w:val="24"/>
          <w:lang w:val="en-US"/>
        </w:rPr>
        <w:t>Wittgenstein Goes to Frankfurt (and</w:t>
      </w:r>
      <w:r w:rsidR="00A22DDD">
        <w:rPr>
          <w:rFonts w:ascii="Times New Roman" w:hAnsi="Times New Roman" w:cs="Times New Roman"/>
          <w:sz w:val="24"/>
          <w:szCs w:val="24"/>
          <w:lang w:val="en-US"/>
        </w:rPr>
        <w:t xml:space="preserve"> Finds Something Useful to Say)’</w:t>
      </w:r>
      <w:r w:rsidRPr="00141344">
        <w:rPr>
          <w:rFonts w:ascii="Times New Roman" w:hAnsi="Times New Roman" w:cs="Times New Roman"/>
          <w:sz w:val="24"/>
          <w:szCs w:val="24"/>
          <w:lang w:val="en-US"/>
        </w:rPr>
        <w:t xml:space="preserve">, </w:t>
      </w:r>
      <w:r w:rsidRPr="00141344">
        <w:rPr>
          <w:rFonts w:ascii="Times New Roman" w:hAnsi="Times New Roman" w:cs="Times New Roman"/>
          <w:i/>
          <w:sz w:val="24"/>
          <w:szCs w:val="24"/>
          <w:lang w:val="en-US"/>
        </w:rPr>
        <w:t xml:space="preserve">Nordic Wittgenstein Review </w:t>
      </w:r>
      <w:r w:rsidR="00A22DDD">
        <w:rPr>
          <w:rFonts w:ascii="Times New Roman" w:hAnsi="Times New Roman" w:cs="Times New Roman"/>
          <w:sz w:val="24"/>
          <w:szCs w:val="24"/>
          <w:lang w:val="en-US"/>
        </w:rPr>
        <w:t>7 : 7–41.</w:t>
      </w:r>
    </w:p>
    <w:p w14:paraId="350FC343" w14:textId="1A4C823B" w:rsidR="0092321D" w:rsidRPr="0092321D" w:rsidRDefault="0092321D" w:rsidP="00CA35E7">
      <w:pPr>
        <w:spacing w:after="0" w:line="360" w:lineRule="auto"/>
        <w:ind w:left="851" w:hanging="851"/>
        <w:rPr>
          <w:rFonts w:ascii="Times New Roman" w:hAnsi="Times New Roman" w:cs="Times New Roman"/>
          <w:sz w:val="24"/>
          <w:szCs w:val="24"/>
          <w:lang w:val="en-US"/>
        </w:rPr>
      </w:pPr>
      <w:r w:rsidRPr="00E430A4">
        <w:rPr>
          <w:rFonts w:ascii="Times New Roman" w:hAnsi="Times New Roman" w:cs="Times New Roman"/>
          <w:sz w:val="24"/>
          <w:szCs w:val="24"/>
        </w:rPr>
        <w:t xml:space="preserve">Davidson, D. (2001), “Radical Translation” in his </w:t>
      </w:r>
      <w:r w:rsidRPr="00E430A4">
        <w:rPr>
          <w:rFonts w:ascii="Times New Roman" w:hAnsi="Times New Roman" w:cs="Times New Roman"/>
          <w:i/>
          <w:iCs/>
          <w:sz w:val="24"/>
          <w:szCs w:val="24"/>
        </w:rPr>
        <w:t>Inquiries into Truth and Interpretation</w:t>
      </w:r>
      <w:r w:rsidRPr="00E430A4">
        <w:rPr>
          <w:rFonts w:ascii="Times New Roman" w:hAnsi="Times New Roman" w:cs="Times New Roman"/>
          <w:sz w:val="24"/>
          <w:szCs w:val="24"/>
        </w:rPr>
        <w:t>, Oxford: Clarendon Press.</w:t>
      </w:r>
    </w:p>
    <w:p w14:paraId="2989E7B1" w14:textId="4E9C9473" w:rsidR="007C38E6" w:rsidRDefault="007C38E6" w:rsidP="0036648D">
      <w:pPr>
        <w:spacing w:after="240" w:line="240" w:lineRule="auto"/>
        <w:jc w:val="both"/>
        <w:rPr>
          <w:rFonts w:ascii="Times New Roman" w:hAnsi="Times New Roman" w:cs="Times New Roman"/>
          <w:sz w:val="24"/>
          <w:szCs w:val="24"/>
        </w:rPr>
      </w:pPr>
      <w:bookmarkStart w:id="11" w:name="_Hlk495661951"/>
      <w:r w:rsidRPr="00E430A4">
        <w:rPr>
          <w:rFonts w:ascii="Times New Roman" w:hAnsi="Times New Roman" w:cs="Times New Roman"/>
          <w:sz w:val="24"/>
          <w:szCs w:val="24"/>
          <w:lang w:val="en-US"/>
        </w:rPr>
        <w:t xml:space="preserve">D’Oro, G. (2004), </w:t>
      </w:r>
      <w:proofErr w:type="spellStart"/>
      <w:r w:rsidRPr="00E430A4">
        <w:rPr>
          <w:rFonts w:ascii="Times New Roman" w:hAnsi="Times New Roman" w:cs="Times New Roman"/>
          <w:sz w:val="24"/>
          <w:szCs w:val="24"/>
          <w:lang w:val="en-US"/>
        </w:rPr>
        <w:t>‘Re</w:t>
      </w:r>
      <w:proofErr w:type="spellEnd"/>
      <w:r w:rsidRPr="00E430A4">
        <w:rPr>
          <w:rFonts w:ascii="Times New Roman" w:hAnsi="Times New Roman" w:cs="Times New Roman"/>
          <w:sz w:val="24"/>
          <w:szCs w:val="24"/>
          <w:lang w:val="en-US"/>
        </w:rPr>
        <w:t xml:space="preserve">-enactment and Radical Interpretation’, </w:t>
      </w:r>
      <w:r w:rsidRPr="00E430A4">
        <w:rPr>
          <w:rFonts w:ascii="Times New Roman" w:hAnsi="Times New Roman" w:cs="Times New Roman"/>
          <w:bCs/>
          <w:i/>
          <w:iCs/>
          <w:sz w:val="24"/>
          <w:szCs w:val="24"/>
          <w:lang w:val="en-US"/>
        </w:rPr>
        <w:t>History and Theory</w:t>
      </w:r>
      <w:r w:rsidRPr="00E430A4">
        <w:rPr>
          <w:rFonts w:ascii="Times New Roman" w:hAnsi="Times New Roman" w:cs="Times New Roman"/>
          <w:sz w:val="24"/>
          <w:szCs w:val="24"/>
          <w:lang w:val="en-US"/>
        </w:rPr>
        <w:t xml:space="preserve"> 43:198-208.</w:t>
      </w:r>
    </w:p>
    <w:p w14:paraId="456A666B" w14:textId="1DF70BBC" w:rsidR="0036648D" w:rsidRPr="00E430A4" w:rsidRDefault="0036648D" w:rsidP="00E430A4">
      <w:pPr>
        <w:spacing w:after="240" w:line="240" w:lineRule="auto"/>
        <w:jc w:val="both"/>
        <w:rPr>
          <w:rFonts w:ascii="Times New Roman" w:hAnsi="Times New Roman" w:cs="Times New Roman"/>
          <w:sz w:val="24"/>
          <w:szCs w:val="24"/>
        </w:rPr>
      </w:pPr>
      <w:r w:rsidRPr="00E430A4">
        <w:rPr>
          <w:rFonts w:ascii="Times New Roman" w:hAnsi="Times New Roman" w:cs="Times New Roman"/>
          <w:sz w:val="24"/>
          <w:szCs w:val="24"/>
        </w:rPr>
        <w:t xml:space="preserve">D’Oro, G. (2012), ‘Reasons and Causes: the Philosophical Battle and the Meta-philosophical War’, </w:t>
      </w:r>
      <w:r w:rsidRPr="00E430A4">
        <w:rPr>
          <w:rFonts w:ascii="Times New Roman" w:hAnsi="Times New Roman" w:cs="Times New Roman"/>
          <w:i/>
          <w:sz w:val="24"/>
          <w:szCs w:val="24"/>
        </w:rPr>
        <w:t>Australasian Journal of Philosophy</w:t>
      </w:r>
      <w:r w:rsidRPr="00E430A4">
        <w:rPr>
          <w:rFonts w:ascii="Times New Roman" w:hAnsi="Times New Roman" w:cs="Times New Roman"/>
          <w:sz w:val="24"/>
          <w:szCs w:val="24"/>
        </w:rPr>
        <w:t xml:space="preserve"> 90(2): 207-221.</w:t>
      </w:r>
      <w:bookmarkEnd w:id="11"/>
    </w:p>
    <w:p w14:paraId="455CE355" w14:textId="50D95C95" w:rsidR="004C6512" w:rsidRPr="00141344" w:rsidRDefault="00991F61" w:rsidP="00CA35E7">
      <w:pPr>
        <w:spacing w:after="0" w:line="360" w:lineRule="auto"/>
        <w:ind w:left="851" w:hanging="851"/>
        <w:rPr>
          <w:rFonts w:ascii="Times New Roman" w:hAnsi="Times New Roman" w:cs="Times New Roman"/>
          <w:sz w:val="24"/>
          <w:szCs w:val="24"/>
          <w:lang w:val="en-US"/>
        </w:rPr>
      </w:pPr>
      <w:r w:rsidRPr="00141344">
        <w:rPr>
          <w:rFonts w:ascii="Times New Roman" w:hAnsi="Times New Roman" w:cs="Times New Roman"/>
          <w:sz w:val="24"/>
          <w:szCs w:val="24"/>
          <w:lang w:val="en-US"/>
        </w:rPr>
        <w:lastRenderedPageBreak/>
        <w:t>D’Oro</w:t>
      </w:r>
      <w:r w:rsidR="00A22DDD">
        <w:rPr>
          <w:rFonts w:ascii="Times New Roman" w:hAnsi="Times New Roman" w:cs="Times New Roman"/>
          <w:sz w:val="24"/>
          <w:szCs w:val="24"/>
          <w:lang w:val="en-US"/>
        </w:rPr>
        <w:t>,</w:t>
      </w:r>
      <w:r w:rsidRPr="00141344">
        <w:rPr>
          <w:rFonts w:ascii="Times New Roman" w:hAnsi="Times New Roman" w:cs="Times New Roman"/>
          <w:sz w:val="24"/>
          <w:szCs w:val="24"/>
          <w:lang w:val="en-US"/>
        </w:rPr>
        <w:t xml:space="preserve"> G</w:t>
      </w:r>
      <w:r w:rsidR="00A22DDD">
        <w:rPr>
          <w:rFonts w:ascii="Times New Roman" w:hAnsi="Times New Roman" w:cs="Times New Roman"/>
          <w:sz w:val="24"/>
          <w:szCs w:val="24"/>
          <w:lang w:val="en-US"/>
        </w:rPr>
        <w:t>.,</w:t>
      </w:r>
      <w:r w:rsidRPr="00141344">
        <w:rPr>
          <w:rFonts w:ascii="Times New Roman" w:hAnsi="Times New Roman" w:cs="Times New Roman"/>
          <w:sz w:val="24"/>
          <w:szCs w:val="24"/>
          <w:lang w:val="en-US"/>
        </w:rPr>
        <w:t xml:space="preserve"> and </w:t>
      </w:r>
      <w:r w:rsidR="00A22DDD">
        <w:rPr>
          <w:rFonts w:ascii="Times New Roman" w:hAnsi="Times New Roman" w:cs="Times New Roman"/>
          <w:sz w:val="24"/>
          <w:szCs w:val="24"/>
          <w:lang w:val="en-US"/>
        </w:rPr>
        <w:t xml:space="preserve">C. </w:t>
      </w:r>
      <w:proofErr w:type="spellStart"/>
      <w:r w:rsidR="00A22DDD">
        <w:rPr>
          <w:rFonts w:ascii="Times New Roman" w:hAnsi="Times New Roman" w:cs="Times New Roman"/>
          <w:sz w:val="24"/>
          <w:szCs w:val="24"/>
          <w:lang w:val="en-US"/>
        </w:rPr>
        <w:t>Sandis</w:t>
      </w:r>
      <w:proofErr w:type="spellEnd"/>
      <w:r w:rsidRPr="00141344">
        <w:rPr>
          <w:rFonts w:ascii="Times New Roman" w:hAnsi="Times New Roman" w:cs="Times New Roman"/>
          <w:sz w:val="24"/>
          <w:szCs w:val="24"/>
          <w:lang w:val="en-US"/>
        </w:rPr>
        <w:t xml:space="preserve"> </w:t>
      </w:r>
      <w:r w:rsidR="00A22DDD">
        <w:rPr>
          <w:rFonts w:ascii="Times New Roman" w:hAnsi="Times New Roman" w:cs="Times New Roman"/>
          <w:sz w:val="24"/>
          <w:szCs w:val="24"/>
          <w:lang w:val="en-US"/>
        </w:rPr>
        <w:t>(</w:t>
      </w:r>
      <w:r w:rsidRPr="00141344">
        <w:rPr>
          <w:rFonts w:ascii="Times New Roman" w:hAnsi="Times New Roman" w:cs="Times New Roman"/>
          <w:sz w:val="24"/>
          <w:szCs w:val="24"/>
          <w:lang w:val="en-US"/>
        </w:rPr>
        <w:t>2013</w:t>
      </w:r>
      <w:r w:rsidR="00A22DDD">
        <w:rPr>
          <w:rFonts w:ascii="Times New Roman" w:hAnsi="Times New Roman" w:cs="Times New Roman"/>
          <w:sz w:val="24"/>
          <w:szCs w:val="24"/>
          <w:lang w:val="en-US"/>
        </w:rPr>
        <w:t>), ‘</w:t>
      </w:r>
      <w:r w:rsidRPr="00141344">
        <w:rPr>
          <w:rFonts w:ascii="Times New Roman" w:hAnsi="Times New Roman" w:cs="Times New Roman"/>
          <w:sz w:val="24"/>
          <w:szCs w:val="24"/>
          <w:lang w:val="en-US"/>
        </w:rPr>
        <w:t xml:space="preserve">From </w:t>
      </w:r>
      <w:proofErr w:type="spellStart"/>
      <w:r w:rsidRPr="00141344">
        <w:rPr>
          <w:rFonts w:ascii="Times New Roman" w:hAnsi="Times New Roman" w:cs="Times New Roman"/>
          <w:sz w:val="24"/>
          <w:szCs w:val="24"/>
          <w:lang w:val="en-US"/>
        </w:rPr>
        <w:t>causa</w:t>
      </w:r>
      <w:r w:rsidR="00A22DDD">
        <w:rPr>
          <w:rFonts w:ascii="Times New Roman" w:hAnsi="Times New Roman" w:cs="Times New Roman"/>
          <w:sz w:val="24"/>
          <w:szCs w:val="24"/>
          <w:lang w:val="en-US"/>
        </w:rPr>
        <w:t>lism</w:t>
      </w:r>
      <w:proofErr w:type="spellEnd"/>
      <w:r w:rsidR="00A22DDD">
        <w:rPr>
          <w:rFonts w:ascii="Times New Roman" w:hAnsi="Times New Roman" w:cs="Times New Roman"/>
          <w:sz w:val="24"/>
          <w:szCs w:val="24"/>
          <w:lang w:val="en-US"/>
        </w:rPr>
        <w:t xml:space="preserve"> to anti-</w:t>
      </w:r>
      <w:proofErr w:type="spellStart"/>
      <w:r w:rsidR="00A22DDD">
        <w:rPr>
          <w:rFonts w:ascii="Times New Roman" w:hAnsi="Times New Roman" w:cs="Times New Roman"/>
          <w:sz w:val="24"/>
          <w:szCs w:val="24"/>
          <w:lang w:val="en-US"/>
        </w:rPr>
        <w:t>causalism</w:t>
      </w:r>
      <w:proofErr w:type="spellEnd"/>
      <w:r w:rsidR="00A22DDD">
        <w:rPr>
          <w:rFonts w:ascii="Times New Roman" w:hAnsi="Times New Roman" w:cs="Times New Roman"/>
          <w:sz w:val="24"/>
          <w:szCs w:val="24"/>
          <w:lang w:val="en-US"/>
        </w:rPr>
        <w:t xml:space="preserve"> and back’, in G. D’Oro</w:t>
      </w:r>
      <w:r w:rsidRPr="00141344">
        <w:rPr>
          <w:rFonts w:ascii="Times New Roman" w:hAnsi="Times New Roman" w:cs="Times New Roman"/>
          <w:sz w:val="24"/>
          <w:szCs w:val="24"/>
          <w:lang w:val="en-US"/>
        </w:rPr>
        <w:t xml:space="preserve"> and </w:t>
      </w:r>
      <w:r w:rsidR="00A22DDD">
        <w:rPr>
          <w:rFonts w:ascii="Times New Roman" w:hAnsi="Times New Roman" w:cs="Times New Roman"/>
          <w:sz w:val="24"/>
          <w:szCs w:val="24"/>
          <w:lang w:val="en-US"/>
        </w:rPr>
        <w:t xml:space="preserve">C. </w:t>
      </w:r>
      <w:proofErr w:type="spellStart"/>
      <w:r w:rsidR="00A22DDD">
        <w:rPr>
          <w:rFonts w:ascii="Times New Roman" w:hAnsi="Times New Roman" w:cs="Times New Roman"/>
          <w:sz w:val="24"/>
          <w:szCs w:val="24"/>
          <w:lang w:val="en-US"/>
        </w:rPr>
        <w:t>Sandis</w:t>
      </w:r>
      <w:proofErr w:type="spellEnd"/>
      <w:r w:rsidR="00A22DDD">
        <w:rPr>
          <w:rFonts w:ascii="Times New Roman" w:hAnsi="Times New Roman" w:cs="Times New Roman"/>
          <w:sz w:val="24"/>
          <w:szCs w:val="24"/>
          <w:lang w:val="en-US"/>
        </w:rPr>
        <w:t xml:space="preserve"> </w:t>
      </w:r>
      <w:r w:rsidRPr="00141344">
        <w:rPr>
          <w:rFonts w:ascii="Times New Roman" w:hAnsi="Times New Roman" w:cs="Times New Roman"/>
          <w:sz w:val="24"/>
          <w:szCs w:val="24"/>
          <w:lang w:val="en-US"/>
        </w:rPr>
        <w:t>(eds.)</w:t>
      </w:r>
      <w:r w:rsidR="00A22DDD">
        <w:rPr>
          <w:rFonts w:ascii="Times New Roman" w:hAnsi="Times New Roman" w:cs="Times New Roman"/>
          <w:sz w:val="24"/>
          <w:szCs w:val="24"/>
          <w:lang w:val="en-US"/>
        </w:rPr>
        <w:t>,</w:t>
      </w:r>
      <w:r w:rsidRPr="00141344">
        <w:rPr>
          <w:rFonts w:ascii="Times New Roman" w:hAnsi="Times New Roman" w:cs="Times New Roman"/>
          <w:sz w:val="24"/>
          <w:szCs w:val="24"/>
          <w:lang w:val="en-US"/>
        </w:rPr>
        <w:t xml:space="preserve"> </w:t>
      </w:r>
      <w:r w:rsidRPr="00141344">
        <w:rPr>
          <w:rFonts w:ascii="Times New Roman" w:hAnsi="Times New Roman" w:cs="Times New Roman"/>
          <w:i/>
          <w:sz w:val="24"/>
          <w:szCs w:val="24"/>
          <w:lang w:val="en-US"/>
        </w:rPr>
        <w:t xml:space="preserve">Reasons and Causes: </w:t>
      </w:r>
      <w:proofErr w:type="spellStart"/>
      <w:r w:rsidRPr="00141344">
        <w:rPr>
          <w:rFonts w:ascii="Times New Roman" w:hAnsi="Times New Roman" w:cs="Times New Roman"/>
          <w:i/>
          <w:sz w:val="24"/>
          <w:szCs w:val="24"/>
          <w:lang w:val="en-US"/>
        </w:rPr>
        <w:t>Causalism</w:t>
      </w:r>
      <w:proofErr w:type="spellEnd"/>
      <w:r w:rsidRPr="00141344">
        <w:rPr>
          <w:rFonts w:ascii="Times New Roman" w:hAnsi="Times New Roman" w:cs="Times New Roman"/>
          <w:i/>
          <w:sz w:val="24"/>
          <w:szCs w:val="24"/>
          <w:lang w:val="en-US"/>
        </w:rPr>
        <w:t xml:space="preserve"> and Anti-</w:t>
      </w:r>
      <w:proofErr w:type="spellStart"/>
      <w:r w:rsidRPr="00141344">
        <w:rPr>
          <w:rFonts w:ascii="Times New Roman" w:hAnsi="Times New Roman" w:cs="Times New Roman"/>
          <w:i/>
          <w:sz w:val="24"/>
          <w:szCs w:val="24"/>
          <w:lang w:val="en-US"/>
        </w:rPr>
        <w:t>causalism</w:t>
      </w:r>
      <w:proofErr w:type="spellEnd"/>
      <w:r w:rsidRPr="00141344">
        <w:rPr>
          <w:rFonts w:ascii="Times New Roman" w:hAnsi="Times New Roman" w:cs="Times New Roman"/>
          <w:i/>
          <w:sz w:val="24"/>
          <w:szCs w:val="24"/>
          <w:lang w:val="en-US"/>
        </w:rPr>
        <w:t xml:space="preserve"> in the Philosophy of Action</w:t>
      </w:r>
      <w:r w:rsidRPr="00141344">
        <w:rPr>
          <w:rFonts w:ascii="Times New Roman" w:hAnsi="Times New Roman" w:cs="Times New Roman"/>
          <w:sz w:val="24"/>
          <w:szCs w:val="24"/>
          <w:lang w:val="en-US"/>
        </w:rPr>
        <w:t>,</w:t>
      </w:r>
      <w:r w:rsidR="00A22DDD">
        <w:rPr>
          <w:rFonts w:ascii="Times New Roman" w:hAnsi="Times New Roman" w:cs="Times New Roman"/>
          <w:sz w:val="24"/>
          <w:szCs w:val="24"/>
          <w:lang w:val="en-US"/>
        </w:rPr>
        <w:t xml:space="preserve"> Basingstoke:</w:t>
      </w:r>
      <w:r w:rsidRPr="00141344">
        <w:rPr>
          <w:rFonts w:ascii="Times New Roman" w:hAnsi="Times New Roman" w:cs="Times New Roman"/>
          <w:sz w:val="24"/>
          <w:szCs w:val="24"/>
          <w:lang w:val="en-US"/>
        </w:rPr>
        <w:t xml:space="preserve"> Palgrave.</w:t>
      </w:r>
    </w:p>
    <w:p w14:paraId="178A1271" w14:textId="53827FF8" w:rsidR="004C6512" w:rsidRDefault="00A22DDD" w:rsidP="00CA35E7">
      <w:pPr>
        <w:spacing w:after="0" w:line="360" w:lineRule="auto"/>
        <w:ind w:left="851" w:hanging="851"/>
        <w:rPr>
          <w:rFonts w:ascii="Times New Roman" w:hAnsi="Times New Roman" w:cs="Times New Roman"/>
          <w:sz w:val="24"/>
          <w:szCs w:val="24"/>
          <w:lang w:val="en-US" w:eastAsia="en-GB"/>
        </w:rPr>
      </w:pPr>
      <w:r>
        <w:rPr>
          <w:rFonts w:ascii="Times New Roman" w:hAnsi="Times New Roman" w:cs="Times New Roman"/>
          <w:sz w:val="24"/>
          <w:szCs w:val="24"/>
          <w:lang w:val="en-US"/>
        </w:rPr>
        <w:t>D’Oro, G.</w:t>
      </w:r>
      <w:r w:rsidR="00991F61" w:rsidRPr="0014134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2018</w:t>
      </w:r>
      <w:r>
        <w:rPr>
          <w:rFonts w:ascii="Times New Roman" w:hAnsi="Times New Roman" w:cs="Times New Roman"/>
          <w:sz w:val="24"/>
          <w:szCs w:val="24"/>
          <w:lang w:val="en-US"/>
        </w:rPr>
        <w:t>), ‘</w:t>
      </w:r>
      <w:r w:rsidR="00991F61" w:rsidRPr="00141344">
        <w:rPr>
          <w:rFonts w:ascii="Times New Roman" w:hAnsi="Times New Roman" w:cs="Times New Roman"/>
          <w:sz w:val="24"/>
          <w:szCs w:val="24"/>
          <w:lang w:val="en-US"/>
        </w:rPr>
        <w:t>The Touch of King Midas: Collingwoo</w:t>
      </w:r>
      <w:r>
        <w:rPr>
          <w:rFonts w:ascii="Times New Roman" w:hAnsi="Times New Roman" w:cs="Times New Roman"/>
          <w:sz w:val="24"/>
          <w:szCs w:val="24"/>
          <w:lang w:val="en-US"/>
        </w:rPr>
        <w:t>d on why actions are not events’,</w:t>
      </w:r>
      <w:r w:rsidR="00991F61" w:rsidRPr="00141344">
        <w:rPr>
          <w:rFonts w:ascii="Times New Roman" w:hAnsi="Times New Roman" w:cs="Times New Roman"/>
          <w:sz w:val="24"/>
          <w:szCs w:val="24"/>
          <w:lang w:val="en-US"/>
        </w:rPr>
        <w:t xml:space="preserve"> </w:t>
      </w:r>
      <w:r w:rsidR="00991F61" w:rsidRPr="00141344">
        <w:rPr>
          <w:rFonts w:ascii="Times New Roman" w:hAnsi="Times New Roman" w:cs="Times New Roman"/>
          <w:i/>
          <w:sz w:val="24"/>
          <w:szCs w:val="24"/>
          <w:lang w:val="en-US"/>
        </w:rPr>
        <w:t>Philosophical Explorations</w:t>
      </w:r>
      <w:r w:rsidR="00991F61" w:rsidRPr="00141344">
        <w:rPr>
          <w:rFonts w:ascii="Times New Roman" w:hAnsi="Times New Roman" w:cs="Times New Roman"/>
          <w:sz w:val="24"/>
          <w:szCs w:val="24"/>
          <w:lang w:val="en-US"/>
        </w:rPr>
        <w:t xml:space="preserve"> 21</w:t>
      </w:r>
      <w:r>
        <w:rPr>
          <w:rFonts w:ascii="Times New Roman" w:hAnsi="Times New Roman" w:cs="Times New Roman"/>
          <w:sz w:val="24"/>
          <w:szCs w:val="24"/>
          <w:lang w:val="en-US"/>
        </w:rPr>
        <w:t xml:space="preserve"> </w:t>
      </w:r>
      <w:r w:rsidR="00991F61" w:rsidRPr="00141344">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lang w:val="en-US" w:eastAsia="en-GB"/>
        </w:rPr>
        <w:t>1–</w:t>
      </w:r>
      <w:r w:rsidR="00991F61" w:rsidRPr="00141344">
        <w:rPr>
          <w:rFonts w:ascii="Times New Roman" w:hAnsi="Times New Roman" w:cs="Times New Roman"/>
          <w:sz w:val="24"/>
          <w:szCs w:val="24"/>
          <w:lang w:val="en-US" w:eastAsia="en-GB"/>
        </w:rPr>
        <w:t>10.</w:t>
      </w:r>
    </w:p>
    <w:p w14:paraId="50743ADD" w14:textId="49175ABC" w:rsidR="005F01D8" w:rsidRPr="00E430A4" w:rsidRDefault="005F01D8" w:rsidP="005F01D8">
      <w:pPr>
        <w:spacing w:after="0" w:line="276" w:lineRule="auto"/>
        <w:rPr>
          <w:rFonts w:ascii="Times New Roman" w:hAnsi="Times New Roman" w:cs="Times New Roman"/>
          <w:sz w:val="24"/>
          <w:szCs w:val="24"/>
        </w:rPr>
      </w:pPr>
      <w:r w:rsidRPr="00E430A4">
        <w:rPr>
          <w:rFonts w:ascii="Times New Roman" w:hAnsi="Times New Roman" w:cs="Times New Roman"/>
          <w:sz w:val="24"/>
          <w:szCs w:val="24"/>
        </w:rPr>
        <w:t xml:space="preserve">D’Oro, G., Giladi, P., </w:t>
      </w:r>
      <w:proofErr w:type="spellStart"/>
      <w:r w:rsidRPr="00E430A4">
        <w:rPr>
          <w:rFonts w:ascii="Times New Roman" w:hAnsi="Times New Roman" w:cs="Times New Roman"/>
          <w:sz w:val="24"/>
          <w:szCs w:val="24"/>
        </w:rPr>
        <w:t>Papazoglu</w:t>
      </w:r>
      <w:proofErr w:type="spellEnd"/>
      <w:r w:rsidRPr="00E430A4">
        <w:rPr>
          <w:rFonts w:ascii="Times New Roman" w:hAnsi="Times New Roman" w:cs="Times New Roman"/>
          <w:sz w:val="24"/>
          <w:szCs w:val="24"/>
        </w:rPr>
        <w:t xml:space="preserve">, A. (2019), ‘Non-Reductivism and the Metaphilosophy of Mind’, </w:t>
      </w:r>
      <w:r w:rsidRPr="00E430A4">
        <w:rPr>
          <w:rFonts w:ascii="Times New Roman" w:hAnsi="Times New Roman" w:cs="Times New Roman"/>
          <w:i/>
          <w:sz w:val="24"/>
          <w:szCs w:val="24"/>
        </w:rPr>
        <w:t>Inquiry</w:t>
      </w:r>
      <w:r w:rsidRPr="00E430A4">
        <w:rPr>
          <w:rFonts w:ascii="Times New Roman" w:hAnsi="Times New Roman" w:cs="Times New Roman"/>
          <w:sz w:val="24"/>
          <w:szCs w:val="24"/>
        </w:rPr>
        <w:t xml:space="preserve"> 62 (5): 477-503.</w:t>
      </w:r>
    </w:p>
    <w:p w14:paraId="2000C63A" w14:textId="77777777" w:rsidR="005F01D8" w:rsidRPr="00E430A4" w:rsidRDefault="005F01D8" w:rsidP="00E430A4">
      <w:pPr>
        <w:spacing w:after="0" w:line="276" w:lineRule="auto"/>
        <w:rPr>
          <w:rFonts w:ascii="Arial" w:hAnsi="Arial" w:cs="Arial"/>
        </w:rPr>
      </w:pPr>
    </w:p>
    <w:p w14:paraId="26F2355F" w14:textId="7C1108B6" w:rsidR="004C6512" w:rsidRPr="00141344" w:rsidRDefault="00A22DDD" w:rsidP="00CA35E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Dray, W.H.</w:t>
      </w:r>
      <w:r w:rsidR="00991F61" w:rsidRPr="0014134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991F61" w:rsidRPr="00141344">
        <w:rPr>
          <w:rFonts w:ascii="Times New Roman" w:eastAsia="Times New Roman" w:hAnsi="Times New Roman" w:cs="Times New Roman"/>
          <w:sz w:val="24"/>
          <w:szCs w:val="24"/>
          <w:lang w:val="en-US"/>
        </w:rPr>
        <w:t>1957</w:t>
      </w:r>
      <w:r>
        <w:rPr>
          <w:rFonts w:ascii="Times New Roman" w:eastAsia="Times New Roman" w:hAnsi="Times New Roman" w:cs="Times New Roman"/>
          <w:sz w:val="24"/>
          <w:szCs w:val="24"/>
          <w:lang w:val="en-US"/>
        </w:rPr>
        <w:t>)</w:t>
      </w:r>
      <w:r w:rsidR="00991F61" w:rsidRPr="00141344">
        <w:rPr>
          <w:rFonts w:ascii="Times New Roman" w:eastAsia="Times New Roman" w:hAnsi="Times New Roman" w:cs="Times New Roman"/>
          <w:sz w:val="24"/>
          <w:szCs w:val="24"/>
          <w:lang w:val="en-US"/>
        </w:rPr>
        <w:t xml:space="preserve">. </w:t>
      </w:r>
      <w:r w:rsidR="00991F61" w:rsidRPr="00141344">
        <w:rPr>
          <w:rFonts w:ascii="Times New Roman" w:eastAsia="Times New Roman" w:hAnsi="Times New Roman" w:cs="Times New Roman"/>
          <w:i/>
          <w:iCs/>
          <w:sz w:val="24"/>
          <w:szCs w:val="24"/>
          <w:lang w:val="en-US"/>
        </w:rPr>
        <w:t>Laws and Explanation in History</w:t>
      </w:r>
      <w:r w:rsidR="00991F61" w:rsidRPr="00141344">
        <w:rPr>
          <w:rFonts w:ascii="Times New Roman" w:eastAsia="Times New Roman" w:hAnsi="Times New Roman" w:cs="Times New Roman"/>
          <w:sz w:val="24"/>
          <w:szCs w:val="24"/>
          <w:lang w:val="en-US"/>
        </w:rPr>
        <w:t>, London: Oxford University Press.</w:t>
      </w:r>
    </w:p>
    <w:p w14:paraId="34F63975" w14:textId="2218F613" w:rsidR="004C6512" w:rsidRPr="00141344" w:rsidRDefault="00A22DDD" w:rsidP="00CA35E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Dray, W.H.</w:t>
      </w:r>
      <w:r w:rsidR="00991F61" w:rsidRPr="0014134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(1958), ‘</w:t>
      </w:r>
      <w:r w:rsidR="00991F61" w:rsidRPr="00141344">
        <w:rPr>
          <w:rFonts w:ascii="Times New Roman" w:eastAsia="Times New Roman" w:hAnsi="Times New Roman" w:cs="Times New Roman"/>
          <w:sz w:val="24"/>
          <w:szCs w:val="24"/>
          <w:lang w:val="en-US"/>
        </w:rPr>
        <w:t>Historical Understa</w:t>
      </w:r>
      <w:r>
        <w:rPr>
          <w:rFonts w:ascii="Times New Roman" w:eastAsia="Times New Roman" w:hAnsi="Times New Roman" w:cs="Times New Roman"/>
          <w:sz w:val="24"/>
          <w:szCs w:val="24"/>
          <w:lang w:val="en-US"/>
        </w:rPr>
        <w:t>nding as Rethinking’</w:t>
      </w:r>
      <w:r w:rsidR="00991F61" w:rsidRPr="00141344">
        <w:rPr>
          <w:rFonts w:ascii="Times New Roman" w:eastAsia="Times New Roman" w:hAnsi="Times New Roman" w:cs="Times New Roman"/>
          <w:sz w:val="24"/>
          <w:szCs w:val="24"/>
          <w:lang w:val="en-US"/>
        </w:rPr>
        <w:t xml:space="preserve">, </w:t>
      </w:r>
      <w:r w:rsidR="00991F61" w:rsidRPr="00141344">
        <w:rPr>
          <w:rFonts w:ascii="Times New Roman" w:eastAsia="Times New Roman" w:hAnsi="Times New Roman" w:cs="Times New Roman"/>
          <w:i/>
          <w:iCs/>
          <w:sz w:val="24"/>
          <w:szCs w:val="24"/>
          <w:lang w:val="en-US"/>
        </w:rPr>
        <w:t>University of Toronto Quarterly</w:t>
      </w:r>
      <w:r>
        <w:rPr>
          <w:rFonts w:ascii="Times New Roman" w:eastAsia="Times New Roman" w:hAnsi="Times New Roman" w:cs="Times New Roman"/>
          <w:sz w:val="24"/>
          <w:szCs w:val="24"/>
          <w:lang w:val="en-US"/>
        </w:rPr>
        <w:t xml:space="preserve"> 27: 200–</w:t>
      </w:r>
      <w:r w:rsidR="00991F61" w:rsidRPr="00141344">
        <w:rPr>
          <w:rFonts w:ascii="Times New Roman" w:eastAsia="Times New Roman" w:hAnsi="Times New Roman" w:cs="Times New Roman"/>
          <w:sz w:val="24"/>
          <w:szCs w:val="24"/>
          <w:lang w:val="en-US"/>
        </w:rPr>
        <w:t>15.</w:t>
      </w:r>
    </w:p>
    <w:p w14:paraId="6506FCF7" w14:textId="03D83F95" w:rsidR="004C6512" w:rsidRPr="00141344" w:rsidRDefault="00A22DDD" w:rsidP="00CA35E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Dray, W.H.</w:t>
      </w:r>
      <w:r w:rsidR="00991F61" w:rsidRPr="0014134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(1963) ‘</w:t>
      </w:r>
      <w:r w:rsidR="00991F61" w:rsidRPr="00141344">
        <w:rPr>
          <w:rFonts w:ascii="Times New Roman" w:eastAsia="Times New Roman" w:hAnsi="Times New Roman" w:cs="Times New Roman"/>
          <w:sz w:val="24"/>
          <w:szCs w:val="24"/>
          <w:lang w:val="en-US"/>
        </w:rPr>
        <w:t>The Historical Expl</w:t>
      </w:r>
      <w:r>
        <w:rPr>
          <w:rFonts w:ascii="Times New Roman" w:eastAsia="Times New Roman" w:hAnsi="Times New Roman" w:cs="Times New Roman"/>
          <w:sz w:val="24"/>
          <w:szCs w:val="24"/>
          <w:lang w:val="en-US"/>
        </w:rPr>
        <w:t>anation of Action</w:t>
      </w:r>
      <w:r w:rsidR="007725AC">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Reconsidered’, in S. Hook</w:t>
      </w:r>
      <w:r w:rsidR="00991F61" w:rsidRPr="00141344">
        <w:rPr>
          <w:rFonts w:ascii="Times New Roman" w:eastAsia="Times New Roman" w:hAnsi="Times New Roman" w:cs="Times New Roman"/>
          <w:sz w:val="24"/>
          <w:szCs w:val="24"/>
          <w:lang w:val="en-US"/>
        </w:rPr>
        <w:t xml:space="preserve"> (ed</w:t>
      </w:r>
      <w:r>
        <w:rPr>
          <w:rFonts w:ascii="Times New Roman" w:eastAsia="Times New Roman" w:hAnsi="Times New Roman" w:cs="Times New Roman"/>
          <w:sz w:val="24"/>
          <w:szCs w:val="24"/>
          <w:lang w:val="en-US"/>
        </w:rPr>
        <w:t>.</w:t>
      </w:r>
      <w:r w:rsidR="00991F61" w:rsidRPr="0014134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00991F61" w:rsidRPr="00141344">
        <w:rPr>
          <w:rFonts w:ascii="Times New Roman" w:eastAsia="Times New Roman" w:hAnsi="Times New Roman" w:cs="Times New Roman"/>
          <w:sz w:val="24"/>
          <w:szCs w:val="24"/>
          <w:lang w:val="en-US"/>
        </w:rPr>
        <w:t xml:space="preserve"> </w:t>
      </w:r>
      <w:r w:rsidR="00991F61" w:rsidRPr="00141344">
        <w:rPr>
          <w:rFonts w:ascii="Times New Roman" w:eastAsia="Times New Roman" w:hAnsi="Times New Roman" w:cs="Times New Roman"/>
          <w:i/>
          <w:iCs/>
          <w:sz w:val="24"/>
          <w:szCs w:val="24"/>
          <w:lang w:val="en-US"/>
        </w:rPr>
        <w:t>Philosophy and History</w:t>
      </w:r>
      <w:r w:rsidR="00991F61" w:rsidRPr="00141344">
        <w:rPr>
          <w:rFonts w:ascii="Times New Roman" w:eastAsia="Times New Roman" w:hAnsi="Times New Roman" w:cs="Times New Roman"/>
          <w:sz w:val="24"/>
          <w:szCs w:val="24"/>
          <w:lang w:val="en-US"/>
        </w:rPr>
        <w:t>, New York: New York University Press</w:t>
      </w:r>
      <w:r w:rsidR="007725AC">
        <w:rPr>
          <w:rFonts w:ascii="Times New Roman" w:eastAsia="Times New Roman" w:hAnsi="Times New Roman" w:cs="Times New Roman"/>
          <w:sz w:val="24"/>
          <w:szCs w:val="24"/>
          <w:lang w:val="en-US"/>
        </w:rPr>
        <w:t>, 105-135.</w:t>
      </w:r>
    </w:p>
    <w:p w14:paraId="58238A2A" w14:textId="58107E00" w:rsidR="004C6512" w:rsidRPr="00141344" w:rsidRDefault="00A22DDD" w:rsidP="00CA35E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Dray, W.H.</w:t>
      </w:r>
      <w:r w:rsidR="00991F61" w:rsidRPr="0014134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(1980), ‘</w:t>
      </w:r>
      <w:r w:rsidR="00991F61" w:rsidRPr="00141344">
        <w:rPr>
          <w:rFonts w:ascii="Times New Roman" w:eastAsia="Times New Roman" w:hAnsi="Times New Roman" w:cs="Times New Roman"/>
          <w:sz w:val="24"/>
          <w:szCs w:val="24"/>
          <w:lang w:val="en-US"/>
        </w:rPr>
        <w:t>R. G. Collingwood and the Understanding of Actions in History</w:t>
      </w:r>
      <w:r>
        <w:rPr>
          <w:rFonts w:ascii="Times New Roman" w:eastAsia="Times New Roman" w:hAnsi="Times New Roman" w:cs="Times New Roman"/>
          <w:sz w:val="24"/>
          <w:szCs w:val="24"/>
          <w:lang w:val="en-US"/>
        </w:rPr>
        <w:t>,’</w:t>
      </w:r>
      <w:r w:rsidR="00991F61" w:rsidRPr="00141344">
        <w:rPr>
          <w:rFonts w:ascii="Times New Roman" w:eastAsia="Times New Roman" w:hAnsi="Times New Roman" w:cs="Times New Roman"/>
          <w:sz w:val="24"/>
          <w:szCs w:val="24"/>
          <w:lang w:val="en-US"/>
        </w:rPr>
        <w:t xml:space="preserve"> in </w:t>
      </w:r>
      <w:r w:rsidR="00991F61" w:rsidRPr="00141344">
        <w:rPr>
          <w:rFonts w:ascii="Times New Roman" w:eastAsia="Times New Roman" w:hAnsi="Times New Roman" w:cs="Times New Roman"/>
          <w:i/>
          <w:sz w:val="24"/>
          <w:szCs w:val="24"/>
          <w:lang w:val="en-US"/>
        </w:rPr>
        <w:t>Perspectives on History</w:t>
      </w:r>
      <w:r w:rsidR="00991F61" w:rsidRPr="00141344">
        <w:rPr>
          <w:rFonts w:ascii="Times New Roman" w:eastAsia="Times New Roman" w:hAnsi="Times New Roman" w:cs="Times New Roman"/>
          <w:sz w:val="24"/>
          <w:szCs w:val="24"/>
          <w:lang w:val="en-US"/>
        </w:rPr>
        <w:t>, Lond</w:t>
      </w:r>
      <w:r>
        <w:rPr>
          <w:rFonts w:ascii="Times New Roman" w:eastAsia="Times New Roman" w:hAnsi="Times New Roman" w:cs="Times New Roman"/>
          <w:sz w:val="24"/>
          <w:szCs w:val="24"/>
          <w:lang w:val="en-US"/>
        </w:rPr>
        <w:t>on: Routledge and Kegan Paul, 9–</w:t>
      </w:r>
      <w:r w:rsidR="00991F61" w:rsidRPr="00141344">
        <w:rPr>
          <w:rFonts w:ascii="Times New Roman" w:eastAsia="Times New Roman" w:hAnsi="Times New Roman" w:cs="Times New Roman"/>
          <w:sz w:val="24"/>
          <w:szCs w:val="24"/>
          <w:lang w:val="en-US"/>
        </w:rPr>
        <w:t>26.</w:t>
      </w:r>
    </w:p>
    <w:p w14:paraId="66783F74" w14:textId="63602A55" w:rsidR="004C6512" w:rsidRPr="00141344" w:rsidRDefault="00A22DDD" w:rsidP="00CA35E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Gardiner, P.</w:t>
      </w:r>
      <w:r w:rsidR="00991F61" w:rsidRPr="0014134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991F61" w:rsidRPr="00141344">
        <w:rPr>
          <w:rFonts w:ascii="Times New Roman" w:eastAsia="Times New Roman" w:hAnsi="Times New Roman" w:cs="Times New Roman"/>
          <w:sz w:val="24"/>
          <w:szCs w:val="24"/>
          <w:lang w:val="en-US"/>
        </w:rPr>
        <w:t>1952a</w:t>
      </w:r>
      <w:r>
        <w:rPr>
          <w:rFonts w:ascii="Times New Roman" w:eastAsia="Times New Roman" w:hAnsi="Times New Roman" w:cs="Times New Roman"/>
          <w:sz w:val="24"/>
          <w:szCs w:val="24"/>
          <w:lang w:val="en-US"/>
        </w:rPr>
        <w:t>),</w:t>
      </w:r>
      <w:r w:rsidR="00991F61" w:rsidRPr="00141344">
        <w:rPr>
          <w:rFonts w:ascii="Times New Roman" w:eastAsia="Times New Roman" w:hAnsi="Times New Roman" w:cs="Times New Roman"/>
          <w:sz w:val="24"/>
          <w:szCs w:val="24"/>
          <w:lang w:val="en-US"/>
        </w:rPr>
        <w:t xml:space="preserve"> </w:t>
      </w:r>
      <w:r w:rsidR="00991F61" w:rsidRPr="00141344">
        <w:rPr>
          <w:rFonts w:ascii="Times New Roman" w:eastAsia="Times New Roman" w:hAnsi="Times New Roman" w:cs="Times New Roman"/>
          <w:i/>
          <w:sz w:val="24"/>
          <w:szCs w:val="24"/>
          <w:lang w:val="en-US"/>
        </w:rPr>
        <w:t>The Nature of Historical Explanation</w:t>
      </w:r>
      <w:r w:rsidR="00991F61" w:rsidRPr="00141344">
        <w:rPr>
          <w:rFonts w:ascii="Times New Roman" w:eastAsia="Times New Roman" w:hAnsi="Times New Roman" w:cs="Times New Roman"/>
          <w:sz w:val="24"/>
          <w:szCs w:val="24"/>
          <w:lang w:val="en-US"/>
        </w:rPr>
        <w:t>, London: Oxford University Press.</w:t>
      </w:r>
    </w:p>
    <w:p w14:paraId="2E2728F2" w14:textId="45DDCAEA" w:rsidR="004C6512" w:rsidRPr="00141344" w:rsidRDefault="00A22DDD" w:rsidP="00CA35E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Gardiner, P. (1952b), ‘</w:t>
      </w:r>
      <w:r w:rsidR="00991F61" w:rsidRPr="00141344">
        <w:rPr>
          <w:rFonts w:ascii="Times New Roman" w:eastAsia="Times New Roman" w:hAnsi="Times New Roman" w:cs="Times New Roman"/>
          <w:sz w:val="24"/>
          <w:szCs w:val="24"/>
          <w:lang w:val="en-US"/>
        </w:rPr>
        <w:t>The Objects of Historical Kno</w:t>
      </w:r>
      <w:r>
        <w:rPr>
          <w:rFonts w:ascii="Times New Roman" w:eastAsia="Times New Roman" w:hAnsi="Times New Roman" w:cs="Times New Roman"/>
          <w:sz w:val="24"/>
          <w:szCs w:val="24"/>
          <w:lang w:val="en-US"/>
        </w:rPr>
        <w:t>wledge’</w:t>
      </w:r>
      <w:r w:rsidR="00991F61" w:rsidRPr="00141344">
        <w:rPr>
          <w:rFonts w:ascii="Times New Roman" w:eastAsia="Times New Roman" w:hAnsi="Times New Roman" w:cs="Times New Roman"/>
          <w:sz w:val="24"/>
          <w:szCs w:val="24"/>
          <w:lang w:val="en-US"/>
        </w:rPr>
        <w:t xml:space="preserve">, </w:t>
      </w:r>
      <w:r w:rsidR="00991F61" w:rsidRPr="00141344">
        <w:rPr>
          <w:rFonts w:ascii="Times New Roman" w:eastAsia="Times New Roman" w:hAnsi="Times New Roman" w:cs="Times New Roman"/>
          <w:i/>
          <w:sz w:val="24"/>
          <w:szCs w:val="24"/>
          <w:lang w:val="en-US"/>
        </w:rPr>
        <w:t>Philosophy</w:t>
      </w:r>
      <w:r>
        <w:rPr>
          <w:rFonts w:ascii="Times New Roman" w:eastAsia="Times New Roman" w:hAnsi="Times New Roman" w:cs="Times New Roman"/>
          <w:sz w:val="24"/>
          <w:szCs w:val="24"/>
          <w:lang w:val="en-US"/>
        </w:rPr>
        <w:t xml:space="preserve"> 27: 211–</w:t>
      </w:r>
      <w:r w:rsidR="00991F61" w:rsidRPr="00141344">
        <w:rPr>
          <w:rFonts w:ascii="Times New Roman" w:eastAsia="Times New Roman" w:hAnsi="Times New Roman" w:cs="Times New Roman"/>
          <w:sz w:val="24"/>
          <w:szCs w:val="24"/>
          <w:lang w:val="en-US"/>
        </w:rPr>
        <w:t>20.</w:t>
      </w:r>
    </w:p>
    <w:p w14:paraId="2F5AA3A8" w14:textId="4D12DDF7" w:rsidR="004C6512" w:rsidRPr="00141344" w:rsidRDefault="00991F61" w:rsidP="00CA35E7">
      <w:pPr>
        <w:spacing w:after="0" w:line="360" w:lineRule="auto"/>
        <w:ind w:left="851" w:hanging="851"/>
        <w:rPr>
          <w:rFonts w:ascii="Times New Roman" w:eastAsia="Times New Roman" w:hAnsi="Times New Roman" w:cs="Times New Roman"/>
          <w:sz w:val="24"/>
          <w:szCs w:val="24"/>
          <w:lang w:val="en-US"/>
        </w:rPr>
      </w:pPr>
      <w:r w:rsidRPr="00141344">
        <w:rPr>
          <w:rFonts w:ascii="Times New Roman" w:eastAsia="Times New Roman" w:hAnsi="Times New Roman" w:cs="Times New Roman"/>
          <w:sz w:val="24"/>
          <w:szCs w:val="24"/>
          <w:lang w:val="en-US"/>
        </w:rPr>
        <w:t>Hempel, C.</w:t>
      </w:r>
      <w:r w:rsidR="00A22DDD">
        <w:rPr>
          <w:rFonts w:ascii="Times New Roman" w:eastAsia="Times New Roman" w:hAnsi="Times New Roman" w:cs="Times New Roman"/>
          <w:sz w:val="24"/>
          <w:szCs w:val="24"/>
          <w:lang w:val="en-US"/>
        </w:rPr>
        <w:t>G.</w:t>
      </w:r>
      <w:r w:rsidRPr="00141344">
        <w:rPr>
          <w:rFonts w:ascii="Times New Roman" w:eastAsia="Times New Roman" w:hAnsi="Times New Roman" w:cs="Times New Roman"/>
          <w:sz w:val="24"/>
          <w:szCs w:val="24"/>
          <w:lang w:val="en-US"/>
        </w:rPr>
        <w:t xml:space="preserve"> </w:t>
      </w:r>
      <w:r w:rsidR="00A22DDD">
        <w:rPr>
          <w:rFonts w:ascii="Times New Roman" w:eastAsia="Times New Roman" w:hAnsi="Times New Roman" w:cs="Times New Roman"/>
          <w:sz w:val="24"/>
          <w:szCs w:val="24"/>
          <w:lang w:val="en-US"/>
        </w:rPr>
        <w:t>(1942), ‘</w:t>
      </w:r>
      <w:r w:rsidRPr="00141344">
        <w:rPr>
          <w:rFonts w:ascii="Times New Roman" w:eastAsia="Times New Roman" w:hAnsi="Times New Roman" w:cs="Times New Roman"/>
          <w:sz w:val="24"/>
          <w:szCs w:val="24"/>
          <w:lang w:val="en-US"/>
        </w:rPr>
        <w:t>The Funct</w:t>
      </w:r>
      <w:r w:rsidR="00A22DDD">
        <w:rPr>
          <w:rFonts w:ascii="Times New Roman" w:eastAsia="Times New Roman" w:hAnsi="Times New Roman" w:cs="Times New Roman"/>
          <w:sz w:val="24"/>
          <w:szCs w:val="24"/>
          <w:lang w:val="en-US"/>
        </w:rPr>
        <w:t>ion of General Laws in History’,</w:t>
      </w:r>
      <w:r w:rsidRPr="00141344">
        <w:rPr>
          <w:rFonts w:ascii="Times New Roman" w:eastAsia="Times New Roman" w:hAnsi="Times New Roman" w:cs="Times New Roman"/>
          <w:sz w:val="24"/>
          <w:szCs w:val="24"/>
          <w:lang w:val="en-US"/>
        </w:rPr>
        <w:t xml:space="preserve"> </w:t>
      </w:r>
      <w:r w:rsidRPr="00141344">
        <w:rPr>
          <w:rFonts w:ascii="Times New Roman" w:eastAsia="Times New Roman" w:hAnsi="Times New Roman" w:cs="Times New Roman"/>
          <w:i/>
          <w:sz w:val="24"/>
          <w:szCs w:val="24"/>
          <w:lang w:val="en-US"/>
        </w:rPr>
        <w:t>Journal of Philosophy</w:t>
      </w:r>
      <w:r w:rsidR="00A22DDD">
        <w:rPr>
          <w:rFonts w:ascii="Times New Roman" w:eastAsia="Times New Roman" w:hAnsi="Times New Roman" w:cs="Times New Roman"/>
          <w:sz w:val="24"/>
          <w:szCs w:val="24"/>
          <w:lang w:val="en-US"/>
        </w:rPr>
        <w:t xml:space="preserve"> 39: 35–</w:t>
      </w:r>
      <w:r w:rsidRPr="00141344">
        <w:rPr>
          <w:rFonts w:ascii="Times New Roman" w:eastAsia="Times New Roman" w:hAnsi="Times New Roman" w:cs="Times New Roman"/>
          <w:sz w:val="24"/>
          <w:szCs w:val="24"/>
          <w:lang w:val="en-US"/>
        </w:rPr>
        <w:t>48.</w:t>
      </w:r>
    </w:p>
    <w:p w14:paraId="43453268" w14:textId="7C247BAF" w:rsidR="004C6512" w:rsidRPr="00141344" w:rsidRDefault="00991F61" w:rsidP="00CA35E7">
      <w:pPr>
        <w:spacing w:after="0" w:line="360" w:lineRule="auto"/>
        <w:ind w:left="851" w:hanging="851"/>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Kemp, G. </w:t>
      </w:r>
      <w:r w:rsidR="00A22DDD">
        <w:rPr>
          <w:rFonts w:ascii="Times New Roman" w:hAnsi="Times New Roman" w:cs="Times New Roman"/>
          <w:sz w:val="24"/>
          <w:szCs w:val="24"/>
          <w:lang w:val="en-US"/>
        </w:rPr>
        <w:t>(</w:t>
      </w:r>
      <w:r w:rsidRPr="00141344">
        <w:rPr>
          <w:rFonts w:ascii="Times New Roman" w:hAnsi="Times New Roman" w:cs="Times New Roman"/>
          <w:sz w:val="24"/>
          <w:szCs w:val="24"/>
          <w:lang w:val="en-US"/>
        </w:rPr>
        <w:t>2006</w:t>
      </w:r>
      <w:r w:rsidR="00A22DDD">
        <w:rPr>
          <w:rFonts w:ascii="Times New Roman" w:hAnsi="Times New Roman" w:cs="Times New Roman"/>
          <w:sz w:val="24"/>
          <w:szCs w:val="24"/>
          <w:lang w:val="en-US"/>
        </w:rPr>
        <w:t>),</w:t>
      </w:r>
      <w:r w:rsidRPr="00141344">
        <w:rPr>
          <w:rFonts w:ascii="Times New Roman" w:hAnsi="Times New Roman" w:cs="Times New Roman"/>
          <w:sz w:val="24"/>
          <w:szCs w:val="24"/>
          <w:lang w:val="en-US"/>
        </w:rPr>
        <w:t xml:space="preserve"> </w:t>
      </w:r>
      <w:r w:rsidRPr="00141344">
        <w:rPr>
          <w:rFonts w:ascii="Times New Roman" w:hAnsi="Times New Roman" w:cs="Times New Roman"/>
          <w:i/>
          <w:iCs/>
          <w:sz w:val="24"/>
          <w:szCs w:val="24"/>
          <w:lang w:val="en-US"/>
        </w:rPr>
        <w:t>Quine: A Guide for the Perplexed</w:t>
      </w:r>
      <w:r w:rsidR="00A22DDD">
        <w:rPr>
          <w:rFonts w:ascii="Times New Roman" w:hAnsi="Times New Roman" w:cs="Times New Roman"/>
          <w:sz w:val="24"/>
          <w:szCs w:val="24"/>
          <w:lang w:val="en-US"/>
        </w:rPr>
        <w:t>,</w:t>
      </w:r>
      <w:r w:rsidRPr="00141344">
        <w:rPr>
          <w:rFonts w:ascii="Times New Roman" w:hAnsi="Times New Roman" w:cs="Times New Roman"/>
          <w:sz w:val="24"/>
          <w:szCs w:val="24"/>
          <w:lang w:val="en-US"/>
        </w:rPr>
        <w:t xml:space="preserve"> London: Continuum.</w:t>
      </w:r>
    </w:p>
    <w:p w14:paraId="50AB9978" w14:textId="0B0AEDF2" w:rsidR="004C6512" w:rsidRPr="00141344" w:rsidRDefault="00A22DDD" w:rsidP="00CA35E7">
      <w:pPr>
        <w:spacing w:after="0" w:line="360" w:lineRule="auto"/>
        <w:ind w:left="851" w:hanging="851"/>
        <w:rPr>
          <w:rFonts w:ascii="Times New Roman" w:hAnsi="Times New Roman" w:cs="Times New Roman"/>
          <w:sz w:val="24"/>
          <w:szCs w:val="24"/>
          <w:lang w:val="en-US"/>
        </w:rPr>
      </w:pPr>
      <w:r>
        <w:rPr>
          <w:rFonts w:ascii="Times New Roman" w:hAnsi="Times New Roman" w:cs="Times New Roman"/>
          <w:sz w:val="24"/>
          <w:szCs w:val="24"/>
          <w:lang w:val="en-US"/>
        </w:rPr>
        <w:t>Kirk, R.</w:t>
      </w:r>
      <w:r w:rsidR="00991F61" w:rsidRPr="00141344">
        <w:rPr>
          <w:rFonts w:ascii="Times New Roman" w:hAnsi="Times New Roman" w:cs="Times New Roman"/>
          <w:sz w:val="24"/>
          <w:szCs w:val="24"/>
          <w:lang w:val="en-US"/>
        </w:rPr>
        <w:t xml:space="preserve"> </w:t>
      </w:r>
      <w:r>
        <w:rPr>
          <w:rFonts w:ascii="Times New Roman" w:hAnsi="Times New Roman" w:cs="Times New Roman"/>
          <w:sz w:val="24"/>
          <w:szCs w:val="24"/>
          <w:lang w:val="en-US"/>
        </w:rPr>
        <w:t>(2004), ‘Indeterminacy of Translation’,</w:t>
      </w:r>
      <w:r w:rsidR="00991F61" w:rsidRPr="00141344">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R.F. </w:t>
      </w:r>
      <w:r w:rsidR="00991F61" w:rsidRPr="00141344">
        <w:rPr>
          <w:rFonts w:ascii="Times New Roman" w:hAnsi="Times New Roman" w:cs="Times New Roman"/>
          <w:sz w:val="24"/>
          <w:szCs w:val="24"/>
          <w:lang w:val="en-US"/>
        </w:rPr>
        <w:t>Gibson, Jr</w:t>
      </w:r>
      <w:r>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(ed.)</w:t>
      </w:r>
      <w:r>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w:t>
      </w:r>
      <w:r w:rsidR="00991F61" w:rsidRPr="00A22DDD">
        <w:rPr>
          <w:rFonts w:ascii="Times New Roman" w:hAnsi="Times New Roman" w:cs="Times New Roman"/>
          <w:i/>
          <w:sz w:val="24"/>
          <w:szCs w:val="24"/>
          <w:lang w:val="en-US"/>
        </w:rPr>
        <w:t>The Cambridge Companion to Quine</w:t>
      </w:r>
      <w:r>
        <w:rPr>
          <w:rFonts w:ascii="Times New Roman" w:hAnsi="Times New Roman" w:cs="Times New Roman"/>
          <w:sz w:val="24"/>
          <w:szCs w:val="24"/>
          <w:lang w:val="en-US"/>
        </w:rPr>
        <w:t>,</w:t>
      </w:r>
      <w:r w:rsidR="00991F61" w:rsidRPr="00141344">
        <w:rPr>
          <w:rFonts w:ascii="Times New Roman" w:hAnsi="Times New Roman" w:cs="Times New Roman"/>
          <w:sz w:val="24"/>
          <w:szCs w:val="24"/>
          <w:lang w:val="en-US"/>
        </w:rPr>
        <w:t xml:space="preserve"> New York:</w:t>
      </w:r>
      <w:r>
        <w:rPr>
          <w:rFonts w:ascii="Times New Roman" w:hAnsi="Times New Roman" w:cs="Times New Roman"/>
          <w:sz w:val="24"/>
          <w:szCs w:val="24"/>
          <w:lang w:val="en-US"/>
        </w:rPr>
        <w:t xml:space="preserve"> Cambridge University Press, 151–</w:t>
      </w:r>
      <w:r w:rsidR="00991F61" w:rsidRPr="00141344">
        <w:rPr>
          <w:rFonts w:ascii="Times New Roman" w:hAnsi="Times New Roman" w:cs="Times New Roman"/>
          <w:sz w:val="24"/>
          <w:szCs w:val="24"/>
          <w:lang w:val="en-US"/>
        </w:rPr>
        <w:t>80.</w:t>
      </w:r>
    </w:p>
    <w:p w14:paraId="622B7AB1" w14:textId="534456DC" w:rsidR="004C6512" w:rsidRPr="00141344" w:rsidRDefault="00A22DDD" w:rsidP="00CA35E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Locke, J. (1690/1964),</w:t>
      </w:r>
      <w:r w:rsidR="00991F61" w:rsidRPr="00141344">
        <w:rPr>
          <w:rFonts w:ascii="Times New Roman" w:eastAsia="Times New Roman" w:hAnsi="Times New Roman" w:cs="Times New Roman"/>
          <w:sz w:val="24"/>
          <w:szCs w:val="24"/>
          <w:lang w:val="en-US"/>
        </w:rPr>
        <w:t xml:space="preserve"> </w:t>
      </w:r>
      <w:r w:rsidR="00991F61" w:rsidRPr="00141344">
        <w:rPr>
          <w:rFonts w:ascii="Times New Roman" w:eastAsia="Times New Roman" w:hAnsi="Times New Roman" w:cs="Times New Roman"/>
          <w:i/>
          <w:sz w:val="24"/>
          <w:szCs w:val="24"/>
          <w:lang w:val="en-US"/>
        </w:rPr>
        <w:t>An Essay Concerning Human Understanding</w:t>
      </w:r>
      <w:r w:rsidR="00991F61" w:rsidRPr="00141344">
        <w:rPr>
          <w:rFonts w:ascii="Times New Roman" w:eastAsia="Times New Roman" w:hAnsi="Times New Roman" w:cs="Times New Roman"/>
          <w:sz w:val="24"/>
          <w:szCs w:val="24"/>
          <w:lang w:val="en-US"/>
        </w:rPr>
        <w:t>, Glasgow: Collins Fount Paperbacks, William Collins Sons &amp; Co Ltd.</w:t>
      </w:r>
    </w:p>
    <w:p w14:paraId="390EB9EF" w14:textId="651122CF" w:rsidR="004C6512" w:rsidRPr="00141344" w:rsidRDefault="00C449C8" w:rsidP="00CA35E7">
      <w:pPr>
        <w:spacing w:after="0" w:line="360" w:lineRule="auto"/>
        <w:ind w:left="851" w:hanging="851"/>
        <w:rPr>
          <w:rFonts w:ascii="Times New Roman" w:hAnsi="Times New Roman" w:cs="Times New Roman"/>
          <w:sz w:val="24"/>
          <w:szCs w:val="24"/>
          <w:lang w:val="en-US"/>
        </w:rPr>
      </w:pPr>
      <w:r>
        <w:rPr>
          <w:rFonts w:ascii="Times New Roman" w:hAnsi="Times New Roman" w:cs="Times New Roman"/>
          <w:sz w:val="24"/>
          <w:szCs w:val="24"/>
          <w:lang w:val="en-US"/>
        </w:rPr>
        <w:t>Mele, A.</w:t>
      </w:r>
      <w:r w:rsidR="00991F61" w:rsidRPr="00141344">
        <w:rPr>
          <w:rFonts w:ascii="Times New Roman" w:hAnsi="Times New Roman" w:cs="Times New Roman"/>
          <w:sz w:val="24"/>
          <w:szCs w:val="24"/>
          <w:lang w:val="en-US"/>
        </w:rPr>
        <w:t xml:space="preserve"> </w:t>
      </w:r>
      <w:r>
        <w:rPr>
          <w:rFonts w:ascii="Times New Roman" w:hAnsi="Times New Roman" w:cs="Times New Roman"/>
          <w:sz w:val="24"/>
          <w:szCs w:val="24"/>
          <w:lang w:val="en-US"/>
        </w:rPr>
        <w:t>(2000), ‘</w:t>
      </w:r>
      <w:r w:rsidR="00991F61" w:rsidRPr="00141344">
        <w:rPr>
          <w:rFonts w:ascii="Times New Roman" w:hAnsi="Times New Roman" w:cs="Times New Roman"/>
          <w:sz w:val="24"/>
          <w:szCs w:val="24"/>
          <w:lang w:val="en-US"/>
        </w:rPr>
        <w:t>Goal-Directed Action: Teleological Explanations</w:t>
      </w:r>
      <w:r>
        <w:rPr>
          <w:rFonts w:ascii="Times New Roman" w:hAnsi="Times New Roman" w:cs="Times New Roman"/>
          <w:sz w:val="24"/>
          <w:szCs w:val="24"/>
          <w:lang w:val="en-US"/>
        </w:rPr>
        <w:t>, Causal Theories and Deviance’,</w:t>
      </w:r>
      <w:r w:rsidR="00991F61" w:rsidRPr="00141344">
        <w:rPr>
          <w:rFonts w:ascii="Times New Roman" w:hAnsi="Times New Roman" w:cs="Times New Roman"/>
          <w:sz w:val="24"/>
          <w:szCs w:val="24"/>
          <w:lang w:val="en-US"/>
        </w:rPr>
        <w:t xml:space="preserve"> </w:t>
      </w:r>
      <w:r w:rsidR="00991F61" w:rsidRPr="00141344">
        <w:rPr>
          <w:rFonts w:ascii="Times New Roman" w:hAnsi="Times New Roman" w:cs="Times New Roman"/>
          <w:i/>
          <w:iCs/>
          <w:sz w:val="24"/>
          <w:szCs w:val="24"/>
          <w:lang w:val="en-US"/>
        </w:rPr>
        <w:t>Philosophical Perspectives</w:t>
      </w:r>
      <w:r>
        <w:rPr>
          <w:rFonts w:ascii="Times New Roman" w:hAnsi="Times New Roman" w:cs="Times New Roman"/>
          <w:sz w:val="24"/>
          <w:szCs w:val="24"/>
          <w:lang w:val="en-US"/>
        </w:rPr>
        <w:t xml:space="preserve"> 14: 279–</w:t>
      </w:r>
      <w:r w:rsidR="00991F61" w:rsidRPr="00141344">
        <w:rPr>
          <w:rFonts w:ascii="Times New Roman" w:hAnsi="Times New Roman" w:cs="Times New Roman"/>
          <w:sz w:val="24"/>
          <w:szCs w:val="24"/>
          <w:lang w:val="en-US"/>
        </w:rPr>
        <w:t>300.</w:t>
      </w:r>
    </w:p>
    <w:p w14:paraId="7B8373D5" w14:textId="56441832" w:rsidR="005643D2" w:rsidRPr="00141344" w:rsidRDefault="00991F61" w:rsidP="00CA35E7">
      <w:pPr>
        <w:spacing w:after="0" w:line="360" w:lineRule="auto"/>
        <w:ind w:left="851" w:hanging="851"/>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Pettit, P. </w:t>
      </w:r>
      <w:r w:rsidR="00C449C8">
        <w:rPr>
          <w:rFonts w:ascii="Times New Roman" w:hAnsi="Times New Roman" w:cs="Times New Roman"/>
          <w:sz w:val="24"/>
          <w:szCs w:val="24"/>
          <w:lang w:val="en-US"/>
        </w:rPr>
        <w:t>(2000) ‘</w:t>
      </w:r>
      <w:r w:rsidRPr="00141344">
        <w:rPr>
          <w:rFonts w:ascii="Times New Roman" w:hAnsi="Times New Roman" w:cs="Times New Roman"/>
          <w:sz w:val="24"/>
          <w:szCs w:val="24"/>
          <w:lang w:val="en-US"/>
        </w:rPr>
        <w:t>Winch’s double</w:t>
      </w:r>
      <w:r w:rsidR="00C449C8">
        <w:rPr>
          <w:rFonts w:ascii="Times New Roman" w:hAnsi="Times New Roman" w:cs="Times New Roman"/>
          <w:sz w:val="24"/>
          <w:szCs w:val="24"/>
          <w:lang w:val="en-US"/>
        </w:rPr>
        <w:t>-edged idea of a social science’</w:t>
      </w:r>
      <w:r w:rsidRPr="00141344">
        <w:rPr>
          <w:rFonts w:ascii="Times New Roman" w:hAnsi="Times New Roman" w:cs="Times New Roman"/>
          <w:sz w:val="24"/>
          <w:szCs w:val="24"/>
          <w:lang w:val="en-US"/>
        </w:rPr>
        <w:t xml:space="preserve">, </w:t>
      </w:r>
      <w:r w:rsidR="00C449C8">
        <w:rPr>
          <w:rFonts w:ascii="Times New Roman" w:hAnsi="Times New Roman" w:cs="Times New Roman"/>
          <w:i/>
          <w:iCs/>
          <w:sz w:val="24"/>
          <w:szCs w:val="24"/>
          <w:lang w:val="en-US"/>
        </w:rPr>
        <w:t>History of the Human Sciences</w:t>
      </w:r>
      <w:r w:rsidRPr="00141344">
        <w:rPr>
          <w:rFonts w:ascii="Times New Roman" w:hAnsi="Times New Roman" w:cs="Times New Roman"/>
          <w:i/>
          <w:iCs/>
          <w:sz w:val="24"/>
          <w:szCs w:val="24"/>
          <w:lang w:val="en-US"/>
        </w:rPr>
        <w:t xml:space="preserve"> </w:t>
      </w:r>
      <w:r w:rsidR="005643D2" w:rsidRPr="00141344">
        <w:rPr>
          <w:rFonts w:ascii="Times New Roman" w:hAnsi="Times New Roman" w:cs="Times New Roman"/>
          <w:sz w:val="24"/>
          <w:szCs w:val="24"/>
          <w:lang w:val="en-US"/>
        </w:rPr>
        <w:t>13</w:t>
      </w:r>
      <w:r w:rsidR="00C449C8">
        <w:rPr>
          <w:rFonts w:ascii="Times New Roman" w:hAnsi="Times New Roman" w:cs="Times New Roman"/>
          <w:sz w:val="24"/>
          <w:szCs w:val="24"/>
          <w:lang w:val="en-US"/>
        </w:rPr>
        <w:t xml:space="preserve"> </w:t>
      </w:r>
      <w:r w:rsidR="005643D2" w:rsidRPr="00141344">
        <w:rPr>
          <w:rFonts w:ascii="Times New Roman" w:hAnsi="Times New Roman" w:cs="Times New Roman"/>
          <w:sz w:val="24"/>
          <w:szCs w:val="24"/>
          <w:lang w:val="en-US"/>
        </w:rPr>
        <w:t>(1): 63–77.</w:t>
      </w:r>
    </w:p>
    <w:p w14:paraId="47DC037B" w14:textId="79ECCEFC" w:rsidR="005643D2" w:rsidRPr="00141344" w:rsidRDefault="00C449C8" w:rsidP="00CA35E7">
      <w:pPr>
        <w:spacing w:after="0" w:line="360" w:lineRule="auto"/>
        <w:ind w:left="851" w:hanging="851"/>
        <w:rPr>
          <w:rFonts w:ascii="Times New Roman" w:hAnsi="Times New Roman" w:cs="Times New Roman"/>
          <w:sz w:val="24"/>
          <w:szCs w:val="24"/>
          <w:lang w:val="en-US"/>
        </w:rPr>
      </w:pPr>
      <w:r>
        <w:rPr>
          <w:rFonts w:ascii="Times New Roman" w:hAnsi="Times New Roman" w:cs="Times New Roman"/>
          <w:sz w:val="24"/>
          <w:szCs w:val="24"/>
          <w:lang w:val="en-US"/>
        </w:rPr>
        <w:t>Pleasants, N. (1999),</w:t>
      </w:r>
      <w:r w:rsidR="00991F61" w:rsidRPr="00141344">
        <w:rPr>
          <w:rFonts w:ascii="Times New Roman" w:hAnsi="Times New Roman" w:cs="Times New Roman"/>
          <w:sz w:val="24"/>
          <w:szCs w:val="24"/>
          <w:lang w:val="en-US"/>
        </w:rPr>
        <w:t xml:space="preserve"> </w:t>
      </w:r>
      <w:r w:rsidR="00991F61" w:rsidRPr="00141344">
        <w:rPr>
          <w:rFonts w:ascii="Times New Roman" w:hAnsi="Times New Roman" w:cs="Times New Roman"/>
          <w:i/>
          <w:iCs/>
          <w:sz w:val="24"/>
          <w:szCs w:val="24"/>
          <w:lang w:val="en-US"/>
        </w:rPr>
        <w:t>Wittgenstein and the Idea of a Critical Social Theory: A Critique of Giddens, Habermas and Bhaskar</w:t>
      </w:r>
      <w:r>
        <w:rPr>
          <w:rFonts w:ascii="Times New Roman" w:hAnsi="Times New Roman" w:cs="Times New Roman"/>
          <w:sz w:val="24"/>
          <w:szCs w:val="24"/>
          <w:lang w:val="en-US"/>
        </w:rPr>
        <w:t>,</w:t>
      </w:r>
      <w:r w:rsidR="005643D2" w:rsidRPr="00141344">
        <w:rPr>
          <w:rFonts w:ascii="Times New Roman" w:hAnsi="Times New Roman" w:cs="Times New Roman"/>
          <w:sz w:val="24"/>
          <w:szCs w:val="24"/>
          <w:lang w:val="en-US"/>
        </w:rPr>
        <w:t xml:space="preserve"> London: Routledge.</w:t>
      </w:r>
    </w:p>
    <w:p w14:paraId="06D7B878" w14:textId="56EDE599" w:rsidR="004C6512" w:rsidRDefault="00991F61" w:rsidP="00CA35E7">
      <w:pPr>
        <w:spacing w:after="0" w:line="360" w:lineRule="auto"/>
        <w:ind w:left="851" w:hanging="851"/>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Pleasants, N. </w:t>
      </w:r>
      <w:r w:rsidR="00C449C8">
        <w:rPr>
          <w:rFonts w:ascii="Times New Roman" w:hAnsi="Times New Roman" w:cs="Times New Roman"/>
          <w:sz w:val="24"/>
          <w:szCs w:val="24"/>
          <w:lang w:val="en-US"/>
        </w:rPr>
        <w:t>(2000), ‘</w:t>
      </w:r>
      <w:r w:rsidRPr="00141344">
        <w:rPr>
          <w:rFonts w:ascii="Times New Roman" w:hAnsi="Times New Roman" w:cs="Times New Roman"/>
          <w:sz w:val="24"/>
          <w:szCs w:val="24"/>
          <w:lang w:val="en-US"/>
        </w:rPr>
        <w:t xml:space="preserve">Winch, Wittgenstein and the idea of a critical social theory”, </w:t>
      </w:r>
      <w:r w:rsidRPr="00141344">
        <w:rPr>
          <w:rFonts w:ascii="Times New Roman" w:hAnsi="Times New Roman" w:cs="Times New Roman"/>
          <w:i/>
          <w:iCs/>
          <w:sz w:val="24"/>
          <w:szCs w:val="24"/>
          <w:lang w:val="en-US"/>
        </w:rPr>
        <w:t>History of the Human Sciences (special issue on Wi</w:t>
      </w:r>
      <w:r w:rsidR="00C449C8">
        <w:rPr>
          <w:rFonts w:ascii="Times New Roman" w:hAnsi="Times New Roman" w:cs="Times New Roman"/>
          <w:i/>
          <w:iCs/>
          <w:sz w:val="24"/>
          <w:szCs w:val="24"/>
          <w:lang w:val="en-US"/>
        </w:rPr>
        <w:t>nch’s Conception of Philosophy)</w:t>
      </w:r>
      <w:r w:rsidRPr="00141344">
        <w:rPr>
          <w:rFonts w:ascii="Times New Roman" w:hAnsi="Times New Roman" w:cs="Times New Roman"/>
          <w:i/>
          <w:iCs/>
          <w:sz w:val="24"/>
          <w:szCs w:val="24"/>
          <w:lang w:val="en-US"/>
        </w:rPr>
        <w:t xml:space="preserve"> </w:t>
      </w:r>
      <w:r w:rsidRPr="00141344">
        <w:rPr>
          <w:rFonts w:ascii="Times New Roman" w:hAnsi="Times New Roman" w:cs="Times New Roman"/>
          <w:sz w:val="24"/>
          <w:szCs w:val="24"/>
          <w:lang w:val="en-US"/>
        </w:rPr>
        <w:t>13</w:t>
      </w:r>
      <w:r w:rsidR="00C449C8">
        <w:rPr>
          <w:rFonts w:ascii="Times New Roman" w:hAnsi="Times New Roman" w:cs="Times New Roman"/>
          <w:sz w:val="24"/>
          <w:szCs w:val="24"/>
          <w:lang w:val="en-US"/>
        </w:rPr>
        <w:t xml:space="preserve"> </w:t>
      </w:r>
      <w:r w:rsidRPr="00141344">
        <w:rPr>
          <w:rFonts w:ascii="Times New Roman" w:hAnsi="Times New Roman" w:cs="Times New Roman"/>
          <w:sz w:val="24"/>
          <w:szCs w:val="24"/>
          <w:lang w:val="en-US"/>
        </w:rPr>
        <w:t>(1): 78–91.</w:t>
      </w:r>
    </w:p>
    <w:p w14:paraId="7F8E0202" w14:textId="67C2A522" w:rsidR="00FC3678" w:rsidRPr="00141344" w:rsidRDefault="00FC3678" w:rsidP="00CA35E7">
      <w:pPr>
        <w:spacing w:after="0" w:line="360" w:lineRule="auto"/>
        <w:ind w:left="851" w:hanging="851"/>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Popper, K. (1957). </w:t>
      </w:r>
      <w:r w:rsidRPr="00E430A4">
        <w:rPr>
          <w:rFonts w:ascii="Times New Roman" w:hAnsi="Times New Roman" w:cs="Times New Roman"/>
          <w:i/>
          <w:iCs/>
          <w:sz w:val="24"/>
          <w:szCs w:val="24"/>
          <w:lang w:val="en-US"/>
        </w:rPr>
        <w:t>The Pove</w:t>
      </w:r>
      <w:r w:rsidR="000E52F9">
        <w:rPr>
          <w:rFonts w:ascii="Times New Roman" w:hAnsi="Times New Roman" w:cs="Times New Roman"/>
          <w:i/>
          <w:iCs/>
          <w:sz w:val="24"/>
          <w:szCs w:val="24"/>
          <w:lang w:val="en-US"/>
        </w:rPr>
        <w:t>rt</w:t>
      </w:r>
      <w:r w:rsidRPr="00E430A4">
        <w:rPr>
          <w:rFonts w:ascii="Times New Roman" w:hAnsi="Times New Roman" w:cs="Times New Roman"/>
          <w:i/>
          <w:iCs/>
          <w:sz w:val="24"/>
          <w:szCs w:val="24"/>
          <w:lang w:val="en-US"/>
        </w:rPr>
        <w:t>y of Historicism</w:t>
      </w:r>
      <w:r>
        <w:rPr>
          <w:rFonts w:ascii="Times New Roman" w:hAnsi="Times New Roman" w:cs="Times New Roman"/>
          <w:sz w:val="24"/>
          <w:szCs w:val="24"/>
          <w:lang w:val="en-US"/>
        </w:rPr>
        <w:t>. London: Routledge.</w:t>
      </w:r>
    </w:p>
    <w:p w14:paraId="1CCC7E9B" w14:textId="4B455866" w:rsidR="004C6512" w:rsidRPr="00141344" w:rsidRDefault="00C449C8" w:rsidP="00CA35E7">
      <w:pPr>
        <w:spacing w:after="0" w:line="360" w:lineRule="auto"/>
        <w:ind w:left="851" w:hanging="851"/>
        <w:rPr>
          <w:rFonts w:ascii="Times New Roman" w:hAnsi="Times New Roman" w:cs="Times New Roman"/>
          <w:color w:val="FF0000"/>
          <w:sz w:val="24"/>
          <w:szCs w:val="24"/>
          <w:lang w:val="en-US"/>
        </w:rPr>
      </w:pPr>
      <w:r>
        <w:rPr>
          <w:rFonts w:ascii="Times New Roman" w:hAnsi="Times New Roman" w:cs="Times New Roman"/>
          <w:sz w:val="24"/>
          <w:szCs w:val="24"/>
          <w:lang w:val="en-US"/>
        </w:rPr>
        <w:t>Quine, W.V.O. (1951), ‘</w:t>
      </w:r>
      <w:r w:rsidR="00991F61" w:rsidRPr="00141344">
        <w:rPr>
          <w:rFonts w:ascii="Times New Roman" w:hAnsi="Times New Roman" w:cs="Times New Roman"/>
          <w:sz w:val="24"/>
          <w:szCs w:val="24"/>
          <w:lang w:val="en-US"/>
        </w:rPr>
        <w:t xml:space="preserve">Two Dogmas of </w:t>
      </w:r>
      <w:r>
        <w:rPr>
          <w:rFonts w:ascii="Times New Roman" w:hAnsi="Times New Roman" w:cs="Times New Roman"/>
          <w:sz w:val="24"/>
          <w:szCs w:val="24"/>
          <w:lang w:val="en-US"/>
        </w:rPr>
        <w:t>Empiricism’</w:t>
      </w:r>
      <w:r w:rsidR="00991F61" w:rsidRPr="00141344">
        <w:rPr>
          <w:rFonts w:ascii="Times New Roman" w:hAnsi="Times New Roman" w:cs="Times New Roman"/>
          <w:sz w:val="24"/>
          <w:szCs w:val="24"/>
          <w:lang w:val="en-US"/>
        </w:rPr>
        <w:t xml:space="preserve">, </w:t>
      </w:r>
      <w:r w:rsidR="00991F61" w:rsidRPr="00141344">
        <w:rPr>
          <w:rStyle w:val="Emphasis"/>
          <w:rFonts w:ascii="Times New Roman" w:hAnsi="Times New Roman" w:cs="Times New Roman"/>
          <w:sz w:val="24"/>
          <w:szCs w:val="24"/>
          <w:lang w:val="en-US"/>
        </w:rPr>
        <w:t>Philosophical Review</w:t>
      </w:r>
      <w:r>
        <w:rPr>
          <w:rFonts w:ascii="Times New Roman" w:hAnsi="Times New Roman" w:cs="Times New Roman"/>
          <w:sz w:val="24"/>
          <w:szCs w:val="24"/>
          <w:lang w:val="en-US"/>
        </w:rPr>
        <w:t xml:space="preserve"> 60:</w:t>
      </w:r>
      <w:r w:rsidR="00991F61" w:rsidRPr="00141344">
        <w:rPr>
          <w:rFonts w:ascii="Times New Roman" w:hAnsi="Times New Roman" w:cs="Times New Roman"/>
          <w:sz w:val="24"/>
          <w:szCs w:val="24"/>
          <w:lang w:val="en-US"/>
        </w:rPr>
        <w:t xml:space="preserve"> 20–43.</w:t>
      </w:r>
    </w:p>
    <w:p w14:paraId="6C21BDD3" w14:textId="40FD459C" w:rsidR="004C6512" w:rsidRPr="00141344" w:rsidRDefault="00991F61" w:rsidP="00CA35E7">
      <w:pPr>
        <w:spacing w:after="0" w:line="360" w:lineRule="auto"/>
        <w:ind w:left="851" w:hanging="851"/>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Quine, W.V.O. </w:t>
      </w:r>
      <w:r w:rsidR="00C449C8">
        <w:rPr>
          <w:rFonts w:ascii="Times New Roman" w:hAnsi="Times New Roman" w:cs="Times New Roman"/>
          <w:sz w:val="24"/>
          <w:szCs w:val="24"/>
          <w:lang w:val="en-US"/>
        </w:rPr>
        <w:t>(1960/</w:t>
      </w:r>
      <w:r w:rsidRPr="00141344">
        <w:rPr>
          <w:rFonts w:ascii="Times New Roman" w:hAnsi="Times New Roman" w:cs="Times New Roman"/>
          <w:sz w:val="24"/>
          <w:szCs w:val="24"/>
          <w:lang w:val="en-US"/>
        </w:rPr>
        <w:t>2001</w:t>
      </w:r>
      <w:r w:rsidR="00C449C8">
        <w:rPr>
          <w:rFonts w:ascii="Times New Roman" w:hAnsi="Times New Roman" w:cs="Times New Roman"/>
          <w:sz w:val="24"/>
          <w:szCs w:val="24"/>
          <w:lang w:val="en-US"/>
        </w:rPr>
        <w:t>),</w:t>
      </w:r>
      <w:r w:rsidRPr="00141344">
        <w:rPr>
          <w:rFonts w:ascii="Times New Roman" w:hAnsi="Times New Roman" w:cs="Times New Roman"/>
          <w:sz w:val="24"/>
          <w:szCs w:val="24"/>
          <w:lang w:val="en-US"/>
        </w:rPr>
        <w:t xml:space="preserve"> </w:t>
      </w:r>
      <w:r w:rsidRPr="00141344">
        <w:rPr>
          <w:rFonts w:ascii="Times New Roman" w:hAnsi="Times New Roman" w:cs="Times New Roman"/>
          <w:i/>
          <w:iCs/>
          <w:sz w:val="24"/>
          <w:szCs w:val="24"/>
          <w:lang w:val="en-US"/>
        </w:rPr>
        <w:t>Word and Object</w:t>
      </w:r>
      <w:r w:rsidR="00C449C8">
        <w:rPr>
          <w:rFonts w:ascii="Times New Roman" w:hAnsi="Times New Roman" w:cs="Times New Roman"/>
          <w:sz w:val="24"/>
          <w:szCs w:val="24"/>
          <w:lang w:val="en-US"/>
        </w:rPr>
        <w:t>,</w:t>
      </w:r>
      <w:r w:rsidRPr="00141344">
        <w:rPr>
          <w:rFonts w:ascii="Times New Roman" w:hAnsi="Times New Roman" w:cs="Times New Roman"/>
          <w:sz w:val="24"/>
          <w:szCs w:val="24"/>
          <w:lang w:val="en-US"/>
        </w:rPr>
        <w:t xml:space="preserve"> Cambridge </w:t>
      </w:r>
      <w:r w:rsidR="00C449C8">
        <w:rPr>
          <w:rFonts w:ascii="Times New Roman" w:hAnsi="Times New Roman" w:cs="Times New Roman"/>
          <w:sz w:val="24"/>
          <w:szCs w:val="24"/>
          <w:lang w:val="en-US"/>
        </w:rPr>
        <w:t xml:space="preserve">MA.: </w:t>
      </w:r>
      <w:r w:rsidRPr="00141344">
        <w:rPr>
          <w:rFonts w:ascii="Times New Roman" w:hAnsi="Times New Roman" w:cs="Times New Roman"/>
          <w:sz w:val="24"/>
          <w:szCs w:val="24"/>
          <w:lang w:val="en-US"/>
        </w:rPr>
        <w:t>MIT Press.</w:t>
      </w:r>
    </w:p>
    <w:p w14:paraId="657C265C" w14:textId="0F8F57E5" w:rsidR="004C6512" w:rsidRPr="00141344" w:rsidRDefault="00991F61" w:rsidP="00CA35E7">
      <w:pPr>
        <w:spacing w:after="0" w:line="360" w:lineRule="auto"/>
        <w:ind w:left="851" w:hanging="851"/>
        <w:rPr>
          <w:rFonts w:ascii="Times New Roman" w:hAnsi="Times New Roman" w:cs="Times New Roman"/>
          <w:sz w:val="24"/>
          <w:szCs w:val="24"/>
          <w:lang w:val="en-US"/>
        </w:rPr>
      </w:pPr>
      <w:r w:rsidRPr="00141344">
        <w:rPr>
          <w:rFonts w:ascii="Times New Roman" w:hAnsi="Times New Roman" w:cs="Times New Roman"/>
          <w:sz w:val="24"/>
          <w:szCs w:val="24"/>
          <w:lang w:val="en-US"/>
        </w:rPr>
        <w:t xml:space="preserve">Quine, W.V.O. </w:t>
      </w:r>
      <w:r w:rsidR="00C449C8">
        <w:rPr>
          <w:rFonts w:ascii="Times New Roman" w:hAnsi="Times New Roman" w:cs="Times New Roman"/>
          <w:sz w:val="24"/>
          <w:szCs w:val="24"/>
          <w:lang w:val="en-US"/>
        </w:rPr>
        <w:t>(1969),</w:t>
      </w:r>
      <w:r w:rsidRPr="00141344">
        <w:rPr>
          <w:rFonts w:ascii="Times New Roman" w:hAnsi="Times New Roman" w:cs="Times New Roman"/>
          <w:sz w:val="24"/>
          <w:szCs w:val="24"/>
          <w:lang w:val="en-US"/>
        </w:rPr>
        <w:t xml:space="preserve"> </w:t>
      </w:r>
      <w:r w:rsidRPr="00141344">
        <w:rPr>
          <w:rFonts w:ascii="Times New Roman" w:hAnsi="Times New Roman" w:cs="Times New Roman"/>
          <w:i/>
          <w:iCs/>
          <w:sz w:val="24"/>
          <w:szCs w:val="24"/>
          <w:lang w:val="en-US"/>
        </w:rPr>
        <w:t>Ontological Relativity and Other Essays</w:t>
      </w:r>
      <w:r w:rsidR="00C449C8">
        <w:rPr>
          <w:rFonts w:ascii="Times New Roman" w:hAnsi="Times New Roman" w:cs="Times New Roman"/>
          <w:sz w:val="24"/>
          <w:szCs w:val="24"/>
          <w:lang w:val="en-US"/>
        </w:rPr>
        <w:t>,</w:t>
      </w:r>
      <w:r w:rsidRPr="00141344">
        <w:rPr>
          <w:rFonts w:ascii="Times New Roman" w:hAnsi="Times New Roman" w:cs="Times New Roman"/>
          <w:sz w:val="24"/>
          <w:szCs w:val="24"/>
          <w:lang w:val="en-US"/>
        </w:rPr>
        <w:t xml:space="preserve"> New York: Columbia University Press.</w:t>
      </w:r>
    </w:p>
    <w:p w14:paraId="66D88809" w14:textId="796D11A5" w:rsidR="004C6512" w:rsidRPr="00141344" w:rsidRDefault="00C449C8" w:rsidP="00CA35E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Ryle, G.</w:t>
      </w:r>
      <w:r w:rsidR="00991F61" w:rsidRPr="0014134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(1949/</w:t>
      </w:r>
      <w:r w:rsidR="00991F61" w:rsidRPr="00141344">
        <w:rPr>
          <w:rFonts w:ascii="Times New Roman" w:eastAsia="Times New Roman" w:hAnsi="Times New Roman" w:cs="Times New Roman"/>
          <w:sz w:val="24"/>
          <w:szCs w:val="24"/>
          <w:lang w:val="en-US"/>
        </w:rPr>
        <w:t>1990</w:t>
      </w:r>
      <w:r>
        <w:rPr>
          <w:rFonts w:ascii="Times New Roman" w:eastAsia="Times New Roman" w:hAnsi="Times New Roman" w:cs="Times New Roman"/>
          <w:sz w:val="24"/>
          <w:szCs w:val="24"/>
          <w:lang w:val="en-US"/>
        </w:rPr>
        <w:t>),</w:t>
      </w:r>
      <w:r w:rsidR="00991F61" w:rsidRPr="00141344">
        <w:rPr>
          <w:rFonts w:ascii="Times New Roman" w:eastAsia="Times New Roman" w:hAnsi="Times New Roman" w:cs="Times New Roman"/>
          <w:sz w:val="24"/>
          <w:szCs w:val="24"/>
          <w:lang w:val="en-US"/>
        </w:rPr>
        <w:t xml:space="preserve"> </w:t>
      </w:r>
      <w:r w:rsidR="00991F61" w:rsidRPr="00141344">
        <w:rPr>
          <w:rFonts w:ascii="Times New Roman" w:eastAsia="Times New Roman" w:hAnsi="Times New Roman" w:cs="Times New Roman"/>
          <w:i/>
          <w:iCs/>
          <w:sz w:val="24"/>
          <w:szCs w:val="24"/>
          <w:lang w:val="en-US"/>
        </w:rPr>
        <w:t>The Concept of Mind</w:t>
      </w:r>
      <w:r>
        <w:rPr>
          <w:rFonts w:ascii="Times New Roman" w:eastAsia="Times New Roman" w:hAnsi="Times New Roman" w:cs="Times New Roman"/>
          <w:sz w:val="24"/>
          <w:szCs w:val="24"/>
          <w:lang w:val="en-US"/>
        </w:rPr>
        <w:t>, London: Penguin Books.</w:t>
      </w:r>
    </w:p>
    <w:p w14:paraId="1BE7C1B3" w14:textId="6C19E489" w:rsidR="004C6512" w:rsidRPr="00141344" w:rsidRDefault="00991F61" w:rsidP="00CA35E7">
      <w:pPr>
        <w:spacing w:after="0" w:line="360" w:lineRule="auto"/>
        <w:ind w:left="851" w:hanging="851"/>
        <w:rPr>
          <w:rFonts w:ascii="Times New Roman" w:eastAsia="Times New Roman" w:hAnsi="Times New Roman" w:cs="Times New Roman"/>
          <w:sz w:val="24"/>
          <w:szCs w:val="24"/>
          <w:lang w:val="en-US"/>
        </w:rPr>
      </w:pPr>
      <w:r w:rsidRPr="00141344">
        <w:rPr>
          <w:rFonts w:ascii="Times New Roman" w:eastAsia="Times New Roman" w:hAnsi="Times New Roman" w:cs="Times New Roman"/>
          <w:sz w:val="24"/>
          <w:szCs w:val="24"/>
          <w:lang w:val="en-US"/>
        </w:rPr>
        <w:t xml:space="preserve">Roth, P. </w:t>
      </w:r>
      <w:r w:rsidR="00C449C8">
        <w:rPr>
          <w:rFonts w:ascii="Times New Roman" w:eastAsia="Times New Roman" w:hAnsi="Times New Roman" w:cs="Times New Roman"/>
          <w:sz w:val="24"/>
          <w:szCs w:val="24"/>
          <w:lang w:val="en-US"/>
        </w:rPr>
        <w:t>(</w:t>
      </w:r>
      <w:r w:rsidRPr="00141344">
        <w:rPr>
          <w:rFonts w:ascii="Times New Roman" w:eastAsia="Times New Roman" w:hAnsi="Times New Roman" w:cs="Times New Roman"/>
          <w:sz w:val="24"/>
          <w:szCs w:val="24"/>
          <w:lang w:val="en-US"/>
        </w:rPr>
        <w:t>1987</w:t>
      </w:r>
      <w:r w:rsidR="00C449C8">
        <w:rPr>
          <w:rFonts w:ascii="Times New Roman" w:eastAsia="Times New Roman" w:hAnsi="Times New Roman" w:cs="Times New Roman"/>
          <w:sz w:val="24"/>
          <w:szCs w:val="24"/>
          <w:lang w:val="en-US"/>
        </w:rPr>
        <w:t>),</w:t>
      </w:r>
      <w:r w:rsidRPr="00141344">
        <w:rPr>
          <w:rFonts w:ascii="Times New Roman" w:eastAsia="Times New Roman" w:hAnsi="Times New Roman" w:cs="Times New Roman"/>
          <w:sz w:val="24"/>
          <w:szCs w:val="24"/>
          <w:lang w:val="en-US"/>
        </w:rPr>
        <w:t xml:space="preserve"> </w:t>
      </w:r>
      <w:r w:rsidRPr="00141344">
        <w:rPr>
          <w:rFonts w:ascii="Times New Roman" w:eastAsia="Times New Roman" w:hAnsi="Times New Roman" w:cs="Times New Roman"/>
          <w:i/>
          <w:iCs/>
          <w:sz w:val="24"/>
          <w:szCs w:val="24"/>
          <w:lang w:val="en-US"/>
        </w:rPr>
        <w:t>Meaning and Method in the Social Sciences: A Case for Methodological Pluralism</w:t>
      </w:r>
      <w:r w:rsidR="00C449C8">
        <w:rPr>
          <w:rFonts w:ascii="Times New Roman" w:eastAsia="Times New Roman" w:hAnsi="Times New Roman" w:cs="Times New Roman"/>
          <w:sz w:val="24"/>
          <w:szCs w:val="24"/>
          <w:lang w:val="en-US"/>
        </w:rPr>
        <w:t>,</w:t>
      </w:r>
      <w:r w:rsidRPr="00141344">
        <w:rPr>
          <w:rFonts w:ascii="Times New Roman" w:eastAsia="Times New Roman" w:hAnsi="Times New Roman" w:cs="Times New Roman"/>
          <w:sz w:val="24"/>
          <w:szCs w:val="24"/>
          <w:lang w:val="en-US"/>
        </w:rPr>
        <w:t xml:space="preserve"> Ithaca and London: Cornell University Press. </w:t>
      </w:r>
    </w:p>
    <w:p w14:paraId="24FEB03E" w14:textId="337B4DDE" w:rsidR="004C6512" w:rsidRDefault="00991F61" w:rsidP="00CA35E7">
      <w:pPr>
        <w:spacing w:after="0" w:line="360" w:lineRule="auto"/>
        <w:ind w:left="851" w:hanging="851"/>
        <w:rPr>
          <w:rFonts w:ascii="Times New Roman" w:eastAsia="Times New Roman" w:hAnsi="Times New Roman" w:cs="Times New Roman"/>
          <w:sz w:val="24"/>
          <w:szCs w:val="24"/>
          <w:lang w:val="en-US"/>
        </w:rPr>
      </w:pPr>
      <w:r w:rsidRPr="00141344">
        <w:rPr>
          <w:rFonts w:ascii="Times New Roman" w:eastAsia="Times New Roman" w:hAnsi="Times New Roman" w:cs="Times New Roman"/>
          <w:sz w:val="24"/>
          <w:szCs w:val="24"/>
          <w:lang w:val="en-US"/>
        </w:rPr>
        <w:t xml:space="preserve">Roth, P. </w:t>
      </w:r>
      <w:r w:rsidR="00C449C8">
        <w:rPr>
          <w:rFonts w:ascii="Times New Roman" w:eastAsia="Times New Roman" w:hAnsi="Times New Roman" w:cs="Times New Roman"/>
          <w:sz w:val="24"/>
          <w:szCs w:val="24"/>
          <w:lang w:val="en-US"/>
        </w:rPr>
        <w:t>(2003), ‘Mistakes’</w:t>
      </w:r>
      <w:r w:rsidRPr="00141344">
        <w:rPr>
          <w:rFonts w:ascii="Times New Roman" w:eastAsia="Times New Roman" w:hAnsi="Times New Roman" w:cs="Times New Roman"/>
          <w:sz w:val="24"/>
          <w:szCs w:val="24"/>
          <w:lang w:val="en-US"/>
        </w:rPr>
        <w:t xml:space="preserve">, </w:t>
      </w:r>
      <w:proofErr w:type="spellStart"/>
      <w:r w:rsidRPr="00141344">
        <w:rPr>
          <w:rFonts w:ascii="Times New Roman" w:eastAsia="Times New Roman" w:hAnsi="Times New Roman" w:cs="Times New Roman"/>
          <w:i/>
          <w:iCs/>
          <w:sz w:val="24"/>
          <w:szCs w:val="24"/>
          <w:lang w:val="en-US"/>
        </w:rPr>
        <w:t>Synthese</w:t>
      </w:r>
      <w:proofErr w:type="spellEnd"/>
      <w:r w:rsidRPr="00141344">
        <w:rPr>
          <w:rFonts w:ascii="Times New Roman" w:eastAsia="Times New Roman" w:hAnsi="Times New Roman" w:cs="Times New Roman"/>
          <w:i/>
          <w:iCs/>
          <w:sz w:val="24"/>
          <w:szCs w:val="24"/>
          <w:lang w:val="en-US"/>
        </w:rPr>
        <w:t xml:space="preserve"> </w:t>
      </w:r>
      <w:r w:rsidRPr="00C449C8">
        <w:rPr>
          <w:rFonts w:ascii="Times New Roman" w:eastAsia="Times New Roman" w:hAnsi="Times New Roman" w:cs="Times New Roman"/>
          <w:iCs/>
          <w:sz w:val="24"/>
          <w:szCs w:val="24"/>
          <w:lang w:val="en-US"/>
        </w:rPr>
        <w:t>136</w:t>
      </w:r>
      <w:r w:rsidR="00C449C8">
        <w:rPr>
          <w:rFonts w:ascii="Times New Roman" w:eastAsia="Times New Roman" w:hAnsi="Times New Roman" w:cs="Times New Roman"/>
          <w:iCs/>
          <w:sz w:val="24"/>
          <w:szCs w:val="24"/>
          <w:lang w:val="en-US"/>
        </w:rPr>
        <w:t xml:space="preserve"> </w:t>
      </w:r>
      <w:r w:rsidRPr="00141344">
        <w:rPr>
          <w:rFonts w:ascii="Times New Roman" w:eastAsia="Times New Roman" w:hAnsi="Times New Roman" w:cs="Times New Roman"/>
          <w:sz w:val="24"/>
          <w:szCs w:val="24"/>
          <w:lang w:val="en-US"/>
        </w:rPr>
        <w:t>(</w:t>
      </w:r>
      <w:r w:rsidR="00C449C8">
        <w:rPr>
          <w:rFonts w:ascii="Times New Roman" w:eastAsia="Times New Roman" w:hAnsi="Times New Roman" w:cs="Times New Roman"/>
          <w:sz w:val="24"/>
          <w:szCs w:val="24"/>
          <w:lang w:val="en-US"/>
        </w:rPr>
        <w:t>3):</w:t>
      </w:r>
      <w:r w:rsidRPr="00141344">
        <w:rPr>
          <w:rFonts w:ascii="Times New Roman" w:eastAsia="Times New Roman" w:hAnsi="Times New Roman" w:cs="Times New Roman"/>
          <w:sz w:val="24"/>
          <w:szCs w:val="24"/>
          <w:lang w:val="en-US"/>
        </w:rPr>
        <w:t xml:space="preserve"> 389–408.</w:t>
      </w:r>
    </w:p>
    <w:p w14:paraId="4A6C9442" w14:textId="36F82041" w:rsidR="00316BA7" w:rsidRPr="00141344" w:rsidRDefault="00316BA7" w:rsidP="00316BA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Roth, P. ‘The Pasts’, </w:t>
      </w:r>
      <w:r w:rsidRPr="00E430A4">
        <w:rPr>
          <w:rFonts w:ascii="Times New Roman" w:eastAsia="Times New Roman" w:hAnsi="Times New Roman" w:cs="Times New Roman"/>
          <w:i/>
          <w:iCs/>
          <w:sz w:val="24"/>
          <w:szCs w:val="24"/>
          <w:lang w:val="en-US"/>
        </w:rPr>
        <w:t>History and Theory</w:t>
      </w:r>
      <w:r>
        <w:rPr>
          <w:rFonts w:ascii="Times New Roman" w:eastAsia="Times New Roman" w:hAnsi="Times New Roman" w:cs="Times New Roman"/>
          <w:sz w:val="24"/>
          <w:szCs w:val="24"/>
          <w:lang w:val="en-US"/>
        </w:rPr>
        <w:t xml:space="preserve"> 51 (3): 313–39.</w:t>
      </w:r>
    </w:p>
    <w:p w14:paraId="59BC078C" w14:textId="67FA2F48" w:rsidR="004C6512" w:rsidRDefault="00991F61" w:rsidP="00CA35E7">
      <w:pPr>
        <w:spacing w:after="0" w:line="360" w:lineRule="auto"/>
        <w:ind w:left="851" w:hanging="851"/>
        <w:rPr>
          <w:rFonts w:ascii="Times New Roman" w:eastAsia="Times New Roman" w:hAnsi="Times New Roman" w:cs="Times New Roman"/>
          <w:sz w:val="24"/>
          <w:szCs w:val="24"/>
          <w:lang w:val="en-US"/>
        </w:rPr>
      </w:pPr>
      <w:r w:rsidRPr="00141344">
        <w:rPr>
          <w:rFonts w:ascii="Times New Roman" w:eastAsia="Times New Roman" w:hAnsi="Times New Roman" w:cs="Times New Roman"/>
          <w:sz w:val="24"/>
          <w:szCs w:val="24"/>
          <w:lang w:val="en-US"/>
        </w:rPr>
        <w:t xml:space="preserve">Roth, P. </w:t>
      </w:r>
      <w:r w:rsidR="00C449C8">
        <w:rPr>
          <w:rFonts w:ascii="Times New Roman" w:eastAsia="Times New Roman" w:hAnsi="Times New Roman" w:cs="Times New Roman"/>
          <w:sz w:val="24"/>
          <w:szCs w:val="24"/>
          <w:lang w:val="en-US"/>
        </w:rPr>
        <w:t>(2011), ‘</w:t>
      </w:r>
      <w:r w:rsidRPr="00141344">
        <w:rPr>
          <w:rFonts w:ascii="Times New Roman" w:eastAsia="Times New Roman" w:hAnsi="Times New Roman" w:cs="Times New Roman"/>
          <w:sz w:val="24"/>
          <w:szCs w:val="24"/>
          <w:lang w:val="en-US"/>
        </w:rPr>
        <w:t>The philosophy of social s</w:t>
      </w:r>
      <w:r w:rsidR="00C449C8">
        <w:rPr>
          <w:rFonts w:ascii="Times New Roman" w:eastAsia="Times New Roman" w:hAnsi="Times New Roman" w:cs="Times New Roman"/>
          <w:sz w:val="24"/>
          <w:szCs w:val="24"/>
          <w:lang w:val="en-US"/>
        </w:rPr>
        <w:t xml:space="preserve">cience in the twentieth century’, in I.C. </w:t>
      </w:r>
      <w:proofErr w:type="spellStart"/>
      <w:r w:rsidR="00C449C8">
        <w:rPr>
          <w:rFonts w:ascii="Times New Roman" w:eastAsia="Times New Roman" w:hAnsi="Times New Roman" w:cs="Times New Roman"/>
          <w:sz w:val="24"/>
          <w:szCs w:val="24"/>
          <w:lang w:val="en-US"/>
        </w:rPr>
        <w:t>Jarvie</w:t>
      </w:r>
      <w:proofErr w:type="spellEnd"/>
      <w:r w:rsidR="00C449C8">
        <w:rPr>
          <w:rFonts w:ascii="Times New Roman" w:eastAsia="Times New Roman" w:hAnsi="Times New Roman" w:cs="Times New Roman"/>
          <w:sz w:val="24"/>
          <w:szCs w:val="24"/>
          <w:lang w:val="en-US"/>
        </w:rPr>
        <w:t xml:space="preserve"> and J. Zamora-Bonilla (e</w:t>
      </w:r>
      <w:r w:rsidRPr="00141344">
        <w:rPr>
          <w:rFonts w:ascii="Times New Roman" w:eastAsia="Times New Roman" w:hAnsi="Times New Roman" w:cs="Times New Roman"/>
          <w:sz w:val="24"/>
          <w:szCs w:val="24"/>
          <w:lang w:val="en-US"/>
        </w:rPr>
        <w:t xml:space="preserve">ds.), </w:t>
      </w:r>
      <w:r w:rsidRPr="00141344">
        <w:rPr>
          <w:rFonts w:ascii="Times New Roman" w:eastAsia="Times New Roman" w:hAnsi="Times New Roman" w:cs="Times New Roman"/>
          <w:i/>
          <w:iCs/>
          <w:sz w:val="24"/>
          <w:szCs w:val="24"/>
          <w:lang w:val="en-US"/>
        </w:rPr>
        <w:t xml:space="preserve">The SAGE Handbook of the Philosophy of Social Sciences, </w:t>
      </w:r>
      <w:r w:rsidR="00C449C8">
        <w:rPr>
          <w:rFonts w:ascii="Times New Roman" w:eastAsia="Times New Roman" w:hAnsi="Times New Roman" w:cs="Times New Roman"/>
          <w:sz w:val="24"/>
          <w:szCs w:val="24"/>
          <w:lang w:val="en-US"/>
        </w:rPr>
        <w:t>London: SAGE Publications, 103–17.</w:t>
      </w:r>
    </w:p>
    <w:p w14:paraId="03F4DCEA" w14:textId="044918AC" w:rsidR="00316BA7" w:rsidRPr="00141344" w:rsidRDefault="00316BA7" w:rsidP="00CA35E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Roth, P. 2020. </w:t>
      </w:r>
      <w:r w:rsidRPr="00E430A4">
        <w:rPr>
          <w:rFonts w:ascii="Times New Roman" w:eastAsia="Times New Roman" w:hAnsi="Times New Roman" w:cs="Times New Roman"/>
          <w:i/>
          <w:iCs/>
          <w:sz w:val="24"/>
          <w:szCs w:val="24"/>
          <w:lang w:val="en-US"/>
        </w:rPr>
        <w:t>The Philosophical Structure of Historical Explanation</w:t>
      </w:r>
      <w:r>
        <w:rPr>
          <w:rFonts w:ascii="Times New Roman" w:eastAsia="Times New Roman" w:hAnsi="Times New Roman" w:cs="Times New Roman"/>
          <w:sz w:val="24"/>
          <w:szCs w:val="24"/>
          <w:lang w:val="en-US"/>
        </w:rPr>
        <w:t>. Evanston: IL; Northwestern University Press.</w:t>
      </w:r>
    </w:p>
    <w:p w14:paraId="1D7A7B93" w14:textId="5B9F0769" w:rsidR="004C6512" w:rsidRPr="00141344" w:rsidRDefault="00C449C8" w:rsidP="00CA35E7">
      <w:pPr>
        <w:spacing w:after="0" w:line="36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Schumann, G.</w:t>
      </w:r>
      <w:r w:rsidR="00991F61" w:rsidRPr="0014134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991F61" w:rsidRPr="00141344">
        <w:rPr>
          <w:rFonts w:ascii="Times New Roman" w:eastAsia="Times New Roman" w:hAnsi="Times New Roman" w:cs="Times New Roman"/>
          <w:sz w:val="24"/>
          <w:szCs w:val="24"/>
          <w:lang w:val="en-US"/>
        </w:rPr>
        <w:t>2019</w:t>
      </w:r>
      <w:r>
        <w:rPr>
          <w:rFonts w:ascii="Times New Roman" w:eastAsia="Times New Roman" w:hAnsi="Times New Roman" w:cs="Times New Roman"/>
          <w:sz w:val="24"/>
          <w:szCs w:val="24"/>
          <w:lang w:val="en-US"/>
        </w:rPr>
        <w:t>), ‘Introduction’,</w:t>
      </w:r>
      <w:r w:rsidR="00991F61" w:rsidRPr="00141344">
        <w:rPr>
          <w:rFonts w:ascii="Times New Roman" w:eastAsia="Times New Roman" w:hAnsi="Times New Roman" w:cs="Times New Roman"/>
          <w:sz w:val="24"/>
          <w:szCs w:val="24"/>
          <w:lang w:val="en-US"/>
        </w:rPr>
        <w:t xml:space="preserve"> in </w:t>
      </w:r>
      <w:r>
        <w:rPr>
          <w:rFonts w:ascii="Times New Roman" w:eastAsia="Times New Roman" w:hAnsi="Times New Roman" w:cs="Times New Roman"/>
          <w:sz w:val="24"/>
          <w:szCs w:val="24"/>
          <w:lang w:val="en-US"/>
        </w:rPr>
        <w:t>G. Schumann</w:t>
      </w:r>
      <w:r w:rsidR="00991F61" w:rsidRPr="00141344">
        <w:rPr>
          <w:rFonts w:ascii="Times New Roman" w:eastAsia="Times New Roman" w:hAnsi="Times New Roman" w:cs="Times New Roman"/>
          <w:sz w:val="24"/>
          <w:szCs w:val="24"/>
          <w:lang w:val="en-US"/>
        </w:rPr>
        <w:t xml:space="preserve"> (ed.)</w:t>
      </w:r>
      <w:r>
        <w:rPr>
          <w:rFonts w:ascii="Times New Roman" w:eastAsia="Times New Roman" w:hAnsi="Times New Roman" w:cs="Times New Roman"/>
          <w:sz w:val="24"/>
          <w:szCs w:val="24"/>
          <w:lang w:val="en-US"/>
        </w:rPr>
        <w:t xml:space="preserve">, </w:t>
      </w:r>
      <w:r w:rsidR="00991F61" w:rsidRPr="00C449C8">
        <w:rPr>
          <w:rFonts w:ascii="Times New Roman" w:eastAsia="Times New Roman" w:hAnsi="Times New Roman" w:cs="Times New Roman"/>
          <w:i/>
          <w:sz w:val="24"/>
          <w:szCs w:val="24"/>
          <w:lang w:val="en-US"/>
        </w:rPr>
        <w:t>Explanation in Action Theory and Historiography</w:t>
      </w:r>
      <w:r>
        <w:rPr>
          <w:rFonts w:ascii="Times New Roman" w:eastAsia="Times New Roman" w:hAnsi="Times New Roman" w:cs="Times New Roman"/>
          <w:sz w:val="24"/>
          <w:szCs w:val="24"/>
          <w:lang w:val="en-US"/>
        </w:rPr>
        <w:t xml:space="preserve">, New York and London: Routledge, </w:t>
      </w:r>
      <w:r w:rsidRPr="00C449C8">
        <w:rPr>
          <w:rFonts w:ascii="Times New Roman" w:eastAsia="Times New Roman" w:hAnsi="Times New Roman" w:cs="Times New Roman"/>
          <w:sz w:val="24"/>
          <w:szCs w:val="24"/>
          <w:highlight w:val="yellow"/>
          <w:lang w:val="en-US"/>
        </w:rPr>
        <w:t>PAGE</w:t>
      </w:r>
      <w:r w:rsidR="00A23936">
        <w:rPr>
          <w:rFonts w:ascii="Times New Roman" w:eastAsia="Times New Roman" w:hAnsi="Times New Roman" w:cs="Times New Roman"/>
          <w:sz w:val="24"/>
          <w:szCs w:val="24"/>
          <w:lang w:val="en-US"/>
        </w:rPr>
        <w:t xml:space="preserve"> 1-42.</w:t>
      </w:r>
    </w:p>
    <w:p w14:paraId="7EE37796" w14:textId="4549C65F" w:rsidR="004C6512" w:rsidRPr="00141344" w:rsidRDefault="00991F61" w:rsidP="00CA35E7">
      <w:pPr>
        <w:spacing w:after="0" w:line="360" w:lineRule="auto"/>
        <w:ind w:left="851" w:hanging="851"/>
        <w:rPr>
          <w:rFonts w:ascii="Times New Roman" w:eastAsia="Times New Roman" w:hAnsi="Times New Roman" w:cs="Times New Roman"/>
          <w:sz w:val="24"/>
          <w:szCs w:val="24"/>
          <w:lang w:val="en-US"/>
        </w:rPr>
      </w:pPr>
      <w:proofErr w:type="spellStart"/>
      <w:r w:rsidRPr="00141344">
        <w:rPr>
          <w:rFonts w:ascii="Times New Roman" w:eastAsia="Times New Roman" w:hAnsi="Times New Roman" w:cs="Times New Roman"/>
          <w:sz w:val="24"/>
          <w:szCs w:val="24"/>
          <w:lang w:val="en-US"/>
        </w:rPr>
        <w:t>Stenlund</w:t>
      </w:r>
      <w:proofErr w:type="spellEnd"/>
      <w:r w:rsidRPr="00141344">
        <w:rPr>
          <w:rFonts w:ascii="Times New Roman" w:eastAsia="Times New Roman" w:hAnsi="Times New Roman" w:cs="Times New Roman"/>
          <w:sz w:val="24"/>
          <w:szCs w:val="24"/>
          <w:lang w:val="en-US"/>
        </w:rPr>
        <w:t xml:space="preserve">, S. </w:t>
      </w:r>
      <w:r w:rsidR="00C449C8">
        <w:rPr>
          <w:rFonts w:ascii="Times New Roman" w:eastAsia="Times New Roman" w:hAnsi="Times New Roman" w:cs="Times New Roman"/>
          <w:sz w:val="24"/>
          <w:szCs w:val="24"/>
          <w:lang w:val="en-US"/>
        </w:rPr>
        <w:t xml:space="preserve">(1990), </w:t>
      </w:r>
      <w:r w:rsidRPr="00141344">
        <w:rPr>
          <w:rFonts w:ascii="Times New Roman" w:eastAsia="Times New Roman" w:hAnsi="Times New Roman" w:cs="Times New Roman"/>
          <w:i/>
          <w:iCs/>
          <w:sz w:val="24"/>
          <w:szCs w:val="24"/>
          <w:lang w:val="en-US"/>
        </w:rPr>
        <w:t>Language and Philosophical Problems</w:t>
      </w:r>
      <w:r w:rsidR="00C449C8">
        <w:rPr>
          <w:rFonts w:ascii="Times New Roman" w:eastAsia="Times New Roman" w:hAnsi="Times New Roman" w:cs="Times New Roman"/>
          <w:sz w:val="24"/>
          <w:szCs w:val="24"/>
          <w:lang w:val="en-US"/>
        </w:rPr>
        <w:t>,</w:t>
      </w:r>
      <w:r w:rsidRPr="00141344">
        <w:rPr>
          <w:rFonts w:ascii="Times New Roman" w:eastAsia="Times New Roman" w:hAnsi="Times New Roman" w:cs="Times New Roman"/>
          <w:sz w:val="24"/>
          <w:szCs w:val="24"/>
          <w:lang w:val="en-US"/>
        </w:rPr>
        <w:t xml:space="preserve"> London: Routledge.</w:t>
      </w:r>
    </w:p>
    <w:p w14:paraId="776FB6BE" w14:textId="4A9A2B51" w:rsidR="004C6512" w:rsidRPr="00141344" w:rsidRDefault="00991F61" w:rsidP="00CA35E7">
      <w:pPr>
        <w:spacing w:after="0" w:line="360" w:lineRule="auto"/>
        <w:ind w:left="851" w:hanging="851"/>
        <w:rPr>
          <w:rFonts w:ascii="Times New Roman" w:hAnsi="Times New Roman" w:cs="Times New Roman"/>
          <w:color w:val="000000" w:themeColor="text1"/>
          <w:sz w:val="24"/>
          <w:szCs w:val="24"/>
          <w:lang w:val="en-US"/>
        </w:rPr>
      </w:pPr>
      <w:proofErr w:type="spellStart"/>
      <w:r w:rsidRPr="00141344">
        <w:rPr>
          <w:rFonts w:ascii="Times New Roman" w:hAnsi="Times New Roman" w:cs="Times New Roman"/>
          <w:color w:val="000000" w:themeColor="text1"/>
          <w:sz w:val="24"/>
          <w:szCs w:val="24"/>
          <w:lang w:val="en-US"/>
        </w:rPr>
        <w:t>Theunissen</w:t>
      </w:r>
      <w:proofErr w:type="spellEnd"/>
      <w:r w:rsidRPr="00141344">
        <w:rPr>
          <w:rFonts w:ascii="Times New Roman" w:hAnsi="Times New Roman" w:cs="Times New Roman"/>
          <w:color w:val="000000" w:themeColor="text1"/>
          <w:sz w:val="24"/>
          <w:szCs w:val="24"/>
          <w:lang w:val="en-US"/>
        </w:rPr>
        <w:t xml:space="preserve">, M. </w:t>
      </w:r>
      <w:r w:rsidR="00C449C8">
        <w:rPr>
          <w:rFonts w:ascii="Times New Roman" w:hAnsi="Times New Roman" w:cs="Times New Roman"/>
          <w:color w:val="000000" w:themeColor="text1"/>
          <w:sz w:val="24"/>
          <w:szCs w:val="24"/>
          <w:lang w:val="en-US"/>
        </w:rPr>
        <w:t>(2020) ‘”</w:t>
      </w:r>
      <w:r w:rsidRPr="00141344">
        <w:rPr>
          <w:rFonts w:ascii="Times New Roman" w:hAnsi="Times New Roman" w:cs="Times New Roman"/>
          <w:color w:val="000000" w:themeColor="text1"/>
          <w:sz w:val="24"/>
          <w:szCs w:val="24"/>
          <w:lang w:val="en-US"/>
        </w:rPr>
        <w:t>Don’t Mention the Idea of a Social Sc</w:t>
      </w:r>
      <w:r w:rsidR="00C449C8">
        <w:rPr>
          <w:rFonts w:ascii="Times New Roman" w:hAnsi="Times New Roman" w:cs="Times New Roman"/>
          <w:color w:val="000000" w:themeColor="text1"/>
          <w:sz w:val="24"/>
          <w:szCs w:val="24"/>
          <w:lang w:val="en-US"/>
        </w:rPr>
        <w:t>ience”: The Legacy of An Idea’, in M. Campbell and L. Reid (eds.),</w:t>
      </w:r>
      <w:r w:rsidRPr="00141344">
        <w:rPr>
          <w:rFonts w:ascii="Times New Roman" w:hAnsi="Times New Roman" w:cs="Times New Roman"/>
          <w:color w:val="000000" w:themeColor="text1"/>
          <w:sz w:val="24"/>
          <w:szCs w:val="24"/>
          <w:lang w:val="en-US"/>
        </w:rPr>
        <w:t xml:space="preserve"> </w:t>
      </w:r>
      <w:r w:rsidRPr="00141344">
        <w:rPr>
          <w:rFonts w:ascii="Times New Roman" w:hAnsi="Times New Roman" w:cs="Times New Roman"/>
          <w:i/>
          <w:iCs/>
          <w:color w:val="000000" w:themeColor="text1"/>
          <w:sz w:val="24"/>
          <w:szCs w:val="24"/>
          <w:lang w:val="en-US"/>
        </w:rPr>
        <w:t>Ethics, Society and Politics: Themes from the Philosophy of Peter Winch</w:t>
      </w:r>
      <w:r w:rsidR="00C449C8">
        <w:rPr>
          <w:rFonts w:ascii="Times New Roman" w:hAnsi="Times New Roman" w:cs="Times New Roman"/>
          <w:color w:val="000000" w:themeColor="text1"/>
          <w:sz w:val="24"/>
          <w:szCs w:val="24"/>
          <w:lang w:val="en-US"/>
        </w:rPr>
        <w:t xml:space="preserve">, </w:t>
      </w:r>
      <w:r w:rsidRPr="00141344">
        <w:rPr>
          <w:rFonts w:ascii="Times New Roman" w:hAnsi="Times New Roman" w:cs="Times New Roman"/>
          <w:color w:val="000000" w:themeColor="text1"/>
          <w:sz w:val="24"/>
          <w:szCs w:val="24"/>
          <w:lang w:val="en-US"/>
        </w:rPr>
        <w:t>Cham: Springer.</w:t>
      </w:r>
      <w:r w:rsidR="00C449C8" w:rsidRPr="00C449C8">
        <w:rPr>
          <w:rFonts w:ascii="Times New Roman" w:hAnsi="Times New Roman" w:cs="Times New Roman"/>
          <w:color w:val="000000" w:themeColor="text1"/>
          <w:sz w:val="24"/>
          <w:szCs w:val="24"/>
          <w:lang w:val="en-US"/>
        </w:rPr>
        <w:t xml:space="preserve"> </w:t>
      </w:r>
      <w:r w:rsidR="00C449C8" w:rsidRPr="00141344">
        <w:rPr>
          <w:rFonts w:ascii="Times New Roman" w:hAnsi="Times New Roman" w:cs="Times New Roman"/>
          <w:color w:val="000000" w:themeColor="text1"/>
          <w:sz w:val="24"/>
          <w:szCs w:val="24"/>
          <w:lang w:val="en-US"/>
        </w:rPr>
        <w:t>251–71</w:t>
      </w:r>
      <w:r w:rsidR="00C449C8">
        <w:rPr>
          <w:rFonts w:ascii="Times New Roman" w:hAnsi="Times New Roman" w:cs="Times New Roman"/>
          <w:color w:val="000000" w:themeColor="text1"/>
          <w:sz w:val="24"/>
          <w:szCs w:val="24"/>
          <w:lang w:val="en-US"/>
        </w:rPr>
        <w:t>.</w:t>
      </w:r>
    </w:p>
    <w:p w14:paraId="13C27D9A" w14:textId="0B207F27" w:rsidR="004C6512" w:rsidRPr="00141344" w:rsidRDefault="00C449C8" w:rsidP="00CA35E7">
      <w:pPr>
        <w:spacing w:after="0" w:line="360" w:lineRule="auto"/>
        <w:ind w:left="851" w:hanging="85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Turner, S.</w:t>
      </w:r>
      <w:r w:rsidR="00991F61" w:rsidRPr="00141344">
        <w:rPr>
          <w:rFonts w:ascii="Times New Roman" w:hAnsi="Times New Roman" w:cs="Times New Roman"/>
          <w:color w:val="000000" w:themeColor="text1"/>
          <w:sz w:val="24"/>
          <w:szCs w:val="24"/>
          <w:lang w:val="en-US"/>
        </w:rPr>
        <w:t xml:space="preserve">P. </w:t>
      </w:r>
      <w:r>
        <w:rPr>
          <w:rFonts w:ascii="Times New Roman" w:hAnsi="Times New Roman" w:cs="Times New Roman"/>
          <w:color w:val="000000" w:themeColor="text1"/>
          <w:sz w:val="24"/>
          <w:szCs w:val="24"/>
          <w:lang w:val="en-US"/>
        </w:rPr>
        <w:t>(1994),</w:t>
      </w:r>
      <w:r w:rsidR="00991F61" w:rsidRPr="00141344">
        <w:rPr>
          <w:rFonts w:ascii="Times New Roman" w:hAnsi="Times New Roman" w:cs="Times New Roman"/>
          <w:color w:val="000000" w:themeColor="text1"/>
          <w:sz w:val="24"/>
          <w:szCs w:val="24"/>
          <w:lang w:val="en-US"/>
        </w:rPr>
        <w:t xml:space="preserve"> </w:t>
      </w:r>
      <w:r w:rsidR="00991F61" w:rsidRPr="00141344">
        <w:rPr>
          <w:rFonts w:ascii="Times New Roman" w:hAnsi="Times New Roman" w:cs="Times New Roman"/>
          <w:i/>
          <w:iCs/>
          <w:color w:val="000000" w:themeColor="text1"/>
          <w:sz w:val="24"/>
          <w:szCs w:val="24"/>
          <w:lang w:val="en-US"/>
        </w:rPr>
        <w:t>The Social Theory of Practices: Tradition, Tacit Knowledge, and Presuppositions</w:t>
      </w:r>
      <w:r>
        <w:rPr>
          <w:rFonts w:ascii="Times New Roman" w:hAnsi="Times New Roman" w:cs="Times New Roman"/>
          <w:color w:val="000000" w:themeColor="text1"/>
          <w:sz w:val="24"/>
          <w:szCs w:val="24"/>
          <w:lang w:val="en-US"/>
        </w:rPr>
        <w:t>,</w:t>
      </w:r>
      <w:r w:rsidR="00991F61" w:rsidRPr="00141344">
        <w:rPr>
          <w:rFonts w:ascii="Times New Roman" w:hAnsi="Times New Roman" w:cs="Times New Roman"/>
          <w:color w:val="000000" w:themeColor="text1"/>
          <w:sz w:val="24"/>
          <w:szCs w:val="24"/>
          <w:lang w:val="en-US"/>
        </w:rPr>
        <w:t xml:space="preserve"> Chicago: Chicago University Press.</w:t>
      </w:r>
    </w:p>
    <w:p w14:paraId="27594A0C" w14:textId="60CEF9B2" w:rsidR="004C6512" w:rsidRPr="00141344" w:rsidRDefault="00C449C8" w:rsidP="00CA35E7">
      <w:pPr>
        <w:spacing w:after="0" w:line="360" w:lineRule="auto"/>
        <w:ind w:left="851" w:hanging="85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Turner, S.P., and P. Roth</w:t>
      </w:r>
      <w:r w:rsidR="00991F61" w:rsidRPr="0014134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00991F61" w:rsidRPr="00141344">
        <w:rPr>
          <w:rFonts w:ascii="Times New Roman" w:hAnsi="Times New Roman" w:cs="Times New Roman"/>
          <w:color w:val="000000" w:themeColor="text1"/>
          <w:sz w:val="24"/>
          <w:szCs w:val="24"/>
          <w:lang w:val="en-US"/>
        </w:rPr>
        <w:t>2003</w:t>
      </w:r>
      <w:r>
        <w:rPr>
          <w:rFonts w:ascii="Times New Roman" w:hAnsi="Times New Roman" w:cs="Times New Roman"/>
          <w:color w:val="000000" w:themeColor="text1"/>
          <w:sz w:val="24"/>
          <w:szCs w:val="24"/>
          <w:lang w:val="en-US"/>
        </w:rPr>
        <w:t>),</w:t>
      </w:r>
      <w:r w:rsidR="00991F61" w:rsidRPr="0014134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00991F61" w:rsidRPr="00141344">
        <w:rPr>
          <w:rFonts w:ascii="Times New Roman" w:hAnsi="Times New Roman" w:cs="Times New Roman"/>
          <w:color w:val="000000" w:themeColor="text1"/>
          <w:sz w:val="24"/>
          <w:szCs w:val="24"/>
          <w:lang w:val="en-US"/>
        </w:rPr>
        <w:t>Introduction. Ghost and the machine: Issues of agency, rationality and scientific methodology in contempora</w:t>
      </w:r>
      <w:r>
        <w:rPr>
          <w:rFonts w:ascii="Times New Roman" w:hAnsi="Times New Roman" w:cs="Times New Roman"/>
          <w:color w:val="000000" w:themeColor="text1"/>
          <w:sz w:val="24"/>
          <w:szCs w:val="24"/>
          <w:lang w:val="en-US"/>
        </w:rPr>
        <w:t>ry philosophy of social science’, i</w:t>
      </w:r>
      <w:r w:rsidR="00991F61" w:rsidRPr="00141344">
        <w:rPr>
          <w:rFonts w:ascii="Times New Roman" w:hAnsi="Times New Roman" w:cs="Times New Roman"/>
          <w:color w:val="000000" w:themeColor="text1"/>
          <w:sz w:val="24"/>
          <w:szCs w:val="24"/>
          <w:lang w:val="en-US"/>
        </w:rPr>
        <w:t>n S</w:t>
      </w:r>
      <w:r>
        <w:rPr>
          <w:rFonts w:ascii="Times New Roman" w:hAnsi="Times New Roman" w:cs="Times New Roman"/>
          <w:color w:val="000000" w:themeColor="text1"/>
          <w:sz w:val="24"/>
          <w:szCs w:val="24"/>
          <w:lang w:val="en-US"/>
        </w:rPr>
        <w:t>.P. Turner and P. Roth (e</w:t>
      </w:r>
      <w:r w:rsidR="00991F61" w:rsidRPr="00141344">
        <w:rPr>
          <w:rFonts w:ascii="Times New Roman" w:hAnsi="Times New Roman" w:cs="Times New Roman"/>
          <w:color w:val="000000" w:themeColor="text1"/>
          <w:sz w:val="24"/>
          <w:szCs w:val="24"/>
          <w:lang w:val="en-US"/>
        </w:rPr>
        <w:t xml:space="preserve">ds.), </w:t>
      </w:r>
      <w:r w:rsidR="00991F61" w:rsidRPr="00141344">
        <w:rPr>
          <w:rFonts w:ascii="Times New Roman" w:hAnsi="Times New Roman" w:cs="Times New Roman"/>
          <w:i/>
          <w:iCs/>
          <w:color w:val="000000" w:themeColor="text1"/>
          <w:sz w:val="24"/>
          <w:szCs w:val="24"/>
          <w:lang w:val="en-US"/>
        </w:rPr>
        <w:t xml:space="preserve">The Blackwell Guide to the Philosophy of the Social </w:t>
      </w:r>
      <w:r w:rsidR="00991F61" w:rsidRPr="00C449C8">
        <w:rPr>
          <w:rFonts w:ascii="Times New Roman" w:hAnsi="Times New Roman" w:cs="Times New Roman"/>
          <w:i/>
          <w:iCs/>
          <w:color w:val="000000" w:themeColor="text1"/>
          <w:sz w:val="24"/>
          <w:szCs w:val="24"/>
          <w:lang w:val="en-US"/>
        </w:rPr>
        <w:t>Sciences</w:t>
      </w:r>
      <w:r>
        <w:rPr>
          <w:rFonts w:ascii="Times New Roman" w:hAnsi="Times New Roman" w:cs="Times New Roman"/>
          <w:iCs/>
          <w:color w:val="000000" w:themeColor="text1"/>
          <w:sz w:val="24"/>
          <w:szCs w:val="24"/>
          <w:lang w:val="en-US"/>
        </w:rPr>
        <w:t xml:space="preserve">, </w:t>
      </w:r>
      <w:r w:rsidRPr="00C449C8">
        <w:rPr>
          <w:rFonts w:ascii="Times New Roman" w:hAnsi="Times New Roman" w:cs="Times New Roman"/>
          <w:color w:val="000000" w:themeColor="text1"/>
          <w:sz w:val="24"/>
          <w:szCs w:val="24"/>
          <w:lang w:val="en-US"/>
        </w:rPr>
        <w:t>Oxford</w:t>
      </w:r>
      <w:r>
        <w:rPr>
          <w:rFonts w:ascii="Times New Roman" w:hAnsi="Times New Roman" w:cs="Times New Roman"/>
          <w:color w:val="000000" w:themeColor="text1"/>
          <w:sz w:val="24"/>
          <w:szCs w:val="24"/>
          <w:lang w:val="en-US"/>
        </w:rPr>
        <w:t>: Blackwell, 1–17.</w:t>
      </w:r>
    </w:p>
    <w:p w14:paraId="277A84AE" w14:textId="40A279D8" w:rsidR="004C6512" w:rsidRPr="00141344" w:rsidRDefault="00991F61" w:rsidP="00CA35E7">
      <w:pPr>
        <w:spacing w:after="0" w:line="360" w:lineRule="auto"/>
        <w:ind w:left="851" w:hanging="851"/>
        <w:rPr>
          <w:rFonts w:ascii="Times New Roman" w:hAnsi="Times New Roman" w:cs="Times New Roman"/>
          <w:color w:val="000000" w:themeColor="text1"/>
          <w:sz w:val="24"/>
          <w:szCs w:val="24"/>
          <w:lang w:val="en-US"/>
        </w:rPr>
      </w:pPr>
      <w:r w:rsidRPr="00141344">
        <w:rPr>
          <w:rFonts w:ascii="Times New Roman" w:hAnsi="Times New Roman" w:cs="Times New Roman"/>
          <w:color w:val="000000" w:themeColor="text1"/>
          <w:sz w:val="24"/>
          <w:szCs w:val="24"/>
          <w:lang w:val="en-US"/>
        </w:rPr>
        <w:t xml:space="preserve">Winch, P. </w:t>
      </w:r>
      <w:r w:rsidR="00C449C8">
        <w:rPr>
          <w:rFonts w:ascii="Times New Roman" w:hAnsi="Times New Roman" w:cs="Times New Roman"/>
          <w:color w:val="000000" w:themeColor="text1"/>
          <w:sz w:val="24"/>
          <w:szCs w:val="24"/>
          <w:lang w:val="en-US"/>
        </w:rPr>
        <w:t>(1958/1990),</w:t>
      </w:r>
      <w:r w:rsidRPr="00141344">
        <w:rPr>
          <w:rFonts w:ascii="Times New Roman" w:hAnsi="Times New Roman" w:cs="Times New Roman"/>
          <w:color w:val="000000" w:themeColor="text1"/>
          <w:sz w:val="24"/>
          <w:szCs w:val="24"/>
          <w:lang w:val="en-US"/>
        </w:rPr>
        <w:t xml:space="preserve"> </w:t>
      </w:r>
      <w:r w:rsidRPr="00141344">
        <w:rPr>
          <w:rFonts w:ascii="Times New Roman" w:hAnsi="Times New Roman" w:cs="Times New Roman"/>
          <w:i/>
          <w:iCs/>
          <w:color w:val="000000" w:themeColor="text1"/>
          <w:sz w:val="24"/>
          <w:szCs w:val="24"/>
          <w:lang w:val="en-US"/>
        </w:rPr>
        <w:t>The Idea of a Social Science</w:t>
      </w:r>
      <w:r w:rsidR="00C449C8">
        <w:rPr>
          <w:rFonts w:ascii="Times New Roman" w:hAnsi="Times New Roman" w:cs="Times New Roman"/>
          <w:i/>
          <w:iCs/>
          <w:color w:val="000000" w:themeColor="text1"/>
          <w:sz w:val="24"/>
          <w:szCs w:val="24"/>
          <w:lang w:val="en-US"/>
        </w:rPr>
        <w:t xml:space="preserve"> and Its Relation to Philosophy</w:t>
      </w:r>
      <w:r w:rsidR="00C449C8">
        <w:rPr>
          <w:rFonts w:ascii="Times New Roman" w:hAnsi="Times New Roman" w:cs="Times New Roman"/>
          <w:iCs/>
          <w:color w:val="000000" w:themeColor="text1"/>
          <w:sz w:val="24"/>
          <w:szCs w:val="24"/>
          <w:lang w:val="en-US"/>
        </w:rPr>
        <w:t>,</w:t>
      </w:r>
      <w:r w:rsidRPr="00141344">
        <w:rPr>
          <w:rFonts w:ascii="Times New Roman" w:hAnsi="Times New Roman" w:cs="Times New Roman"/>
          <w:i/>
          <w:iCs/>
          <w:color w:val="000000" w:themeColor="text1"/>
          <w:sz w:val="24"/>
          <w:szCs w:val="24"/>
          <w:lang w:val="en-US"/>
        </w:rPr>
        <w:t xml:space="preserve"> </w:t>
      </w:r>
      <w:r w:rsidRPr="00141344">
        <w:rPr>
          <w:rFonts w:ascii="Times New Roman" w:hAnsi="Times New Roman" w:cs="Times New Roman"/>
          <w:color w:val="000000" w:themeColor="text1"/>
          <w:sz w:val="24"/>
          <w:szCs w:val="24"/>
          <w:lang w:val="en-US"/>
        </w:rPr>
        <w:t xml:space="preserve">2nd </w:t>
      </w:r>
      <w:proofErr w:type="spellStart"/>
      <w:r w:rsidRPr="00141344">
        <w:rPr>
          <w:rFonts w:ascii="Times New Roman" w:hAnsi="Times New Roman" w:cs="Times New Roman"/>
          <w:color w:val="000000" w:themeColor="text1"/>
          <w:sz w:val="24"/>
          <w:szCs w:val="24"/>
          <w:lang w:val="en-US"/>
        </w:rPr>
        <w:t>ed</w:t>
      </w:r>
      <w:r w:rsidR="00C449C8">
        <w:rPr>
          <w:rFonts w:ascii="Times New Roman" w:hAnsi="Times New Roman" w:cs="Times New Roman"/>
          <w:color w:val="000000" w:themeColor="text1"/>
          <w:sz w:val="24"/>
          <w:szCs w:val="24"/>
          <w:lang w:val="en-US"/>
        </w:rPr>
        <w:t>n</w:t>
      </w:r>
      <w:proofErr w:type="spellEnd"/>
      <w:r w:rsidRPr="00141344">
        <w:rPr>
          <w:rFonts w:ascii="Times New Roman" w:hAnsi="Times New Roman" w:cs="Times New Roman"/>
          <w:color w:val="000000" w:themeColor="text1"/>
          <w:sz w:val="24"/>
          <w:szCs w:val="24"/>
          <w:lang w:val="en-US"/>
        </w:rPr>
        <w:t>. London: Routledge.</w:t>
      </w:r>
    </w:p>
    <w:p w14:paraId="63A45734" w14:textId="77777777" w:rsidR="004C6512" w:rsidRPr="00141344" w:rsidRDefault="004C6512" w:rsidP="00CA35E7">
      <w:pPr>
        <w:spacing w:after="0" w:line="360" w:lineRule="auto"/>
        <w:rPr>
          <w:rFonts w:ascii="Times New Roman" w:hAnsi="Times New Roman" w:cs="Times New Roman"/>
          <w:sz w:val="24"/>
          <w:szCs w:val="24"/>
          <w:lang w:val="en-US"/>
        </w:rPr>
      </w:pPr>
    </w:p>
    <w:sectPr w:rsidR="004C6512" w:rsidRPr="00141344" w:rsidSect="0014134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iuseppina D'Oro" w:date="2021-01-16T12:13:00Z" w:initials="GD">
    <w:p w14:paraId="0E27B0CC" w14:textId="23E0BE56" w:rsidR="00310271" w:rsidRDefault="00310271">
      <w:pPr>
        <w:pStyle w:val="CommentText"/>
      </w:pPr>
      <w:r>
        <w:rPr>
          <w:rStyle w:val="CommentReference"/>
        </w:rPr>
        <w:annotationRef/>
      </w:r>
      <w:r>
        <w:t>check</w:t>
      </w:r>
    </w:p>
  </w:comment>
  <w:comment w:id="2" w:author="Giuseppina D'Oro" w:date="2021-01-10T15:53:00Z" w:initials="GD">
    <w:p w14:paraId="517C010E" w14:textId="6FCBEFF0" w:rsidR="00966E52" w:rsidRDefault="00966E52">
      <w:pPr>
        <w:pStyle w:val="CommentText"/>
      </w:pPr>
      <w:r>
        <w:rPr>
          <w:rStyle w:val="CommentReference"/>
        </w:rPr>
        <w:annotationRef/>
      </w:r>
      <w:r w:rsidRPr="00743CA2">
        <w:rPr>
          <w:rFonts w:ascii="Times New Roman" w:hAnsi="Times New Roman" w:cs="Times New Roman"/>
          <w:color w:val="FF0000"/>
          <w:sz w:val="24"/>
          <w:szCs w:val="24"/>
          <w:lang w:val="en-US"/>
        </w:rPr>
        <w:t>(</w:t>
      </w:r>
      <w:r w:rsidRPr="00743CA2">
        <w:rPr>
          <w:rFonts w:ascii="Times New Roman" w:hAnsi="Times New Roman" w:cs="Times New Roman"/>
          <w:color w:val="FF0000"/>
          <w:sz w:val="24"/>
          <w:szCs w:val="24"/>
        </w:rPr>
        <w:t xml:space="preserve">Narrative explanations might warrant some consideration here(?) </w:t>
      </w:r>
      <w:r w:rsidRPr="00743CA2">
        <w:rPr>
          <w:rFonts w:ascii="Times New Roman" w:hAnsi="Times New Roman" w:cs="Times New Roman"/>
          <w:color w:val="FF0000"/>
          <w:sz w:val="24"/>
          <w:szCs w:val="24"/>
        </w:rPr>
        <w:t>Megill’s “Historical Knowledge, Historical Error” turns the tables on Hempelian general-law-accounts by transforming inductive explanations into narratives – much the same way as Hempel tries to transform historical explanations into inductive ones. My point is not that it’s the correct way to proceed, merely that it might be a different way of showing why this kind of a naturalist attack is wrong-headed.)</w:t>
      </w:r>
    </w:p>
  </w:comment>
  <w:comment w:id="3" w:author="Giuseppina D'Oro" w:date="2021-01-10T15:53:00Z" w:initials="GD">
    <w:p w14:paraId="7DC0B1F6" w14:textId="2B960060" w:rsidR="00966E52" w:rsidRDefault="00966E52">
      <w:pPr>
        <w:pStyle w:val="CommentText"/>
      </w:pPr>
      <w:r>
        <w:rPr>
          <w:rStyle w:val="CommentReference"/>
        </w:rPr>
        <w:annotationRef/>
      </w:r>
      <w:r>
        <w:t>Ah, there is a long story to tell about this. I have left it. Also did not want to insert yet another reference to my work. So I have not addressed this although footnote 2 says a</w:t>
      </w:r>
      <w:r w:rsidR="00A90864">
        <w:t xml:space="preserve"> tiny</w:t>
      </w:r>
      <w:r>
        <w:t xml:space="preserve"> little something about C’s view of </w:t>
      </w:r>
      <w:r>
        <w:t>narrativism</w:t>
      </w:r>
    </w:p>
  </w:comment>
  <w:comment w:id="4" w:author="Giuseppina D'Oro" w:date="2021-01-10T15:57:00Z" w:initials="GD">
    <w:p w14:paraId="1CBB3271" w14:textId="6BE667F0" w:rsidR="005C427C" w:rsidRDefault="005C427C">
      <w:pPr>
        <w:pStyle w:val="CommentText"/>
      </w:pPr>
      <w:r>
        <w:rPr>
          <w:rStyle w:val="CommentReference"/>
        </w:rPr>
        <w:annotationRef/>
      </w:r>
      <w:r w:rsidRPr="00101BA5">
        <w:rPr>
          <w:rFonts w:ascii="Times New Roman" w:hAnsi="Times New Roman" w:cs="Times New Roman"/>
          <w:color w:val="FF0000"/>
          <w:sz w:val="24"/>
          <w:szCs w:val="24"/>
          <w:lang w:val="en-US"/>
        </w:rPr>
        <w:t xml:space="preserve">(cannot one raise the issue of circularity here, namely actions and events are utilized in different explanations, but we </w:t>
      </w:r>
      <w:r w:rsidRPr="00101BA5">
        <w:rPr>
          <w:rFonts w:ascii="Times New Roman" w:hAnsi="Times New Roman" w:cs="Times New Roman"/>
          <w:color w:val="FF0000"/>
          <w:sz w:val="24"/>
          <w:szCs w:val="24"/>
          <w:lang w:val="en-US"/>
        </w:rPr>
        <w:t>distinghuis between different types of explanations on the base of that category of worldly issues are utilized in them, i.e. events or actions?)</w:t>
      </w:r>
    </w:p>
  </w:comment>
  <w:comment w:id="5" w:author="Giuseppina D'Oro" w:date="2021-01-10T15:57:00Z" w:initials="GD">
    <w:p w14:paraId="012E4938" w14:textId="31D03D8D" w:rsidR="005C427C" w:rsidRDefault="005C427C">
      <w:pPr>
        <w:pStyle w:val="CommentText"/>
      </w:pPr>
      <w:r>
        <w:rPr>
          <w:rStyle w:val="CommentReference"/>
        </w:rPr>
        <w:annotationRef/>
      </w:r>
      <w:r>
        <w:t>You are right there is a kind of circularity here, but not a malignant one. It is the inevitable result of accepting that there is a reciprocal relation between method and subject matter and that a subject matter cannot be identified independently of the adoption of a particular method. I have not responded but I have explore</w:t>
      </w:r>
      <w:r w:rsidR="00E430A4">
        <w:t>d</w:t>
      </w:r>
      <w:r>
        <w:t xml:space="preserve"> these views elsewhere but again did not want to refer to myself again.</w:t>
      </w:r>
    </w:p>
  </w:comment>
  <w:comment w:id="6" w:author="Giuseppina D'Oro" w:date="2021-01-10T15:35:00Z" w:initials="GD">
    <w:p w14:paraId="5C4AD08D" w14:textId="67972CB6" w:rsidR="00A60AD8" w:rsidRDefault="00A60AD8">
      <w:pPr>
        <w:pStyle w:val="CommentText"/>
      </w:pPr>
      <w:r>
        <w:rPr>
          <w:rStyle w:val="CommentReference"/>
        </w:rPr>
        <w:annotationRef/>
      </w:r>
      <w:r>
        <w:rPr>
          <w:rFonts w:ascii="Times New Roman" w:hAnsi="Times New Roman" w:cs="Times New Roman"/>
          <w:color w:val="FF0000"/>
          <w:sz w:val="24"/>
          <w:szCs w:val="24"/>
          <w:lang w:val="en-US"/>
        </w:rPr>
        <w:t>(</w:t>
      </w:r>
      <w:r w:rsidRPr="00D54783">
        <w:rPr>
          <w:rFonts w:ascii="Times New Roman" w:hAnsi="Times New Roman" w:cs="Times New Roman"/>
          <w:color w:val="FF0000"/>
          <w:sz w:val="24"/>
        </w:rPr>
        <w:t>This is, in certain respects, very similar to the way hermeneutics as understood by the German historicists pictured historical understanding – without the reconstruction of the individual psychological processes of course. It might merit some recognition – it is only a suggestion though)</w:t>
      </w:r>
    </w:p>
  </w:comment>
  <w:comment w:id="7" w:author="Giuseppina D'Oro" w:date="2021-01-10T15:51:00Z" w:initials="GD">
    <w:p w14:paraId="50CF5CD8" w14:textId="066BC2B2" w:rsidR="00C77E88" w:rsidRDefault="00C77E88">
      <w:pPr>
        <w:pStyle w:val="CommentText"/>
      </w:pPr>
      <w:r>
        <w:rPr>
          <w:rStyle w:val="CommentReference"/>
        </w:rPr>
        <w:annotationRef/>
      </w:r>
      <w:r>
        <w:t>I have added footnote 2 to clarify the relation. If you think it overcomplicates things please feel free to del</w:t>
      </w:r>
      <w:r w:rsidR="005C296D">
        <w:t>e</w:t>
      </w:r>
      <w:r>
        <w:t>te it.</w:t>
      </w:r>
    </w:p>
  </w:comment>
  <w:comment w:id="8" w:author="Jonas Ahlskog" w:date="2021-01-11T09:14:00Z" w:initials="JA">
    <w:p w14:paraId="1E24A5CF" w14:textId="46FE4B3C" w:rsidR="00CB7431" w:rsidRDefault="00CB7431">
      <w:pPr>
        <w:pStyle w:val="CommentText"/>
      </w:pPr>
      <w:r>
        <w:rPr>
          <w:rStyle w:val="CommentReference"/>
        </w:rPr>
        <w:annotationRef/>
      </w:r>
      <w:r>
        <w:t>I suggest keeping the title as it is for the sake of symmetry with the title for the previous section. In addition, it is clear from the introduction that we will discuss the issues in relation to Collingwood and Winch, so I don’t really see any need to add their names to the titles of the sections.</w:t>
      </w:r>
    </w:p>
  </w:comment>
  <w:comment w:id="9" w:author="Jonas Ahlskog" w:date="2021-01-11T09:18:00Z" w:initials="JA">
    <w:p w14:paraId="3FD51AD1" w14:textId="306A167B" w:rsidR="00D62417" w:rsidRDefault="00D62417">
      <w:pPr>
        <w:pStyle w:val="CommentText"/>
      </w:pPr>
      <w:r>
        <w:rPr>
          <w:rStyle w:val="CommentReference"/>
        </w:rPr>
        <w:annotationRef/>
      </w:r>
      <w:r>
        <w:t xml:space="preserve">I agree that ‘social ontology’ as such is vague. However, the term is not vague in the use of Winch’s critics, for it is clear that they by this term refer to the idea that Winch is assuming the existence of meaning as ‘mental entities’. For this reason, I do not think any general clarification of ‘social ontology’ is needed here. </w:t>
      </w:r>
    </w:p>
  </w:comment>
  <w:comment w:id="10" w:author="Jonas Ahlskog" w:date="2021-01-11T09:32:00Z" w:initials="JA">
    <w:p w14:paraId="47DC1896" w14:textId="640C8CFA" w:rsidR="009E7F74" w:rsidRDefault="009E7F74">
      <w:pPr>
        <w:pStyle w:val="CommentText"/>
      </w:pPr>
      <w:r>
        <w:rPr>
          <w:rStyle w:val="CommentReference"/>
        </w:rPr>
        <w:annotationRef/>
      </w:r>
      <w:r>
        <w:t>Yes, it does apply. I have added here a reference to recent work</w:t>
      </w:r>
      <w:r w:rsidR="00EB678D">
        <w:t>s</w:t>
      </w:r>
      <w:r>
        <w:t xml:space="preserve"> by Roth where he makes similar claims.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27B0CC" w15:done="0"/>
  <w15:commentEx w15:paraId="517C010E" w15:done="0"/>
  <w15:commentEx w15:paraId="7DC0B1F6" w15:paraIdParent="517C010E" w15:done="0"/>
  <w15:commentEx w15:paraId="1CBB3271" w15:done="0"/>
  <w15:commentEx w15:paraId="012E4938" w15:paraIdParent="1CBB3271" w15:done="0"/>
  <w15:commentEx w15:paraId="5C4AD08D" w15:done="0"/>
  <w15:commentEx w15:paraId="50CF5CD8" w15:paraIdParent="5C4AD08D" w15:done="0"/>
  <w15:commentEx w15:paraId="1E24A5CF" w15:done="0"/>
  <w15:commentEx w15:paraId="3FD51AD1" w15:done="0"/>
  <w15:commentEx w15:paraId="47DC18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D56D0" w16cex:dateUtc="2021-01-16T12:13:00Z"/>
  <w16cex:commentExtensible w16cex:durableId="23A5A192" w16cex:dateUtc="2021-01-10T15:53:00Z"/>
  <w16cex:commentExtensible w16cex:durableId="23A5A196" w16cex:dateUtc="2021-01-10T15:53:00Z"/>
  <w16cex:commentExtensible w16cex:durableId="23A5A254" w16cex:dateUtc="2021-01-10T15:57:00Z"/>
  <w16cex:commentExtensible w16cex:durableId="23A5A259" w16cex:dateUtc="2021-01-10T15:57:00Z"/>
  <w16cex:commentExtensible w16cex:durableId="23A59D4C" w16cex:dateUtc="2021-01-10T15:35:00Z"/>
  <w16cex:commentExtensible w16cex:durableId="23A5A0F7" w16cex:dateUtc="2021-01-10T15:51:00Z"/>
  <w16cex:commentExtensible w16cex:durableId="23A69562" w16cex:dateUtc="2021-01-11T07:14:00Z"/>
  <w16cex:commentExtensible w16cex:durableId="23A6966E" w16cex:dateUtc="2021-01-11T07:18:00Z"/>
  <w16cex:commentExtensible w16cex:durableId="23A699CA" w16cex:dateUtc="2021-01-1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27B0CC" w16cid:durableId="23AD56D0"/>
  <w16cid:commentId w16cid:paraId="517C010E" w16cid:durableId="23A5A192"/>
  <w16cid:commentId w16cid:paraId="7DC0B1F6" w16cid:durableId="23A5A196"/>
  <w16cid:commentId w16cid:paraId="1CBB3271" w16cid:durableId="23A5A254"/>
  <w16cid:commentId w16cid:paraId="012E4938" w16cid:durableId="23A5A259"/>
  <w16cid:commentId w16cid:paraId="5C4AD08D" w16cid:durableId="23A59D4C"/>
  <w16cid:commentId w16cid:paraId="50CF5CD8" w16cid:durableId="23A5A0F7"/>
  <w16cid:commentId w16cid:paraId="1E24A5CF" w16cid:durableId="23A69562"/>
  <w16cid:commentId w16cid:paraId="3FD51AD1" w16cid:durableId="23A6966E"/>
  <w16cid:commentId w16cid:paraId="47DC1896" w16cid:durableId="23A699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504A" w14:textId="77777777" w:rsidR="00C86833" w:rsidRDefault="00C86833">
      <w:pPr>
        <w:spacing w:after="0" w:line="240" w:lineRule="auto"/>
      </w:pPr>
      <w:r>
        <w:separator/>
      </w:r>
    </w:p>
  </w:endnote>
  <w:endnote w:type="continuationSeparator" w:id="0">
    <w:p w14:paraId="06707D6F" w14:textId="77777777" w:rsidR="00C86833" w:rsidRDefault="00C8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743B" w14:textId="77777777" w:rsidR="00C86833" w:rsidRDefault="00C86833">
      <w:pPr>
        <w:spacing w:after="0" w:line="240" w:lineRule="auto"/>
      </w:pPr>
      <w:r>
        <w:separator/>
      </w:r>
    </w:p>
  </w:footnote>
  <w:footnote w:type="continuationSeparator" w:id="0">
    <w:p w14:paraId="4F0D33B9" w14:textId="77777777" w:rsidR="00C86833" w:rsidRDefault="00C86833">
      <w:pPr>
        <w:spacing w:after="0" w:line="240" w:lineRule="auto"/>
      </w:pPr>
      <w:r>
        <w:continuationSeparator/>
      </w:r>
    </w:p>
  </w:footnote>
  <w:footnote w:id="1">
    <w:p w14:paraId="2C867B80" w14:textId="3E3CA728" w:rsidR="00A60AD8" w:rsidRPr="00101BA5" w:rsidRDefault="00A22DDD">
      <w:pPr>
        <w:pStyle w:val="FootnoteText"/>
        <w:rPr>
          <w:rFonts w:ascii="Times New Roman" w:hAnsi="Times New Roman" w:cs="Times New Roman"/>
          <w:lang w:val="en-US"/>
        </w:rPr>
      </w:pPr>
      <w:r w:rsidRPr="00101BA5">
        <w:rPr>
          <w:rStyle w:val="FootnoteReference"/>
          <w:rFonts w:ascii="Times New Roman" w:hAnsi="Times New Roman" w:cs="Times New Roman"/>
          <w:lang w:val="en-US"/>
        </w:rPr>
        <w:footnoteRef/>
      </w:r>
      <w:r w:rsidRPr="00101BA5">
        <w:rPr>
          <w:rFonts w:ascii="Times New Roman" w:hAnsi="Times New Roman" w:cs="Times New Roman"/>
          <w:lang w:val="en-US"/>
        </w:rPr>
        <w:t xml:space="preserve"> The debate as to whether humanistic explanations are or are not causal has undergone a recent revival in the philosophy of mind. For a more recent discussion and survey see D’Oro and Sandis </w:t>
      </w:r>
      <w:r>
        <w:rPr>
          <w:rFonts w:ascii="Times New Roman" w:hAnsi="Times New Roman" w:cs="Times New Roman"/>
          <w:lang w:val="en-US"/>
        </w:rPr>
        <w:t>(</w:t>
      </w:r>
      <w:r w:rsidRPr="00101BA5">
        <w:rPr>
          <w:rFonts w:ascii="Times New Roman" w:hAnsi="Times New Roman" w:cs="Times New Roman"/>
          <w:lang w:val="en-US"/>
        </w:rPr>
        <w:t>2013</w:t>
      </w:r>
      <w:r>
        <w:rPr>
          <w:rFonts w:ascii="Times New Roman" w:hAnsi="Times New Roman" w:cs="Times New Roman"/>
          <w:lang w:val="en-US"/>
        </w:rPr>
        <w:t>)</w:t>
      </w:r>
      <w:r w:rsidRPr="00101BA5">
        <w:rPr>
          <w:rFonts w:ascii="Times New Roman" w:hAnsi="Times New Roman" w:cs="Times New Roman"/>
          <w:lang w:val="en-US"/>
        </w:rPr>
        <w:t xml:space="preserve"> and Schuman </w:t>
      </w:r>
      <w:r>
        <w:rPr>
          <w:rFonts w:ascii="Times New Roman" w:hAnsi="Times New Roman" w:cs="Times New Roman"/>
          <w:lang w:val="en-US"/>
        </w:rPr>
        <w:t>(</w:t>
      </w:r>
      <w:r w:rsidRPr="00101BA5">
        <w:rPr>
          <w:rFonts w:ascii="Times New Roman" w:hAnsi="Times New Roman" w:cs="Times New Roman"/>
          <w:lang w:val="en-US"/>
        </w:rPr>
        <w:t>2019</w:t>
      </w:r>
      <w:r>
        <w:rPr>
          <w:rFonts w:ascii="Times New Roman" w:hAnsi="Times New Roman" w:cs="Times New Roman"/>
          <w:lang w:val="en-US"/>
        </w:rPr>
        <w:t>)</w:t>
      </w:r>
      <w:r w:rsidRPr="00101BA5">
        <w:rPr>
          <w:rFonts w:ascii="Times New Roman" w:hAnsi="Times New Roman" w:cs="Times New Roman"/>
          <w:lang w:val="en-US"/>
        </w:rPr>
        <w:t>.</w:t>
      </w:r>
    </w:p>
  </w:footnote>
  <w:footnote w:id="2">
    <w:p w14:paraId="0E0D7ACD" w14:textId="327EC184" w:rsidR="00A60AD8" w:rsidRDefault="00A60AD8">
      <w:pPr>
        <w:pStyle w:val="FootnoteText"/>
      </w:pPr>
      <w:r>
        <w:rPr>
          <w:rStyle w:val="FootnoteReference"/>
        </w:rPr>
        <w:footnoteRef/>
      </w:r>
      <w:r>
        <w:t xml:space="preserve"> Hermenuticians such as Gadamer also denied the need to invoke psychological processes such as authorial intentions to </w:t>
      </w:r>
      <w:r w:rsidR="0063765E">
        <w:t>reconstruct</w:t>
      </w:r>
      <w:r>
        <w:t xml:space="preserve"> the meaning of a text. What is distinctive about Collingwood’s account of historical understanding is that the notion of “context” that is relevant to the historical understanding of action in history is</w:t>
      </w:r>
      <w:r w:rsidR="0063765E">
        <w:t xml:space="preserve"> the agent’s own, not that of the interpreter. He was </w:t>
      </w:r>
      <w:r w:rsidR="00C77E88">
        <w:t>not an advocate of</w:t>
      </w:r>
      <w:r w:rsidR="0063765E">
        <w:t xml:space="preserve"> the presentist view that the past must be understood from the perspective of the interpreter and therefore </w:t>
      </w:r>
      <w:r w:rsidR="00C77E88">
        <w:t>necessarily re-written from different “presents”. He would have been as</w:t>
      </w:r>
      <w:r w:rsidR="0063765E">
        <w:t xml:space="preserve"> unsympathetic to Gadamer’s notion of </w:t>
      </w:r>
      <w:r w:rsidR="00C77E88">
        <w:t>the</w:t>
      </w:r>
      <w:r w:rsidR="0063765E">
        <w:t xml:space="preserve"> </w:t>
      </w:r>
      <w:r w:rsidR="00C77E88">
        <w:t>“</w:t>
      </w:r>
      <w:r w:rsidR="0063765E">
        <w:t>fusion of horizon</w:t>
      </w:r>
      <w:r w:rsidR="00C77E88">
        <w:t>s”</w:t>
      </w:r>
      <w:r w:rsidR="0063765E">
        <w:t xml:space="preserve"> as to </w:t>
      </w:r>
      <w:r w:rsidR="009E3714">
        <w:t xml:space="preserve">the </w:t>
      </w:r>
      <w:r w:rsidR="0063765E">
        <w:t>narrativist</w:t>
      </w:r>
      <w:r w:rsidR="00C77E88">
        <w:t>s’</w:t>
      </w:r>
      <w:r w:rsidR="0063765E">
        <w:t xml:space="preserve"> claim that</w:t>
      </w:r>
      <w:r w:rsidR="00C77E88">
        <w:t xml:space="preserve"> the past is a construction from the perspective of the present.</w:t>
      </w:r>
    </w:p>
  </w:footnote>
  <w:footnote w:id="3">
    <w:p w14:paraId="3985E939" w14:textId="6B04D746" w:rsidR="00151A1C" w:rsidRDefault="00151A1C">
      <w:pPr>
        <w:pStyle w:val="FootnoteText"/>
      </w:pPr>
      <w:r>
        <w:rPr>
          <w:rStyle w:val="FootnoteReference"/>
        </w:rPr>
        <w:footnoteRef/>
      </w:r>
      <w:r>
        <w:t xml:space="preserve"> </w:t>
      </w:r>
      <w:r w:rsidR="00762280">
        <w:t>We have not discussed here Davidson’s</w:t>
      </w:r>
      <w:r w:rsidR="00A60AD8">
        <w:t xml:space="preserve"> (2001)</w:t>
      </w:r>
      <w:r w:rsidR="00762280">
        <w:t xml:space="preserve"> more nuanced attempt to avoid recourse to an intensional context of explanation without</w:t>
      </w:r>
      <w:r w:rsidR="0092321D">
        <w:t xml:space="preserve"> eliminating altogether the notion of meaning.</w:t>
      </w:r>
      <w:r w:rsidR="00A60AD8">
        <w:t xml:space="preserve"> On this see D’Oro (2004)</w:t>
      </w:r>
      <w:r w:rsidR="00FD729E">
        <w:t>.</w:t>
      </w:r>
    </w:p>
  </w:footnote>
  <w:footnote w:id="4">
    <w:p w14:paraId="3C32D978" w14:textId="7E032280" w:rsidR="00A22DDD" w:rsidRPr="00057491" w:rsidRDefault="00A22DDD">
      <w:pPr>
        <w:pStyle w:val="FootnoteText"/>
        <w:rPr>
          <w:rFonts w:ascii="Times New Roman" w:hAnsi="Times New Roman" w:cs="Times New Roman"/>
          <w:lang w:val="hu-HU"/>
        </w:rPr>
      </w:pPr>
      <w:r w:rsidRPr="00057491">
        <w:rPr>
          <w:rStyle w:val="FootnoteReference"/>
          <w:rFonts w:ascii="Times New Roman" w:hAnsi="Times New Roman" w:cs="Times New Roman"/>
        </w:rPr>
        <w:footnoteRef/>
      </w:r>
      <w:r w:rsidRPr="00057491">
        <w:rPr>
          <w:rFonts w:ascii="Times New Roman" w:hAnsi="Times New Roman" w:cs="Times New Roman"/>
        </w:rPr>
        <w:t xml:space="preserve"> </w:t>
      </w:r>
      <w:r w:rsidRPr="00057491">
        <w:rPr>
          <w:rFonts w:ascii="Times New Roman" w:hAnsi="Times New Roman" w:cs="Times New Roman"/>
          <w:lang w:val="en-US"/>
        </w:rPr>
        <w:t>Cf. Bohman 1993; Pleasants 1999, 2000; Pettit 2000; Roth 1987, 2003, 2011; Tur</w:t>
      </w:r>
      <w:r>
        <w:rPr>
          <w:rFonts w:ascii="Times New Roman" w:hAnsi="Times New Roman" w:cs="Times New Roman"/>
          <w:lang w:val="en-US"/>
        </w:rPr>
        <w:t>ner and Roth 2003; Turner 1994.</w:t>
      </w:r>
    </w:p>
  </w:footnote>
  <w:footnote w:id="5">
    <w:p w14:paraId="2C1529F6" w14:textId="5133BD37" w:rsidR="00331D1B" w:rsidRPr="00E430A4" w:rsidRDefault="00331D1B">
      <w:pPr>
        <w:pStyle w:val="FootnoteText"/>
        <w:rPr>
          <w:rFonts w:ascii="Times New Roman" w:hAnsi="Times New Roman" w:cs="Times New Roman"/>
        </w:rPr>
      </w:pPr>
      <w:r w:rsidRPr="00E430A4">
        <w:rPr>
          <w:rStyle w:val="FootnoteReference"/>
          <w:rFonts w:ascii="Times New Roman" w:hAnsi="Times New Roman" w:cs="Times New Roman"/>
        </w:rPr>
        <w:footnoteRef/>
      </w:r>
      <w:r w:rsidRPr="00E430A4">
        <w:rPr>
          <w:rFonts w:ascii="Times New Roman" w:hAnsi="Times New Roman" w:cs="Times New Roman"/>
        </w:rPr>
        <w:t xml:space="preserve"> Important here is also the fact that, in the new preface to </w:t>
      </w:r>
      <w:r w:rsidRPr="00E430A4">
        <w:rPr>
          <w:rFonts w:ascii="Times New Roman" w:hAnsi="Times New Roman" w:cs="Times New Roman"/>
          <w:i/>
          <w:iCs/>
        </w:rPr>
        <w:t>ISS</w:t>
      </w:r>
      <w:r w:rsidRPr="00E430A4">
        <w:rPr>
          <w:rFonts w:ascii="Times New Roman" w:hAnsi="Times New Roman" w:cs="Times New Roman"/>
        </w:rPr>
        <w:t xml:space="preserve"> (1990, xiv–xvi), Winch himself admits that his account emphasize</w:t>
      </w:r>
      <w:r w:rsidR="007242E2">
        <w:rPr>
          <w:rFonts w:ascii="Times New Roman" w:hAnsi="Times New Roman" w:cs="Times New Roman"/>
        </w:rPr>
        <w:t>d</w:t>
      </w:r>
      <w:r w:rsidRPr="00E430A4">
        <w:rPr>
          <w:rFonts w:ascii="Times New Roman" w:hAnsi="Times New Roman" w:cs="Times New Roman"/>
        </w:rPr>
        <w:t xml:space="preserve"> too strongly the role of rules in meaningful </w:t>
      </w:r>
      <w:r w:rsidR="005C7CC0" w:rsidRPr="005C7CC0">
        <w:rPr>
          <w:rFonts w:ascii="Times New Roman" w:hAnsi="Times New Roman" w:cs="Times New Roman"/>
        </w:rPr>
        <w:t>behaviour</w:t>
      </w:r>
      <w:r w:rsidRPr="00E430A4">
        <w:rPr>
          <w:rFonts w:ascii="Times New Roman" w:hAnsi="Times New Roman" w:cs="Times New Roman"/>
        </w:rPr>
        <w:t xml:space="preserve">. </w:t>
      </w:r>
    </w:p>
  </w:footnote>
  <w:footnote w:id="6">
    <w:p w14:paraId="1B7B94FC" w14:textId="36F52D47" w:rsidR="00A22DDD" w:rsidRPr="00101BA5" w:rsidRDefault="00A22DDD">
      <w:pPr>
        <w:pStyle w:val="FootnoteText"/>
        <w:rPr>
          <w:rFonts w:ascii="Times New Roman" w:hAnsi="Times New Roman" w:cs="Times New Roman"/>
          <w:lang w:val="en-US"/>
        </w:rPr>
      </w:pPr>
      <w:r w:rsidRPr="00101BA5">
        <w:rPr>
          <w:rStyle w:val="FootnoteReference"/>
          <w:rFonts w:ascii="Times New Roman" w:hAnsi="Times New Roman" w:cs="Times New Roman"/>
          <w:lang w:val="en-US"/>
        </w:rPr>
        <w:footnoteRef/>
      </w:r>
      <w:r w:rsidRPr="00101BA5">
        <w:rPr>
          <w:rFonts w:ascii="Times New Roman" w:hAnsi="Times New Roman" w:cs="Times New Roman"/>
          <w:lang w:val="en-US"/>
        </w:rPr>
        <w:t xml:space="preserve"> In relation to this issue it should be pointed out that there are readings of Winch which claim that </w:t>
      </w:r>
      <w:r w:rsidRPr="00101BA5">
        <w:rPr>
          <w:rFonts w:ascii="Times New Roman" w:hAnsi="Times New Roman" w:cs="Times New Roman"/>
          <w:i/>
          <w:iCs/>
          <w:lang w:val="en-US"/>
        </w:rPr>
        <w:t>ISS</w:t>
      </w:r>
      <w:r w:rsidRPr="00101BA5">
        <w:rPr>
          <w:rFonts w:ascii="Times New Roman" w:hAnsi="Times New Roman" w:cs="Times New Roman"/>
          <w:lang w:val="en-US"/>
        </w:rPr>
        <w:t xml:space="preserve"> is not really concerned with foundations or methodological questions in relation to the social sciences, but is essentially concerned with an “ethical orientation”, and thus tries to show how social inquiry is connected with philosophical and cultural q</w:t>
      </w:r>
      <w:r>
        <w:rPr>
          <w:rFonts w:ascii="Times New Roman" w:hAnsi="Times New Roman" w:cs="Times New Roman"/>
          <w:lang w:val="en-US"/>
        </w:rPr>
        <w:t>uestions about self-knowledge (c</w:t>
      </w:r>
      <w:r w:rsidRPr="00101BA5">
        <w:rPr>
          <w:rFonts w:ascii="Times New Roman" w:hAnsi="Times New Roman" w:cs="Times New Roman"/>
          <w:lang w:val="en-US"/>
        </w:rPr>
        <w:t xml:space="preserve">f. Theunissen 2020). However, it is unclear how this ethical orientation-reading could escape the force of the naturalist critique, regardless of Winch’s intentions.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21EFE"/>
    <w:multiLevelType w:val="hybridMultilevel"/>
    <w:tmpl w:val="25D018E2"/>
    <w:lvl w:ilvl="0" w:tplc="81F07538">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useppina D'Oro">
    <w15:presenceInfo w15:providerId="AD" w15:userId="S::g.d'oro@keele.ac.uk::2bf926d5-9b61-4568-88f0-fb751096277f"/>
  </w15:person>
  <w15:person w15:author="Jonas Ahlskog">
    <w15:presenceInfo w15:providerId="AD" w15:userId="S::jonas.ahlskog@abo.fi::70ff697a-e471-4fee-9449-7b063acfb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EB"/>
    <w:rsid w:val="00004741"/>
    <w:rsid w:val="000058D9"/>
    <w:rsid w:val="00005F1D"/>
    <w:rsid w:val="00016070"/>
    <w:rsid w:val="00016E8C"/>
    <w:rsid w:val="00022AD1"/>
    <w:rsid w:val="00023BAA"/>
    <w:rsid w:val="000250E7"/>
    <w:rsid w:val="00031958"/>
    <w:rsid w:val="0003249C"/>
    <w:rsid w:val="00032D42"/>
    <w:rsid w:val="00034955"/>
    <w:rsid w:val="000352FA"/>
    <w:rsid w:val="0003610B"/>
    <w:rsid w:val="000408BF"/>
    <w:rsid w:val="000435AF"/>
    <w:rsid w:val="00045436"/>
    <w:rsid w:val="00046B2C"/>
    <w:rsid w:val="000475D1"/>
    <w:rsid w:val="00050A1E"/>
    <w:rsid w:val="00051DD8"/>
    <w:rsid w:val="000526BD"/>
    <w:rsid w:val="000542DE"/>
    <w:rsid w:val="00054C51"/>
    <w:rsid w:val="00057491"/>
    <w:rsid w:val="00061343"/>
    <w:rsid w:val="00061B46"/>
    <w:rsid w:val="00063882"/>
    <w:rsid w:val="00063D51"/>
    <w:rsid w:val="000644A6"/>
    <w:rsid w:val="00071DA2"/>
    <w:rsid w:val="0007338C"/>
    <w:rsid w:val="0007421F"/>
    <w:rsid w:val="00074A80"/>
    <w:rsid w:val="00075D31"/>
    <w:rsid w:val="00090855"/>
    <w:rsid w:val="000922F7"/>
    <w:rsid w:val="00097722"/>
    <w:rsid w:val="000A0E80"/>
    <w:rsid w:val="000A1CC2"/>
    <w:rsid w:val="000A2A28"/>
    <w:rsid w:val="000A3328"/>
    <w:rsid w:val="000A367C"/>
    <w:rsid w:val="000A4919"/>
    <w:rsid w:val="000B6D18"/>
    <w:rsid w:val="000B7CF7"/>
    <w:rsid w:val="000B7DD5"/>
    <w:rsid w:val="000C24D4"/>
    <w:rsid w:val="000C5613"/>
    <w:rsid w:val="000C6693"/>
    <w:rsid w:val="000D38F1"/>
    <w:rsid w:val="000D589B"/>
    <w:rsid w:val="000D63E4"/>
    <w:rsid w:val="000E0BF0"/>
    <w:rsid w:val="000E52F9"/>
    <w:rsid w:val="000F0AAD"/>
    <w:rsid w:val="000F0D6A"/>
    <w:rsid w:val="000F2B4C"/>
    <w:rsid w:val="000F2BD2"/>
    <w:rsid w:val="001010DE"/>
    <w:rsid w:val="00101BA5"/>
    <w:rsid w:val="00102A83"/>
    <w:rsid w:val="00102E3A"/>
    <w:rsid w:val="001108F7"/>
    <w:rsid w:val="001139EC"/>
    <w:rsid w:val="00114B50"/>
    <w:rsid w:val="00116578"/>
    <w:rsid w:val="00120F8B"/>
    <w:rsid w:val="00127085"/>
    <w:rsid w:val="00130B4D"/>
    <w:rsid w:val="0013395E"/>
    <w:rsid w:val="0013623C"/>
    <w:rsid w:val="001379CA"/>
    <w:rsid w:val="001405DF"/>
    <w:rsid w:val="00140BC1"/>
    <w:rsid w:val="00141344"/>
    <w:rsid w:val="00151A1C"/>
    <w:rsid w:val="00156CF7"/>
    <w:rsid w:val="00157C04"/>
    <w:rsid w:val="00161370"/>
    <w:rsid w:val="00161ED8"/>
    <w:rsid w:val="001632B2"/>
    <w:rsid w:val="00163BBC"/>
    <w:rsid w:val="00163DC2"/>
    <w:rsid w:val="00164BF1"/>
    <w:rsid w:val="0016639D"/>
    <w:rsid w:val="001666EF"/>
    <w:rsid w:val="001725F2"/>
    <w:rsid w:val="001757AA"/>
    <w:rsid w:val="001771EC"/>
    <w:rsid w:val="001831F3"/>
    <w:rsid w:val="00183633"/>
    <w:rsid w:val="00187504"/>
    <w:rsid w:val="001909B4"/>
    <w:rsid w:val="0019577F"/>
    <w:rsid w:val="001A7841"/>
    <w:rsid w:val="001B36A8"/>
    <w:rsid w:val="001B4E8F"/>
    <w:rsid w:val="001B6ABE"/>
    <w:rsid w:val="001C3037"/>
    <w:rsid w:val="001C42F4"/>
    <w:rsid w:val="001C497A"/>
    <w:rsid w:val="001C49D1"/>
    <w:rsid w:val="001C6B41"/>
    <w:rsid w:val="001D21ED"/>
    <w:rsid w:val="001D2E88"/>
    <w:rsid w:val="001D705E"/>
    <w:rsid w:val="001D71E9"/>
    <w:rsid w:val="001D7AA5"/>
    <w:rsid w:val="001E2F09"/>
    <w:rsid w:val="001E3714"/>
    <w:rsid w:val="001E7EF9"/>
    <w:rsid w:val="001F6F03"/>
    <w:rsid w:val="002015C8"/>
    <w:rsid w:val="00203C59"/>
    <w:rsid w:val="002079DF"/>
    <w:rsid w:val="002108F4"/>
    <w:rsid w:val="00211BD9"/>
    <w:rsid w:val="00214FEA"/>
    <w:rsid w:val="00231A15"/>
    <w:rsid w:val="00231A80"/>
    <w:rsid w:val="0023217F"/>
    <w:rsid w:val="00232EB5"/>
    <w:rsid w:val="00233065"/>
    <w:rsid w:val="00237235"/>
    <w:rsid w:val="00240404"/>
    <w:rsid w:val="002404B1"/>
    <w:rsid w:val="0024221C"/>
    <w:rsid w:val="00242B31"/>
    <w:rsid w:val="00243D73"/>
    <w:rsid w:val="00244057"/>
    <w:rsid w:val="00246CE7"/>
    <w:rsid w:val="002505D9"/>
    <w:rsid w:val="002573F8"/>
    <w:rsid w:val="0026111F"/>
    <w:rsid w:val="0026276A"/>
    <w:rsid w:val="00262F1E"/>
    <w:rsid w:val="002665D3"/>
    <w:rsid w:val="00267B0D"/>
    <w:rsid w:val="002703AF"/>
    <w:rsid w:val="00271219"/>
    <w:rsid w:val="00271A27"/>
    <w:rsid w:val="00273E4B"/>
    <w:rsid w:val="0027494D"/>
    <w:rsid w:val="00276760"/>
    <w:rsid w:val="0027688E"/>
    <w:rsid w:val="00282971"/>
    <w:rsid w:val="00282C98"/>
    <w:rsid w:val="002839BC"/>
    <w:rsid w:val="00283CF0"/>
    <w:rsid w:val="00283D21"/>
    <w:rsid w:val="002846F4"/>
    <w:rsid w:val="002859BE"/>
    <w:rsid w:val="00294E87"/>
    <w:rsid w:val="00294F6C"/>
    <w:rsid w:val="00297A30"/>
    <w:rsid w:val="002A02A3"/>
    <w:rsid w:val="002A0419"/>
    <w:rsid w:val="002A236A"/>
    <w:rsid w:val="002A45D9"/>
    <w:rsid w:val="002B16E0"/>
    <w:rsid w:val="002B3AA4"/>
    <w:rsid w:val="002B3AFD"/>
    <w:rsid w:val="002B3D20"/>
    <w:rsid w:val="002B42C1"/>
    <w:rsid w:val="002B4455"/>
    <w:rsid w:val="002B5788"/>
    <w:rsid w:val="002C0F57"/>
    <w:rsid w:val="002C318E"/>
    <w:rsid w:val="002C3637"/>
    <w:rsid w:val="002C43A6"/>
    <w:rsid w:val="002D1465"/>
    <w:rsid w:val="002D3002"/>
    <w:rsid w:val="002D373A"/>
    <w:rsid w:val="002D4370"/>
    <w:rsid w:val="002D44EA"/>
    <w:rsid w:val="002D508F"/>
    <w:rsid w:val="002D55F4"/>
    <w:rsid w:val="002D6066"/>
    <w:rsid w:val="002D6EE2"/>
    <w:rsid w:val="002D7A9D"/>
    <w:rsid w:val="002E214C"/>
    <w:rsid w:val="002E3F34"/>
    <w:rsid w:val="002E4BBE"/>
    <w:rsid w:val="002E6835"/>
    <w:rsid w:val="002F41C5"/>
    <w:rsid w:val="002F7171"/>
    <w:rsid w:val="002F7CAC"/>
    <w:rsid w:val="002F7D44"/>
    <w:rsid w:val="003010DB"/>
    <w:rsid w:val="00310271"/>
    <w:rsid w:val="0031260E"/>
    <w:rsid w:val="00312A10"/>
    <w:rsid w:val="00312EA2"/>
    <w:rsid w:val="00315393"/>
    <w:rsid w:val="0031573F"/>
    <w:rsid w:val="00316BA7"/>
    <w:rsid w:val="0032027C"/>
    <w:rsid w:val="00320C7D"/>
    <w:rsid w:val="00321D03"/>
    <w:rsid w:val="003235B0"/>
    <w:rsid w:val="003239B3"/>
    <w:rsid w:val="00323CA2"/>
    <w:rsid w:val="00326208"/>
    <w:rsid w:val="00327E21"/>
    <w:rsid w:val="00331D1B"/>
    <w:rsid w:val="00333E3A"/>
    <w:rsid w:val="00342B77"/>
    <w:rsid w:val="00343E83"/>
    <w:rsid w:val="00343EE0"/>
    <w:rsid w:val="003453B9"/>
    <w:rsid w:val="00345D30"/>
    <w:rsid w:val="00346084"/>
    <w:rsid w:val="00347FC1"/>
    <w:rsid w:val="0035095D"/>
    <w:rsid w:val="003518E3"/>
    <w:rsid w:val="00353345"/>
    <w:rsid w:val="003572B3"/>
    <w:rsid w:val="003577B0"/>
    <w:rsid w:val="003608F3"/>
    <w:rsid w:val="00361246"/>
    <w:rsid w:val="0036276D"/>
    <w:rsid w:val="00362CC1"/>
    <w:rsid w:val="003634AA"/>
    <w:rsid w:val="003643B4"/>
    <w:rsid w:val="0036648D"/>
    <w:rsid w:val="0037204E"/>
    <w:rsid w:val="00372909"/>
    <w:rsid w:val="00374D3C"/>
    <w:rsid w:val="00381565"/>
    <w:rsid w:val="00383AB4"/>
    <w:rsid w:val="003841E4"/>
    <w:rsid w:val="00386976"/>
    <w:rsid w:val="003878A2"/>
    <w:rsid w:val="003A0C2A"/>
    <w:rsid w:val="003A25A8"/>
    <w:rsid w:val="003A3146"/>
    <w:rsid w:val="003A4A7E"/>
    <w:rsid w:val="003A4C81"/>
    <w:rsid w:val="003A64EE"/>
    <w:rsid w:val="003B1168"/>
    <w:rsid w:val="003B265E"/>
    <w:rsid w:val="003B3310"/>
    <w:rsid w:val="003C11A2"/>
    <w:rsid w:val="003C24C1"/>
    <w:rsid w:val="003C2DFF"/>
    <w:rsid w:val="003C373A"/>
    <w:rsid w:val="003D76CC"/>
    <w:rsid w:val="003E3C98"/>
    <w:rsid w:val="003F2210"/>
    <w:rsid w:val="003F4010"/>
    <w:rsid w:val="003F416B"/>
    <w:rsid w:val="00400583"/>
    <w:rsid w:val="00400AB5"/>
    <w:rsid w:val="0040257B"/>
    <w:rsid w:val="00403BC0"/>
    <w:rsid w:val="00405EE4"/>
    <w:rsid w:val="00406126"/>
    <w:rsid w:val="00411063"/>
    <w:rsid w:val="00413887"/>
    <w:rsid w:val="00414E48"/>
    <w:rsid w:val="00424005"/>
    <w:rsid w:val="00426F37"/>
    <w:rsid w:val="004344DF"/>
    <w:rsid w:val="0043531A"/>
    <w:rsid w:val="00436035"/>
    <w:rsid w:val="004367EA"/>
    <w:rsid w:val="0043737F"/>
    <w:rsid w:val="00442D3D"/>
    <w:rsid w:val="00444361"/>
    <w:rsid w:val="00444F11"/>
    <w:rsid w:val="004462C3"/>
    <w:rsid w:val="00447EB6"/>
    <w:rsid w:val="004500E5"/>
    <w:rsid w:val="0045015B"/>
    <w:rsid w:val="004514B5"/>
    <w:rsid w:val="00453493"/>
    <w:rsid w:val="004540CE"/>
    <w:rsid w:val="00454649"/>
    <w:rsid w:val="004546D0"/>
    <w:rsid w:val="00464AEC"/>
    <w:rsid w:val="004654EB"/>
    <w:rsid w:val="00473D0F"/>
    <w:rsid w:val="004774FC"/>
    <w:rsid w:val="00481F1A"/>
    <w:rsid w:val="004821F1"/>
    <w:rsid w:val="00487A0D"/>
    <w:rsid w:val="0049087B"/>
    <w:rsid w:val="00490AE0"/>
    <w:rsid w:val="004920A3"/>
    <w:rsid w:val="00494C21"/>
    <w:rsid w:val="00495032"/>
    <w:rsid w:val="004A138A"/>
    <w:rsid w:val="004A3A73"/>
    <w:rsid w:val="004A47C4"/>
    <w:rsid w:val="004A4F35"/>
    <w:rsid w:val="004B00A5"/>
    <w:rsid w:val="004B26BB"/>
    <w:rsid w:val="004B3138"/>
    <w:rsid w:val="004B3281"/>
    <w:rsid w:val="004B4B9F"/>
    <w:rsid w:val="004B4E41"/>
    <w:rsid w:val="004B539D"/>
    <w:rsid w:val="004B7348"/>
    <w:rsid w:val="004B799A"/>
    <w:rsid w:val="004C06D8"/>
    <w:rsid w:val="004C129D"/>
    <w:rsid w:val="004C435B"/>
    <w:rsid w:val="004C589D"/>
    <w:rsid w:val="004C6512"/>
    <w:rsid w:val="004D2960"/>
    <w:rsid w:val="004D2965"/>
    <w:rsid w:val="004D6BB9"/>
    <w:rsid w:val="004E006B"/>
    <w:rsid w:val="004E2FF4"/>
    <w:rsid w:val="004E34AE"/>
    <w:rsid w:val="004E5349"/>
    <w:rsid w:val="004E7E5A"/>
    <w:rsid w:val="004F0377"/>
    <w:rsid w:val="004F19AC"/>
    <w:rsid w:val="004F33F0"/>
    <w:rsid w:val="005042DC"/>
    <w:rsid w:val="00510910"/>
    <w:rsid w:val="00512FD5"/>
    <w:rsid w:val="0052084C"/>
    <w:rsid w:val="00532845"/>
    <w:rsid w:val="0053328C"/>
    <w:rsid w:val="0053439C"/>
    <w:rsid w:val="005360E1"/>
    <w:rsid w:val="00536661"/>
    <w:rsid w:val="0053679D"/>
    <w:rsid w:val="00544EB1"/>
    <w:rsid w:val="00552CE0"/>
    <w:rsid w:val="00554104"/>
    <w:rsid w:val="00556F1F"/>
    <w:rsid w:val="005570C8"/>
    <w:rsid w:val="005578B5"/>
    <w:rsid w:val="0056277F"/>
    <w:rsid w:val="0056385E"/>
    <w:rsid w:val="005643D2"/>
    <w:rsid w:val="00564835"/>
    <w:rsid w:val="00570BFB"/>
    <w:rsid w:val="005735F6"/>
    <w:rsid w:val="00575C10"/>
    <w:rsid w:val="005831E9"/>
    <w:rsid w:val="0058635D"/>
    <w:rsid w:val="00586BA6"/>
    <w:rsid w:val="00590D5F"/>
    <w:rsid w:val="00593E9C"/>
    <w:rsid w:val="00596B26"/>
    <w:rsid w:val="005977F3"/>
    <w:rsid w:val="005978E2"/>
    <w:rsid w:val="00597F5A"/>
    <w:rsid w:val="005A0705"/>
    <w:rsid w:val="005A1AEA"/>
    <w:rsid w:val="005A40AD"/>
    <w:rsid w:val="005A5E31"/>
    <w:rsid w:val="005A6201"/>
    <w:rsid w:val="005B0AD6"/>
    <w:rsid w:val="005B269C"/>
    <w:rsid w:val="005B6670"/>
    <w:rsid w:val="005C16EA"/>
    <w:rsid w:val="005C22D5"/>
    <w:rsid w:val="005C296D"/>
    <w:rsid w:val="005C427C"/>
    <w:rsid w:val="005C4316"/>
    <w:rsid w:val="005C5919"/>
    <w:rsid w:val="005C71B6"/>
    <w:rsid w:val="005C769B"/>
    <w:rsid w:val="005C7CC0"/>
    <w:rsid w:val="005D03CF"/>
    <w:rsid w:val="005D074A"/>
    <w:rsid w:val="005D1FD9"/>
    <w:rsid w:val="005D4285"/>
    <w:rsid w:val="005D548F"/>
    <w:rsid w:val="005E0D66"/>
    <w:rsid w:val="005E14F3"/>
    <w:rsid w:val="005E5F3C"/>
    <w:rsid w:val="005E6670"/>
    <w:rsid w:val="005E7F5F"/>
    <w:rsid w:val="005F01D8"/>
    <w:rsid w:val="005F1949"/>
    <w:rsid w:val="005F5EB3"/>
    <w:rsid w:val="006103C8"/>
    <w:rsid w:val="00610FA2"/>
    <w:rsid w:val="00614CF0"/>
    <w:rsid w:val="00616A69"/>
    <w:rsid w:val="00624E52"/>
    <w:rsid w:val="006252B2"/>
    <w:rsid w:val="00625CD1"/>
    <w:rsid w:val="0062779B"/>
    <w:rsid w:val="00631C38"/>
    <w:rsid w:val="0063765E"/>
    <w:rsid w:val="00641059"/>
    <w:rsid w:val="00641496"/>
    <w:rsid w:val="006418CB"/>
    <w:rsid w:val="0064214D"/>
    <w:rsid w:val="00643D67"/>
    <w:rsid w:val="006440AC"/>
    <w:rsid w:val="00646F90"/>
    <w:rsid w:val="00651D04"/>
    <w:rsid w:val="0065490E"/>
    <w:rsid w:val="006561C9"/>
    <w:rsid w:val="00657E41"/>
    <w:rsid w:val="00662D48"/>
    <w:rsid w:val="0066301A"/>
    <w:rsid w:val="00664EB5"/>
    <w:rsid w:val="00667CD0"/>
    <w:rsid w:val="00670BCB"/>
    <w:rsid w:val="00671762"/>
    <w:rsid w:val="00671A1A"/>
    <w:rsid w:val="00673C32"/>
    <w:rsid w:val="00674682"/>
    <w:rsid w:val="00674C4D"/>
    <w:rsid w:val="006766A3"/>
    <w:rsid w:val="00680260"/>
    <w:rsid w:val="00681956"/>
    <w:rsid w:val="00681A7B"/>
    <w:rsid w:val="00682165"/>
    <w:rsid w:val="006822E9"/>
    <w:rsid w:val="00687A65"/>
    <w:rsid w:val="00690D77"/>
    <w:rsid w:val="006910D3"/>
    <w:rsid w:val="00692957"/>
    <w:rsid w:val="00692EE3"/>
    <w:rsid w:val="00693A9D"/>
    <w:rsid w:val="00693E08"/>
    <w:rsid w:val="0069617E"/>
    <w:rsid w:val="006A0E99"/>
    <w:rsid w:val="006A4C41"/>
    <w:rsid w:val="006A5314"/>
    <w:rsid w:val="006A6526"/>
    <w:rsid w:val="006A7B38"/>
    <w:rsid w:val="006B5A83"/>
    <w:rsid w:val="006B5E7E"/>
    <w:rsid w:val="006B7157"/>
    <w:rsid w:val="006B7BA6"/>
    <w:rsid w:val="006C02A5"/>
    <w:rsid w:val="006C4F1C"/>
    <w:rsid w:val="006D1BBB"/>
    <w:rsid w:val="006D4AB9"/>
    <w:rsid w:val="006D6956"/>
    <w:rsid w:val="006E15FC"/>
    <w:rsid w:val="006E1A7D"/>
    <w:rsid w:val="006E568F"/>
    <w:rsid w:val="006F0BA4"/>
    <w:rsid w:val="006F3503"/>
    <w:rsid w:val="006F4AAC"/>
    <w:rsid w:val="006F589E"/>
    <w:rsid w:val="006F5E36"/>
    <w:rsid w:val="007028F8"/>
    <w:rsid w:val="0070304C"/>
    <w:rsid w:val="007106E3"/>
    <w:rsid w:val="00711AEB"/>
    <w:rsid w:val="00712B1D"/>
    <w:rsid w:val="00714E8B"/>
    <w:rsid w:val="007158F2"/>
    <w:rsid w:val="00716B85"/>
    <w:rsid w:val="007205CB"/>
    <w:rsid w:val="00721F7B"/>
    <w:rsid w:val="00722034"/>
    <w:rsid w:val="007223FD"/>
    <w:rsid w:val="00722C5C"/>
    <w:rsid w:val="007242E2"/>
    <w:rsid w:val="00724D35"/>
    <w:rsid w:val="00726B9B"/>
    <w:rsid w:val="007318D6"/>
    <w:rsid w:val="00732035"/>
    <w:rsid w:val="00732683"/>
    <w:rsid w:val="0073366B"/>
    <w:rsid w:val="00736451"/>
    <w:rsid w:val="0073668C"/>
    <w:rsid w:val="00736AC2"/>
    <w:rsid w:val="00740E71"/>
    <w:rsid w:val="00743372"/>
    <w:rsid w:val="00743CA2"/>
    <w:rsid w:val="00746974"/>
    <w:rsid w:val="007502F6"/>
    <w:rsid w:val="007509C4"/>
    <w:rsid w:val="00752099"/>
    <w:rsid w:val="00752825"/>
    <w:rsid w:val="00753DBC"/>
    <w:rsid w:val="0075567C"/>
    <w:rsid w:val="00757DF9"/>
    <w:rsid w:val="00762280"/>
    <w:rsid w:val="0076235C"/>
    <w:rsid w:val="00762864"/>
    <w:rsid w:val="00762B08"/>
    <w:rsid w:val="007645C2"/>
    <w:rsid w:val="00764CC8"/>
    <w:rsid w:val="007650A3"/>
    <w:rsid w:val="00767F32"/>
    <w:rsid w:val="007725AC"/>
    <w:rsid w:val="007755A6"/>
    <w:rsid w:val="00783367"/>
    <w:rsid w:val="007843E0"/>
    <w:rsid w:val="00786330"/>
    <w:rsid w:val="007863EE"/>
    <w:rsid w:val="00787E18"/>
    <w:rsid w:val="00790D0B"/>
    <w:rsid w:val="00791BAA"/>
    <w:rsid w:val="00793E3E"/>
    <w:rsid w:val="00793FB0"/>
    <w:rsid w:val="00797C32"/>
    <w:rsid w:val="007A4EBA"/>
    <w:rsid w:val="007A6903"/>
    <w:rsid w:val="007A6CC3"/>
    <w:rsid w:val="007A7120"/>
    <w:rsid w:val="007B29B0"/>
    <w:rsid w:val="007B4992"/>
    <w:rsid w:val="007B7E7B"/>
    <w:rsid w:val="007C2318"/>
    <w:rsid w:val="007C38E6"/>
    <w:rsid w:val="007C4207"/>
    <w:rsid w:val="007C47BF"/>
    <w:rsid w:val="007C7888"/>
    <w:rsid w:val="007D07A6"/>
    <w:rsid w:val="007D5756"/>
    <w:rsid w:val="007D644B"/>
    <w:rsid w:val="007E0081"/>
    <w:rsid w:val="007E1AEF"/>
    <w:rsid w:val="007E21D9"/>
    <w:rsid w:val="007E3BDC"/>
    <w:rsid w:val="007E4B94"/>
    <w:rsid w:val="007E56AE"/>
    <w:rsid w:val="007F252D"/>
    <w:rsid w:val="007F27F9"/>
    <w:rsid w:val="007F6905"/>
    <w:rsid w:val="007F7FF4"/>
    <w:rsid w:val="00800BEE"/>
    <w:rsid w:val="0080471A"/>
    <w:rsid w:val="0080714F"/>
    <w:rsid w:val="008102B9"/>
    <w:rsid w:val="0081473C"/>
    <w:rsid w:val="0081502F"/>
    <w:rsid w:val="008162D4"/>
    <w:rsid w:val="00817781"/>
    <w:rsid w:val="0081782B"/>
    <w:rsid w:val="00817C73"/>
    <w:rsid w:val="00820C77"/>
    <w:rsid w:val="00821503"/>
    <w:rsid w:val="00827028"/>
    <w:rsid w:val="00833B25"/>
    <w:rsid w:val="00834F4F"/>
    <w:rsid w:val="0083502A"/>
    <w:rsid w:val="00836DE4"/>
    <w:rsid w:val="00840763"/>
    <w:rsid w:val="00840A1E"/>
    <w:rsid w:val="00842027"/>
    <w:rsid w:val="008426DD"/>
    <w:rsid w:val="0084272C"/>
    <w:rsid w:val="00843C5B"/>
    <w:rsid w:val="00850B79"/>
    <w:rsid w:val="0085111B"/>
    <w:rsid w:val="008526F6"/>
    <w:rsid w:val="008545AD"/>
    <w:rsid w:val="008602FE"/>
    <w:rsid w:val="00860CDB"/>
    <w:rsid w:val="00861144"/>
    <w:rsid w:val="00874CA7"/>
    <w:rsid w:val="00875830"/>
    <w:rsid w:val="008800FF"/>
    <w:rsid w:val="00882134"/>
    <w:rsid w:val="00885F0E"/>
    <w:rsid w:val="008866EF"/>
    <w:rsid w:val="00886DDF"/>
    <w:rsid w:val="00895981"/>
    <w:rsid w:val="00897EAC"/>
    <w:rsid w:val="008A2A61"/>
    <w:rsid w:val="008A2E9A"/>
    <w:rsid w:val="008A3308"/>
    <w:rsid w:val="008A793D"/>
    <w:rsid w:val="008B0890"/>
    <w:rsid w:val="008B1257"/>
    <w:rsid w:val="008B4B63"/>
    <w:rsid w:val="008B5A41"/>
    <w:rsid w:val="008B600A"/>
    <w:rsid w:val="008C1CE7"/>
    <w:rsid w:val="008C36BF"/>
    <w:rsid w:val="008C3812"/>
    <w:rsid w:val="008C7204"/>
    <w:rsid w:val="008D3F3B"/>
    <w:rsid w:val="008D5EF4"/>
    <w:rsid w:val="008D6136"/>
    <w:rsid w:val="008E04A4"/>
    <w:rsid w:val="008E0D48"/>
    <w:rsid w:val="008E3F8C"/>
    <w:rsid w:val="008E4F9D"/>
    <w:rsid w:val="008E6896"/>
    <w:rsid w:val="008F0748"/>
    <w:rsid w:val="008F2244"/>
    <w:rsid w:val="008F3FF0"/>
    <w:rsid w:val="008F417C"/>
    <w:rsid w:val="008F49D6"/>
    <w:rsid w:val="008F5E6F"/>
    <w:rsid w:val="0090311D"/>
    <w:rsid w:val="00903AD9"/>
    <w:rsid w:val="00903DC6"/>
    <w:rsid w:val="0090570D"/>
    <w:rsid w:val="00906657"/>
    <w:rsid w:val="00906D47"/>
    <w:rsid w:val="0091352C"/>
    <w:rsid w:val="00917791"/>
    <w:rsid w:val="009215E5"/>
    <w:rsid w:val="0092300A"/>
    <w:rsid w:val="0092321D"/>
    <w:rsid w:val="00925309"/>
    <w:rsid w:val="0093051D"/>
    <w:rsid w:val="009314A4"/>
    <w:rsid w:val="00931D23"/>
    <w:rsid w:val="009322D2"/>
    <w:rsid w:val="00933791"/>
    <w:rsid w:val="00933D99"/>
    <w:rsid w:val="00941A23"/>
    <w:rsid w:val="00942419"/>
    <w:rsid w:val="009440D7"/>
    <w:rsid w:val="00944F4E"/>
    <w:rsid w:val="00945566"/>
    <w:rsid w:val="00950AF3"/>
    <w:rsid w:val="0095411C"/>
    <w:rsid w:val="00955289"/>
    <w:rsid w:val="00963841"/>
    <w:rsid w:val="00964886"/>
    <w:rsid w:val="0096511C"/>
    <w:rsid w:val="009658C4"/>
    <w:rsid w:val="00965D45"/>
    <w:rsid w:val="00966E52"/>
    <w:rsid w:val="00966E71"/>
    <w:rsid w:val="009708FA"/>
    <w:rsid w:val="00971A09"/>
    <w:rsid w:val="009735F2"/>
    <w:rsid w:val="00975B40"/>
    <w:rsid w:val="009813AA"/>
    <w:rsid w:val="00981BA4"/>
    <w:rsid w:val="00981FF2"/>
    <w:rsid w:val="00982F2F"/>
    <w:rsid w:val="00984126"/>
    <w:rsid w:val="00987ACF"/>
    <w:rsid w:val="00991F61"/>
    <w:rsid w:val="00992CF0"/>
    <w:rsid w:val="00993BC1"/>
    <w:rsid w:val="00996536"/>
    <w:rsid w:val="009969EF"/>
    <w:rsid w:val="00997778"/>
    <w:rsid w:val="009A1E8A"/>
    <w:rsid w:val="009A36A7"/>
    <w:rsid w:val="009A5058"/>
    <w:rsid w:val="009A637F"/>
    <w:rsid w:val="009A7FDF"/>
    <w:rsid w:val="009B28F6"/>
    <w:rsid w:val="009B40A2"/>
    <w:rsid w:val="009B57AD"/>
    <w:rsid w:val="009B7565"/>
    <w:rsid w:val="009C1512"/>
    <w:rsid w:val="009C2BB5"/>
    <w:rsid w:val="009C2CD3"/>
    <w:rsid w:val="009C6937"/>
    <w:rsid w:val="009C73DD"/>
    <w:rsid w:val="009D00E6"/>
    <w:rsid w:val="009D0D0F"/>
    <w:rsid w:val="009D22C1"/>
    <w:rsid w:val="009E3714"/>
    <w:rsid w:val="009E545E"/>
    <w:rsid w:val="009E5EAC"/>
    <w:rsid w:val="009E7E32"/>
    <w:rsid w:val="009E7F74"/>
    <w:rsid w:val="009F50FD"/>
    <w:rsid w:val="009F7CAF"/>
    <w:rsid w:val="00A04CC5"/>
    <w:rsid w:val="00A132C2"/>
    <w:rsid w:val="00A13A4E"/>
    <w:rsid w:val="00A17E74"/>
    <w:rsid w:val="00A20412"/>
    <w:rsid w:val="00A20EE0"/>
    <w:rsid w:val="00A213E4"/>
    <w:rsid w:val="00A21DE1"/>
    <w:rsid w:val="00A21DFB"/>
    <w:rsid w:val="00A22DDD"/>
    <w:rsid w:val="00A23936"/>
    <w:rsid w:val="00A250B4"/>
    <w:rsid w:val="00A25BA9"/>
    <w:rsid w:val="00A30924"/>
    <w:rsid w:val="00A3446B"/>
    <w:rsid w:val="00A378D7"/>
    <w:rsid w:val="00A418BF"/>
    <w:rsid w:val="00A43EE0"/>
    <w:rsid w:val="00A46144"/>
    <w:rsid w:val="00A60AD8"/>
    <w:rsid w:val="00A61FAE"/>
    <w:rsid w:val="00A67824"/>
    <w:rsid w:val="00A67F9E"/>
    <w:rsid w:val="00A716DC"/>
    <w:rsid w:val="00A72254"/>
    <w:rsid w:val="00A72C19"/>
    <w:rsid w:val="00A739BB"/>
    <w:rsid w:val="00A747D2"/>
    <w:rsid w:val="00A7512B"/>
    <w:rsid w:val="00A81919"/>
    <w:rsid w:val="00A82DA0"/>
    <w:rsid w:val="00A85A72"/>
    <w:rsid w:val="00A870E2"/>
    <w:rsid w:val="00A87262"/>
    <w:rsid w:val="00A878D6"/>
    <w:rsid w:val="00A90136"/>
    <w:rsid w:val="00A90864"/>
    <w:rsid w:val="00A90ACF"/>
    <w:rsid w:val="00A90EB3"/>
    <w:rsid w:val="00A91421"/>
    <w:rsid w:val="00AA3613"/>
    <w:rsid w:val="00AA3B56"/>
    <w:rsid w:val="00AB0939"/>
    <w:rsid w:val="00AC2148"/>
    <w:rsid w:val="00AC41B8"/>
    <w:rsid w:val="00AC5116"/>
    <w:rsid w:val="00AC67D5"/>
    <w:rsid w:val="00AC6AEF"/>
    <w:rsid w:val="00AD1EAA"/>
    <w:rsid w:val="00AD29C5"/>
    <w:rsid w:val="00AD32FB"/>
    <w:rsid w:val="00AD6452"/>
    <w:rsid w:val="00AD653F"/>
    <w:rsid w:val="00AE1124"/>
    <w:rsid w:val="00AE1375"/>
    <w:rsid w:val="00AE1730"/>
    <w:rsid w:val="00AF2911"/>
    <w:rsid w:val="00AF3B50"/>
    <w:rsid w:val="00AF3B5D"/>
    <w:rsid w:val="00AF4D10"/>
    <w:rsid w:val="00AF53FF"/>
    <w:rsid w:val="00AF62C0"/>
    <w:rsid w:val="00B034F4"/>
    <w:rsid w:val="00B11CDB"/>
    <w:rsid w:val="00B12152"/>
    <w:rsid w:val="00B12D83"/>
    <w:rsid w:val="00B13C11"/>
    <w:rsid w:val="00B22870"/>
    <w:rsid w:val="00B23E8B"/>
    <w:rsid w:val="00B24A43"/>
    <w:rsid w:val="00B26D9E"/>
    <w:rsid w:val="00B272E3"/>
    <w:rsid w:val="00B315EA"/>
    <w:rsid w:val="00B3387E"/>
    <w:rsid w:val="00B55895"/>
    <w:rsid w:val="00B57A4E"/>
    <w:rsid w:val="00B64E19"/>
    <w:rsid w:val="00B6505F"/>
    <w:rsid w:val="00B7223F"/>
    <w:rsid w:val="00B75321"/>
    <w:rsid w:val="00B76C20"/>
    <w:rsid w:val="00B81208"/>
    <w:rsid w:val="00B87190"/>
    <w:rsid w:val="00B93D32"/>
    <w:rsid w:val="00B97BB4"/>
    <w:rsid w:val="00BA03B7"/>
    <w:rsid w:val="00BA2B9D"/>
    <w:rsid w:val="00BA3FE9"/>
    <w:rsid w:val="00BA4C0D"/>
    <w:rsid w:val="00BA573B"/>
    <w:rsid w:val="00BB0FAF"/>
    <w:rsid w:val="00BB12A2"/>
    <w:rsid w:val="00BB47E7"/>
    <w:rsid w:val="00BC410D"/>
    <w:rsid w:val="00BD0CD8"/>
    <w:rsid w:val="00BD3FA0"/>
    <w:rsid w:val="00BD655B"/>
    <w:rsid w:val="00BE4F7B"/>
    <w:rsid w:val="00BF1136"/>
    <w:rsid w:val="00BF2B02"/>
    <w:rsid w:val="00BF2C9E"/>
    <w:rsid w:val="00BF3D7F"/>
    <w:rsid w:val="00BF3E4A"/>
    <w:rsid w:val="00BF635B"/>
    <w:rsid w:val="00BF77B5"/>
    <w:rsid w:val="00C00893"/>
    <w:rsid w:val="00C00A03"/>
    <w:rsid w:val="00C026EC"/>
    <w:rsid w:val="00C035E3"/>
    <w:rsid w:val="00C039ED"/>
    <w:rsid w:val="00C03F3F"/>
    <w:rsid w:val="00C0456A"/>
    <w:rsid w:val="00C0502D"/>
    <w:rsid w:val="00C054DB"/>
    <w:rsid w:val="00C07524"/>
    <w:rsid w:val="00C1370D"/>
    <w:rsid w:val="00C1448C"/>
    <w:rsid w:val="00C148EE"/>
    <w:rsid w:val="00C14A2B"/>
    <w:rsid w:val="00C164CF"/>
    <w:rsid w:val="00C16C1F"/>
    <w:rsid w:val="00C20FE7"/>
    <w:rsid w:val="00C21345"/>
    <w:rsid w:val="00C21960"/>
    <w:rsid w:val="00C26A8F"/>
    <w:rsid w:val="00C277AF"/>
    <w:rsid w:val="00C34BC9"/>
    <w:rsid w:val="00C35483"/>
    <w:rsid w:val="00C40565"/>
    <w:rsid w:val="00C40845"/>
    <w:rsid w:val="00C41076"/>
    <w:rsid w:val="00C42598"/>
    <w:rsid w:val="00C444DB"/>
    <w:rsid w:val="00C449C8"/>
    <w:rsid w:val="00C46C3D"/>
    <w:rsid w:val="00C50040"/>
    <w:rsid w:val="00C5618C"/>
    <w:rsid w:val="00C564CF"/>
    <w:rsid w:val="00C6717E"/>
    <w:rsid w:val="00C67C3C"/>
    <w:rsid w:val="00C73614"/>
    <w:rsid w:val="00C745AD"/>
    <w:rsid w:val="00C74AAE"/>
    <w:rsid w:val="00C74F4F"/>
    <w:rsid w:val="00C75A38"/>
    <w:rsid w:val="00C77E88"/>
    <w:rsid w:val="00C823C7"/>
    <w:rsid w:val="00C83150"/>
    <w:rsid w:val="00C83DA5"/>
    <w:rsid w:val="00C86833"/>
    <w:rsid w:val="00C8775B"/>
    <w:rsid w:val="00CA1E95"/>
    <w:rsid w:val="00CA28DD"/>
    <w:rsid w:val="00CA35E7"/>
    <w:rsid w:val="00CB3D3F"/>
    <w:rsid w:val="00CB5729"/>
    <w:rsid w:val="00CB5923"/>
    <w:rsid w:val="00CB7431"/>
    <w:rsid w:val="00CC1A6E"/>
    <w:rsid w:val="00CC24E0"/>
    <w:rsid w:val="00CC2577"/>
    <w:rsid w:val="00CC29EC"/>
    <w:rsid w:val="00CC381C"/>
    <w:rsid w:val="00CC4F43"/>
    <w:rsid w:val="00CC7596"/>
    <w:rsid w:val="00CD70A5"/>
    <w:rsid w:val="00CD78AA"/>
    <w:rsid w:val="00CE08B6"/>
    <w:rsid w:val="00CE113B"/>
    <w:rsid w:val="00CE15B3"/>
    <w:rsid w:val="00CE16BD"/>
    <w:rsid w:val="00CE2352"/>
    <w:rsid w:val="00CE2EDF"/>
    <w:rsid w:val="00CE3BB1"/>
    <w:rsid w:val="00CE3E82"/>
    <w:rsid w:val="00CE47A0"/>
    <w:rsid w:val="00CE4AD1"/>
    <w:rsid w:val="00CE4D1D"/>
    <w:rsid w:val="00CF19C5"/>
    <w:rsid w:val="00CF26F3"/>
    <w:rsid w:val="00CF6CD2"/>
    <w:rsid w:val="00D02F87"/>
    <w:rsid w:val="00D07A8C"/>
    <w:rsid w:val="00D22B65"/>
    <w:rsid w:val="00D22BB1"/>
    <w:rsid w:val="00D270EE"/>
    <w:rsid w:val="00D30985"/>
    <w:rsid w:val="00D30D94"/>
    <w:rsid w:val="00D3265B"/>
    <w:rsid w:val="00D34C1C"/>
    <w:rsid w:val="00D42445"/>
    <w:rsid w:val="00D52587"/>
    <w:rsid w:val="00D54783"/>
    <w:rsid w:val="00D54D76"/>
    <w:rsid w:val="00D608C2"/>
    <w:rsid w:val="00D62417"/>
    <w:rsid w:val="00D63303"/>
    <w:rsid w:val="00D66D19"/>
    <w:rsid w:val="00D675BE"/>
    <w:rsid w:val="00D67D4F"/>
    <w:rsid w:val="00D70E91"/>
    <w:rsid w:val="00D7787D"/>
    <w:rsid w:val="00D809E2"/>
    <w:rsid w:val="00D81C76"/>
    <w:rsid w:val="00D82DC6"/>
    <w:rsid w:val="00D83ABC"/>
    <w:rsid w:val="00D942D3"/>
    <w:rsid w:val="00D94458"/>
    <w:rsid w:val="00D967A4"/>
    <w:rsid w:val="00D96959"/>
    <w:rsid w:val="00DA0522"/>
    <w:rsid w:val="00DA42EA"/>
    <w:rsid w:val="00DA7EB7"/>
    <w:rsid w:val="00DB0D66"/>
    <w:rsid w:val="00DB296D"/>
    <w:rsid w:val="00DB5C7E"/>
    <w:rsid w:val="00DB7202"/>
    <w:rsid w:val="00DB7C34"/>
    <w:rsid w:val="00DC0F54"/>
    <w:rsid w:val="00DC44A2"/>
    <w:rsid w:val="00DC6DB5"/>
    <w:rsid w:val="00DC7F04"/>
    <w:rsid w:val="00DD3058"/>
    <w:rsid w:val="00DD48DD"/>
    <w:rsid w:val="00DD4C0F"/>
    <w:rsid w:val="00DD5FEE"/>
    <w:rsid w:val="00DE25BC"/>
    <w:rsid w:val="00DE3DF0"/>
    <w:rsid w:val="00DE4E06"/>
    <w:rsid w:val="00DE71C1"/>
    <w:rsid w:val="00DF3374"/>
    <w:rsid w:val="00DF4F6C"/>
    <w:rsid w:val="00DF7459"/>
    <w:rsid w:val="00DF775C"/>
    <w:rsid w:val="00E03779"/>
    <w:rsid w:val="00E11DAB"/>
    <w:rsid w:val="00E124E1"/>
    <w:rsid w:val="00E12762"/>
    <w:rsid w:val="00E15305"/>
    <w:rsid w:val="00E17D67"/>
    <w:rsid w:val="00E21F33"/>
    <w:rsid w:val="00E22E82"/>
    <w:rsid w:val="00E22E99"/>
    <w:rsid w:val="00E24836"/>
    <w:rsid w:val="00E25146"/>
    <w:rsid w:val="00E25FF4"/>
    <w:rsid w:val="00E31B31"/>
    <w:rsid w:val="00E3329C"/>
    <w:rsid w:val="00E3637B"/>
    <w:rsid w:val="00E364E5"/>
    <w:rsid w:val="00E41DED"/>
    <w:rsid w:val="00E430A4"/>
    <w:rsid w:val="00E44694"/>
    <w:rsid w:val="00E46863"/>
    <w:rsid w:val="00E51AB2"/>
    <w:rsid w:val="00E56B18"/>
    <w:rsid w:val="00E62F3C"/>
    <w:rsid w:val="00E654A6"/>
    <w:rsid w:val="00E6556B"/>
    <w:rsid w:val="00E70FED"/>
    <w:rsid w:val="00E71592"/>
    <w:rsid w:val="00E71E10"/>
    <w:rsid w:val="00E73E65"/>
    <w:rsid w:val="00E74230"/>
    <w:rsid w:val="00E7597A"/>
    <w:rsid w:val="00E75BF0"/>
    <w:rsid w:val="00E82982"/>
    <w:rsid w:val="00E8422F"/>
    <w:rsid w:val="00E97004"/>
    <w:rsid w:val="00EA27D6"/>
    <w:rsid w:val="00EA2B2B"/>
    <w:rsid w:val="00EA6AA6"/>
    <w:rsid w:val="00EA6DFB"/>
    <w:rsid w:val="00EB1328"/>
    <w:rsid w:val="00EB1387"/>
    <w:rsid w:val="00EB31E2"/>
    <w:rsid w:val="00EB6412"/>
    <w:rsid w:val="00EB678D"/>
    <w:rsid w:val="00EC1000"/>
    <w:rsid w:val="00EC2986"/>
    <w:rsid w:val="00EC7742"/>
    <w:rsid w:val="00ED1346"/>
    <w:rsid w:val="00ED3255"/>
    <w:rsid w:val="00ED389A"/>
    <w:rsid w:val="00ED429B"/>
    <w:rsid w:val="00ED5881"/>
    <w:rsid w:val="00ED5CB9"/>
    <w:rsid w:val="00ED72D3"/>
    <w:rsid w:val="00ED7E6A"/>
    <w:rsid w:val="00EE1F6A"/>
    <w:rsid w:val="00EE370E"/>
    <w:rsid w:val="00EE55E2"/>
    <w:rsid w:val="00EE5D8A"/>
    <w:rsid w:val="00EE7B6C"/>
    <w:rsid w:val="00EF07EE"/>
    <w:rsid w:val="00EF2769"/>
    <w:rsid w:val="00EF3DBB"/>
    <w:rsid w:val="00EF488F"/>
    <w:rsid w:val="00EF6D79"/>
    <w:rsid w:val="00EF7374"/>
    <w:rsid w:val="00F012B3"/>
    <w:rsid w:val="00F0473E"/>
    <w:rsid w:val="00F06307"/>
    <w:rsid w:val="00F06DC3"/>
    <w:rsid w:val="00F07E84"/>
    <w:rsid w:val="00F100FC"/>
    <w:rsid w:val="00F12B21"/>
    <w:rsid w:val="00F12D2F"/>
    <w:rsid w:val="00F13E36"/>
    <w:rsid w:val="00F15D11"/>
    <w:rsid w:val="00F1677B"/>
    <w:rsid w:val="00F20ED8"/>
    <w:rsid w:val="00F20F35"/>
    <w:rsid w:val="00F21C58"/>
    <w:rsid w:val="00F247DA"/>
    <w:rsid w:val="00F33223"/>
    <w:rsid w:val="00F33A52"/>
    <w:rsid w:val="00F341B7"/>
    <w:rsid w:val="00F3655B"/>
    <w:rsid w:val="00F37E59"/>
    <w:rsid w:val="00F408ED"/>
    <w:rsid w:val="00F4096D"/>
    <w:rsid w:val="00F44DA4"/>
    <w:rsid w:val="00F50A76"/>
    <w:rsid w:val="00F52DD9"/>
    <w:rsid w:val="00F53B07"/>
    <w:rsid w:val="00F541B8"/>
    <w:rsid w:val="00F67F4A"/>
    <w:rsid w:val="00F75F94"/>
    <w:rsid w:val="00F778BF"/>
    <w:rsid w:val="00F83561"/>
    <w:rsid w:val="00F85BF4"/>
    <w:rsid w:val="00F86337"/>
    <w:rsid w:val="00F9383F"/>
    <w:rsid w:val="00F97598"/>
    <w:rsid w:val="00FA4DFF"/>
    <w:rsid w:val="00FA5575"/>
    <w:rsid w:val="00FB2369"/>
    <w:rsid w:val="00FB2BE9"/>
    <w:rsid w:val="00FB2EB6"/>
    <w:rsid w:val="00FB2F19"/>
    <w:rsid w:val="00FB4210"/>
    <w:rsid w:val="00FB7065"/>
    <w:rsid w:val="00FC31BC"/>
    <w:rsid w:val="00FC3678"/>
    <w:rsid w:val="00FD338F"/>
    <w:rsid w:val="00FD3477"/>
    <w:rsid w:val="00FD3F63"/>
    <w:rsid w:val="00FD49DF"/>
    <w:rsid w:val="00FD729E"/>
    <w:rsid w:val="00FE023D"/>
    <w:rsid w:val="00FF1FF3"/>
    <w:rsid w:val="00FF27B9"/>
    <w:rsid w:val="00FF5AE9"/>
    <w:rsid w:val="00FF6594"/>
    <w:rsid w:val="329F29EB"/>
    <w:rsid w:val="5DDB44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320A3"/>
  <w15:docId w15:val="{DACCAF34-5BA3-4AF9-AFA9-4951395E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sv-FI" w:eastAsia="sv-SE"/>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D805052-C320-114C-B724-9FED2DDBC0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9820</Words>
  <Characters>55980</Characters>
  <Application>Microsoft Office Word</Application>
  <DocSecurity>0</DocSecurity>
  <Lines>466</Lines>
  <Paragraphs>131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65669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D'Oro</dc:creator>
  <cp:lastModifiedBy>Giuseppina D'Oro</cp:lastModifiedBy>
  <cp:revision>2</cp:revision>
  <dcterms:created xsi:type="dcterms:W3CDTF">2021-06-29T19:01:00Z</dcterms:created>
  <dcterms:modified xsi:type="dcterms:W3CDTF">2021-06-29T19:01:00Z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