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0288" w14:textId="77777777" w:rsidR="001C5D2F" w:rsidRDefault="001C5D2F" w:rsidP="006F0D2E">
      <w:pPr>
        <w:spacing w:line="480" w:lineRule="auto"/>
        <w:rPr>
          <w:b/>
        </w:rPr>
      </w:pPr>
      <w:r w:rsidRPr="001C5D2F">
        <w:rPr>
          <w:b/>
        </w:rPr>
        <w:t xml:space="preserve">After the European Global Vaccination Summit – </w:t>
      </w:r>
    </w:p>
    <w:p w14:paraId="6A8AFD8F" w14:textId="77777777" w:rsidR="002D5EB5" w:rsidRPr="001C5D2F" w:rsidRDefault="002D5EB5" w:rsidP="006F0D2E">
      <w:pPr>
        <w:spacing w:line="480" w:lineRule="auto"/>
        <w:rPr>
          <w:b/>
        </w:rPr>
      </w:pPr>
      <w:r w:rsidRPr="001C5D2F">
        <w:rPr>
          <w:b/>
        </w:rPr>
        <w:t>T</w:t>
      </w:r>
      <w:r>
        <w:rPr>
          <w:b/>
        </w:rPr>
        <w:t>he Need for Practical Policies</w:t>
      </w:r>
      <w:r w:rsidRPr="001C5D2F">
        <w:rPr>
          <w:b/>
        </w:rPr>
        <w:t xml:space="preserve"> to Boost Vaccination Delivery </w:t>
      </w:r>
      <w:r>
        <w:rPr>
          <w:b/>
        </w:rPr>
        <w:t xml:space="preserve">to Children </w:t>
      </w:r>
      <w:r w:rsidRPr="001C5D2F">
        <w:rPr>
          <w:b/>
        </w:rPr>
        <w:t>in Europe</w:t>
      </w:r>
    </w:p>
    <w:p w14:paraId="712E5533" w14:textId="77777777" w:rsidR="00266C73" w:rsidRPr="00A20E33" w:rsidRDefault="00266C73" w:rsidP="00266C73">
      <w:pPr>
        <w:pStyle w:val="HTMLPreformatted"/>
        <w:rPr>
          <w:rFonts w:asciiTheme="minorHAnsi" w:hAnsiTheme="minorHAnsi"/>
          <w:b/>
          <w:sz w:val="22"/>
        </w:rPr>
      </w:pPr>
      <w:r w:rsidRPr="00A20E33">
        <w:rPr>
          <w:rFonts w:asciiTheme="minorHAnsi" w:hAnsiTheme="minorHAnsi"/>
          <w:b/>
          <w:sz w:val="22"/>
        </w:rPr>
        <w:t>Michael J Rigby</w:t>
      </w:r>
    </w:p>
    <w:p w14:paraId="19878834" w14:textId="77777777" w:rsidR="00266C73" w:rsidRDefault="00266C73" w:rsidP="00266C73">
      <w:pPr>
        <w:pStyle w:val="HTMLPreformatted"/>
        <w:rPr>
          <w:rFonts w:asciiTheme="minorHAnsi" w:hAnsiTheme="minorHAnsi"/>
          <w:sz w:val="22"/>
        </w:rPr>
      </w:pPr>
    </w:p>
    <w:p w14:paraId="7F810456" w14:textId="77777777" w:rsidR="00266C73" w:rsidRDefault="00266C73" w:rsidP="00266C73">
      <w:pPr>
        <w:pStyle w:val="HTMLPreformatted"/>
        <w:rPr>
          <w:rFonts w:asciiTheme="minorHAnsi" w:hAnsiTheme="minorHAnsi"/>
          <w:sz w:val="22"/>
        </w:rPr>
      </w:pPr>
      <w:r>
        <w:rPr>
          <w:rFonts w:asciiTheme="minorHAnsi" w:hAnsiTheme="minorHAnsi"/>
          <w:sz w:val="22"/>
        </w:rPr>
        <w:t xml:space="preserve">Emeritus Professor of Health Information Strategy, </w:t>
      </w:r>
    </w:p>
    <w:p w14:paraId="13904218" w14:textId="77777777" w:rsidR="00266C73" w:rsidRDefault="00266C73" w:rsidP="00266C73">
      <w:pPr>
        <w:pStyle w:val="HTMLPreformatted"/>
        <w:rPr>
          <w:rFonts w:asciiTheme="minorHAnsi" w:hAnsiTheme="minorHAnsi"/>
          <w:sz w:val="22"/>
        </w:rPr>
      </w:pPr>
    </w:p>
    <w:p w14:paraId="20444719" w14:textId="77777777" w:rsidR="00266C73" w:rsidRPr="00266C73" w:rsidRDefault="00266C73" w:rsidP="00266C73">
      <w:pPr>
        <w:pStyle w:val="HTMLPreformatted"/>
        <w:rPr>
          <w:rFonts w:asciiTheme="minorHAnsi" w:hAnsiTheme="minorHAnsi"/>
          <w:sz w:val="22"/>
        </w:rPr>
      </w:pPr>
      <w:r w:rsidRPr="00266C73">
        <w:rPr>
          <w:rFonts w:asciiTheme="minorHAnsi" w:hAnsiTheme="minorHAnsi"/>
          <w:sz w:val="22"/>
        </w:rPr>
        <w:t>School of Social, Political and Global Studies and</w:t>
      </w:r>
    </w:p>
    <w:p w14:paraId="76683C48" w14:textId="77777777" w:rsidR="00266C73" w:rsidRDefault="00266C73" w:rsidP="00266C73">
      <w:pPr>
        <w:pStyle w:val="HTMLPreformatted"/>
        <w:rPr>
          <w:rFonts w:asciiTheme="minorHAnsi" w:hAnsiTheme="minorHAnsi"/>
          <w:sz w:val="22"/>
        </w:rPr>
      </w:pPr>
      <w:r w:rsidRPr="00266C73">
        <w:rPr>
          <w:rFonts w:asciiTheme="minorHAnsi" w:hAnsiTheme="minorHAnsi"/>
          <w:sz w:val="22"/>
        </w:rPr>
        <w:t>School of Primary, Community and Social Care</w:t>
      </w:r>
    </w:p>
    <w:p w14:paraId="17DD8AD3" w14:textId="77777777" w:rsidR="00266C73" w:rsidRDefault="00266C73" w:rsidP="00266C73">
      <w:pPr>
        <w:pStyle w:val="HTMLPreformatted"/>
        <w:rPr>
          <w:rFonts w:asciiTheme="minorHAnsi" w:hAnsiTheme="minorHAnsi"/>
          <w:sz w:val="22"/>
        </w:rPr>
      </w:pPr>
      <w:r>
        <w:rPr>
          <w:rFonts w:asciiTheme="minorHAnsi" w:hAnsiTheme="minorHAnsi"/>
          <w:sz w:val="22"/>
        </w:rPr>
        <w:t>Keele University, United Kingdom</w:t>
      </w:r>
    </w:p>
    <w:p w14:paraId="29236D16" w14:textId="77777777" w:rsidR="00266C73" w:rsidRDefault="00266C73" w:rsidP="00266C73">
      <w:pPr>
        <w:pStyle w:val="HTMLPreformatted"/>
        <w:rPr>
          <w:rFonts w:asciiTheme="minorHAnsi" w:hAnsiTheme="minorHAnsi"/>
          <w:sz w:val="22"/>
        </w:rPr>
      </w:pPr>
    </w:p>
    <w:p w14:paraId="4F1CB3D1" w14:textId="77777777" w:rsidR="00266C73" w:rsidRDefault="00266C73" w:rsidP="00266C73">
      <w:pPr>
        <w:pStyle w:val="HTMLPreformatted"/>
        <w:rPr>
          <w:rFonts w:asciiTheme="minorHAnsi" w:hAnsiTheme="minorHAnsi"/>
          <w:sz w:val="22"/>
        </w:rPr>
      </w:pPr>
    </w:p>
    <w:p w14:paraId="1B2B3610" w14:textId="77777777" w:rsidR="00266C73" w:rsidRDefault="00266C73" w:rsidP="00266C73">
      <w:pPr>
        <w:pStyle w:val="HTMLPreformatted"/>
        <w:rPr>
          <w:rFonts w:asciiTheme="minorHAnsi" w:hAnsiTheme="minorHAnsi"/>
          <w:sz w:val="22"/>
        </w:rPr>
      </w:pPr>
    </w:p>
    <w:p w14:paraId="63C5D52F" w14:textId="77777777" w:rsidR="00266C73" w:rsidRDefault="00266C73" w:rsidP="00266C73">
      <w:pPr>
        <w:pStyle w:val="HTMLPreformatted"/>
        <w:rPr>
          <w:rFonts w:asciiTheme="minorHAnsi" w:hAnsiTheme="minorHAnsi"/>
          <w:sz w:val="22"/>
        </w:rPr>
      </w:pPr>
    </w:p>
    <w:p w14:paraId="37904FF4" w14:textId="77777777" w:rsidR="00266C73" w:rsidRDefault="00266C73" w:rsidP="00266C73">
      <w:pPr>
        <w:pStyle w:val="HTMLPreformatted"/>
        <w:rPr>
          <w:rFonts w:asciiTheme="minorHAnsi" w:hAnsiTheme="minorHAnsi"/>
          <w:sz w:val="22"/>
        </w:rPr>
      </w:pPr>
    </w:p>
    <w:p w14:paraId="3658225A" w14:textId="77777777" w:rsidR="00266C73" w:rsidRDefault="00266C73" w:rsidP="00266C73">
      <w:pPr>
        <w:pStyle w:val="HTMLPreformatted"/>
        <w:rPr>
          <w:rFonts w:asciiTheme="minorHAnsi" w:hAnsiTheme="minorHAnsi"/>
          <w:sz w:val="22"/>
        </w:rPr>
      </w:pPr>
    </w:p>
    <w:p w14:paraId="6E2AA0F2" w14:textId="77777777" w:rsidR="00266C73" w:rsidRDefault="00266C73" w:rsidP="00266C73">
      <w:pPr>
        <w:pStyle w:val="HTMLPreformatted"/>
        <w:rPr>
          <w:rFonts w:asciiTheme="minorHAnsi" w:hAnsiTheme="minorHAnsi"/>
          <w:sz w:val="22"/>
        </w:rPr>
      </w:pPr>
    </w:p>
    <w:p w14:paraId="746D6457" w14:textId="77777777" w:rsidR="00266C73" w:rsidRDefault="00266C73" w:rsidP="00266C73">
      <w:pPr>
        <w:pStyle w:val="HTMLPreformatted"/>
        <w:rPr>
          <w:rFonts w:asciiTheme="minorHAnsi" w:hAnsiTheme="minorHAnsi"/>
          <w:sz w:val="22"/>
        </w:rPr>
      </w:pPr>
    </w:p>
    <w:p w14:paraId="23AF4456" w14:textId="77777777" w:rsidR="00266C73" w:rsidRDefault="00266C73" w:rsidP="00266C73">
      <w:pPr>
        <w:pStyle w:val="HTMLPreformatted"/>
        <w:rPr>
          <w:rFonts w:asciiTheme="minorHAnsi" w:hAnsiTheme="minorHAnsi"/>
          <w:sz w:val="22"/>
        </w:rPr>
      </w:pPr>
    </w:p>
    <w:p w14:paraId="15DD4BEB" w14:textId="77777777" w:rsidR="00266C73" w:rsidRDefault="00266C73" w:rsidP="00266C73">
      <w:pPr>
        <w:pStyle w:val="HTMLPreformatted"/>
        <w:rPr>
          <w:rFonts w:asciiTheme="minorHAnsi" w:hAnsiTheme="minorHAnsi"/>
          <w:sz w:val="22"/>
        </w:rPr>
      </w:pPr>
    </w:p>
    <w:p w14:paraId="65B64472" w14:textId="77777777" w:rsidR="00266C73" w:rsidRDefault="00266C73" w:rsidP="00266C73">
      <w:pPr>
        <w:pStyle w:val="HTMLPreformatted"/>
        <w:rPr>
          <w:rFonts w:asciiTheme="minorHAnsi" w:hAnsiTheme="minorHAnsi"/>
          <w:sz w:val="22"/>
        </w:rPr>
      </w:pPr>
    </w:p>
    <w:p w14:paraId="1C6CAD98" w14:textId="77777777" w:rsidR="00266C73" w:rsidRDefault="00266C73" w:rsidP="00266C73">
      <w:pPr>
        <w:pStyle w:val="HTMLPreformatted"/>
        <w:rPr>
          <w:rFonts w:asciiTheme="minorHAnsi" w:hAnsiTheme="minorHAnsi"/>
          <w:sz w:val="22"/>
        </w:rPr>
      </w:pPr>
    </w:p>
    <w:p w14:paraId="104C7471" w14:textId="77777777" w:rsidR="00266C73" w:rsidRDefault="00266C73" w:rsidP="00266C73">
      <w:pPr>
        <w:pStyle w:val="HTMLPreformatted"/>
        <w:rPr>
          <w:rFonts w:asciiTheme="minorHAnsi" w:hAnsiTheme="minorHAnsi"/>
          <w:sz w:val="22"/>
        </w:rPr>
      </w:pPr>
    </w:p>
    <w:p w14:paraId="601BCCD2" w14:textId="77777777" w:rsidR="00266C73" w:rsidRDefault="00266C73" w:rsidP="00266C73">
      <w:pPr>
        <w:pStyle w:val="HTMLPreformatted"/>
        <w:rPr>
          <w:rFonts w:asciiTheme="minorHAnsi" w:hAnsiTheme="minorHAnsi"/>
          <w:sz w:val="22"/>
        </w:rPr>
      </w:pPr>
      <w:r>
        <w:rPr>
          <w:rFonts w:asciiTheme="minorHAnsi" w:hAnsiTheme="minorHAnsi"/>
          <w:sz w:val="22"/>
        </w:rPr>
        <w:t>Postal address:</w:t>
      </w:r>
    </w:p>
    <w:p w14:paraId="258D6FDA" w14:textId="77777777" w:rsidR="00266C73" w:rsidRDefault="00266C73" w:rsidP="00266C73">
      <w:pPr>
        <w:pStyle w:val="HTMLPreformatted"/>
        <w:rPr>
          <w:rFonts w:asciiTheme="minorHAnsi" w:hAnsiTheme="minorHAnsi"/>
          <w:sz w:val="22"/>
        </w:rPr>
      </w:pPr>
    </w:p>
    <w:p w14:paraId="3E08D6B0" w14:textId="77777777" w:rsidR="00266C73" w:rsidRDefault="00266C73" w:rsidP="00266C73">
      <w:pPr>
        <w:pStyle w:val="HTMLPreformatted"/>
        <w:rPr>
          <w:rFonts w:asciiTheme="minorHAnsi" w:hAnsiTheme="minorHAnsi"/>
          <w:sz w:val="22"/>
        </w:rPr>
      </w:pPr>
      <w:r>
        <w:rPr>
          <w:rFonts w:asciiTheme="minorHAnsi" w:hAnsiTheme="minorHAnsi"/>
          <w:sz w:val="22"/>
        </w:rPr>
        <w:t>Lavender hill</w:t>
      </w:r>
    </w:p>
    <w:p w14:paraId="7420E544" w14:textId="77777777" w:rsidR="00266C73" w:rsidRDefault="00266C73" w:rsidP="00266C73">
      <w:pPr>
        <w:pStyle w:val="HTMLPreformatted"/>
        <w:rPr>
          <w:rFonts w:asciiTheme="minorHAnsi" w:hAnsiTheme="minorHAnsi"/>
          <w:sz w:val="22"/>
        </w:rPr>
      </w:pPr>
      <w:r>
        <w:rPr>
          <w:rFonts w:asciiTheme="minorHAnsi" w:hAnsiTheme="minorHAnsi"/>
          <w:sz w:val="22"/>
        </w:rPr>
        <w:t>6 Carrighill Lower</w:t>
      </w:r>
    </w:p>
    <w:p w14:paraId="2D085EE9" w14:textId="77777777" w:rsidR="00266C73" w:rsidRDefault="00266C73" w:rsidP="00266C73">
      <w:pPr>
        <w:pStyle w:val="HTMLPreformatted"/>
        <w:rPr>
          <w:rFonts w:asciiTheme="minorHAnsi" w:hAnsiTheme="minorHAnsi"/>
          <w:sz w:val="22"/>
        </w:rPr>
      </w:pPr>
      <w:r>
        <w:rPr>
          <w:rFonts w:asciiTheme="minorHAnsi" w:hAnsiTheme="minorHAnsi"/>
          <w:sz w:val="22"/>
        </w:rPr>
        <w:t>Calverstown</w:t>
      </w:r>
    </w:p>
    <w:p w14:paraId="352DD834" w14:textId="77777777" w:rsidR="00266C73" w:rsidRDefault="00266C73" w:rsidP="00266C73">
      <w:pPr>
        <w:pStyle w:val="HTMLPreformatted"/>
        <w:rPr>
          <w:rFonts w:asciiTheme="minorHAnsi" w:hAnsiTheme="minorHAnsi"/>
          <w:sz w:val="22"/>
        </w:rPr>
      </w:pPr>
      <w:r>
        <w:rPr>
          <w:rFonts w:asciiTheme="minorHAnsi" w:hAnsiTheme="minorHAnsi"/>
          <w:sz w:val="22"/>
        </w:rPr>
        <w:t>Kilcullen</w:t>
      </w:r>
    </w:p>
    <w:p w14:paraId="3ACC0846" w14:textId="77777777" w:rsidR="00266C73" w:rsidRDefault="00266C73" w:rsidP="00266C73">
      <w:pPr>
        <w:pStyle w:val="HTMLPreformatted"/>
        <w:rPr>
          <w:rFonts w:asciiTheme="minorHAnsi" w:hAnsiTheme="minorHAnsi"/>
          <w:sz w:val="22"/>
        </w:rPr>
      </w:pPr>
      <w:r>
        <w:rPr>
          <w:rFonts w:asciiTheme="minorHAnsi" w:hAnsiTheme="minorHAnsi"/>
          <w:sz w:val="22"/>
        </w:rPr>
        <w:t>Co. Kildare</w:t>
      </w:r>
    </w:p>
    <w:p w14:paraId="406646E9" w14:textId="77777777" w:rsidR="00266C73" w:rsidRDefault="00266C73" w:rsidP="00266C73">
      <w:pPr>
        <w:pStyle w:val="HTMLPreformatted"/>
        <w:rPr>
          <w:rFonts w:asciiTheme="minorHAnsi" w:hAnsiTheme="minorHAnsi"/>
          <w:sz w:val="22"/>
        </w:rPr>
      </w:pPr>
      <w:r>
        <w:rPr>
          <w:rFonts w:asciiTheme="minorHAnsi" w:hAnsiTheme="minorHAnsi"/>
          <w:sz w:val="22"/>
        </w:rPr>
        <w:t>R56 DT91</w:t>
      </w:r>
    </w:p>
    <w:p w14:paraId="2EBB3E8C" w14:textId="77777777" w:rsidR="00266C73" w:rsidRDefault="00266C73" w:rsidP="00266C73">
      <w:pPr>
        <w:pStyle w:val="HTMLPreformatted"/>
        <w:rPr>
          <w:rFonts w:asciiTheme="minorHAnsi" w:hAnsiTheme="minorHAnsi"/>
          <w:sz w:val="22"/>
        </w:rPr>
      </w:pPr>
      <w:r>
        <w:rPr>
          <w:rFonts w:asciiTheme="minorHAnsi" w:hAnsiTheme="minorHAnsi"/>
          <w:sz w:val="22"/>
        </w:rPr>
        <w:t>Ireland</w:t>
      </w:r>
    </w:p>
    <w:p w14:paraId="605B5BE5" w14:textId="77777777" w:rsidR="00266C73" w:rsidRDefault="00266C73" w:rsidP="00266C73">
      <w:pPr>
        <w:pStyle w:val="HTMLPreformatted"/>
        <w:rPr>
          <w:rFonts w:asciiTheme="minorHAnsi" w:hAnsiTheme="minorHAnsi"/>
          <w:sz w:val="22"/>
        </w:rPr>
      </w:pPr>
    </w:p>
    <w:p w14:paraId="2BE154A2" w14:textId="77777777" w:rsidR="00266C73" w:rsidRDefault="00AD615B" w:rsidP="00266C73">
      <w:pPr>
        <w:pStyle w:val="HTMLPreformatted"/>
        <w:rPr>
          <w:rFonts w:asciiTheme="minorHAnsi" w:hAnsiTheme="minorHAnsi"/>
          <w:sz w:val="22"/>
        </w:rPr>
      </w:pPr>
      <w:hyperlink r:id="rId8" w:history="1">
        <w:r w:rsidR="00266C73" w:rsidRPr="005E16D1">
          <w:rPr>
            <w:rStyle w:val="Hyperlink"/>
            <w:rFonts w:asciiTheme="minorHAnsi" w:hAnsiTheme="minorHAnsi"/>
            <w:sz w:val="22"/>
          </w:rPr>
          <w:t>m.j.rigby@keele.ac.uk</w:t>
        </w:r>
      </w:hyperlink>
    </w:p>
    <w:p w14:paraId="7E7888AA" w14:textId="77777777" w:rsidR="00266C73" w:rsidRDefault="00266C73" w:rsidP="00266C73">
      <w:pPr>
        <w:pStyle w:val="HTMLPreformatted"/>
        <w:rPr>
          <w:rFonts w:asciiTheme="minorHAnsi" w:hAnsiTheme="minorHAnsi"/>
          <w:sz w:val="22"/>
        </w:rPr>
      </w:pPr>
    </w:p>
    <w:p w14:paraId="711FDC56" w14:textId="77777777" w:rsidR="00266C73" w:rsidRDefault="00266C73" w:rsidP="00266C73">
      <w:pPr>
        <w:pStyle w:val="HTMLPreformatted"/>
        <w:rPr>
          <w:rFonts w:asciiTheme="minorHAnsi" w:hAnsiTheme="minorHAnsi"/>
          <w:sz w:val="22"/>
        </w:rPr>
      </w:pPr>
      <w:r>
        <w:rPr>
          <w:rFonts w:asciiTheme="minorHAnsi" w:hAnsiTheme="minorHAnsi"/>
          <w:sz w:val="22"/>
        </w:rPr>
        <w:t>landline: 00353 45 485858</w:t>
      </w:r>
    </w:p>
    <w:p w14:paraId="6E54D5BC" w14:textId="77777777" w:rsidR="00266C73" w:rsidRPr="00A20E33" w:rsidRDefault="00266C73" w:rsidP="00266C73">
      <w:pPr>
        <w:pStyle w:val="HTMLPreformatted"/>
        <w:rPr>
          <w:rFonts w:asciiTheme="minorHAnsi" w:hAnsiTheme="minorHAnsi"/>
          <w:sz w:val="22"/>
        </w:rPr>
      </w:pPr>
      <w:r>
        <w:rPr>
          <w:rFonts w:asciiTheme="minorHAnsi" w:hAnsiTheme="minorHAnsi"/>
          <w:sz w:val="22"/>
        </w:rPr>
        <w:t>mobile: 00 353 877653399</w:t>
      </w:r>
    </w:p>
    <w:p w14:paraId="47988F4C" w14:textId="77777777" w:rsidR="001C5D2F" w:rsidRPr="00266C73" w:rsidRDefault="001C5D2F" w:rsidP="006F0D2E">
      <w:pPr>
        <w:spacing w:line="480" w:lineRule="auto"/>
        <w:rPr>
          <w:b/>
          <w:bCs/>
        </w:rPr>
      </w:pPr>
    </w:p>
    <w:p w14:paraId="42BE3625" w14:textId="77777777" w:rsidR="001C5D2F" w:rsidRDefault="00266C73" w:rsidP="006F0D2E">
      <w:pPr>
        <w:spacing w:line="480" w:lineRule="auto"/>
      </w:pPr>
      <w:r>
        <w:t>No funding was received for this study.</w:t>
      </w:r>
    </w:p>
    <w:p w14:paraId="162FF3A0" w14:textId="77777777" w:rsidR="00266C73" w:rsidRDefault="00266C73" w:rsidP="006F0D2E">
      <w:pPr>
        <w:spacing w:line="480" w:lineRule="auto"/>
      </w:pPr>
      <w:r>
        <w:t>The author reports no conflict of interest.</w:t>
      </w:r>
    </w:p>
    <w:p w14:paraId="48A1EDDB" w14:textId="77777777" w:rsidR="00266C73" w:rsidRPr="006C7CC3" w:rsidRDefault="00266C73" w:rsidP="006F0D2E">
      <w:pPr>
        <w:spacing w:line="480" w:lineRule="auto"/>
      </w:pPr>
    </w:p>
    <w:p w14:paraId="072ED543" w14:textId="77777777" w:rsidR="001C5D2F" w:rsidRPr="006C7CC3" w:rsidRDefault="001C5D2F" w:rsidP="006F0D2E">
      <w:pPr>
        <w:pStyle w:val="Heading1"/>
        <w:spacing w:line="480" w:lineRule="auto"/>
      </w:pPr>
      <w:r w:rsidRPr="006C7CC3">
        <w:lastRenderedPageBreak/>
        <w:t>Abstract</w:t>
      </w:r>
    </w:p>
    <w:p w14:paraId="2AB811A1" w14:textId="77777777" w:rsidR="001C5D2F" w:rsidRPr="0003446D" w:rsidRDefault="001C5D2F" w:rsidP="006F0D2E">
      <w:pPr>
        <w:spacing w:line="480" w:lineRule="auto"/>
        <w:jc w:val="both"/>
      </w:pPr>
      <w:r w:rsidRPr="0003446D">
        <w:rPr>
          <w:u w:val="single"/>
        </w:rPr>
        <w:t>Background</w:t>
      </w:r>
      <w:r w:rsidRPr="0003446D">
        <w:t xml:space="preserve">. Low childhood </w:t>
      </w:r>
      <w:r w:rsidR="007611D8">
        <w:t>vaccination</w:t>
      </w:r>
      <w:r w:rsidRPr="0003446D">
        <w:t xml:space="preserve"> rates </w:t>
      </w:r>
      <w:r w:rsidR="002D5EB5">
        <w:t>in Europe continue to cause</w:t>
      </w:r>
      <w:r w:rsidRPr="0003446D">
        <w:t xml:space="preserve"> concern and have triggered </w:t>
      </w:r>
      <w:r w:rsidR="007611D8">
        <w:t>much policy study</w:t>
      </w:r>
      <w:r w:rsidRPr="0003446D">
        <w:t xml:space="preserve">. However, </w:t>
      </w:r>
      <w:r w:rsidR="007611D8">
        <w:t>regarding children</w:t>
      </w:r>
      <w:r w:rsidR="001F3563">
        <w:t>,</w:t>
      </w:r>
      <w:r w:rsidR="007611D8">
        <w:t xml:space="preserve"> </w:t>
      </w:r>
      <w:r w:rsidRPr="0003446D">
        <w:t>mak</w:t>
      </w:r>
      <w:r w:rsidR="007611D8">
        <w:t>ing</w:t>
      </w:r>
      <w:r w:rsidRPr="0003446D">
        <w:t xml:space="preserve"> immunisation a stand-alone issue cut</w:t>
      </w:r>
      <w:r w:rsidR="007611D8">
        <w:t>s</w:t>
      </w:r>
      <w:r w:rsidRPr="0003446D">
        <w:t xml:space="preserve"> across integrated child health services. </w:t>
      </w:r>
      <w:r w:rsidR="007611D8">
        <w:t xml:space="preserve">Most initiatives, including the ten Action Points from the </w:t>
      </w:r>
      <w:r w:rsidR="002D5EB5">
        <w:t xml:space="preserve">2019 </w:t>
      </w:r>
      <w:r w:rsidR="007611D8">
        <w:t xml:space="preserve">European-hosted Global Vaccination Summit, are all </w:t>
      </w:r>
      <w:r w:rsidR="002D5EB5">
        <w:t>laudable but high level enablement policies.</w:t>
      </w:r>
      <w:r w:rsidR="007611D8">
        <w:t xml:space="preserve"> </w:t>
      </w:r>
      <w:r w:rsidR="002D5EB5">
        <w:t>D</w:t>
      </w:r>
      <w:r w:rsidR="007611D8">
        <w:t xml:space="preserve">elivery processes </w:t>
      </w:r>
      <w:r w:rsidR="002D5EB5">
        <w:t>have been</w:t>
      </w:r>
      <w:r w:rsidR="007611D8">
        <w:t xml:space="preserve"> ignored, and key stakeholders not involved in discussions.</w:t>
      </w:r>
    </w:p>
    <w:p w14:paraId="7289205B" w14:textId="77777777" w:rsidR="007611D8" w:rsidRDefault="001C5D2F" w:rsidP="006F0D2E">
      <w:pPr>
        <w:spacing w:line="480" w:lineRule="auto"/>
        <w:jc w:val="both"/>
      </w:pPr>
      <w:r w:rsidRPr="0003446D">
        <w:rPr>
          <w:u w:val="single"/>
        </w:rPr>
        <w:t>Methods</w:t>
      </w:r>
      <w:r w:rsidRPr="0003446D">
        <w:t xml:space="preserve">. </w:t>
      </w:r>
      <w:r w:rsidR="007611D8">
        <w:t>Reviews of polic</w:t>
      </w:r>
      <w:r w:rsidR="002D5EB5">
        <w:t>ies</w:t>
      </w:r>
      <w:r w:rsidR="007611D8">
        <w:t xml:space="preserve">, </w:t>
      </w:r>
      <w:r w:rsidR="002D5EB5" w:rsidRPr="0003446D">
        <w:t>literature</w:t>
      </w:r>
      <w:r w:rsidR="002D5EB5">
        <w:t>,</w:t>
      </w:r>
      <w:r w:rsidR="002D5EB5" w:rsidRPr="0003446D">
        <w:t xml:space="preserve"> and </w:t>
      </w:r>
      <w:r w:rsidR="001F3563">
        <w:t xml:space="preserve">planned </w:t>
      </w:r>
      <w:r w:rsidR="007611D8">
        <w:t>actions</w:t>
      </w:r>
      <w:r w:rsidR="002D5EB5">
        <w:t>,</w:t>
      </w:r>
      <w:r w:rsidRPr="0003446D">
        <w:t xml:space="preserve"> </w:t>
      </w:r>
      <w:r w:rsidR="007611D8">
        <w:t xml:space="preserve">leading to identification of </w:t>
      </w:r>
      <w:r w:rsidR="001F3563">
        <w:t xml:space="preserve">further </w:t>
      </w:r>
      <w:r w:rsidR="002D5EB5">
        <w:t>delivery policies</w:t>
      </w:r>
      <w:r w:rsidR="007611D8">
        <w:t xml:space="preserve"> needed to facilitate and stimulate practical </w:t>
      </w:r>
      <w:r w:rsidR="002D5EB5">
        <w:t>accomplishments</w:t>
      </w:r>
      <w:r w:rsidR="001F3563">
        <w:t>.</w:t>
      </w:r>
    </w:p>
    <w:p w14:paraId="11AB3F38" w14:textId="5D952126" w:rsidR="001C5D2F" w:rsidRPr="0003446D" w:rsidRDefault="001C5D2F" w:rsidP="006F0D2E">
      <w:pPr>
        <w:spacing w:line="480" w:lineRule="auto"/>
        <w:jc w:val="both"/>
      </w:pPr>
      <w:r w:rsidRPr="007611D8">
        <w:rPr>
          <w:u w:val="single"/>
        </w:rPr>
        <w:t>Results</w:t>
      </w:r>
      <w:r w:rsidRPr="0003446D">
        <w:t xml:space="preserve">. </w:t>
      </w:r>
      <w:r w:rsidR="007611D8">
        <w:t>Ten a</w:t>
      </w:r>
      <w:r w:rsidR="002D5EB5">
        <w:t>spects</w:t>
      </w:r>
      <w:r w:rsidR="007611D8">
        <w:t xml:space="preserve"> are identified where European coordinated action to develop policies, share evidence, and increase standards, </w:t>
      </w:r>
      <w:r w:rsidR="006214E7">
        <w:t>would be beneficial</w:t>
      </w:r>
      <w:r w:rsidR="007611D8">
        <w:t>.</w:t>
      </w:r>
      <w:r w:rsidR="001F3563" w:rsidRPr="001F3563">
        <w:t xml:space="preserve"> </w:t>
      </w:r>
      <w:r w:rsidR="001F3563">
        <w:t>These also fit in with established European Commission strengths, and the incoming Commission’s polic</w:t>
      </w:r>
      <w:r w:rsidR="00213986">
        <w:t>i</w:t>
      </w:r>
      <w:r w:rsidR="001F3563">
        <w:t>es and priorities.</w:t>
      </w:r>
    </w:p>
    <w:p w14:paraId="71A4FA11" w14:textId="1AEFDE7E" w:rsidR="001C5D2F" w:rsidRPr="0003446D" w:rsidRDefault="001C5D2F" w:rsidP="006F0D2E">
      <w:pPr>
        <w:spacing w:line="480" w:lineRule="auto"/>
        <w:jc w:val="both"/>
      </w:pPr>
      <w:r w:rsidRPr="007611D8">
        <w:rPr>
          <w:u w:val="single"/>
        </w:rPr>
        <w:t>Conclusion</w:t>
      </w:r>
      <w:r w:rsidRPr="0003446D">
        <w:rPr>
          <w:b/>
        </w:rPr>
        <w:t>.</w:t>
      </w:r>
      <w:r w:rsidRPr="0003446D">
        <w:t xml:space="preserve">  The European Commission, </w:t>
      </w:r>
      <w:r w:rsidR="001F3563" w:rsidRPr="0003446D">
        <w:t>Member States</w:t>
      </w:r>
      <w:r w:rsidRPr="0003446D">
        <w:t xml:space="preserve">, and child health stakeholders should </w:t>
      </w:r>
      <w:r w:rsidR="001F3563">
        <w:t>pursue</w:t>
      </w:r>
      <w:r w:rsidRPr="0003446D">
        <w:t xml:space="preserve"> </w:t>
      </w:r>
      <w:r w:rsidR="006E3E99">
        <w:t>a holistic</w:t>
      </w:r>
      <w:r w:rsidRPr="0003446D">
        <w:t xml:space="preserve"> approach</w:t>
      </w:r>
      <w:r w:rsidR="001F3563">
        <w:t>, taking</w:t>
      </w:r>
      <w:r w:rsidRPr="0003446D">
        <w:t xml:space="preserve"> </w:t>
      </w:r>
      <w:r w:rsidR="001F3563" w:rsidRPr="0003446D">
        <w:t xml:space="preserve">immunisation as a component </w:t>
      </w:r>
      <w:r w:rsidR="001F3563">
        <w:t>of integrated</w:t>
      </w:r>
      <w:r w:rsidRPr="0003446D">
        <w:t xml:space="preserve"> child health. Service delivery should be </w:t>
      </w:r>
      <w:r w:rsidR="007611D8">
        <w:t>compatible with modern societal challenges and related parenting patter</w:t>
      </w:r>
      <w:r w:rsidR="001F3563">
        <w:t>n</w:t>
      </w:r>
      <w:r w:rsidR="007611D8">
        <w:t xml:space="preserve">s, and public </w:t>
      </w:r>
      <w:r w:rsidR="001F3563">
        <w:t>health</w:t>
      </w:r>
      <w:r w:rsidR="007611D8">
        <w:t xml:space="preserve"> processes modernised and reinvigorated.</w:t>
      </w:r>
      <w:r w:rsidR="001F3563">
        <w:t xml:space="preserve"> Nursing</w:t>
      </w:r>
      <w:r w:rsidR="00C20645">
        <w:t xml:space="preserve"> </w:t>
      </w:r>
      <w:r w:rsidR="001F3563">
        <w:t>and societal stakeholders should be brought in, and fit-for-purpose digital support facilitated.</w:t>
      </w:r>
      <w:r w:rsidR="001F3563" w:rsidRPr="001F3563">
        <w:t xml:space="preserve"> </w:t>
      </w:r>
      <w:r w:rsidR="006214E7">
        <w:t>This is even more urgent following the diversion of the Covid-19 pandemic.</w:t>
      </w:r>
    </w:p>
    <w:p w14:paraId="611A5D41" w14:textId="77777777" w:rsidR="001C5D2F" w:rsidRDefault="00C20645" w:rsidP="006F0D2E">
      <w:pPr>
        <w:spacing w:line="480" w:lineRule="auto"/>
        <w:jc w:val="both"/>
      </w:pPr>
      <w:r>
        <w:t>192</w:t>
      </w:r>
      <w:r w:rsidR="001C5D2F">
        <w:t xml:space="preserve"> words </w:t>
      </w:r>
    </w:p>
    <w:p w14:paraId="4B7862DA" w14:textId="77777777" w:rsidR="001C5D2F" w:rsidRDefault="001C5D2F" w:rsidP="006F0D2E">
      <w:pPr>
        <w:spacing w:line="480" w:lineRule="auto"/>
        <w:jc w:val="both"/>
      </w:pPr>
    </w:p>
    <w:p w14:paraId="64750FAC" w14:textId="77777777" w:rsidR="001C5D2F" w:rsidRPr="00417370" w:rsidRDefault="001C5D2F" w:rsidP="006F0D2E">
      <w:pPr>
        <w:spacing w:line="480" w:lineRule="auto"/>
        <w:jc w:val="both"/>
        <w:rPr>
          <w:u w:val="single"/>
        </w:rPr>
      </w:pPr>
      <w:r w:rsidRPr="00417370">
        <w:rPr>
          <w:u w:val="single"/>
        </w:rPr>
        <w:t>Key Words</w:t>
      </w:r>
    </w:p>
    <w:p w14:paraId="79E72873" w14:textId="77777777" w:rsidR="001C5D2F" w:rsidRDefault="00295771" w:rsidP="006F0D2E">
      <w:pPr>
        <w:spacing w:line="480" w:lineRule="auto"/>
      </w:pPr>
      <w:r>
        <w:t>Health policy; v</w:t>
      </w:r>
      <w:r w:rsidR="00D27200">
        <w:t>accination; children; service delivery; e-health; Europe</w:t>
      </w:r>
      <w:r w:rsidR="001C5D2F">
        <w:br w:type="page"/>
      </w:r>
    </w:p>
    <w:p w14:paraId="3407C45B" w14:textId="77777777" w:rsidR="001C5D2F" w:rsidRDefault="001C5D2F" w:rsidP="006F0D2E">
      <w:pPr>
        <w:spacing w:line="480" w:lineRule="auto"/>
        <w:rPr>
          <w:b/>
        </w:rPr>
      </w:pPr>
      <w:r w:rsidRPr="001C5D2F">
        <w:rPr>
          <w:b/>
        </w:rPr>
        <w:lastRenderedPageBreak/>
        <w:t xml:space="preserve">After the European Global Vaccination Summit – </w:t>
      </w:r>
    </w:p>
    <w:p w14:paraId="2904A536" w14:textId="77777777" w:rsidR="002D5EB5" w:rsidRPr="001C5D2F" w:rsidRDefault="002D5EB5" w:rsidP="006F0D2E">
      <w:pPr>
        <w:spacing w:line="480" w:lineRule="auto"/>
        <w:rPr>
          <w:b/>
        </w:rPr>
      </w:pPr>
      <w:r w:rsidRPr="001C5D2F">
        <w:rPr>
          <w:b/>
        </w:rPr>
        <w:t>T</w:t>
      </w:r>
      <w:r>
        <w:rPr>
          <w:b/>
        </w:rPr>
        <w:t>he Need for Practical Policies</w:t>
      </w:r>
      <w:r w:rsidRPr="001C5D2F">
        <w:rPr>
          <w:b/>
        </w:rPr>
        <w:t xml:space="preserve"> to Boost Vaccination Delivery </w:t>
      </w:r>
      <w:r>
        <w:rPr>
          <w:b/>
        </w:rPr>
        <w:t xml:space="preserve">to Children </w:t>
      </w:r>
      <w:r w:rsidRPr="001C5D2F">
        <w:rPr>
          <w:b/>
        </w:rPr>
        <w:t>in Europe</w:t>
      </w:r>
    </w:p>
    <w:p w14:paraId="3242CD67" w14:textId="77777777" w:rsidR="001C5D2F" w:rsidRDefault="001C5D2F" w:rsidP="006F0D2E">
      <w:pPr>
        <w:spacing w:line="480" w:lineRule="auto"/>
      </w:pPr>
    </w:p>
    <w:p w14:paraId="47CEB884" w14:textId="77777777" w:rsidR="00EB5A73" w:rsidRPr="00EB5A73" w:rsidRDefault="001C5D2F" w:rsidP="006F0D2E">
      <w:pPr>
        <w:spacing w:line="480" w:lineRule="auto"/>
        <w:rPr>
          <w:b/>
          <w:u w:val="single"/>
        </w:rPr>
      </w:pPr>
      <w:r w:rsidRPr="00EB5A73">
        <w:rPr>
          <w:b/>
          <w:u w:val="single"/>
        </w:rPr>
        <w:t>Introduction</w:t>
      </w:r>
    </w:p>
    <w:p w14:paraId="60898076" w14:textId="50253EF5" w:rsidR="00EB5A73" w:rsidRDefault="00C77985" w:rsidP="006F0D2E">
      <w:pPr>
        <w:spacing w:line="480" w:lineRule="auto"/>
      </w:pPr>
      <w:r>
        <w:t>I</w:t>
      </w:r>
      <w:r w:rsidR="00DA2D6E">
        <w:t>n</w:t>
      </w:r>
      <w:r>
        <w:t xml:space="preserve"> 2019 the </w:t>
      </w:r>
      <w:r w:rsidR="00EB5A73">
        <w:t xml:space="preserve">European Commission </w:t>
      </w:r>
      <w:r w:rsidR="00831C14">
        <w:t xml:space="preserve">co-hosted </w:t>
      </w:r>
      <w:r w:rsidR="00EB5A73">
        <w:t xml:space="preserve">the Global Vaccination Summit </w:t>
      </w:r>
      <w:r w:rsidR="009F4592">
        <w:t>[1]</w:t>
      </w:r>
      <w:r w:rsidR="00B8793F">
        <w:t xml:space="preserve">. </w:t>
      </w:r>
      <w:r w:rsidR="00EB5A73">
        <w:t>From that came a set of</w:t>
      </w:r>
      <w:r w:rsidR="007D09FE" w:rsidRPr="007D09FE">
        <w:t xml:space="preserve"> Ten Actions Towards Vaccination for All</w:t>
      </w:r>
      <w:r w:rsidR="007D09FE">
        <w:t xml:space="preserve"> </w:t>
      </w:r>
      <w:r w:rsidR="009F4592">
        <w:t>[2]</w:t>
      </w:r>
      <w:r w:rsidR="002001B0">
        <w:t>,</w:t>
      </w:r>
      <w:r w:rsidR="008D1202">
        <w:t xml:space="preserve"> summarised in Figure 1.</w:t>
      </w:r>
      <w:r w:rsidR="008D1202" w:rsidRPr="008D1202">
        <w:t xml:space="preserve"> </w:t>
      </w:r>
      <w:r w:rsidR="008D1202">
        <w:t xml:space="preserve"> </w:t>
      </w:r>
      <w:r w:rsidR="00A60D9E">
        <w:t>T</w:t>
      </w:r>
      <w:r w:rsidR="008D1202">
        <w:t>hese Actions are high level, largely top down policies, with a strong emphasis on monitoring, and do not consider the issues of delivering vaccination at field</w:t>
      </w:r>
      <w:r w:rsidR="00A60D9E">
        <w:t xml:space="preserve"> level</w:t>
      </w:r>
      <w:r w:rsidR="00831C14">
        <w:t xml:space="preserve">. They are not child-focussed or parentally aware. </w:t>
      </w:r>
    </w:p>
    <w:p w14:paraId="161206E9" w14:textId="77777777" w:rsidR="008D1202" w:rsidRDefault="008D1202" w:rsidP="006F0D2E">
      <w:pPr>
        <w:spacing w:line="480" w:lineRule="auto"/>
        <w:rPr>
          <w:u w:val="single"/>
        </w:rPr>
      </w:pPr>
    </w:p>
    <w:p w14:paraId="4C9FDC87" w14:textId="77777777" w:rsidR="00A1740B" w:rsidRPr="00A1740B" w:rsidRDefault="00A1740B" w:rsidP="006F0D2E">
      <w:pPr>
        <w:spacing w:line="480" w:lineRule="auto"/>
        <w:rPr>
          <w:u w:val="single"/>
        </w:rPr>
      </w:pPr>
      <w:r w:rsidRPr="00A1740B">
        <w:rPr>
          <w:u w:val="single"/>
        </w:rPr>
        <w:t>The Need to Focus on Delivery</w:t>
      </w:r>
    </w:p>
    <w:p w14:paraId="2BDC169D" w14:textId="77777777" w:rsidR="00A1740B" w:rsidRDefault="00290600" w:rsidP="006F0D2E">
      <w:pPr>
        <w:spacing w:line="480" w:lineRule="auto"/>
      </w:pPr>
      <w:r>
        <w:t>T</w:t>
      </w:r>
      <w:r w:rsidR="00A1740B">
        <w:t xml:space="preserve">here is a big gulf between having </w:t>
      </w:r>
      <w:r w:rsidR="00831C14">
        <w:t xml:space="preserve">plans and </w:t>
      </w:r>
      <w:r w:rsidR="00A1740B">
        <w:t xml:space="preserve">vaccines in </w:t>
      </w:r>
      <w:r w:rsidR="008D1202">
        <w:t>place</w:t>
      </w:r>
      <w:r w:rsidR="00831C14">
        <w:t>,</w:t>
      </w:r>
      <w:r w:rsidR="008D1202">
        <w:t xml:space="preserve"> and</w:t>
      </w:r>
      <w:r w:rsidR="00A1740B">
        <w:t xml:space="preserve"> achieving effective delivery </w:t>
      </w:r>
      <w:r w:rsidR="008D1202">
        <w:t>to all individual children</w:t>
      </w:r>
      <w:r w:rsidR="00831C14">
        <w:t>, involving also their parents as agents and enablers</w:t>
      </w:r>
      <w:r w:rsidR="00A1740B">
        <w:t xml:space="preserve">. The </w:t>
      </w:r>
      <w:r w:rsidR="00A32C98">
        <w:t>real-world</w:t>
      </w:r>
      <w:r w:rsidR="00A1740B">
        <w:t xml:space="preserve"> </w:t>
      </w:r>
      <w:r w:rsidR="00305318">
        <w:t>circumstances</w:t>
      </w:r>
      <w:r w:rsidR="00A1740B">
        <w:t xml:space="preserve"> of individual people, and </w:t>
      </w:r>
      <w:r w:rsidR="00305318">
        <w:t>the</w:t>
      </w:r>
      <w:r w:rsidR="00A1740B">
        <w:t xml:space="preserve"> </w:t>
      </w:r>
      <w:r w:rsidR="00305318">
        <w:t>resources</w:t>
      </w:r>
      <w:r w:rsidR="00A1740B">
        <w:t xml:space="preserve"> and challenges of </w:t>
      </w:r>
      <w:r>
        <w:t>front-line</w:t>
      </w:r>
      <w:r w:rsidR="00A1740B">
        <w:t xml:space="preserve"> healthcare </w:t>
      </w:r>
      <w:r w:rsidR="00831C14">
        <w:t>delivery</w:t>
      </w:r>
      <w:r w:rsidR="00A1740B">
        <w:t xml:space="preserve">, need to be addressed </w:t>
      </w:r>
      <w:r w:rsidR="00A32C98">
        <w:t>i</w:t>
      </w:r>
      <w:r w:rsidR="00305318">
        <w:t xml:space="preserve">f </w:t>
      </w:r>
      <w:r w:rsidR="008D1202">
        <w:t xml:space="preserve">high-level </w:t>
      </w:r>
      <w:r w:rsidR="00305318">
        <w:t xml:space="preserve">policy is to translate into </w:t>
      </w:r>
      <w:r w:rsidR="008D1202">
        <w:t xml:space="preserve">operational </w:t>
      </w:r>
      <w:r w:rsidR="00305318">
        <w:t xml:space="preserve">practice and result in optimum population </w:t>
      </w:r>
      <w:r w:rsidR="008D1202">
        <w:t>protection</w:t>
      </w:r>
      <w:r w:rsidR="00305318">
        <w:t>.</w:t>
      </w:r>
    </w:p>
    <w:p w14:paraId="355C4A45" w14:textId="1306B5CF" w:rsidR="00305318" w:rsidRDefault="00305318" w:rsidP="006F0D2E">
      <w:pPr>
        <w:spacing w:line="480" w:lineRule="auto"/>
      </w:pPr>
      <w:r>
        <w:t>The parti</w:t>
      </w:r>
      <w:r w:rsidR="00A32C98">
        <w:t>ci</w:t>
      </w:r>
      <w:r>
        <w:t xml:space="preserve">pation at </w:t>
      </w:r>
      <w:r w:rsidR="00A32C98">
        <w:t>t</w:t>
      </w:r>
      <w:r>
        <w:t xml:space="preserve">he Summit </w:t>
      </w:r>
      <w:r w:rsidR="00A60D9E">
        <w:t>is</w:t>
      </w:r>
      <w:r>
        <w:t xml:space="preserve"> not published, </w:t>
      </w:r>
      <w:r w:rsidR="008D1202">
        <w:t>b</w:t>
      </w:r>
      <w:r>
        <w:t xml:space="preserve">ut from the </w:t>
      </w:r>
      <w:r w:rsidR="00CA50F2">
        <w:t>outline</w:t>
      </w:r>
      <w:r>
        <w:t xml:space="preserve"> of the formal sessions </w:t>
      </w:r>
      <w:r w:rsidR="00A32C98">
        <w:t>it is noteworthy that there w</w:t>
      </w:r>
      <w:r w:rsidR="00290600">
        <w:t>as</w:t>
      </w:r>
      <w:r w:rsidR="00A32C98">
        <w:t xml:space="preserve"> no </w:t>
      </w:r>
      <w:r w:rsidR="00290600">
        <w:t xml:space="preserve">platform </w:t>
      </w:r>
      <w:r w:rsidR="00A32C98">
        <w:t xml:space="preserve">representation of </w:t>
      </w:r>
      <w:r w:rsidR="00290600">
        <w:t>nursing</w:t>
      </w:r>
      <w:r w:rsidR="00A32C98">
        <w:t>, pharmacy dispensing,</w:t>
      </w:r>
      <w:r w:rsidR="004607F3">
        <w:t xml:space="preserve"> health care or community health</w:t>
      </w:r>
      <w:r w:rsidR="00A32C98">
        <w:t xml:space="preserve"> delivery organisations, or patient organisations.  </w:t>
      </w:r>
      <w:r w:rsidR="003F01C5">
        <w:t>Also missing were any representatives of e-health or digital health</w:t>
      </w:r>
      <w:r w:rsidR="006E3E99">
        <w:t xml:space="preserve"> system developers</w:t>
      </w:r>
      <w:r w:rsidR="003F01C5">
        <w:t>, even though such applications are looked to in an optimistic but undefined way</w:t>
      </w:r>
      <w:r w:rsidR="008D1202">
        <w:t>.</w:t>
      </w:r>
      <w:r w:rsidR="003F01C5">
        <w:t xml:space="preserve"> </w:t>
      </w:r>
    </w:p>
    <w:p w14:paraId="309A0C9D" w14:textId="77777777" w:rsidR="009C7E62" w:rsidRDefault="009C7E62" w:rsidP="006F0D2E">
      <w:pPr>
        <w:spacing w:line="480" w:lineRule="auto"/>
        <w:rPr>
          <w:u w:val="single"/>
        </w:rPr>
      </w:pPr>
    </w:p>
    <w:p w14:paraId="20E2AAD2" w14:textId="77777777" w:rsidR="009C7E62" w:rsidRDefault="00F53D1F" w:rsidP="006F0D2E">
      <w:pPr>
        <w:spacing w:line="480" w:lineRule="auto"/>
        <w:rPr>
          <w:u w:val="single"/>
        </w:rPr>
      </w:pPr>
      <w:r w:rsidRPr="009C7E62">
        <w:rPr>
          <w:u w:val="single"/>
        </w:rPr>
        <w:t>The Importan</w:t>
      </w:r>
      <w:r w:rsidR="009C7E62" w:rsidRPr="009C7E62">
        <w:rPr>
          <w:u w:val="single"/>
        </w:rPr>
        <w:t>ce of Focussing on Children</w:t>
      </w:r>
    </w:p>
    <w:p w14:paraId="32BFEE37" w14:textId="77777777" w:rsidR="009C7E62" w:rsidRDefault="009C7E62" w:rsidP="006F0D2E">
      <w:pPr>
        <w:spacing w:line="480" w:lineRule="auto"/>
      </w:pPr>
      <w:r>
        <w:lastRenderedPageBreak/>
        <w:t xml:space="preserve">While all vaccination is important, there is an additional duty of care to provide effective services to protect children. Children are at the beginning of their life trajectory and acquired damage will have a life-long effect, while child death results in </w:t>
      </w:r>
      <w:r w:rsidR="00E86721">
        <w:t xml:space="preserve">huge grief and also </w:t>
      </w:r>
      <w:r>
        <w:t xml:space="preserve">the greatest amount of life years lost. The majority of </w:t>
      </w:r>
      <w:r w:rsidR="00290600">
        <w:t xml:space="preserve">long-lasting </w:t>
      </w:r>
      <w:r>
        <w:t>vaccinations take place in childhood</w:t>
      </w:r>
      <w:r w:rsidR="008B0E6B">
        <w:t>,</w:t>
      </w:r>
      <w:r>
        <w:t xml:space="preserve"> yet children are entirely dependent on society to organise vaccination services. </w:t>
      </w:r>
      <w:r w:rsidR="00072837">
        <w:t xml:space="preserve"> Action is also needed to offset the effects of the Covid-19 pandemic in focussing resources on vulnerable adults, and to remedy falls in child immunisation uptake in this period.</w:t>
      </w:r>
    </w:p>
    <w:p w14:paraId="0822891A" w14:textId="77777777" w:rsidR="009C7E62" w:rsidRDefault="009C7E62" w:rsidP="006F0D2E">
      <w:pPr>
        <w:spacing w:line="480" w:lineRule="auto"/>
      </w:pPr>
    </w:p>
    <w:p w14:paraId="2FF26B1C" w14:textId="77777777" w:rsidR="009C7E62" w:rsidRPr="009C7E62" w:rsidRDefault="009C7E62" w:rsidP="006F0D2E">
      <w:pPr>
        <w:spacing w:line="480" w:lineRule="auto"/>
        <w:rPr>
          <w:u w:val="single"/>
        </w:rPr>
      </w:pPr>
      <w:r w:rsidRPr="009C7E62">
        <w:rPr>
          <w:u w:val="single"/>
        </w:rPr>
        <w:t xml:space="preserve">The European </w:t>
      </w:r>
      <w:r w:rsidR="00F55D6A">
        <w:rPr>
          <w:u w:val="single"/>
        </w:rPr>
        <w:t xml:space="preserve">and Child-focussed </w:t>
      </w:r>
      <w:r>
        <w:rPr>
          <w:u w:val="single"/>
        </w:rPr>
        <w:t>Viewpoint</w:t>
      </w:r>
    </w:p>
    <w:p w14:paraId="0203E1A6" w14:textId="3FED14BF" w:rsidR="00BE6505" w:rsidRDefault="009C7E62" w:rsidP="006F0D2E">
      <w:pPr>
        <w:spacing w:line="480" w:lineRule="auto"/>
      </w:pPr>
      <w:r>
        <w:t xml:space="preserve">The European Union </w:t>
      </w:r>
      <w:r w:rsidR="00072837">
        <w:t xml:space="preserve">(EU) </w:t>
      </w:r>
      <w:r w:rsidR="00F55D6A">
        <w:t>has</w:t>
      </w:r>
      <w:r w:rsidR="0060206D">
        <w:t xml:space="preserve"> </w:t>
      </w:r>
      <w:r>
        <w:t xml:space="preserve">a strong ethos of social solidarity and equity. </w:t>
      </w:r>
      <w:r w:rsidR="00F55D6A">
        <w:t xml:space="preserve">There is also </w:t>
      </w:r>
      <w:r>
        <w:t>a practical commit</w:t>
      </w:r>
      <w:r w:rsidR="00BE6505">
        <w:t>m</w:t>
      </w:r>
      <w:r>
        <w:t xml:space="preserve">ent to </w:t>
      </w:r>
      <w:r w:rsidR="00F55D6A">
        <w:t>public health</w:t>
      </w:r>
      <w:r>
        <w:t xml:space="preserve"> </w:t>
      </w:r>
      <w:r w:rsidR="00F55D6A">
        <w:t xml:space="preserve">and e-health </w:t>
      </w:r>
      <w:r w:rsidR="00BE6505">
        <w:t>research</w:t>
      </w:r>
      <w:r>
        <w:t xml:space="preserve"> programmes and coordination mechanisms. </w:t>
      </w:r>
      <w:r w:rsidR="00BE6505">
        <w:t>Recognising the messages of the Vaccine Summit</w:t>
      </w:r>
      <w:r w:rsidR="004607F3">
        <w:t xml:space="preserve"> but also the gulf between top-down principles and</w:t>
      </w:r>
      <w:r w:rsidR="0060206D">
        <w:t xml:space="preserve"> </w:t>
      </w:r>
      <w:r w:rsidR="00F55D6A">
        <w:t>field-level</w:t>
      </w:r>
      <w:r w:rsidR="004607F3">
        <w:t xml:space="preserve"> delivery process</w:t>
      </w:r>
      <w:r w:rsidR="00F55D6A">
        <w:t>es</w:t>
      </w:r>
      <w:r w:rsidR="004607F3">
        <w:t xml:space="preserve">, </w:t>
      </w:r>
      <w:r w:rsidR="00BE6505">
        <w:t xml:space="preserve">this paper </w:t>
      </w:r>
      <w:r w:rsidR="008B0E6B">
        <w:t>examines</w:t>
      </w:r>
      <w:r w:rsidR="00BE6505">
        <w:t xml:space="preserve"> </w:t>
      </w:r>
      <w:r w:rsidR="006406F2">
        <w:t>the need for</w:t>
      </w:r>
      <w:r w:rsidR="00BE6505">
        <w:t xml:space="preserve"> </w:t>
      </w:r>
      <w:r w:rsidR="00072837">
        <w:t xml:space="preserve">optimal </w:t>
      </w:r>
      <w:r w:rsidR="00F55D6A">
        <w:t>principles</w:t>
      </w:r>
      <w:r w:rsidR="00072837">
        <w:t xml:space="preserve"> for </w:t>
      </w:r>
      <w:r w:rsidR="00BE6505">
        <w:t xml:space="preserve">robust and effective delivery systems </w:t>
      </w:r>
      <w:r w:rsidR="00F55D6A">
        <w:t>to</w:t>
      </w:r>
      <w:r w:rsidR="00BE6505">
        <w:t xml:space="preserve"> ensur</w:t>
      </w:r>
      <w:r w:rsidR="00F55D6A">
        <w:t>e a</w:t>
      </w:r>
      <w:r w:rsidR="00BE6505">
        <w:t xml:space="preserve"> high uptake of</w:t>
      </w:r>
      <w:r w:rsidR="006406F2">
        <w:t xml:space="preserve"> child</w:t>
      </w:r>
      <w:r w:rsidR="00BE6505">
        <w:t xml:space="preserve"> vaccination</w:t>
      </w:r>
      <w:r w:rsidR="00F55D6A">
        <w:t>, in line with</w:t>
      </w:r>
      <w:r w:rsidR="00BE6505">
        <w:t xml:space="preserve"> Right to Health under the United Nations Convention on the Rights of the Child</w:t>
      </w:r>
      <w:r w:rsidR="00F55D6A">
        <w:t xml:space="preserve"> (UNCRC)</w:t>
      </w:r>
      <w:r w:rsidR="00BE6505">
        <w:t xml:space="preserve"> </w:t>
      </w:r>
      <w:r w:rsidR="009F4592">
        <w:t>[3]</w:t>
      </w:r>
      <w:r w:rsidR="00B8793F">
        <w:t>.</w:t>
      </w:r>
      <w:r w:rsidR="00F55D6A">
        <w:t xml:space="preserve"> It draws</w:t>
      </w:r>
      <w:r w:rsidR="00BE6505">
        <w:t xml:space="preserve"> upon </w:t>
      </w:r>
      <w:r w:rsidR="00B93B9A">
        <w:t xml:space="preserve">an evidence base of </w:t>
      </w:r>
      <w:r w:rsidR="00BE6505">
        <w:t xml:space="preserve">recent data, </w:t>
      </w:r>
      <w:r w:rsidR="0060206D">
        <w:t>innova</w:t>
      </w:r>
      <w:r w:rsidR="00BE6505">
        <w:t>tive practices, and enduring principles</w:t>
      </w:r>
      <w:r w:rsidR="004607F3">
        <w:t xml:space="preserve"> in order</w:t>
      </w:r>
      <w:r w:rsidR="00B93B9A">
        <w:t xml:space="preserve"> to </w:t>
      </w:r>
      <w:r w:rsidR="004607F3">
        <w:t>identify key</w:t>
      </w:r>
      <w:r w:rsidR="00B93B9A">
        <w:t xml:space="preserve"> </w:t>
      </w:r>
      <w:r w:rsidR="00B93B9A" w:rsidRPr="00B93B9A">
        <w:t>Actions to Boost Vaccination Delivery to Children in Europe</w:t>
      </w:r>
      <w:r w:rsidR="00B93B9A">
        <w:t>.</w:t>
      </w:r>
    </w:p>
    <w:p w14:paraId="69F453ED" w14:textId="77777777" w:rsidR="00EB5A73" w:rsidRDefault="00EB5A73" w:rsidP="006F0D2E">
      <w:pPr>
        <w:spacing w:line="480" w:lineRule="auto"/>
      </w:pPr>
    </w:p>
    <w:p w14:paraId="5D4494E6" w14:textId="77777777" w:rsidR="00CD437B" w:rsidRPr="00CD437B" w:rsidRDefault="00CD437B" w:rsidP="006F0D2E">
      <w:pPr>
        <w:spacing w:line="480" w:lineRule="auto"/>
        <w:rPr>
          <w:b/>
          <w:u w:val="single"/>
        </w:rPr>
      </w:pPr>
      <w:r w:rsidRPr="00CD437B">
        <w:rPr>
          <w:b/>
          <w:u w:val="single"/>
        </w:rPr>
        <w:t>Methods</w:t>
      </w:r>
    </w:p>
    <w:p w14:paraId="2B111851" w14:textId="32215B45" w:rsidR="00EB5A73" w:rsidRDefault="00350B84" w:rsidP="006F0D2E">
      <w:pPr>
        <w:spacing w:line="480" w:lineRule="auto"/>
      </w:pPr>
      <w:r>
        <w:t>The European Global Summit on Vaccination</w:t>
      </w:r>
      <w:r w:rsidR="007318F8">
        <w:t xml:space="preserve"> </w:t>
      </w:r>
      <w:r w:rsidR="009F4592">
        <w:t>[1,2]</w:t>
      </w:r>
      <w:r>
        <w:t xml:space="preserve">, and a </w:t>
      </w:r>
      <w:r w:rsidR="00B823C7">
        <w:t>concurrent</w:t>
      </w:r>
      <w:r>
        <w:t xml:space="preserve"> paper reporting two expert multi-stakeholder workshops </w:t>
      </w:r>
      <w:r w:rsidR="00B823C7">
        <w:t>on delivery approaches</w:t>
      </w:r>
      <w:r w:rsidR="002001B0">
        <w:t xml:space="preserve"> </w:t>
      </w:r>
      <w:r w:rsidR="009F4592">
        <w:t>[4]</w:t>
      </w:r>
      <w:r w:rsidR="007318F8">
        <w:t xml:space="preserve"> </w:t>
      </w:r>
      <w:r w:rsidR="00B823C7">
        <w:t>, led to analysis of the policy area</w:t>
      </w:r>
      <w:r w:rsidR="004B4404">
        <w:t>,</w:t>
      </w:r>
      <w:r w:rsidR="00B823C7">
        <w:t xml:space="preserve"> </w:t>
      </w:r>
      <w:r w:rsidR="004B4404">
        <w:t xml:space="preserve">and </w:t>
      </w:r>
      <w:r w:rsidR="00B823C7">
        <w:t>extended to</w:t>
      </w:r>
      <w:r w:rsidR="00E73972">
        <w:t xml:space="preserve"> </w:t>
      </w:r>
      <w:r w:rsidR="00B823C7">
        <w:t>appraisal</w:t>
      </w:r>
      <w:r w:rsidR="00E73972">
        <w:t xml:space="preserve"> of </w:t>
      </w:r>
      <w:r w:rsidR="001566A5">
        <w:t xml:space="preserve">WHO Regional Office for Europe policies, </w:t>
      </w:r>
      <w:r w:rsidR="00D06EE2">
        <w:t>several</w:t>
      </w:r>
      <w:r w:rsidR="00E73972">
        <w:t xml:space="preserve"> European Commission initiatives regarding immunisation, </w:t>
      </w:r>
      <w:r w:rsidR="00BF669B">
        <w:t>a</w:t>
      </w:r>
      <w:r w:rsidR="004B4404">
        <w:t>nd a</w:t>
      </w:r>
      <w:r w:rsidR="00E73972">
        <w:t xml:space="preserve"> major European Study of Primary Care delivery for children in the </w:t>
      </w:r>
      <w:r w:rsidR="00042C26">
        <w:t xml:space="preserve">then </w:t>
      </w:r>
      <w:r w:rsidR="00E73972">
        <w:t xml:space="preserve">28 EU </w:t>
      </w:r>
      <w:r w:rsidR="004B4404">
        <w:t>countries</w:t>
      </w:r>
      <w:r w:rsidR="002001B0">
        <w:t xml:space="preserve"> </w:t>
      </w:r>
      <w:r w:rsidR="009F4592">
        <w:t>[5,6]</w:t>
      </w:r>
      <w:r w:rsidR="007318F8">
        <w:t>.</w:t>
      </w:r>
      <w:r w:rsidR="00D06EE2">
        <w:t xml:space="preserve"> </w:t>
      </w:r>
    </w:p>
    <w:p w14:paraId="49DEB052" w14:textId="77777777" w:rsidR="00CD437B" w:rsidRDefault="00CD437B" w:rsidP="006F0D2E">
      <w:pPr>
        <w:spacing w:line="480" w:lineRule="auto"/>
      </w:pPr>
    </w:p>
    <w:p w14:paraId="7F1F0BE8" w14:textId="77777777" w:rsidR="00CD437B" w:rsidRPr="00D06EE2" w:rsidRDefault="00D06EE2" w:rsidP="006F0D2E">
      <w:pPr>
        <w:spacing w:line="480" w:lineRule="auto"/>
        <w:rPr>
          <w:b/>
          <w:u w:val="single"/>
        </w:rPr>
      </w:pPr>
      <w:r w:rsidRPr="00D06EE2">
        <w:rPr>
          <w:b/>
          <w:u w:val="single"/>
        </w:rPr>
        <w:t>Results</w:t>
      </w:r>
    </w:p>
    <w:p w14:paraId="6518C67B" w14:textId="5A8840B1" w:rsidR="00C51A69" w:rsidRDefault="00BD560B" w:rsidP="006F0D2E">
      <w:pPr>
        <w:spacing w:line="480" w:lineRule="auto"/>
        <w:rPr>
          <w:lang w:eastAsia="en-GB"/>
        </w:rPr>
      </w:pPr>
      <w:r>
        <w:t>Even before the anticipated Covid-19 effects, t</w:t>
      </w:r>
      <w:r w:rsidR="00125B62" w:rsidRPr="00DA2D6E">
        <w:t>he need to focus on improving vaccination rates for children is cle</w:t>
      </w:r>
      <w:r w:rsidR="003E4737" w:rsidRPr="00DA2D6E">
        <w:t>a</w:t>
      </w:r>
      <w:r w:rsidR="00125B62" w:rsidRPr="00DA2D6E">
        <w:t xml:space="preserve">r.  </w:t>
      </w:r>
      <w:r w:rsidR="008B0E6B">
        <w:t>D</w:t>
      </w:r>
      <w:r w:rsidR="003D468F" w:rsidRPr="00DA2D6E">
        <w:t xml:space="preserve">ata </w:t>
      </w:r>
      <w:r w:rsidR="003D468F" w:rsidRPr="00DA2D6E">
        <w:rPr>
          <w:lang w:eastAsia="en-GB"/>
        </w:rPr>
        <w:t>from the WHO European Health Information Gateway (</w:t>
      </w:r>
      <w:hyperlink r:id="rId9" w:history="1">
        <w:r w:rsidR="003D468F" w:rsidRPr="00DA2D6E">
          <w:rPr>
            <w:rStyle w:val="Hyperlink"/>
            <w:lang w:eastAsia="en-GB"/>
          </w:rPr>
          <w:t>https://gateway.euro.who.int/en/</w:t>
        </w:r>
      </w:hyperlink>
      <w:r w:rsidR="003D468F" w:rsidRPr="00DA2D6E">
        <w:rPr>
          <w:lang w:eastAsia="en-GB"/>
        </w:rPr>
        <w:t xml:space="preserve">), taking </w:t>
      </w:r>
      <w:r w:rsidR="0043114C">
        <w:rPr>
          <w:lang w:eastAsia="en-GB"/>
        </w:rPr>
        <w:t xml:space="preserve">tetanus and </w:t>
      </w:r>
      <w:r w:rsidR="003D468F" w:rsidRPr="00DA2D6E">
        <w:rPr>
          <w:lang w:eastAsia="en-GB"/>
        </w:rPr>
        <w:t>measles vaccination</w:t>
      </w:r>
      <w:r w:rsidR="0043114C">
        <w:rPr>
          <w:lang w:eastAsia="en-GB"/>
        </w:rPr>
        <w:t>s</w:t>
      </w:r>
      <w:r w:rsidR="003D468F" w:rsidRPr="00DA2D6E">
        <w:rPr>
          <w:lang w:eastAsia="en-GB"/>
        </w:rPr>
        <w:t xml:space="preserve"> as a </w:t>
      </w:r>
      <w:r w:rsidR="00213986">
        <w:rPr>
          <w:lang w:eastAsia="en-GB"/>
        </w:rPr>
        <w:t>examples</w:t>
      </w:r>
      <w:r w:rsidR="00213986" w:rsidRPr="00DA2D6E">
        <w:rPr>
          <w:lang w:eastAsia="en-GB"/>
        </w:rPr>
        <w:t xml:space="preserve"> </w:t>
      </w:r>
      <w:r w:rsidR="00BF669B" w:rsidRPr="00DA2D6E">
        <w:rPr>
          <w:lang w:eastAsia="en-GB"/>
        </w:rPr>
        <w:t xml:space="preserve">for </w:t>
      </w:r>
      <w:r w:rsidR="0043114C">
        <w:rPr>
          <w:lang w:eastAsia="en-GB"/>
        </w:rPr>
        <w:t xml:space="preserve">2016 and </w:t>
      </w:r>
      <w:r w:rsidR="00BF669B" w:rsidRPr="00DA2D6E">
        <w:rPr>
          <w:lang w:eastAsia="en-GB"/>
        </w:rPr>
        <w:t>2017</w:t>
      </w:r>
      <w:r w:rsidR="0043114C">
        <w:rPr>
          <w:lang w:eastAsia="en-GB"/>
        </w:rPr>
        <w:t xml:space="preserve">, show the variation between countries (Table 1).  Six countries are highlighted as being in </w:t>
      </w:r>
      <w:r w:rsidR="00C51A69">
        <w:rPr>
          <w:lang w:eastAsia="en-GB"/>
        </w:rPr>
        <w:t>the</w:t>
      </w:r>
      <w:r w:rsidR="0043114C">
        <w:rPr>
          <w:lang w:eastAsia="en-GB"/>
        </w:rPr>
        <w:t xml:space="preserve"> highest third of the coverage rates for both antigens in 2017, namely Denmark, Greece, Hungary, Luxembourg, Portugal, and Spain.  Five of these have stable vaccination rates, with only Denmark being the new star performer</w:t>
      </w:r>
      <w:r>
        <w:rPr>
          <w:lang w:eastAsia="en-GB"/>
        </w:rPr>
        <w:t xml:space="preserve">, while </w:t>
      </w:r>
      <w:r w:rsidR="0043114C">
        <w:rPr>
          <w:lang w:eastAsia="en-GB"/>
        </w:rPr>
        <w:t xml:space="preserve">Poland </w:t>
      </w:r>
      <w:r>
        <w:rPr>
          <w:lang w:eastAsia="en-GB"/>
        </w:rPr>
        <w:t>is</w:t>
      </w:r>
      <w:r w:rsidR="0043114C">
        <w:rPr>
          <w:lang w:eastAsia="en-GB"/>
        </w:rPr>
        <w:t xml:space="preserve"> the </w:t>
      </w:r>
      <w:r w:rsidR="00FD09C1">
        <w:rPr>
          <w:lang w:eastAsia="en-GB"/>
        </w:rPr>
        <w:t xml:space="preserve">one </w:t>
      </w:r>
      <w:r w:rsidR="0043114C">
        <w:rPr>
          <w:lang w:eastAsia="en-GB"/>
        </w:rPr>
        <w:t>count</w:t>
      </w:r>
      <w:r w:rsidR="00FD09C1">
        <w:rPr>
          <w:lang w:eastAsia="en-GB"/>
        </w:rPr>
        <w:t>r</w:t>
      </w:r>
      <w:r w:rsidR="0043114C">
        <w:rPr>
          <w:lang w:eastAsia="en-GB"/>
        </w:rPr>
        <w:t xml:space="preserve">y to drop </w:t>
      </w:r>
      <w:r w:rsidR="00C51A69">
        <w:rPr>
          <w:lang w:eastAsia="en-GB"/>
        </w:rPr>
        <w:t xml:space="preserve">from </w:t>
      </w:r>
      <w:r w:rsidR="00FD09C1">
        <w:rPr>
          <w:lang w:eastAsia="en-GB"/>
        </w:rPr>
        <w:t xml:space="preserve">strong </w:t>
      </w:r>
      <w:r w:rsidR="00C51A69">
        <w:rPr>
          <w:lang w:eastAsia="en-GB"/>
        </w:rPr>
        <w:t xml:space="preserve">positioning.  These </w:t>
      </w:r>
      <w:r w:rsidR="00FD09C1">
        <w:rPr>
          <w:lang w:eastAsia="en-GB"/>
        </w:rPr>
        <w:t xml:space="preserve">leader-board </w:t>
      </w:r>
      <w:r w:rsidR="00C51A69">
        <w:rPr>
          <w:lang w:eastAsia="en-GB"/>
        </w:rPr>
        <w:t xml:space="preserve">countries seem to have little in common at first sight – size, gross domestic product, type of health system, and type of funding are all very different. </w:t>
      </w:r>
      <w:r w:rsidR="00213986">
        <w:rPr>
          <w:lang w:eastAsia="en-GB"/>
        </w:rPr>
        <w:t>This lack of any common major characteristic</w:t>
      </w:r>
      <w:r w:rsidR="00213986">
        <w:rPr>
          <w:lang w:eastAsia="en-GB"/>
        </w:rPr>
        <w:t xml:space="preserve"> </w:t>
      </w:r>
      <w:r>
        <w:rPr>
          <w:lang w:eastAsia="en-GB"/>
        </w:rPr>
        <w:t>suggest</w:t>
      </w:r>
      <w:r w:rsidR="008B0E6B">
        <w:rPr>
          <w:lang w:eastAsia="en-GB"/>
        </w:rPr>
        <w:t>s</w:t>
      </w:r>
      <w:r w:rsidR="00C51A69">
        <w:rPr>
          <w:lang w:eastAsia="en-GB"/>
        </w:rPr>
        <w:t xml:space="preserve"> that approach</w:t>
      </w:r>
      <w:r>
        <w:rPr>
          <w:lang w:eastAsia="en-GB"/>
        </w:rPr>
        <w:t>es</w:t>
      </w:r>
      <w:r w:rsidR="00C51A69">
        <w:rPr>
          <w:lang w:eastAsia="en-GB"/>
        </w:rPr>
        <w:t xml:space="preserve"> to vaccination delivery</w:t>
      </w:r>
      <w:r>
        <w:rPr>
          <w:lang w:eastAsia="en-GB"/>
        </w:rPr>
        <w:t xml:space="preserve"> </w:t>
      </w:r>
      <w:r w:rsidR="00C51A69">
        <w:rPr>
          <w:lang w:eastAsia="en-GB"/>
        </w:rPr>
        <w:t xml:space="preserve">appear to be influences, yet operational </w:t>
      </w:r>
      <w:r w:rsidR="00FD09C1">
        <w:rPr>
          <w:lang w:eastAsia="en-GB"/>
        </w:rPr>
        <w:t>polic</w:t>
      </w:r>
      <w:r w:rsidR="00213986">
        <w:rPr>
          <w:lang w:eastAsia="en-GB"/>
        </w:rPr>
        <w:t>i</w:t>
      </w:r>
      <w:r w:rsidR="00FD09C1">
        <w:rPr>
          <w:lang w:eastAsia="en-GB"/>
        </w:rPr>
        <w:t>es</w:t>
      </w:r>
      <w:r w:rsidR="00C51A69">
        <w:rPr>
          <w:lang w:eastAsia="en-GB"/>
        </w:rPr>
        <w:t xml:space="preserve"> for vaccination delivery are little talked about.</w:t>
      </w:r>
    </w:p>
    <w:p w14:paraId="028338A0" w14:textId="3DBA8CAA" w:rsidR="0043114C" w:rsidRDefault="00C51A69" w:rsidP="006F0D2E">
      <w:pPr>
        <w:spacing w:line="480" w:lineRule="auto"/>
        <w:rPr>
          <w:lang w:eastAsia="en-GB"/>
        </w:rPr>
      </w:pPr>
      <w:r>
        <w:rPr>
          <w:lang w:eastAsia="en-GB"/>
        </w:rPr>
        <w:t xml:space="preserve">Also </w:t>
      </w:r>
      <w:r w:rsidR="00BD560B">
        <w:rPr>
          <w:lang w:eastAsia="en-GB"/>
        </w:rPr>
        <w:t>noteworthy</w:t>
      </w:r>
      <w:r>
        <w:rPr>
          <w:lang w:eastAsia="en-GB"/>
        </w:rPr>
        <w:t xml:space="preserve"> in </w:t>
      </w:r>
      <w:r w:rsidR="00C81268">
        <w:rPr>
          <w:lang w:eastAsia="en-GB"/>
        </w:rPr>
        <w:t>Table</w:t>
      </w:r>
      <w:r>
        <w:rPr>
          <w:lang w:eastAsia="en-GB"/>
        </w:rPr>
        <w:t xml:space="preserve"> 1 is the comparison between tetanus and measles vaccination.  Generally measles vaccination is seen as the more contentious in </w:t>
      </w:r>
      <w:r w:rsidR="00BD560B">
        <w:rPr>
          <w:lang w:eastAsia="en-GB"/>
        </w:rPr>
        <w:t xml:space="preserve">vaccine hesitancy </w:t>
      </w:r>
      <w:r>
        <w:rPr>
          <w:lang w:eastAsia="en-GB"/>
        </w:rPr>
        <w:t>discussions</w:t>
      </w:r>
      <w:r w:rsidR="00BD560B">
        <w:rPr>
          <w:lang w:eastAsia="en-GB"/>
        </w:rPr>
        <w:t xml:space="preserve"> </w:t>
      </w:r>
      <w:r>
        <w:rPr>
          <w:lang w:eastAsia="en-GB"/>
        </w:rPr>
        <w:t>compared with tetanus</w:t>
      </w:r>
      <w:r w:rsidR="00BD560B">
        <w:rPr>
          <w:lang w:eastAsia="en-GB"/>
        </w:rPr>
        <w:t>, yet</w:t>
      </w:r>
      <w:r>
        <w:rPr>
          <w:lang w:eastAsia="en-GB"/>
        </w:rPr>
        <w:t xml:space="preserve"> </w:t>
      </w:r>
      <w:r w:rsidR="00C81268">
        <w:rPr>
          <w:lang w:eastAsia="en-GB"/>
        </w:rPr>
        <w:t>for five countries - Austria, Bulgaria, Finland, Romania and Slovenia - measles coverage was notably higher than for tetanus</w:t>
      </w:r>
      <w:r w:rsidR="00AB3F61">
        <w:rPr>
          <w:lang w:eastAsia="en-GB"/>
        </w:rPr>
        <w:t xml:space="preserve">, </w:t>
      </w:r>
      <w:r w:rsidR="00BD560B">
        <w:rPr>
          <w:lang w:eastAsia="en-GB"/>
        </w:rPr>
        <w:t>s</w:t>
      </w:r>
      <w:r w:rsidR="00C81268">
        <w:rPr>
          <w:lang w:eastAsia="en-GB"/>
        </w:rPr>
        <w:t xml:space="preserve">o there must be </w:t>
      </w:r>
      <w:r w:rsidR="008B0E6B">
        <w:rPr>
          <w:lang w:eastAsia="en-GB"/>
        </w:rPr>
        <w:t>other</w:t>
      </w:r>
      <w:r w:rsidR="00C81268">
        <w:rPr>
          <w:lang w:eastAsia="en-GB"/>
        </w:rPr>
        <w:t xml:space="preserve"> factors at</w:t>
      </w:r>
      <w:r w:rsidR="005C0DA2">
        <w:rPr>
          <w:lang w:eastAsia="en-GB"/>
        </w:rPr>
        <w:t xml:space="preserve"> play</w:t>
      </w:r>
      <w:r w:rsidR="00BD560B">
        <w:rPr>
          <w:lang w:eastAsia="en-GB"/>
        </w:rPr>
        <w:t>.</w:t>
      </w:r>
    </w:p>
    <w:p w14:paraId="7F2000BA" w14:textId="4AF6EC1E" w:rsidR="00C81268" w:rsidRDefault="00AB18AD" w:rsidP="006F0D2E">
      <w:pPr>
        <w:spacing w:line="480" w:lineRule="auto"/>
        <w:rPr>
          <w:lang w:eastAsia="en-GB"/>
        </w:rPr>
      </w:pPr>
      <w:r w:rsidRPr="00DA2D6E">
        <w:rPr>
          <w:lang w:eastAsia="en-GB"/>
        </w:rPr>
        <w:t xml:space="preserve">The </w:t>
      </w:r>
      <w:r w:rsidR="0060206D" w:rsidRPr="00DA2D6E">
        <w:rPr>
          <w:lang w:eastAsia="en-GB"/>
        </w:rPr>
        <w:t>recent</w:t>
      </w:r>
      <w:r w:rsidRPr="00DA2D6E">
        <w:rPr>
          <w:lang w:eastAsia="en-GB"/>
        </w:rPr>
        <w:t xml:space="preserve"> </w:t>
      </w:r>
      <w:r w:rsidR="0060206D" w:rsidRPr="00DA2D6E">
        <w:rPr>
          <w:lang w:eastAsia="en-GB"/>
        </w:rPr>
        <w:t>tactic</w:t>
      </w:r>
      <w:r w:rsidR="008B0E6B">
        <w:rPr>
          <w:lang w:eastAsia="en-GB"/>
        </w:rPr>
        <w:t>s</w:t>
      </w:r>
      <w:r w:rsidR="0060206D" w:rsidRPr="00DA2D6E">
        <w:rPr>
          <w:lang w:eastAsia="en-GB"/>
        </w:rPr>
        <w:t xml:space="preserve"> </w:t>
      </w:r>
      <w:r w:rsidRPr="00DA2D6E">
        <w:rPr>
          <w:lang w:eastAsia="en-GB"/>
        </w:rPr>
        <w:t xml:space="preserve">of criticism of ‘vaccine scepticism’, and </w:t>
      </w:r>
      <w:r w:rsidR="008B0E6B">
        <w:rPr>
          <w:lang w:eastAsia="en-GB"/>
        </w:rPr>
        <w:t>calling</w:t>
      </w:r>
      <w:r w:rsidRPr="00DA2D6E">
        <w:rPr>
          <w:lang w:eastAsia="en-GB"/>
        </w:rPr>
        <w:t xml:space="preserve"> for parents to be </w:t>
      </w:r>
      <w:r w:rsidR="008B0E6B">
        <w:rPr>
          <w:lang w:eastAsia="en-GB"/>
        </w:rPr>
        <w:t>responsible</w:t>
      </w:r>
      <w:r w:rsidRPr="00DA2D6E">
        <w:rPr>
          <w:lang w:eastAsia="en-GB"/>
        </w:rPr>
        <w:t xml:space="preserve"> citizens, therefore seem </w:t>
      </w:r>
      <w:r w:rsidR="0080670B">
        <w:rPr>
          <w:lang w:eastAsia="en-GB"/>
        </w:rPr>
        <w:t xml:space="preserve">to be simplistic and somewhat condescending, and </w:t>
      </w:r>
      <w:r w:rsidRPr="00DA2D6E">
        <w:rPr>
          <w:lang w:eastAsia="en-GB"/>
        </w:rPr>
        <w:t xml:space="preserve">not to be adequate </w:t>
      </w:r>
      <w:r w:rsidR="0080670B">
        <w:rPr>
          <w:lang w:eastAsia="en-GB"/>
        </w:rPr>
        <w:t xml:space="preserve">in that they do not consider other concerns </w:t>
      </w:r>
      <w:r w:rsidR="005A035B">
        <w:rPr>
          <w:lang w:eastAsia="en-GB"/>
        </w:rPr>
        <w:t>and</w:t>
      </w:r>
      <w:r w:rsidR="0080670B">
        <w:rPr>
          <w:lang w:eastAsia="en-GB"/>
        </w:rPr>
        <w:t xml:space="preserve"> practical barriers</w:t>
      </w:r>
      <w:r w:rsidR="000D105D">
        <w:rPr>
          <w:lang w:eastAsia="en-GB"/>
        </w:rPr>
        <w:t xml:space="preserve"> </w:t>
      </w:r>
      <w:r w:rsidR="009F4592">
        <w:rPr>
          <w:lang w:eastAsia="en-GB"/>
        </w:rPr>
        <w:t>[4,7]</w:t>
      </w:r>
      <w:r w:rsidRPr="00DA2D6E">
        <w:rPr>
          <w:lang w:eastAsia="en-GB"/>
        </w:rPr>
        <w:t xml:space="preserve">. </w:t>
      </w:r>
      <w:r w:rsidR="007F752F" w:rsidRPr="00DA2D6E">
        <w:rPr>
          <w:lang w:eastAsia="en-GB"/>
        </w:rPr>
        <w:t xml:space="preserve">Individual political responses in a number of countries, such as excluding unvaccinated children from school, or making vaccination mandatory, while understandable at one level, will do nothing </w:t>
      </w:r>
      <w:r w:rsidR="00BE1E55">
        <w:rPr>
          <w:lang w:eastAsia="en-GB"/>
        </w:rPr>
        <w:t xml:space="preserve">to </w:t>
      </w:r>
      <w:r w:rsidR="005C0DA2">
        <w:rPr>
          <w:lang w:eastAsia="en-GB"/>
        </w:rPr>
        <w:t>address</w:t>
      </w:r>
      <w:r w:rsidR="008B0E6B">
        <w:rPr>
          <w:lang w:eastAsia="en-GB"/>
        </w:rPr>
        <w:t xml:space="preserve"> acceptance</w:t>
      </w:r>
      <w:r w:rsidR="005E1C54">
        <w:rPr>
          <w:lang w:eastAsia="en-GB"/>
        </w:rPr>
        <w:t xml:space="preserve"> as a mental attitude</w:t>
      </w:r>
      <w:r w:rsidR="007F752F" w:rsidRPr="00DA2D6E">
        <w:rPr>
          <w:lang w:eastAsia="en-GB"/>
        </w:rPr>
        <w:t xml:space="preserve">, </w:t>
      </w:r>
      <w:r w:rsidR="005E1C54">
        <w:rPr>
          <w:lang w:eastAsia="en-GB"/>
        </w:rPr>
        <w:t>and while possibly initially increasing reluctant uptake will</w:t>
      </w:r>
      <w:r w:rsidR="005E1C54" w:rsidRPr="00DA2D6E">
        <w:rPr>
          <w:lang w:eastAsia="en-GB"/>
        </w:rPr>
        <w:t xml:space="preserve"> </w:t>
      </w:r>
      <w:r w:rsidR="007F752F" w:rsidRPr="00DA2D6E">
        <w:rPr>
          <w:lang w:eastAsia="en-GB"/>
        </w:rPr>
        <w:t>instead will further disadvantag</w:t>
      </w:r>
      <w:r w:rsidR="008B0E6B">
        <w:rPr>
          <w:lang w:eastAsia="en-GB"/>
        </w:rPr>
        <w:t>e</w:t>
      </w:r>
      <w:r w:rsidR="007F752F" w:rsidRPr="00DA2D6E">
        <w:rPr>
          <w:lang w:eastAsia="en-GB"/>
        </w:rPr>
        <w:t xml:space="preserve"> some children and creat</w:t>
      </w:r>
      <w:r w:rsidR="008B0E6B">
        <w:rPr>
          <w:lang w:eastAsia="en-GB"/>
        </w:rPr>
        <w:t>e</w:t>
      </w:r>
      <w:r w:rsidR="007F752F" w:rsidRPr="00DA2D6E">
        <w:rPr>
          <w:lang w:eastAsia="en-GB"/>
        </w:rPr>
        <w:t xml:space="preserve"> deeper health and societal </w:t>
      </w:r>
      <w:r w:rsidR="008B5E98" w:rsidRPr="00DA2D6E">
        <w:rPr>
          <w:lang w:eastAsia="en-GB"/>
        </w:rPr>
        <w:t xml:space="preserve">polarisation and </w:t>
      </w:r>
      <w:r w:rsidR="007F752F" w:rsidRPr="00DA2D6E">
        <w:rPr>
          <w:lang w:eastAsia="en-GB"/>
        </w:rPr>
        <w:t xml:space="preserve">inequities.  </w:t>
      </w:r>
      <w:r w:rsidR="003B1656" w:rsidRPr="00DA2D6E">
        <w:rPr>
          <w:lang w:eastAsia="en-GB"/>
        </w:rPr>
        <w:t xml:space="preserve">Senior paediatricians </w:t>
      </w:r>
      <w:r w:rsidR="00401BF7">
        <w:rPr>
          <w:lang w:eastAsia="en-GB"/>
        </w:rPr>
        <w:t xml:space="preserve">in the UK </w:t>
      </w:r>
      <w:r w:rsidR="005E1C54">
        <w:rPr>
          <w:lang w:eastAsia="en-GB"/>
        </w:rPr>
        <w:t xml:space="preserve">have </w:t>
      </w:r>
      <w:r w:rsidR="003B1656" w:rsidRPr="00DA2D6E">
        <w:rPr>
          <w:lang w:eastAsia="en-GB"/>
        </w:rPr>
        <w:t>argue</w:t>
      </w:r>
      <w:r w:rsidR="005E1C54">
        <w:rPr>
          <w:lang w:eastAsia="en-GB"/>
        </w:rPr>
        <w:t>d</w:t>
      </w:r>
      <w:r w:rsidR="003B1656" w:rsidRPr="00DA2D6E">
        <w:rPr>
          <w:lang w:eastAsia="en-GB"/>
        </w:rPr>
        <w:t xml:space="preserve"> </w:t>
      </w:r>
      <w:r w:rsidR="00D87574" w:rsidRPr="00DA2D6E">
        <w:rPr>
          <w:lang w:eastAsia="en-GB"/>
        </w:rPr>
        <w:t xml:space="preserve">against </w:t>
      </w:r>
      <w:r w:rsidR="0060206D" w:rsidRPr="00DA2D6E">
        <w:rPr>
          <w:lang w:eastAsia="en-GB"/>
        </w:rPr>
        <w:t>mandatory vaccination</w:t>
      </w:r>
      <w:r w:rsidR="00D87574" w:rsidRPr="00DA2D6E">
        <w:rPr>
          <w:lang w:eastAsia="en-GB"/>
        </w:rPr>
        <w:t xml:space="preserve"> as damaging trust </w:t>
      </w:r>
      <w:r w:rsidR="0060206D" w:rsidRPr="00DA2D6E">
        <w:rPr>
          <w:lang w:eastAsia="en-GB"/>
        </w:rPr>
        <w:t xml:space="preserve">in health </w:t>
      </w:r>
      <w:r w:rsidR="0060206D" w:rsidRPr="00DA2D6E">
        <w:rPr>
          <w:lang w:eastAsia="en-GB"/>
        </w:rPr>
        <w:lastRenderedPageBreak/>
        <w:t xml:space="preserve">systems and </w:t>
      </w:r>
      <w:r w:rsidR="005C0DA2">
        <w:rPr>
          <w:lang w:eastAsia="en-GB"/>
        </w:rPr>
        <w:t>professionals</w:t>
      </w:r>
      <w:r w:rsidR="0060206D" w:rsidRPr="00DA2D6E">
        <w:rPr>
          <w:lang w:eastAsia="en-GB"/>
        </w:rPr>
        <w:t xml:space="preserve"> </w:t>
      </w:r>
      <w:r w:rsidR="009F4592">
        <w:rPr>
          <w:lang w:eastAsia="en-GB"/>
        </w:rPr>
        <w:t>8,9]</w:t>
      </w:r>
      <w:r w:rsidR="00401BF7">
        <w:rPr>
          <w:lang w:eastAsia="en-GB"/>
        </w:rPr>
        <w:t xml:space="preserve">, while ethical discussions in Norway regretted the lack of debate on compulsion but reached a different conclusion </w:t>
      </w:r>
      <w:r w:rsidR="009F4592">
        <w:rPr>
          <w:lang w:eastAsia="en-GB"/>
        </w:rPr>
        <w:t>[10]</w:t>
      </w:r>
      <w:r w:rsidR="00D87574" w:rsidRPr="00DA2D6E">
        <w:rPr>
          <w:lang w:eastAsia="en-GB"/>
        </w:rPr>
        <w:t xml:space="preserve">. </w:t>
      </w:r>
    </w:p>
    <w:p w14:paraId="09C8DF08" w14:textId="42590909" w:rsidR="00C81268" w:rsidRDefault="006D02B4" w:rsidP="006F0D2E">
      <w:pPr>
        <w:spacing w:line="480" w:lineRule="auto"/>
        <w:rPr>
          <w:lang w:eastAsia="en-GB"/>
        </w:rPr>
      </w:pPr>
      <w:r w:rsidRPr="00DA2D6E">
        <w:rPr>
          <w:lang w:eastAsia="en-GB"/>
        </w:rPr>
        <w:t>This</w:t>
      </w:r>
      <w:r w:rsidR="00AB18AD" w:rsidRPr="00DA2D6E">
        <w:rPr>
          <w:lang w:eastAsia="en-GB"/>
        </w:rPr>
        <w:t xml:space="preserve"> suggests </w:t>
      </w:r>
      <w:r w:rsidR="00C81268">
        <w:rPr>
          <w:lang w:eastAsia="en-GB"/>
        </w:rPr>
        <w:t xml:space="preserve">instead </w:t>
      </w:r>
      <w:r w:rsidR="00AB18AD" w:rsidRPr="00DA2D6E">
        <w:rPr>
          <w:lang w:eastAsia="en-GB"/>
        </w:rPr>
        <w:t xml:space="preserve">the need for a more focused and innovative </w:t>
      </w:r>
      <w:r w:rsidR="00DC3C80">
        <w:rPr>
          <w:lang w:eastAsia="en-GB"/>
        </w:rPr>
        <w:t xml:space="preserve">vaccination policy </w:t>
      </w:r>
      <w:r w:rsidR="00AB18AD" w:rsidRPr="00DA2D6E">
        <w:rPr>
          <w:lang w:eastAsia="en-GB"/>
        </w:rPr>
        <w:t>approach, combining rediscovery of past good practice and better application of ne</w:t>
      </w:r>
      <w:r w:rsidR="008B5E98" w:rsidRPr="00DA2D6E">
        <w:rPr>
          <w:lang w:eastAsia="en-GB"/>
        </w:rPr>
        <w:t>w</w:t>
      </w:r>
      <w:r w:rsidR="00AB18AD" w:rsidRPr="00DA2D6E">
        <w:rPr>
          <w:lang w:eastAsia="en-GB"/>
        </w:rPr>
        <w:t xml:space="preserve"> innovation</w:t>
      </w:r>
      <w:r w:rsidR="00C81268">
        <w:rPr>
          <w:lang w:eastAsia="en-GB"/>
        </w:rPr>
        <w:t>, and their integration into a set of practical policies focussed on delivery.  This paper review</w:t>
      </w:r>
      <w:r w:rsidR="004B4404">
        <w:rPr>
          <w:lang w:eastAsia="en-GB"/>
        </w:rPr>
        <w:t>s</w:t>
      </w:r>
      <w:r w:rsidR="00C81268">
        <w:rPr>
          <w:lang w:eastAsia="en-GB"/>
        </w:rPr>
        <w:t xml:space="preserve"> </w:t>
      </w:r>
      <w:r w:rsidR="00FC5D67">
        <w:rPr>
          <w:lang w:eastAsia="en-GB"/>
        </w:rPr>
        <w:t xml:space="preserve">ten aspects </w:t>
      </w:r>
      <w:r w:rsidR="00C81268">
        <w:rPr>
          <w:lang w:eastAsia="en-GB"/>
        </w:rPr>
        <w:t xml:space="preserve">in order to </w:t>
      </w:r>
      <w:r w:rsidR="00DC3C80">
        <w:rPr>
          <w:lang w:eastAsia="en-GB"/>
        </w:rPr>
        <w:t>indicate</w:t>
      </w:r>
      <w:r w:rsidR="00C81268">
        <w:rPr>
          <w:lang w:eastAsia="en-GB"/>
        </w:rPr>
        <w:t xml:space="preserve"> a suite of </w:t>
      </w:r>
      <w:r w:rsidR="00DC3C80">
        <w:rPr>
          <w:lang w:eastAsia="en-GB"/>
        </w:rPr>
        <w:t xml:space="preserve">practical </w:t>
      </w:r>
      <w:r w:rsidR="008B0E6B">
        <w:rPr>
          <w:lang w:eastAsia="en-GB"/>
        </w:rPr>
        <w:t>actions</w:t>
      </w:r>
      <w:r w:rsidR="00BE4BD4">
        <w:rPr>
          <w:lang w:eastAsia="en-GB"/>
        </w:rPr>
        <w:t xml:space="preserve"> to complement and </w:t>
      </w:r>
      <w:r w:rsidR="004B51F2">
        <w:rPr>
          <w:lang w:eastAsia="en-GB"/>
        </w:rPr>
        <w:t>facilitate</w:t>
      </w:r>
      <w:r w:rsidR="003D6345">
        <w:rPr>
          <w:lang w:eastAsia="en-GB"/>
        </w:rPr>
        <w:t xml:space="preserve"> for children’s vaccination</w:t>
      </w:r>
      <w:r w:rsidR="004B51F2">
        <w:rPr>
          <w:lang w:eastAsia="en-GB"/>
        </w:rPr>
        <w:t xml:space="preserve"> </w:t>
      </w:r>
      <w:r w:rsidR="00BE4BD4">
        <w:rPr>
          <w:lang w:eastAsia="en-GB"/>
        </w:rPr>
        <w:t xml:space="preserve">the </w:t>
      </w:r>
      <w:r w:rsidR="00DC3C80">
        <w:rPr>
          <w:lang w:eastAsia="en-GB"/>
        </w:rPr>
        <w:t xml:space="preserve">high-level </w:t>
      </w:r>
      <w:r w:rsidR="00BE4BD4">
        <w:rPr>
          <w:lang w:eastAsia="en-GB"/>
        </w:rPr>
        <w:t xml:space="preserve">Actions proposed by </w:t>
      </w:r>
      <w:r w:rsidR="00DC3C80">
        <w:rPr>
          <w:lang w:eastAsia="en-GB"/>
        </w:rPr>
        <w:t>the</w:t>
      </w:r>
      <w:r w:rsidR="00BE4BD4">
        <w:rPr>
          <w:lang w:eastAsia="en-GB"/>
        </w:rPr>
        <w:t xml:space="preserve"> Vaccination Summit.</w:t>
      </w:r>
    </w:p>
    <w:p w14:paraId="7A20D8E5" w14:textId="77777777" w:rsidR="00AB18AD" w:rsidRDefault="00AB18AD" w:rsidP="006F0D2E">
      <w:pPr>
        <w:spacing w:line="480" w:lineRule="auto"/>
        <w:rPr>
          <w:lang w:eastAsia="en-GB"/>
        </w:rPr>
      </w:pPr>
    </w:p>
    <w:p w14:paraId="592DC2B9" w14:textId="77777777" w:rsidR="00AB18AD" w:rsidRPr="00AB18AD" w:rsidRDefault="00FC5D67" w:rsidP="006F0D2E">
      <w:pPr>
        <w:spacing w:line="480" w:lineRule="auto"/>
        <w:rPr>
          <w:u w:val="single"/>
          <w:lang w:eastAsia="en-GB"/>
        </w:rPr>
      </w:pPr>
      <w:r>
        <w:rPr>
          <w:u w:val="single"/>
          <w:lang w:eastAsia="en-GB"/>
        </w:rPr>
        <w:t xml:space="preserve">1. </w:t>
      </w:r>
      <w:r w:rsidR="00AB18AD" w:rsidRPr="00AB18AD">
        <w:rPr>
          <w:u w:val="single"/>
          <w:lang w:eastAsia="en-GB"/>
        </w:rPr>
        <w:t>Integrated Child Health</w:t>
      </w:r>
    </w:p>
    <w:p w14:paraId="4B942506" w14:textId="36298647" w:rsidR="00CC3119" w:rsidRDefault="00D15213" w:rsidP="006F0D2E">
      <w:pPr>
        <w:spacing w:line="480" w:lineRule="auto"/>
      </w:pPr>
      <w:r>
        <w:t>V</w:t>
      </w:r>
      <w:r w:rsidR="00AB18AD">
        <w:t xml:space="preserve">accination </w:t>
      </w:r>
      <w:r w:rsidR="00C645BD">
        <w:t>too often has</w:t>
      </w:r>
      <w:r w:rsidR="00AB18AD">
        <w:t xml:space="preserve"> been split off for solo </w:t>
      </w:r>
      <w:r w:rsidR="004B4404">
        <w:t>topic-specific actions</w:t>
      </w:r>
      <w:r w:rsidR="00AB18AD">
        <w:t>, when it should be part of a holistic approach to the individual child’s health and well-being.</w:t>
      </w:r>
      <w:r w:rsidR="007F752F">
        <w:t xml:space="preserve"> Most countries have a planned approach to children’s preventive health and support, </w:t>
      </w:r>
      <w:r>
        <w:t>compatible with</w:t>
      </w:r>
      <w:r w:rsidR="007F752F">
        <w:t xml:space="preserve"> WHO guidance</w:t>
      </w:r>
      <w:r w:rsidR="00EE6D4E">
        <w:t>, which since</w:t>
      </w:r>
      <w:r>
        <w:t xml:space="preserve"> 2005 has </w:t>
      </w:r>
      <w:r w:rsidR="006A49EB">
        <w:t xml:space="preserve">made very clear the commitment to a life-course approach </w:t>
      </w:r>
      <w:r w:rsidR="009F4592">
        <w:t>[11.12]</w:t>
      </w:r>
      <w:r w:rsidR="007F752F">
        <w:t xml:space="preserve">. </w:t>
      </w:r>
      <w:r w:rsidR="00D00A54">
        <w:t>Vaccination</w:t>
      </w:r>
      <w:r w:rsidR="007F752F">
        <w:t xml:space="preserve"> is </w:t>
      </w:r>
      <w:r w:rsidR="006A49EB">
        <w:t>seen</w:t>
      </w:r>
      <w:r w:rsidR="007F752F">
        <w:t xml:space="preserve"> </w:t>
      </w:r>
      <w:r w:rsidR="00355B34">
        <w:t xml:space="preserve">as </w:t>
      </w:r>
      <w:r w:rsidR="007F752F">
        <w:t>an integral part of each stage of the child life-course</w:t>
      </w:r>
      <w:r>
        <w:t xml:space="preserve">, </w:t>
      </w:r>
      <w:r w:rsidR="007F752F">
        <w:t xml:space="preserve">not stand-alone. </w:t>
      </w:r>
      <w:r w:rsidR="006A49EB">
        <w:t>Moreover, the</w:t>
      </w:r>
      <w:r w:rsidR="007F752F">
        <w:t xml:space="preserve"> WHO European Vaccine Action Plan (EVAP) 2015-2020 state</w:t>
      </w:r>
      <w:r w:rsidR="006A49EB">
        <w:t>s in</w:t>
      </w:r>
      <w:r w:rsidR="007F752F">
        <w:t xml:space="preserve"> O</w:t>
      </w:r>
      <w:r w:rsidR="007F752F" w:rsidRPr="008E2DDF">
        <w:t>bjective</w:t>
      </w:r>
      <w:r w:rsidR="007F752F">
        <w:t xml:space="preserve"> </w:t>
      </w:r>
      <w:r w:rsidR="007F752F" w:rsidRPr="008E2DDF">
        <w:t>4</w:t>
      </w:r>
      <w:r w:rsidR="007F752F">
        <w:t xml:space="preserve"> that</w:t>
      </w:r>
      <w:r w:rsidR="007F752F" w:rsidRPr="008E2DDF">
        <w:t xml:space="preserve"> </w:t>
      </w:r>
      <w:r w:rsidR="007F752F">
        <w:t>strong immunisation systems are an integral part of a well-functioning health system</w:t>
      </w:r>
      <w:r w:rsidR="00B56B74">
        <w:t xml:space="preserve"> </w:t>
      </w:r>
      <w:r w:rsidR="009F4592">
        <w:t>[13]</w:t>
      </w:r>
      <w:r w:rsidR="008E4786">
        <w:t xml:space="preserve"> </w:t>
      </w:r>
      <w:r w:rsidR="006A49EB">
        <w:t>.</w:t>
      </w:r>
    </w:p>
    <w:p w14:paraId="0D5D2DA6" w14:textId="721122F0" w:rsidR="008B07C3" w:rsidRDefault="008B07C3" w:rsidP="006F0D2E">
      <w:pPr>
        <w:spacing w:line="480" w:lineRule="auto"/>
      </w:pPr>
      <w:r>
        <w:t xml:space="preserve">In 2008 the Health Ministers of the WHO Region met and agreed the Tallinn Charter for Health and Wealth </w:t>
      </w:r>
      <w:r w:rsidR="009F4592">
        <w:t>[14]</w:t>
      </w:r>
      <w:r w:rsidR="008E4786">
        <w:t>.</w:t>
      </w:r>
      <w:r w:rsidR="00A57203">
        <w:t xml:space="preserve"> This stated in Section 13:</w:t>
      </w:r>
    </w:p>
    <w:p w14:paraId="4AAD044F" w14:textId="77777777" w:rsidR="00A57203" w:rsidRDefault="00A57203" w:rsidP="006F0D2E">
      <w:pPr>
        <w:spacing w:line="480" w:lineRule="auto"/>
        <w:ind w:left="720"/>
      </w:pPr>
      <w:r>
        <w:t>“Health systems should integrate targeted disease-specific programmes into existing structures and services in order to achieve better and sustainable outcomes.”</w:t>
      </w:r>
    </w:p>
    <w:p w14:paraId="6A8B1DB8" w14:textId="77777777" w:rsidR="00A57203" w:rsidRDefault="00C26047" w:rsidP="006F0D2E">
      <w:pPr>
        <w:spacing w:line="480" w:lineRule="auto"/>
      </w:pPr>
      <w:r>
        <w:t>a</w:t>
      </w:r>
      <w:r w:rsidR="00A57203">
        <w:t>nd</w:t>
      </w:r>
    </w:p>
    <w:p w14:paraId="75FFFF92" w14:textId="77777777" w:rsidR="00A57203" w:rsidRDefault="00A57203" w:rsidP="006F0D2E">
      <w:pPr>
        <w:spacing w:line="480" w:lineRule="auto"/>
        <w:ind w:left="720"/>
      </w:pPr>
      <w:r>
        <w:t>“</w:t>
      </w:r>
      <w:r w:rsidR="00E85838">
        <w:t xml:space="preserve">Health systems need to ensure a holistic approach to services, involving health promotion, disease preventions …” </w:t>
      </w:r>
    </w:p>
    <w:p w14:paraId="78FC7B2C" w14:textId="16764687" w:rsidR="00555C7D" w:rsidRDefault="00555C7D" w:rsidP="006F0D2E">
      <w:pPr>
        <w:spacing w:line="480" w:lineRule="auto"/>
      </w:pPr>
      <w:r>
        <w:lastRenderedPageBreak/>
        <w:t xml:space="preserve">This </w:t>
      </w:r>
      <w:r w:rsidR="00FC153E">
        <w:t>Europe</w:t>
      </w:r>
      <w:r>
        <w:t>-wide accord</w:t>
      </w:r>
      <w:r w:rsidR="009C1989">
        <w:t>,</w:t>
      </w:r>
      <w:r>
        <w:t xml:space="preserve"> </w:t>
      </w:r>
      <w:r w:rsidR="009C1989">
        <w:t xml:space="preserve">re-confirmed in 2018 </w:t>
      </w:r>
      <w:r w:rsidR="009F4592">
        <w:t>[15]</w:t>
      </w:r>
      <w:r w:rsidR="008E4786">
        <w:t>,</w:t>
      </w:r>
      <w:r w:rsidR="009C1989">
        <w:t xml:space="preserve"> </w:t>
      </w:r>
      <w:r w:rsidR="00FC153E">
        <w:t>clearly strongly underpins the argument for vaccination being part of an integrated approach to preventive health</w:t>
      </w:r>
      <w:r w:rsidR="009C1989">
        <w:t>.</w:t>
      </w:r>
    </w:p>
    <w:p w14:paraId="090E3FFF" w14:textId="527C6DE7" w:rsidR="006D0905" w:rsidRDefault="00FC153E" w:rsidP="006F0D2E">
      <w:pPr>
        <w:spacing w:line="480" w:lineRule="auto"/>
      </w:pPr>
      <w:r>
        <w:t xml:space="preserve">A third underpinning of an integrated approach comes from the </w:t>
      </w:r>
      <w:r w:rsidR="00EF4317">
        <w:t>f</w:t>
      </w:r>
      <w:r w:rsidR="00C218D2">
        <w:t>ocus on</w:t>
      </w:r>
      <w:r>
        <w:t xml:space="preserve"> person-centric integrate</w:t>
      </w:r>
      <w:r w:rsidR="001566A5">
        <w:t>d</w:t>
      </w:r>
      <w:r>
        <w:t xml:space="preserve"> care delivery</w:t>
      </w:r>
      <w:r w:rsidR="00C218D2">
        <w:t>. The introductory Section 1.1 of t</w:t>
      </w:r>
      <w:r w:rsidR="006D0905">
        <w:t>he WHO roadmap on Strengthening People-Centred Health Systems in the WHO European Region</w:t>
      </w:r>
      <w:r w:rsidR="001402EF">
        <w:t xml:space="preserve"> </w:t>
      </w:r>
      <w:r w:rsidR="009F4592">
        <w:t>[16]</w:t>
      </w:r>
      <w:r w:rsidR="006D0905">
        <w:t xml:space="preserve"> </w:t>
      </w:r>
      <w:r w:rsidR="008E4786">
        <w:t xml:space="preserve"> </w:t>
      </w:r>
      <w:r w:rsidR="006D0905">
        <w:t>states</w:t>
      </w:r>
      <w:r w:rsidR="00C218D2">
        <w:t>:</w:t>
      </w:r>
    </w:p>
    <w:p w14:paraId="02B9DA9B" w14:textId="77777777" w:rsidR="00212F00" w:rsidRDefault="006D0905" w:rsidP="006F0D2E">
      <w:pPr>
        <w:spacing w:line="480" w:lineRule="auto"/>
        <w:ind w:left="720"/>
      </w:pPr>
      <w:r>
        <w:t>“Coordinated/integrated health services delivery (CIHSD) is defined here as the management and delivery of health services such that people receive a continuum of health promotion, health protection and disease prevention services …”</w:t>
      </w:r>
    </w:p>
    <w:p w14:paraId="2F040BEE" w14:textId="77777777" w:rsidR="00EF4317" w:rsidRDefault="008D6719" w:rsidP="006F0D2E">
      <w:pPr>
        <w:spacing w:line="480" w:lineRule="auto"/>
      </w:pPr>
      <w:r>
        <w:t xml:space="preserve">These three separate but complementary </w:t>
      </w:r>
      <w:r w:rsidR="00C218D2">
        <w:t>approaches</w:t>
      </w:r>
      <w:r>
        <w:t xml:space="preserve"> show that preventive health services for children should be firmly embedded into </w:t>
      </w:r>
      <w:r w:rsidR="00C218D2">
        <w:t xml:space="preserve">an </w:t>
      </w:r>
      <w:r>
        <w:t xml:space="preserve">integrated </w:t>
      </w:r>
      <w:r w:rsidR="00C218D2">
        <w:t>approach</w:t>
      </w:r>
      <w:r>
        <w:t xml:space="preserve"> focussed on the individual child. </w:t>
      </w:r>
    </w:p>
    <w:p w14:paraId="494A75F7" w14:textId="77777777" w:rsidR="00CC3119" w:rsidRDefault="008D6719" w:rsidP="006F0D2E">
      <w:pPr>
        <w:spacing w:line="480" w:lineRule="auto"/>
      </w:pPr>
      <w:r>
        <w:t xml:space="preserve">A necessary </w:t>
      </w:r>
      <w:r w:rsidR="001566A5">
        <w:t xml:space="preserve">policy </w:t>
      </w:r>
      <w:r>
        <w:t xml:space="preserve">Action </w:t>
      </w:r>
      <w:r w:rsidR="00C645BD">
        <w:t xml:space="preserve">within Europe </w:t>
      </w:r>
      <w:r>
        <w:t>therefore emerges to:</w:t>
      </w:r>
    </w:p>
    <w:p w14:paraId="489C60AB" w14:textId="77777777" w:rsidR="008D6719" w:rsidRPr="008D6719" w:rsidRDefault="008D6719" w:rsidP="006F0D2E">
      <w:pPr>
        <w:pStyle w:val="ListParagraph"/>
        <w:numPr>
          <w:ilvl w:val="0"/>
          <w:numId w:val="5"/>
        </w:numPr>
        <w:spacing w:line="480" w:lineRule="auto"/>
        <w:rPr>
          <w:b/>
        </w:rPr>
      </w:pPr>
      <w:r w:rsidRPr="008D6719">
        <w:rPr>
          <w:b/>
        </w:rPr>
        <w:t>Position Vaccination as a key part of Holistic Integrated Child Health</w:t>
      </w:r>
    </w:p>
    <w:p w14:paraId="32355517" w14:textId="77777777" w:rsidR="008D6719" w:rsidRDefault="008D6719" w:rsidP="006F0D2E">
      <w:pPr>
        <w:spacing w:line="480" w:lineRule="auto"/>
      </w:pPr>
    </w:p>
    <w:p w14:paraId="430E2C72" w14:textId="77777777" w:rsidR="008D6719" w:rsidRPr="008D6719" w:rsidRDefault="00FC5D67" w:rsidP="006F0D2E">
      <w:pPr>
        <w:spacing w:line="480" w:lineRule="auto"/>
        <w:rPr>
          <w:u w:val="single"/>
        </w:rPr>
      </w:pPr>
      <w:r>
        <w:rPr>
          <w:u w:val="single"/>
        </w:rPr>
        <w:t xml:space="preserve">2. </w:t>
      </w:r>
      <w:r w:rsidR="008D6719" w:rsidRPr="008D6719">
        <w:rPr>
          <w:u w:val="single"/>
        </w:rPr>
        <w:t>Appropriate Delivery Systems</w:t>
      </w:r>
    </w:p>
    <w:p w14:paraId="11CBEA22" w14:textId="77777777" w:rsidR="008B5F44" w:rsidRDefault="00313349" w:rsidP="006F0D2E">
      <w:pPr>
        <w:spacing w:line="480" w:lineRule="auto"/>
      </w:pPr>
      <w:r>
        <w:t xml:space="preserve">A core tenet of </w:t>
      </w:r>
      <w:r w:rsidR="008E299D">
        <w:t>health</w:t>
      </w:r>
      <w:r w:rsidR="00FC5D67">
        <w:t>care</w:t>
      </w:r>
      <w:r w:rsidR="008E299D">
        <w:t xml:space="preserve"> systems is that they </w:t>
      </w:r>
      <w:r w:rsidR="00C645BD">
        <w:t xml:space="preserve">should </w:t>
      </w:r>
      <w:r w:rsidR="008E299D">
        <w:t>get the right procedure to the right patient at the right time. Much of health care is supplied on demand. Vaccination systems for children are different in that the patient is a minor, and dependent on an agent (parent or legal guardian) to bring them</w:t>
      </w:r>
      <w:r w:rsidR="008B19A1">
        <w:t xml:space="preserve"> to the service</w:t>
      </w:r>
      <w:r w:rsidR="008B5F44">
        <w:t xml:space="preserve"> at the right time</w:t>
      </w:r>
      <w:r w:rsidR="008B19A1">
        <w:t>. Consequently t</w:t>
      </w:r>
      <w:r w:rsidR="008E299D">
        <w:t>here should be a</w:t>
      </w:r>
      <w:r w:rsidR="008B5F44">
        <w:t xml:space="preserve"> complementary</w:t>
      </w:r>
      <w:r w:rsidR="008E299D">
        <w:t xml:space="preserve"> monitoring system to ensure that all children due are brought forward</w:t>
      </w:r>
      <w:r w:rsidR="008B5F44">
        <w:t xml:space="preserve"> -</w:t>
      </w:r>
      <w:r w:rsidR="008E299D">
        <w:t xml:space="preserve"> this may be a population-based function separate from but interacting with the delivery system</w:t>
      </w:r>
      <w:r w:rsidR="008B5F44">
        <w:t>. There is also a</w:t>
      </w:r>
      <w:r w:rsidR="008E299D">
        <w:t xml:space="preserve"> requirement for a vaccine </w:t>
      </w:r>
      <w:r w:rsidR="00685FD4">
        <w:t>distribution</w:t>
      </w:r>
      <w:r w:rsidR="008E299D">
        <w:t xml:space="preserve"> system.</w:t>
      </w:r>
    </w:p>
    <w:p w14:paraId="56E1D039" w14:textId="77777777" w:rsidR="008D6719" w:rsidRDefault="008E299D" w:rsidP="006F0D2E">
      <w:pPr>
        <w:spacing w:line="480" w:lineRule="auto"/>
      </w:pPr>
      <w:r>
        <w:t xml:space="preserve">Thus the delivery system has to have clear points of access to patients, </w:t>
      </w:r>
      <w:r w:rsidR="00685FD4">
        <w:t xml:space="preserve">a </w:t>
      </w:r>
      <w:r>
        <w:t xml:space="preserve">schedule of vaccination known </w:t>
      </w:r>
      <w:r w:rsidR="00685FD4">
        <w:t>to</w:t>
      </w:r>
      <w:r>
        <w:t xml:space="preserve"> all, staff informed to answer all queries and anxieties, enough knowledge about each child </w:t>
      </w:r>
      <w:r>
        <w:lastRenderedPageBreak/>
        <w:t xml:space="preserve">in their family context to ensure individual concerns or attendance barriers are addressed. </w:t>
      </w:r>
      <w:r w:rsidR="00FC5D67">
        <w:t>T</w:t>
      </w:r>
      <w:r>
        <w:t>he public health function should</w:t>
      </w:r>
      <w:r w:rsidR="00FC5D67">
        <w:t xml:space="preserve"> also</w:t>
      </w:r>
      <w:r>
        <w:t xml:space="preserve"> provide means of </w:t>
      </w:r>
      <w:r w:rsidR="008B19A1">
        <w:t>vaccination</w:t>
      </w:r>
      <w:r>
        <w:t xml:space="preserve"> of children who are in special circumstances not enrolled with local care providers –</w:t>
      </w:r>
      <w:r w:rsidR="008B5F44">
        <w:t xml:space="preserve"> </w:t>
      </w:r>
      <w:r>
        <w:t>includ</w:t>
      </w:r>
      <w:r w:rsidR="00FC5D67">
        <w:t>ing</w:t>
      </w:r>
      <w:r>
        <w:t xml:space="preserve"> </w:t>
      </w:r>
      <w:r w:rsidR="000552BC">
        <w:t>homeless children, refugees, and migrants.</w:t>
      </w:r>
    </w:p>
    <w:p w14:paraId="2FFE0B8D" w14:textId="4A45DF72" w:rsidR="000552BC" w:rsidRDefault="000552BC" w:rsidP="006F0D2E">
      <w:pPr>
        <w:spacing w:line="480" w:lineRule="auto"/>
      </w:pPr>
      <w:r>
        <w:t xml:space="preserve">Some countries use schools as a location for vaccine administration as most children are in the one place, but this has </w:t>
      </w:r>
      <w:r w:rsidR="00685FD4">
        <w:t>to</w:t>
      </w:r>
      <w:r>
        <w:t xml:space="preserve"> be </w:t>
      </w:r>
      <w:r w:rsidR="00685FD4">
        <w:t>coordinated</w:t>
      </w:r>
      <w:r>
        <w:t xml:space="preserve"> with </w:t>
      </w:r>
      <w:r w:rsidR="00685FD4">
        <w:t>schools</w:t>
      </w:r>
      <w:r>
        <w:t>’ own requirements.</w:t>
      </w:r>
      <w:r w:rsidR="00C72B4C">
        <w:t xml:space="preserve"> </w:t>
      </w:r>
      <w:r w:rsidR="00FC5D67">
        <w:t>S</w:t>
      </w:r>
      <w:r w:rsidR="00C72B4C">
        <w:t xml:space="preserve">ome countries show </w:t>
      </w:r>
      <w:r w:rsidR="00FC5D67">
        <w:t xml:space="preserve">other </w:t>
      </w:r>
      <w:r w:rsidR="00C72B4C">
        <w:t>innovation</w:t>
      </w:r>
      <w:r w:rsidR="00FC5D67">
        <w:t>s</w:t>
      </w:r>
      <w:r w:rsidR="00C72B4C">
        <w:t xml:space="preserve">, such as </w:t>
      </w:r>
      <w:r w:rsidR="00685FD4">
        <w:t>Portugal</w:t>
      </w:r>
      <w:r w:rsidR="00C72B4C">
        <w:t xml:space="preserve"> enabling </w:t>
      </w:r>
      <w:r w:rsidR="00642917">
        <w:t xml:space="preserve">community </w:t>
      </w:r>
      <w:r w:rsidR="00685FD4">
        <w:t>pharmacists</w:t>
      </w:r>
      <w:r w:rsidR="00D70F06">
        <w:t xml:space="preserve"> to give </w:t>
      </w:r>
      <w:r w:rsidR="00685FD4">
        <w:t>vaccinations</w:t>
      </w:r>
      <w:r w:rsidR="00D70F06">
        <w:t xml:space="preserve"> on </w:t>
      </w:r>
      <w:r w:rsidR="00685FD4">
        <w:t>presentation</w:t>
      </w:r>
      <w:r w:rsidR="00D70F06">
        <w:t xml:space="preserve"> of a medical prescription</w:t>
      </w:r>
      <w:r w:rsidR="00685FD4">
        <w:t xml:space="preserve"> </w:t>
      </w:r>
      <w:r w:rsidR="009F4592">
        <w:t>[17]</w:t>
      </w:r>
      <w:r w:rsidR="00757B46" w:rsidDel="004B51F2">
        <w:t xml:space="preserve"> </w:t>
      </w:r>
      <w:r w:rsidR="00D70F06">
        <w:t>. There is scope for more cross-</w:t>
      </w:r>
      <w:r w:rsidR="00685FD4">
        <w:t>European</w:t>
      </w:r>
      <w:r w:rsidR="00D70F06">
        <w:t xml:space="preserve"> study of </w:t>
      </w:r>
      <w:r w:rsidR="004255C8">
        <w:t>new</w:t>
      </w:r>
      <w:r w:rsidR="00D70F06">
        <w:t xml:space="preserve"> </w:t>
      </w:r>
      <w:r w:rsidR="008B19A1">
        <w:t xml:space="preserve">local as well as system </w:t>
      </w:r>
      <w:r w:rsidR="00685FD4">
        <w:t>initiatives</w:t>
      </w:r>
      <w:r w:rsidR="004255C8">
        <w:t>, such as suggested supermarket session</w:t>
      </w:r>
      <w:r w:rsidR="008B19A1">
        <w:t>s</w:t>
      </w:r>
      <w:r w:rsidR="001402EF">
        <w:t xml:space="preserve"> </w:t>
      </w:r>
      <w:r w:rsidR="009F4592">
        <w:t>[9]</w:t>
      </w:r>
      <w:r w:rsidR="00C41DCC">
        <w:t>.</w:t>
      </w:r>
    </w:p>
    <w:p w14:paraId="400DE8D4" w14:textId="1465857B" w:rsidR="00D70F06" w:rsidRDefault="00D70F06" w:rsidP="006F0D2E">
      <w:pPr>
        <w:spacing w:line="480" w:lineRule="auto"/>
      </w:pPr>
      <w:r>
        <w:t xml:space="preserve">Finally, information and computer systems are invaluable in underpinning delivery systems as discussed below. In turn, such </w:t>
      </w:r>
      <w:r w:rsidR="00685FD4">
        <w:t xml:space="preserve">data </w:t>
      </w:r>
      <w:r>
        <w:t xml:space="preserve">systems can enable further innovation, such as opportunistic vaccination of children behind schedule </w:t>
      </w:r>
      <w:r w:rsidR="00685FD4">
        <w:t>when</w:t>
      </w:r>
      <w:r>
        <w:t xml:space="preserve"> they attend other clinical points such as emergency rooms</w:t>
      </w:r>
      <w:r w:rsidR="00685FD4">
        <w:t xml:space="preserve"> if their immunological history is rapidly available</w:t>
      </w:r>
      <w:r w:rsidR="001402EF">
        <w:t xml:space="preserve"> </w:t>
      </w:r>
      <w:r w:rsidR="009F4592">
        <w:t>[18]</w:t>
      </w:r>
      <w:r w:rsidR="00D87574">
        <w:t xml:space="preserve"> </w:t>
      </w:r>
      <w:r>
        <w:t>.</w:t>
      </w:r>
    </w:p>
    <w:p w14:paraId="70A9E73A" w14:textId="77777777" w:rsidR="008D6719" w:rsidRDefault="00685FD4" w:rsidP="006F0D2E">
      <w:pPr>
        <w:spacing w:line="480" w:lineRule="auto"/>
      </w:pPr>
      <w:r>
        <w:t xml:space="preserve">Thus there is </w:t>
      </w:r>
      <w:r w:rsidR="008B5F44">
        <w:t>need for</w:t>
      </w:r>
      <w:r>
        <w:t xml:space="preserve"> Action to</w:t>
      </w:r>
      <w:r w:rsidR="00F27B0E">
        <w:t xml:space="preserve"> create effective policy to</w:t>
      </w:r>
      <w:r>
        <w:t>:</w:t>
      </w:r>
    </w:p>
    <w:p w14:paraId="41189096" w14:textId="77777777" w:rsidR="00685FD4" w:rsidRPr="004255C8" w:rsidRDefault="00685FD4" w:rsidP="006F0D2E">
      <w:pPr>
        <w:pStyle w:val="ListParagraph"/>
        <w:numPr>
          <w:ilvl w:val="0"/>
          <w:numId w:val="5"/>
        </w:numPr>
        <w:spacing w:line="480" w:lineRule="auto"/>
        <w:rPr>
          <w:b/>
        </w:rPr>
      </w:pPr>
      <w:r w:rsidRPr="004255C8">
        <w:rPr>
          <w:b/>
        </w:rPr>
        <w:t>Create Delivery Systems that are Fit for Purpose.</w:t>
      </w:r>
    </w:p>
    <w:p w14:paraId="666F8F59" w14:textId="15BE6D2B" w:rsidR="00685FD4" w:rsidRDefault="004255C8" w:rsidP="006F0D2E">
      <w:pPr>
        <w:spacing w:line="480" w:lineRule="auto"/>
      </w:pPr>
      <w:r>
        <w:t>These should be related to modern society and patterns of parenting and family life</w:t>
      </w:r>
      <w:r w:rsidR="00C645BD">
        <w:t>, and be based on a philosophy of child-centricity</w:t>
      </w:r>
      <w:r w:rsidR="001402EF">
        <w:t xml:space="preserve"> </w:t>
      </w:r>
      <w:r w:rsidR="009F4592">
        <w:t>[19]</w:t>
      </w:r>
      <w:r w:rsidR="00C645BD">
        <w:t xml:space="preserve"> </w:t>
      </w:r>
      <w:r>
        <w:t>.</w:t>
      </w:r>
    </w:p>
    <w:p w14:paraId="60DB46C3" w14:textId="77777777" w:rsidR="00CC3119" w:rsidRDefault="00CC3119" w:rsidP="006F0D2E">
      <w:pPr>
        <w:spacing w:line="480" w:lineRule="auto"/>
      </w:pPr>
    </w:p>
    <w:p w14:paraId="5736833A" w14:textId="77777777" w:rsidR="0036533B" w:rsidRDefault="00246BD9" w:rsidP="006F0D2E">
      <w:pPr>
        <w:spacing w:line="480" w:lineRule="auto"/>
        <w:rPr>
          <w:u w:val="single"/>
        </w:rPr>
      </w:pPr>
      <w:r>
        <w:rPr>
          <w:u w:val="single"/>
        </w:rPr>
        <w:t xml:space="preserve">3. </w:t>
      </w:r>
      <w:r w:rsidR="0036533B" w:rsidRPr="0036533B">
        <w:rPr>
          <w:u w:val="single"/>
        </w:rPr>
        <w:t>The Key Role of Nursing</w:t>
      </w:r>
    </w:p>
    <w:p w14:paraId="6155207C" w14:textId="77777777" w:rsidR="0036533B" w:rsidRDefault="0036533B" w:rsidP="006F0D2E">
      <w:pPr>
        <w:spacing w:line="480" w:lineRule="auto"/>
      </w:pPr>
      <w:r>
        <w:t>In most European countries nurses have a key role in preventive child health services, though their designation may be health visitor, public health nurse, community nurse, or home visiting nurse. The key aspect of this role is that the nurse knows the child in the context of the family and the home. They will know which</w:t>
      </w:r>
      <w:r w:rsidR="00F9298C">
        <w:t xml:space="preserve"> </w:t>
      </w:r>
      <w:r>
        <w:t>parents are most likely to be vaccine hesitant, but also which parents may have worries about their child’s overall health</w:t>
      </w:r>
      <w:r w:rsidR="00246BD9">
        <w:t>.</w:t>
      </w:r>
      <w:r>
        <w:t xml:space="preserve"> The home visiting nurse will also </w:t>
      </w:r>
      <w:r w:rsidR="00952C3A">
        <w:t xml:space="preserve">know the single </w:t>
      </w:r>
      <w:r w:rsidR="00952C3A">
        <w:lastRenderedPageBreak/>
        <w:t>parent</w:t>
      </w:r>
      <w:r w:rsidR="00AB545B">
        <w:t xml:space="preserve">, disadvantaged or challenged </w:t>
      </w:r>
      <w:r w:rsidR="00952C3A">
        <w:t xml:space="preserve">families and how </w:t>
      </w:r>
      <w:r w:rsidR="00F9298C">
        <w:t>they</w:t>
      </w:r>
      <w:r w:rsidR="00952C3A">
        <w:t xml:space="preserve"> might (or cannot) cope with taking a </w:t>
      </w:r>
      <w:r w:rsidR="00F9298C">
        <w:t>child</w:t>
      </w:r>
      <w:r w:rsidR="00952C3A">
        <w:t xml:space="preserve"> for </w:t>
      </w:r>
      <w:r w:rsidR="00F9298C">
        <w:t>vaccination</w:t>
      </w:r>
      <w:r w:rsidR="00952C3A">
        <w:t xml:space="preserve"> while attending to other responsibilities</w:t>
      </w:r>
      <w:r w:rsidR="008B5F44">
        <w:t>;</w:t>
      </w:r>
      <w:r w:rsidR="00952C3A">
        <w:t xml:space="preserve"> families where the </w:t>
      </w:r>
      <w:r w:rsidR="00F9298C">
        <w:t>parents</w:t>
      </w:r>
      <w:r w:rsidR="00952C3A">
        <w:t xml:space="preserve"> are working at times when vaccination appointments are offered</w:t>
      </w:r>
      <w:r w:rsidR="00BE38A4">
        <w:t>;</w:t>
      </w:r>
      <w:r w:rsidR="00952C3A">
        <w:t xml:space="preserve"> </w:t>
      </w:r>
      <w:r w:rsidR="00AB545B">
        <w:t xml:space="preserve">or </w:t>
      </w:r>
      <w:r w:rsidR="00952C3A">
        <w:t xml:space="preserve">other pressures such as caring for dependent family members. </w:t>
      </w:r>
    </w:p>
    <w:p w14:paraId="19CC1BC7" w14:textId="77777777" w:rsidR="00952C3A" w:rsidRDefault="00952C3A" w:rsidP="006F0D2E">
      <w:pPr>
        <w:spacing w:line="480" w:lineRule="auto"/>
      </w:pPr>
      <w:r>
        <w:t xml:space="preserve">Secondly, nurses are often the </w:t>
      </w:r>
      <w:r w:rsidR="00F9298C">
        <w:t>profession</w:t>
      </w:r>
      <w:r>
        <w:t xml:space="preserve"> which administers </w:t>
      </w:r>
      <w:r w:rsidR="00F9298C">
        <w:t>the</w:t>
      </w:r>
      <w:r>
        <w:t xml:space="preserve"> vaccine. According </w:t>
      </w:r>
      <w:r w:rsidR="00F9298C">
        <w:t>to</w:t>
      </w:r>
      <w:r>
        <w:t xml:space="preserve"> local policy this may require a doctor </w:t>
      </w:r>
      <w:r w:rsidR="00F9298C">
        <w:t>to</w:t>
      </w:r>
      <w:r>
        <w:t xml:space="preserve"> be on the premises, in other </w:t>
      </w:r>
      <w:r w:rsidR="00F9298C">
        <w:t>countries</w:t>
      </w:r>
      <w:r>
        <w:t xml:space="preserve"> the nurse is </w:t>
      </w:r>
      <w:r w:rsidR="00AB545B">
        <w:t>has competency to work</w:t>
      </w:r>
      <w:r w:rsidR="00BE38A4">
        <w:t xml:space="preserve"> </w:t>
      </w:r>
      <w:r w:rsidR="00AB545B">
        <w:t>autonomously</w:t>
      </w:r>
      <w:r>
        <w:t xml:space="preserve">.  </w:t>
      </w:r>
      <w:r w:rsidR="00AB545B">
        <w:t>At the same</w:t>
      </w:r>
      <w:r w:rsidR="00D71219">
        <w:t xml:space="preserve"> time most countries are reporting increasing pressures on primary care doctors, and reduction in their numbers, so </w:t>
      </w:r>
      <w:r w:rsidR="00F9298C">
        <w:t>transfer</w:t>
      </w:r>
      <w:r w:rsidR="00D71219">
        <w:t xml:space="preserve"> of responsibilities </w:t>
      </w:r>
      <w:r w:rsidR="00F9298C">
        <w:t xml:space="preserve">to nurses </w:t>
      </w:r>
      <w:r w:rsidR="00D71219">
        <w:t>where it is effective and safe has additional advantages.</w:t>
      </w:r>
    </w:p>
    <w:p w14:paraId="465255E4" w14:textId="77777777" w:rsidR="00D71219" w:rsidRDefault="00B9419A" w:rsidP="006F0D2E">
      <w:pPr>
        <w:spacing w:line="480" w:lineRule="auto"/>
      </w:pPr>
      <w:r>
        <w:t>Given this role and skills, n</w:t>
      </w:r>
      <w:r w:rsidR="00D71219">
        <w:t xml:space="preserve">ursing </w:t>
      </w:r>
      <w:r w:rsidR="00CF49A7">
        <w:t>should be much more</w:t>
      </w:r>
      <w:r w:rsidR="00F9298C">
        <w:t xml:space="preserve"> </w:t>
      </w:r>
      <w:r w:rsidR="00D71219">
        <w:t>involved in discussions</w:t>
      </w:r>
      <w:r w:rsidR="00F9298C">
        <w:t xml:space="preserve"> on addressing vaccination</w:t>
      </w:r>
      <w:r w:rsidR="00D71219">
        <w:t xml:space="preserve">. There is need to consider </w:t>
      </w:r>
      <w:r w:rsidR="00BE38A4">
        <w:t xml:space="preserve">the </w:t>
      </w:r>
      <w:r w:rsidR="00F9298C">
        <w:t>potentially increased role of nurses in vaccination</w:t>
      </w:r>
      <w:r>
        <w:t>,</w:t>
      </w:r>
      <w:r w:rsidR="00F9298C">
        <w:t xml:space="preserve"> linked to consideration of the knowledge and skills needed</w:t>
      </w:r>
      <w:r w:rsidR="00CF0A32">
        <w:t>, given the variation in nurse</w:t>
      </w:r>
      <w:r w:rsidR="00F9298C">
        <w:t xml:space="preserve"> training and </w:t>
      </w:r>
      <w:r w:rsidR="00CF0A32">
        <w:t>skills</w:t>
      </w:r>
      <w:r w:rsidR="00F9298C">
        <w:t xml:space="preserve"> across Europe.</w:t>
      </w:r>
    </w:p>
    <w:p w14:paraId="5FB5F94C" w14:textId="77777777" w:rsidR="00F9298C" w:rsidRDefault="00F9298C" w:rsidP="006F0D2E">
      <w:pPr>
        <w:spacing w:line="480" w:lineRule="auto"/>
      </w:pPr>
      <w:r>
        <w:t xml:space="preserve">To make optimum use of the experienced nursing workforce there is an urgent </w:t>
      </w:r>
      <w:r w:rsidR="00915AC1">
        <w:t xml:space="preserve">policy </w:t>
      </w:r>
      <w:r>
        <w:t>need to:</w:t>
      </w:r>
    </w:p>
    <w:p w14:paraId="6329C0E8" w14:textId="77777777" w:rsidR="00F9298C" w:rsidRDefault="00F9298C" w:rsidP="006F0D2E">
      <w:pPr>
        <w:pStyle w:val="ListParagraph"/>
        <w:numPr>
          <w:ilvl w:val="0"/>
          <w:numId w:val="5"/>
        </w:numPr>
        <w:spacing w:line="480" w:lineRule="auto"/>
        <w:rPr>
          <w:b/>
        </w:rPr>
      </w:pPr>
      <w:r w:rsidRPr="00F9298C">
        <w:rPr>
          <w:b/>
        </w:rPr>
        <w:t xml:space="preserve">Recognise </w:t>
      </w:r>
      <w:r w:rsidR="00D4714C">
        <w:rPr>
          <w:b/>
        </w:rPr>
        <w:t xml:space="preserve">and systematically develop </w:t>
      </w:r>
      <w:r w:rsidRPr="00F9298C">
        <w:rPr>
          <w:b/>
        </w:rPr>
        <w:t>the key role of Nursing in preventive child health</w:t>
      </w:r>
    </w:p>
    <w:p w14:paraId="53DA7E7D" w14:textId="77777777" w:rsidR="00952C3A" w:rsidRDefault="00952C3A" w:rsidP="006F0D2E">
      <w:pPr>
        <w:spacing w:line="480" w:lineRule="auto"/>
      </w:pPr>
    </w:p>
    <w:p w14:paraId="00336512" w14:textId="77777777" w:rsidR="003C4FBE" w:rsidRPr="003C4FBE" w:rsidRDefault="00CF0A32" w:rsidP="006F0D2E">
      <w:pPr>
        <w:spacing w:line="480" w:lineRule="auto"/>
        <w:rPr>
          <w:u w:val="single"/>
        </w:rPr>
      </w:pPr>
      <w:r>
        <w:rPr>
          <w:u w:val="single"/>
        </w:rPr>
        <w:t xml:space="preserve">4. </w:t>
      </w:r>
      <w:r w:rsidR="003C4FBE" w:rsidRPr="003C4FBE">
        <w:rPr>
          <w:u w:val="single"/>
        </w:rPr>
        <w:t>Understanding Non-Vaccination</w:t>
      </w:r>
    </w:p>
    <w:p w14:paraId="4EB906FB" w14:textId="2E0F17DD" w:rsidR="00952C3A" w:rsidRDefault="003C4FBE" w:rsidP="006F0D2E">
      <w:pPr>
        <w:spacing w:line="480" w:lineRule="auto"/>
      </w:pPr>
      <w:r>
        <w:t>It i</w:t>
      </w:r>
      <w:r w:rsidR="00077489">
        <w:t xml:space="preserve">s </w:t>
      </w:r>
      <w:r>
        <w:t xml:space="preserve">frequently assumed or implied that that the reason for children not </w:t>
      </w:r>
      <w:r w:rsidR="00D45B78">
        <w:t>being</w:t>
      </w:r>
      <w:r w:rsidR="007C540D">
        <w:t xml:space="preserve"> </w:t>
      </w:r>
      <w:r>
        <w:t xml:space="preserve">vaccinated is </w:t>
      </w:r>
      <w:r w:rsidR="00077489">
        <w:t xml:space="preserve">largely </w:t>
      </w:r>
      <w:r>
        <w:t xml:space="preserve">due </w:t>
      </w:r>
      <w:r w:rsidR="00E001A3">
        <w:t>to</w:t>
      </w:r>
      <w:r>
        <w:t xml:space="preserve"> vaccine hesitancy by parents. T</w:t>
      </w:r>
      <w:r w:rsidR="00AA61AD">
        <w:t>h</w:t>
      </w:r>
      <w:r>
        <w:t xml:space="preserve">is is a simplistic view, </w:t>
      </w:r>
      <w:r w:rsidR="00AA61AD">
        <w:t xml:space="preserve">as </w:t>
      </w:r>
      <w:r w:rsidR="00355B34">
        <w:t>reason for non-vaccination</w:t>
      </w:r>
      <w:r w:rsidR="00AA61AD">
        <w:t xml:space="preserve"> is not systematically collected</w:t>
      </w:r>
      <w:r>
        <w:t>. W</w:t>
      </w:r>
      <w:r w:rsidR="00FA0770">
        <w:t>hile a number parents do indeed form a view that vaccination carries undue risk, this is by no means the sole reason for non-immunisation. This</w:t>
      </w:r>
      <w:r>
        <w:t xml:space="preserve"> blaming of parents overlooks the </w:t>
      </w:r>
      <w:r w:rsidR="00E001A3">
        <w:t>challenges</w:t>
      </w:r>
      <w:r>
        <w:t xml:space="preserve"> of modern life and parenting, </w:t>
      </w:r>
      <w:r w:rsidR="00AA61AD">
        <w:t xml:space="preserve">with the normality </w:t>
      </w:r>
      <w:r>
        <w:t xml:space="preserve">that both parents work and that </w:t>
      </w:r>
      <w:r w:rsidR="00AA61AD">
        <w:t>f</w:t>
      </w:r>
      <w:r>
        <w:t>rom an early age children are in school or pre-school,</w:t>
      </w:r>
      <w:r w:rsidR="00AA61AD">
        <w:t xml:space="preserve"> thus </w:t>
      </w:r>
      <w:r w:rsidR="00355B34">
        <w:t>creating</w:t>
      </w:r>
      <w:r w:rsidR="00AA61AD">
        <w:t xml:space="preserve"> </w:t>
      </w:r>
      <w:r w:rsidR="00355B34">
        <w:t>temporal</w:t>
      </w:r>
      <w:r w:rsidR="00AA61AD">
        <w:t xml:space="preserve"> and </w:t>
      </w:r>
      <w:r w:rsidR="00A87A95">
        <w:t>financial</w:t>
      </w:r>
      <w:r w:rsidR="00AA61AD">
        <w:t xml:space="preserve"> co</w:t>
      </w:r>
      <w:r w:rsidR="00077489">
        <w:t>s</w:t>
      </w:r>
      <w:r w:rsidR="00AA61AD">
        <w:t>t</w:t>
      </w:r>
      <w:r w:rsidR="00355B34">
        <w:t>s</w:t>
      </w:r>
      <w:r w:rsidR="00AA61AD">
        <w:t xml:space="preserve"> for </w:t>
      </w:r>
      <w:r w:rsidR="00A87A95">
        <w:t>parents</w:t>
      </w:r>
      <w:r w:rsidR="00AA61AD">
        <w:t xml:space="preserve"> </w:t>
      </w:r>
      <w:r w:rsidR="00A87A95">
        <w:t>to</w:t>
      </w:r>
      <w:r w:rsidR="00AA61AD">
        <w:t xml:space="preserve"> take </w:t>
      </w:r>
      <w:r w:rsidR="00A87A95">
        <w:t>children</w:t>
      </w:r>
      <w:r w:rsidR="00AA61AD">
        <w:t xml:space="preserve"> </w:t>
      </w:r>
      <w:r w:rsidR="00A87A95">
        <w:t>to</w:t>
      </w:r>
      <w:r w:rsidR="00AA61AD">
        <w:t xml:space="preserve"> </w:t>
      </w:r>
      <w:r w:rsidR="00A87A95">
        <w:t>health</w:t>
      </w:r>
      <w:r w:rsidR="00AA61AD">
        <w:t xml:space="preserve"> appointment</w:t>
      </w:r>
      <w:r w:rsidR="00A87A95">
        <w:t>s</w:t>
      </w:r>
      <w:r w:rsidR="00AA61AD">
        <w:t>.</w:t>
      </w:r>
      <w:r>
        <w:t xml:space="preserve"> </w:t>
      </w:r>
      <w:r w:rsidR="00AA61AD">
        <w:t xml:space="preserve"> </w:t>
      </w:r>
      <w:r w:rsidR="00D4714C">
        <w:t xml:space="preserve">Indeed, it is often a condition of social </w:t>
      </w:r>
      <w:r w:rsidR="00D4714C">
        <w:lastRenderedPageBreak/>
        <w:t xml:space="preserve">welfare support that parents should </w:t>
      </w:r>
      <w:r w:rsidR="00B33612">
        <w:t>actively seek</w:t>
      </w:r>
      <w:r w:rsidR="00D4714C">
        <w:t xml:space="preserve"> employment, and this </w:t>
      </w:r>
      <w:r w:rsidR="00B33612">
        <w:t>disregards</w:t>
      </w:r>
      <w:r w:rsidR="00D4714C">
        <w:t xml:space="preserve"> parenting duties while also adding to parental pressures – disproportionately so for low income families and those in low skilled employment with least flexibility. </w:t>
      </w:r>
      <w:r w:rsidR="00AA61AD">
        <w:t>The</w:t>
      </w:r>
      <w:r w:rsidR="00A87A95">
        <w:t>r</w:t>
      </w:r>
      <w:r w:rsidR="00AA61AD">
        <w:t xml:space="preserve">e </w:t>
      </w:r>
      <w:r w:rsidR="0023067A">
        <w:t>a</w:t>
      </w:r>
      <w:r w:rsidR="00AA61AD">
        <w:t xml:space="preserve">re other costs, too, for many including transport costs, while parents </w:t>
      </w:r>
      <w:r w:rsidR="00077489">
        <w:t xml:space="preserve">may have other children to collect from school and </w:t>
      </w:r>
      <w:r w:rsidR="00AA61AD">
        <w:t>may also have other carer duties.</w:t>
      </w:r>
      <w:r w:rsidR="00757C6D">
        <w:t xml:space="preserve"> </w:t>
      </w:r>
      <w:r w:rsidR="009F4592">
        <w:t>[20, 21]</w:t>
      </w:r>
      <w:r w:rsidR="00757C6D">
        <w:t xml:space="preserve"> </w:t>
      </w:r>
      <w:r w:rsidR="00E367E8">
        <w:t>.</w:t>
      </w:r>
    </w:p>
    <w:p w14:paraId="2B4DA1CE" w14:textId="18B33CEC" w:rsidR="005074FF" w:rsidRDefault="005074FF" w:rsidP="006F0D2E">
      <w:pPr>
        <w:spacing w:line="480" w:lineRule="auto"/>
      </w:pPr>
      <w:r>
        <w:t>Indeed, there is little overall systematic knowledge of economic or practical barriers for families in accessing healthcare for children. The sole EU-wide systematic study is a one-off ad hoc module added to the Survey of Living Conditions for 2017, and its construct is far from ideal. However, it shows that many children are unable to access necessary healthcare</w:t>
      </w:r>
      <w:r w:rsidR="005D5318">
        <w:t xml:space="preserve"> </w:t>
      </w:r>
      <w:r w:rsidR="009F4592">
        <w:t>[4, 22]</w:t>
      </w:r>
      <w:r w:rsidR="00B0310B">
        <w:t xml:space="preserve"> </w:t>
      </w:r>
      <w:r w:rsidR="005D5318">
        <w:t>.</w:t>
      </w:r>
    </w:p>
    <w:p w14:paraId="5C451CCC" w14:textId="4FB3CB4D" w:rsidR="0023067A" w:rsidRDefault="00DD3088" w:rsidP="006F0D2E">
      <w:pPr>
        <w:spacing w:line="480" w:lineRule="auto"/>
      </w:pPr>
      <w:r>
        <w:t>Overall, i</w:t>
      </w:r>
      <w:r w:rsidR="007C540D">
        <w:t xml:space="preserve">t is therefore worrying that there is no systematic process to record the reasons at the case level </w:t>
      </w:r>
      <w:r w:rsidR="00B33612">
        <w:t>which would</w:t>
      </w:r>
      <w:r w:rsidR="007C540D">
        <w:t xml:space="preserve"> also provide evidence of problems that can be addressed by service redesign. It </w:t>
      </w:r>
      <w:r w:rsidR="00B33612">
        <w:t>is</w:t>
      </w:r>
      <w:r w:rsidR="007C540D">
        <w:t xml:space="preserve"> an indication of </w:t>
      </w:r>
      <w:r w:rsidR="00B33612">
        <w:t>the continued</w:t>
      </w:r>
      <w:r w:rsidR="007C540D">
        <w:t xml:space="preserve"> biophysical bias in healthcare that an allergy can be recorded</w:t>
      </w:r>
      <w:r w:rsidR="00915AC1">
        <w:t xml:space="preserve"> by a standardised data item</w:t>
      </w:r>
      <w:r w:rsidR="007C540D">
        <w:t xml:space="preserve">, but not practical constraints which inhibit bringing the child for vaccination. </w:t>
      </w:r>
      <w:r w:rsidR="0023067A">
        <w:t xml:space="preserve">The necessary </w:t>
      </w:r>
      <w:r w:rsidR="00EF024A">
        <w:t>enabling</w:t>
      </w:r>
      <w:r w:rsidR="0023067A">
        <w:t xml:space="preserve"> Action is to</w:t>
      </w:r>
      <w:r w:rsidR="00B275FF">
        <w:t xml:space="preserve"> initiate a </w:t>
      </w:r>
      <w:r w:rsidR="00EF024A">
        <w:t>professional</w:t>
      </w:r>
      <w:r w:rsidR="00B275FF">
        <w:t xml:space="preserve"> dialogue, </w:t>
      </w:r>
      <w:r w:rsidR="007C540D">
        <w:t xml:space="preserve">potentially </w:t>
      </w:r>
      <w:r w:rsidR="00B275FF">
        <w:t xml:space="preserve">including the HL7 Foundation’s International </w:t>
      </w:r>
      <w:r w:rsidR="00EF024A">
        <w:t>Patient</w:t>
      </w:r>
      <w:r w:rsidR="00B275FF">
        <w:t xml:space="preserve"> Summary </w:t>
      </w:r>
      <w:r w:rsidR="00EF024A">
        <w:t>architects</w:t>
      </w:r>
      <w:r w:rsidR="007C540D">
        <w:t xml:space="preserve"> and health standards bodies</w:t>
      </w:r>
      <w:r w:rsidR="00316328">
        <w:t xml:space="preserve"> </w:t>
      </w:r>
      <w:r w:rsidR="009F4592">
        <w:t>[4, 23]</w:t>
      </w:r>
      <w:r w:rsidR="00B275FF">
        <w:t>, in order to</w:t>
      </w:r>
      <w:r w:rsidR="00915AC1">
        <w:t xml:space="preserve"> extend standardised records and action policy to</w:t>
      </w:r>
      <w:r w:rsidR="0023067A">
        <w:t>:</w:t>
      </w:r>
    </w:p>
    <w:p w14:paraId="626EAA74" w14:textId="77777777" w:rsidR="00B275FF" w:rsidRPr="00B275FF" w:rsidRDefault="00B275FF" w:rsidP="006F0D2E">
      <w:pPr>
        <w:pStyle w:val="ListParagraph"/>
        <w:numPr>
          <w:ilvl w:val="0"/>
          <w:numId w:val="8"/>
        </w:numPr>
        <w:spacing w:line="480" w:lineRule="auto"/>
        <w:rPr>
          <w:b/>
        </w:rPr>
      </w:pPr>
      <w:bookmarkStart w:id="0" w:name="_Hlk22661073"/>
      <w:r w:rsidRPr="00B275FF">
        <w:rPr>
          <w:b/>
        </w:rPr>
        <w:t>Systematically Record Reason for Non-vaccination to an agreed Taxonomy</w:t>
      </w:r>
    </w:p>
    <w:bookmarkEnd w:id="0"/>
    <w:p w14:paraId="4A8E1701" w14:textId="77777777" w:rsidR="00227931" w:rsidRDefault="00227931" w:rsidP="006F0D2E">
      <w:pPr>
        <w:spacing w:line="480" w:lineRule="auto"/>
      </w:pPr>
    </w:p>
    <w:p w14:paraId="48156CA9" w14:textId="77777777" w:rsidR="00B275FF" w:rsidRPr="00227931" w:rsidRDefault="00210094" w:rsidP="006F0D2E">
      <w:pPr>
        <w:spacing w:line="480" w:lineRule="auto"/>
        <w:rPr>
          <w:u w:val="single"/>
        </w:rPr>
      </w:pPr>
      <w:r>
        <w:rPr>
          <w:u w:val="single"/>
        </w:rPr>
        <w:t xml:space="preserve">5. </w:t>
      </w:r>
      <w:r w:rsidR="00227931" w:rsidRPr="00227931">
        <w:rPr>
          <w:u w:val="single"/>
        </w:rPr>
        <w:t>Technical Standards for E-Health and Digital Support</w:t>
      </w:r>
    </w:p>
    <w:p w14:paraId="78F66D6D" w14:textId="411503AB" w:rsidR="00636723" w:rsidRDefault="00210094" w:rsidP="006F0D2E">
      <w:pPr>
        <w:spacing w:line="480" w:lineRule="auto"/>
      </w:pPr>
      <w:r>
        <w:t>There is</w:t>
      </w:r>
      <w:r w:rsidR="00A438BF">
        <w:t xml:space="preserve"> </w:t>
      </w:r>
      <w:r w:rsidR="00C952F3">
        <w:t xml:space="preserve">significant </w:t>
      </w:r>
      <w:r w:rsidR="00A438BF">
        <w:t>hist</w:t>
      </w:r>
      <w:r w:rsidR="00C952F3">
        <w:t>o</w:t>
      </w:r>
      <w:r w:rsidR="00A438BF">
        <w:t>ry within Europe of developing e-</w:t>
      </w:r>
      <w:r w:rsidR="00C952F3">
        <w:t>health</w:t>
      </w:r>
      <w:r w:rsidR="00A438BF">
        <w:t xml:space="preserve"> systems </w:t>
      </w:r>
      <w:r w:rsidR="00C952F3">
        <w:t>to</w:t>
      </w:r>
      <w:r w:rsidR="00A438BF">
        <w:t xml:space="preserve"> support child </w:t>
      </w:r>
      <w:r w:rsidR="00446DDE">
        <w:t>vaccination</w:t>
      </w:r>
      <w:r w:rsidR="00757B46">
        <w:t xml:space="preserve"> [4]</w:t>
      </w:r>
      <w:r w:rsidR="00446DDE">
        <w:t>.</w:t>
      </w:r>
      <w:r w:rsidR="00771DC4">
        <w:t xml:space="preserve">  </w:t>
      </w:r>
      <w:r>
        <w:t>B</w:t>
      </w:r>
      <w:r w:rsidR="00771DC4">
        <w:t xml:space="preserve">oth the </w:t>
      </w:r>
      <w:r w:rsidR="00636723">
        <w:t>European Commission</w:t>
      </w:r>
      <w:r w:rsidR="00771DC4">
        <w:t xml:space="preserve"> and WHO</w:t>
      </w:r>
      <w:r>
        <w:t xml:space="preserve"> have </w:t>
      </w:r>
      <w:r w:rsidR="00771DC4">
        <w:t xml:space="preserve">expressed </w:t>
      </w:r>
      <w:r w:rsidR="00B26860">
        <w:t>strong</w:t>
      </w:r>
      <w:r w:rsidR="00771DC4">
        <w:t xml:space="preserve"> commitment to e-health and digital health, but remarkably little consideration has be</w:t>
      </w:r>
      <w:r w:rsidR="001E32AF">
        <w:t>e</w:t>
      </w:r>
      <w:r w:rsidR="00771DC4">
        <w:t xml:space="preserve">n given to updated </w:t>
      </w:r>
      <w:r w:rsidR="001E32AF">
        <w:t>e</w:t>
      </w:r>
      <w:r w:rsidR="00771DC4">
        <w:t>-</w:t>
      </w:r>
      <w:r w:rsidR="001E32AF">
        <w:t>health</w:t>
      </w:r>
      <w:r w:rsidR="00771DC4">
        <w:t xml:space="preserve"> </w:t>
      </w:r>
      <w:r w:rsidR="001E32AF">
        <w:t>applications</w:t>
      </w:r>
      <w:r w:rsidR="00771DC4">
        <w:t xml:space="preserve"> to support vaccination</w:t>
      </w:r>
      <w:r w:rsidR="00636723">
        <w:t xml:space="preserve"> delivery</w:t>
      </w:r>
      <w:r w:rsidR="00771DC4">
        <w:t xml:space="preserve">, despite the proven </w:t>
      </w:r>
      <w:r w:rsidR="001E32AF">
        <w:t>benefits</w:t>
      </w:r>
      <w:r w:rsidR="00B0310B">
        <w:t xml:space="preserve"> </w:t>
      </w:r>
      <w:r w:rsidR="009F4592">
        <w:t>[24, 25]</w:t>
      </w:r>
      <w:r w:rsidR="00771DC4">
        <w:t xml:space="preserve">.  </w:t>
      </w:r>
      <w:r w:rsidR="00636723">
        <w:t xml:space="preserve">The Global Vaccination Summit’s fifth Action refers only to harnessing digital technologies for monitoring, yet use just for monitoring </w:t>
      </w:r>
      <w:r w:rsidR="00636723">
        <w:lastRenderedPageBreak/>
        <w:t>in fact presents an additional burden and cost unless it is a by-product of e-health based delivery system</w:t>
      </w:r>
      <w:r w:rsidR="00F768A0">
        <w:t>s</w:t>
      </w:r>
      <w:r w:rsidR="00636723">
        <w:t xml:space="preserve">; computer-based </w:t>
      </w:r>
      <w:r w:rsidR="00631224">
        <w:t xml:space="preserve">scheduling </w:t>
      </w:r>
      <w:r w:rsidR="00636723">
        <w:t>systems are not mentioned.</w:t>
      </w:r>
    </w:p>
    <w:p w14:paraId="20D0ED3B" w14:textId="6EAA4B8A" w:rsidR="00227931" w:rsidRDefault="00771DC4" w:rsidP="006F0D2E">
      <w:pPr>
        <w:spacing w:line="480" w:lineRule="auto"/>
      </w:pPr>
      <w:r>
        <w:t>Many Member States have developed their own systems, but these are not written up in scientific literature.  Many also report th</w:t>
      </w:r>
      <w:r w:rsidR="001E32AF">
        <w:t>e</w:t>
      </w:r>
      <w:r>
        <w:t xml:space="preserve"> use of case-based child public </w:t>
      </w:r>
      <w:r w:rsidR="001E32AF">
        <w:t>health</w:t>
      </w:r>
      <w:r>
        <w:t xml:space="preserve"> systems</w:t>
      </w:r>
      <w:r w:rsidR="001E32AF">
        <w:t xml:space="preserve"> -</w:t>
      </w:r>
      <w:r>
        <w:t xml:space="preserve"> </w:t>
      </w:r>
      <w:r w:rsidR="00F331B5">
        <w:t>six</w:t>
      </w:r>
      <w:r w:rsidR="00B26860">
        <w:t xml:space="preserve"> countries have systems which schedule appointments, and </w:t>
      </w:r>
      <w:r w:rsidR="00F331B5">
        <w:t>eleven</w:t>
      </w:r>
      <w:r w:rsidR="00B26860">
        <w:t xml:space="preserve"> </w:t>
      </w:r>
      <w:r w:rsidR="001E32AF">
        <w:t xml:space="preserve">national systems </w:t>
      </w:r>
      <w:r w:rsidR="00B26860">
        <w:t xml:space="preserve">advise the primary care professional if a child is overdue for protection </w:t>
      </w:r>
      <w:r w:rsidR="00F331B5">
        <w:t xml:space="preserve">(update of </w:t>
      </w:r>
      <w:r w:rsidR="009F4592">
        <w:t>[26]</w:t>
      </w:r>
      <w:r w:rsidR="00F331B5">
        <w:t>)</w:t>
      </w:r>
      <w:r w:rsidR="00B26860">
        <w:t xml:space="preserve">. </w:t>
      </w:r>
      <w:r w:rsidR="00F331B5">
        <w:t>Indeed, of the six best performing nations in Table 1, five have such active systems; conversely only two of the eleven users of active systems are in the lowest ranking countries.</w:t>
      </w:r>
      <w:r w:rsidR="00210094">
        <w:t xml:space="preserve"> </w:t>
      </w:r>
      <w:r w:rsidR="00B26860">
        <w:t xml:space="preserve">The European Centre for Disease Control (ECDC) has called for the implementation of </w:t>
      </w:r>
      <w:r w:rsidR="001E32AF">
        <w:t>Immunisation</w:t>
      </w:r>
      <w:r w:rsidR="00B26860">
        <w:t xml:space="preserve"> Information Systems as a support function to immunisation, and with very similar </w:t>
      </w:r>
      <w:r w:rsidR="001E32AF">
        <w:t>findings</w:t>
      </w:r>
      <w:r w:rsidR="00B26860">
        <w:t xml:space="preserve"> on current </w:t>
      </w:r>
      <w:r w:rsidR="001E32AF">
        <w:t>provision</w:t>
      </w:r>
      <w:r w:rsidR="001B5AC9">
        <w:t xml:space="preserve"> </w:t>
      </w:r>
      <w:r w:rsidR="009F4592">
        <w:t>[27]</w:t>
      </w:r>
      <w:r w:rsidR="00B26860">
        <w:t>.</w:t>
      </w:r>
      <w:r w:rsidR="001E32AF">
        <w:t xml:space="preserve"> </w:t>
      </w:r>
    </w:p>
    <w:p w14:paraId="0A29A304" w14:textId="14134BC9" w:rsidR="00210094" w:rsidRDefault="001E32AF" w:rsidP="006F0D2E">
      <w:pPr>
        <w:spacing w:line="480" w:lineRule="auto"/>
      </w:pPr>
      <w:r>
        <w:t xml:space="preserve">Not only are national systems individually specified and built, but there is virtually no use of recognised data standards </w:t>
      </w:r>
      <w:r w:rsidR="009F4592">
        <w:t>[28]</w:t>
      </w:r>
      <w:r>
        <w:t xml:space="preserve">. Similarly, ECDC has called for the agreement of data standards </w:t>
      </w:r>
      <w:r w:rsidR="009F4592">
        <w:t>[27]</w:t>
      </w:r>
      <w:r w:rsidR="007E7233">
        <w:t xml:space="preserve">. </w:t>
      </w:r>
      <w:r>
        <w:t xml:space="preserve">In a modern e-health environment there </w:t>
      </w:r>
      <w:r w:rsidR="00210094">
        <w:t>needs to be an</w:t>
      </w:r>
      <w:r>
        <w:t xml:space="preserve"> agree</w:t>
      </w:r>
      <w:r w:rsidR="00210094">
        <w:t>d</w:t>
      </w:r>
      <w:r>
        <w:t xml:space="preserve"> specification of optimum data and function definitions</w:t>
      </w:r>
      <w:r w:rsidR="00210094">
        <w:t xml:space="preserve"> for</w:t>
      </w:r>
      <w:r>
        <w:t xml:space="preserve"> the scheduling and monitoring functions, as well as the antigen tracing needed by ECDC. </w:t>
      </w:r>
    </w:p>
    <w:p w14:paraId="7A5F74DD" w14:textId="77777777" w:rsidR="001E32AF" w:rsidRDefault="00631224" w:rsidP="006F0D2E">
      <w:pPr>
        <w:spacing w:line="480" w:lineRule="auto"/>
      </w:pPr>
      <w:r>
        <w:t>An effective policy</w:t>
      </w:r>
      <w:r w:rsidR="00C8635A">
        <w:t xml:space="preserve"> Action would be to:</w:t>
      </w:r>
    </w:p>
    <w:p w14:paraId="3B134D21" w14:textId="77777777" w:rsidR="00C8635A" w:rsidRPr="00C8635A" w:rsidRDefault="00C8635A" w:rsidP="006F0D2E">
      <w:pPr>
        <w:pStyle w:val="ListParagraph"/>
        <w:numPr>
          <w:ilvl w:val="0"/>
          <w:numId w:val="9"/>
        </w:numPr>
        <w:spacing w:line="480" w:lineRule="auto"/>
        <w:rPr>
          <w:b/>
        </w:rPr>
      </w:pPr>
      <w:r w:rsidRPr="00C8635A">
        <w:rPr>
          <w:b/>
        </w:rPr>
        <w:t>Enable effective e-Health and Digital Support by setting Standards for Data and Processes</w:t>
      </w:r>
    </w:p>
    <w:p w14:paraId="6E82B4CA" w14:textId="77777777" w:rsidR="00C8635A" w:rsidRDefault="00C8635A" w:rsidP="006F0D2E">
      <w:pPr>
        <w:spacing w:line="480" w:lineRule="auto"/>
      </w:pPr>
    </w:p>
    <w:p w14:paraId="275EA65D" w14:textId="77777777" w:rsidR="00C8635A" w:rsidRPr="00D0782E" w:rsidRDefault="00931158" w:rsidP="006F0D2E">
      <w:pPr>
        <w:spacing w:line="480" w:lineRule="auto"/>
        <w:rPr>
          <w:u w:val="single"/>
        </w:rPr>
      </w:pPr>
      <w:r>
        <w:rPr>
          <w:u w:val="single"/>
        </w:rPr>
        <w:t xml:space="preserve">6. </w:t>
      </w:r>
      <w:r w:rsidR="00CF2208" w:rsidRPr="00D0782E">
        <w:rPr>
          <w:u w:val="single"/>
        </w:rPr>
        <w:t>Interconnecting E-Health Systems</w:t>
      </w:r>
      <w:r w:rsidR="00250A20">
        <w:rPr>
          <w:u w:val="single"/>
        </w:rPr>
        <w:t xml:space="preserve"> including Portals and Apps</w:t>
      </w:r>
    </w:p>
    <w:p w14:paraId="752116B9" w14:textId="4636403F" w:rsidR="004B369A" w:rsidRDefault="00D0782E" w:rsidP="006F0D2E">
      <w:pPr>
        <w:spacing w:line="480" w:lineRule="auto"/>
        <w:rPr>
          <w:vertAlign w:val="superscript"/>
        </w:rPr>
      </w:pPr>
      <w:r>
        <w:t xml:space="preserve">Not only are e-health systems important for </w:t>
      </w:r>
      <w:r w:rsidR="00931158">
        <w:t>achievement</w:t>
      </w:r>
      <w:r>
        <w:t xml:space="preserve"> of child-centric records, but inter-connection across the health economy is important to ensure completeness. At present electronic data transfer </w:t>
      </w:r>
      <w:r w:rsidR="00CB1B9E">
        <w:t xml:space="preserve">in child health primary care </w:t>
      </w:r>
      <w:r>
        <w:t>across components of the health economy</w:t>
      </w:r>
      <w:r w:rsidR="005074FF">
        <w:t xml:space="preserve"> is</w:t>
      </w:r>
      <w:r>
        <w:t xml:space="preserve"> quite limited</w:t>
      </w:r>
      <w:r w:rsidR="00BC6900">
        <w:t xml:space="preserve"> [26]</w:t>
      </w:r>
      <w:r w:rsidR="00D6513F">
        <w:t xml:space="preserve">, </w:t>
      </w:r>
      <w:r w:rsidR="00931158">
        <w:t xml:space="preserve">though this is essential </w:t>
      </w:r>
      <w:r>
        <w:t xml:space="preserve">to initiatives such as hospital opportunistic vaccination </w:t>
      </w:r>
      <w:r w:rsidR="009F4592">
        <w:t>[14]</w:t>
      </w:r>
      <w:r w:rsidR="00757B46">
        <w:t>.</w:t>
      </w:r>
    </w:p>
    <w:p w14:paraId="1171A85A" w14:textId="77777777" w:rsidR="002658A8" w:rsidRDefault="00D0782E" w:rsidP="006F0D2E">
      <w:pPr>
        <w:spacing w:line="480" w:lineRule="auto"/>
      </w:pPr>
      <w:r>
        <w:t xml:space="preserve">. </w:t>
      </w:r>
    </w:p>
    <w:p w14:paraId="505442F6" w14:textId="434F10F9" w:rsidR="005C7A96" w:rsidRDefault="0067640E" w:rsidP="006F0D2E">
      <w:pPr>
        <w:spacing w:line="480" w:lineRule="auto"/>
      </w:pPr>
      <w:r>
        <w:lastRenderedPageBreak/>
        <w:t xml:space="preserve">The newest developments are portals giving patient (parent and child) access to live records. Already portal access to vaccination records has been created by </w:t>
      </w:r>
      <w:r w:rsidR="002658A8">
        <w:t>Hungar</w:t>
      </w:r>
      <w:r w:rsidR="0033475B">
        <w:t xml:space="preserve">y, </w:t>
      </w:r>
      <w:r w:rsidR="002658A8">
        <w:t>Iceland,</w:t>
      </w:r>
      <w:r w:rsidR="0033475B">
        <w:t xml:space="preserve"> </w:t>
      </w:r>
      <w:r>
        <w:t xml:space="preserve">and </w:t>
      </w:r>
      <w:r w:rsidR="0033475B">
        <w:t>Portugal</w:t>
      </w:r>
      <w:r>
        <w:t xml:space="preserve">; </w:t>
      </w:r>
      <w:r w:rsidR="00923E9A">
        <w:t xml:space="preserve">Portugal </w:t>
      </w:r>
      <w:r>
        <w:t xml:space="preserve">also has an </w:t>
      </w:r>
      <w:r w:rsidR="00923E9A">
        <w:t xml:space="preserve">app </w:t>
      </w:r>
      <w:r>
        <w:t>version</w:t>
      </w:r>
      <w:r w:rsidR="00BC6900">
        <w:t xml:space="preserve"> [29]</w:t>
      </w:r>
      <w:r>
        <w:t xml:space="preserve"> </w:t>
      </w:r>
      <w:r w:rsidR="00D6513F">
        <w:t xml:space="preserve">. </w:t>
      </w:r>
      <w:r>
        <w:t xml:space="preserve">Other countries with overall health record portals include Denmark, Finland, and the Lombardy region of Italy. Regarding advice rather than individuals’ records, </w:t>
      </w:r>
      <w:r w:rsidR="00923E9A">
        <w:t xml:space="preserve">ECDC </w:t>
      </w:r>
      <w:r>
        <w:t xml:space="preserve">has responsibility for </w:t>
      </w:r>
      <w:r w:rsidR="00923E9A">
        <w:t>development of a European vaccination portal</w:t>
      </w:r>
      <w:r w:rsidR="009B231D">
        <w:t xml:space="preserve"> </w:t>
      </w:r>
      <w:r w:rsidR="009F4592">
        <w:t>[17]</w:t>
      </w:r>
      <w:r w:rsidR="00D6513F">
        <w:t xml:space="preserve">. </w:t>
      </w:r>
      <w:r>
        <w:t xml:space="preserve"> </w:t>
      </w:r>
    </w:p>
    <w:p w14:paraId="4B99AF08" w14:textId="746F987F" w:rsidR="0033475B" w:rsidRDefault="0067640E" w:rsidP="006F0D2E">
      <w:pPr>
        <w:spacing w:line="480" w:lineRule="auto"/>
      </w:pPr>
      <w:r>
        <w:t xml:space="preserve">There would be major benefit in developing standards for, and sharing experiences of, these initiatives, and also in </w:t>
      </w:r>
      <w:r w:rsidR="00EE003B">
        <w:t>assessing</w:t>
      </w:r>
      <w:r>
        <w:t xml:space="preserve"> them in standardised form as the </w:t>
      </w:r>
      <w:r w:rsidR="00931158">
        <w:t>digital</w:t>
      </w:r>
      <w:r>
        <w:t xml:space="preserve"> version of the paper European Vaccination Card proposed by the </w:t>
      </w:r>
      <w:r w:rsidR="00D10395">
        <w:t xml:space="preserve">Council of the European Union </w:t>
      </w:r>
      <w:r w:rsidR="00BC6900">
        <w:t>[30]</w:t>
      </w:r>
      <w:r w:rsidR="00D10395">
        <w:t xml:space="preserve">. </w:t>
      </w:r>
      <w:r w:rsidR="005074FF">
        <w:t>which is</w:t>
      </w:r>
      <w:r>
        <w:t xml:space="preserve"> currently subject to </w:t>
      </w:r>
      <w:r w:rsidR="00887178">
        <w:t xml:space="preserve">a </w:t>
      </w:r>
      <w:r w:rsidR="0005376D">
        <w:t>feasibility</w:t>
      </w:r>
      <w:r>
        <w:t xml:space="preserve"> study </w:t>
      </w:r>
      <w:r w:rsidR="00BC6900">
        <w:t>[31]</w:t>
      </w:r>
      <w:r w:rsidR="00D10395">
        <w:rPr>
          <w:rFonts w:cs="Tahoma"/>
          <w:szCs w:val="18"/>
        </w:rPr>
        <w:t>.</w:t>
      </w:r>
    </w:p>
    <w:p w14:paraId="61DCB3AD" w14:textId="77777777" w:rsidR="00D0782E" w:rsidRDefault="00D0782E" w:rsidP="006F0D2E">
      <w:pPr>
        <w:spacing w:line="480" w:lineRule="auto"/>
      </w:pPr>
      <w:r>
        <w:t>Thus the next</w:t>
      </w:r>
      <w:r w:rsidR="00A945DD">
        <w:t xml:space="preserve"> policy</w:t>
      </w:r>
      <w:r>
        <w:t xml:space="preserve"> Action should be:</w:t>
      </w:r>
    </w:p>
    <w:p w14:paraId="6AE5D1A8" w14:textId="77777777" w:rsidR="00D0782E" w:rsidRPr="00D0782E" w:rsidRDefault="00D0782E" w:rsidP="006F0D2E">
      <w:pPr>
        <w:pStyle w:val="ListParagraph"/>
        <w:numPr>
          <w:ilvl w:val="0"/>
          <w:numId w:val="10"/>
        </w:numPr>
        <w:spacing w:line="480" w:lineRule="auto"/>
        <w:rPr>
          <w:b/>
        </w:rPr>
      </w:pPr>
      <w:r w:rsidRPr="00D0782E">
        <w:rPr>
          <w:b/>
        </w:rPr>
        <w:t>Ensure Inter-communicating IT Systems across the whole health economy</w:t>
      </w:r>
    </w:p>
    <w:p w14:paraId="0DA903C2" w14:textId="77777777" w:rsidR="00D0782E" w:rsidRDefault="00D0782E" w:rsidP="006F0D2E">
      <w:pPr>
        <w:spacing w:line="480" w:lineRule="auto"/>
      </w:pPr>
    </w:p>
    <w:p w14:paraId="2801E858" w14:textId="77777777" w:rsidR="00EE003B" w:rsidRPr="00EE003B" w:rsidRDefault="00931158" w:rsidP="006F0D2E">
      <w:pPr>
        <w:spacing w:line="480" w:lineRule="auto"/>
        <w:rPr>
          <w:u w:val="single"/>
        </w:rPr>
      </w:pPr>
      <w:r>
        <w:rPr>
          <w:u w:val="single"/>
        </w:rPr>
        <w:t xml:space="preserve">7. </w:t>
      </w:r>
      <w:r w:rsidR="00EE003B" w:rsidRPr="00EE003B">
        <w:rPr>
          <w:u w:val="single"/>
        </w:rPr>
        <w:t>Harmonisation with Home Based Records</w:t>
      </w:r>
    </w:p>
    <w:p w14:paraId="6C3B3AA7" w14:textId="0CE5CCCD" w:rsidR="003740D9" w:rsidRDefault="00EE003B" w:rsidP="006F0D2E">
      <w:pPr>
        <w:spacing w:line="480" w:lineRule="auto"/>
      </w:pPr>
      <w:r>
        <w:t xml:space="preserve">It is a </w:t>
      </w:r>
      <w:r w:rsidR="00931158">
        <w:t xml:space="preserve">WHO </w:t>
      </w:r>
      <w:r w:rsidR="00585211">
        <w:t>recommendation</w:t>
      </w:r>
      <w:r>
        <w:t xml:space="preserve"> that countries should implement Home Based Records, held by the parent so they have current details of their child’s record.  A recent study showed that </w:t>
      </w:r>
      <w:r w:rsidR="00F331B5">
        <w:t>22</w:t>
      </w:r>
      <w:r>
        <w:t xml:space="preserve"> of the</w:t>
      </w:r>
      <w:r w:rsidR="005C0909">
        <w:t xml:space="preserve"> then</w:t>
      </w:r>
      <w:r>
        <w:t xml:space="preserve"> 28 </w:t>
      </w:r>
      <w:r w:rsidR="00585211">
        <w:t>EU countries operated such a record, and 20 of these included immunisation</w:t>
      </w:r>
      <w:r w:rsidR="009B231D">
        <w:t xml:space="preserve"> </w:t>
      </w:r>
      <w:r w:rsidR="00BC6900">
        <w:t>[32]</w:t>
      </w:r>
      <w:r w:rsidR="003740D9">
        <w:t xml:space="preserve"> </w:t>
      </w:r>
      <w:r w:rsidR="005C0909">
        <w:t>.</w:t>
      </w:r>
      <w:r w:rsidR="00585211">
        <w:t xml:space="preserve"> It seems </w:t>
      </w:r>
      <w:r w:rsidR="00931158">
        <w:t>highly desirable</w:t>
      </w:r>
      <w:r w:rsidR="00585211">
        <w:t xml:space="preserve"> for these record systems to be harmonised and integrated into other immunisation (and child health recording) systems. </w:t>
      </w:r>
    </w:p>
    <w:p w14:paraId="37460BD5" w14:textId="77777777" w:rsidR="00EE003B" w:rsidRDefault="003740D9" w:rsidP="006F0D2E">
      <w:pPr>
        <w:spacing w:line="480" w:lineRule="auto"/>
      </w:pPr>
      <w:r>
        <w:t>A</w:t>
      </w:r>
      <w:r w:rsidR="00585211">
        <w:t xml:space="preserve"> necessary </w:t>
      </w:r>
      <w:r w:rsidR="00A945DD">
        <w:t xml:space="preserve">policy </w:t>
      </w:r>
      <w:r w:rsidR="00585211">
        <w:t>Action is to</w:t>
      </w:r>
      <w:r w:rsidR="007E5CCE">
        <w:t xml:space="preserve"> initiate discussions on how to</w:t>
      </w:r>
      <w:r w:rsidR="00585211">
        <w:t>:</w:t>
      </w:r>
    </w:p>
    <w:p w14:paraId="1540CB44" w14:textId="77777777" w:rsidR="00585211" w:rsidRPr="00585211" w:rsidRDefault="00585211" w:rsidP="006F0D2E">
      <w:pPr>
        <w:pStyle w:val="ListParagraph"/>
        <w:numPr>
          <w:ilvl w:val="0"/>
          <w:numId w:val="11"/>
        </w:numPr>
        <w:spacing w:line="480" w:lineRule="auto"/>
        <w:rPr>
          <w:b/>
        </w:rPr>
      </w:pPr>
      <w:r w:rsidRPr="00585211">
        <w:rPr>
          <w:b/>
        </w:rPr>
        <w:t>Harmonise vaccination recording with Home Based (parent held) Records</w:t>
      </w:r>
    </w:p>
    <w:p w14:paraId="71C29DDB" w14:textId="77777777" w:rsidR="00585211" w:rsidRDefault="00585211" w:rsidP="006F0D2E">
      <w:pPr>
        <w:spacing w:line="480" w:lineRule="auto"/>
      </w:pPr>
    </w:p>
    <w:p w14:paraId="522ED690" w14:textId="77777777" w:rsidR="00BB3F91" w:rsidRPr="00BB3F91" w:rsidRDefault="000D0554" w:rsidP="006F0D2E">
      <w:pPr>
        <w:spacing w:line="480" w:lineRule="auto"/>
        <w:rPr>
          <w:u w:val="single"/>
        </w:rPr>
      </w:pPr>
      <w:r>
        <w:rPr>
          <w:u w:val="single"/>
        </w:rPr>
        <w:t xml:space="preserve">8. </w:t>
      </w:r>
      <w:r w:rsidR="00BB3F91" w:rsidRPr="00BB3F91">
        <w:rPr>
          <w:u w:val="single"/>
        </w:rPr>
        <w:t>Emergent Autonomy of Older Children</w:t>
      </w:r>
    </w:p>
    <w:p w14:paraId="69EA43D4" w14:textId="6A2B44BC" w:rsidR="00A35DC6" w:rsidRDefault="000D0554" w:rsidP="006F0D2E">
      <w:pPr>
        <w:spacing w:line="480" w:lineRule="auto"/>
      </w:pPr>
      <w:r>
        <w:lastRenderedPageBreak/>
        <w:t>Parents must</w:t>
      </w:r>
      <w:r w:rsidR="00BB3F91">
        <w:t xml:space="preserve"> </w:t>
      </w:r>
      <w:r w:rsidR="00A35DC6">
        <w:t>give</w:t>
      </w:r>
      <w:r w:rsidR="00BB3F91">
        <w:t xml:space="preserve"> informed consent</w:t>
      </w:r>
      <w:r>
        <w:t xml:space="preserve"> for infants</w:t>
      </w:r>
      <w:r w:rsidR="00BB3F91">
        <w:t xml:space="preserve">. But as children get older they are encouraged to be responsible in </w:t>
      </w:r>
      <w:r w:rsidR="00A35DC6">
        <w:t>their</w:t>
      </w:r>
      <w:r w:rsidR="007E5CCE">
        <w:t xml:space="preserve"> own</w:t>
      </w:r>
      <w:r w:rsidR="00BB3F91">
        <w:t xml:space="preserve"> health behaviour, and to accept </w:t>
      </w:r>
      <w:r w:rsidR="00A35DC6">
        <w:t>responsibility</w:t>
      </w:r>
      <w:r w:rsidR="00BB3F91">
        <w:t xml:space="preserve"> for their body. For immunisations given in adolescence, it would therefore seem desirable for children to have an </w:t>
      </w:r>
      <w:r w:rsidR="00A35DC6">
        <w:t>informed</w:t>
      </w:r>
      <w:r w:rsidR="00BB3F91">
        <w:t xml:space="preserve"> say in their own vaccination. However, study </w:t>
      </w:r>
      <w:r w:rsidR="00224191">
        <w:t xml:space="preserve">has shown </w:t>
      </w:r>
      <w:r w:rsidR="00A35DC6">
        <w:t>considerable</w:t>
      </w:r>
      <w:r w:rsidR="00224191">
        <w:t xml:space="preserve"> variation between countries i</w:t>
      </w:r>
      <w:r w:rsidR="00A35DC6">
        <w:t xml:space="preserve">n </w:t>
      </w:r>
      <w:r w:rsidR="00224191">
        <w:t>how they consider the growing autonomy of teenage girls with regard to</w:t>
      </w:r>
      <w:r w:rsidR="007E5CCE">
        <w:t xml:space="preserve"> consent to receive</w:t>
      </w:r>
      <w:r w:rsidR="00224191">
        <w:t xml:space="preserve"> HPV vaccination</w:t>
      </w:r>
      <w:r w:rsidR="007E5CCE">
        <w:t xml:space="preserve"> </w:t>
      </w:r>
      <w:r w:rsidR="00BC6900">
        <w:t>[33]</w:t>
      </w:r>
      <w:r w:rsidR="00224191">
        <w:t xml:space="preserve">. </w:t>
      </w:r>
      <w:r w:rsidR="00A35DC6">
        <w:t xml:space="preserve">While consensus between parent and child is </w:t>
      </w:r>
      <w:r w:rsidR="007E5CCE">
        <w:t>desirable</w:t>
      </w:r>
      <w:r w:rsidR="00A35DC6">
        <w:t>, some countries allow a parent to block a girl’s wish to be protected; or conversely can support compulsory vaccination decreed by the parent. Teenage consent is a sensitive issue, and needs further consideration in informed open discussion as a</w:t>
      </w:r>
      <w:r w:rsidR="00A945DD">
        <w:t xml:space="preserve"> policy-developing</w:t>
      </w:r>
      <w:r w:rsidR="00A35DC6">
        <w:t xml:space="preserve"> Action to:</w:t>
      </w:r>
    </w:p>
    <w:p w14:paraId="5B38FCF9" w14:textId="77777777" w:rsidR="00A35DC6" w:rsidRPr="00A35DC6" w:rsidRDefault="00687400" w:rsidP="006F0D2E">
      <w:pPr>
        <w:pStyle w:val="ListParagraph"/>
        <w:numPr>
          <w:ilvl w:val="0"/>
          <w:numId w:val="12"/>
        </w:numPr>
        <w:spacing w:line="480" w:lineRule="auto"/>
        <w:rPr>
          <w:b/>
        </w:rPr>
      </w:pPr>
      <w:r w:rsidRPr="00687400">
        <w:rPr>
          <w:b/>
          <w:bCs/>
        </w:rPr>
        <w:t>Implement policies that empower positive</w:t>
      </w:r>
      <w:r>
        <w:t xml:space="preserve"> </w:t>
      </w:r>
      <w:r w:rsidR="00A35DC6" w:rsidRPr="00A35DC6">
        <w:rPr>
          <w:b/>
        </w:rPr>
        <w:t>health behaviour Autonomy of older children</w:t>
      </w:r>
    </w:p>
    <w:p w14:paraId="344DB7F2" w14:textId="77777777" w:rsidR="00BB3F91" w:rsidRPr="00224191" w:rsidRDefault="00BB3F91" w:rsidP="006F0D2E">
      <w:pPr>
        <w:spacing w:line="480" w:lineRule="auto"/>
      </w:pPr>
    </w:p>
    <w:p w14:paraId="24969070" w14:textId="77777777" w:rsidR="00227931" w:rsidRPr="006B33D8" w:rsidRDefault="0064373D" w:rsidP="006F0D2E">
      <w:pPr>
        <w:spacing w:line="480" w:lineRule="auto"/>
        <w:rPr>
          <w:u w:val="single"/>
        </w:rPr>
      </w:pPr>
      <w:r>
        <w:rPr>
          <w:u w:val="single"/>
        </w:rPr>
        <w:t xml:space="preserve">9. </w:t>
      </w:r>
      <w:r w:rsidR="006B33D8" w:rsidRPr="006B33D8">
        <w:rPr>
          <w:u w:val="single"/>
        </w:rPr>
        <w:t>Harness the Power of Social Marketing</w:t>
      </w:r>
    </w:p>
    <w:p w14:paraId="3F2FE424" w14:textId="3EAB5ABE" w:rsidR="00575B3D" w:rsidRDefault="000A1F55" w:rsidP="006F0D2E">
      <w:pPr>
        <w:spacing w:line="480" w:lineRule="auto"/>
      </w:pPr>
      <w:r>
        <w:t>Social media and their networking of disseminating view</w:t>
      </w:r>
      <w:r w:rsidR="007F5533">
        <w:t>s</w:t>
      </w:r>
      <w:r>
        <w:t xml:space="preserve">, including facts but also false information, </w:t>
      </w:r>
      <w:r w:rsidR="00575B3D">
        <w:t>are often seen as a surge which cannot be countered or moderated</w:t>
      </w:r>
      <w:r>
        <w:t xml:space="preserve">. However, </w:t>
      </w:r>
      <w:r w:rsidR="002A4FFB">
        <w:t>many</w:t>
      </w:r>
      <w:r>
        <w:t xml:space="preserve"> health systems have </w:t>
      </w:r>
      <w:r w:rsidR="0064373D">
        <w:t>previous</w:t>
      </w:r>
      <w:r w:rsidR="007776D0">
        <w:t xml:space="preserve"> robust </w:t>
      </w:r>
      <w:r w:rsidR="002A4FFB">
        <w:t>experience</w:t>
      </w:r>
      <w:r>
        <w:t xml:space="preserve"> of systematically </w:t>
      </w:r>
      <w:r w:rsidR="002A4FFB">
        <w:t>sharing information</w:t>
      </w:r>
      <w:r>
        <w:t xml:space="preserve"> </w:t>
      </w:r>
      <w:r w:rsidR="0064373D">
        <w:t>on</w:t>
      </w:r>
      <w:r>
        <w:t xml:space="preserve"> </w:t>
      </w:r>
      <w:proofErr w:type="spellStart"/>
      <w:r>
        <w:t>salutogenic</w:t>
      </w:r>
      <w:proofErr w:type="spellEnd"/>
      <w:r>
        <w:t xml:space="preserve"> behaviour in the form of social marketing</w:t>
      </w:r>
      <w:r w:rsidR="002A4FFB">
        <w:t xml:space="preserve">, </w:t>
      </w:r>
      <w:r w:rsidR="003740D9">
        <w:t>though</w:t>
      </w:r>
      <w:r w:rsidR="002A4FFB">
        <w:t xml:space="preserve"> some argue that the skills are fading </w:t>
      </w:r>
      <w:r w:rsidR="00BC6900">
        <w:t>[34, 35]</w:t>
      </w:r>
      <w:r w:rsidR="002B4044" w:rsidRPr="000A1F55">
        <w:t>.</w:t>
      </w:r>
      <w:r w:rsidR="002B4044">
        <w:t xml:space="preserve"> </w:t>
      </w:r>
      <w:r w:rsidR="00C5519D">
        <w:t xml:space="preserve">Surprisingly given the concerns about vaccination, this established technique is little mentioned </w:t>
      </w:r>
      <w:r w:rsidR="00A945DD">
        <w:t xml:space="preserve">by </w:t>
      </w:r>
      <w:r w:rsidR="00687400">
        <w:t>commentators</w:t>
      </w:r>
      <w:r w:rsidR="00A945DD">
        <w:t xml:space="preserve"> </w:t>
      </w:r>
      <w:r w:rsidR="00C5519D">
        <w:t>in th</w:t>
      </w:r>
      <w:r w:rsidR="00687400">
        <w:t>e</w:t>
      </w:r>
      <w:r w:rsidR="00C5519D">
        <w:t xml:space="preserve"> </w:t>
      </w:r>
      <w:r w:rsidR="0064373D">
        <w:t xml:space="preserve">vaccination </w:t>
      </w:r>
      <w:r w:rsidR="00C5519D">
        <w:t>context</w:t>
      </w:r>
      <w:r w:rsidR="00575B3D">
        <w:t>, hence t</w:t>
      </w:r>
      <w:r w:rsidR="007F5533">
        <w:t xml:space="preserve">here is a need to reinvigorate </w:t>
      </w:r>
      <w:r w:rsidR="0064373D">
        <w:t xml:space="preserve">vaccination </w:t>
      </w:r>
      <w:r w:rsidR="007F5533">
        <w:t xml:space="preserve">social marketing. </w:t>
      </w:r>
    </w:p>
    <w:p w14:paraId="2B500F8C" w14:textId="3AF52936" w:rsidR="006B33D8" w:rsidRDefault="00C5519D" w:rsidP="006F0D2E">
      <w:pPr>
        <w:spacing w:line="480" w:lineRule="auto"/>
      </w:pPr>
      <w:r>
        <w:t>There is a</w:t>
      </w:r>
      <w:r w:rsidR="007F5533">
        <w:t xml:space="preserve">lso the newer concept of </w:t>
      </w:r>
      <w:proofErr w:type="spellStart"/>
      <w:r w:rsidR="007F5533">
        <w:t>apomediation</w:t>
      </w:r>
      <w:proofErr w:type="spellEnd"/>
      <w:r>
        <w:t>, which focusses on</w:t>
      </w:r>
      <w:r w:rsidR="007F5533">
        <w:t xml:space="preserve"> facilitating </w:t>
      </w:r>
      <w:r w:rsidR="00575B3D">
        <w:t xml:space="preserve">lay </w:t>
      </w:r>
      <w:r w:rsidR="007F5533">
        <w:t xml:space="preserve">users to appraise information and find best sources </w:t>
      </w:r>
      <w:r w:rsidR="00BC6900">
        <w:t>[36, 37]</w:t>
      </w:r>
      <w:r w:rsidR="005750DE">
        <w:t>.</w:t>
      </w:r>
      <w:r>
        <w:t xml:space="preserve"> Professionals such as home visiting nurses </w:t>
      </w:r>
      <w:r w:rsidR="0064373D">
        <w:t>and</w:t>
      </w:r>
      <w:r>
        <w:t xml:space="preserve"> other primary care staff are strongly placed to undertake this, but it needs to be developed, and also seen as a </w:t>
      </w:r>
      <w:r w:rsidR="0064373D">
        <w:t>constructive</w:t>
      </w:r>
      <w:r>
        <w:t xml:space="preserve"> use of professional time.</w:t>
      </w:r>
      <w:r w:rsidR="00575B3D">
        <w:t xml:space="preserve"> These techniques</w:t>
      </w:r>
      <w:r w:rsidR="007F5533">
        <w:t xml:space="preserve"> should be explored in a</w:t>
      </w:r>
      <w:r w:rsidR="00A945DD">
        <w:t xml:space="preserve"> policy</w:t>
      </w:r>
      <w:r w:rsidR="007F5533">
        <w:t xml:space="preserve"> Action to;</w:t>
      </w:r>
    </w:p>
    <w:p w14:paraId="397138DD" w14:textId="77777777" w:rsidR="0023067A" w:rsidRPr="007F5533" w:rsidRDefault="00687400" w:rsidP="006F0D2E">
      <w:pPr>
        <w:pStyle w:val="ListParagraph"/>
        <w:numPr>
          <w:ilvl w:val="0"/>
          <w:numId w:val="12"/>
        </w:numPr>
        <w:spacing w:line="480" w:lineRule="auto"/>
        <w:rPr>
          <w:b/>
        </w:rPr>
      </w:pPr>
      <w:r w:rsidRPr="00687400">
        <w:rPr>
          <w:b/>
          <w:bCs/>
        </w:rPr>
        <w:t>Develop evidence-based policies to harness</w:t>
      </w:r>
      <w:r w:rsidR="007F5533" w:rsidRPr="007F5533">
        <w:rPr>
          <w:b/>
        </w:rPr>
        <w:t xml:space="preserve"> the power of Social Marketing</w:t>
      </w:r>
    </w:p>
    <w:p w14:paraId="479F494E" w14:textId="77777777" w:rsidR="003C4FBE" w:rsidRDefault="003C4FBE" w:rsidP="006F0D2E">
      <w:pPr>
        <w:spacing w:line="480" w:lineRule="auto"/>
      </w:pPr>
    </w:p>
    <w:p w14:paraId="44CC1911" w14:textId="77777777" w:rsidR="00097909" w:rsidRPr="00097909" w:rsidRDefault="00B27D27" w:rsidP="006F0D2E">
      <w:pPr>
        <w:spacing w:line="480" w:lineRule="auto"/>
        <w:rPr>
          <w:u w:val="single"/>
        </w:rPr>
      </w:pPr>
      <w:r>
        <w:rPr>
          <w:u w:val="single"/>
        </w:rPr>
        <w:lastRenderedPageBreak/>
        <w:t xml:space="preserve">10. </w:t>
      </w:r>
      <w:r w:rsidR="00097909" w:rsidRPr="00097909">
        <w:rPr>
          <w:u w:val="single"/>
        </w:rPr>
        <w:t>Listening to Stakeholders</w:t>
      </w:r>
    </w:p>
    <w:p w14:paraId="64EA71F2" w14:textId="6D73217C" w:rsidR="00097909" w:rsidRPr="0036533B" w:rsidRDefault="000B0228" w:rsidP="006F0D2E">
      <w:pPr>
        <w:spacing w:line="480" w:lineRule="auto"/>
      </w:pPr>
      <w:r>
        <w:t xml:space="preserve">Europe has initiatives such as the </w:t>
      </w:r>
      <w:r w:rsidR="0038505A">
        <w:t>European Joint Action on Vaccination, working in top-down approach to ensure effective vaccine supply</w:t>
      </w:r>
      <w:r w:rsidR="00B27D27">
        <w:t>,</w:t>
      </w:r>
      <w:r w:rsidR="0038505A">
        <w:t xml:space="preserve"> and promotion of</w:t>
      </w:r>
      <w:r w:rsidR="007852BE">
        <w:t xml:space="preserve"> trust in</w:t>
      </w:r>
      <w:r w:rsidR="0038505A">
        <w:t xml:space="preserve"> vaccine</w:t>
      </w:r>
      <w:r w:rsidR="007852BE">
        <w:t>s</w:t>
      </w:r>
      <w:r w:rsidR="00BC6900">
        <w:t xml:space="preserve"> [38]</w:t>
      </w:r>
      <w:r w:rsidR="00BE2916">
        <w:t xml:space="preserve"> </w:t>
      </w:r>
      <w:r w:rsidR="00EF12D3">
        <w:t>.</w:t>
      </w:r>
      <w:r w:rsidR="0038505A">
        <w:t xml:space="preserve"> However, effective delivery to all child</w:t>
      </w:r>
      <w:r w:rsidR="00B27D27">
        <w:t xml:space="preserve">ren </w:t>
      </w:r>
      <w:r w:rsidR="0038505A">
        <w:t xml:space="preserve">in all contexts needs to be </w:t>
      </w:r>
      <w:r w:rsidR="003605C6">
        <w:t>fine-tuned</w:t>
      </w:r>
      <w:r w:rsidR="0038505A">
        <w:t xml:space="preserve"> </w:t>
      </w:r>
      <w:r w:rsidR="007852BE">
        <w:t>to</w:t>
      </w:r>
      <w:r w:rsidR="0038505A">
        <w:t xml:space="preserve"> need and </w:t>
      </w:r>
      <w:r w:rsidR="007852BE">
        <w:t>to</w:t>
      </w:r>
      <w:r w:rsidR="0038505A">
        <w:t xml:space="preserve"> local </w:t>
      </w:r>
      <w:r w:rsidR="007852BE">
        <w:t>obstacles</w:t>
      </w:r>
      <w:r w:rsidR="0038505A">
        <w:t xml:space="preserve">.  In this context, local stakeholder groups </w:t>
      </w:r>
      <w:r w:rsidR="007852BE">
        <w:t>involving</w:t>
      </w:r>
      <w:r w:rsidR="0038505A">
        <w:t xml:space="preserve"> client groups and local professional</w:t>
      </w:r>
      <w:r w:rsidR="007852BE">
        <w:t>s</w:t>
      </w:r>
      <w:r w:rsidR="0038505A">
        <w:t xml:space="preserve"> become important.  </w:t>
      </w:r>
      <w:r w:rsidR="003740D9">
        <w:t>T</w:t>
      </w:r>
      <w:r w:rsidR="0038505A">
        <w:t xml:space="preserve">hey should also feed upwards </w:t>
      </w:r>
      <w:r w:rsidR="007852BE">
        <w:t>to the</w:t>
      </w:r>
      <w:r w:rsidR="0038505A">
        <w:t xml:space="preserve"> national level, to ensure that local needs are para</w:t>
      </w:r>
      <w:r w:rsidR="007852BE">
        <w:t>mo</w:t>
      </w:r>
      <w:r w:rsidR="0038505A">
        <w:t>unt in being understood and met</w:t>
      </w:r>
      <w:r w:rsidR="00B27D27">
        <w:t xml:space="preserve"> by</w:t>
      </w:r>
      <w:r w:rsidR="0038505A">
        <w:t xml:space="preserve"> </w:t>
      </w:r>
      <w:r w:rsidR="00B27D27">
        <w:t>national</w:t>
      </w:r>
      <w:r w:rsidR="0038505A">
        <w:t xml:space="preserve"> policies.</w:t>
      </w:r>
      <w:r w:rsidR="007852BE">
        <w:t xml:space="preserve"> </w:t>
      </w:r>
      <w:r w:rsidR="00A4511E">
        <w:t>Stakeholder voices are very important in changing the perception and focus of vaccination delivery from a centrally driven policy to be</w:t>
      </w:r>
      <w:r w:rsidR="00B27D27">
        <w:t>ing</w:t>
      </w:r>
      <w:r w:rsidR="00A4511E">
        <w:t xml:space="preserve"> seen as a support service to </w:t>
      </w:r>
      <w:r w:rsidR="00B27D27">
        <w:t>children</w:t>
      </w:r>
      <w:r w:rsidR="00A4511E">
        <w:t>.</w:t>
      </w:r>
      <w:r w:rsidR="00B27D27">
        <w:t xml:space="preserve"> </w:t>
      </w:r>
      <w:r w:rsidR="00A4511E">
        <w:t>A</w:t>
      </w:r>
      <w:r w:rsidR="007852BE">
        <w:t xml:space="preserve"> European level of stakeholder involvement has recently been advocated by the President of the European Public Health Association (EUPHA) </w:t>
      </w:r>
      <w:r w:rsidR="00BC6900">
        <w:t>[39]</w:t>
      </w:r>
      <w:r w:rsidR="00787D99">
        <w:t xml:space="preserve">. </w:t>
      </w:r>
      <w:r w:rsidR="007852BE">
        <w:t>This necessitates a</w:t>
      </w:r>
      <w:r w:rsidR="00A945DD">
        <w:t xml:space="preserve"> policy</w:t>
      </w:r>
      <w:r w:rsidR="007852BE">
        <w:t xml:space="preserve"> Action to:</w:t>
      </w:r>
    </w:p>
    <w:p w14:paraId="112249C7" w14:textId="77777777" w:rsidR="00097909" w:rsidRDefault="007852BE" w:rsidP="006F0D2E">
      <w:pPr>
        <w:pStyle w:val="ListParagraph"/>
        <w:numPr>
          <w:ilvl w:val="0"/>
          <w:numId w:val="12"/>
        </w:numPr>
        <w:spacing w:line="480" w:lineRule="auto"/>
        <w:rPr>
          <w:b/>
        </w:rPr>
      </w:pPr>
      <w:r w:rsidRPr="007852BE">
        <w:rPr>
          <w:b/>
        </w:rPr>
        <w:t>Create multi-interest Stakeholder Forums on Effective Vaccination Delivery</w:t>
      </w:r>
    </w:p>
    <w:p w14:paraId="6B750A3E" w14:textId="77777777" w:rsidR="00BD1279" w:rsidRPr="007852BE" w:rsidRDefault="00BD1279" w:rsidP="006F0D2E">
      <w:pPr>
        <w:pStyle w:val="ListParagraph"/>
        <w:spacing w:line="480" w:lineRule="auto"/>
        <w:rPr>
          <w:b/>
        </w:rPr>
      </w:pPr>
    </w:p>
    <w:p w14:paraId="0416DA26" w14:textId="633D63CA" w:rsidR="00097909" w:rsidRPr="00BD1279" w:rsidRDefault="00BD1279" w:rsidP="006F0D2E">
      <w:pPr>
        <w:spacing w:line="480" w:lineRule="auto"/>
        <w:rPr>
          <w:u w:val="single"/>
        </w:rPr>
      </w:pPr>
      <w:r w:rsidRPr="00BD1279">
        <w:rPr>
          <w:u w:val="single"/>
        </w:rPr>
        <w:t>The Need for Cohesion</w:t>
      </w:r>
    </w:p>
    <w:p w14:paraId="7BBB8D63" w14:textId="77777777" w:rsidR="00BD1279" w:rsidRDefault="00BD1279" w:rsidP="006F0D2E">
      <w:pPr>
        <w:spacing w:line="480" w:lineRule="auto"/>
      </w:pPr>
      <w:r>
        <w:t xml:space="preserve">Each of the ten strands identified in this </w:t>
      </w:r>
      <w:r w:rsidR="00A945DD">
        <w:t xml:space="preserve">policy development </w:t>
      </w:r>
      <w:r>
        <w:t>analysis is individually important, but th</w:t>
      </w:r>
      <w:r w:rsidR="00FE4F0E">
        <w:t>e</w:t>
      </w:r>
      <w:r>
        <w:t xml:space="preserve">re also needs </w:t>
      </w:r>
      <w:r w:rsidR="00A945DD">
        <w:t>to</w:t>
      </w:r>
      <w:r>
        <w:t xml:space="preserve"> be cohesion </w:t>
      </w:r>
      <w:r w:rsidR="00FE4F0E">
        <w:t>to</w:t>
      </w:r>
      <w:r>
        <w:t xml:space="preserve"> bring </w:t>
      </w:r>
      <w:r w:rsidR="00FE4F0E">
        <w:t>them</w:t>
      </w:r>
      <w:r>
        <w:t xml:space="preserve"> together in </w:t>
      </w:r>
      <w:r w:rsidR="003605C6">
        <w:t xml:space="preserve">symbiotic holistic </w:t>
      </w:r>
      <w:r>
        <w:t>mode. The box in Figure</w:t>
      </w:r>
      <w:r w:rsidR="00F33CAC">
        <w:t xml:space="preserve"> </w:t>
      </w:r>
      <w:r w:rsidR="00BE2916">
        <w:t>2</w:t>
      </w:r>
      <w:r>
        <w:t xml:space="preserve"> </w:t>
      </w:r>
      <w:r w:rsidR="00FE4F0E">
        <w:t>shows the ten actions that Europe, through the Commission and WHO, could and should take. This would complement and give service delivery strength</w:t>
      </w:r>
      <w:r w:rsidR="00FC4C4A">
        <w:t xml:space="preserve">, and would give a necessary </w:t>
      </w:r>
      <w:r w:rsidR="00BE2916">
        <w:t>priority to</w:t>
      </w:r>
      <w:r w:rsidR="00FC4C4A">
        <w:t xml:space="preserve"> children as a group with </w:t>
      </w:r>
      <w:r w:rsidR="003740D9">
        <w:t>specific</w:t>
      </w:r>
      <w:r w:rsidR="00FC4C4A">
        <w:t xml:space="preserve"> vaccination delivery needs</w:t>
      </w:r>
      <w:r w:rsidR="00FE4F0E">
        <w:t>.</w:t>
      </w:r>
    </w:p>
    <w:p w14:paraId="652C07E6" w14:textId="77777777" w:rsidR="00FE4F0E" w:rsidRDefault="00FE4F0E" w:rsidP="006F0D2E">
      <w:pPr>
        <w:spacing w:line="480" w:lineRule="auto"/>
      </w:pPr>
    </w:p>
    <w:p w14:paraId="6537E2FC" w14:textId="77777777" w:rsidR="001C5D2F" w:rsidRPr="007F6327" w:rsidRDefault="001C5D2F" w:rsidP="006F0D2E">
      <w:pPr>
        <w:spacing w:line="480" w:lineRule="auto"/>
        <w:rPr>
          <w:b/>
          <w:u w:val="single"/>
        </w:rPr>
      </w:pPr>
      <w:r w:rsidRPr="007F6327">
        <w:rPr>
          <w:b/>
          <w:u w:val="single"/>
        </w:rPr>
        <w:t>Discussion</w:t>
      </w:r>
    </w:p>
    <w:p w14:paraId="2C0BD4FC" w14:textId="6A2CAC91" w:rsidR="00BC6E77" w:rsidRDefault="003D394F" w:rsidP="006F0D2E">
      <w:pPr>
        <w:spacing w:line="480" w:lineRule="auto"/>
      </w:pPr>
      <w:r>
        <w:t>Action is known to be needed to address falling vaccination rates in Europe</w:t>
      </w:r>
      <w:r w:rsidR="00BC6E77">
        <w:t>, particularly regarding children</w:t>
      </w:r>
      <w:r>
        <w:t xml:space="preserve">. However, </w:t>
      </w:r>
      <w:r w:rsidR="00C32F0F">
        <w:t>single-topic</w:t>
      </w:r>
      <w:r>
        <w:t xml:space="preserve"> </w:t>
      </w:r>
      <w:r w:rsidR="003605C6">
        <w:t>high-level</w:t>
      </w:r>
      <w:r>
        <w:t xml:space="preserve"> </w:t>
      </w:r>
      <w:r w:rsidR="0072015B">
        <w:t>activity</w:t>
      </w:r>
      <w:r>
        <w:t xml:space="preserve"> fails to recognise the role of operational systems in </w:t>
      </w:r>
      <w:r w:rsidR="0072015B">
        <w:t>delivering</w:t>
      </w:r>
      <w:r>
        <w:t xml:space="preserve"> vaccine </w:t>
      </w:r>
      <w:r w:rsidR="0072015B">
        <w:t>to</w:t>
      </w:r>
      <w:r>
        <w:t xml:space="preserve"> those </w:t>
      </w:r>
      <w:r w:rsidR="0072015B">
        <w:t>needing</w:t>
      </w:r>
      <w:r>
        <w:t xml:space="preserve"> it, especially children. The journey </w:t>
      </w:r>
      <w:r w:rsidR="00966CC0">
        <w:t xml:space="preserve">of antigen </w:t>
      </w:r>
      <w:r>
        <w:t xml:space="preserve">from central store </w:t>
      </w:r>
      <w:r>
        <w:lastRenderedPageBreak/>
        <w:t xml:space="preserve">to the individual </w:t>
      </w:r>
      <w:r w:rsidR="0072015B">
        <w:t>child is</w:t>
      </w:r>
      <w:r>
        <w:t xml:space="preserve"> intricate, and must take into account the issues of children and parents</w:t>
      </w:r>
      <w:r w:rsidR="00BC6900">
        <w:t xml:space="preserve"> [20, 21]</w:t>
      </w:r>
      <w:r>
        <w:t xml:space="preserve"> </w:t>
      </w:r>
      <w:r w:rsidR="005C0909">
        <w:rPr>
          <w:vertAlign w:val="superscript"/>
        </w:rPr>
        <w:t>20 21</w:t>
      </w:r>
      <w:r>
        <w:t xml:space="preserve">. Blaming parents </w:t>
      </w:r>
      <w:r w:rsidR="0072015B">
        <w:t>for</w:t>
      </w:r>
      <w:r>
        <w:t xml:space="preserve"> hesitancy or poor uptake is an </w:t>
      </w:r>
      <w:r w:rsidR="0072015B">
        <w:t>inappropriate</w:t>
      </w:r>
      <w:r>
        <w:t xml:space="preserve"> form of </w:t>
      </w:r>
      <w:r w:rsidR="00966CC0">
        <w:t xml:space="preserve">victim </w:t>
      </w:r>
      <w:r w:rsidR="003605C6">
        <w:t>sh</w:t>
      </w:r>
      <w:r w:rsidR="00966CC0">
        <w:t>aming</w:t>
      </w:r>
      <w:r w:rsidR="0072015B">
        <w:t xml:space="preserve">, when </w:t>
      </w:r>
      <w:r w:rsidR="00BC6E77">
        <w:t>unsuitable</w:t>
      </w:r>
      <w:r w:rsidR="0072015B">
        <w:t xml:space="preserve"> or insensitive systems </w:t>
      </w:r>
      <w:r w:rsidR="003605C6">
        <w:t xml:space="preserve">not geared to parents’ real worlds </w:t>
      </w:r>
      <w:r w:rsidR="0072015B">
        <w:t>are</w:t>
      </w:r>
      <w:r w:rsidR="003605C6">
        <w:t xml:space="preserve"> often the</w:t>
      </w:r>
      <w:r w:rsidR="0072015B">
        <w:t xml:space="preserve"> significant problem</w:t>
      </w:r>
      <w:r>
        <w:t xml:space="preserve">. </w:t>
      </w:r>
    </w:p>
    <w:p w14:paraId="5CF68F8D" w14:textId="4EE5135D" w:rsidR="00BB11A3" w:rsidRDefault="003D394F" w:rsidP="006F0D2E">
      <w:pPr>
        <w:spacing w:line="480" w:lineRule="auto"/>
        <w:rPr>
          <w:rFonts w:cstheme="minorHAnsi"/>
          <w:lang w:val="en-IE"/>
        </w:rPr>
      </w:pPr>
      <w:r>
        <w:t xml:space="preserve">Elsewhere, </w:t>
      </w:r>
      <w:proofErr w:type="spellStart"/>
      <w:r>
        <w:t>Showell</w:t>
      </w:r>
      <w:proofErr w:type="spellEnd"/>
      <w:r>
        <w:t xml:space="preserve"> and Turner have identified the </w:t>
      </w:r>
      <w:r w:rsidR="0072015B">
        <w:t>propensity</w:t>
      </w:r>
      <w:r>
        <w:t xml:space="preserve"> of senior health professional</w:t>
      </w:r>
      <w:r w:rsidR="00966CC0">
        <w:t>s</w:t>
      </w:r>
      <w:r>
        <w:t xml:space="preserve"> and policy makers to </w:t>
      </w:r>
      <w:r w:rsidR="0072015B">
        <w:t>design</w:t>
      </w:r>
      <w:r>
        <w:t xml:space="preserve"> services for ‘</w:t>
      </w:r>
      <w:r w:rsidR="0072015B">
        <w:t>People</w:t>
      </w:r>
      <w:r>
        <w:t xml:space="preserve"> Like Us’, namely middle class </w:t>
      </w:r>
      <w:r w:rsidR="0072015B">
        <w:t>person</w:t>
      </w:r>
      <w:r w:rsidR="00966CC0">
        <w:t>s</w:t>
      </w:r>
      <w:r>
        <w:t xml:space="preserve"> with good social support, and </w:t>
      </w:r>
      <w:r w:rsidR="0072015B">
        <w:t>to</w:t>
      </w:r>
      <w:r>
        <w:t xml:space="preserve"> ignore the needs of confused and </w:t>
      </w:r>
      <w:r w:rsidR="0072015B">
        <w:t>overloaded</w:t>
      </w:r>
      <w:r>
        <w:t xml:space="preserve"> citizens in </w:t>
      </w:r>
      <w:r w:rsidRPr="00770364">
        <w:rPr>
          <w:rFonts w:cstheme="minorHAnsi"/>
        </w:rPr>
        <w:t xml:space="preserve">difficult </w:t>
      </w:r>
      <w:r w:rsidR="0072015B" w:rsidRPr="00770364">
        <w:rPr>
          <w:rFonts w:cstheme="minorHAnsi"/>
        </w:rPr>
        <w:t>circumstances</w:t>
      </w:r>
      <w:r w:rsidRPr="00770364">
        <w:rPr>
          <w:rFonts w:cstheme="minorHAnsi"/>
        </w:rPr>
        <w:t xml:space="preserve"> </w:t>
      </w:r>
      <w:r w:rsidR="00BC6900">
        <w:rPr>
          <w:rFonts w:cstheme="minorHAnsi"/>
        </w:rPr>
        <w:t>[40, 41]</w:t>
      </w:r>
      <w:r w:rsidR="000A62CE">
        <w:t xml:space="preserve">. </w:t>
      </w:r>
      <w:r w:rsidR="00770253">
        <w:rPr>
          <w:rFonts w:cstheme="minorHAnsi"/>
          <w:lang w:val="en-IE"/>
        </w:rPr>
        <w:t xml:space="preserve">It is important that service </w:t>
      </w:r>
      <w:r w:rsidR="00966CC0">
        <w:rPr>
          <w:rFonts w:cstheme="minorHAnsi"/>
          <w:lang w:val="en-IE"/>
        </w:rPr>
        <w:t>providers</w:t>
      </w:r>
      <w:r w:rsidR="00770253">
        <w:rPr>
          <w:rFonts w:cstheme="minorHAnsi"/>
          <w:lang w:val="en-IE"/>
        </w:rPr>
        <w:t xml:space="preserve"> should </w:t>
      </w:r>
      <w:r w:rsidR="00065C6E">
        <w:rPr>
          <w:rFonts w:cstheme="minorHAnsi"/>
          <w:lang w:val="en-IE"/>
        </w:rPr>
        <w:t>assess whether delivery is optimally designed</w:t>
      </w:r>
      <w:r w:rsidR="00BE2916">
        <w:rPr>
          <w:rFonts w:cstheme="minorHAnsi"/>
          <w:lang w:val="en-IE"/>
        </w:rPr>
        <w:t xml:space="preserve"> </w:t>
      </w:r>
      <w:r w:rsidR="00966CC0">
        <w:rPr>
          <w:rFonts w:cstheme="minorHAnsi"/>
          <w:lang w:val="en-IE"/>
        </w:rPr>
        <w:t>to</w:t>
      </w:r>
      <w:r w:rsidR="00065C6E">
        <w:rPr>
          <w:rFonts w:cstheme="minorHAnsi"/>
          <w:lang w:val="en-IE"/>
        </w:rPr>
        <w:t xml:space="preserve"> meet the needs of all children including the most needy and hard to reach, </w:t>
      </w:r>
      <w:r w:rsidR="00213986">
        <w:rPr>
          <w:rFonts w:cstheme="minorHAnsi"/>
          <w:lang w:val="en-IE"/>
        </w:rPr>
        <w:t>taking into account local resource, health system structure, socio-economic and cultural factors. At a wider level,</w:t>
      </w:r>
      <w:r w:rsidR="00065C6E">
        <w:rPr>
          <w:rFonts w:cstheme="minorHAnsi"/>
          <w:lang w:val="en-IE"/>
        </w:rPr>
        <w:t xml:space="preserve"> Europe should initiate </w:t>
      </w:r>
      <w:r w:rsidR="00213986">
        <w:rPr>
          <w:rFonts w:cstheme="minorHAnsi"/>
          <w:lang w:val="en-IE"/>
        </w:rPr>
        <w:t xml:space="preserve">generic </w:t>
      </w:r>
      <w:r w:rsidR="00065C6E">
        <w:rPr>
          <w:rFonts w:cstheme="minorHAnsi"/>
          <w:lang w:val="en-IE"/>
        </w:rPr>
        <w:t xml:space="preserve">actions to support and stimulate that </w:t>
      </w:r>
      <w:r w:rsidR="00C32F0F">
        <w:rPr>
          <w:rFonts w:cstheme="minorHAnsi"/>
          <w:lang w:val="en-IE"/>
        </w:rPr>
        <w:t>goal</w:t>
      </w:r>
      <w:r w:rsidR="00065C6E">
        <w:rPr>
          <w:rFonts w:cstheme="minorHAnsi"/>
          <w:lang w:val="en-IE"/>
        </w:rPr>
        <w:t>.</w:t>
      </w:r>
    </w:p>
    <w:p w14:paraId="79EE036A" w14:textId="77777777" w:rsidR="003605C6" w:rsidRDefault="003605C6" w:rsidP="006F0D2E">
      <w:pPr>
        <w:spacing w:line="480" w:lineRule="auto"/>
        <w:rPr>
          <w:rFonts w:cstheme="minorHAnsi"/>
          <w:lang w:val="en-IE"/>
        </w:rPr>
      </w:pPr>
    </w:p>
    <w:p w14:paraId="3B05E8A1" w14:textId="77777777" w:rsidR="003605C6" w:rsidRDefault="003605C6" w:rsidP="006F0D2E">
      <w:pPr>
        <w:spacing w:line="480" w:lineRule="auto"/>
        <w:rPr>
          <w:b/>
          <w:bCs/>
          <w:u w:val="single"/>
        </w:rPr>
      </w:pPr>
      <w:r w:rsidRPr="002D5EB5">
        <w:rPr>
          <w:b/>
          <w:bCs/>
          <w:u w:val="single"/>
        </w:rPr>
        <w:t xml:space="preserve">Conclusion </w:t>
      </w:r>
    </w:p>
    <w:p w14:paraId="6CBA2A59" w14:textId="1DF66530" w:rsidR="00A962CE" w:rsidRDefault="00770364" w:rsidP="006F0D2E">
      <w:pPr>
        <w:spacing w:line="480" w:lineRule="auto"/>
      </w:pPr>
      <w:r w:rsidRPr="00770364">
        <w:rPr>
          <w:rFonts w:cstheme="minorHAnsi"/>
          <w:lang w:val="en-IE"/>
        </w:rPr>
        <w:t xml:space="preserve">Following </w:t>
      </w:r>
      <w:r>
        <w:rPr>
          <w:rFonts w:cstheme="minorHAnsi"/>
          <w:lang w:val="en-IE"/>
        </w:rPr>
        <w:t xml:space="preserve">Europe’s </w:t>
      </w:r>
      <w:r w:rsidRPr="00770364">
        <w:rPr>
          <w:rFonts w:cstheme="minorHAnsi"/>
          <w:lang w:val="en-IE"/>
        </w:rPr>
        <w:t>hosting of the</w:t>
      </w:r>
      <w:r>
        <w:rPr>
          <w:rFonts w:cstheme="minorHAnsi"/>
          <w:lang w:val="en-IE"/>
        </w:rPr>
        <w:t xml:space="preserve"> Global Vaccination Summit, and its ten high level </w:t>
      </w:r>
      <w:r w:rsidR="00BB11A3">
        <w:rPr>
          <w:rFonts w:cstheme="minorHAnsi"/>
          <w:lang w:val="en-IE"/>
        </w:rPr>
        <w:t>A</w:t>
      </w:r>
      <w:r>
        <w:rPr>
          <w:rFonts w:cstheme="minorHAnsi"/>
          <w:lang w:val="en-IE"/>
        </w:rPr>
        <w:t xml:space="preserve">ctions, there is opportunity for the </w:t>
      </w:r>
      <w:r w:rsidR="00BB11A3">
        <w:rPr>
          <w:rFonts w:cstheme="minorHAnsi"/>
          <w:lang w:val="en-IE"/>
        </w:rPr>
        <w:t>European</w:t>
      </w:r>
      <w:r>
        <w:rPr>
          <w:rFonts w:cstheme="minorHAnsi"/>
          <w:lang w:val="en-IE"/>
        </w:rPr>
        <w:t xml:space="preserve"> </w:t>
      </w:r>
      <w:r w:rsidR="00BB11A3">
        <w:rPr>
          <w:rFonts w:cstheme="minorHAnsi"/>
          <w:lang w:val="en-IE"/>
        </w:rPr>
        <w:t>Commission</w:t>
      </w:r>
      <w:r>
        <w:rPr>
          <w:rFonts w:cstheme="minorHAnsi"/>
          <w:lang w:val="en-IE"/>
        </w:rPr>
        <w:t xml:space="preserve">, linked </w:t>
      </w:r>
      <w:r w:rsidR="00BB11A3">
        <w:rPr>
          <w:rFonts w:cstheme="minorHAnsi"/>
          <w:lang w:val="en-IE"/>
        </w:rPr>
        <w:t>to</w:t>
      </w:r>
      <w:r>
        <w:rPr>
          <w:rFonts w:cstheme="minorHAnsi"/>
          <w:lang w:val="en-IE"/>
        </w:rPr>
        <w:t xml:space="preserve"> WHO, to </w:t>
      </w:r>
      <w:r w:rsidR="00BB11A3">
        <w:rPr>
          <w:rFonts w:cstheme="minorHAnsi"/>
          <w:lang w:val="en-IE"/>
        </w:rPr>
        <w:t>initiate a set of</w:t>
      </w:r>
      <w:r>
        <w:rPr>
          <w:rFonts w:cstheme="minorHAnsi"/>
          <w:lang w:val="en-IE"/>
        </w:rPr>
        <w:t xml:space="preserve"> </w:t>
      </w:r>
      <w:r w:rsidR="003740D9">
        <w:rPr>
          <w:rFonts w:cstheme="minorHAnsi"/>
          <w:lang w:val="en-IE"/>
        </w:rPr>
        <w:t>operationa</w:t>
      </w:r>
      <w:r w:rsidR="00816A5C">
        <w:rPr>
          <w:rFonts w:cstheme="minorHAnsi"/>
          <w:lang w:val="en-IE"/>
        </w:rPr>
        <w:t>l</w:t>
      </w:r>
      <w:r w:rsidR="003605C6">
        <w:rPr>
          <w:rFonts w:cstheme="minorHAnsi"/>
          <w:lang w:val="en-IE"/>
        </w:rPr>
        <w:t xml:space="preserve"> policy</w:t>
      </w:r>
      <w:r>
        <w:rPr>
          <w:rFonts w:cstheme="minorHAnsi"/>
          <w:lang w:val="en-IE"/>
        </w:rPr>
        <w:t xml:space="preserve"> actions to recognise </w:t>
      </w:r>
      <w:r w:rsidR="00BB11A3">
        <w:rPr>
          <w:rFonts w:cstheme="minorHAnsi"/>
          <w:lang w:val="en-IE"/>
        </w:rPr>
        <w:t xml:space="preserve">and support </w:t>
      </w:r>
      <w:r>
        <w:rPr>
          <w:rFonts w:cstheme="minorHAnsi"/>
          <w:lang w:val="en-IE"/>
        </w:rPr>
        <w:t>the key role of vaccination delivery systems</w:t>
      </w:r>
      <w:r w:rsidR="00BB11A3" w:rsidRPr="00BB11A3">
        <w:rPr>
          <w:rFonts w:cstheme="minorHAnsi"/>
          <w:lang w:val="en-IE"/>
        </w:rPr>
        <w:t xml:space="preserve"> </w:t>
      </w:r>
      <w:r w:rsidR="00BB11A3">
        <w:rPr>
          <w:rFonts w:cstheme="minorHAnsi"/>
          <w:lang w:val="en-IE"/>
        </w:rPr>
        <w:t>at the local operational level</w:t>
      </w:r>
      <w:r>
        <w:rPr>
          <w:rFonts w:cstheme="minorHAnsi"/>
          <w:lang w:val="en-IE"/>
        </w:rPr>
        <w:t xml:space="preserve">, </w:t>
      </w:r>
      <w:r w:rsidR="00BB11A3">
        <w:rPr>
          <w:rFonts w:cstheme="minorHAnsi"/>
          <w:lang w:val="en-IE"/>
        </w:rPr>
        <w:t xml:space="preserve">as summarised in Figure </w:t>
      </w:r>
      <w:r w:rsidR="00BE2916">
        <w:rPr>
          <w:rFonts w:cstheme="minorHAnsi"/>
          <w:lang w:val="en-IE"/>
        </w:rPr>
        <w:t>2</w:t>
      </w:r>
      <w:r w:rsidR="00BB11A3">
        <w:rPr>
          <w:rFonts w:cstheme="minorHAnsi"/>
          <w:lang w:val="en-IE"/>
        </w:rPr>
        <w:t>.</w:t>
      </w:r>
      <w:r w:rsidR="00770253">
        <w:rPr>
          <w:rFonts w:cstheme="minorHAnsi"/>
          <w:lang w:val="en-IE"/>
        </w:rPr>
        <w:t xml:space="preserve"> Such innovation at the current time would also fit well with the declared intention of the incoming </w:t>
      </w:r>
      <w:r w:rsidR="00A962CE" w:rsidRPr="00A962CE">
        <w:t xml:space="preserve">President </w:t>
      </w:r>
      <w:r w:rsidR="00770253">
        <w:t xml:space="preserve">of the European </w:t>
      </w:r>
      <w:r w:rsidR="00966CC0">
        <w:t>Commission</w:t>
      </w:r>
      <w:r w:rsidR="00770253">
        <w:t xml:space="preserve"> to focus on supporting the European Parliament’s proposed </w:t>
      </w:r>
      <w:r w:rsidR="00BE2916">
        <w:t xml:space="preserve">policy of a </w:t>
      </w:r>
      <w:r w:rsidR="00770253">
        <w:t>Child Guarantee of basic services including health care for disadvantaged children in Europe</w:t>
      </w:r>
      <w:r w:rsidR="003B6A77">
        <w:t xml:space="preserve"> </w:t>
      </w:r>
      <w:r w:rsidR="00BC6900">
        <w:t>[42, 43]</w:t>
      </w:r>
      <w:r w:rsidR="00770253">
        <w:t xml:space="preserve"> </w:t>
      </w:r>
      <w:r w:rsidR="000A62CE">
        <w:t xml:space="preserve">. </w:t>
      </w:r>
    </w:p>
    <w:p w14:paraId="3CF78B93" w14:textId="77777777" w:rsidR="00154999" w:rsidRDefault="00154999" w:rsidP="006F0D2E">
      <w:pPr>
        <w:spacing w:line="480" w:lineRule="auto"/>
      </w:pPr>
      <w:r>
        <w:t xml:space="preserve">The latest complication is the effect of the Covid-19 pandemic on health services. In the short term children’s immunisation rates are falling due to the challenges of accessing health systems during periods of lock-down coinciding with diversion of health resources to directly fighting the pandemic. Once the crisis abates, there will be the need for extensive service redesign, </w:t>
      </w:r>
      <w:r w:rsidR="00AE2947">
        <w:t>t</w:t>
      </w:r>
      <w:r>
        <w:t>o ensure catch-up</w:t>
      </w:r>
      <w:r w:rsidR="00AE2947">
        <w:t xml:space="preserve"> and </w:t>
      </w:r>
      <w:r w:rsidR="00AE2947">
        <w:lastRenderedPageBreak/>
        <w:t>ensure optimal use of stretched resources</w:t>
      </w:r>
      <w:r>
        <w:t xml:space="preserve">. The policy proposals outlined in this analysis </w:t>
      </w:r>
      <w:r w:rsidR="00AE2947">
        <w:t xml:space="preserve">are </w:t>
      </w:r>
      <w:r w:rsidR="00816A5C">
        <w:t>now even</w:t>
      </w:r>
      <w:r>
        <w:t xml:space="preserve"> more necessary.</w:t>
      </w:r>
      <w:r w:rsidR="00EC2985">
        <w:t xml:space="preserve"> </w:t>
      </w:r>
    </w:p>
    <w:p w14:paraId="7FB247F6" w14:textId="77777777" w:rsidR="0071157D" w:rsidRDefault="0071157D" w:rsidP="006F0D2E">
      <w:pPr>
        <w:spacing w:line="480" w:lineRule="auto"/>
      </w:pPr>
    </w:p>
    <w:p w14:paraId="757FA618" w14:textId="77777777" w:rsidR="002D5EB5" w:rsidRDefault="002D5EB5" w:rsidP="006F0D2E">
      <w:pPr>
        <w:spacing w:line="480" w:lineRule="auto"/>
        <w:rPr>
          <w:b/>
          <w:bCs/>
          <w:u w:val="single"/>
        </w:rPr>
      </w:pPr>
    </w:p>
    <w:p w14:paraId="3D13DF21" w14:textId="77777777" w:rsidR="002D5EB5" w:rsidRPr="002D5EB5" w:rsidRDefault="002D5EB5" w:rsidP="006F0D2E">
      <w:pPr>
        <w:spacing w:line="480" w:lineRule="auto"/>
        <w:rPr>
          <w:b/>
          <w:bCs/>
          <w:u w:val="single"/>
        </w:rPr>
      </w:pPr>
    </w:p>
    <w:p w14:paraId="3E63CAEE" w14:textId="77777777" w:rsidR="001C5D2F" w:rsidRDefault="001C5D2F" w:rsidP="006F0D2E">
      <w:pPr>
        <w:spacing w:line="480" w:lineRule="auto"/>
      </w:pPr>
    </w:p>
    <w:p w14:paraId="156CF36A" w14:textId="77777777" w:rsidR="00EB5A73" w:rsidRDefault="00EB5A73" w:rsidP="006F0D2E">
      <w:pPr>
        <w:spacing w:line="480" w:lineRule="auto"/>
      </w:pPr>
    </w:p>
    <w:p w14:paraId="0FC2F304" w14:textId="41FB7CD7" w:rsidR="00EB5A73" w:rsidRDefault="00EB5A73" w:rsidP="006F0D2E">
      <w:pPr>
        <w:spacing w:line="480" w:lineRule="auto"/>
        <w:rPr>
          <w:b/>
          <w:u w:val="single"/>
        </w:rPr>
      </w:pPr>
      <w:r w:rsidRPr="00EB5A73">
        <w:rPr>
          <w:b/>
          <w:u w:val="single"/>
        </w:rPr>
        <w:t>References</w:t>
      </w:r>
    </w:p>
    <w:p w14:paraId="67F11553" w14:textId="25A97AFF" w:rsidR="00BE1E55" w:rsidRDefault="00DC1309" w:rsidP="00DC1309">
      <w:pPr>
        <w:pStyle w:val="ListParagraph"/>
        <w:numPr>
          <w:ilvl w:val="0"/>
          <w:numId w:val="13"/>
        </w:numPr>
        <w:spacing w:line="480" w:lineRule="auto"/>
        <w:ind w:left="284" w:hanging="284"/>
      </w:pPr>
      <w:r>
        <w:t xml:space="preserve">European Commission (2019). Vaccination – Global Vaccination Summit 2019 </w:t>
      </w:r>
      <w:hyperlink r:id="rId10" w:history="1">
        <w:r w:rsidRPr="00B6133A">
          <w:rPr>
            <w:rStyle w:val="Hyperlink"/>
          </w:rPr>
          <w:t>https://ec.europa.eu/health/vaccination/ev_20190912_en</w:t>
        </w:r>
      </w:hyperlink>
      <w:r>
        <w:t xml:space="preserve"> (accessed 25 September 2020)</w:t>
      </w:r>
    </w:p>
    <w:p w14:paraId="71E06180" w14:textId="530D3C03" w:rsidR="00DC1309" w:rsidRDefault="00DC1309" w:rsidP="00DC1309">
      <w:pPr>
        <w:pStyle w:val="ListParagraph"/>
        <w:numPr>
          <w:ilvl w:val="0"/>
          <w:numId w:val="13"/>
        </w:numPr>
        <w:spacing w:line="480" w:lineRule="auto"/>
        <w:ind w:left="284" w:hanging="284"/>
      </w:pPr>
      <w:r>
        <w:t xml:space="preserve">Global Vaccination Summit (2019). Ten Actions towards Vaccination for All (2019). </w:t>
      </w:r>
      <w:hyperlink r:id="rId11" w:history="1">
        <w:r w:rsidRPr="001F6B21">
          <w:rPr>
            <w:rStyle w:val="Hyperlink"/>
          </w:rPr>
          <w:t>https://ec.europa.eu/health/sites/health/files/vaccination/docs/10actions_en.pdf</w:t>
        </w:r>
      </w:hyperlink>
      <w:r>
        <w:t xml:space="preserve"> (accessed 25 September 2020)</w:t>
      </w:r>
    </w:p>
    <w:p w14:paraId="3DC41CD3" w14:textId="33F71EB1" w:rsidR="00DC1309" w:rsidRDefault="00DC1309" w:rsidP="00DC1309">
      <w:pPr>
        <w:pStyle w:val="ListParagraph"/>
        <w:numPr>
          <w:ilvl w:val="0"/>
          <w:numId w:val="13"/>
        </w:numPr>
        <w:spacing w:line="480" w:lineRule="auto"/>
        <w:ind w:left="284" w:hanging="284"/>
      </w:pPr>
      <w:r>
        <w:t xml:space="preserve">United Nations (1989). </w:t>
      </w:r>
      <w:r w:rsidRPr="00B93B9A">
        <w:t>Convention on the Rights of the Child</w:t>
      </w:r>
      <w:r>
        <w:t>, New York.</w:t>
      </w:r>
    </w:p>
    <w:p w14:paraId="2A6128EB" w14:textId="618D7142" w:rsidR="00DC1309" w:rsidRPr="00DC1309" w:rsidRDefault="00DC1309" w:rsidP="00DC1309">
      <w:pPr>
        <w:pStyle w:val="ListParagraph"/>
        <w:numPr>
          <w:ilvl w:val="0"/>
          <w:numId w:val="13"/>
        </w:numPr>
        <w:spacing w:line="480" w:lineRule="auto"/>
        <w:ind w:left="284" w:hanging="284"/>
      </w:pPr>
      <w:r w:rsidRPr="006C7CC3">
        <w:t>Rigby</w:t>
      </w:r>
      <w:r>
        <w:t xml:space="preserve"> M, </w:t>
      </w:r>
      <w:proofErr w:type="spellStart"/>
      <w:r w:rsidRPr="000A4A1E">
        <w:t>Chronaki</w:t>
      </w:r>
      <w:proofErr w:type="spellEnd"/>
      <w:r>
        <w:t xml:space="preserve"> CE, </w:t>
      </w:r>
      <w:r w:rsidRPr="006C7CC3">
        <w:t>Deshpande</w:t>
      </w:r>
      <w:r>
        <w:t xml:space="preserve"> SS, </w:t>
      </w:r>
      <w:proofErr w:type="spellStart"/>
      <w:r>
        <w:t>Altorjai</w:t>
      </w:r>
      <w:proofErr w:type="spellEnd"/>
      <w:r>
        <w:t xml:space="preserve"> P, Brenner M, </w:t>
      </w:r>
      <w:r w:rsidRPr="000A4A1E">
        <w:t>Blair</w:t>
      </w:r>
      <w:r>
        <w:t xml:space="preserve"> M (2020). </w:t>
      </w:r>
      <w:r w:rsidRPr="00350B84">
        <w:t>European Union Initiatives in Child Immunisation – the Need for Child Centricity, E-health, and Holistic Delivery</w:t>
      </w:r>
      <w:r>
        <w:t xml:space="preserve">; </w:t>
      </w:r>
      <w:r>
        <w:rPr>
          <w:bCs/>
          <w:iCs/>
        </w:rPr>
        <w:t xml:space="preserve">European Journal of Public Health, </w:t>
      </w:r>
      <w:r w:rsidRPr="00E8513D">
        <w:rPr>
          <w:bCs/>
          <w:iCs/>
        </w:rPr>
        <w:t>Vol. 30, No. 3, 449–455</w:t>
      </w:r>
    </w:p>
    <w:p w14:paraId="0A3EECD6" w14:textId="41CC3A9C" w:rsidR="00DC1309" w:rsidRDefault="00DC1309" w:rsidP="00DC1309">
      <w:pPr>
        <w:pStyle w:val="ListParagraph"/>
        <w:numPr>
          <w:ilvl w:val="0"/>
          <w:numId w:val="13"/>
        </w:numPr>
        <w:spacing w:line="480" w:lineRule="auto"/>
        <w:ind w:left="284" w:hanging="284"/>
      </w:pPr>
      <w:r>
        <w:t xml:space="preserve">Models of Child Health Appraised (2020). Home Page; </w:t>
      </w:r>
      <w:hyperlink r:id="rId12" w:history="1">
        <w:r w:rsidRPr="00CA6443">
          <w:rPr>
            <w:rStyle w:val="Hyperlink"/>
          </w:rPr>
          <w:t>http://www.childhealthservicemodels.eu/</w:t>
        </w:r>
      </w:hyperlink>
      <w:r>
        <w:t xml:space="preserve"> (accessed 25 September 2020)</w:t>
      </w:r>
    </w:p>
    <w:p w14:paraId="52F156B3" w14:textId="0E1CAAB3" w:rsidR="00DC1309" w:rsidRPr="00DC1309" w:rsidRDefault="00DC1309" w:rsidP="00DC1309">
      <w:pPr>
        <w:pStyle w:val="ListParagraph"/>
        <w:numPr>
          <w:ilvl w:val="0"/>
          <w:numId w:val="13"/>
        </w:numPr>
        <w:spacing w:line="480" w:lineRule="auto"/>
        <w:ind w:left="284" w:hanging="284"/>
        <w:rPr>
          <w:rStyle w:val="Hyperlink"/>
          <w:color w:val="auto"/>
          <w:u w:val="none"/>
        </w:rPr>
      </w:pPr>
      <w:r>
        <w:t xml:space="preserve">Blair M, Rigby M, Alexander D. (Editors) (2019). Issues and Opportunities in Primary Health Care for Children in Europe: The Final Summarised Results of the Models of Child Health Appraised (MOCHA) Project; Emerald Publishing, Bingley, 2019; 432 pp; Open Access at </w:t>
      </w:r>
      <w:hyperlink r:id="rId13" w:history="1">
        <w:r w:rsidRPr="0013084F">
          <w:rPr>
            <w:rStyle w:val="Hyperlink"/>
          </w:rPr>
          <w:t>https://www.emeraldinsight.com/doi/book/10.1108/9781789733518</w:t>
        </w:r>
      </w:hyperlink>
    </w:p>
    <w:p w14:paraId="7CCD4221" w14:textId="32DC98B0" w:rsidR="00DC1309" w:rsidRDefault="00DC1309" w:rsidP="00DC1309">
      <w:pPr>
        <w:pStyle w:val="ListParagraph"/>
        <w:numPr>
          <w:ilvl w:val="0"/>
          <w:numId w:val="13"/>
        </w:numPr>
        <w:spacing w:line="480" w:lineRule="auto"/>
        <w:ind w:left="284" w:hanging="284"/>
      </w:pPr>
      <w:r w:rsidRPr="00401BF7">
        <w:lastRenderedPageBreak/>
        <w:t>Rigby MJ. European Union Child Guarantee - challenges raised by the welcome promise of free healthcare for marginalized children; European Journal of Public Health, 1–8, Pre-publication 31 May 2021; doi:10.1093/</w:t>
      </w:r>
      <w:proofErr w:type="spellStart"/>
      <w:r w:rsidRPr="00401BF7">
        <w:t>eurpub</w:t>
      </w:r>
      <w:proofErr w:type="spellEnd"/>
      <w:r w:rsidRPr="00401BF7">
        <w:t>/ckab062</w:t>
      </w:r>
    </w:p>
    <w:p w14:paraId="53DA5CF3" w14:textId="1A35B475" w:rsidR="00DC1309" w:rsidRDefault="00DC1309" w:rsidP="00DC1309">
      <w:pPr>
        <w:pStyle w:val="ListParagraph"/>
        <w:numPr>
          <w:ilvl w:val="0"/>
          <w:numId w:val="13"/>
        </w:numPr>
        <w:spacing w:line="480" w:lineRule="auto"/>
        <w:ind w:left="284" w:hanging="284"/>
      </w:pPr>
      <w:r w:rsidRPr="00C75288">
        <w:t>Kennedy J. Should childhood vaccinations be mandatory?; Perspectives in Public Health l January 2020 Vol 140 No 1</w:t>
      </w:r>
    </w:p>
    <w:p w14:paraId="1958A7ED" w14:textId="102421A3" w:rsidR="00DC1309" w:rsidRDefault="00DC1309" w:rsidP="00DC1309">
      <w:pPr>
        <w:pStyle w:val="ListParagraph"/>
        <w:numPr>
          <w:ilvl w:val="0"/>
          <w:numId w:val="13"/>
        </w:numPr>
        <w:spacing w:line="480" w:lineRule="auto"/>
        <w:ind w:left="284" w:hanging="284"/>
      </w:pPr>
      <w:proofErr w:type="spellStart"/>
      <w:r w:rsidRPr="00D87574">
        <w:t>Mahase</w:t>
      </w:r>
      <w:proofErr w:type="spellEnd"/>
      <w:r>
        <w:t xml:space="preserve"> E (2019). </w:t>
      </w:r>
      <w:r w:rsidRPr="00D87574">
        <w:t>Mandatory childhood vaccination could cause “irreparable damage,” says expert panel</w:t>
      </w:r>
      <w:r>
        <w:t xml:space="preserve">; BMJ, </w:t>
      </w:r>
      <w:r w:rsidRPr="00D87574">
        <w:t>2019;367:l5995</w:t>
      </w:r>
    </w:p>
    <w:p w14:paraId="552B11B3" w14:textId="331764A0" w:rsidR="00DC1309" w:rsidRDefault="00DC1309" w:rsidP="00DC1309">
      <w:pPr>
        <w:pStyle w:val="ListParagraph"/>
        <w:numPr>
          <w:ilvl w:val="0"/>
          <w:numId w:val="13"/>
        </w:numPr>
        <w:spacing w:line="480" w:lineRule="auto"/>
        <w:ind w:left="426" w:hanging="426"/>
      </w:pPr>
      <w:proofErr w:type="spellStart"/>
      <w:r w:rsidRPr="00DC1309">
        <w:t>Gamlund</w:t>
      </w:r>
      <w:proofErr w:type="spellEnd"/>
      <w:r w:rsidRPr="00DC1309">
        <w:t xml:space="preserve"> E, Müller KE,; Paquet PK, Solberg C</w:t>
      </w:r>
      <w:r w:rsidRPr="00757B46">
        <w:t xml:space="preserve">T. Mandatory childhood vaccination: Should Norway follow?; Nordic Journal of Applied Ethics / </w:t>
      </w:r>
      <w:proofErr w:type="spellStart"/>
      <w:r w:rsidRPr="00757B46">
        <w:t>Etikk</w:t>
      </w:r>
      <w:proofErr w:type="spellEnd"/>
      <w:r w:rsidRPr="00757B46">
        <w:t xml:space="preserve"> </w:t>
      </w:r>
      <w:proofErr w:type="spellStart"/>
      <w:r w:rsidRPr="00757B46">
        <w:t>i</w:t>
      </w:r>
      <w:proofErr w:type="spellEnd"/>
      <w:r w:rsidRPr="00757B46">
        <w:t xml:space="preserve"> </w:t>
      </w:r>
      <w:proofErr w:type="spellStart"/>
      <w:r w:rsidRPr="00757B46">
        <w:t>praksis</w:t>
      </w:r>
      <w:proofErr w:type="spellEnd"/>
      <w:r w:rsidRPr="00757B46">
        <w:t>. 2020, Vol. 14 Issue 1, p7-27. 21p. DOI: 10.5324/eip.v14i1.3316. ,</w:t>
      </w:r>
    </w:p>
    <w:p w14:paraId="237C1143" w14:textId="463EE940" w:rsidR="00DC1309" w:rsidRDefault="00DC1309" w:rsidP="00DC1309">
      <w:pPr>
        <w:pStyle w:val="ListParagraph"/>
        <w:numPr>
          <w:ilvl w:val="0"/>
          <w:numId w:val="13"/>
        </w:numPr>
        <w:spacing w:line="480" w:lineRule="auto"/>
        <w:ind w:left="426" w:hanging="426"/>
      </w:pPr>
      <w:r>
        <w:t xml:space="preserve">World Health Organisation Regional Office for Europe (2005). European strategy for child and adolescent health and development. Copenhagen: WHO Regional Office for Europe; WHO, Copenhagen, 2005 (available at </w:t>
      </w:r>
      <w:hyperlink r:id="rId14" w:history="1">
        <w:r w:rsidRPr="000E0EA4">
          <w:rPr>
            <w:rStyle w:val="Hyperlink"/>
          </w:rPr>
          <w:t>www.euro.who.int/__data/assets/pdf_file/0020/79400/E87710.pdf</w:t>
        </w:r>
      </w:hyperlink>
      <w:r>
        <w:t>)</w:t>
      </w:r>
    </w:p>
    <w:p w14:paraId="7FE6A9DA" w14:textId="27404E64" w:rsidR="00DC1309" w:rsidRDefault="00DC1309" w:rsidP="00DC1309">
      <w:pPr>
        <w:pStyle w:val="ListParagraph"/>
        <w:numPr>
          <w:ilvl w:val="0"/>
          <w:numId w:val="13"/>
        </w:numPr>
        <w:spacing w:line="480" w:lineRule="auto"/>
        <w:ind w:left="426" w:hanging="426"/>
      </w:pPr>
      <w:r>
        <w:t xml:space="preserve">World Health Organisation Regional Office for Europe (2015), Investing in children: the European child and adolescent health strategy 2015–2020; WHO, Copenhagen, 2015 (available at </w:t>
      </w:r>
      <w:hyperlink r:id="rId15" w:history="1">
        <w:r w:rsidRPr="0013084F">
          <w:rPr>
            <w:rStyle w:val="Hyperlink"/>
          </w:rPr>
          <w:t>www.euro.who.int/__data/assets/pdf_file/0010/253729/64wd12e_InvestCAHstrategy_140440.pdf</w:t>
        </w:r>
      </w:hyperlink>
      <w:r>
        <w:t>).</w:t>
      </w:r>
    </w:p>
    <w:p w14:paraId="690C1F6D" w14:textId="352C1BB6" w:rsidR="00DC1309" w:rsidRPr="002244B7" w:rsidRDefault="002244B7" w:rsidP="00DC1309">
      <w:pPr>
        <w:pStyle w:val="ListParagraph"/>
        <w:numPr>
          <w:ilvl w:val="0"/>
          <w:numId w:val="13"/>
        </w:numPr>
        <w:spacing w:line="480" w:lineRule="auto"/>
        <w:ind w:left="426" w:hanging="426"/>
        <w:rPr>
          <w:rStyle w:val="Hyperlink"/>
          <w:color w:val="auto"/>
          <w:u w:val="none"/>
        </w:rPr>
      </w:pPr>
      <w:r>
        <w:t xml:space="preserve">World Health Organisation Regional Office for Europe (2015). European Vaccine Action Plan (EVAP) 2015-2020, WHO, Copenhagen, 2015, available at </w:t>
      </w:r>
      <w:hyperlink r:id="rId16" w:history="1">
        <w:r w:rsidRPr="00A916CF">
          <w:rPr>
            <w:rStyle w:val="Hyperlink"/>
          </w:rPr>
          <w:t>http://www.euro.who.int/__data/assets/pdf_file/0007/255679/WHO_EVAP_UK_v30_WEBx.pdf?ua=1</w:t>
        </w:r>
      </w:hyperlink>
    </w:p>
    <w:p w14:paraId="04C327A3" w14:textId="77777777" w:rsidR="002244B7" w:rsidRDefault="002244B7" w:rsidP="00DC1309">
      <w:pPr>
        <w:pStyle w:val="ListParagraph"/>
        <w:numPr>
          <w:ilvl w:val="0"/>
          <w:numId w:val="13"/>
        </w:numPr>
        <w:spacing w:line="480" w:lineRule="auto"/>
        <w:ind w:left="426" w:hanging="426"/>
        <w:rPr>
          <w:rStyle w:val="Hyperlink"/>
          <w:color w:val="auto"/>
          <w:u w:val="none"/>
        </w:rPr>
      </w:pPr>
      <w:r>
        <w:rPr>
          <w:rStyle w:val="Hyperlink"/>
          <w:color w:val="auto"/>
          <w:u w:val="none"/>
        </w:rPr>
        <w:t xml:space="preserve">World Health Organisation Regional Office for Europe (2008). Tallinn Charter: Health Systems for Health and Wealth; WHO, Copenhagen, 2008; available at </w:t>
      </w:r>
      <w:hyperlink r:id="rId17" w:history="1">
        <w:r>
          <w:rPr>
            <w:rStyle w:val="Hyperlink"/>
          </w:rPr>
          <w:t>http://www.euro.who.int/__data/assets/pdf_file/0008/88613/E91438.pdf?ua=1</w:t>
        </w:r>
      </w:hyperlink>
      <w:r w:rsidRPr="002244B7">
        <w:rPr>
          <w:rStyle w:val="Hyperlink"/>
          <w:color w:val="auto"/>
          <w:u w:val="none"/>
        </w:rPr>
        <w:t xml:space="preserve"> </w:t>
      </w:r>
    </w:p>
    <w:p w14:paraId="782FDCD2" w14:textId="4DD43A75" w:rsidR="002244B7" w:rsidRPr="002244B7" w:rsidRDefault="002244B7" w:rsidP="00DC1309">
      <w:pPr>
        <w:pStyle w:val="ListParagraph"/>
        <w:numPr>
          <w:ilvl w:val="0"/>
          <w:numId w:val="13"/>
        </w:numPr>
        <w:spacing w:line="480" w:lineRule="auto"/>
        <w:ind w:left="426" w:hanging="426"/>
        <w:rPr>
          <w:rStyle w:val="Hyperlink"/>
          <w:color w:val="auto"/>
          <w:u w:val="none"/>
        </w:rPr>
      </w:pPr>
      <w:r>
        <w:rPr>
          <w:rStyle w:val="Hyperlink"/>
          <w:color w:val="auto"/>
          <w:u w:val="none"/>
        </w:rPr>
        <w:lastRenderedPageBreak/>
        <w:t xml:space="preserve">World Health Organisation Regional Office for Europe (2018). </w:t>
      </w:r>
      <w:r w:rsidRPr="00FC153E">
        <w:rPr>
          <w:rStyle w:val="Hyperlink"/>
          <w:color w:val="auto"/>
          <w:u w:val="none"/>
        </w:rPr>
        <w:t xml:space="preserve">Health </w:t>
      </w:r>
      <w:r>
        <w:rPr>
          <w:rStyle w:val="Hyperlink"/>
          <w:color w:val="auto"/>
          <w:u w:val="none"/>
        </w:rPr>
        <w:t>S</w:t>
      </w:r>
      <w:r w:rsidRPr="00FC153E">
        <w:rPr>
          <w:rStyle w:val="Hyperlink"/>
          <w:color w:val="auto"/>
          <w:u w:val="none"/>
        </w:rPr>
        <w:t xml:space="preserve">ystems for </w:t>
      </w:r>
      <w:r>
        <w:rPr>
          <w:rStyle w:val="Hyperlink"/>
          <w:color w:val="auto"/>
          <w:u w:val="none"/>
        </w:rPr>
        <w:t>P</w:t>
      </w:r>
      <w:r w:rsidRPr="00FC153E">
        <w:rPr>
          <w:rStyle w:val="Hyperlink"/>
          <w:color w:val="auto"/>
          <w:u w:val="none"/>
        </w:rPr>
        <w:t>rosperity</w:t>
      </w:r>
      <w:r>
        <w:rPr>
          <w:rStyle w:val="Hyperlink"/>
          <w:color w:val="auto"/>
          <w:u w:val="none"/>
        </w:rPr>
        <w:t xml:space="preserve"> a</w:t>
      </w:r>
      <w:r w:rsidRPr="00FC153E">
        <w:rPr>
          <w:rStyle w:val="Hyperlink"/>
          <w:color w:val="auto"/>
          <w:u w:val="none"/>
        </w:rPr>
        <w:t xml:space="preserve">nd </w:t>
      </w:r>
      <w:r>
        <w:rPr>
          <w:rStyle w:val="Hyperlink"/>
          <w:color w:val="auto"/>
          <w:u w:val="none"/>
        </w:rPr>
        <w:t>S</w:t>
      </w:r>
      <w:r w:rsidRPr="00FC153E">
        <w:rPr>
          <w:rStyle w:val="Hyperlink"/>
          <w:color w:val="auto"/>
          <w:u w:val="none"/>
        </w:rPr>
        <w:t>olidarity</w:t>
      </w:r>
      <w:r>
        <w:rPr>
          <w:rStyle w:val="Hyperlink"/>
          <w:color w:val="auto"/>
          <w:u w:val="none"/>
        </w:rPr>
        <w:t xml:space="preserve"> - </w:t>
      </w:r>
      <w:r w:rsidRPr="00FC153E">
        <w:rPr>
          <w:rStyle w:val="Hyperlink"/>
          <w:color w:val="auto"/>
          <w:u w:val="none"/>
        </w:rPr>
        <w:t>Leaving No One Behind</w:t>
      </w:r>
      <w:r>
        <w:rPr>
          <w:rStyle w:val="Hyperlink"/>
          <w:color w:val="auto"/>
          <w:u w:val="none"/>
        </w:rPr>
        <w:t xml:space="preserve">, WHO, Copenhagen, 2018; available at </w:t>
      </w:r>
      <w:hyperlink r:id="rId18" w:history="1">
        <w:r>
          <w:rPr>
            <w:rStyle w:val="Hyperlink"/>
          </w:rPr>
          <w:t>http://www.euro.who.int/__data/assets/pdf_file/0011/397145/52491-WHO-Tallin-report_v12.pdf</w:t>
        </w:r>
      </w:hyperlink>
    </w:p>
    <w:p w14:paraId="61D374B7" w14:textId="5F515786" w:rsidR="002244B7" w:rsidRDefault="002244B7" w:rsidP="00DC1309">
      <w:pPr>
        <w:pStyle w:val="ListParagraph"/>
        <w:numPr>
          <w:ilvl w:val="0"/>
          <w:numId w:val="13"/>
        </w:numPr>
        <w:spacing w:line="480" w:lineRule="auto"/>
        <w:ind w:left="426" w:hanging="426"/>
      </w:pPr>
      <w:r>
        <w:t xml:space="preserve">World Health Organisation Regional Office for Europe (2013). Roadmap: Strengthening People-Centred Health Systems in the WHO European Region - A Framework for Action towards Coordinated/Integrated Health Services Delivery (CIHSD); WHO, Copenhagen, 2013; available at </w:t>
      </w:r>
      <w:hyperlink r:id="rId19" w:history="1">
        <w:r>
          <w:rPr>
            <w:rStyle w:val="Hyperlink"/>
          </w:rPr>
          <w:t>http://www.euro.who.int/__data/assets/pdf_file/0005/231692/e96929-replacement-CIHSD-Roadmap-171014b.pdf</w:t>
        </w:r>
      </w:hyperlink>
      <w:r>
        <w:t>.</w:t>
      </w:r>
    </w:p>
    <w:p w14:paraId="4E9797E8" w14:textId="2316E15A" w:rsidR="002244B7" w:rsidRPr="002244B7" w:rsidRDefault="002244B7" w:rsidP="00DC1309">
      <w:pPr>
        <w:pStyle w:val="ListParagraph"/>
        <w:numPr>
          <w:ilvl w:val="0"/>
          <w:numId w:val="13"/>
        </w:numPr>
        <w:spacing w:line="480" w:lineRule="auto"/>
        <w:ind w:left="426" w:hanging="426"/>
        <w:rPr>
          <w:rStyle w:val="Hyperlink"/>
          <w:color w:val="auto"/>
          <w:u w:val="none"/>
        </w:rPr>
      </w:pPr>
      <w:r w:rsidRPr="003B6A77">
        <w:t xml:space="preserve">Deshpande S (Editor) (2018). Trillium II- MOCHA Stakeholder Consultation Meeting - Digital Health Policies for Children’s Health: Focus on Immunisation, available at </w:t>
      </w:r>
      <w:hyperlink r:id="rId20" w:history="1">
        <w:r w:rsidRPr="003B6A77">
          <w:rPr>
            <w:rStyle w:val="Hyperlink"/>
          </w:rPr>
          <w:t>http://www.childhealthservicemodels.eu/wp-content/uploads/22.11.18-Trillium-II-MOCHA-Stakeholder-meeting-report-v4.pdf</w:t>
        </w:r>
      </w:hyperlink>
    </w:p>
    <w:p w14:paraId="3FCFEE5F" w14:textId="5ACDD86B" w:rsidR="002244B7" w:rsidRDefault="002244B7" w:rsidP="00DC1309">
      <w:pPr>
        <w:pStyle w:val="ListParagraph"/>
        <w:numPr>
          <w:ilvl w:val="0"/>
          <w:numId w:val="13"/>
        </w:numPr>
        <w:spacing w:line="480" w:lineRule="auto"/>
        <w:ind w:left="426" w:hanging="426"/>
      </w:pPr>
      <w:proofErr w:type="spellStart"/>
      <w:r w:rsidRPr="00685FD4">
        <w:t>Berling</w:t>
      </w:r>
      <w:proofErr w:type="spellEnd"/>
      <w:r w:rsidRPr="00685FD4">
        <w:t xml:space="preserve"> I, Stephenson J, Cashman P, </w:t>
      </w:r>
      <w:proofErr w:type="spellStart"/>
      <w:r w:rsidRPr="00685FD4">
        <w:t>Loten</w:t>
      </w:r>
      <w:proofErr w:type="spellEnd"/>
      <w:r w:rsidRPr="00685FD4">
        <w:t xml:space="preserve"> C, Butler M, </w:t>
      </w:r>
      <w:proofErr w:type="spellStart"/>
      <w:r w:rsidRPr="00685FD4">
        <w:t>Durrheim</w:t>
      </w:r>
      <w:proofErr w:type="spellEnd"/>
      <w:r w:rsidRPr="00685FD4">
        <w:t xml:space="preserve"> D</w:t>
      </w:r>
      <w:r>
        <w:t xml:space="preserve"> (2012)</w:t>
      </w:r>
      <w:r w:rsidRPr="00685FD4">
        <w:t>.</w:t>
      </w:r>
      <w:r>
        <w:t xml:space="preserve"> </w:t>
      </w:r>
      <w:r w:rsidRPr="00685FD4">
        <w:t>Opportunistic childhood vaccinations in emergency--are we really missing anyone?</w:t>
      </w:r>
      <w:r>
        <w:t xml:space="preserve">; </w:t>
      </w:r>
      <w:proofErr w:type="spellStart"/>
      <w:r w:rsidRPr="00685FD4">
        <w:t>Australas</w:t>
      </w:r>
      <w:proofErr w:type="spellEnd"/>
      <w:r w:rsidRPr="00685FD4">
        <w:t xml:space="preserve"> </w:t>
      </w:r>
      <w:proofErr w:type="spellStart"/>
      <w:r w:rsidRPr="00685FD4">
        <w:t>Emerg</w:t>
      </w:r>
      <w:proofErr w:type="spellEnd"/>
      <w:r w:rsidRPr="00685FD4">
        <w:t xml:space="preserve"> </w:t>
      </w:r>
      <w:proofErr w:type="spellStart"/>
      <w:r w:rsidRPr="00685FD4">
        <w:t>Nurs</w:t>
      </w:r>
      <w:proofErr w:type="spellEnd"/>
      <w:r w:rsidRPr="00685FD4">
        <w:t xml:space="preserve"> J. 2012 Feb;15(1):37-44. </w:t>
      </w:r>
      <w:proofErr w:type="spellStart"/>
      <w:r w:rsidRPr="00685FD4">
        <w:t>doi</w:t>
      </w:r>
      <w:proofErr w:type="spellEnd"/>
      <w:r w:rsidRPr="00685FD4">
        <w:t>: 10.1016/j</w:t>
      </w:r>
    </w:p>
    <w:p w14:paraId="25F4638E" w14:textId="3DDC8691" w:rsidR="002244B7" w:rsidRPr="002244B7" w:rsidRDefault="002244B7" w:rsidP="00DC1309">
      <w:pPr>
        <w:pStyle w:val="ListParagraph"/>
        <w:numPr>
          <w:ilvl w:val="0"/>
          <w:numId w:val="13"/>
        </w:numPr>
        <w:spacing w:line="480" w:lineRule="auto"/>
        <w:ind w:left="426" w:hanging="426"/>
      </w:pPr>
      <w:proofErr w:type="spellStart"/>
      <w:r w:rsidRPr="00B02BFA">
        <w:rPr>
          <w:bCs/>
          <w:iCs/>
        </w:rPr>
        <w:t>Zdunek</w:t>
      </w:r>
      <w:proofErr w:type="spellEnd"/>
      <w:r>
        <w:rPr>
          <w:bCs/>
          <w:iCs/>
        </w:rPr>
        <w:t xml:space="preserve"> K</w:t>
      </w:r>
      <w:r w:rsidRPr="00B02BFA">
        <w:rPr>
          <w:bCs/>
          <w:iCs/>
        </w:rPr>
        <w:t>, Rigby</w:t>
      </w:r>
      <w:r>
        <w:rPr>
          <w:bCs/>
          <w:iCs/>
        </w:rPr>
        <w:t xml:space="preserve"> M</w:t>
      </w:r>
      <w:r w:rsidRPr="00B02BFA">
        <w:rPr>
          <w:bCs/>
          <w:iCs/>
        </w:rPr>
        <w:t>, Deshpande</w:t>
      </w:r>
      <w:r>
        <w:rPr>
          <w:bCs/>
          <w:iCs/>
        </w:rPr>
        <w:t xml:space="preserve"> S</w:t>
      </w:r>
      <w:r w:rsidRPr="00B02BFA">
        <w:rPr>
          <w:bCs/>
          <w:iCs/>
        </w:rPr>
        <w:t xml:space="preserve">, Alexander </w:t>
      </w:r>
      <w:r>
        <w:rPr>
          <w:bCs/>
          <w:iCs/>
        </w:rPr>
        <w:t xml:space="preserve">D (2019). </w:t>
      </w:r>
      <w:r w:rsidRPr="00B02BFA">
        <w:rPr>
          <w:bCs/>
          <w:iCs/>
        </w:rPr>
        <w:t>Child Centricity and Children’s Rights</w:t>
      </w:r>
      <w:r>
        <w:rPr>
          <w:bCs/>
          <w:iCs/>
        </w:rPr>
        <w:t xml:space="preserve">; in </w:t>
      </w:r>
      <w:r>
        <w:rPr>
          <w:szCs w:val="44"/>
        </w:rPr>
        <w:t xml:space="preserve">Mitch Blair, Michael Rigby, Denise Alexander. </w:t>
      </w:r>
      <w:r>
        <w:rPr>
          <w:rFonts w:cs="Arial"/>
          <w:color w:val="333333"/>
          <w:spacing w:val="5"/>
          <w:lang w:val="en"/>
        </w:rPr>
        <w:t xml:space="preserve">Issues and Opportunities in Primary Health Care for Children in Europe: The Final </w:t>
      </w:r>
      <w:proofErr w:type="spellStart"/>
      <w:r>
        <w:rPr>
          <w:rFonts w:cs="Arial"/>
          <w:color w:val="333333"/>
          <w:spacing w:val="5"/>
          <w:lang w:val="en"/>
        </w:rPr>
        <w:t>Summarised</w:t>
      </w:r>
      <w:proofErr w:type="spellEnd"/>
      <w:r>
        <w:rPr>
          <w:rFonts w:cs="Arial"/>
          <w:color w:val="333333"/>
          <w:spacing w:val="5"/>
          <w:lang w:val="en"/>
        </w:rPr>
        <w:t xml:space="preserve"> Results of the Models of Child Health Appraised (MOCHA) Project; Emerald Publishing, Bingley, 2019; Open Access at </w:t>
      </w:r>
      <w:hyperlink r:id="rId21" w:history="1">
        <w:r w:rsidRPr="000E0EA4">
          <w:rPr>
            <w:rStyle w:val="Hyperlink"/>
            <w:rFonts w:cs="Arial"/>
            <w:spacing w:val="5"/>
            <w:lang w:val="en"/>
          </w:rPr>
          <w:t>https://www.emerald.com/insight/content/doi/10.1108/978-1-78973-351-820191009/full/html</w:t>
        </w:r>
      </w:hyperlink>
    </w:p>
    <w:p w14:paraId="4563B456" w14:textId="487B8F4B" w:rsidR="002244B7" w:rsidRDefault="002244B7" w:rsidP="00DC1309">
      <w:pPr>
        <w:pStyle w:val="ListParagraph"/>
        <w:numPr>
          <w:ilvl w:val="0"/>
          <w:numId w:val="13"/>
        </w:numPr>
        <w:spacing w:line="480" w:lineRule="auto"/>
        <w:ind w:left="426" w:hanging="426"/>
      </w:pPr>
      <w:r w:rsidRPr="00AD518B">
        <w:t>Bedford</w:t>
      </w:r>
      <w:r>
        <w:t xml:space="preserve"> H</w:t>
      </w:r>
      <w:r w:rsidRPr="00AD518B">
        <w:t xml:space="preserve">, </w:t>
      </w:r>
      <w:proofErr w:type="spellStart"/>
      <w:r w:rsidRPr="00AD518B">
        <w:t>Attwell</w:t>
      </w:r>
      <w:proofErr w:type="spellEnd"/>
      <w:r>
        <w:t xml:space="preserve"> K</w:t>
      </w:r>
      <w:r w:rsidRPr="00AD518B">
        <w:t xml:space="preserve">, </w:t>
      </w:r>
      <w:proofErr w:type="spellStart"/>
      <w:r w:rsidRPr="00AD518B">
        <w:t>Danchin</w:t>
      </w:r>
      <w:proofErr w:type="spellEnd"/>
      <w:r>
        <w:t xml:space="preserve"> M</w:t>
      </w:r>
      <w:r w:rsidRPr="00AD518B">
        <w:t>, Marshall</w:t>
      </w:r>
      <w:r>
        <w:t xml:space="preserve"> H</w:t>
      </w:r>
      <w:r w:rsidRPr="00AD518B">
        <w:t xml:space="preserve">, </w:t>
      </w:r>
      <w:proofErr w:type="spellStart"/>
      <w:r w:rsidRPr="00AD518B">
        <w:t>Corben</w:t>
      </w:r>
      <w:proofErr w:type="spellEnd"/>
      <w:r>
        <w:t xml:space="preserve"> P</w:t>
      </w:r>
      <w:r w:rsidRPr="00AD518B">
        <w:t>, Leask</w:t>
      </w:r>
      <w:r>
        <w:t xml:space="preserve"> J. Vaccine hesitancy, refusal and access barriers: The need for clarity in terminology; </w:t>
      </w:r>
      <w:r w:rsidRPr="00AD518B">
        <w:t>Vaccine 36 (2018) 6556–6558</w:t>
      </w:r>
      <w:r>
        <w:t>.</w:t>
      </w:r>
    </w:p>
    <w:p w14:paraId="4734FEB2" w14:textId="7A7DF504" w:rsidR="002244B7" w:rsidRDefault="002244B7" w:rsidP="00DC1309">
      <w:pPr>
        <w:pStyle w:val="ListParagraph"/>
        <w:numPr>
          <w:ilvl w:val="0"/>
          <w:numId w:val="13"/>
        </w:numPr>
        <w:spacing w:line="480" w:lineRule="auto"/>
        <w:ind w:left="426" w:hanging="426"/>
      </w:pPr>
      <w:r>
        <w:t xml:space="preserve">Expert Panel on Effective Ways of Investing in Health (2018). Programmes and Health Systems in The European Union; Brussels, 2018 (available at </w:t>
      </w:r>
      <w:hyperlink r:id="rId22" w:history="1">
        <w:r w:rsidRPr="00A916CF">
          <w:rPr>
            <w:rStyle w:val="Hyperlink"/>
          </w:rPr>
          <w:t>https://ec.europa.eu/health/expert_panel/sites/expertpanel/files/020_vaccinationpgms_en.pdf</w:t>
        </w:r>
      </w:hyperlink>
      <w:r>
        <w:t>) (accessed 25 September 2020)</w:t>
      </w:r>
    </w:p>
    <w:p w14:paraId="4D2D8886" w14:textId="0159B5B1" w:rsidR="002244B7" w:rsidRDefault="002244B7" w:rsidP="00DC1309">
      <w:pPr>
        <w:pStyle w:val="ListParagraph"/>
        <w:numPr>
          <w:ilvl w:val="0"/>
          <w:numId w:val="13"/>
        </w:numPr>
        <w:spacing w:line="480" w:lineRule="auto"/>
        <w:ind w:left="426" w:hanging="426"/>
      </w:pPr>
      <w:r>
        <w:t>Eurostat. (2019). Your guide to European statistics https://ec.europa.eu/eurostat/web/income-and-living-conditions/data/database?node_code=ilc_hch (accessed 25 September 2020).</w:t>
      </w:r>
    </w:p>
    <w:p w14:paraId="699BEABD" w14:textId="7A07AE7D" w:rsidR="002244B7" w:rsidRDefault="002244B7" w:rsidP="00DC1309">
      <w:pPr>
        <w:pStyle w:val="ListParagraph"/>
        <w:numPr>
          <w:ilvl w:val="0"/>
          <w:numId w:val="13"/>
        </w:numPr>
        <w:spacing w:line="480" w:lineRule="auto"/>
        <w:ind w:left="426" w:hanging="426"/>
      </w:pPr>
      <w:r>
        <w:t xml:space="preserve">HL7 International. HL&amp; FHIR. </w:t>
      </w:r>
      <w:r w:rsidRPr="000D0760">
        <w:t>International Patient Summary Implementation Guide Implementation Guide</w:t>
      </w:r>
      <w:r>
        <w:t xml:space="preserve">; </w:t>
      </w:r>
      <w:hyperlink r:id="rId23" w:history="1">
        <w:r w:rsidRPr="00F92162">
          <w:rPr>
            <w:rStyle w:val="Hyperlink"/>
          </w:rPr>
          <w:t>http://hl7.org/fhir/uv/ips/2018May/index.html</w:t>
        </w:r>
      </w:hyperlink>
      <w:r>
        <w:t xml:space="preserve"> (accessed 25 September 2020)</w:t>
      </w:r>
    </w:p>
    <w:p w14:paraId="13BDE720" w14:textId="091CD09B" w:rsidR="002244B7" w:rsidRDefault="002244B7" w:rsidP="00DC1309">
      <w:pPr>
        <w:pStyle w:val="ListParagraph"/>
        <w:numPr>
          <w:ilvl w:val="0"/>
          <w:numId w:val="13"/>
        </w:numPr>
        <w:spacing w:line="480" w:lineRule="auto"/>
        <w:ind w:left="426" w:hanging="426"/>
      </w:pPr>
      <w:r w:rsidRPr="004C1313">
        <w:t xml:space="preserve">Saunders, J. Results and Costs of a Computer-assisted Immunisation Scheme; British Journal of Social and Preventive Medicine, </w:t>
      </w:r>
      <w:r>
        <w:t xml:space="preserve">1970, </w:t>
      </w:r>
      <w:r w:rsidRPr="004C1313">
        <w:t>24, 187-191.</w:t>
      </w:r>
    </w:p>
    <w:p w14:paraId="317B89A0" w14:textId="4E4541B2" w:rsidR="002244B7" w:rsidRDefault="002244B7" w:rsidP="00DC1309">
      <w:pPr>
        <w:pStyle w:val="ListParagraph"/>
        <w:numPr>
          <w:ilvl w:val="0"/>
          <w:numId w:val="13"/>
        </w:numPr>
        <w:spacing w:line="480" w:lineRule="auto"/>
        <w:ind w:left="426" w:hanging="426"/>
      </w:pPr>
      <w:r w:rsidRPr="00E2337B">
        <w:rPr>
          <w:noProof/>
        </w:rPr>
        <w:t xml:space="preserve">Atchison C, Zvoc M, Balakrishnan R. (2011). The evaluation of a standardized call/recall system for childhood immunizations in Wandsworth, England; Journal of Community Health, 2013 Jun;38(3):581-7.  </w:t>
      </w:r>
    </w:p>
    <w:p w14:paraId="51F615A4" w14:textId="7537EEE3" w:rsidR="002244B7" w:rsidRDefault="002244B7" w:rsidP="00DC1309">
      <w:pPr>
        <w:pStyle w:val="ListParagraph"/>
        <w:numPr>
          <w:ilvl w:val="0"/>
          <w:numId w:val="13"/>
        </w:numPr>
        <w:spacing w:line="480" w:lineRule="auto"/>
        <w:ind w:left="426" w:hanging="426"/>
      </w:pPr>
      <w:r w:rsidRPr="006F492E">
        <w:t xml:space="preserve">Rigby M, </w:t>
      </w:r>
      <w:proofErr w:type="spellStart"/>
      <w:r w:rsidRPr="006F492E">
        <w:t>Kühne</w:t>
      </w:r>
      <w:proofErr w:type="spellEnd"/>
      <w:r w:rsidRPr="006F492E">
        <w:t xml:space="preserve"> G, Greenfield R, Majeed A, Blair ME</w:t>
      </w:r>
      <w:r>
        <w:t xml:space="preserve"> (2018)</w:t>
      </w:r>
      <w:r w:rsidRPr="006F492E">
        <w:t xml:space="preserve">. Extent of Use of Electronic Records in Children's Primary Care and Public Health in Europe. A. </w:t>
      </w:r>
      <w:proofErr w:type="spellStart"/>
      <w:r w:rsidRPr="006F492E">
        <w:t>Ugon</w:t>
      </w:r>
      <w:proofErr w:type="spellEnd"/>
      <w:r w:rsidRPr="006F492E">
        <w:t xml:space="preserve"> et al. (Eds.) Stud Health </w:t>
      </w:r>
      <w:proofErr w:type="spellStart"/>
      <w:r w:rsidRPr="006F492E">
        <w:t>Technol</w:t>
      </w:r>
      <w:proofErr w:type="spellEnd"/>
      <w:r w:rsidRPr="006F492E">
        <w:t xml:space="preserve"> Inform. 2018; 247:930-934. PMID: 29678097</w:t>
      </w:r>
      <w:r>
        <w:t>.</w:t>
      </w:r>
    </w:p>
    <w:p w14:paraId="7DD48082" w14:textId="534B51B5" w:rsidR="002244B7" w:rsidRPr="002244B7" w:rsidRDefault="002244B7" w:rsidP="00DC1309">
      <w:pPr>
        <w:pStyle w:val="ListParagraph"/>
        <w:numPr>
          <w:ilvl w:val="0"/>
          <w:numId w:val="13"/>
        </w:numPr>
        <w:spacing w:line="480" w:lineRule="auto"/>
        <w:ind w:left="426" w:hanging="426"/>
      </w:pPr>
      <w:r w:rsidRPr="006B6DC0">
        <w:rPr>
          <w:rFonts w:cs="Tahoma"/>
          <w:szCs w:val="18"/>
        </w:rPr>
        <w:t>Olsson</w:t>
      </w:r>
      <w:r>
        <w:rPr>
          <w:rFonts w:cs="Tahoma"/>
          <w:szCs w:val="18"/>
        </w:rPr>
        <w:t xml:space="preserve"> K</w:t>
      </w:r>
      <w:r w:rsidRPr="006B6DC0">
        <w:rPr>
          <w:rFonts w:cs="Tahoma"/>
          <w:szCs w:val="18"/>
        </w:rPr>
        <w:t xml:space="preserve">, </w:t>
      </w:r>
      <w:proofErr w:type="spellStart"/>
      <w:r w:rsidRPr="006B6DC0">
        <w:rPr>
          <w:rFonts w:cs="Tahoma"/>
          <w:szCs w:val="18"/>
        </w:rPr>
        <w:t>Gianfredi</w:t>
      </w:r>
      <w:proofErr w:type="spellEnd"/>
      <w:r>
        <w:rPr>
          <w:rFonts w:cs="Tahoma"/>
          <w:szCs w:val="18"/>
        </w:rPr>
        <w:t xml:space="preserve"> V</w:t>
      </w:r>
      <w:r w:rsidRPr="006B6DC0">
        <w:rPr>
          <w:rFonts w:cs="Tahoma"/>
          <w:szCs w:val="18"/>
        </w:rPr>
        <w:t xml:space="preserve">, </w:t>
      </w:r>
      <w:proofErr w:type="spellStart"/>
      <w:r w:rsidRPr="006B6DC0">
        <w:rPr>
          <w:rFonts w:cs="Tahoma"/>
          <w:szCs w:val="18"/>
        </w:rPr>
        <w:t>Derrough</w:t>
      </w:r>
      <w:proofErr w:type="spellEnd"/>
      <w:r>
        <w:rPr>
          <w:rFonts w:cs="Tahoma"/>
          <w:szCs w:val="18"/>
        </w:rPr>
        <w:t xml:space="preserve"> T</w:t>
      </w:r>
      <w:r w:rsidRPr="006B6DC0">
        <w:rPr>
          <w:rFonts w:cs="Tahoma"/>
          <w:szCs w:val="18"/>
        </w:rPr>
        <w:t>. ECDC Technical Report - Immunisation information systems in the EU and EEA, European Centre for Disease Control, Stockholm, 2017.</w:t>
      </w:r>
    </w:p>
    <w:p w14:paraId="0B8A6C84" w14:textId="2141D6E3" w:rsidR="002244B7" w:rsidRDefault="002244B7" w:rsidP="00DC1309">
      <w:pPr>
        <w:pStyle w:val="ListParagraph"/>
        <w:numPr>
          <w:ilvl w:val="0"/>
          <w:numId w:val="13"/>
        </w:numPr>
        <w:spacing w:line="480" w:lineRule="auto"/>
        <w:ind w:left="426" w:hanging="426"/>
      </w:pPr>
      <w:r w:rsidRPr="006F492E">
        <w:t xml:space="preserve">Rigby M, </w:t>
      </w:r>
      <w:proofErr w:type="spellStart"/>
      <w:r w:rsidRPr="006F492E">
        <w:t>Kühne</w:t>
      </w:r>
      <w:proofErr w:type="spellEnd"/>
      <w:r w:rsidRPr="006F492E">
        <w:t xml:space="preserve"> G, Deshpande S, </w:t>
      </w:r>
      <w:proofErr w:type="spellStart"/>
      <w:r w:rsidRPr="006F492E">
        <w:t>Gunnlaugsson</w:t>
      </w:r>
      <w:proofErr w:type="spellEnd"/>
      <w:r w:rsidRPr="006F492E">
        <w:t xml:space="preserve"> G, </w:t>
      </w:r>
      <w:proofErr w:type="spellStart"/>
      <w:r w:rsidRPr="006F492E">
        <w:t>Hadjipanayis</w:t>
      </w:r>
      <w:proofErr w:type="spellEnd"/>
      <w:r w:rsidRPr="006F492E">
        <w:t xml:space="preserve"> A, Greenfield G</w:t>
      </w:r>
      <w:r>
        <w:t xml:space="preserve"> (2018b)</w:t>
      </w:r>
      <w:r w:rsidRPr="006F492E">
        <w:t xml:space="preserve">. Future Achievable Potential Models of Child Health Electronic Record Systems to Support Care Delivery </w:t>
      </w:r>
      <w:hyperlink r:id="rId24" w:history="1">
        <w:r w:rsidRPr="00A916CF">
          <w:rPr>
            <w:rStyle w:val="Hyperlink"/>
          </w:rPr>
          <w:t>http://www.childhealthservicemodels.eu/wp-content/uploads/Deliverable-WP8-D13-Potential-Models-of-EHRs-v2-2.pdf</w:t>
        </w:r>
      </w:hyperlink>
      <w:r>
        <w:t>. (accessed 25 September 2020)</w:t>
      </w:r>
    </w:p>
    <w:p w14:paraId="75DD88E5" w14:textId="0EF055B6" w:rsidR="002244B7" w:rsidRDefault="002244B7" w:rsidP="00DC1309">
      <w:pPr>
        <w:pStyle w:val="ListParagraph"/>
        <w:numPr>
          <w:ilvl w:val="0"/>
          <w:numId w:val="13"/>
        </w:numPr>
        <w:spacing w:line="480" w:lineRule="auto"/>
        <w:ind w:left="426" w:hanging="426"/>
      </w:pPr>
      <w:r>
        <w:t xml:space="preserve">MOCHA Project (2018). </w:t>
      </w:r>
      <w:r w:rsidRPr="002658A8">
        <w:t>Trillium II- MOCHA meeting: ‘Digital Health Policies for Children’s Health’ worksho</w:t>
      </w:r>
      <w:r>
        <w:t>p:</w:t>
      </w:r>
      <w:hyperlink w:history="1">
        <w:r w:rsidRPr="001F6B21">
          <w:rPr>
            <w:rStyle w:val="Hyperlink"/>
          </w:rPr>
          <w:t xml:space="preserve"> www.childhealthservicemodels.eu/wp-content/uploads/Trillium-MOCHA-report-PDF.pdf</w:t>
        </w:r>
      </w:hyperlink>
      <w:r>
        <w:t xml:space="preserve"> (accessed 25 September 2020)</w:t>
      </w:r>
    </w:p>
    <w:p w14:paraId="3514D413" w14:textId="36B6EBFA" w:rsidR="002244B7" w:rsidRDefault="002244B7" w:rsidP="00DC1309">
      <w:pPr>
        <w:pStyle w:val="ListParagraph"/>
        <w:numPr>
          <w:ilvl w:val="0"/>
          <w:numId w:val="13"/>
        </w:numPr>
        <w:spacing w:line="480" w:lineRule="auto"/>
        <w:ind w:left="426" w:hanging="426"/>
      </w:pPr>
      <w:r>
        <w:t xml:space="preserve">Council of the European Union (2018). Council Recommendation on Strengthened Cooperation against Vaccine </w:t>
      </w:r>
      <w:r w:rsidRPr="0027181A">
        <w:t xml:space="preserve">Preventable Diseases 2018/0115 (NLE), available at </w:t>
      </w:r>
      <w:hyperlink r:id="rId25" w:history="1">
        <w:r w:rsidRPr="00A916CF">
          <w:rPr>
            <w:rStyle w:val="Hyperlink"/>
          </w:rPr>
          <w:t>https://eur-</w:t>
        </w:r>
        <w:r w:rsidRPr="00A916CF">
          <w:rPr>
            <w:rStyle w:val="Hyperlink"/>
          </w:rPr>
          <w:lastRenderedPageBreak/>
          <w:t>lex.europa.eu/legal-content/EN/TXT/PDF/?uri=CELEX:52018DC0244&amp;from=en</w:t>
        </w:r>
      </w:hyperlink>
      <w:r>
        <w:t>. (accessed 25 September 2020)</w:t>
      </w:r>
    </w:p>
    <w:p w14:paraId="2287B654" w14:textId="5F410C56" w:rsidR="002244B7" w:rsidRDefault="002244B7" w:rsidP="00DC1309">
      <w:pPr>
        <w:pStyle w:val="ListParagraph"/>
        <w:numPr>
          <w:ilvl w:val="0"/>
          <w:numId w:val="13"/>
        </w:numPr>
        <w:spacing w:line="480" w:lineRule="auto"/>
        <w:ind w:left="426" w:hanging="426"/>
      </w:pPr>
      <w:r>
        <w:rPr>
          <w:rFonts w:cs="Tahoma"/>
          <w:szCs w:val="18"/>
        </w:rPr>
        <w:t xml:space="preserve">Ted </w:t>
      </w:r>
      <w:proofErr w:type="spellStart"/>
      <w:r>
        <w:rPr>
          <w:rFonts w:cs="Tahoma"/>
          <w:szCs w:val="18"/>
        </w:rPr>
        <w:t>eTendering</w:t>
      </w:r>
      <w:proofErr w:type="spellEnd"/>
      <w:r>
        <w:rPr>
          <w:rFonts w:cs="Tahoma"/>
          <w:szCs w:val="18"/>
        </w:rPr>
        <w:t xml:space="preserve"> (2019). </w:t>
      </w:r>
      <w:r>
        <w:rPr>
          <w:rFonts w:ascii="Trebuchet MS" w:hAnsi="Trebuchet MS"/>
          <w:color w:val="000000"/>
          <w:sz w:val="19"/>
          <w:szCs w:val="19"/>
          <w:shd w:val="clear" w:color="auto" w:fill="FFFFFF"/>
        </w:rPr>
        <w:t xml:space="preserve">CHAFEA/2019/Health/07 Concerning the Provision of Options and Recommendations for an EU Citizens’ Vaccination Card; </w:t>
      </w:r>
      <w:hyperlink r:id="rId26" w:history="1">
        <w:r w:rsidRPr="008F49A4">
          <w:rPr>
            <w:rStyle w:val="Hyperlink"/>
            <w:rFonts w:ascii="Trebuchet MS" w:hAnsi="Trebuchet MS"/>
            <w:sz w:val="19"/>
            <w:szCs w:val="19"/>
            <w:shd w:val="clear" w:color="auto" w:fill="FFFFFF"/>
          </w:rPr>
          <w:t>https://etendering.ted.europa.eu/cft/cft-display.html?cftId=5156</w:t>
        </w:r>
      </w:hyperlink>
      <w:r>
        <w:rPr>
          <w:rFonts w:ascii="Trebuchet MS" w:hAnsi="Trebuchet MS"/>
          <w:color w:val="000000"/>
          <w:sz w:val="19"/>
          <w:szCs w:val="19"/>
          <w:shd w:val="clear" w:color="auto" w:fill="FFFFFF"/>
        </w:rPr>
        <w:t xml:space="preserve"> </w:t>
      </w:r>
      <w:r>
        <w:t>(accessed 23 September 2020)</w:t>
      </w:r>
    </w:p>
    <w:p w14:paraId="5D83182E" w14:textId="42A275AF" w:rsidR="002244B7" w:rsidRDefault="002244B7" w:rsidP="00DC1309">
      <w:pPr>
        <w:pStyle w:val="ListParagraph"/>
        <w:numPr>
          <w:ilvl w:val="0"/>
          <w:numId w:val="13"/>
        </w:numPr>
        <w:spacing w:line="480" w:lineRule="auto"/>
        <w:ind w:left="426" w:hanging="426"/>
      </w:pPr>
      <w:r>
        <w:t xml:space="preserve">Deshpande S, Rigby M and </w:t>
      </w:r>
      <w:proofErr w:type="spellStart"/>
      <w:r>
        <w:t>Namazova</w:t>
      </w:r>
      <w:proofErr w:type="spellEnd"/>
      <w:r>
        <w:t xml:space="preserve">-Baranova L (2020).  Use of home-based records for children in the countries  of the WHO European Region; World Health Organization Regional Office for Europe, Copenhagen, 2020; available at </w:t>
      </w:r>
      <w:hyperlink r:id="rId27" w:history="1">
        <w:r w:rsidRPr="000E0EA4">
          <w:rPr>
            <w:rStyle w:val="Hyperlink"/>
          </w:rPr>
          <w:t>https://www.euro.who.int/__data/assets/pdf_file/0005/446702/Use-of-home-based-records-for-children-in-the-countries-of-the-WHO-European-Region-eng.pdf</w:t>
        </w:r>
      </w:hyperlink>
    </w:p>
    <w:p w14:paraId="06B391C8" w14:textId="0D0F63C2" w:rsidR="002244B7" w:rsidRDefault="002244B7" w:rsidP="00DC1309">
      <w:pPr>
        <w:pStyle w:val="ListParagraph"/>
        <w:numPr>
          <w:ilvl w:val="0"/>
          <w:numId w:val="13"/>
        </w:numPr>
        <w:spacing w:line="480" w:lineRule="auto"/>
        <w:ind w:left="426" w:hanging="426"/>
      </w:pPr>
      <w:proofErr w:type="spellStart"/>
      <w:r w:rsidRPr="007C7C35">
        <w:t>Martakis</w:t>
      </w:r>
      <w:proofErr w:type="spellEnd"/>
      <w:r w:rsidRPr="007C7C35">
        <w:t xml:space="preserve"> K, Alexander D, </w:t>
      </w:r>
      <w:proofErr w:type="spellStart"/>
      <w:r w:rsidRPr="007C7C35">
        <w:t>Schloemer</w:t>
      </w:r>
      <w:proofErr w:type="spellEnd"/>
      <w:r w:rsidRPr="007C7C35">
        <w:t xml:space="preserve"> T, Blair M, Rigby M, </w:t>
      </w:r>
      <w:proofErr w:type="spellStart"/>
      <w:r w:rsidRPr="007C7C35">
        <w:t>Schröder-Bäck</w:t>
      </w:r>
      <w:proofErr w:type="spellEnd"/>
      <w:r w:rsidRPr="007C7C35">
        <w:t xml:space="preserve"> P</w:t>
      </w:r>
      <w:r>
        <w:t xml:space="preserve"> 2019). </w:t>
      </w:r>
      <w:r w:rsidRPr="00224191">
        <w:t>Human papillomavirus vaccination and respect for children's developing autonomy: Results from a European Union wide study</w:t>
      </w:r>
      <w:r>
        <w:t xml:space="preserve">; </w:t>
      </w:r>
      <w:r w:rsidRPr="00224191">
        <w:t>J Child Health Care. 2019 Sep;23(3):343-357</w:t>
      </w:r>
    </w:p>
    <w:p w14:paraId="2272C0DA" w14:textId="2A210ECB" w:rsidR="002244B7" w:rsidRPr="002244B7" w:rsidRDefault="002244B7" w:rsidP="00DC1309">
      <w:pPr>
        <w:pStyle w:val="ListParagraph"/>
        <w:numPr>
          <w:ilvl w:val="0"/>
          <w:numId w:val="13"/>
        </w:numPr>
        <w:spacing w:line="480" w:lineRule="auto"/>
        <w:ind w:left="426" w:hanging="426"/>
      </w:pPr>
      <w:r w:rsidRPr="000A1F55">
        <w:t>Grier S, Bryant CA</w:t>
      </w:r>
      <w:r>
        <w:t xml:space="preserve"> (2005)</w:t>
      </w:r>
      <w:r w:rsidRPr="000A1F55">
        <w:t>.</w:t>
      </w:r>
      <w:r>
        <w:t xml:space="preserve"> </w:t>
      </w:r>
      <w:r w:rsidRPr="000A1F55">
        <w:t>Social marketing in public health</w:t>
      </w:r>
      <w:r>
        <w:t xml:space="preserve">; </w:t>
      </w:r>
      <w:hyperlink r:id="rId28" w:tooltip="Annual review of public health." w:history="1">
        <w:proofErr w:type="spellStart"/>
        <w:r w:rsidRPr="00293A86">
          <w:rPr>
            <w:rStyle w:val="Hyperlink"/>
            <w:rFonts w:cstheme="minorHAnsi"/>
            <w:color w:val="2222CC"/>
            <w:szCs w:val="16"/>
          </w:rPr>
          <w:t>Annu</w:t>
        </w:r>
        <w:proofErr w:type="spellEnd"/>
        <w:r w:rsidRPr="00293A86">
          <w:rPr>
            <w:rStyle w:val="Hyperlink"/>
            <w:rFonts w:cstheme="minorHAnsi"/>
            <w:color w:val="2222CC"/>
            <w:szCs w:val="16"/>
          </w:rPr>
          <w:t xml:space="preserve"> Rev Public Health.</w:t>
        </w:r>
      </w:hyperlink>
      <w:r w:rsidRPr="00293A86">
        <w:rPr>
          <w:rFonts w:ascii="Arial" w:hAnsi="Arial" w:cs="Arial"/>
          <w:color w:val="000000"/>
          <w:sz w:val="28"/>
          <w:szCs w:val="20"/>
          <w:shd w:val="clear" w:color="auto" w:fill="FFFFFF"/>
        </w:rPr>
        <w:t xml:space="preserve"> </w:t>
      </w:r>
      <w:r w:rsidRPr="00293A86">
        <w:rPr>
          <w:rFonts w:cstheme="minorHAnsi"/>
          <w:color w:val="000000"/>
          <w:szCs w:val="20"/>
          <w:shd w:val="clear" w:color="auto" w:fill="FFFFFF"/>
        </w:rPr>
        <w:t>2005;26:319-39</w:t>
      </w:r>
    </w:p>
    <w:p w14:paraId="514147BA" w14:textId="2A44B02E" w:rsidR="002244B7" w:rsidRDefault="002244B7" w:rsidP="00DC1309">
      <w:pPr>
        <w:pStyle w:val="ListParagraph"/>
        <w:numPr>
          <w:ilvl w:val="0"/>
          <w:numId w:val="13"/>
        </w:numPr>
        <w:spacing w:line="480" w:lineRule="auto"/>
        <w:ind w:left="426" w:hanging="426"/>
      </w:pPr>
      <w:r>
        <w:t xml:space="preserve">Shams M. (2018) </w:t>
      </w:r>
      <w:r w:rsidRPr="000A1F55">
        <w:t>Social Marketing for Health: Theoretical and Conceptual Considerations</w:t>
      </w:r>
      <w:r>
        <w:t xml:space="preserve">; </w:t>
      </w:r>
      <w:hyperlink r:id="rId29" w:history="1">
        <w:r w:rsidRPr="008F49A4">
          <w:rPr>
            <w:rStyle w:val="Hyperlink"/>
          </w:rPr>
          <w:t>https://www.intechopen.com/books/selected-issues-in-global-health-communications/social-marketing-for-health-theoretical-and-conceptual-considerations</w:t>
        </w:r>
      </w:hyperlink>
      <w:r>
        <w:t xml:space="preserve"> (accessed 23 October 2019)</w:t>
      </w:r>
    </w:p>
    <w:p w14:paraId="282795AD" w14:textId="11DC14F9" w:rsidR="002244B7" w:rsidRDefault="002244B7" w:rsidP="00DC1309">
      <w:pPr>
        <w:pStyle w:val="ListParagraph"/>
        <w:numPr>
          <w:ilvl w:val="0"/>
          <w:numId w:val="13"/>
        </w:numPr>
        <w:spacing w:line="480" w:lineRule="auto"/>
        <w:ind w:left="426" w:hanging="426"/>
      </w:pPr>
      <w:proofErr w:type="spellStart"/>
      <w:r>
        <w:t>Eysenbach</w:t>
      </w:r>
      <w:proofErr w:type="spellEnd"/>
      <w:r>
        <w:t xml:space="preserve"> G (2008). </w:t>
      </w:r>
      <w:r w:rsidRPr="002A4FFB">
        <w:t xml:space="preserve">Medicine 2.0: social networking, collaboration, participation, </w:t>
      </w:r>
      <w:proofErr w:type="spellStart"/>
      <w:r w:rsidRPr="002A4FFB">
        <w:t>apomediation</w:t>
      </w:r>
      <w:proofErr w:type="spellEnd"/>
      <w:r w:rsidRPr="002A4FFB">
        <w:t>, and openness.</w:t>
      </w:r>
      <w:r>
        <w:t xml:space="preserve"> </w:t>
      </w:r>
      <w:r w:rsidRPr="002A4FFB">
        <w:t>J Med Internet Res. 2008 Aug 25;10(3):e22.</w:t>
      </w:r>
    </w:p>
    <w:p w14:paraId="431D5AAA" w14:textId="1B37A8E9" w:rsidR="002244B7" w:rsidRDefault="002244B7" w:rsidP="00DC1309">
      <w:pPr>
        <w:pStyle w:val="ListParagraph"/>
        <w:numPr>
          <w:ilvl w:val="0"/>
          <w:numId w:val="13"/>
        </w:numPr>
        <w:spacing w:line="480" w:lineRule="auto"/>
        <w:ind w:left="426" w:hanging="426"/>
      </w:pPr>
      <w:proofErr w:type="spellStart"/>
      <w:r>
        <w:t>VerywellHealth</w:t>
      </w:r>
      <w:proofErr w:type="spellEnd"/>
      <w:r>
        <w:t xml:space="preserve"> (2020). </w:t>
      </w:r>
      <w:proofErr w:type="spellStart"/>
      <w:r w:rsidRPr="002A4FFB">
        <w:t>Apomediation</w:t>
      </w:r>
      <w:proofErr w:type="spellEnd"/>
      <w:r w:rsidRPr="002A4FFB">
        <w:t xml:space="preserve"> and </w:t>
      </w:r>
      <w:proofErr w:type="spellStart"/>
      <w:r w:rsidRPr="002A4FFB">
        <w:t>Apomediary</w:t>
      </w:r>
      <w:proofErr w:type="spellEnd"/>
      <w:r w:rsidRPr="002A4FFB">
        <w:t xml:space="preserve"> in Healthcare</w:t>
      </w:r>
      <w:r>
        <w:t xml:space="preserve">; </w:t>
      </w:r>
      <w:hyperlink r:id="rId30" w:history="1">
        <w:r w:rsidRPr="008F49A4">
          <w:rPr>
            <w:rStyle w:val="Hyperlink"/>
          </w:rPr>
          <w:t>https://www.verywellhealth.com/apomediation-definition-2615145</w:t>
        </w:r>
      </w:hyperlink>
      <w:r>
        <w:t>; (accessed 25 September 2020)</w:t>
      </w:r>
    </w:p>
    <w:p w14:paraId="4157AF7D" w14:textId="46B0F0FF" w:rsidR="002244B7" w:rsidRDefault="002244B7" w:rsidP="00DC1309">
      <w:pPr>
        <w:pStyle w:val="ListParagraph"/>
        <w:numPr>
          <w:ilvl w:val="0"/>
          <w:numId w:val="13"/>
        </w:numPr>
        <w:spacing w:line="480" w:lineRule="auto"/>
        <w:ind w:left="426" w:hanging="426"/>
      </w:pPr>
      <w:r>
        <w:t xml:space="preserve">European Joint Action on Vaccination (2019). Home Page; </w:t>
      </w:r>
      <w:hyperlink r:id="rId31" w:history="1">
        <w:r w:rsidRPr="008F49A4">
          <w:rPr>
            <w:rStyle w:val="Hyperlink"/>
          </w:rPr>
          <w:t>https://eu-jav.com</w:t>
        </w:r>
      </w:hyperlink>
      <w:r>
        <w:t>; (accessed 25 September 2020)</w:t>
      </w:r>
    </w:p>
    <w:p w14:paraId="0D1A44E6" w14:textId="2BDA0DB0" w:rsidR="002244B7" w:rsidRDefault="002244B7" w:rsidP="00DC1309">
      <w:pPr>
        <w:pStyle w:val="ListParagraph"/>
        <w:numPr>
          <w:ilvl w:val="0"/>
          <w:numId w:val="13"/>
        </w:numPr>
        <w:spacing w:line="480" w:lineRule="auto"/>
        <w:ind w:left="426" w:hanging="426"/>
      </w:pPr>
      <w:proofErr w:type="spellStart"/>
      <w:r w:rsidRPr="0038505A">
        <w:lastRenderedPageBreak/>
        <w:t>Michalopoulos</w:t>
      </w:r>
      <w:proofErr w:type="spellEnd"/>
      <w:r>
        <w:t xml:space="preserve"> S (2019). </w:t>
      </w:r>
      <w:r w:rsidRPr="0038505A">
        <w:t>Expert: Complex vaccines ecosystem needs an EU-wide platform</w:t>
      </w:r>
      <w:r>
        <w:t xml:space="preserve">; </w:t>
      </w:r>
      <w:r w:rsidRPr="001D2ADC">
        <w:t>EURACTIV.com</w:t>
      </w:r>
      <w:r>
        <w:t xml:space="preserve">; </w:t>
      </w:r>
      <w:r>
        <w:rPr>
          <w:rStyle w:val="ea-dateformat"/>
          <w:rFonts w:ascii="&amp;quot" w:hAnsi="&amp;quot"/>
          <w:color w:val="333333"/>
          <w:sz w:val="21"/>
          <w:szCs w:val="21"/>
        </w:rPr>
        <w:t>9 Oct 2019</w:t>
      </w:r>
      <w:r>
        <w:rPr>
          <w:rFonts w:ascii="&amp;quot" w:hAnsi="&amp;quot"/>
          <w:color w:val="333333"/>
          <w:sz w:val="21"/>
          <w:szCs w:val="21"/>
        </w:rPr>
        <w:t xml:space="preserve"> (updated: </w:t>
      </w:r>
      <w:r>
        <w:rPr>
          <w:rStyle w:val="ea-dateformat"/>
          <w:rFonts w:ascii="&amp;quot" w:hAnsi="&amp;quot"/>
          <w:color w:val="333333"/>
          <w:sz w:val="21"/>
          <w:szCs w:val="21"/>
        </w:rPr>
        <w:t> 13 Oct 2019</w:t>
      </w:r>
      <w:r>
        <w:rPr>
          <w:rFonts w:ascii="&amp;quot" w:hAnsi="&amp;quot"/>
          <w:color w:val="333333"/>
          <w:sz w:val="21"/>
          <w:szCs w:val="21"/>
        </w:rPr>
        <w:t xml:space="preserve">), </w:t>
      </w:r>
      <w:r w:rsidRPr="001D2ADC">
        <w:t>https://www.euractiv.com/section/health-consumers/news/expert-complex-vaccines-ecosystem-needs-an-eu-wide-platform/</w:t>
      </w:r>
      <w:r>
        <w:t xml:space="preserve"> (accessed 23 October 2019)</w:t>
      </w:r>
    </w:p>
    <w:p w14:paraId="674BD6AD" w14:textId="184B2617" w:rsidR="002244B7" w:rsidRDefault="002244B7" w:rsidP="00DC1309">
      <w:pPr>
        <w:pStyle w:val="ListParagraph"/>
        <w:numPr>
          <w:ilvl w:val="0"/>
          <w:numId w:val="13"/>
        </w:numPr>
        <w:spacing w:line="480" w:lineRule="auto"/>
        <w:ind w:left="426" w:hanging="426"/>
      </w:pPr>
      <w:proofErr w:type="spellStart"/>
      <w:r>
        <w:t>Showell</w:t>
      </w:r>
      <w:proofErr w:type="spellEnd"/>
      <w:r>
        <w:t xml:space="preserve"> C, Turner C (2013). </w:t>
      </w:r>
      <w:r w:rsidRPr="00EF5F04">
        <w:t xml:space="preserve">The PLU problem: are we designing personal </w:t>
      </w:r>
      <w:proofErr w:type="spellStart"/>
      <w:r w:rsidRPr="00EF5F04">
        <w:t>ehealth</w:t>
      </w:r>
      <w:proofErr w:type="spellEnd"/>
      <w:r w:rsidRPr="00EF5F04">
        <w:t xml:space="preserve"> for People Like Us ?</w:t>
      </w:r>
      <w:r>
        <w:t xml:space="preserve">; </w:t>
      </w:r>
      <w:r w:rsidRPr="00EF5F04">
        <w:t xml:space="preserve">Stud Health </w:t>
      </w:r>
      <w:proofErr w:type="spellStart"/>
      <w:r w:rsidRPr="00EF5F04">
        <w:t>Technol</w:t>
      </w:r>
      <w:proofErr w:type="spellEnd"/>
      <w:r w:rsidRPr="00EF5F04">
        <w:t xml:space="preserve"> Inform. 2013;183:276-80.</w:t>
      </w:r>
    </w:p>
    <w:p w14:paraId="1600F9D4" w14:textId="17563190" w:rsidR="002244B7" w:rsidRDefault="002244B7" w:rsidP="00DC1309">
      <w:pPr>
        <w:pStyle w:val="ListParagraph"/>
        <w:numPr>
          <w:ilvl w:val="0"/>
          <w:numId w:val="13"/>
        </w:numPr>
        <w:spacing w:line="480" w:lineRule="auto"/>
        <w:ind w:left="426" w:hanging="426"/>
      </w:pPr>
      <w:proofErr w:type="spellStart"/>
      <w:r>
        <w:t>Showell</w:t>
      </w:r>
      <w:proofErr w:type="spellEnd"/>
      <w:r>
        <w:t xml:space="preserve"> C, Cummings E, Turner P (2017). The Invisibility of Disadvantage: Why Do We Not Notice?; in R. Randell </w:t>
      </w:r>
      <w:r w:rsidRPr="0063113E">
        <w:rPr>
          <w:i/>
        </w:rPr>
        <w:t>et al</w:t>
      </w:r>
      <w:r>
        <w:t xml:space="preserve">. (eds.) Informatics for Health: Connected Citizen-Led Wellness and Population Health; </w:t>
      </w:r>
      <w:r w:rsidRPr="0063113E">
        <w:t>IOS Press</w:t>
      </w:r>
      <w:r>
        <w:t>, Amsterdam, 2017.</w:t>
      </w:r>
    </w:p>
    <w:p w14:paraId="60B82E0A" w14:textId="0CEF9E2A" w:rsidR="002244B7" w:rsidRDefault="002244B7" w:rsidP="00DC1309">
      <w:pPr>
        <w:pStyle w:val="ListParagraph"/>
        <w:numPr>
          <w:ilvl w:val="0"/>
          <w:numId w:val="13"/>
        </w:numPr>
        <w:spacing w:line="480" w:lineRule="auto"/>
        <w:ind w:left="426" w:hanging="426"/>
      </w:pPr>
      <w:r w:rsidRPr="00770253">
        <w:t>von der Leyen</w:t>
      </w:r>
      <w:r>
        <w:t xml:space="preserve"> U (2019). A Union that strives for more - My agenda for Europe; </w:t>
      </w:r>
      <w:hyperlink r:id="rId32" w:history="1">
        <w:r w:rsidRPr="001D1CA8">
          <w:rPr>
            <w:rStyle w:val="Hyperlink"/>
          </w:rPr>
          <w:t>https://ec.europa.eu/commission/sites/beta-political/files/political-guidelines-next-commission_en.pdf</w:t>
        </w:r>
      </w:hyperlink>
      <w:r>
        <w:t xml:space="preserve"> (accessed 25 September 2020)</w:t>
      </w:r>
    </w:p>
    <w:p w14:paraId="0BC04097" w14:textId="77777777" w:rsidR="00746D5A" w:rsidRDefault="00746D5A" w:rsidP="00746D5A">
      <w:pPr>
        <w:pStyle w:val="ListParagraph"/>
        <w:numPr>
          <w:ilvl w:val="0"/>
          <w:numId w:val="13"/>
        </w:numPr>
        <w:spacing w:after="0" w:line="480" w:lineRule="auto"/>
      </w:pPr>
      <w:r w:rsidRPr="00AA6731">
        <w:t>Frazer</w:t>
      </w:r>
      <w:r>
        <w:t xml:space="preserve"> H</w:t>
      </w:r>
      <w:r w:rsidRPr="00AA6731">
        <w:t xml:space="preserve">, </w:t>
      </w:r>
      <w:proofErr w:type="spellStart"/>
      <w:r w:rsidRPr="00AA6731">
        <w:t>Guio</w:t>
      </w:r>
      <w:proofErr w:type="spellEnd"/>
      <w:r w:rsidRPr="00AA6731">
        <w:t xml:space="preserve"> </w:t>
      </w:r>
      <w:r>
        <w:t xml:space="preserve">A-C </w:t>
      </w:r>
      <w:r w:rsidRPr="00AA6731">
        <w:t>and Marlier</w:t>
      </w:r>
      <w:r>
        <w:t xml:space="preserve"> E (Editors) (2020). Feasibility Study for a Child Guarantee - </w:t>
      </w:r>
    </w:p>
    <w:p w14:paraId="697A984D" w14:textId="77777777" w:rsidR="00746D5A" w:rsidRDefault="00746D5A" w:rsidP="00746D5A">
      <w:pPr>
        <w:pStyle w:val="ListParagraph"/>
        <w:numPr>
          <w:ilvl w:val="0"/>
          <w:numId w:val="13"/>
        </w:numPr>
        <w:spacing w:after="0" w:line="480" w:lineRule="auto"/>
      </w:pPr>
      <w:r>
        <w:t xml:space="preserve">Intermediate Report; EU </w:t>
      </w:r>
      <w:r w:rsidRPr="00AA6731">
        <w:t>Directorate-General for Employment, Social Affairs and Inclusion</w:t>
      </w:r>
      <w:r>
        <w:t>, Brussels, 2020.</w:t>
      </w:r>
    </w:p>
    <w:p w14:paraId="5F935BBE" w14:textId="77777777" w:rsidR="002244B7" w:rsidRDefault="002244B7" w:rsidP="00DC1309">
      <w:pPr>
        <w:pStyle w:val="ListParagraph"/>
        <w:numPr>
          <w:ilvl w:val="0"/>
          <w:numId w:val="13"/>
        </w:numPr>
        <w:spacing w:line="480" w:lineRule="auto"/>
        <w:ind w:left="426" w:hanging="426"/>
      </w:pPr>
    </w:p>
    <w:sectPr w:rsidR="002244B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70CB" w14:textId="77777777" w:rsidR="00AE2947" w:rsidRDefault="00AE2947" w:rsidP="00AE2947">
      <w:pPr>
        <w:spacing w:after="0" w:line="240" w:lineRule="auto"/>
      </w:pPr>
      <w:r>
        <w:separator/>
      </w:r>
    </w:p>
  </w:endnote>
  <w:endnote w:type="continuationSeparator" w:id="0">
    <w:p w14:paraId="551EA978" w14:textId="77777777" w:rsidR="00AE2947" w:rsidRDefault="00AE2947" w:rsidP="00AE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9B32" w14:textId="77777777" w:rsidR="00AE2947" w:rsidRDefault="00AE2947" w:rsidP="00AE2947">
      <w:pPr>
        <w:spacing w:after="0" w:line="240" w:lineRule="auto"/>
      </w:pPr>
      <w:r>
        <w:separator/>
      </w:r>
    </w:p>
  </w:footnote>
  <w:footnote w:type="continuationSeparator" w:id="0">
    <w:p w14:paraId="1EF88823" w14:textId="77777777" w:rsidR="00AE2947" w:rsidRDefault="00AE2947" w:rsidP="00AE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FE2"/>
    <w:multiLevelType w:val="hybridMultilevel"/>
    <w:tmpl w:val="C0E46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60A34"/>
    <w:multiLevelType w:val="hybridMultilevel"/>
    <w:tmpl w:val="2D9E5C1C"/>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3A1D"/>
    <w:multiLevelType w:val="hybridMultilevel"/>
    <w:tmpl w:val="4AAC0330"/>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3A6"/>
    <w:multiLevelType w:val="hybridMultilevel"/>
    <w:tmpl w:val="E096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1049B"/>
    <w:multiLevelType w:val="hybridMultilevel"/>
    <w:tmpl w:val="97007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51F84"/>
    <w:multiLevelType w:val="hybridMultilevel"/>
    <w:tmpl w:val="54968A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97B81"/>
    <w:multiLevelType w:val="hybridMultilevel"/>
    <w:tmpl w:val="50A2D596"/>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D1C55"/>
    <w:multiLevelType w:val="hybridMultilevel"/>
    <w:tmpl w:val="EF7A9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276BE"/>
    <w:multiLevelType w:val="hybridMultilevel"/>
    <w:tmpl w:val="4B9E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10EE5"/>
    <w:multiLevelType w:val="hybridMultilevel"/>
    <w:tmpl w:val="31445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3B6C2F"/>
    <w:multiLevelType w:val="hybridMultilevel"/>
    <w:tmpl w:val="4C7CB742"/>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041E0"/>
    <w:multiLevelType w:val="hybridMultilevel"/>
    <w:tmpl w:val="F704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0735F"/>
    <w:multiLevelType w:val="hybridMultilevel"/>
    <w:tmpl w:val="9C0E4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4"/>
  </w:num>
  <w:num w:numId="5">
    <w:abstractNumId w:val="5"/>
  </w:num>
  <w:num w:numId="6">
    <w:abstractNumId w:val="11"/>
  </w:num>
  <w:num w:numId="7">
    <w:abstractNumId w:val="0"/>
  </w:num>
  <w:num w:numId="8">
    <w:abstractNumId w:val="9"/>
  </w:num>
  <w:num w:numId="9">
    <w:abstractNumId w:val="1"/>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2F"/>
    <w:rsid w:val="0003446D"/>
    <w:rsid w:val="000418D5"/>
    <w:rsid w:val="00042C26"/>
    <w:rsid w:val="0005376D"/>
    <w:rsid w:val="000552BC"/>
    <w:rsid w:val="00065C6E"/>
    <w:rsid w:val="00072837"/>
    <w:rsid w:val="00077489"/>
    <w:rsid w:val="000917BF"/>
    <w:rsid w:val="00097909"/>
    <w:rsid w:val="000A1F55"/>
    <w:rsid w:val="000A62CE"/>
    <w:rsid w:val="000B0228"/>
    <w:rsid w:val="000B31A3"/>
    <w:rsid w:val="000C6830"/>
    <w:rsid w:val="000C6F25"/>
    <w:rsid w:val="000D0554"/>
    <w:rsid w:val="000D0760"/>
    <w:rsid w:val="000D105D"/>
    <w:rsid w:val="000F5A68"/>
    <w:rsid w:val="001154D6"/>
    <w:rsid w:val="00121CAD"/>
    <w:rsid w:val="00125B62"/>
    <w:rsid w:val="00134EB8"/>
    <w:rsid w:val="001402EF"/>
    <w:rsid w:val="00154999"/>
    <w:rsid w:val="001566A5"/>
    <w:rsid w:val="0016195C"/>
    <w:rsid w:val="00184643"/>
    <w:rsid w:val="001937DB"/>
    <w:rsid w:val="001A39DB"/>
    <w:rsid w:val="001B5AC9"/>
    <w:rsid w:val="001C5D2F"/>
    <w:rsid w:val="001D2ADC"/>
    <w:rsid w:val="001E32AF"/>
    <w:rsid w:val="001F3563"/>
    <w:rsid w:val="002001B0"/>
    <w:rsid w:val="00210094"/>
    <w:rsid w:val="00212F00"/>
    <w:rsid w:val="00213986"/>
    <w:rsid w:val="00224191"/>
    <w:rsid w:val="002244B7"/>
    <w:rsid w:val="00227931"/>
    <w:rsid w:val="0023067A"/>
    <w:rsid w:val="00236D4F"/>
    <w:rsid w:val="00246BD9"/>
    <w:rsid w:val="00250A20"/>
    <w:rsid w:val="002616AD"/>
    <w:rsid w:val="002658A8"/>
    <w:rsid w:val="00266C73"/>
    <w:rsid w:val="002701DD"/>
    <w:rsid w:val="00290600"/>
    <w:rsid w:val="00293A86"/>
    <w:rsid w:val="00295771"/>
    <w:rsid w:val="0029791F"/>
    <w:rsid w:val="002A4FFB"/>
    <w:rsid w:val="002A6D2B"/>
    <w:rsid w:val="002B4044"/>
    <w:rsid w:val="002D1DC0"/>
    <w:rsid w:val="002D539A"/>
    <w:rsid w:val="002D5EB5"/>
    <w:rsid w:val="002E4FFC"/>
    <w:rsid w:val="002E6912"/>
    <w:rsid w:val="0030052B"/>
    <w:rsid w:val="00305318"/>
    <w:rsid w:val="00313349"/>
    <w:rsid w:val="00316328"/>
    <w:rsid w:val="0033475B"/>
    <w:rsid w:val="00337C8D"/>
    <w:rsid w:val="00350B84"/>
    <w:rsid w:val="003519FE"/>
    <w:rsid w:val="00355B34"/>
    <w:rsid w:val="003605C6"/>
    <w:rsid w:val="00362B0A"/>
    <w:rsid w:val="0036533B"/>
    <w:rsid w:val="003740D9"/>
    <w:rsid w:val="0038505A"/>
    <w:rsid w:val="003B1656"/>
    <w:rsid w:val="003B699F"/>
    <w:rsid w:val="003B6A77"/>
    <w:rsid w:val="003C3132"/>
    <w:rsid w:val="003C4FBE"/>
    <w:rsid w:val="003C51CE"/>
    <w:rsid w:val="003D394F"/>
    <w:rsid w:val="003D468F"/>
    <w:rsid w:val="003D6345"/>
    <w:rsid w:val="003E4737"/>
    <w:rsid w:val="003F01C5"/>
    <w:rsid w:val="00401BF7"/>
    <w:rsid w:val="004255C8"/>
    <w:rsid w:val="00425FD0"/>
    <w:rsid w:val="0043114C"/>
    <w:rsid w:val="00435C7F"/>
    <w:rsid w:val="00444750"/>
    <w:rsid w:val="00446DDE"/>
    <w:rsid w:val="004607F3"/>
    <w:rsid w:val="004B369A"/>
    <w:rsid w:val="004B4404"/>
    <w:rsid w:val="004B51F2"/>
    <w:rsid w:val="004D479C"/>
    <w:rsid w:val="005074FF"/>
    <w:rsid w:val="00510052"/>
    <w:rsid w:val="00511230"/>
    <w:rsid w:val="00516298"/>
    <w:rsid w:val="00541574"/>
    <w:rsid w:val="0054587B"/>
    <w:rsid w:val="00555C7D"/>
    <w:rsid w:val="00563CB4"/>
    <w:rsid w:val="005750DE"/>
    <w:rsid w:val="00575B3D"/>
    <w:rsid w:val="00585211"/>
    <w:rsid w:val="005854AB"/>
    <w:rsid w:val="0059419A"/>
    <w:rsid w:val="005A035B"/>
    <w:rsid w:val="005C0909"/>
    <w:rsid w:val="005C0DA2"/>
    <w:rsid w:val="005C7A96"/>
    <w:rsid w:val="005D370A"/>
    <w:rsid w:val="005D5318"/>
    <w:rsid w:val="005E1C54"/>
    <w:rsid w:val="005E7C94"/>
    <w:rsid w:val="005F5268"/>
    <w:rsid w:val="0060206D"/>
    <w:rsid w:val="00606742"/>
    <w:rsid w:val="0061034B"/>
    <w:rsid w:val="00616DEC"/>
    <w:rsid w:val="006214E7"/>
    <w:rsid w:val="0062699B"/>
    <w:rsid w:val="0063113E"/>
    <w:rsid w:val="00631224"/>
    <w:rsid w:val="00636723"/>
    <w:rsid w:val="006406F2"/>
    <w:rsid w:val="00642917"/>
    <w:rsid w:val="0064373D"/>
    <w:rsid w:val="00652985"/>
    <w:rsid w:val="0067640E"/>
    <w:rsid w:val="006852DE"/>
    <w:rsid w:val="00685FD4"/>
    <w:rsid w:val="00687400"/>
    <w:rsid w:val="006A49EB"/>
    <w:rsid w:val="006A652B"/>
    <w:rsid w:val="006B3014"/>
    <w:rsid w:val="006B33D8"/>
    <w:rsid w:val="006B4409"/>
    <w:rsid w:val="006D02B4"/>
    <w:rsid w:val="006D0905"/>
    <w:rsid w:val="006D51E0"/>
    <w:rsid w:val="006D603B"/>
    <w:rsid w:val="006E3E99"/>
    <w:rsid w:val="006F0D2E"/>
    <w:rsid w:val="0071157D"/>
    <w:rsid w:val="0072015B"/>
    <w:rsid w:val="007277AE"/>
    <w:rsid w:val="007318F8"/>
    <w:rsid w:val="00743D9E"/>
    <w:rsid w:val="00746D5A"/>
    <w:rsid w:val="00757B46"/>
    <w:rsid w:val="00757C6D"/>
    <w:rsid w:val="007611D8"/>
    <w:rsid w:val="00770253"/>
    <w:rsid w:val="00770364"/>
    <w:rsid w:val="00771DC4"/>
    <w:rsid w:val="00776FFD"/>
    <w:rsid w:val="007776D0"/>
    <w:rsid w:val="007852BE"/>
    <w:rsid w:val="007873F3"/>
    <w:rsid w:val="00787D99"/>
    <w:rsid w:val="007934C6"/>
    <w:rsid w:val="007B78DC"/>
    <w:rsid w:val="007C540D"/>
    <w:rsid w:val="007C7C35"/>
    <w:rsid w:val="007D09FE"/>
    <w:rsid w:val="007E5CCE"/>
    <w:rsid w:val="007E7233"/>
    <w:rsid w:val="007F5533"/>
    <w:rsid w:val="007F6327"/>
    <w:rsid w:val="007F752F"/>
    <w:rsid w:val="0080670B"/>
    <w:rsid w:val="00816A5C"/>
    <w:rsid w:val="00831C14"/>
    <w:rsid w:val="008423AA"/>
    <w:rsid w:val="008542B4"/>
    <w:rsid w:val="00872A3C"/>
    <w:rsid w:val="00883B26"/>
    <w:rsid w:val="00887178"/>
    <w:rsid w:val="008B07C3"/>
    <w:rsid w:val="008B0E6B"/>
    <w:rsid w:val="008B19A1"/>
    <w:rsid w:val="008B5E98"/>
    <w:rsid w:val="008B5F44"/>
    <w:rsid w:val="008C52C8"/>
    <w:rsid w:val="008D1202"/>
    <w:rsid w:val="008D6719"/>
    <w:rsid w:val="008E299D"/>
    <w:rsid w:val="008E4786"/>
    <w:rsid w:val="008E6F87"/>
    <w:rsid w:val="00915AC1"/>
    <w:rsid w:val="00921629"/>
    <w:rsid w:val="00921B76"/>
    <w:rsid w:val="00923E9A"/>
    <w:rsid w:val="00931158"/>
    <w:rsid w:val="00934DBF"/>
    <w:rsid w:val="00951748"/>
    <w:rsid w:val="00952C3A"/>
    <w:rsid w:val="00966CC0"/>
    <w:rsid w:val="0097654A"/>
    <w:rsid w:val="009B231D"/>
    <w:rsid w:val="009C1989"/>
    <w:rsid w:val="009C7E62"/>
    <w:rsid w:val="009F4592"/>
    <w:rsid w:val="009F581D"/>
    <w:rsid w:val="00A1740B"/>
    <w:rsid w:val="00A32C98"/>
    <w:rsid w:val="00A35DC6"/>
    <w:rsid w:val="00A37DD9"/>
    <w:rsid w:val="00A438BF"/>
    <w:rsid w:val="00A4511E"/>
    <w:rsid w:val="00A57203"/>
    <w:rsid w:val="00A60D9E"/>
    <w:rsid w:val="00A6328C"/>
    <w:rsid w:val="00A63F77"/>
    <w:rsid w:val="00A650EF"/>
    <w:rsid w:val="00A87A95"/>
    <w:rsid w:val="00A945DD"/>
    <w:rsid w:val="00A962CE"/>
    <w:rsid w:val="00AA61AD"/>
    <w:rsid w:val="00AA6731"/>
    <w:rsid w:val="00AB0FC7"/>
    <w:rsid w:val="00AB18AD"/>
    <w:rsid w:val="00AB3F61"/>
    <w:rsid w:val="00AB545B"/>
    <w:rsid w:val="00AD22A1"/>
    <w:rsid w:val="00AE2947"/>
    <w:rsid w:val="00AE4FDC"/>
    <w:rsid w:val="00B0310B"/>
    <w:rsid w:val="00B0354C"/>
    <w:rsid w:val="00B26860"/>
    <w:rsid w:val="00B275FF"/>
    <w:rsid w:val="00B27D27"/>
    <w:rsid w:val="00B33612"/>
    <w:rsid w:val="00B56B74"/>
    <w:rsid w:val="00B823C7"/>
    <w:rsid w:val="00B8793F"/>
    <w:rsid w:val="00B93AAB"/>
    <w:rsid w:val="00B93B9A"/>
    <w:rsid w:val="00B9419A"/>
    <w:rsid w:val="00BA1972"/>
    <w:rsid w:val="00BB11A3"/>
    <w:rsid w:val="00BB22D6"/>
    <w:rsid w:val="00BB3F91"/>
    <w:rsid w:val="00BC0C04"/>
    <w:rsid w:val="00BC6900"/>
    <w:rsid w:val="00BC6E77"/>
    <w:rsid w:val="00BD1279"/>
    <w:rsid w:val="00BD560B"/>
    <w:rsid w:val="00BE1E55"/>
    <w:rsid w:val="00BE2916"/>
    <w:rsid w:val="00BE38A4"/>
    <w:rsid w:val="00BE4BD4"/>
    <w:rsid w:val="00BE6505"/>
    <w:rsid w:val="00BE78BE"/>
    <w:rsid w:val="00BF669B"/>
    <w:rsid w:val="00C20645"/>
    <w:rsid w:val="00C218D2"/>
    <w:rsid w:val="00C22CC2"/>
    <w:rsid w:val="00C26047"/>
    <w:rsid w:val="00C27E88"/>
    <w:rsid w:val="00C32F0F"/>
    <w:rsid w:val="00C41DCC"/>
    <w:rsid w:val="00C51A69"/>
    <w:rsid w:val="00C5519D"/>
    <w:rsid w:val="00C62A30"/>
    <w:rsid w:val="00C645BD"/>
    <w:rsid w:val="00C72B4C"/>
    <w:rsid w:val="00C75288"/>
    <w:rsid w:val="00C77985"/>
    <w:rsid w:val="00C81268"/>
    <w:rsid w:val="00C8635A"/>
    <w:rsid w:val="00C952F3"/>
    <w:rsid w:val="00C9629B"/>
    <w:rsid w:val="00C963BE"/>
    <w:rsid w:val="00CA50F2"/>
    <w:rsid w:val="00CB1B9E"/>
    <w:rsid w:val="00CC3119"/>
    <w:rsid w:val="00CC7847"/>
    <w:rsid w:val="00CD437B"/>
    <w:rsid w:val="00CD4EA7"/>
    <w:rsid w:val="00CF0A32"/>
    <w:rsid w:val="00CF185A"/>
    <w:rsid w:val="00CF2208"/>
    <w:rsid w:val="00CF49A7"/>
    <w:rsid w:val="00D00A54"/>
    <w:rsid w:val="00D06EE2"/>
    <w:rsid w:val="00D0782E"/>
    <w:rsid w:val="00D10395"/>
    <w:rsid w:val="00D15213"/>
    <w:rsid w:val="00D27200"/>
    <w:rsid w:val="00D45329"/>
    <w:rsid w:val="00D45B78"/>
    <w:rsid w:val="00D4714C"/>
    <w:rsid w:val="00D64F4C"/>
    <w:rsid w:val="00D6513F"/>
    <w:rsid w:val="00D70F06"/>
    <w:rsid w:val="00D70FC8"/>
    <w:rsid w:val="00D71219"/>
    <w:rsid w:val="00D824F1"/>
    <w:rsid w:val="00D87574"/>
    <w:rsid w:val="00DA2D6E"/>
    <w:rsid w:val="00DA5B49"/>
    <w:rsid w:val="00DB6DDC"/>
    <w:rsid w:val="00DC1309"/>
    <w:rsid w:val="00DC3C80"/>
    <w:rsid w:val="00DD3088"/>
    <w:rsid w:val="00DE1E2C"/>
    <w:rsid w:val="00DE3B02"/>
    <w:rsid w:val="00E001A3"/>
    <w:rsid w:val="00E102EE"/>
    <w:rsid w:val="00E367E8"/>
    <w:rsid w:val="00E541AD"/>
    <w:rsid w:val="00E73972"/>
    <w:rsid w:val="00E85838"/>
    <w:rsid w:val="00E86721"/>
    <w:rsid w:val="00EB56D5"/>
    <w:rsid w:val="00EB5A73"/>
    <w:rsid w:val="00EC2985"/>
    <w:rsid w:val="00ED4E2B"/>
    <w:rsid w:val="00EE003B"/>
    <w:rsid w:val="00EE5FE4"/>
    <w:rsid w:val="00EE6D4E"/>
    <w:rsid w:val="00EF00E9"/>
    <w:rsid w:val="00EF024A"/>
    <w:rsid w:val="00EF12D3"/>
    <w:rsid w:val="00EF4317"/>
    <w:rsid w:val="00EF5F04"/>
    <w:rsid w:val="00F27B0E"/>
    <w:rsid w:val="00F331B5"/>
    <w:rsid w:val="00F33CAC"/>
    <w:rsid w:val="00F42180"/>
    <w:rsid w:val="00F53D1F"/>
    <w:rsid w:val="00F55D6A"/>
    <w:rsid w:val="00F71410"/>
    <w:rsid w:val="00F768A0"/>
    <w:rsid w:val="00F9298C"/>
    <w:rsid w:val="00FA0770"/>
    <w:rsid w:val="00FC153E"/>
    <w:rsid w:val="00FC2C58"/>
    <w:rsid w:val="00FC3F68"/>
    <w:rsid w:val="00FC4C4A"/>
    <w:rsid w:val="00FC5D67"/>
    <w:rsid w:val="00FD09C1"/>
    <w:rsid w:val="00FE4F0E"/>
    <w:rsid w:val="00FF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2D6E"/>
  <w15:chartTrackingRefBased/>
  <w15:docId w15:val="{606E7ED4-3E54-452B-9BA1-E9748B14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5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5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5F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D2F"/>
    <w:rPr>
      <w:b/>
      <w:bCs/>
    </w:rPr>
  </w:style>
  <w:style w:type="character" w:customStyle="1" w:styleId="Heading1Char">
    <w:name w:val="Heading 1 Char"/>
    <w:basedOn w:val="DefaultParagraphFont"/>
    <w:link w:val="Heading1"/>
    <w:uiPriority w:val="9"/>
    <w:rsid w:val="001C5D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C5D2F"/>
    <w:rPr>
      <w:color w:val="0563C1" w:themeColor="hyperlink"/>
      <w:u w:val="single"/>
    </w:rPr>
  </w:style>
  <w:style w:type="paragraph" w:styleId="ListParagraph">
    <w:name w:val="List Paragraph"/>
    <w:basedOn w:val="Normal"/>
    <w:uiPriority w:val="34"/>
    <w:qFormat/>
    <w:rsid w:val="001C5D2F"/>
    <w:pPr>
      <w:ind w:left="720"/>
      <w:contextualSpacing/>
    </w:pPr>
  </w:style>
  <w:style w:type="character" w:styleId="UnresolvedMention">
    <w:name w:val="Unresolved Mention"/>
    <w:basedOn w:val="DefaultParagraphFont"/>
    <w:uiPriority w:val="99"/>
    <w:semiHidden/>
    <w:unhideWhenUsed/>
    <w:rsid w:val="001C5D2F"/>
    <w:rPr>
      <w:color w:val="605E5C"/>
      <w:shd w:val="clear" w:color="auto" w:fill="E1DFDD"/>
    </w:rPr>
  </w:style>
  <w:style w:type="character" w:styleId="FollowedHyperlink">
    <w:name w:val="FollowedHyperlink"/>
    <w:basedOn w:val="DefaultParagraphFont"/>
    <w:uiPriority w:val="99"/>
    <w:semiHidden/>
    <w:unhideWhenUsed/>
    <w:rsid w:val="003D468F"/>
    <w:rPr>
      <w:color w:val="954F72" w:themeColor="followedHyperlink"/>
      <w:u w:val="single"/>
    </w:rPr>
  </w:style>
  <w:style w:type="character" w:customStyle="1" w:styleId="Heading2Char">
    <w:name w:val="Heading 2 Char"/>
    <w:basedOn w:val="DefaultParagraphFont"/>
    <w:link w:val="Heading2"/>
    <w:uiPriority w:val="9"/>
    <w:semiHidden/>
    <w:rsid w:val="00685F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85F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5FD4"/>
    <w:rPr>
      <w:rFonts w:asciiTheme="majorHAnsi" w:eastAsiaTheme="majorEastAsia" w:hAnsiTheme="majorHAnsi" w:cstheme="majorBidi"/>
      <w:i/>
      <w:iCs/>
      <w:color w:val="2F5496" w:themeColor="accent1" w:themeShade="BF"/>
    </w:rPr>
  </w:style>
  <w:style w:type="character" w:customStyle="1" w:styleId="ea-dateformat">
    <w:name w:val="ea-dateformat"/>
    <w:basedOn w:val="DefaultParagraphFont"/>
    <w:rsid w:val="001D2ADC"/>
  </w:style>
  <w:style w:type="paragraph" w:styleId="BalloonText">
    <w:name w:val="Balloon Text"/>
    <w:basedOn w:val="Normal"/>
    <w:link w:val="BalloonTextChar"/>
    <w:uiPriority w:val="99"/>
    <w:semiHidden/>
    <w:unhideWhenUsed/>
    <w:rsid w:val="00DA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6E"/>
    <w:rPr>
      <w:rFonts w:ascii="Segoe UI" w:hAnsi="Segoe UI" w:cs="Segoe UI"/>
      <w:sz w:val="18"/>
      <w:szCs w:val="18"/>
    </w:rPr>
  </w:style>
  <w:style w:type="paragraph" w:styleId="Header">
    <w:name w:val="header"/>
    <w:basedOn w:val="Normal"/>
    <w:link w:val="HeaderChar"/>
    <w:uiPriority w:val="99"/>
    <w:unhideWhenUsed/>
    <w:rsid w:val="00AE2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47"/>
  </w:style>
  <w:style w:type="paragraph" w:styleId="Footer">
    <w:name w:val="footer"/>
    <w:basedOn w:val="Normal"/>
    <w:link w:val="FooterChar"/>
    <w:uiPriority w:val="99"/>
    <w:unhideWhenUsed/>
    <w:rsid w:val="00AE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47"/>
  </w:style>
  <w:style w:type="paragraph" w:styleId="HTMLPreformatted">
    <w:name w:val="HTML Preformatted"/>
    <w:basedOn w:val="Normal"/>
    <w:link w:val="HTMLPreformattedChar"/>
    <w:uiPriority w:val="99"/>
    <w:semiHidden/>
    <w:unhideWhenUsed/>
    <w:rsid w:val="0026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66C73"/>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2001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1B0"/>
    <w:rPr>
      <w:sz w:val="20"/>
      <w:szCs w:val="20"/>
    </w:rPr>
  </w:style>
  <w:style w:type="character" w:styleId="EndnoteReference">
    <w:name w:val="endnote reference"/>
    <w:basedOn w:val="DefaultParagraphFont"/>
    <w:uiPriority w:val="99"/>
    <w:semiHidden/>
    <w:unhideWhenUsed/>
    <w:rsid w:val="00200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94689">
      <w:bodyDiv w:val="1"/>
      <w:marLeft w:val="0"/>
      <w:marRight w:val="0"/>
      <w:marTop w:val="0"/>
      <w:marBottom w:val="0"/>
      <w:divBdr>
        <w:top w:val="none" w:sz="0" w:space="0" w:color="auto"/>
        <w:left w:val="none" w:sz="0" w:space="0" w:color="auto"/>
        <w:bottom w:val="none" w:sz="0" w:space="0" w:color="auto"/>
        <w:right w:val="none" w:sz="0" w:space="0" w:color="auto"/>
      </w:divBdr>
      <w:divsChild>
        <w:div w:id="1342391560">
          <w:marLeft w:val="0"/>
          <w:marRight w:val="1"/>
          <w:marTop w:val="0"/>
          <w:marBottom w:val="0"/>
          <w:divBdr>
            <w:top w:val="none" w:sz="0" w:space="0" w:color="auto"/>
            <w:left w:val="none" w:sz="0" w:space="0" w:color="auto"/>
            <w:bottom w:val="none" w:sz="0" w:space="0" w:color="auto"/>
            <w:right w:val="none" w:sz="0" w:space="0" w:color="auto"/>
          </w:divBdr>
          <w:divsChild>
            <w:div w:id="1785466336">
              <w:marLeft w:val="0"/>
              <w:marRight w:val="0"/>
              <w:marTop w:val="0"/>
              <w:marBottom w:val="0"/>
              <w:divBdr>
                <w:top w:val="none" w:sz="0" w:space="0" w:color="auto"/>
                <w:left w:val="none" w:sz="0" w:space="0" w:color="auto"/>
                <w:bottom w:val="none" w:sz="0" w:space="0" w:color="auto"/>
                <w:right w:val="none" w:sz="0" w:space="0" w:color="auto"/>
              </w:divBdr>
              <w:divsChild>
                <w:div w:id="84692763">
                  <w:marLeft w:val="0"/>
                  <w:marRight w:val="0"/>
                  <w:marTop w:val="0"/>
                  <w:marBottom w:val="0"/>
                  <w:divBdr>
                    <w:top w:val="none" w:sz="0" w:space="0" w:color="auto"/>
                    <w:left w:val="none" w:sz="0" w:space="0" w:color="auto"/>
                    <w:bottom w:val="none" w:sz="0" w:space="0" w:color="auto"/>
                    <w:right w:val="none" w:sz="0" w:space="0" w:color="auto"/>
                  </w:divBdr>
                  <w:divsChild>
                    <w:div w:id="1025790415">
                      <w:marLeft w:val="0"/>
                      <w:marRight w:val="0"/>
                      <w:marTop w:val="120"/>
                      <w:marBottom w:val="360"/>
                      <w:divBdr>
                        <w:top w:val="none" w:sz="0" w:space="0" w:color="auto"/>
                        <w:left w:val="none" w:sz="0" w:space="0" w:color="auto"/>
                        <w:bottom w:val="none" w:sz="0" w:space="0" w:color="auto"/>
                        <w:right w:val="none" w:sz="0" w:space="0" w:color="auto"/>
                      </w:divBdr>
                      <w:divsChild>
                        <w:div w:id="1087269274">
                          <w:marLeft w:val="0"/>
                          <w:marRight w:val="0"/>
                          <w:marTop w:val="0"/>
                          <w:marBottom w:val="0"/>
                          <w:divBdr>
                            <w:top w:val="none" w:sz="0" w:space="0" w:color="auto"/>
                            <w:left w:val="none" w:sz="0" w:space="0" w:color="auto"/>
                            <w:bottom w:val="none" w:sz="0" w:space="0" w:color="auto"/>
                            <w:right w:val="none" w:sz="0" w:space="0" w:color="auto"/>
                          </w:divBdr>
                        </w:div>
                        <w:div w:id="1859192546">
                          <w:marLeft w:val="0"/>
                          <w:marRight w:val="0"/>
                          <w:marTop w:val="0"/>
                          <w:marBottom w:val="0"/>
                          <w:divBdr>
                            <w:top w:val="none" w:sz="0" w:space="0" w:color="auto"/>
                            <w:left w:val="none" w:sz="0" w:space="0" w:color="auto"/>
                            <w:bottom w:val="none" w:sz="0" w:space="0" w:color="auto"/>
                            <w:right w:val="none" w:sz="0" w:space="0" w:color="auto"/>
                          </w:divBdr>
                        </w:div>
                        <w:div w:id="1099905511">
                          <w:marLeft w:val="0"/>
                          <w:marRight w:val="0"/>
                          <w:marTop w:val="0"/>
                          <w:marBottom w:val="0"/>
                          <w:divBdr>
                            <w:top w:val="none" w:sz="0" w:space="0" w:color="auto"/>
                            <w:left w:val="none" w:sz="0" w:space="0" w:color="auto"/>
                            <w:bottom w:val="none" w:sz="0" w:space="0" w:color="auto"/>
                            <w:right w:val="none" w:sz="0" w:space="0" w:color="auto"/>
                          </w:divBdr>
                          <w:divsChild>
                            <w:div w:id="456484576">
                              <w:marLeft w:val="0"/>
                              <w:marRight w:val="0"/>
                              <w:marTop w:val="0"/>
                              <w:marBottom w:val="0"/>
                              <w:divBdr>
                                <w:top w:val="none" w:sz="0" w:space="0" w:color="auto"/>
                                <w:left w:val="none" w:sz="0" w:space="0" w:color="auto"/>
                                <w:bottom w:val="none" w:sz="0" w:space="0" w:color="auto"/>
                                <w:right w:val="none" w:sz="0" w:space="0" w:color="auto"/>
                              </w:divBdr>
                            </w:div>
                          </w:divsChild>
                        </w:div>
                        <w:div w:id="604927177">
                          <w:marLeft w:val="0"/>
                          <w:marRight w:val="0"/>
                          <w:marTop w:val="288"/>
                          <w:marBottom w:val="100"/>
                          <w:divBdr>
                            <w:top w:val="none" w:sz="0" w:space="0" w:color="auto"/>
                            <w:left w:val="none" w:sz="0" w:space="0" w:color="auto"/>
                            <w:bottom w:val="none" w:sz="0" w:space="0" w:color="auto"/>
                            <w:right w:val="none" w:sz="0" w:space="0" w:color="auto"/>
                          </w:divBdr>
                          <w:divsChild>
                            <w:div w:id="1716198273">
                              <w:marLeft w:val="0"/>
                              <w:marRight w:val="0"/>
                              <w:marTop w:val="0"/>
                              <w:marBottom w:val="0"/>
                              <w:divBdr>
                                <w:top w:val="none" w:sz="0" w:space="0" w:color="auto"/>
                                <w:left w:val="none" w:sz="0" w:space="0" w:color="auto"/>
                                <w:bottom w:val="none" w:sz="0" w:space="0" w:color="auto"/>
                                <w:right w:val="none" w:sz="0" w:space="0" w:color="auto"/>
                              </w:divBdr>
                            </w:div>
                          </w:divsChild>
                        </w:div>
                        <w:div w:id="753092829">
                          <w:marLeft w:val="0"/>
                          <w:marRight w:val="0"/>
                          <w:marTop w:val="288"/>
                          <w:marBottom w:val="100"/>
                          <w:divBdr>
                            <w:top w:val="none" w:sz="0" w:space="0" w:color="auto"/>
                            <w:left w:val="none" w:sz="0" w:space="0" w:color="auto"/>
                            <w:bottom w:val="none" w:sz="0" w:space="0" w:color="auto"/>
                            <w:right w:val="none" w:sz="0" w:space="0" w:color="auto"/>
                          </w:divBdr>
                          <w:divsChild>
                            <w:div w:id="2091651918">
                              <w:marLeft w:val="0"/>
                              <w:marRight w:val="0"/>
                              <w:marTop w:val="0"/>
                              <w:marBottom w:val="0"/>
                              <w:divBdr>
                                <w:top w:val="none" w:sz="0" w:space="0" w:color="auto"/>
                                <w:left w:val="none" w:sz="0" w:space="0" w:color="auto"/>
                                <w:bottom w:val="none" w:sz="0" w:space="0" w:color="auto"/>
                                <w:right w:val="none" w:sz="0" w:space="0" w:color="auto"/>
                              </w:divBdr>
                            </w:div>
                            <w:div w:id="502085355">
                              <w:marLeft w:val="0"/>
                              <w:marRight w:val="0"/>
                              <w:marTop w:val="0"/>
                              <w:marBottom w:val="0"/>
                              <w:divBdr>
                                <w:top w:val="none" w:sz="0" w:space="0" w:color="auto"/>
                                <w:left w:val="none" w:sz="0" w:space="0" w:color="auto"/>
                                <w:bottom w:val="none" w:sz="0" w:space="0" w:color="auto"/>
                                <w:right w:val="none" w:sz="0" w:space="0" w:color="auto"/>
                              </w:divBdr>
                            </w:div>
                            <w:div w:id="601374298">
                              <w:marLeft w:val="0"/>
                              <w:marRight w:val="0"/>
                              <w:marTop w:val="0"/>
                              <w:marBottom w:val="0"/>
                              <w:divBdr>
                                <w:top w:val="none" w:sz="0" w:space="0" w:color="auto"/>
                                <w:left w:val="none" w:sz="0" w:space="0" w:color="auto"/>
                                <w:bottom w:val="none" w:sz="0" w:space="0" w:color="auto"/>
                                <w:right w:val="none" w:sz="0" w:space="0" w:color="auto"/>
                              </w:divBdr>
                            </w:div>
                          </w:divsChild>
                        </w:div>
                        <w:div w:id="2020109837">
                          <w:marLeft w:val="0"/>
                          <w:marRight w:val="0"/>
                          <w:marTop w:val="0"/>
                          <w:marBottom w:val="0"/>
                          <w:divBdr>
                            <w:top w:val="none" w:sz="0" w:space="0" w:color="auto"/>
                            <w:left w:val="none" w:sz="0" w:space="0" w:color="auto"/>
                            <w:bottom w:val="none" w:sz="0" w:space="0" w:color="auto"/>
                            <w:right w:val="none" w:sz="0" w:space="0" w:color="auto"/>
                          </w:divBdr>
                          <w:divsChild>
                            <w:div w:id="1787305936">
                              <w:marLeft w:val="0"/>
                              <w:marRight w:val="0"/>
                              <w:marTop w:val="720"/>
                              <w:marBottom w:val="0"/>
                              <w:divBdr>
                                <w:top w:val="single" w:sz="6" w:space="0" w:color="DDDDDD"/>
                                <w:left w:val="none" w:sz="0" w:space="0" w:color="auto"/>
                                <w:bottom w:val="none" w:sz="0" w:space="0" w:color="auto"/>
                                <w:right w:val="none" w:sz="0" w:space="0" w:color="auto"/>
                              </w:divBdr>
                            </w:div>
                            <w:div w:id="1983196153">
                              <w:marLeft w:val="0"/>
                              <w:marRight w:val="0"/>
                              <w:marTop w:val="360"/>
                              <w:marBottom w:val="624"/>
                              <w:divBdr>
                                <w:top w:val="single" w:sz="6" w:space="0" w:color="DDDDDD"/>
                                <w:left w:val="none" w:sz="0" w:space="0" w:color="auto"/>
                                <w:bottom w:val="none" w:sz="0" w:space="0" w:color="auto"/>
                                <w:right w:val="none" w:sz="0" w:space="0" w:color="auto"/>
                              </w:divBdr>
                            </w:div>
                          </w:divsChild>
                        </w:div>
                      </w:divsChild>
                    </w:div>
                  </w:divsChild>
                </w:div>
              </w:divsChild>
            </w:div>
          </w:divsChild>
        </w:div>
        <w:div w:id="1566913137">
          <w:marLeft w:val="0"/>
          <w:marRight w:val="1"/>
          <w:marTop w:val="0"/>
          <w:marBottom w:val="0"/>
          <w:divBdr>
            <w:top w:val="none" w:sz="0" w:space="0" w:color="auto"/>
            <w:left w:val="none" w:sz="0" w:space="0" w:color="auto"/>
            <w:bottom w:val="none" w:sz="0" w:space="0" w:color="auto"/>
            <w:right w:val="none" w:sz="0" w:space="0" w:color="auto"/>
          </w:divBdr>
          <w:divsChild>
            <w:div w:id="1496651019">
              <w:marLeft w:val="0"/>
              <w:marRight w:val="0"/>
              <w:marTop w:val="0"/>
              <w:marBottom w:val="0"/>
              <w:divBdr>
                <w:top w:val="none" w:sz="0" w:space="0" w:color="auto"/>
                <w:left w:val="none" w:sz="0" w:space="0" w:color="auto"/>
                <w:bottom w:val="none" w:sz="0" w:space="0" w:color="auto"/>
                <w:right w:val="none" w:sz="0" w:space="0" w:color="auto"/>
              </w:divBdr>
              <w:divsChild>
                <w:div w:id="457383850">
                  <w:marLeft w:val="0"/>
                  <w:marRight w:val="0"/>
                  <w:marTop w:val="182"/>
                  <w:marBottom w:val="240"/>
                  <w:divBdr>
                    <w:top w:val="single" w:sz="36" w:space="6" w:color="97B0C8"/>
                    <w:left w:val="none" w:sz="0" w:space="0" w:color="auto"/>
                    <w:bottom w:val="none" w:sz="0" w:space="0" w:color="auto"/>
                    <w:right w:val="none" w:sz="0" w:space="0" w:color="auto"/>
                  </w:divBdr>
                  <w:divsChild>
                    <w:div w:id="643050486">
                      <w:marLeft w:val="0"/>
                      <w:marRight w:val="0"/>
                      <w:marTop w:val="0"/>
                      <w:marBottom w:val="110"/>
                      <w:divBdr>
                        <w:top w:val="none" w:sz="0" w:space="0" w:color="auto"/>
                        <w:left w:val="none" w:sz="0" w:space="0" w:color="auto"/>
                        <w:bottom w:val="none" w:sz="0" w:space="0" w:color="auto"/>
                        <w:right w:val="none" w:sz="0" w:space="0" w:color="auto"/>
                      </w:divBdr>
                      <w:divsChild>
                        <w:div w:id="19273744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90678">
      <w:bodyDiv w:val="1"/>
      <w:marLeft w:val="0"/>
      <w:marRight w:val="0"/>
      <w:marTop w:val="0"/>
      <w:marBottom w:val="0"/>
      <w:divBdr>
        <w:top w:val="none" w:sz="0" w:space="0" w:color="auto"/>
        <w:left w:val="none" w:sz="0" w:space="0" w:color="auto"/>
        <w:bottom w:val="none" w:sz="0" w:space="0" w:color="auto"/>
        <w:right w:val="none" w:sz="0" w:space="0" w:color="auto"/>
      </w:divBdr>
    </w:div>
    <w:div w:id="768621402">
      <w:bodyDiv w:val="1"/>
      <w:marLeft w:val="0"/>
      <w:marRight w:val="0"/>
      <w:marTop w:val="0"/>
      <w:marBottom w:val="0"/>
      <w:divBdr>
        <w:top w:val="none" w:sz="0" w:space="0" w:color="auto"/>
        <w:left w:val="none" w:sz="0" w:space="0" w:color="auto"/>
        <w:bottom w:val="none" w:sz="0" w:space="0" w:color="auto"/>
        <w:right w:val="none" w:sz="0" w:space="0" w:color="auto"/>
      </w:divBdr>
    </w:div>
    <w:div w:id="1006636510">
      <w:bodyDiv w:val="1"/>
      <w:marLeft w:val="0"/>
      <w:marRight w:val="0"/>
      <w:marTop w:val="0"/>
      <w:marBottom w:val="0"/>
      <w:divBdr>
        <w:top w:val="none" w:sz="0" w:space="0" w:color="auto"/>
        <w:left w:val="none" w:sz="0" w:space="0" w:color="auto"/>
        <w:bottom w:val="none" w:sz="0" w:space="0" w:color="auto"/>
        <w:right w:val="none" w:sz="0" w:space="0" w:color="auto"/>
      </w:divBdr>
    </w:div>
    <w:div w:id="11707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eraldinsight.com/doi/book/10.1108/9781789733518" TargetMode="External"/><Relationship Id="rId18" Type="http://schemas.openxmlformats.org/officeDocument/2006/relationships/hyperlink" Target="http://www.euro.who.int/__data/assets/pdf_file/0011/397145/52491-WHO-Tallin-report_v12.pdf" TargetMode="External"/><Relationship Id="rId26" Type="http://schemas.openxmlformats.org/officeDocument/2006/relationships/hyperlink" Target="https://etendering.ted.europa.eu/cft/cft-display.html?cftId=5156" TargetMode="External"/><Relationship Id="rId3" Type="http://schemas.openxmlformats.org/officeDocument/2006/relationships/styles" Target="styles.xml"/><Relationship Id="rId21" Type="http://schemas.openxmlformats.org/officeDocument/2006/relationships/hyperlink" Target="https://www.emerald.com/insight/content/doi/10.1108/978-1-78973-351-820191009/full/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healthservicemodels.eu/" TargetMode="External"/><Relationship Id="rId17" Type="http://schemas.openxmlformats.org/officeDocument/2006/relationships/hyperlink" Target="http://www.euro.who.int/__data/assets/pdf_file/0008/88613/E91438.pdf?ua=1" TargetMode="External"/><Relationship Id="rId25" Type="http://schemas.openxmlformats.org/officeDocument/2006/relationships/hyperlink" Target="https://eur-lex.europa.eu/legal-content/EN/TXT/PDF/?uri=CELEX:52018DC0244&amp;from=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who.int/__data/assets/pdf_file/0007/255679/WHO_EVAP_UK_v30_WEBx.pdf?ua=1" TargetMode="External"/><Relationship Id="rId20" Type="http://schemas.openxmlformats.org/officeDocument/2006/relationships/hyperlink" Target="http://www.childhealthservicemodels.eu/wp-content/uploads/22.11.18-Trillium-II-MOCHA-Stakeholder-meeting-report-v4.pdf" TargetMode="External"/><Relationship Id="rId29" Type="http://schemas.openxmlformats.org/officeDocument/2006/relationships/hyperlink" Target="https://www.intechopen.com/books/selected-issues-in-global-health-communications/social-marketing-for-health-theoretical-and-conceptual-consid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sites/health/files/vaccination/docs/10actions_en.pdf" TargetMode="External"/><Relationship Id="rId24" Type="http://schemas.openxmlformats.org/officeDocument/2006/relationships/hyperlink" Target="http://www.childhealthservicemodels.eu/wp-content/uploads/Deliverable-WP8-D13-Potential-Models-of-EHRs-v2-2.pdf" TargetMode="External"/><Relationship Id="rId32" Type="http://schemas.openxmlformats.org/officeDocument/2006/relationships/hyperlink" Target="https://ec.europa.eu/commission/sites/beta-political/files/political-guidelines-next-commission_en.pdf%20(accessed" TargetMode="External"/><Relationship Id="rId5" Type="http://schemas.openxmlformats.org/officeDocument/2006/relationships/webSettings" Target="webSettings.xml"/><Relationship Id="rId15" Type="http://schemas.openxmlformats.org/officeDocument/2006/relationships/hyperlink" Target="http://www.euro.who.int/__data/assets/pdf_file/0010/253729/64wd12e_InvestCAHstrategy_140440.pdf" TargetMode="External"/><Relationship Id="rId23" Type="http://schemas.openxmlformats.org/officeDocument/2006/relationships/hyperlink" Target="http://hl7.org/fhir/uv/ips/2018May/index.html" TargetMode="External"/><Relationship Id="rId28" Type="http://schemas.openxmlformats.org/officeDocument/2006/relationships/hyperlink" Target="https://www.ncbi.nlm.nih.gov/pubmed/15760292" TargetMode="External"/><Relationship Id="rId10" Type="http://schemas.openxmlformats.org/officeDocument/2006/relationships/hyperlink" Target="https://ec.europa.eu/health/vaccination/ev_20190912_en" TargetMode="External"/><Relationship Id="rId19" Type="http://schemas.openxmlformats.org/officeDocument/2006/relationships/hyperlink" Target="http://www.euro.who.int/__data/assets/pdf_file/0005/231692/e96929-replacement-CIHSD-Roadmap-171014b.pdf" TargetMode="External"/><Relationship Id="rId31" Type="http://schemas.openxmlformats.org/officeDocument/2006/relationships/hyperlink" Target="https://eu-jav.com" TargetMode="External"/><Relationship Id="rId4" Type="http://schemas.openxmlformats.org/officeDocument/2006/relationships/settings" Target="settings.xml"/><Relationship Id="rId9" Type="http://schemas.openxmlformats.org/officeDocument/2006/relationships/hyperlink" Target="https://gateway.euro.who.int/en/" TargetMode="External"/><Relationship Id="rId14" Type="http://schemas.openxmlformats.org/officeDocument/2006/relationships/hyperlink" Target="http://www.euro.who.int/__data/assets/pdf_file/0020/79400/E87710.pdf" TargetMode="External"/><Relationship Id="rId22" Type="http://schemas.openxmlformats.org/officeDocument/2006/relationships/hyperlink" Target="https://ec.europa.eu/health/expert_panel/sites/expertpanel/files/020_vaccinationpgms_en.pdf" TargetMode="External"/><Relationship Id="rId27" Type="http://schemas.openxmlformats.org/officeDocument/2006/relationships/hyperlink" Target="https://www.euro.who.int/__data/assets/pdf_file/0005/446702/Use-of-home-based-records-for-children-in-the-countries-of-the-WHO-European-Region-eng.pdf" TargetMode="External"/><Relationship Id="rId30" Type="http://schemas.openxmlformats.org/officeDocument/2006/relationships/hyperlink" Target="https://www.verywellhealth.com/apomediation-definition-2615145" TargetMode="External"/><Relationship Id="rId8" Type="http://schemas.openxmlformats.org/officeDocument/2006/relationships/hyperlink" Target="mailto:m.j.rigby@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494F-5D86-41CA-A207-130FC0F6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Michael Rigby</dc:creator>
  <cp:keywords/>
  <dc:description/>
  <cp:lastModifiedBy>ProfMRigby</cp:lastModifiedBy>
  <cp:revision>3</cp:revision>
  <dcterms:created xsi:type="dcterms:W3CDTF">2021-06-09T16:53:00Z</dcterms:created>
  <dcterms:modified xsi:type="dcterms:W3CDTF">2021-06-09T16:53:00Z</dcterms:modified>
</cp:coreProperties>
</file>