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928F" w14:textId="7E1D93CE" w:rsidR="006F77D6" w:rsidRPr="00226C37" w:rsidRDefault="006F77D6" w:rsidP="006F77D6">
      <w:pPr>
        <w:jc w:val="center"/>
        <w:rPr>
          <w:rFonts w:ascii="Times New Roman" w:hAnsi="Times New Roman" w:cs="Times New Roman"/>
          <w:b/>
          <w:bCs/>
        </w:rPr>
      </w:pPr>
      <w:r w:rsidRPr="00226C37">
        <w:rPr>
          <w:rFonts w:ascii="Times New Roman" w:hAnsi="Times New Roman" w:cs="Times New Roman"/>
          <w:b/>
          <w:bCs/>
        </w:rPr>
        <w:t xml:space="preserve">TO EVERYTHING THERE IS A SEASON: INSTRUMENTALISING ARTICLE 10 TEU TO EXCLUDE </w:t>
      </w:r>
      <w:r w:rsidR="001C79CD" w:rsidRPr="00226C37">
        <w:rPr>
          <w:rFonts w:ascii="Times New Roman" w:hAnsi="Times New Roman" w:cs="Times New Roman"/>
          <w:b/>
          <w:bCs/>
        </w:rPr>
        <w:t>UNDEMOCRATIC</w:t>
      </w:r>
      <w:r w:rsidRPr="00226C37">
        <w:rPr>
          <w:rFonts w:ascii="Times New Roman" w:hAnsi="Times New Roman" w:cs="Times New Roman"/>
          <w:b/>
          <w:bCs/>
        </w:rPr>
        <w:t xml:space="preserve"> MEMBER STATE </w:t>
      </w:r>
      <w:r w:rsidR="001B451A" w:rsidRPr="00226C37">
        <w:rPr>
          <w:rFonts w:ascii="Times New Roman" w:hAnsi="Times New Roman" w:cs="Times New Roman"/>
          <w:b/>
          <w:bCs/>
        </w:rPr>
        <w:t>REPRESENTATIVES</w:t>
      </w:r>
      <w:r w:rsidRPr="00226C37">
        <w:rPr>
          <w:rFonts w:ascii="Times New Roman" w:hAnsi="Times New Roman" w:cs="Times New Roman"/>
          <w:b/>
          <w:bCs/>
        </w:rPr>
        <w:t xml:space="preserve"> FROM THE EUROPEAN COUNCIL AND THE COUNCIL</w:t>
      </w:r>
    </w:p>
    <w:p w14:paraId="75243AA2" w14:textId="77777777" w:rsidR="006F77D6" w:rsidRPr="00226C37" w:rsidRDefault="006F77D6" w:rsidP="006F77D6">
      <w:pPr>
        <w:jc w:val="center"/>
        <w:rPr>
          <w:rFonts w:ascii="Times New Roman" w:hAnsi="Times New Roman" w:cs="Times New Roman"/>
          <w:b/>
          <w:bCs/>
        </w:rPr>
      </w:pPr>
    </w:p>
    <w:p w14:paraId="09EA4C05" w14:textId="7CD52538" w:rsidR="006F77D6" w:rsidRDefault="00226C37" w:rsidP="006F77D6">
      <w:pPr>
        <w:jc w:val="both"/>
        <w:rPr>
          <w:rFonts w:ascii="Times New Roman" w:hAnsi="Times New Roman" w:cs="Times New Roman"/>
          <w:b/>
          <w:bCs/>
        </w:rPr>
      </w:pPr>
      <w:r w:rsidRPr="00226C37">
        <w:rPr>
          <w:rFonts w:ascii="Times New Roman" w:hAnsi="Times New Roman" w:cs="Times New Roman"/>
          <w:b/>
          <w:bCs/>
        </w:rPr>
        <w:t>John Cotter</w:t>
      </w:r>
      <w:r w:rsidR="006F77D6" w:rsidRPr="0093427B">
        <w:rPr>
          <w:rStyle w:val="FootnoteReference"/>
          <w:rFonts w:ascii="Times New Roman" w:hAnsi="Times New Roman" w:cs="Times New Roman"/>
          <w:b/>
          <w:bCs/>
        </w:rPr>
        <w:footnoteReference w:customMarkFollows="1" w:id="1"/>
        <w:t>*</w:t>
      </w:r>
    </w:p>
    <w:p w14:paraId="1801C12B" w14:textId="02BBA487" w:rsidR="0093427B" w:rsidRPr="0093427B" w:rsidRDefault="0093427B" w:rsidP="006F77D6">
      <w:pPr>
        <w:jc w:val="both"/>
        <w:rPr>
          <w:rFonts w:ascii="Times New Roman" w:hAnsi="Times New Roman" w:cs="Times New Roman"/>
          <w:i/>
          <w:iCs/>
        </w:rPr>
      </w:pPr>
      <w:proofErr w:type="spellStart"/>
      <w:r>
        <w:rPr>
          <w:rFonts w:ascii="Times New Roman" w:hAnsi="Times New Roman" w:cs="Times New Roman"/>
          <w:i/>
          <w:iCs/>
        </w:rPr>
        <w:t>Keele</w:t>
      </w:r>
      <w:proofErr w:type="spellEnd"/>
      <w:r>
        <w:rPr>
          <w:rFonts w:ascii="Times New Roman" w:hAnsi="Times New Roman" w:cs="Times New Roman"/>
          <w:i/>
          <w:iCs/>
        </w:rPr>
        <w:t xml:space="preserve"> University</w:t>
      </w:r>
    </w:p>
    <w:p w14:paraId="7C731655" w14:textId="77777777" w:rsidR="006F77D6" w:rsidRPr="00226C37" w:rsidRDefault="006F77D6" w:rsidP="006F77D6">
      <w:pPr>
        <w:jc w:val="both"/>
        <w:rPr>
          <w:rFonts w:ascii="Times New Roman" w:hAnsi="Times New Roman" w:cs="Times New Roman"/>
        </w:rPr>
      </w:pPr>
    </w:p>
    <w:p w14:paraId="662CB5C2" w14:textId="77777777" w:rsidR="006F77D6" w:rsidRPr="00226C37" w:rsidRDefault="006F77D6" w:rsidP="006F77D6">
      <w:pPr>
        <w:jc w:val="both"/>
        <w:rPr>
          <w:rFonts w:ascii="Times New Roman" w:hAnsi="Times New Roman" w:cs="Times New Roman"/>
          <w:b/>
          <w:bCs/>
        </w:rPr>
      </w:pPr>
      <w:r w:rsidRPr="00226C37">
        <w:rPr>
          <w:rFonts w:ascii="Times New Roman" w:hAnsi="Times New Roman" w:cs="Times New Roman"/>
          <w:b/>
          <w:bCs/>
        </w:rPr>
        <w:t xml:space="preserve">Abstract </w:t>
      </w:r>
    </w:p>
    <w:p w14:paraId="5C45CF7B" w14:textId="77777777" w:rsidR="006F77D6" w:rsidRPr="00226C37" w:rsidRDefault="006F77D6" w:rsidP="006F77D6">
      <w:pPr>
        <w:jc w:val="both"/>
        <w:rPr>
          <w:rFonts w:ascii="Times New Roman" w:hAnsi="Times New Roman" w:cs="Times New Roman"/>
          <w:b/>
          <w:bCs/>
        </w:rPr>
      </w:pPr>
    </w:p>
    <w:p w14:paraId="7D35931F" w14:textId="019C5FC7" w:rsidR="006F77D6" w:rsidRPr="00226C37" w:rsidRDefault="006F77D6" w:rsidP="006F77D6">
      <w:pPr>
        <w:ind w:left="360"/>
        <w:jc w:val="both"/>
        <w:rPr>
          <w:rFonts w:ascii="Times New Roman" w:hAnsi="Times New Roman" w:cs="Times New Roman"/>
        </w:rPr>
      </w:pPr>
      <w:r w:rsidRPr="00226C37">
        <w:rPr>
          <w:rFonts w:ascii="Times New Roman" w:hAnsi="Times New Roman" w:cs="Times New Roman"/>
        </w:rPr>
        <w:t>This p</w:t>
      </w:r>
      <w:r w:rsidR="002D6B34" w:rsidRPr="00226C37">
        <w:rPr>
          <w:rFonts w:ascii="Times New Roman" w:hAnsi="Times New Roman" w:cs="Times New Roman"/>
        </w:rPr>
        <w:t>aper</w:t>
      </w:r>
      <w:r w:rsidRPr="00226C37">
        <w:rPr>
          <w:rFonts w:ascii="Times New Roman" w:hAnsi="Times New Roman" w:cs="Times New Roman"/>
        </w:rPr>
        <w:t xml:space="preserve"> presents the argument that </w:t>
      </w:r>
      <w:r w:rsidR="007B0F30">
        <w:rPr>
          <w:rFonts w:ascii="Times New Roman" w:hAnsi="Times New Roman" w:cs="Times New Roman"/>
        </w:rPr>
        <w:t xml:space="preserve">art. </w:t>
      </w:r>
      <w:r w:rsidRPr="00226C37">
        <w:rPr>
          <w:rFonts w:ascii="Times New Roman" w:hAnsi="Times New Roman" w:cs="Times New Roman"/>
        </w:rPr>
        <w:t xml:space="preserve">10 TEU could be utilised to confront the problem of </w:t>
      </w:r>
      <w:r w:rsidR="00020061" w:rsidRPr="00226C37">
        <w:rPr>
          <w:rFonts w:ascii="Times New Roman" w:hAnsi="Times New Roman" w:cs="Times New Roman"/>
        </w:rPr>
        <w:t>undemocratic</w:t>
      </w:r>
      <w:r w:rsidRPr="00226C37">
        <w:rPr>
          <w:rFonts w:ascii="Times New Roman" w:hAnsi="Times New Roman" w:cs="Times New Roman"/>
        </w:rPr>
        <w:t xml:space="preserve"> Member State </w:t>
      </w:r>
      <w:r w:rsidR="0093427B">
        <w:rPr>
          <w:rFonts w:ascii="Times New Roman" w:hAnsi="Times New Roman" w:cs="Times New Roman"/>
        </w:rPr>
        <w:t xml:space="preserve">representatives </w:t>
      </w:r>
      <w:r w:rsidRPr="00226C37">
        <w:rPr>
          <w:rFonts w:ascii="Times New Roman" w:hAnsi="Times New Roman" w:cs="Times New Roman"/>
        </w:rPr>
        <w:t xml:space="preserve">in the European Council and the Council. First, it is contended that </w:t>
      </w:r>
      <w:r w:rsidR="007B0F30">
        <w:rPr>
          <w:rFonts w:ascii="Times New Roman" w:hAnsi="Times New Roman" w:cs="Times New Roman"/>
        </w:rPr>
        <w:t>art.</w:t>
      </w:r>
      <w:r w:rsidRPr="00226C37">
        <w:rPr>
          <w:rFonts w:ascii="Times New Roman" w:hAnsi="Times New Roman" w:cs="Times New Roman"/>
        </w:rPr>
        <w:t xml:space="preserve"> 10(2) TEU, read with the principle of representative democracy in </w:t>
      </w:r>
      <w:r w:rsidR="007B0F30">
        <w:rPr>
          <w:rFonts w:ascii="Times New Roman" w:hAnsi="Times New Roman" w:cs="Times New Roman"/>
        </w:rPr>
        <w:t>art.</w:t>
      </w:r>
      <w:r w:rsidRPr="00226C37">
        <w:rPr>
          <w:rFonts w:ascii="Times New Roman" w:hAnsi="Times New Roman" w:cs="Times New Roman"/>
        </w:rPr>
        <w:t xml:space="preserve"> 10(1) TEU, should be interpreted operatively to mean that a Member State is not entitled to representation in the European Council or the Council where its Head of State</w:t>
      </w:r>
      <w:r w:rsidR="0093427B">
        <w:rPr>
          <w:rFonts w:ascii="Times New Roman" w:hAnsi="Times New Roman" w:cs="Times New Roman"/>
        </w:rPr>
        <w:t>/</w:t>
      </w:r>
      <w:r w:rsidRPr="00226C37">
        <w:rPr>
          <w:rFonts w:ascii="Times New Roman" w:hAnsi="Times New Roman" w:cs="Times New Roman"/>
        </w:rPr>
        <w:t xml:space="preserve">Government or its government are not “democratically accountable either to their national Parliaments, or their citizens”. Secondly, it is argued that </w:t>
      </w:r>
      <w:r w:rsidR="007B0F30">
        <w:rPr>
          <w:rFonts w:ascii="Times New Roman" w:hAnsi="Times New Roman" w:cs="Times New Roman"/>
        </w:rPr>
        <w:t>art.</w:t>
      </w:r>
      <w:r w:rsidRPr="00226C37">
        <w:rPr>
          <w:rFonts w:ascii="Times New Roman" w:hAnsi="Times New Roman" w:cs="Times New Roman"/>
        </w:rPr>
        <w:t xml:space="preserve"> 10 TEU can be instrumentalised using several procedural mechanisms,</w:t>
      </w:r>
      <w:r w:rsidR="0093427B">
        <w:rPr>
          <w:rFonts w:ascii="Times New Roman" w:hAnsi="Times New Roman" w:cs="Times New Roman"/>
        </w:rPr>
        <w:t xml:space="preserve"> </w:t>
      </w:r>
      <w:r w:rsidR="006413DA" w:rsidRPr="00226C37">
        <w:rPr>
          <w:rFonts w:ascii="Times New Roman" w:hAnsi="Times New Roman" w:cs="Times New Roman"/>
        </w:rPr>
        <w:t xml:space="preserve">some of </w:t>
      </w:r>
      <w:r w:rsidRPr="00226C37">
        <w:rPr>
          <w:rFonts w:ascii="Times New Roman" w:hAnsi="Times New Roman" w:cs="Times New Roman"/>
        </w:rPr>
        <w:t>which could be engaged by way of citizen action, thereby bypassing the decisional traps and lack of political will that</w:t>
      </w:r>
      <w:r w:rsidR="005671DE" w:rsidRPr="00226C37">
        <w:rPr>
          <w:rFonts w:ascii="Times New Roman" w:hAnsi="Times New Roman" w:cs="Times New Roman"/>
        </w:rPr>
        <w:t xml:space="preserve"> </w:t>
      </w:r>
      <w:r w:rsidRPr="00226C37">
        <w:rPr>
          <w:rFonts w:ascii="Times New Roman" w:hAnsi="Times New Roman" w:cs="Times New Roman"/>
        </w:rPr>
        <w:t xml:space="preserve">afflict </w:t>
      </w:r>
      <w:r w:rsidR="007B0F30">
        <w:rPr>
          <w:rFonts w:ascii="Times New Roman" w:hAnsi="Times New Roman" w:cs="Times New Roman"/>
        </w:rPr>
        <w:t>art.</w:t>
      </w:r>
      <w:r w:rsidRPr="00226C37">
        <w:rPr>
          <w:rFonts w:ascii="Times New Roman" w:hAnsi="Times New Roman" w:cs="Times New Roman"/>
        </w:rPr>
        <w:t xml:space="preserve"> 7 TEU, to contribute to the defence of the principle of representative democracy.</w:t>
      </w:r>
    </w:p>
    <w:p w14:paraId="0B5A0C9E" w14:textId="77777777" w:rsidR="006F77D6" w:rsidRPr="00226C37" w:rsidRDefault="006F77D6" w:rsidP="006F77D6">
      <w:pPr>
        <w:jc w:val="both"/>
        <w:rPr>
          <w:rFonts w:ascii="Times New Roman" w:hAnsi="Times New Roman" w:cs="Times New Roman"/>
          <w:b/>
          <w:bCs/>
        </w:rPr>
      </w:pPr>
    </w:p>
    <w:p w14:paraId="18A2C2B9" w14:textId="77777777" w:rsidR="006F77D6" w:rsidRPr="0093427B" w:rsidRDefault="006F77D6" w:rsidP="0093427B">
      <w:pPr>
        <w:jc w:val="both"/>
        <w:rPr>
          <w:rFonts w:ascii="Times New Roman" w:hAnsi="Times New Roman" w:cs="Times New Roman"/>
          <w:b/>
          <w:bCs/>
        </w:rPr>
      </w:pPr>
      <w:r w:rsidRPr="0093427B">
        <w:rPr>
          <w:rFonts w:ascii="Times New Roman" w:hAnsi="Times New Roman" w:cs="Times New Roman"/>
          <w:b/>
          <w:bCs/>
        </w:rPr>
        <w:t xml:space="preserve">Introduction </w:t>
      </w:r>
    </w:p>
    <w:p w14:paraId="3714E4F6" w14:textId="77777777" w:rsidR="006F77D6" w:rsidRPr="00226C37" w:rsidRDefault="006F77D6" w:rsidP="006F77D6">
      <w:pPr>
        <w:jc w:val="both"/>
        <w:rPr>
          <w:rFonts w:ascii="Times New Roman" w:hAnsi="Times New Roman" w:cs="Times New Roman"/>
          <w:b/>
          <w:bCs/>
        </w:rPr>
      </w:pPr>
    </w:p>
    <w:p w14:paraId="37A07C39" w14:textId="5D4D0705" w:rsidR="006F77D6" w:rsidRPr="00226C37" w:rsidRDefault="006F77D6" w:rsidP="006F77D6">
      <w:pPr>
        <w:jc w:val="both"/>
        <w:rPr>
          <w:rFonts w:ascii="Times New Roman" w:hAnsi="Times New Roman" w:cs="Times New Roman"/>
        </w:rPr>
      </w:pPr>
      <w:r w:rsidRPr="00226C37">
        <w:rPr>
          <w:rFonts w:ascii="Times New Roman" w:hAnsi="Times New Roman" w:cs="Times New Roman"/>
        </w:rPr>
        <w:t>In the past decade, a new dimension has opened in the EU democratic legitimacy enquiry. Whereas scholars once focussed primarily on the EU’s democracy at the international or supranational level,</w:t>
      </w:r>
      <w:r w:rsidRPr="00226C37">
        <w:rPr>
          <w:rStyle w:val="FootnoteReference"/>
          <w:rFonts w:ascii="Times New Roman" w:hAnsi="Times New Roman" w:cs="Times New Roman"/>
        </w:rPr>
        <w:footnoteReference w:id="2"/>
      </w:r>
      <w:r w:rsidRPr="00226C37">
        <w:rPr>
          <w:rFonts w:ascii="Times New Roman" w:hAnsi="Times New Roman" w:cs="Times New Roman"/>
        </w:rPr>
        <w:t xml:space="preserve"> the post-Lisbon era has seen a different source of concern emerge: the systematic dismantling of democracy in individual Member States.</w:t>
      </w:r>
      <w:r w:rsidRPr="00226C37">
        <w:rPr>
          <w:rStyle w:val="FootnoteReference"/>
          <w:rFonts w:ascii="Times New Roman" w:hAnsi="Times New Roman" w:cs="Times New Roman"/>
        </w:rPr>
        <w:footnoteReference w:id="3"/>
      </w:r>
      <w:r w:rsidRPr="00226C37">
        <w:rPr>
          <w:rFonts w:ascii="Times New Roman" w:hAnsi="Times New Roman" w:cs="Times New Roman"/>
        </w:rPr>
        <w:t xml:space="preserve"> Article 2 TEU provides that democracy is one of the </w:t>
      </w:r>
      <w:r w:rsidR="00A929CC" w:rsidRPr="00226C37">
        <w:rPr>
          <w:rFonts w:ascii="Times New Roman" w:hAnsi="Times New Roman" w:cs="Times New Roman"/>
        </w:rPr>
        <w:t xml:space="preserve">EU’s </w:t>
      </w:r>
      <w:r w:rsidRPr="00226C37">
        <w:rPr>
          <w:rFonts w:ascii="Times New Roman" w:hAnsi="Times New Roman" w:cs="Times New Roman"/>
        </w:rPr>
        <w:t xml:space="preserve">founding values. Article 10(1) TEU asserts that the “[t]he </w:t>
      </w:r>
      <w:proofErr w:type="gramStart"/>
      <w:r w:rsidRPr="00226C37">
        <w:rPr>
          <w:rFonts w:ascii="Times New Roman" w:hAnsi="Times New Roman" w:cs="Times New Roman"/>
        </w:rPr>
        <w:t>functioning</w:t>
      </w:r>
      <w:proofErr w:type="gramEnd"/>
      <w:r w:rsidRPr="00226C37">
        <w:rPr>
          <w:rFonts w:ascii="Times New Roman" w:hAnsi="Times New Roman" w:cs="Times New Roman"/>
        </w:rPr>
        <w:t xml:space="preserve"> of the Union shall be founded on representative democracy.” Article 10(2) TEU </w:t>
      </w:r>
      <w:r w:rsidR="00BE38EE" w:rsidRPr="00226C37">
        <w:rPr>
          <w:rFonts w:ascii="Times New Roman" w:hAnsi="Times New Roman" w:cs="Times New Roman"/>
        </w:rPr>
        <w:t>provides</w:t>
      </w:r>
      <w:r w:rsidRPr="00226C37">
        <w:rPr>
          <w:rFonts w:ascii="Times New Roman" w:hAnsi="Times New Roman" w:cs="Times New Roman"/>
        </w:rPr>
        <w:t xml:space="preserve"> a dual institutional basis for the EU’s representative democracy: at Union level, citizens are directly represented in the European Parliament, while the Member States are represented in the European Council by their Heads of State or Government and in the Council by their governments. </w:t>
      </w:r>
    </w:p>
    <w:p w14:paraId="22CA5BCB" w14:textId="77777777" w:rsidR="006F77D6" w:rsidRPr="00226C37" w:rsidRDefault="006F77D6" w:rsidP="006F77D6">
      <w:pPr>
        <w:jc w:val="both"/>
        <w:rPr>
          <w:rFonts w:ascii="Times New Roman" w:hAnsi="Times New Roman" w:cs="Times New Roman"/>
        </w:rPr>
      </w:pPr>
    </w:p>
    <w:p w14:paraId="4830405B" w14:textId="55BC8467" w:rsidR="006F77D6" w:rsidRPr="00226C37" w:rsidRDefault="006F77D6" w:rsidP="006F77D6">
      <w:pPr>
        <w:jc w:val="both"/>
        <w:rPr>
          <w:rFonts w:ascii="Times New Roman" w:hAnsi="Times New Roman" w:cs="Times New Roman"/>
        </w:rPr>
      </w:pPr>
      <w:r w:rsidRPr="00226C37">
        <w:rPr>
          <w:rFonts w:ascii="Times New Roman" w:hAnsi="Times New Roman" w:cs="Times New Roman"/>
        </w:rPr>
        <w:t>The multi-level</w:t>
      </w:r>
      <w:bookmarkStart w:id="0" w:name="_Ref68768495"/>
      <w:r w:rsidRPr="00226C37">
        <w:rPr>
          <w:rStyle w:val="FootnoteReference"/>
          <w:rFonts w:ascii="Times New Roman" w:hAnsi="Times New Roman" w:cs="Times New Roman"/>
        </w:rPr>
        <w:footnoteReference w:id="4"/>
      </w:r>
      <w:bookmarkEnd w:id="0"/>
      <w:r w:rsidRPr="00226C37">
        <w:rPr>
          <w:rFonts w:ascii="Times New Roman" w:hAnsi="Times New Roman" w:cs="Times New Roman"/>
        </w:rPr>
        <w:t xml:space="preserve"> or intertwined</w:t>
      </w:r>
      <w:bookmarkStart w:id="2" w:name="_Ref67924316"/>
      <w:r w:rsidRPr="00226C37">
        <w:rPr>
          <w:rStyle w:val="FootnoteReference"/>
          <w:rFonts w:ascii="Times New Roman" w:hAnsi="Times New Roman" w:cs="Times New Roman"/>
        </w:rPr>
        <w:footnoteReference w:id="5"/>
      </w:r>
      <w:bookmarkEnd w:id="2"/>
      <w:r w:rsidRPr="00226C37">
        <w:rPr>
          <w:rFonts w:ascii="Times New Roman" w:hAnsi="Times New Roman" w:cs="Times New Roman"/>
        </w:rPr>
        <w:t xml:space="preserve"> nature of the EU’s democratic </w:t>
      </w:r>
      <w:r w:rsidR="00A929CC" w:rsidRPr="00226C37">
        <w:rPr>
          <w:rFonts w:ascii="Times New Roman" w:hAnsi="Times New Roman" w:cs="Times New Roman"/>
        </w:rPr>
        <w:t xml:space="preserve">design </w:t>
      </w:r>
      <w:r w:rsidRPr="00226C37">
        <w:rPr>
          <w:rFonts w:ascii="Times New Roman" w:hAnsi="Times New Roman" w:cs="Times New Roman"/>
        </w:rPr>
        <w:t xml:space="preserve">means that the democratic legitimacy of the European Council and the Council is linked inextricably to the health of Member State democracies. This much is evident from the second </w:t>
      </w:r>
      <w:r w:rsidR="00A929CC" w:rsidRPr="00226C37">
        <w:rPr>
          <w:rFonts w:ascii="Times New Roman" w:hAnsi="Times New Roman" w:cs="Times New Roman"/>
        </w:rPr>
        <w:t>sentence</w:t>
      </w:r>
      <w:r w:rsidRPr="00226C37">
        <w:rPr>
          <w:rFonts w:ascii="Times New Roman" w:hAnsi="Times New Roman" w:cs="Times New Roman"/>
        </w:rPr>
        <w:t xml:space="preserve"> of </w:t>
      </w:r>
      <w:r w:rsidR="007B0F30">
        <w:rPr>
          <w:rFonts w:ascii="Times New Roman" w:hAnsi="Times New Roman" w:cs="Times New Roman"/>
        </w:rPr>
        <w:t>art.</w:t>
      </w:r>
      <w:r w:rsidRPr="00226C37">
        <w:rPr>
          <w:rFonts w:ascii="Times New Roman" w:hAnsi="Times New Roman" w:cs="Times New Roman"/>
        </w:rPr>
        <w:t xml:space="preserve"> 10(2) TEU, which provides that Member States’ representatives in the European Council or the Council are “themselves democratically accountable either to their national Parliaments, or to their citizens”.</w:t>
      </w:r>
      <w:r w:rsidRPr="00226C37">
        <w:rPr>
          <w:rStyle w:val="FootnoteReference"/>
          <w:rFonts w:ascii="Times New Roman" w:hAnsi="Times New Roman" w:cs="Times New Roman"/>
        </w:rPr>
        <w:footnoteReference w:id="6"/>
      </w:r>
      <w:r w:rsidRPr="00226C37">
        <w:rPr>
          <w:rFonts w:ascii="Times New Roman" w:hAnsi="Times New Roman" w:cs="Times New Roman"/>
        </w:rPr>
        <w:t xml:space="preserve"> An </w:t>
      </w:r>
      <w:r w:rsidR="00707C3C" w:rsidRPr="00226C37">
        <w:rPr>
          <w:rFonts w:ascii="Times New Roman" w:hAnsi="Times New Roman" w:cs="Times New Roman"/>
        </w:rPr>
        <w:t>undemocratic</w:t>
      </w:r>
      <w:r w:rsidRPr="00226C37">
        <w:rPr>
          <w:rFonts w:ascii="Times New Roman" w:hAnsi="Times New Roman" w:cs="Times New Roman"/>
        </w:rPr>
        <w:t xml:space="preserve"> EU Member State government is not, therefore, a purely national matter; the presence of such a government in the </w:t>
      </w:r>
      <w:r w:rsidRPr="00226C37">
        <w:rPr>
          <w:rFonts w:ascii="Times New Roman" w:hAnsi="Times New Roman" w:cs="Times New Roman"/>
        </w:rPr>
        <w:lastRenderedPageBreak/>
        <w:t>EU’s institutions has profound consequences for the EU’s democracy. Given that the default voting rule in the Council, one of the EU’s two co-legislators, is qualified majority voting and a blocking minority can, in some cases, consist of only four Member States,</w:t>
      </w:r>
      <w:r w:rsidRPr="00226C37">
        <w:rPr>
          <w:rStyle w:val="FootnoteReference"/>
          <w:rFonts w:ascii="Times New Roman" w:hAnsi="Times New Roman" w:cs="Times New Roman"/>
        </w:rPr>
        <w:footnoteReference w:id="7"/>
      </w:r>
      <w:r w:rsidRPr="00226C37">
        <w:rPr>
          <w:rFonts w:ascii="Times New Roman" w:hAnsi="Times New Roman" w:cs="Times New Roman"/>
        </w:rPr>
        <w:t xml:space="preserve"> there is the potential for just one </w:t>
      </w:r>
      <w:r w:rsidR="00A96D72" w:rsidRPr="00226C37">
        <w:rPr>
          <w:rFonts w:ascii="Times New Roman" w:hAnsi="Times New Roman" w:cs="Times New Roman"/>
        </w:rPr>
        <w:t>undemocratic</w:t>
      </w:r>
      <w:r w:rsidRPr="00226C37">
        <w:rPr>
          <w:rFonts w:ascii="Times New Roman" w:hAnsi="Times New Roman" w:cs="Times New Roman"/>
        </w:rPr>
        <w:t xml:space="preserve"> Member State government to hold a deciding vote on laws with application to hundreds of millions of people. This observation obviously applies </w:t>
      </w:r>
      <w:r w:rsidRPr="00226C37">
        <w:rPr>
          <w:rFonts w:ascii="Times New Roman" w:hAnsi="Times New Roman" w:cs="Times New Roman"/>
          <w:i/>
          <w:iCs/>
        </w:rPr>
        <w:t>a fortiori</w:t>
      </w:r>
      <w:r w:rsidRPr="00226C37">
        <w:rPr>
          <w:rFonts w:ascii="Times New Roman" w:hAnsi="Times New Roman" w:cs="Times New Roman"/>
        </w:rPr>
        <w:t xml:space="preserve"> to policy areas in which unanimity is the voting rule in Council</w:t>
      </w:r>
      <w:r w:rsidR="00650529" w:rsidRPr="00226C37">
        <w:rPr>
          <w:rFonts w:ascii="Times New Roman" w:hAnsi="Times New Roman" w:cs="Times New Roman"/>
        </w:rPr>
        <w:t>,</w:t>
      </w:r>
      <w:r w:rsidRPr="00226C37">
        <w:rPr>
          <w:rFonts w:ascii="Times New Roman" w:hAnsi="Times New Roman" w:cs="Times New Roman"/>
        </w:rPr>
        <w:t xml:space="preserve"> and to the European Council</w:t>
      </w:r>
      <w:r w:rsidR="00A96D72" w:rsidRPr="00226C37">
        <w:rPr>
          <w:rFonts w:ascii="Times New Roman" w:hAnsi="Times New Roman" w:cs="Times New Roman"/>
        </w:rPr>
        <w:t>,</w:t>
      </w:r>
      <w:r w:rsidRPr="00226C37">
        <w:rPr>
          <w:rFonts w:ascii="Times New Roman" w:hAnsi="Times New Roman" w:cs="Times New Roman"/>
        </w:rPr>
        <w:t xml:space="preserve"> in which consensus in the default voting rule.</w:t>
      </w:r>
      <w:r w:rsidRPr="00226C37">
        <w:rPr>
          <w:rStyle w:val="FootnoteReference"/>
          <w:rFonts w:ascii="Times New Roman" w:hAnsi="Times New Roman" w:cs="Times New Roman"/>
        </w:rPr>
        <w:footnoteReference w:id="8"/>
      </w:r>
      <w:r w:rsidRPr="00226C37">
        <w:rPr>
          <w:rFonts w:ascii="Times New Roman" w:hAnsi="Times New Roman" w:cs="Times New Roman"/>
        </w:rPr>
        <w:t xml:space="preserve"> There may even be scope to argue that the democratic legitimacy of the Council is of more consequence than the contribution made by the European Parliament.</w:t>
      </w:r>
      <w:r w:rsidRPr="00226C37">
        <w:rPr>
          <w:rStyle w:val="FootnoteReference"/>
          <w:rFonts w:ascii="Times New Roman" w:hAnsi="Times New Roman" w:cs="Times New Roman"/>
        </w:rPr>
        <w:footnoteReference w:id="9"/>
      </w:r>
      <w:r w:rsidRPr="00226C37">
        <w:rPr>
          <w:rFonts w:ascii="Times New Roman" w:hAnsi="Times New Roman" w:cs="Times New Roman"/>
        </w:rPr>
        <w:t xml:space="preserve"> </w:t>
      </w:r>
    </w:p>
    <w:p w14:paraId="7E21B314" w14:textId="77777777" w:rsidR="006F77D6" w:rsidRPr="00226C37" w:rsidRDefault="006F77D6" w:rsidP="006F77D6">
      <w:pPr>
        <w:jc w:val="both"/>
        <w:rPr>
          <w:rFonts w:ascii="Times New Roman" w:hAnsi="Times New Roman" w:cs="Times New Roman"/>
        </w:rPr>
      </w:pPr>
    </w:p>
    <w:p w14:paraId="6DE0062A" w14:textId="7E31D06B" w:rsidR="006F77D6" w:rsidRPr="00226C37" w:rsidRDefault="006F77D6" w:rsidP="006F77D6">
      <w:pPr>
        <w:jc w:val="both"/>
        <w:rPr>
          <w:rFonts w:ascii="Times New Roman" w:hAnsi="Times New Roman" w:cs="Times New Roman"/>
        </w:rPr>
      </w:pPr>
      <w:r w:rsidRPr="00226C37">
        <w:rPr>
          <w:rFonts w:ascii="Times New Roman" w:hAnsi="Times New Roman" w:cs="Times New Roman"/>
        </w:rPr>
        <w:t>This p</w:t>
      </w:r>
      <w:r w:rsidR="002D6B34" w:rsidRPr="00226C37">
        <w:rPr>
          <w:rFonts w:ascii="Times New Roman" w:hAnsi="Times New Roman" w:cs="Times New Roman"/>
        </w:rPr>
        <w:t>aper</w:t>
      </w:r>
      <w:r w:rsidRPr="00226C37">
        <w:rPr>
          <w:rFonts w:ascii="Times New Roman" w:hAnsi="Times New Roman" w:cs="Times New Roman"/>
        </w:rPr>
        <w:t xml:space="preserve"> focuses on how the EU’s legal system can respond when a Member States government is no longer democratically accountable to its national parliament or its citizens within the meaning of </w:t>
      </w:r>
      <w:r w:rsidR="007B0F30">
        <w:rPr>
          <w:rFonts w:ascii="Times New Roman" w:hAnsi="Times New Roman" w:cs="Times New Roman"/>
        </w:rPr>
        <w:t>art.</w:t>
      </w:r>
      <w:r w:rsidRPr="00226C37">
        <w:rPr>
          <w:rFonts w:ascii="Times New Roman" w:hAnsi="Times New Roman" w:cs="Times New Roman"/>
        </w:rPr>
        <w:t xml:space="preserve"> 10(2) TEU. The focus is not Member State ‘democratic backsliding’</w:t>
      </w:r>
      <w:r w:rsidR="00A96D72" w:rsidRPr="00226C37">
        <w:rPr>
          <w:rFonts w:ascii="Times New Roman" w:hAnsi="Times New Roman" w:cs="Times New Roman"/>
        </w:rPr>
        <w:t xml:space="preserve"> </w:t>
      </w:r>
      <w:r w:rsidRPr="00226C37">
        <w:rPr>
          <w:rFonts w:ascii="Times New Roman" w:hAnsi="Times New Roman" w:cs="Times New Roman"/>
        </w:rPr>
        <w:t xml:space="preserve">or what can be done to arrest it while it is in train. </w:t>
      </w:r>
      <w:r w:rsidR="00F13811" w:rsidRPr="00226C37">
        <w:rPr>
          <w:rFonts w:ascii="Times New Roman" w:hAnsi="Times New Roman" w:cs="Times New Roman"/>
        </w:rPr>
        <w:t xml:space="preserve">Moreover, this paper does not </w:t>
      </w:r>
      <w:r w:rsidR="00132A17" w:rsidRPr="00226C37">
        <w:rPr>
          <w:rFonts w:ascii="Times New Roman" w:hAnsi="Times New Roman" w:cs="Times New Roman"/>
        </w:rPr>
        <w:t xml:space="preserve">seek to define precisely what democratic accountability </w:t>
      </w:r>
      <w:r w:rsidR="00241529" w:rsidRPr="00226C37">
        <w:rPr>
          <w:rFonts w:ascii="Times New Roman" w:hAnsi="Times New Roman" w:cs="Times New Roman"/>
        </w:rPr>
        <w:t xml:space="preserve">in the context of </w:t>
      </w:r>
      <w:r w:rsidR="007B0F30">
        <w:rPr>
          <w:rFonts w:ascii="Times New Roman" w:hAnsi="Times New Roman" w:cs="Times New Roman"/>
        </w:rPr>
        <w:t>art.</w:t>
      </w:r>
      <w:r w:rsidR="00241529" w:rsidRPr="00226C37">
        <w:rPr>
          <w:rFonts w:ascii="Times New Roman" w:hAnsi="Times New Roman" w:cs="Times New Roman"/>
        </w:rPr>
        <w:t xml:space="preserve"> 10(2) TEU means</w:t>
      </w:r>
      <w:r w:rsidR="00650529" w:rsidRPr="00226C37">
        <w:rPr>
          <w:rFonts w:ascii="Times New Roman" w:hAnsi="Times New Roman" w:cs="Times New Roman"/>
        </w:rPr>
        <w:t xml:space="preserve">. </w:t>
      </w:r>
      <w:r w:rsidR="003579BF" w:rsidRPr="00226C37">
        <w:rPr>
          <w:rFonts w:ascii="Times New Roman" w:hAnsi="Times New Roman" w:cs="Times New Roman"/>
        </w:rPr>
        <w:t xml:space="preserve">However, </w:t>
      </w:r>
      <w:r w:rsidR="00801621" w:rsidRPr="00226C37">
        <w:rPr>
          <w:rFonts w:ascii="Times New Roman" w:hAnsi="Times New Roman" w:cs="Times New Roman"/>
        </w:rPr>
        <w:t xml:space="preserve">it should </w:t>
      </w:r>
      <w:r w:rsidR="00A75F28" w:rsidRPr="00226C37">
        <w:rPr>
          <w:rFonts w:ascii="Times New Roman" w:hAnsi="Times New Roman" w:cs="Times New Roman"/>
        </w:rPr>
        <w:t xml:space="preserve">also </w:t>
      </w:r>
      <w:r w:rsidR="00801621" w:rsidRPr="00226C37">
        <w:rPr>
          <w:rFonts w:ascii="Times New Roman" w:hAnsi="Times New Roman" w:cs="Times New Roman"/>
        </w:rPr>
        <w:t xml:space="preserve">be understood that this paper is written in a </w:t>
      </w:r>
      <w:r w:rsidR="00141C16" w:rsidRPr="00226C37">
        <w:rPr>
          <w:rFonts w:ascii="Times New Roman" w:hAnsi="Times New Roman" w:cs="Times New Roman"/>
        </w:rPr>
        <w:t xml:space="preserve">contemporary </w:t>
      </w:r>
      <w:r w:rsidR="00801621" w:rsidRPr="00226C37">
        <w:rPr>
          <w:rFonts w:ascii="Times New Roman" w:hAnsi="Times New Roman" w:cs="Times New Roman"/>
        </w:rPr>
        <w:t xml:space="preserve">context in which </w:t>
      </w:r>
      <w:r w:rsidR="0061254F" w:rsidRPr="00226C37">
        <w:rPr>
          <w:rFonts w:ascii="Times New Roman" w:hAnsi="Times New Roman" w:cs="Times New Roman"/>
        </w:rPr>
        <w:t>Hungary</w:t>
      </w:r>
      <w:r w:rsidR="00650529" w:rsidRPr="00226C37">
        <w:rPr>
          <w:rFonts w:ascii="Times New Roman" w:hAnsi="Times New Roman" w:cs="Times New Roman"/>
        </w:rPr>
        <w:t xml:space="preserve"> </w:t>
      </w:r>
      <w:r w:rsidR="0061254F" w:rsidRPr="00226C37">
        <w:rPr>
          <w:rFonts w:ascii="Times New Roman" w:hAnsi="Times New Roman" w:cs="Times New Roman"/>
        </w:rPr>
        <w:t xml:space="preserve">is no longer regarded by </w:t>
      </w:r>
      <w:r w:rsidR="00D8413C" w:rsidRPr="00226C37">
        <w:rPr>
          <w:rFonts w:ascii="Times New Roman" w:hAnsi="Times New Roman" w:cs="Times New Roman"/>
        </w:rPr>
        <w:t>either Freedom House</w:t>
      </w:r>
      <w:bookmarkStart w:id="3" w:name="_Ref70598535"/>
      <w:r w:rsidR="00CC45BE" w:rsidRPr="00226C37">
        <w:rPr>
          <w:rStyle w:val="FootnoteReference"/>
          <w:rFonts w:ascii="Times New Roman" w:hAnsi="Times New Roman" w:cs="Times New Roman"/>
        </w:rPr>
        <w:footnoteReference w:id="10"/>
      </w:r>
      <w:bookmarkEnd w:id="3"/>
      <w:r w:rsidR="00D8413C" w:rsidRPr="00226C37">
        <w:rPr>
          <w:rFonts w:ascii="Times New Roman" w:hAnsi="Times New Roman" w:cs="Times New Roman"/>
        </w:rPr>
        <w:t xml:space="preserve"> or the V-Dem Institute</w:t>
      </w:r>
      <w:bookmarkStart w:id="4" w:name="_Ref70602849"/>
      <w:r w:rsidR="00CC45BE" w:rsidRPr="00226C37">
        <w:rPr>
          <w:rStyle w:val="FootnoteReference"/>
          <w:rFonts w:ascii="Times New Roman" w:hAnsi="Times New Roman" w:cs="Times New Roman"/>
        </w:rPr>
        <w:footnoteReference w:id="11"/>
      </w:r>
      <w:bookmarkEnd w:id="4"/>
      <w:r w:rsidR="00D8413C" w:rsidRPr="00226C37">
        <w:rPr>
          <w:rFonts w:ascii="Times New Roman" w:hAnsi="Times New Roman" w:cs="Times New Roman"/>
        </w:rPr>
        <w:t xml:space="preserve"> as a democracy, and </w:t>
      </w:r>
      <w:r w:rsidR="00412963" w:rsidRPr="00226C37">
        <w:rPr>
          <w:rFonts w:ascii="Times New Roman" w:hAnsi="Times New Roman" w:cs="Times New Roman"/>
        </w:rPr>
        <w:t xml:space="preserve">the </w:t>
      </w:r>
      <w:r w:rsidR="00A42EEE" w:rsidRPr="00226C37">
        <w:rPr>
          <w:rFonts w:ascii="Times New Roman" w:hAnsi="Times New Roman" w:cs="Times New Roman"/>
        </w:rPr>
        <w:t xml:space="preserve">former organisation categorises </w:t>
      </w:r>
      <w:r w:rsidR="00003066" w:rsidRPr="00226C37">
        <w:rPr>
          <w:rFonts w:ascii="Times New Roman" w:hAnsi="Times New Roman" w:cs="Times New Roman"/>
        </w:rPr>
        <w:t>Bulgaria, Croatia</w:t>
      </w:r>
      <w:r w:rsidR="00E65B16" w:rsidRPr="00226C37">
        <w:rPr>
          <w:rFonts w:ascii="Times New Roman" w:hAnsi="Times New Roman" w:cs="Times New Roman"/>
        </w:rPr>
        <w:t>, Poland, and Romania as semi-consolidated democracies.</w:t>
      </w:r>
      <w:r w:rsidR="006A3644" w:rsidRPr="00226C37">
        <w:rPr>
          <w:rStyle w:val="FootnoteReference"/>
          <w:rFonts w:ascii="Times New Roman" w:hAnsi="Times New Roman" w:cs="Times New Roman"/>
        </w:rPr>
        <w:footnoteReference w:id="12"/>
      </w:r>
      <w:r w:rsidR="006A3644" w:rsidRPr="00226C37">
        <w:rPr>
          <w:rFonts w:ascii="Times New Roman" w:hAnsi="Times New Roman" w:cs="Times New Roman"/>
        </w:rPr>
        <w:t xml:space="preserve"> </w:t>
      </w:r>
      <w:r w:rsidRPr="00226C37">
        <w:rPr>
          <w:rFonts w:ascii="Times New Roman" w:hAnsi="Times New Roman" w:cs="Times New Roman"/>
        </w:rPr>
        <w:t>The primary purpose</w:t>
      </w:r>
      <w:r w:rsidR="0038084A" w:rsidRPr="00226C37">
        <w:rPr>
          <w:rFonts w:ascii="Times New Roman" w:hAnsi="Times New Roman" w:cs="Times New Roman"/>
        </w:rPr>
        <w:t xml:space="preserve"> of this paper</w:t>
      </w:r>
      <w:r w:rsidRPr="00226C37">
        <w:rPr>
          <w:rFonts w:ascii="Times New Roman" w:hAnsi="Times New Roman" w:cs="Times New Roman"/>
        </w:rPr>
        <w:t xml:space="preserve"> is to articulate avenues, other than </w:t>
      </w:r>
      <w:r w:rsidR="007B0F30">
        <w:rPr>
          <w:rFonts w:ascii="Times New Roman" w:hAnsi="Times New Roman" w:cs="Times New Roman"/>
        </w:rPr>
        <w:t xml:space="preserve">art. </w:t>
      </w:r>
      <w:r w:rsidRPr="00226C37">
        <w:rPr>
          <w:rFonts w:ascii="Times New Roman" w:hAnsi="Times New Roman" w:cs="Times New Roman"/>
        </w:rPr>
        <w:t xml:space="preserve">7 TEU, that could assist in the insulation of representative democracy at EU level against the effects of </w:t>
      </w:r>
      <w:r w:rsidR="00BE7C2D" w:rsidRPr="00226C37">
        <w:rPr>
          <w:rFonts w:ascii="Times New Roman" w:hAnsi="Times New Roman" w:cs="Times New Roman"/>
        </w:rPr>
        <w:t>democratic dismantlement</w:t>
      </w:r>
      <w:r w:rsidRPr="00226C37">
        <w:rPr>
          <w:rFonts w:ascii="Times New Roman" w:hAnsi="Times New Roman" w:cs="Times New Roman"/>
        </w:rPr>
        <w:t xml:space="preserve"> at national level.</w:t>
      </w:r>
      <w:bookmarkStart w:id="6" w:name="_Hlk52461166"/>
      <w:r w:rsidRPr="00226C37">
        <w:rPr>
          <w:rFonts w:ascii="Times New Roman" w:hAnsi="Times New Roman" w:cs="Times New Roman"/>
        </w:rPr>
        <w:t xml:space="preserve"> In this connection, an argument is advanced for an interpretation of </w:t>
      </w:r>
      <w:r w:rsidR="007B0F30">
        <w:rPr>
          <w:rFonts w:ascii="Times New Roman" w:hAnsi="Times New Roman" w:cs="Times New Roman"/>
        </w:rPr>
        <w:t xml:space="preserve">art. </w:t>
      </w:r>
      <w:r w:rsidRPr="00226C37">
        <w:rPr>
          <w:rFonts w:ascii="Times New Roman" w:hAnsi="Times New Roman" w:cs="Times New Roman"/>
        </w:rPr>
        <w:t>10 TEU that would result in the exclusion of a</w:t>
      </w:r>
      <w:r w:rsidR="005B4882" w:rsidRPr="00226C37">
        <w:rPr>
          <w:rFonts w:ascii="Times New Roman" w:hAnsi="Times New Roman" w:cs="Times New Roman"/>
        </w:rPr>
        <w:t>n undemocratic Member State’s representatives</w:t>
      </w:r>
      <w:r w:rsidRPr="00226C37">
        <w:rPr>
          <w:rFonts w:ascii="Times New Roman" w:hAnsi="Times New Roman" w:cs="Times New Roman"/>
        </w:rPr>
        <w:t xml:space="preserve"> from the European Council and the Council. </w:t>
      </w:r>
    </w:p>
    <w:p w14:paraId="46597BDC" w14:textId="77777777" w:rsidR="006F77D6" w:rsidRPr="00226C37" w:rsidRDefault="006F77D6" w:rsidP="006F77D6">
      <w:pPr>
        <w:jc w:val="both"/>
        <w:rPr>
          <w:rFonts w:ascii="Times New Roman" w:hAnsi="Times New Roman" w:cs="Times New Roman"/>
        </w:rPr>
      </w:pPr>
    </w:p>
    <w:p w14:paraId="71F17179" w14:textId="4AF11D5C" w:rsidR="006F77D6" w:rsidRDefault="006F77D6" w:rsidP="006F77D6">
      <w:pPr>
        <w:jc w:val="both"/>
        <w:rPr>
          <w:rFonts w:ascii="Times New Roman" w:hAnsi="Times New Roman" w:cs="Times New Roman"/>
        </w:rPr>
      </w:pPr>
      <w:r w:rsidRPr="00226C37">
        <w:rPr>
          <w:rFonts w:ascii="Times New Roman" w:hAnsi="Times New Roman" w:cs="Times New Roman"/>
        </w:rPr>
        <w:t>The p</w:t>
      </w:r>
      <w:r w:rsidR="002D6B34" w:rsidRPr="00226C37">
        <w:rPr>
          <w:rFonts w:ascii="Times New Roman" w:hAnsi="Times New Roman" w:cs="Times New Roman"/>
        </w:rPr>
        <w:t xml:space="preserve">aper </w:t>
      </w:r>
      <w:r w:rsidRPr="00226C37">
        <w:rPr>
          <w:rFonts w:ascii="Times New Roman" w:hAnsi="Times New Roman" w:cs="Times New Roman"/>
        </w:rPr>
        <w:t>commences with a brief textual analysis</w:t>
      </w:r>
      <w:r w:rsidR="00675563" w:rsidRPr="00226C37">
        <w:rPr>
          <w:rFonts w:ascii="Times New Roman" w:hAnsi="Times New Roman" w:cs="Times New Roman"/>
        </w:rPr>
        <w:t>,</w:t>
      </w:r>
      <w:r w:rsidRPr="00226C37">
        <w:rPr>
          <w:rFonts w:ascii="Times New Roman" w:hAnsi="Times New Roman" w:cs="Times New Roman"/>
        </w:rPr>
        <w:t xml:space="preserve"> identifying two competing interpretations of </w:t>
      </w:r>
      <w:r w:rsidR="007B0F30">
        <w:rPr>
          <w:rFonts w:ascii="Times New Roman" w:hAnsi="Times New Roman" w:cs="Times New Roman"/>
        </w:rPr>
        <w:t>art.</w:t>
      </w:r>
      <w:r w:rsidRPr="00226C37">
        <w:rPr>
          <w:rFonts w:ascii="Times New Roman" w:hAnsi="Times New Roman" w:cs="Times New Roman"/>
        </w:rPr>
        <w:t xml:space="preserve"> 10(2) TEU: </w:t>
      </w:r>
      <w:r w:rsidR="00731248" w:rsidRPr="00226C37">
        <w:rPr>
          <w:rFonts w:ascii="Times New Roman" w:hAnsi="Times New Roman" w:cs="Times New Roman"/>
        </w:rPr>
        <w:t>(a) as</w:t>
      </w:r>
      <w:r w:rsidRPr="00226C37">
        <w:rPr>
          <w:rFonts w:ascii="Times New Roman" w:hAnsi="Times New Roman" w:cs="Times New Roman"/>
        </w:rPr>
        <w:t xml:space="preserve"> a</w:t>
      </w:r>
      <w:r w:rsidR="00BE7C2D" w:rsidRPr="00226C37">
        <w:rPr>
          <w:rFonts w:ascii="Times New Roman" w:hAnsi="Times New Roman" w:cs="Times New Roman"/>
        </w:rPr>
        <w:t xml:space="preserve"> </w:t>
      </w:r>
      <w:r w:rsidRPr="00226C37">
        <w:rPr>
          <w:rFonts w:ascii="Times New Roman" w:hAnsi="Times New Roman" w:cs="Times New Roman"/>
        </w:rPr>
        <w:t>descriptive provision</w:t>
      </w:r>
      <w:r w:rsidR="00442F16" w:rsidRPr="00226C37">
        <w:rPr>
          <w:rFonts w:ascii="Times New Roman" w:hAnsi="Times New Roman" w:cs="Times New Roman"/>
        </w:rPr>
        <w:t>;</w:t>
      </w:r>
      <w:r w:rsidRPr="00226C37">
        <w:rPr>
          <w:rFonts w:ascii="Times New Roman" w:hAnsi="Times New Roman" w:cs="Times New Roman"/>
        </w:rPr>
        <w:t xml:space="preserve"> </w:t>
      </w:r>
      <w:r w:rsidR="005C6733" w:rsidRPr="00226C37">
        <w:rPr>
          <w:rFonts w:ascii="Times New Roman" w:hAnsi="Times New Roman" w:cs="Times New Roman"/>
        </w:rPr>
        <w:t xml:space="preserve">and </w:t>
      </w:r>
      <w:r w:rsidRPr="00226C37">
        <w:rPr>
          <w:rFonts w:ascii="Times New Roman" w:hAnsi="Times New Roman" w:cs="Times New Roman"/>
        </w:rPr>
        <w:t xml:space="preserve">(b) as an operative provision. Thereafter, the paper sets out how the operative reading of </w:t>
      </w:r>
      <w:r w:rsidR="007B0F30">
        <w:rPr>
          <w:rFonts w:ascii="Times New Roman" w:hAnsi="Times New Roman" w:cs="Times New Roman"/>
        </w:rPr>
        <w:t>art.</w:t>
      </w:r>
      <w:r w:rsidRPr="00226C37">
        <w:rPr>
          <w:rFonts w:ascii="Times New Roman" w:hAnsi="Times New Roman" w:cs="Times New Roman"/>
        </w:rPr>
        <w:t xml:space="preserve"> 10(2) TEU would allow </w:t>
      </w:r>
      <w:r w:rsidR="007B0F30">
        <w:rPr>
          <w:rFonts w:ascii="Times New Roman" w:hAnsi="Times New Roman" w:cs="Times New Roman"/>
        </w:rPr>
        <w:t>art.</w:t>
      </w:r>
      <w:r w:rsidR="00BE7C2D" w:rsidRPr="00226C37">
        <w:rPr>
          <w:rFonts w:ascii="Times New Roman" w:hAnsi="Times New Roman" w:cs="Times New Roman"/>
        </w:rPr>
        <w:t xml:space="preserve"> 10 TEU</w:t>
      </w:r>
      <w:r w:rsidRPr="00226C37">
        <w:rPr>
          <w:rFonts w:ascii="Times New Roman" w:hAnsi="Times New Roman" w:cs="Times New Roman"/>
        </w:rPr>
        <w:t xml:space="preserve"> to be instrumentalised to assist in the protection of the </w:t>
      </w:r>
      <w:r w:rsidR="00675563" w:rsidRPr="00226C37">
        <w:rPr>
          <w:rFonts w:ascii="Times New Roman" w:hAnsi="Times New Roman" w:cs="Times New Roman"/>
        </w:rPr>
        <w:t xml:space="preserve">EU </w:t>
      </w:r>
      <w:r w:rsidRPr="00226C37">
        <w:rPr>
          <w:rFonts w:ascii="Times New Roman" w:hAnsi="Times New Roman" w:cs="Times New Roman"/>
        </w:rPr>
        <w:t>principle of representative democrac</w:t>
      </w:r>
      <w:r w:rsidR="00675563" w:rsidRPr="00226C37">
        <w:rPr>
          <w:rFonts w:ascii="Times New Roman" w:hAnsi="Times New Roman" w:cs="Times New Roman"/>
        </w:rPr>
        <w:t>y</w:t>
      </w:r>
      <w:r w:rsidRPr="00226C37">
        <w:rPr>
          <w:rFonts w:ascii="Times New Roman" w:hAnsi="Times New Roman" w:cs="Times New Roman"/>
        </w:rPr>
        <w:t xml:space="preserve">. The paper then considers both the doctrinal cases for adopting a descriptive or operative interpretation of </w:t>
      </w:r>
      <w:r w:rsidR="007B0F30">
        <w:rPr>
          <w:rFonts w:ascii="Times New Roman" w:hAnsi="Times New Roman" w:cs="Times New Roman"/>
        </w:rPr>
        <w:t>art.</w:t>
      </w:r>
      <w:r w:rsidRPr="00226C37">
        <w:rPr>
          <w:rFonts w:ascii="Times New Roman" w:hAnsi="Times New Roman" w:cs="Times New Roman"/>
        </w:rPr>
        <w:t xml:space="preserve"> 10(2) TEU, before reflecting on the pra</w:t>
      </w:r>
      <w:r w:rsidR="00675563" w:rsidRPr="00226C37">
        <w:rPr>
          <w:rFonts w:ascii="Times New Roman" w:hAnsi="Times New Roman" w:cs="Times New Roman"/>
        </w:rPr>
        <w:t>ctical</w:t>
      </w:r>
      <w:r w:rsidRPr="00226C37">
        <w:rPr>
          <w:rFonts w:ascii="Times New Roman" w:hAnsi="Times New Roman" w:cs="Times New Roman"/>
        </w:rPr>
        <w:t xml:space="preserve"> issues that might arise from its </w:t>
      </w:r>
      <w:r w:rsidR="003C03D1" w:rsidRPr="00226C37">
        <w:rPr>
          <w:rFonts w:ascii="Times New Roman" w:hAnsi="Times New Roman" w:cs="Times New Roman"/>
        </w:rPr>
        <w:t xml:space="preserve">interpretation and </w:t>
      </w:r>
      <w:proofErr w:type="spellStart"/>
      <w:r w:rsidRPr="00226C37">
        <w:rPr>
          <w:rFonts w:ascii="Times New Roman" w:hAnsi="Times New Roman" w:cs="Times New Roman"/>
        </w:rPr>
        <w:t>instrumentalisation</w:t>
      </w:r>
      <w:proofErr w:type="spellEnd"/>
      <w:r w:rsidRPr="00226C37">
        <w:rPr>
          <w:rFonts w:ascii="Times New Roman" w:hAnsi="Times New Roman" w:cs="Times New Roman"/>
        </w:rPr>
        <w:t xml:space="preserve"> as an operative provision. It is concluded that while there would be significant risks associated with the </w:t>
      </w:r>
      <w:r w:rsidR="00675563" w:rsidRPr="00226C37">
        <w:rPr>
          <w:rFonts w:ascii="Times New Roman" w:hAnsi="Times New Roman" w:cs="Times New Roman"/>
        </w:rPr>
        <w:t xml:space="preserve">suggested </w:t>
      </w:r>
      <w:proofErr w:type="spellStart"/>
      <w:r w:rsidRPr="00226C37">
        <w:rPr>
          <w:rFonts w:ascii="Times New Roman" w:hAnsi="Times New Roman" w:cs="Times New Roman"/>
        </w:rPr>
        <w:t>instrumentalisation</w:t>
      </w:r>
      <w:proofErr w:type="spellEnd"/>
      <w:r w:rsidRPr="00226C37">
        <w:rPr>
          <w:rFonts w:ascii="Times New Roman" w:hAnsi="Times New Roman" w:cs="Times New Roman"/>
        </w:rPr>
        <w:t xml:space="preserve"> of </w:t>
      </w:r>
      <w:r w:rsidR="007B0F30">
        <w:rPr>
          <w:rFonts w:ascii="Times New Roman" w:hAnsi="Times New Roman" w:cs="Times New Roman"/>
        </w:rPr>
        <w:t>art.</w:t>
      </w:r>
      <w:r w:rsidRPr="00226C37">
        <w:rPr>
          <w:rFonts w:ascii="Times New Roman" w:hAnsi="Times New Roman" w:cs="Times New Roman"/>
        </w:rPr>
        <w:t xml:space="preserve"> 10 TEU, the provision does provide</w:t>
      </w:r>
      <w:r w:rsidR="00675563" w:rsidRPr="00226C37">
        <w:rPr>
          <w:rFonts w:ascii="Times New Roman" w:hAnsi="Times New Roman" w:cs="Times New Roman"/>
        </w:rPr>
        <w:t xml:space="preserve"> </w:t>
      </w:r>
      <w:r w:rsidR="00BE7C2D" w:rsidRPr="00226C37">
        <w:rPr>
          <w:rFonts w:ascii="Times New Roman" w:hAnsi="Times New Roman" w:cs="Times New Roman"/>
        </w:rPr>
        <w:t>mechanism</w:t>
      </w:r>
      <w:r w:rsidR="00675563" w:rsidRPr="00226C37">
        <w:rPr>
          <w:rFonts w:ascii="Times New Roman" w:hAnsi="Times New Roman" w:cs="Times New Roman"/>
        </w:rPr>
        <w:t>s</w:t>
      </w:r>
      <w:r w:rsidR="00BE7C2D" w:rsidRPr="00226C37">
        <w:rPr>
          <w:rFonts w:ascii="Times New Roman" w:hAnsi="Times New Roman" w:cs="Times New Roman"/>
        </w:rPr>
        <w:t xml:space="preserve"> that</w:t>
      </w:r>
      <w:r w:rsidRPr="00226C37">
        <w:rPr>
          <w:rFonts w:ascii="Times New Roman" w:hAnsi="Times New Roman" w:cs="Times New Roman"/>
        </w:rPr>
        <w:t xml:space="preserve"> could be engaged by way of citizen action, thereby bypassing decisional traps and insufficient political will in EU institutions </w:t>
      </w:r>
      <w:r w:rsidR="00BE7C2D" w:rsidRPr="00226C37">
        <w:rPr>
          <w:rFonts w:ascii="Times New Roman" w:hAnsi="Times New Roman" w:cs="Times New Roman"/>
        </w:rPr>
        <w:t>which</w:t>
      </w:r>
      <w:r w:rsidRPr="00226C37">
        <w:rPr>
          <w:rFonts w:ascii="Times New Roman" w:hAnsi="Times New Roman" w:cs="Times New Roman"/>
        </w:rPr>
        <w:t xml:space="preserve"> might prevent utilisation of </w:t>
      </w:r>
      <w:r w:rsidR="007B0F30">
        <w:rPr>
          <w:rFonts w:ascii="Times New Roman" w:hAnsi="Times New Roman" w:cs="Times New Roman"/>
        </w:rPr>
        <w:t>art.</w:t>
      </w:r>
      <w:r w:rsidRPr="00226C37">
        <w:rPr>
          <w:rFonts w:ascii="Times New Roman" w:hAnsi="Times New Roman" w:cs="Times New Roman"/>
        </w:rPr>
        <w:t xml:space="preserve"> 7 TEU, to contribute to the defence of the principle of representative democracy. </w:t>
      </w:r>
    </w:p>
    <w:p w14:paraId="04D7B7BB" w14:textId="62B04378" w:rsidR="00722B32" w:rsidRDefault="00722B32" w:rsidP="006F77D6">
      <w:pPr>
        <w:jc w:val="both"/>
        <w:rPr>
          <w:rFonts w:ascii="Times New Roman" w:hAnsi="Times New Roman" w:cs="Times New Roman"/>
        </w:rPr>
      </w:pPr>
    </w:p>
    <w:p w14:paraId="18E33B70" w14:textId="77777777" w:rsidR="006F77D6" w:rsidRPr="0093427B" w:rsidRDefault="006F77D6" w:rsidP="0093427B">
      <w:pPr>
        <w:jc w:val="both"/>
        <w:rPr>
          <w:rFonts w:ascii="Times New Roman" w:hAnsi="Times New Roman" w:cs="Times New Roman"/>
          <w:b/>
          <w:bCs/>
        </w:rPr>
      </w:pPr>
      <w:r w:rsidRPr="0093427B">
        <w:rPr>
          <w:rFonts w:ascii="Times New Roman" w:hAnsi="Times New Roman" w:cs="Times New Roman"/>
          <w:b/>
          <w:bCs/>
        </w:rPr>
        <w:t>An Initial Textual Analysis of Article 10 TEU</w:t>
      </w:r>
    </w:p>
    <w:p w14:paraId="606BEDC9" w14:textId="77777777" w:rsidR="006F77D6" w:rsidRPr="00226C37" w:rsidRDefault="006F77D6" w:rsidP="006F77D6">
      <w:pPr>
        <w:pStyle w:val="ListParagraph"/>
        <w:ind w:left="360"/>
        <w:jc w:val="both"/>
        <w:rPr>
          <w:rFonts w:ascii="Times New Roman" w:hAnsi="Times New Roman" w:cs="Times New Roman"/>
          <w:b/>
          <w:bCs/>
        </w:rPr>
      </w:pPr>
    </w:p>
    <w:p w14:paraId="11CC0CD3" w14:textId="5E94F176" w:rsidR="006F77D6" w:rsidRPr="00226C37" w:rsidRDefault="006F77D6" w:rsidP="006F77D6">
      <w:pPr>
        <w:jc w:val="both"/>
        <w:rPr>
          <w:rFonts w:ascii="Times New Roman" w:hAnsi="Times New Roman" w:cs="Times New Roman"/>
        </w:rPr>
      </w:pPr>
      <w:r w:rsidRPr="00226C37">
        <w:rPr>
          <w:rFonts w:ascii="Times New Roman" w:hAnsi="Times New Roman" w:cs="Times New Roman"/>
        </w:rPr>
        <w:t xml:space="preserve">Article 10(1) TEU provides: </w:t>
      </w:r>
      <w:r w:rsidRPr="00722B32">
        <w:rPr>
          <w:rFonts w:ascii="Times New Roman" w:hAnsi="Times New Roman" w:cs="Times New Roman"/>
        </w:rPr>
        <w:t>“The functioning of the Union shall be founded on representative democracy.”</w:t>
      </w:r>
      <w:r w:rsidR="00722B32">
        <w:rPr>
          <w:rFonts w:ascii="Times New Roman" w:hAnsi="Times New Roman" w:cs="Times New Roman"/>
        </w:rPr>
        <w:t xml:space="preserve"> </w:t>
      </w:r>
      <w:r w:rsidRPr="00226C37">
        <w:rPr>
          <w:rFonts w:ascii="Times New Roman" w:hAnsi="Times New Roman" w:cs="Times New Roman"/>
        </w:rPr>
        <w:t>Article 10(2) TEU contains two sentences, the first of which relates to representation of citizens:</w:t>
      </w:r>
      <w:r w:rsidR="00722B32">
        <w:rPr>
          <w:rFonts w:ascii="Times New Roman" w:hAnsi="Times New Roman" w:cs="Times New Roman"/>
        </w:rPr>
        <w:t xml:space="preserve"> </w:t>
      </w:r>
      <w:r w:rsidRPr="00722B32">
        <w:rPr>
          <w:rFonts w:ascii="Times New Roman" w:hAnsi="Times New Roman" w:cs="Times New Roman"/>
        </w:rPr>
        <w:t>“Citizens are directly represented at Union level in the European Parliament.”</w:t>
      </w:r>
      <w:r w:rsidR="00722B32">
        <w:rPr>
          <w:rFonts w:ascii="Times New Roman" w:hAnsi="Times New Roman" w:cs="Times New Roman"/>
        </w:rPr>
        <w:t xml:space="preserve"> </w:t>
      </w:r>
      <w:proofErr w:type="gramStart"/>
      <w:r w:rsidRPr="00226C37">
        <w:rPr>
          <w:rFonts w:ascii="Times New Roman" w:hAnsi="Times New Roman" w:cs="Times New Roman"/>
        </w:rPr>
        <w:t>The second sentence,</w:t>
      </w:r>
      <w:proofErr w:type="gramEnd"/>
      <w:r w:rsidR="004409D1" w:rsidRPr="00226C37">
        <w:rPr>
          <w:rFonts w:ascii="Times New Roman" w:hAnsi="Times New Roman" w:cs="Times New Roman"/>
        </w:rPr>
        <w:t xml:space="preserve"> </w:t>
      </w:r>
      <w:r w:rsidRPr="00226C37">
        <w:rPr>
          <w:rFonts w:ascii="Times New Roman" w:hAnsi="Times New Roman" w:cs="Times New Roman"/>
        </w:rPr>
        <w:t>of more relevance in this p</w:t>
      </w:r>
      <w:r w:rsidR="002D6B34" w:rsidRPr="00226C37">
        <w:rPr>
          <w:rFonts w:ascii="Times New Roman" w:hAnsi="Times New Roman" w:cs="Times New Roman"/>
        </w:rPr>
        <w:t>aper</w:t>
      </w:r>
      <w:r w:rsidRPr="00226C37">
        <w:rPr>
          <w:rFonts w:ascii="Times New Roman" w:hAnsi="Times New Roman" w:cs="Times New Roman"/>
        </w:rPr>
        <w:t>, provides for the representation of Member States:</w:t>
      </w:r>
    </w:p>
    <w:p w14:paraId="5C14C847" w14:textId="77777777" w:rsidR="006F77D6" w:rsidRPr="00226C37" w:rsidRDefault="006F77D6" w:rsidP="006F77D6">
      <w:pPr>
        <w:pStyle w:val="ListParagraph"/>
        <w:ind w:left="360"/>
        <w:jc w:val="both"/>
        <w:rPr>
          <w:rFonts w:ascii="Times New Roman" w:hAnsi="Times New Roman" w:cs="Times New Roman"/>
        </w:rPr>
      </w:pPr>
    </w:p>
    <w:p w14:paraId="24542C87" w14:textId="77777777" w:rsidR="006F77D6" w:rsidRPr="00226C37" w:rsidRDefault="006F77D6" w:rsidP="006F77D6">
      <w:pPr>
        <w:ind w:left="360"/>
        <w:jc w:val="both"/>
        <w:rPr>
          <w:rFonts w:ascii="Times New Roman" w:hAnsi="Times New Roman" w:cs="Times New Roman"/>
        </w:rPr>
      </w:pPr>
      <w:r w:rsidRPr="00226C37">
        <w:rPr>
          <w:rFonts w:ascii="Times New Roman" w:hAnsi="Times New Roman" w:cs="Times New Roman"/>
        </w:rPr>
        <w:lastRenderedPageBreak/>
        <w:t>“Member States are represented in the European Council by their Heads of State or Government and in the Council by their governments, themselves democratically accountable either to their national Parliaments, or to their citizens.”</w:t>
      </w:r>
    </w:p>
    <w:p w14:paraId="4C3CFDA0" w14:textId="77777777" w:rsidR="006F77D6" w:rsidRPr="00226C37" w:rsidRDefault="006F77D6" w:rsidP="006F77D6">
      <w:pPr>
        <w:jc w:val="both"/>
        <w:rPr>
          <w:rFonts w:ascii="Times New Roman" w:hAnsi="Times New Roman" w:cs="Times New Roman"/>
        </w:rPr>
      </w:pPr>
    </w:p>
    <w:p w14:paraId="29B4A477" w14:textId="2A0244D5" w:rsidR="005C6733" w:rsidRPr="00226C37" w:rsidRDefault="006F77D6" w:rsidP="006F77D6">
      <w:pPr>
        <w:jc w:val="both"/>
        <w:rPr>
          <w:rFonts w:ascii="Times New Roman" w:hAnsi="Times New Roman" w:cs="Times New Roman"/>
        </w:rPr>
      </w:pPr>
      <w:r w:rsidRPr="00226C37">
        <w:rPr>
          <w:rFonts w:ascii="Times New Roman" w:hAnsi="Times New Roman" w:cs="Times New Roman"/>
        </w:rPr>
        <w:t xml:space="preserve">There are, it is suggested, two possible readings of </w:t>
      </w:r>
      <w:r w:rsidR="007B0F30">
        <w:rPr>
          <w:rFonts w:ascii="Times New Roman" w:hAnsi="Times New Roman" w:cs="Times New Roman"/>
        </w:rPr>
        <w:t>art.</w:t>
      </w:r>
      <w:r w:rsidRPr="00226C37">
        <w:rPr>
          <w:rFonts w:ascii="Times New Roman" w:hAnsi="Times New Roman" w:cs="Times New Roman"/>
        </w:rPr>
        <w:t xml:space="preserve">10(2) TEU in conjunction with </w:t>
      </w:r>
      <w:r w:rsidR="007B0F30">
        <w:rPr>
          <w:rFonts w:ascii="Times New Roman" w:hAnsi="Times New Roman" w:cs="Times New Roman"/>
        </w:rPr>
        <w:t>art.</w:t>
      </w:r>
      <w:r w:rsidRPr="00226C37">
        <w:rPr>
          <w:rFonts w:ascii="Times New Roman" w:hAnsi="Times New Roman" w:cs="Times New Roman"/>
        </w:rPr>
        <w:t xml:space="preserve"> 10(1) TEU. The first reading is that the two sentences in </w:t>
      </w:r>
      <w:r w:rsidR="007B0F30">
        <w:rPr>
          <w:rFonts w:ascii="Times New Roman" w:hAnsi="Times New Roman" w:cs="Times New Roman"/>
        </w:rPr>
        <w:t xml:space="preserve">art. </w:t>
      </w:r>
      <w:r w:rsidRPr="00226C37">
        <w:rPr>
          <w:rFonts w:ascii="Times New Roman" w:hAnsi="Times New Roman" w:cs="Times New Roman"/>
        </w:rPr>
        <w:t xml:space="preserve">10(2) TEU are merely descriptive: </w:t>
      </w:r>
      <w:r w:rsidR="007B0F30">
        <w:rPr>
          <w:rFonts w:ascii="Times New Roman" w:hAnsi="Times New Roman" w:cs="Times New Roman"/>
        </w:rPr>
        <w:t>art.</w:t>
      </w:r>
      <w:r w:rsidRPr="00226C37">
        <w:rPr>
          <w:rFonts w:ascii="Times New Roman" w:hAnsi="Times New Roman" w:cs="Times New Roman"/>
        </w:rPr>
        <w:t xml:space="preserve"> 10(1) TEU establishes the principle of representative democracy</w:t>
      </w:r>
      <w:r w:rsidR="004476AC" w:rsidRPr="00226C37">
        <w:rPr>
          <w:rFonts w:ascii="Times New Roman" w:hAnsi="Times New Roman" w:cs="Times New Roman"/>
        </w:rPr>
        <w:t>,</w:t>
      </w:r>
      <w:r w:rsidRPr="00226C37">
        <w:rPr>
          <w:rFonts w:ascii="Times New Roman" w:hAnsi="Times New Roman" w:cs="Times New Roman"/>
        </w:rPr>
        <w:t xml:space="preserve"> and </w:t>
      </w:r>
      <w:r w:rsidR="007B0F30">
        <w:rPr>
          <w:rFonts w:ascii="Times New Roman" w:hAnsi="Times New Roman" w:cs="Times New Roman"/>
        </w:rPr>
        <w:t xml:space="preserve">art. </w:t>
      </w:r>
      <w:r w:rsidRPr="00226C37">
        <w:rPr>
          <w:rFonts w:ascii="Times New Roman" w:hAnsi="Times New Roman" w:cs="Times New Roman"/>
        </w:rPr>
        <w:t xml:space="preserve">10(2) TEU merely describes the </w:t>
      </w:r>
      <w:proofErr w:type="gramStart"/>
      <w:r w:rsidRPr="00226C37">
        <w:rPr>
          <w:rFonts w:ascii="Times New Roman" w:hAnsi="Times New Roman" w:cs="Times New Roman"/>
        </w:rPr>
        <w:t>manner in which</w:t>
      </w:r>
      <w:proofErr w:type="gramEnd"/>
      <w:r w:rsidRPr="00226C37">
        <w:rPr>
          <w:rFonts w:ascii="Times New Roman" w:hAnsi="Times New Roman" w:cs="Times New Roman"/>
        </w:rPr>
        <w:t xml:space="preserve"> the design of the EU’s institutions contributes to the functioning of that principle. Seen thusly, to focus on the second sentence specifically, </w:t>
      </w:r>
      <w:r w:rsidR="007B0F30">
        <w:rPr>
          <w:rFonts w:ascii="Times New Roman" w:hAnsi="Times New Roman" w:cs="Times New Roman"/>
        </w:rPr>
        <w:t>art.</w:t>
      </w:r>
      <w:r w:rsidRPr="00226C37">
        <w:rPr>
          <w:rFonts w:ascii="Times New Roman" w:hAnsi="Times New Roman" w:cs="Times New Roman"/>
        </w:rPr>
        <w:t xml:space="preserve"> 10(2) TEU is merely a</w:t>
      </w:r>
      <w:r w:rsidR="009E389C" w:rsidRPr="00226C37">
        <w:rPr>
          <w:rFonts w:ascii="Times New Roman" w:hAnsi="Times New Roman" w:cs="Times New Roman"/>
        </w:rPr>
        <w:t xml:space="preserve"> non-justiciable</w:t>
      </w:r>
      <w:r w:rsidRPr="00226C37">
        <w:rPr>
          <w:rFonts w:ascii="Times New Roman" w:hAnsi="Times New Roman" w:cs="Times New Roman"/>
        </w:rPr>
        <w:t xml:space="preserve"> affirmation of an assumed state of affairs: Member States’ Heads of State or Government and their governments </w:t>
      </w:r>
      <w:r w:rsidRPr="00226C37">
        <w:rPr>
          <w:rFonts w:ascii="Times New Roman" w:hAnsi="Times New Roman" w:cs="Times New Roman"/>
          <w:i/>
          <w:iCs/>
        </w:rPr>
        <w:t xml:space="preserve">are </w:t>
      </w:r>
      <w:r w:rsidRPr="00226C37">
        <w:rPr>
          <w:rFonts w:ascii="Times New Roman" w:hAnsi="Times New Roman" w:cs="Times New Roman"/>
        </w:rPr>
        <w:t xml:space="preserve">“democratically accountable either to their national parliaments, or to their citizens.” There is much to support such an interpretation, both in the descriptive, rather than </w:t>
      </w:r>
      <w:r w:rsidR="007C7D81" w:rsidRPr="00226C37">
        <w:rPr>
          <w:rFonts w:ascii="Times New Roman" w:hAnsi="Times New Roman" w:cs="Times New Roman"/>
        </w:rPr>
        <w:t>normative</w:t>
      </w:r>
      <w:r w:rsidRPr="00226C37">
        <w:rPr>
          <w:rFonts w:ascii="Times New Roman" w:hAnsi="Times New Roman" w:cs="Times New Roman"/>
        </w:rPr>
        <w:t xml:space="preserve">, language utilised in </w:t>
      </w:r>
      <w:r w:rsidR="007B0F30">
        <w:rPr>
          <w:rFonts w:ascii="Times New Roman" w:hAnsi="Times New Roman" w:cs="Times New Roman"/>
        </w:rPr>
        <w:t>art.</w:t>
      </w:r>
      <w:r w:rsidRPr="00226C37">
        <w:rPr>
          <w:rFonts w:ascii="Times New Roman" w:hAnsi="Times New Roman" w:cs="Times New Roman"/>
        </w:rPr>
        <w:t xml:space="preserve"> 10(2) TEU, and when the provision is understood teleological</w:t>
      </w:r>
      <w:r w:rsidR="00015353" w:rsidRPr="00226C37">
        <w:rPr>
          <w:rFonts w:ascii="Times New Roman" w:hAnsi="Times New Roman" w:cs="Times New Roman"/>
        </w:rPr>
        <w:t>ly</w:t>
      </w:r>
      <w:r w:rsidRPr="00226C37">
        <w:rPr>
          <w:rFonts w:ascii="Times New Roman" w:hAnsi="Times New Roman" w:cs="Times New Roman"/>
        </w:rPr>
        <w:t>.</w:t>
      </w:r>
      <w:r w:rsidR="00015353" w:rsidRPr="00226C37">
        <w:rPr>
          <w:rStyle w:val="FootnoteReference"/>
          <w:rFonts w:ascii="Times New Roman" w:hAnsi="Times New Roman" w:cs="Times New Roman"/>
        </w:rPr>
        <w:footnoteReference w:id="13"/>
      </w:r>
      <w:r w:rsidRPr="00226C37">
        <w:rPr>
          <w:rFonts w:ascii="Times New Roman" w:hAnsi="Times New Roman" w:cs="Times New Roman"/>
        </w:rPr>
        <w:t xml:space="preserve"> </w:t>
      </w:r>
    </w:p>
    <w:p w14:paraId="78E4748E" w14:textId="77777777" w:rsidR="005C6733" w:rsidRPr="00226C37" w:rsidRDefault="005C6733" w:rsidP="006F77D6">
      <w:pPr>
        <w:jc w:val="both"/>
        <w:rPr>
          <w:rFonts w:ascii="Times New Roman" w:hAnsi="Times New Roman" w:cs="Times New Roman"/>
        </w:rPr>
      </w:pPr>
    </w:p>
    <w:p w14:paraId="5ADAC102" w14:textId="28A467BC" w:rsidR="006F77D6" w:rsidRPr="00226C37" w:rsidRDefault="006F77D6" w:rsidP="006F77D6">
      <w:pPr>
        <w:jc w:val="both"/>
        <w:rPr>
          <w:rFonts w:ascii="Times New Roman" w:hAnsi="Times New Roman" w:cs="Times New Roman"/>
        </w:rPr>
      </w:pPr>
      <w:r w:rsidRPr="00226C37">
        <w:rPr>
          <w:rFonts w:ascii="Times New Roman" w:hAnsi="Times New Roman" w:cs="Times New Roman"/>
        </w:rPr>
        <w:t xml:space="preserve">The second possible reading of </w:t>
      </w:r>
      <w:r w:rsidR="007B0F30">
        <w:rPr>
          <w:rFonts w:ascii="Times New Roman" w:hAnsi="Times New Roman" w:cs="Times New Roman"/>
        </w:rPr>
        <w:t>art.</w:t>
      </w:r>
      <w:r w:rsidRPr="00226C37">
        <w:rPr>
          <w:rFonts w:ascii="Times New Roman" w:hAnsi="Times New Roman" w:cs="Times New Roman"/>
        </w:rPr>
        <w:t xml:space="preserve"> 10(2) TEU is that it is an operative provision, containing</w:t>
      </w:r>
      <w:r w:rsidR="00724537" w:rsidRPr="00226C37">
        <w:rPr>
          <w:rFonts w:ascii="Times New Roman" w:hAnsi="Times New Roman" w:cs="Times New Roman"/>
        </w:rPr>
        <w:t xml:space="preserve"> </w:t>
      </w:r>
      <w:r w:rsidRPr="00226C37">
        <w:rPr>
          <w:rFonts w:ascii="Times New Roman" w:hAnsi="Times New Roman" w:cs="Times New Roman"/>
        </w:rPr>
        <w:t>qualifying norms for the EU’s representative democracy</w:t>
      </w:r>
      <w:r w:rsidR="00724537" w:rsidRPr="00226C37">
        <w:rPr>
          <w:rFonts w:ascii="Times New Roman" w:hAnsi="Times New Roman" w:cs="Times New Roman"/>
        </w:rPr>
        <w:t>, which</w:t>
      </w:r>
      <w:r w:rsidRPr="00226C37">
        <w:rPr>
          <w:rFonts w:ascii="Times New Roman" w:hAnsi="Times New Roman" w:cs="Times New Roman"/>
        </w:rPr>
        <w:t xml:space="preserve"> are capable of judicial enforcement. In accordance with this understanding of the provision, the </w:t>
      </w:r>
      <w:r w:rsidR="006C0E57" w:rsidRPr="00226C37">
        <w:rPr>
          <w:rFonts w:ascii="Times New Roman" w:hAnsi="Times New Roman" w:cs="Times New Roman"/>
        </w:rPr>
        <w:t xml:space="preserve">concrete </w:t>
      </w:r>
      <w:r w:rsidRPr="00226C37">
        <w:rPr>
          <w:rFonts w:ascii="Times New Roman" w:hAnsi="Times New Roman" w:cs="Times New Roman"/>
        </w:rPr>
        <w:t xml:space="preserve">principle of representative democracy at EU level relies on the fulfilment in practice of the two sentences in </w:t>
      </w:r>
      <w:r w:rsidR="007B0F30">
        <w:rPr>
          <w:rFonts w:ascii="Times New Roman" w:hAnsi="Times New Roman" w:cs="Times New Roman"/>
        </w:rPr>
        <w:t>art.</w:t>
      </w:r>
      <w:r w:rsidRPr="00226C37">
        <w:rPr>
          <w:rFonts w:ascii="Times New Roman" w:hAnsi="Times New Roman" w:cs="Times New Roman"/>
        </w:rPr>
        <w:t xml:space="preserve"> 10(2) TEU. Turning again to the second sentence, an operative reading of the provision would mean that a Member State, </w:t>
      </w:r>
      <w:r w:rsidR="006745AE" w:rsidRPr="00226C37">
        <w:rPr>
          <w:rFonts w:ascii="Times New Roman" w:hAnsi="Times New Roman" w:cs="Times New Roman"/>
        </w:rPr>
        <w:t>the</w:t>
      </w:r>
      <w:r w:rsidRPr="00226C37">
        <w:rPr>
          <w:rFonts w:ascii="Times New Roman" w:hAnsi="Times New Roman" w:cs="Times New Roman"/>
        </w:rPr>
        <w:t xml:space="preserve"> Head of State or Government or government </w:t>
      </w:r>
      <w:r w:rsidR="006745AE" w:rsidRPr="00226C37">
        <w:rPr>
          <w:rFonts w:ascii="Times New Roman" w:hAnsi="Times New Roman" w:cs="Times New Roman"/>
        </w:rPr>
        <w:t xml:space="preserve">of which </w:t>
      </w:r>
      <w:r w:rsidRPr="00226C37">
        <w:rPr>
          <w:rFonts w:ascii="Times New Roman" w:hAnsi="Times New Roman" w:cs="Times New Roman"/>
        </w:rPr>
        <w:t xml:space="preserve">are not democratically accountable to their national parliament or their citizens, is not entitled to representation in the European Council or the Council. Furthermore, by extension, </w:t>
      </w:r>
      <w:r w:rsidR="001D05AE" w:rsidRPr="00226C37">
        <w:rPr>
          <w:rFonts w:ascii="Times New Roman" w:hAnsi="Times New Roman" w:cs="Times New Roman"/>
        </w:rPr>
        <w:t xml:space="preserve">it is arguable that </w:t>
      </w:r>
      <w:r w:rsidRPr="00226C37">
        <w:rPr>
          <w:rFonts w:ascii="Times New Roman" w:hAnsi="Times New Roman" w:cs="Times New Roman"/>
        </w:rPr>
        <w:t>any act adopted by the European Council or the Council while containing a representative of such a Member State government is either automatically a nullity or at the very least subject (if reviewable) on a case-by-case basis to annulment.</w:t>
      </w:r>
      <w:r w:rsidR="00425164" w:rsidRPr="00226C37">
        <w:rPr>
          <w:rStyle w:val="FootnoteReference"/>
          <w:rFonts w:ascii="Times New Roman" w:hAnsi="Times New Roman" w:cs="Times New Roman"/>
        </w:rPr>
        <w:footnoteReference w:id="14"/>
      </w:r>
      <w:r w:rsidRPr="00226C37">
        <w:rPr>
          <w:rFonts w:ascii="Times New Roman" w:hAnsi="Times New Roman" w:cs="Times New Roman"/>
        </w:rPr>
        <w:t xml:space="preserve"> As with the descriptive interpretation, this operative understanding of </w:t>
      </w:r>
      <w:r w:rsidR="007B0F30">
        <w:rPr>
          <w:rFonts w:ascii="Times New Roman" w:hAnsi="Times New Roman" w:cs="Times New Roman"/>
        </w:rPr>
        <w:t>art.</w:t>
      </w:r>
      <w:r w:rsidRPr="00226C37">
        <w:rPr>
          <w:rFonts w:ascii="Times New Roman" w:hAnsi="Times New Roman" w:cs="Times New Roman"/>
        </w:rPr>
        <w:t xml:space="preserve"> 10(2) TEU has much to recommend it.</w:t>
      </w:r>
      <w:r w:rsidR="00015353" w:rsidRPr="00226C37">
        <w:rPr>
          <w:rStyle w:val="FootnoteReference"/>
          <w:rFonts w:ascii="Times New Roman" w:hAnsi="Times New Roman" w:cs="Times New Roman"/>
        </w:rPr>
        <w:footnoteReference w:id="15"/>
      </w:r>
      <w:r w:rsidRPr="00226C37">
        <w:rPr>
          <w:rFonts w:ascii="Times New Roman" w:hAnsi="Times New Roman" w:cs="Times New Roman"/>
        </w:rPr>
        <w:t xml:space="preserve"> </w:t>
      </w:r>
    </w:p>
    <w:p w14:paraId="05C1CF61" w14:textId="77777777" w:rsidR="006F77D6" w:rsidRPr="00226C37" w:rsidRDefault="006F77D6" w:rsidP="006F77D6">
      <w:pPr>
        <w:jc w:val="both"/>
        <w:rPr>
          <w:rFonts w:ascii="Times New Roman" w:hAnsi="Times New Roman" w:cs="Times New Roman"/>
        </w:rPr>
      </w:pPr>
    </w:p>
    <w:p w14:paraId="773D6346" w14:textId="77777777" w:rsidR="006F77D6" w:rsidRPr="0093427B" w:rsidRDefault="006F77D6" w:rsidP="0093427B">
      <w:pPr>
        <w:jc w:val="both"/>
        <w:rPr>
          <w:rFonts w:ascii="Times New Roman" w:hAnsi="Times New Roman" w:cs="Times New Roman"/>
          <w:b/>
          <w:bCs/>
        </w:rPr>
      </w:pPr>
      <w:r w:rsidRPr="0093427B">
        <w:rPr>
          <w:rFonts w:ascii="Times New Roman" w:hAnsi="Times New Roman" w:cs="Times New Roman"/>
          <w:b/>
          <w:bCs/>
        </w:rPr>
        <w:t>Instrumentalising the Operative Interpretation of Article 10 TEU to Protect the Principle of Representative Democracy at EU Level</w:t>
      </w:r>
    </w:p>
    <w:p w14:paraId="091666A0" w14:textId="77777777" w:rsidR="006F77D6" w:rsidRPr="00226C37" w:rsidRDefault="006F77D6" w:rsidP="006F77D6">
      <w:pPr>
        <w:jc w:val="both"/>
        <w:rPr>
          <w:rFonts w:ascii="Times New Roman" w:hAnsi="Times New Roman" w:cs="Times New Roman"/>
          <w:b/>
          <w:bCs/>
        </w:rPr>
      </w:pPr>
    </w:p>
    <w:p w14:paraId="3B6BB4B5" w14:textId="730E340C" w:rsidR="006F77D6" w:rsidRPr="00226C37" w:rsidRDefault="006F77D6" w:rsidP="006F77D6">
      <w:pPr>
        <w:jc w:val="both"/>
        <w:rPr>
          <w:rFonts w:ascii="Times New Roman" w:hAnsi="Times New Roman" w:cs="Times New Roman"/>
        </w:rPr>
      </w:pPr>
      <w:r w:rsidRPr="00226C37">
        <w:rPr>
          <w:rFonts w:ascii="Times New Roman" w:hAnsi="Times New Roman" w:cs="Times New Roman"/>
          <w:i/>
          <w:iCs/>
        </w:rPr>
        <w:t>Setting the Scene</w:t>
      </w:r>
    </w:p>
    <w:p w14:paraId="2E006084" w14:textId="77777777" w:rsidR="006F77D6" w:rsidRPr="00226C37" w:rsidRDefault="006F77D6" w:rsidP="006F77D6">
      <w:pPr>
        <w:jc w:val="both"/>
        <w:rPr>
          <w:rFonts w:ascii="Times New Roman" w:hAnsi="Times New Roman" w:cs="Times New Roman"/>
          <w:b/>
          <w:bCs/>
        </w:rPr>
      </w:pPr>
    </w:p>
    <w:p w14:paraId="5F837CD8" w14:textId="3958484B" w:rsidR="006F77D6" w:rsidRPr="00226C37" w:rsidRDefault="006F77D6" w:rsidP="006F77D6">
      <w:pPr>
        <w:jc w:val="both"/>
        <w:rPr>
          <w:rFonts w:ascii="Times New Roman" w:hAnsi="Times New Roman" w:cs="Times New Roman"/>
        </w:rPr>
      </w:pPr>
      <w:r w:rsidRPr="00226C37">
        <w:rPr>
          <w:rFonts w:ascii="Times New Roman" w:hAnsi="Times New Roman" w:cs="Times New Roman"/>
        </w:rPr>
        <w:t xml:space="preserve">Consider the following scenario. Following a period of instability, the </w:t>
      </w:r>
      <w:r w:rsidR="00AF6D51" w:rsidRPr="00226C37">
        <w:rPr>
          <w:rFonts w:ascii="Times New Roman" w:hAnsi="Times New Roman" w:cs="Times New Roman"/>
        </w:rPr>
        <w:t xml:space="preserve">democratic </w:t>
      </w:r>
      <w:r w:rsidRPr="00226C37">
        <w:rPr>
          <w:rFonts w:ascii="Times New Roman" w:hAnsi="Times New Roman" w:cs="Times New Roman"/>
        </w:rPr>
        <w:t>government of Member State X is deposed in a coup. The military imposes a president for life, who acquires ultimate legislative, executive, and judicial power. All elections</w:t>
      </w:r>
      <w:r w:rsidR="001D05AE" w:rsidRPr="00226C37">
        <w:rPr>
          <w:rFonts w:ascii="Times New Roman" w:hAnsi="Times New Roman" w:cs="Times New Roman"/>
        </w:rPr>
        <w:t xml:space="preserve"> </w:t>
      </w:r>
      <w:r w:rsidRPr="00226C37">
        <w:rPr>
          <w:rFonts w:ascii="Times New Roman" w:hAnsi="Times New Roman" w:cs="Times New Roman"/>
        </w:rPr>
        <w:t xml:space="preserve">are abolished; all appointments are made by the president. The president decides to attend the European Council and sends </w:t>
      </w:r>
      <w:r w:rsidR="008B414C" w:rsidRPr="00226C37">
        <w:rPr>
          <w:rFonts w:ascii="Times New Roman" w:hAnsi="Times New Roman" w:cs="Times New Roman"/>
        </w:rPr>
        <w:t>deputies</w:t>
      </w:r>
      <w:r w:rsidRPr="00226C37">
        <w:rPr>
          <w:rFonts w:ascii="Times New Roman" w:hAnsi="Times New Roman" w:cs="Times New Roman"/>
        </w:rPr>
        <w:t xml:space="preserve"> to attend Council meetings. The situation in Member State X is widely condemned</w:t>
      </w:r>
      <w:r w:rsidR="008B414C" w:rsidRPr="00226C37">
        <w:rPr>
          <w:rFonts w:ascii="Times New Roman" w:hAnsi="Times New Roman" w:cs="Times New Roman"/>
        </w:rPr>
        <w:t xml:space="preserve"> internationally</w:t>
      </w:r>
      <w:r w:rsidRPr="00226C37">
        <w:rPr>
          <w:rFonts w:ascii="Times New Roman" w:hAnsi="Times New Roman" w:cs="Times New Roman"/>
        </w:rPr>
        <w:t xml:space="preserve"> and the Commission, after obtaining the consent of the European Parliament, makes a proposal under </w:t>
      </w:r>
      <w:r w:rsidR="007B0F30">
        <w:rPr>
          <w:rFonts w:ascii="Times New Roman" w:hAnsi="Times New Roman" w:cs="Times New Roman"/>
        </w:rPr>
        <w:t>art.</w:t>
      </w:r>
      <w:r w:rsidRPr="00226C37">
        <w:rPr>
          <w:rFonts w:ascii="Times New Roman" w:hAnsi="Times New Roman" w:cs="Times New Roman"/>
        </w:rPr>
        <w:t xml:space="preserve"> 7(2) TEU seeking a determination from the European Council that there exists a serious and persistent breach of</w:t>
      </w:r>
      <w:r w:rsidR="009724D5" w:rsidRPr="00226C37">
        <w:rPr>
          <w:rFonts w:ascii="Times New Roman" w:hAnsi="Times New Roman" w:cs="Times New Roman"/>
        </w:rPr>
        <w:t xml:space="preserve"> </w:t>
      </w:r>
      <w:r w:rsidR="007B0F30">
        <w:rPr>
          <w:rFonts w:ascii="Times New Roman" w:hAnsi="Times New Roman" w:cs="Times New Roman"/>
        </w:rPr>
        <w:t>art.</w:t>
      </w:r>
      <w:r w:rsidR="009724D5" w:rsidRPr="00226C37">
        <w:rPr>
          <w:rFonts w:ascii="Times New Roman" w:hAnsi="Times New Roman" w:cs="Times New Roman"/>
        </w:rPr>
        <w:t xml:space="preserve"> 2 TEU</w:t>
      </w:r>
      <w:r w:rsidRPr="00226C37">
        <w:rPr>
          <w:rFonts w:ascii="Times New Roman" w:hAnsi="Times New Roman" w:cs="Times New Roman"/>
        </w:rPr>
        <w:t xml:space="preserve"> values. Such a determination will of course be necessary before the Council can, under </w:t>
      </w:r>
      <w:r w:rsidR="007B0F30">
        <w:rPr>
          <w:rFonts w:ascii="Times New Roman" w:hAnsi="Times New Roman" w:cs="Times New Roman"/>
        </w:rPr>
        <w:t>art.</w:t>
      </w:r>
      <w:r w:rsidRPr="00226C37">
        <w:rPr>
          <w:rFonts w:ascii="Times New Roman" w:hAnsi="Times New Roman" w:cs="Times New Roman"/>
        </w:rPr>
        <w:t xml:space="preserve"> 7(3) TEU, suspend (among other rights) the voting rights of Member State X in the Council. Moreover, under </w:t>
      </w:r>
      <w:r w:rsidR="007B0F30">
        <w:rPr>
          <w:rFonts w:ascii="Times New Roman" w:hAnsi="Times New Roman" w:cs="Times New Roman"/>
        </w:rPr>
        <w:t>art.</w:t>
      </w:r>
      <w:r w:rsidRPr="00226C37">
        <w:rPr>
          <w:rFonts w:ascii="Times New Roman" w:hAnsi="Times New Roman" w:cs="Times New Roman"/>
        </w:rPr>
        <w:t xml:space="preserve"> 7(2) TEU, the European Council will have to vote unanimously before a determination can be made.</w:t>
      </w:r>
      <w:r w:rsidR="005578F5" w:rsidRPr="00226C37">
        <w:rPr>
          <w:rFonts w:ascii="Times New Roman" w:hAnsi="Times New Roman" w:cs="Times New Roman"/>
        </w:rPr>
        <w:t xml:space="preserve"> I</w:t>
      </w:r>
      <w:r w:rsidRPr="00226C37">
        <w:rPr>
          <w:rFonts w:ascii="Times New Roman" w:hAnsi="Times New Roman" w:cs="Times New Roman"/>
        </w:rPr>
        <w:t xml:space="preserve">n the European Council, the governments of two Member States are opposed to the making of such a determination. The government of Member State Y believes that the internal affairs of Member State X are purely a matter for Member State X. The Government of Member State Z has been criticised for its record on the rule of law in the past decade and, concerned about the possibility of </w:t>
      </w:r>
      <w:r w:rsidR="007B0F30">
        <w:rPr>
          <w:rFonts w:ascii="Times New Roman" w:hAnsi="Times New Roman" w:cs="Times New Roman"/>
        </w:rPr>
        <w:t>art.</w:t>
      </w:r>
      <w:r w:rsidRPr="00226C37">
        <w:rPr>
          <w:rFonts w:ascii="Times New Roman" w:hAnsi="Times New Roman" w:cs="Times New Roman"/>
        </w:rPr>
        <w:t xml:space="preserve"> 7 TEU being utilised against it, would like to retain Member State X as an ally. There is, therefore, no prospect of representative</w:t>
      </w:r>
      <w:r w:rsidR="000C36F7" w:rsidRPr="00226C37">
        <w:rPr>
          <w:rFonts w:ascii="Times New Roman" w:hAnsi="Times New Roman" w:cs="Times New Roman"/>
        </w:rPr>
        <w:t>s</w:t>
      </w:r>
      <w:r w:rsidRPr="00226C37">
        <w:rPr>
          <w:rFonts w:ascii="Times New Roman" w:hAnsi="Times New Roman" w:cs="Times New Roman"/>
        </w:rPr>
        <w:t xml:space="preserve"> of Member State X being excluded from the Council, </w:t>
      </w:r>
      <w:r w:rsidR="000C36F7" w:rsidRPr="00226C37">
        <w:rPr>
          <w:rFonts w:ascii="Times New Roman" w:hAnsi="Times New Roman" w:cs="Times New Roman"/>
        </w:rPr>
        <w:t xml:space="preserve">and </w:t>
      </w:r>
      <w:r w:rsidRPr="00226C37">
        <w:rPr>
          <w:rFonts w:ascii="Times New Roman" w:hAnsi="Times New Roman" w:cs="Times New Roman"/>
        </w:rPr>
        <w:t xml:space="preserve">certainly not ahead of its next meetings, in which acts requiring unanimity for adoption will be discussed. </w:t>
      </w:r>
      <w:r w:rsidR="006E4B8B" w:rsidRPr="00226C37">
        <w:rPr>
          <w:rFonts w:ascii="Times New Roman" w:hAnsi="Times New Roman" w:cs="Times New Roman"/>
        </w:rPr>
        <w:t xml:space="preserve">The </w:t>
      </w:r>
      <w:r w:rsidRPr="00226C37">
        <w:rPr>
          <w:rFonts w:ascii="Times New Roman" w:hAnsi="Times New Roman" w:cs="Times New Roman"/>
        </w:rPr>
        <w:t xml:space="preserve">president of Member State X indicates that Member State X will not comply with any judgment made under </w:t>
      </w:r>
      <w:r w:rsidR="007B0F30">
        <w:rPr>
          <w:rFonts w:ascii="Times New Roman" w:hAnsi="Times New Roman" w:cs="Times New Roman"/>
        </w:rPr>
        <w:t>art</w:t>
      </w:r>
      <w:r w:rsidRPr="00226C37">
        <w:rPr>
          <w:rFonts w:ascii="Times New Roman" w:hAnsi="Times New Roman" w:cs="Times New Roman"/>
        </w:rPr>
        <w:t xml:space="preserve">s 258-260 TFEU. The President of Member State X is also unperturbed by any threats to make EU </w:t>
      </w:r>
      <w:r w:rsidRPr="00226C37">
        <w:rPr>
          <w:rFonts w:ascii="Times New Roman" w:hAnsi="Times New Roman" w:cs="Times New Roman"/>
        </w:rPr>
        <w:lastRenderedPageBreak/>
        <w:t xml:space="preserve">funding conditional on compliance with </w:t>
      </w:r>
      <w:r w:rsidR="007B0F30">
        <w:rPr>
          <w:rFonts w:ascii="Times New Roman" w:hAnsi="Times New Roman" w:cs="Times New Roman"/>
        </w:rPr>
        <w:t>art.</w:t>
      </w:r>
      <w:r w:rsidRPr="00226C37">
        <w:rPr>
          <w:rFonts w:ascii="Times New Roman" w:hAnsi="Times New Roman" w:cs="Times New Roman"/>
        </w:rPr>
        <w:t xml:space="preserve"> 2 TEU values, since Member State X has become closely allied with wealthy non-EU states that are prepared to support Member State X financially. The President of Member State X also has no intention of</w:t>
      </w:r>
      <w:r w:rsidR="00D51FC7" w:rsidRPr="00226C37">
        <w:rPr>
          <w:rFonts w:ascii="Times New Roman" w:hAnsi="Times New Roman" w:cs="Times New Roman"/>
        </w:rPr>
        <w:t xml:space="preserve"> invo</w:t>
      </w:r>
      <w:r w:rsidR="006E4B8B" w:rsidRPr="00226C37">
        <w:rPr>
          <w:rFonts w:ascii="Times New Roman" w:hAnsi="Times New Roman" w:cs="Times New Roman"/>
        </w:rPr>
        <w:t>k</w:t>
      </w:r>
      <w:r w:rsidR="00D51FC7" w:rsidRPr="00226C37">
        <w:rPr>
          <w:rFonts w:ascii="Times New Roman" w:hAnsi="Times New Roman" w:cs="Times New Roman"/>
        </w:rPr>
        <w:t xml:space="preserve">ing </w:t>
      </w:r>
      <w:r w:rsidR="007B0F30">
        <w:rPr>
          <w:rFonts w:ascii="Times New Roman" w:hAnsi="Times New Roman" w:cs="Times New Roman"/>
        </w:rPr>
        <w:t>art.</w:t>
      </w:r>
      <w:r w:rsidR="00D51FC7" w:rsidRPr="00226C37">
        <w:rPr>
          <w:rFonts w:ascii="Times New Roman" w:hAnsi="Times New Roman" w:cs="Times New Roman"/>
        </w:rPr>
        <w:t xml:space="preserve"> 50 TEU</w:t>
      </w:r>
      <w:r w:rsidRPr="00226C37">
        <w:rPr>
          <w:rFonts w:ascii="Times New Roman" w:hAnsi="Times New Roman" w:cs="Times New Roman"/>
        </w:rPr>
        <w:t xml:space="preserve">, since membership of the EU’s internal market benefits </w:t>
      </w:r>
      <w:r w:rsidR="006E4B8B" w:rsidRPr="00226C37">
        <w:rPr>
          <w:rFonts w:ascii="Times New Roman" w:hAnsi="Times New Roman" w:cs="Times New Roman"/>
        </w:rPr>
        <w:t xml:space="preserve">Member State X’s </w:t>
      </w:r>
      <w:r w:rsidRPr="00226C37">
        <w:rPr>
          <w:rFonts w:ascii="Times New Roman" w:hAnsi="Times New Roman" w:cs="Times New Roman"/>
        </w:rPr>
        <w:t>economy</w:t>
      </w:r>
      <w:r w:rsidR="001360FA" w:rsidRPr="00226C37">
        <w:rPr>
          <w:rFonts w:ascii="Times New Roman" w:hAnsi="Times New Roman" w:cs="Times New Roman"/>
        </w:rPr>
        <w:t>. T</w:t>
      </w:r>
      <w:r w:rsidRPr="00226C37">
        <w:rPr>
          <w:rFonts w:ascii="Times New Roman" w:hAnsi="Times New Roman" w:cs="Times New Roman"/>
        </w:rPr>
        <w:t>he President also sees the possibility of leveraging Member State X’s position within the EU and of causing disruption, where beneficial</w:t>
      </w:r>
      <w:r w:rsidR="001360FA" w:rsidRPr="00226C37">
        <w:rPr>
          <w:rFonts w:ascii="Times New Roman" w:hAnsi="Times New Roman" w:cs="Times New Roman"/>
        </w:rPr>
        <w:t xml:space="preserve"> to Member State X’s interests</w:t>
      </w:r>
      <w:r w:rsidR="006E4B8B" w:rsidRPr="00226C37">
        <w:rPr>
          <w:rFonts w:ascii="Times New Roman" w:hAnsi="Times New Roman" w:cs="Times New Roman"/>
        </w:rPr>
        <w:t xml:space="preserve"> and those of its non-EU benefactors. </w:t>
      </w:r>
    </w:p>
    <w:p w14:paraId="525962F4" w14:textId="77777777" w:rsidR="006F77D6" w:rsidRPr="00226C37" w:rsidRDefault="006F77D6" w:rsidP="006F77D6">
      <w:pPr>
        <w:jc w:val="both"/>
        <w:rPr>
          <w:rFonts w:ascii="Times New Roman" w:hAnsi="Times New Roman" w:cs="Times New Roman"/>
        </w:rPr>
      </w:pPr>
    </w:p>
    <w:p w14:paraId="59ECFC9E" w14:textId="48C36088" w:rsidR="00182F3E" w:rsidRPr="00226C37" w:rsidRDefault="006F77D6" w:rsidP="006F77D6">
      <w:pPr>
        <w:jc w:val="both"/>
        <w:rPr>
          <w:rFonts w:ascii="Times New Roman" w:hAnsi="Times New Roman" w:cs="Times New Roman"/>
        </w:rPr>
      </w:pPr>
      <w:r w:rsidRPr="00226C37">
        <w:rPr>
          <w:rFonts w:ascii="Times New Roman" w:hAnsi="Times New Roman" w:cs="Times New Roman"/>
        </w:rPr>
        <w:t>The scenario presented above is a</w:t>
      </w:r>
      <w:r w:rsidR="00364094" w:rsidRPr="00226C37">
        <w:rPr>
          <w:rFonts w:ascii="Times New Roman" w:hAnsi="Times New Roman" w:cs="Times New Roman"/>
        </w:rPr>
        <w:t xml:space="preserve"> stark </w:t>
      </w:r>
      <w:r w:rsidR="000C36F7" w:rsidRPr="00226C37">
        <w:rPr>
          <w:rFonts w:ascii="Times New Roman" w:hAnsi="Times New Roman" w:cs="Times New Roman"/>
        </w:rPr>
        <w:t>one</w:t>
      </w:r>
      <w:r w:rsidRPr="00226C37">
        <w:rPr>
          <w:rFonts w:ascii="Times New Roman" w:hAnsi="Times New Roman" w:cs="Times New Roman"/>
        </w:rPr>
        <w:t xml:space="preserve">. It is also one that might be said not to represent the realities of the twenty-first century globally or </w:t>
      </w:r>
      <w:r w:rsidR="00AB7E30" w:rsidRPr="00226C37">
        <w:rPr>
          <w:rFonts w:ascii="Times New Roman" w:hAnsi="Times New Roman" w:cs="Times New Roman"/>
        </w:rPr>
        <w:t xml:space="preserve">in the </w:t>
      </w:r>
      <w:r w:rsidRPr="00226C37">
        <w:rPr>
          <w:rFonts w:ascii="Times New Roman" w:hAnsi="Times New Roman" w:cs="Times New Roman"/>
        </w:rPr>
        <w:t>EU specifically. In recent times, the phenomenon of democratic backsliding has replaced the sudden jolt of the coup.</w:t>
      </w:r>
      <w:r w:rsidRPr="00226C37">
        <w:rPr>
          <w:rStyle w:val="FootnoteReference"/>
          <w:rFonts w:ascii="Times New Roman" w:hAnsi="Times New Roman" w:cs="Times New Roman"/>
        </w:rPr>
        <w:footnoteReference w:id="16"/>
      </w:r>
      <w:r w:rsidRPr="00226C37">
        <w:rPr>
          <w:rFonts w:ascii="Times New Roman" w:hAnsi="Times New Roman" w:cs="Times New Roman"/>
        </w:rPr>
        <w:t xml:space="preserve"> The de</w:t>
      </w:r>
      <w:r w:rsidR="00F64B03" w:rsidRPr="00226C37">
        <w:rPr>
          <w:rFonts w:ascii="Times New Roman" w:hAnsi="Times New Roman" w:cs="Times New Roman"/>
        </w:rPr>
        <w:t>cline</w:t>
      </w:r>
      <w:r w:rsidRPr="00226C37">
        <w:rPr>
          <w:rFonts w:ascii="Times New Roman" w:hAnsi="Times New Roman" w:cs="Times New Roman"/>
        </w:rPr>
        <w:t xml:space="preserve"> of a democracy is most often gradual and pursued using what are, at least at surface level, legal means</w:t>
      </w:r>
      <w:r w:rsidR="00DD3E9E" w:rsidRPr="00226C37">
        <w:rPr>
          <w:rFonts w:ascii="Times New Roman" w:hAnsi="Times New Roman" w:cs="Times New Roman"/>
        </w:rPr>
        <w:t>.</w:t>
      </w:r>
      <w:bookmarkStart w:id="7" w:name="_Ref70604795"/>
      <w:r w:rsidR="00F629D8" w:rsidRPr="00226C37">
        <w:rPr>
          <w:rStyle w:val="FootnoteReference"/>
          <w:rFonts w:ascii="Times New Roman" w:hAnsi="Times New Roman" w:cs="Times New Roman"/>
        </w:rPr>
        <w:footnoteReference w:id="17"/>
      </w:r>
      <w:bookmarkEnd w:id="7"/>
      <w:r w:rsidR="00DD3E9E" w:rsidRPr="00226C37">
        <w:rPr>
          <w:rFonts w:ascii="Times New Roman" w:hAnsi="Times New Roman" w:cs="Times New Roman"/>
        </w:rPr>
        <w:t xml:space="preserve"> </w:t>
      </w:r>
      <w:r w:rsidR="003A5E2C" w:rsidRPr="00226C37">
        <w:rPr>
          <w:rFonts w:ascii="Times New Roman" w:hAnsi="Times New Roman" w:cs="Times New Roman"/>
        </w:rPr>
        <w:t>It has been the utilisation of such means that has caused</w:t>
      </w:r>
      <w:r w:rsidR="00974AF7" w:rsidRPr="00226C37">
        <w:rPr>
          <w:rFonts w:ascii="Times New Roman" w:hAnsi="Times New Roman" w:cs="Times New Roman"/>
        </w:rPr>
        <w:t xml:space="preserve"> Poland and Hungary to be </w:t>
      </w:r>
      <w:r w:rsidR="00856CB4" w:rsidRPr="00226C37">
        <w:rPr>
          <w:rFonts w:ascii="Times New Roman" w:hAnsi="Times New Roman" w:cs="Times New Roman"/>
        </w:rPr>
        <w:t xml:space="preserve">listed by the V-Dem Institute as the </w:t>
      </w:r>
      <w:r w:rsidR="00D47AF5" w:rsidRPr="00226C37">
        <w:rPr>
          <w:rFonts w:ascii="Times New Roman" w:hAnsi="Times New Roman" w:cs="Times New Roman"/>
        </w:rPr>
        <w:t xml:space="preserve">top two </w:t>
      </w:r>
      <w:proofErr w:type="spellStart"/>
      <w:r w:rsidR="00D47AF5" w:rsidRPr="00226C37">
        <w:rPr>
          <w:rFonts w:ascii="Times New Roman" w:hAnsi="Times New Roman" w:cs="Times New Roman"/>
        </w:rPr>
        <w:t>autocratising</w:t>
      </w:r>
      <w:proofErr w:type="spellEnd"/>
      <w:r w:rsidR="00D47AF5" w:rsidRPr="00226C37">
        <w:rPr>
          <w:rFonts w:ascii="Times New Roman" w:hAnsi="Times New Roman" w:cs="Times New Roman"/>
        </w:rPr>
        <w:t xml:space="preserve"> countries in the world </w:t>
      </w:r>
      <w:r w:rsidR="00D468A2" w:rsidRPr="00226C37">
        <w:rPr>
          <w:rFonts w:ascii="Times New Roman" w:hAnsi="Times New Roman" w:cs="Times New Roman"/>
        </w:rPr>
        <w:t xml:space="preserve">respectively </w:t>
      </w:r>
      <w:r w:rsidR="00D47AF5" w:rsidRPr="00226C37">
        <w:rPr>
          <w:rFonts w:ascii="Times New Roman" w:hAnsi="Times New Roman" w:cs="Times New Roman"/>
        </w:rPr>
        <w:t>between 2010 and 2020 in its 2021 report</w:t>
      </w:r>
      <w:r w:rsidRPr="00226C37">
        <w:rPr>
          <w:rFonts w:ascii="Times New Roman" w:hAnsi="Times New Roman" w:cs="Times New Roman"/>
        </w:rPr>
        <w:t>.</w:t>
      </w:r>
      <w:r w:rsidRPr="00226C37">
        <w:rPr>
          <w:rStyle w:val="FootnoteReference"/>
          <w:rFonts w:ascii="Times New Roman" w:hAnsi="Times New Roman" w:cs="Times New Roman"/>
        </w:rPr>
        <w:footnoteReference w:id="18"/>
      </w:r>
      <w:r w:rsidR="00072566" w:rsidRPr="00226C37">
        <w:rPr>
          <w:rFonts w:ascii="Times New Roman" w:hAnsi="Times New Roman" w:cs="Times New Roman"/>
        </w:rPr>
        <w:t xml:space="preserve"> </w:t>
      </w:r>
      <w:r w:rsidRPr="00226C37">
        <w:rPr>
          <w:rFonts w:ascii="Times New Roman" w:hAnsi="Times New Roman" w:cs="Times New Roman"/>
        </w:rPr>
        <w:t>The result</w:t>
      </w:r>
      <w:r w:rsidR="00141741" w:rsidRPr="00226C37">
        <w:rPr>
          <w:rFonts w:ascii="Times New Roman" w:hAnsi="Times New Roman" w:cs="Times New Roman"/>
        </w:rPr>
        <w:t xml:space="preserve"> of incrementalism</w:t>
      </w:r>
      <w:r w:rsidRPr="00226C37">
        <w:rPr>
          <w:rFonts w:ascii="Times New Roman" w:hAnsi="Times New Roman" w:cs="Times New Roman"/>
        </w:rPr>
        <w:t xml:space="preserve"> is that democratic dismantlement is often missed by those who are not informed</w:t>
      </w:r>
      <w:r w:rsidR="002076D9" w:rsidRPr="00226C37">
        <w:rPr>
          <w:rFonts w:ascii="Times New Roman" w:hAnsi="Times New Roman" w:cs="Times New Roman"/>
        </w:rPr>
        <w:t xml:space="preserve"> </w:t>
      </w:r>
      <w:r w:rsidRPr="00226C37">
        <w:rPr>
          <w:rFonts w:ascii="Times New Roman" w:hAnsi="Times New Roman" w:cs="Times New Roman"/>
        </w:rPr>
        <w:t>and interested observers.</w:t>
      </w:r>
      <w:r w:rsidRPr="00226C37">
        <w:rPr>
          <w:rStyle w:val="FootnoteReference"/>
          <w:rFonts w:ascii="Times New Roman" w:hAnsi="Times New Roman" w:cs="Times New Roman"/>
        </w:rPr>
        <w:footnoteReference w:id="19"/>
      </w:r>
      <w:r w:rsidRPr="00226C37">
        <w:rPr>
          <w:rFonts w:ascii="Times New Roman" w:hAnsi="Times New Roman" w:cs="Times New Roman"/>
        </w:rPr>
        <w:t xml:space="preserve"> There is also the problem that it is difficult to ascertain when precisely a government becomes democratically unaccountable to a national parliament or to citizens, and any such assertion </w:t>
      </w:r>
      <w:r w:rsidR="00DD436E" w:rsidRPr="00226C37">
        <w:rPr>
          <w:rFonts w:ascii="Times New Roman" w:hAnsi="Times New Roman" w:cs="Times New Roman"/>
        </w:rPr>
        <w:t>may</w:t>
      </w:r>
      <w:r w:rsidRPr="00226C37">
        <w:rPr>
          <w:rFonts w:ascii="Times New Roman" w:hAnsi="Times New Roman" w:cs="Times New Roman"/>
        </w:rPr>
        <w:t xml:space="preserve"> be contestable.</w:t>
      </w:r>
      <w:bookmarkStart w:id="8" w:name="_Ref70947243"/>
      <w:r w:rsidRPr="00226C37">
        <w:rPr>
          <w:rStyle w:val="FootnoteReference"/>
          <w:rFonts w:ascii="Times New Roman" w:hAnsi="Times New Roman" w:cs="Times New Roman"/>
        </w:rPr>
        <w:footnoteReference w:id="20"/>
      </w:r>
      <w:bookmarkEnd w:id="8"/>
      <w:r w:rsidRPr="00226C37">
        <w:rPr>
          <w:rFonts w:ascii="Times New Roman" w:hAnsi="Times New Roman" w:cs="Times New Roman"/>
        </w:rPr>
        <w:t xml:space="preserve"> Moreover, emergency powers may be used by a government in a manner whereby a state can </w:t>
      </w:r>
      <w:r w:rsidR="007758AE" w:rsidRPr="00226C37">
        <w:rPr>
          <w:rFonts w:ascii="Times New Roman" w:hAnsi="Times New Roman" w:cs="Times New Roman"/>
        </w:rPr>
        <w:t>disorientate observers</w:t>
      </w:r>
      <w:r w:rsidR="00F64B03" w:rsidRPr="00226C37">
        <w:rPr>
          <w:rFonts w:ascii="Times New Roman" w:hAnsi="Times New Roman" w:cs="Times New Roman"/>
        </w:rPr>
        <w:t>,</w:t>
      </w:r>
      <w:r w:rsidR="00A33F1D" w:rsidRPr="00226C37">
        <w:rPr>
          <w:rFonts w:ascii="Times New Roman" w:hAnsi="Times New Roman" w:cs="Times New Roman"/>
        </w:rPr>
        <w:t xml:space="preserve"> and take advantage of short attention spans</w:t>
      </w:r>
      <w:r w:rsidR="007758AE" w:rsidRPr="00226C37">
        <w:rPr>
          <w:rFonts w:ascii="Times New Roman" w:hAnsi="Times New Roman" w:cs="Times New Roman"/>
        </w:rPr>
        <w:t xml:space="preserve"> by </w:t>
      </w:r>
      <w:r w:rsidR="001967FF" w:rsidRPr="00226C37">
        <w:rPr>
          <w:rFonts w:ascii="Times New Roman" w:hAnsi="Times New Roman" w:cs="Times New Roman"/>
        </w:rPr>
        <w:t xml:space="preserve"> repealing certain emergency measures and enacting others in their place or frequently oscillating between autocracy and imperfect democracy</w:t>
      </w:r>
      <w:r w:rsidRPr="00226C37">
        <w:rPr>
          <w:rFonts w:ascii="Times New Roman" w:hAnsi="Times New Roman" w:cs="Times New Roman"/>
        </w:rPr>
        <w:t>.</w:t>
      </w:r>
      <w:bookmarkStart w:id="9" w:name="_Ref70947254"/>
      <w:r w:rsidRPr="00226C37">
        <w:rPr>
          <w:rStyle w:val="FootnoteReference"/>
          <w:rFonts w:ascii="Times New Roman" w:hAnsi="Times New Roman" w:cs="Times New Roman"/>
        </w:rPr>
        <w:footnoteReference w:id="21"/>
      </w:r>
      <w:bookmarkEnd w:id="9"/>
      <w:r w:rsidRPr="00226C37">
        <w:rPr>
          <w:rFonts w:ascii="Times New Roman" w:hAnsi="Times New Roman" w:cs="Times New Roman"/>
        </w:rPr>
        <w:t xml:space="preserve"> </w:t>
      </w:r>
    </w:p>
    <w:p w14:paraId="7A9F4484" w14:textId="77777777" w:rsidR="00182F3E" w:rsidRPr="00226C37" w:rsidRDefault="00182F3E" w:rsidP="006F77D6">
      <w:pPr>
        <w:jc w:val="both"/>
        <w:rPr>
          <w:rFonts w:ascii="Times New Roman" w:hAnsi="Times New Roman" w:cs="Times New Roman"/>
        </w:rPr>
      </w:pPr>
    </w:p>
    <w:p w14:paraId="75526C12" w14:textId="0C3E612E" w:rsidR="006F77D6" w:rsidRPr="00226C37" w:rsidRDefault="00052227" w:rsidP="006F77D6">
      <w:pPr>
        <w:jc w:val="both"/>
        <w:rPr>
          <w:rFonts w:ascii="Times New Roman" w:hAnsi="Times New Roman" w:cs="Times New Roman"/>
        </w:rPr>
      </w:pPr>
      <w:r w:rsidRPr="00226C37">
        <w:rPr>
          <w:rFonts w:ascii="Times New Roman" w:hAnsi="Times New Roman" w:cs="Times New Roman"/>
        </w:rPr>
        <w:t xml:space="preserve">The </w:t>
      </w:r>
      <w:r w:rsidR="00CC0322" w:rsidRPr="00226C37">
        <w:rPr>
          <w:rFonts w:ascii="Times New Roman" w:hAnsi="Times New Roman" w:cs="Times New Roman"/>
        </w:rPr>
        <w:t>coup</w:t>
      </w:r>
      <w:r w:rsidRPr="00226C37">
        <w:rPr>
          <w:rFonts w:ascii="Times New Roman" w:hAnsi="Times New Roman" w:cs="Times New Roman"/>
        </w:rPr>
        <w:t xml:space="preserve"> scenario presented above </w:t>
      </w:r>
      <w:r w:rsidR="001C563F" w:rsidRPr="00226C37">
        <w:rPr>
          <w:rFonts w:ascii="Times New Roman" w:hAnsi="Times New Roman" w:cs="Times New Roman"/>
        </w:rPr>
        <w:t>w</w:t>
      </w:r>
      <w:r w:rsidR="00B531BC" w:rsidRPr="00226C37">
        <w:rPr>
          <w:rFonts w:ascii="Times New Roman" w:hAnsi="Times New Roman" w:cs="Times New Roman"/>
        </w:rPr>
        <w:t xml:space="preserve">as chosen to illustrate </w:t>
      </w:r>
      <w:r w:rsidR="00CC0322" w:rsidRPr="00226C37">
        <w:rPr>
          <w:rFonts w:ascii="Times New Roman" w:hAnsi="Times New Roman" w:cs="Times New Roman"/>
        </w:rPr>
        <w:t xml:space="preserve">in the starkest possible terms </w:t>
      </w:r>
      <w:r w:rsidR="00D82CCD" w:rsidRPr="00226C37">
        <w:rPr>
          <w:rFonts w:ascii="Times New Roman" w:hAnsi="Times New Roman" w:cs="Times New Roman"/>
        </w:rPr>
        <w:t xml:space="preserve">a situation </w:t>
      </w:r>
      <w:r w:rsidR="001B7D35" w:rsidRPr="00226C37">
        <w:rPr>
          <w:rFonts w:ascii="Times New Roman" w:hAnsi="Times New Roman" w:cs="Times New Roman"/>
        </w:rPr>
        <w:t>in which the European Council and the Council might play host to the representatives of an undemocratic Member State and</w:t>
      </w:r>
      <w:r w:rsidR="00084438" w:rsidRPr="00226C37">
        <w:rPr>
          <w:rFonts w:ascii="Times New Roman" w:hAnsi="Times New Roman" w:cs="Times New Roman"/>
        </w:rPr>
        <w:t>,</w:t>
      </w:r>
      <w:r w:rsidR="00881CC7" w:rsidRPr="00226C37">
        <w:rPr>
          <w:rFonts w:ascii="Times New Roman" w:hAnsi="Times New Roman" w:cs="Times New Roman"/>
        </w:rPr>
        <w:t xml:space="preserve"> owing</w:t>
      </w:r>
      <w:r w:rsidR="00084438" w:rsidRPr="00226C37">
        <w:rPr>
          <w:rFonts w:ascii="Times New Roman" w:hAnsi="Times New Roman" w:cs="Times New Roman"/>
        </w:rPr>
        <w:t xml:space="preserve"> </w:t>
      </w:r>
      <w:r w:rsidR="009906D9" w:rsidRPr="00226C37">
        <w:rPr>
          <w:rFonts w:ascii="Times New Roman" w:hAnsi="Times New Roman" w:cs="Times New Roman"/>
        </w:rPr>
        <w:t xml:space="preserve">to </w:t>
      </w:r>
      <w:r w:rsidR="00D24166" w:rsidRPr="00226C37">
        <w:rPr>
          <w:rFonts w:ascii="Times New Roman" w:hAnsi="Times New Roman" w:cs="Times New Roman"/>
        </w:rPr>
        <w:t xml:space="preserve">political unwillingness to confront the problem, </w:t>
      </w:r>
      <w:r w:rsidR="006536C3" w:rsidRPr="00226C37">
        <w:rPr>
          <w:rFonts w:ascii="Times New Roman" w:hAnsi="Times New Roman" w:cs="Times New Roman"/>
        </w:rPr>
        <w:t xml:space="preserve">that </w:t>
      </w:r>
      <w:r w:rsidR="00307F18" w:rsidRPr="00226C37">
        <w:rPr>
          <w:rFonts w:ascii="Times New Roman" w:hAnsi="Times New Roman" w:cs="Times New Roman"/>
        </w:rPr>
        <w:t>situation</w:t>
      </w:r>
      <w:r w:rsidR="006536C3" w:rsidRPr="00226C37">
        <w:rPr>
          <w:rFonts w:ascii="Times New Roman" w:hAnsi="Times New Roman" w:cs="Times New Roman"/>
        </w:rPr>
        <w:t xml:space="preserve"> would persist. </w:t>
      </w:r>
      <w:r w:rsidR="00D258B5" w:rsidRPr="00226C37">
        <w:rPr>
          <w:rFonts w:ascii="Times New Roman" w:hAnsi="Times New Roman" w:cs="Times New Roman"/>
        </w:rPr>
        <w:t xml:space="preserve">It is accepted that in such circumstances, a more robust response would be expected by the EU’s political actors </w:t>
      </w:r>
      <w:r w:rsidR="008B3AB5" w:rsidRPr="00226C37">
        <w:rPr>
          <w:rFonts w:ascii="Times New Roman" w:hAnsi="Times New Roman" w:cs="Times New Roman"/>
        </w:rPr>
        <w:t xml:space="preserve">than has been the case when dealing with democratic and rule of law backsliding in the past decade. </w:t>
      </w:r>
      <w:r w:rsidR="00DD4575" w:rsidRPr="00226C37">
        <w:rPr>
          <w:rFonts w:ascii="Times New Roman" w:hAnsi="Times New Roman" w:cs="Times New Roman"/>
        </w:rPr>
        <w:t>I</w:t>
      </w:r>
      <w:r w:rsidR="0048518F" w:rsidRPr="00226C37">
        <w:rPr>
          <w:rFonts w:ascii="Times New Roman" w:hAnsi="Times New Roman" w:cs="Times New Roman"/>
        </w:rPr>
        <w:t xml:space="preserve">n fact, as Kelemen’s ‘authoritarian equilibrium’ </w:t>
      </w:r>
      <w:r w:rsidR="00906E2F" w:rsidRPr="00226C37">
        <w:rPr>
          <w:rFonts w:ascii="Times New Roman" w:hAnsi="Times New Roman" w:cs="Times New Roman"/>
        </w:rPr>
        <w:t xml:space="preserve">thesis would tend to suggest, a gradual decline of a Member State’s democracy </w:t>
      </w:r>
      <w:r w:rsidR="00755E6D" w:rsidRPr="00226C37">
        <w:rPr>
          <w:rFonts w:ascii="Times New Roman" w:hAnsi="Times New Roman" w:cs="Times New Roman"/>
        </w:rPr>
        <w:t xml:space="preserve">to the point where its government would no longer be considered democratically accountable </w:t>
      </w:r>
      <w:r w:rsidR="000834F4" w:rsidRPr="00226C37">
        <w:rPr>
          <w:rFonts w:ascii="Times New Roman" w:hAnsi="Times New Roman" w:cs="Times New Roman"/>
        </w:rPr>
        <w:t>would not be as likely to engender as strong a response from EU institutions</w:t>
      </w:r>
      <w:r w:rsidR="00404060" w:rsidRPr="00226C37">
        <w:rPr>
          <w:rFonts w:ascii="Times New Roman" w:hAnsi="Times New Roman" w:cs="Times New Roman"/>
        </w:rPr>
        <w:t xml:space="preserve"> as a sudden coup</w:t>
      </w:r>
      <w:r w:rsidR="000834F4" w:rsidRPr="00226C37">
        <w:rPr>
          <w:rFonts w:ascii="Times New Roman" w:hAnsi="Times New Roman" w:cs="Times New Roman"/>
        </w:rPr>
        <w:t>.</w:t>
      </w:r>
      <w:r w:rsidR="00C941E5" w:rsidRPr="00226C37">
        <w:rPr>
          <w:rStyle w:val="FootnoteReference"/>
          <w:rFonts w:ascii="Times New Roman" w:hAnsi="Times New Roman" w:cs="Times New Roman"/>
        </w:rPr>
        <w:footnoteReference w:id="22"/>
      </w:r>
      <w:r w:rsidR="004767C4" w:rsidRPr="00226C37">
        <w:rPr>
          <w:rFonts w:ascii="Times New Roman" w:hAnsi="Times New Roman" w:cs="Times New Roman"/>
        </w:rPr>
        <w:t xml:space="preserve"> </w:t>
      </w:r>
      <w:r w:rsidR="006F77D6" w:rsidRPr="00226C37">
        <w:rPr>
          <w:rFonts w:ascii="Times New Roman" w:hAnsi="Times New Roman" w:cs="Times New Roman"/>
        </w:rPr>
        <w:t>These differences</w:t>
      </w:r>
      <w:r w:rsidR="00404060" w:rsidRPr="00226C37">
        <w:rPr>
          <w:rFonts w:ascii="Times New Roman" w:hAnsi="Times New Roman" w:cs="Times New Roman"/>
        </w:rPr>
        <w:t xml:space="preserve"> between the coup and backsliding scenarios</w:t>
      </w:r>
      <w:r w:rsidR="006F77D6" w:rsidRPr="00226C37">
        <w:rPr>
          <w:rFonts w:ascii="Times New Roman" w:hAnsi="Times New Roman" w:cs="Times New Roman"/>
        </w:rPr>
        <w:t xml:space="preserve"> notwithstanding, </w:t>
      </w:r>
      <w:r w:rsidR="00404060" w:rsidRPr="00226C37">
        <w:rPr>
          <w:rFonts w:ascii="Times New Roman" w:hAnsi="Times New Roman" w:cs="Times New Roman"/>
        </w:rPr>
        <w:t>circumstances</w:t>
      </w:r>
      <w:r w:rsidR="006F77D6" w:rsidRPr="00226C37">
        <w:rPr>
          <w:rFonts w:ascii="Times New Roman" w:hAnsi="Times New Roman" w:cs="Times New Roman"/>
        </w:rPr>
        <w:t xml:space="preserve"> whereby democracy in a Member State is dismantled over a period of time to the extent that a government is no longer democratically accountable present</w:t>
      </w:r>
      <w:r w:rsidR="00404060" w:rsidRPr="00226C37">
        <w:rPr>
          <w:rFonts w:ascii="Times New Roman" w:hAnsi="Times New Roman" w:cs="Times New Roman"/>
        </w:rPr>
        <w:t>,</w:t>
      </w:r>
      <w:r w:rsidR="006F77D6" w:rsidRPr="00226C37">
        <w:rPr>
          <w:rFonts w:ascii="Times New Roman" w:hAnsi="Times New Roman" w:cs="Times New Roman"/>
        </w:rPr>
        <w:t xml:space="preserve"> at the moment </w:t>
      </w:r>
      <w:r w:rsidR="00582025" w:rsidRPr="00226C37">
        <w:rPr>
          <w:rFonts w:ascii="Times New Roman" w:hAnsi="Times New Roman" w:cs="Times New Roman"/>
        </w:rPr>
        <w:t>the Member State</w:t>
      </w:r>
      <w:r w:rsidR="006F77D6" w:rsidRPr="00226C37">
        <w:rPr>
          <w:rFonts w:ascii="Times New Roman" w:hAnsi="Times New Roman" w:cs="Times New Roman"/>
        </w:rPr>
        <w:t xml:space="preserve"> crosses that line</w:t>
      </w:r>
      <w:r w:rsidR="00404060" w:rsidRPr="00226C37">
        <w:rPr>
          <w:rFonts w:ascii="Times New Roman" w:hAnsi="Times New Roman" w:cs="Times New Roman"/>
        </w:rPr>
        <w:t>,</w:t>
      </w:r>
      <w:r w:rsidR="006F77D6" w:rsidRPr="00226C37">
        <w:rPr>
          <w:rFonts w:ascii="Times New Roman" w:hAnsi="Times New Roman" w:cs="Times New Roman"/>
        </w:rPr>
        <w:t xml:space="preserve"> </w:t>
      </w:r>
      <w:r w:rsidR="00C941E5" w:rsidRPr="00226C37">
        <w:rPr>
          <w:rFonts w:ascii="Times New Roman" w:hAnsi="Times New Roman" w:cs="Times New Roman"/>
        </w:rPr>
        <w:t xml:space="preserve">precisely </w:t>
      </w:r>
      <w:r w:rsidR="006F77D6" w:rsidRPr="00226C37">
        <w:rPr>
          <w:rFonts w:ascii="Times New Roman" w:hAnsi="Times New Roman" w:cs="Times New Roman"/>
        </w:rPr>
        <w:t>the same challenge as the coup</w:t>
      </w:r>
      <w:r w:rsidR="00C826CE" w:rsidRPr="00226C37">
        <w:rPr>
          <w:rFonts w:ascii="Times New Roman" w:hAnsi="Times New Roman" w:cs="Times New Roman"/>
        </w:rPr>
        <w:t>:</w:t>
      </w:r>
      <w:r w:rsidR="006F77D6" w:rsidRPr="00226C37">
        <w:rPr>
          <w:rFonts w:ascii="Times New Roman" w:hAnsi="Times New Roman" w:cs="Times New Roman"/>
        </w:rPr>
        <w:t xml:space="preserve"> </w:t>
      </w:r>
      <w:r w:rsidR="007B0F30">
        <w:rPr>
          <w:rFonts w:ascii="Times New Roman" w:hAnsi="Times New Roman" w:cs="Times New Roman"/>
        </w:rPr>
        <w:t xml:space="preserve">art. </w:t>
      </w:r>
      <w:r w:rsidR="006F77D6" w:rsidRPr="00226C37">
        <w:rPr>
          <w:rFonts w:ascii="Times New Roman" w:hAnsi="Times New Roman" w:cs="Times New Roman"/>
        </w:rPr>
        <w:t xml:space="preserve">7 TEU may be of no assistance, and other implements in the EU’s toolbox may be either ineffective or too cumbersome to </w:t>
      </w:r>
      <w:r w:rsidR="006F77D6" w:rsidRPr="00226C37">
        <w:rPr>
          <w:rFonts w:ascii="Times New Roman" w:hAnsi="Times New Roman" w:cs="Times New Roman"/>
        </w:rPr>
        <w:lastRenderedPageBreak/>
        <w:t xml:space="preserve">respond to the </w:t>
      </w:r>
      <w:r w:rsidR="00C826CE" w:rsidRPr="00226C37">
        <w:rPr>
          <w:rFonts w:ascii="Times New Roman" w:hAnsi="Times New Roman" w:cs="Times New Roman"/>
        </w:rPr>
        <w:t xml:space="preserve">immediate </w:t>
      </w:r>
      <w:r w:rsidR="006F77D6" w:rsidRPr="00226C37">
        <w:rPr>
          <w:rFonts w:ascii="Times New Roman" w:hAnsi="Times New Roman" w:cs="Times New Roman"/>
        </w:rPr>
        <w:t xml:space="preserve">presence of representatives of an </w:t>
      </w:r>
      <w:r w:rsidR="00A96D72" w:rsidRPr="00226C37">
        <w:rPr>
          <w:rFonts w:ascii="Times New Roman" w:hAnsi="Times New Roman" w:cs="Times New Roman"/>
        </w:rPr>
        <w:t>undemocratic</w:t>
      </w:r>
      <w:r w:rsidR="006F77D6" w:rsidRPr="00226C37">
        <w:rPr>
          <w:rFonts w:ascii="Times New Roman" w:hAnsi="Times New Roman" w:cs="Times New Roman"/>
        </w:rPr>
        <w:t xml:space="preserve"> Member State government in the European Council and the Council.</w:t>
      </w:r>
      <w:bookmarkStart w:id="10" w:name="_Ref70863712"/>
      <w:r w:rsidR="006F77D6" w:rsidRPr="00226C37">
        <w:rPr>
          <w:rStyle w:val="FootnoteReference"/>
          <w:rFonts w:ascii="Times New Roman" w:hAnsi="Times New Roman" w:cs="Times New Roman"/>
        </w:rPr>
        <w:footnoteReference w:id="23"/>
      </w:r>
      <w:bookmarkEnd w:id="10"/>
      <w:r w:rsidR="006F77D6" w:rsidRPr="00226C37">
        <w:rPr>
          <w:rFonts w:ascii="Times New Roman" w:hAnsi="Times New Roman" w:cs="Times New Roman"/>
        </w:rPr>
        <w:t xml:space="preserve"> </w:t>
      </w:r>
      <w:r w:rsidR="00582025" w:rsidRPr="00226C37">
        <w:rPr>
          <w:rFonts w:ascii="Times New Roman" w:hAnsi="Times New Roman" w:cs="Times New Roman"/>
        </w:rPr>
        <w:t xml:space="preserve">The paragraphs that follow describe how the operative interpretation of </w:t>
      </w:r>
      <w:r w:rsidR="007B0F30">
        <w:rPr>
          <w:rFonts w:ascii="Times New Roman" w:hAnsi="Times New Roman" w:cs="Times New Roman"/>
        </w:rPr>
        <w:t xml:space="preserve">art. </w:t>
      </w:r>
      <w:r w:rsidR="00582025" w:rsidRPr="00226C37">
        <w:rPr>
          <w:rFonts w:ascii="Times New Roman" w:hAnsi="Times New Roman" w:cs="Times New Roman"/>
        </w:rPr>
        <w:t xml:space="preserve">10 TEU could be instrumentalised procedurally to </w:t>
      </w:r>
      <w:r w:rsidR="006F77D6" w:rsidRPr="00226C37">
        <w:rPr>
          <w:rFonts w:ascii="Times New Roman" w:hAnsi="Times New Roman" w:cs="Times New Roman"/>
        </w:rPr>
        <w:t xml:space="preserve">result in the exclusion of the representatives of an </w:t>
      </w:r>
      <w:r w:rsidR="00924923" w:rsidRPr="00226C37">
        <w:rPr>
          <w:rFonts w:ascii="Times New Roman" w:hAnsi="Times New Roman" w:cs="Times New Roman"/>
        </w:rPr>
        <w:t>undemocratic</w:t>
      </w:r>
      <w:r w:rsidR="006F77D6" w:rsidRPr="00226C37">
        <w:rPr>
          <w:rFonts w:ascii="Times New Roman" w:hAnsi="Times New Roman" w:cs="Times New Roman"/>
        </w:rPr>
        <w:t xml:space="preserve"> Member State from the European Council and the Council</w:t>
      </w:r>
      <w:r w:rsidR="00C826CE" w:rsidRPr="00226C37">
        <w:rPr>
          <w:rFonts w:ascii="Times New Roman" w:hAnsi="Times New Roman" w:cs="Times New Roman"/>
        </w:rPr>
        <w:t xml:space="preserve"> in such circumstances.</w:t>
      </w:r>
    </w:p>
    <w:p w14:paraId="7608F21C" w14:textId="77777777" w:rsidR="006F77D6" w:rsidRPr="00226C37" w:rsidRDefault="006F77D6" w:rsidP="006F77D6">
      <w:pPr>
        <w:jc w:val="both"/>
        <w:rPr>
          <w:rFonts w:ascii="Times New Roman" w:hAnsi="Times New Roman" w:cs="Times New Roman"/>
        </w:rPr>
      </w:pPr>
    </w:p>
    <w:p w14:paraId="503D1AE0" w14:textId="44377EA4" w:rsidR="006F77D6" w:rsidRPr="00226C37" w:rsidRDefault="006F77D6" w:rsidP="006F77D6">
      <w:pPr>
        <w:jc w:val="both"/>
        <w:rPr>
          <w:rFonts w:ascii="Times New Roman" w:hAnsi="Times New Roman" w:cs="Times New Roman"/>
          <w:i/>
          <w:iCs/>
        </w:rPr>
      </w:pPr>
      <w:r w:rsidRPr="00226C37">
        <w:rPr>
          <w:rFonts w:ascii="Times New Roman" w:hAnsi="Times New Roman" w:cs="Times New Roman"/>
          <w:i/>
          <w:iCs/>
        </w:rPr>
        <w:t xml:space="preserve">Instrumentalising Article 10 TEU </w:t>
      </w:r>
    </w:p>
    <w:p w14:paraId="533CE335" w14:textId="77777777" w:rsidR="006F77D6" w:rsidRPr="00226C37" w:rsidRDefault="006F77D6" w:rsidP="006F77D6">
      <w:pPr>
        <w:jc w:val="both"/>
        <w:rPr>
          <w:rFonts w:ascii="Times New Roman" w:hAnsi="Times New Roman" w:cs="Times New Roman"/>
        </w:rPr>
      </w:pPr>
    </w:p>
    <w:p w14:paraId="799DB524" w14:textId="525FD03C" w:rsidR="002F4C01" w:rsidRPr="00226C37" w:rsidRDefault="0046606A" w:rsidP="006F77D6">
      <w:pPr>
        <w:jc w:val="both"/>
        <w:rPr>
          <w:rFonts w:ascii="Times New Roman" w:hAnsi="Times New Roman" w:cs="Times New Roman"/>
        </w:rPr>
      </w:pPr>
      <w:r w:rsidRPr="00226C37">
        <w:rPr>
          <w:rFonts w:ascii="Times New Roman" w:hAnsi="Times New Roman" w:cs="Times New Roman"/>
        </w:rPr>
        <w:t>T</w:t>
      </w:r>
      <w:r w:rsidR="006F77D6" w:rsidRPr="00226C37">
        <w:rPr>
          <w:rFonts w:ascii="Times New Roman" w:hAnsi="Times New Roman" w:cs="Times New Roman"/>
        </w:rPr>
        <w:t xml:space="preserve">here are </w:t>
      </w:r>
      <w:proofErr w:type="gramStart"/>
      <w:r w:rsidR="006F77D6" w:rsidRPr="00226C37">
        <w:rPr>
          <w:rFonts w:ascii="Times New Roman" w:hAnsi="Times New Roman" w:cs="Times New Roman"/>
        </w:rPr>
        <w:t>a number of</w:t>
      </w:r>
      <w:proofErr w:type="gramEnd"/>
      <w:r w:rsidR="006F77D6" w:rsidRPr="00226C37">
        <w:rPr>
          <w:rFonts w:ascii="Times New Roman" w:hAnsi="Times New Roman" w:cs="Times New Roman"/>
        </w:rPr>
        <w:t xml:space="preserve"> procedural avenues through which the operative reading of</w:t>
      </w:r>
      <w:r w:rsidR="007B0F30">
        <w:rPr>
          <w:rFonts w:ascii="Times New Roman" w:hAnsi="Times New Roman" w:cs="Times New Roman"/>
        </w:rPr>
        <w:t xml:space="preserve"> art.</w:t>
      </w:r>
      <w:r w:rsidR="006F77D6" w:rsidRPr="00226C37">
        <w:rPr>
          <w:rFonts w:ascii="Times New Roman" w:hAnsi="Times New Roman" w:cs="Times New Roman"/>
        </w:rPr>
        <w:t xml:space="preserve"> 10</w:t>
      </w:r>
      <w:r w:rsidR="004454B2" w:rsidRPr="00226C37">
        <w:rPr>
          <w:rFonts w:ascii="Times New Roman" w:hAnsi="Times New Roman" w:cs="Times New Roman"/>
        </w:rPr>
        <w:t xml:space="preserve"> TEU</w:t>
      </w:r>
      <w:r w:rsidR="006F77D6" w:rsidRPr="00226C37">
        <w:rPr>
          <w:rFonts w:ascii="Times New Roman" w:hAnsi="Times New Roman" w:cs="Times New Roman"/>
        </w:rPr>
        <w:t xml:space="preserve"> could be instrumentalised to ensure that an </w:t>
      </w:r>
      <w:r w:rsidR="004454B2" w:rsidRPr="00226C37">
        <w:rPr>
          <w:rFonts w:ascii="Times New Roman" w:hAnsi="Times New Roman" w:cs="Times New Roman"/>
        </w:rPr>
        <w:t>undemocratic</w:t>
      </w:r>
      <w:r w:rsidR="006F77D6" w:rsidRPr="00226C37">
        <w:rPr>
          <w:rFonts w:ascii="Times New Roman" w:hAnsi="Times New Roman" w:cs="Times New Roman"/>
        </w:rPr>
        <w:t xml:space="preserve"> Member State is not represented in the European Council or the Council. The first, and most obvious, procedural avenue would be for the European Council or the Council to vote to confirm the exclusion of the representatives of the </w:t>
      </w:r>
      <w:r w:rsidR="00A96D72" w:rsidRPr="00226C37">
        <w:rPr>
          <w:rFonts w:ascii="Times New Roman" w:hAnsi="Times New Roman" w:cs="Times New Roman"/>
        </w:rPr>
        <w:t>undemocratic</w:t>
      </w:r>
      <w:r w:rsidR="006F77D6" w:rsidRPr="00226C37">
        <w:rPr>
          <w:rFonts w:ascii="Times New Roman" w:hAnsi="Times New Roman" w:cs="Times New Roman"/>
        </w:rPr>
        <w:t xml:space="preserve"> government from the institution in question. Such a move would inevitably run into legal and pragmatic objections.</w:t>
      </w:r>
      <w:r w:rsidR="004454B2" w:rsidRPr="00226C37">
        <w:rPr>
          <w:rStyle w:val="FootnoteReference"/>
          <w:rFonts w:ascii="Times New Roman" w:hAnsi="Times New Roman" w:cs="Times New Roman"/>
        </w:rPr>
        <w:footnoteReference w:id="24"/>
      </w:r>
      <w:r w:rsidR="006F77D6" w:rsidRPr="00226C37">
        <w:rPr>
          <w:rFonts w:ascii="Times New Roman" w:hAnsi="Times New Roman" w:cs="Times New Roman"/>
        </w:rPr>
        <w:t xml:space="preserve"> It suffices to say at this stage that any such act would be open to challenge before the </w:t>
      </w:r>
      <w:r w:rsidR="00BF7D7A">
        <w:rPr>
          <w:rFonts w:ascii="Times New Roman" w:hAnsi="Times New Roman" w:cs="Times New Roman"/>
        </w:rPr>
        <w:t>Court of Justice of the European Union (</w:t>
      </w:r>
      <w:r w:rsidR="006F77D6" w:rsidRPr="00226C37">
        <w:rPr>
          <w:rFonts w:ascii="Times New Roman" w:hAnsi="Times New Roman" w:cs="Times New Roman"/>
        </w:rPr>
        <w:t>CJEU</w:t>
      </w:r>
      <w:r w:rsidR="00BF7D7A">
        <w:rPr>
          <w:rFonts w:ascii="Times New Roman" w:hAnsi="Times New Roman" w:cs="Times New Roman"/>
        </w:rPr>
        <w:t>)</w:t>
      </w:r>
      <w:r w:rsidR="006F77D6" w:rsidRPr="00226C37">
        <w:rPr>
          <w:rFonts w:ascii="Times New Roman" w:hAnsi="Times New Roman" w:cs="Times New Roman"/>
        </w:rPr>
        <w:t xml:space="preserve"> under </w:t>
      </w:r>
      <w:r w:rsidR="007B0F30">
        <w:rPr>
          <w:rFonts w:ascii="Times New Roman" w:hAnsi="Times New Roman" w:cs="Times New Roman"/>
        </w:rPr>
        <w:t xml:space="preserve">art. </w:t>
      </w:r>
      <w:r w:rsidR="006F77D6" w:rsidRPr="00226C37">
        <w:rPr>
          <w:rFonts w:ascii="Times New Roman" w:hAnsi="Times New Roman" w:cs="Times New Roman"/>
        </w:rPr>
        <w:t xml:space="preserve">263 TFEU. The second possibility, which would arise </w:t>
      </w:r>
      <w:r w:rsidR="004454B2" w:rsidRPr="00226C37">
        <w:rPr>
          <w:rFonts w:ascii="Times New Roman" w:hAnsi="Times New Roman" w:cs="Times New Roman"/>
        </w:rPr>
        <w:t>if</w:t>
      </w:r>
      <w:r w:rsidR="006F77D6" w:rsidRPr="00226C37">
        <w:rPr>
          <w:rFonts w:ascii="Times New Roman" w:hAnsi="Times New Roman" w:cs="Times New Roman"/>
        </w:rPr>
        <w:t xml:space="preserve"> the European Council or the Council</w:t>
      </w:r>
      <w:r w:rsidR="002F4C01" w:rsidRPr="00226C37">
        <w:rPr>
          <w:rFonts w:ascii="Times New Roman" w:hAnsi="Times New Roman" w:cs="Times New Roman"/>
        </w:rPr>
        <w:t>, having been first called upon to do so,</w:t>
      </w:r>
      <w:r w:rsidR="006F77D6" w:rsidRPr="00226C37">
        <w:rPr>
          <w:rFonts w:ascii="Times New Roman" w:hAnsi="Times New Roman" w:cs="Times New Roman"/>
        </w:rPr>
        <w:t xml:space="preserve"> did not </w:t>
      </w:r>
      <w:r w:rsidR="004454B2" w:rsidRPr="00226C37">
        <w:rPr>
          <w:rFonts w:ascii="Times New Roman" w:hAnsi="Times New Roman" w:cs="Times New Roman"/>
        </w:rPr>
        <w:t xml:space="preserve">take pragmatic steps to </w:t>
      </w:r>
      <w:r w:rsidR="006F77D6" w:rsidRPr="00226C37">
        <w:rPr>
          <w:rFonts w:ascii="Times New Roman" w:hAnsi="Times New Roman" w:cs="Times New Roman"/>
        </w:rPr>
        <w:t xml:space="preserve">exclude </w:t>
      </w:r>
      <w:r w:rsidR="004454B2" w:rsidRPr="00226C37">
        <w:rPr>
          <w:rFonts w:ascii="Times New Roman" w:hAnsi="Times New Roman" w:cs="Times New Roman"/>
        </w:rPr>
        <w:t>representatives</w:t>
      </w:r>
      <w:r w:rsidR="006F77D6" w:rsidRPr="00226C37">
        <w:rPr>
          <w:rFonts w:ascii="Times New Roman" w:hAnsi="Times New Roman" w:cs="Times New Roman"/>
        </w:rPr>
        <w:t xml:space="preserve"> or </w:t>
      </w:r>
      <w:r w:rsidR="004454B2" w:rsidRPr="00226C37">
        <w:rPr>
          <w:rFonts w:ascii="Times New Roman" w:hAnsi="Times New Roman" w:cs="Times New Roman"/>
        </w:rPr>
        <w:t xml:space="preserve">to </w:t>
      </w:r>
      <w:r w:rsidR="006F77D6" w:rsidRPr="00226C37">
        <w:rPr>
          <w:rFonts w:ascii="Times New Roman" w:hAnsi="Times New Roman" w:cs="Times New Roman"/>
        </w:rPr>
        <w:t xml:space="preserve">define its position, would be an action under </w:t>
      </w:r>
      <w:r w:rsidR="007B0F30">
        <w:rPr>
          <w:rFonts w:ascii="Times New Roman" w:hAnsi="Times New Roman" w:cs="Times New Roman"/>
        </w:rPr>
        <w:t>art.</w:t>
      </w:r>
      <w:r w:rsidR="006F77D6" w:rsidRPr="00226C37">
        <w:rPr>
          <w:rFonts w:ascii="Times New Roman" w:hAnsi="Times New Roman" w:cs="Times New Roman"/>
        </w:rPr>
        <w:t xml:space="preserve"> 265 TFEU for a failure to act amounting to an infringement of the Treaties, specifically the principle of representative democracy.</w:t>
      </w:r>
      <w:bookmarkStart w:id="13" w:name="_Ref70684629"/>
      <w:r w:rsidR="002F4C01" w:rsidRPr="00226C37">
        <w:rPr>
          <w:rStyle w:val="FootnoteReference"/>
          <w:rFonts w:ascii="Times New Roman" w:hAnsi="Times New Roman" w:cs="Times New Roman"/>
        </w:rPr>
        <w:footnoteReference w:id="25"/>
      </w:r>
      <w:bookmarkEnd w:id="13"/>
      <w:r w:rsidR="006F77D6" w:rsidRPr="00226C37">
        <w:rPr>
          <w:rFonts w:ascii="Times New Roman" w:hAnsi="Times New Roman" w:cs="Times New Roman"/>
        </w:rPr>
        <w:t xml:space="preserve"> In the circumstances, such an action could be instituted by the European Parliament, the Commission, the European Central or a Member State.</w:t>
      </w:r>
      <w:r w:rsidR="002F4C01" w:rsidRPr="00226C37">
        <w:rPr>
          <w:rStyle w:val="FootnoteReference"/>
          <w:rFonts w:ascii="Times New Roman" w:hAnsi="Times New Roman" w:cs="Times New Roman"/>
        </w:rPr>
        <w:footnoteReference w:id="26"/>
      </w:r>
      <w:r w:rsidR="002F4C01" w:rsidRPr="00226C37">
        <w:rPr>
          <w:rFonts w:ascii="Times New Roman" w:hAnsi="Times New Roman" w:cs="Times New Roman"/>
        </w:rPr>
        <w:t xml:space="preserve"> While </w:t>
      </w:r>
      <w:r w:rsidR="00B40435" w:rsidRPr="00226C37">
        <w:rPr>
          <w:rFonts w:ascii="Times New Roman" w:hAnsi="Times New Roman" w:cs="Times New Roman"/>
        </w:rPr>
        <w:t xml:space="preserve">the CJEU could not in </w:t>
      </w:r>
      <w:r w:rsidR="007B0F30">
        <w:rPr>
          <w:rFonts w:ascii="Times New Roman" w:hAnsi="Times New Roman" w:cs="Times New Roman"/>
        </w:rPr>
        <w:t>art.</w:t>
      </w:r>
      <w:r w:rsidR="00B40435" w:rsidRPr="00226C37">
        <w:rPr>
          <w:rFonts w:ascii="Times New Roman" w:hAnsi="Times New Roman" w:cs="Times New Roman"/>
        </w:rPr>
        <w:t xml:space="preserve"> 265 TFEU proceedings issue directions to the European Council or the Council or indicate to it precisely what steps it ought to take,</w:t>
      </w:r>
      <w:r w:rsidR="00B40435" w:rsidRPr="00226C37">
        <w:rPr>
          <w:rStyle w:val="FootnoteReference"/>
          <w:rFonts w:ascii="Times New Roman" w:hAnsi="Times New Roman" w:cs="Times New Roman"/>
        </w:rPr>
        <w:footnoteReference w:id="27"/>
      </w:r>
      <w:r w:rsidR="00B40435" w:rsidRPr="00226C37">
        <w:rPr>
          <w:rFonts w:ascii="Times New Roman" w:hAnsi="Times New Roman" w:cs="Times New Roman"/>
        </w:rPr>
        <w:t xml:space="preserve"> a successful action would nevertheless make it clear that an undemocratic Member State was being represented unlawfully in the European Council or the Council</w:t>
      </w:r>
      <w:r w:rsidR="00C13E8B" w:rsidRPr="00226C37">
        <w:rPr>
          <w:rFonts w:ascii="Times New Roman" w:hAnsi="Times New Roman" w:cs="Times New Roman"/>
        </w:rPr>
        <w:t>,</w:t>
      </w:r>
      <w:r w:rsidR="00B40435" w:rsidRPr="00226C37">
        <w:rPr>
          <w:rFonts w:ascii="Times New Roman" w:hAnsi="Times New Roman" w:cs="Times New Roman"/>
        </w:rPr>
        <w:t xml:space="preserve"> and that the relevant institution would have a duty to take steps to exclude those representatives. Those institutions would then be obliged to take any measures necessary to comply with the judgment of the CJEU pursuant to </w:t>
      </w:r>
      <w:r w:rsidR="007B0F30">
        <w:rPr>
          <w:rFonts w:ascii="Times New Roman" w:hAnsi="Times New Roman" w:cs="Times New Roman"/>
        </w:rPr>
        <w:t>art.</w:t>
      </w:r>
      <w:r w:rsidR="00B40435" w:rsidRPr="00226C37">
        <w:rPr>
          <w:rFonts w:ascii="Times New Roman" w:hAnsi="Times New Roman" w:cs="Times New Roman"/>
        </w:rPr>
        <w:t xml:space="preserve"> 266</w:t>
      </w:r>
      <w:r w:rsidR="00CF0F1B" w:rsidRPr="00226C37">
        <w:rPr>
          <w:rFonts w:ascii="Times New Roman" w:hAnsi="Times New Roman" w:cs="Times New Roman"/>
        </w:rPr>
        <w:t>(1)</w:t>
      </w:r>
      <w:r w:rsidR="00B40435" w:rsidRPr="00226C37">
        <w:rPr>
          <w:rFonts w:ascii="Times New Roman" w:hAnsi="Times New Roman" w:cs="Times New Roman"/>
        </w:rPr>
        <w:t xml:space="preserve"> TFEU.</w:t>
      </w:r>
      <w:r w:rsidR="00B40435" w:rsidRPr="00226C37">
        <w:rPr>
          <w:rStyle w:val="FootnoteReference"/>
          <w:rFonts w:ascii="Times New Roman" w:hAnsi="Times New Roman" w:cs="Times New Roman"/>
        </w:rPr>
        <w:footnoteReference w:id="28"/>
      </w:r>
      <w:r w:rsidR="00B40435" w:rsidRPr="00226C37">
        <w:rPr>
          <w:rFonts w:ascii="Times New Roman" w:hAnsi="Times New Roman" w:cs="Times New Roman"/>
        </w:rPr>
        <w:t xml:space="preserve"> </w:t>
      </w:r>
    </w:p>
    <w:p w14:paraId="34F9EF50" w14:textId="77777777" w:rsidR="006F77D6" w:rsidRPr="00226C37" w:rsidRDefault="006F77D6" w:rsidP="006F77D6">
      <w:pPr>
        <w:jc w:val="both"/>
        <w:rPr>
          <w:rFonts w:ascii="Times New Roman" w:hAnsi="Times New Roman" w:cs="Times New Roman"/>
        </w:rPr>
      </w:pPr>
    </w:p>
    <w:p w14:paraId="735E95E5" w14:textId="6BA737AA" w:rsidR="006F77D6" w:rsidRPr="00226C37" w:rsidRDefault="006F77D6" w:rsidP="006F77D6">
      <w:pPr>
        <w:jc w:val="both"/>
        <w:rPr>
          <w:rFonts w:ascii="Times New Roman" w:hAnsi="Times New Roman" w:cs="Times New Roman"/>
          <w:b/>
          <w:bCs/>
        </w:rPr>
      </w:pPr>
      <w:r w:rsidRPr="00226C37">
        <w:rPr>
          <w:rFonts w:ascii="Times New Roman" w:hAnsi="Times New Roman" w:cs="Times New Roman"/>
        </w:rPr>
        <w:t xml:space="preserve">What is notable about the procedural </w:t>
      </w:r>
      <w:proofErr w:type="spellStart"/>
      <w:r w:rsidRPr="00226C37">
        <w:rPr>
          <w:rFonts w:ascii="Times New Roman" w:hAnsi="Times New Roman" w:cs="Times New Roman"/>
        </w:rPr>
        <w:t>instrumentalisations</w:t>
      </w:r>
      <w:proofErr w:type="spellEnd"/>
      <w:r w:rsidRPr="00226C37">
        <w:rPr>
          <w:rFonts w:ascii="Times New Roman" w:hAnsi="Times New Roman" w:cs="Times New Roman"/>
        </w:rPr>
        <w:t xml:space="preserve"> suggested </w:t>
      </w:r>
      <w:r w:rsidR="00C13E8B" w:rsidRPr="00226C37">
        <w:rPr>
          <w:rFonts w:ascii="Times New Roman" w:hAnsi="Times New Roman" w:cs="Times New Roman"/>
        </w:rPr>
        <w:t>above</w:t>
      </w:r>
      <w:r w:rsidRPr="00226C37">
        <w:rPr>
          <w:rFonts w:ascii="Times New Roman" w:hAnsi="Times New Roman" w:cs="Times New Roman"/>
        </w:rPr>
        <w:t xml:space="preserve"> is that all of them may only be initiated by EU institutions or Member State governments. There is no facility whereby citizens of the </w:t>
      </w:r>
      <w:r w:rsidR="00544220" w:rsidRPr="00226C37">
        <w:rPr>
          <w:rFonts w:ascii="Times New Roman" w:hAnsi="Times New Roman" w:cs="Times New Roman"/>
        </w:rPr>
        <w:t>undemocratic</w:t>
      </w:r>
      <w:r w:rsidRPr="00226C37">
        <w:rPr>
          <w:rFonts w:ascii="Times New Roman" w:hAnsi="Times New Roman" w:cs="Times New Roman"/>
        </w:rPr>
        <w:t xml:space="preserve"> Member State or of other Member States could seek to have the </w:t>
      </w:r>
      <w:r w:rsidR="007B0F30">
        <w:rPr>
          <w:rFonts w:ascii="Times New Roman" w:hAnsi="Times New Roman" w:cs="Times New Roman"/>
        </w:rPr>
        <w:t>art.</w:t>
      </w:r>
      <w:r w:rsidRPr="00226C37">
        <w:rPr>
          <w:rFonts w:ascii="Times New Roman" w:hAnsi="Times New Roman" w:cs="Times New Roman"/>
        </w:rPr>
        <w:t xml:space="preserve"> 10(2) TEU requirement enforced judicially, especially </w:t>
      </w:r>
      <w:r w:rsidR="00C13E8B" w:rsidRPr="00226C37">
        <w:rPr>
          <w:rFonts w:ascii="Times New Roman" w:hAnsi="Times New Roman" w:cs="Times New Roman"/>
        </w:rPr>
        <w:t>if</w:t>
      </w:r>
      <w:r w:rsidRPr="00226C37">
        <w:rPr>
          <w:rFonts w:ascii="Times New Roman" w:hAnsi="Times New Roman" w:cs="Times New Roman"/>
        </w:rPr>
        <w:t xml:space="preserve"> EU institutions and Member States proved unwilling to act. However, there are other possibilities that might be availed of by natural or legal persons</w:t>
      </w:r>
      <w:r w:rsidR="00544220" w:rsidRPr="00226C37">
        <w:rPr>
          <w:rFonts w:ascii="Times New Roman" w:hAnsi="Times New Roman" w:cs="Times New Roman"/>
        </w:rPr>
        <w:t xml:space="preserve"> in any Member State</w:t>
      </w:r>
      <w:r w:rsidRPr="00226C37">
        <w:rPr>
          <w:rFonts w:ascii="Times New Roman" w:hAnsi="Times New Roman" w:cs="Times New Roman"/>
        </w:rPr>
        <w:t>.</w:t>
      </w:r>
      <w:r w:rsidRPr="00226C37">
        <w:rPr>
          <w:rStyle w:val="FootnoteReference"/>
          <w:rFonts w:ascii="Times New Roman" w:hAnsi="Times New Roman" w:cs="Times New Roman"/>
        </w:rPr>
        <w:footnoteReference w:id="29"/>
      </w:r>
      <w:r w:rsidRPr="00226C37">
        <w:rPr>
          <w:rFonts w:ascii="Times New Roman" w:hAnsi="Times New Roman" w:cs="Times New Roman"/>
        </w:rPr>
        <w:t xml:space="preserve"> One such possibility would be a direct action under </w:t>
      </w:r>
      <w:r w:rsidR="007B0F30">
        <w:rPr>
          <w:rFonts w:ascii="Times New Roman" w:hAnsi="Times New Roman" w:cs="Times New Roman"/>
        </w:rPr>
        <w:t>art.</w:t>
      </w:r>
      <w:r w:rsidRPr="00226C37">
        <w:rPr>
          <w:rFonts w:ascii="Times New Roman" w:hAnsi="Times New Roman" w:cs="Times New Roman"/>
        </w:rPr>
        <w:t xml:space="preserve"> 263 TFEU to challenge the validity of a reviewable act adopted by the European Council or Council while a</w:t>
      </w:r>
      <w:r w:rsidR="00544220" w:rsidRPr="00226C37">
        <w:rPr>
          <w:rFonts w:ascii="Times New Roman" w:hAnsi="Times New Roman" w:cs="Times New Roman"/>
        </w:rPr>
        <w:t xml:space="preserve"> democratically unaccountable</w:t>
      </w:r>
      <w:r w:rsidRPr="00226C37">
        <w:rPr>
          <w:rFonts w:ascii="Times New Roman" w:hAnsi="Times New Roman" w:cs="Times New Roman"/>
        </w:rPr>
        <w:t xml:space="preserve"> Member State government was represented in the relevant institution. Another possibility, given the notoriously restrictive standing rules applicable to natural and legal persons under </w:t>
      </w:r>
      <w:r w:rsidR="007B0F30">
        <w:rPr>
          <w:rFonts w:ascii="Times New Roman" w:hAnsi="Times New Roman" w:cs="Times New Roman"/>
        </w:rPr>
        <w:t>art.</w:t>
      </w:r>
      <w:r w:rsidRPr="00226C37">
        <w:rPr>
          <w:rFonts w:ascii="Times New Roman" w:hAnsi="Times New Roman" w:cs="Times New Roman"/>
        </w:rPr>
        <w:t xml:space="preserve"> 263 TFEU, would be an indirect challenge via </w:t>
      </w:r>
      <w:r w:rsidR="00C13E8B" w:rsidRPr="00226C37">
        <w:rPr>
          <w:rFonts w:ascii="Times New Roman" w:hAnsi="Times New Roman" w:cs="Times New Roman"/>
        </w:rPr>
        <w:t xml:space="preserve">the </w:t>
      </w:r>
      <w:r w:rsidR="007B0F30">
        <w:rPr>
          <w:rFonts w:ascii="Times New Roman" w:hAnsi="Times New Roman" w:cs="Times New Roman"/>
        </w:rPr>
        <w:t>art.</w:t>
      </w:r>
      <w:r w:rsidRPr="00226C37">
        <w:rPr>
          <w:rFonts w:ascii="Times New Roman" w:hAnsi="Times New Roman" w:cs="Times New Roman"/>
        </w:rPr>
        <w:t xml:space="preserve"> 267 TFEU</w:t>
      </w:r>
      <w:r w:rsidR="00C13E8B" w:rsidRPr="00226C37">
        <w:rPr>
          <w:rFonts w:ascii="Times New Roman" w:hAnsi="Times New Roman" w:cs="Times New Roman"/>
        </w:rPr>
        <w:t xml:space="preserve"> procedure</w:t>
      </w:r>
      <w:r w:rsidRPr="00226C37">
        <w:rPr>
          <w:rFonts w:ascii="Times New Roman" w:hAnsi="Times New Roman" w:cs="Times New Roman"/>
        </w:rPr>
        <w:t xml:space="preserve">, in which </w:t>
      </w:r>
      <w:r w:rsidR="00544220" w:rsidRPr="00226C37">
        <w:rPr>
          <w:rFonts w:ascii="Times New Roman" w:hAnsi="Times New Roman" w:cs="Times New Roman"/>
        </w:rPr>
        <w:t xml:space="preserve">- </w:t>
      </w:r>
      <w:r w:rsidRPr="00226C37">
        <w:rPr>
          <w:rFonts w:ascii="Times New Roman" w:hAnsi="Times New Roman" w:cs="Times New Roman"/>
        </w:rPr>
        <w:t xml:space="preserve">pursuant to the </w:t>
      </w:r>
      <w:proofErr w:type="spellStart"/>
      <w:r w:rsidRPr="00226C37">
        <w:rPr>
          <w:rFonts w:ascii="Times New Roman" w:hAnsi="Times New Roman" w:cs="Times New Roman"/>
          <w:i/>
          <w:iCs/>
        </w:rPr>
        <w:t>Foto</w:t>
      </w:r>
      <w:proofErr w:type="spellEnd"/>
      <w:r w:rsidRPr="00226C37">
        <w:rPr>
          <w:rFonts w:ascii="Times New Roman" w:hAnsi="Times New Roman" w:cs="Times New Roman"/>
          <w:i/>
          <w:iCs/>
        </w:rPr>
        <w:t xml:space="preserve">-Frost </w:t>
      </w:r>
      <w:r w:rsidRPr="00226C37">
        <w:rPr>
          <w:rFonts w:ascii="Times New Roman" w:hAnsi="Times New Roman" w:cs="Times New Roman"/>
        </w:rPr>
        <w:t>doctrine</w:t>
      </w:r>
      <w:r w:rsidRPr="00226C37">
        <w:rPr>
          <w:rStyle w:val="FootnoteReference"/>
          <w:rFonts w:ascii="Times New Roman" w:hAnsi="Times New Roman" w:cs="Times New Roman"/>
        </w:rPr>
        <w:footnoteReference w:id="30"/>
      </w:r>
      <w:r w:rsidRPr="00226C37">
        <w:rPr>
          <w:rFonts w:ascii="Times New Roman" w:hAnsi="Times New Roman" w:cs="Times New Roman"/>
        </w:rPr>
        <w:t xml:space="preserve"> </w:t>
      </w:r>
      <w:r w:rsidR="00544220" w:rsidRPr="00226C37">
        <w:rPr>
          <w:rFonts w:ascii="Times New Roman" w:hAnsi="Times New Roman" w:cs="Times New Roman"/>
        </w:rPr>
        <w:t xml:space="preserve">- </w:t>
      </w:r>
      <w:r w:rsidRPr="00226C37">
        <w:rPr>
          <w:rFonts w:ascii="Times New Roman" w:hAnsi="Times New Roman" w:cs="Times New Roman"/>
        </w:rPr>
        <w:t xml:space="preserve">a reference to the </w:t>
      </w:r>
      <w:r w:rsidR="00384294" w:rsidRPr="00226C37">
        <w:rPr>
          <w:rFonts w:ascii="Times New Roman" w:hAnsi="Times New Roman" w:cs="Times New Roman"/>
        </w:rPr>
        <w:t>ECJ</w:t>
      </w:r>
      <w:r w:rsidRPr="00226C37">
        <w:rPr>
          <w:rFonts w:ascii="Times New Roman" w:hAnsi="Times New Roman" w:cs="Times New Roman"/>
        </w:rPr>
        <w:t xml:space="preserve"> from </w:t>
      </w:r>
      <w:r w:rsidR="00535C7F" w:rsidRPr="00226C37">
        <w:rPr>
          <w:rFonts w:ascii="Times New Roman" w:hAnsi="Times New Roman" w:cs="Times New Roman"/>
        </w:rPr>
        <w:t>a</w:t>
      </w:r>
      <w:r w:rsidRPr="00226C37">
        <w:rPr>
          <w:rFonts w:ascii="Times New Roman" w:hAnsi="Times New Roman" w:cs="Times New Roman"/>
        </w:rPr>
        <w:t xml:space="preserve"> national court could be compelled if a ruling </w:t>
      </w:r>
      <w:r w:rsidRPr="00226C37">
        <w:rPr>
          <w:rFonts w:ascii="Times New Roman" w:hAnsi="Times New Roman" w:cs="Times New Roman"/>
        </w:rPr>
        <w:lastRenderedPageBreak/>
        <w:t>on the validity of the impugned act were necessary for the resolution of the main proceedings.</w:t>
      </w:r>
      <w:r w:rsidRPr="00226C37">
        <w:rPr>
          <w:rStyle w:val="FootnoteReference"/>
          <w:rFonts w:ascii="Times New Roman" w:hAnsi="Times New Roman" w:cs="Times New Roman"/>
        </w:rPr>
        <w:footnoteReference w:id="31"/>
      </w:r>
      <w:r w:rsidRPr="00226C37">
        <w:rPr>
          <w:rFonts w:ascii="Times New Roman" w:hAnsi="Times New Roman" w:cs="Times New Roman"/>
        </w:rPr>
        <w:t xml:space="preserve"> The ground for a challenge to the validity of an act, whether under </w:t>
      </w:r>
      <w:r w:rsidR="00C82D77">
        <w:rPr>
          <w:rFonts w:ascii="Times New Roman" w:hAnsi="Times New Roman" w:cs="Times New Roman"/>
        </w:rPr>
        <w:t>art.</w:t>
      </w:r>
      <w:r w:rsidRPr="00226C37">
        <w:rPr>
          <w:rFonts w:ascii="Times New Roman" w:hAnsi="Times New Roman" w:cs="Times New Roman"/>
        </w:rPr>
        <w:t xml:space="preserve"> 263 TFEU or 267 TFEU, would be that the impugned act was adopted in violation of the Treaties, specifically the principle of representative democracy, due to the involvement of a representative of a</w:t>
      </w:r>
      <w:r w:rsidR="00544220" w:rsidRPr="00226C37">
        <w:rPr>
          <w:rFonts w:ascii="Times New Roman" w:hAnsi="Times New Roman" w:cs="Times New Roman"/>
        </w:rPr>
        <w:t xml:space="preserve"> democratically unaccountable</w:t>
      </w:r>
      <w:r w:rsidRPr="00226C37">
        <w:rPr>
          <w:rFonts w:ascii="Times New Roman" w:hAnsi="Times New Roman" w:cs="Times New Roman"/>
        </w:rPr>
        <w:t xml:space="preserve"> Member State government in the adoption of the act, contrary to </w:t>
      </w:r>
      <w:r w:rsidR="00C82D77">
        <w:rPr>
          <w:rFonts w:ascii="Times New Roman" w:hAnsi="Times New Roman" w:cs="Times New Roman"/>
        </w:rPr>
        <w:t>art.</w:t>
      </w:r>
      <w:r w:rsidRPr="00226C37">
        <w:rPr>
          <w:rFonts w:ascii="Times New Roman" w:hAnsi="Times New Roman" w:cs="Times New Roman"/>
        </w:rPr>
        <w:t xml:space="preserve"> 10(2) TEU in conjunction with </w:t>
      </w:r>
      <w:r w:rsidR="00C82D77">
        <w:rPr>
          <w:rFonts w:ascii="Times New Roman" w:hAnsi="Times New Roman" w:cs="Times New Roman"/>
        </w:rPr>
        <w:t>art.</w:t>
      </w:r>
      <w:r w:rsidRPr="00226C37">
        <w:rPr>
          <w:rFonts w:ascii="Times New Roman" w:hAnsi="Times New Roman" w:cs="Times New Roman"/>
        </w:rPr>
        <w:t xml:space="preserve"> 10(1) TEU.</w:t>
      </w:r>
      <w:r w:rsidRPr="00226C37">
        <w:rPr>
          <w:rStyle w:val="FootnoteReference"/>
          <w:rFonts w:ascii="Times New Roman" w:hAnsi="Times New Roman" w:cs="Times New Roman"/>
        </w:rPr>
        <w:footnoteReference w:id="32"/>
      </w:r>
    </w:p>
    <w:p w14:paraId="0EA95720" w14:textId="77777777" w:rsidR="006F77D6" w:rsidRPr="00226C37" w:rsidRDefault="006F77D6" w:rsidP="006F77D6">
      <w:pPr>
        <w:jc w:val="both"/>
        <w:rPr>
          <w:rFonts w:ascii="Times New Roman" w:hAnsi="Times New Roman" w:cs="Times New Roman"/>
        </w:rPr>
      </w:pPr>
    </w:p>
    <w:p w14:paraId="2CACE7AA" w14:textId="4F3E5BD1" w:rsidR="00881FD2" w:rsidRPr="00226C37" w:rsidRDefault="006F77D6" w:rsidP="006F77D6">
      <w:pPr>
        <w:jc w:val="both"/>
        <w:rPr>
          <w:rFonts w:ascii="Times New Roman" w:hAnsi="Times New Roman" w:cs="Times New Roman"/>
        </w:rPr>
      </w:pPr>
      <w:r w:rsidRPr="00226C37">
        <w:rPr>
          <w:rFonts w:ascii="Times New Roman" w:hAnsi="Times New Roman" w:cs="Times New Roman"/>
        </w:rPr>
        <w:t>I</w:t>
      </w:r>
      <w:r w:rsidR="00C13E8B" w:rsidRPr="00226C37">
        <w:rPr>
          <w:rFonts w:ascii="Times New Roman" w:hAnsi="Times New Roman" w:cs="Times New Roman"/>
        </w:rPr>
        <w:t>f</w:t>
      </w:r>
      <w:r w:rsidRPr="00226C37">
        <w:rPr>
          <w:rFonts w:ascii="Times New Roman" w:hAnsi="Times New Roman" w:cs="Times New Roman"/>
        </w:rPr>
        <w:t xml:space="preserve"> the plaintiff’s submission described above in </w:t>
      </w:r>
      <w:r w:rsidR="00C82D77">
        <w:rPr>
          <w:rFonts w:ascii="Times New Roman" w:hAnsi="Times New Roman" w:cs="Times New Roman"/>
        </w:rPr>
        <w:t>art.</w:t>
      </w:r>
      <w:r w:rsidR="0025666E" w:rsidRPr="00226C37">
        <w:rPr>
          <w:rFonts w:ascii="Times New Roman" w:hAnsi="Times New Roman" w:cs="Times New Roman"/>
        </w:rPr>
        <w:t xml:space="preserve"> 263 TFEU </w:t>
      </w:r>
      <w:r w:rsidRPr="00226C37">
        <w:rPr>
          <w:rFonts w:ascii="Times New Roman" w:hAnsi="Times New Roman" w:cs="Times New Roman"/>
        </w:rPr>
        <w:t xml:space="preserve">annulment proceedings were accepted, the Court would, pursuant to </w:t>
      </w:r>
      <w:r w:rsidR="00C82D77">
        <w:rPr>
          <w:rFonts w:ascii="Times New Roman" w:hAnsi="Times New Roman" w:cs="Times New Roman"/>
        </w:rPr>
        <w:t>art.</w:t>
      </w:r>
      <w:r w:rsidRPr="00226C37">
        <w:rPr>
          <w:rFonts w:ascii="Times New Roman" w:hAnsi="Times New Roman" w:cs="Times New Roman"/>
        </w:rPr>
        <w:t xml:space="preserve"> 264 TFEU, declare the impugned act to be void.</w:t>
      </w:r>
      <w:r w:rsidRPr="00226C37">
        <w:rPr>
          <w:rStyle w:val="FootnoteReference"/>
          <w:rFonts w:ascii="Times New Roman" w:hAnsi="Times New Roman" w:cs="Times New Roman"/>
        </w:rPr>
        <w:footnoteReference w:id="33"/>
      </w:r>
      <w:r w:rsidRPr="00226C37">
        <w:rPr>
          <w:rFonts w:ascii="Times New Roman" w:hAnsi="Times New Roman" w:cs="Times New Roman"/>
        </w:rPr>
        <w:t xml:space="preserve"> This would obviously have significant </w:t>
      </w:r>
      <w:r w:rsidRPr="00226C37">
        <w:rPr>
          <w:rFonts w:ascii="Times New Roman" w:hAnsi="Times New Roman" w:cs="Times New Roman"/>
          <w:i/>
          <w:iCs/>
        </w:rPr>
        <w:t xml:space="preserve">ex-ante </w:t>
      </w:r>
      <w:r w:rsidRPr="00226C37">
        <w:rPr>
          <w:rFonts w:ascii="Times New Roman" w:hAnsi="Times New Roman" w:cs="Times New Roman"/>
        </w:rPr>
        <w:t>and</w:t>
      </w:r>
      <w:r w:rsidRPr="00226C37">
        <w:rPr>
          <w:rFonts w:ascii="Times New Roman" w:hAnsi="Times New Roman" w:cs="Times New Roman"/>
          <w:i/>
          <w:iCs/>
        </w:rPr>
        <w:t xml:space="preserve"> ex-post </w:t>
      </w:r>
      <w:r w:rsidRPr="00226C37">
        <w:rPr>
          <w:rFonts w:ascii="Times New Roman" w:hAnsi="Times New Roman" w:cs="Times New Roman"/>
        </w:rPr>
        <w:t xml:space="preserve">consequences beyond the case at bar. </w:t>
      </w:r>
      <w:r w:rsidR="0025666E" w:rsidRPr="00226C37">
        <w:rPr>
          <w:rFonts w:ascii="Times New Roman" w:hAnsi="Times New Roman" w:cs="Times New Roman"/>
        </w:rPr>
        <w:t>While a declaration of nullit</w:t>
      </w:r>
      <w:r w:rsidR="00A84870" w:rsidRPr="00226C37">
        <w:rPr>
          <w:rFonts w:ascii="Times New Roman" w:hAnsi="Times New Roman" w:cs="Times New Roman"/>
        </w:rPr>
        <w:t>y</w:t>
      </w:r>
      <w:r w:rsidR="0025666E" w:rsidRPr="00226C37">
        <w:rPr>
          <w:rFonts w:ascii="Times New Roman" w:hAnsi="Times New Roman" w:cs="Times New Roman"/>
        </w:rPr>
        <w:t xml:space="preserve"> applies to the contested act only,</w:t>
      </w:r>
      <w:r w:rsidR="0025666E" w:rsidRPr="00226C37">
        <w:rPr>
          <w:rStyle w:val="FootnoteReference"/>
          <w:rFonts w:ascii="Times New Roman" w:hAnsi="Times New Roman" w:cs="Times New Roman"/>
        </w:rPr>
        <w:footnoteReference w:id="34"/>
      </w:r>
      <w:r w:rsidR="0025666E" w:rsidRPr="00226C37">
        <w:rPr>
          <w:rFonts w:ascii="Times New Roman" w:hAnsi="Times New Roman" w:cs="Times New Roman"/>
        </w:rPr>
        <w:t xml:space="preserve"> s</w:t>
      </w:r>
      <w:r w:rsidRPr="00226C37">
        <w:rPr>
          <w:rFonts w:ascii="Times New Roman" w:hAnsi="Times New Roman" w:cs="Times New Roman"/>
        </w:rPr>
        <w:t xml:space="preserve">uch a judgment would imply that all past reviewable acts adopted by the same configuration of the relevant institution during the period in which the </w:t>
      </w:r>
      <w:r w:rsidR="00621639" w:rsidRPr="00226C37">
        <w:rPr>
          <w:rFonts w:ascii="Times New Roman" w:hAnsi="Times New Roman" w:cs="Times New Roman"/>
        </w:rPr>
        <w:t>undemocratic</w:t>
      </w:r>
      <w:r w:rsidRPr="00226C37">
        <w:rPr>
          <w:rFonts w:ascii="Times New Roman" w:hAnsi="Times New Roman" w:cs="Times New Roman"/>
        </w:rPr>
        <w:t xml:space="preserve"> Member State government was represented in the institution were also a nullity. Moreover, such a judgment would suggest that all future acts of the same institution sitting in the same configuration would be invalid</w:t>
      </w:r>
      <w:r w:rsidR="007468EC" w:rsidRPr="00226C37">
        <w:rPr>
          <w:rFonts w:ascii="Times New Roman" w:hAnsi="Times New Roman" w:cs="Times New Roman"/>
        </w:rPr>
        <w:t>,</w:t>
      </w:r>
      <w:r w:rsidRPr="00226C37">
        <w:rPr>
          <w:rFonts w:ascii="Times New Roman" w:hAnsi="Times New Roman" w:cs="Times New Roman"/>
        </w:rPr>
        <w:t xml:space="preserve"> while the Member State government in question remain</w:t>
      </w:r>
      <w:r w:rsidR="0025666E" w:rsidRPr="00226C37">
        <w:rPr>
          <w:rFonts w:ascii="Times New Roman" w:hAnsi="Times New Roman" w:cs="Times New Roman"/>
        </w:rPr>
        <w:t>ed</w:t>
      </w:r>
      <w:r w:rsidRPr="00226C37">
        <w:rPr>
          <w:rFonts w:ascii="Times New Roman" w:hAnsi="Times New Roman" w:cs="Times New Roman"/>
        </w:rPr>
        <w:t xml:space="preserve"> democratically unaccountable. The profoundly negative effects of such a judicial finding in terms of legal certainty and in terms of the ability of the institution to act into the future should be obvious. There would be little room for judicial economy in such a judgment. </w:t>
      </w:r>
      <w:r w:rsidR="007468EC" w:rsidRPr="00226C37">
        <w:rPr>
          <w:rFonts w:ascii="Times New Roman" w:hAnsi="Times New Roman" w:cs="Times New Roman"/>
        </w:rPr>
        <w:t>To</w:t>
      </w:r>
      <w:r w:rsidRPr="00226C37">
        <w:rPr>
          <w:rFonts w:ascii="Times New Roman" w:hAnsi="Times New Roman" w:cs="Times New Roman"/>
        </w:rPr>
        <w:t xml:space="preserve"> try to circumvent many of the practical issues that would arise, the Court would, in its judgment, </w:t>
      </w:r>
      <w:proofErr w:type="gramStart"/>
      <w:r w:rsidRPr="00226C37">
        <w:rPr>
          <w:rFonts w:ascii="Times New Roman" w:hAnsi="Times New Roman" w:cs="Times New Roman"/>
        </w:rPr>
        <w:t>have to</w:t>
      </w:r>
      <w:proofErr w:type="gramEnd"/>
      <w:r w:rsidRPr="00226C37">
        <w:rPr>
          <w:rFonts w:ascii="Times New Roman" w:hAnsi="Times New Roman" w:cs="Times New Roman"/>
        </w:rPr>
        <w:t xml:space="preserve"> be clear about when precisely the European Council or the Council ceased to be compliant with </w:t>
      </w:r>
      <w:r w:rsidR="00C82D77">
        <w:rPr>
          <w:rFonts w:ascii="Times New Roman" w:hAnsi="Times New Roman" w:cs="Times New Roman"/>
        </w:rPr>
        <w:t>art.</w:t>
      </w:r>
      <w:r w:rsidRPr="00226C37">
        <w:rPr>
          <w:rFonts w:ascii="Times New Roman" w:hAnsi="Times New Roman" w:cs="Times New Roman"/>
        </w:rPr>
        <w:t xml:space="preserve"> 10 TEU, which in turn would require a clear exposition of what democratic accountability in </w:t>
      </w:r>
      <w:r w:rsidR="00C82D77">
        <w:rPr>
          <w:rFonts w:ascii="Times New Roman" w:hAnsi="Times New Roman" w:cs="Times New Roman"/>
        </w:rPr>
        <w:t>art.</w:t>
      </w:r>
      <w:r w:rsidRPr="00226C37">
        <w:rPr>
          <w:rFonts w:ascii="Times New Roman" w:hAnsi="Times New Roman" w:cs="Times New Roman"/>
        </w:rPr>
        <w:t xml:space="preserve"> 10 TEU means. The Court might also avail of the second paragraph of </w:t>
      </w:r>
      <w:r w:rsidR="00C82D77">
        <w:rPr>
          <w:rFonts w:ascii="Times New Roman" w:hAnsi="Times New Roman" w:cs="Times New Roman"/>
        </w:rPr>
        <w:t>art.</w:t>
      </w:r>
      <w:r w:rsidRPr="00226C37">
        <w:rPr>
          <w:rFonts w:ascii="Times New Roman" w:hAnsi="Times New Roman" w:cs="Times New Roman"/>
        </w:rPr>
        <w:t xml:space="preserve"> 264 TFEU to limit the effects of the declaration of invalidity on the specific impugned act.</w:t>
      </w:r>
      <w:r w:rsidR="00881FD2" w:rsidRPr="00226C37">
        <w:rPr>
          <w:rStyle w:val="FootnoteReference"/>
          <w:rFonts w:ascii="Times New Roman" w:hAnsi="Times New Roman" w:cs="Times New Roman"/>
        </w:rPr>
        <w:footnoteReference w:id="35"/>
      </w:r>
      <w:r w:rsidRPr="00226C37">
        <w:rPr>
          <w:rFonts w:ascii="Times New Roman" w:hAnsi="Times New Roman" w:cs="Times New Roman"/>
        </w:rPr>
        <w:t xml:space="preserve"> </w:t>
      </w:r>
    </w:p>
    <w:p w14:paraId="085A76CC" w14:textId="118C223D" w:rsidR="0052752B" w:rsidRPr="00226C37" w:rsidRDefault="0052752B" w:rsidP="006F77D6">
      <w:pPr>
        <w:jc w:val="both"/>
        <w:rPr>
          <w:rFonts w:ascii="Times New Roman" w:hAnsi="Times New Roman" w:cs="Times New Roman"/>
        </w:rPr>
      </w:pPr>
    </w:p>
    <w:p w14:paraId="11800D84" w14:textId="60F50FD0" w:rsidR="006F77D6" w:rsidRDefault="0052752B" w:rsidP="006F77D6">
      <w:pPr>
        <w:jc w:val="both"/>
        <w:rPr>
          <w:rFonts w:ascii="Times New Roman" w:hAnsi="Times New Roman" w:cs="Times New Roman"/>
        </w:rPr>
      </w:pPr>
      <w:r w:rsidRPr="00226C37">
        <w:rPr>
          <w:rFonts w:ascii="Times New Roman" w:hAnsi="Times New Roman" w:cs="Times New Roman"/>
        </w:rPr>
        <w:t xml:space="preserve">As </w:t>
      </w:r>
      <w:r w:rsidR="00CF0F1B" w:rsidRPr="00226C37">
        <w:rPr>
          <w:rFonts w:ascii="Times New Roman" w:hAnsi="Times New Roman" w:cs="Times New Roman"/>
        </w:rPr>
        <w:t xml:space="preserve">is the case in an </w:t>
      </w:r>
      <w:r w:rsidR="00C82D77">
        <w:rPr>
          <w:rFonts w:ascii="Times New Roman" w:hAnsi="Times New Roman" w:cs="Times New Roman"/>
        </w:rPr>
        <w:t>art.</w:t>
      </w:r>
      <w:r w:rsidRPr="00226C37">
        <w:rPr>
          <w:rFonts w:ascii="Times New Roman" w:hAnsi="Times New Roman" w:cs="Times New Roman"/>
        </w:rPr>
        <w:t xml:space="preserve"> 265 TFEU</w:t>
      </w:r>
      <w:r w:rsidR="00CF0F1B" w:rsidRPr="00226C37">
        <w:rPr>
          <w:rFonts w:ascii="Times New Roman" w:hAnsi="Times New Roman" w:cs="Times New Roman"/>
        </w:rPr>
        <w:t xml:space="preserve"> </w:t>
      </w:r>
      <w:r w:rsidR="009665E6" w:rsidRPr="00226C37">
        <w:rPr>
          <w:rFonts w:ascii="Times New Roman" w:hAnsi="Times New Roman" w:cs="Times New Roman"/>
        </w:rPr>
        <w:t>proceeding</w:t>
      </w:r>
      <w:r w:rsidRPr="00226C37">
        <w:rPr>
          <w:rFonts w:ascii="Times New Roman" w:hAnsi="Times New Roman" w:cs="Times New Roman"/>
        </w:rPr>
        <w:t>, the</w:t>
      </w:r>
      <w:r w:rsidR="00CF0F1B" w:rsidRPr="00226C37">
        <w:rPr>
          <w:rFonts w:ascii="Times New Roman" w:hAnsi="Times New Roman" w:cs="Times New Roman"/>
        </w:rPr>
        <w:t xml:space="preserve"> defendant institution has a duty under </w:t>
      </w:r>
      <w:r w:rsidR="00C82D77">
        <w:rPr>
          <w:rFonts w:ascii="Times New Roman" w:hAnsi="Times New Roman" w:cs="Times New Roman"/>
        </w:rPr>
        <w:t>art.</w:t>
      </w:r>
      <w:r w:rsidR="00CF0F1B" w:rsidRPr="00226C37">
        <w:rPr>
          <w:rFonts w:ascii="Times New Roman" w:hAnsi="Times New Roman" w:cs="Times New Roman"/>
        </w:rPr>
        <w:t xml:space="preserve"> 266(1) TFEU to take the necessary measures to comply with an</w:t>
      </w:r>
      <w:r w:rsidR="00C82D77">
        <w:rPr>
          <w:rFonts w:ascii="Times New Roman" w:hAnsi="Times New Roman" w:cs="Times New Roman"/>
        </w:rPr>
        <w:t xml:space="preserve"> art.</w:t>
      </w:r>
      <w:r w:rsidR="00CF0F1B" w:rsidRPr="00226C37">
        <w:rPr>
          <w:rFonts w:ascii="Times New Roman" w:hAnsi="Times New Roman" w:cs="Times New Roman"/>
        </w:rPr>
        <w:t xml:space="preserve"> 264 declaration of nullity. However, again, the</w:t>
      </w:r>
      <w:r w:rsidRPr="00226C37">
        <w:rPr>
          <w:rFonts w:ascii="Times New Roman" w:hAnsi="Times New Roman" w:cs="Times New Roman"/>
        </w:rPr>
        <w:t xml:space="preserve"> CJEU cannot in </w:t>
      </w:r>
      <w:r w:rsidR="009665E6" w:rsidRPr="00226C37">
        <w:rPr>
          <w:rFonts w:ascii="Times New Roman" w:hAnsi="Times New Roman" w:cs="Times New Roman"/>
        </w:rPr>
        <w:t>annulment</w:t>
      </w:r>
      <w:r w:rsidRPr="00226C37">
        <w:rPr>
          <w:rFonts w:ascii="Times New Roman" w:hAnsi="Times New Roman" w:cs="Times New Roman"/>
        </w:rPr>
        <w:t xml:space="preserve"> proceedings indicate which measures should be taken in order for the defendant institution to comply with its judgment.</w:t>
      </w:r>
      <w:r w:rsidRPr="00226C37">
        <w:rPr>
          <w:rStyle w:val="FootnoteReference"/>
          <w:rFonts w:ascii="Times New Roman" w:hAnsi="Times New Roman" w:cs="Times New Roman"/>
        </w:rPr>
        <w:footnoteReference w:id="36"/>
      </w:r>
      <w:r w:rsidRPr="00226C37">
        <w:rPr>
          <w:rFonts w:ascii="Times New Roman" w:hAnsi="Times New Roman" w:cs="Times New Roman"/>
        </w:rPr>
        <w:t xml:space="preserve"> </w:t>
      </w:r>
      <w:r w:rsidR="002819BB" w:rsidRPr="00226C37">
        <w:rPr>
          <w:rFonts w:ascii="Times New Roman" w:hAnsi="Times New Roman" w:cs="Times New Roman"/>
        </w:rPr>
        <w:t>Nevertheless</w:t>
      </w:r>
      <w:r w:rsidR="004914E7" w:rsidRPr="00226C37">
        <w:rPr>
          <w:rFonts w:ascii="Times New Roman" w:hAnsi="Times New Roman" w:cs="Times New Roman"/>
        </w:rPr>
        <w:t xml:space="preserve">, as </w:t>
      </w:r>
      <w:proofErr w:type="spellStart"/>
      <w:r w:rsidR="004914E7" w:rsidRPr="00226C37">
        <w:rPr>
          <w:rFonts w:ascii="Times New Roman" w:hAnsi="Times New Roman" w:cs="Times New Roman"/>
        </w:rPr>
        <w:t>Lenaerts</w:t>
      </w:r>
      <w:proofErr w:type="spellEnd"/>
      <w:r w:rsidR="00487259" w:rsidRPr="00226C37">
        <w:rPr>
          <w:rFonts w:ascii="Times New Roman" w:hAnsi="Times New Roman" w:cs="Times New Roman"/>
        </w:rPr>
        <w:t xml:space="preserve"> et al</w:t>
      </w:r>
      <w:r w:rsidR="004914E7" w:rsidRPr="00226C37">
        <w:rPr>
          <w:rFonts w:ascii="Times New Roman" w:hAnsi="Times New Roman" w:cs="Times New Roman"/>
        </w:rPr>
        <w:t xml:space="preserve"> have pointed out, this limitation in the CJEU’s jurisdiction would not preclude the Court from “</w:t>
      </w:r>
      <w:proofErr w:type="spellStart"/>
      <w:r w:rsidR="004914E7" w:rsidRPr="00226C37">
        <w:rPr>
          <w:rFonts w:ascii="Times New Roman" w:hAnsi="Times New Roman" w:cs="Times New Roman"/>
        </w:rPr>
        <w:t>provid</w:t>
      </w:r>
      <w:proofErr w:type="spellEnd"/>
      <w:r w:rsidR="004914E7" w:rsidRPr="00226C37">
        <w:rPr>
          <w:rFonts w:ascii="Times New Roman" w:hAnsi="Times New Roman" w:cs="Times New Roman"/>
        </w:rPr>
        <w:t>[</w:t>
      </w:r>
      <w:proofErr w:type="spellStart"/>
      <w:r w:rsidR="004914E7" w:rsidRPr="00226C37">
        <w:rPr>
          <w:rFonts w:ascii="Times New Roman" w:hAnsi="Times New Roman" w:cs="Times New Roman"/>
        </w:rPr>
        <w:t>ing</w:t>
      </w:r>
      <w:proofErr w:type="spellEnd"/>
      <w:r w:rsidR="004914E7" w:rsidRPr="00226C37">
        <w:rPr>
          <w:rFonts w:ascii="Times New Roman" w:hAnsi="Times New Roman" w:cs="Times New Roman"/>
        </w:rPr>
        <w:t>] additional guidance so as to enable the defendant institution… to draw all useful consequences from its judgment”.</w:t>
      </w:r>
      <w:r w:rsidR="004914E7" w:rsidRPr="00226C37">
        <w:rPr>
          <w:rStyle w:val="FootnoteReference"/>
          <w:rFonts w:ascii="Times New Roman" w:hAnsi="Times New Roman" w:cs="Times New Roman"/>
        </w:rPr>
        <w:footnoteReference w:id="37"/>
      </w:r>
      <w:r w:rsidR="004914E7" w:rsidRPr="00226C37">
        <w:rPr>
          <w:rFonts w:ascii="Times New Roman" w:hAnsi="Times New Roman" w:cs="Times New Roman"/>
        </w:rPr>
        <w:t xml:space="preserve"> </w:t>
      </w:r>
      <w:r w:rsidR="006B4648" w:rsidRPr="00226C37">
        <w:rPr>
          <w:rFonts w:ascii="Times New Roman" w:hAnsi="Times New Roman" w:cs="Times New Roman"/>
        </w:rPr>
        <w:t>T</w:t>
      </w:r>
      <w:r w:rsidR="006F77D6" w:rsidRPr="00226C37">
        <w:rPr>
          <w:rFonts w:ascii="Times New Roman" w:hAnsi="Times New Roman" w:cs="Times New Roman"/>
        </w:rPr>
        <w:t>he Court could</w:t>
      </w:r>
      <w:r w:rsidR="004914E7" w:rsidRPr="00226C37">
        <w:rPr>
          <w:rFonts w:ascii="Times New Roman" w:hAnsi="Times New Roman" w:cs="Times New Roman"/>
        </w:rPr>
        <w:t xml:space="preserve"> identify precisely what the European Council or the Council should have done to avoid the declaration of nullity. </w:t>
      </w:r>
      <w:r w:rsidR="006F77D6" w:rsidRPr="00226C37">
        <w:rPr>
          <w:rFonts w:ascii="Times New Roman" w:hAnsi="Times New Roman" w:cs="Times New Roman"/>
        </w:rPr>
        <w:t xml:space="preserve">It is suggested that such </w:t>
      </w:r>
      <w:r w:rsidR="004914E7" w:rsidRPr="00226C37">
        <w:rPr>
          <w:rFonts w:ascii="Times New Roman" w:hAnsi="Times New Roman" w:cs="Times New Roman"/>
        </w:rPr>
        <w:t>guidance</w:t>
      </w:r>
      <w:r w:rsidR="006F77D6" w:rsidRPr="00226C37">
        <w:rPr>
          <w:rFonts w:ascii="Times New Roman" w:hAnsi="Times New Roman" w:cs="Times New Roman"/>
        </w:rPr>
        <w:t xml:space="preserve"> could extend</w:t>
      </w:r>
      <w:r w:rsidR="0086530B" w:rsidRPr="00226C37">
        <w:rPr>
          <w:rFonts w:ascii="Times New Roman" w:hAnsi="Times New Roman" w:cs="Times New Roman"/>
        </w:rPr>
        <w:t xml:space="preserve"> to a </w:t>
      </w:r>
      <w:r w:rsidR="006B4648" w:rsidRPr="00226C37">
        <w:rPr>
          <w:rFonts w:ascii="Times New Roman" w:hAnsi="Times New Roman" w:cs="Times New Roman"/>
        </w:rPr>
        <w:t>statement</w:t>
      </w:r>
      <w:r w:rsidR="006F77D6" w:rsidRPr="00226C37">
        <w:rPr>
          <w:rFonts w:ascii="Times New Roman" w:hAnsi="Times New Roman" w:cs="Times New Roman"/>
        </w:rPr>
        <w:t xml:space="preserve"> that the European Council or the Council would only be considered</w:t>
      </w:r>
      <w:r w:rsidR="004914E7" w:rsidRPr="00226C37">
        <w:rPr>
          <w:rFonts w:ascii="Times New Roman" w:hAnsi="Times New Roman" w:cs="Times New Roman"/>
        </w:rPr>
        <w:t xml:space="preserve"> as</w:t>
      </w:r>
      <w:r w:rsidR="006F77D6" w:rsidRPr="00226C37">
        <w:rPr>
          <w:rFonts w:ascii="Times New Roman" w:hAnsi="Times New Roman" w:cs="Times New Roman"/>
        </w:rPr>
        <w:t xml:space="preserve"> constituted validly within the meaning of the Treaties if </w:t>
      </w:r>
      <w:r w:rsidR="006B4648" w:rsidRPr="00226C37">
        <w:rPr>
          <w:rFonts w:ascii="Times New Roman" w:hAnsi="Times New Roman" w:cs="Times New Roman"/>
        </w:rPr>
        <w:t>they</w:t>
      </w:r>
      <w:r w:rsidR="006F77D6" w:rsidRPr="00226C37">
        <w:rPr>
          <w:rFonts w:ascii="Times New Roman" w:hAnsi="Times New Roman" w:cs="Times New Roman"/>
        </w:rPr>
        <w:t xml:space="preserve"> contain only representatives of Member State governments that are democratically accountable. In </w:t>
      </w:r>
      <w:r w:rsidR="004914E7" w:rsidRPr="00226C37">
        <w:rPr>
          <w:rFonts w:ascii="Times New Roman" w:hAnsi="Times New Roman" w:cs="Times New Roman"/>
        </w:rPr>
        <w:t>doing so</w:t>
      </w:r>
      <w:r w:rsidR="006F77D6" w:rsidRPr="00226C37">
        <w:rPr>
          <w:rFonts w:ascii="Times New Roman" w:hAnsi="Times New Roman" w:cs="Times New Roman"/>
        </w:rPr>
        <w:t xml:space="preserve">, the Court could also render it explicit that the nature of the requirement in </w:t>
      </w:r>
      <w:r w:rsidR="00C82D77">
        <w:rPr>
          <w:rFonts w:ascii="Times New Roman" w:hAnsi="Times New Roman" w:cs="Times New Roman"/>
        </w:rPr>
        <w:t>art.</w:t>
      </w:r>
      <w:r w:rsidR="006F77D6" w:rsidRPr="00226C37">
        <w:rPr>
          <w:rFonts w:ascii="Times New Roman" w:hAnsi="Times New Roman" w:cs="Times New Roman"/>
        </w:rPr>
        <w:t xml:space="preserve"> 10(2) TEU</w:t>
      </w:r>
      <w:r w:rsidR="006B4648" w:rsidRPr="00226C37">
        <w:rPr>
          <w:rFonts w:ascii="Times New Roman" w:hAnsi="Times New Roman" w:cs="Times New Roman"/>
        </w:rPr>
        <w:t xml:space="preserve"> </w:t>
      </w:r>
      <w:r w:rsidR="006F77D6" w:rsidRPr="00226C37">
        <w:rPr>
          <w:rFonts w:ascii="Times New Roman" w:hAnsi="Times New Roman" w:cs="Times New Roman"/>
        </w:rPr>
        <w:t>ma</w:t>
      </w:r>
      <w:r w:rsidR="006B4648" w:rsidRPr="00226C37">
        <w:rPr>
          <w:rFonts w:ascii="Times New Roman" w:hAnsi="Times New Roman" w:cs="Times New Roman"/>
        </w:rPr>
        <w:t>kes</w:t>
      </w:r>
      <w:r w:rsidR="006F77D6" w:rsidRPr="00226C37">
        <w:rPr>
          <w:rFonts w:ascii="Times New Roman" w:hAnsi="Times New Roman" w:cs="Times New Roman"/>
        </w:rPr>
        <w:t xml:space="preserve"> it so that exclusion of a representative of an </w:t>
      </w:r>
      <w:r w:rsidR="004914E7" w:rsidRPr="00226C37">
        <w:rPr>
          <w:rFonts w:ascii="Times New Roman" w:hAnsi="Times New Roman" w:cs="Times New Roman"/>
        </w:rPr>
        <w:t>undemocratic</w:t>
      </w:r>
      <w:r w:rsidR="006F77D6" w:rsidRPr="00226C37">
        <w:rPr>
          <w:rFonts w:ascii="Times New Roman" w:hAnsi="Times New Roman" w:cs="Times New Roman"/>
        </w:rPr>
        <w:t xml:space="preserve"> Member State government is deemed to be automatic, and therefore not requiring a </w:t>
      </w:r>
      <w:r w:rsidR="004914E7" w:rsidRPr="00226C37">
        <w:rPr>
          <w:rFonts w:ascii="Times New Roman" w:hAnsi="Times New Roman" w:cs="Times New Roman"/>
        </w:rPr>
        <w:t xml:space="preserve">specific </w:t>
      </w:r>
      <w:r w:rsidR="006F77D6" w:rsidRPr="00226C37">
        <w:rPr>
          <w:rFonts w:ascii="Times New Roman" w:hAnsi="Times New Roman" w:cs="Times New Roman"/>
        </w:rPr>
        <w:t xml:space="preserve">decision or act of </w:t>
      </w:r>
      <w:r w:rsidR="006F77D6" w:rsidRPr="00226C37">
        <w:rPr>
          <w:rFonts w:ascii="Times New Roman" w:hAnsi="Times New Roman" w:cs="Times New Roman"/>
        </w:rPr>
        <w:lastRenderedPageBreak/>
        <w:t>the European Council or the Council to exclude, though the said institutions would be under a duty to ensure that exclusion in practice.</w:t>
      </w:r>
      <w:r w:rsidR="00A031BE" w:rsidRPr="00226C37">
        <w:rPr>
          <w:rStyle w:val="FootnoteReference"/>
          <w:rFonts w:ascii="Times New Roman" w:hAnsi="Times New Roman" w:cs="Times New Roman"/>
        </w:rPr>
        <w:footnoteReference w:id="38"/>
      </w:r>
      <w:r w:rsidR="006F77D6" w:rsidRPr="00226C37">
        <w:rPr>
          <w:rFonts w:ascii="Times New Roman" w:hAnsi="Times New Roman" w:cs="Times New Roman"/>
        </w:rPr>
        <w:t xml:space="preserve"> </w:t>
      </w:r>
    </w:p>
    <w:p w14:paraId="346C903B" w14:textId="77777777" w:rsidR="002C335E" w:rsidRPr="00226C37" w:rsidRDefault="002C335E" w:rsidP="006F77D6">
      <w:pPr>
        <w:jc w:val="both"/>
        <w:rPr>
          <w:rFonts w:ascii="Times New Roman" w:hAnsi="Times New Roman" w:cs="Times New Roman"/>
        </w:rPr>
      </w:pPr>
    </w:p>
    <w:p w14:paraId="7BBAEB09" w14:textId="77777777" w:rsidR="006F77D6" w:rsidRPr="0093427B" w:rsidRDefault="006F77D6" w:rsidP="0093427B">
      <w:pPr>
        <w:jc w:val="both"/>
        <w:rPr>
          <w:rFonts w:ascii="Times New Roman" w:hAnsi="Times New Roman" w:cs="Times New Roman"/>
          <w:b/>
          <w:bCs/>
        </w:rPr>
      </w:pPr>
      <w:r w:rsidRPr="0093427B">
        <w:rPr>
          <w:rFonts w:ascii="Times New Roman" w:hAnsi="Times New Roman" w:cs="Times New Roman"/>
          <w:b/>
          <w:bCs/>
        </w:rPr>
        <w:t>Article 10(2) TEU: Descriptive or Operative? The Doctrinal Arguments</w:t>
      </w:r>
    </w:p>
    <w:p w14:paraId="38A1F387" w14:textId="77777777" w:rsidR="006F77D6" w:rsidRPr="00226C37" w:rsidRDefault="006F77D6" w:rsidP="006F77D6">
      <w:pPr>
        <w:jc w:val="both"/>
        <w:rPr>
          <w:rFonts w:ascii="Times New Roman" w:hAnsi="Times New Roman" w:cs="Times New Roman"/>
          <w:b/>
          <w:bCs/>
        </w:rPr>
      </w:pPr>
    </w:p>
    <w:p w14:paraId="38085B49" w14:textId="1497C5A3" w:rsidR="006F77D6" w:rsidRPr="00226C37" w:rsidRDefault="006F77D6" w:rsidP="006F77D6">
      <w:pPr>
        <w:jc w:val="both"/>
        <w:rPr>
          <w:rFonts w:ascii="Times New Roman" w:hAnsi="Times New Roman" w:cs="Times New Roman"/>
          <w:i/>
          <w:iCs/>
        </w:rPr>
      </w:pPr>
      <w:r w:rsidRPr="00226C37">
        <w:rPr>
          <w:rFonts w:ascii="Times New Roman" w:hAnsi="Times New Roman" w:cs="Times New Roman"/>
          <w:i/>
          <w:iCs/>
        </w:rPr>
        <w:t xml:space="preserve">Article 10(2) TEU as Descriptive </w:t>
      </w:r>
    </w:p>
    <w:p w14:paraId="33A2BFCF" w14:textId="77777777" w:rsidR="006F77D6" w:rsidRPr="00226C37" w:rsidRDefault="006F77D6" w:rsidP="006F77D6">
      <w:pPr>
        <w:jc w:val="both"/>
        <w:rPr>
          <w:rFonts w:ascii="Times New Roman" w:hAnsi="Times New Roman" w:cs="Times New Roman"/>
          <w:i/>
          <w:iCs/>
        </w:rPr>
      </w:pPr>
    </w:p>
    <w:p w14:paraId="32E37F01" w14:textId="03B9123F" w:rsidR="001612BD" w:rsidRPr="00226C37" w:rsidRDefault="006F77D6" w:rsidP="006F77D6">
      <w:pPr>
        <w:jc w:val="both"/>
        <w:rPr>
          <w:rFonts w:ascii="Times New Roman" w:hAnsi="Times New Roman" w:cs="Times New Roman"/>
        </w:rPr>
      </w:pPr>
      <w:r w:rsidRPr="00226C37">
        <w:rPr>
          <w:rFonts w:ascii="Times New Roman" w:hAnsi="Times New Roman" w:cs="Times New Roman"/>
        </w:rPr>
        <w:t xml:space="preserve">There are at least three interconnected </w:t>
      </w:r>
      <w:r w:rsidR="001612BD" w:rsidRPr="00226C37">
        <w:rPr>
          <w:rFonts w:ascii="Times New Roman" w:hAnsi="Times New Roman" w:cs="Times New Roman"/>
        </w:rPr>
        <w:t xml:space="preserve">sets of </w:t>
      </w:r>
      <w:r w:rsidRPr="00226C37">
        <w:rPr>
          <w:rFonts w:ascii="Times New Roman" w:hAnsi="Times New Roman" w:cs="Times New Roman"/>
        </w:rPr>
        <w:t xml:space="preserve">doctrinal arguments </w:t>
      </w:r>
      <w:r w:rsidR="00A6748B" w:rsidRPr="00226C37">
        <w:rPr>
          <w:rFonts w:ascii="Times New Roman" w:hAnsi="Times New Roman" w:cs="Times New Roman"/>
        </w:rPr>
        <w:t xml:space="preserve">in favour of </w:t>
      </w:r>
      <w:r w:rsidR="00C82D77">
        <w:rPr>
          <w:rFonts w:ascii="Times New Roman" w:hAnsi="Times New Roman" w:cs="Times New Roman"/>
        </w:rPr>
        <w:t>art.</w:t>
      </w:r>
      <w:r w:rsidRPr="00226C37">
        <w:rPr>
          <w:rFonts w:ascii="Times New Roman" w:hAnsi="Times New Roman" w:cs="Times New Roman"/>
        </w:rPr>
        <w:t xml:space="preserve"> 10(2) TEU </w:t>
      </w:r>
      <w:r w:rsidR="00A6748B" w:rsidRPr="00226C37">
        <w:rPr>
          <w:rFonts w:ascii="Times New Roman" w:hAnsi="Times New Roman" w:cs="Times New Roman"/>
        </w:rPr>
        <w:t xml:space="preserve">being </w:t>
      </w:r>
      <w:r w:rsidRPr="00226C37">
        <w:rPr>
          <w:rFonts w:ascii="Times New Roman" w:hAnsi="Times New Roman" w:cs="Times New Roman"/>
        </w:rPr>
        <w:t xml:space="preserve">a </w:t>
      </w:r>
      <w:r w:rsidR="00A6748B" w:rsidRPr="00226C37">
        <w:rPr>
          <w:rFonts w:ascii="Times New Roman" w:hAnsi="Times New Roman" w:cs="Times New Roman"/>
        </w:rPr>
        <w:t xml:space="preserve">purely </w:t>
      </w:r>
      <w:r w:rsidRPr="00226C37">
        <w:rPr>
          <w:rFonts w:ascii="Times New Roman" w:hAnsi="Times New Roman" w:cs="Times New Roman"/>
        </w:rPr>
        <w:t>descriptiv</w:t>
      </w:r>
      <w:r w:rsidR="00A6748B" w:rsidRPr="00226C37">
        <w:rPr>
          <w:rFonts w:ascii="Times New Roman" w:hAnsi="Times New Roman" w:cs="Times New Roman"/>
        </w:rPr>
        <w:t>e,</w:t>
      </w:r>
      <w:r w:rsidRPr="00226C37">
        <w:rPr>
          <w:rFonts w:ascii="Times New Roman" w:hAnsi="Times New Roman" w:cs="Times New Roman"/>
        </w:rPr>
        <w:t xml:space="preserve"> non-justiciable provision</w:t>
      </w:r>
      <w:r w:rsidR="001612BD" w:rsidRPr="00226C37">
        <w:rPr>
          <w:rFonts w:ascii="Times New Roman" w:hAnsi="Times New Roman" w:cs="Times New Roman"/>
        </w:rPr>
        <w:t xml:space="preserve">: (1) textual; (2) </w:t>
      </w:r>
      <w:r w:rsidR="00506F02" w:rsidRPr="00226C37">
        <w:rPr>
          <w:rFonts w:ascii="Times New Roman" w:hAnsi="Times New Roman" w:cs="Times New Roman"/>
        </w:rPr>
        <w:t xml:space="preserve">national </w:t>
      </w:r>
      <w:r w:rsidR="001612BD" w:rsidRPr="00226C37">
        <w:rPr>
          <w:rFonts w:ascii="Times New Roman" w:hAnsi="Times New Roman" w:cs="Times New Roman"/>
        </w:rPr>
        <w:t>constitutional identity;</w:t>
      </w:r>
      <w:r w:rsidR="001F00BF" w:rsidRPr="00226C37">
        <w:rPr>
          <w:rFonts w:ascii="Times New Roman" w:hAnsi="Times New Roman" w:cs="Times New Roman"/>
        </w:rPr>
        <w:t xml:space="preserve"> and</w:t>
      </w:r>
      <w:r w:rsidR="001612BD" w:rsidRPr="00226C37">
        <w:rPr>
          <w:rFonts w:ascii="Times New Roman" w:hAnsi="Times New Roman" w:cs="Times New Roman"/>
        </w:rPr>
        <w:t xml:space="preserve"> (3) </w:t>
      </w:r>
      <w:r w:rsidR="00C82D77">
        <w:rPr>
          <w:rFonts w:ascii="Times New Roman" w:hAnsi="Times New Roman" w:cs="Times New Roman"/>
        </w:rPr>
        <w:t>art.</w:t>
      </w:r>
      <w:r w:rsidR="001612BD" w:rsidRPr="00226C37">
        <w:rPr>
          <w:rFonts w:ascii="Times New Roman" w:hAnsi="Times New Roman" w:cs="Times New Roman"/>
        </w:rPr>
        <w:t xml:space="preserve"> 7 TEU as </w:t>
      </w:r>
      <w:r w:rsidR="001612BD" w:rsidRPr="00226C37">
        <w:rPr>
          <w:rFonts w:ascii="Times New Roman" w:hAnsi="Times New Roman" w:cs="Times New Roman"/>
          <w:i/>
          <w:iCs/>
        </w:rPr>
        <w:t xml:space="preserve">lex </w:t>
      </w:r>
      <w:proofErr w:type="spellStart"/>
      <w:r w:rsidR="001612BD" w:rsidRPr="00226C37">
        <w:rPr>
          <w:rFonts w:ascii="Times New Roman" w:hAnsi="Times New Roman" w:cs="Times New Roman"/>
          <w:i/>
          <w:iCs/>
        </w:rPr>
        <w:t>specialis</w:t>
      </w:r>
      <w:proofErr w:type="spellEnd"/>
      <w:r w:rsidR="001612BD" w:rsidRPr="00226C37">
        <w:rPr>
          <w:rFonts w:ascii="Times New Roman" w:hAnsi="Times New Roman" w:cs="Times New Roman"/>
        </w:rPr>
        <w:t>.</w:t>
      </w:r>
    </w:p>
    <w:p w14:paraId="4052E492" w14:textId="77777777" w:rsidR="00152361" w:rsidRPr="00226C37" w:rsidRDefault="00152361" w:rsidP="006F77D6">
      <w:pPr>
        <w:jc w:val="both"/>
        <w:rPr>
          <w:rFonts w:ascii="Times New Roman" w:hAnsi="Times New Roman" w:cs="Times New Roman"/>
        </w:rPr>
      </w:pPr>
    </w:p>
    <w:p w14:paraId="24588541" w14:textId="20DE1B5F" w:rsidR="006F77D6" w:rsidRPr="00226C37" w:rsidRDefault="006F77D6" w:rsidP="006F77D6">
      <w:pPr>
        <w:jc w:val="both"/>
        <w:rPr>
          <w:rFonts w:ascii="Times New Roman" w:hAnsi="Times New Roman" w:cs="Times New Roman"/>
        </w:rPr>
      </w:pPr>
      <w:r w:rsidRPr="00226C37">
        <w:rPr>
          <w:rFonts w:ascii="Times New Roman" w:hAnsi="Times New Roman" w:cs="Times New Roman"/>
        </w:rPr>
        <w:t>The first argument</w:t>
      </w:r>
      <w:r w:rsidR="001612BD" w:rsidRPr="00226C37">
        <w:rPr>
          <w:rFonts w:ascii="Times New Roman" w:hAnsi="Times New Roman" w:cs="Times New Roman"/>
        </w:rPr>
        <w:t xml:space="preserve"> </w:t>
      </w:r>
      <w:r w:rsidR="00585E47" w:rsidRPr="00226C37">
        <w:rPr>
          <w:rFonts w:ascii="Times New Roman" w:hAnsi="Times New Roman" w:cs="Times New Roman"/>
        </w:rPr>
        <w:t xml:space="preserve">for </w:t>
      </w:r>
      <w:r w:rsidR="001612BD" w:rsidRPr="00226C37">
        <w:rPr>
          <w:rFonts w:ascii="Times New Roman" w:hAnsi="Times New Roman" w:cs="Times New Roman"/>
        </w:rPr>
        <w:t xml:space="preserve">the descriptive understanding of </w:t>
      </w:r>
      <w:r w:rsidR="00C82D77">
        <w:rPr>
          <w:rFonts w:ascii="Times New Roman" w:hAnsi="Times New Roman" w:cs="Times New Roman"/>
        </w:rPr>
        <w:t>art.</w:t>
      </w:r>
      <w:r w:rsidR="001612BD" w:rsidRPr="00226C37">
        <w:rPr>
          <w:rFonts w:ascii="Times New Roman" w:hAnsi="Times New Roman" w:cs="Times New Roman"/>
        </w:rPr>
        <w:t xml:space="preserve"> 10(2) TEU</w:t>
      </w:r>
      <w:r w:rsidRPr="00226C37">
        <w:rPr>
          <w:rFonts w:ascii="Times New Roman" w:hAnsi="Times New Roman" w:cs="Times New Roman"/>
        </w:rPr>
        <w:t xml:space="preserve"> is based on a literal interpretation of the provision. Unlike </w:t>
      </w:r>
      <w:r w:rsidR="00C82D77">
        <w:rPr>
          <w:rFonts w:ascii="Times New Roman" w:hAnsi="Times New Roman" w:cs="Times New Roman"/>
        </w:rPr>
        <w:t>art.</w:t>
      </w:r>
      <w:r w:rsidRPr="00226C37">
        <w:rPr>
          <w:rFonts w:ascii="Times New Roman" w:hAnsi="Times New Roman" w:cs="Times New Roman"/>
        </w:rPr>
        <w:t xml:space="preserve"> 10(1) TEU, where it is stated that “[t[he functioning of the Union </w:t>
      </w:r>
      <w:r w:rsidRPr="00226C37">
        <w:rPr>
          <w:rFonts w:ascii="Times New Roman" w:hAnsi="Times New Roman" w:cs="Times New Roman"/>
          <w:i/>
          <w:iCs/>
        </w:rPr>
        <w:t xml:space="preserve">shall </w:t>
      </w:r>
      <w:r w:rsidRPr="00226C37">
        <w:rPr>
          <w:rFonts w:ascii="Times New Roman" w:hAnsi="Times New Roman" w:cs="Times New Roman"/>
        </w:rPr>
        <w:t>be founded on representative democracy”</w:t>
      </w:r>
      <w:r w:rsidR="00B475C1" w:rsidRPr="00226C37">
        <w:rPr>
          <w:rFonts w:ascii="Times New Roman" w:hAnsi="Times New Roman" w:cs="Times New Roman"/>
        </w:rPr>
        <w:t xml:space="preserve"> and </w:t>
      </w:r>
      <w:r w:rsidR="00C82D77">
        <w:rPr>
          <w:rFonts w:ascii="Times New Roman" w:hAnsi="Times New Roman" w:cs="Times New Roman"/>
        </w:rPr>
        <w:t>art.</w:t>
      </w:r>
      <w:r w:rsidR="00B475C1" w:rsidRPr="00226C37">
        <w:rPr>
          <w:rFonts w:ascii="Times New Roman" w:hAnsi="Times New Roman" w:cs="Times New Roman"/>
        </w:rPr>
        <w:t xml:space="preserve"> 10(3) TEU, where it is provided that “[e]very citizen of the Union </w:t>
      </w:r>
      <w:r w:rsidR="00B475C1" w:rsidRPr="00226C37">
        <w:rPr>
          <w:rFonts w:ascii="Times New Roman" w:hAnsi="Times New Roman" w:cs="Times New Roman"/>
          <w:i/>
          <w:iCs/>
        </w:rPr>
        <w:t>shall</w:t>
      </w:r>
      <w:r w:rsidR="00B475C1" w:rsidRPr="00226C37">
        <w:rPr>
          <w:rFonts w:ascii="Times New Roman" w:hAnsi="Times New Roman" w:cs="Times New Roman"/>
        </w:rPr>
        <w:t xml:space="preserve"> have the right to participate in the democratic life of the Union”</w:t>
      </w:r>
      <w:r w:rsidRPr="00226C37">
        <w:rPr>
          <w:rFonts w:ascii="Times New Roman" w:hAnsi="Times New Roman" w:cs="Times New Roman"/>
        </w:rPr>
        <w:t xml:space="preserve">, both sentences in </w:t>
      </w:r>
      <w:r w:rsidR="00C82D77">
        <w:rPr>
          <w:rFonts w:ascii="Times New Roman" w:hAnsi="Times New Roman" w:cs="Times New Roman"/>
        </w:rPr>
        <w:t xml:space="preserve">art. </w:t>
      </w:r>
      <w:r w:rsidRPr="00226C37">
        <w:rPr>
          <w:rFonts w:ascii="Times New Roman" w:hAnsi="Times New Roman" w:cs="Times New Roman"/>
        </w:rPr>
        <w:t xml:space="preserve">10(2) TEU are framed in descriptive terms: “Member States </w:t>
      </w:r>
      <w:r w:rsidRPr="00226C37">
        <w:rPr>
          <w:rFonts w:ascii="Times New Roman" w:hAnsi="Times New Roman" w:cs="Times New Roman"/>
          <w:i/>
          <w:iCs/>
        </w:rPr>
        <w:t xml:space="preserve">are </w:t>
      </w:r>
      <w:r w:rsidRPr="00226C37">
        <w:rPr>
          <w:rFonts w:ascii="Times New Roman" w:hAnsi="Times New Roman" w:cs="Times New Roman"/>
        </w:rPr>
        <w:t xml:space="preserve">presented … by their Heads of State or Government, themselves </w:t>
      </w:r>
      <w:r w:rsidRPr="00226C37">
        <w:rPr>
          <w:rFonts w:ascii="Times New Roman" w:hAnsi="Times New Roman" w:cs="Times New Roman"/>
          <w:i/>
          <w:iCs/>
        </w:rPr>
        <w:t>democratically accountable</w:t>
      </w:r>
      <w:r w:rsidRPr="00226C37">
        <w:rPr>
          <w:rFonts w:ascii="Times New Roman" w:hAnsi="Times New Roman" w:cs="Times New Roman"/>
        </w:rPr>
        <w:t>…”</w:t>
      </w:r>
      <w:r w:rsidR="00585E47" w:rsidRPr="00226C37">
        <w:rPr>
          <w:rFonts w:ascii="Times New Roman" w:hAnsi="Times New Roman" w:cs="Times New Roman"/>
        </w:rPr>
        <w:t xml:space="preserve"> </w:t>
      </w:r>
      <w:r w:rsidR="00B475C1" w:rsidRPr="00226C37">
        <w:rPr>
          <w:rFonts w:ascii="Times New Roman" w:hAnsi="Times New Roman" w:cs="Times New Roman"/>
        </w:rPr>
        <w:t xml:space="preserve">Likewise, </w:t>
      </w:r>
      <w:r w:rsidR="00C82D77">
        <w:rPr>
          <w:rFonts w:ascii="Times New Roman" w:hAnsi="Times New Roman" w:cs="Times New Roman"/>
        </w:rPr>
        <w:t>art.</w:t>
      </w:r>
      <w:r w:rsidR="00B475C1" w:rsidRPr="00226C37">
        <w:rPr>
          <w:rFonts w:ascii="Times New Roman" w:hAnsi="Times New Roman" w:cs="Times New Roman"/>
        </w:rPr>
        <w:t xml:space="preserve"> 10(4) TEU, relating </w:t>
      </w:r>
      <w:r w:rsidR="00EE0A7D" w:rsidRPr="00226C37">
        <w:rPr>
          <w:rFonts w:ascii="Times New Roman" w:hAnsi="Times New Roman" w:cs="Times New Roman"/>
        </w:rPr>
        <w:t xml:space="preserve">to </w:t>
      </w:r>
      <w:r w:rsidR="00B475C1" w:rsidRPr="00226C37">
        <w:rPr>
          <w:rFonts w:ascii="Times New Roman" w:hAnsi="Times New Roman" w:cs="Times New Roman"/>
        </w:rPr>
        <w:t xml:space="preserve">the role of political parties at European level is framed in descriptive language. </w:t>
      </w:r>
      <w:r w:rsidR="00A4774F" w:rsidRPr="00226C37">
        <w:rPr>
          <w:rFonts w:ascii="Times New Roman" w:hAnsi="Times New Roman" w:cs="Times New Roman"/>
        </w:rPr>
        <w:t>T</w:t>
      </w:r>
      <w:r w:rsidRPr="00226C37">
        <w:rPr>
          <w:rFonts w:ascii="Times New Roman" w:hAnsi="Times New Roman" w:cs="Times New Roman"/>
        </w:rPr>
        <w:t xml:space="preserve">his might imply that </w:t>
      </w:r>
      <w:r w:rsidR="00C82D77">
        <w:rPr>
          <w:rFonts w:ascii="Times New Roman" w:hAnsi="Times New Roman" w:cs="Times New Roman"/>
        </w:rPr>
        <w:t>art.</w:t>
      </w:r>
      <w:r w:rsidRPr="00226C37">
        <w:rPr>
          <w:rFonts w:ascii="Times New Roman" w:hAnsi="Times New Roman" w:cs="Times New Roman"/>
        </w:rPr>
        <w:t xml:space="preserve"> 10(1) </w:t>
      </w:r>
      <w:r w:rsidR="00B475C1" w:rsidRPr="00226C37">
        <w:rPr>
          <w:rFonts w:ascii="Times New Roman" w:hAnsi="Times New Roman" w:cs="Times New Roman"/>
        </w:rPr>
        <w:t xml:space="preserve">and (3) </w:t>
      </w:r>
      <w:r w:rsidRPr="00226C37">
        <w:rPr>
          <w:rFonts w:ascii="Times New Roman" w:hAnsi="Times New Roman" w:cs="Times New Roman"/>
        </w:rPr>
        <w:t>TEU, expressed</w:t>
      </w:r>
      <w:r w:rsidR="00E1496F" w:rsidRPr="00226C37">
        <w:rPr>
          <w:rFonts w:ascii="Times New Roman" w:hAnsi="Times New Roman" w:cs="Times New Roman"/>
        </w:rPr>
        <w:t xml:space="preserve"> </w:t>
      </w:r>
      <w:r w:rsidRPr="00226C37">
        <w:rPr>
          <w:rFonts w:ascii="Times New Roman" w:hAnsi="Times New Roman" w:cs="Times New Roman"/>
        </w:rPr>
        <w:t>normatively, establish legal</w:t>
      </w:r>
      <w:r w:rsidR="00010E48" w:rsidRPr="00226C37">
        <w:rPr>
          <w:rFonts w:ascii="Times New Roman" w:hAnsi="Times New Roman" w:cs="Times New Roman"/>
        </w:rPr>
        <w:t xml:space="preserve"> </w:t>
      </w:r>
      <w:r w:rsidRPr="00226C37">
        <w:rPr>
          <w:rFonts w:ascii="Times New Roman" w:hAnsi="Times New Roman" w:cs="Times New Roman"/>
        </w:rPr>
        <w:t>du</w:t>
      </w:r>
      <w:r w:rsidR="00B475C1" w:rsidRPr="00226C37">
        <w:rPr>
          <w:rFonts w:ascii="Times New Roman" w:hAnsi="Times New Roman" w:cs="Times New Roman"/>
        </w:rPr>
        <w:t>ties</w:t>
      </w:r>
      <w:r w:rsidRPr="00226C37">
        <w:rPr>
          <w:rFonts w:ascii="Times New Roman" w:hAnsi="Times New Roman" w:cs="Times New Roman"/>
        </w:rPr>
        <w:t xml:space="preserve">, whereas </w:t>
      </w:r>
      <w:r w:rsidR="00C82D77">
        <w:rPr>
          <w:rFonts w:ascii="Times New Roman" w:hAnsi="Times New Roman" w:cs="Times New Roman"/>
        </w:rPr>
        <w:t>art.</w:t>
      </w:r>
      <w:r w:rsidRPr="00226C37">
        <w:rPr>
          <w:rFonts w:ascii="Times New Roman" w:hAnsi="Times New Roman" w:cs="Times New Roman"/>
        </w:rPr>
        <w:t xml:space="preserve"> 10(2) TEU</w:t>
      </w:r>
      <w:r w:rsidR="00663146" w:rsidRPr="00226C37">
        <w:rPr>
          <w:rFonts w:ascii="Times New Roman" w:hAnsi="Times New Roman" w:cs="Times New Roman"/>
        </w:rPr>
        <w:t xml:space="preserve"> and (4)</w:t>
      </w:r>
      <w:r w:rsidRPr="00226C37">
        <w:rPr>
          <w:rFonts w:ascii="Times New Roman" w:hAnsi="Times New Roman" w:cs="Times New Roman"/>
        </w:rPr>
        <w:t xml:space="preserve"> </w:t>
      </w:r>
      <w:r w:rsidR="00663146" w:rsidRPr="00226C37">
        <w:rPr>
          <w:rFonts w:ascii="Times New Roman" w:hAnsi="Times New Roman" w:cs="Times New Roman"/>
        </w:rPr>
        <w:t xml:space="preserve">are </w:t>
      </w:r>
      <w:r w:rsidRPr="00226C37">
        <w:rPr>
          <w:rFonts w:ascii="Times New Roman" w:hAnsi="Times New Roman" w:cs="Times New Roman"/>
        </w:rPr>
        <w:t>merely assumed</w:t>
      </w:r>
      <w:r w:rsidR="00EE0A7D" w:rsidRPr="00226C37">
        <w:rPr>
          <w:rFonts w:ascii="Times New Roman" w:hAnsi="Times New Roman" w:cs="Times New Roman"/>
        </w:rPr>
        <w:t xml:space="preserve">, </w:t>
      </w:r>
      <w:r w:rsidR="00663146" w:rsidRPr="00226C37">
        <w:rPr>
          <w:rFonts w:ascii="Times New Roman" w:hAnsi="Times New Roman" w:cs="Times New Roman"/>
        </w:rPr>
        <w:t>inopera</w:t>
      </w:r>
      <w:r w:rsidR="00EE0A7D" w:rsidRPr="00226C37">
        <w:rPr>
          <w:rFonts w:ascii="Times New Roman" w:hAnsi="Times New Roman" w:cs="Times New Roman"/>
        </w:rPr>
        <w:t>tive</w:t>
      </w:r>
      <w:r w:rsidRPr="00226C37">
        <w:rPr>
          <w:rFonts w:ascii="Times New Roman" w:hAnsi="Times New Roman" w:cs="Times New Roman"/>
        </w:rPr>
        <w:t xml:space="preserve"> statement</w:t>
      </w:r>
      <w:r w:rsidR="00663146" w:rsidRPr="00226C37">
        <w:rPr>
          <w:rFonts w:ascii="Times New Roman" w:hAnsi="Times New Roman" w:cs="Times New Roman"/>
        </w:rPr>
        <w:t>s</w:t>
      </w:r>
      <w:r w:rsidRPr="00226C37">
        <w:rPr>
          <w:rFonts w:ascii="Times New Roman" w:hAnsi="Times New Roman" w:cs="Times New Roman"/>
        </w:rPr>
        <w:t xml:space="preserve"> of fact. This interpretation is supported by other TEU provisions. Article 15(2) TEU provides that “[t]he European Council shall consist of the Heads of State or Government of the Member States…” and </w:t>
      </w:r>
      <w:r w:rsidR="00C82D77">
        <w:rPr>
          <w:rFonts w:ascii="Times New Roman" w:hAnsi="Times New Roman" w:cs="Times New Roman"/>
        </w:rPr>
        <w:t>art.</w:t>
      </w:r>
      <w:r w:rsidRPr="00226C37">
        <w:rPr>
          <w:rFonts w:ascii="Times New Roman" w:hAnsi="Times New Roman" w:cs="Times New Roman"/>
        </w:rPr>
        <w:t xml:space="preserve"> 16(2) TEU provides that “[t]he Council shall consist of a representative of each Member State at ministerial level…”</w:t>
      </w:r>
      <w:r w:rsidR="00EE0A7D" w:rsidRPr="00226C37">
        <w:rPr>
          <w:rFonts w:ascii="Times New Roman" w:hAnsi="Times New Roman" w:cs="Times New Roman"/>
        </w:rPr>
        <w:t>,</w:t>
      </w:r>
      <w:r w:rsidRPr="00226C37">
        <w:rPr>
          <w:rFonts w:ascii="Times New Roman" w:hAnsi="Times New Roman" w:cs="Times New Roman"/>
        </w:rPr>
        <w:t xml:space="preserve"> </w:t>
      </w:r>
      <w:r w:rsidR="00E1496F" w:rsidRPr="00226C37">
        <w:rPr>
          <w:rFonts w:ascii="Times New Roman" w:hAnsi="Times New Roman" w:cs="Times New Roman"/>
        </w:rPr>
        <w:t xml:space="preserve">without reference to any further qualifying norms. </w:t>
      </w:r>
      <w:r w:rsidRPr="00226C37">
        <w:rPr>
          <w:rFonts w:ascii="Times New Roman" w:hAnsi="Times New Roman" w:cs="Times New Roman"/>
        </w:rPr>
        <w:t xml:space="preserve">Moreover, while the similarly descriptive first sentence of </w:t>
      </w:r>
      <w:r w:rsidR="00C82D77">
        <w:rPr>
          <w:rFonts w:ascii="Times New Roman" w:hAnsi="Times New Roman" w:cs="Times New Roman"/>
        </w:rPr>
        <w:t>art.</w:t>
      </w:r>
      <w:r w:rsidRPr="00226C37">
        <w:rPr>
          <w:rFonts w:ascii="Times New Roman" w:hAnsi="Times New Roman" w:cs="Times New Roman"/>
        </w:rPr>
        <w:t xml:space="preserve"> 10(2) TEU, relating to the composition of European Parliament,</w:t>
      </w:r>
      <w:bookmarkStart w:id="14" w:name="_Ref70876380"/>
      <w:r w:rsidRPr="00226C37">
        <w:rPr>
          <w:rStyle w:val="FootnoteReference"/>
          <w:rFonts w:ascii="Times New Roman" w:hAnsi="Times New Roman" w:cs="Times New Roman"/>
        </w:rPr>
        <w:footnoteReference w:id="39"/>
      </w:r>
      <w:bookmarkEnd w:id="14"/>
      <w:r w:rsidRPr="00226C37">
        <w:rPr>
          <w:rFonts w:ascii="Times New Roman" w:hAnsi="Times New Roman" w:cs="Times New Roman"/>
        </w:rPr>
        <w:t xml:space="preserve"> is supported by a specific, operative provision in </w:t>
      </w:r>
      <w:r w:rsidR="00C82D77">
        <w:rPr>
          <w:rFonts w:ascii="Times New Roman" w:hAnsi="Times New Roman" w:cs="Times New Roman"/>
        </w:rPr>
        <w:t>art.</w:t>
      </w:r>
      <w:r w:rsidRPr="00226C37">
        <w:rPr>
          <w:rFonts w:ascii="Times New Roman" w:hAnsi="Times New Roman" w:cs="Times New Roman"/>
        </w:rPr>
        <w:t xml:space="preserve"> 14(4) TEU</w:t>
      </w:r>
      <w:r w:rsidR="00BE06C5" w:rsidRPr="00226C37">
        <w:rPr>
          <w:rFonts w:ascii="Times New Roman" w:hAnsi="Times New Roman" w:cs="Times New Roman"/>
        </w:rPr>
        <w:t xml:space="preserve">, as well as </w:t>
      </w:r>
      <w:r w:rsidR="00C82D77">
        <w:rPr>
          <w:rFonts w:ascii="Times New Roman" w:hAnsi="Times New Roman" w:cs="Times New Roman"/>
        </w:rPr>
        <w:t>arts</w:t>
      </w:r>
      <w:r w:rsidR="00BE06C5" w:rsidRPr="00226C37">
        <w:rPr>
          <w:rFonts w:ascii="Times New Roman" w:hAnsi="Times New Roman" w:cs="Times New Roman"/>
        </w:rPr>
        <w:t xml:space="preserve"> 39 and 40 CFREU</w:t>
      </w:r>
      <w:r w:rsidRPr="00226C37">
        <w:rPr>
          <w:rFonts w:ascii="Times New Roman" w:hAnsi="Times New Roman" w:cs="Times New Roman"/>
        </w:rPr>
        <w:t>,</w:t>
      </w:r>
      <w:r w:rsidRPr="00226C37">
        <w:rPr>
          <w:rStyle w:val="FootnoteReference"/>
          <w:rFonts w:ascii="Times New Roman" w:hAnsi="Times New Roman" w:cs="Times New Roman"/>
        </w:rPr>
        <w:footnoteReference w:id="40"/>
      </w:r>
      <w:r w:rsidRPr="00226C37">
        <w:rPr>
          <w:rFonts w:ascii="Times New Roman" w:hAnsi="Times New Roman" w:cs="Times New Roman"/>
        </w:rPr>
        <w:t xml:space="preserve"> there is no such provision that expands upon the second sentence of </w:t>
      </w:r>
      <w:r w:rsidR="00C82D77">
        <w:rPr>
          <w:rFonts w:ascii="Times New Roman" w:hAnsi="Times New Roman" w:cs="Times New Roman"/>
        </w:rPr>
        <w:t>art.</w:t>
      </w:r>
      <w:r w:rsidRPr="00226C37">
        <w:rPr>
          <w:rFonts w:ascii="Times New Roman" w:hAnsi="Times New Roman" w:cs="Times New Roman"/>
        </w:rPr>
        <w:t xml:space="preserve"> 10(2) TEU. This suggests that while EU law can establish basic ground rules as to how </w:t>
      </w:r>
      <w:r w:rsidR="00A4774F" w:rsidRPr="00226C37">
        <w:rPr>
          <w:rFonts w:ascii="Times New Roman" w:hAnsi="Times New Roman" w:cs="Times New Roman"/>
        </w:rPr>
        <w:t>M</w:t>
      </w:r>
      <w:r w:rsidRPr="00226C37">
        <w:rPr>
          <w:rFonts w:ascii="Times New Roman" w:hAnsi="Times New Roman" w:cs="Times New Roman"/>
        </w:rPr>
        <w:t>embers of the European Parliament are to be elected,</w:t>
      </w:r>
      <w:bookmarkStart w:id="15" w:name="_Ref70861058"/>
      <w:r w:rsidR="00E1496F" w:rsidRPr="00226C37">
        <w:rPr>
          <w:rStyle w:val="FootnoteReference"/>
          <w:rFonts w:ascii="Times New Roman" w:hAnsi="Times New Roman" w:cs="Times New Roman"/>
        </w:rPr>
        <w:footnoteReference w:id="41"/>
      </w:r>
      <w:bookmarkEnd w:id="15"/>
      <w:r w:rsidRPr="00226C37">
        <w:rPr>
          <w:rFonts w:ascii="Times New Roman" w:hAnsi="Times New Roman" w:cs="Times New Roman"/>
        </w:rPr>
        <w:t xml:space="preserve"> the question of democratic accountability at national level</w:t>
      </w:r>
      <w:r w:rsidR="00530AFC" w:rsidRPr="00226C37">
        <w:rPr>
          <w:rFonts w:ascii="Times New Roman" w:hAnsi="Times New Roman" w:cs="Times New Roman"/>
        </w:rPr>
        <w:t xml:space="preserve"> in the context of the European Council and the Council,</w:t>
      </w:r>
      <w:r w:rsidRPr="00226C37">
        <w:rPr>
          <w:rFonts w:ascii="Times New Roman" w:hAnsi="Times New Roman" w:cs="Times New Roman"/>
        </w:rPr>
        <w:t xml:space="preserve"> and </w:t>
      </w:r>
      <w:r w:rsidR="00530AFC" w:rsidRPr="00226C37">
        <w:rPr>
          <w:rFonts w:ascii="Times New Roman" w:hAnsi="Times New Roman" w:cs="Times New Roman"/>
        </w:rPr>
        <w:t xml:space="preserve">whether or </w:t>
      </w:r>
      <w:r w:rsidRPr="00226C37">
        <w:rPr>
          <w:rFonts w:ascii="Times New Roman" w:hAnsi="Times New Roman" w:cs="Times New Roman"/>
        </w:rPr>
        <w:t>how it is achieved</w:t>
      </w:r>
      <w:r w:rsidR="00530AFC" w:rsidRPr="00226C37">
        <w:rPr>
          <w:rFonts w:ascii="Times New Roman" w:hAnsi="Times New Roman" w:cs="Times New Roman"/>
        </w:rPr>
        <w:t>,</w:t>
      </w:r>
      <w:r w:rsidRPr="00226C37">
        <w:rPr>
          <w:rFonts w:ascii="Times New Roman" w:hAnsi="Times New Roman" w:cs="Times New Roman"/>
        </w:rPr>
        <w:t xml:space="preserve"> is purely a matter for national constitutional law.</w:t>
      </w:r>
      <w:r w:rsidR="00E1496F" w:rsidRPr="00226C37">
        <w:rPr>
          <w:rStyle w:val="FootnoteReference"/>
          <w:rFonts w:ascii="Times New Roman" w:hAnsi="Times New Roman" w:cs="Times New Roman"/>
        </w:rPr>
        <w:footnoteReference w:id="42"/>
      </w:r>
      <w:r w:rsidRPr="00226C37">
        <w:rPr>
          <w:rFonts w:ascii="Times New Roman" w:hAnsi="Times New Roman" w:cs="Times New Roman"/>
        </w:rPr>
        <w:t xml:space="preserve"> Article 10(2) TEU </w:t>
      </w:r>
      <w:r w:rsidR="00762542" w:rsidRPr="00226C37">
        <w:rPr>
          <w:rFonts w:ascii="Times New Roman" w:hAnsi="Times New Roman" w:cs="Times New Roman"/>
        </w:rPr>
        <w:t>may</w:t>
      </w:r>
      <w:r w:rsidRPr="00226C37">
        <w:rPr>
          <w:rFonts w:ascii="Times New Roman" w:hAnsi="Times New Roman" w:cs="Times New Roman"/>
        </w:rPr>
        <w:t xml:space="preserve"> also be distinguished from the second </w:t>
      </w:r>
      <w:r w:rsidR="00BE3711" w:rsidRPr="00226C37">
        <w:rPr>
          <w:rFonts w:ascii="Times New Roman" w:hAnsi="Times New Roman" w:cs="Times New Roman"/>
        </w:rPr>
        <w:t>sub</w:t>
      </w:r>
      <w:r w:rsidRPr="00226C37">
        <w:rPr>
          <w:rFonts w:ascii="Times New Roman" w:hAnsi="Times New Roman" w:cs="Times New Roman"/>
        </w:rPr>
        <w:t xml:space="preserve">paragraph of </w:t>
      </w:r>
      <w:r w:rsidR="00C82D77">
        <w:rPr>
          <w:rFonts w:ascii="Times New Roman" w:hAnsi="Times New Roman" w:cs="Times New Roman"/>
        </w:rPr>
        <w:t>art.</w:t>
      </w:r>
      <w:r w:rsidRPr="00226C37">
        <w:rPr>
          <w:rFonts w:ascii="Times New Roman" w:hAnsi="Times New Roman" w:cs="Times New Roman"/>
        </w:rPr>
        <w:t xml:space="preserve"> 19(1) TEU, which the </w:t>
      </w:r>
      <w:r w:rsidR="00384294" w:rsidRPr="00226C37">
        <w:rPr>
          <w:rFonts w:ascii="Times New Roman" w:hAnsi="Times New Roman" w:cs="Times New Roman"/>
        </w:rPr>
        <w:t>ECJ</w:t>
      </w:r>
      <w:r w:rsidR="00D36DB3" w:rsidRPr="00226C37">
        <w:rPr>
          <w:rFonts w:ascii="Times New Roman" w:hAnsi="Times New Roman" w:cs="Times New Roman"/>
        </w:rPr>
        <w:t xml:space="preserve"> </w:t>
      </w:r>
      <w:r w:rsidRPr="00226C37">
        <w:rPr>
          <w:rFonts w:ascii="Times New Roman" w:hAnsi="Times New Roman" w:cs="Times New Roman"/>
        </w:rPr>
        <w:t xml:space="preserve">has utilised to impose enforce the </w:t>
      </w:r>
      <w:r w:rsidR="00C82D77">
        <w:rPr>
          <w:rFonts w:ascii="Times New Roman" w:hAnsi="Times New Roman" w:cs="Times New Roman"/>
        </w:rPr>
        <w:t>art.</w:t>
      </w:r>
      <w:r w:rsidRPr="00226C37">
        <w:rPr>
          <w:rFonts w:ascii="Times New Roman" w:hAnsi="Times New Roman" w:cs="Times New Roman"/>
        </w:rPr>
        <w:t xml:space="preserve"> 2 TEU rule of law value and judicial independence at national level.</w:t>
      </w:r>
      <w:r w:rsidRPr="00226C37">
        <w:rPr>
          <w:rStyle w:val="FootnoteReference"/>
          <w:rFonts w:ascii="Times New Roman" w:hAnsi="Times New Roman" w:cs="Times New Roman"/>
        </w:rPr>
        <w:footnoteReference w:id="43"/>
      </w:r>
      <w:r w:rsidRPr="00226C37">
        <w:rPr>
          <w:rFonts w:ascii="Times New Roman" w:hAnsi="Times New Roman" w:cs="Times New Roman"/>
        </w:rPr>
        <w:t xml:space="preserve"> That provision is also expressed </w:t>
      </w:r>
      <w:r w:rsidR="0089253A" w:rsidRPr="00226C37">
        <w:rPr>
          <w:rFonts w:ascii="Times New Roman" w:hAnsi="Times New Roman" w:cs="Times New Roman"/>
        </w:rPr>
        <w:t>normatively</w:t>
      </w:r>
      <w:r w:rsidRPr="00226C37">
        <w:rPr>
          <w:rFonts w:ascii="Times New Roman" w:hAnsi="Times New Roman" w:cs="Times New Roman"/>
        </w:rPr>
        <w:t xml:space="preserve">: “Member States </w:t>
      </w:r>
      <w:r w:rsidRPr="00226C37">
        <w:rPr>
          <w:rFonts w:ascii="Times New Roman" w:hAnsi="Times New Roman" w:cs="Times New Roman"/>
          <w:i/>
          <w:iCs/>
        </w:rPr>
        <w:t>shall</w:t>
      </w:r>
      <w:r w:rsidRPr="00226C37">
        <w:rPr>
          <w:rFonts w:ascii="Times New Roman" w:hAnsi="Times New Roman" w:cs="Times New Roman"/>
        </w:rPr>
        <w:t xml:space="preserve"> provide remedies sufficient to ensure effective legal protection in the fields covered by Union law.”</w:t>
      </w:r>
    </w:p>
    <w:p w14:paraId="72FCE5FA" w14:textId="77777777" w:rsidR="006F77D6" w:rsidRPr="00226C37" w:rsidRDefault="006F77D6" w:rsidP="006F77D6">
      <w:pPr>
        <w:jc w:val="both"/>
        <w:rPr>
          <w:rFonts w:ascii="Times New Roman" w:hAnsi="Times New Roman" w:cs="Times New Roman"/>
        </w:rPr>
      </w:pPr>
    </w:p>
    <w:p w14:paraId="6B0FA014" w14:textId="696A8886" w:rsidR="006F77D6" w:rsidRPr="00226C37" w:rsidRDefault="006F77D6" w:rsidP="006F77D6">
      <w:pPr>
        <w:jc w:val="both"/>
        <w:rPr>
          <w:rFonts w:ascii="Times New Roman" w:hAnsi="Times New Roman" w:cs="Times New Roman"/>
        </w:rPr>
      </w:pPr>
      <w:r w:rsidRPr="00226C37">
        <w:rPr>
          <w:rFonts w:ascii="Times New Roman" w:hAnsi="Times New Roman" w:cs="Times New Roman"/>
        </w:rPr>
        <w:t>The second argument, which builds upon the first, is that th</w:t>
      </w:r>
      <w:r w:rsidR="00A4774F" w:rsidRPr="00226C37">
        <w:rPr>
          <w:rFonts w:ascii="Times New Roman" w:hAnsi="Times New Roman" w:cs="Times New Roman"/>
        </w:rPr>
        <w:t xml:space="preserve">e </w:t>
      </w:r>
      <w:r w:rsidRPr="00226C37">
        <w:rPr>
          <w:rFonts w:ascii="Times New Roman" w:hAnsi="Times New Roman" w:cs="Times New Roman"/>
        </w:rPr>
        <w:t xml:space="preserve">descriptive language chosen in </w:t>
      </w:r>
      <w:r w:rsidR="00C82D77">
        <w:rPr>
          <w:rFonts w:ascii="Times New Roman" w:hAnsi="Times New Roman" w:cs="Times New Roman"/>
        </w:rPr>
        <w:t>art.</w:t>
      </w:r>
      <w:r w:rsidRPr="00226C37">
        <w:rPr>
          <w:rFonts w:ascii="Times New Roman" w:hAnsi="Times New Roman" w:cs="Times New Roman"/>
        </w:rPr>
        <w:t xml:space="preserve"> 10(2) TEU reflects a respect in the EU legal order for the “equality of Member States before the Treaties as well as their national identities, inherent in their fundamental structures, political and constitutional…”</w:t>
      </w:r>
      <w:r w:rsidR="00426AF0" w:rsidRPr="00226C37">
        <w:rPr>
          <w:rStyle w:val="FootnoteReference"/>
          <w:rFonts w:ascii="Times New Roman" w:hAnsi="Times New Roman" w:cs="Times New Roman"/>
        </w:rPr>
        <w:footnoteReference w:id="44"/>
      </w:r>
      <w:r w:rsidRPr="00226C37">
        <w:rPr>
          <w:rFonts w:ascii="Times New Roman" w:hAnsi="Times New Roman" w:cs="Times New Roman"/>
        </w:rPr>
        <w:t xml:space="preserve"> This respect for national constitutional identity might imply an assumption that the Heads of State or Government represented in the European Council and the governments in the Council are democratically accountable, with the question of that accountability being purely a matter </w:t>
      </w:r>
      <w:r w:rsidR="00437ED9" w:rsidRPr="00226C37">
        <w:rPr>
          <w:rFonts w:ascii="Times New Roman" w:hAnsi="Times New Roman" w:cs="Times New Roman"/>
        </w:rPr>
        <w:t xml:space="preserve">for </w:t>
      </w:r>
      <w:r w:rsidR="00437ED9" w:rsidRPr="00226C37">
        <w:rPr>
          <w:rFonts w:ascii="Times New Roman" w:hAnsi="Times New Roman" w:cs="Times New Roman"/>
        </w:rPr>
        <w:lastRenderedPageBreak/>
        <w:t>national constitutional law</w:t>
      </w:r>
      <w:r w:rsidRPr="00226C37">
        <w:rPr>
          <w:rFonts w:ascii="Times New Roman" w:hAnsi="Times New Roman" w:cs="Times New Roman"/>
        </w:rPr>
        <w:t>.</w:t>
      </w:r>
      <w:r w:rsidRPr="00226C37">
        <w:rPr>
          <w:rStyle w:val="FootnoteReference"/>
          <w:rFonts w:ascii="Times New Roman" w:hAnsi="Times New Roman" w:cs="Times New Roman"/>
        </w:rPr>
        <w:footnoteReference w:id="45"/>
      </w:r>
      <w:r w:rsidRPr="00226C37">
        <w:rPr>
          <w:rFonts w:ascii="Times New Roman" w:hAnsi="Times New Roman" w:cs="Times New Roman"/>
        </w:rPr>
        <w:t xml:space="preserve"> </w:t>
      </w:r>
      <w:r w:rsidR="00762542" w:rsidRPr="00226C37">
        <w:rPr>
          <w:rFonts w:ascii="Times New Roman" w:hAnsi="Times New Roman" w:cs="Times New Roman"/>
        </w:rPr>
        <w:t xml:space="preserve">As such, </w:t>
      </w:r>
      <w:r w:rsidR="00C82D77">
        <w:rPr>
          <w:rFonts w:ascii="Times New Roman" w:hAnsi="Times New Roman" w:cs="Times New Roman"/>
        </w:rPr>
        <w:t>art.</w:t>
      </w:r>
      <w:r w:rsidR="00762542" w:rsidRPr="00226C37">
        <w:rPr>
          <w:rFonts w:ascii="Times New Roman" w:hAnsi="Times New Roman" w:cs="Times New Roman"/>
        </w:rPr>
        <w:t xml:space="preserve"> 10 TEU may be seen as establishing a vertical and horizontal division of </w:t>
      </w:r>
      <w:r w:rsidR="00445096">
        <w:rPr>
          <w:rFonts w:ascii="Times New Roman" w:hAnsi="Times New Roman" w:cs="Times New Roman"/>
        </w:rPr>
        <w:t>responsibility</w:t>
      </w:r>
      <w:r w:rsidR="00762542" w:rsidRPr="00226C37">
        <w:rPr>
          <w:rFonts w:ascii="Times New Roman" w:hAnsi="Times New Roman" w:cs="Times New Roman"/>
        </w:rPr>
        <w:t xml:space="preserve"> between the EU institutions and the Member States, with the latter charged with ensuring democratic accountability at national level.</w:t>
      </w:r>
      <w:r w:rsidR="00F2506C" w:rsidRPr="00226C37">
        <w:rPr>
          <w:rStyle w:val="FootnoteReference"/>
          <w:rFonts w:ascii="Times New Roman" w:hAnsi="Times New Roman" w:cs="Times New Roman"/>
        </w:rPr>
        <w:footnoteReference w:id="46"/>
      </w:r>
    </w:p>
    <w:p w14:paraId="4580EF1F" w14:textId="2C819868" w:rsidR="006F77D6" w:rsidRPr="00226C37" w:rsidRDefault="006F77D6" w:rsidP="006F77D6">
      <w:pPr>
        <w:jc w:val="both"/>
        <w:rPr>
          <w:rFonts w:ascii="Times New Roman" w:hAnsi="Times New Roman" w:cs="Times New Roman"/>
        </w:rPr>
      </w:pPr>
      <w:r w:rsidRPr="00226C37">
        <w:rPr>
          <w:rFonts w:ascii="Times New Roman" w:hAnsi="Times New Roman" w:cs="Times New Roman"/>
        </w:rPr>
        <w:t>The third argument builds in turn on the second. Recognising the respect for national constitutional identity</w:t>
      </w:r>
      <w:r w:rsidR="00445096">
        <w:rPr>
          <w:rFonts w:ascii="Times New Roman" w:hAnsi="Times New Roman" w:cs="Times New Roman"/>
        </w:rPr>
        <w:t xml:space="preserve"> </w:t>
      </w:r>
      <w:r w:rsidR="003B5340" w:rsidRPr="00226C37">
        <w:rPr>
          <w:rFonts w:ascii="Times New Roman" w:hAnsi="Times New Roman" w:cs="Times New Roman"/>
        </w:rPr>
        <w:t xml:space="preserve">and the general political sensitivity </w:t>
      </w:r>
      <w:r w:rsidR="00445096">
        <w:rPr>
          <w:rFonts w:ascii="Times New Roman" w:hAnsi="Times New Roman" w:cs="Times New Roman"/>
        </w:rPr>
        <w:t>around</w:t>
      </w:r>
      <w:r w:rsidR="003B5340" w:rsidRPr="00226C37">
        <w:rPr>
          <w:rFonts w:ascii="Times New Roman" w:hAnsi="Times New Roman" w:cs="Times New Roman"/>
        </w:rPr>
        <w:t xml:space="preserve"> the issue,</w:t>
      </w:r>
      <w:r w:rsidRPr="00226C37">
        <w:rPr>
          <w:rFonts w:ascii="Times New Roman" w:hAnsi="Times New Roman" w:cs="Times New Roman"/>
        </w:rPr>
        <w:t xml:space="preserve"> the Treaties established in</w:t>
      </w:r>
      <w:r w:rsidR="00C82D77">
        <w:rPr>
          <w:rFonts w:ascii="Times New Roman" w:hAnsi="Times New Roman" w:cs="Times New Roman"/>
        </w:rPr>
        <w:t xml:space="preserve"> art.</w:t>
      </w:r>
      <w:r w:rsidRPr="00226C37">
        <w:rPr>
          <w:rFonts w:ascii="Times New Roman" w:hAnsi="Times New Roman" w:cs="Times New Roman"/>
        </w:rPr>
        <w:t xml:space="preserve"> 7 TEU a clear, explicit, specific</w:t>
      </w:r>
      <w:r w:rsidR="003B5340" w:rsidRPr="00226C37">
        <w:rPr>
          <w:rFonts w:ascii="Times New Roman" w:hAnsi="Times New Roman" w:cs="Times New Roman"/>
        </w:rPr>
        <w:t>, and ultimately political,</w:t>
      </w:r>
      <w:r w:rsidRPr="00226C37">
        <w:rPr>
          <w:rFonts w:ascii="Times New Roman" w:hAnsi="Times New Roman" w:cs="Times New Roman"/>
        </w:rPr>
        <w:t xml:space="preserve"> procedure to censure Member States for breaches of </w:t>
      </w:r>
      <w:r w:rsidR="00C82D77">
        <w:rPr>
          <w:rFonts w:ascii="Times New Roman" w:hAnsi="Times New Roman" w:cs="Times New Roman"/>
        </w:rPr>
        <w:t>art.</w:t>
      </w:r>
      <w:r w:rsidRPr="00226C37">
        <w:rPr>
          <w:rFonts w:ascii="Times New Roman" w:hAnsi="Times New Roman" w:cs="Times New Roman"/>
        </w:rPr>
        <w:t xml:space="preserve"> 2 TEU values. In the specific context of a debate as to whether </w:t>
      </w:r>
      <w:r w:rsidR="00C82D77">
        <w:rPr>
          <w:rFonts w:ascii="Times New Roman" w:hAnsi="Times New Roman" w:cs="Times New Roman"/>
        </w:rPr>
        <w:t>art.</w:t>
      </w:r>
      <w:r w:rsidRPr="00226C37">
        <w:rPr>
          <w:rFonts w:ascii="Times New Roman" w:hAnsi="Times New Roman" w:cs="Times New Roman"/>
        </w:rPr>
        <w:t xml:space="preserve"> 10(2) TEU should be read operatively</w:t>
      </w:r>
      <w:r w:rsidR="007D195D" w:rsidRPr="00226C37">
        <w:rPr>
          <w:rFonts w:ascii="Times New Roman" w:hAnsi="Times New Roman" w:cs="Times New Roman"/>
        </w:rPr>
        <w:t xml:space="preserve"> and instrumentalised as such</w:t>
      </w:r>
      <w:r w:rsidRPr="00226C37">
        <w:rPr>
          <w:rFonts w:ascii="Times New Roman" w:hAnsi="Times New Roman" w:cs="Times New Roman"/>
        </w:rPr>
        <w:t xml:space="preserve">, </w:t>
      </w:r>
      <w:r w:rsidR="00C82D77">
        <w:rPr>
          <w:rFonts w:ascii="Times New Roman" w:hAnsi="Times New Roman" w:cs="Times New Roman"/>
        </w:rPr>
        <w:t>art.</w:t>
      </w:r>
      <w:r w:rsidRPr="00226C37">
        <w:rPr>
          <w:rFonts w:ascii="Times New Roman" w:hAnsi="Times New Roman" w:cs="Times New Roman"/>
        </w:rPr>
        <w:t xml:space="preserve"> 7(3) TEU provides a specific procedural mechanism for the suspension of a Member State</w:t>
      </w:r>
      <w:r w:rsidR="005739CF" w:rsidRPr="00226C37">
        <w:rPr>
          <w:rFonts w:ascii="Times New Roman" w:hAnsi="Times New Roman" w:cs="Times New Roman"/>
        </w:rPr>
        <w:t>’s voting rights</w:t>
      </w:r>
      <w:r w:rsidRPr="00226C37">
        <w:rPr>
          <w:rFonts w:ascii="Times New Roman" w:hAnsi="Times New Roman" w:cs="Times New Roman"/>
        </w:rPr>
        <w:t xml:space="preserve"> in the Council. </w:t>
      </w:r>
      <w:r w:rsidR="0001725C" w:rsidRPr="00226C37">
        <w:rPr>
          <w:rFonts w:ascii="Times New Roman" w:hAnsi="Times New Roman" w:cs="Times New Roman"/>
        </w:rPr>
        <w:t xml:space="preserve">It may </w:t>
      </w:r>
      <w:r w:rsidR="005739CF" w:rsidRPr="00226C37">
        <w:rPr>
          <w:rFonts w:ascii="Times New Roman" w:hAnsi="Times New Roman" w:cs="Times New Roman"/>
        </w:rPr>
        <w:t xml:space="preserve">be </w:t>
      </w:r>
      <w:r w:rsidR="0001725C" w:rsidRPr="00226C37">
        <w:rPr>
          <w:rFonts w:ascii="Times New Roman" w:hAnsi="Times New Roman" w:cs="Times New Roman"/>
        </w:rPr>
        <w:t xml:space="preserve">argued that the exclusion of </w:t>
      </w:r>
      <w:r w:rsidR="005739CF" w:rsidRPr="00226C37">
        <w:rPr>
          <w:rFonts w:ascii="Times New Roman" w:hAnsi="Times New Roman" w:cs="Times New Roman"/>
        </w:rPr>
        <w:t>a Member State’s representatives</w:t>
      </w:r>
      <w:r w:rsidR="0001725C" w:rsidRPr="00226C37">
        <w:rPr>
          <w:rFonts w:ascii="Times New Roman" w:hAnsi="Times New Roman" w:cs="Times New Roman"/>
        </w:rPr>
        <w:t xml:space="preserve"> from the Council via </w:t>
      </w:r>
      <w:r w:rsidR="00C82D77">
        <w:rPr>
          <w:rFonts w:ascii="Times New Roman" w:hAnsi="Times New Roman" w:cs="Times New Roman"/>
        </w:rPr>
        <w:t>art.</w:t>
      </w:r>
      <w:r w:rsidR="0001725C" w:rsidRPr="00226C37">
        <w:rPr>
          <w:rFonts w:ascii="Times New Roman" w:hAnsi="Times New Roman" w:cs="Times New Roman"/>
        </w:rPr>
        <w:t xml:space="preserve"> 10 TEU would have the same result in real terms as suspending that Member State’s voting rights in Council, a sanction envisaged in </w:t>
      </w:r>
      <w:r w:rsidR="00C82D77">
        <w:rPr>
          <w:rFonts w:ascii="Times New Roman" w:hAnsi="Times New Roman" w:cs="Times New Roman"/>
        </w:rPr>
        <w:t>art.</w:t>
      </w:r>
      <w:r w:rsidR="0001725C" w:rsidRPr="00226C37">
        <w:rPr>
          <w:rFonts w:ascii="Times New Roman" w:hAnsi="Times New Roman" w:cs="Times New Roman"/>
        </w:rPr>
        <w:t xml:space="preserve"> 7(3) TEU specifically.</w:t>
      </w:r>
      <w:bookmarkStart w:id="18" w:name="_Ref70932360"/>
      <w:r w:rsidR="005739CF" w:rsidRPr="00226C37">
        <w:rPr>
          <w:rStyle w:val="FootnoteReference"/>
          <w:rFonts w:ascii="Times New Roman" w:hAnsi="Times New Roman" w:cs="Times New Roman"/>
        </w:rPr>
        <w:footnoteReference w:id="47"/>
      </w:r>
      <w:bookmarkEnd w:id="18"/>
      <w:r w:rsidR="0001725C" w:rsidRPr="00226C37">
        <w:rPr>
          <w:rFonts w:ascii="Times New Roman" w:hAnsi="Times New Roman" w:cs="Times New Roman"/>
        </w:rPr>
        <w:t xml:space="preserve"> </w:t>
      </w:r>
      <w:r w:rsidRPr="00226C37">
        <w:rPr>
          <w:rFonts w:ascii="Times New Roman" w:hAnsi="Times New Roman" w:cs="Times New Roman"/>
        </w:rPr>
        <w:t xml:space="preserve">In other words, </w:t>
      </w:r>
      <w:r w:rsidR="00C82D77">
        <w:rPr>
          <w:rFonts w:ascii="Times New Roman" w:hAnsi="Times New Roman" w:cs="Times New Roman"/>
        </w:rPr>
        <w:t xml:space="preserve">art. </w:t>
      </w:r>
      <w:r w:rsidRPr="00226C37">
        <w:rPr>
          <w:rFonts w:ascii="Times New Roman" w:hAnsi="Times New Roman" w:cs="Times New Roman"/>
        </w:rPr>
        <w:t xml:space="preserve">7 TEU is </w:t>
      </w:r>
      <w:r w:rsidRPr="00226C37">
        <w:rPr>
          <w:rFonts w:ascii="Times New Roman" w:hAnsi="Times New Roman" w:cs="Times New Roman"/>
          <w:i/>
          <w:iCs/>
        </w:rPr>
        <w:t xml:space="preserve">lex </w:t>
      </w:r>
      <w:proofErr w:type="spellStart"/>
      <w:r w:rsidRPr="00226C37">
        <w:rPr>
          <w:rFonts w:ascii="Times New Roman" w:hAnsi="Times New Roman" w:cs="Times New Roman"/>
          <w:i/>
          <w:iCs/>
        </w:rPr>
        <w:t>specialis</w:t>
      </w:r>
      <w:proofErr w:type="spellEnd"/>
      <w:r w:rsidRPr="00226C37">
        <w:rPr>
          <w:rFonts w:ascii="Times New Roman" w:hAnsi="Times New Roman" w:cs="Times New Roman"/>
        </w:rPr>
        <w:t xml:space="preserve">; it provides the exclusive procedural means through which a Member State’s rights in the Council can be suspended for a serious and persistent breach of </w:t>
      </w:r>
      <w:r w:rsidR="00C82D77">
        <w:rPr>
          <w:rFonts w:ascii="Times New Roman" w:hAnsi="Times New Roman" w:cs="Times New Roman"/>
        </w:rPr>
        <w:t>art.</w:t>
      </w:r>
      <w:r w:rsidRPr="00226C37">
        <w:rPr>
          <w:rFonts w:ascii="Times New Roman" w:hAnsi="Times New Roman" w:cs="Times New Roman"/>
        </w:rPr>
        <w:t xml:space="preserve"> 2 TEU values. Moreover, </w:t>
      </w:r>
      <w:r w:rsidR="00C82D77">
        <w:rPr>
          <w:rFonts w:ascii="Times New Roman" w:hAnsi="Times New Roman" w:cs="Times New Roman"/>
        </w:rPr>
        <w:t>art.</w:t>
      </w:r>
      <w:r w:rsidRPr="00226C37">
        <w:rPr>
          <w:rFonts w:ascii="Times New Roman" w:hAnsi="Times New Roman" w:cs="Times New Roman"/>
        </w:rPr>
        <w:t xml:space="preserve"> 7(2) and (3) TEU recognise the sensitivities around sovereignty and national constitutional identity by excluding the involvement of the C</w:t>
      </w:r>
      <w:r w:rsidR="00D36DB3" w:rsidRPr="00226C37">
        <w:rPr>
          <w:rFonts w:ascii="Times New Roman" w:hAnsi="Times New Roman" w:cs="Times New Roman"/>
        </w:rPr>
        <w:t>JEU</w:t>
      </w:r>
      <w:r w:rsidR="00A4774F" w:rsidRPr="00226C37">
        <w:rPr>
          <w:rFonts w:ascii="Times New Roman" w:hAnsi="Times New Roman" w:cs="Times New Roman"/>
        </w:rPr>
        <w:t>,</w:t>
      </w:r>
      <w:r w:rsidRPr="00226C37">
        <w:rPr>
          <w:rFonts w:ascii="Times New Roman" w:hAnsi="Times New Roman" w:cs="Times New Roman"/>
        </w:rPr>
        <w:t xml:space="preserve"> and instead subjecting the accused Member State government to the judgment of its Member State peers. This argument is strengthened by the rights of defence granted to the accused Member State, as well as the voting thresholds stipulated in </w:t>
      </w:r>
      <w:r w:rsidR="00C82D77">
        <w:rPr>
          <w:rFonts w:ascii="Times New Roman" w:hAnsi="Times New Roman" w:cs="Times New Roman"/>
        </w:rPr>
        <w:t>art.</w:t>
      </w:r>
      <w:r w:rsidRPr="00226C37">
        <w:rPr>
          <w:rFonts w:ascii="Times New Roman" w:hAnsi="Times New Roman" w:cs="Times New Roman"/>
        </w:rPr>
        <w:t xml:space="preserve"> 7 TEU: unanimity in the European Council when determining the existence of a serious and persistent breach of </w:t>
      </w:r>
      <w:r w:rsidR="00C82D77">
        <w:rPr>
          <w:rFonts w:ascii="Times New Roman" w:hAnsi="Times New Roman" w:cs="Times New Roman"/>
        </w:rPr>
        <w:t>art.</w:t>
      </w:r>
      <w:r w:rsidRPr="00226C37">
        <w:rPr>
          <w:rFonts w:ascii="Times New Roman" w:hAnsi="Times New Roman" w:cs="Times New Roman"/>
        </w:rPr>
        <w:t xml:space="preserve"> 2 values (</w:t>
      </w:r>
      <w:r w:rsidR="00C82D77">
        <w:rPr>
          <w:rFonts w:ascii="Times New Roman" w:hAnsi="Times New Roman" w:cs="Times New Roman"/>
        </w:rPr>
        <w:t>art.</w:t>
      </w:r>
      <w:r w:rsidRPr="00226C37">
        <w:rPr>
          <w:rFonts w:ascii="Times New Roman" w:hAnsi="Times New Roman" w:cs="Times New Roman"/>
        </w:rPr>
        <w:t xml:space="preserve"> 7(2) TEU), and a qualified majority in the Council when determining whether to suspend voting rights in the Council (</w:t>
      </w:r>
      <w:r w:rsidR="00C82D77">
        <w:rPr>
          <w:rFonts w:ascii="Times New Roman" w:hAnsi="Times New Roman" w:cs="Times New Roman"/>
        </w:rPr>
        <w:t>art.</w:t>
      </w:r>
      <w:r w:rsidRPr="00226C37">
        <w:rPr>
          <w:rFonts w:ascii="Times New Roman" w:hAnsi="Times New Roman" w:cs="Times New Roman"/>
        </w:rPr>
        <w:t xml:space="preserve"> 7(3) TEU). </w:t>
      </w:r>
      <w:r w:rsidR="00445096">
        <w:rPr>
          <w:rFonts w:ascii="Times New Roman" w:hAnsi="Times New Roman" w:cs="Times New Roman"/>
        </w:rPr>
        <w:t xml:space="preserve">Outside of the context of </w:t>
      </w:r>
      <w:r w:rsidR="00C82D77">
        <w:rPr>
          <w:rFonts w:ascii="Times New Roman" w:hAnsi="Times New Roman" w:cs="Times New Roman"/>
        </w:rPr>
        <w:t xml:space="preserve">art. </w:t>
      </w:r>
      <w:r w:rsidR="00445096">
        <w:rPr>
          <w:rFonts w:ascii="Times New Roman" w:hAnsi="Times New Roman" w:cs="Times New Roman"/>
        </w:rPr>
        <w:t>50 TEU, t</w:t>
      </w:r>
      <w:r w:rsidRPr="00226C37">
        <w:rPr>
          <w:rFonts w:ascii="Times New Roman" w:hAnsi="Times New Roman" w:cs="Times New Roman"/>
        </w:rPr>
        <w:t xml:space="preserve">here is no mechanism in the Treaties for the representatives of a Member State to be excluded from the European Council or the Council; </w:t>
      </w:r>
      <w:r w:rsidR="00C82D77">
        <w:rPr>
          <w:rFonts w:ascii="Times New Roman" w:hAnsi="Times New Roman" w:cs="Times New Roman"/>
        </w:rPr>
        <w:t>art.</w:t>
      </w:r>
      <w:r w:rsidRPr="00226C37">
        <w:rPr>
          <w:rFonts w:ascii="Times New Roman" w:hAnsi="Times New Roman" w:cs="Times New Roman"/>
        </w:rPr>
        <w:t xml:space="preserve"> 7 TEU provides the sole procedural means through which a Member State can be deprived of any of the benefits of its representation in the Council. As such, </w:t>
      </w:r>
      <w:r w:rsidR="00C82D77">
        <w:rPr>
          <w:rFonts w:ascii="Times New Roman" w:hAnsi="Times New Roman" w:cs="Times New Roman"/>
        </w:rPr>
        <w:t xml:space="preserve">art. </w:t>
      </w:r>
      <w:r w:rsidRPr="00226C37">
        <w:rPr>
          <w:rFonts w:ascii="Times New Roman" w:hAnsi="Times New Roman" w:cs="Times New Roman"/>
        </w:rPr>
        <w:t>10(2) TEU cannot be interpreted as allowing</w:t>
      </w:r>
      <w:r w:rsidR="003B5340" w:rsidRPr="00226C37">
        <w:rPr>
          <w:rFonts w:ascii="Times New Roman" w:hAnsi="Times New Roman" w:cs="Times New Roman"/>
        </w:rPr>
        <w:t xml:space="preserve"> for</w:t>
      </w:r>
      <w:r w:rsidRPr="00226C37">
        <w:rPr>
          <w:rFonts w:ascii="Times New Roman" w:hAnsi="Times New Roman" w:cs="Times New Roman"/>
        </w:rPr>
        <w:t xml:space="preserve"> the automatic exclusion of representatives of a Member State in the European Council or the Council, since such a reading would circumvent </w:t>
      </w:r>
      <w:r w:rsidR="00C82D77">
        <w:rPr>
          <w:rFonts w:ascii="Times New Roman" w:hAnsi="Times New Roman" w:cs="Times New Roman"/>
        </w:rPr>
        <w:t>art.</w:t>
      </w:r>
      <w:r w:rsidRPr="00226C37">
        <w:rPr>
          <w:rFonts w:ascii="Times New Roman" w:hAnsi="Times New Roman" w:cs="Times New Roman"/>
        </w:rPr>
        <w:t xml:space="preserve"> 7 TEU processes, and the rights of defence built into </w:t>
      </w:r>
      <w:r w:rsidR="00C82D77">
        <w:rPr>
          <w:rFonts w:ascii="Times New Roman" w:hAnsi="Times New Roman" w:cs="Times New Roman"/>
        </w:rPr>
        <w:t xml:space="preserve">art. </w:t>
      </w:r>
      <w:r w:rsidRPr="00226C37">
        <w:rPr>
          <w:rFonts w:ascii="Times New Roman" w:hAnsi="Times New Roman" w:cs="Times New Roman"/>
        </w:rPr>
        <w:t>7 TEU for the accused Member State.</w:t>
      </w:r>
      <w:bookmarkStart w:id="19" w:name="_Ref70873849"/>
      <w:r w:rsidR="00FE28CB" w:rsidRPr="00226C37">
        <w:rPr>
          <w:rStyle w:val="FootnoteReference"/>
          <w:rFonts w:ascii="Times New Roman" w:hAnsi="Times New Roman" w:cs="Times New Roman"/>
        </w:rPr>
        <w:footnoteReference w:id="48"/>
      </w:r>
      <w:bookmarkEnd w:id="19"/>
    </w:p>
    <w:p w14:paraId="7E6247FB" w14:textId="77777777" w:rsidR="006F77D6" w:rsidRPr="00226C37" w:rsidRDefault="006F77D6" w:rsidP="006F77D6">
      <w:pPr>
        <w:jc w:val="both"/>
        <w:rPr>
          <w:rFonts w:ascii="Times New Roman" w:hAnsi="Times New Roman" w:cs="Times New Roman"/>
        </w:rPr>
      </w:pPr>
    </w:p>
    <w:p w14:paraId="1B707294" w14:textId="01B0D1F6" w:rsidR="006F77D6" w:rsidRPr="00226C37" w:rsidRDefault="006F77D6" w:rsidP="006F77D6">
      <w:pPr>
        <w:jc w:val="both"/>
        <w:rPr>
          <w:rFonts w:ascii="Times New Roman" w:hAnsi="Times New Roman" w:cs="Times New Roman"/>
        </w:rPr>
      </w:pPr>
      <w:r w:rsidRPr="00226C37">
        <w:rPr>
          <w:rFonts w:ascii="Times New Roman" w:hAnsi="Times New Roman" w:cs="Times New Roman"/>
          <w:i/>
          <w:iCs/>
        </w:rPr>
        <w:t>Article 10(2) TEU as Operative</w:t>
      </w:r>
      <w:r w:rsidRPr="00226C37">
        <w:rPr>
          <w:rFonts w:ascii="Times New Roman" w:hAnsi="Times New Roman" w:cs="Times New Roman"/>
        </w:rPr>
        <w:t xml:space="preserve"> </w:t>
      </w:r>
    </w:p>
    <w:p w14:paraId="43E85E20" w14:textId="77777777" w:rsidR="006F77D6" w:rsidRPr="00226C37" w:rsidRDefault="006F77D6" w:rsidP="006F77D6">
      <w:pPr>
        <w:jc w:val="both"/>
        <w:rPr>
          <w:rFonts w:ascii="Times New Roman" w:hAnsi="Times New Roman" w:cs="Times New Roman"/>
        </w:rPr>
      </w:pPr>
    </w:p>
    <w:p w14:paraId="446FBA9B" w14:textId="6A2D4A2D" w:rsidR="006F77D6" w:rsidRPr="00226C37" w:rsidRDefault="006F77D6" w:rsidP="006F77D6">
      <w:pPr>
        <w:jc w:val="both"/>
        <w:rPr>
          <w:rFonts w:ascii="Times New Roman" w:hAnsi="Times New Roman" w:cs="Times New Roman"/>
        </w:rPr>
      </w:pPr>
      <w:r w:rsidRPr="00226C37">
        <w:rPr>
          <w:rFonts w:ascii="Times New Roman" w:hAnsi="Times New Roman" w:cs="Times New Roman"/>
        </w:rPr>
        <w:t>Mirroring</w:t>
      </w:r>
      <w:r w:rsidR="00177B57" w:rsidRPr="00226C37">
        <w:rPr>
          <w:rFonts w:ascii="Times New Roman" w:hAnsi="Times New Roman" w:cs="Times New Roman"/>
        </w:rPr>
        <w:t xml:space="preserve"> somewhat</w:t>
      </w:r>
      <w:r w:rsidRPr="00226C37">
        <w:rPr>
          <w:rFonts w:ascii="Times New Roman" w:hAnsi="Times New Roman" w:cs="Times New Roman"/>
        </w:rPr>
        <w:t xml:space="preserve"> the argument</w:t>
      </w:r>
      <w:r w:rsidR="00844E8F" w:rsidRPr="00226C37">
        <w:rPr>
          <w:rFonts w:ascii="Times New Roman" w:hAnsi="Times New Roman" w:cs="Times New Roman"/>
        </w:rPr>
        <w:t>s</w:t>
      </w:r>
      <w:r w:rsidRPr="00226C37">
        <w:rPr>
          <w:rFonts w:ascii="Times New Roman" w:hAnsi="Times New Roman" w:cs="Times New Roman"/>
        </w:rPr>
        <w:t xml:space="preserve"> in favour of a descriptive interpretation, that there are three categories of doctrinal argument that support </w:t>
      </w:r>
      <w:r w:rsidR="00844E8F" w:rsidRPr="00226C37">
        <w:rPr>
          <w:rFonts w:ascii="Times New Roman" w:hAnsi="Times New Roman" w:cs="Times New Roman"/>
        </w:rPr>
        <w:t>an</w:t>
      </w:r>
      <w:r w:rsidRPr="00226C37">
        <w:rPr>
          <w:rFonts w:ascii="Times New Roman" w:hAnsi="Times New Roman" w:cs="Times New Roman"/>
        </w:rPr>
        <w:t xml:space="preserve"> operative interpretation </w:t>
      </w:r>
      <w:r w:rsidR="00844E8F" w:rsidRPr="00226C37">
        <w:rPr>
          <w:rFonts w:ascii="Times New Roman" w:hAnsi="Times New Roman" w:cs="Times New Roman"/>
        </w:rPr>
        <w:t xml:space="preserve">of </w:t>
      </w:r>
      <w:r w:rsidR="00C82D77">
        <w:rPr>
          <w:rFonts w:ascii="Times New Roman" w:hAnsi="Times New Roman" w:cs="Times New Roman"/>
        </w:rPr>
        <w:t>art.</w:t>
      </w:r>
      <w:r w:rsidR="00844E8F" w:rsidRPr="00226C37">
        <w:rPr>
          <w:rFonts w:ascii="Times New Roman" w:hAnsi="Times New Roman" w:cs="Times New Roman"/>
        </w:rPr>
        <w:t xml:space="preserve"> 10(2) TEU</w:t>
      </w:r>
      <w:r w:rsidR="00177B57" w:rsidRPr="00226C37">
        <w:rPr>
          <w:rFonts w:ascii="Times New Roman" w:hAnsi="Times New Roman" w:cs="Times New Roman"/>
        </w:rPr>
        <w:t xml:space="preserve">: (1) textual; (2) </w:t>
      </w:r>
      <w:r w:rsidR="00E76497" w:rsidRPr="00226C37">
        <w:rPr>
          <w:rFonts w:ascii="Times New Roman" w:hAnsi="Times New Roman" w:cs="Times New Roman"/>
        </w:rPr>
        <w:t>primacy of EU law</w:t>
      </w:r>
      <w:r w:rsidR="00506F02" w:rsidRPr="00226C37">
        <w:rPr>
          <w:rFonts w:ascii="Times New Roman" w:hAnsi="Times New Roman" w:cs="Times New Roman"/>
        </w:rPr>
        <w:t xml:space="preserve">; </w:t>
      </w:r>
      <w:r w:rsidR="001F00BF" w:rsidRPr="00226C37">
        <w:rPr>
          <w:rFonts w:ascii="Times New Roman" w:hAnsi="Times New Roman" w:cs="Times New Roman"/>
        </w:rPr>
        <w:t xml:space="preserve">and </w:t>
      </w:r>
      <w:r w:rsidR="00506F02" w:rsidRPr="00226C37">
        <w:rPr>
          <w:rFonts w:ascii="Times New Roman" w:hAnsi="Times New Roman" w:cs="Times New Roman"/>
        </w:rPr>
        <w:t xml:space="preserve">(3) distinguishing of </w:t>
      </w:r>
      <w:r w:rsidR="00C82D77">
        <w:rPr>
          <w:rFonts w:ascii="Times New Roman" w:hAnsi="Times New Roman" w:cs="Times New Roman"/>
        </w:rPr>
        <w:t>art.</w:t>
      </w:r>
      <w:r w:rsidR="00506F02" w:rsidRPr="00226C37">
        <w:rPr>
          <w:rFonts w:ascii="Times New Roman" w:hAnsi="Times New Roman" w:cs="Times New Roman"/>
        </w:rPr>
        <w:t xml:space="preserve"> 7 TEU.</w:t>
      </w:r>
      <w:bookmarkStart w:id="20" w:name="_Ref70878974"/>
      <w:r w:rsidR="002B7275" w:rsidRPr="00226C37">
        <w:rPr>
          <w:rStyle w:val="FootnoteReference"/>
          <w:rFonts w:ascii="Times New Roman" w:hAnsi="Times New Roman" w:cs="Times New Roman"/>
        </w:rPr>
        <w:footnoteReference w:id="49"/>
      </w:r>
      <w:bookmarkEnd w:id="20"/>
      <w:r w:rsidR="00506F02" w:rsidRPr="00226C37">
        <w:rPr>
          <w:rFonts w:ascii="Times New Roman" w:hAnsi="Times New Roman" w:cs="Times New Roman"/>
        </w:rPr>
        <w:t xml:space="preserve"> </w:t>
      </w:r>
    </w:p>
    <w:p w14:paraId="0D56A301" w14:textId="77777777" w:rsidR="006F77D6" w:rsidRPr="00226C37" w:rsidRDefault="006F77D6" w:rsidP="006F77D6">
      <w:pPr>
        <w:jc w:val="both"/>
        <w:rPr>
          <w:rFonts w:ascii="Times New Roman" w:hAnsi="Times New Roman" w:cs="Times New Roman"/>
        </w:rPr>
      </w:pPr>
    </w:p>
    <w:p w14:paraId="679E497D" w14:textId="641AFC25" w:rsidR="004C3610" w:rsidRPr="00226C37" w:rsidRDefault="006F77D6" w:rsidP="006F77D6">
      <w:pPr>
        <w:jc w:val="both"/>
        <w:rPr>
          <w:rFonts w:ascii="Times New Roman" w:hAnsi="Times New Roman" w:cs="Times New Roman"/>
        </w:rPr>
      </w:pPr>
      <w:r w:rsidRPr="00226C37">
        <w:rPr>
          <w:rFonts w:ascii="Times New Roman" w:hAnsi="Times New Roman" w:cs="Times New Roman"/>
        </w:rPr>
        <w:t xml:space="preserve">The first set of arguments are based on textual analysis of </w:t>
      </w:r>
      <w:r w:rsidR="00C82D77">
        <w:rPr>
          <w:rFonts w:ascii="Times New Roman" w:hAnsi="Times New Roman" w:cs="Times New Roman"/>
        </w:rPr>
        <w:t>art.</w:t>
      </w:r>
      <w:r w:rsidR="0080343C" w:rsidRPr="00226C37">
        <w:rPr>
          <w:rFonts w:ascii="Times New Roman" w:hAnsi="Times New Roman" w:cs="Times New Roman"/>
        </w:rPr>
        <w:t xml:space="preserve"> 10(2) TEU</w:t>
      </w:r>
      <w:r w:rsidRPr="00226C37">
        <w:rPr>
          <w:rFonts w:ascii="Times New Roman" w:hAnsi="Times New Roman" w:cs="Times New Roman"/>
        </w:rPr>
        <w:t xml:space="preserve">, both in isolation and in context. At the outset, it should be established that the use of the apparently descriptive language in </w:t>
      </w:r>
      <w:r w:rsidR="00C82D77">
        <w:rPr>
          <w:rFonts w:ascii="Times New Roman" w:hAnsi="Times New Roman" w:cs="Times New Roman"/>
        </w:rPr>
        <w:t xml:space="preserve">art. </w:t>
      </w:r>
      <w:r w:rsidRPr="00226C37">
        <w:rPr>
          <w:rFonts w:ascii="Times New Roman" w:hAnsi="Times New Roman" w:cs="Times New Roman"/>
        </w:rPr>
        <w:t>10(2) TEU should not automatically deprive the provision of</w:t>
      </w:r>
      <w:r w:rsidR="0089253A" w:rsidRPr="00226C37">
        <w:rPr>
          <w:rFonts w:ascii="Times New Roman" w:hAnsi="Times New Roman" w:cs="Times New Roman"/>
        </w:rPr>
        <w:t xml:space="preserve"> normative</w:t>
      </w:r>
      <w:r w:rsidRPr="00226C37">
        <w:rPr>
          <w:rFonts w:ascii="Times New Roman" w:hAnsi="Times New Roman" w:cs="Times New Roman"/>
        </w:rPr>
        <w:t xml:space="preserve"> effect. It would, for instance, be inconceivable that </w:t>
      </w:r>
      <w:r w:rsidR="00C82D77">
        <w:rPr>
          <w:rFonts w:ascii="Times New Roman" w:hAnsi="Times New Roman" w:cs="Times New Roman"/>
        </w:rPr>
        <w:t>art.</w:t>
      </w:r>
      <w:r w:rsidRPr="00226C37">
        <w:rPr>
          <w:rFonts w:ascii="Times New Roman" w:hAnsi="Times New Roman" w:cs="Times New Roman"/>
        </w:rPr>
        <w:t xml:space="preserve"> 5(1) TEU</w:t>
      </w:r>
      <w:r w:rsidR="00E33719" w:rsidRPr="00226C37">
        <w:rPr>
          <w:rFonts w:ascii="Times New Roman" w:hAnsi="Times New Roman" w:cs="Times New Roman"/>
        </w:rPr>
        <w:t xml:space="preserve"> (the </w:t>
      </w:r>
      <w:r w:rsidRPr="00226C37">
        <w:rPr>
          <w:rFonts w:ascii="Times New Roman" w:hAnsi="Times New Roman" w:cs="Times New Roman"/>
        </w:rPr>
        <w:t>principle of conferral</w:t>
      </w:r>
      <w:r w:rsidR="00E33719" w:rsidRPr="00226C37">
        <w:rPr>
          <w:rFonts w:ascii="Times New Roman" w:hAnsi="Times New Roman" w:cs="Times New Roman"/>
        </w:rPr>
        <w:t>)</w:t>
      </w:r>
      <w:r w:rsidRPr="00226C37">
        <w:rPr>
          <w:rFonts w:ascii="Times New Roman" w:hAnsi="Times New Roman" w:cs="Times New Roman"/>
        </w:rPr>
        <w:t xml:space="preserve"> would be interpreted as lacking binding legal effect because it is provided that “[t]he limits of Union competences </w:t>
      </w:r>
      <w:r w:rsidRPr="00226C37">
        <w:rPr>
          <w:rFonts w:ascii="Times New Roman" w:hAnsi="Times New Roman" w:cs="Times New Roman"/>
          <w:i/>
          <w:iCs/>
        </w:rPr>
        <w:t>are</w:t>
      </w:r>
      <w:r w:rsidRPr="00226C37">
        <w:rPr>
          <w:rFonts w:ascii="Times New Roman" w:hAnsi="Times New Roman" w:cs="Times New Roman"/>
        </w:rPr>
        <w:t xml:space="preserve"> governed by the principle of conferral.” The failure by the drafters to utilise non-</w:t>
      </w:r>
      <w:r w:rsidR="00867B6A" w:rsidRPr="00226C37">
        <w:rPr>
          <w:rFonts w:ascii="Times New Roman" w:hAnsi="Times New Roman" w:cs="Times New Roman"/>
        </w:rPr>
        <w:t>normative</w:t>
      </w:r>
      <w:r w:rsidRPr="00226C37">
        <w:rPr>
          <w:rFonts w:ascii="Times New Roman" w:hAnsi="Times New Roman" w:cs="Times New Roman"/>
        </w:rPr>
        <w:t xml:space="preserve"> grammar should not, therefore, be determinative. Moreover, not all language versions of the Treaties use the descriptive grammar of the </w:t>
      </w:r>
      <w:r w:rsidRPr="00226C37">
        <w:rPr>
          <w:rFonts w:ascii="Times New Roman" w:hAnsi="Times New Roman" w:cs="Times New Roman"/>
        </w:rPr>
        <w:lastRenderedPageBreak/>
        <w:t>English-language version</w:t>
      </w:r>
      <w:r w:rsidR="006A013B" w:rsidRPr="00226C37">
        <w:rPr>
          <w:rFonts w:ascii="Times New Roman" w:hAnsi="Times New Roman" w:cs="Times New Roman"/>
        </w:rPr>
        <w:t>: t</w:t>
      </w:r>
      <w:r w:rsidRPr="00226C37">
        <w:rPr>
          <w:rFonts w:ascii="Times New Roman" w:hAnsi="Times New Roman" w:cs="Times New Roman"/>
        </w:rPr>
        <w:t xml:space="preserve">he German-language version </w:t>
      </w:r>
      <w:r w:rsidR="006A013B" w:rsidRPr="00226C37">
        <w:rPr>
          <w:rFonts w:ascii="Times New Roman" w:hAnsi="Times New Roman" w:cs="Times New Roman"/>
        </w:rPr>
        <w:t xml:space="preserve">in contrast to other versions </w:t>
      </w:r>
      <w:r w:rsidRPr="00226C37">
        <w:rPr>
          <w:rFonts w:ascii="Times New Roman" w:hAnsi="Times New Roman" w:cs="Times New Roman"/>
        </w:rPr>
        <w:t xml:space="preserve">expresses the matter of democratic accountability to national parliaments or citizens </w:t>
      </w:r>
      <w:r w:rsidR="0089253A" w:rsidRPr="00226C37">
        <w:rPr>
          <w:rFonts w:ascii="Times New Roman" w:hAnsi="Times New Roman" w:cs="Times New Roman"/>
        </w:rPr>
        <w:t>normatively</w:t>
      </w:r>
      <w:r w:rsidRPr="00226C37">
        <w:rPr>
          <w:rFonts w:ascii="Times New Roman" w:hAnsi="Times New Roman" w:cs="Times New Roman"/>
        </w:rPr>
        <w:t>.</w:t>
      </w:r>
      <w:r w:rsidR="00D10E6D" w:rsidRPr="00226C37">
        <w:rPr>
          <w:rStyle w:val="FootnoteReference"/>
          <w:rFonts w:ascii="Times New Roman" w:hAnsi="Times New Roman" w:cs="Times New Roman"/>
        </w:rPr>
        <w:footnoteReference w:id="50"/>
      </w:r>
      <w:r w:rsidR="006A013B" w:rsidRPr="00226C37">
        <w:rPr>
          <w:rFonts w:ascii="Times New Roman" w:hAnsi="Times New Roman" w:cs="Times New Roman"/>
        </w:rPr>
        <w:t xml:space="preserve"> </w:t>
      </w:r>
      <w:r w:rsidR="00867B6A" w:rsidRPr="00226C37">
        <w:rPr>
          <w:rFonts w:ascii="Times New Roman" w:hAnsi="Times New Roman" w:cs="Times New Roman"/>
        </w:rPr>
        <w:t>Furthermore</w:t>
      </w:r>
      <w:r w:rsidR="006A013B" w:rsidRPr="00226C37">
        <w:rPr>
          <w:rFonts w:ascii="Times New Roman" w:hAnsi="Times New Roman" w:cs="Times New Roman"/>
        </w:rPr>
        <w:t>,</w:t>
      </w:r>
      <w:r w:rsidR="00867B6A" w:rsidRPr="00226C37">
        <w:rPr>
          <w:rFonts w:ascii="Times New Roman" w:hAnsi="Times New Roman" w:cs="Times New Roman"/>
        </w:rPr>
        <w:t xml:space="preserve"> </w:t>
      </w:r>
      <w:r w:rsidR="00C82D77">
        <w:rPr>
          <w:rFonts w:ascii="Times New Roman" w:hAnsi="Times New Roman" w:cs="Times New Roman"/>
        </w:rPr>
        <w:t>art.</w:t>
      </w:r>
      <w:r w:rsidR="006A013B" w:rsidRPr="00226C37">
        <w:rPr>
          <w:rFonts w:ascii="Times New Roman" w:hAnsi="Times New Roman" w:cs="Times New Roman"/>
        </w:rPr>
        <w:t xml:space="preserve"> 10(2)-(4) TEU cannot be read in isolation from </w:t>
      </w:r>
      <w:r w:rsidR="00C82D77">
        <w:rPr>
          <w:rFonts w:ascii="Times New Roman" w:hAnsi="Times New Roman" w:cs="Times New Roman"/>
        </w:rPr>
        <w:t>art.</w:t>
      </w:r>
      <w:r w:rsidR="006A013B" w:rsidRPr="00226C37">
        <w:rPr>
          <w:rFonts w:ascii="Times New Roman" w:hAnsi="Times New Roman" w:cs="Times New Roman"/>
        </w:rPr>
        <w:t xml:space="preserve"> 10(1) TEU; rather, those provisions </w:t>
      </w:r>
      <w:r w:rsidR="00867B6A" w:rsidRPr="00226C37">
        <w:rPr>
          <w:rFonts w:ascii="Times New Roman" w:hAnsi="Times New Roman" w:cs="Times New Roman"/>
        </w:rPr>
        <w:t>should</w:t>
      </w:r>
      <w:r w:rsidR="006A013B" w:rsidRPr="00226C37">
        <w:rPr>
          <w:rFonts w:ascii="Times New Roman" w:hAnsi="Times New Roman" w:cs="Times New Roman"/>
        </w:rPr>
        <w:t xml:space="preserve"> be read as establishing the institutional design of the EU that </w:t>
      </w:r>
      <w:r w:rsidR="00B475C1" w:rsidRPr="00226C37">
        <w:rPr>
          <w:rFonts w:ascii="Times New Roman" w:hAnsi="Times New Roman" w:cs="Times New Roman"/>
        </w:rPr>
        <w:t>ensures that</w:t>
      </w:r>
      <w:r w:rsidR="00663146" w:rsidRPr="00226C37">
        <w:rPr>
          <w:rFonts w:ascii="Times New Roman" w:hAnsi="Times New Roman" w:cs="Times New Roman"/>
        </w:rPr>
        <w:t xml:space="preserve"> the EU </w:t>
      </w:r>
      <w:r w:rsidR="00663146" w:rsidRPr="00226C37">
        <w:rPr>
          <w:rFonts w:ascii="Times New Roman" w:hAnsi="Times New Roman" w:cs="Times New Roman"/>
          <w:i/>
          <w:iCs/>
        </w:rPr>
        <w:t xml:space="preserve">functions </w:t>
      </w:r>
      <w:r w:rsidR="00663146" w:rsidRPr="00226C37">
        <w:rPr>
          <w:rFonts w:ascii="Times New Roman" w:hAnsi="Times New Roman" w:cs="Times New Roman"/>
        </w:rPr>
        <w:t>as a representative democracy</w:t>
      </w:r>
      <w:r w:rsidR="00E33719" w:rsidRPr="00226C37">
        <w:rPr>
          <w:rFonts w:ascii="Times New Roman" w:hAnsi="Times New Roman" w:cs="Times New Roman"/>
        </w:rPr>
        <w:t>,</w:t>
      </w:r>
      <w:r w:rsidR="00663146" w:rsidRPr="00226C37">
        <w:rPr>
          <w:rFonts w:ascii="Times New Roman" w:hAnsi="Times New Roman" w:cs="Times New Roman"/>
        </w:rPr>
        <w:t xml:space="preserve"> and that</w:t>
      </w:r>
      <w:r w:rsidR="00B475C1" w:rsidRPr="00226C37">
        <w:rPr>
          <w:rFonts w:ascii="Times New Roman" w:hAnsi="Times New Roman" w:cs="Times New Roman"/>
        </w:rPr>
        <w:t xml:space="preserve"> </w:t>
      </w:r>
      <w:r w:rsidR="00C82D77">
        <w:rPr>
          <w:rFonts w:ascii="Times New Roman" w:hAnsi="Times New Roman" w:cs="Times New Roman"/>
        </w:rPr>
        <w:t>art.</w:t>
      </w:r>
      <w:r w:rsidR="00B475C1" w:rsidRPr="00226C37">
        <w:rPr>
          <w:rFonts w:ascii="Times New Roman" w:hAnsi="Times New Roman" w:cs="Times New Roman"/>
        </w:rPr>
        <w:t xml:space="preserve"> 10(1) TEU is not merely an empty </w:t>
      </w:r>
      <w:r w:rsidR="00663146" w:rsidRPr="00226C37">
        <w:rPr>
          <w:rFonts w:ascii="Times New Roman" w:hAnsi="Times New Roman" w:cs="Times New Roman"/>
        </w:rPr>
        <w:t>formula</w:t>
      </w:r>
      <w:r w:rsidR="00B475C1" w:rsidRPr="00226C37">
        <w:rPr>
          <w:rFonts w:ascii="Times New Roman" w:hAnsi="Times New Roman" w:cs="Times New Roman"/>
        </w:rPr>
        <w:t xml:space="preserve">. </w:t>
      </w:r>
      <w:r w:rsidR="00663146" w:rsidRPr="00226C37">
        <w:rPr>
          <w:rFonts w:ascii="Times New Roman" w:hAnsi="Times New Roman" w:cs="Times New Roman"/>
        </w:rPr>
        <w:t xml:space="preserve">In short, the second sentence of </w:t>
      </w:r>
      <w:r w:rsidR="00C82D77">
        <w:rPr>
          <w:rFonts w:ascii="Times New Roman" w:hAnsi="Times New Roman" w:cs="Times New Roman"/>
        </w:rPr>
        <w:t>art.</w:t>
      </w:r>
      <w:r w:rsidR="00663146" w:rsidRPr="00226C37">
        <w:rPr>
          <w:rFonts w:ascii="Times New Roman" w:hAnsi="Times New Roman" w:cs="Times New Roman"/>
        </w:rPr>
        <w:t xml:space="preserve"> 10(2) TEU imposes an obligation on the Member States and the EU to ensure that the European Council and the Council are composed in accordance with the principle of representative democracy. </w:t>
      </w:r>
      <w:r w:rsidR="002819BB" w:rsidRPr="00226C37">
        <w:rPr>
          <w:rFonts w:ascii="Times New Roman" w:hAnsi="Times New Roman" w:cs="Times New Roman"/>
        </w:rPr>
        <w:t>Moreover</w:t>
      </w:r>
      <w:r w:rsidR="004C3610" w:rsidRPr="00226C37">
        <w:rPr>
          <w:rFonts w:ascii="Times New Roman" w:hAnsi="Times New Roman" w:cs="Times New Roman"/>
        </w:rPr>
        <w:t>, it is evident from other provisions in the Treaties that, just as national courts have come to form part of an EU judicial network, national democratic institutions also form part of an EU democratic network. Article 10(2) TEU establish</w:t>
      </w:r>
      <w:r w:rsidR="00867B6A" w:rsidRPr="00226C37">
        <w:rPr>
          <w:rFonts w:ascii="Times New Roman" w:hAnsi="Times New Roman" w:cs="Times New Roman"/>
        </w:rPr>
        <w:t>es</w:t>
      </w:r>
      <w:r w:rsidR="004C3610" w:rsidRPr="00226C37">
        <w:rPr>
          <w:rFonts w:ascii="Times New Roman" w:hAnsi="Times New Roman" w:cs="Times New Roman"/>
        </w:rPr>
        <w:t xml:space="preserve"> intertwined democratic design</w:t>
      </w:r>
      <w:r w:rsidR="00867B6A" w:rsidRPr="00226C37">
        <w:rPr>
          <w:rFonts w:ascii="Times New Roman" w:hAnsi="Times New Roman" w:cs="Times New Roman"/>
        </w:rPr>
        <w:t xml:space="preserve"> and </w:t>
      </w:r>
      <w:r w:rsidR="00C82D77">
        <w:rPr>
          <w:rFonts w:ascii="Times New Roman" w:hAnsi="Times New Roman" w:cs="Times New Roman"/>
        </w:rPr>
        <w:t>art.</w:t>
      </w:r>
      <w:r w:rsidR="003B3757" w:rsidRPr="00226C37">
        <w:rPr>
          <w:rFonts w:ascii="Times New Roman" w:hAnsi="Times New Roman" w:cs="Times New Roman"/>
        </w:rPr>
        <w:t xml:space="preserve"> 12 TEU confers upon national parliaments </w:t>
      </w:r>
      <w:r w:rsidR="005E3718" w:rsidRPr="00226C37">
        <w:rPr>
          <w:rFonts w:ascii="Times New Roman" w:hAnsi="Times New Roman" w:cs="Times New Roman"/>
        </w:rPr>
        <w:t>several</w:t>
      </w:r>
      <w:r w:rsidR="003B3757" w:rsidRPr="00226C37">
        <w:rPr>
          <w:rFonts w:ascii="Times New Roman" w:hAnsi="Times New Roman" w:cs="Times New Roman"/>
        </w:rPr>
        <w:t xml:space="preserve"> important roles in </w:t>
      </w:r>
      <w:r w:rsidR="0001725C" w:rsidRPr="00226C37">
        <w:rPr>
          <w:rFonts w:ascii="Times New Roman" w:hAnsi="Times New Roman" w:cs="Times New Roman"/>
        </w:rPr>
        <w:t>the EU’s democracy</w:t>
      </w:r>
      <w:r w:rsidR="00867B6A" w:rsidRPr="00226C37">
        <w:rPr>
          <w:rFonts w:ascii="Times New Roman" w:hAnsi="Times New Roman" w:cs="Times New Roman"/>
        </w:rPr>
        <w:t>;</w:t>
      </w:r>
      <w:r w:rsidR="0001725C" w:rsidRPr="00226C37">
        <w:rPr>
          <w:rFonts w:ascii="Times New Roman" w:hAnsi="Times New Roman" w:cs="Times New Roman"/>
        </w:rPr>
        <w:t xml:space="preserve"> in particular, in ensuring respect for the principle of subsidiarity.</w:t>
      </w:r>
      <w:r w:rsidR="0001725C" w:rsidRPr="00226C37">
        <w:rPr>
          <w:rStyle w:val="FootnoteReference"/>
          <w:rFonts w:ascii="Times New Roman" w:hAnsi="Times New Roman" w:cs="Times New Roman"/>
        </w:rPr>
        <w:footnoteReference w:id="51"/>
      </w:r>
      <w:r w:rsidR="0001725C" w:rsidRPr="00226C37">
        <w:rPr>
          <w:rFonts w:ascii="Times New Roman" w:hAnsi="Times New Roman" w:cs="Times New Roman"/>
        </w:rPr>
        <w:t xml:space="preserve"> </w:t>
      </w:r>
    </w:p>
    <w:p w14:paraId="4407EB56" w14:textId="7EDC1316" w:rsidR="007A08A7" w:rsidRPr="00226C37" w:rsidRDefault="007A08A7" w:rsidP="006F77D6">
      <w:pPr>
        <w:jc w:val="both"/>
        <w:rPr>
          <w:rFonts w:ascii="Times New Roman" w:hAnsi="Times New Roman" w:cs="Times New Roman"/>
        </w:rPr>
      </w:pPr>
    </w:p>
    <w:p w14:paraId="5BD53E48" w14:textId="4A835CB0" w:rsidR="007A08A7" w:rsidRPr="00226C37" w:rsidRDefault="007A08A7" w:rsidP="006F77D6">
      <w:pPr>
        <w:jc w:val="both"/>
        <w:rPr>
          <w:rFonts w:ascii="Times New Roman" w:hAnsi="Times New Roman" w:cs="Times New Roman"/>
        </w:rPr>
      </w:pPr>
      <w:r w:rsidRPr="00226C37">
        <w:rPr>
          <w:rFonts w:ascii="Times New Roman" w:hAnsi="Times New Roman" w:cs="Times New Roman"/>
        </w:rPr>
        <w:t xml:space="preserve">The second set of arguments </w:t>
      </w:r>
      <w:r w:rsidR="00631866" w:rsidRPr="00226C37">
        <w:rPr>
          <w:rFonts w:ascii="Times New Roman" w:hAnsi="Times New Roman" w:cs="Times New Roman"/>
        </w:rPr>
        <w:t>for</w:t>
      </w:r>
      <w:r w:rsidRPr="00226C37">
        <w:rPr>
          <w:rFonts w:ascii="Times New Roman" w:hAnsi="Times New Roman" w:cs="Times New Roman"/>
        </w:rPr>
        <w:t xml:space="preserve"> the operative reading of </w:t>
      </w:r>
      <w:r w:rsidR="00C82D77">
        <w:rPr>
          <w:rFonts w:ascii="Times New Roman" w:hAnsi="Times New Roman" w:cs="Times New Roman"/>
        </w:rPr>
        <w:t>art.</w:t>
      </w:r>
      <w:r w:rsidRPr="00226C37">
        <w:rPr>
          <w:rFonts w:ascii="Times New Roman" w:hAnsi="Times New Roman" w:cs="Times New Roman"/>
        </w:rPr>
        <w:t xml:space="preserve"> 10(2) TEU relate</w:t>
      </w:r>
      <w:r w:rsidR="00EE3BDB" w:rsidRPr="00226C37">
        <w:rPr>
          <w:rFonts w:ascii="Times New Roman" w:hAnsi="Times New Roman" w:cs="Times New Roman"/>
        </w:rPr>
        <w:t>s</w:t>
      </w:r>
      <w:r w:rsidRPr="00226C37">
        <w:rPr>
          <w:rFonts w:ascii="Times New Roman" w:hAnsi="Times New Roman" w:cs="Times New Roman"/>
        </w:rPr>
        <w:t xml:space="preserve"> to the primacy and effectiveness of EU law, as well as the protection of</w:t>
      </w:r>
      <w:r w:rsidR="000A4E8F" w:rsidRPr="00226C37">
        <w:rPr>
          <w:rFonts w:ascii="Times New Roman" w:hAnsi="Times New Roman" w:cs="Times New Roman"/>
        </w:rPr>
        <w:t xml:space="preserve"> the functioning of </w:t>
      </w:r>
      <w:r w:rsidR="00E76497" w:rsidRPr="00226C37">
        <w:rPr>
          <w:rFonts w:ascii="Times New Roman" w:hAnsi="Times New Roman" w:cs="Times New Roman"/>
        </w:rPr>
        <w:t xml:space="preserve">the EU’s </w:t>
      </w:r>
      <w:r w:rsidR="000A4E8F" w:rsidRPr="00226C37">
        <w:rPr>
          <w:rFonts w:ascii="Times New Roman" w:hAnsi="Times New Roman" w:cs="Times New Roman"/>
        </w:rPr>
        <w:t>democracy</w:t>
      </w:r>
      <w:r w:rsidRPr="00226C37">
        <w:rPr>
          <w:rFonts w:ascii="Times New Roman" w:hAnsi="Times New Roman" w:cs="Times New Roman"/>
        </w:rPr>
        <w:t xml:space="preserve">. While it is evident from the Treaties that deference ought to be shown for national constitutional identity, </w:t>
      </w:r>
      <w:r w:rsidR="00A87A06">
        <w:rPr>
          <w:rFonts w:ascii="Times New Roman" w:hAnsi="Times New Roman" w:cs="Times New Roman"/>
        </w:rPr>
        <w:t>such an</w:t>
      </w:r>
      <w:r w:rsidRPr="00226C37">
        <w:rPr>
          <w:rFonts w:ascii="Times New Roman" w:hAnsi="Times New Roman" w:cs="Times New Roman"/>
        </w:rPr>
        <w:t xml:space="preserve"> idea</w:t>
      </w:r>
      <w:r w:rsidR="00A87A06">
        <w:rPr>
          <w:rFonts w:ascii="Times New Roman" w:hAnsi="Times New Roman" w:cs="Times New Roman"/>
        </w:rPr>
        <w:t xml:space="preserve"> also has its</w:t>
      </w:r>
      <w:r w:rsidRPr="00226C37">
        <w:rPr>
          <w:rFonts w:ascii="Times New Roman" w:hAnsi="Times New Roman" w:cs="Times New Roman"/>
        </w:rPr>
        <w:t xml:space="preserve"> limits.</w:t>
      </w:r>
      <w:r w:rsidR="00192B17" w:rsidRPr="00226C37">
        <w:rPr>
          <w:rStyle w:val="FootnoteReference"/>
          <w:rFonts w:ascii="Times New Roman" w:hAnsi="Times New Roman" w:cs="Times New Roman"/>
        </w:rPr>
        <w:footnoteReference w:id="52"/>
      </w:r>
      <w:r w:rsidRPr="00226C37">
        <w:rPr>
          <w:rFonts w:ascii="Times New Roman" w:hAnsi="Times New Roman" w:cs="Times New Roman"/>
        </w:rPr>
        <w:t xml:space="preserve"> </w:t>
      </w:r>
      <w:r w:rsidR="00863DB8" w:rsidRPr="00226C37">
        <w:rPr>
          <w:rFonts w:ascii="Times New Roman" w:hAnsi="Times New Roman" w:cs="Times New Roman"/>
        </w:rPr>
        <w:t xml:space="preserve">While, as </w:t>
      </w:r>
      <w:proofErr w:type="spellStart"/>
      <w:r w:rsidR="00863DB8" w:rsidRPr="00226C37">
        <w:rPr>
          <w:rFonts w:ascii="Times New Roman" w:hAnsi="Times New Roman" w:cs="Times New Roman"/>
        </w:rPr>
        <w:t>Lenaerts</w:t>
      </w:r>
      <w:proofErr w:type="spellEnd"/>
      <w:r w:rsidR="00863DB8" w:rsidRPr="00226C37">
        <w:rPr>
          <w:rFonts w:ascii="Times New Roman" w:hAnsi="Times New Roman" w:cs="Times New Roman"/>
        </w:rPr>
        <w:t xml:space="preserve"> has stated, “[d]</w:t>
      </w:r>
      <w:proofErr w:type="spellStart"/>
      <w:r w:rsidR="00863DB8" w:rsidRPr="00226C37">
        <w:rPr>
          <w:rFonts w:ascii="Times New Roman" w:hAnsi="Times New Roman" w:cs="Times New Roman"/>
        </w:rPr>
        <w:t>emocracy</w:t>
      </w:r>
      <w:proofErr w:type="spellEnd"/>
      <w:r w:rsidR="00863DB8" w:rsidRPr="00226C37">
        <w:rPr>
          <w:rFonts w:ascii="Times New Roman" w:hAnsi="Times New Roman" w:cs="Times New Roman"/>
        </w:rPr>
        <w:t xml:space="preserve"> in a multilevel system of governance must be driven by a mutually reinforcing relationship, whereby both sources of democratic legitimacy complement each other”,</w:t>
      </w:r>
      <w:r w:rsidR="00863DB8" w:rsidRPr="00226C37">
        <w:rPr>
          <w:rStyle w:val="FootnoteReference"/>
          <w:rFonts w:ascii="Times New Roman" w:hAnsi="Times New Roman" w:cs="Times New Roman"/>
        </w:rPr>
        <w:footnoteReference w:id="53"/>
      </w:r>
      <w:r w:rsidR="00863DB8" w:rsidRPr="00226C37">
        <w:rPr>
          <w:rFonts w:ascii="Times New Roman" w:hAnsi="Times New Roman" w:cs="Times New Roman"/>
        </w:rPr>
        <w:t xml:space="preserve"> t</w:t>
      </w:r>
      <w:r w:rsidRPr="00226C37">
        <w:rPr>
          <w:rFonts w:ascii="Times New Roman" w:hAnsi="Times New Roman" w:cs="Times New Roman"/>
        </w:rPr>
        <w:t xml:space="preserve">here may </w:t>
      </w:r>
      <w:r w:rsidR="00863DB8" w:rsidRPr="00226C37">
        <w:rPr>
          <w:rFonts w:ascii="Times New Roman" w:hAnsi="Times New Roman" w:cs="Times New Roman"/>
        </w:rPr>
        <w:t xml:space="preserve">also </w:t>
      </w:r>
      <w:r w:rsidRPr="00226C37">
        <w:rPr>
          <w:rFonts w:ascii="Times New Roman" w:hAnsi="Times New Roman" w:cs="Times New Roman"/>
        </w:rPr>
        <w:t xml:space="preserve">be a point where it becomes impossible to reconcile a Member State’s manifestation </w:t>
      </w:r>
      <w:r w:rsidR="00CD487F" w:rsidRPr="00226C37">
        <w:rPr>
          <w:rFonts w:ascii="Times New Roman" w:hAnsi="Times New Roman" w:cs="Times New Roman"/>
        </w:rPr>
        <w:t>of</w:t>
      </w:r>
      <w:r w:rsidRPr="00226C37">
        <w:rPr>
          <w:rFonts w:ascii="Times New Roman" w:hAnsi="Times New Roman" w:cs="Times New Roman"/>
        </w:rPr>
        <w:t xml:space="preserve"> its constitutional identity with the primacy and effectiveness of EU law, and </w:t>
      </w:r>
      <w:r w:rsidR="00863DB8" w:rsidRPr="00226C37">
        <w:rPr>
          <w:rFonts w:ascii="Times New Roman" w:hAnsi="Times New Roman" w:cs="Times New Roman"/>
        </w:rPr>
        <w:t xml:space="preserve">with </w:t>
      </w:r>
      <w:r w:rsidRPr="00226C37">
        <w:rPr>
          <w:rFonts w:ascii="Times New Roman" w:hAnsi="Times New Roman" w:cs="Times New Roman"/>
        </w:rPr>
        <w:t>the principle of representative democracy</w:t>
      </w:r>
      <w:r w:rsidR="00ED529A" w:rsidRPr="00226C37">
        <w:rPr>
          <w:rFonts w:ascii="Times New Roman" w:hAnsi="Times New Roman" w:cs="Times New Roman"/>
        </w:rPr>
        <w:t xml:space="preserve"> particularly.</w:t>
      </w:r>
      <w:bookmarkStart w:id="22" w:name="_Ref70873516"/>
      <w:r w:rsidR="000A4E8F" w:rsidRPr="00226C37">
        <w:rPr>
          <w:rStyle w:val="FootnoteReference"/>
          <w:rFonts w:ascii="Times New Roman" w:hAnsi="Times New Roman" w:cs="Times New Roman"/>
        </w:rPr>
        <w:footnoteReference w:id="54"/>
      </w:r>
      <w:bookmarkEnd w:id="22"/>
      <w:r w:rsidR="00ED529A" w:rsidRPr="00226C37">
        <w:rPr>
          <w:rFonts w:ascii="Times New Roman" w:hAnsi="Times New Roman" w:cs="Times New Roman"/>
        </w:rPr>
        <w:t xml:space="preserve"> An interpretation of </w:t>
      </w:r>
      <w:r w:rsidR="00C82D77">
        <w:rPr>
          <w:rFonts w:ascii="Times New Roman" w:hAnsi="Times New Roman" w:cs="Times New Roman"/>
        </w:rPr>
        <w:t>art.</w:t>
      </w:r>
      <w:r w:rsidR="00ED529A" w:rsidRPr="00226C37">
        <w:rPr>
          <w:rFonts w:ascii="Times New Roman" w:hAnsi="Times New Roman" w:cs="Times New Roman"/>
        </w:rPr>
        <w:t xml:space="preserve"> 10(2)</w:t>
      </w:r>
      <w:r w:rsidR="00863DB8" w:rsidRPr="00226C37">
        <w:rPr>
          <w:rFonts w:ascii="Times New Roman" w:hAnsi="Times New Roman" w:cs="Times New Roman"/>
        </w:rPr>
        <w:t xml:space="preserve"> </w:t>
      </w:r>
      <w:r w:rsidR="00ED529A" w:rsidRPr="00226C37">
        <w:rPr>
          <w:rFonts w:ascii="Times New Roman" w:hAnsi="Times New Roman" w:cs="Times New Roman"/>
        </w:rPr>
        <w:t>TEU that holds that the second sentence of that provision is a purely descriptive, inoperative provision, which</w:t>
      </w:r>
      <w:r w:rsidR="00892C61" w:rsidRPr="00226C37">
        <w:rPr>
          <w:rFonts w:ascii="Times New Roman" w:hAnsi="Times New Roman" w:cs="Times New Roman"/>
        </w:rPr>
        <w:t xml:space="preserve"> assume</w:t>
      </w:r>
      <w:r w:rsidR="001B0F04" w:rsidRPr="00226C37">
        <w:rPr>
          <w:rFonts w:ascii="Times New Roman" w:hAnsi="Times New Roman" w:cs="Times New Roman"/>
        </w:rPr>
        <w:t>s</w:t>
      </w:r>
      <w:r w:rsidR="00296A0B" w:rsidRPr="00226C37">
        <w:rPr>
          <w:rFonts w:ascii="Times New Roman" w:hAnsi="Times New Roman" w:cs="Times New Roman"/>
        </w:rPr>
        <w:t xml:space="preserve"> in all cases</w:t>
      </w:r>
      <w:r w:rsidR="001B0F04" w:rsidRPr="00226C37">
        <w:rPr>
          <w:rFonts w:ascii="Times New Roman" w:hAnsi="Times New Roman" w:cs="Times New Roman"/>
        </w:rPr>
        <w:t xml:space="preserve"> democratic accountability at national level</w:t>
      </w:r>
      <w:r w:rsidR="00FD42FF" w:rsidRPr="00226C37">
        <w:rPr>
          <w:rFonts w:ascii="Times New Roman" w:hAnsi="Times New Roman" w:cs="Times New Roman"/>
        </w:rPr>
        <w:t>,</w:t>
      </w:r>
      <w:r w:rsidR="00892C61" w:rsidRPr="00226C37">
        <w:rPr>
          <w:rFonts w:ascii="Times New Roman" w:hAnsi="Times New Roman" w:cs="Times New Roman"/>
        </w:rPr>
        <w:t xml:space="preserve"> is difficult to reconcile with the </w:t>
      </w:r>
      <w:r w:rsidR="00AC0584" w:rsidRPr="00226C37">
        <w:rPr>
          <w:rFonts w:ascii="Times New Roman" w:hAnsi="Times New Roman" w:cs="Times New Roman"/>
        </w:rPr>
        <w:t>primacy of EU law and</w:t>
      </w:r>
      <w:r w:rsidR="00296A0B" w:rsidRPr="00226C37">
        <w:rPr>
          <w:rFonts w:ascii="Times New Roman" w:hAnsi="Times New Roman" w:cs="Times New Roman"/>
        </w:rPr>
        <w:t xml:space="preserve"> </w:t>
      </w:r>
      <w:r w:rsidR="00631866" w:rsidRPr="00226C37">
        <w:rPr>
          <w:rFonts w:ascii="Times New Roman" w:hAnsi="Times New Roman" w:cs="Times New Roman"/>
        </w:rPr>
        <w:t xml:space="preserve">of </w:t>
      </w:r>
      <w:r w:rsidR="00C82D77">
        <w:rPr>
          <w:rFonts w:ascii="Times New Roman" w:hAnsi="Times New Roman" w:cs="Times New Roman"/>
        </w:rPr>
        <w:t>art.</w:t>
      </w:r>
      <w:r w:rsidR="00296A0B" w:rsidRPr="00226C37">
        <w:rPr>
          <w:rFonts w:ascii="Times New Roman" w:hAnsi="Times New Roman" w:cs="Times New Roman"/>
        </w:rPr>
        <w:t xml:space="preserve"> 10(1) TEU</w:t>
      </w:r>
      <w:r w:rsidR="000A4E8F" w:rsidRPr="00226C37">
        <w:rPr>
          <w:rFonts w:ascii="Times New Roman" w:hAnsi="Times New Roman" w:cs="Times New Roman"/>
        </w:rPr>
        <w:t xml:space="preserve">. </w:t>
      </w:r>
      <w:r w:rsidR="001B0F04" w:rsidRPr="00226C37">
        <w:rPr>
          <w:rFonts w:ascii="Times New Roman" w:hAnsi="Times New Roman" w:cs="Times New Roman"/>
        </w:rPr>
        <w:t xml:space="preserve">It is long established as a matter of EU law that </w:t>
      </w:r>
      <w:r w:rsidR="00994C96" w:rsidRPr="00226C37">
        <w:rPr>
          <w:rFonts w:ascii="Times New Roman" w:hAnsi="Times New Roman" w:cs="Times New Roman"/>
        </w:rPr>
        <w:t>immovable</w:t>
      </w:r>
      <w:r w:rsidR="001B0F04" w:rsidRPr="00226C37">
        <w:rPr>
          <w:rFonts w:ascii="Times New Roman" w:hAnsi="Times New Roman" w:cs="Times New Roman"/>
        </w:rPr>
        <w:t xml:space="preserve"> assumptions are not made in </w:t>
      </w:r>
      <w:r w:rsidR="00E677E5" w:rsidRPr="00226C37">
        <w:rPr>
          <w:rFonts w:ascii="Times New Roman" w:hAnsi="Times New Roman" w:cs="Times New Roman"/>
        </w:rPr>
        <w:t xml:space="preserve">respect </w:t>
      </w:r>
      <w:r w:rsidR="001B0F04" w:rsidRPr="00226C37">
        <w:rPr>
          <w:rFonts w:ascii="Times New Roman" w:hAnsi="Times New Roman" w:cs="Times New Roman"/>
        </w:rPr>
        <w:t>of national courts: in the context of the preliminary r</w:t>
      </w:r>
      <w:r w:rsidR="00296A0B" w:rsidRPr="00226C37">
        <w:rPr>
          <w:rFonts w:ascii="Times New Roman" w:hAnsi="Times New Roman" w:cs="Times New Roman"/>
        </w:rPr>
        <w:t>uling</w:t>
      </w:r>
      <w:r w:rsidR="001B0F04" w:rsidRPr="00226C37">
        <w:rPr>
          <w:rFonts w:ascii="Times New Roman" w:hAnsi="Times New Roman" w:cs="Times New Roman"/>
        </w:rPr>
        <w:t xml:space="preserve"> procedure, the </w:t>
      </w:r>
      <w:r w:rsidR="00EF6B39" w:rsidRPr="00226C37">
        <w:rPr>
          <w:rFonts w:ascii="Times New Roman" w:hAnsi="Times New Roman" w:cs="Times New Roman"/>
        </w:rPr>
        <w:t>ECJ</w:t>
      </w:r>
      <w:r w:rsidR="001B0F04" w:rsidRPr="00226C37">
        <w:rPr>
          <w:rFonts w:ascii="Times New Roman" w:hAnsi="Times New Roman" w:cs="Times New Roman"/>
        </w:rPr>
        <w:t xml:space="preserve"> has long asserted its jurisdiction to determine whether a referring body, notwithstanding its designation in national law, is a “court or tribunal”, an enquiry that has allowed the </w:t>
      </w:r>
      <w:r w:rsidR="00631866" w:rsidRPr="00226C37">
        <w:rPr>
          <w:rFonts w:ascii="Times New Roman" w:hAnsi="Times New Roman" w:cs="Times New Roman"/>
        </w:rPr>
        <w:t>ECJ</w:t>
      </w:r>
      <w:r w:rsidR="001B0F04" w:rsidRPr="00226C37">
        <w:rPr>
          <w:rFonts w:ascii="Times New Roman" w:hAnsi="Times New Roman" w:cs="Times New Roman"/>
        </w:rPr>
        <w:t xml:space="preserve"> to consider the independence of such </w:t>
      </w:r>
      <w:r w:rsidR="00CD487F" w:rsidRPr="00226C37">
        <w:rPr>
          <w:rFonts w:ascii="Times New Roman" w:hAnsi="Times New Roman" w:cs="Times New Roman"/>
        </w:rPr>
        <w:t>bodies.</w:t>
      </w:r>
      <w:r w:rsidR="00C61FB6" w:rsidRPr="00226C37">
        <w:rPr>
          <w:rStyle w:val="FootnoteReference"/>
          <w:rFonts w:ascii="Times New Roman" w:hAnsi="Times New Roman" w:cs="Times New Roman"/>
        </w:rPr>
        <w:footnoteReference w:id="55"/>
      </w:r>
      <w:r w:rsidR="00CD487F" w:rsidRPr="00226C37">
        <w:rPr>
          <w:rFonts w:ascii="Times New Roman" w:hAnsi="Times New Roman" w:cs="Times New Roman"/>
        </w:rPr>
        <w:t xml:space="preserve"> Moreover, the recent </w:t>
      </w:r>
      <w:r w:rsidR="00C82D77">
        <w:rPr>
          <w:rFonts w:ascii="Times New Roman" w:hAnsi="Times New Roman" w:cs="Times New Roman"/>
        </w:rPr>
        <w:t>art.</w:t>
      </w:r>
      <w:r w:rsidR="00CD487F" w:rsidRPr="00226C37">
        <w:rPr>
          <w:rFonts w:ascii="Times New Roman" w:hAnsi="Times New Roman" w:cs="Times New Roman"/>
        </w:rPr>
        <w:t xml:space="preserve"> 19 TEU case law of the </w:t>
      </w:r>
      <w:r w:rsidR="00EF6B39" w:rsidRPr="00226C37">
        <w:rPr>
          <w:rFonts w:ascii="Times New Roman" w:hAnsi="Times New Roman" w:cs="Times New Roman"/>
        </w:rPr>
        <w:t>ECJ</w:t>
      </w:r>
      <w:r w:rsidR="00CD487F" w:rsidRPr="00226C37">
        <w:rPr>
          <w:rFonts w:ascii="Times New Roman" w:hAnsi="Times New Roman" w:cs="Times New Roman"/>
        </w:rPr>
        <w:t xml:space="preserve"> on national judicial independence has </w:t>
      </w:r>
      <w:r w:rsidR="0026206F" w:rsidRPr="00226C37">
        <w:rPr>
          <w:rFonts w:ascii="Times New Roman" w:hAnsi="Times New Roman" w:cs="Times New Roman"/>
        </w:rPr>
        <w:t xml:space="preserve">demonstrated the jurisdiction of the Court to consider the compatibility of </w:t>
      </w:r>
      <w:r w:rsidR="00A87A06">
        <w:rPr>
          <w:rFonts w:ascii="Times New Roman" w:hAnsi="Times New Roman" w:cs="Times New Roman"/>
        </w:rPr>
        <w:t xml:space="preserve">aspects of </w:t>
      </w:r>
      <w:r w:rsidR="0026206F" w:rsidRPr="00226C37">
        <w:rPr>
          <w:rFonts w:ascii="Times New Roman" w:hAnsi="Times New Roman" w:cs="Times New Roman"/>
        </w:rPr>
        <w:t>national judicial systems with EU law.</w:t>
      </w:r>
      <w:r w:rsidR="00C61FB6" w:rsidRPr="00226C37">
        <w:rPr>
          <w:rStyle w:val="FootnoteReference"/>
          <w:rFonts w:ascii="Times New Roman" w:hAnsi="Times New Roman" w:cs="Times New Roman"/>
        </w:rPr>
        <w:footnoteReference w:id="56"/>
      </w:r>
      <w:r w:rsidR="0026206F" w:rsidRPr="00226C37">
        <w:rPr>
          <w:rFonts w:ascii="Times New Roman" w:hAnsi="Times New Roman" w:cs="Times New Roman"/>
        </w:rPr>
        <w:t xml:space="preserve"> </w:t>
      </w:r>
      <w:r w:rsidR="00372EDF" w:rsidRPr="00226C37">
        <w:rPr>
          <w:rFonts w:ascii="Times New Roman" w:hAnsi="Times New Roman" w:cs="Times New Roman"/>
        </w:rPr>
        <w:t xml:space="preserve">In </w:t>
      </w:r>
      <w:r w:rsidR="00723FF9" w:rsidRPr="00226C37">
        <w:rPr>
          <w:rFonts w:ascii="Times New Roman" w:hAnsi="Times New Roman" w:cs="Times New Roman"/>
        </w:rPr>
        <w:t xml:space="preserve">its </w:t>
      </w:r>
      <w:proofErr w:type="spellStart"/>
      <w:r w:rsidR="00723FF9" w:rsidRPr="00226C37">
        <w:rPr>
          <w:rFonts w:ascii="Times New Roman" w:hAnsi="Times New Roman" w:cs="Times New Roman"/>
          <w:i/>
          <w:iCs/>
        </w:rPr>
        <w:t>Repubblika</w:t>
      </w:r>
      <w:proofErr w:type="spellEnd"/>
      <w:r w:rsidR="00372EDF" w:rsidRPr="00226C37">
        <w:rPr>
          <w:rFonts w:ascii="Times New Roman" w:hAnsi="Times New Roman" w:cs="Times New Roman"/>
        </w:rPr>
        <w:t xml:space="preserve"> </w:t>
      </w:r>
      <w:r w:rsidR="00723FF9" w:rsidRPr="00226C37">
        <w:rPr>
          <w:rFonts w:ascii="Times New Roman" w:hAnsi="Times New Roman" w:cs="Times New Roman"/>
        </w:rPr>
        <w:t>judgment</w:t>
      </w:r>
      <w:r w:rsidR="00372EDF" w:rsidRPr="00226C37">
        <w:rPr>
          <w:rFonts w:ascii="Times New Roman" w:hAnsi="Times New Roman" w:cs="Times New Roman"/>
        </w:rPr>
        <w:t xml:space="preserve">, the </w:t>
      </w:r>
      <w:r w:rsidR="00EF6B39" w:rsidRPr="00226C37">
        <w:rPr>
          <w:rFonts w:ascii="Times New Roman" w:hAnsi="Times New Roman" w:cs="Times New Roman"/>
        </w:rPr>
        <w:t>ECJ</w:t>
      </w:r>
      <w:r w:rsidR="00372EDF" w:rsidRPr="00226C37">
        <w:rPr>
          <w:rFonts w:ascii="Times New Roman" w:hAnsi="Times New Roman" w:cs="Times New Roman"/>
        </w:rPr>
        <w:t xml:space="preserve"> drew a direct line between </w:t>
      </w:r>
      <w:r w:rsidR="00C82D77">
        <w:rPr>
          <w:rFonts w:ascii="Times New Roman" w:hAnsi="Times New Roman" w:cs="Times New Roman"/>
        </w:rPr>
        <w:t>art.</w:t>
      </w:r>
      <w:r w:rsidR="00372EDF" w:rsidRPr="00226C37">
        <w:rPr>
          <w:rFonts w:ascii="Times New Roman" w:hAnsi="Times New Roman" w:cs="Times New Roman"/>
        </w:rPr>
        <w:t xml:space="preserve"> 49 TEU, </w:t>
      </w:r>
      <w:r w:rsidR="00C82D77">
        <w:rPr>
          <w:rFonts w:ascii="Times New Roman" w:hAnsi="Times New Roman" w:cs="Times New Roman"/>
        </w:rPr>
        <w:t>art.</w:t>
      </w:r>
      <w:r w:rsidR="00372EDF" w:rsidRPr="00226C37">
        <w:rPr>
          <w:rFonts w:ascii="Times New Roman" w:hAnsi="Times New Roman" w:cs="Times New Roman"/>
        </w:rPr>
        <w:t xml:space="preserve"> 2 TEU, </w:t>
      </w:r>
      <w:r w:rsidR="00723FF9" w:rsidRPr="00226C37">
        <w:rPr>
          <w:rFonts w:ascii="Times New Roman" w:hAnsi="Times New Roman" w:cs="Times New Roman"/>
        </w:rPr>
        <w:t xml:space="preserve">and </w:t>
      </w:r>
      <w:r w:rsidR="00C82D77">
        <w:rPr>
          <w:rFonts w:ascii="Times New Roman" w:hAnsi="Times New Roman" w:cs="Times New Roman"/>
        </w:rPr>
        <w:t>art.</w:t>
      </w:r>
      <w:r w:rsidR="00372EDF" w:rsidRPr="00226C37">
        <w:rPr>
          <w:rFonts w:ascii="Times New Roman" w:hAnsi="Times New Roman" w:cs="Times New Roman"/>
        </w:rPr>
        <w:t xml:space="preserve"> 19 TEU to suggest that Member States who join the EU pursuant to </w:t>
      </w:r>
      <w:r w:rsidR="00C82D77">
        <w:rPr>
          <w:rFonts w:ascii="Times New Roman" w:hAnsi="Times New Roman" w:cs="Times New Roman"/>
        </w:rPr>
        <w:t>art.</w:t>
      </w:r>
      <w:r w:rsidR="00372EDF" w:rsidRPr="00226C37">
        <w:rPr>
          <w:rFonts w:ascii="Times New Roman" w:hAnsi="Times New Roman" w:cs="Times New Roman"/>
        </w:rPr>
        <w:t xml:space="preserve"> 49 TEU have a duty not to regress in terms of the level of protection afforded to judicial independence at the time of accession.</w:t>
      </w:r>
      <w:r w:rsidR="00723FF9" w:rsidRPr="00226C37">
        <w:rPr>
          <w:rStyle w:val="FootnoteReference"/>
          <w:rFonts w:ascii="Times New Roman" w:hAnsi="Times New Roman" w:cs="Times New Roman"/>
        </w:rPr>
        <w:footnoteReference w:id="57"/>
      </w:r>
      <w:r w:rsidR="00723FF9" w:rsidRPr="00226C37">
        <w:rPr>
          <w:rFonts w:ascii="Times New Roman" w:hAnsi="Times New Roman" w:cs="Times New Roman"/>
        </w:rPr>
        <w:t xml:space="preserve"> </w:t>
      </w:r>
      <w:r w:rsidR="002819BB" w:rsidRPr="00226C37">
        <w:rPr>
          <w:rFonts w:ascii="Times New Roman" w:hAnsi="Times New Roman" w:cs="Times New Roman"/>
        </w:rPr>
        <w:t>Furthermore</w:t>
      </w:r>
      <w:r w:rsidR="00723FF9" w:rsidRPr="00226C37">
        <w:rPr>
          <w:rFonts w:ascii="Times New Roman" w:hAnsi="Times New Roman" w:cs="Times New Roman"/>
        </w:rPr>
        <w:t xml:space="preserve">, the Court stated that “compliance by a Member State with the values enshrined in </w:t>
      </w:r>
      <w:r w:rsidR="00C82D77">
        <w:rPr>
          <w:rFonts w:ascii="Times New Roman" w:hAnsi="Times New Roman" w:cs="Times New Roman"/>
        </w:rPr>
        <w:t>art.</w:t>
      </w:r>
      <w:r w:rsidR="00723FF9" w:rsidRPr="00226C37">
        <w:rPr>
          <w:rFonts w:ascii="Times New Roman" w:hAnsi="Times New Roman" w:cs="Times New Roman"/>
        </w:rPr>
        <w:t xml:space="preserve"> 2 TEU is a condition </w:t>
      </w:r>
      <w:r w:rsidR="00723FF9" w:rsidRPr="00226C37">
        <w:rPr>
          <w:rFonts w:ascii="Times New Roman" w:hAnsi="Times New Roman" w:cs="Times New Roman"/>
        </w:rPr>
        <w:lastRenderedPageBreak/>
        <w:t>for the enjoyment of all of the rights deriving from the application of the Treaties to that Member State.”</w:t>
      </w:r>
      <w:r w:rsidR="00723FF9" w:rsidRPr="00226C37">
        <w:rPr>
          <w:rStyle w:val="FootnoteReference"/>
          <w:rFonts w:ascii="Times New Roman" w:hAnsi="Times New Roman" w:cs="Times New Roman"/>
        </w:rPr>
        <w:footnoteReference w:id="58"/>
      </w:r>
      <w:r w:rsidR="00723FF9" w:rsidRPr="00226C37">
        <w:rPr>
          <w:rFonts w:ascii="Times New Roman" w:hAnsi="Times New Roman" w:cs="Times New Roman"/>
        </w:rPr>
        <w:t xml:space="preserve"> </w:t>
      </w:r>
      <w:r w:rsidR="00E677E5" w:rsidRPr="00226C37">
        <w:rPr>
          <w:rFonts w:ascii="Times New Roman" w:hAnsi="Times New Roman" w:cs="Times New Roman"/>
        </w:rPr>
        <w:t>T</w:t>
      </w:r>
      <w:r w:rsidR="0026206F" w:rsidRPr="00226C37">
        <w:rPr>
          <w:rFonts w:ascii="Times New Roman" w:hAnsi="Times New Roman" w:cs="Times New Roman"/>
        </w:rPr>
        <w:t xml:space="preserve">here </w:t>
      </w:r>
      <w:r w:rsidR="00723FF9" w:rsidRPr="00226C37">
        <w:rPr>
          <w:rFonts w:ascii="Times New Roman" w:hAnsi="Times New Roman" w:cs="Times New Roman"/>
        </w:rPr>
        <w:t xml:space="preserve">are </w:t>
      </w:r>
      <w:r w:rsidR="0026206F" w:rsidRPr="00226C37">
        <w:rPr>
          <w:rFonts w:ascii="Times New Roman" w:hAnsi="Times New Roman" w:cs="Times New Roman"/>
        </w:rPr>
        <w:t xml:space="preserve">no compelling reasons why </w:t>
      </w:r>
      <w:r w:rsidR="00723FF9" w:rsidRPr="00226C37">
        <w:rPr>
          <w:rFonts w:ascii="Times New Roman" w:hAnsi="Times New Roman" w:cs="Times New Roman"/>
        </w:rPr>
        <w:t>the democratic credentials of</w:t>
      </w:r>
      <w:r w:rsidR="00076345" w:rsidRPr="00226C37">
        <w:rPr>
          <w:rFonts w:ascii="Times New Roman" w:hAnsi="Times New Roman" w:cs="Times New Roman"/>
        </w:rPr>
        <w:t xml:space="preserve"> Heads of State or Governments</w:t>
      </w:r>
      <w:r w:rsidR="00723FF9" w:rsidRPr="00226C37">
        <w:rPr>
          <w:rFonts w:ascii="Times New Roman" w:hAnsi="Times New Roman" w:cs="Times New Roman"/>
        </w:rPr>
        <w:t xml:space="preserve"> in the European Council and </w:t>
      </w:r>
      <w:r w:rsidR="00076345" w:rsidRPr="00226C37">
        <w:rPr>
          <w:rFonts w:ascii="Times New Roman" w:hAnsi="Times New Roman" w:cs="Times New Roman"/>
        </w:rPr>
        <w:t xml:space="preserve">governments in </w:t>
      </w:r>
      <w:r w:rsidR="00723FF9" w:rsidRPr="00226C37">
        <w:rPr>
          <w:rFonts w:ascii="Times New Roman" w:hAnsi="Times New Roman" w:cs="Times New Roman"/>
        </w:rPr>
        <w:t>the Council</w:t>
      </w:r>
      <w:r w:rsidR="0026206F" w:rsidRPr="00226C37">
        <w:rPr>
          <w:rFonts w:ascii="Times New Roman" w:hAnsi="Times New Roman" w:cs="Times New Roman"/>
        </w:rPr>
        <w:t xml:space="preserve"> could not, with due regard to respect for national constitutional identity, be subject</w:t>
      </w:r>
      <w:r w:rsidR="00723FF9" w:rsidRPr="00226C37">
        <w:rPr>
          <w:rFonts w:ascii="Times New Roman" w:hAnsi="Times New Roman" w:cs="Times New Roman"/>
        </w:rPr>
        <w:t xml:space="preserve"> to</w:t>
      </w:r>
      <w:r w:rsidR="0026206F" w:rsidRPr="00226C37">
        <w:rPr>
          <w:rFonts w:ascii="Times New Roman" w:hAnsi="Times New Roman" w:cs="Times New Roman"/>
        </w:rPr>
        <w:t xml:space="preserve"> review</w:t>
      </w:r>
      <w:r w:rsidR="00723FF9" w:rsidRPr="00226C37">
        <w:rPr>
          <w:rFonts w:ascii="Times New Roman" w:hAnsi="Times New Roman" w:cs="Times New Roman"/>
        </w:rPr>
        <w:t xml:space="preserve"> in the way national courts have been</w:t>
      </w:r>
      <w:r w:rsidR="0026206F" w:rsidRPr="00226C37">
        <w:rPr>
          <w:rFonts w:ascii="Times New Roman" w:hAnsi="Times New Roman" w:cs="Times New Roman"/>
        </w:rPr>
        <w:t>.</w:t>
      </w:r>
      <w:r w:rsidR="00FB25CB" w:rsidRPr="00226C37">
        <w:rPr>
          <w:rFonts w:ascii="Times New Roman" w:hAnsi="Times New Roman" w:cs="Times New Roman"/>
        </w:rPr>
        <w:t xml:space="preserve"> Indeed, the reason</w:t>
      </w:r>
      <w:r w:rsidR="00EF5021" w:rsidRPr="00226C37">
        <w:rPr>
          <w:rFonts w:ascii="Times New Roman" w:hAnsi="Times New Roman" w:cs="Times New Roman"/>
        </w:rPr>
        <w:t>ing</w:t>
      </w:r>
      <w:r w:rsidR="00FB25CB" w:rsidRPr="00226C37">
        <w:rPr>
          <w:rFonts w:ascii="Times New Roman" w:hAnsi="Times New Roman" w:cs="Times New Roman"/>
        </w:rPr>
        <w:t xml:space="preserve"> applied by the Court of Justice in the </w:t>
      </w:r>
      <w:r w:rsidR="00FB25CB" w:rsidRPr="00226C37">
        <w:rPr>
          <w:rFonts w:ascii="Times New Roman" w:hAnsi="Times New Roman" w:cs="Times New Roman"/>
          <w:i/>
          <w:iCs/>
        </w:rPr>
        <w:t xml:space="preserve">Portuguese Judges </w:t>
      </w:r>
      <w:r w:rsidR="00FB25CB" w:rsidRPr="00226C37">
        <w:rPr>
          <w:rFonts w:ascii="Times New Roman" w:hAnsi="Times New Roman" w:cs="Times New Roman"/>
        </w:rPr>
        <w:t xml:space="preserve">ruling to allow for the EU judiciary to monitor national compliance with the </w:t>
      </w:r>
      <w:r w:rsidR="00C82D77">
        <w:rPr>
          <w:rFonts w:ascii="Times New Roman" w:hAnsi="Times New Roman" w:cs="Times New Roman"/>
        </w:rPr>
        <w:t>art.</w:t>
      </w:r>
      <w:r w:rsidR="00FB25CB" w:rsidRPr="00226C37">
        <w:rPr>
          <w:rFonts w:ascii="Times New Roman" w:hAnsi="Times New Roman" w:cs="Times New Roman"/>
        </w:rPr>
        <w:t xml:space="preserve"> 2 TEU rule of law value via the </w:t>
      </w:r>
      <w:r w:rsidR="00EF5021" w:rsidRPr="00226C37">
        <w:rPr>
          <w:rFonts w:ascii="Times New Roman" w:hAnsi="Times New Roman" w:cs="Times New Roman"/>
        </w:rPr>
        <w:t xml:space="preserve">concrete requirement of effective legal protection in </w:t>
      </w:r>
      <w:r w:rsidR="00C82D77">
        <w:rPr>
          <w:rFonts w:ascii="Times New Roman" w:hAnsi="Times New Roman" w:cs="Times New Roman"/>
        </w:rPr>
        <w:t>art.</w:t>
      </w:r>
      <w:r w:rsidR="00EF5021" w:rsidRPr="00226C37">
        <w:rPr>
          <w:rFonts w:ascii="Times New Roman" w:hAnsi="Times New Roman" w:cs="Times New Roman"/>
        </w:rPr>
        <w:t xml:space="preserve"> 19 TEU may</w:t>
      </w:r>
      <w:r w:rsidR="00653727" w:rsidRPr="00226C37">
        <w:rPr>
          <w:rFonts w:ascii="Times New Roman" w:hAnsi="Times New Roman" w:cs="Times New Roman"/>
        </w:rPr>
        <w:t xml:space="preserve"> readily</w:t>
      </w:r>
      <w:r w:rsidR="00EF5021" w:rsidRPr="00226C37">
        <w:rPr>
          <w:rFonts w:ascii="Times New Roman" w:hAnsi="Times New Roman" w:cs="Times New Roman"/>
        </w:rPr>
        <w:t xml:space="preserve"> be applied by analogy </w:t>
      </w:r>
      <w:r w:rsidR="007425BA" w:rsidRPr="00226C37">
        <w:rPr>
          <w:rFonts w:ascii="Times New Roman" w:hAnsi="Times New Roman" w:cs="Times New Roman"/>
        </w:rPr>
        <w:t>to</w:t>
      </w:r>
      <w:r w:rsidR="00EF5021" w:rsidRPr="00226C37">
        <w:rPr>
          <w:rFonts w:ascii="Times New Roman" w:hAnsi="Times New Roman" w:cs="Times New Roman"/>
        </w:rPr>
        <w:t xml:space="preserve"> </w:t>
      </w:r>
      <w:r w:rsidR="00C82D77">
        <w:rPr>
          <w:rFonts w:ascii="Times New Roman" w:hAnsi="Times New Roman" w:cs="Times New Roman"/>
        </w:rPr>
        <w:t>art.</w:t>
      </w:r>
      <w:r w:rsidR="00EF5021" w:rsidRPr="00226C37">
        <w:rPr>
          <w:rFonts w:ascii="Times New Roman" w:hAnsi="Times New Roman" w:cs="Times New Roman"/>
        </w:rPr>
        <w:t xml:space="preserve"> 10 TEU, which the Court has described as giving “concrete form to the value of democracy referred to in </w:t>
      </w:r>
      <w:r w:rsidR="00C82D77">
        <w:rPr>
          <w:rFonts w:ascii="Times New Roman" w:hAnsi="Times New Roman" w:cs="Times New Roman"/>
        </w:rPr>
        <w:t>art.</w:t>
      </w:r>
      <w:r w:rsidR="00EF5021" w:rsidRPr="00226C37">
        <w:rPr>
          <w:rFonts w:ascii="Times New Roman" w:hAnsi="Times New Roman" w:cs="Times New Roman"/>
        </w:rPr>
        <w:t xml:space="preserve"> 2 TEU”.</w:t>
      </w:r>
      <w:r w:rsidR="00EF5021" w:rsidRPr="00226C37">
        <w:rPr>
          <w:rStyle w:val="FootnoteReference"/>
          <w:rFonts w:ascii="Times New Roman" w:hAnsi="Times New Roman" w:cs="Times New Roman"/>
        </w:rPr>
        <w:footnoteReference w:id="59"/>
      </w:r>
    </w:p>
    <w:p w14:paraId="1AB76D9A" w14:textId="77777777" w:rsidR="006F77D6" w:rsidRPr="00226C37" w:rsidRDefault="006F77D6" w:rsidP="006F77D6">
      <w:pPr>
        <w:jc w:val="both"/>
        <w:rPr>
          <w:rFonts w:ascii="Times New Roman" w:hAnsi="Times New Roman" w:cs="Times New Roman"/>
        </w:rPr>
      </w:pPr>
    </w:p>
    <w:p w14:paraId="1454B279" w14:textId="77146AE1" w:rsidR="002E7CB1" w:rsidRPr="00226C37" w:rsidRDefault="004C3610" w:rsidP="006F77D6">
      <w:pPr>
        <w:jc w:val="both"/>
        <w:rPr>
          <w:rFonts w:ascii="Times New Roman" w:hAnsi="Times New Roman" w:cs="Times New Roman"/>
        </w:rPr>
      </w:pPr>
      <w:r w:rsidRPr="00226C37">
        <w:rPr>
          <w:rFonts w:ascii="Times New Roman" w:hAnsi="Times New Roman" w:cs="Times New Roman"/>
        </w:rPr>
        <w:t xml:space="preserve">The </w:t>
      </w:r>
      <w:r w:rsidR="00CD46FC" w:rsidRPr="00226C37">
        <w:rPr>
          <w:rFonts w:ascii="Times New Roman" w:hAnsi="Times New Roman" w:cs="Times New Roman"/>
        </w:rPr>
        <w:t>third set of arguments address</w:t>
      </w:r>
      <w:r w:rsidR="00EE3BDB" w:rsidRPr="00226C37">
        <w:rPr>
          <w:rFonts w:ascii="Times New Roman" w:hAnsi="Times New Roman" w:cs="Times New Roman"/>
        </w:rPr>
        <w:t>es</w:t>
      </w:r>
      <w:r w:rsidR="00CD46FC" w:rsidRPr="00226C37">
        <w:rPr>
          <w:rFonts w:ascii="Times New Roman" w:hAnsi="Times New Roman" w:cs="Times New Roman"/>
        </w:rPr>
        <w:t xml:space="preserve"> the assertion that</w:t>
      </w:r>
      <w:r w:rsidR="00EE3BDB" w:rsidRPr="00226C37">
        <w:rPr>
          <w:rFonts w:ascii="Times New Roman" w:hAnsi="Times New Roman" w:cs="Times New Roman"/>
        </w:rPr>
        <w:t xml:space="preserve"> the</w:t>
      </w:r>
      <w:r w:rsidR="00CD46FC" w:rsidRPr="00226C37">
        <w:rPr>
          <w:rFonts w:ascii="Times New Roman" w:hAnsi="Times New Roman" w:cs="Times New Roman"/>
        </w:rPr>
        <w:t xml:space="preserve"> </w:t>
      </w:r>
      <w:r w:rsidR="00CD46FC" w:rsidRPr="00226C37">
        <w:rPr>
          <w:rFonts w:ascii="Times New Roman" w:hAnsi="Times New Roman" w:cs="Times New Roman"/>
          <w:i/>
          <w:iCs/>
        </w:rPr>
        <w:t xml:space="preserve">lex </w:t>
      </w:r>
      <w:proofErr w:type="spellStart"/>
      <w:r w:rsidR="00CD46FC" w:rsidRPr="00226C37">
        <w:rPr>
          <w:rFonts w:ascii="Times New Roman" w:hAnsi="Times New Roman" w:cs="Times New Roman"/>
          <w:i/>
          <w:iCs/>
        </w:rPr>
        <w:t>specialis</w:t>
      </w:r>
      <w:proofErr w:type="spellEnd"/>
      <w:r w:rsidR="00EE3BDB" w:rsidRPr="00226C37">
        <w:rPr>
          <w:rFonts w:ascii="Times New Roman" w:hAnsi="Times New Roman" w:cs="Times New Roman"/>
        </w:rPr>
        <w:t xml:space="preserve"> nature of </w:t>
      </w:r>
      <w:r w:rsidR="00C82D77">
        <w:rPr>
          <w:rFonts w:ascii="Times New Roman" w:hAnsi="Times New Roman" w:cs="Times New Roman"/>
        </w:rPr>
        <w:t>art.</w:t>
      </w:r>
      <w:r w:rsidR="00EE3BDB" w:rsidRPr="00226C37">
        <w:rPr>
          <w:rFonts w:ascii="Times New Roman" w:hAnsi="Times New Roman" w:cs="Times New Roman"/>
        </w:rPr>
        <w:t xml:space="preserve"> 7(3) TEU precludes an operative reading and </w:t>
      </w:r>
      <w:proofErr w:type="spellStart"/>
      <w:r w:rsidR="00EE3BDB" w:rsidRPr="00226C37">
        <w:rPr>
          <w:rFonts w:ascii="Times New Roman" w:hAnsi="Times New Roman" w:cs="Times New Roman"/>
        </w:rPr>
        <w:t>instrumentalisation</w:t>
      </w:r>
      <w:proofErr w:type="spellEnd"/>
      <w:r w:rsidR="00EE3BDB" w:rsidRPr="00226C37">
        <w:rPr>
          <w:rFonts w:ascii="Times New Roman" w:hAnsi="Times New Roman" w:cs="Times New Roman"/>
        </w:rPr>
        <w:t xml:space="preserve"> of </w:t>
      </w:r>
      <w:r w:rsidR="00C82D77">
        <w:rPr>
          <w:rFonts w:ascii="Times New Roman" w:hAnsi="Times New Roman" w:cs="Times New Roman"/>
        </w:rPr>
        <w:t>art.</w:t>
      </w:r>
      <w:r w:rsidR="00EE3BDB" w:rsidRPr="00226C37">
        <w:rPr>
          <w:rFonts w:ascii="Times New Roman" w:hAnsi="Times New Roman" w:cs="Times New Roman"/>
        </w:rPr>
        <w:t xml:space="preserve"> 10(2) TEU.</w:t>
      </w:r>
      <w:r w:rsidR="00EE3BDB" w:rsidRPr="00226C37">
        <w:rPr>
          <w:rFonts w:ascii="Times New Roman" w:hAnsi="Times New Roman" w:cs="Times New Roman"/>
          <w:i/>
          <w:iCs/>
        </w:rPr>
        <w:t xml:space="preserve"> </w:t>
      </w:r>
      <w:r w:rsidR="00032219" w:rsidRPr="00226C37">
        <w:rPr>
          <w:rFonts w:ascii="Times New Roman" w:hAnsi="Times New Roman" w:cs="Times New Roman"/>
        </w:rPr>
        <w:t>In this conte</w:t>
      </w:r>
      <w:r w:rsidR="002E7CB1" w:rsidRPr="00226C37">
        <w:rPr>
          <w:rFonts w:ascii="Times New Roman" w:hAnsi="Times New Roman" w:cs="Times New Roman"/>
        </w:rPr>
        <w:t>xt, there are two</w:t>
      </w:r>
      <w:r w:rsidR="00F929AA" w:rsidRPr="00226C37">
        <w:rPr>
          <w:rFonts w:ascii="Times New Roman" w:hAnsi="Times New Roman" w:cs="Times New Roman"/>
        </w:rPr>
        <w:t xml:space="preserve"> further</w:t>
      </w:r>
      <w:r w:rsidR="002E7CB1" w:rsidRPr="00226C37">
        <w:rPr>
          <w:rFonts w:ascii="Times New Roman" w:hAnsi="Times New Roman" w:cs="Times New Roman"/>
        </w:rPr>
        <w:t xml:space="preserve"> subsets of argument</w:t>
      </w:r>
      <w:r w:rsidR="00F929AA" w:rsidRPr="00226C37">
        <w:rPr>
          <w:rFonts w:ascii="Times New Roman" w:hAnsi="Times New Roman" w:cs="Times New Roman"/>
        </w:rPr>
        <w:t>.</w:t>
      </w:r>
    </w:p>
    <w:p w14:paraId="548DDA5C" w14:textId="77777777" w:rsidR="002E7CB1" w:rsidRPr="00226C37" w:rsidRDefault="002E7CB1" w:rsidP="006F77D6">
      <w:pPr>
        <w:jc w:val="both"/>
        <w:rPr>
          <w:rFonts w:ascii="Times New Roman" w:hAnsi="Times New Roman" w:cs="Times New Roman"/>
        </w:rPr>
      </w:pPr>
    </w:p>
    <w:p w14:paraId="2A064B7F" w14:textId="4AC4FD44" w:rsidR="002E7CB1" w:rsidRPr="00226C37" w:rsidRDefault="00CD46FC" w:rsidP="006F77D6">
      <w:pPr>
        <w:jc w:val="both"/>
        <w:rPr>
          <w:rFonts w:ascii="Times New Roman" w:hAnsi="Times New Roman" w:cs="Times New Roman"/>
        </w:rPr>
      </w:pPr>
      <w:r w:rsidRPr="00226C37">
        <w:rPr>
          <w:rFonts w:ascii="Times New Roman" w:hAnsi="Times New Roman" w:cs="Times New Roman"/>
        </w:rPr>
        <w:t xml:space="preserve">First, </w:t>
      </w:r>
      <w:r w:rsidR="0068020E" w:rsidRPr="00226C37">
        <w:rPr>
          <w:rFonts w:ascii="Times New Roman" w:hAnsi="Times New Roman" w:cs="Times New Roman"/>
        </w:rPr>
        <w:t xml:space="preserve">the automatic exclusion of representatives of a democratically unaccountable Member State </w:t>
      </w:r>
      <w:r w:rsidR="00C946DD" w:rsidRPr="00226C37">
        <w:rPr>
          <w:rFonts w:ascii="Times New Roman" w:hAnsi="Times New Roman" w:cs="Times New Roman"/>
        </w:rPr>
        <w:t xml:space="preserve">from the Council under </w:t>
      </w:r>
      <w:r w:rsidR="00C82D77">
        <w:rPr>
          <w:rFonts w:ascii="Times New Roman" w:hAnsi="Times New Roman" w:cs="Times New Roman"/>
        </w:rPr>
        <w:t>art.</w:t>
      </w:r>
      <w:r w:rsidR="0068020E" w:rsidRPr="00226C37">
        <w:rPr>
          <w:rFonts w:ascii="Times New Roman" w:hAnsi="Times New Roman" w:cs="Times New Roman"/>
        </w:rPr>
        <w:t xml:space="preserve"> 10(2) TEU must be distinguished from a decision by the Council pursuant to </w:t>
      </w:r>
      <w:r w:rsidR="004D68C9">
        <w:rPr>
          <w:rFonts w:ascii="Times New Roman" w:hAnsi="Times New Roman" w:cs="Times New Roman"/>
        </w:rPr>
        <w:t>art.</w:t>
      </w:r>
      <w:r w:rsidR="0068020E" w:rsidRPr="00226C37">
        <w:rPr>
          <w:rFonts w:ascii="Times New Roman" w:hAnsi="Times New Roman" w:cs="Times New Roman"/>
        </w:rPr>
        <w:t xml:space="preserve"> 7(3) TEU to </w:t>
      </w:r>
      <w:r w:rsidR="00FC09AD" w:rsidRPr="00226C37">
        <w:rPr>
          <w:rFonts w:ascii="Times New Roman" w:hAnsi="Times New Roman" w:cs="Times New Roman"/>
        </w:rPr>
        <w:t xml:space="preserve">suspend a Member State’s voting rights in Council. Suspension of voting rights is a sanction, one which is within the discretion of the Council to wield following a determination by the European Council under </w:t>
      </w:r>
      <w:r w:rsidR="004D68C9">
        <w:rPr>
          <w:rFonts w:ascii="Times New Roman" w:hAnsi="Times New Roman" w:cs="Times New Roman"/>
        </w:rPr>
        <w:t>art.</w:t>
      </w:r>
      <w:r w:rsidR="00FC09AD" w:rsidRPr="00226C37">
        <w:rPr>
          <w:rFonts w:ascii="Times New Roman" w:hAnsi="Times New Roman" w:cs="Times New Roman"/>
        </w:rPr>
        <w:t xml:space="preserve"> 7(2) TEU of a </w:t>
      </w:r>
      <w:r w:rsidR="007A4AA8" w:rsidRPr="00226C37">
        <w:rPr>
          <w:rFonts w:ascii="Times New Roman" w:hAnsi="Times New Roman" w:cs="Times New Roman"/>
        </w:rPr>
        <w:t>“</w:t>
      </w:r>
      <w:r w:rsidR="00FC09AD" w:rsidRPr="00226C37">
        <w:rPr>
          <w:rFonts w:ascii="Times New Roman" w:hAnsi="Times New Roman" w:cs="Times New Roman"/>
        </w:rPr>
        <w:t>serious and persistent breach</w:t>
      </w:r>
      <w:r w:rsidR="007A4AA8" w:rsidRPr="00226C37">
        <w:rPr>
          <w:rFonts w:ascii="Times New Roman" w:hAnsi="Times New Roman" w:cs="Times New Roman"/>
        </w:rPr>
        <w:t xml:space="preserve">” </w:t>
      </w:r>
      <w:r w:rsidR="00FC09AD" w:rsidRPr="00226C37">
        <w:rPr>
          <w:rFonts w:ascii="Times New Roman" w:hAnsi="Times New Roman" w:cs="Times New Roman"/>
        </w:rPr>
        <w:t xml:space="preserve">of </w:t>
      </w:r>
      <w:r w:rsidR="004D68C9">
        <w:rPr>
          <w:rFonts w:ascii="Times New Roman" w:hAnsi="Times New Roman" w:cs="Times New Roman"/>
        </w:rPr>
        <w:t>art.</w:t>
      </w:r>
      <w:r w:rsidR="00FC09AD" w:rsidRPr="00226C37">
        <w:rPr>
          <w:rFonts w:ascii="Times New Roman" w:hAnsi="Times New Roman" w:cs="Times New Roman"/>
        </w:rPr>
        <w:t xml:space="preserve"> 2 TEU values. Exclusion, owing to failure to meet the requirement of democratic accountability in </w:t>
      </w:r>
      <w:r w:rsidR="004D68C9">
        <w:rPr>
          <w:rFonts w:ascii="Times New Roman" w:hAnsi="Times New Roman" w:cs="Times New Roman"/>
        </w:rPr>
        <w:t>art.</w:t>
      </w:r>
      <w:r w:rsidR="00FC09AD" w:rsidRPr="00226C37">
        <w:rPr>
          <w:rFonts w:ascii="Times New Roman" w:hAnsi="Times New Roman" w:cs="Times New Roman"/>
        </w:rPr>
        <w:t xml:space="preserve"> 10(2) TEU, is not a sanction in this sense and it is not discretionary;</w:t>
      </w:r>
      <w:r w:rsidR="002E76F4" w:rsidRPr="00226C37">
        <w:rPr>
          <w:rFonts w:ascii="Times New Roman" w:hAnsi="Times New Roman" w:cs="Times New Roman"/>
        </w:rPr>
        <w:t xml:space="preserve"> rather,</w:t>
      </w:r>
      <w:r w:rsidR="00FC09AD" w:rsidRPr="00226C37">
        <w:rPr>
          <w:rFonts w:ascii="Times New Roman" w:hAnsi="Times New Roman" w:cs="Times New Roman"/>
        </w:rPr>
        <w:t xml:space="preserve"> it arises by automatic operation of law</w:t>
      </w:r>
      <w:r w:rsidR="007A4AA8" w:rsidRPr="00226C37">
        <w:rPr>
          <w:rFonts w:ascii="Times New Roman" w:hAnsi="Times New Roman" w:cs="Times New Roman"/>
        </w:rPr>
        <w:t xml:space="preserve">; </w:t>
      </w:r>
      <w:r w:rsidR="00F929AA" w:rsidRPr="00226C37">
        <w:rPr>
          <w:rFonts w:ascii="Times New Roman" w:hAnsi="Times New Roman" w:cs="Times New Roman"/>
        </w:rPr>
        <w:t>that is</w:t>
      </w:r>
      <w:r w:rsidR="007A4AA8" w:rsidRPr="00226C37">
        <w:rPr>
          <w:rFonts w:ascii="Times New Roman" w:hAnsi="Times New Roman" w:cs="Times New Roman"/>
        </w:rPr>
        <w:t>, when a Member State’s Head o</w:t>
      </w:r>
      <w:r w:rsidR="009C7D56" w:rsidRPr="00226C37">
        <w:rPr>
          <w:rFonts w:ascii="Times New Roman" w:hAnsi="Times New Roman" w:cs="Times New Roman"/>
        </w:rPr>
        <w:t>f</w:t>
      </w:r>
      <w:r w:rsidR="007A4AA8" w:rsidRPr="00226C37">
        <w:rPr>
          <w:rFonts w:ascii="Times New Roman" w:hAnsi="Times New Roman" w:cs="Times New Roman"/>
        </w:rPr>
        <w:t xml:space="preserve"> State or Head of Government or government ceases to be democratically accountable </w:t>
      </w:r>
      <w:r w:rsidR="00393F85" w:rsidRPr="00226C37">
        <w:rPr>
          <w:rFonts w:ascii="Times New Roman" w:hAnsi="Times New Roman" w:cs="Times New Roman"/>
        </w:rPr>
        <w:t>at national level to</w:t>
      </w:r>
      <w:r w:rsidR="007A4AA8" w:rsidRPr="00226C37">
        <w:rPr>
          <w:rFonts w:ascii="Times New Roman" w:hAnsi="Times New Roman" w:cs="Times New Roman"/>
        </w:rPr>
        <w:t xml:space="preserve"> parliament or citizens</w:t>
      </w:r>
      <w:r w:rsidR="00FC09AD" w:rsidRPr="00226C37">
        <w:rPr>
          <w:rFonts w:ascii="Times New Roman" w:hAnsi="Times New Roman" w:cs="Times New Roman"/>
        </w:rPr>
        <w:t xml:space="preserve">. </w:t>
      </w:r>
      <w:r w:rsidR="00DC530A" w:rsidRPr="00226C37">
        <w:rPr>
          <w:rFonts w:ascii="Times New Roman" w:hAnsi="Times New Roman" w:cs="Times New Roman"/>
        </w:rPr>
        <w:t xml:space="preserve">In any case, exclusion from the Council, which precludes all participation in that institution, is not analogous to </w:t>
      </w:r>
      <w:r w:rsidR="00DD3FA1" w:rsidRPr="00226C37">
        <w:rPr>
          <w:rFonts w:ascii="Times New Roman" w:hAnsi="Times New Roman" w:cs="Times New Roman"/>
        </w:rPr>
        <w:t xml:space="preserve">merely suspending a Member State representatives’ voting rights in Council. It should also be noted that </w:t>
      </w:r>
      <w:r w:rsidR="004D68C9">
        <w:rPr>
          <w:rFonts w:ascii="Times New Roman" w:hAnsi="Times New Roman" w:cs="Times New Roman"/>
        </w:rPr>
        <w:t>art.</w:t>
      </w:r>
      <w:r w:rsidR="00DD3FA1" w:rsidRPr="00226C37">
        <w:rPr>
          <w:rFonts w:ascii="Times New Roman" w:hAnsi="Times New Roman" w:cs="Times New Roman"/>
        </w:rPr>
        <w:t xml:space="preserve"> 7 TEU provides no mechanism (explicitly at least) through which a Member State, against which an </w:t>
      </w:r>
      <w:r w:rsidR="004D68C9">
        <w:rPr>
          <w:rFonts w:ascii="Times New Roman" w:hAnsi="Times New Roman" w:cs="Times New Roman"/>
        </w:rPr>
        <w:t>art.</w:t>
      </w:r>
      <w:r w:rsidR="00DD3FA1" w:rsidRPr="00226C37">
        <w:rPr>
          <w:rFonts w:ascii="Times New Roman" w:hAnsi="Times New Roman" w:cs="Times New Roman"/>
        </w:rPr>
        <w:t xml:space="preserve"> 7(2) TEU determination has been made, can have </w:t>
      </w:r>
      <w:r w:rsidR="00AF1D91" w:rsidRPr="00226C37">
        <w:rPr>
          <w:rFonts w:ascii="Times New Roman" w:hAnsi="Times New Roman" w:cs="Times New Roman"/>
        </w:rPr>
        <w:t>its participation or voting rights in the European Council suspended</w:t>
      </w:r>
      <w:r w:rsidR="00F929AA" w:rsidRPr="00226C37">
        <w:rPr>
          <w:rFonts w:ascii="Times New Roman" w:hAnsi="Times New Roman" w:cs="Times New Roman"/>
        </w:rPr>
        <w:t>. In contrast,</w:t>
      </w:r>
      <w:r w:rsidR="002E76F4" w:rsidRPr="00226C37">
        <w:rPr>
          <w:rFonts w:ascii="Times New Roman" w:hAnsi="Times New Roman" w:cs="Times New Roman"/>
        </w:rPr>
        <w:t xml:space="preserve"> </w:t>
      </w:r>
      <w:r w:rsidR="004D68C9">
        <w:rPr>
          <w:rFonts w:ascii="Times New Roman" w:hAnsi="Times New Roman" w:cs="Times New Roman"/>
        </w:rPr>
        <w:t>art.</w:t>
      </w:r>
      <w:r w:rsidR="002E76F4" w:rsidRPr="00226C37">
        <w:rPr>
          <w:rFonts w:ascii="Times New Roman" w:hAnsi="Times New Roman" w:cs="Times New Roman"/>
        </w:rPr>
        <w:t xml:space="preserve"> 10(2) TEU refers to democratic accountability at national level in respect of both the Council and the European Council. </w:t>
      </w:r>
    </w:p>
    <w:p w14:paraId="4A99A733" w14:textId="77777777" w:rsidR="002E7CB1" w:rsidRPr="00226C37" w:rsidRDefault="002E7CB1" w:rsidP="006F77D6">
      <w:pPr>
        <w:jc w:val="both"/>
        <w:rPr>
          <w:rFonts w:ascii="Times New Roman" w:hAnsi="Times New Roman" w:cs="Times New Roman"/>
        </w:rPr>
      </w:pPr>
    </w:p>
    <w:p w14:paraId="09F45BB4" w14:textId="4E3A5269" w:rsidR="006F77D6" w:rsidRPr="00226C37" w:rsidRDefault="00364023" w:rsidP="006F77D6">
      <w:pPr>
        <w:jc w:val="both"/>
        <w:rPr>
          <w:rFonts w:ascii="Times New Roman" w:hAnsi="Times New Roman" w:cs="Times New Roman"/>
        </w:rPr>
      </w:pPr>
      <w:r w:rsidRPr="00226C37">
        <w:rPr>
          <w:rFonts w:ascii="Times New Roman" w:hAnsi="Times New Roman" w:cs="Times New Roman"/>
        </w:rPr>
        <w:t xml:space="preserve">Second, even if it were accepted that </w:t>
      </w:r>
      <w:r w:rsidR="004D68C9">
        <w:rPr>
          <w:rFonts w:ascii="Times New Roman" w:hAnsi="Times New Roman" w:cs="Times New Roman"/>
        </w:rPr>
        <w:t>art.</w:t>
      </w:r>
      <w:r w:rsidRPr="00226C37">
        <w:rPr>
          <w:rFonts w:ascii="Times New Roman" w:hAnsi="Times New Roman" w:cs="Times New Roman"/>
        </w:rPr>
        <w:t xml:space="preserve"> 7(3) TEU allows for sanctions that are analogous to exclusion from the European Council and the Council, it is well established in the case law of the</w:t>
      </w:r>
      <w:r w:rsidR="00EF6B39" w:rsidRPr="00226C37">
        <w:rPr>
          <w:rFonts w:ascii="Times New Roman" w:hAnsi="Times New Roman" w:cs="Times New Roman"/>
        </w:rPr>
        <w:t xml:space="preserve"> ECJ</w:t>
      </w:r>
      <w:r w:rsidRPr="00226C37">
        <w:rPr>
          <w:rFonts w:ascii="Times New Roman" w:hAnsi="Times New Roman" w:cs="Times New Roman"/>
        </w:rPr>
        <w:t xml:space="preserve"> that</w:t>
      </w:r>
      <w:r w:rsidR="004D68C9">
        <w:rPr>
          <w:rFonts w:ascii="Times New Roman" w:hAnsi="Times New Roman" w:cs="Times New Roman"/>
        </w:rPr>
        <w:t xml:space="preserve"> art.</w:t>
      </w:r>
      <w:r w:rsidRPr="00226C37">
        <w:rPr>
          <w:rFonts w:ascii="Times New Roman" w:hAnsi="Times New Roman" w:cs="Times New Roman"/>
        </w:rPr>
        <w:t xml:space="preserve"> 7 TEU is not the sole means </w:t>
      </w:r>
      <w:r w:rsidR="002B26A5" w:rsidRPr="00226C37">
        <w:rPr>
          <w:rFonts w:ascii="Times New Roman" w:hAnsi="Times New Roman" w:cs="Times New Roman"/>
        </w:rPr>
        <w:t>of</w:t>
      </w:r>
      <w:r w:rsidRPr="00226C37">
        <w:rPr>
          <w:rFonts w:ascii="Times New Roman" w:hAnsi="Times New Roman" w:cs="Times New Roman"/>
        </w:rPr>
        <w:t xml:space="preserve"> </w:t>
      </w:r>
      <w:r w:rsidR="002B26A5" w:rsidRPr="00226C37">
        <w:rPr>
          <w:rFonts w:ascii="Times New Roman" w:hAnsi="Times New Roman" w:cs="Times New Roman"/>
        </w:rPr>
        <w:t xml:space="preserve">protecting </w:t>
      </w:r>
      <w:r w:rsidR="004D68C9">
        <w:rPr>
          <w:rFonts w:ascii="Times New Roman" w:hAnsi="Times New Roman" w:cs="Times New Roman"/>
        </w:rPr>
        <w:t>art.</w:t>
      </w:r>
      <w:r w:rsidRPr="00226C37">
        <w:rPr>
          <w:rFonts w:ascii="Times New Roman" w:hAnsi="Times New Roman" w:cs="Times New Roman"/>
        </w:rPr>
        <w:t xml:space="preserve"> 2 TEU values or other Treaty provisions giving them concrete expression. </w:t>
      </w:r>
      <w:r w:rsidR="002B26A5" w:rsidRPr="00226C37">
        <w:rPr>
          <w:rFonts w:ascii="Times New Roman" w:hAnsi="Times New Roman" w:cs="Times New Roman"/>
        </w:rPr>
        <w:t xml:space="preserve">Like the rule of law value and judicial independence, given concrete expression in the form of </w:t>
      </w:r>
      <w:r w:rsidR="00A557A1" w:rsidRPr="00226C37">
        <w:rPr>
          <w:rFonts w:ascii="Times New Roman" w:hAnsi="Times New Roman" w:cs="Times New Roman"/>
        </w:rPr>
        <w:t>the second subparagraph</w:t>
      </w:r>
      <w:r w:rsidR="009C7D56" w:rsidRPr="00226C37">
        <w:rPr>
          <w:rFonts w:ascii="Times New Roman" w:hAnsi="Times New Roman" w:cs="Times New Roman"/>
        </w:rPr>
        <w:t xml:space="preserve"> of</w:t>
      </w:r>
      <w:r w:rsidR="00A557A1" w:rsidRPr="00226C37">
        <w:rPr>
          <w:rFonts w:ascii="Times New Roman" w:hAnsi="Times New Roman" w:cs="Times New Roman"/>
        </w:rPr>
        <w:t xml:space="preserve"> </w:t>
      </w:r>
      <w:r w:rsidR="004D68C9">
        <w:rPr>
          <w:rFonts w:ascii="Times New Roman" w:hAnsi="Times New Roman" w:cs="Times New Roman"/>
        </w:rPr>
        <w:t>art.</w:t>
      </w:r>
      <w:r w:rsidR="002B26A5" w:rsidRPr="00226C37">
        <w:rPr>
          <w:rFonts w:ascii="Times New Roman" w:hAnsi="Times New Roman" w:cs="Times New Roman"/>
        </w:rPr>
        <w:t xml:space="preserve"> 19(1) TEU, the value of democracy is given such expression in </w:t>
      </w:r>
      <w:r w:rsidR="004D68C9">
        <w:rPr>
          <w:rFonts w:ascii="Times New Roman" w:hAnsi="Times New Roman" w:cs="Times New Roman"/>
        </w:rPr>
        <w:t xml:space="preserve">art. </w:t>
      </w:r>
      <w:r w:rsidR="002B26A5" w:rsidRPr="00226C37">
        <w:rPr>
          <w:rFonts w:ascii="Times New Roman" w:hAnsi="Times New Roman" w:cs="Times New Roman"/>
        </w:rPr>
        <w:t>10 TEU</w:t>
      </w:r>
      <w:r w:rsidR="002D7173" w:rsidRPr="00226C37">
        <w:rPr>
          <w:rFonts w:ascii="Times New Roman" w:hAnsi="Times New Roman" w:cs="Times New Roman"/>
        </w:rPr>
        <w:t>.</w:t>
      </w:r>
      <w:r w:rsidR="00A557A1" w:rsidRPr="00226C37">
        <w:rPr>
          <w:rStyle w:val="FootnoteReference"/>
          <w:rFonts w:ascii="Times New Roman" w:hAnsi="Times New Roman" w:cs="Times New Roman"/>
        </w:rPr>
        <w:footnoteReference w:id="60"/>
      </w:r>
      <w:r w:rsidR="002B26A5" w:rsidRPr="00226C37">
        <w:rPr>
          <w:rFonts w:ascii="Times New Roman" w:hAnsi="Times New Roman" w:cs="Times New Roman"/>
        </w:rPr>
        <w:t xml:space="preserve"> Moreover, the idea that </w:t>
      </w:r>
      <w:r w:rsidR="004D68C9">
        <w:rPr>
          <w:rFonts w:ascii="Times New Roman" w:hAnsi="Times New Roman" w:cs="Times New Roman"/>
        </w:rPr>
        <w:t>art.</w:t>
      </w:r>
      <w:r w:rsidR="002B26A5" w:rsidRPr="00226C37">
        <w:rPr>
          <w:rFonts w:ascii="Times New Roman" w:hAnsi="Times New Roman" w:cs="Times New Roman"/>
        </w:rPr>
        <w:t xml:space="preserve"> 7 TEU should be the exclusive means of ensuring the functioning of EU institutions in accordance with the principle of representative democracy</w:t>
      </w:r>
      <w:r w:rsidR="00A557A1" w:rsidRPr="00226C37">
        <w:rPr>
          <w:rFonts w:ascii="Times New Roman" w:hAnsi="Times New Roman" w:cs="Times New Roman"/>
        </w:rPr>
        <w:t>, thereby excluding altogether the jurisdiction of the CJEU,</w:t>
      </w:r>
      <w:r w:rsidR="002B26A5" w:rsidRPr="00226C37">
        <w:rPr>
          <w:rFonts w:ascii="Times New Roman" w:hAnsi="Times New Roman" w:cs="Times New Roman"/>
        </w:rPr>
        <w:t xml:space="preserve"> would appear inconsistent </w:t>
      </w:r>
      <w:r w:rsidR="006B0F06" w:rsidRPr="00226C37">
        <w:rPr>
          <w:rFonts w:ascii="Times New Roman" w:hAnsi="Times New Roman" w:cs="Times New Roman"/>
        </w:rPr>
        <w:t>the role of the C</w:t>
      </w:r>
      <w:r w:rsidR="00D36DB3" w:rsidRPr="00226C37">
        <w:rPr>
          <w:rFonts w:ascii="Times New Roman" w:hAnsi="Times New Roman" w:cs="Times New Roman"/>
        </w:rPr>
        <w:t>JEU</w:t>
      </w:r>
      <w:r w:rsidR="006B0F06" w:rsidRPr="00226C37">
        <w:rPr>
          <w:rFonts w:ascii="Times New Roman" w:hAnsi="Times New Roman" w:cs="Times New Roman"/>
        </w:rPr>
        <w:t xml:space="preserve"> under </w:t>
      </w:r>
      <w:r w:rsidR="004D68C9">
        <w:rPr>
          <w:rFonts w:ascii="Times New Roman" w:hAnsi="Times New Roman" w:cs="Times New Roman"/>
        </w:rPr>
        <w:t>art.</w:t>
      </w:r>
      <w:r w:rsidR="006B0F06" w:rsidRPr="00226C37">
        <w:rPr>
          <w:rFonts w:ascii="Times New Roman" w:hAnsi="Times New Roman" w:cs="Times New Roman"/>
        </w:rPr>
        <w:t xml:space="preserve"> 19(1) TEU in “</w:t>
      </w:r>
      <w:proofErr w:type="spellStart"/>
      <w:r w:rsidR="006B0F06" w:rsidRPr="00226C37">
        <w:rPr>
          <w:rFonts w:ascii="Times New Roman" w:hAnsi="Times New Roman" w:cs="Times New Roman"/>
        </w:rPr>
        <w:t>ensur</w:t>
      </w:r>
      <w:proofErr w:type="spellEnd"/>
      <w:r w:rsidR="006B0F06" w:rsidRPr="00226C37">
        <w:rPr>
          <w:rFonts w:ascii="Times New Roman" w:hAnsi="Times New Roman" w:cs="Times New Roman"/>
        </w:rPr>
        <w:t>[</w:t>
      </w:r>
      <w:proofErr w:type="spellStart"/>
      <w:r w:rsidR="006B0F06" w:rsidRPr="00226C37">
        <w:rPr>
          <w:rFonts w:ascii="Times New Roman" w:hAnsi="Times New Roman" w:cs="Times New Roman"/>
        </w:rPr>
        <w:t>ing</w:t>
      </w:r>
      <w:proofErr w:type="spellEnd"/>
      <w:r w:rsidR="006B0F06" w:rsidRPr="00226C37">
        <w:rPr>
          <w:rFonts w:ascii="Times New Roman" w:hAnsi="Times New Roman" w:cs="Times New Roman"/>
        </w:rPr>
        <w:t>] that in the interpretation and application of the Treaties that the law is observed”</w:t>
      </w:r>
      <w:r w:rsidR="00A557A1" w:rsidRPr="00226C37">
        <w:rPr>
          <w:rFonts w:ascii="Times New Roman" w:hAnsi="Times New Roman" w:cs="Times New Roman"/>
        </w:rPr>
        <w:t>,</w:t>
      </w:r>
      <w:r w:rsidR="00F173D0" w:rsidRPr="00226C37">
        <w:rPr>
          <w:rFonts w:ascii="Times New Roman" w:hAnsi="Times New Roman" w:cs="Times New Roman"/>
        </w:rPr>
        <w:t xml:space="preserve"> and with the</w:t>
      </w:r>
      <w:r w:rsidR="00A557A1" w:rsidRPr="00226C37">
        <w:rPr>
          <w:rFonts w:ascii="Times New Roman" w:hAnsi="Times New Roman" w:cs="Times New Roman"/>
        </w:rPr>
        <w:t xml:space="preserve"> idea that the EU is a union based on the</w:t>
      </w:r>
      <w:r w:rsidR="00F173D0" w:rsidRPr="00226C37">
        <w:rPr>
          <w:rFonts w:ascii="Times New Roman" w:hAnsi="Times New Roman" w:cs="Times New Roman"/>
        </w:rPr>
        <w:t xml:space="preserve"> rule of law.</w:t>
      </w:r>
      <w:r w:rsidR="00A557A1" w:rsidRPr="00226C37">
        <w:rPr>
          <w:rStyle w:val="FootnoteReference"/>
          <w:rFonts w:ascii="Times New Roman" w:hAnsi="Times New Roman" w:cs="Times New Roman"/>
        </w:rPr>
        <w:footnoteReference w:id="61"/>
      </w:r>
      <w:r w:rsidR="006B0F06" w:rsidRPr="00226C37">
        <w:rPr>
          <w:rFonts w:ascii="Times New Roman" w:hAnsi="Times New Roman" w:cs="Times New Roman"/>
        </w:rPr>
        <w:t xml:space="preserve"> </w:t>
      </w:r>
      <w:r w:rsidR="00013E6A" w:rsidRPr="00226C37">
        <w:rPr>
          <w:rFonts w:ascii="Times New Roman" w:hAnsi="Times New Roman" w:cs="Times New Roman"/>
        </w:rPr>
        <w:t>Additionally, such an interpretation, which would effectively make the European Council and the Council the sole custodians over the question of th</w:t>
      </w:r>
      <w:r w:rsidR="008221F3" w:rsidRPr="00226C37">
        <w:rPr>
          <w:rFonts w:ascii="Times New Roman" w:hAnsi="Times New Roman" w:cs="Times New Roman"/>
        </w:rPr>
        <w:t>eir own</w:t>
      </w:r>
      <w:r w:rsidR="00013E6A" w:rsidRPr="00226C37">
        <w:rPr>
          <w:rFonts w:ascii="Times New Roman" w:hAnsi="Times New Roman" w:cs="Times New Roman"/>
        </w:rPr>
        <w:t xml:space="preserve"> compositional compliance with </w:t>
      </w:r>
      <w:r w:rsidR="004D68C9">
        <w:rPr>
          <w:rFonts w:ascii="Times New Roman" w:hAnsi="Times New Roman" w:cs="Times New Roman"/>
        </w:rPr>
        <w:t>art.</w:t>
      </w:r>
      <w:r w:rsidR="00013E6A" w:rsidRPr="00226C37">
        <w:rPr>
          <w:rFonts w:ascii="Times New Roman" w:hAnsi="Times New Roman" w:cs="Times New Roman"/>
        </w:rPr>
        <w:t xml:space="preserve"> 10(2) TEU, would also exclude any direct right of participation </w:t>
      </w:r>
      <w:r w:rsidR="008221F3" w:rsidRPr="00226C37">
        <w:rPr>
          <w:rFonts w:ascii="Times New Roman" w:hAnsi="Times New Roman" w:cs="Times New Roman"/>
        </w:rPr>
        <w:t>by</w:t>
      </w:r>
      <w:r w:rsidR="00013E6A" w:rsidRPr="00226C37">
        <w:rPr>
          <w:rFonts w:ascii="Times New Roman" w:hAnsi="Times New Roman" w:cs="Times New Roman"/>
        </w:rPr>
        <w:t xml:space="preserve"> EU citizens in the protection of the democratic </w:t>
      </w:r>
      <w:r w:rsidR="00963D85" w:rsidRPr="00226C37">
        <w:rPr>
          <w:rFonts w:ascii="Times New Roman" w:hAnsi="Times New Roman" w:cs="Times New Roman"/>
        </w:rPr>
        <w:t>legitimacy</w:t>
      </w:r>
      <w:r w:rsidR="00013E6A" w:rsidRPr="00226C37">
        <w:rPr>
          <w:rFonts w:ascii="Times New Roman" w:hAnsi="Times New Roman" w:cs="Times New Roman"/>
        </w:rPr>
        <w:t xml:space="preserve"> of the EU’s institutions, something that is difficult to square </w:t>
      </w:r>
      <w:r w:rsidR="00A13DAA" w:rsidRPr="00226C37">
        <w:rPr>
          <w:rFonts w:ascii="Times New Roman" w:hAnsi="Times New Roman" w:cs="Times New Roman"/>
        </w:rPr>
        <w:t>with</w:t>
      </w:r>
      <w:r w:rsidR="00D17A44" w:rsidRPr="00226C37">
        <w:rPr>
          <w:rFonts w:ascii="Times New Roman" w:hAnsi="Times New Roman" w:cs="Times New Roman"/>
        </w:rPr>
        <w:t xml:space="preserve"> </w:t>
      </w:r>
      <w:r w:rsidR="00A13DAA" w:rsidRPr="00226C37">
        <w:rPr>
          <w:rFonts w:ascii="Times New Roman" w:hAnsi="Times New Roman" w:cs="Times New Roman"/>
        </w:rPr>
        <w:t xml:space="preserve">the spirit of </w:t>
      </w:r>
      <w:r w:rsidR="004D68C9">
        <w:rPr>
          <w:rFonts w:ascii="Times New Roman" w:hAnsi="Times New Roman" w:cs="Times New Roman"/>
        </w:rPr>
        <w:t>arts</w:t>
      </w:r>
      <w:r w:rsidR="00A13DAA" w:rsidRPr="00226C37">
        <w:rPr>
          <w:rFonts w:ascii="Times New Roman" w:hAnsi="Times New Roman" w:cs="Times New Roman"/>
        </w:rPr>
        <w:t xml:space="preserve"> </w:t>
      </w:r>
      <w:r w:rsidR="008221F3" w:rsidRPr="00226C37">
        <w:rPr>
          <w:rFonts w:ascii="Times New Roman" w:hAnsi="Times New Roman" w:cs="Times New Roman"/>
        </w:rPr>
        <w:t xml:space="preserve">2 and </w:t>
      </w:r>
      <w:r w:rsidR="00A13DAA" w:rsidRPr="00226C37">
        <w:rPr>
          <w:rFonts w:ascii="Times New Roman" w:hAnsi="Times New Roman" w:cs="Times New Roman"/>
        </w:rPr>
        <w:t>10(3) TEU</w:t>
      </w:r>
      <w:r w:rsidR="008221F3" w:rsidRPr="00226C37">
        <w:rPr>
          <w:rFonts w:ascii="Times New Roman" w:hAnsi="Times New Roman" w:cs="Times New Roman"/>
        </w:rPr>
        <w:t>,</w:t>
      </w:r>
      <w:r w:rsidR="00A13DAA" w:rsidRPr="00226C37">
        <w:rPr>
          <w:rFonts w:ascii="Times New Roman" w:hAnsi="Times New Roman" w:cs="Times New Roman"/>
        </w:rPr>
        <w:t xml:space="preserve"> </w:t>
      </w:r>
      <w:r w:rsidR="00D17A44" w:rsidRPr="00226C37">
        <w:rPr>
          <w:rFonts w:ascii="Times New Roman" w:hAnsi="Times New Roman" w:cs="Times New Roman"/>
        </w:rPr>
        <w:t>as well as</w:t>
      </w:r>
      <w:r w:rsidR="00A13DAA" w:rsidRPr="00226C37">
        <w:rPr>
          <w:rFonts w:ascii="Times New Roman" w:hAnsi="Times New Roman" w:cs="Times New Roman"/>
        </w:rPr>
        <w:t xml:space="preserve"> </w:t>
      </w:r>
      <w:r w:rsidR="004D68C9">
        <w:rPr>
          <w:rFonts w:ascii="Times New Roman" w:hAnsi="Times New Roman" w:cs="Times New Roman"/>
        </w:rPr>
        <w:t>art.</w:t>
      </w:r>
      <w:r w:rsidR="00A13DAA" w:rsidRPr="00226C37">
        <w:rPr>
          <w:rFonts w:ascii="Times New Roman" w:hAnsi="Times New Roman" w:cs="Times New Roman"/>
        </w:rPr>
        <w:t xml:space="preserve"> 20 TEU.</w:t>
      </w:r>
      <w:r w:rsidR="008221F3" w:rsidRPr="00226C37">
        <w:rPr>
          <w:rStyle w:val="FootnoteReference"/>
          <w:rFonts w:ascii="Times New Roman" w:hAnsi="Times New Roman" w:cs="Times New Roman"/>
        </w:rPr>
        <w:footnoteReference w:id="62"/>
      </w:r>
      <w:r w:rsidR="00A13DAA" w:rsidRPr="00226C37">
        <w:rPr>
          <w:rFonts w:ascii="Times New Roman" w:hAnsi="Times New Roman" w:cs="Times New Roman"/>
        </w:rPr>
        <w:t xml:space="preserve"> </w:t>
      </w:r>
      <w:r w:rsidR="006C1BF7" w:rsidRPr="00226C37">
        <w:rPr>
          <w:rFonts w:ascii="Times New Roman" w:hAnsi="Times New Roman" w:cs="Times New Roman"/>
        </w:rPr>
        <w:t>Furthermore, i</w:t>
      </w:r>
      <w:r w:rsidR="0055024F" w:rsidRPr="00226C37">
        <w:rPr>
          <w:rFonts w:ascii="Times New Roman" w:hAnsi="Times New Roman" w:cs="Times New Roman"/>
        </w:rPr>
        <w:t xml:space="preserve">f the </w:t>
      </w:r>
      <w:r w:rsidR="004D68C9">
        <w:rPr>
          <w:rFonts w:ascii="Times New Roman" w:hAnsi="Times New Roman" w:cs="Times New Roman"/>
        </w:rPr>
        <w:t>art.</w:t>
      </w:r>
      <w:r w:rsidR="0055024F" w:rsidRPr="00226C37">
        <w:rPr>
          <w:rFonts w:ascii="Times New Roman" w:hAnsi="Times New Roman" w:cs="Times New Roman"/>
        </w:rPr>
        <w:t xml:space="preserve"> 7 </w:t>
      </w:r>
      <w:r w:rsidR="004D68C9">
        <w:rPr>
          <w:rFonts w:ascii="Times New Roman" w:hAnsi="Times New Roman" w:cs="Times New Roman"/>
        </w:rPr>
        <w:t xml:space="preserve">TEU </w:t>
      </w:r>
      <w:r w:rsidR="0055024F" w:rsidRPr="00226C37">
        <w:rPr>
          <w:rFonts w:ascii="Times New Roman" w:hAnsi="Times New Roman" w:cs="Times New Roman"/>
        </w:rPr>
        <w:t xml:space="preserve">as </w:t>
      </w:r>
      <w:r w:rsidR="0055024F" w:rsidRPr="00226C37">
        <w:rPr>
          <w:rFonts w:ascii="Times New Roman" w:hAnsi="Times New Roman" w:cs="Times New Roman"/>
          <w:i/>
          <w:iCs/>
        </w:rPr>
        <w:t xml:space="preserve">lex </w:t>
      </w:r>
      <w:proofErr w:type="spellStart"/>
      <w:r w:rsidR="0055024F" w:rsidRPr="00226C37">
        <w:rPr>
          <w:rFonts w:ascii="Times New Roman" w:hAnsi="Times New Roman" w:cs="Times New Roman"/>
          <w:i/>
          <w:iCs/>
        </w:rPr>
        <w:t>specialis</w:t>
      </w:r>
      <w:proofErr w:type="spellEnd"/>
      <w:r w:rsidR="0055024F" w:rsidRPr="00226C37">
        <w:rPr>
          <w:rFonts w:ascii="Times New Roman" w:hAnsi="Times New Roman" w:cs="Times New Roman"/>
          <w:i/>
          <w:iCs/>
        </w:rPr>
        <w:t xml:space="preserve"> </w:t>
      </w:r>
      <w:r w:rsidR="0055024F" w:rsidRPr="00226C37">
        <w:rPr>
          <w:rFonts w:ascii="Times New Roman" w:hAnsi="Times New Roman" w:cs="Times New Roman"/>
        </w:rPr>
        <w:t>argument w</w:t>
      </w:r>
      <w:r w:rsidR="008221F3" w:rsidRPr="00226C37">
        <w:rPr>
          <w:rFonts w:ascii="Times New Roman" w:hAnsi="Times New Roman" w:cs="Times New Roman"/>
        </w:rPr>
        <w:t>er</w:t>
      </w:r>
      <w:r w:rsidR="0055024F" w:rsidRPr="00226C37">
        <w:rPr>
          <w:rFonts w:ascii="Times New Roman" w:hAnsi="Times New Roman" w:cs="Times New Roman"/>
        </w:rPr>
        <w:t xml:space="preserve">e accepted as preventing the </w:t>
      </w:r>
      <w:proofErr w:type="spellStart"/>
      <w:r w:rsidR="0055024F" w:rsidRPr="00226C37">
        <w:rPr>
          <w:rFonts w:ascii="Times New Roman" w:hAnsi="Times New Roman" w:cs="Times New Roman"/>
        </w:rPr>
        <w:t>instrumentalisation</w:t>
      </w:r>
      <w:proofErr w:type="spellEnd"/>
      <w:r w:rsidR="0055024F" w:rsidRPr="00226C37">
        <w:rPr>
          <w:rFonts w:ascii="Times New Roman" w:hAnsi="Times New Roman" w:cs="Times New Roman"/>
        </w:rPr>
        <w:t xml:space="preserve"> of </w:t>
      </w:r>
      <w:r w:rsidR="004D68C9">
        <w:rPr>
          <w:rFonts w:ascii="Times New Roman" w:hAnsi="Times New Roman" w:cs="Times New Roman"/>
        </w:rPr>
        <w:t xml:space="preserve">art </w:t>
      </w:r>
      <w:r w:rsidR="0055024F" w:rsidRPr="00226C37">
        <w:rPr>
          <w:rFonts w:ascii="Times New Roman" w:hAnsi="Times New Roman" w:cs="Times New Roman"/>
        </w:rPr>
        <w:t xml:space="preserve">10 TEU, the </w:t>
      </w:r>
      <w:r w:rsidR="00AD3704" w:rsidRPr="00226C37">
        <w:rPr>
          <w:rFonts w:ascii="Times New Roman" w:hAnsi="Times New Roman" w:cs="Times New Roman"/>
        </w:rPr>
        <w:t xml:space="preserve">consequence </w:t>
      </w:r>
      <w:r w:rsidR="00711334" w:rsidRPr="00226C37">
        <w:rPr>
          <w:rFonts w:ascii="Times New Roman" w:hAnsi="Times New Roman" w:cs="Times New Roman"/>
        </w:rPr>
        <w:t xml:space="preserve">- </w:t>
      </w:r>
      <w:r w:rsidR="00AD3704" w:rsidRPr="00226C37">
        <w:rPr>
          <w:rFonts w:ascii="Times New Roman" w:hAnsi="Times New Roman" w:cs="Times New Roman"/>
        </w:rPr>
        <w:t xml:space="preserve">in the event that the European Council and the Council were unwilling to </w:t>
      </w:r>
      <w:r w:rsidR="00B94150" w:rsidRPr="00226C37">
        <w:rPr>
          <w:rFonts w:ascii="Times New Roman" w:hAnsi="Times New Roman" w:cs="Times New Roman"/>
        </w:rPr>
        <w:t xml:space="preserve">utilise </w:t>
      </w:r>
      <w:r w:rsidR="004D68C9">
        <w:rPr>
          <w:rFonts w:ascii="Times New Roman" w:hAnsi="Times New Roman" w:cs="Times New Roman"/>
        </w:rPr>
        <w:t>art.</w:t>
      </w:r>
      <w:r w:rsidR="00B94150" w:rsidRPr="00226C37">
        <w:rPr>
          <w:rFonts w:ascii="Times New Roman" w:hAnsi="Times New Roman" w:cs="Times New Roman"/>
        </w:rPr>
        <w:t xml:space="preserve"> 7 TEU</w:t>
      </w:r>
      <w:r w:rsidR="00711334" w:rsidRPr="00226C37">
        <w:rPr>
          <w:rFonts w:ascii="Times New Roman" w:hAnsi="Times New Roman" w:cs="Times New Roman"/>
        </w:rPr>
        <w:t xml:space="preserve"> - </w:t>
      </w:r>
      <w:r w:rsidR="00B94150" w:rsidRPr="00226C37">
        <w:rPr>
          <w:rFonts w:ascii="Times New Roman" w:hAnsi="Times New Roman" w:cs="Times New Roman"/>
        </w:rPr>
        <w:t>would be</w:t>
      </w:r>
      <w:r w:rsidR="00711334" w:rsidRPr="00226C37">
        <w:rPr>
          <w:rFonts w:ascii="Times New Roman" w:hAnsi="Times New Roman" w:cs="Times New Roman"/>
        </w:rPr>
        <w:t xml:space="preserve"> </w:t>
      </w:r>
      <w:r w:rsidR="009C0478" w:rsidRPr="00226C37">
        <w:rPr>
          <w:rFonts w:ascii="Times New Roman" w:hAnsi="Times New Roman" w:cs="Times New Roman"/>
        </w:rPr>
        <w:t>that there would be no way</w:t>
      </w:r>
      <w:r w:rsidR="00711334" w:rsidRPr="00226C37">
        <w:rPr>
          <w:rFonts w:ascii="Times New Roman" w:hAnsi="Times New Roman" w:cs="Times New Roman"/>
        </w:rPr>
        <w:t xml:space="preserve"> of ensuring any form of what</w:t>
      </w:r>
      <w:r w:rsidR="00CD1809" w:rsidRPr="00226C37">
        <w:rPr>
          <w:rFonts w:ascii="Times New Roman" w:hAnsi="Times New Roman" w:cs="Times New Roman"/>
        </w:rPr>
        <w:t xml:space="preserve"> </w:t>
      </w:r>
      <w:r w:rsidR="00711334" w:rsidRPr="00226C37">
        <w:rPr>
          <w:rFonts w:ascii="Times New Roman" w:hAnsi="Times New Roman" w:cs="Times New Roman"/>
        </w:rPr>
        <w:t xml:space="preserve">Müller has referred to as a “moral quarantine” in either the European Council or the </w:t>
      </w:r>
      <w:r w:rsidR="00711334" w:rsidRPr="00226C37">
        <w:rPr>
          <w:rFonts w:ascii="Times New Roman" w:hAnsi="Times New Roman" w:cs="Times New Roman"/>
        </w:rPr>
        <w:lastRenderedPageBreak/>
        <w:t>Council</w:t>
      </w:r>
      <w:r w:rsidR="007F647E" w:rsidRPr="00226C37">
        <w:rPr>
          <w:rFonts w:ascii="Times New Roman" w:hAnsi="Times New Roman" w:cs="Times New Roman"/>
        </w:rPr>
        <w:t>.</w:t>
      </w:r>
      <w:r w:rsidR="00711334" w:rsidRPr="00226C37">
        <w:rPr>
          <w:rStyle w:val="FootnoteReference"/>
          <w:rFonts w:ascii="Times New Roman" w:hAnsi="Times New Roman" w:cs="Times New Roman"/>
        </w:rPr>
        <w:footnoteReference w:id="63"/>
      </w:r>
      <w:r w:rsidR="007F647E" w:rsidRPr="00226C37">
        <w:rPr>
          <w:rFonts w:ascii="Times New Roman" w:hAnsi="Times New Roman" w:cs="Times New Roman"/>
        </w:rPr>
        <w:t xml:space="preserve"> </w:t>
      </w:r>
      <w:r w:rsidR="00963D85" w:rsidRPr="00226C37">
        <w:rPr>
          <w:rFonts w:ascii="Times New Roman" w:hAnsi="Times New Roman" w:cs="Times New Roman"/>
        </w:rPr>
        <w:t xml:space="preserve">Indeed, </w:t>
      </w:r>
      <w:r w:rsidR="008221F3" w:rsidRPr="00226C37">
        <w:rPr>
          <w:rFonts w:ascii="Times New Roman" w:hAnsi="Times New Roman" w:cs="Times New Roman"/>
        </w:rPr>
        <w:t xml:space="preserve">it should be recalled that </w:t>
      </w:r>
      <w:r w:rsidR="004D68C9">
        <w:rPr>
          <w:rFonts w:ascii="Times New Roman" w:hAnsi="Times New Roman" w:cs="Times New Roman"/>
        </w:rPr>
        <w:t>art.</w:t>
      </w:r>
      <w:r w:rsidR="00963D85" w:rsidRPr="00226C37">
        <w:rPr>
          <w:rFonts w:ascii="Times New Roman" w:hAnsi="Times New Roman" w:cs="Times New Roman"/>
        </w:rPr>
        <w:t xml:space="preserve"> 7 TEU provides no express means of protecting the democratic legitimacy of the European Council, in which consensus in the default voting rule. </w:t>
      </w:r>
      <w:r w:rsidR="006A7E43" w:rsidRPr="00226C37">
        <w:rPr>
          <w:rFonts w:ascii="Times New Roman" w:hAnsi="Times New Roman" w:cs="Times New Roman"/>
        </w:rPr>
        <w:t xml:space="preserve">That the suggested </w:t>
      </w:r>
      <w:proofErr w:type="spellStart"/>
      <w:r w:rsidR="006A7E43" w:rsidRPr="00226C37">
        <w:rPr>
          <w:rFonts w:ascii="Times New Roman" w:hAnsi="Times New Roman" w:cs="Times New Roman"/>
        </w:rPr>
        <w:t>instrumentalisation</w:t>
      </w:r>
      <w:proofErr w:type="spellEnd"/>
      <w:r w:rsidR="006A7E43" w:rsidRPr="00226C37">
        <w:rPr>
          <w:rFonts w:ascii="Times New Roman" w:hAnsi="Times New Roman" w:cs="Times New Roman"/>
        </w:rPr>
        <w:t xml:space="preserve"> of </w:t>
      </w:r>
      <w:r w:rsidR="004D68C9">
        <w:rPr>
          <w:rFonts w:ascii="Times New Roman" w:hAnsi="Times New Roman" w:cs="Times New Roman"/>
        </w:rPr>
        <w:t>art.</w:t>
      </w:r>
      <w:r w:rsidR="006A7E43" w:rsidRPr="00226C37">
        <w:rPr>
          <w:rFonts w:ascii="Times New Roman" w:hAnsi="Times New Roman" w:cs="Times New Roman"/>
        </w:rPr>
        <w:t xml:space="preserve"> 10 TEU would not provide the same rights of defence to </w:t>
      </w:r>
      <w:r w:rsidR="00B92579" w:rsidRPr="00226C37">
        <w:rPr>
          <w:rFonts w:ascii="Times New Roman" w:hAnsi="Times New Roman" w:cs="Times New Roman"/>
        </w:rPr>
        <w:t xml:space="preserve">a Member State as the </w:t>
      </w:r>
      <w:r w:rsidR="004D68C9">
        <w:rPr>
          <w:rFonts w:ascii="Times New Roman" w:hAnsi="Times New Roman" w:cs="Times New Roman"/>
        </w:rPr>
        <w:t>art.</w:t>
      </w:r>
      <w:r w:rsidR="00B92579" w:rsidRPr="00226C37">
        <w:rPr>
          <w:rFonts w:ascii="Times New Roman" w:hAnsi="Times New Roman" w:cs="Times New Roman"/>
        </w:rPr>
        <w:t xml:space="preserve"> 7 TEU process is a valid </w:t>
      </w:r>
      <w:r w:rsidR="00065C8D" w:rsidRPr="00226C37">
        <w:rPr>
          <w:rFonts w:ascii="Times New Roman" w:hAnsi="Times New Roman" w:cs="Times New Roman"/>
        </w:rPr>
        <w:t xml:space="preserve">point. However, the interpretation of </w:t>
      </w:r>
      <w:r w:rsidR="004D68C9">
        <w:rPr>
          <w:rFonts w:ascii="Times New Roman" w:hAnsi="Times New Roman" w:cs="Times New Roman"/>
        </w:rPr>
        <w:t>art.</w:t>
      </w:r>
      <w:r w:rsidR="00065C8D" w:rsidRPr="00226C37">
        <w:rPr>
          <w:rFonts w:ascii="Times New Roman" w:hAnsi="Times New Roman" w:cs="Times New Roman"/>
        </w:rPr>
        <w:t xml:space="preserve"> 10(2) TEU suggested in this paper gives rise to automatic exclusion of the representatives of a Member State when the qualifying criterion of democratic accountability at national level is no longer satisfied. This, again, </w:t>
      </w:r>
      <w:r w:rsidR="00FE28CB" w:rsidRPr="00226C37">
        <w:rPr>
          <w:rFonts w:ascii="Times New Roman" w:hAnsi="Times New Roman" w:cs="Times New Roman"/>
        </w:rPr>
        <w:t>must</w:t>
      </w:r>
      <w:r w:rsidR="00065C8D" w:rsidRPr="00226C37">
        <w:rPr>
          <w:rFonts w:ascii="Times New Roman" w:hAnsi="Times New Roman" w:cs="Times New Roman"/>
        </w:rPr>
        <w:t xml:space="preserve"> be distinguished from the discretionary context of any decision taken under </w:t>
      </w:r>
      <w:r w:rsidR="004D68C9">
        <w:rPr>
          <w:rFonts w:ascii="Times New Roman" w:hAnsi="Times New Roman" w:cs="Times New Roman"/>
        </w:rPr>
        <w:t>art.</w:t>
      </w:r>
      <w:r w:rsidR="00065C8D" w:rsidRPr="00226C37">
        <w:rPr>
          <w:rFonts w:ascii="Times New Roman" w:hAnsi="Times New Roman" w:cs="Times New Roman"/>
        </w:rPr>
        <w:t xml:space="preserve"> 7(3) TEU. Moreover, any of the procedural </w:t>
      </w:r>
      <w:proofErr w:type="spellStart"/>
      <w:r w:rsidR="00065C8D" w:rsidRPr="00226C37">
        <w:rPr>
          <w:rFonts w:ascii="Times New Roman" w:hAnsi="Times New Roman" w:cs="Times New Roman"/>
        </w:rPr>
        <w:t>instrumentalisations</w:t>
      </w:r>
      <w:proofErr w:type="spellEnd"/>
      <w:r w:rsidR="00065C8D" w:rsidRPr="00226C37">
        <w:rPr>
          <w:rFonts w:ascii="Times New Roman" w:hAnsi="Times New Roman" w:cs="Times New Roman"/>
        </w:rPr>
        <w:t xml:space="preserve"> of </w:t>
      </w:r>
      <w:r w:rsidR="004D68C9">
        <w:rPr>
          <w:rFonts w:ascii="Times New Roman" w:hAnsi="Times New Roman" w:cs="Times New Roman"/>
        </w:rPr>
        <w:t>art.</w:t>
      </w:r>
      <w:r w:rsidR="00065C8D" w:rsidRPr="00226C37">
        <w:rPr>
          <w:rFonts w:ascii="Times New Roman" w:hAnsi="Times New Roman" w:cs="Times New Roman"/>
        </w:rPr>
        <w:t xml:space="preserve"> 10 TEU suggested in this paper would ultimately and almost inevitably require determination by the </w:t>
      </w:r>
      <w:r w:rsidR="00EF6B39" w:rsidRPr="00226C37">
        <w:rPr>
          <w:rFonts w:ascii="Times New Roman" w:hAnsi="Times New Roman" w:cs="Times New Roman"/>
        </w:rPr>
        <w:t>CJEU</w:t>
      </w:r>
      <w:r w:rsidR="00065C8D" w:rsidRPr="00226C37">
        <w:rPr>
          <w:rFonts w:ascii="Times New Roman" w:hAnsi="Times New Roman" w:cs="Times New Roman"/>
        </w:rPr>
        <w:t>. The excluded Member State</w:t>
      </w:r>
      <w:r w:rsidR="007E65A4">
        <w:rPr>
          <w:rFonts w:ascii="Times New Roman" w:hAnsi="Times New Roman" w:cs="Times New Roman"/>
        </w:rPr>
        <w:t xml:space="preserve"> government</w:t>
      </w:r>
      <w:r w:rsidR="00065C8D" w:rsidRPr="00226C37">
        <w:rPr>
          <w:rFonts w:ascii="Times New Roman" w:hAnsi="Times New Roman" w:cs="Times New Roman"/>
        </w:rPr>
        <w:t xml:space="preserve"> would in all cases have access to the C</w:t>
      </w:r>
      <w:r w:rsidR="00EF6B39" w:rsidRPr="00226C37">
        <w:rPr>
          <w:rFonts w:ascii="Times New Roman" w:hAnsi="Times New Roman" w:cs="Times New Roman"/>
        </w:rPr>
        <w:t>JEU</w:t>
      </w:r>
      <w:r w:rsidR="00065C8D" w:rsidRPr="00226C37">
        <w:rPr>
          <w:rFonts w:ascii="Times New Roman" w:hAnsi="Times New Roman" w:cs="Times New Roman"/>
        </w:rPr>
        <w:t xml:space="preserve">, whether by way of </w:t>
      </w:r>
      <w:r w:rsidR="004D68C9">
        <w:rPr>
          <w:rFonts w:ascii="Times New Roman" w:hAnsi="Times New Roman" w:cs="Times New Roman"/>
        </w:rPr>
        <w:t xml:space="preserve">art. </w:t>
      </w:r>
      <w:r w:rsidR="00065C8D" w:rsidRPr="00226C37">
        <w:rPr>
          <w:rFonts w:ascii="Times New Roman" w:hAnsi="Times New Roman" w:cs="Times New Roman"/>
        </w:rPr>
        <w:t xml:space="preserve"> 263 TFEU or as an intervenor, pursuant to </w:t>
      </w:r>
      <w:r w:rsidR="004D68C9">
        <w:rPr>
          <w:rFonts w:ascii="Times New Roman" w:hAnsi="Times New Roman" w:cs="Times New Roman"/>
        </w:rPr>
        <w:t>art.</w:t>
      </w:r>
      <w:r w:rsidR="00065C8D" w:rsidRPr="00226C37">
        <w:rPr>
          <w:rFonts w:ascii="Times New Roman" w:hAnsi="Times New Roman" w:cs="Times New Roman"/>
        </w:rPr>
        <w:t xml:space="preserve"> 40(1) of the Statute of the </w:t>
      </w:r>
      <w:r w:rsidR="00EF6B39" w:rsidRPr="00226C37">
        <w:rPr>
          <w:rFonts w:ascii="Times New Roman" w:hAnsi="Times New Roman" w:cs="Times New Roman"/>
        </w:rPr>
        <w:t>ECJ</w:t>
      </w:r>
      <w:r w:rsidR="00065C8D" w:rsidRPr="00226C37">
        <w:rPr>
          <w:rFonts w:ascii="Times New Roman" w:hAnsi="Times New Roman" w:cs="Times New Roman"/>
        </w:rPr>
        <w:t xml:space="preserve">, in </w:t>
      </w:r>
      <w:r w:rsidR="0018365C" w:rsidRPr="00226C37">
        <w:rPr>
          <w:rFonts w:ascii="Times New Roman" w:hAnsi="Times New Roman" w:cs="Times New Roman"/>
        </w:rPr>
        <w:t xml:space="preserve">any other </w:t>
      </w:r>
      <w:r w:rsidR="00CE41E0" w:rsidRPr="00226C37">
        <w:rPr>
          <w:rFonts w:ascii="Times New Roman" w:hAnsi="Times New Roman" w:cs="Times New Roman"/>
        </w:rPr>
        <w:t xml:space="preserve">judicial </w:t>
      </w:r>
      <w:r w:rsidR="00065C8D" w:rsidRPr="00226C37">
        <w:rPr>
          <w:rFonts w:ascii="Times New Roman" w:hAnsi="Times New Roman" w:cs="Times New Roman"/>
        </w:rPr>
        <w:t xml:space="preserve">proceeding. </w:t>
      </w:r>
    </w:p>
    <w:p w14:paraId="6B68D9E5" w14:textId="77777777" w:rsidR="0093427B" w:rsidRDefault="0093427B" w:rsidP="0093427B">
      <w:pPr>
        <w:jc w:val="both"/>
        <w:rPr>
          <w:rFonts w:ascii="Times New Roman" w:hAnsi="Times New Roman" w:cs="Times New Roman"/>
          <w:b/>
          <w:bCs/>
        </w:rPr>
      </w:pPr>
    </w:p>
    <w:p w14:paraId="49168DBF" w14:textId="62CCF1E5" w:rsidR="006F77D6" w:rsidRPr="0093427B" w:rsidRDefault="00D93CFF" w:rsidP="0093427B">
      <w:pPr>
        <w:jc w:val="both"/>
        <w:rPr>
          <w:rFonts w:ascii="Times New Roman" w:hAnsi="Times New Roman" w:cs="Times New Roman"/>
          <w:b/>
          <w:bCs/>
        </w:rPr>
      </w:pPr>
      <w:r w:rsidRPr="0093427B">
        <w:rPr>
          <w:rFonts w:ascii="Times New Roman" w:hAnsi="Times New Roman" w:cs="Times New Roman"/>
          <w:b/>
          <w:bCs/>
        </w:rPr>
        <w:t>Pra</w:t>
      </w:r>
      <w:r w:rsidR="001F1A1A" w:rsidRPr="0093427B">
        <w:rPr>
          <w:rFonts w:ascii="Times New Roman" w:hAnsi="Times New Roman" w:cs="Times New Roman"/>
          <w:b/>
          <w:bCs/>
        </w:rPr>
        <w:t>ctical</w:t>
      </w:r>
      <w:r w:rsidRPr="0093427B">
        <w:rPr>
          <w:rFonts w:ascii="Times New Roman" w:hAnsi="Times New Roman" w:cs="Times New Roman"/>
          <w:b/>
          <w:bCs/>
        </w:rPr>
        <w:t xml:space="preserve"> </w:t>
      </w:r>
      <w:r w:rsidR="009B3ECA" w:rsidRPr="0093427B">
        <w:rPr>
          <w:rFonts w:ascii="Times New Roman" w:hAnsi="Times New Roman" w:cs="Times New Roman"/>
          <w:b/>
          <w:bCs/>
        </w:rPr>
        <w:t>Issues</w:t>
      </w:r>
      <w:r w:rsidRPr="0093427B">
        <w:rPr>
          <w:rFonts w:ascii="Times New Roman" w:hAnsi="Times New Roman" w:cs="Times New Roman"/>
          <w:b/>
          <w:bCs/>
        </w:rPr>
        <w:t xml:space="preserve"> with the Operative Interpretation and </w:t>
      </w:r>
      <w:proofErr w:type="spellStart"/>
      <w:r w:rsidRPr="0093427B">
        <w:rPr>
          <w:rFonts w:ascii="Times New Roman" w:hAnsi="Times New Roman" w:cs="Times New Roman"/>
          <w:b/>
          <w:bCs/>
        </w:rPr>
        <w:t>Instrumentalisation</w:t>
      </w:r>
      <w:proofErr w:type="spellEnd"/>
      <w:r w:rsidRPr="0093427B">
        <w:rPr>
          <w:rFonts w:ascii="Times New Roman" w:hAnsi="Times New Roman" w:cs="Times New Roman"/>
          <w:b/>
          <w:bCs/>
        </w:rPr>
        <w:t xml:space="preserve"> of Article 10 TEU</w:t>
      </w:r>
    </w:p>
    <w:p w14:paraId="0148BC7F" w14:textId="77777777" w:rsidR="006F77D6" w:rsidRPr="00226C37" w:rsidRDefault="006F77D6" w:rsidP="006F77D6">
      <w:pPr>
        <w:jc w:val="both"/>
        <w:rPr>
          <w:rFonts w:ascii="Times New Roman" w:hAnsi="Times New Roman" w:cs="Times New Roman"/>
          <w:b/>
          <w:bCs/>
        </w:rPr>
      </w:pPr>
    </w:p>
    <w:p w14:paraId="2D6DD655" w14:textId="3E6F0F23" w:rsidR="00D93CFF" w:rsidRPr="00226C37" w:rsidRDefault="001F1A1A" w:rsidP="006F77D6">
      <w:pPr>
        <w:jc w:val="both"/>
        <w:rPr>
          <w:rFonts w:ascii="Times New Roman" w:hAnsi="Times New Roman" w:cs="Times New Roman"/>
        </w:rPr>
      </w:pPr>
      <w:r w:rsidRPr="00226C37">
        <w:rPr>
          <w:rFonts w:ascii="Times New Roman" w:hAnsi="Times New Roman" w:cs="Times New Roman"/>
        </w:rPr>
        <w:t xml:space="preserve">There are </w:t>
      </w:r>
      <w:r w:rsidR="00572D4B" w:rsidRPr="00226C37">
        <w:rPr>
          <w:rFonts w:ascii="Times New Roman" w:hAnsi="Times New Roman" w:cs="Times New Roman"/>
        </w:rPr>
        <w:t>several</w:t>
      </w:r>
      <w:r w:rsidR="00D93CFF" w:rsidRPr="00226C37">
        <w:rPr>
          <w:rFonts w:ascii="Times New Roman" w:hAnsi="Times New Roman" w:cs="Times New Roman"/>
        </w:rPr>
        <w:t xml:space="preserve"> </w:t>
      </w:r>
      <w:r w:rsidR="00963D85" w:rsidRPr="00226C37">
        <w:rPr>
          <w:rFonts w:ascii="Times New Roman" w:hAnsi="Times New Roman" w:cs="Times New Roman"/>
        </w:rPr>
        <w:t xml:space="preserve">practical </w:t>
      </w:r>
      <w:r w:rsidR="00D93CFF" w:rsidRPr="00226C37">
        <w:rPr>
          <w:rFonts w:ascii="Times New Roman" w:hAnsi="Times New Roman" w:cs="Times New Roman"/>
        </w:rPr>
        <w:t xml:space="preserve">issues that </w:t>
      </w:r>
      <w:r w:rsidR="00963D85" w:rsidRPr="00226C37">
        <w:rPr>
          <w:rFonts w:ascii="Times New Roman" w:hAnsi="Times New Roman" w:cs="Times New Roman"/>
        </w:rPr>
        <w:t>c</w:t>
      </w:r>
      <w:r w:rsidR="00D93CFF" w:rsidRPr="00226C37">
        <w:rPr>
          <w:rFonts w:ascii="Times New Roman" w:hAnsi="Times New Roman" w:cs="Times New Roman"/>
        </w:rPr>
        <w:t>ould conceivably arise from the</w:t>
      </w:r>
      <w:r w:rsidRPr="00226C37">
        <w:rPr>
          <w:rFonts w:ascii="Times New Roman" w:hAnsi="Times New Roman" w:cs="Times New Roman"/>
        </w:rPr>
        <w:t xml:space="preserve"> </w:t>
      </w:r>
      <w:proofErr w:type="spellStart"/>
      <w:r w:rsidR="00D93CFF" w:rsidRPr="00226C37">
        <w:rPr>
          <w:rFonts w:ascii="Times New Roman" w:hAnsi="Times New Roman" w:cs="Times New Roman"/>
        </w:rPr>
        <w:t>instrumentalisation</w:t>
      </w:r>
      <w:proofErr w:type="spellEnd"/>
      <w:r w:rsidR="00D93CFF" w:rsidRPr="00226C37">
        <w:rPr>
          <w:rFonts w:ascii="Times New Roman" w:hAnsi="Times New Roman" w:cs="Times New Roman"/>
        </w:rPr>
        <w:t xml:space="preserve"> of </w:t>
      </w:r>
      <w:r w:rsidR="004D68C9">
        <w:rPr>
          <w:rFonts w:ascii="Times New Roman" w:hAnsi="Times New Roman" w:cs="Times New Roman"/>
        </w:rPr>
        <w:t>art.</w:t>
      </w:r>
      <w:r w:rsidRPr="00226C37">
        <w:rPr>
          <w:rFonts w:ascii="Times New Roman" w:hAnsi="Times New Roman" w:cs="Times New Roman"/>
        </w:rPr>
        <w:t xml:space="preserve"> 10 TEU</w:t>
      </w:r>
      <w:r w:rsidR="00D93CFF" w:rsidRPr="00226C37">
        <w:rPr>
          <w:rFonts w:ascii="Times New Roman" w:hAnsi="Times New Roman" w:cs="Times New Roman"/>
        </w:rPr>
        <w:t xml:space="preserve"> </w:t>
      </w:r>
      <w:r w:rsidR="004A0BF3" w:rsidRPr="00226C37">
        <w:rPr>
          <w:rFonts w:ascii="Times New Roman" w:hAnsi="Times New Roman" w:cs="Times New Roman"/>
        </w:rPr>
        <w:t xml:space="preserve">which </w:t>
      </w:r>
      <w:r w:rsidR="00D93CFF" w:rsidRPr="00226C37">
        <w:rPr>
          <w:rFonts w:ascii="Times New Roman" w:hAnsi="Times New Roman" w:cs="Times New Roman"/>
        </w:rPr>
        <w:t xml:space="preserve">might militate against the adoption of </w:t>
      </w:r>
      <w:r w:rsidR="00572D4B" w:rsidRPr="00226C37">
        <w:rPr>
          <w:rFonts w:ascii="Times New Roman" w:hAnsi="Times New Roman" w:cs="Times New Roman"/>
        </w:rPr>
        <w:t>an</w:t>
      </w:r>
      <w:r w:rsidRPr="00226C37">
        <w:rPr>
          <w:rFonts w:ascii="Times New Roman" w:hAnsi="Times New Roman" w:cs="Times New Roman"/>
        </w:rPr>
        <w:t xml:space="preserve"> operative</w:t>
      </w:r>
      <w:r w:rsidR="00D93CFF" w:rsidRPr="00226C37">
        <w:rPr>
          <w:rFonts w:ascii="Times New Roman" w:hAnsi="Times New Roman" w:cs="Times New Roman"/>
        </w:rPr>
        <w:t xml:space="preserve"> interpretation. These issues may be categorised a</w:t>
      </w:r>
      <w:r w:rsidR="00572D4B" w:rsidRPr="00226C37">
        <w:rPr>
          <w:rFonts w:ascii="Times New Roman" w:hAnsi="Times New Roman" w:cs="Times New Roman"/>
        </w:rPr>
        <w:t>s</w:t>
      </w:r>
      <w:r w:rsidR="00D93CFF" w:rsidRPr="00226C37">
        <w:rPr>
          <w:rFonts w:ascii="Times New Roman" w:hAnsi="Times New Roman" w:cs="Times New Roman"/>
        </w:rPr>
        <w:t xml:space="preserve">: (1) determining </w:t>
      </w:r>
      <w:r w:rsidR="00572D4B" w:rsidRPr="00226C37">
        <w:rPr>
          <w:rFonts w:ascii="Times New Roman" w:hAnsi="Times New Roman" w:cs="Times New Roman"/>
        </w:rPr>
        <w:t xml:space="preserve">and monitoring </w:t>
      </w:r>
      <w:r w:rsidR="00D93CFF" w:rsidRPr="00226C37">
        <w:rPr>
          <w:rFonts w:ascii="Times New Roman" w:hAnsi="Times New Roman" w:cs="Times New Roman"/>
        </w:rPr>
        <w:t xml:space="preserve">democratic accountability; (2) legal certainty; </w:t>
      </w:r>
      <w:r w:rsidR="004A0BF3" w:rsidRPr="00226C37">
        <w:rPr>
          <w:rFonts w:ascii="Times New Roman" w:hAnsi="Times New Roman" w:cs="Times New Roman"/>
        </w:rPr>
        <w:t xml:space="preserve">and </w:t>
      </w:r>
      <w:r w:rsidR="00D93CFF" w:rsidRPr="00226C37">
        <w:rPr>
          <w:rFonts w:ascii="Times New Roman" w:hAnsi="Times New Roman" w:cs="Times New Roman"/>
        </w:rPr>
        <w:t>(3) effectiveness.</w:t>
      </w:r>
    </w:p>
    <w:p w14:paraId="3B783A0F" w14:textId="0E58381B" w:rsidR="00D93CFF" w:rsidRPr="00226C37" w:rsidRDefault="00D93CFF" w:rsidP="006F77D6">
      <w:pPr>
        <w:jc w:val="both"/>
        <w:rPr>
          <w:rFonts w:ascii="Times New Roman" w:hAnsi="Times New Roman" w:cs="Times New Roman"/>
        </w:rPr>
      </w:pPr>
    </w:p>
    <w:p w14:paraId="696D1170" w14:textId="4866DBCC" w:rsidR="00D93CFF" w:rsidRPr="00226C37" w:rsidRDefault="00D93CFF" w:rsidP="00D93CFF">
      <w:pPr>
        <w:jc w:val="both"/>
        <w:rPr>
          <w:rFonts w:ascii="Times New Roman" w:hAnsi="Times New Roman" w:cs="Times New Roman"/>
          <w:i/>
          <w:iCs/>
        </w:rPr>
      </w:pPr>
      <w:r w:rsidRPr="00226C37">
        <w:rPr>
          <w:rFonts w:ascii="Times New Roman" w:hAnsi="Times New Roman" w:cs="Times New Roman"/>
          <w:i/>
          <w:iCs/>
        </w:rPr>
        <w:t xml:space="preserve">Determining </w:t>
      </w:r>
      <w:r w:rsidR="004D6183" w:rsidRPr="00226C37">
        <w:rPr>
          <w:rFonts w:ascii="Times New Roman" w:hAnsi="Times New Roman" w:cs="Times New Roman"/>
          <w:i/>
          <w:iCs/>
        </w:rPr>
        <w:t xml:space="preserve">and Monitoring </w:t>
      </w:r>
      <w:r w:rsidRPr="00226C37">
        <w:rPr>
          <w:rFonts w:ascii="Times New Roman" w:hAnsi="Times New Roman" w:cs="Times New Roman"/>
          <w:i/>
          <w:iCs/>
        </w:rPr>
        <w:t>Democratic Accountability</w:t>
      </w:r>
    </w:p>
    <w:p w14:paraId="2D96C06C" w14:textId="0B60A962" w:rsidR="00703535" w:rsidRPr="00226C37" w:rsidRDefault="00703535" w:rsidP="00D93CFF">
      <w:pPr>
        <w:jc w:val="both"/>
        <w:rPr>
          <w:rFonts w:ascii="Times New Roman" w:hAnsi="Times New Roman" w:cs="Times New Roman"/>
          <w:i/>
          <w:iCs/>
        </w:rPr>
      </w:pPr>
    </w:p>
    <w:p w14:paraId="164EC648" w14:textId="43DE13EA" w:rsidR="00703535" w:rsidRPr="00226C37" w:rsidRDefault="00277C3D" w:rsidP="00D93CFF">
      <w:pPr>
        <w:jc w:val="both"/>
        <w:rPr>
          <w:rFonts w:ascii="Times New Roman" w:hAnsi="Times New Roman" w:cs="Times New Roman"/>
        </w:rPr>
      </w:pPr>
      <w:r w:rsidRPr="00226C37">
        <w:rPr>
          <w:rFonts w:ascii="Times New Roman" w:hAnsi="Times New Roman" w:cs="Times New Roman"/>
        </w:rPr>
        <w:t xml:space="preserve">The key element of the operative interpretation of </w:t>
      </w:r>
      <w:r w:rsidR="004D68C9">
        <w:rPr>
          <w:rFonts w:ascii="Times New Roman" w:hAnsi="Times New Roman" w:cs="Times New Roman"/>
        </w:rPr>
        <w:t xml:space="preserve">art. </w:t>
      </w:r>
      <w:r w:rsidRPr="00226C37">
        <w:rPr>
          <w:rFonts w:ascii="Times New Roman" w:hAnsi="Times New Roman" w:cs="Times New Roman"/>
        </w:rPr>
        <w:t xml:space="preserve">10(2) TEU is that it introduces a qualifying criterion for Member State </w:t>
      </w:r>
      <w:proofErr w:type="spellStart"/>
      <w:r w:rsidRPr="00226C37">
        <w:rPr>
          <w:rFonts w:ascii="Times New Roman" w:hAnsi="Times New Roman" w:cs="Times New Roman"/>
        </w:rPr>
        <w:t>represent</w:t>
      </w:r>
      <w:r w:rsidR="00572D4B" w:rsidRPr="00226C37">
        <w:rPr>
          <w:rFonts w:ascii="Times New Roman" w:hAnsi="Times New Roman" w:cs="Times New Roman"/>
        </w:rPr>
        <w:t>ion</w:t>
      </w:r>
      <w:proofErr w:type="spellEnd"/>
      <w:r w:rsidRPr="00226C37">
        <w:rPr>
          <w:rFonts w:ascii="Times New Roman" w:hAnsi="Times New Roman" w:cs="Times New Roman"/>
        </w:rPr>
        <w:t xml:space="preserve"> in the European Council and the Council: democratic accountability to national parliaments or citizens. The procedural </w:t>
      </w:r>
      <w:proofErr w:type="spellStart"/>
      <w:r w:rsidRPr="00226C37">
        <w:rPr>
          <w:rFonts w:ascii="Times New Roman" w:hAnsi="Times New Roman" w:cs="Times New Roman"/>
        </w:rPr>
        <w:t>instrumentalisations</w:t>
      </w:r>
      <w:proofErr w:type="spellEnd"/>
      <w:r w:rsidRPr="00226C37">
        <w:rPr>
          <w:rFonts w:ascii="Times New Roman" w:hAnsi="Times New Roman" w:cs="Times New Roman"/>
        </w:rPr>
        <w:t xml:space="preserve"> suggested in this paper all involve </w:t>
      </w:r>
      <w:r w:rsidRPr="00226C37">
        <w:rPr>
          <w:rFonts w:ascii="Times New Roman" w:hAnsi="Times New Roman" w:cs="Times New Roman"/>
          <w:i/>
          <w:iCs/>
        </w:rPr>
        <w:t xml:space="preserve">de facto </w:t>
      </w:r>
      <w:r w:rsidRPr="00226C37">
        <w:rPr>
          <w:rFonts w:ascii="Times New Roman" w:hAnsi="Times New Roman" w:cs="Times New Roman"/>
        </w:rPr>
        <w:t xml:space="preserve">determinations being made as to whether a Member State’s Head of State or Government, or its government, </w:t>
      </w:r>
      <w:r w:rsidR="00912E3F" w:rsidRPr="00226C37">
        <w:rPr>
          <w:rFonts w:ascii="Times New Roman" w:hAnsi="Times New Roman" w:cs="Times New Roman"/>
        </w:rPr>
        <w:t>fulfil this criterion</w:t>
      </w:r>
      <w:r w:rsidRPr="00226C37">
        <w:rPr>
          <w:rFonts w:ascii="Times New Roman" w:hAnsi="Times New Roman" w:cs="Times New Roman"/>
        </w:rPr>
        <w:t>. The European Council or the Council may take the view that a Member State is no longer entitled to representation and take practical measures to exclude its representatives</w:t>
      </w:r>
      <w:r w:rsidR="00AE68B5" w:rsidRPr="00226C37">
        <w:rPr>
          <w:rFonts w:ascii="Times New Roman" w:hAnsi="Times New Roman" w:cs="Times New Roman"/>
        </w:rPr>
        <w:t xml:space="preserve"> (which will open those institutions to judicial review)</w:t>
      </w:r>
      <w:r w:rsidR="001D5D86" w:rsidRPr="00226C37">
        <w:rPr>
          <w:rFonts w:ascii="Times New Roman" w:hAnsi="Times New Roman" w:cs="Times New Roman"/>
        </w:rPr>
        <w:t>. F</w:t>
      </w:r>
      <w:r w:rsidRPr="00226C37">
        <w:rPr>
          <w:rFonts w:ascii="Times New Roman" w:hAnsi="Times New Roman" w:cs="Times New Roman"/>
        </w:rPr>
        <w:t>ailing this, the C</w:t>
      </w:r>
      <w:r w:rsidR="00D36DB3" w:rsidRPr="00226C37">
        <w:rPr>
          <w:rFonts w:ascii="Times New Roman" w:hAnsi="Times New Roman" w:cs="Times New Roman"/>
        </w:rPr>
        <w:t>JEU</w:t>
      </w:r>
      <w:r w:rsidRPr="00226C37">
        <w:rPr>
          <w:rFonts w:ascii="Times New Roman" w:hAnsi="Times New Roman" w:cs="Times New Roman"/>
        </w:rPr>
        <w:t xml:space="preserve"> </w:t>
      </w:r>
      <w:r w:rsidR="00AE68B5" w:rsidRPr="00226C37">
        <w:rPr>
          <w:rFonts w:ascii="Times New Roman" w:hAnsi="Times New Roman" w:cs="Times New Roman"/>
        </w:rPr>
        <w:t xml:space="preserve">will </w:t>
      </w:r>
      <w:r w:rsidRPr="00226C37">
        <w:rPr>
          <w:rFonts w:ascii="Times New Roman" w:hAnsi="Times New Roman" w:cs="Times New Roman"/>
        </w:rPr>
        <w:t xml:space="preserve">have to determine the question. </w:t>
      </w:r>
      <w:r w:rsidR="004B448E" w:rsidRPr="00226C37">
        <w:rPr>
          <w:rFonts w:ascii="Times New Roman" w:hAnsi="Times New Roman" w:cs="Times New Roman"/>
        </w:rPr>
        <w:t>These EU institutions are therefore placed in the invidious position of having to determine whether this democratic accountability standard is being fulfilled. While it is beyond the scope of this paper to seek to define</w:t>
      </w:r>
      <w:r w:rsidR="00283FC3" w:rsidRPr="00226C37">
        <w:rPr>
          <w:rFonts w:ascii="Times New Roman" w:hAnsi="Times New Roman" w:cs="Times New Roman"/>
        </w:rPr>
        <w:t xml:space="preserve"> with precision</w:t>
      </w:r>
      <w:r w:rsidR="004B448E" w:rsidRPr="00226C37">
        <w:rPr>
          <w:rFonts w:ascii="Times New Roman" w:hAnsi="Times New Roman" w:cs="Times New Roman"/>
        </w:rPr>
        <w:t xml:space="preserve"> what democratic accountability means in this context, it must be acknowledged that </w:t>
      </w:r>
      <w:r w:rsidR="00FE6C46" w:rsidRPr="00226C37">
        <w:rPr>
          <w:rFonts w:ascii="Times New Roman" w:hAnsi="Times New Roman" w:cs="Times New Roman"/>
        </w:rPr>
        <w:t>the task of defining it judicially or of measuring the conditions in a Member State against any such definition</w:t>
      </w:r>
      <w:r w:rsidR="00572D4B" w:rsidRPr="00226C37">
        <w:rPr>
          <w:rFonts w:ascii="Times New Roman" w:hAnsi="Times New Roman" w:cs="Times New Roman"/>
        </w:rPr>
        <w:t xml:space="preserve"> </w:t>
      </w:r>
      <w:r w:rsidR="00FE6C46" w:rsidRPr="00226C37">
        <w:rPr>
          <w:rFonts w:ascii="Times New Roman" w:hAnsi="Times New Roman" w:cs="Times New Roman"/>
        </w:rPr>
        <w:t>would be a difficult task.</w:t>
      </w:r>
      <w:r w:rsidR="00283FC3" w:rsidRPr="00226C37">
        <w:rPr>
          <w:rFonts w:ascii="Times New Roman" w:hAnsi="Times New Roman" w:cs="Times New Roman"/>
        </w:rPr>
        <w:t xml:space="preserve"> The C</w:t>
      </w:r>
      <w:r w:rsidR="00EF6B39" w:rsidRPr="00226C37">
        <w:rPr>
          <w:rFonts w:ascii="Times New Roman" w:hAnsi="Times New Roman" w:cs="Times New Roman"/>
        </w:rPr>
        <w:t>JEU</w:t>
      </w:r>
      <w:r w:rsidR="00283FC3" w:rsidRPr="00226C37">
        <w:rPr>
          <w:rFonts w:ascii="Times New Roman" w:hAnsi="Times New Roman" w:cs="Times New Roman"/>
        </w:rPr>
        <w:t xml:space="preserve"> if confronted with these questions in the contemporary context would have to consider the problem of ‘</w:t>
      </w:r>
      <w:r w:rsidR="001D5D86" w:rsidRPr="00226C37">
        <w:rPr>
          <w:rFonts w:ascii="Times New Roman" w:hAnsi="Times New Roman" w:cs="Times New Roman"/>
        </w:rPr>
        <w:t>hybrid’</w:t>
      </w:r>
      <w:r w:rsidR="00283FC3" w:rsidRPr="00226C37">
        <w:rPr>
          <w:rFonts w:ascii="Times New Roman" w:hAnsi="Times New Roman" w:cs="Times New Roman"/>
        </w:rPr>
        <w:t xml:space="preserve"> or ‘electoral authoritarian</w:t>
      </w:r>
      <w:r w:rsidR="00912E3F" w:rsidRPr="00226C37">
        <w:rPr>
          <w:rFonts w:ascii="Times New Roman" w:hAnsi="Times New Roman" w:cs="Times New Roman"/>
        </w:rPr>
        <w:t>’</w:t>
      </w:r>
      <w:r w:rsidR="00283FC3" w:rsidRPr="00226C37">
        <w:rPr>
          <w:rFonts w:ascii="Times New Roman" w:hAnsi="Times New Roman" w:cs="Times New Roman"/>
        </w:rPr>
        <w:t xml:space="preserve"> regimes. While </w:t>
      </w:r>
      <w:r w:rsidR="001D5D86" w:rsidRPr="00226C37">
        <w:rPr>
          <w:rFonts w:ascii="Times New Roman" w:hAnsi="Times New Roman" w:cs="Times New Roman"/>
        </w:rPr>
        <w:t>the definitional</w:t>
      </w:r>
      <w:r w:rsidR="00283FC3" w:rsidRPr="00226C37">
        <w:rPr>
          <w:rFonts w:ascii="Times New Roman" w:hAnsi="Times New Roman" w:cs="Times New Roman"/>
        </w:rPr>
        <w:t xml:space="preserve"> issue</w:t>
      </w:r>
      <w:r w:rsidR="001D5D86" w:rsidRPr="00226C37">
        <w:rPr>
          <w:rFonts w:ascii="Times New Roman" w:hAnsi="Times New Roman" w:cs="Times New Roman"/>
        </w:rPr>
        <w:t xml:space="preserve"> </w:t>
      </w:r>
      <w:r w:rsidR="00283FC3" w:rsidRPr="00226C37">
        <w:rPr>
          <w:rFonts w:ascii="Times New Roman" w:hAnsi="Times New Roman" w:cs="Times New Roman"/>
        </w:rPr>
        <w:t xml:space="preserve">might not be so problematic in the case of </w:t>
      </w:r>
      <w:r w:rsidR="00912E3F" w:rsidRPr="00226C37">
        <w:rPr>
          <w:rFonts w:ascii="Times New Roman" w:hAnsi="Times New Roman" w:cs="Times New Roman"/>
        </w:rPr>
        <w:t>a</w:t>
      </w:r>
      <w:r w:rsidR="00283FC3" w:rsidRPr="00226C37">
        <w:rPr>
          <w:rFonts w:ascii="Times New Roman" w:hAnsi="Times New Roman" w:cs="Times New Roman"/>
        </w:rPr>
        <w:t xml:space="preserve"> coup</w:t>
      </w:r>
      <w:r w:rsidR="00367203" w:rsidRPr="00226C37">
        <w:rPr>
          <w:rFonts w:ascii="Times New Roman" w:hAnsi="Times New Roman" w:cs="Times New Roman"/>
        </w:rPr>
        <w:t>,</w:t>
      </w:r>
      <w:r w:rsidR="00283FC3" w:rsidRPr="00226C37">
        <w:rPr>
          <w:rFonts w:ascii="Times New Roman" w:hAnsi="Times New Roman" w:cs="Times New Roman"/>
        </w:rPr>
        <w:t xml:space="preserve"> </w:t>
      </w:r>
      <w:r w:rsidR="00572D4B" w:rsidRPr="00226C37">
        <w:rPr>
          <w:rFonts w:ascii="Times New Roman" w:hAnsi="Times New Roman" w:cs="Times New Roman"/>
        </w:rPr>
        <w:t>the now more typical</w:t>
      </w:r>
      <w:r w:rsidR="00283FC3" w:rsidRPr="00226C37">
        <w:rPr>
          <w:rFonts w:ascii="Times New Roman" w:hAnsi="Times New Roman" w:cs="Times New Roman"/>
        </w:rPr>
        <w:t xml:space="preserve"> gradual slide into autocracy presents </w:t>
      </w:r>
      <w:r w:rsidR="00367203" w:rsidRPr="00226C37">
        <w:rPr>
          <w:rFonts w:ascii="Times New Roman" w:hAnsi="Times New Roman" w:cs="Times New Roman"/>
        </w:rPr>
        <w:t>more room for contestation</w:t>
      </w:r>
      <w:r w:rsidR="001D5D86" w:rsidRPr="00226C37">
        <w:rPr>
          <w:rFonts w:ascii="Times New Roman" w:hAnsi="Times New Roman" w:cs="Times New Roman"/>
        </w:rPr>
        <w:t xml:space="preserve"> and uncertainty</w:t>
      </w:r>
      <w:r w:rsidR="00367203" w:rsidRPr="00226C37">
        <w:rPr>
          <w:rFonts w:ascii="Times New Roman" w:hAnsi="Times New Roman" w:cs="Times New Roman"/>
        </w:rPr>
        <w:t>.</w:t>
      </w:r>
    </w:p>
    <w:p w14:paraId="54CAF7F0" w14:textId="09969FA9" w:rsidR="00367203" w:rsidRPr="00226C37" w:rsidRDefault="00367203" w:rsidP="00D93CFF">
      <w:pPr>
        <w:jc w:val="both"/>
        <w:rPr>
          <w:rFonts w:ascii="Times New Roman" w:hAnsi="Times New Roman" w:cs="Times New Roman"/>
        </w:rPr>
      </w:pPr>
    </w:p>
    <w:p w14:paraId="7277D854" w14:textId="1A2FF2B8" w:rsidR="00367203" w:rsidRPr="00226C37" w:rsidRDefault="00367203" w:rsidP="00D93CFF">
      <w:pPr>
        <w:jc w:val="both"/>
        <w:rPr>
          <w:rFonts w:ascii="Times New Roman" w:hAnsi="Times New Roman" w:cs="Times New Roman"/>
        </w:rPr>
      </w:pPr>
      <w:r w:rsidRPr="00226C37">
        <w:rPr>
          <w:rFonts w:ascii="Times New Roman" w:hAnsi="Times New Roman" w:cs="Times New Roman"/>
        </w:rPr>
        <w:t>However problematic an initial assessment of whether a Member State</w:t>
      </w:r>
      <w:r w:rsidR="00200C37" w:rsidRPr="00226C37">
        <w:rPr>
          <w:rFonts w:ascii="Times New Roman" w:hAnsi="Times New Roman" w:cs="Times New Roman"/>
        </w:rPr>
        <w:t xml:space="preserve"> fulfils the democratic accountability criterion would be, the ongoing monitoring of this question would present even greater challenges</w:t>
      </w:r>
      <w:r w:rsidR="007E65A4">
        <w:rPr>
          <w:rFonts w:ascii="Times New Roman" w:hAnsi="Times New Roman" w:cs="Times New Roman"/>
        </w:rPr>
        <w:t xml:space="preserve"> for both the Commission and the CJEU</w:t>
      </w:r>
      <w:r w:rsidR="00200C37" w:rsidRPr="00226C37">
        <w:rPr>
          <w:rFonts w:ascii="Times New Roman" w:hAnsi="Times New Roman" w:cs="Times New Roman"/>
        </w:rPr>
        <w:t xml:space="preserve">. </w:t>
      </w:r>
      <w:r w:rsidR="001D5D86" w:rsidRPr="00226C37">
        <w:rPr>
          <w:rFonts w:ascii="Times New Roman" w:hAnsi="Times New Roman" w:cs="Times New Roman"/>
        </w:rPr>
        <w:t>Ongoing assessment would be especially tricky were</w:t>
      </w:r>
      <w:r w:rsidR="00200C37" w:rsidRPr="00226C37">
        <w:rPr>
          <w:rFonts w:ascii="Times New Roman" w:hAnsi="Times New Roman" w:cs="Times New Roman"/>
        </w:rPr>
        <w:t xml:space="preserve"> a judicial determination to be made that a Member State did not fulfil the criterion, giving rise to automatic exclusion of its representatives from the European Council and the Council. </w:t>
      </w:r>
      <w:r w:rsidR="00C03281" w:rsidRPr="00226C37">
        <w:rPr>
          <w:rFonts w:ascii="Times New Roman" w:hAnsi="Times New Roman" w:cs="Times New Roman"/>
        </w:rPr>
        <w:t>In this event, the exclusion would have to remain in place until the condition of democratic accountability were fulfilled, requiring ongoing monitoring by EU institutions and involvement of the C</w:t>
      </w:r>
      <w:r w:rsidR="00EF6B39" w:rsidRPr="00226C37">
        <w:rPr>
          <w:rFonts w:ascii="Times New Roman" w:hAnsi="Times New Roman" w:cs="Times New Roman"/>
        </w:rPr>
        <w:t>JEU</w:t>
      </w:r>
      <w:r w:rsidR="00C03281" w:rsidRPr="00226C37">
        <w:rPr>
          <w:rFonts w:ascii="Times New Roman" w:hAnsi="Times New Roman" w:cs="Times New Roman"/>
        </w:rPr>
        <w:t>. Moreover, if the C</w:t>
      </w:r>
      <w:r w:rsidR="00EF6B39" w:rsidRPr="00226C37">
        <w:rPr>
          <w:rFonts w:ascii="Times New Roman" w:hAnsi="Times New Roman" w:cs="Times New Roman"/>
        </w:rPr>
        <w:t>JEU</w:t>
      </w:r>
      <w:r w:rsidR="00C03281" w:rsidRPr="00226C37">
        <w:rPr>
          <w:rFonts w:ascii="Times New Roman" w:hAnsi="Times New Roman" w:cs="Times New Roman"/>
        </w:rPr>
        <w:t xml:space="preserve"> were to accept the operative interpretation </w:t>
      </w:r>
      <w:r w:rsidR="00572D4B" w:rsidRPr="00226C37">
        <w:rPr>
          <w:rFonts w:ascii="Times New Roman" w:hAnsi="Times New Roman" w:cs="Times New Roman"/>
        </w:rPr>
        <w:t xml:space="preserve">and </w:t>
      </w:r>
      <w:proofErr w:type="spellStart"/>
      <w:r w:rsidR="00572D4B" w:rsidRPr="00226C37">
        <w:rPr>
          <w:rFonts w:ascii="Times New Roman" w:hAnsi="Times New Roman" w:cs="Times New Roman"/>
        </w:rPr>
        <w:t>instrumentisation</w:t>
      </w:r>
      <w:proofErr w:type="spellEnd"/>
      <w:r w:rsidR="00572D4B" w:rsidRPr="00226C37">
        <w:rPr>
          <w:rFonts w:ascii="Times New Roman" w:hAnsi="Times New Roman" w:cs="Times New Roman"/>
        </w:rPr>
        <w:t xml:space="preserve"> </w:t>
      </w:r>
      <w:r w:rsidR="00C03281" w:rsidRPr="00226C37">
        <w:rPr>
          <w:rFonts w:ascii="Times New Roman" w:hAnsi="Times New Roman" w:cs="Times New Roman"/>
        </w:rPr>
        <w:t xml:space="preserve">of </w:t>
      </w:r>
      <w:r w:rsidR="004D68C9">
        <w:rPr>
          <w:rFonts w:ascii="Times New Roman" w:hAnsi="Times New Roman" w:cs="Times New Roman"/>
        </w:rPr>
        <w:t>art.</w:t>
      </w:r>
      <w:r w:rsidR="00C03281" w:rsidRPr="00226C37">
        <w:rPr>
          <w:rFonts w:ascii="Times New Roman" w:hAnsi="Times New Roman" w:cs="Times New Roman"/>
        </w:rPr>
        <w:t xml:space="preserve"> 10(2) TEU, a determination that the democratic accountability criterion had not been violated would not preclude subsequent and frequent attempts at such challenges. </w:t>
      </w:r>
      <w:r w:rsidR="002819BB" w:rsidRPr="00226C37">
        <w:rPr>
          <w:rFonts w:ascii="Times New Roman" w:hAnsi="Times New Roman" w:cs="Times New Roman"/>
        </w:rPr>
        <w:t>Furthermore</w:t>
      </w:r>
      <w:r w:rsidR="00BE0E47" w:rsidRPr="00226C37">
        <w:rPr>
          <w:rFonts w:ascii="Times New Roman" w:hAnsi="Times New Roman" w:cs="Times New Roman"/>
        </w:rPr>
        <w:t>, the C</w:t>
      </w:r>
      <w:r w:rsidR="00D36DB3" w:rsidRPr="00226C37">
        <w:rPr>
          <w:rFonts w:ascii="Times New Roman" w:hAnsi="Times New Roman" w:cs="Times New Roman"/>
        </w:rPr>
        <w:t>JEU</w:t>
      </w:r>
      <w:r w:rsidR="00BE0E47" w:rsidRPr="00226C37">
        <w:rPr>
          <w:rFonts w:ascii="Times New Roman" w:hAnsi="Times New Roman" w:cs="Times New Roman"/>
        </w:rPr>
        <w:t xml:space="preserve"> could become involved in a ‘cat and mouse’ game with a Member State government if that government were to </w:t>
      </w:r>
      <w:r w:rsidR="002D1507" w:rsidRPr="00226C37">
        <w:rPr>
          <w:rFonts w:ascii="Times New Roman" w:hAnsi="Times New Roman" w:cs="Times New Roman"/>
        </w:rPr>
        <w:t>repeal and re-enact problematic national measures.</w:t>
      </w:r>
      <w:r w:rsidR="002D1507" w:rsidRPr="00226C37">
        <w:rPr>
          <w:rStyle w:val="FootnoteReference"/>
          <w:rFonts w:ascii="Times New Roman" w:hAnsi="Times New Roman" w:cs="Times New Roman"/>
        </w:rPr>
        <w:footnoteReference w:id="64"/>
      </w:r>
      <w:r w:rsidR="002D1507" w:rsidRPr="00226C37">
        <w:rPr>
          <w:rFonts w:ascii="Times New Roman" w:hAnsi="Times New Roman" w:cs="Times New Roman"/>
        </w:rPr>
        <w:t xml:space="preserve"> </w:t>
      </w:r>
    </w:p>
    <w:p w14:paraId="4C037E38" w14:textId="6D28DEA5" w:rsidR="00290725" w:rsidRPr="00226C37" w:rsidRDefault="002D1507" w:rsidP="00D93CFF">
      <w:pPr>
        <w:jc w:val="both"/>
        <w:rPr>
          <w:rFonts w:ascii="Times New Roman" w:hAnsi="Times New Roman" w:cs="Times New Roman"/>
        </w:rPr>
      </w:pPr>
      <w:r w:rsidRPr="00226C37">
        <w:rPr>
          <w:rFonts w:ascii="Times New Roman" w:hAnsi="Times New Roman" w:cs="Times New Roman"/>
        </w:rPr>
        <w:lastRenderedPageBreak/>
        <w:t xml:space="preserve">The seriousness of the </w:t>
      </w:r>
      <w:r w:rsidR="00572D4B" w:rsidRPr="00226C37">
        <w:rPr>
          <w:rFonts w:ascii="Times New Roman" w:hAnsi="Times New Roman" w:cs="Times New Roman"/>
        </w:rPr>
        <w:t xml:space="preserve">above </w:t>
      </w:r>
      <w:r w:rsidRPr="00226C37">
        <w:rPr>
          <w:rFonts w:ascii="Times New Roman" w:hAnsi="Times New Roman" w:cs="Times New Roman"/>
        </w:rPr>
        <w:t xml:space="preserve">objections should not be underestimated. </w:t>
      </w:r>
      <w:r w:rsidR="00FC5F2B" w:rsidRPr="00226C37">
        <w:rPr>
          <w:rFonts w:ascii="Times New Roman" w:hAnsi="Times New Roman" w:cs="Times New Roman"/>
        </w:rPr>
        <w:t xml:space="preserve">However, establishing a set of minimal criteria that would have to be satisfied for the second sentence of </w:t>
      </w:r>
      <w:r w:rsidR="004D68C9">
        <w:rPr>
          <w:rFonts w:ascii="Times New Roman" w:hAnsi="Times New Roman" w:cs="Times New Roman"/>
        </w:rPr>
        <w:t xml:space="preserve">art. </w:t>
      </w:r>
      <w:r w:rsidR="00FC5F2B" w:rsidRPr="00226C37">
        <w:rPr>
          <w:rFonts w:ascii="Times New Roman" w:hAnsi="Times New Roman" w:cs="Times New Roman"/>
        </w:rPr>
        <w:t xml:space="preserve">10(2) TEU </w:t>
      </w:r>
      <w:r w:rsidR="00740BD5" w:rsidRPr="00226C37">
        <w:rPr>
          <w:rFonts w:ascii="Times New Roman" w:hAnsi="Times New Roman" w:cs="Times New Roman"/>
        </w:rPr>
        <w:t xml:space="preserve">to be fulfilled </w:t>
      </w:r>
      <w:r w:rsidR="00FC5F2B" w:rsidRPr="00226C37">
        <w:rPr>
          <w:rFonts w:ascii="Times New Roman" w:hAnsi="Times New Roman" w:cs="Times New Roman"/>
        </w:rPr>
        <w:t xml:space="preserve">is not insurmountable. </w:t>
      </w:r>
      <w:r w:rsidR="001B3D9B" w:rsidRPr="00226C37">
        <w:rPr>
          <w:rFonts w:ascii="Times New Roman" w:hAnsi="Times New Roman" w:cs="Times New Roman"/>
        </w:rPr>
        <w:t>With regards to</w:t>
      </w:r>
      <w:r w:rsidR="004F0E7E" w:rsidRPr="00226C37">
        <w:rPr>
          <w:rFonts w:ascii="Times New Roman" w:hAnsi="Times New Roman" w:cs="Times New Roman"/>
        </w:rPr>
        <w:t xml:space="preserve"> European Parliament</w:t>
      </w:r>
      <w:r w:rsidR="001B3D9B" w:rsidRPr="00226C37">
        <w:rPr>
          <w:rFonts w:ascii="Times New Roman" w:hAnsi="Times New Roman" w:cs="Times New Roman"/>
        </w:rPr>
        <w:t xml:space="preserve"> elections</w:t>
      </w:r>
      <w:r w:rsidR="004F0E7E" w:rsidRPr="00226C37">
        <w:rPr>
          <w:rFonts w:ascii="Times New Roman" w:hAnsi="Times New Roman" w:cs="Times New Roman"/>
        </w:rPr>
        <w:t>, EU law already establishes some basic ground rules with which Member States must comply.</w:t>
      </w:r>
      <w:r w:rsidR="0001393A" w:rsidRPr="00226C37">
        <w:rPr>
          <w:rFonts w:ascii="Times New Roman" w:hAnsi="Times New Roman" w:cs="Times New Roman"/>
        </w:rPr>
        <w:t xml:space="preserve"> </w:t>
      </w:r>
      <w:r w:rsidR="001B3D9B" w:rsidRPr="00226C37">
        <w:rPr>
          <w:rFonts w:ascii="Times New Roman" w:hAnsi="Times New Roman" w:cs="Times New Roman"/>
        </w:rPr>
        <w:t>Moreover, i</w:t>
      </w:r>
      <w:r w:rsidR="00FC5F2B" w:rsidRPr="00226C37">
        <w:rPr>
          <w:rFonts w:ascii="Times New Roman" w:hAnsi="Times New Roman" w:cs="Times New Roman"/>
        </w:rPr>
        <w:t>n the context of</w:t>
      </w:r>
      <w:r w:rsidR="004D68C9">
        <w:rPr>
          <w:rFonts w:ascii="Times New Roman" w:hAnsi="Times New Roman" w:cs="Times New Roman"/>
        </w:rPr>
        <w:t xml:space="preserve"> art.</w:t>
      </w:r>
      <w:r w:rsidR="00FC5F2B" w:rsidRPr="00226C37">
        <w:rPr>
          <w:rFonts w:ascii="Times New Roman" w:hAnsi="Times New Roman" w:cs="Times New Roman"/>
        </w:rPr>
        <w:t xml:space="preserve"> 49 TEU, the EU has established the Copenhagen criteria to adjudge a candidate state’s compliance with </w:t>
      </w:r>
      <w:r w:rsidR="004D68C9">
        <w:rPr>
          <w:rFonts w:ascii="Times New Roman" w:hAnsi="Times New Roman" w:cs="Times New Roman"/>
        </w:rPr>
        <w:t>art.</w:t>
      </w:r>
      <w:r w:rsidR="00FC5F2B" w:rsidRPr="00226C37">
        <w:rPr>
          <w:rFonts w:ascii="Times New Roman" w:hAnsi="Times New Roman" w:cs="Times New Roman"/>
        </w:rPr>
        <w:t xml:space="preserve"> 2 TEU values.</w:t>
      </w:r>
      <w:r w:rsidR="00F41494" w:rsidRPr="00226C37">
        <w:rPr>
          <w:rFonts w:ascii="Times New Roman" w:hAnsi="Times New Roman" w:cs="Times New Roman"/>
        </w:rPr>
        <w:t xml:space="preserve"> </w:t>
      </w:r>
      <w:r w:rsidR="001B3D9B" w:rsidRPr="00226C37">
        <w:rPr>
          <w:rFonts w:ascii="Times New Roman" w:hAnsi="Times New Roman" w:cs="Times New Roman"/>
        </w:rPr>
        <w:t>It</w:t>
      </w:r>
      <w:r w:rsidR="00FC5F2B" w:rsidRPr="00226C37">
        <w:rPr>
          <w:rFonts w:ascii="Times New Roman" w:hAnsi="Times New Roman" w:cs="Times New Roman"/>
        </w:rPr>
        <w:t xml:space="preserve"> should be recalled that the </w:t>
      </w:r>
      <w:r w:rsidR="00EF6B39" w:rsidRPr="00226C37">
        <w:rPr>
          <w:rFonts w:ascii="Times New Roman" w:hAnsi="Times New Roman" w:cs="Times New Roman"/>
        </w:rPr>
        <w:t>ECJ</w:t>
      </w:r>
      <w:r w:rsidR="00FC5F2B" w:rsidRPr="00226C37">
        <w:rPr>
          <w:rFonts w:ascii="Times New Roman" w:hAnsi="Times New Roman" w:cs="Times New Roman"/>
        </w:rPr>
        <w:t xml:space="preserve"> has recently utilised </w:t>
      </w:r>
      <w:r w:rsidR="004D68C9">
        <w:rPr>
          <w:rFonts w:ascii="Times New Roman" w:hAnsi="Times New Roman" w:cs="Times New Roman"/>
        </w:rPr>
        <w:t>art.</w:t>
      </w:r>
      <w:r w:rsidR="00FC5F2B" w:rsidRPr="00226C37">
        <w:rPr>
          <w:rFonts w:ascii="Times New Roman" w:hAnsi="Times New Roman" w:cs="Times New Roman"/>
        </w:rPr>
        <w:t xml:space="preserve"> 49 TEU </w:t>
      </w:r>
      <w:r w:rsidR="00DD514D" w:rsidRPr="00226C37">
        <w:rPr>
          <w:rFonts w:ascii="Times New Roman" w:hAnsi="Times New Roman" w:cs="Times New Roman"/>
        </w:rPr>
        <w:t xml:space="preserve">along </w:t>
      </w:r>
      <w:r w:rsidR="004D68C9">
        <w:rPr>
          <w:rFonts w:ascii="Times New Roman" w:hAnsi="Times New Roman" w:cs="Times New Roman"/>
        </w:rPr>
        <w:t>with art.</w:t>
      </w:r>
      <w:r w:rsidR="00DD514D" w:rsidRPr="00226C37">
        <w:rPr>
          <w:rFonts w:ascii="Times New Roman" w:hAnsi="Times New Roman" w:cs="Times New Roman"/>
        </w:rPr>
        <w:t xml:space="preserve"> 2 TEU to establish, in the context of </w:t>
      </w:r>
      <w:r w:rsidR="00DE2B81" w:rsidRPr="00226C37">
        <w:rPr>
          <w:rFonts w:ascii="Times New Roman" w:hAnsi="Times New Roman" w:cs="Times New Roman"/>
        </w:rPr>
        <w:t>judicial independence</w:t>
      </w:r>
      <w:r w:rsidR="004D68C9">
        <w:rPr>
          <w:rFonts w:ascii="Times New Roman" w:hAnsi="Times New Roman" w:cs="Times New Roman"/>
        </w:rPr>
        <w:t xml:space="preserve">, </w:t>
      </w:r>
      <w:r w:rsidR="00DD514D" w:rsidRPr="00226C37">
        <w:rPr>
          <w:rFonts w:ascii="Times New Roman" w:hAnsi="Times New Roman" w:cs="Times New Roman"/>
        </w:rPr>
        <w:t>a non-regression doctrine.</w:t>
      </w:r>
      <w:r w:rsidR="004F0E7E" w:rsidRPr="00226C37">
        <w:rPr>
          <w:rStyle w:val="FootnoteReference"/>
          <w:rFonts w:ascii="Times New Roman" w:hAnsi="Times New Roman" w:cs="Times New Roman"/>
        </w:rPr>
        <w:footnoteReference w:id="65"/>
      </w:r>
      <w:r w:rsidR="00DD514D" w:rsidRPr="00226C37">
        <w:rPr>
          <w:rFonts w:ascii="Times New Roman" w:hAnsi="Times New Roman" w:cs="Times New Roman"/>
        </w:rPr>
        <w:t xml:space="preserve"> </w:t>
      </w:r>
      <w:r w:rsidR="00DE2B81" w:rsidRPr="00226C37">
        <w:rPr>
          <w:rFonts w:ascii="Times New Roman" w:hAnsi="Times New Roman" w:cs="Times New Roman"/>
        </w:rPr>
        <w:t>The Court has also enumerated a number of conditions that must be fulfilled</w:t>
      </w:r>
      <w:r w:rsidR="004F29E5" w:rsidRPr="00226C37">
        <w:rPr>
          <w:rFonts w:ascii="Times New Roman" w:hAnsi="Times New Roman" w:cs="Times New Roman"/>
        </w:rPr>
        <w:t xml:space="preserve"> </w:t>
      </w:r>
      <w:r w:rsidR="00DE2B81" w:rsidRPr="00226C37">
        <w:rPr>
          <w:rFonts w:ascii="Times New Roman" w:hAnsi="Times New Roman" w:cs="Times New Roman"/>
        </w:rPr>
        <w:t xml:space="preserve">in order for national judicial appointments to be in accordance with </w:t>
      </w:r>
      <w:r w:rsidR="004D68C9">
        <w:rPr>
          <w:rFonts w:ascii="Times New Roman" w:hAnsi="Times New Roman" w:cs="Times New Roman"/>
        </w:rPr>
        <w:t>art.</w:t>
      </w:r>
      <w:r w:rsidR="00DE2B81" w:rsidRPr="00226C37">
        <w:rPr>
          <w:rFonts w:ascii="Times New Roman" w:hAnsi="Times New Roman" w:cs="Times New Roman"/>
        </w:rPr>
        <w:t xml:space="preserve"> 19 TEU.</w:t>
      </w:r>
      <w:r w:rsidR="00F41494" w:rsidRPr="00226C37">
        <w:rPr>
          <w:rStyle w:val="FootnoteReference"/>
          <w:rFonts w:ascii="Times New Roman" w:hAnsi="Times New Roman" w:cs="Times New Roman"/>
        </w:rPr>
        <w:footnoteReference w:id="66"/>
      </w:r>
      <w:r w:rsidR="00DE2B81" w:rsidRPr="00226C37">
        <w:rPr>
          <w:rFonts w:ascii="Times New Roman" w:hAnsi="Times New Roman" w:cs="Times New Roman"/>
        </w:rPr>
        <w:t xml:space="preserve"> </w:t>
      </w:r>
      <w:r w:rsidR="00DD514D" w:rsidRPr="00226C37">
        <w:rPr>
          <w:rFonts w:ascii="Times New Roman" w:hAnsi="Times New Roman" w:cs="Times New Roman"/>
        </w:rPr>
        <w:t>Although the Copenhagen criteria</w:t>
      </w:r>
      <w:r w:rsidR="004F6C8B" w:rsidRPr="00226C37">
        <w:rPr>
          <w:rFonts w:ascii="Times New Roman" w:hAnsi="Times New Roman" w:cs="Times New Roman"/>
        </w:rPr>
        <w:t>, or their application,</w:t>
      </w:r>
      <w:r w:rsidR="00DD514D" w:rsidRPr="00226C37">
        <w:rPr>
          <w:rFonts w:ascii="Times New Roman" w:hAnsi="Times New Roman" w:cs="Times New Roman"/>
        </w:rPr>
        <w:t xml:space="preserve"> have been subjected to criticism</w:t>
      </w:r>
      <w:r w:rsidR="004F6C8B" w:rsidRPr="00226C37">
        <w:rPr>
          <w:rFonts w:ascii="Times New Roman" w:hAnsi="Times New Roman" w:cs="Times New Roman"/>
        </w:rPr>
        <w:t xml:space="preserve"> as a means of ensuring quality of democracy</w:t>
      </w:r>
      <w:r w:rsidR="00DD514D" w:rsidRPr="00226C37">
        <w:rPr>
          <w:rFonts w:ascii="Times New Roman" w:hAnsi="Times New Roman" w:cs="Times New Roman"/>
        </w:rPr>
        <w:t>,</w:t>
      </w:r>
      <w:r w:rsidR="00F41494" w:rsidRPr="00226C37">
        <w:rPr>
          <w:rStyle w:val="FootnoteReference"/>
          <w:rFonts w:ascii="Times New Roman" w:hAnsi="Times New Roman" w:cs="Times New Roman"/>
        </w:rPr>
        <w:footnoteReference w:id="67"/>
      </w:r>
      <w:r w:rsidR="00DD514D" w:rsidRPr="00226C37">
        <w:rPr>
          <w:rFonts w:ascii="Times New Roman" w:hAnsi="Times New Roman" w:cs="Times New Roman"/>
        </w:rPr>
        <w:t xml:space="preserve"> they </w:t>
      </w:r>
      <w:r w:rsidR="00666894" w:rsidRPr="00226C37">
        <w:rPr>
          <w:rFonts w:ascii="Times New Roman" w:hAnsi="Times New Roman" w:cs="Times New Roman"/>
        </w:rPr>
        <w:t>nevertheless</w:t>
      </w:r>
      <w:r w:rsidR="00290725" w:rsidRPr="00226C37">
        <w:rPr>
          <w:rFonts w:ascii="Times New Roman" w:hAnsi="Times New Roman" w:cs="Times New Roman"/>
        </w:rPr>
        <w:t xml:space="preserve"> suggest that if ascertaining the quality of a state’s democratic structures and monitoring same on an ongoing basis is possible prior to assession, there should</w:t>
      </w:r>
      <w:r w:rsidR="004F0E7E" w:rsidRPr="00226C37">
        <w:rPr>
          <w:rFonts w:ascii="Times New Roman" w:hAnsi="Times New Roman" w:cs="Times New Roman"/>
        </w:rPr>
        <w:t xml:space="preserve"> </w:t>
      </w:r>
      <w:r w:rsidR="00290725" w:rsidRPr="00226C37">
        <w:rPr>
          <w:rFonts w:ascii="Times New Roman" w:hAnsi="Times New Roman" w:cs="Times New Roman"/>
        </w:rPr>
        <w:t xml:space="preserve">be little practical reason as to why such an exercise </w:t>
      </w:r>
      <w:r w:rsidR="00FB25CB" w:rsidRPr="00226C37">
        <w:rPr>
          <w:rFonts w:ascii="Times New Roman" w:hAnsi="Times New Roman" w:cs="Times New Roman"/>
        </w:rPr>
        <w:t>is</w:t>
      </w:r>
      <w:r w:rsidR="00290725" w:rsidRPr="00226C37">
        <w:rPr>
          <w:rFonts w:ascii="Times New Roman" w:hAnsi="Times New Roman" w:cs="Times New Roman"/>
        </w:rPr>
        <w:t xml:space="preserve"> not possible post</w:t>
      </w:r>
      <w:r w:rsidR="001B3D9B" w:rsidRPr="00226C37">
        <w:rPr>
          <w:rFonts w:ascii="Times New Roman" w:hAnsi="Times New Roman" w:cs="Times New Roman"/>
        </w:rPr>
        <w:t xml:space="preserve"> </w:t>
      </w:r>
      <w:r w:rsidR="00290725" w:rsidRPr="00226C37">
        <w:rPr>
          <w:rFonts w:ascii="Times New Roman" w:hAnsi="Times New Roman" w:cs="Times New Roman"/>
        </w:rPr>
        <w:t>accession</w:t>
      </w:r>
      <w:r w:rsidR="004F4409" w:rsidRPr="00226C37">
        <w:rPr>
          <w:rFonts w:ascii="Times New Roman" w:hAnsi="Times New Roman" w:cs="Times New Roman"/>
        </w:rPr>
        <w:t>.</w:t>
      </w:r>
      <w:r w:rsidR="00EF5021" w:rsidRPr="00226C37">
        <w:rPr>
          <w:rStyle w:val="FootnoteReference"/>
          <w:rFonts w:ascii="Times New Roman" w:hAnsi="Times New Roman" w:cs="Times New Roman"/>
        </w:rPr>
        <w:footnoteReference w:id="68"/>
      </w:r>
      <w:r w:rsidR="00290725" w:rsidRPr="00226C37">
        <w:rPr>
          <w:rFonts w:ascii="Times New Roman" w:hAnsi="Times New Roman" w:cs="Times New Roman"/>
        </w:rPr>
        <w:t xml:space="preserve"> </w:t>
      </w:r>
      <w:r w:rsidR="004F29E5" w:rsidRPr="00226C37">
        <w:rPr>
          <w:rFonts w:ascii="Times New Roman" w:hAnsi="Times New Roman" w:cs="Times New Roman"/>
        </w:rPr>
        <w:t>Moreover, the problem of assessing judicial independence at national level</w:t>
      </w:r>
      <w:r w:rsidR="004F0E7E" w:rsidRPr="00226C37">
        <w:rPr>
          <w:rFonts w:ascii="Times New Roman" w:hAnsi="Times New Roman" w:cs="Times New Roman"/>
        </w:rPr>
        <w:t>,</w:t>
      </w:r>
      <w:r w:rsidR="004F29E5" w:rsidRPr="00226C37">
        <w:rPr>
          <w:rFonts w:ascii="Times New Roman" w:hAnsi="Times New Roman" w:cs="Times New Roman"/>
        </w:rPr>
        <w:t xml:space="preserve"> and possibly being called upon to adjudicate upon it on an ongoing basis</w:t>
      </w:r>
      <w:r w:rsidR="004F0E7E" w:rsidRPr="00226C37">
        <w:rPr>
          <w:rFonts w:ascii="Times New Roman" w:hAnsi="Times New Roman" w:cs="Times New Roman"/>
        </w:rPr>
        <w:t>,</w:t>
      </w:r>
      <w:r w:rsidR="004F29E5" w:rsidRPr="00226C37">
        <w:rPr>
          <w:rFonts w:ascii="Times New Roman" w:hAnsi="Times New Roman" w:cs="Times New Roman"/>
        </w:rPr>
        <w:t xml:space="preserve"> did not dissuade the </w:t>
      </w:r>
      <w:r w:rsidR="00384294" w:rsidRPr="00226C37">
        <w:rPr>
          <w:rFonts w:ascii="Times New Roman" w:hAnsi="Times New Roman" w:cs="Times New Roman"/>
        </w:rPr>
        <w:t>ECJ</w:t>
      </w:r>
      <w:r w:rsidR="004F29E5" w:rsidRPr="00226C37">
        <w:rPr>
          <w:rFonts w:ascii="Times New Roman" w:hAnsi="Times New Roman" w:cs="Times New Roman"/>
        </w:rPr>
        <w:t xml:space="preserve"> from </w:t>
      </w:r>
      <w:r w:rsidR="00197488" w:rsidRPr="00226C37">
        <w:rPr>
          <w:rFonts w:ascii="Times New Roman" w:hAnsi="Times New Roman" w:cs="Times New Roman"/>
        </w:rPr>
        <w:t xml:space="preserve">taking upon itself this task in </w:t>
      </w:r>
      <w:r w:rsidR="00F41494" w:rsidRPr="00226C37">
        <w:rPr>
          <w:rFonts w:ascii="Times New Roman" w:hAnsi="Times New Roman" w:cs="Times New Roman"/>
        </w:rPr>
        <w:t xml:space="preserve">the </w:t>
      </w:r>
      <w:r w:rsidR="00F41494" w:rsidRPr="00226C37">
        <w:rPr>
          <w:rFonts w:ascii="Times New Roman" w:hAnsi="Times New Roman" w:cs="Times New Roman"/>
          <w:i/>
          <w:iCs/>
        </w:rPr>
        <w:t>Portuguese Judges</w:t>
      </w:r>
      <w:r w:rsidR="00F41494" w:rsidRPr="00226C37">
        <w:rPr>
          <w:rFonts w:ascii="Times New Roman" w:hAnsi="Times New Roman" w:cs="Times New Roman"/>
        </w:rPr>
        <w:t xml:space="preserve"> ruling</w:t>
      </w:r>
      <w:r w:rsidR="00197488" w:rsidRPr="00226C37">
        <w:rPr>
          <w:rFonts w:ascii="Times New Roman" w:hAnsi="Times New Roman" w:cs="Times New Roman"/>
        </w:rPr>
        <w:t>.</w:t>
      </w:r>
      <w:r w:rsidR="00F41494" w:rsidRPr="00226C37">
        <w:rPr>
          <w:rStyle w:val="FootnoteReference"/>
          <w:rFonts w:ascii="Times New Roman" w:hAnsi="Times New Roman" w:cs="Times New Roman"/>
        </w:rPr>
        <w:footnoteReference w:id="69"/>
      </w:r>
      <w:r w:rsidR="00197488" w:rsidRPr="00226C37">
        <w:rPr>
          <w:rFonts w:ascii="Times New Roman" w:hAnsi="Times New Roman" w:cs="Times New Roman"/>
        </w:rPr>
        <w:t xml:space="preserve"> </w:t>
      </w:r>
      <w:r w:rsidR="002819BB" w:rsidRPr="00226C37">
        <w:rPr>
          <w:rFonts w:ascii="Times New Roman" w:hAnsi="Times New Roman" w:cs="Times New Roman"/>
        </w:rPr>
        <w:t>Furthermore</w:t>
      </w:r>
      <w:r w:rsidR="00197488" w:rsidRPr="00226C37">
        <w:rPr>
          <w:rFonts w:ascii="Times New Roman" w:hAnsi="Times New Roman" w:cs="Times New Roman"/>
        </w:rPr>
        <w:t xml:space="preserve">, while the problems of defining democratic accountability and monitoring it are considerable, they are not so significant that they should deter entirely the </w:t>
      </w:r>
      <w:proofErr w:type="spellStart"/>
      <w:r w:rsidR="00197488" w:rsidRPr="00226C37">
        <w:rPr>
          <w:rFonts w:ascii="Times New Roman" w:hAnsi="Times New Roman" w:cs="Times New Roman"/>
        </w:rPr>
        <w:t>instrumentalisation</w:t>
      </w:r>
      <w:proofErr w:type="spellEnd"/>
      <w:r w:rsidR="00197488" w:rsidRPr="00226C37">
        <w:rPr>
          <w:rFonts w:ascii="Times New Roman" w:hAnsi="Times New Roman" w:cs="Times New Roman"/>
        </w:rPr>
        <w:t xml:space="preserve"> of </w:t>
      </w:r>
      <w:r w:rsidR="004D68C9">
        <w:rPr>
          <w:rFonts w:ascii="Times New Roman" w:hAnsi="Times New Roman" w:cs="Times New Roman"/>
        </w:rPr>
        <w:t>art.</w:t>
      </w:r>
      <w:r w:rsidR="00197488" w:rsidRPr="00226C37">
        <w:rPr>
          <w:rFonts w:ascii="Times New Roman" w:hAnsi="Times New Roman" w:cs="Times New Roman"/>
        </w:rPr>
        <w:t xml:space="preserve"> 10 TEU. Indeed, to accept such reasoning in a context where there </w:t>
      </w:r>
      <w:proofErr w:type="gramStart"/>
      <w:r w:rsidR="00197488" w:rsidRPr="00226C37">
        <w:rPr>
          <w:rFonts w:ascii="Times New Roman" w:hAnsi="Times New Roman" w:cs="Times New Roman"/>
        </w:rPr>
        <w:t>were</w:t>
      </w:r>
      <w:proofErr w:type="gramEnd"/>
      <w:r w:rsidR="00197488" w:rsidRPr="00226C37">
        <w:rPr>
          <w:rFonts w:ascii="Times New Roman" w:hAnsi="Times New Roman" w:cs="Times New Roman"/>
        </w:rPr>
        <w:t xml:space="preserve"> no prospect of </w:t>
      </w:r>
      <w:r w:rsidR="004D68C9">
        <w:rPr>
          <w:rFonts w:ascii="Times New Roman" w:hAnsi="Times New Roman" w:cs="Times New Roman"/>
        </w:rPr>
        <w:t>art.</w:t>
      </w:r>
      <w:r w:rsidR="00197488" w:rsidRPr="00226C37">
        <w:rPr>
          <w:rFonts w:ascii="Times New Roman" w:hAnsi="Times New Roman" w:cs="Times New Roman"/>
        </w:rPr>
        <w:t xml:space="preserve"> 7 TEU being invoked or of any other mechanism in the EU’s rule-of-law toolkit being successful, would ultimately be constitutionally defeatist</w:t>
      </w:r>
      <w:r w:rsidR="004F4409" w:rsidRPr="00226C37">
        <w:rPr>
          <w:rFonts w:ascii="Times New Roman" w:hAnsi="Times New Roman" w:cs="Times New Roman"/>
        </w:rPr>
        <w:t xml:space="preserve">, and amount to </w:t>
      </w:r>
      <w:r w:rsidR="00197488" w:rsidRPr="00226C37">
        <w:rPr>
          <w:rFonts w:ascii="Times New Roman" w:hAnsi="Times New Roman" w:cs="Times New Roman"/>
        </w:rPr>
        <w:t>an admission that EU law permits representatives of</w:t>
      </w:r>
      <w:r w:rsidR="00655D9F" w:rsidRPr="00226C37">
        <w:rPr>
          <w:rFonts w:ascii="Times New Roman" w:hAnsi="Times New Roman" w:cs="Times New Roman"/>
        </w:rPr>
        <w:t xml:space="preserve"> undemocratic</w:t>
      </w:r>
      <w:r w:rsidR="00197488" w:rsidRPr="00226C37">
        <w:rPr>
          <w:rFonts w:ascii="Times New Roman" w:hAnsi="Times New Roman" w:cs="Times New Roman"/>
        </w:rPr>
        <w:t xml:space="preserve"> Member States to take their place </w:t>
      </w:r>
      <w:r w:rsidR="004F4409" w:rsidRPr="00226C37">
        <w:rPr>
          <w:rFonts w:ascii="Times New Roman" w:hAnsi="Times New Roman" w:cs="Times New Roman"/>
        </w:rPr>
        <w:t>in</w:t>
      </w:r>
      <w:r w:rsidR="00197488" w:rsidRPr="00226C37">
        <w:rPr>
          <w:rFonts w:ascii="Times New Roman" w:hAnsi="Times New Roman" w:cs="Times New Roman"/>
        </w:rPr>
        <w:t xml:space="preserve"> the EU’s most powerful institutions</w:t>
      </w:r>
      <w:r w:rsidR="002635B7" w:rsidRPr="00226C37">
        <w:rPr>
          <w:rFonts w:ascii="Times New Roman" w:hAnsi="Times New Roman" w:cs="Times New Roman"/>
        </w:rPr>
        <w:t>. It is suggested that such a reading</w:t>
      </w:r>
      <w:r w:rsidR="00197488" w:rsidRPr="00226C37">
        <w:rPr>
          <w:rFonts w:ascii="Times New Roman" w:hAnsi="Times New Roman" w:cs="Times New Roman"/>
        </w:rPr>
        <w:t xml:space="preserve"> be reconciled with </w:t>
      </w:r>
      <w:r w:rsidR="00655D9F" w:rsidRPr="00226C37">
        <w:rPr>
          <w:rFonts w:ascii="Times New Roman" w:hAnsi="Times New Roman" w:cs="Times New Roman"/>
        </w:rPr>
        <w:t xml:space="preserve">the </w:t>
      </w:r>
      <w:r w:rsidR="004D68C9">
        <w:rPr>
          <w:rFonts w:ascii="Times New Roman" w:hAnsi="Times New Roman" w:cs="Times New Roman"/>
        </w:rPr>
        <w:t>art.</w:t>
      </w:r>
      <w:r w:rsidR="00197488" w:rsidRPr="00226C37">
        <w:rPr>
          <w:rFonts w:ascii="Times New Roman" w:hAnsi="Times New Roman" w:cs="Times New Roman"/>
        </w:rPr>
        <w:t xml:space="preserve"> 2 TEU </w:t>
      </w:r>
      <w:r w:rsidR="00655D9F" w:rsidRPr="00226C37">
        <w:rPr>
          <w:rFonts w:ascii="Times New Roman" w:hAnsi="Times New Roman" w:cs="Times New Roman"/>
        </w:rPr>
        <w:t xml:space="preserve">democratic value </w:t>
      </w:r>
      <w:r w:rsidR="00197488" w:rsidRPr="00226C37">
        <w:rPr>
          <w:rFonts w:ascii="Times New Roman" w:hAnsi="Times New Roman" w:cs="Times New Roman"/>
        </w:rPr>
        <w:t xml:space="preserve">or </w:t>
      </w:r>
      <w:r w:rsidR="00751D7F" w:rsidRPr="00226C37">
        <w:rPr>
          <w:rFonts w:ascii="Times New Roman" w:hAnsi="Times New Roman" w:cs="Times New Roman"/>
        </w:rPr>
        <w:t xml:space="preserve">with </w:t>
      </w:r>
      <w:r w:rsidR="004D68C9">
        <w:rPr>
          <w:rFonts w:ascii="Times New Roman" w:hAnsi="Times New Roman" w:cs="Times New Roman"/>
        </w:rPr>
        <w:t>art.</w:t>
      </w:r>
      <w:r w:rsidR="00197488" w:rsidRPr="00226C37">
        <w:rPr>
          <w:rFonts w:ascii="Times New Roman" w:hAnsi="Times New Roman" w:cs="Times New Roman"/>
        </w:rPr>
        <w:t xml:space="preserve"> 10</w:t>
      </w:r>
      <w:r w:rsidR="00F41494" w:rsidRPr="00226C37">
        <w:rPr>
          <w:rFonts w:ascii="Times New Roman" w:hAnsi="Times New Roman" w:cs="Times New Roman"/>
        </w:rPr>
        <w:t xml:space="preserve"> </w:t>
      </w:r>
      <w:r w:rsidR="00197488" w:rsidRPr="00226C37">
        <w:rPr>
          <w:rFonts w:ascii="Times New Roman" w:hAnsi="Times New Roman" w:cs="Times New Roman"/>
        </w:rPr>
        <w:t>TEU</w:t>
      </w:r>
      <w:r w:rsidR="00751D7F" w:rsidRPr="00226C37">
        <w:rPr>
          <w:rFonts w:ascii="Times New Roman" w:hAnsi="Times New Roman" w:cs="Times New Roman"/>
        </w:rPr>
        <w:t>,</w:t>
      </w:r>
      <w:r w:rsidR="00655D9F" w:rsidRPr="00226C37">
        <w:rPr>
          <w:rFonts w:ascii="Times New Roman" w:hAnsi="Times New Roman" w:cs="Times New Roman"/>
        </w:rPr>
        <w:t xml:space="preserve"> </w:t>
      </w:r>
      <w:r w:rsidR="00751D7F" w:rsidRPr="00226C37">
        <w:rPr>
          <w:rFonts w:ascii="Times New Roman" w:hAnsi="Times New Roman" w:cs="Times New Roman"/>
        </w:rPr>
        <w:t>that value’s</w:t>
      </w:r>
      <w:r w:rsidR="00655D9F" w:rsidRPr="00226C37">
        <w:rPr>
          <w:rFonts w:ascii="Times New Roman" w:hAnsi="Times New Roman" w:cs="Times New Roman"/>
        </w:rPr>
        <w:t xml:space="preserve"> concrete form</w:t>
      </w:r>
      <w:r w:rsidR="00197488" w:rsidRPr="00226C37">
        <w:rPr>
          <w:rFonts w:ascii="Times New Roman" w:hAnsi="Times New Roman" w:cs="Times New Roman"/>
        </w:rPr>
        <w:t xml:space="preserve">. </w:t>
      </w:r>
    </w:p>
    <w:p w14:paraId="4BFCED0F" w14:textId="411F3DD4" w:rsidR="00D93CFF" w:rsidRPr="00226C37" w:rsidRDefault="00D93CFF" w:rsidP="00D93CFF">
      <w:pPr>
        <w:jc w:val="both"/>
        <w:rPr>
          <w:rFonts w:ascii="Times New Roman" w:hAnsi="Times New Roman" w:cs="Times New Roman"/>
          <w:i/>
          <w:iCs/>
        </w:rPr>
      </w:pPr>
    </w:p>
    <w:p w14:paraId="6693BEA3" w14:textId="43247E62" w:rsidR="00D93CFF" w:rsidRPr="00226C37" w:rsidRDefault="00703535" w:rsidP="00D93CFF">
      <w:pPr>
        <w:jc w:val="both"/>
        <w:rPr>
          <w:rFonts w:ascii="Times New Roman" w:hAnsi="Times New Roman" w:cs="Times New Roman"/>
          <w:i/>
          <w:iCs/>
        </w:rPr>
      </w:pPr>
      <w:r w:rsidRPr="00226C37">
        <w:rPr>
          <w:rFonts w:ascii="Times New Roman" w:hAnsi="Times New Roman" w:cs="Times New Roman"/>
          <w:i/>
          <w:iCs/>
        </w:rPr>
        <w:t>Legal Certainty</w:t>
      </w:r>
    </w:p>
    <w:p w14:paraId="5DDDE130" w14:textId="2414DB63" w:rsidR="009B3ECA" w:rsidRPr="00226C37" w:rsidRDefault="009B3ECA" w:rsidP="00D93CFF">
      <w:pPr>
        <w:jc w:val="both"/>
        <w:rPr>
          <w:rFonts w:ascii="Times New Roman" w:hAnsi="Times New Roman" w:cs="Times New Roman"/>
          <w:i/>
          <w:iCs/>
        </w:rPr>
      </w:pPr>
    </w:p>
    <w:p w14:paraId="4F311C7C" w14:textId="534CD3CB" w:rsidR="009B3ECA" w:rsidRPr="00226C37" w:rsidRDefault="00045CB6" w:rsidP="00D93CFF">
      <w:pPr>
        <w:jc w:val="both"/>
        <w:rPr>
          <w:rFonts w:ascii="Times New Roman" w:hAnsi="Times New Roman" w:cs="Times New Roman"/>
        </w:rPr>
      </w:pPr>
      <w:r w:rsidRPr="00226C37">
        <w:rPr>
          <w:rFonts w:ascii="Times New Roman" w:hAnsi="Times New Roman" w:cs="Times New Roman"/>
        </w:rPr>
        <w:t>A</w:t>
      </w:r>
      <w:r w:rsidR="00BF346B" w:rsidRPr="00226C37">
        <w:rPr>
          <w:rFonts w:ascii="Times New Roman" w:hAnsi="Times New Roman" w:cs="Times New Roman"/>
        </w:rPr>
        <w:t xml:space="preserve"> successful </w:t>
      </w:r>
      <w:proofErr w:type="spellStart"/>
      <w:r w:rsidR="00BF346B" w:rsidRPr="00226C37">
        <w:rPr>
          <w:rFonts w:ascii="Times New Roman" w:hAnsi="Times New Roman" w:cs="Times New Roman"/>
        </w:rPr>
        <w:t>instrumentalisation</w:t>
      </w:r>
      <w:proofErr w:type="spellEnd"/>
      <w:r w:rsidR="00BF346B" w:rsidRPr="00226C37">
        <w:rPr>
          <w:rFonts w:ascii="Times New Roman" w:hAnsi="Times New Roman" w:cs="Times New Roman"/>
        </w:rPr>
        <w:t xml:space="preserve"> of the operative interpretation of </w:t>
      </w:r>
      <w:r w:rsidR="004D68C9">
        <w:rPr>
          <w:rFonts w:ascii="Times New Roman" w:hAnsi="Times New Roman" w:cs="Times New Roman"/>
        </w:rPr>
        <w:t>art.</w:t>
      </w:r>
      <w:r w:rsidR="00BF346B" w:rsidRPr="00226C37">
        <w:rPr>
          <w:rFonts w:ascii="Times New Roman" w:hAnsi="Times New Roman" w:cs="Times New Roman"/>
        </w:rPr>
        <w:t xml:space="preserve"> 10(2) TEU would have obvious consequences in terms of legal certainty.</w:t>
      </w:r>
      <w:r w:rsidR="00F06480" w:rsidRPr="00226C37">
        <w:rPr>
          <w:rStyle w:val="FootnoteReference"/>
          <w:rFonts w:ascii="Times New Roman" w:hAnsi="Times New Roman" w:cs="Times New Roman"/>
        </w:rPr>
        <w:footnoteReference w:id="70"/>
      </w:r>
      <w:r w:rsidR="00BF346B" w:rsidRPr="00226C37">
        <w:rPr>
          <w:rFonts w:ascii="Times New Roman" w:hAnsi="Times New Roman" w:cs="Times New Roman"/>
        </w:rPr>
        <w:t xml:space="preserve"> In the event that </w:t>
      </w:r>
      <w:r w:rsidR="004D68C9">
        <w:rPr>
          <w:rFonts w:ascii="Times New Roman" w:hAnsi="Times New Roman" w:cs="Times New Roman"/>
        </w:rPr>
        <w:t>art.</w:t>
      </w:r>
      <w:r w:rsidR="00BF346B" w:rsidRPr="00226C37">
        <w:rPr>
          <w:rFonts w:ascii="Times New Roman" w:hAnsi="Times New Roman" w:cs="Times New Roman"/>
        </w:rPr>
        <w:t xml:space="preserve"> 10 TEU were to be used by the European Council or the Council to take practical measures to exclude Member State representatives, the legality of measures adopted by that composition of the relevant institution would be unclear until </w:t>
      </w:r>
      <w:r w:rsidRPr="00226C37">
        <w:rPr>
          <w:rFonts w:ascii="Times New Roman" w:hAnsi="Times New Roman" w:cs="Times New Roman"/>
        </w:rPr>
        <w:t xml:space="preserve">judicial </w:t>
      </w:r>
      <w:r w:rsidR="00BF346B" w:rsidRPr="00226C37">
        <w:rPr>
          <w:rFonts w:ascii="Times New Roman" w:hAnsi="Times New Roman" w:cs="Times New Roman"/>
        </w:rPr>
        <w:t>determination of the question.</w:t>
      </w:r>
      <w:r w:rsidR="00C517DF" w:rsidRPr="00226C37">
        <w:rPr>
          <w:rFonts w:ascii="Times New Roman" w:hAnsi="Times New Roman" w:cs="Times New Roman"/>
        </w:rPr>
        <w:t xml:space="preserve"> </w:t>
      </w:r>
      <w:r w:rsidR="00BF346B" w:rsidRPr="00226C37">
        <w:rPr>
          <w:rFonts w:ascii="Times New Roman" w:hAnsi="Times New Roman" w:cs="Times New Roman"/>
        </w:rPr>
        <w:t xml:space="preserve">In circumstances where the European Council or the Council failed </w:t>
      </w:r>
      <w:r w:rsidRPr="00226C37">
        <w:rPr>
          <w:rFonts w:ascii="Times New Roman" w:hAnsi="Times New Roman" w:cs="Times New Roman"/>
        </w:rPr>
        <w:t>to</w:t>
      </w:r>
      <w:r w:rsidR="00BF346B" w:rsidRPr="00226C37">
        <w:rPr>
          <w:rFonts w:ascii="Times New Roman" w:hAnsi="Times New Roman" w:cs="Times New Roman"/>
        </w:rPr>
        <w:t xml:space="preserve"> take measures to exclude a Member State’s representatives, there would again be uncertainty as to the validity of acts adopted by the </w:t>
      </w:r>
      <w:r w:rsidRPr="00226C37">
        <w:rPr>
          <w:rFonts w:ascii="Times New Roman" w:hAnsi="Times New Roman" w:cs="Times New Roman"/>
        </w:rPr>
        <w:t xml:space="preserve">relevant </w:t>
      </w:r>
      <w:r w:rsidR="00BF346B" w:rsidRPr="00226C37">
        <w:rPr>
          <w:rFonts w:ascii="Times New Roman" w:hAnsi="Times New Roman" w:cs="Times New Roman"/>
        </w:rPr>
        <w:t xml:space="preserve">institution. </w:t>
      </w:r>
      <w:r w:rsidR="00C939F5" w:rsidRPr="00226C37">
        <w:rPr>
          <w:rFonts w:ascii="Times New Roman" w:hAnsi="Times New Roman" w:cs="Times New Roman"/>
        </w:rPr>
        <w:t>Legal uncertainty would also be heightened if it were determined that a Member State government were no longer democratically accountable</w:t>
      </w:r>
      <w:r w:rsidRPr="00226C37">
        <w:rPr>
          <w:rFonts w:ascii="Times New Roman" w:hAnsi="Times New Roman" w:cs="Times New Roman"/>
        </w:rPr>
        <w:t>, as</w:t>
      </w:r>
      <w:r w:rsidR="00C939F5" w:rsidRPr="00226C37">
        <w:rPr>
          <w:rFonts w:ascii="Times New Roman" w:hAnsi="Times New Roman" w:cs="Times New Roman"/>
        </w:rPr>
        <w:t xml:space="preserve"> a determination would </w:t>
      </w:r>
      <w:r w:rsidRPr="00226C37">
        <w:rPr>
          <w:rFonts w:ascii="Times New Roman" w:hAnsi="Times New Roman" w:cs="Times New Roman"/>
        </w:rPr>
        <w:t>be required</w:t>
      </w:r>
      <w:r w:rsidR="00C939F5" w:rsidRPr="00226C37">
        <w:rPr>
          <w:rFonts w:ascii="Times New Roman" w:hAnsi="Times New Roman" w:cs="Times New Roman"/>
        </w:rPr>
        <w:t xml:space="preserve"> as to when that </w:t>
      </w:r>
      <w:proofErr w:type="gramStart"/>
      <w:r w:rsidR="00C939F5" w:rsidRPr="00226C37">
        <w:rPr>
          <w:rFonts w:ascii="Times New Roman" w:hAnsi="Times New Roman" w:cs="Times New Roman"/>
        </w:rPr>
        <w:t xml:space="preserve">state </w:t>
      </w:r>
      <w:r w:rsidR="004F4409" w:rsidRPr="00226C37">
        <w:rPr>
          <w:rFonts w:ascii="Times New Roman" w:hAnsi="Times New Roman" w:cs="Times New Roman"/>
        </w:rPr>
        <w:t xml:space="preserve">of </w:t>
      </w:r>
      <w:r w:rsidR="00C939F5" w:rsidRPr="00226C37">
        <w:rPr>
          <w:rFonts w:ascii="Times New Roman" w:hAnsi="Times New Roman" w:cs="Times New Roman"/>
        </w:rPr>
        <w:t>affairs</w:t>
      </w:r>
      <w:proofErr w:type="gramEnd"/>
      <w:r w:rsidR="00C939F5" w:rsidRPr="00226C37">
        <w:rPr>
          <w:rFonts w:ascii="Times New Roman" w:hAnsi="Times New Roman" w:cs="Times New Roman"/>
        </w:rPr>
        <w:t xml:space="preserve"> began and at what point it would end. This problem would </w:t>
      </w:r>
      <w:r w:rsidR="005132A1" w:rsidRPr="00226C37">
        <w:rPr>
          <w:rFonts w:ascii="Times New Roman" w:hAnsi="Times New Roman" w:cs="Times New Roman"/>
        </w:rPr>
        <w:t xml:space="preserve">be </w:t>
      </w:r>
      <w:r w:rsidR="00C939F5" w:rsidRPr="00226C37">
        <w:rPr>
          <w:rFonts w:ascii="Times New Roman" w:hAnsi="Times New Roman" w:cs="Times New Roman"/>
        </w:rPr>
        <w:t>exacerbated if a Member State played a ‘cat</w:t>
      </w:r>
      <w:r w:rsidRPr="00226C37">
        <w:rPr>
          <w:rFonts w:ascii="Times New Roman" w:hAnsi="Times New Roman" w:cs="Times New Roman"/>
        </w:rPr>
        <w:t xml:space="preserve"> </w:t>
      </w:r>
      <w:r w:rsidR="00C939F5" w:rsidRPr="00226C37">
        <w:rPr>
          <w:rFonts w:ascii="Times New Roman" w:hAnsi="Times New Roman" w:cs="Times New Roman"/>
        </w:rPr>
        <w:t>and mouse’ game with whatever definition of democratic accountability the C</w:t>
      </w:r>
      <w:r w:rsidR="00EF6B39" w:rsidRPr="00226C37">
        <w:rPr>
          <w:rFonts w:ascii="Times New Roman" w:hAnsi="Times New Roman" w:cs="Times New Roman"/>
        </w:rPr>
        <w:t>JEU</w:t>
      </w:r>
      <w:r w:rsidR="00C939F5" w:rsidRPr="00226C37">
        <w:rPr>
          <w:rFonts w:ascii="Times New Roman" w:hAnsi="Times New Roman" w:cs="Times New Roman"/>
        </w:rPr>
        <w:t xml:space="preserve"> settled upon. As with the problem of defining and monitoring democratic accountability discussed above, this is a significant </w:t>
      </w:r>
      <w:r w:rsidR="005132A1" w:rsidRPr="00226C37">
        <w:rPr>
          <w:rFonts w:ascii="Times New Roman" w:hAnsi="Times New Roman" w:cs="Times New Roman"/>
        </w:rPr>
        <w:t xml:space="preserve">drawback of </w:t>
      </w:r>
      <w:r w:rsidRPr="00226C37">
        <w:rPr>
          <w:rFonts w:ascii="Times New Roman" w:hAnsi="Times New Roman" w:cs="Times New Roman"/>
        </w:rPr>
        <w:t xml:space="preserve">instrumentalising </w:t>
      </w:r>
      <w:r w:rsidR="004D68C9">
        <w:rPr>
          <w:rFonts w:ascii="Times New Roman" w:hAnsi="Times New Roman" w:cs="Times New Roman"/>
        </w:rPr>
        <w:t>art.</w:t>
      </w:r>
      <w:r w:rsidR="005132A1" w:rsidRPr="00226C37">
        <w:rPr>
          <w:rFonts w:ascii="Times New Roman" w:hAnsi="Times New Roman" w:cs="Times New Roman"/>
        </w:rPr>
        <w:t xml:space="preserve"> 10</w:t>
      </w:r>
      <w:r w:rsidRPr="00226C37">
        <w:rPr>
          <w:rFonts w:ascii="Times New Roman" w:hAnsi="Times New Roman" w:cs="Times New Roman"/>
        </w:rPr>
        <w:t>(2)</w:t>
      </w:r>
      <w:r w:rsidR="005132A1" w:rsidRPr="00226C37">
        <w:rPr>
          <w:rFonts w:ascii="Times New Roman" w:hAnsi="Times New Roman" w:cs="Times New Roman"/>
        </w:rPr>
        <w:t xml:space="preserve"> TEU</w:t>
      </w:r>
      <w:r w:rsidRPr="00226C37">
        <w:rPr>
          <w:rFonts w:ascii="Times New Roman" w:hAnsi="Times New Roman" w:cs="Times New Roman"/>
        </w:rPr>
        <w:t>.</w:t>
      </w:r>
      <w:r w:rsidR="005132A1" w:rsidRPr="00226C37">
        <w:rPr>
          <w:rFonts w:ascii="Times New Roman" w:hAnsi="Times New Roman" w:cs="Times New Roman"/>
        </w:rPr>
        <w:t xml:space="preserve"> </w:t>
      </w:r>
    </w:p>
    <w:p w14:paraId="364AAFAA" w14:textId="6A41CC85" w:rsidR="009B3ECA" w:rsidRPr="00226C37" w:rsidRDefault="009B3ECA" w:rsidP="00D93CFF">
      <w:pPr>
        <w:jc w:val="both"/>
        <w:rPr>
          <w:rFonts w:ascii="Times New Roman" w:hAnsi="Times New Roman" w:cs="Times New Roman"/>
        </w:rPr>
      </w:pPr>
    </w:p>
    <w:p w14:paraId="794FFA42" w14:textId="2EA97702" w:rsidR="009B3ECA" w:rsidRPr="00226C37" w:rsidRDefault="000806B0" w:rsidP="00D93CFF">
      <w:pPr>
        <w:jc w:val="both"/>
        <w:rPr>
          <w:rFonts w:ascii="Times New Roman" w:hAnsi="Times New Roman" w:cs="Times New Roman"/>
        </w:rPr>
      </w:pPr>
      <w:r w:rsidRPr="00226C37">
        <w:rPr>
          <w:rFonts w:ascii="Times New Roman" w:hAnsi="Times New Roman" w:cs="Times New Roman"/>
        </w:rPr>
        <w:t>The problem of legal uncertainty is not one that can be avoided completely, though the C</w:t>
      </w:r>
      <w:r w:rsidR="00EF6B39" w:rsidRPr="00226C37">
        <w:rPr>
          <w:rFonts w:ascii="Times New Roman" w:hAnsi="Times New Roman" w:cs="Times New Roman"/>
        </w:rPr>
        <w:t>JEU</w:t>
      </w:r>
      <w:r w:rsidRPr="00226C37">
        <w:rPr>
          <w:rFonts w:ascii="Times New Roman" w:hAnsi="Times New Roman" w:cs="Times New Roman"/>
        </w:rPr>
        <w:t xml:space="preserve"> could</w:t>
      </w:r>
      <w:r w:rsidR="00F06480" w:rsidRPr="00226C37">
        <w:rPr>
          <w:rFonts w:ascii="Times New Roman" w:hAnsi="Times New Roman" w:cs="Times New Roman"/>
        </w:rPr>
        <w:t xml:space="preserve"> </w:t>
      </w:r>
      <w:r w:rsidRPr="00226C37">
        <w:rPr>
          <w:rFonts w:ascii="Times New Roman" w:hAnsi="Times New Roman" w:cs="Times New Roman"/>
        </w:rPr>
        <w:t xml:space="preserve">mitigate some if its impact </w:t>
      </w:r>
      <w:r w:rsidR="007E65A4">
        <w:rPr>
          <w:rFonts w:ascii="Times New Roman" w:hAnsi="Times New Roman" w:cs="Times New Roman"/>
        </w:rPr>
        <w:t>by limiting the retrospective effect of its judgment</w:t>
      </w:r>
      <w:r w:rsidRPr="00226C37">
        <w:rPr>
          <w:rFonts w:ascii="Times New Roman" w:hAnsi="Times New Roman" w:cs="Times New Roman"/>
        </w:rPr>
        <w:t xml:space="preserve">, </w:t>
      </w:r>
      <w:r w:rsidR="00F06480" w:rsidRPr="00226C37">
        <w:rPr>
          <w:rFonts w:ascii="Times New Roman" w:hAnsi="Times New Roman" w:cs="Times New Roman"/>
        </w:rPr>
        <w:t xml:space="preserve">as well as </w:t>
      </w:r>
      <w:r w:rsidR="007E65A4">
        <w:rPr>
          <w:rFonts w:ascii="Times New Roman" w:hAnsi="Times New Roman" w:cs="Times New Roman"/>
        </w:rPr>
        <w:t xml:space="preserve">through </w:t>
      </w:r>
      <w:r w:rsidR="004D68C9">
        <w:rPr>
          <w:rFonts w:ascii="Times New Roman" w:hAnsi="Times New Roman" w:cs="Times New Roman"/>
        </w:rPr>
        <w:t>art.</w:t>
      </w:r>
      <w:r w:rsidRPr="00226C37">
        <w:rPr>
          <w:rFonts w:ascii="Times New Roman" w:hAnsi="Times New Roman" w:cs="Times New Roman"/>
        </w:rPr>
        <w:t xml:space="preserve"> 278 TFEU</w:t>
      </w:r>
      <w:r w:rsidR="00F06480" w:rsidRPr="00226C37">
        <w:rPr>
          <w:rFonts w:ascii="Times New Roman" w:hAnsi="Times New Roman" w:cs="Times New Roman"/>
        </w:rPr>
        <w:t xml:space="preserve"> </w:t>
      </w:r>
      <w:r w:rsidRPr="00226C37">
        <w:rPr>
          <w:rFonts w:ascii="Times New Roman" w:hAnsi="Times New Roman" w:cs="Times New Roman"/>
        </w:rPr>
        <w:t xml:space="preserve">and interim measures under </w:t>
      </w:r>
      <w:r w:rsidR="004D68C9">
        <w:rPr>
          <w:rFonts w:ascii="Times New Roman" w:hAnsi="Times New Roman" w:cs="Times New Roman"/>
        </w:rPr>
        <w:t>art.</w:t>
      </w:r>
      <w:r w:rsidRPr="00226C37">
        <w:rPr>
          <w:rFonts w:ascii="Times New Roman" w:hAnsi="Times New Roman" w:cs="Times New Roman"/>
        </w:rPr>
        <w:t xml:space="preserve"> 279 TFEU. Moreover, as argued previously, the issue of potential legal uncertainty is not one that should displace </w:t>
      </w:r>
      <w:r w:rsidR="00C517DF" w:rsidRPr="00226C37">
        <w:rPr>
          <w:rFonts w:ascii="Times New Roman" w:hAnsi="Times New Roman" w:cs="Times New Roman"/>
        </w:rPr>
        <w:t>the principle that the EU must function</w:t>
      </w:r>
      <w:r w:rsidRPr="00226C37">
        <w:rPr>
          <w:rFonts w:ascii="Times New Roman" w:hAnsi="Times New Roman" w:cs="Times New Roman"/>
        </w:rPr>
        <w:t xml:space="preserve"> as a representative</w:t>
      </w:r>
      <w:r w:rsidR="00C517DF" w:rsidRPr="00226C37">
        <w:rPr>
          <w:rFonts w:ascii="Times New Roman" w:hAnsi="Times New Roman" w:cs="Times New Roman"/>
        </w:rPr>
        <w:t xml:space="preserve"> democracy</w:t>
      </w:r>
      <w:r w:rsidR="007F5F27" w:rsidRPr="00226C37">
        <w:rPr>
          <w:rFonts w:ascii="Times New Roman" w:hAnsi="Times New Roman" w:cs="Times New Roman"/>
        </w:rPr>
        <w:t>.</w:t>
      </w:r>
    </w:p>
    <w:p w14:paraId="637C842B" w14:textId="3AE7454E" w:rsidR="00703535" w:rsidRPr="00226C37" w:rsidRDefault="00703535" w:rsidP="00D93CFF">
      <w:pPr>
        <w:jc w:val="both"/>
        <w:rPr>
          <w:rFonts w:ascii="Times New Roman" w:hAnsi="Times New Roman" w:cs="Times New Roman"/>
        </w:rPr>
      </w:pPr>
    </w:p>
    <w:p w14:paraId="555A9973" w14:textId="072AE5E1" w:rsidR="00703535" w:rsidRPr="00226C37" w:rsidRDefault="00703535" w:rsidP="00D93CFF">
      <w:pPr>
        <w:jc w:val="both"/>
        <w:rPr>
          <w:rFonts w:ascii="Times New Roman" w:hAnsi="Times New Roman" w:cs="Times New Roman"/>
          <w:i/>
          <w:iCs/>
        </w:rPr>
      </w:pPr>
      <w:r w:rsidRPr="00226C37">
        <w:rPr>
          <w:rFonts w:ascii="Times New Roman" w:hAnsi="Times New Roman" w:cs="Times New Roman"/>
          <w:i/>
          <w:iCs/>
        </w:rPr>
        <w:lastRenderedPageBreak/>
        <w:t>Effectiveness</w:t>
      </w:r>
    </w:p>
    <w:p w14:paraId="09488CD6" w14:textId="3F4F96F4" w:rsidR="00F64E9D" w:rsidRPr="00226C37" w:rsidRDefault="00F64E9D" w:rsidP="00D93CFF">
      <w:pPr>
        <w:jc w:val="both"/>
        <w:rPr>
          <w:rFonts w:ascii="Times New Roman" w:hAnsi="Times New Roman" w:cs="Times New Roman"/>
          <w:i/>
          <w:iCs/>
        </w:rPr>
      </w:pPr>
    </w:p>
    <w:p w14:paraId="3340EB6B" w14:textId="26DBFD07" w:rsidR="007250B0" w:rsidRPr="00226C37" w:rsidRDefault="000806B0" w:rsidP="00D93CFF">
      <w:pPr>
        <w:jc w:val="both"/>
        <w:rPr>
          <w:rFonts w:ascii="Times New Roman" w:hAnsi="Times New Roman" w:cs="Times New Roman"/>
        </w:rPr>
      </w:pPr>
      <w:r w:rsidRPr="00226C37">
        <w:rPr>
          <w:rFonts w:ascii="Times New Roman" w:hAnsi="Times New Roman" w:cs="Times New Roman"/>
        </w:rPr>
        <w:t xml:space="preserve">There are </w:t>
      </w:r>
      <w:r w:rsidR="00273245" w:rsidRPr="00226C37">
        <w:rPr>
          <w:rFonts w:ascii="Times New Roman" w:hAnsi="Times New Roman" w:cs="Times New Roman"/>
        </w:rPr>
        <w:t>several</w:t>
      </w:r>
      <w:r w:rsidRPr="00226C37">
        <w:rPr>
          <w:rFonts w:ascii="Times New Roman" w:hAnsi="Times New Roman" w:cs="Times New Roman"/>
        </w:rPr>
        <w:t xml:space="preserve"> arguments that may be advanced to assert that </w:t>
      </w:r>
      <w:r w:rsidR="00E83EC9" w:rsidRPr="00226C37">
        <w:rPr>
          <w:rFonts w:ascii="Times New Roman" w:hAnsi="Times New Roman" w:cs="Times New Roman"/>
        </w:rPr>
        <w:t xml:space="preserve">an operative interpretation and </w:t>
      </w:r>
      <w:proofErr w:type="spellStart"/>
      <w:r w:rsidR="00E83EC9" w:rsidRPr="00226C37">
        <w:rPr>
          <w:rFonts w:ascii="Times New Roman" w:hAnsi="Times New Roman" w:cs="Times New Roman"/>
        </w:rPr>
        <w:t>instrumentalisation</w:t>
      </w:r>
      <w:proofErr w:type="spellEnd"/>
      <w:r w:rsidRPr="00226C37">
        <w:rPr>
          <w:rFonts w:ascii="Times New Roman" w:hAnsi="Times New Roman" w:cs="Times New Roman"/>
        </w:rPr>
        <w:t xml:space="preserve"> of </w:t>
      </w:r>
      <w:r w:rsidR="004D68C9">
        <w:rPr>
          <w:rFonts w:ascii="Times New Roman" w:hAnsi="Times New Roman" w:cs="Times New Roman"/>
        </w:rPr>
        <w:t>art.</w:t>
      </w:r>
      <w:r w:rsidRPr="00226C37">
        <w:rPr>
          <w:rFonts w:ascii="Times New Roman" w:hAnsi="Times New Roman" w:cs="Times New Roman"/>
        </w:rPr>
        <w:t xml:space="preserve"> 10 TEU would</w:t>
      </w:r>
      <w:r w:rsidR="00E83EC9" w:rsidRPr="00226C37">
        <w:rPr>
          <w:rFonts w:ascii="Times New Roman" w:hAnsi="Times New Roman" w:cs="Times New Roman"/>
        </w:rPr>
        <w:t xml:space="preserve"> </w:t>
      </w:r>
      <w:r w:rsidRPr="00226C37">
        <w:rPr>
          <w:rFonts w:ascii="Times New Roman" w:hAnsi="Times New Roman" w:cs="Times New Roman"/>
        </w:rPr>
        <w:t xml:space="preserve">be ineffective or even counterproductive. </w:t>
      </w:r>
    </w:p>
    <w:p w14:paraId="3EFA312B" w14:textId="77777777" w:rsidR="007250B0" w:rsidRPr="00226C37" w:rsidRDefault="007250B0" w:rsidP="00D93CFF">
      <w:pPr>
        <w:jc w:val="both"/>
        <w:rPr>
          <w:rFonts w:ascii="Times New Roman" w:hAnsi="Times New Roman" w:cs="Times New Roman"/>
        </w:rPr>
      </w:pPr>
    </w:p>
    <w:p w14:paraId="6B5EE4BB" w14:textId="580338BF" w:rsidR="00F64E9D" w:rsidRPr="00226C37" w:rsidRDefault="000806B0" w:rsidP="00D93CFF">
      <w:pPr>
        <w:jc w:val="both"/>
        <w:rPr>
          <w:rFonts w:ascii="Times New Roman" w:hAnsi="Times New Roman" w:cs="Times New Roman"/>
        </w:rPr>
      </w:pPr>
      <w:r w:rsidRPr="00226C37">
        <w:rPr>
          <w:rFonts w:ascii="Times New Roman" w:hAnsi="Times New Roman" w:cs="Times New Roman"/>
        </w:rPr>
        <w:t>First, it could be argued</w:t>
      </w:r>
      <w:r w:rsidR="00A20EDD" w:rsidRPr="00226C37">
        <w:rPr>
          <w:rFonts w:ascii="Times New Roman" w:hAnsi="Times New Roman" w:cs="Times New Roman"/>
        </w:rPr>
        <w:t xml:space="preserve"> that </w:t>
      </w:r>
      <w:r w:rsidRPr="00226C37">
        <w:rPr>
          <w:rFonts w:ascii="Times New Roman" w:hAnsi="Times New Roman" w:cs="Times New Roman"/>
        </w:rPr>
        <w:t xml:space="preserve">it is difficult to see how the exclusion of a Member State’s representatives from the European Council or the Council would bring about change in the conditions in the Member State. Indeed, one could go further and argue that such exclusion would lend credence to a victimisation trope being inculcated by the </w:t>
      </w:r>
      <w:r w:rsidR="007250B0" w:rsidRPr="00226C37">
        <w:rPr>
          <w:rFonts w:ascii="Times New Roman" w:hAnsi="Times New Roman" w:cs="Times New Roman"/>
        </w:rPr>
        <w:t xml:space="preserve">excluded </w:t>
      </w:r>
      <w:r w:rsidRPr="00226C37">
        <w:rPr>
          <w:rFonts w:ascii="Times New Roman" w:hAnsi="Times New Roman" w:cs="Times New Roman"/>
        </w:rPr>
        <w:t>Member State government</w:t>
      </w:r>
      <w:r w:rsidR="00085486" w:rsidRPr="00226C37">
        <w:rPr>
          <w:rFonts w:ascii="Times New Roman" w:hAnsi="Times New Roman" w:cs="Times New Roman"/>
        </w:rPr>
        <w:t>,</w:t>
      </w:r>
      <w:r w:rsidRPr="00226C37">
        <w:rPr>
          <w:rFonts w:ascii="Times New Roman" w:hAnsi="Times New Roman" w:cs="Times New Roman"/>
        </w:rPr>
        <w:t xml:space="preserve"> </w:t>
      </w:r>
      <w:r w:rsidR="007250B0" w:rsidRPr="00226C37">
        <w:rPr>
          <w:rFonts w:ascii="Times New Roman" w:hAnsi="Times New Roman" w:cs="Times New Roman"/>
        </w:rPr>
        <w:t>and could even lead to a diminution in the authority of EU law in that Member State.</w:t>
      </w:r>
      <w:r w:rsidR="00D94734" w:rsidRPr="00226C37">
        <w:rPr>
          <w:rStyle w:val="FootnoteReference"/>
          <w:rFonts w:ascii="Times New Roman" w:hAnsi="Times New Roman" w:cs="Times New Roman"/>
        </w:rPr>
        <w:footnoteReference w:id="71"/>
      </w:r>
      <w:r w:rsidR="007250B0" w:rsidRPr="00226C37">
        <w:rPr>
          <w:rFonts w:ascii="Times New Roman" w:hAnsi="Times New Roman" w:cs="Times New Roman"/>
        </w:rPr>
        <w:t xml:space="preserve"> It has even been suggested that utilisation of </w:t>
      </w:r>
      <w:r w:rsidR="004D68C9">
        <w:rPr>
          <w:rFonts w:ascii="Times New Roman" w:hAnsi="Times New Roman" w:cs="Times New Roman"/>
        </w:rPr>
        <w:t>art.</w:t>
      </w:r>
      <w:r w:rsidR="007250B0" w:rsidRPr="00226C37">
        <w:rPr>
          <w:rFonts w:ascii="Times New Roman" w:hAnsi="Times New Roman" w:cs="Times New Roman"/>
        </w:rPr>
        <w:t xml:space="preserve"> 10 TEU advocated in this paper would harm the EU’s credentials as a rule-of-law actor.</w:t>
      </w:r>
      <w:r w:rsidR="00D94734" w:rsidRPr="00226C37">
        <w:rPr>
          <w:rStyle w:val="FootnoteReference"/>
          <w:rFonts w:ascii="Times New Roman" w:hAnsi="Times New Roman" w:cs="Times New Roman"/>
        </w:rPr>
        <w:footnoteReference w:id="72"/>
      </w:r>
      <w:r w:rsidR="007250B0" w:rsidRPr="00226C37">
        <w:rPr>
          <w:rFonts w:ascii="Times New Roman" w:hAnsi="Times New Roman" w:cs="Times New Roman"/>
        </w:rPr>
        <w:t xml:space="preserve"> </w:t>
      </w:r>
      <w:r w:rsidR="00171749" w:rsidRPr="00226C37">
        <w:rPr>
          <w:rFonts w:ascii="Times New Roman" w:hAnsi="Times New Roman" w:cs="Times New Roman"/>
        </w:rPr>
        <w:t xml:space="preserve">These </w:t>
      </w:r>
      <w:r w:rsidR="007B614D" w:rsidRPr="00226C37">
        <w:rPr>
          <w:rFonts w:ascii="Times New Roman" w:hAnsi="Times New Roman" w:cs="Times New Roman"/>
        </w:rPr>
        <w:t>appear at first glance to be</w:t>
      </w:r>
      <w:r w:rsidR="00171749" w:rsidRPr="00226C37">
        <w:rPr>
          <w:rFonts w:ascii="Times New Roman" w:hAnsi="Times New Roman" w:cs="Times New Roman"/>
        </w:rPr>
        <w:t xml:space="preserve"> compelling arguments. However, in response, it must be emphasised again that the exclusion of Member State representatives from the European Council and the Council would be to ensure compliance with the principle that the EU functions as a representative democracy. Such an exclusion might o</w:t>
      </w:r>
      <w:r w:rsidR="00085486" w:rsidRPr="00226C37">
        <w:rPr>
          <w:rFonts w:ascii="Times New Roman" w:hAnsi="Times New Roman" w:cs="Times New Roman"/>
        </w:rPr>
        <w:t>r</w:t>
      </w:r>
      <w:r w:rsidR="00171749" w:rsidRPr="00226C37">
        <w:rPr>
          <w:rFonts w:ascii="Times New Roman" w:hAnsi="Times New Roman" w:cs="Times New Roman"/>
        </w:rPr>
        <w:t xml:space="preserve"> might not lead to a short-term or long-term improvement in the state of that Member State’s democracy. </w:t>
      </w:r>
      <w:r w:rsidR="002819BB" w:rsidRPr="00226C37">
        <w:rPr>
          <w:rFonts w:ascii="Times New Roman" w:hAnsi="Times New Roman" w:cs="Times New Roman"/>
        </w:rPr>
        <w:t>That</w:t>
      </w:r>
      <w:r w:rsidR="00171749" w:rsidRPr="00226C37">
        <w:rPr>
          <w:rFonts w:ascii="Times New Roman" w:hAnsi="Times New Roman" w:cs="Times New Roman"/>
        </w:rPr>
        <w:t xml:space="preserve"> is</w:t>
      </w:r>
      <w:r w:rsidR="002819BB" w:rsidRPr="00226C37">
        <w:rPr>
          <w:rFonts w:ascii="Times New Roman" w:hAnsi="Times New Roman" w:cs="Times New Roman"/>
        </w:rPr>
        <w:t>, however,</w:t>
      </w:r>
      <w:r w:rsidR="00171749" w:rsidRPr="00226C37">
        <w:rPr>
          <w:rFonts w:ascii="Times New Roman" w:hAnsi="Times New Roman" w:cs="Times New Roman"/>
        </w:rPr>
        <w:t xml:space="preserve"> not the primary purpose of exclusion, which is to prevent that Member State</w:t>
      </w:r>
      <w:r w:rsidR="00474A61" w:rsidRPr="00226C37">
        <w:rPr>
          <w:rFonts w:ascii="Times New Roman" w:hAnsi="Times New Roman" w:cs="Times New Roman"/>
        </w:rPr>
        <w:t xml:space="preserve"> presence in the European Council or the Council</w:t>
      </w:r>
      <w:r w:rsidR="00171749" w:rsidRPr="00226C37">
        <w:rPr>
          <w:rFonts w:ascii="Times New Roman" w:hAnsi="Times New Roman" w:cs="Times New Roman"/>
        </w:rPr>
        <w:t xml:space="preserve"> from jeopardising the EU’s</w:t>
      </w:r>
      <w:r w:rsidR="007B614D" w:rsidRPr="00226C37">
        <w:rPr>
          <w:rFonts w:ascii="Times New Roman" w:hAnsi="Times New Roman" w:cs="Times New Roman"/>
        </w:rPr>
        <w:t xml:space="preserve"> democracy</w:t>
      </w:r>
      <w:r w:rsidR="00171749" w:rsidRPr="00226C37">
        <w:rPr>
          <w:rFonts w:ascii="Times New Roman" w:hAnsi="Times New Roman" w:cs="Times New Roman"/>
        </w:rPr>
        <w:t>.</w:t>
      </w:r>
      <w:r w:rsidR="00747DDC" w:rsidRPr="00226C37">
        <w:rPr>
          <w:rStyle w:val="FootnoteReference"/>
          <w:rFonts w:ascii="Times New Roman" w:hAnsi="Times New Roman" w:cs="Times New Roman"/>
        </w:rPr>
        <w:footnoteReference w:id="73"/>
      </w:r>
      <w:r w:rsidR="00171749" w:rsidRPr="00226C37">
        <w:rPr>
          <w:rFonts w:ascii="Times New Roman" w:hAnsi="Times New Roman" w:cs="Times New Roman"/>
        </w:rPr>
        <w:t xml:space="preserve"> That exclusion of a Member State’s representatives might feed certain narratives should not take precedence over protection of the EU’s representative democracy. </w:t>
      </w:r>
      <w:r w:rsidR="007B614D" w:rsidRPr="00226C37">
        <w:rPr>
          <w:rFonts w:ascii="Times New Roman" w:hAnsi="Times New Roman" w:cs="Times New Roman"/>
        </w:rPr>
        <w:t xml:space="preserve">Concerns about the authority of EU law </w:t>
      </w:r>
      <w:r w:rsidR="00085486" w:rsidRPr="00226C37">
        <w:rPr>
          <w:rFonts w:ascii="Times New Roman" w:hAnsi="Times New Roman" w:cs="Times New Roman"/>
        </w:rPr>
        <w:t xml:space="preserve">being </w:t>
      </w:r>
      <w:r w:rsidR="007B614D" w:rsidRPr="00226C37">
        <w:rPr>
          <w:rFonts w:ascii="Times New Roman" w:hAnsi="Times New Roman" w:cs="Times New Roman"/>
        </w:rPr>
        <w:t>diminish</w:t>
      </w:r>
      <w:r w:rsidR="00085486" w:rsidRPr="00226C37">
        <w:rPr>
          <w:rFonts w:ascii="Times New Roman" w:hAnsi="Times New Roman" w:cs="Times New Roman"/>
        </w:rPr>
        <w:t>ed</w:t>
      </w:r>
      <w:r w:rsidR="007B614D" w:rsidRPr="00226C37">
        <w:rPr>
          <w:rFonts w:ascii="Times New Roman" w:hAnsi="Times New Roman" w:cs="Times New Roman"/>
        </w:rPr>
        <w:t xml:space="preserve"> in the Member State concerned would seem overstated, since if a Member State government has already reached the milestone of democratic unaccountability, the authority of EU law will very likely either by definition or in effect have been compromised. </w:t>
      </w:r>
      <w:r w:rsidR="00513944" w:rsidRPr="00226C37">
        <w:rPr>
          <w:rFonts w:ascii="Times New Roman" w:hAnsi="Times New Roman" w:cs="Times New Roman"/>
        </w:rPr>
        <w:t xml:space="preserve">Moreover, the assertion that instrumentalising </w:t>
      </w:r>
      <w:r w:rsidR="004D68C9">
        <w:rPr>
          <w:rFonts w:ascii="Times New Roman" w:hAnsi="Times New Roman" w:cs="Times New Roman"/>
        </w:rPr>
        <w:t>art.</w:t>
      </w:r>
      <w:r w:rsidR="00513944" w:rsidRPr="00226C37">
        <w:rPr>
          <w:rFonts w:ascii="Times New Roman" w:hAnsi="Times New Roman" w:cs="Times New Roman"/>
        </w:rPr>
        <w:t xml:space="preserve"> 10 TEU to exclude national representatives would harm the EU’s claims to be a rule-of-law actor also seems unfounded. If an operative interpretation of </w:t>
      </w:r>
      <w:r w:rsidR="004D68C9">
        <w:rPr>
          <w:rFonts w:ascii="Times New Roman" w:hAnsi="Times New Roman" w:cs="Times New Roman"/>
        </w:rPr>
        <w:t>art.</w:t>
      </w:r>
      <w:r w:rsidR="00513944" w:rsidRPr="00226C37">
        <w:rPr>
          <w:rFonts w:ascii="Times New Roman" w:hAnsi="Times New Roman" w:cs="Times New Roman"/>
        </w:rPr>
        <w:t xml:space="preserve"> 10(2) TEU is accepted, then that provision contains a legal condition that must be fulfilled for entitlement of a Member State to representation. In other words, it is a rule of law, and one which can ultimately be interpreted by the C</w:t>
      </w:r>
      <w:r w:rsidR="00D36DB3" w:rsidRPr="00226C37">
        <w:rPr>
          <w:rFonts w:ascii="Times New Roman" w:hAnsi="Times New Roman" w:cs="Times New Roman"/>
        </w:rPr>
        <w:t>JEU</w:t>
      </w:r>
      <w:r w:rsidR="00513944" w:rsidRPr="00226C37">
        <w:rPr>
          <w:rFonts w:ascii="Times New Roman" w:hAnsi="Times New Roman" w:cs="Times New Roman"/>
        </w:rPr>
        <w:t xml:space="preserve">. </w:t>
      </w:r>
      <w:r w:rsidR="00503D0F" w:rsidRPr="00226C37">
        <w:rPr>
          <w:rFonts w:ascii="Times New Roman" w:hAnsi="Times New Roman" w:cs="Times New Roman"/>
        </w:rPr>
        <w:t>Indeed</w:t>
      </w:r>
      <w:r w:rsidR="00513944" w:rsidRPr="00226C37">
        <w:rPr>
          <w:rFonts w:ascii="Times New Roman" w:hAnsi="Times New Roman" w:cs="Times New Roman"/>
        </w:rPr>
        <w:t xml:space="preserve">, any exclusion </w:t>
      </w:r>
      <w:r w:rsidR="00085486" w:rsidRPr="00226C37">
        <w:rPr>
          <w:rFonts w:ascii="Times New Roman" w:hAnsi="Times New Roman" w:cs="Times New Roman"/>
        </w:rPr>
        <w:t>based on</w:t>
      </w:r>
      <w:r w:rsidR="00513944" w:rsidRPr="00226C37">
        <w:rPr>
          <w:rFonts w:ascii="Times New Roman" w:hAnsi="Times New Roman" w:cs="Times New Roman"/>
        </w:rPr>
        <w:t xml:space="preserve"> </w:t>
      </w:r>
      <w:r w:rsidR="004D68C9">
        <w:rPr>
          <w:rFonts w:ascii="Times New Roman" w:hAnsi="Times New Roman" w:cs="Times New Roman"/>
        </w:rPr>
        <w:t>art.</w:t>
      </w:r>
      <w:r w:rsidR="00513944" w:rsidRPr="00226C37">
        <w:rPr>
          <w:rFonts w:ascii="Times New Roman" w:hAnsi="Times New Roman" w:cs="Times New Roman"/>
        </w:rPr>
        <w:t xml:space="preserve"> 10 TEU would be open to</w:t>
      </w:r>
      <w:r w:rsidR="00503D0F" w:rsidRPr="00226C37">
        <w:rPr>
          <w:rFonts w:ascii="Times New Roman" w:hAnsi="Times New Roman" w:cs="Times New Roman"/>
        </w:rPr>
        <w:t xml:space="preserve"> judicial</w:t>
      </w:r>
      <w:r w:rsidR="00513944" w:rsidRPr="00226C37">
        <w:rPr>
          <w:rFonts w:ascii="Times New Roman" w:hAnsi="Times New Roman" w:cs="Times New Roman"/>
        </w:rPr>
        <w:t xml:space="preserve"> review. </w:t>
      </w:r>
    </w:p>
    <w:p w14:paraId="04C4C200" w14:textId="0B533B7E" w:rsidR="00EB6D51" w:rsidRPr="00226C37" w:rsidRDefault="00EB6D51" w:rsidP="00D93CFF">
      <w:pPr>
        <w:jc w:val="both"/>
        <w:rPr>
          <w:rFonts w:ascii="Times New Roman" w:hAnsi="Times New Roman" w:cs="Times New Roman"/>
        </w:rPr>
      </w:pPr>
    </w:p>
    <w:p w14:paraId="131DFAD0" w14:textId="2EF2B8F4" w:rsidR="00EB6D51" w:rsidRPr="00226C37" w:rsidRDefault="00EB6D51" w:rsidP="00D93CFF">
      <w:pPr>
        <w:jc w:val="both"/>
        <w:rPr>
          <w:rFonts w:ascii="Times New Roman" w:hAnsi="Times New Roman" w:cs="Times New Roman"/>
        </w:rPr>
      </w:pPr>
      <w:r w:rsidRPr="00226C37">
        <w:rPr>
          <w:rFonts w:ascii="Times New Roman" w:hAnsi="Times New Roman" w:cs="Times New Roman"/>
        </w:rPr>
        <w:t xml:space="preserve">Secondly, it could be contended that all </w:t>
      </w:r>
      <w:proofErr w:type="spellStart"/>
      <w:r w:rsidRPr="00226C37">
        <w:rPr>
          <w:rFonts w:ascii="Times New Roman" w:hAnsi="Times New Roman" w:cs="Times New Roman"/>
        </w:rPr>
        <w:t>instrumentalisations</w:t>
      </w:r>
      <w:proofErr w:type="spellEnd"/>
      <w:r w:rsidRPr="00226C37">
        <w:rPr>
          <w:rFonts w:ascii="Times New Roman" w:hAnsi="Times New Roman" w:cs="Times New Roman"/>
        </w:rPr>
        <w:t xml:space="preserve"> of </w:t>
      </w:r>
      <w:r w:rsidR="004D68C9">
        <w:rPr>
          <w:rFonts w:ascii="Times New Roman" w:hAnsi="Times New Roman" w:cs="Times New Roman"/>
        </w:rPr>
        <w:t>art.</w:t>
      </w:r>
      <w:r w:rsidRPr="00226C37">
        <w:rPr>
          <w:rFonts w:ascii="Times New Roman" w:hAnsi="Times New Roman" w:cs="Times New Roman"/>
        </w:rPr>
        <w:t xml:space="preserve"> 10 TEU suggested in this paper will ultimately require judicial intervention, and that </w:t>
      </w:r>
      <w:r w:rsidR="001E7C9A" w:rsidRPr="00226C37">
        <w:rPr>
          <w:rFonts w:ascii="Times New Roman" w:hAnsi="Times New Roman" w:cs="Times New Roman"/>
        </w:rPr>
        <w:t>this</w:t>
      </w:r>
      <w:r w:rsidRPr="00226C37">
        <w:rPr>
          <w:rFonts w:ascii="Times New Roman" w:hAnsi="Times New Roman" w:cs="Times New Roman"/>
        </w:rPr>
        <w:t xml:space="preserve"> carries with it </w:t>
      </w:r>
      <w:r w:rsidR="007E0D99" w:rsidRPr="00226C37">
        <w:rPr>
          <w:rFonts w:ascii="Times New Roman" w:hAnsi="Times New Roman" w:cs="Times New Roman"/>
        </w:rPr>
        <w:t>significant</w:t>
      </w:r>
      <w:r w:rsidRPr="00226C37">
        <w:rPr>
          <w:rFonts w:ascii="Times New Roman" w:hAnsi="Times New Roman" w:cs="Times New Roman"/>
        </w:rPr>
        <w:t xml:space="preserve"> risks.</w:t>
      </w:r>
      <w:r w:rsidR="00194EDF" w:rsidRPr="00226C37">
        <w:rPr>
          <w:rFonts w:ascii="Times New Roman" w:hAnsi="Times New Roman" w:cs="Times New Roman"/>
        </w:rPr>
        <w:t xml:space="preserve"> </w:t>
      </w:r>
      <w:r w:rsidR="001B7DED" w:rsidRPr="00226C37">
        <w:rPr>
          <w:rFonts w:ascii="Times New Roman" w:hAnsi="Times New Roman" w:cs="Times New Roman"/>
        </w:rPr>
        <w:t>The weaknesses of judicial mechanisms in combatting democratic backsliding and rule-of-law violations have been identified elsewhere.</w:t>
      </w:r>
      <w:r w:rsidR="001B7DED" w:rsidRPr="00226C37">
        <w:rPr>
          <w:rStyle w:val="FootnoteReference"/>
          <w:rFonts w:ascii="Times New Roman" w:hAnsi="Times New Roman" w:cs="Times New Roman"/>
        </w:rPr>
        <w:footnoteReference w:id="74"/>
      </w:r>
      <w:r w:rsidR="001B7DED" w:rsidRPr="00226C37">
        <w:rPr>
          <w:rFonts w:ascii="Times New Roman" w:hAnsi="Times New Roman" w:cs="Times New Roman"/>
        </w:rPr>
        <w:t xml:space="preserve"> </w:t>
      </w:r>
      <w:r w:rsidR="00BF2E54" w:rsidRPr="00226C37">
        <w:rPr>
          <w:rFonts w:ascii="Times New Roman" w:hAnsi="Times New Roman" w:cs="Times New Roman"/>
        </w:rPr>
        <w:t xml:space="preserve">It has been suggested </w:t>
      </w:r>
      <w:r w:rsidR="00253478" w:rsidRPr="00226C37">
        <w:rPr>
          <w:rFonts w:ascii="Times New Roman" w:hAnsi="Times New Roman" w:cs="Times New Roman"/>
        </w:rPr>
        <w:t xml:space="preserve">by </w:t>
      </w:r>
      <w:proofErr w:type="spellStart"/>
      <w:r w:rsidR="00253478" w:rsidRPr="00226C37">
        <w:rPr>
          <w:rFonts w:ascii="Times New Roman" w:hAnsi="Times New Roman" w:cs="Times New Roman"/>
        </w:rPr>
        <w:t>Blauberger</w:t>
      </w:r>
      <w:proofErr w:type="spellEnd"/>
      <w:r w:rsidR="00253478" w:rsidRPr="00226C37">
        <w:rPr>
          <w:rFonts w:ascii="Times New Roman" w:hAnsi="Times New Roman" w:cs="Times New Roman"/>
        </w:rPr>
        <w:t xml:space="preserve"> and Kelemen </w:t>
      </w:r>
      <w:r w:rsidR="00BF2E54" w:rsidRPr="00226C37">
        <w:rPr>
          <w:rFonts w:ascii="Times New Roman" w:hAnsi="Times New Roman" w:cs="Times New Roman"/>
        </w:rPr>
        <w:t xml:space="preserve">that judicial approaches to confronting violations of </w:t>
      </w:r>
      <w:r w:rsidR="004D68C9">
        <w:rPr>
          <w:rFonts w:ascii="Times New Roman" w:hAnsi="Times New Roman" w:cs="Times New Roman"/>
        </w:rPr>
        <w:t xml:space="preserve">art. </w:t>
      </w:r>
      <w:r w:rsidR="00BF2E54" w:rsidRPr="00226C37">
        <w:rPr>
          <w:rFonts w:ascii="Times New Roman" w:hAnsi="Times New Roman" w:cs="Times New Roman"/>
        </w:rPr>
        <w:t>2 TEU values are likely to be frustrated by restricted access to justice in Member States flouting these values</w:t>
      </w:r>
      <w:r w:rsidR="00A70E3B" w:rsidRPr="00226C37">
        <w:rPr>
          <w:rFonts w:ascii="Times New Roman" w:hAnsi="Times New Roman" w:cs="Times New Roman"/>
        </w:rPr>
        <w:t xml:space="preserve">, </w:t>
      </w:r>
      <w:r w:rsidR="001E7C9A" w:rsidRPr="00226C37">
        <w:rPr>
          <w:rFonts w:ascii="Times New Roman" w:hAnsi="Times New Roman" w:cs="Times New Roman"/>
        </w:rPr>
        <w:t>even</w:t>
      </w:r>
      <w:r w:rsidR="00A70E3B" w:rsidRPr="00226C37">
        <w:rPr>
          <w:rFonts w:ascii="Times New Roman" w:hAnsi="Times New Roman" w:cs="Times New Roman"/>
        </w:rPr>
        <w:t xml:space="preserve"> in the context of </w:t>
      </w:r>
      <w:r w:rsidR="004D68C9">
        <w:rPr>
          <w:rFonts w:ascii="Times New Roman" w:hAnsi="Times New Roman" w:cs="Times New Roman"/>
        </w:rPr>
        <w:t>art.</w:t>
      </w:r>
      <w:r w:rsidR="00A70E3B" w:rsidRPr="00226C37">
        <w:rPr>
          <w:rFonts w:ascii="Times New Roman" w:hAnsi="Times New Roman" w:cs="Times New Roman"/>
        </w:rPr>
        <w:t xml:space="preserve"> 267 TFEU</w:t>
      </w:r>
      <w:r w:rsidR="00BF2E54" w:rsidRPr="00226C37">
        <w:rPr>
          <w:rFonts w:ascii="Times New Roman" w:hAnsi="Times New Roman" w:cs="Times New Roman"/>
        </w:rPr>
        <w:t>.</w:t>
      </w:r>
      <w:r w:rsidR="00892F6C" w:rsidRPr="00226C37">
        <w:rPr>
          <w:rStyle w:val="FootnoteReference"/>
          <w:rFonts w:ascii="Times New Roman" w:hAnsi="Times New Roman" w:cs="Times New Roman"/>
        </w:rPr>
        <w:footnoteReference w:id="75"/>
      </w:r>
      <w:r w:rsidR="00BF2E54" w:rsidRPr="00226C37">
        <w:rPr>
          <w:rFonts w:ascii="Times New Roman" w:hAnsi="Times New Roman" w:cs="Times New Roman"/>
        </w:rPr>
        <w:t xml:space="preserve"> </w:t>
      </w:r>
      <w:r w:rsidR="001B7DED" w:rsidRPr="00226C37">
        <w:rPr>
          <w:rFonts w:ascii="Times New Roman" w:hAnsi="Times New Roman" w:cs="Times New Roman"/>
        </w:rPr>
        <w:t xml:space="preserve">The risk of politicising the judiciary by requiring </w:t>
      </w:r>
      <w:r w:rsidR="00BF2E54" w:rsidRPr="00226C37">
        <w:rPr>
          <w:rFonts w:ascii="Times New Roman" w:hAnsi="Times New Roman" w:cs="Times New Roman"/>
        </w:rPr>
        <w:t>the C</w:t>
      </w:r>
      <w:r w:rsidR="00D36DB3" w:rsidRPr="00226C37">
        <w:rPr>
          <w:rFonts w:ascii="Times New Roman" w:hAnsi="Times New Roman" w:cs="Times New Roman"/>
        </w:rPr>
        <w:t>JEU</w:t>
      </w:r>
      <w:r w:rsidR="00BF2E54" w:rsidRPr="00226C37">
        <w:rPr>
          <w:rFonts w:ascii="Times New Roman" w:hAnsi="Times New Roman" w:cs="Times New Roman"/>
        </w:rPr>
        <w:t xml:space="preserve"> </w:t>
      </w:r>
      <w:r w:rsidR="001B7DED" w:rsidRPr="00226C37">
        <w:rPr>
          <w:rFonts w:ascii="Times New Roman" w:hAnsi="Times New Roman" w:cs="Times New Roman"/>
        </w:rPr>
        <w:t>to make such politically sensitive decisions must be taken seriously as a threat to the legitimacy of the C</w:t>
      </w:r>
      <w:r w:rsidR="00D36DB3" w:rsidRPr="00226C37">
        <w:rPr>
          <w:rFonts w:ascii="Times New Roman" w:hAnsi="Times New Roman" w:cs="Times New Roman"/>
        </w:rPr>
        <w:t>JEU</w:t>
      </w:r>
      <w:r w:rsidR="001B7DED" w:rsidRPr="00226C37">
        <w:rPr>
          <w:rFonts w:ascii="Times New Roman" w:hAnsi="Times New Roman" w:cs="Times New Roman"/>
        </w:rPr>
        <w:t>.</w:t>
      </w:r>
      <w:r w:rsidR="00892F6C" w:rsidRPr="00226C37">
        <w:rPr>
          <w:rStyle w:val="FootnoteReference"/>
          <w:rFonts w:ascii="Times New Roman" w:hAnsi="Times New Roman" w:cs="Times New Roman"/>
        </w:rPr>
        <w:footnoteReference w:id="76"/>
      </w:r>
      <w:r w:rsidR="001B7DED" w:rsidRPr="00226C37">
        <w:rPr>
          <w:rFonts w:ascii="Times New Roman" w:hAnsi="Times New Roman" w:cs="Times New Roman"/>
        </w:rPr>
        <w:t xml:space="preserve"> </w:t>
      </w:r>
      <w:r w:rsidR="00A70E3B" w:rsidRPr="00226C37">
        <w:rPr>
          <w:rFonts w:ascii="Times New Roman" w:hAnsi="Times New Roman" w:cs="Times New Roman"/>
        </w:rPr>
        <w:t>I</w:t>
      </w:r>
      <w:r w:rsidR="00892F6C" w:rsidRPr="00226C37">
        <w:rPr>
          <w:rFonts w:ascii="Times New Roman" w:hAnsi="Times New Roman" w:cs="Times New Roman"/>
        </w:rPr>
        <w:t>t</w:t>
      </w:r>
      <w:r w:rsidR="00A70E3B" w:rsidRPr="00226C37">
        <w:rPr>
          <w:rFonts w:ascii="Times New Roman" w:hAnsi="Times New Roman" w:cs="Times New Roman"/>
        </w:rPr>
        <w:t xml:space="preserve"> may be added also that judicial intervention has the unfortunate consequence of allowing political institutions to avoid their responsibilities.</w:t>
      </w:r>
      <w:r w:rsidR="0025288C" w:rsidRPr="00226C37">
        <w:rPr>
          <w:rStyle w:val="FootnoteReference"/>
          <w:rFonts w:ascii="Times New Roman" w:hAnsi="Times New Roman" w:cs="Times New Roman"/>
        </w:rPr>
        <w:footnoteReference w:id="77"/>
      </w:r>
      <w:r w:rsidR="00A70E3B" w:rsidRPr="00226C37">
        <w:rPr>
          <w:rFonts w:ascii="Times New Roman" w:hAnsi="Times New Roman" w:cs="Times New Roman"/>
        </w:rPr>
        <w:t xml:space="preserve"> </w:t>
      </w:r>
      <w:r w:rsidR="00253478" w:rsidRPr="00226C37">
        <w:rPr>
          <w:rFonts w:ascii="Times New Roman" w:hAnsi="Times New Roman" w:cs="Times New Roman"/>
        </w:rPr>
        <w:t xml:space="preserve">In response to these concerns, it should first be emphasised that they </w:t>
      </w:r>
      <w:r w:rsidR="00A70E3B" w:rsidRPr="00226C37">
        <w:rPr>
          <w:rFonts w:ascii="Times New Roman" w:hAnsi="Times New Roman" w:cs="Times New Roman"/>
        </w:rPr>
        <w:t>appear</w:t>
      </w:r>
      <w:r w:rsidR="00253478" w:rsidRPr="00226C37">
        <w:rPr>
          <w:rFonts w:ascii="Times New Roman" w:hAnsi="Times New Roman" w:cs="Times New Roman"/>
        </w:rPr>
        <w:t xml:space="preserve"> more relevant to judicial intervention </w:t>
      </w:r>
      <w:r w:rsidR="0025288C" w:rsidRPr="00226C37">
        <w:rPr>
          <w:rFonts w:ascii="Times New Roman" w:hAnsi="Times New Roman" w:cs="Times New Roman"/>
        </w:rPr>
        <w:lastRenderedPageBreak/>
        <w:t>as a means to counter</w:t>
      </w:r>
      <w:r w:rsidR="00253478" w:rsidRPr="00226C37">
        <w:rPr>
          <w:rFonts w:ascii="Times New Roman" w:hAnsi="Times New Roman" w:cs="Times New Roman"/>
        </w:rPr>
        <w:t xml:space="preserve"> incremental dismantling of democratic structures at national level. </w:t>
      </w:r>
      <w:r w:rsidR="00A70E3B" w:rsidRPr="00226C37">
        <w:rPr>
          <w:rFonts w:ascii="Times New Roman" w:hAnsi="Times New Roman" w:cs="Times New Roman"/>
        </w:rPr>
        <w:t xml:space="preserve">The judicial intervention suggested in this paper is more in the nature of a </w:t>
      </w:r>
      <w:proofErr w:type="gramStart"/>
      <w:r w:rsidR="00A70E3B" w:rsidRPr="00226C37">
        <w:rPr>
          <w:rFonts w:ascii="Times New Roman" w:hAnsi="Times New Roman" w:cs="Times New Roman"/>
        </w:rPr>
        <w:t>last-resort</w:t>
      </w:r>
      <w:proofErr w:type="gramEnd"/>
      <w:r w:rsidR="00A70E3B" w:rsidRPr="00226C37">
        <w:rPr>
          <w:rFonts w:ascii="Times New Roman" w:hAnsi="Times New Roman" w:cs="Times New Roman"/>
        </w:rPr>
        <w:t xml:space="preserve"> means of ensuring the European Council and the Council function in accordance with the principle of representative democracy. </w:t>
      </w:r>
      <w:r w:rsidR="00004443" w:rsidRPr="00226C37">
        <w:rPr>
          <w:rFonts w:ascii="Times New Roman" w:hAnsi="Times New Roman" w:cs="Times New Roman"/>
        </w:rPr>
        <w:t>While one would hop</w:t>
      </w:r>
      <w:r w:rsidR="0025288C" w:rsidRPr="00226C37">
        <w:rPr>
          <w:rFonts w:ascii="Times New Roman" w:hAnsi="Times New Roman" w:cs="Times New Roman"/>
        </w:rPr>
        <w:t>e</w:t>
      </w:r>
      <w:r w:rsidR="00004443" w:rsidRPr="00226C37">
        <w:rPr>
          <w:rFonts w:ascii="Times New Roman" w:hAnsi="Times New Roman" w:cs="Times New Roman"/>
        </w:rPr>
        <w:t xml:space="preserve"> such intervention would </w:t>
      </w:r>
      <w:r w:rsidR="001E7C9A" w:rsidRPr="00226C37">
        <w:rPr>
          <w:rFonts w:ascii="Times New Roman" w:hAnsi="Times New Roman" w:cs="Times New Roman"/>
        </w:rPr>
        <w:t>be unnecessary</w:t>
      </w:r>
      <w:r w:rsidR="00004443" w:rsidRPr="00226C37">
        <w:rPr>
          <w:rFonts w:ascii="Times New Roman" w:hAnsi="Times New Roman" w:cs="Times New Roman"/>
        </w:rPr>
        <w:t>, it is suggested that it is preferable to the alternative</w:t>
      </w:r>
      <w:r w:rsidR="0025288C" w:rsidRPr="00226C37">
        <w:rPr>
          <w:rFonts w:ascii="Times New Roman" w:hAnsi="Times New Roman" w:cs="Times New Roman"/>
        </w:rPr>
        <w:t xml:space="preserve"> of allowing an undemocratic Member State to retain representation in the European Council and the Council</w:t>
      </w:r>
      <w:r w:rsidR="00004443" w:rsidRPr="00226C37">
        <w:rPr>
          <w:rFonts w:ascii="Times New Roman" w:hAnsi="Times New Roman" w:cs="Times New Roman"/>
        </w:rPr>
        <w:t xml:space="preserve">. </w:t>
      </w:r>
      <w:r w:rsidR="00FA10BC" w:rsidRPr="00226C37">
        <w:rPr>
          <w:rFonts w:ascii="Times New Roman" w:hAnsi="Times New Roman" w:cs="Times New Roman"/>
        </w:rPr>
        <w:t xml:space="preserve">The suggested </w:t>
      </w:r>
      <w:proofErr w:type="spellStart"/>
      <w:r w:rsidR="00FA10BC" w:rsidRPr="00226C37">
        <w:rPr>
          <w:rFonts w:ascii="Times New Roman" w:hAnsi="Times New Roman" w:cs="Times New Roman"/>
        </w:rPr>
        <w:t>in</w:t>
      </w:r>
      <w:r w:rsidR="001E7C9A" w:rsidRPr="00226C37">
        <w:rPr>
          <w:rFonts w:ascii="Times New Roman" w:hAnsi="Times New Roman" w:cs="Times New Roman"/>
        </w:rPr>
        <w:t>s</w:t>
      </w:r>
      <w:r w:rsidR="00FA10BC" w:rsidRPr="00226C37">
        <w:rPr>
          <w:rFonts w:ascii="Times New Roman" w:hAnsi="Times New Roman" w:cs="Times New Roman"/>
        </w:rPr>
        <w:t>trumentalisation</w:t>
      </w:r>
      <w:proofErr w:type="spellEnd"/>
      <w:r w:rsidR="00FA10BC" w:rsidRPr="00226C37">
        <w:rPr>
          <w:rFonts w:ascii="Times New Roman" w:hAnsi="Times New Roman" w:cs="Times New Roman"/>
        </w:rPr>
        <w:t xml:space="preserve"> of </w:t>
      </w:r>
      <w:r w:rsidR="004D68C9">
        <w:rPr>
          <w:rFonts w:ascii="Times New Roman" w:hAnsi="Times New Roman" w:cs="Times New Roman"/>
        </w:rPr>
        <w:t>art.</w:t>
      </w:r>
      <w:r w:rsidR="00FA10BC" w:rsidRPr="00226C37">
        <w:rPr>
          <w:rFonts w:ascii="Times New Roman" w:hAnsi="Times New Roman" w:cs="Times New Roman"/>
        </w:rPr>
        <w:t xml:space="preserve"> 10 TEU via an </w:t>
      </w:r>
      <w:r w:rsidR="004D68C9">
        <w:rPr>
          <w:rFonts w:ascii="Times New Roman" w:hAnsi="Times New Roman" w:cs="Times New Roman"/>
        </w:rPr>
        <w:t xml:space="preserve">art. </w:t>
      </w:r>
      <w:r w:rsidR="00FA10BC" w:rsidRPr="00226C37">
        <w:rPr>
          <w:rFonts w:ascii="Times New Roman" w:hAnsi="Times New Roman" w:cs="Times New Roman"/>
        </w:rPr>
        <w:t xml:space="preserve">267 TFEU to test the validity of acts adopted by the European Council or the Council also has the potential to sidestep many of the access-to-justice issues identified by </w:t>
      </w:r>
      <w:proofErr w:type="spellStart"/>
      <w:r w:rsidR="00FA10BC" w:rsidRPr="00226C37">
        <w:rPr>
          <w:rFonts w:ascii="Times New Roman" w:hAnsi="Times New Roman" w:cs="Times New Roman"/>
        </w:rPr>
        <w:t>Blauberger</w:t>
      </w:r>
      <w:proofErr w:type="spellEnd"/>
      <w:r w:rsidR="00FA10BC" w:rsidRPr="00226C37">
        <w:rPr>
          <w:rFonts w:ascii="Times New Roman" w:hAnsi="Times New Roman" w:cs="Times New Roman"/>
        </w:rPr>
        <w:t xml:space="preserve"> and Kelemen. Such an action would </w:t>
      </w:r>
      <w:r w:rsidR="0025288C" w:rsidRPr="00226C37">
        <w:rPr>
          <w:rFonts w:ascii="Times New Roman" w:hAnsi="Times New Roman" w:cs="Times New Roman"/>
        </w:rPr>
        <w:t>also</w:t>
      </w:r>
      <w:r w:rsidR="00FA10BC" w:rsidRPr="00226C37">
        <w:rPr>
          <w:rFonts w:ascii="Times New Roman" w:hAnsi="Times New Roman" w:cs="Times New Roman"/>
        </w:rPr>
        <w:t xml:space="preserve"> avoid the restrictive standing requirements of </w:t>
      </w:r>
      <w:r w:rsidR="004D68C9">
        <w:rPr>
          <w:rFonts w:ascii="Times New Roman" w:hAnsi="Times New Roman" w:cs="Times New Roman"/>
        </w:rPr>
        <w:t>art</w:t>
      </w:r>
      <w:r w:rsidR="00FA10BC" w:rsidRPr="00226C37">
        <w:rPr>
          <w:rFonts w:ascii="Times New Roman" w:hAnsi="Times New Roman" w:cs="Times New Roman"/>
        </w:rPr>
        <w:t>s 263 and 265 TFEU, if an applicant could not fulfil those requirements</w:t>
      </w:r>
      <w:r w:rsidR="0025288C" w:rsidRPr="00226C37">
        <w:rPr>
          <w:rFonts w:ascii="Times New Roman" w:hAnsi="Times New Roman" w:cs="Times New Roman"/>
        </w:rPr>
        <w:t>.</w:t>
      </w:r>
      <w:r w:rsidR="0025288C" w:rsidRPr="00226C37">
        <w:rPr>
          <w:rStyle w:val="FootnoteReference"/>
          <w:rFonts w:ascii="Times New Roman" w:hAnsi="Times New Roman" w:cs="Times New Roman"/>
        </w:rPr>
        <w:footnoteReference w:id="78"/>
      </w:r>
      <w:r w:rsidR="0025288C" w:rsidRPr="00226C37">
        <w:rPr>
          <w:rFonts w:ascii="Times New Roman" w:hAnsi="Times New Roman" w:cs="Times New Roman"/>
        </w:rPr>
        <w:t xml:space="preserve"> </w:t>
      </w:r>
      <w:r w:rsidR="00460881" w:rsidRPr="00226C37">
        <w:rPr>
          <w:rFonts w:ascii="Times New Roman" w:hAnsi="Times New Roman" w:cs="Times New Roman"/>
        </w:rPr>
        <w:t>Further, s</w:t>
      </w:r>
      <w:r w:rsidR="0025288C" w:rsidRPr="00226C37">
        <w:rPr>
          <w:rFonts w:ascii="Times New Roman" w:hAnsi="Times New Roman" w:cs="Times New Roman"/>
        </w:rPr>
        <w:t xml:space="preserve">uch an indirect action </w:t>
      </w:r>
      <w:r w:rsidR="00FA10BC" w:rsidRPr="00226C37">
        <w:rPr>
          <w:rFonts w:ascii="Times New Roman" w:hAnsi="Times New Roman" w:cs="Times New Roman"/>
        </w:rPr>
        <w:t>could</w:t>
      </w:r>
      <w:r w:rsidR="0025288C" w:rsidRPr="00226C37">
        <w:rPr>
          <w:rFonts w:ascii="Times New Roman" w:hAnsi="Times New Roman" w:cs="Times New Roman"/>
        </w:rPr>
        <w:t xml:space="preserve"> a</w:t>
      </w:r>
      <w:r w:rsidR="00460881" w:rsidRPr="00226C37">
        <w:rPr>
          <w:rFonts w:ascii="Times New Roman" w:hAnsi="Times New Roman" w:cs="Times New Roman"/>
        </w:rPr>
        <w:t>lso</w:t>
      </w:r>
      <w:r w:rsidR="00FA10BC" w:rsidRPr="00226C37">
        <w:rPr>
          <w:rFonts w:ascii="Times New Roman" w:hAnsi="Times New Roman" w:cs="Times New Roman"/>
        </w:rPr>
        <w:t>, crucially, be commenced in any EU Member State, not just the problematic Member State</w:t>
      </w:r>
      <w:r w:rsidR="00FD3E9A" w:rsidRPr="00226C37">
        <w:rPr>
          <w:rFonts w:ascii="Times New Roman" w:hAnsi="Times New Roman" w:cs="Times New Roman"/>
        </w:rPr>
        <w:t>, where the lack of an independent judiciary might prevent or restrict references coming from that Member State.</w:t>
      </w:r>
      <w:r w:rsidR="00E755A7" w:rsidRPr="00226C37">
        <w:rPr>
          <w:rStyle w:val="FootnoteReference"/>
          <w:rFonts w:ascii="Times New Roman" w:hAnsi="Times New Roman" w:cs="Times New Roman"/>
        </w:rPr>
        <w:footnoteReference w:id="79"/>
      </w:r>
      <w:r w:rsidR="00FA10BC" w:rsidRPr="00226C37">
        <w:rPr>
          <w:rFonts w:ascii="Times New Roman" w:hAnsi="Times New Roman" w:cs="Times New Roman"/>
        </w:rPr>
        <w:t xml:space="preserve"> </w:t>
      </w:r>
      <w:r w:rsidR="004E4F66" w:rsidRPr="00226C37">
        <w:rPr>
          <w:rFonts w:ascii="Times New Roman" w:hAnsi="Times New Roman" w:cs="Times New Roman"/>
        </w:rPr>
        <w:t>The operative interpretation of</w:t>
      </w:r>
      <w:r w:rsidR="004D68C9">
        <w:rPr>
          <w:rFonts w:ascii="Times New Roman" w:hAnsi="Times New Roman" w:cs="Times New Roman"/>
        </w:rPr>
        <w:t xml:space="preserve"> art.</w:t>
      </w:r>
      <w:r w:rsidR="004E4F66" w:rsidRPr="00226C37">
        <w:rPr>
          <w:rFonts w:ascii="Times New Roman" w:hAnsi="Times New Roman" w:cs="Times New Roman"/>
        </w:rPr>
        <w:t xml:space="preserve"> 10(2) TEU would also confer direct effect upon the </w:t>
      </w:r>
      <w:r w:rsidR="005A2FAC">
        <w:rPr>
          <w:rFonts w:ascii="Times New Roman" w:hAnsi="Times New Roman" w:cs="Times New Roman"/>
        </w:rPr>
        <w:t>art.</w:t>
      </w:r>
      <w:r w:rsidR="004E4F66" w:rsidRPr="00226C37">
        <w:rPr>
          <w:rFonts w:ascii="Times New Roman" w:hAnsi="Times New Roman" w:cs="Times New Roman"/>
        </w:rPr>
        <w:t xml:space="preserve"> 2 TEU democracy value,</w:t>
      </w:r>
      <w:r w:rsidR="009B1BCA" w:rsidRPr="00226C37">
        <w:rPr>
          <w:rFonts w:ascii="Times New Roman" w:hAnsi="Times New Roman" w:cs="Times New Roman"/>
        </w:rPr>
        <w:t xml:space="preserve"> </w:t>
      </w:r>
      <w:r w:rsidR="004E4F66" w:rsidRPr="00226C37">
        <w:rPr>
          <w:rFonts w:ascii="Times New Roman" w:hAnsi="Times New Roman" w:cs="Times New Roman"/>
        </w:rPr>
        <w:t xml:space="preserve">just as </w:t>
      </w:r>
      <w:r w:rsidR="005A2FAC">
        <w:rPr>
          <w:rFonts w:ascii="Times New Roman" w:hAnsi="Times New Roman" w:cs="Times New Roman"/>
        </w:rPr>
        <w:t xml:space="preserve">art. </w:t>
      </w:r>
      <w:r w:rsidR="004E4F66" w:rsidRPr="00226C37">
        <w:rPr>
          <w:rFonts w:ascii="Times New Roman" w:hAnsi="Times New Roman" w:cs="Times New Roman"/>
        </w:rPr>
        <w:t xml:space="preserve">19(1) TEU has </w:t>
      </w:r>
      <w:r w:rsidR="007B3A79" w:rsidRPr="00226C37">
        <w:rPr>
          <w:rFonts w:ascii="Times New Roman" w:hAnsi="Times New Roman" w:cs="Times New Roman"/>
        </w:rPr>
        <w:t xml:space="preserve">enlivened </w:t>
      </w:r>
      <w:r w:rsidR="004E4F66" w:rsidRPr="00226C37">
        <w:rPr>
          <w:rFonts w:ascii="Times New Roman" w:hAnsi="Times New Roman" w:cs="Times New Roman"/>
        </w:rPr>
        <w:t xml:space="preserve">the rule of law value. </w:t>
      </w:r>
    </w:p>
    <w:p w14:paraId="35495020" w14:textId="6EF8B057" w:rsidR="00277C3D" w:rsidRPr="00226C37" w:rsidRDefault="00277C3D" w:rsidP="00D93CFF">
      <w:pPr>
        <w:jc w:val="both"/>
        <w:rPr>
          <w:rFonts w:ascii="Times New Roman" w:hAnsi="Times New Roman" w:cs="Times New Roman"/>
        </w:rPr>
      </w:pPr>
    </w:p>
    <w:p w14:paraId="1A13DAB7" w14:textId="17CE1D46" w:rsidR="00C039D2" w:rsidRPr="00226C37" w:rsidRDefault="001B7DED" w:rsidP="006F77D6">
      <w:pPr>
        <w:jc w:val="both"/>
        <w:rPr>
          <w:rFonts w:ascii="Times New Roman" w:hAnsi="Times New Roman" w:cs="Times New Roman"/>
        </w:rPr>
      </w:pPr>
      <w:r w:rsidRPr="00226C37">
        <w:rPr>
          <w:rFonts w:ascii="Times New Roman" w:hAnsi="Times New Roman" w:cs="Times New Roman"/>
        </w:rPr>
        <w:t xml:space="preserve">Thirdly, it </w:t>
      </w:r>
      <w:r w:rsidR="00C039D2" w:rsidRPr="00226C37">
        <w:rPr>
          <w:rFonts w:ascii="Times New Roman" w:hAnsi="Times New Roman" w:cs="Times New Roman"/>
        </w:rPr>
        <w:t xml:space="preserve">may be observed that the various procedural mechanisms identified </w:t>
      </w:r>
      <w:r w:rsidR="0025288C" w:rsidRPr="00226C37">
        <w:rPr>
          <w:rFonts w:ascii="Times New Roman" w:hAnsi="Times New Roman" w:cs="Times New Roman"/>
        </w:rPr>
        <w:t xml:space="preserve">in this paper </w:t>
      </w:r>
      <w:r w:rsidR="00C039D2" w:rsidRPr="00226C37">
        <w:rPr>
          <w:rFonts w:ascii="Times New Roman" w:hAnsi="Times New Roman" w:cs="Times New Roman"/>
        </w:rPr>
        <w:t xml:space="preserve">would encounter various obstacles that could undermine their effectiveness. Due to the default rule in the European Council being consensus, it is difficult to conceive of how that institution could make any practical moves to exclude </w:t>
      </w:r>
      <w:r w:rsidR="001F311F" w:rsidRPr="00226C37">
        <w:rPr>
          <w:rFonts w:ascii="Times New Roman" w:hAnsi="Times New Roman" w:cs="Times New Roman"/>
        </w:rPr>
        <w:t>representatives</w:t>
      </w:r>
      <w:r w:rsidR="00C039D2" w:rsidRPr="00226C37">
        <w:rPr>
          <w:rFonts w:ascii="Times New Roman" w:hAnsi="Times New Roman" w:cs="Times New Roman"/>
        </w:rPr>
        <w:t>.</w:t>
      </w:r>
      <w:r w:rsidR="0025288C" w:rsidRPr="00226C37">
        <w:rPr>
          <w:rStyle w:val="FootnoteReference"/>
          <w:rFonts w:ascii="Times New Roman" w:hAnsi="Times New Roman" w:cs="Times New Roman"/>
        </w:rPr>
        <w:footnoteReference w:id="80"/>
      </w:r>
      <w:r w:rsidR="00C039D2" w:rsidRPr="00226C37">
        <w:rPr>
          <w:rFonts w:ascii="Times New Roman" w:hAnsi="Times New Roman" w:cs="Times New Roman"/>
        </w:rPr>
        <w:t xml:space="preserve"> In the event of a failure by the European Council or the Council to act in such circumstances, any plaintiff in an </w:t>
      </w:r>
      <w:r w:rsidR="005A2FAC">
        <w:rPr>
          <w:rFonts w:ascii="Times New Roman" w:hAnsi="Times New Roman" w:cs="Times New Roman"/>
        </w:rPr>
        <w:t>art.</w:t>
      </w:r>
      <w:r w:rsidR="00C039D2" w:rsidRPr="00226C37">
        <w:rPr>
          <w:rFonts w:ascii="Times New Roman" w:hAnsi="Times New Roman" w:cs="Times New Roman"/>
        </w:rPr>
        <w:t xml:space="preserve"> 265 TFEU action would have to wait two months from th</w:t>
      </w:r>
      <w:r w:rsidR="00A93B6E" w:rsidRPr="00226C37">
        <w:rPr>
          <w:rFonts w:ascii="Times New Roman" w:hAnsi="Times New Roman" w:cs="Times New Roman"/>
        </w:rPr>
        <w:t xml:space="preserve">e </w:t>
      </w:r>
      <w:r w:rsidR="00C039D2" w:rsidRPr="00226C37">
        <w:rPr>
          <w:rFonts w:ascii="Times New Roman" w:hAnsi="Times New Roman" w:cs="Times New Roman"/>
        </w:rPr>
        <w:t xml:space="preserve">date </w:t>
      </w:r>
      <w:r w:rsidR="00477D38" w:rsidRPr="00226C37">
        <w:rPr>
          <w:rFonts w:ascii="Times New Roman" w:hAnsi="Times New Roman" w:cs="Times New Roman"/>
        </w:rPr>
        <w:t>of first call</w:t>
      </w:r>
      <w:r w:rsidR="00DB2151" w:rsidRPr="00226C37">
        <w:rPr>
          <w:rFonts w:ascii="Times New Roman" w:hAnsi="Times New Roman" w:cs="Times New Roman"/>
        </w:rPr>
        <w:t>ing</w:t>
      </w:r>
      <w:r w:rsidR="00477D38" w:rsidRPr="00226C37">
        <w:rPr>
          <w:rFonts w:ascii="Times New Roman" w:hAnsi="Times New Roman" w:cs="Times New Roman"/>
        </w:rPr>
        <w:t xml:space="preserve"> upon</w:t>
      </w:r>
      <w:r w:rsidR="00DB2151" w:rsidRPr="00226C37">
        <w:rPr>
          <w:rFonts w:ascii="Times New Roman" w:hAnsi="Times New Roman" w:cs="Times New Roman"/>
        </w:rPr>
        <w:t xml:space="preserve"> the defendant institution</w:t>
      </w:r>
      <w:r w:rsidR="00477D38" w:rsidRPr="00226C37">
        <w:rPr>
          <w:rFonts w:ascii="Times New Roman" w:hAnsi="Times New Roman" w:cs="Times New Roman"/>
        </w:rPr>
        <w:t xml:space="preserve"> to act</w:t>
      </w:r>
      <w:r w:rsidR="00C039D2" w:rsidRPr="00226C37">
        <w:rPr>
          <w:rFonts w:ascii="Times New Roman" w:hAnsi="Times New Roman" w:cs="Times New Roman"/>
        </w:rPr>
        <w:t xml:space="preserve"> before commencing proceedings, during which time representatives of a democratically unaccountable Member State government would continue to participate in the European Council and the Council. Article 263 TFEU</w:t>
      </w:r>
      <w:r w:rsidR="00477D38" w:rsidRPr="00226C37">
        <w:rPr>
          <w:rFonts w:ascii="Times New Roman" w:hAnsi="Times New Roman" w:cs="Times New Roman"/>
        </w:rPr>
        <w:t xml:space="preserve"> would, of course, present the usual issues of standing for non-privileged applicants, a point which applies </w:t>
      </w:r>
      <w:r w:rsidR="00477D38" w:rsidRPr="00226C37">
        <w:rPr>
          <w:rFonts w:ascii="Times New Roman" w:hAnsi="Times New Roman" w:cs="Times New Roman"/>
          <w:i/>
          <w:iCs/>
        </w:rPr>
        <w:t xml:space="preserve">a fortiori </w:t>
      </w:r>
      <w:r w:rsidR="00477D38" w:rsidRPr="00226C37">
        <w:rPr>
          <w:rFonts w:ascii="Times New Roman" w:hAnsi="Times New Roman" w:cs="Times New Roman"/>
        </w:rPr>
        <w:t xml:space="preserve">to </w:t>
      </w:r>
      <w:r w:rsidR="005A2FAC">
        <w:rPr>
          <w:rFonts w:ascii="Times New Roman" w:hAnsi="Times New Roman" w:cs="Times New Roman"/>
        </w:rPr>
        <w:t>art.</w:t>
      </w:r>
      <w:r w:rsidR="00477D38" w:rsidRPr="00226C37">
        <w:rPr>
          <w:rFonts w:ascii="Times New Roman" w:hAnsi="Times New Roman" w:cs="Times New Roman"/>
        </w:rPr>
        <w:t xml:space="preserve"> 265 TFEU proceedings, in which natural or legal persons may only challenge a failure to address an act to them individually. These restrictive standing rules would certainly affect the utility of these judicial review procedures to non-institutional or Member State actors. </w:t>
      </w:r>
      <w:r w:rsidR="00371BBD" w:rsidRPr="00226C37">
        <w:rPr>
          <w:rFonts w:ascii="Times New Roman" w:hAnsi="Times New Roman" w:cs="Times New Roman"/>
        </w:rPr>
        <w:t>These are certainly obstacles, but they are not necessarily insurmountable. A</w:t>
      </w:r>
      <w:r w:rsidR="00E755A7" w:rsidRPr="00226C37">
        <w:rPr>
          <w:rFonts w:ascii="Times New Roman" w:hAnsi="Times New Roman" w:cs="Times New Roman"/>
        </w:rPr>
        <w:t>s mentioned in the previous paragraph, these issues could be circumvented by the utilisation of the preliminary reference procedure by the courts of any Member</w:t>
      </w:r>
      <w:r w:rsidR="00A854F4" w:rsidRPr="00226C37">
        <w:rPr>
          <w:rFonts w:ascii="Times New Roman" w:hAnsi="Times New Roman" w:cs="Times New Roman"/>
        </w:rPr>
        <w:t xml:space="preserve"> State to enquire into the validity of acts of the European Council or the Council</w:t>
      </w:r>
      <w:r w:rsidR="00DB2151" w:rsidRPr="00226C37">
        <w:rPr>
          <w:rFonts w:ascii="Times New Roman" w:hAnsi="Times New Roman" w:cs="Times New Roman"/>
        </w:rPr>
        <w:t>,</w:t>
      </w:r>
      <w:r w:rsidR="00A854F4" w:rsidRPr="00226C37">
        <w:rPr>
          <w:rFonts w:ascii="Times New Roman" w:hAnsi="Times New Roman" w:cs="Times New Roman"/>
        </w:rPr>
        <w:t xml:space="preserve"> while not constituted in compliance with </w:t>
      </w:r>
      <w:r w:rsidR="00DB2151" w:rsidRPr="00226C37">
        <w:rPr>
          <w:rFonts w:ascii="Times New Roman" w:hAnsi="Times New Roman" w:cs="Times New Roman"/>
        </w:rPr>
        <w:t xml:space="preserve">the operative interpretation of </w:t>
      </w:r>
      <w:r w:rsidR="005A2FAC">
        <w:rPr>
          <w:rFonts w:ascii="Times New Roman" w:hAnsi="Times New Roman" w:cs="Times New Roman"/>
        </w:rPr>
        <w:t>art.</w:t>
      </w:r>
      <w:r w:rsidR="00A854F4" w:rsidRPr="00226C37">
        <w:rPr>
          <w:rFonts w:ascii="Times New Roman" w:hAnsi="Times New Roman" w:cs="Times New Roman"/>
        </w:rPr>
        <w:t xml:space="preserve"> 10 TEU. </w:t>
      </w:r>
    </w:p>
    <w:p w14:paraId="03945419" w14:textId="77777777" w:rsidR="006F77D6" w:rsidRPr="00226C37" w:rsidRDefault="006F77D6" w:rsidP="006F77D6">
      <w:pPr>
        <w:pStyle w:val="ListParagraph"/>
        <w:ind w:left="360"/>
        <w:jc w:val="both"/>
        <w:rPr>
          <w:rFonts w:ascii="Times New Roman" w:hAnsi="Times New Roman" w:cs="Times New Roman"/>
          <w:b/>
          <w:bCs/>
        </w:rPr>
      </w:pPr>
    </w:p>
    <w:bookmarkEnd w:id="6"/>
    <w:p w14:paraId="7E248A9D" w14:textId="7A9ED788" w:rsidR="0023402B" w:rsidRPr="0093427B" w:rsidRDefault="006F77D6" w:rsidP="0093427B">
      <w:pPr>
        <w:jc w:val="both"/>
        <w:rPr>
          <w:rFonts w:ascii="Times New Roman" w:hAnsi="Times New Roman" w:cs="Times New Roman"/>
          <w:b/>
          <w:bCs/>
        </w:rPr>
      </w:pPr>
      <w:r w:rsidRPr="0093427B">
        <w:rPr>
          <w:rFonts w:ascii="Times New Roman" w:hAnsi="Times New Roman" w:cs="Times New Roman"/>
          <w:b/>
          <w:bCs/>
        </w:rPr>
        <w:t>Conclu</w:t>
      </w:r>
      <w:r w:rsidR="00292A07" w:rsidRPr="0093427B">
        <w:rPr>
          <w:rFonts w:ascii="Times New Roman" w:hAnsi="Times New Roman" w:cs="Times New Roman"/>
          <w:b/>
          <w:bCs/>
        </w:rPr>
        <w:t>ding Remarks</w:t>
      </w:r>
    </w:p>
    <w:p w14:paraId="3ABF84ED" w14:textId="6E571557" w:rsidR="0025288C" w:rsidRPr="00226C37" w:rsidRDefault="0025288C" w:rsidP="0025288C">
      <w:pPr>
        <w:jc w:val="both"/>
        <w:rPr>
          <w:rFonts w:ascii="Times New Roman" w:hAnsi="Times New Roman" w:cs="Times New Roman"/>
          <w:b/>
          <w:bCs/>
        </w:rPr>
      </w:pPr>
    </w:p>
    <w:p w14:paraId="1DDAAE55" w14:textId="52E0C617" w:rsidR="0025288C" w:rsidRPr="00226C37" w:rsidRDefault="007E2F1F" w:rsidP="0025288C">
      <w:pPr>
        <w:jc w:val="both"/>
        <w:rPr>
          <w:rFonts w:ascii="Times New Roman" w:hAnsi="Times New Roman" w:cs="Times New Roman"/>
        </w:rPr>
      </w:pPr>
      <w:r w:rsidRPr="00226C37">
        <w:rPr>
          <w:rFonts w:ascii="Times New Roman" w:hAnsi="Times New Roman" w:cs="Times New Roman"/>
        </w:rPr>
        <w:t xml:space="preserve">This paper </w:t>
      </w:r>
      <w:r w:rsidR="004464C8" w:rsidRPr="00226C37">
        <w:rPr>
          <w:rFonts w:ascii="Times New Roman" w:hAnsi="Times New Roman" w:cs="Times New Roman"/>
        </w:rPr>
        <w:t xml:space="preserve">has presented the argument that the second </w:t>
      </w:r>
      <w:r w:rsidR="007C314A" w:rsidRPr="00226C37">
        <w:rPr>
          <w:rFonts w:ascii="Times New Roman" w:hAnsi="Times New Roman" w:cs="Times New Roman"/>
        </w:rPr>
        <w:t xml:space="preserve">sentence of </w:t>
      </w:r>
      <w:r w:rsidR="005A2FAC">
        <w:rPr>
          <w:rFonts w:ascii="Times New Roman" w:hAnsi="Times New Roman" w:cs="Times New Roman"/>
        </w:rPr>
        <w:t>art.</w:t>
      </w:r>
      <w:r w:rsidR="004464C8" w:rsidRPr="00226C37">
        <w:rPr>
          <w:rFonts w:ascii="Times New Roman" w:hAnsi="Times New Roman" w:cs="Times New Roman"/>
        </w:rPr>
        <w:t xml:space="preserve"> 10(2) TEU, when read in conjunction with the principle of representative democracy in </w:t>
      </w:r>
      <w:r w:rsidR="005A2FAC">
        <w:rPr>
          <w:rFonts w:ascii="Times New Roman" w:hAnsi="Times New Roman" w:cs="Times New Roman"/>
        </w:rPr>
        <w:t>art.</w:t>
      </w:r>
      <w:r w:rsidR="004464C8" w:rsidRPr="00226C37">
        <w:rPr>
          <w:rFonts w:ascii="Times New Roman" w:hAnsi="Times New Roman" w:cs="Times New Roman"/>
        </w:rPr>
        <w:t xml:space="preserve"> 10(1) TEU, </w:t>
      </w:r>
      <w:r w:rsidR="00B762B3" w:rsidRPr="00226C37">
        <w:rPr>
          <w:rFonts w:ascii="Times New Roman" w:hAnsi="Times New Roman" w:cs="Times New Roman"/>
        </w:rPr>
        <w:t xml:space="preserve">contains a </w:t>
      </w:r>
      <w:r w:rsidR="00813AA3" w:rsidRPr="00226C37">
        <w:rPr>
          <w:rFonts w:ascii="Times New Roman" w:hAnsi="Times New Roman" w:cs="Times New Roman"/>
        </w:rPr>
        <w:t>legally enforceable norm, which requires Member State Heads of State or Government</w:t>
      </w:r>
      <w:r w:rsidR="00D1302F" w:rsidRPr="00226C37">
        <w:rPr>
          <w:rFonts w:ascii="Times New Roman" w:hAnsi="Times New Roman" w:cs="Times New Roman"/>
        </w:rPr>
        <w:t xml:space="preserve">, </w:t>
      </w:r>
      <w:r w:rsidR="00A063C4" w:rsidRPr="00226C37">
        <w:rPr>
          <w:rFonts w:ascii="Times New Roman" w:hAnsi="Times New Roman" w:cs="Times New Roman"/>
        </w:rPr>
        <w:t xml:space="preserve">in the </w:t>
      </w:r>
      <w:r w:rsidR="00D1302F" w:rsidRPr="00226C37">
        <w:rPr>
          <w:rFonts w:ascii="Times New Roman" w:hAnsi="Times New Roman" w:cs="Times New Roman"/>
        </w:rPr>
        <w:t xml:space="preserve">case of the </w:t>
      </w:r>
      <w:r w:rsidR="00A063C4" w:rsidRPr="00226C37">
        <w:rPr>
          <w:rFonts w:ascii="Times New Roman" w:hAnsi="Times New Roman" w:cs="Times New Roman"/>
        </w:rPr>
        <w:t>European Council</w:t>
      </w:r>
      <w:r w:rsidR="00D1302F" w:rsidRPr="00226C37">
        <w:rPr>
          <w:rFonts w:ascii="Times New Roman" w:hAnsi="Times New Roman" w:cs="Times New Roman"/>
        </w:rPr>
        <w:t>,</w:t>
      </w:r>
      <w:r w:rsidR="00A063C4" w:rsidRPr="00226C37">
        <w:rPr>
          <w:rFonts w:ascii="Times New Roman" w:hAnsi="Times New Roman" w:cs="Times New Roman"/>
        </w:rPr>
        <w:t xml:space="preserve"> or governments</w:t>
      </w:r>
      <w:r w:rsidR="00B3089B" w:rsidRPr="00226C37">
        <w:rPr>
          <w:rFonts w:ascii="Times New Roman" w:hAnsi="Times New Roman" w:cs="Times New Roman"/>
        </w:rPr>
        <w:t>,</w:t>
      </w:r>
      <w:r w:rsidR="00A063C4" w:rsidRPr="00226C37">
        <w:rPr>
          <w:rFonts w:ascii="Times New Roman" w:hAnsi="Times New Roman" w:cs="Times New Roman"/>
        </w:rPr>
        <w:t xml:space="preserve"> in </w:t>
      </w:r>
      <w:r w:rsidR="00D1302F" w:rsidRPr="00226C37">
        <w:rPr>
          <w:rFonts w:ascii="Times New Roman" w:hAnsi="Times New Roman" w:cs="Times New Roman"/>
        </w:rPr>
        <w:t xml:space="preserve">context of </w:t>
      </w:r>
      <w:r w:rsidR="00A063C4" w:rsidRPr="00226C37">
        <w:rPr>
          <w:rFonts w:ascii="Times New Roman" w:hAnsi="Times New Roman" w:cs="Times New Roman"/>
        </w:rPr>
        <w:t>the Council</w:t>
      </w:r>
      <w:r w:rsidR="00D1302F" w:rsidRPr="00226C37">
        <w:rPr>
          <w:rFonts w:ascii="Times New Roman" w:hAnsi="Times New Roman" w:cs="Times New Roman"/>
        </w:rPr>
        <w:t>,</w:t>
      </w:r>
      <w:r w:rsidR="00A063C4" w:rsidRPr="00226C37">
        <w:rPr>
          <w:rFonts w:ascii="Times New Roman" w:hAnsi="Times New Roman" w:cs="Times New Roman"/>
        </w:rPr>
        <w:t xml:space="preserve"> to be democratically accountable </w:t>
      </w:r>
      <w:r w:rsidR="00B3089B" w:rsidRPr="00226C37">
        <w:rPr>
          <w:rFonts w:ascii="Times New Roman" w:hAnsi="Times New Roman" w:cs="Times New Roman"/>
        </w:rPr>
        <w:t>at national level</w:t>
      </w:r>
      <w:r w:rsidR="00D1302F" w:rsidRPr="00226C37">
        <w:rPr>
          <w:rFonts w:ascii="Times New Roman" w:hAnsi="Times New Roman" w:cs="Times New Roman"/>
        </w:rPr>
        <w:t xml:space="preserve"> </w:t>
      </w:r>
      <w:proofErr w:type="gramStart"/>
      <w:r w:rsidR="00E91A2C" w:rsidRPr="00226C37">
        <w:rPr>
          <w:rFonts w:ascii="Times New Roman" w:hAnsi="Times New Roman" w:cs="Times New Roman"/>
        </w:rPr>
        <w:t>in order to</w:t>
      </w:r>
      <w:proofErr w:type="gramEnd"/>
      <w:r w:rsidR="00E91A2C" w:rsidRPr="00226C37">
        <w:rPr>
          <w:rFonts w:ascii="Times New Roman" w:hAnsi="Times New Roman" w:cs="Times New Roman"/>
        </w:rPr>
        <w:t xml:space="preserve"> be</w:t>
      </w:r>
      <w:r w:rsidR="00D1302F" w:rsidRPr="00226C37">
        <w:rPr>
          <w:rFonts w:ascii="Times New Roman" w:hAnsi="Times New Roman" w:cs="Times New Roman"/>
        </w:rPr>
        <w:t xml:space="preserve"> represent</w:t>
      </w:r>
      <w:r w:rsidR="00E91A2C" w:rsidRPr="00226C37">
        <w:rPr>
          <w:rFonts w:ascii="Times New Roman" w:hAnsi="Times New Roman" w:cs="Times New Roman"/>
        </w:rPr>
        <w:t>ed</w:t>
      </w:r>
      <w:r w:rsidR="00D1302F" w:rsidRPr="00226C37">
        <w:rPr>
          <w:rFonts w:ascii="Times New Roman" w:hAnsi="Times New Roman" w:cs="Times New Roman"/>
        </w:rPr>
        <w:t xml:space="preserve"> in those institutions. </w:t>
      </w:r>
      <w:r w:rsidR="002F3691" w:rsidRPr="00226C37">
        <w:rPr>
          <w:rFonts w:ascii="Times New Roman" w:hAnsi="Times New Roman" w:cs="Times New Roman"/>
        </w:rPr>
        <w:t xml:space="preserve">It has been contended that such an operative interpretation of </w:t>
      </w:r>
      <w:r w:rsidR="005A2FAC">
        <w:rPr>
          <w:rFonts w:ascii="Times New Roman" w:hAnsi="Times New Roman" w:cs="Times New Roman"/>
        </w:rPr>
        <w:t>art.</w:t>
      </w:r>
      <w:r w:rsidR="002F3691" w:rsidRPr="00226C37">
        <w:rPr>
          <w:rFonts w:ascii="Times New Roman" w:hAnsi="Times New Roman" w:cs="Times New Roman"/>
        </w:rPr>
        <w:t xml:space="preserve"> 10 TEU is justified </w:t>
      </w:r>
      <w:r w:rsidR="00060C47" w:rsidRPr="00226C37">
        <w:rPr>
          <w:rFonts w:ascii="Times New Roman" w:hAnsi="Times New Roman" w:cs="Times New Roman"/>
        </w:rPr>
        <w:t xml:space="preserve">(1) </w:t>
      </w:r>
      <w:r w:rsidR="007B60D8" w:rsidRPr="00226C37">
        <w:rPr>
          <w:rFonts w:ascii="Times New Roman" w:hAnsi="Times New Roman" w:cs="Times New Roman"/>
        </w:rPr>
        <w:t>textually,</w:t>
      </w:r>
      <w:r w:rsidR="00060C47" w:rsidRPr="00226C37">
        <w:rPr>
          <w:rFonts w:ascii="Times New Roman" w:hAnsi="Times New Roman" w:cs="Times New Roman"/>
        </w:rPr>
        <w:t xml:space="preserve"> (2)</w:t>
      </w:r>
      <w:r w:rsidR="007B60D8" w:rsidRPr="00226C37">
        <w:rPr>
          <w:rFonts w:ascii="Times New Roman" w:hAnsi="Times New Roman" w:cs="Times New Roman"/>
        </w:rPr>
        <w:t xml:space="preserve"> </w:t>
      </w:r>
      <w:r w:rsidR="0058160D" w:rsidRPr="00226C37">
        <w:rPr>
          <w:rFonts w:ascii="Times New Roman" w:hAnsi="Times New Roman" w:cs="Times New Roman"/>
        </w:rPr>
        <w:t>due to</w:t>
      </w:r>
      <w:r w:rsidR="007B60D8" w:rsidRPr="00226C37">
        <w:rPr>
          <w:rFonts w:ascii="Times New Roman" w:hAnsi="Times New Roman" w:cs="Times New Roman"/>
        </w:rPr>
        <w:t xml:space="preserve"> the primacy and effectiveness of EU law, as well as the </w:t>
      </w:r>
      <w:r w:rsidR="00060C47" w:rsidRPr="00226C37">
        <w:rPr>
          <w:rFonts w:ascii="Times New Roman" w:hAnsi="Times New Roman" w:cs="Times New Roman"/>
        </w:rPr>
        <w:t>concrete protection afforded</w:t>
      </w:r>
      <w:r w:rsidR="0085513E" w:rsidRPr="00226C37">
        <w:rPr>
          <w:rFonts w:ascii="Times New Roman" w:hAnsi="Times New Roman" w:cs="Times New Roman"/>
        </w:rPr>
        <w:t xml:space="preserve"> by</w:t>
      </w:r>
      <w:r w:rsidR="005A2FAC">
        <w:rPr>
          <w:rFonts w:ascii="Times New Roman" w:hAnsi="Times New Roman" w:cs="Times New Roman"/>
        </w:rPr>
        <w:t xml:space="preserve"> art.</w:t>
      </w:r>
      <w:r w:rsidR="0085513E" w:rsidRPr="00226C37">
        <w:rPr>
          <w:rFonts w:ascii="Times New Roman" w:hAnsi="Times New Roman" w:cs="Times New Roman"/>
        </w:rPr>
        <w:t xml:space="preserve"> 10 TEU</w:t>
      </w:r>
      <w:r w:rsidR="00060C47" w:rsidRPr="00226C37">
        <w:rPr>
          <w:rFonts w:ascii="Times New Roman" w:hAnsi="Times New Roman" w:cs="Times New Roman"/>
        </w:rPr>
        <w:t xml:space="preserve"> to the </w:t>
      </w:r>
      <w:r w:rsidR="005A2FAC">
        <w:rPr>
          <w:rFonts w:ascii="Times New Roman" w:hAnsi="Times New Roman" w:cs="Times New Roman"/>
        </w:rPr>
        <w:t>art.</w:t>
      </w:r>
      <w:r w:rsidR="00060C47" w:rsidRPr="00226C37">
        <w:rPr>
          <w:rFonts w:ascii="Times New Roman" w:hAnsi="Times New Roman" w:cs="Times New Roman"/>
        </w:rPr>
        <w:t xml:space="preserve"> 2 TEU value of democracy</w:t>
      </w:r>
      <w:r w:rsidR="00CD4FD3" w:rsidRPr="00226C37">
        <w:rPr>
          <w:rFonts w:ascii="Times New Roman" w:hAnsi="Times New Roman" w:cs="Times New Roman"/>
        </w:rPr>
        <w:t xml:space="preserve">, and (3) </w:t>
      </w:r>
      <w:r w:rsidR="005261B9" w:rsidRPr="00226C37">
        <w:rPr>
          <w:rFonts w:ascii="Times New Roman" w:hAnsi="Times New Roman" w:cs="Times New Roman"/>
        </w:rPr>
        <w:t>in contra</w:t>
      </w:r>
      <w:r w:rsidR="0047687C" w:rsidRPr="00226C37">
        <w:rPr>
          <w:rFonts w:ascii="Times New Roman" w:hAnsi="Times New Roman" w:cs="Times New Roman"/>
        </w:rPr>
        <w:t xml:space="preserve">diction </w:t>
      </w:r>
      <w:r w:rsidR="005B66CA" w:rsidRPr="00226C37">
        <w:rPr>
          <w:rFonts w:ascii="Times New Roman" w:hAnsi="Times New Roman" w:cs="Times New Roman"/>
        </w:rPr>
        <w:t>to</w:t>
      </w:r>
      <w:r w:rsidR="0047687C" w:rsidRPr="00226C37">
        <w:rPr>
          <w:rFonts w:ascii="Times New Roman" w:hAnsi="Times New Roman" w:cs="Times New Roman"/>
        </w:rPr>
        <w:t xml:space="preserve"> any assertion that </w:t>
      </w:r>
      <w:r w:rsidR="005A2FAC">
        <w:rPr>
          <w:rFonts w:ascii="Times New Roman" w:hAnsi="Times New Roman" w:cs="Times New Roman"/>
        </w:rPr>
        <w:t>art.</w:t>
      </w:r>
      <w:r w:rsidR="0047687C" w:rsidRPr="00226C37">
        <w:rPr>
          <w:rFonts w:ascii="Times New Roman" w:hAnsi="Times New Roman" w:cs="Times New Roman"/>
        </w:rPr>
        <w:t xml:space="preserve"> 7 TEU </w:t>
      </w:r>
      <w:r w:rsidR="00283ED4" w:rsidRPr="00226C37">
        <w:rPr>
          <w:rFonts w:ascii="Times New Roman" w:hAnsi="Times New Roman" w:cs="Times New Roman"/>
        </w:rPr>
        <w:t xml:space="preserve">precludes </w:t>
      </w:r>
      <w:r w:rsidR="00E05488" w:rsidRPr="00226C37">
        <w:rPr>
          <w:rFonts w:ascii="Times New Roman" w:hAnsi="Times New Roman" w:cs="Times New Roman"/>
        </w:rPr>
        <w:t xml:space="preserve">the use of </w:t>
      </w:r>
      <w:r w:rsidR="005A2FAC">
        <w:rPr>
          <w:rFonts w:ascii="Times New Roman" w:hAnsi="Times New Roman" w:cs="Times New Roman"/>
        </w:rPr>
        <w:t>art.</w:t>
      </w:r>
      <w:r w:rsidR="00283ED4" w:rsidRPr="00226C37">
        <w:rPr>
          <w:rFonts w:ascii="Times New Roman" w:hAnsi="Times New Roman" w:cs="Times New Roman"/>
        </w:rPr>
        <w:t xml:space="preserve"> 10 TEU to exclude national representatives from the European Council</w:t>
      </w:r>
      <w:r w:rsidR="00D665F3" w:rsidRPr="00226C37">
        <w:rPr>
          <w:rFonts w:ascii="Times New Roman" w:hAnsi="Times New Roman" w:cs="Times New Roman"/>
        </w:rPr>
        <w:t xml:space="preserve"> and the Council</w:t>
      </w:r>
      <w:r w:rsidR="00283ED4" w:rsidRPr="00226C37">
        <w:rPr>
          <w:rFonts w:ascii="Times New Roman" w:hAnsi="Times New Roman" w:cs="Times New Roman"/>
        </w:rPr>
        <w:t xml:space="preserve">. </w:t>
      </w:r>
      <w:r w:rsidR="00141F65" w:rsidRPr="00226C37">
        <w:rPr>
          <w:rFonts w:ascii="Times New Roman" w:hAnsi="Times New Roman" w:cs="Times New Roman"/>
        </w:rPr>
        <w:t xml:space="preserve">Moreover, this paper has demonstrated how, via </w:t>
      </w:r>
      <w:r w:rsidR="005C0D28" w:rsidRPr="00226C37">
        <w:rPr>
          <w:rFonts w:ascii="Times New Roman" w:hAnsi="Times New Roman" w:cs="Times New Roman"/>
        </w:rPr>
        <w:t>several</w:t>
      </w:r>
      <w:r w:rsidR="00141F65" w:rsidRPr="00226C37">
        <w:rPr>
          <w:rFonts w:ascii="Times New Roman" w:hAnsi="Times New Roman" w:cs="Times New Roman"/>
        </w:rPr>
        <w:t xml:space="preserve"> procedural mechanisms, including direct and indirect actions before the CJEU, the </w:t>
      </w:r>
      <w:r w:rsidR="00D665F3" w:rsidRPr="00226C37">
        <w:rPr>
          <w:rFonts w:ascii="Times New Roman" w:hAnsi="Times New Roman" w:cs="Times New Roman"/>
        </w:rPr>
        <w:t xml:space="preserve">automatic </w:t>
      </w:r>
      <w:r w:rsidR="00141F65" w:rsidRPr="00226C37">
        <w:rPr>
          <w:rFonts w:ascii="Times New Roman" w:hAnsi="Times New Roman" w:cs="Times New Roman"/>
        </w:rPr>
        <w:t xml:space="preserve">exclusionary effect of </w:t>
      </w:r>
      <w:r w:rsidR="005A2FAC">
        <w:rPr>
          <w:rFonts w:ascii="Times New Roman" w:hAnsi="Times New Roman" w:cs="Times New Roman"/>
        </w:rPr>
        <w:t>art.</w:t>
      </w:r>
      <w:r w:rsidR="00141F65" w:rsidRPr="00226C37">
        <w:rPr>
          <w:rFonts w:ascii="Times New Roman" w:hAnsi="Times New Roman" w:cs="Times New Roman"/>
        </w:rPr>
        <w:t xml:space="preserve"> 10(2) TEU could be operationalised </w:t>
      </w:r>
      <w:r w:rsidR="005B307F" w:rsidRPr="00226C37">
        <w:rPr>
          <w:rFonts w:ascii="Times New Roman" w:hAnsi="Times New Roman" w:cs="Times New Roman"/>
        </w:rPr>
        <w:t>if</w:t>
      </w:r>
      <w:r w:rsidR="005C0D28" w:rsidRPr="00226C37">
        <w:rPr>
          <w:rFonts w:ascii="Times New Roman" w:hAnsi="Times New Roman" w:cs="Times New Roman"/>
        </w:rPr>
        <w:t xml:space="preserve"> a Member State ceased to fulfil the democratic accountability criterion</w:t>
      </w:r>
      <w:r w:rsidR="00491E45" w:rsidRPr="00226C37">
        <w:rPr>
          <w:rFonts w:ascii="Times New Roman" w:hAnsi="Times New Roman" w:cs="Times New Roman"/>
        </w:rPr>
        <w:t xml:space="preserve">. </w:t>
      </w:r>
      <w:r w:rsidR="008F35D9" w:rsidRPr="00226C37">
        <w:rPr>
          <w:rFonts w:ascii="Times New Roman" w:hAnsi="Times New Roman" w:cs="Times New Roman"/>
        </w:rPr>
        <w:t xml:space="preserve">Furthermore, it has been shown that </w:t>
      </w:r>
      <w:r w:rsidR="00A33550" w:rsidRPr="00226C37">
        <w:rPr>
          <w:rFonts w:ascii="Times New Roman" w:hAnsi="Times New Roman" w:cs="Times New Roman"/>
        </w:rPr>
        <w:t>some</w:t>
      </w:r>
      <w:r w:rsidR="008F35D9" w:rsidRPr="00226C37">
        <w:rPr>
          <w:rFonts w:ascii="Times New Roman" w:hAnsi="Times New Roman" w:cs="Times New Roman"/>
        </w:rPr>
        <w:t xml:space="preserve"> of these</w:t>
      </w:r>
      <w:r w:rsidR="00184137" w:rsidRPr="00226C37">
        <w:rPr>
          <w:rFonts w:ascii="Times New Roman" w:hAnsi="Times New Roman" w:cs="Times New Roman"/>
        </w:rPr>
        <w:t xml:space="preserve"> </w:t>
      </w:r>
      <w:r w:rsidR="008F35D9" w:rsidRPr="00226C37">
        <w:rPr>
          <w:rFonts w:ascii="Times New Roman" w:hAnsi="Times New Roman" w:cs="Times New Roman"/>
        </w:rPr>
        <w:t xml:space="preserve">procedural </w:t>
      </w:r>
      <w:r w:rsidR="005B307F" w:rsidRPr="00226C37">
        <w:rPr>
          <w:rFonts w:ascii="Times New Roman" w:hAnsi="Times New Roman" w:cs="Times New Roman"/>
        </w:rPr>
        <w:t>mechanism</w:t>
      </w:r>
      <w:r w:rsidR="00184137" w:rsidRPr="00226C37">
        <w:rPr>
          <w:rFonts w:ascii="Times New Roman" w:hAnsi="Times New Roman" w:cs="Times New Roman"/>
        </w:rPr>
        <w:t>s</w:t>
      </w:r>
      <w:r w:rsidR="008F35D9" w:rsidRPr="00226C37">
        <w:rPr>
          <w:rFonts w:ascii="Times New Roman" w:hAnsi="Times New Roman" w:cs="Times New Roman"/>
        </w:rPr>
        <w:t xml:space="preserve"> would be </w:t>
      </w:r>
      <w:r w:rsidR="00A33550" w:rsidRPr="00226C37">
        <w:rPr>
          <w:rFonts w:ascii="Times New Roman" w:hAnsi="Times New Roman" w:cs="Times New Roman"/>
        </w:rPr>
        <w:t>capable of utilisation by EU citizens in any Member State</w:t>
      </w:r>
      <w:r w:rsidR="00005C7F" w:rsidRPr="00226C37">
        <w:rPr>
          <w:rFonts w:ascii="Times New Roman" w:hAnsi="Times New Roman" w:cs="Times New Roman"/>
        </w:rPr>
        <w:t xml:space="preserve">, </w:t>
      </w:r>
      <w:r w:rsidR="00A16BD6" w:rsidRPr="00226C37">
        <w:rPr>
          <w:rFonts w:ascii="Times New Roman" w:hAnsi="Times New Roman" w:cs="Times New Roman"/>
        </w:rPr>
        <w:t xml:space="preserve">especially via </w:t>
      </w:r>
      <w:r w:rsidR="005A2FAC">
        <w:rPr>
          <w:rFonts w:ascii="Times New Roman" w:hAnsi="Times New Roman" w:cs="Times New Roman"/>
        </w:rPr>
        <w:t>art.</w:t>
      </w:r>
      <w:r w:rsidR="00A16BD6" w:rsidRPr="00226C37">
        <w:rPr>
          <w:rFonts w:ascii="Times New Roman" w:hAnsi="Times New Roman" w:cs="Times New Roman"/>
        </w:rPr>
        <w:t xml:space="preserve"> 267 TFEU indirect action</w:t>
      </w:r>
      <w:r w:rsidR="00650F93" w:rsidRPr="00226C37">
        <w:rPr>
          <w:rFonts w:ascii="Times New Roman" w:hAnsi="Times New Roman" w:cs="Times New Roman"/>
        </w:rPr>
        <w:t>s</w:t>
      </w:r>
      <w:r w:rsidR="00A16BD6" w:rsidRPr="00226C37">
        <w:rPr>
          <w:rFonts w:ascii="Times New Roman" w:hAnsi="Times New Roman" w:cs="Times New Roman"/>
        </w:rPr>
        <w:t xml:space="preserve"> to test the validity of acts adopted by the European Council or the Council while unlawfully constituted. The</w:t>
      </w:r>
      <w:r w:rsidR="00C742D0" w:rsidRPr="00226C37">
        <w:rPr>
          <w:rFonts w:ascii="Times New Roman" w:hAnsi="Times New Roman" w:cs="Times New Roman"/>
        </w:rPr>
        <w:t xml:space="preserve">se mechanisms would have the potential of sidestepping many of the issues, such as political unwillingness, that have bedevilled </w:t>
      </w:r>
      <w:r w:rsidR="005A2FAC">
        <w:rPr>
          <w:rFonts w:ascii="Times New Roman" w:hAnsi="Times New Roman" w:cs="Times New Roman"/>
        </w:rPr>
        <w:t>art.</w:t>
      </w:r>
      <w:r w:rsidR="00C742D0" w:rsidRPr="00226C37">
        <w:rPr>
          <w:rFonts w:ascii="Times New Roman" w:hAnsi="Times New Roman" w:cs="Times New Roman"/>
        </w:rPr>
        <w:t xml:space="preserve"> 7 TEU as a </w:t>
      </w:r>
      <w:r w:rsidR="00C742D0" w:rsidRPr="00226C37">
        <w:rPr>
          <w:rFonts w:ascii="Times New Roman" w:hAnsi="Times New Roman" w:cs="Times New Roman"/>
        </w:rPr>
        <w:lastRenderedPageBreak/>
        <w:t xml:space="preserve">means of </w:t>
      </w:r>
      <w:r w:rsidR="009E02D7" w:rsidRPr="00226C37">
        <w:rPr>
          <w:rFonts w:ascii="Times New Roman" w:hAnsi="Times New Roman" w:cs="Times New Roman"/>
        </w:rPr>
        <w:t>responding to democratic and rule of law backsliding.</w:t>
      </w:r>
      <w:r w:rsidR="00005C7F" w:rsidRPr="00226C37">
        <w:rPr>
          <w:rFonts w:ascii="Times New Roman" w:hAnsi="Times New Roman" w:cs="Times New Roman"/>
        </w:rPr>
        <w:t xml:space="preserve"> </w:t>
      </w:r>
      <w:r w:rsidR="00A33550" w:rsidRPr="00226C37">
        <w:rPr>
          <w:rFonts w:ascii="Times New Roman" w:hAnsi="Times New Roman" w:cs="Times New Roman"/>
        </w:rPr>
        <w:t xml:space="preserve"> </w:t>
      </w:r>
      <w:r w:rsidR="008F35D9" w:rsidRPr="00226C37">
        <w:rPr>
          <w:rFonts w:ascii="Times New Roman" w:hAnsi="Times New Roman" w:cs="Times New Roman"/>
        </w:rPr>
        <w:t>While it has been acknowledged in this paper</w:t>
      </w:r>
      <w:r w:rsidR="009E02D7" w:rsidRPr="00226C37">
        <w:rPr>
          <w:rFonts w:ascii="Times New Roman" w:hAnsi="Times New Roman" w:cs="Times New Roman"/>
        </w:rPr>
        <w:t xml:space="preserve"> that the operative interpretation and </w:t>
      </w:r>
      <w:proofErr w:type="spellStart"/>
      <w:r w:rsidR="009E02D7" w:rsidRPr="00226C37">
        <w:rPr>
          <w:rFonts w:ascii="Times New Roman" w:hAnsi="Times New Roman" w:cs="Times New Roman"/>
        </w:rPr>
        <w:t>instrumentalisation</w:t>
      </w:r>
      <w:proofErr w:type="spellEnd"/>
      <w:r w:rsidR="009E02D7" w:rsidRPr="00226C37">
        <w:rPr>
          <w:rFonts w:ascii="Times New Roman" w:hAnsi="Times New Roman" w:cs="Times New Roman"/>
        </w:rPr>
        <w:t xml:space="preserve"> </w:t>
      </w:r>
      <w:r w:rsidR="00EB3A88" w:rsidRPr="00226C37">
        <w:rPr>
          <w:rFonts w:ascii="Times New Roman" w:hAnsi="Times New Roman" w:cs="Times New Roman"/>
        </w:rPr>
        <w:t xml:space="preserve">of </w:t>
      </w:r>
      <w:r w:rsidR="005A2FAC">
        <w:rPr>
          <w:rFonts w:ascii="Times New Roman" w:hAnsi="Times New Roman" w:cs="Times New Roman"/>
        </w:rPr>
        <w:t>art.</w:t>
      </w:r>
      <w:r w:rsidR="00EB3A88" w:rsidRPr="00226C37">
        <w:rPr>
          <w:rFonts w:ascii="Times New Roman" w:hAnsi="Times New Roman" w:cs="Times New Roman"/>
        </w:rPr>
        <w:t xml:space="preserve"> 10 TEU advocated would give rise to </w:t>
      </w:r>
      <w:r w:rsidR="00C45D19" w:rsidRPr="00226C37">
        <w:rPr>
          <w:rFonts w:ascii="Times New Roman" w:hAnsi="Times New Roman" w:cs="Times New Roman"/>
        </w:rPr>
        <w:t xml:space="preserve">significant </w:t>
      </w:r>
      <w:r w:rsidR="00EB3A88" w:rsidRPr="00226C37">
        <w:rPr>
          <w:rFonts w:ascii="Times New Roman" w:hAnsi="Times New Roman" w:cs="Times New Roman"/>
        </w:rPr>
        <w:t>practical issues, such as legal uncertainty</w:t>
      </w:r>
      <w:r w:rsidR="00784755" w:rsidRPr="00226C37">
        <w:rPr>
          <w:rFonts w:ascii="Times New Roman" w:hAnsi="Times New Roman" w:cs="Times New Roman"/>
        </w:rPr>
        <w:t xml:space="preserve">, it is concluded that the </w:t>
      </w:r>
      <w:r w:rsidR="00D54A07" w:rsidRPr="00226C37">
        <w:rPr>
          <w:rFonts w:ascii="Times New Roman" w:hAnsi="Times New Roman" w:cs="Times New Roman"/>
        </w:rPr>
        <w:t xml:space="preserve">imperative of </w:t>
      </w:r>
      <w:r w:rsidR="00784755" w:rsidRPr="00226C37">
        <w:rPr>
          <w:rFonts w:ascii="Times New Roman" w:hAnsi="Times New Roman" w:cs="Times New Roman"/>
        </w:rPr>
        <w:t>protecti</w:t>
      </w:r>
      <w:r w:rsidR="00F6057E" w:rsidRPr="00226C37">
        <w:rPr>
          <w:rFonts w:ascii="Times New Roman" w:hAnsi="Times New Roman" w:cs="Times New Roman"/>
        </w:rPr>
        <w:t>ng</w:t>
      </w:r>
      <w:r w:rsidR="00784755" w:rsidRPr="00226C37">
        <w:rPr>
          <w:rFonts w:ascii="Times New Roman" w:hAnsi="Times New Roman" w:cs="Times New Roman"/>
        </w:rPr>
        <w:t xml:space="preserve"> of the</w:t>
      </w:r>
      <w:r w:rsidR="00BE2C30" w:rsidRPr="00226C37">
        <w:rPr>
          <w:rFonts w:ascii="Times New Roman" w:hAnsi="Times New Roman" w:cs="Times New Roman"/>
        </w:rPr>
        <w:t xml:space="preserve"> EU’s institutions</w:t>
      </w:r>
      <w:r w:rsidR="00784755" w:rsidRPr="00226C37">
        <w:rPr>
          <w:rFonts w:ascii="Times New Roman" w:hAnsi="Times New Roman" w:cs="Times New Roman"/>
        </w:rPr>
        <w:t xml:space="preserve"> </w:t>
      </w:r>
      <w:r w:rsidR="003B01BF" w:rsidRPr="00226C37">
        <w:rPr>
          <w:rFonts w:ascii="Times New Roman" w:hAnsi="Times New Roman" w:cs="Times New Roman"/>
        </w:rPr>
        <w:t xml:space="preserve">against </w:t>
      </w:r>
      <w:r w:rsidR="00BE2C30" w:rsidRPr="00226C37">
        <w:rPr>
          <w:rFonts w:ascii="Times New Roman" w:hAnsi="Times New Roman" w:cs="Times New Roman"/>
        </w:rPr>
        <w:t>infiltration by</w:t>
      </w:r>
      <w:r w:rsidR="002B76F7" w:rsidRPr="00226C37">
        <w:rPr>
          <w:rFonts w:ascii="Times New Roman" w:hAnsi="Times New Roman" w:cs="Times New Roman"/>
        </w:rPr>
        <w:t xml:space="preserve"> undemocratic Member States in violation of </w:t>
      </w:r>
      <w:r w:rsidR="005A2FAC">
        <w:rPr>
          <w:rFonts w:ascii="Times New Roman" w:hAnsi="Times New Roman" w:cs="Times New Roman"/>
        </w:rPr>
        <w:t>art.</w:t>
      </w:r>
      <w:r w:rsidR="002B76F7" w:rsidRPr="00226C37">
        <w:rPr>
          <w:rFonts w:ascii="Times New Roman" w:hAnsi="Times New Roman" w:cs="Times New Roman"/>
        </w:rPr>
        <w:t xml:space="preserve"> 10(1) TEU must take precedence over</w:t>
      </w:r>
      <w:r w:rsidR="00F34831" w:rsidRPr="00226C37">
        <w:rPr>
          <w:rFonts w:ascii="Times New Roman" w:hAnsi="Times New Roman" w:cs="Times New Roman"/>
        </w:rPr>
        <w:t xml:space="preserve"> these</w:t>
      </w:r>
      <w:r w:rsidR="002B76F7" w:rsidRPr="00226C37">
        <w:rPr>
          <w:rFonts w:ascii="Times New Roman" w:hAnsi="Times New Roman" w:cs="Times New Roman"/>
        </w:rPr>
        <w:t xml:space="preserve"> competing concerns</w:t>
      </w:r>
      <w:r w:rsidR="00427C02" w:rsidRPr="00226C37">
        <w:rPr>
          <w:rFonts w:ascii="Times New Roman" w:hAnsi="Times New Roman" w:cs="Times New Roman"/>
        </w:rPr>
        <w:t xml:space="preserve"> </w:t>
      </w:r>
      <w:r w:rsidR="00F45985" w:rsidRPr="00226C37">
        <w:rPr>
          <w:rFonts w:ascii="Times New Roman" w:hAnsi="Times New Roman" w:cs="Times New Roman"/>
        </w:rPr>
        <w:t>if the EU is truly to</w:t>
      </w:r>
      <w:r w:rsidR="00C10A10" w:rsidRPr="00226C37">
        <w:rPr>
          <w:rFonts w:ascii="Times New Roman" w:hAnsi="Times New Roman" w:cs="Times New Roman"/>
        </w:rPr>
        <w:t xml:space="preserve"> function as </w:t>
      </w:r>
      <w:r w:rsidR="00F45985" w:rsidRPr="00226C37">
        <w:rPr>
          <w:rFonts w:ascii="Times New Roman" w:hAnsi="Times New Roman" w:cs="Times New Roman"/>
        </w:rPr>
        <w:t xml:space="preserve">a </w:t>
      </w:r>
      <w:r w:rsidR="00CD6D09" w:rsidRPr="00226C37">
        <w:rPr>
          <w:rFonts w:ascii="Times New Roman" w:hAnsi="Times New Roman" w:cs="Times New Roman"/>
        </w:rPr>
        <w:t xml:space="preserve">fully </w:t>
      </w:r>
      <w:r w:rsidR="00F45985" w:rsidRPr="00226C37">
        <w:rPr>
          <w:rFonts w:ascii="Times New Roman" w:hAnsi="Times New Roman" w:cs="Times New Roman"/>
        </w:rPr>
        <w:t>representative democracy.</w:t>
      </w:r>
    </w:p>
    <w:sectPr w:rsidR="0025288C" w:rsidRPr="00226C3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8FBA" w14:textId="77777777" w:rsidR="001B3D9B" w:rsidRDefault="001B3D9B" w:rsidP="006F77D6">
      <w:r>
        <w:separator/>
      </w:r>
    </w:p>
  </w:endnote>
  <w:endnote w:type="continuationSeparator" w:id="0">
    <w:p w14:paraId="60BA40B5" w14:textId="77777777" w:rsidR="001B3D9B" w:rsidRDefault="001B3D9B" w:rsidP="006F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55704156"/>
      <w:docPartObj>
        <w:docPartGallery w:val="Page Numbers (Bottom of Page)"/>
        <w:docPartUnique/>
      </w:docPartObj>
    </w:sdtPr>
    <w:sdtEndPr>
      <w:rPr>
        <w:noProof/>
      </w:rPr>
    </w:sdtEndPr>
    <w:sdtContent>
      <w:p w14:paraId="10E6CFC9" w14:textId="75B6FED6" w:rsidR="001B3D9B" w:rsidRPr="00485871" w:rsidRDefault="001B3D9B">
        <w:pPr>
          <w:pStyle w:val="Footer"/>
          <w:jc w:val="right"/>
          <w:rPr>
            <w:rFonts w:ascii="Times New Roman" w:hAnsi="Times New Roman" w:cs="Times New Roman"/>
          </w:rPr>
        </w:pPr>
        <w:r w:rsidRPr="00485871">
          <w:rPr>
            <w:rFonts w:ascii="Times New Roman" w:hAnsi="Times New Roman" w:cs="Times New Roman"/>
          </w:rPr>
          <w:fldChar w:fldCharType="begin"/>
        </w:r>
        <w:r w:rsidRPr="00485871">
          <w:rPr>
            <w:rFonts w:ascii="Times New Roman" w:hAnsi="Times New Roman" w:cs="Times New Roman"/>
          </w:rPr>
          <w:instrText xml:space="preserve"> PAGE   \* MERGEFORMAT </w:instrText>
        </w:r>
        <w:r w:rsidRPr="00485871">
          <w:rPr>
            <w:rFonts w:ascii="Times New Roman" w:hAnsi="Times New Roman" w:cs="Times New Roman"/>
          </w:rPr>
          <w:fldChar w:fldCharType="separate"/>
        </w:r>
        <w:r w:rsidRPr="00485871">
          <w:rPr>
            <w:rFonts w:ascii="Times New Roman" w:hAnsi="Times New Roman" w:cs="Times New Roman"/>
            <w:noProof/>
          </w:rPr>
          <w:t>2</w:t>
        </w:r>
        <w:r w:rsidRPr="00485871">
          <w:rPr>
            <w:rFonts w:ascii="Times New Roman" w:hAnsi="Times New Roman" w:cs="Times New Roman"/>
            <w:noProof/>
          </w:rPr>
          <w:fldChar w:fldCharType="end"/>
        </w:r>
      </w:p>
    </w:sdtContent>
  </w:sdt>
  <w:p w14:paraId="0D5A5268" w14:textId="77777777" w:rsidR="001B3D9B" w:rsidRPr="000308A5" w:rsidRDefault="001B3D9B">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B69B" w14:textId="77777777" w:rsidR="001B3D9B" w:rsidRDefault="001B3D9B" w:rsidP="006F77D6">
      <w:r>
        <w:separator/>
      </w:r>
    </w:p>
  </w:footnote>
  <w:footnote w:type="continuationSeparator" w:id="0">
    <w:p w14:paraId="427A28E1" w14:textId="77777777" w:rsidR="001B3D9B" w:rsidRDefault="001B3D9B" w:rsidP="006F77D6">
      <w:r>
        <w:continuationSeparator/>
      </w:r>
    </w:p>
  </w:footnote>
  <w:footnote w:id="1">
    <w:p w14:paraId="64BB79CC" w14:textId="711C3504"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eastAsia="Symbol" w:hAnsi="Times New Roman" w:cs="Times New Roman"/>
          <w:sz w:val="18"/>
          <w:szCs w:val="18"/>
        </w:rPr>
        <w:t>*</w:t>
      </w:r>
      <w:r w:rsidRPr="00226C37">
        <w:rPr>
          <w:rFonts w:ascii="Times New Roman" w:hAnsi="Times New Roman" w:cs="Times New Roman"/>
          <w:sz w:val="18"/>
          <w:szCs w:val="18"/>
        </w:rPr>
        <w:t xml:space="preserve"> </w:t>
      </w:r>
      <w:r w:rsidR="00226C37" w:rsidRPr="00226C37">
        <w:rPr>
          <w:rFonts w:ascii="Times New Roman" w:hAnsi="Times New Roman" w:cs="Times New Roman"/>
          <w:sz w:val="18"/>
          <w:szCs w:val="18"/>
        </w:rPr>
        <w:t>Lecturer in law.</w:t>
      </w:r>
      <w:r w:rsidR="005A2FAC">
        <w:rPr>
          <w:rFonts w:ascii="Times New Roman" w:hAnsi="Times New Roman" w:cs="Times New Roman"/>
          <w:sz w:val="18"/>
          <w:szCs w:val="18"/>
        </w:rPr>
        <w:t xml:space="preserve"> The author would like to thank R. Daniel Kelemen, Laurent </w:t>
      </w:r>
      <w:proofErr w:type="spellStart"/>
      <w:r w:rsidR="005A2FAC">
        <w:rPr>
          <w:rFonts w:ascii="Times New Roman" w:hAnsi="Times New Roman" w:cs="Times New Roman"/>
          <w:sz w:val="18"/>
          <w:szCs w:val="18"/>
        </w:rPr>
        <w:t>Pech</w:t>
      </w:r>
      <w:proofErr w:type="spellEnd"/>
      <w:r w:rsidR="005A2FAC">
        <w:rPr>
          <w:rFonts w:ascii="Times New Roman" w:hAnsi="Times New Roman" w:cs="Times New Roman"/>
          <w:sz w:val="18"/>
          <w:szCs w:val="18"/>
        </w:rPr>
        <w:t xml:space="preserve">, Phil </w:t>
      </w:r>
      <w:proofErr w:type="spellStart"/>
      <w:r w:rsidR="005A2FAC">
        <w:rPr>
          <w:rFonts w:ascii="Times New Roman" w:hAnsi="Times New Roman" w:cs="Times New Roman"/>
          <w:sz w:val="18"/>
          <w:szCs w:val="18"/>
        </w:rPr>
        <w:t>Syrpis</w:t>
      </w:r>
      <w:proofErr w:type="spellEnd"/>
      <w:r w:rsidR="005A2FAC">
        <w:rPr>
          <w:rFonts w:ascii="Times New Roman" w:hAnsi="Times New Roman" w:cs="Times New Roman"/>
          <w:sz w:val="18"/>
          <w:szCs w:val="18"/>
        </w:rPr>
        <w:t xml:space="preserve">, and the anonymous reviewers for their comments on earlier drafts, as well as Steve Peers for his </w:t>
      </w:r>
      <w:r w:rsidR="00D04F38">
        <w:rPr>
          <w:rFonts w:ascii="Times New Roman" w:hAnsi="Times New Roman" w:cs="Times New Roman"/>
          <w:sz w:val="18"/>
          <w:szCs w:val="18"/>
        </w:rPr>
        <w:t xml:space="preserve">helpful </w:t>
      </w:r>
      <w:r w:rsidR="005A2FAC">
        <w:rPr>
          <w:rFonts w:ascii="Times New Roman" w:hAnsi="Times New Roman" w:cs="Times New Roman"/>
          <w:sz w:val="18"/>
          <w:szCs w:val="18"/>
        </w:rPr>
        <w:t xml:space="preserve">critical engagement </w:t>
      </w:r>
      <w:r w:rsidR="00D04F38">
        <w:rPr>
          <w:rFonts w:ascii="Times New Roman" w:hAnsi="Times New Roman" w:cs="Times New Roman"/>
          <w:sz w:val="18"/>
          <w:szCs w:val="18"/>
        </w:rPr>
        <w:t xml:space="preserve">with the author on the topic of this paper on social media. </w:t>
      </w:r>
    </w:p>
  </w:footnote>
  <w:footnote w:id="2">
    <w:p w14:paraId="073C7DA6" w14:textId="47E046B2"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D81016" w:rsidRPr="00226C37">
        <w:rPr>
          <w:rFonts w:ascii="Times New Roman" w:hAnsi="Times New Roman" w:cs="Times New Roman"/>
          <w:sz w:val="18"/>
          <w:szCs w:val="18"/>
        </w:rPr>
        <w:t xml:space="preserve">J.H.H. </w:t>
      </w:r>
      <w:proofErr w:type="spellStart"/>
      <w:r w:rsidRPr="00226C37">
        <w:rPr>
          <w:rFonts w:ascii="Times New Roman" w:hAnsi="Times New Roman" w:cs="Times New Roman"/>
          <w:sz w:val="18"/>
          <w:szCs w:val="18"/>
        </w:rPr>
        <w:t>Weiler</w:t>
      </w:r>
      <w:proofErr w:type="spellEnd"/>
      <w:r w:rsidRPr="00226C37">
        <w:rPr>
          <w:rFonts w:ascii="Times New Roman" w:hAnsi="Times New Roman" w:cs="Times New Roman"/>
          <w:sz w:val="18"/>
          <w:szCs w:val="18"/>
        </w:rPr>
        <w:t xml:space="preserve">, </w:t>
      </w:r>
      <w:r w:rsidR="00D81016" w:rsidRPr="00226C37">
        <w:rPr>
          <w:rFonts w:ascii="Times New Roman" w:hAnsi="Times New Roman" w:cs="Times New Roman"/>
          <w:sz w:val="18"/>
          <w:szCs w:val="18"/>
        </w:rPr>
        <w:t xml:space="preserve">U. </w:t>
      </w:r>
      <w:r w:rsidRPr="00226C37">
        <w:rPr>
          <w:rFonts w:ascii="Times New Roman" w:hAnsi="Times New Roman" w:cs="Times New Roman"/>
          <w:sz w:val="18"/>
          <w:szCs w:val="18"/>
        </w:rPr>
        <w:t xml:space="preserve">Haltern, and </w:t>
      </w:r>
      <w:r w:rsidR="00D81016" w:rsidRPr="00226C37">
        <w:rPr>
          <w:rFonts w:ascii="Times New Roman" w:hAnsi="Times New Roman" w:cs="Times New Roman"/>
          <w:sz w:val="18"/>
          <w:szCs w:val="18"/>
        </w:rPr>
        <w:t xml:space="preserve">F. </w:t>
      </w:r>
      <w:r w:rsidRPr="00226C37">
        <w:rPr>
          <w:rFonts w:ascii="Times New Roman" w:hAnsi="Times New Roman" w:cs="Times New Roman"/>
          <w:sz w:val="18"/>
          <w:szCs w:val="18"/>
        </w:rPr>
        <w:t>Mayer, “European Democracy and Its Critique”</w:t>
      </w:r>
      <w:r w:rsidR="00D81016" w:rsidRPr="00226C37">
        <w:rPr>
          <w:rFonts w:ascii="Times New Roman" w:hAnsi="Times New Roman" w:cs="Times New Roman"/>
          <w:sz w:val="18"/>
          <w:szCs w:val="18"/>
        </w:rPr>
        <w:t xml:space="preserve"> (1995)</w:t>
      </w:r>
      <w:r w:rsidRPr="00226C37">
        <w:rPr>
          <w:rFonts w:ascii="Times New Roman" w:hAnsi="Times New Roman" w:cs="Times New Roman"/>
          <w:sz w:val="18"/>
          <w:szCs w:val="18"/>
        </w:rPr>
        <w:t xml:space="preserve"> 18 W. Eur. Pol.</w:t>
      </w:r>
      <w:r w:rsidR="00D04F38">
        <w:rPr>
          <w:rFonts w:ascii="Times New Roman" w:hAnsi="Times New Roman" w:cs="Times New Roman"/>
          <w:sz w:val="18"/>
          <w:szCs w:val="18"/>
        </w:rPr>
        <w:t xml:space="preserve"> </w:t>
      </w:r>
      <w:r w:rsidRPr="00226C37">
        <w:rPr>
          <w:rFonts w:ascii="Times New Roman" w:hAnsi="Times New Roman" w:cs="Times New Roman"/>
          <w:sz w:val="18"/>
          <w:szCs w:val="18"/>
        </w:rPr>
        <w:t xml:space="preserve">4; </w:t>
      </w:r>
      <w:r w:rsidR="00D81016" w:rsidRPr="00226C37">
        <w:rPr>
          <w:rFonts w:ascii="Times New Roman" w:hAnsi="Times New Roman" w:cs="Times New Roman"/>
          <w:sz w:val="18"/>
          <w:szCs w:val="18"/>
        </w:rPr>
        <w:t xml:space="preserve">A. </w:t>
      </w:r>
      <w:proofErr w:type="spellStart"/>
      <w:r w:rsidRPr="00226C37">
        <w:rPr>
          <w:rFonts w:ascii="Times New Roman" w:hAnsi="Times New Roman" w:cs="Times New Roman"/>
          <w:sz w:val="18"/>
          <w:szCs w:val="18"/>
        </w:rPr>
        <w:t>Moravcsik</w:t>
      </w:r>
      <w:proofErr w:type="spellEnd"/>
      <w:r w:rsidRPr="00226C37">
        <w:rPr>
          <w:rFonts w:ascii="Times New Roman" w:hAnsi="Times New Roman" w:cs="Times New Roman"/>
          <w:sz w:val="18"/>
          <w:szCs w:val="18"/>
        </w:rPr>
        <w:t>, “Reassessing Legitimacy in the European Union”</w:t>
      </w:r>
      <w:r w:rsidR="00D04F38">
        <w:rPr>
          <w:rFonts w:ascii="Times New Roman" w:hAnsi="Times New Roman" w:cs="Times New Roman"/>
          <w:sz w:val="18"/>
          <w:szCs w:val="18"/>
        </w:rPr>
        <w:t xml:space="preserve"> </w:t>
      </w:r>
      <w:r w:rsidR="00D81016" w:rsidRPr="00226C37">
        <w:rPr>
          <w:rFonts w:ascii="Times New Roman" w:hAnsi="Times New Roman" w:cs="Times New Roman"/>
          <w:sz w:val="18"/>
          <w:szCs w:val="18"/>
        </w:rPr>
        <w:t xml:space="preserve">(2002) </w:t>
      </w:r>
      <w:r w:rsidRPr="00226C37">
        <w:rPr>
          <w:rFonts w:ascii="Times New Roman" w:hAnsi="Times New Roman" w:cs="Times New Roman"/>
          <w:sz w:val="18"/>
          <w:szCs w:val="18"/>
        </w:rPr>
        <w:t xml:space="preserve">40 JCMS 603; </w:t>
      </w:r>
      <w:r w:rsidR="00D81016" w:rsidRPr="00226C37">
        <w:rPr>
          <w:rFonts w:ascii="Times New Roman" w:hAnsi="Times New Roman" w:cs="Times New Roman"/>
          <w:sz w:val="18"/>
          <w:szCs w:val="18"/>
        </w:rPr>
        <w:t xml:space="preserve">A. </w:t>
      </w:r>
      <w:proofErr w:type="spellStart"/>
      <w:r w:rsidRPr="00226C37">
        <w:rPr>
          <w:rFonts w:ascii="Times New Roman" w:hAnsi="Times New Roman" w:cs="Times New Roman"/>
          <w:sz w:val="18"/>
          <w:szCs w:val="18"/>
        </w:rPr>
        <w:t>Føllesdal</w:t>
      </w:r>
      <w:proofErr w:type="spellEnd"/>
      <w:r w:rsidRPr="00226C37">
        <w:rPr>
          <w:rFonts w:ascii="Times New Roman" w:hAnsi="Times New Roman" w:cs="Times New Roman"/>
          <w:sz w:val="18"/>
          <w:szCs w:val="18"/>
        </w:rPr>
        <w:t xml:space="preserve"> and </w:t>
      </w:r>
      <w:r w:rsidR="00D81016" w:rsidRPr="00226C37">
        <w:rPr>
          <w:rFonts w:ascii="Times New Roman" w:hAnsi="Times New Roman" w:cs="Times New Roman"/>
          <w:sz w:val="18"/>
          <w:szCs w:val="18"/>
        </w:rPr>
        <w:t xml:space="preserve">S. </w:t>
      </w:r>
      <w:r w:rsidRPr="00226C37">
        <w:rPr>
          <w:rFonts w:ascii="Times New Roman" w:hAnsi="Times New Roman" w:cs="Times New Roman"/>
          <w:sz w:val="18"/>
          <w:szCs w:val="18"/>
        </w:rPr>
        <w:t xml:space="preserve">Hix, “Why There is a Democratic Deficit in the EU: A Response to </w:t>
      </w:r>
      <w:proofErr w:type="spellStart"/>
      <w:r w:rsidRPr="00226C37">
        <w:rPr>
          <w:rFonts w:ascii="Times New Roman" w:hAnsi="Times New Roman" w:cs="Times New Roman"/>
          <w:sz w:val="18"/>
          <w:szCs w:val="18"/>
        </w:rPr>
        <w:t>Majone</w:t>
      </w:r>
      <w:proofErr w:type="spellEnd"/>
      <w:r w:rsidRPr="00226C37">
        <w:rPr>
          <w:rFonts w:ascii="Times New Roman" w:hAnsi="Times New Roman" w:cs="Times New Roman"/>
          <w:sz w:val="18"/>
          <w:szCs w:val="18"/>
        </w:rPr>
        <w:t xml:space="preserve"> and </w:t>
      </w:r>
      <w:proofErr w:type="spellStart"/>
      <w:r w:rsidRPr="00226C37">
        <w:rPr>
          <w:rFonts w:ascii="Times New Roman" w:hAnsi="Times New Roman" w:cs="Times New Roman"/>
          <w:sz w:val="18"/>
          <w:szCs w:val="18"/>
        </w:rPr>
        <w:t>Moravczik</w:t>
      </w:r>
      <w:proofErr w:type="spellEnd"/>
      <w:r w:rsidRPr="00226C37">
        <w:rPr>
          <w:rFonts w:ascii="Times New Roman" w:hAnsi="Times New Roman" w:cs="Times New Roman"/>
          <w:sz w:val="18"/>
          <w:szCs w:val="18"/>
        </w:rPr>
        <w:t xml:space="preserve">” </w:t>
      </w:r>
      <w:r w:rsidR="00D81016" w:rsidRPr="00226C37">
        <w:rPr>
          <w:rFonts w:ascii="Times New Roman" w:hAnsi="Times New Roman" w:cs="Times New Roman"/>
          <w:sz w:val="18"/>
          <w:szCs w:val="18"/>
        </w:rPr>
        <w:t xml:space="preserve">(2006) </w:t>
      </w:r>
      <w:r w:rsidRPr="00226C37">
        <w:rPr>
          <w:rFonts w:ascii="Times New Roman" w:hAnsi="Times New Roman" w:cs="Times New Roman"/>
          <w:sz w:val="18"/>
          <w:szCs w:val="18"/>
        </w:rPr>
        <w:t>44 J</w:t>
      </w:r>
      <w:r w:rsidR="00485871">
        <w:rPr>
          <w:rFonts w:ascii="Times New Roman" w:hAnsi="Times New Roman" w:cs="Times New Roman"/>
          <w:sz w:val="18"/>
          <w:szCs w:val="18"/>
        </w:rPr>
        <w:t>.</w:t>
      </w:r>
      <w:r w:rsidRPr="00226C37">
        <w:rPr>
          <w:rFonts w:ascii="Times New Roman" w:hAnsi="Times New Roman" w:cs="Times New Roman"/>
          <w:sz w:val="18"/>
          <w:szCs w:val="18"/>
        </w:rPr>
        <w:t>C</w:t>
      </w:r>
      <w:r w:rsidR="00485871">
        <w:rPr>
          <w:rFonts w:ascii="Times New Roman" w:hAnsi="Times New Roman" w:cs="Times New Roman"/>
          <w:sz w:val="18"/>
          <w:szCs w:val="18"/>
        </w:rPr>
        <w:t>.</w:t>
      </w:r>
      <w:r w:rsidRPr="00226C37">
        <w:rPr>
          <w:rFonts w:ascii="Times New Roman" w:hAnsi="Times New Roman" w:cs="Times New Roman"/>
          <w:sz w:val="18"/>
          <w:szCs w:val="18"/>
        </w:rPr>
        <w:t>M</w:t>
      </w:r>
      <w:r w:rsidR="00485871">
        <w:rPr>
          <w:rFonts w:ascii="Times New Roman" w:hAnsi="Times New Roman" w:cs="Times New Roman"/>
          <w:sz w:val="18"/>
          <w:szCs w:val="18"/>
        </w:rPr>
        <w:t>.</w:t>
      </w:r>
      <w:r w:rsidRPr="00226C37">
        <w:rPr>
          <w:rFonts w:ascii="Times New Roman" w:hAnsi="Times New Roman" w:cs="Times New Roman"/>
          <w:sz w:val="18"/>
          <w:szCs w:val="18"/>
        </w:rPr>
        <w:t>S</w:t>
      </w:r>
      <w:r w:rsidR="00485871">
        <w:rPr>
          <w:rFonts w:ascii="Times New Roman" w:hAnsi="Times New Roman" w:cs="Times New Roman"/>
          <w:sz w:val="18"/>
          <w:szCs w:val="18"/>
        </w:rPr>
        <w:t>.</w:t>
      </w:r>
      <w:r w:rsidRPr="00226C37">
        <w:rPr>
          <w:rFonts w:ascii="Times New Roman" w:hAnsi="Times New Roman" w:cs="Times New Roman"/>
          <w:sz w:val="18"/>
          <w:szCs w:val="18"/>
        </w:rPr>
        <w:t xml:space="preserve"> 533. </w:t>
      </w:r>
    </w:p>
  </w:footnote>
  <w:footnote w:id="3">
    <w:p w14:paraId="33B2E12E" w14:textId="23566057"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D81016" w:rsidRPr="00226C37">
        <w:rPr>
          <w:rFonts w:ascii="Times New Roman" w:hAnsi="Times New Roman" w:cs="Times New Roman"/>
          <w:sz w:val="18"/>
          <w:szCs w:val="18"/>
        </w:rPr>
        <w:t xml:space="preserve">M. </w:t>
      </w:r>
      <w:proofErr w:type="spellStart"/>
      <w:r w:rsidRPr="00226C37">
        <w:rPr>
          <w:rFonts w:ascii="Times New Roman" w:hAnsi="Times New Roman" w:cs="Times New Roman"/>
          <w:sz w:val="18"/>
          <w:szCs w:val="18"/>
        </w:rPr>
        <w:t>Bánkuti</w:t>
      </w:r>
      <w:proofErr w:type="spellEnd"/>
      <w:r w:rsidRPr="00226C37">
        <w:rPr>
          <w:rFonts w:ascii="Times New Roman" w:hAnsi="Times New Roman" w:cs="Times New Roman"/>
          <w:sz w:val="18"/>
          <w:szCs w:val="18"/>
        </w:rPr>
        <w:t xml:space="preserve">, </w:t>
      </w:r>
      <w:r w:rsidR="00D81016" w:rsidRPr="00226C37">
        <w:rPr>
          <w:rFonts w:ascii="Times New Roman" w:hAnsi="Times New Roman" w:cs="Times New Roman"/>
          <w:sz w:val="18"/>
          <w:szCs w:val="18"/>
        </w:rPr>
        <w:t xml:space="preserve">G. </w:t>
      </w:r>
      <w:proofErr w:type="spellStart"/>
      <w:r w:rsidRPr="00226C37">
        <w:rPr>
          <w:rFonts w:ascii="Times New Roman" w:hAnsi="Times New Roman" w:cs="Times New Roman"/>
          <w:sz w:val="18"/>
          <w:szCs w:val="18"/>
        </w:rPr>
        <w:t>Halmai</w:t>
      </w:r>
      <w:proofErr w:type="spellEnd"/>
      <w:r w:rsidRPr="00226C37">
        <w:rPr>
          <w:rFonts w:ascii="Times New Roman" w:hAnsi="Times New Roman" w:cs="Times New Roman"/>
          <w:sz w:val="18"/>
          <w:szCs w:val="18"/>
        </w:rPr>
        <w:t xml:space="preserve">, and </w:t>
      </w:r>
      <w:r w:rsidR="00D81016" w:rsidRPr="00226C37">
        <w:rPr>
          <w:rFonts w:ascii="Times New Roman" w:hAnsi="Times New Roman" w:cs="Times New Roman"/>
          <w:sz w:val="18"/>
          <w:szCs w:val="18"/>
        </w:rPr>
        <w:t xml:space="preserve">K.L. </w:t>
      </w:r>
      <w:proofErr w:type="spellStart"/>
      <w:r w:rsidRPr="00226C37">
        <w:rPr>
          <w:rFonts w:ascii="Times New Roman" w:hAnsi="Times New Roman" w:cs="Times New Roman"/>
          <w:sz w:val="18"/>
          <w:szCs w:val="18"/>
        </w:rPr>
        <w:t>Scheppele</w:t>
      </w:r>
      <w:proofErr w:type="spellEnd"/>
      <w:r w:rsidRPr="00226C37">
        <w:rPr>
          <w:rFonts w:ascii="Times New Roman" w:hAnsi="Times New Roman" w:cs="Times New Roman"/>
          <w:sz w:val="18"/>
          <w:szCs w:val="18"/>
        </w:rPr>
        <w:t xml:space="preserve">, “Hungary’s Illiberal Turn: Disabling the Constitution” </w:t>
      </w:r>
      <w:r w:rsidR="00D81016" w:rsidRPr="00226C37">
        <w:rPr>
          <w:rFonts w:ascii="Times New Roman" w:hAnsi="Times New Roman" w:cs="Times New Roman"/>
          <w:sz w:val="18"/>
          <w:szCs w:val="18"/>
        </w:rPr>
        <w:t xml:space="preserve">(2012) </w:t>
      </w:r>
      <w:r w:rsidRPr="00226C37">
        <w:rPr>
          <w:rFonts w:ascii="Times New Roman" w:hAnsi="Times New Roman" w:cs="Times New Roman"/>
          <w:sz w:val="18"/>
          <w:szCs w:val="18"/>
        </w:rPr>
        <w:t xml:space="preserve">23 </w:t>
      </w:r>
      <w:r w:rsidRPr="00226C37">
        <w:rPr>
          <w:rFonts w:ascii="Times New Roman" w:hAnsi="Times New Roman" w:cs="Times New Roman"/>
          <w:i/>
          <w:iCs/>
          <w:sz w:val="18"/>
          <w:szCs w:val="18"/>
        </w:rPr>
        <w:t>Journal of Democracy</w:t>
      </w:r>
      <w:r w:rsidR="00D04F38">
        <w:rPr>
          <w:rFonts w:ascii="Times New Roman" w:hAnsi="Times New Roman" w:cs="Times New Roman"/>
          <w:sz w:val="18"/>
          <w:szCs w:val="18"/>
        </w:rPr>
        <w:t xml:space="preserve"> </w:t>
      </w:r>
      <w:r w:rsidRPr="00226C37">
        <w:rPr>
          <w:rFonts w:ascii="Times New Roman" w:hAnsi="Times New Roman" w:cs="Times New Roman"/>
          <w:sz w:val="18"/>
          <w:szCs w:val="18"/>
        </w:rPr>
        <w:t xml:space="preserve">138; </w:t>
      </w:r>
      <w:r w:rsidR="00D81016" w:rsidRPr="00226C37">
        <w:rPr>
          <w:rFonts w:ascii="Times New Roman" w:hAnsi="Times New Roman" w:cs="Times New Roman"/>
          <w:sz w:val="18"/>
          <w:szCs w:val="18"/>
        </w:rPr>
        <w:t xml:space="preserve">J.W. </w:t>
      </w:r>
      <w:r w:rsidRPr="00226C37">
        <w:rPr>
          <w:rFonts w:ascii="Times New Roman" w:hAnsi="Times New Roman" w:cs="Times New Roman"/>
          <w:sz w:val="18"/>
          <w:szCs w:val="18"/>
        </w:rPr>
        <w:t>Müller, “Europe’s Other Democracy Problem”</w:t>
      </w:r>
      <w:r w:rsidR="00D04F38">
        <w:rPr>
          <w:rFonts w:ascii="Times New Roman" w:hAnsi="Times New Roman" w:cs="Times New Roman"/>
          <w:sz w:val="18"/>
          <w:szCs w:val="18"/>
        </w:rPr>
        <w:t xml:space="preserve"> </w:t>
      </w:r>
      <w:r w:rsidR="00D81016" w:rsidRPr="00226C37">
        <w:rPr>
          <w:rFonts w:ascii="Times New Roman" w:hAnsi="Times New Roman" w:cs="Times New Roman"/>
          <w:sz w:val="18"/>
          <w:szCs w:val="18"/>
        </w:rPr>
        <w:t xml:space="preserve">(2014) </w:t>
      </w:r>
      <w:r w:rsidRPr="00226C37">
        <w:rPr>
          <w:rFonts w:ascii="Times New Roman" w:hAnsi="Times New Roman" w:cs="Times New Roman"/>
          <w:sz w:val="18"/>
          <w:szCs w:val="18"/>
        </w:rPr>
        <w:t xml:space="preserve">21 </w:t>
      </w:r>
      <w:r w:rsidRPr="00226C37">
        <w:rPr>
          <w:rFonts w:ascii="Times New Roman" w:hAnsi="Times New Roman" w:cs="Times New Roman"/>
          <w:i/>
          <w:iCs/>
          <w:sz w:val="18"/>
          <w:szCs w:val="18"/>
        </w:rPr>
        <w:t>Juncture</w:t>
      </w:r>
      <w:r w:rsidRPr="00226C37">
        <w:rPr>
          <w:rFonts w:ascii="Times New Roman" w:hAnsi="Times New Roman" w:cs="Times New Roman"/>
          <w:sz w:val="18"/>
          <w:szCs w:val="18"/>
        </w:rPr>
        <w:t xml:space="preserve"> 151; </w:t>
      </w:r>
      <w:r w:rsidR="00D81016" w:rsidRPr="00226C37">
        <w:rPr>
          <w:rFonts w:ascii="Times New Roman" w:hAnsi="Times New Roman" w:cs="Times New Roman"/>
          <w:sz w:val="18"/>
          <w:szCs w:val="18"/>
        </w:rPr>
        <w:t xml:space="preserve">R.D. </w:t>
      </w:r>
      <w:r w:rsidRPr="00226C37">
        <w:rPr>
          <w:rFonts w:ascii="Times New Roman" w:hAnsi="Times New Roman" w:cs="Times New Roman"/>
          <w:sz w:val="18"/>
          <w:szCs w:val="18"/>
        </w:rPr>
        <w:t xml:space="preserve">Kelemen, “Europe’s Other Democratic Deficit: National Authoritarianism in Europe’s Democratic Union” </w:t>
      </w:r>
      <w:r w:rsidR="00D81016" w:rsidRPr="00226C37">
        <w:rPr>
          <w:rFonts w:ascii="Times New Roman" w:hAnsi="Times New Roman" w:cs="Times New Roman"/>
          <w:sz w:val="18"/>
          <w:szCs w:val="18"/>
        </w:rPr>
        <w:t xml:space="preserve">(2017) </w:t>
      </w:r>
      <w:r w:rsidRPr="00226C37">
        <w:rPr>
          <w:rFonts w:ascii="Times New Roman" w:hAnsi="Times New Roman" w:cs="Times New Roman"/>
          <w:sz w:val="18"/>
          <w:szCs w:val="18"/>
        </w:rPr>
        <w:t>52 Gov’t &amp; Oppos</w:t>
      </w:r>
      <w:r w:rsidR="00D04F38">
        <w:rPr>
          <w:rFonts w:ascii="Times New Roman" w:hAnsi="Times New Roman" w:cs="Times New Roman"/>
          <w:sz w:val="18"/>
          <w:szCs w:val="18"/>
        </w:rPr>
        <w:t>.</w:t>
      </w:r>
      <w:r w:rsidRPr="00226C37">
        <w:rPr>
          <w:rFonts w:ascii="Times New Roman" w:hAnsi="Times New Roman" w:cs="Times New Roman"/>
          <w:sz w:val="18"/>
          <w:szCs w:val="18"/>
        </w:rPr>
        <w:t xml:space="preserve"> 211; </w:t>
      </w:r>
      <w:r w:rsidR="00D81016" w:rsidRPr="00226C37">
        <w:rPr>
          <w:rFonts w:ascii="Times New Roman" w:hAnsi="Times New Roman" w:cs="Times New Roman"/>
          <w:sz w:val="18"/>
          <w:szCs w:val="18"/>
        </w:rPr>
        <w:t xml:space="preserve">P. </w:t>
      </w:r>
      <w:proofErr w:type="spellStart"/>
      <w:r w:rsidRPr="00226C37">
        <w:rPr>
          <w:rFonts w:ascii="Times New Roman" w:hAnsi="Times New Roman" w:cs="Times New Roman"/>
          <w:sz w:val="18"/>
          <w:szCs w:val="18"/>
        </w:rPr>
        <w:t>Bárd</w:t>
      </w:r>
      <w:proofErr w:type="spellEnd"/>
      <w:r w:rsidRPr="00226C37">
        <w:rPr>
          <w:rFonts w:ascii="Times New Roman" w:hAnsi="Times New Roman" w:cs="Times New Roman"/>
          <w:sz w:val="18"/>
          <w:szCs w:val="18"/>
        </w:rPr>
        <w:t xml:space="preserve"> and </w:t>
      </w:r>
      <w:r w:rsidR="00D81016" w:rsidRPr="00226C37">
        <w:rPr>
          <w:rFonts w:ascii="Times New Roman" w:hAnsi="Times New Roman" w:cs="Times New Roman"/>
          <w:sz w:val="18"/>
          <w:szCs w:val="18"/>
        </w:rPr>
        <w:t xml:space="preserve">L. </w:t>
      </w:r>
      <w:proofErr w:type="spellStart"/>
      <w:r w:rsidRPr="00226C37">
        <w:rPr>
          <w:rFonts w:ascii="Times New Roman" w:hAnsi="Times New Roman" w:cs="Times New Roman"/>
          <w:sz w:val="18"/>
          <w:szCs w:val="18"/>
        </w:rPr>
        <w:t>Pech</w:t>
      </w:r>
      <w:proofErr w:type="spellEnd"/>
      <w:r w:rsidRPr="00226C37">
        <w:rPr>
          <w:rFonts w:ascii="Times New Roman" w:hAnsi="Times New Roman" w:cs="Times New Roman"/>
          <w:sz w:val="18"/>
          <w:szCs w:val="18"/>
        </w:rPr>
        <w:t xml:space="preserve">, “How to build and consolidate a partly free pseudo democracy by constitutional means in three steps: The ‘Hungarian’ Model”, RECONNECT Working Paper No. 4, October 2019, </w:t>
      </w:r>
      <w:hyperlink r:id="rId1" w:history="1">
        <w:r w:rsidRPr="00226C37">
          <w:rPr>
            <w:rStyle w:val="Hyperlink"/>
            <w:rFonts w:ascii="Times New Roman" w:hAnsi="Times New Roman" w:cs="Times New Roman"/>
            <w:sz w:val="18"/>
            <w:szCs w:val="18"/>
          </w:rPr>
          <w:t>https://reconnect-europe.eu/wp-content/uploads/2019/10/RECONNECT-WP4-final.pdf</w:t>
        </w:r>
      </w:hyperlink>
      <w:r w:rsidRPr="00226C37">
        <w:rPr>
          <w:rFonts w:ascii="Times New Roman" w:hAnsi="Times New Roman" w:cs="Times New Roman"/>
          <w:sz w:val="18"/>
          <w:szCs w:val="18"/>
        </w:rPr>
        <w:t xml:space="preserve">, (last visited </w:t>
      </w:r>
      <w:r w:rsidR="00DF747B" w:rsidRPr="00226C37">
        <w:rPr>
          <w:rFonts w:ascii="Times New Roman" w:hAnsi="Times New Roman" w:cs="Times New Roman"/>
          <w:sz w:val="18"/>
          <w:szCs w:val="18"/>
        </w:rPr>
        <w:t>2 Aug</w:t>
      </w:r>
      <w:r w:rsidR="00EB1622">
        <w:rPr>
          <w:rFonts w:ascii="Times New Roman" w:hAnsi="Times New Roman" w:cs="Times New Roman"/>
          <w:sz w:val="18"/>
          <w:szCs w:val="18"/>
        </w:rPr>
        <w:t>ust</w:t>
      </w:r>
      <w:r w:rsidRPr="00226C37">
        <w:rPr>
          <w:rFonts w:ascii="Times New Roman" w:hAnsi="Times New Roman" w:cs="Times New Roman"/>
          <w:sz w:val="18"/>
          <w:szCs w:val="18"/>
        </w:rPr>
        <w:t xml:space="preserve"> 2021). </w:t>
      </w:r>
    </w:p>
  </w:footnote>
  <w:footnote w:id="4">
    <w:p w14:paraId="27757ECB" w14:textId="18CB0A0C"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226C37" w:rsidRPr="00226C37">
        <w:rPr>
          <w:rFonts w:ascii="Times New Roman" w:hAnsi="Times New Roman" w:cs="Times New Roman"/>
          <w:sz w:val="18"/>
          <w:szCs w:val="18"/>
        </w:rPr>
        <w:t xml:space="preserve">R. </w:t>
      </w:r>
      <w:r w:rsidRPr="00226C37">
        <w:rPr>
          <w:rFonts w:ascii="Times New Roman" w:hAnsi="Times New Roman" w:cs="Times New Roman"/>
          <w:sz w:val="18"/>
          <w:szCs w:val="18"/>
        </w:rPr>
        <w:t xml:space="preserve">Geiger </w:t>
      </w:r>
      <w:bookmarkStart w:id="1" w:name="_Hlk84450598"/>
      <w:r w:rsidRPr="00226C37">
        <w:rPr>
          <w:rFonts w:ascii="Times New Roman" w:hAnsi="Times New Roman" w:cs="Times New Roman"/>
          <w:sz w:val="18"/>
          <w:szCs w:val="18"/>
        </w:rPr>
        <w:t xml:space="preserve">in </w:t>
      </w:r>
      <w:r w:rsidR="00226C37" w:rsidRPr="00226C37">
        <w:rPr>
          <w:rFonts w:ascii="Times New Roman" w:hAnsi="Times New Roman" w:cs="Times New Roman"/>
          <w:sz w:val="18"/>
          <w:szCs w:val="18"/>
        </w:rPr>
        <w:t xml:space="preserve">R. </w:t>
      </w:r>
      <w:r w:rsidRPr="00226C37">
        <w:rPr>
          <w:rFonts w:ascii="Times New Roman" w:hAnsi="Times New Roman" w:cs="Times New Roman"/>
          <w:sz w:val="18"/>
          <w:szCs w:val="18"/>
        </w:rPr>
        <w:t xml:space="preserve">Geiger, </w:t>
      </w:r>
      <w:r w:rsidR="00226C37" w:rsidRPr="00226C37">
        <w:rPr>
          <w:rFonts w:ascii="Times New Roman" w:hAnsi="Times New Roman" w:cs="Times New Roman"/>
          <w:sz w:val="18"/>
          <w:szCs w:val="18"/>
        </w:rPr>
        <w:t xml:space="preserve">D.E. </w:t>
      </w:r>
      <w:r w:rsidRPr="00226C37">
        <w:rPr>
          <w:rFonts w:ascii="Times New Roman" w:hAnsi="Times New Roman" w:cs="Times New Roman"/>
          <w:sz w:val="18"/>
          <w:szCs w:val="18"/>
        </w:rPr>
        <w:t xml:space="preserve">Khan, and </w:t>
      </w:r>
      <w:r w:rsidR="00226C37" w:rsidRPr="00226C37">
        <w:rPr>
          <w:rFonts w:ascii="Times New Roman" w:hAnsi="Times New Roman" w:cs="Times New Roman"/>
          <w:sz w:val="18"/>
          <w:szCs w:val="18"/>
        </w:rPr>
        <w:t xml:space="preserve">M. </w:t>
      </w:r>
      <w:proofErr w:type="spellStart"/>
      <w:r w:rsidRPr="00226C37">
        <w:rPr>
          <w:rFonts w:ascii="Times New Roman" w:hAnsi="Times New Roman" w:cs="Times New Roman"/>
          <w:sz w:val="18"/>
          <w:szCs w:val="18"/>
        </w:rPr>
        <w:t>Kotzur</w:t>
      </w:r>
      <w:proofErr w:type="spellEnd"/>
      <w:r w:rsidRPr="00226C37">
        <w:rPr>
          <w:rFonts w:ascii="Times New Roman" w:hAnsi="Times New Roman" w:cs="Times New Roman"/>
          <w:sz w:val="18"/>
          <w:szCs w:val="18"/>
        </w:rPr>
        <w:t xml:space="preserve"> (</w:t>
      </w:r>
      <w:r w:rsidR="00226C37" w:rsidRPr="00226C37">
        <w:rPr>
          <w:rFonts w:ascii="Times New Roman" w:hAnsi="Times New Roman" w:cs="Times New Roman"/>
          <w:sz w:val="18"/>
          <w:szCs w:val="18"/>
        </w:rPr>
        <w:t>e</w:t>
      </w:r>
      <w:r w:rsidRPr="00226C37">
        <w:rPr>
          <w:rFonts w:ascii="Times New Roman" w:hAnsi="Times New Roman" w:cs="Times New Roman"/>
          <w:sz w:val="18"/>
          <w:szCs w:val="18"/>
        </w:rPr>
        <w:t xml:space="preserve">ds), </w:t>
      </w:r>
      <w:r w:rsidRPr="00226C37">
        <w:rPr>
          <w:rFonts w:ascii="Times New Roman" w:hAnsi="Times New Roman" w:cs="Times New Roman"/>
          <w:i/>
          <w:iCs/>
          <w:sz w:val="18"/>
          <w:szCs w:val="18"/>
        </w:rPr>
        <w:t xml:space="preserve">European Union Treaties: A Commentary </w:t>
      </w:r>
      <w:bookmarkEnd w:id="1"/>
      <w:r w:rsidRPr="00226C37">
        <w:rPr>
          <w:rFonts w:ascii="Times New Roman" w:hAnsi="Times New Roman" w:cs="Times New Roman"/>
          <w:sz w:val="18"/>
          <w:szCs w:val="18"/>
        </w:rPr>
        <w:t>(</w:t>
      </w:r>
      <w:r w:rsidR="00226C37" w:rsidRPr="00226C37">
        <w:rPr>
          <w:rFonts w:ascii="Times New Roman" w:hAnsi="Times New Roman" w:cs="Times New Roman"/>
          <w:sz w:val="18"/>
          <w:szCs w:val="18"/>
        </w:rPr>
        <w:t xml:space="preserve">Oxford: </w:t>
      </w:r>
      <w:r w:rsidRPr="00226C37">
        <w:rPr>
          <w:rFonts w:ascii="Times New Roman" w:hAnsi="Times New Roman" w:cs="Times New Roman"/>
          <w:sz w:val="18"/>
          <w:szCs w:val="18"/>
        </w:rPr>
        <w:t xml:space="preserve">Hart, 2015), pp.66-67. </w:t>
      </w:r>
    </w:p>
  </w:footnote>
  <w:footnote w:id="5">
    <w:p w14:paraId="618DF601" w14:textId="2A7D5B40"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226C37" w:rsidRPr="00226C37">
        <w:rPr>
          <w:rFonts w:ascii="Times New Roman" w:hAnsi="Times New Roman" w:cs="Times New Roman"/>
          <w:sz w:val="18"/>
          <w:szCs w:val="18"/>
        </w:rPr>
        <w:t xml:space="preserve">J. </w:t>
      </w:r>
      <w:r w:rsidRPr="00226C37">
        <w:rPr>
          <w:rFonts w:ascii="Times New Roman" w:hAnsi="Times New Roman" w:cs="Times New Roman"/>
          <w:sz w:val="18"/>
          <w:szCs w:val="18"/>
        </w:rPr>
        <w:t xml:space="preserve">Porras Ramirez in </w:t>
      </w:r>
      <w:r w:rsidR="00226C37" w:rsidRPr="00226C37">
        <w:rPr>
          <w:rFonts w:ascii="Times New Roman" w:hAnsi="Times New Roman" w:cs="Times New Roman"/>
          <w:sz w:val="18"/>
          <w:szCs w:val="18"/>
        </w:rPr>
        <w:t xml:space="preserve">H.J. </w:t>
      </w:r>
      <w:proofErr w:type="spellStart"/>
      <w:r w:rsidRPr="00226C37">
        <w:rPr>
          <w:rFonts w:ascii="Times New Roman" w:hAnsi="Times New Roman" w:cs="Times New Roman"/>
          <w:sz w:val="18"/>
          <w:szCs w:val="18"/>
        </w:rPr>
        <w:t>Blanke</w:t>
      </w:r>
      <w:proofErr w:type="spellEnd"/>
      <w:r w:rsidRPr="00226C37">
        <w:rPr>
          <w:rFonts w:ascii="Times New Roman" w:hAnsi="Times New Roman" w:cs="Times New Roman"/>
          <w:sz w:val="18"/>
          <w:szCs w:val="18"/>
        </w:rPr>
        <w:t xml:space="preserve"> and</w:t>
      </w:r>
      <w:r w:rsidR="00226C37" w:rsidRPr="00226C37">
        <w:rPr>
          <w:rFonts w:ascii="Times New Roman" w:hAnsi="Times New Roman" w:cs="Times New Roman"/>
          <w:sz w:val="18"/>
          <w:szCs w:val="18"/>
        </w:rPr>
        <w:t xml:space="preserve"> S.</w:t>
      </w:r>
      <w:r w:rsidRPr="00226C37">
        <w:rPr>
          <w:rFonts w:ascii="Times New Roman" w:hAnsi="Times New Roman" w:cs="Times New Roman"/>
          <w:sz w:val="18"/>
          <w:szCs w:val="18"/>
        </w:rPr>
        <w:t xml:space="preserve"> Mangiameli (</w:t>
      </w:r>
      <w:r w:rsidR="00226C37" w:rsidRPr="00226C37">
        <w:rPr>
          <w:rFonts w:ascii="Times New Roman" w:hAnsi="Times New Roman" w:cs="Times New Roman"/>
          <w:sz w:val="18"/>
          <w:szCs w:val="18"/>
        </w:rPr>
        <w:t>e</w:t>
      </w:r>
      <w:r w:rsidRPr="00226C37">
        <w:rPr>
          <w:rFonts w:ascii="Times New Roman" w:hAnsi="Times New Roman" w:cs="Times New Roman"/>
          <w:sz w:val="18"/>
          <w:szCs w:val="18"/>
        </w:rPr>
        <w:t xml:space="preserve">ds), </w:t>
      </w:r>
      <w:r w:rsidRPr="00226C37">
        <w:rPr>
          <w:rFonts w:ascii="Times New Roman" w:hAnsi="Times New Roman" w:cs="Times New Roman"/>
          <w:i/>
          <w:iCs/>
          <w:sz w:val="18"/>
          <w:szCs w:val="18"/>
        </w:rPr>
        <w:t>The Treaty on European Union (TEU)</w:t>
      </w:r>
      <w:r w:rsidRPr="00226C37">
        <w:rPr>
          <w:rFonts w:ascii="Times New Roman" w:hAnsi="Times New Roman" w:cs="Times New Roman"/>
          <w:sz w:val="18"/>
          <w:szCs w:val="18"/>
        </w:rPr>
        <w:t xml:space="preserve"> (</w:t>
      </w:r>
      <w:r w:rsidR="00226C37" w:rsidRPr="00226C37">
        <w:rPr>
          <w:rFonts w:ascii="Times New Roman" w:hAnsi="Times New Roman" w:cs="Times New Roman"/>
          <w:sz w:val="18"/>
          <w:szCs w:val="18"/>
        </w:rPr>
        <w:t xml:space="preserve">Heidelberg: </w:t>
      </w:r>
      <w:r w:rsidRPr="00226C37">
        <w:rPr>
          <w:rFonts w:ascii="Times New Roman" w:hAnsi="Times New Roman" w:cs="Times New Roman"/>
          <w:sz w:val="18"/>
          <w:szCs w:val="18"/>
        </w:rPr>
        <w:t xml:space="preserve">Springer, 2013), pp.421-426. </w:t>
      </w:r>
    </w:p>
  </w:footnote>
  <w:footnote w:id="6">
    <w:p w14:paraId="1E23706A" w14:textId="49FA6D98"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In this regard, the role of national parliaments in “contributing actively to the good functioning of the Union” should be noted: Art. 12 TEU, Protocol (No1) on the Role of National Parliaments in the European Union, and Protocol (No 2) on the Application of the Principles of Subsidiarity and Proportionality.  </w:t>
      </w:r>
    </w:p>
  </w:footnote>
  <w:footnote w:id="7">
    <w:p w14:paraId="509C4323" w14:textId="2E1242E2"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Art</w:t>
      </w:r>
      <w:r w:rsidR="00D04F38">
        <w:rPr>
          <w:rFonts w:ascii="Times New Roman" w:hAnsi="Times New Roman" w:cs="Times New Roman"/>
          <w:sz w:val="18"/>
          <w:szCs w:val="18"/>
        </w:rPr>
        <w:t>icle</w:t>
      </w:r>
      <w:r w:rsidRPr="00226C37">
        <w:rPr>
          <w:rFonts w:ascii="Times New Roman" w:hAnsi="Times New Roman" w:cs="Times New Roman"/>
          <w:sz w:val="18"/>
          <w:szCs w:val="18"/>
        </w:rPr>
        <w:t xml:space="preserve"> 16(4) TEU.</w:t>
      </w:r>
    </w:p>
  </w:footnote>
  <w:footnote w:id="8">
    <w:p w14:paraId="15C86B23" w14:textId="55EEC38B"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Art</w:t>
      </w:r>
      <w:r w:rsidR="00D04F38">
        <w:rPr>
          <w:rFonts w:ascii="Times New Roman" w:hAnsi="Times New Roman" w:cs="Times New Roman"/>
          <w:sz w:val="18"/>
          <w:szCs w:val="18"/>
        </w:rPr>
        <w:t>icle</w:t>
      </w:r>
      <w:r w:rsidRPr="00226C37">
        <w:rPr>
          <w:rFonts w:ascii="Times New Roman" w:hAnsi="Times New Roman" w:cs="Times New Roman"/>
          <w:sz w:val="18"/>
          <w:szCs w:val="18"/>
        </w:rPr>
        <w:t xml:space="preserve"> 15(4) TEU.</w:t>
      </w:r>
    </w:p>
  </w:footnote>
  <w:footnote w:id="9">
    <w:p w14:paraId="44C2D3E3" w14:textId="74BBEE0F" w:rsidR="001B3D9B" w:rsidRPr="00226C37" w:rsidRDefault="001B3D9B" w:rsidP="008F638B">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This </w:t>
      </w:r>
      <w:r w:rsidR="00EF639D" w:rsidRPr="00226C37">
        <w:rPr>
          <w:rFonts w:ascii="Times New Roman" w:hAnsi="Times New Roman" w:cs="Times New Roman"/>
          <w:sz w:val="18"/>
          <w:szCs w:val="18"/>
        </w:rPr>
        <w:t>was</w:t>
      </w:r>
      <w:r w:rsidRPr="00226C37">
        <w:rPr>
          <w:rFonts w:ascii="Times New Roman" w:hAnsi="Times New Roman" w:cs="Times New Roman"/>
          <w:sz w:val="18"/>
          <w:szCs w:val="18"/>
        </w:rPr>
        <w:t xml:space="preserve"> recognised by the German Federal Constitutional Court in its judgment on the Lisbon Treaty, in which the Court, according to Geiger, appeared to “consider[] the path from national parliament to the Council via the national governments as the decisive element for democratically legitimating … EU activities” (Geige</w:t>
      </w:r>
      <w:r w:rsidR="002C335E">
        <w:rPr>
          <w:rFonts w:ascii="Times New Roman" w:hAnsi="Times New Roman" w:cs="Times New Roman"/>
          <w:sz w:val="18"/>
          <w:szCs w:val="18"/>
        </w:rPr>
        <w:t xml:space="preserve">r in </w:t>
      </w:r>
      <w:r w:rsidR="002C335E" w:rsidRPr="00226C37">
        <w:rPr>
          <w:rFonts w:ascii="Times New Roman" w:hAnsi="Times New Roman" w:cs="Times New Roman"/>
          <w:sz w:val="18"/>
          <w:szCs w:val="18"/>
        </w:rPr>
        <w:t xml:space="preserve">Geiger in Geiger, Khan, and </w:t>
      </w:r>
      <w:proofErr w:type="spellStart"/>
      <w:r w:rsidR="002C335E" w:rsidRPr="00226C37">
        <w:rPr>
          <w:rFonts w:ascii="Times New Roman" w:hAnsi="Times New Roman" w:cs="Times New Roman"/>
          <w:sz w:val="18"/>
          <w:szCs w:val="18"/>
        </w:rPr>
        <w:t>Kotzur</w:t>
      </w:r>
      <w:proofErr w:type="spellEnd"/>
      <w:r w:rsidR="002C335E" w:rsidRPr="00226C37">
        <w:rPr>
          <w:rFonts w:ascii="Times New Roman" w:hAnsi="Times New Roman" w:cs="Times New Roman"/>
          <w:sz w:val="18"/>
          <w:szCs w:val="18"/>
        </w:rPr>
        <w:t xml:space="preserve"> (eds), </w:t>
      </w:r>
      <w:r w:rsidR="002C335E" w:rsidRPr="00226C37">
        <w:rPr>
          <w:rFonts w:ascii="Times New Roman" w:hAnsi="Times New Roman" w:cs="Times New Roman"/>
          <w:i/>
          <w:iCs/>
          <w:sz w:val="18"/>
          <w:szCs w:val="18"/>
        </w:rPr>
        <w:t>European Union Treaties: A Commentary</w:t>
      </w:r>
      <w:r w:rsidRPr="00226C37">
        <w:rPr>
          <w:rFonts w:ascii="Times New Roman" w:hAnsi="Times New Roman" w:cs="Times New Roman"/>
          <w:sz w:val="18"/>
          <w:szCs w:val="18"/>
        </w:rPr>
        <w:t>, p.6</w:t>
      </w:r>
      <w:r w:rsidR="0018385C" w:rsidRPr="00226C37">
        <w:rPr>
          <w:rFonts w:ascii="Times New Roman" w:hAnsi="Times New Roman" w:cs="Times New Roman"/>
          <w:sz w:val="18"/>
          <w:szCs w:val="18"/>
        </w:rPr>
        <w:t>9</w:t>
      </w:r>
      <w:r w:rsidRPr="00226C37">
        <w:rPr>
          <w:rFonts w:ascii="Times New Roman" w:hAnsi="Times New Roman" w:cs="Times New Roman"/>
          <w:sz w:val="18"/>
          <w:szCs w:val="18"/>
        </w:rPr>
        <w:t>)</w:t>
      </w:r>
      <w:r w:rsidR="00C560C2" w:rsidRPr="00226C37">
        <w:rPr>
          <w:rFonts w:ascii="Times New Roman" w:hAnsi="Times New Roman" w:cs="Times New Roman"/>
          <w:sz w:val="18"/>
          <w:szCs w:val="18"/>
        </w:rPr>
        <w:t xml:space="preserve">; </w:t>
      </w:r>
      <w:r w:rsidR="008F638B" w:rsidRPr="00226C37">
        <w:rPr>
          <w:rFonts w:ascii="Times New Roman" w:hAnsi="Times New Roman" w:cs="Times New Roman"/>
          <w:sz w:val="18"/>
          <w:szCs w:val="18"/>
        </w:rPr>
        <w:t xml:space="preserve">Judgment of 30 June 2009, 2 </w:t>
      </w:r>
      <w:proofErr w:type="spellStart"/>
      <w:r w:rsidR="008F638B" w:rsidRPr="00226C37">
        <w:rPr>
          <w:rFonts w:ascii="Times New Roman" w:hAnsi="Times New Roman" w:cs="Times New Roman"/>
          <w:sz w:val="18"/>
          <w:szCs w:val="18"/>
        </w:rPr>
        <w:t>BvE</w:t>
      </w:r>
      <w:proofErr w:type="spellEnd"/>
      <w:r w:rsidR="008F638B" w:rsidRPr="00226C37">
        <w:rPr>
          <w:rFonts w:ascii="Times New Roman" w:hAnsi="Times New Roman" w:cs="Times New Roman"/>
          <w:sz w:val="18"/>
          <w:szCs w:val="18"/>
        </w:rPr>
        <w:t xml:space="preserve"> 2/08, </w:t>
      </w:r>
      <w:r w:rsidR="008F638B" w:rsidRPr="00226C37">
        <w:rPr>
          <w:rFonts w:ascii="Times New Roman" w:hAnsi="Times New Roman" w:cs="Times New Roman"/>
          <w:i/>
          <w:iCs/>
          <w:sz w:val="18"/>
          <w:szCs w:val="18"/>
        </w:rPr>
        <w:t>Lisbon Judgment</w:t>
      </w:r>
      <w:r w:rsidR="00BF7D7A">
        <w:rPr>
          <w:rFonts w:ascii="Times New Roman" w:hAnsi="Times New Roman" w:cs="Times New Roman"/>
          <w:sz w:val="18"/>
          <w:szCs w:val="18"/>
        </w:rPr>
        <w:t>, at</w:t>
      </w:r>
      <w:r w:rsidR="008F638B" w:rsidRPr="00226C37">
        <w:rPr>
          <w:rFonts w:ascii="Times New Roman" w:hAnsi="Times New Roman" w:cs="Times New Roman"/>
          <w:sz w:val="18"/>
          <w:szCs w:val="18"/>
        </w:rPr>
        <w:t xml:space="preserve"> </w:t>
      </w:r>
      <w:r w:rsidR="00BF7D7A">
        <w:rPr>
          <w:rFonts w:ascii="Times New Roman" w:hAnsi="Times New Roman" w:cs="Times New Roman"/>
          <w:sz w:val="18"/>
          <w:szCs w:val="18"/>
        </w:rPr>
        <w:t>[</w:t>
      </w:r>
      <w:r w:rsidR="008F638B" w:rsidRPr="00226C37">
        <w:rPr>
          <w:rFonts w:ascii="Times New Roman" w:hAnsi="Times New Roman" w:cs="Times New Roman"/>
          <w:sz w:val="18"/>
          <w:szCs w:val="18"/>
        </w:rPr>
        <w:t>262</w:t>
      </w:r>
      <w:r w:rsidR="00BF7D7A">
        <w:rPr>
          <w:rFonts w:ascii="Times New Roman" w:hAnsi="Times New Roman" w:cs="Times New Roman"/>
          <w:sz w:val="18"/>
          <w:szCs w:val="18"/>
        </w:rPr>
        <w:t>]</w:t>
      </w:r>
      <w:r w:rsidR="008F638B" w:rsidRPr="00226C37">
        <w:rPr>
          <w:rFonts w:ascii="Times New Roman" w:hAnsi="Times New Roman" w:cs="Times New Roman"/>
          <w:sz w:val="18"/>
          <w:szCs w:val="18"/>
        </w:rPr>
        <w:t>.</w:t>
      </w:r>
    </w:p>
  </w:footnote>
  <w:footnote w:id="10">
    <w:p w14:paraId="0B634EC8" w14:textId="52A42B50"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Freedom House, </w:t>
      </w:r>
      <w:r w:rsidRPr="00226C37">
        <w:rPr>
          <w:rFonts w:ascii="Times New Roman" w:hAnsi="Times New Roman" w:cs="Times New Roman"/>
          <w:i/>
          <w:iCs/>
          <w:sz w:val="18"/>
          <w:szCs w:val="18"/>
        </w:rPr>
        <w:t>Nations in Transit 2021: The Anti-Democratic Turn</w:t>
      </w:r>
      <w:r w:rsidRPr="00226C37">
        <w:rPr>
          <w:rFonts w:ascii="Times New Roman" w:hAnsi="Times New Roman" w:cs="Times New Roman"/>
          <w:sz w:val="18"/>
          <w:szCs w:val="18"/>
        </w:rPr>
        <w:t>,</w:t>
      </w:r>
      <w:r w:rsidRPr="00226C37">
        <w:rPr>
          <w:rFonts w:ascii="Times New Roman" w:hAnsi="Times New Roman" w:cs="Times New Roman"/>
          <w:i/>
          <w:iCs/>
          <w:sz w:val="18"/>
          <w:szCs w:val="18"/>
        </w:rPr>
        <w:t xml:space="preserve"> </w:t>
      </w:r>
      <w:hyperlink r:id="rId2" w:history="1">
        <w:r w:rsidRPr="00226C37">
          <w:rPr>
            <w:rStyle w:val="Hyperlink"/>
            <w:rFonts w:ascii="Times New Roman" w:hAnsi="Times New Roman" w:cs="Times New Roman"/>
            <w:sz w:val="18"/>
            <w:szCs w:val="18"/>
          </w:rPr>
          <w:t>https://freedomhouse.org/sites/default/files/2021-04/NIT_2021_final_042321.pdf</w:t>
        </w:r>
      </w:hyperlink>
      <w:r w:rsidRPr="00226C37">
        <w:rPr>
          <w:rFonts w:ascii="Times New Roman" w:hAnsi="Times New Roman" w:cs="Times New Roman"/>
          <w:sz w:val="18"/>
          <w:szCs w:val="18"/>
        </w:rPr>
        <w:t xml:space="preserve">, pp. 12-13, (last visited </w:t>
      </w:r>
      <w:r w:rsidR="00DE59B2">
        <w:rPr>
          <w:rFonts w:ascii="Times New Roman" w:hAnsi="Times New Roman" w:cs="Times New Roman"/>
          <w:sz w:val="18"/>
          <w:szCs w:val="18"/>
        </w:rPr>
        <w:t>2 Aug</w:t>
      </w:r>
      <w:r w:rsidR="00EB1622">
        <w:rPr>
          <w:rFonts w:ascii="Times New Roman" w:hAnsi="Times New Roman" w:cs="Times New Roman"/>
          <w:sz w:val="18"/>
          <w:szCs w:val="18"/>
        </w:rPr>
        <w:t>ust</w:t>
      </w:r>
      <w:r w:rsidRPr="00226C37">
        <w:rPr>
          <w:rFonts w:ascii="Times New Roman" w:hAnsi="Times New Roman" w:cs="Times New Roman"/>
          <w:sz w:val="18"/>
          <w:szCs w:val="18"/>
        </w:rPr>
        <w:t xml:space="preserve"> 2021). Freedom House categorises Hungary as a Transitional Government or Hybrid Regime (T/H). </w:t>
      </w:r>
    </w:p>
  </w:footnote>
  <w:footnote w:id="11">
    <w:p w14:paraId="26902E44" w14:textId="4309A29B"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bookmarkStart w:id="5" w:name="_Hlk84450231"/>
      <w:r w:rsidRPr="00226C37">
        <w:rPr>
          <w:rFonts w:ascii="Times New Roman" w:hAnsi="Times New Roman" w:cs="Times New Roman"/>
          <w:sz w:val="18"/>
          <w:szCs w:val="18"/>
        </w:rPr>
        <w:t xml:space="preserve">V-Dem Institute, </w:t>
      </w:r>
      <w:proofErr w:type="spellStart"/>
      <w:r w:rsidRPr="00226C37">
        <w:rPr>
          <w:rFonts w:ascii="Times New Roman" w:hAnsi="Times New Roman" w:cs="Times New Roman"/>
          <w:i/>
          <w:iCs/>
          <w:sz w:val="18"/>
          <w:szCs w:val="18"/>
        </w:rPr>
        <w:t>Autocratization</w:t>
      </w:r>
      <w:proofErr w:type="spellEnd"/>
      <w:r w:rsidRPr="00226C37">
        <w:rPr>
          <w:rFonts w:ascii="Times New Roman" w:hAnsi="Times New Roman" w:cs="Times New Roman"/>
          <w:i/>
          <w:iCs/>
          <w:sz w:val="18"/>
          <w:szCs w:val="18"/>
        </w:rPr>
        <w:t xml:space="preserve"> Turns Viral</w:t>
      </w:r>
      <w:bookmarkEnd w:id="5"/>
      <w:r w:rsidRPr="00226C37">
        <w:rPr>
          <w:rFonts w:ascii="Times New Roman" w:hAnsi="Times New Roman" w:cs="Times New Roman"/>
          <w:i/>
          <w:iCs/>
          <w:sz w:val="18"/>
          <w:szCs w:val="18"/>
        </w:rPr>
        <w:t>: Democracy Report 2021</w:t>
      </w:r>
      <w:r w:rsidRPr="00226C37">
        <w:rPr>
          <w:rFonts w:ascii="Times New Roman" w:hAnsi="Times New Roman" w:cs="Times New Roman"/>
          <w:sz w:val="18"/>
          <w:szCs w:val="18"/>
        </w:rPr>
        <w:t xml:space="preserve">, </w:t>
      </w:r>
      <w:hyperlink r:id="rId3" w:history="1">
        <w:r w:rsidRPr="00226C37">
          <w:rPr>
            <w:rStyle w:val="Hyperlink"/>
            <w:rFonts w:ascii="Times New Roman" w:hAnsi="Times New Roman" w:cs="Times New Roman"/>
            <w:sz w:val="18"/>
            <w:szCs w:val="18"/>
          </w:rPr>
          <w:t>https://www.v-dem.net/media/filer_public/74/8c/748c68ad-f224-4cd7-87f9-8794add5c60f/dr_2021_updated.pdf</w:t>
        </w:r>
      </w:hyperlink>
      <w:r w:rsidRPr="00226C37">
        <w:rPr>
          <w:rFonts w:ascii="Times New Roman" w:hAnsi="Times New Roman" w:cs="Times New Roman"/>
          <w:sz w:val="18"/>
          <w:szCs w:val="18"/>
        </w:rPr>
        <w:t xml:space="preserve">, p. 31 (last visited </w:t>
      </w:r>
      <w:r w:rsidR="00DE59B2">
        <w:rPr>
          <w:rFonts w:ascii="Times New Roman" w:hAnsi="Times New Roman" w:cs="Times New Roman"/>
          <w:sz w:val="18"/>
          <w:szCs w:val="18"/>
        </w:rPr>
        <w:t>2 Au</w:t>
      </w:r>
      <w:r w:rsidR="00EB1622">
        <w:rPr>
          <w:rFonts w:ascii="Times New Roman" w:hAnsi="Times New Roman" w:cs="Times New Roman"/>
          <w:sz w:val="18"/>
          <w:szCs w:val="18"/>
        </w:rPr>
        <w:t>gust</w:t>
      </w:r>
      <w:r w:rsidRPr="00226C37">
        <w:rPr>
          <w:rFonts w:ascii="Times New Roman" w:hAnsi="Times New Roman" w:cs="Times New Roman"/>
          <w:sz w:val="18"/>
          <w:szCs w:val="18"/>
        </w:rPr>
        <w:t>. 2021).</w:t>
      </w:r>
    </w:p>
  </w:footnote>
  <w:footnote w:id="12">
    <w:p w14:paraId="61F49603" w14:textId="35C1DB8C"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D04F38" w:rsidRPr="00226C37">
        <w:rPr>
          <w:rFonts w:ascii="Times New Roman" w:hAnsi="Times New Roman" w:cs="Times New Roman"/>
          <w:sz w:val="18"/>
          <w:szCs w:val="18"/>
        </w:rPr>
        <w:t xml:space="preserve">Freedom House, </w:t>
      </w:r>
      <w:r w:rsidR="00D04F38" w:rsidRPr="00226C37">
        <w:rPr>
          <w:rFonts w:ascii="Times New Roman" w:hAnsi="Times New Roman" w:cs="Times New Roman"/>
          <w:i/>
          <w:iCs/>
          <w:sz w:val="18"/>
          <w:szCs w:val="18"/>
        </w:rPr>
        <w:t>Nations in Transit 2021</w:t>
      </w:r>
      <w:r w:rsidRPr="00226C37">
        <w:rPr>
          <w:rFonts w:ascii="Times New Roman" w:hAnsi="Times New Roman" w:cs="Times New Roman"/>
          <w:sz w:val="18"/>
          <w:szCs w:val="18"/>
        </w:rPr>
        <w:t xml:space="preserve">, pp.12-13. </w:t>
      </w:r>
    </w:p>
  </w:footnote>
  <w:footnote w:id="13">
    <w:p w14:paraId="48D20603" w14:textId="325E8E1A"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These arguments are considered further </w:t>
      </w:r>
      <w:r w:rsidR="00BF7D7A">
        <w:rPr>
          <w:rFonts w:ascii="Times New Roman" w:hAnsi="Times New Roman" w:cs="Times New Roman"/>
          <w:sz w:val="18"/>
          <w:szCs w:val="18"/>
        </w:rPr>
        <w:t>below</w:t>
      </w:r>
      <w:r w:rsidRPr="00226C37">
        <w:rPr>
          <w:rFonts w:ascii="Times New Roman" w:hAnsi="Times New Roman" w:cs="Times New Roman"/>
          <w:sz w:val="18"/>
          <w:szCs w:val="18"/>
        </w:rPr>
        <w:t>.</w:t>
      </w:r>
    </w:p>
  </w:footnote>
  <w:footnote w:id="14">
    <w:p w14:paraId="24F77F2A" w14:textId="2D74F6AF"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The question of whether an act in such circumstances </w:t>
      </w:r>
      <w:proofErr w:type="gramStart"/>
      <w:r w:rsidRPr="00226C37">
        <w:rPr>
          <w:rFonts w:ascii="Times New Roman" w:hAnsi="Times New Roman" w:cs="Times New Roman"/>
          <w:sz w:val="18"/>
          <w:szCs w:val="18"/>
        </w:rPr>
        <w:t xml:space="preserve">would </w:t>
      </w:r>
      <w:r w:rsidR="00EF639D" w:rsidRPr="00226C37">
        <w:rPr>
          <w:rFonts w:ascii="Times New Roman" w:hAnsi="Times New Roman" w:cs="Times New Roman"/>
          <w:sz w:val="18"/>
          <w:szCs w:val="18"/>
        </w:rPr>
        <w:t xml:space="preserve">automatically </w:t>
      </w:r>
      <w:r w:rsidRPr="00226C37">
        <w:rPr>
          <w:rFonts w:ascii="Times New Roman" w:hAnsi="Times New Roman" w:cs="Times New Roman"/>
          <w:sz w:val="18"/>
          <w:szCs w:val="18"/>
        </w:rPr>
        <w:t>be a nullity</w:t>
      </w:r>
      <w:proofErr w:type="gramEnd"/>
      <w:r w:rsidRPr="00226C37">
        <w:rPr>
          <w:rFonts w:ascii="Times New Roman" w:hAnsi="Times New Roman" w:cs="Times New Roman"/>
          <w:sz w:val="18"/>
          <w:szCs w:val="18"/>
        </w:rPr>
        <w:t xml:space="preserve"> or subject to nullification on a case-by-case basis is not resolved in this paper. The author’s preference would be for automatic nullification, though the consequences of such an approach for legal certainty must be acknowledged. </w:t>
      </w:r>
    </w:p>
  </w:footnote>
  <w:footnote w:id="15">
    <w:p w14:paraId="4A3FEB7C" w14:textId="664C45C6"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Again, these arguments are considered further </w:t>
      </w:r>
      <w:r w:rsidR="007B0F30">
        <w:rPr>
          <w:rFonts w:ascii="Times New Roman" w:hAnsi="Times New Roman" w:cs="Times New Roman"/>
          <w:sz w:val="18"/>
          <w:szCs w:val="18"/>
        </w:rPr>
        <w:t>below</w:t>
      </w:r>
      <w:r w:rsidRPr="00226C37">
        <w:rPr>
          <w:rFonts w:ascii="Times New Roman" w:hAnsi="Times New Roman" w:cs="Times New Roman"/>
          <w:sz w:val="18"/>
          <w:szCs w:val="18"/>
        </w:rPr>
        <w:t>.</w:t>
      </w:r>
    </w:p>
  </w:footnote>
  <w:footnote w:id="16">
    <w:p w14:paraId="6ACA237C" w14:textId="2C3477AE"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DE59B2">
        <w:rPr>
          <w:rFonts w:ascii="Times New Roman" w:hAnsi="Times New Roman" w:cs="Times New Roman"/>
          <w:sz w:val="18"/>
          <w:szCs w:val="18"/>
        </w:rPr>
        <w:t xml:space="preserve">N. </w:t>
      </w:r>
      <w:proofErr w:type="spellStart"/>
      <w:r w:rsidRPr="00226C37">
        <w:rPr>
          <w:rFonts w:ascii="Times New Roman" w:hAnsi="Times New Roman" w:cs="Times New Roman"/>
          <w:sz w:val="18"/>
          <w:szCs w:val="18"/>
        </w:rPr>
        <w:t>Bermeo</w:t>
      </w:r>
      <w:proofErr w:type="spellEnd"/>
      <w:r w:rsidRPr="00226C37">
        <w:rPr>
          <w:rFonts w:ascii="Times New Roman" w:hAnsi="Times New Roman" w:cs="Times New Roman"/>
          <w:sz w:val="18"/>
          <w:szCs w:val="18"/>
        </w:rPr>
        <w:t xml:space="preserve">, “On Democratic Backsliding” </w:t>
      </w:r>
      <w:r w:rsidR="00DE59B2">
        <w:rPr>
          <w:rFonts w:ascii="Times New Roman" w:hAnsi="Times New Roman" w:cs="Times New Roman"/>
          <w:sz w:val="18"/>
          <w:szCs w:val="18"/>
        </w:rPr>
        <w:t xml:space="preserve">(2016) </w:t>
      </w:r>
      <w:r w:rsidRPr="00226C37">
        <w:rPr>
          <w:rFonts w:ascii="Times New Roman" w:hAnsi="Times New Roman" w:cs="Times New Roman"/>
          <w:sz w:val="18"/>
          <w:szCs w:val="18"/>
        </w:rPr>
        <w:t xml:space="preserve">27 </w:t>
      </w:r>
      <w:r w:rsidRPr="00226C37">
        <w:rPr>
          <w:rFonts w:ascii="Times New Roman" w:hAnsi="Times New Roman" w:cs="Times New Roman"/>
          <w:i/>
          <w:iCs/>
          <w:sz w:val="18"/>
          <w:szCs w:val="18"/>
        </w:rPr>
        <w:t>Journal of Democracy</w:t>
      </w:r>
      <w:r w:rsidRPr="00226C37">
        <w:rPr>
          <w:rFonts w:ascii="Times New Roman" w:hAnsi="Times New Roman" w:cs="Times New Roman"/>
          <w:sz w:val="18"/>
          <w:szCs w:val="18"/>
        </w:rPr>
        <w:t xml:space="preserve"> 5. </w:t>
      </w:r>
    </w:p>
  </w:footnote>
  <w:footnote w:id="17">
    <w:p w14:paraId="08FC1983" w14:textId="40BF14B7"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Scheppele</w:t>
      </w:r>
      <w:proofErr w:type="spellEnd"/>
      <w:r w:rsidRPr="00226C37">
        <w:rPr>
          <w:rFonts w:ascii="Times New Roman" w:hAnsi="Times New Roman" w:cs="Times New Roman"/>
          <w:sz w:val="18"/>
          <w:szCs w:val="18"/>
        </w:rPr>
        <w:t xml:space="preserve"> has called this phenomenon “autocratic legalism” (</w:t>
      </w:r>
      <w:r w:rsidR="00DE59B2">
        <w:rPr>
          <w:rFonts w:ascii="Times New Roman" w:hAnsi="Times New Roman" w:cs="Times New Roman"/>
          <w:sz w:val="18"/>
          <w:szCs w:val="18"/>
        </w:rPr>
        <w:t xml:space="preserve">K.L. </w:t>
      </w:r>
      <w:proofErr w:type="spellStart"/>
      <w:r w:rsidRPr="00226C37">
        <w:rPr>
          <w:rFonts w:ascii="Times New Roman" w:hAnsi="Times New Roman" w:cs="Times New Roman"/>
          <w:sz w:val="18"/>
          <w:szCs w:val="18"/>
        </w:rPr>
        <w:t>Scheppele</w:t>
      </w:r>
      <w:proofErr w:type="spellEnd"/>
      <w:r w:rsidRPr="00226C37">
        <w:rPr>
          <w:rFonts w:ascii="Times New Roman" w:hAnsi="Times New Roman" w:cs="Times New Roman"/>
          <w:sz w:val="18"/>
          <w:szCs w:val="18"/>
        </w:rPr>
        <w:t xml:space="preserve">, “Autocratic Legalism” </w:t>
      </w:r>
      <w:r w:rsidR="00DE59B2">
        <w:rPr>
          <w:rFonts w:ascii="Times New Roman" w:hAnsi="Times New Roman" w:cs="Times New Roman"/>
          <w:sz w:val="18"/>
          <w:szCs w:val="18"/>
        </w:rPr>
        <w:t xml:space="preserve">(2018) </w:t>
      </w:r>
      <w:r w:rsidRPr="00226C37">
        <w:rPr>
          <w:rFonts w:ascii="Times New Roman" w:hAnsi="Times New Roman" w:cs="Times New Roman"/>
          <w:sz w:val="18"/>
          <w:szCs w:val="18"/>
        </w:rPr>
        <w:t>85 U. Chi. L. Rev.</w:t>
      </w:r>
      <w:r w:rsidR="00CE3D2B">
        <w:rPr>
          <w:rFonts w:ascii="Times New Roman" w:hAnsi="Times New Roman" w:cs="Times New Roman"/>
          <w:sz w:val="18"/>
          <w:szCs w:val="18"/>
        </w:rPr>
        <w:t xml:space="preserve"> </w:t>
      </w:r>
      <w:r w:rsidRPr="00226C37">
        <w:rPr>
          <w:rFonts w:ascii="Times New Roman" w:hAnsi="Times New Roman" w:cs="Times New Roman"/>
          <w:sz w:val="18"/>
          <w:szCs w:val="18"/>
        </w:rPr>
        <w:t xml:space="preserve">545). </w:t>
      </w:r>
    </w:p>
  </w:footnote>
  <w:footnote w:id="18">
    <w:p w14:paraId="67C04025" w14:textId="450880E1"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CE3D2B" w:rsidRPr="00226C37">
        <w:rPr>
          <w:rFonts w:ascii="Times New Roman" w:hAnsi="Times New Roman" w:cs="Times New Roman"/>
          <w:sz w:val="18"/>
          <w:szCs w:val="18"/>
        </w:rPr>
        <w:t xml:space="preserve">V-Dem Institute, </w:t>
      </w:r>
      <w:proofErr w:type="spellStart"/>
      <w:r w:rsidR="00CE3D2B" w:rsidRPr="00226C37">
        <w:rPr>
          <w:rFonts w:ascii="Times New Roman" w:hAnsi="Times New Roman" w:cs="Times New Roman"/>
          <w:i/>
          <w:iCs/>
          <w:sz w:val="18"/>
          <w:szCs w:val="18"/>
        </w:rPr>
        <w:t>Autocratization</w:t>
      </w:r>
      <w:proofErr w:type="spellEnd"/>
      <w:r w:rsidR="00CE3D2B" w:rsidRPr="00226C37">
        <w:rPr>
          <w:rFonts w:ascii="Times New Roman" w:hAnsi="Times New Roman" w:cs="Times New Roman"/>
          <w:i/>
          <w:iCs/>
          <w:sz w:val="18"/>
          <w:szCs w:val="18"/>
        </w:rPr>
        <w:t xml:space="preserve"> Turns Viral</w:t>
      </w:r>
      <w:r w:rsidRPr="00226C37">
        <w:rPr>
          <w:rFonts w:ascii="Times New Roman" w:hAnsi="Times New Roman" w:cs="Times New Roman"/>
          <w:sz w:val="18"/>
          <w:szCs w:val="18"/>
        </w:rPr>
        <w:t xml:space="preserve">, p.19. </w:t>
      </w:r>
    </w:p>
  </w:footnote>
  <w:footnote w:id="19">
    <w:p w14:paraId="5569C9D8" w14:textId="69444136"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00CE3D2B" w:rsidRPr="00226C37">
        <w:rPr>
          <w:rFonts w:ascii="Times New Roman" w:hAnsi="Times New Roman" w:cs="Times New Roman"/>
          <w:sz w:val="18"/>
          <w:szCs w:val="18"/>
        </w:rPr>
        <w:t>Scheppele</w:t>
      </w:r>
      <w:proofErr w:type="spellEnd"/>
      <w:r w:rsidR="00CE3D2B" w:rsidRPr="00226C37">
        <w:rPr>
          <w:rFonts w:ascii="Times New Roman" w:hAnsi="Times New Roman" w:cs="Times New Roman"/>
          <w:sz w:val="18"/>
          <w:szCs w:val="18"/>
        </w:rPr>
        <w:t>, “Autocratic Legalism”</w:t>
      </w:r>
      <w:r w:rsidRPr="00226C37">
        <w:rPr>
          <w:rFonts w:ascii="Times New Roman" w:hAnsi="Times New Roman" w:cs="Times New Roman"/>
          <w:sz w:val="18"/>
          <w:szCs w:val="18"/>
        </w:rPr>
        <w:t xml:space="preserve">, at 582. </w:t>
      </w:r>
    </w:p>
  </w:footnote>
  <w:footnote w:id="20">
    <w:p w14:paraId="56714DB7" w14:textId="54A2FFE7"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This was demonstrated in March 2020 during the Covid-19 pandemic, when the Hungarian Parliament enacted what became known as an “Enabling Act”, which allowed the Prime Minister to rule by decree, suspend all elections and referendums during the period of the declared emergency, and provided that the Prime Minister would determine when that emergency would end (see </w:t>
      </w:r>
      <w:r w:rsidR="00DE59B2">
        <w:rPr>
          <w:rFonts w:ascii="Times New Roman" w:hAnsi="Times New Roman" w:cs="Times New Roman"/>
          <w:sz w:val="18"/>
          <w:szCs w:val="18"/>
        </w:rPr>
        <w:t xml:space="preserve">K. </w:t>
      </w:r>
      <w:proofErr w:type="spellStart"/>
      <w:r w:rsidRPr="00226C37">
        <w:rPr>
          <w:rFonts w:ascii="Times New Roman" w:hAnsi="Times New Roman" w:cs="Times New Roman"/>
          <w:sz w:val="18"/>
          <w:szCs w:val="18"/>
        </w:rPr>
        <w:t>Kovács</w:t>
      </w:r>
      <w:proofErr w:type="spellEnd"/>
      <w:r w:rsidRPr="00226C37">
        <w:rPr>
          <w:rFonts w:ascii="Times New Roman" w:hAnsi="Times New Roman" w:cs="Times New Roman"/>
          <w:sz w:val="18"/>
          <w:szCs w:val="18"/>
        </w:rPr>
        <w:t xml:space="preserve">, “Hungary’s </w:t>
      </w:r>
      <w:proofErr w:type="spellStart"/>
      <w:r w:rsidRPr="00226C37">
        <w:rPr>
          <w:rFonts w:ascii="Times New Roman" w:hAnsi="Times New Roman" w:cs="Times New Roman"/>
          <w:sz w:val="18"/>
          <w:szCs w:val="18"/>
        </w:rPr>
        <w:t>Orbánistan</w:t>
      </w:r>
      <w:proofErr w:type="spellEnd"/>
      <w:r w:rsidRPr="00226C37">
        <w:rPr>
          <w:rFonts w:ascii="Times New Roman" w:hAnsi="Times New Roman" w:cs="Times New Roman"/>
          <w:sz w:val="18"/>
          <w:szCs w:val="18"/>
        </w:rPr>
        <w:t xml:space="preserve">: A Complete Arsenal of Emergency Powers”, </w:t>
      </w:r>
      <w:proofErr w:type="spellStart"/>
      <w:r w:rsidRPr="00226C37">
        <w:rPr>
          <w:rFonts w:ascii="Times New Roman" w:hAnsi="Times New Roman" w:cs="Times New Roman"/>
          <w:sz w:val="18"/>
          <w:szCs w:val="18"/>
        </w:rPr>
        <w:t>VerfBlog</w:t>
      </w:r>
      <w:proofErr w:type="spellEnd"/>
      <w:r w:rsidRPr="00226C37">
        <w:rPr>
          <w:rFonts w:ascii="Times New Roman" w:hAnsi="Times New Roman" w:cs="Times New Roman"/>
          <w:sz w:val="18"/>
          <w:szCs w:val="18"/>
        </w:rPr>
        <w:t>, 6 Apr</w:t>
      </w:r>
      <w:r w:rsidR="00EB1622">
        <w:rPr>
          <w:rFonts w:ascii="Times New Roman" w:hAnsi="Times New Roman" w:cs="Times New Roman"/>
          <w:sz w:val="18"/>
          <w:szCs w:val="18"/>
        </w:rPr>
        <w:t>il</w:t>
      </w:r>
      <w:r w:rsidRPr="00226C37">
        <w:rPr>
          <w:rFonts w:ascii="Times New Roman" w:hAnsi="Times New Roman" w:cs="Times New Roman"/>
          <w:sz w:val="18"/>
          <w:szCs w:val="18"/>
        </w:rPr>
        <w:t xml:space="preserve"> 2020, </w:t>
      </w:r>
      <w:hyperlink r:id="rId4" w:history="1">
        <w:r w:rsidRPr="00226C37">
          <w:rPr>
            <w:rStyle w:val="Hyperlink"/>
            <w:rFonts w:ascii="Times New Roman" w:hAnsi="Times New Roman" w:cs="Times New Roman"/>
            <w:sz w:val="18"/>
            <w:szCs w:val="18"/>
          </w:rPr>
          <w:t>https://verfassungsblog.de/hungarys-orbanistan-a-complete-arsenal-of-emergency-powers/</w:t>
        </w:r>
      </w:hyperlink>
      <w:r w:rsidRPr="00226C37">
        <w:rPr>
          <w:rFonts w:ascii="Times New Roman" w:hAnsi="Times New Roman" w:cs="Times New Roman"/>
          <w:sz w:val="18"/>
          <w:szCs w:val="18"/>
        </w:rPr>
        <w:t xml:space="preserve">, (last visited </w:t>
      </w:r>
      <w:r w:rsidR="00DE59B2">
        <w:rPr>
          <w:rFonts w:ascii="Times New Roman" w:hAnsi="Times New Roman" w:cs="Times New Roman"/>
          <w:sz w:val="18"/>
          <w:szCs w:val="18"/>
        </w:rPr>
        <w:t>2 Aug</w:t>
      </w:r>
      <w:r w:rsidR="002C335E">
        <w:rPr>
          <w:rFonts w:ascii="Times New Roman" w:hAnsi="Times New Roman" w:cs="Times New Roman"/>
          <w:sz w:val="18"/>
          <w:szCs w:val="18"/>
        </w:rPr>
        <w:t>ust</w:t>
      </w:r>
      <w:r w:rsidRPr="00226C37">
        <w:rPr>
          <w:rFonts w:ascii="Times New Roman" w:hAnsi="Times New Roman" w:cs="Times New Roman"/>
          <w:sz w:val="18"/>
          <w:szCs w:val="18"/>
        </w:rPr>
        <w:t xml:space="preserve"> 2021)). A debate followed between </w:t>
      </w:r>
      <w:proofErr w:type="spellStart"/>
      <w:r w:rsidRPr="00226C37">
        <w:rPr>
          <w:rFonts w:ascii="Times New Roman" w:hAnsi="Times New Roman" w:cs="Times New Roman"/>
          <w:sz w:val="18"/>
          <w:szCs w:val="18"/>
        </w:rPr>
        <w:t>Halmai</w:t>
      </w:r>
      <w:proofErr w:type="spellEnd"/>
      <w:r w:rsidRPr="00226C37">
        <w:rPr>
          <w:rFonts w:ascii="Times New Roman" w:hAnsi="Times New Roman" w:cs="Times New Roman"/>
          <w:sz w:val="18"/>
          <w:szCs w:val="18"/>
        </w:rPr>
        <w:t xml:space="preserve"> and </w:t>
      </w:r>
      <w:proofErr w:type="spellStart"/>
      <w:r w:rsidRPr="00226C37">
        <w:rPr>
          <w:rFonts w:ascii="Times New Roman" w:hAnsi="Times New Roman" w:cs="Times New Roman"/>
          <w:sz w:val="18"/>
          <w:szCs w:val="18"/>
        </w:rPr>
        <w:t>Scheppele</w:t>
      </w:r>
      <w:proofErr w:type="spellEnd"/>
      <w:r w:rsidRPr="00226C37">
        <w:rPr>
          <w:rFonts w:ascii="Times New Roman" w:hAnsi="Times New Roman" w:cs="Times New Roman"/>
          <w:sz w:val="18"/>
          <w:szCs w:val="18"/>
        </w:rPr>
        <w:t xml:space="preserve">, on one side, who asserted that the law gave Prime Minister </w:t>
      </w:r>
      <w:proofErr w:type="spellStart"/>
      <w:r w:rsidRPr="00226C37">
        <w:rPr>
          <w:rFonts w:ascii="Times New Roman" w:hAnsi="Times New Roman" w:cs="Times New Roman"/>
          <w:sz w:val="18"/>
          <w:szCs w:val="18"/>
        </w:rPr>
        <w:t>Orbán</w:t>
      </w:r>
      <w:proofErr w:type="spellEnd"/>
      <w:r w:rsidRPr="00226C37">
        <w:rPr>
          <w:rFonts w:ascii="Times New Roman" w:hAnsi="Times New Roman" w:cs="Times New Roman"/>
          <w:sz w:val="18"/>
          <w:szCs w:val="18"/>
        </w:rPr>
        <w:t xml:space="preserve"> unlimited legal power for as long as he wanted it, and </w:t>
      </w:r>
      <w:proofErr w:type="spellStart"/>
      <w:r w:rsidRPr="00226C37">
        <w:rPr>
          <w:rFonts w:ascii="Times New Roman" w:hAnsi="Times New Roman" w:cs="Times New Roman"/>
          <w:sz w:val="18"/>
          <w:szCs w:val="18"/>
        </w:rPr>
        <w:t>Karsai</w:t>
      </w:r>
      <w:proofErr w:type="spellEnd"/>
      <w:r w:rsidRPr="00226C37">
        <w:rPr>
          <w:rFonts w:ascii="Times New Roman" w:hAnsi="Times New Roman" w:cs="Times New Roman"/>
          <w:sz w:val="18"/>
          <w:szCs w:val="18"/>
        </w:rPr>
        <w:t xml:space="preserve">, on the other, who countered some of </w:t>
      </w:r>
      <w:proofErr w:type="spellStart"/>
      <w:r w:rsidRPr="00226C37">
        <w:rPr>
          <w:rFonts w:ascii="Times New Roman" w:hAnsi="Times New Roman" w:cs="Times New Roman"/>
          <w:sz w:val="18"/>
          <w:szCs w:val="18"/>
        </w:rPr>
        <w:t>Scheppele</w:t>
      </w:r>
      <w:proofErr w:type="spellEnd"/>
      <w:r w:rsidRPr="00226C37">
        <w:rPr>
          <w:rFonts w:ascii="Times New Roman" w:hAnsi="Times New Roman" w:cs="Times New Roman"/>
          <w:sz w:val="18"/>
          <w:szCs w:val="18"/>
        </w:rPr>
        <w:t xml:space="preserve"> and </w:t>
      </w:r>
      <w:proofErr w:type="spellStart"/>
      <w:r w:rsidRPr="00226C37">
        <w:rPr>
          <w:rFonts w:ascii="Times New Roman" w:hAnsi="Times New Roman" w:cs="Times New Roman"/>
          <w:sz w:val="18"/>
          <w:szCs w:val="18"/>
        </w:rPr>
        <w:t>Halmai’s</w:t>
      </w:r>
      <w:proofErr w:type="spellEnd"/>
      <w:r w:rsidRPr="00226C37">
        <w:rPr>
          <w:rFonts w:ascii="Times New Roman" w:hAnsi="Times New Roman" w:cs="Times New Roman"/>
          <w:sz w:val="18"/>
          <w:szCs w:val="18"/>
        </w:rPr>
        <w:t xml:space="preserve"> claims as to the gravity of the situation (</w:t>
      </w:r>
      <w:r w:rsidR="00DE59B2">
        <w:rPr>
          <w:rFonts w:ascii="Times New Roman" w:hAnsi="Times New Roman" w:cs="Times New Roman"/>
          <w:sz w:val="18"/>
          <w:szCs w:val="18"/>
        </w:rPr>
        <w:t xml:space="preserve">G. </w:t>
      </w:r>
      <w:proofErr w:type="spellStart"/>
      <w:r w:rsidRPr="00226C37">
        <w:rPr>
          <w:rFonts w:ascii="Times New Roman" w:hAnsi="Times New Roman" w:cs="Times New Roman"/>
          <w:sz w:val="18"/>
          <w:szCs w:val="18"/>
        </w:rPr>
        <w:t>Halmai</w:t>
      </w:r>
      <w:proofErr w:type="spellEnd"/>
      <w:r w:rsidRPr="00226C37">
        <w:rPr>
          <w:rFonts w:ascii="Times New Roman" w:hAnsi="Times New Roman" w:cs="Times New Roman"/>
          <w:sz w:val="18"/>
          <w:szCs w:val="18"/>
        </w:rPr>
        <w:t xml:space="preserve"> and </w:t>
      </w:r>
      <w:r w:rsidR="00DE59B2">
        <w:rPr>
          <w:rFonts w:ascii="Times New Roman" w:hAnsi="Times New Roman" w:cs="Times New Roman"/>
          <w:sz w:val="18"/>
          <w:szCs w:val="18"/>
        </w:rPr>
        <w:t xml:space="preserve">K.L. </w:t>
      </w:r>
      <w:proofErr w:type="spellStart"/>
      <w:r w:rsidRPr="00226C37">
        <w:rPr>
          <w:rFonts w:ascii="Times New Roman" w:hAnsi="Times New Roman" w:cs="Times New Roman"/>
          <w:sz w:val="18"/>
          <w:szCs w:val="18"/>
        </w:rPr>
        <w:t>Scheppele</w:t>
      </w:r>
      <w:proofErr w:type="spellEnd"/>
      <w:r w:rsidRPr="00226C37">
        <w:rPr>
          <w:rFonts w:ascii="Times New Roman" w:hAnsi="Times New Roman" w:cs="Times New Roman"/>
          <w:sz w:val="18"/>
          <w:szCs w:val="18"/>
        </w:rPr>
        <w:t xml:space="preserve">, “Don’t be fooled by Autocrats: Why Hungary’s Emergency Violates Rule of Law”, </w:t>
      </w:r>
      <w:proofErr w:type="spellStart"/>
      <w:r w:rsidRPr="00226C37">
        <w:rPr>
          <w:rFonts w:ascii="Times New Roman" w:hAnsi="Times New Roman" w:cs="Times New Roman"/>
          <w:sz w:val="18"/>
          <w:szCs w:val="18"/>
        </w:rPr>
        <w:t>VerfBlog</w:t>
      </w:r>
      <w:proofErr w:type="spellEnd"/>
      <w:r w:rsidRPr="00226C37">
        <w:rPr>
          <w:rFonts w:ascii="Times New Roman" w:hAnsi="Times New Roman" w:cs="Times New Roman"/>
          <w:sz w:val="18"/>
          <w:szCs w:val="18"/>
        </w:rPr>
        <w:t>, 4 Apr</w:t>
      </w:r>
      <w:r w:rsidR="00EB1622">
        <w:rPr>
          <w:rFonts w:ascii="Times New Roman" w:hAnsi="Times New Roman" w:cs="Times New Roman"/>
          <w:sz w:val="18"/>
          <w:szCs w:val="18"/>
        </w:rPr>
        <w:t>il</w:t>
      </w:r>
      <w:r w:rsidRPr="00226C37">
        <w:rPr>
          <w:rFonts w:ascii="Times New Roman" w:hAnsi="Times New Roman" w:cs="Times New Roman"/>
          <w:sz w:val="18"/>
          <w:szCs w:val="18"/>
        </w:rPr>
        <w:t xml:space="preserve"> 2020, </w:t>
      </w:r>
      <w:hyperlink r:id="rId5" w:history="1">
        <w:r w:rsidRPr="00226C37">
          <w:rPr>
            <w:rStyle w:val="Hyperlink"/>
            <w:rFonts w:ascii="Times New Roman" w:hAnsi="Times New Roman" w:cs="Times New Roman"/>
            <w:sz w:val="18"/>
            <w:szCs w:val="18"/>
          </w:rPr>
          <w:t>https://verfassungsblog.de/dont-be-fooled-by-autocrats/</w:t>
        </w:r>
      </w:hyperlink>
      <w:r w:rsidRPr="00226C37">
        <w:rPr>
          <w:rFonts w:ascii="Times New Roman" w:hAnsi="Times New Roman" w:cs="Times New Roman"/>
          <w:sz w:val="18"/>
          <w:szCs w:val="18"/>
        </w:rPr>
        <w:t>, (last visited</w:t>
      </w:r>
      <w:r w:rsidR="00DE59B2">
        <w:rPr>
          <w:rFonts w:ascii="Times New Roman" w:hAnsi="Times New Roman" w:cs="Times New Roman"/>
          <w:sz w:val="18"/>
          <w:szCs w:val="18"/>
        </w:rPr>
        <w:t xml:space="preserve"> 2 Au</w:t>
      </w:r>
      <w:r w:rsidR="002C335E">
        <w:rPr>
          <w:rFonts w:ascii="Times New Roman" w:hAnsi="Times New Roman" w:cs="Times New Roman"/>
          <w:sz w:val="18"/>
          <w:szCs w:val="18"/>
        </w:rPr>
        <w:t>gust</w:t>
      </w:r>
      <w:r w:rsidRPr="00226C37">
        <w:rPr>
          <w:rFonts w:ascii="Times New Roman" w:hAnsi="Times New Roman" w:cs="Times New Roman"/>
          <w:sz w:val="18"/>
          <w:szCs w:val="18"/>
        </w:rPr>
        <w:t xml:space="preserve"> 2021; </w:t>
      </w:r>
      <w:r w:rsidR="00DE59B2">
        <w:rPr>
          <w:rFonts w:ascii="Times New Roman" w:hAnsi="Times New Roman" w:cs="Times New Roman"/>
          <w:sz w:val="18"/>
          <w:szCs w:val="18"/>
        </w:rPr>
        <w:t xml:space="preserve">D. </w:t>
      </w:r>
      <w:proofErr w:type="spellStart"/>
      <w:r w:rsidRPr="00226C37">
        <w:rPr>
          <w:rFonts w:ascii="Times New Roman" w:hAnsi="Times New Roman" w:cs="Times New Roman"/>
          <w:sz w:val="18"/>
          <w:szCs w:val="18"/>
        </w:rPr>
        <w:t>Karsai</w:t>
      </w:r>
      <w:proofErr w:type="spellEnd"/>
      <w:r w:rsidRPr="00226C37">
        <w:rPr>
          <w:rFonts w:ascii="Times New Roman" w:hAnsi="Times New Roman" w:cs="Times New Roman"/>
          <w:sz w:val="18"/>
          <w:szCs w:val="18"/>
        </w:rPr>
        <w:t xml:space="preserve">, “Let’s not fool ourselves either!”, </w:t>
      </w:r>
      <w:proofErr w:type="spellStart"/>
      <w:r w:rsidRPr="00226C37">
        <w:rPr>
          <w:rFonts w:ascii="Times New Roman" w:hAnsi="Times New Roman" w:cs="Times New Roman"/>
          <w:sz w:val="18"/>
          <w:szCs w:val="18"/>
        </w:rPr>
        <w:t>VerfBlog</w:t>
      </w:r>
      <w:proofErr w:type="spellEnd"/>
      <w:r w:rsidRPr="00226C37">
        <w:rPr>
          <w:rFonts w:ascii="Times New Roman" w:hAnsi="Times New Roman" w:cs="Times New Roman"/>
          <w:sz w:val="18"/>
          <w:szCs w:val="18"/>
        </w:rPr>
        <w:t>, 27 Apr</w:t>
      </w:r>
      <w:r w:rsidR="00EB1622">
        <w:rPr>
          <w:rFonts w:ascii="Times New Roman" w:hAnsi="Times New Roman" w:cs="Times New Roman"/>
          <w:sz w:val="18"/>
          <w:szCs w:val="18"/>
        </w:rPr>
        <w:t>il</w:t>
      </w:r>
      <w:r w:rsidRPr="00226C37">
        <w:rPr>
          <w:rFonts w:ascii="Times New Roman" w:hAnsi="Times New Roman" w:cs="Times New Roman"/>
          <w:sz w:val="18"/>
          <w:szCs w:val="18"/>
        </w:rPr>
        <w:t xml:space="preserve"> 2020, </w:t>
      </w:r>
      <w:hyperlink r:id="rId6" w:history="1">
        <w:r w:rsidRPr="00226C37">
          <w:rPr>
            <w:rStyle w:val="Hyperlink"/>
            <w:rFonts w:ascii="Times New Roman" w:hAnsi="Times New Roman" w:cs="Times New Roman"/>
            <w:sz w:val="18"/>
            <w:szCs w:val="18"/>
          </w:rPr>
          <w:t>https://verfassungsblog.de/lets-not-fool-ourselves-either/</w:t>
        </w:r>
      </w:hyperlink>
      <w:r w:rsidRPr="00226C37">
        <w:rPr>
          <w:rFonts w:ascii="Times New Roman" w:hAnsi="Times New Roman" w:cs="Times New Roman"/>
          <w:sz w:val="18"/>
          <w:szCs w:val="18"/>
        </w:rPr>
        <w:t xml:space="preserve">, (last visited </w:t>
      </w:r>
      <w:r w:rsidR="00DE59B2">
        <w:rPr>
          <w:rFonts w:ascii="Times New Roman" w:hAnsi="Times New Roman" w:cs="Times New Roman"/>
          <w:sz w:val="18"/>
          <w:szCs w:val="18"/>
        </w:rPr>
        <w:t>2 Aug</w:t>
      </w:r>
      <w:r w:rsidR="002C335E">
        <w:rPr>
          <w:rFonts w:ascii="Times New Roman" w:hAnsi="Times New Roman" w:cs="Times New Roman"/>
          <w:sz w:val="18"/>
          <w:szCs w:val="18"/>
        </w:rPr>
        <w:t>ust</w:t>
      </w:r>
      <w:r w:rsidRPr="00226C37">
        <w:rPr>
          <w:rFonts w:ascii="Times New Roman" w:hAnsi="Times New Roman" w:cs="Times New Roman"/>
          <w:sz w:val="18"/>
          <w:szCs w:val="18"/>
        </w:rPr>
        <w:t xml:space="preserve"> 2021); </w:t>
      </w:r>
      <w:r w:rsidR="00DE59B2">
        <w:rPr>
          <w:rFonts w:ascii="Times New Roman" w:hAnsi="Times New Roman" w:cs="Times New Roman"/>
          <w:sz w:val="18"/>
          <w:szCs w:val="18"/>
        </w:rPr>
        <w:t xml:space="preserve">G. </w:t>
      </w:r>
      <w:proofErr w:type="spellStart"/>
      <w:r w:rsidRPr="00226C37">
        <w:rPr>
          <w:rFonts w:ascii="Times New Roman" w:hAnsi="Times New Roman" w:cs="Times New Roman"/>
          <w:sz w:val="18"/>
          <w:szCs w:val="18"/>
        </w:rPr>
        <w:t>Halmai</w:t>
      </w:r>
      <w:proofErr w:type="spellEnd"/>
      <w:r w:rsidRPr="00226C37">
        <w:rPr>
          <w:rFonts w:ascii="Times New Roman" w:hAnsi="Times New Roman" w:cs="Times New Roman"/>
          <w:sz w:val="18"/>
          <w:szCs w:val="18"/>
        </w:rPr>
        <w:t xml:space="preserve"> and </w:t>
      </w:r>
      <w:r w:rsidR="00DE59B2">
        <w:rPr>
          <w:rFonts w:ascii="Times New Roman" w:hAnsi="Times New Roman" w:cs="Times New Roman"/>
          <w:sz w:val="18"/>
          <w:szCs w:val="18"/>
        </w:rPr>
        <w:t xml:space="preserve">K.L. </w:t>
      </w:r>
      <w:proofErr w:type="spellStart"/>
      <w:r w:rsidRPr="00226C37">
        <w:rPr>
          <w:rFonts w:ascii="Times New Roman" w:hAnsi="Times New Roman" w:cs="Times New Roman"/>
          <w:sz w:val="18"/>
          <w:szCs w:val="18"/>
        </w:rPr>
        <w:t>Scheppele</w:t>
      </w:r>
      <w:proofErr w:type="spellEnd"/>
      <w:r w:rsidRPr="00226C37">
        <w:rPr>
          <w:rFonts w:ascii="Times New Roman" w:hAnsi="Times New Roman" w:cs="Times New Roman"/>
          <w:sz w:val="18"/>
          <w:szCs w:val="18"/>
        </w:rPr>
        <w:t>, “</w:t>
      </w:r>
      <w:proofErr w:type="spellStart"/>
      <w:r w:rsidRPr="00226C37">
        <w:rPr>
          <w:rFonts w:ascii="Times New Roman" w:hAnsi="Times New Roman" w:cs="Times New Roman"/>
          <w:sz w:val="18"/>
          <w:szCs w:val="18"/>
        </w:rPr>
        <w:t>Orbán</w:t>
      </w:r>
      <w:proofErr w:type="spellEnd"/>
      <w:r w:rsidRPr="00226C37">
        <w:rPr>
          <w:rFonts w:ascii="Times New Roman" w:hAnsi="Times New Roman" w:cs="Times New Roman"/>
          <w:sz w:val="18"/>
          <w:szCs w:val="18"/>
        </w:rPr>
        <w:t xml:space="preserve"> is Still the Sole Judge of his Own Law”, </w:t>
      </w:r>
      <w:proofErr w:type="spellStart"/>
      <w:r w:rsidRPr="00226C37">
        <w:rPr>
          <w:rFonts w:ascii="Times New Roman" w:hAnsi="Times New Roman" w:cs="Times New Roman"/>
          <w:sz w:val="18"/>
          <w:szCs w:val="18"/>
        </w:rPr>
        <w:t>VerfBlog</w:t>
      </w:r>
      <w:proofErr w:type="spellEnd"/>
      <w:r w:rsidRPr="00226C37">
        <w:rPr>
          <w:rFonts w:ascii="Times New Roman" w:hAnsi="Times New Roman" w:cs="Times New Roman"/>
          <w:sz w:val="18"/>
          <w:szCs w:val="18"/>
        </w:rPr>
        <w:t>, 30 Apr</w:t>
      </w:r>
      <w:r w:rsidR="00EB1622">
        <w:rPr>
          <w:rFonts w:ascii="Times New Roman" w:hAnsi="Times New Roman" w:cs="Times New Roman"/>
          <w:sz w:val="18"/>
          <w:szCs w:val="18"/>
        </w:rPr>
        <w:t>il</w:t>
      </w:r>
      <w:r w:rsidRPr="00226C37">
        <w:rPr>
          <w:rFonts w:ascii="Times New Roman" w:hAnsi="Times New Roman" w:cs="Times New Roman"/>
          <w:sz w:val="18"/>
          <w:szCs w:val="18"/>
        </w:rPr>
        <w:t xml:space="preserve"> 2020, </w:t>
      </w:r>
      <w:hyperlink r:id="rId7" w:history="1">
        <w:r w:rsidRPr="00226C37">
          <w:rPr>
            <w:rStyle w:val="Hyperlink"/>
            <w:rFonts w:ascii="Times New Roman" w:hAnsi="Times New Roman" w:cs="Times New Roman"/>
            <w:sz w:val="18"/>
            <w:szCs w:val="18"/>
          </w:rPr>
          <w:t>https://verfassungsblog.de/orban-is-still-the-sole-judge-of-his-own-law/</w:t>
        </w:r>
      </w:hyperlink>
      <w:r w:rsidRPr="00226C37">
        <w:rPr>
          <w:rFonts w:ascii="Times New Roman" w:hAnsi="Times New Roman" w:cs="Times New Roman"/>
          <w:sz w:val="18"/>
          <w:szCs w:val="18"/>
        </w:rPr>
        <w:t xml:space="preserve">, (last visited </w:t>
      </w:r>
      <w:r w:rsidR="00DE59B2">
        <w:rPr>
          <w:rFonts w:ascii="Times New Roman" w:hAnsi="Times New Roman" w:cs="Times New Roman"/>
          <w:sz w:val="18"/>
          <w:szCs w:val="18"/>
        </w:rPr>
        <w:t>2 Aug</w:t>
      </w:r>
      <w:r w:rsidR="002C335E">
        <w:rPr>
          <w:rFonts w:ascii="Times New Roman" w:hAnsi="Times New Roman" w:cs="Times New Roman"/>
          <w:sz w:val="18"/>
          <w:szCs w:val="18"/>
        </w:rPr>
        <w:t>ust</w:t>
      </w:r>
      <w:r w:rsidRPr="00226C37">
        <w:rPr>
          <w:rFonts w:ascii="Times New Roman" w:hAnsi="Times New Roman" w:cs="Times New Roman"/>
          <w:sz w:val="18"/>
          <w:szCs w:val="18"/>
        </w:rPr>
        <w:t xml:space="preserve"> 2021)</w:t>
      </w:r>
      <w:r w:rsidR="00EF639D" w:rsidRPr="00226C37">
        <w:rPr>
          <w:rFonts w:ascii="Times New Roman" w:hAnsi="Times New Roman" w:cs="Times New Roman"/>
          <w:sz w:val="18"/>
          <w:szCs w:val="18"/>
        </w:rPr>
        <w:t>)</w:t>
      </w:r>
      <w:r w:rsidRPr="00226C37">
        <w:rPr>
          <w:rFonts w:ascii="Times New Roman" w:hAnsi="Times New Roman" w:cs="Times New Roman"/>
          <w:sz w:val="18"/>
          <w:szCs w:val="18"/>
        </w:rPr>
        <w:t xml:space="preserve">. </w:t>
      </w:r>
    </w:p>
  </w:footnote>
  <w:footnote w:id="21">
    <w:p w14:paraId="53BF550C" w14:textId="6048874D"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Again, the Hungarian response to the Covid-19 pandemic in 2020 illustrates the difficulties of observing a fluid emergency regulatory regime. See </w:t>
      </w:r>
      <w:r w:rsidR="0046186D">
        <w:rPr>
          <w:rFonts w:ascii="Times New Roman" w:hAnsi="Times New Roman" w:cs="Times New Roman"/>
          <w:sz w:val="18"/>
          <w:szCs w:val="18"/>
        </w:rPr>
        <w:t xml:space="preserve">G. </w:t>
      </w:r>
      <w:proofErr w:type="spellStart"/>
      <w:r w:rsidRPr="00226C37">
        <w:rPr>
          <w:rFonts w:ascii="Times New Roman" w:hAnsi="Times New Roman" w:cs="Times New Roman"/>
          <w:sz w:val="18"/>
          <w:szCs w:val="18"/>
        </w:rPr>
        <w:t>Halmai</w:t>
      </w:r>
      <w:proofErr w:type="spellEnd"/>
      <w:r w:rsidRPr="00226C37">
        <w:rPr>
          <w:rFonts w:ascii="Times New Roman" w:hAnsi="Times New Roman" w:cs="Times New Roman"/>
          <w:sz w:val="18"/>
          <w:szCs w:val="18"/>
        </w:rPr>
        <w:t xml:space="preserve">, </w:t>
      </w:r>
      <w:r w:rsidR="0046186D">
        <w:rPr>
          <w:rFonts w:ascii="Times New Roman" w:hAnsi="Times New Roman" w:cs="Times New Roman"/>
          <w:sz w:val="18"/>
          <w:szCs w:val="18"/>
        </w:rPr>
        <w:t xml:space="preserve">G. </w:t>
      </w:r>
      <w:proofErr w:type="spellStart"/>
      <w:r w:rsidRPr="00226C37">
        <w:rPr>
          <w:rFonts w:ascii="Times New Roman" w:hAnsi="Times New Roman" w:cs="Times New Roman"/>
          <w:sz w:val="18"/>
          <w:szCs w:val="18"/>
        </w:rPr>
        <w:t>Mészáros</w:t>
      </w:r>
      <w:proofErr w:type="spellEnd"/>
      <w:r w:rsidRPr="00226C37">
        <w:rPr>
          <w:rFonts w:ascii="Times New Roman" w:hAnsi="Times New Roman" w:cs="Times New Roman"/>
          <w:sz w:val="18"/>
          <w:szCs w:val="18"/>
        </w:rPr>
        <w:t xml:space="preserve">, and </w:t>
      </w:r>
      <w:r w:rsidR="0046186D">
        <w:rPr>
          <w:rFonts w:ascii="Times New Roman" w:hAnsi="Times New Roman" w:cs="Times New Roman"/>
          <w:sz w:val="18"/>
          <w:szCs w:val="18"/>
        </w:rPr>
        <w:t xml:space="preserve">K.L. </w:t>
      </w:r>
      <w:proofErr w:type="spellStart"/>
      <w:r w:rsidRPr="00226C37">
        <w:rPr>
          <w:rFonts w:ascii="Times New Roman" w:hAnsi="Times New Roman" w:cs="Times New Roman"/>
          <w:sz w:val="18"/>
          <w:szCs w:val="18"/>
        </w:rPr>
        <w:t>Scheppele</w:t>
      </w:r>
      <w:proofErr w:type="spellEnd"/>
      <w:r w:rsidRPr="00226C37">
        <w:rPr>
          <w:rFonts w:ascii="Times New Roman" w:hAnsi="Times New Roman" w:cs="Times New Roman"/>
          <w:sz w:val="18"/>
          <w:szCs w:val="18"/>
        </w:rPr>
        <w:t xml:space="preserve">, “From Emergency to Disaster: How Hungary’s Second Pandemic Emergency will Further Destroy the Rule of Law”, </w:t>
      </w:r>
      <w:proofErr w:type="spellStart"/>
      <w:r w:rsidRPr="00226C37">
        <w:rPr>
          <w:rFonts w:ascii="Times New Roman" w:hAnsi="Times New Roman" w:cs="Times New Roman"/>
          <w:sz w:val="18"/>
          <w:szCs w:val="18"/>
        </w:rPr>
        <w:t>VerfBlog</w:t>
      </w:r>
      <w:proofErr w:type="spellEnd"/>
      <w:r w:rsidRPr="00226C37">
        <w:rPr>
          <w:rFonts w:ascii="Times New Roman" w:hAnsi="Times New Roman" w:cs="Times New Roman"/>
          <w:sz w:val="18"/>
          <w:szCs w:val="18"/>
        </w:rPr>
        <w:t xml:space="preserve">, 30 May 2020, </w:t>
      </w:r>
      <w:hyperlink r:id="rId8" w:history="1">
        <w:r w:rsidRPr="00226C37">
          <w:rPr>
            <w:rStyle w:val="Hyperlink"/>
            <w:rFonts w:ascii="Times New Roman" w:hAnsi="Times New Roman" w:cs="Times New Roman"/>
            <w:sz w:val="18"/>
            <w:szCs w:val="18"/>
          </w:rPr>
          <w:t>https://verfassungsblog.de/from-emergency-to-disaster/</w:t>
        </w:r>
      </w:hyperlink>
      <w:r w:rsidRPr="00226C37">
        <w:rPr>
          <w:rFonts w:ascii="Times New Roman" w:hAnsi="Times New Roman" w:cs="Times New Roman"/>
          <w:sz w:val="18"/>
          <w:szCs w:val="18"/>
        </w:rPr>
        <w:t xml:space="preserve">, (last visited on </w:t>
      </w:r>
      <w:r w:rsidR="0046186D">
        <w:rPr>
          <w:rFonts w:ascii="Times New Roman" w:hAnsi="Times New Roman" w:cs="Times New Roman"/>
          <w:sz w:val="18"/>
          <w:szCs w:val="18"/>
        </w:rPr>
        <w:t>2 Au</w:t>
      </w:r>
      <w:r w:rsidR="002C335E">
        <w:rPr>
          <w:rFonts w:ascii="Times New Roman" w:hAnsi="Times New Roman" w:cs="Times New Roman"/>
          <w:sz w:val="18"/>
          <w:szCs w:val="18"/>
        </w:rPr>
        <w:t>gust</w:t>
      </w:r>
      <w:r w:rsidR="0046186D">
        <w:rPr>
          <w:rFonts w:ascii="Times New Roman" w:hAnsi="Times New Roman" w:cs="Times New Roman"/>
          <w:sz w:val="18"/>
          <w:szCs w:val="18"/>
        </w:rPr>
        <w:t xml:space="preserve"> </w:t>
      </w:r>
      <w:r w:rsidRPr="00226C37">
        <w:rPr>
          <w:rFonts w:ascii="Times New Roman" w:hAnsi="Times New Roman" w:cs="Times New Roman"/>
          <w:sz w:val="18"/>
          <w:szCs w:val="18"/>
        </w:rPr>
        <w:t xml:space="preserve">2021), which details the arguably more problematic measures enacted in Hungary subsequent to the repeal of the “Enabling Act”. </w:t>
      </w:r>
    </w:p>
  </w:footnote>
  <w:footnote w:id="22">
    <w:p w14:paraId="36A3F6A5" w14:textId="4F5339AC"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46186D">
        <w:rPr>
          <w:rFonts w:ascii="Times New Roman" w:hAnsi="Times New Roman" w:cs="Times New Roman"/>
          <w:sz w:val="18"/>
          <w:szCs w:val="18"/>
        </w:rPr>
        <w:t xml:space="preserve">R.D. </w:t>
      </w:r>
      <w:r w:rsidRPr="00226C37">
        <w:rPr>
          <w:rFonts w:ascii="Times New Roman" w:hAnsi="Times New Roman" w:cs="Times New Roman"/>
          <w:sz w:val="18"/>
          <w:szCs w:val="18"/>
        </w:rPr>
        <w:t>Kelemen, “The European Union’s Authoritarian Equilibrium”</w:t>
      </w:r>
      <w:r w:rsidR="00CE3D2B">
        <w:rPr>
          <w:rFonts w:ascii="Times New Roman" w:hAnsi="Times New Roman" w:cs="Times New Roman"/>
          <w:sz w:val="18"/>
          <w:szCs w:val="18"/>
        </w:rPr>
        <w:t xml:space="preserve"> </w:t>
      </w:r>
      <w:r w:rsidR="0046186D">
        <w:rPr>
          <w:rFonts w:ascii="Times New Roman" w:hAnsi="Times New Roman" w:cs="Times New Roman"/>
          <w:sz w:val="18"/>
          <w:szCs w:val="18"/>
        </w:rPr>
        <w:t>(20</w:t>
      </w:r>
      <w:r w:rsidR="00CE3D2B">
        <w:rPr>
          <w:rFonts w:ascii="Times New Roman" w:hAnsi="Times New Roman" w:cs="Times New Roman"/>
          <w:sz w:val="18"/>
          <w:szCs w:val="18"/>
        </w:rPr>
        <w:t>2</w:t>
      </w:r>
      <w:r w:rsidR="0046186D">
        <w:rPr>
          <w:rFonts w:ascii="Times New Roman" w:hAnsi="Times New Roman" w:cs="Times New Roman"/>
          <w:sz w:val="18"/>
          <w:szCs w:val="18"/>
        </w:rPr>
        <w:t xml:space="preserve">0) </w:t>
      </w:r>
      <w:r w:rsidRPr="00226C37">
        <w:rPr>
          <w:rFonts w:ascii="Times New Roman" w:hAnsi="Times New Roman" w:cs="Times New Roman"/>
          <w:sz w:val="18"/>
          <w:szCs w:val="18"/>
        </w:rPr>
        <w:t>27 J</w:t>
      </w:r>
      <w:r w:rsidR="00485871">
        <w:rPr>
          <w:rFonts w:ascii="Times New Roman" w:hAnsi="Times New Roman" w:cs="Times New Roman"/>
          <w:sz w:val="18"/>
          <w:szCs w:val="18"/>
        </w:rPr>
        <w:t>.</w:t>
      </w:r>
      <w:r w:rsidRPr="00226C37">
        <w:rPr>
          <w:rFonts w:ascii="Times New Roman" w:hAnsi="Times New Roman" w:cs="Times New Roman"/>
          <w:sz w:val="18"/>
          <w:szCs w:val="18"/>
        </w:rPr>
        <w:t>E</w:t>
      </w:r>
      <w:r w:rsidR="00485871">
        <w:rPr>
          <w:rFonts w:ascii="Times New Roman" w:hAnsi="Times New Roman" w:cs="Times New Roman"/>
          <w:sz w:val="18"/>
          <w:szCs w:val="18"/>
        </w:rPr>
        <w:t>.</w:t>
      </w:r>
      <w:r w:rsidRPr="00226C37">
        <w:rPr>
          <w:rFonts w:ascii="Times New Roman" w:hAnsi="Times New Roman" w:cs="Times New Roman"/>
          <w:sz w:val="18"/>
          <w:szCs w:val="18"/>
        </w:rPr>
        <w:t>P</w:t>
      </w:r>
      <w:r w:rsidR="00485871">
        <w:rPr>
          <w:rFonts w:ascii="Times New Roman" w:hAnsi="Times New Roman" w:cs="Times New Roman"/>
          <w:sz w:val="18"/>
          <w:szCs w:val="18"/>
        </w:rPr>
        <w:t>.</w:t>
      </w:r>
      <w:r w:rsidRPr="00226C37">
        <w:rPr>
          <w:rFonts w:ascii="Times New Roman" w:hAnsi="Times New Roman" w:cs="Times New Roman"/>
          <w:sz w:val="18"/>
          <w:szCs w:val="18"/>
        </w:rPr>
        <w:t>P</w:t>
      </w:r>
      <w:r w:rsidR="00485871">
        <w:rPr>
          <w:rFonts w:ascii="Times New Roman" w:hAnsi="Times New Roman" w:cs="Times New Roman"/>
          <w:sz w:val="18"/>
          <w:szCs w:val="18"/>
        </w:rPr>
        <w:t>.</w:t>
      </w:r>
      <w:r w:rsidR="00CE3D2B">
        <w:rPr>
          <w:rFonts w:ascii="Times New Roman" w:hAnsi="Times New Roman" w:cs="Times New Roman"/>
          <w:sz w:val="18"/>
          <w:szCs w:val="18"/>
        </w:rPr>
        <w:t xml:space="preserve"> </w:t>
      </w:r>
      <w:r w:rsidRPr="00226C37">
        <w:rPr>
          <w:rFonts w:ascii="Times New Roman" w:hAnsi="Times New Roman" w:cs="Times New Roman"/>
          <w:sz w:val="18"/>
          <w:szCs w:val="18"/>
        </w:rPr>
        <w:t xml:space="preserve">481. </w:t>
      </w:r>
    </w:p>
  </w:footnote>
  <w:footnote w:id="23">
    <w:p w14:paraId="6E2E98F4" w14:textId="20D1BE21"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Article 7 TEU and the other implements in the EU legal toolbox to combat contraventions of the EU’s </w:t>
      </w:r>
      <w:r w:rsidR="005A2FAC">
        <w:rPr>
          <w:rFonts w:ascii="Times New Roman" w:hAnsi="Times New Roman" w:cs="Times New Roman"/>
          <w:sz w:val="18"/>
          <w:szCs w:val="18"/>
        </w:rPr>
        <w:t>art.</w:t>
      </w:r>
      <w:r w:rsidRPr="00226C37">
        <w:rPr>
          <w:rFonts w:ascii="Times New Roman" w:hAnsi="Times New Roman" w:cs="Times New Roman"/>
          <w:sz w:val="18"/>
          <w:szCs w:val="18"/>
        </w:rPr>
        <w:t xml:space="preserve"> 2 TEU values have proven ineffective as a means of arresting democratic backsliding in Member States, even if the fault for that lies arguably more with EU institutions and Member States than the unavailability of tools. See, for instance, </w:t>
      </w:r>
      <w:r w:rsidR="0046186D">
        <w:rPr>
          <w:rFonts w:ascii="Times New Roman" w:hAnsi="Times New Roman" w:cs="Times New Roman"/>
          <w:sz w:val="18"/>
          <w:szCs w:val="18"/>
        </w:rPr>
        <w:t xml:space="preserve">L. </w:t>
      </w:r>
      <w:proofErr w:type="spellStart"/>
      <w:r w:rsidRPr="00226C37">
        <w:rPr>
          <w:rFonts w:ascii="Times New Roman" w:hAnsi="Times New Roman" w:cs="Times New Roman"/>
          <w:sz w:val="18"/>
          <w:szCs w:val="18"/>
        </w:rPr>
        <w:t>Pech</w:t>
      </w:r>
      <w:proofErr w:type="spellEnd"/>
      <w:r w:rsidRPr="00226C37">
        <w:rPr>
          <w:rFonts w:ascii="Times New Roman" w:hAnsi="Times New Roman" w:cs="Times New Roman"/>
          <w:sz w:val="18"/>
          <w:szCs w:val="18"/>
        </w:rPr>
        <w:t xml:space="preserve">, “The Rule of Law in the EU: The Evolution of the Treaty Framework and Rule of Law </w:t>
      </w:r>
      <w:bookmarkStart w:id="11" w:name="_Hlk70879691"/>
      <w:r w:rsidRPr="00226C37">
        <w:rPr>
          <w:rFonts w:ascii="Times New Roman" w:hAnsi="Times New Roman" w:cs="Times New Roman"/>
          <w:sz w:val="18"/>
          <w:szCs w:val="18"/>
        </w:rPr>
        <w:t>Toolbox”, RECONNECT Working Paper No. 7, March 2020</w:t>
      </w:r>
      <w:bookmarkEnd w:id="11"/>
      <w:r w:rsidRPr="00226C37">
        <w:rPr>
          <w:rFonts w:ascii="Times New Roman" w:hAnsi="Times New Roman" w:cs="Times New Roman"/>
          <w:sz w:val="18"/>
          <w:szCs w:val="18"/>
        </w:rPr>
        <w:t xml:space="preserve">, </w:t>
      </w:r>
      <w:hyperlink r:id="rId9" w:history="1">
        <w:r w:rsidRPr="00226C37">
          <w:rPr>
            <w:rStyle w:val="Hyperlink"/>
            <w:rFonts w:ascii="Times New Roman" w:hAnsi="Times New Roman" w:cs="Times New Roman"/>
            <w:sz w:val="18"/>
            <w:szCs w:val="18"/>
          </w:rPr>
          <w:t>file:///C:/Users/user/Downloads/SSRN-id3608661.pdf</w:t>
        </w:r>
      </w:hyperlink>
      <w:r w:rsidRPr="00226C37">
        <w:rPr>
          <w:rFonts w:ascii="Times New Roman" w:hAnsi="Times New Roman" w:cs="Times New Roman"/>
          <w:sz w:val="18"/>
          <w:szCs w:val="18"/>
        </w:rPr>
        <w:t xml:space="preserve">, (last visited </w:t>
      </w:r>
      <w:r w:rsidR="0046186D">
        <w:rPr>
          <w:rFonts w:ascii="Times New Roman" w:hAnsi="Times New Roman" w:cs="Times New Roman"/>
          <w:sz w:val="18"/>
          <w:szCs w:val="18"/>
        </w:rPr>
        <w:t>2 Aug</w:t>
      </w:r>
      <w:r w:rsidR="002C335E">
        <w:rPr>
          <w:rFonts w:ascii="Times New Roman" w:hAnsi="Times New Roman" w:cs="Times New Roman"/>
          <w:sz w:val="18"/>
          <w:szCs w:val="18"/>
        </w:rPr>
        <w:t>ust</w:t>
      </w:r>
      <w:r w:rsidRPr="00226C37">
        <w:rPr>
          <w:rFonts w:ascii="Times New Roman" w:hAnsi="Times New Roman" w:cs="Times New Roman"/>
          <w:sz w:val="18"/>
          <w:szCs w:val="18"/>
        </w:rPr>
        <w:t xml:space="preserve"> 2021); </w:t>
      </w:r>
      <w:r w:rsidR="0046186D">
        <w:rPr>
          <w:rFonts w:ascii="Times New Roman" w:hAnsi="Times New Roman" w:cs="Times New Roman"/>
          <w:sz w:val="18"/>
          <w:szCs w:val="18"/>
        </w:rPr>
        <w:t xml:space="preserve">K.L. </w:t>
      </w:r>
      <w:bookmarkStart w:id="12" w:name="_Hlk84451216"/>
      <w:proofErr w:type="spellStart"/>
      <w:r w:rsidRPr="00226C37">
        <w:rPr>
          <w:rFonts w:ascii="Times New Roman" w:hAnsi="Times New Roman" w:cs="Times New Roman"/>
          <w:sz w:val="18"/>
          <w:szCs w:val="18"/>
        </w:rPr>
        <w:t>Scheppele</w:t>
      </w:r>
      <w:proofErr w:type="spellEnd"/>
      <w:r w:rsidRPr="00226C37">
        <w:rPr>
          <w:rFonts w:ascii="Times New Roman" w:hAnsi="Times New Roman" w:cs="Times New Roman"/>
          <w:sz w:val="18"/>
          <w:szCs w:val="18"/>
        </w:rPr>
        <w:t xml:space="preserve">, </w:t>
      </w:r>
      <w:r w:rsidR="0046186D">
        <w:rPr>
          <w:rFonts w:ascii="Times New Roman" w:hAnsi="Times New Roman" w:cs="Times New Roman"/>
          <w:sz w:val="18"/>
          <w:szCs w:val="18"/>
        </w:rPr>
        <w:t xml:space="preserve">D.V. </w:t>
      </w:r>
      <w:proofErr w:type="spellStart"/>
      <w:r w:rsidRPr="00226C37">
        <w:rPr>
          <w:rFonts w:ascii="Times New Roman" w:hAnsi="Times New Roman" w:cs="Times New Roman"/>
          <w:sz w:val="18"/>
          <w:szCs w:val="18"/>
        </w:rPr>
        <w:t>Kochenov</w:t>
      </w:r>
      <w:proofErr w:type="spellEnd"/>
      <w:r w:rsidRPr="00226C37">
        <w:rPr>
          <w:rFonts w:ascii="Times New Roman" w:hAnsi="Times New Roman" w:cs="Times New Roman"/>
          <w:sz w:val="18"/>
          <w:szCs w:val="18"/>
        </w:rPr>
        <w:t xml:space="preserve">, and </w:t>
      </w:r>
      <w:r w:rsidR="0046186D">
        <w:rPr>
          <w:rFonts w:ascii="Times New Roman" w:hAnsi="Times New Roman" w:cs="Times New Roman"/>
          <w:sz w:val="18"/>
          <w:szCs w:val="18"/>
        </w:rPr>
        <w:t xml:space="preserve">B. </w:t>
      </w:r>
      <w:r w:rsidRPr="00226C37">
        <w:rPr>
          <w:rFonts w:ascii="Times New Roman" w:hAnsi="Times New Roman" w:cs="Times New Roman"/>
          <w:sz w:val="18"/>
          <w:szCs w:val="18"/>
        </w:rPr>
        <w:t>Grabowska-</w:t>
      </w:r>
      <w:proofErr w:type="spellStart"/>
      <w:r w:rsidRPr="00226C37">
        <w:rPr>
          <w:rFonts w:ascii="Times New Roman" w:hAnsi="Times New Roman" w:cs="Times New Roman"/>
          <w:sz w:val="18"/>
          <w:szCs w:val="18"/>
        </w:rPr>
        <w:t>Moroz</w:t>
      </w:r>
      <w:proofErr w:type="spellEnd"/>
      <w:r w:rsidRPr="00226C37">
        <w:rPr>
          <w:rFonts w:ascii="Times New Roman" w:hAnsi="Times New Roman" w:cs="Times New Roman"/>
          <w:sz w:val="18"/>
          <w:szCs w:val="18"/>
        </w:rPr>
        <w:t>, “EU Values Are Law, after All</w:t>
      </w:r>
      <w:bookmarkEnd w:id="12"/>
      <w:r w:rsidRPr="00226C37">
        <w:rPr>
          <w:rFonts w:ascii="Times New Roman" w:hAnsi="Times New Roman" w:cs="Times New Roman"/>
          <w:sz w:val="18"/>
          <w:szCs w:val="18"/>
        </w:rPr>
        <w:t xml:space="preserve">: Enforcing EU Values through Systemic Infringement Actions by the European Commission and the Member States of the European Union” </w:t>
      </w:r>
      <w:r w:rsidR="0046186D">
        <w:rPr>
          <w:rFonts w:ascii="Times New Roman" w:hAnsi="Times New Roman" w:cs="Times New Roman"/>
          <w:sz w:val="18"/>
          <w:szCs w:val="18"/>
        </w:rPr>
        <w:t xml:space="preserve">(2020) </w:t>
      </w:r>
      <w:r w:rsidRPr="00226C37">
        <w:rPr>
          <w:rFonts w:ascii="Times New Roman" w:hAnsi="Times New Roman" w:cs="Times New Roman"/>
          <w:sz w:val="18"/>
          <w:szCs w:val="18"/>
        </w:rPr>
        <w:t>39 Y</w:t>
      </w:r>
      <w:r w:rsidR="00485871">
        <w:rPr>
          <w:rFonts w:ascii="Times New Roman" w:hAnsi="Times New Roman" w:cs="Times New Roman"/>
          <w:sz w:val="18"/>
          <w:szCs w:val="18"/>
        </w:rPr>
        <w:t>.</w:t>
      </w:r>
      <w:r w:rsidRPr="00226C37">
        <w:rPr>
          <w:rFonts w:ascii="Times New Roman" w:hAnsi="Times New Roman" w:cs="Times New Roman"/>
          <w:sz w:val="18"/>
          <w:szCs w:val="18"/>
        </w:rPr>
        <w:t>E</w:t>
      </w:r>
      <w:r w:rsidR="00485871">
        <w:rPr>
          <w:rFonts w:ascii="Times New Roman" w:hAnsi="Times New Roman" w:cs="Times New Roman"/>
          <w:sz w:val="18"/>
          <w:szCs w:val="18"/>
        </w:rPr>
        <w:t>.</w:t>
      </w:r>
      <w:r w:rsidRPr="00226C37">
        <w:rPr>
          <w:rFonts w:ascii="Times New Roman" w:hAnsi="Times New Roman" w:cs="Times New Roman"/>
          <w:sz w:val="18"/>
          <w:szCs w:val="18"/>
        </w:rPr>
        <w:t>L</w:t>
      </w:r>
      <w:r w:rsidR="00485871">
        <w:rPr>
          <w:rFonts w:ascii="Times New Roman" w:hAnsi="Times New Roman" w:cs="Times New Roman"/>
          <w:sz w:val="18"/>
          <w:szCs w:val="18"/>
        </w:rPr>
        <w:t>.</w:t>
      </w:r>
      <w:r w:rsidRPr="00226C37">
        <w:rPr>
          <w:rFonts w:ascii="Times New Roman" w:hAnsi="Times New Roman" w:cs="Times New Roman"/>
          <w:sz w:val="18"/>
          <w:szCs w:val="18"/>
        </w:rPr>
        <w:t xml:space="preserve"> 3. </w:t>
      </w:r>
    </w:p>
  </w:footnote>
  <w:footnote w:id="24">
    <w:p w14:paraId="480E6CD6" w14:textId="3691E4FB"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These objections are discussed further below. </w:t>
      </w:r>
    </w:p>
  </w:footnote>
  <w:footnote w:id="25">
    <w:p w14:paraId="72E436AA" w14:textId="76988870"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See generally, </w:t>
      </w:r>
      <w:r w:rsidR="0046186D">
        <w:rPr>
          <w:rFonts w:ascii="Times New Roman" w:hAnsi="Times New Roman" w:cs="Times New Roman"/>
          <w:sz w:val="18"/>
          <w:szCs w:val="18"/>
        </w:rPr>
        <w:t xml:space="preserve">K. </w:t>
      </w:r>
      <w:proofErr w:type="spellStart"/>
      <w:r w:rsidRPr="00226C37">
        <w:rPr>
          <w:rFonts w:ascii="Times New Roman" w:hAnsi="Times New Roman" w:cs="Times New Roman"/>
          <w:sz w:val="18"/>
          <w:szCs w:val="18"/>
        </w:rPr>
        <w:t>Lenaerts</w:t>
      </w:r>
      <w:proofErr w:type="spellEnd"/>
      <w:r w:rsidRPr="00226C37">
        <w:rPr>
          <w:rFonts w:ascii="Times New Roman" w:hAnsi="Times New Roman" w:cs="Times New Roman"/>
          <w:sz w:val="18"/>
          <w:szCs w:val="18"/>
        </w:rPr>
        <w:t xml:space="preserve">, </w:t>
      </w:r>
      <w:r w:rsidR="0046186D">
        <w:rPr>
          <w:rFonts w:ascii="Times New Roman" w:hAnsi="Times New Roman" w:cs="Times New Roman"/>
          <w:sz w:val="18"/>
          <w:szCs w:val="18"/>
        </w:rPr>
        <w:t xml:space="preserve">I. </w:t>
      </w:r>
      <w:proofErr w:type="spellStart"/>
      <w:r w:rsidRPr="00226C37">
        <w:rPr>
          <w:rFonts w:ascii="Times New Roman" w:hAnsi="Times New Roman" w:cs="Times New Roman"/>
          <w:sz w:val="18"/>
          <w:szCs w:val="18"/>
        </w:rPr>
        <w:t>Maselis</w:t>
      </w:r>
      <w:proofErr w:type="spellEnd"/>
      <w:r w:rsidRPr="00226C37">
        <w:rPr>
          <w:rFonts w:ascii="Times New Roman" w:hAnsi="Times New Roman" w:cs="Times New Roman"/>
          <w:sz w:val="18"/>
          <w:szCs w:val="18"/>
        </w:rPr>
        <w:t xml:space="preserve">, and </w:t>
      </w:r>
      <w:r w:rsidR="0046186D">
        <w:rPr>
          <w:rFonts w:ascii="Times New Roman" w:hAnsi="Times New Roman" w:cs="Times New Roman"/>
          <w:sz w:val="18"/>
          <w:szCs w:val="18"/>
        </w:rPr>
        <w:t xml:space="preserve">K. </w:t>
      </w:r>
      <w:r w:rsidRPr="00226C37">
        <w:rPr>
          <w:rFonts w:ascii="Times New Roman" w:hAnsi="Times New Roman" w:cs="Times New Roman"/>
          <w:sz w:val="18"/>
          <w:szCs w:val="18"/>
        </w:rPr>
        <w:t xml:space="preserve">Gutman, </w:t>
      </w:r>
      <w:r w:rsidRPr="00226C37">
        <w:rPr>
          <w:rFonts w:ascii="Times New Roman" w:hAnsi="Times New Roman" w:cs="Times New Roman"/>
          <w:i/>
          <w:iCs/>
          <w:sz w:val="18"/>
          <w:szCs w:val="18"/>
        </w:rPr>
        <w:t>EU Procedural Law</w:t>
      </w:r>
      <w:r w:rsidRPr="00226C37">
        <w:rPr>
          <w:rFonts w:ascii="Times New Roman" w:hAnsi="Times New Roman" w:cs="Times New Roman"/>
          <w:sz w:val="18"/>
          <w:szCs w:val="18"/>
        </w:rPr>
        <w:t xml:space="preserve"> (</w:t>
      </w:r>
      <w:r w:rsidR="00445096">
        <w:rPr>
          <w:rFonts w:ascii="Times New Roman" w:hAnsi="Times New Roman" w:cs="Times New Roman"/>
          <w:sz w:val="18"/>
          <w:szCs w:val="18"/>
        </w:rPr>
        <w:t xml:space="preserve">Oxford: </w:t>
      </w:r>
      <w:r w:rsidRPr="00226C37">
        <w:rPr>
          <w:rFonts w:ascii="Times New Roman" w:hAnsi="Times New Roman" w:cs="Times New Roman"/>
          <w:sz w:val="18"/>
          <w:szCs w:val="18"/>
        </w:rPr>
        <w:t>OUP, 2014), pp.419-440.</w:t>
      </w:r>
    </w:p>
  </w:footnote>
  <w:footnote w:id="26">
    <w:p w14:paraId="2A265943" w14:textId="42FC5DA4"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Article 265(1) TFEU. Natural or legal persons would be unable to avail of an action for failure to act in these circumstances, since any failure to act would not relate to a failure to address an act other than a recommendation or an opinion to any individual (</w:t>
      </w:r>
      <w:r w:rsidR="005A2FAC">
        <w:rPr>
          <w:rFonts w:ascii="Times New Roman" w:hAnsi="Times New Roman" w:cs="Times New Roman"/>
          <w:sz w:val="18"/>
          <w:szCs w:val="18"/>
        </w:rPr>
        <w:t>art.</w:t>
      </w:r>
      <w:r w:rsidRPr="00226C37">
        <w:rPr>
          <w:rFonts w:ascii="Times New Roman" w:hAnsi="Times New Roman" w:cs="Times New Roman"/>
          <w:sz w:val="18"/>
          <w:szCs w:val="18"/>
        </w:rPr>
        <w:t xml:space="preserve"> 265(3) TFEU). </w:t>
      </w:r>
    </w:p>
  </w:footnote>
  <w:footnote w:id="27">
    <w:p w14:paraId="0EB5C59B" w14:textId="79459F83" w:rsidR="001B3D9B" w:rsidRPr="00226C37" w:rsidRDefault="001B3D9B" w:rsidP="00A031BE">
      <w:pPr>
        <w:pStyle w:val="FootnoteText"/>
        <w:jc w:val="both"/>
        <w:rPr>
          <w:rFonts w:ascii="Times New Roman" w:hAnsi="Times New Roman" w:cs="Times New Roman"/>
          <w:i/>
          <w:iCs/>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Pr="00226C37">
        <w:rPr>
          <w:rFonts w:ascii="Times New Roman" w:hAnsi="Times New Roman" w:cs="Times New Roman"/>
          <w:i/>
          <w:iCs/>
          <w:sz w:val="18"/>
          <w:szCs w:val="18"/>
        </w:rPr>
        <w:t xml:space="preserve">Air One </w:t>
      </w:r>
      <w:r w:rsidR="0046186D">
        <w:rPr>
          <w:rFonts w:ascii="Times New Roman" w:hAnsi="Times New Roman" w:cs="Times New Roman"/>
          <w:i/>
          <w:iCs/>
          <w:sz w:val="18"/>
          <w:szCs w:val="18"/>
        </w:rPr>
        <w:t>v</w:t>
      </w:r>
      <w:r w:rsidRPr="00226C37">
        <w:rPr>
          <w:rFonts w:ascii="Times New Roman" w:hAnsi="Times New Roman" w:cs="Times New Roman"/>
          <w:i/>
          <w:iCs/>
          <w:sz w:val="18"/>
          <w:szCs w:val="18"/>
        </w:rPr>
        <w:t xml:space="preserve"> Commission</w:t>
      </w:r>
      <w:r w:rsidR="00BF7D7A">
        <w:rPr>
          <w:rFonts w:ascii="Times New Roman" w:hAnsi="Times New Roman" w:cs="Times New Roman"/>
          <w:sz w:val="18"/>
          <w:szCs w:val="18"/>
        </w:rPr>
        <w:t xml:space="preserve"> (T-395/04) </w:t>
      </w:r>
      <w:r w:rsidRPr="00226C37">
        <w:rPr>
          <w:rFonts w:ascii="Times New Roman" w:hAnsi="Times New Roman" w:cs="Times New Roman"/>
          <w:sz w:val="18"/>
          <w:szCs w:val="18"/>
        </w:rPr>
        <w:t>ECLI:</w:t>
      </w:r>
      <w:proofErr w:type="gramStart"/>
      <w:r w:rsidRPr="00226C37">
        <w:rPr>
          <w:rFonts w:ascii="Times New Roman" w:hAnsi="Times New Roman" w:cs="Times New Roman"/>
          <w:sz w:val="18"/>
          <w:szCs w:val="18"/>
        </w:rPr>
        <w:t>EU:T</w:t>
      </w:r>
      <w:proofErr w:type="gramEnd"/>
      <w:r w:rsidRPr="00226C37">
        <w:rPr>
          <w:rFonts w:ascii="Times New Roman" w:hAnsi="Times New Roman" w:cs="Times New Roman"/>
          <w:sz w:val="18"/>
          <w:szCs w:val="18"/>
        </w:rPr>
        <w:t xml:space="preserve">:2006:123, </w:t>
      </w:r>
      <w:r w:rsidR="00BF7D7A">
        <w:rPr>
          <w:rFonts w:ascii="Times New Roman" w:hAnsi="Times New Roman" w:cs="Times New Roman"/>
          <w:sz w:val="18"/>
          <w:szCs w:val="18"/>
        </w:rPr>
        <w:t>at</w:t>
      </w:r>
      <w:r w:rsidRPr="00226C37">
        <w:rPr>
          <w:rFonts w:ascii="Times New Roman" w:hAnsi="Times New Roman" w:cs="Times New Roman"/>
          <w:sz w:val="18"/>
          <w:szCs w:val="18"/>
        </w:rPr>
        <w:t xml:space="preserve"> </w:t>
      </w:r>
      <w:r w:rsidR="00BF7D7A">
        <w:rPr>
          <w:rFonts w:ascii="Times New Roman" w:hAnsi="Times New Roman" w:cs="Times New Roman"/>
          <w:sz w:val="18"/>
          <w:szCs w:val="18"/>
        </w:rPr>
        <w:t>[</w:t>
      </w:r>
      <w:r w:rsidRPr="00226C37">
        <w:rPr>
          <w:rFonts w:ascii="Times New Roman" w:hAnsi="Times New Roman" w:cs="Times New Roman"/>
          <w:sz w:val="18"/>
          <w:szCs w:val="18"/>
        </w:rPr>
        <w:t>24</w:t>
      </w:r>
      <w:r w:rsidR="00BF7D7A">
        <w:rPr>
          <w:rFonts w:ascii="Times New Roman" w:hAnsi="Times New Roman" w:cs="Times New Roman"/>
          <w:sz w:val="18"/>
          <w:szCs w:val="18"/>
        </w:rPr>
        <w:t>]</w:t>
      </w:r>
      <w:r w:rsidRPr="00226C37">
        <w:rPr>
          <w:rFonts w:ascii="Times New Roman" w:hAnsi="Times New Roman" w:cs="Times New Roman"/>
          <w:sz w:val="18"/>
          <w:szCs w:val="18"/>
        </w:rPr>
        <w:t>.</w:t>
      </w:r>
    </w:p>
  </w:footnote>
  <w:footnote w:id="28">
    <w:p w14:paraId="54DA8A3C" w14:textId="4C352FBA"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2C335E" w:rsidRPr="00226C37">
        <w:rPr>
          <w:rFonts w:ascii="Times New Roman" w:hAnsi="Times New Roman" w:cs="Times New Roman"/>
          <w:i/>
          <w:iCs/>
          <w:sz w:val="18"/>
          <w:szCs w:val="18"/>
        </w:rPr>
        <w:t xml:space="preserve">Air One </w:t>
      </w:r>
      <w:r w:rsidR="002C335E">
        <w:rPr>
          <w:rFonts w:ascii="Times New Roman" w:hAnsi="Times New Roman" w:cs="Times New Roman"/>
          <w:i/>
          <w:iCs/>
          <w:sz w:val="18"/>
          <w:szCs w:val="18"/>
        </w:rPr>
        <w:t>v</w:t>
      </w:r>
      <w:r w:rsidR="002C335E" w:rsidRPr="00226C37">
        <w:rPr>
          <w:rFonts w:ascii="Times New Roman" w:hAnsi="Times New Roman" w:cs="Times New Roman"/>
          <w:i/>
          <w:iCs/>
          <w:sz w:val="18"/>
          <w:szCs w:val="18"/>
        </w:rPr>
        <w:t xml:space="preserve"> Commission</w:t>
      </w:r>
      <w:r w:rsidR="002C335E" w:rsidRPr="00226C37">
        <w:rPr>
          <w:rFonts w:ascii="Times New Roman" w:hAnsi="Times New Roman" w:cs="Times New Roman"/>
          <w:sz w:val="18"/>
          <w:szCs w:val="18"/>
        </w:rPr>
        <w:t xml:space="preserve">, </w:t>
      </w:r>
      <w:r w:rsidR="002C335E">
        <w:rPr>
          <w:rFonts w:ascii="Times New Roman" w:hAnsi="Times New Roman" w:cs="Times New Roman"/>
          <w:sz w:val="18"/>
          <w:szCs w:val="18"/>
        </w:rPr>
        <w:t>at</w:t>
      </w:r>
      <w:r w:rsidR="002C335E" w:rsidRPr="00226C37">
        <w:rPr>
          <w:rFonts w:ascii="Times New Roman" w:hAnsi="Times New Roman" w:cs="Times New Roman"/>
          <w:sz w:val="18"/>
          <w:szCs w:val="18"/>
        </w:rPr>
        <w:t xml:space="preserve"> </w:t>
      </w:r>
      <w:r w:rsidR="002C335E">
        <w:rPr>
          <w:rFonts w:ascii="Times New Roman" w:hAnsi="Times New Roman" w:cs="Times New Roman"/>
          <w:sz w:val="18"/>
          <w:szCs w:val="18"/>
        </w:rPr>
        <w:t>[</w:t>
      </w:r>
      <w:r w:rsidR="002C335E" w:rsidRPr="00226C37">
        <w:rPr>
          <w:rFonts w:ascii="Times New Roman" w:hAnsi="Times New Roman" w:cs="Times New Roman"/>
          <w:sz w:val="18"/>
          <w:szCs w:val="18"/>
        </w:rPr>
        <w:t>24</w:t>
      </w:r>
      <w:r w:rsidR="002C335E">
        <w:rPr>
          <w:rFonts w:ascii="Times New Roman" w:hAnsi="Times New Roman" w:cs="Times New Roman"/>
          <w:sz w:val="18"/>
          <w:szCs w:val="18"/>
        </w:rPr>
        <w:t>]</w:t>
      </w:r>
      <w:r w:rsidR="002C335E" w:rsidRPr="00226C37">
        <w:rPr>
          <w:rFonts w:ascii="Times New Roman" w:hAnsi="Times New Roman" w:cs="Times New Roman"/>
          <w:sz w:val="18"/>
          <w:szCs w:val="18"/>
        </w:rPr>
        <w:t>.</w:t>
      </w:r>
    </w:p>
  </w:footnote>
  <w:footnote w:id="29">
    <w:p w14:paraId="276A6315" w14:textId="4E0A26BC"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It should be emphasised here that </w:t>
      </w:r>
      <w:r w:rsidR="005A2FAC">
        <w:rPr>
          <w:rFonts w:ascii="Times New Roman" w:hAnsi="Times New Roman" w:cs="Times New Roman"/>
          <w:sz w:val="18"/>
          <w:szCs w:val="18"/>
        </w:rPr>
        <w:t>art.</w:t>
      </w:r>
      <w:r w:rsidRPr="00226C37">
        <w:rPr>
          <w:rFonts w:ascii="Times New Roman" w:hAnsi="Times New Roman" w:cs="Times New Roman"/>
          <w:sz w:val="18"/>
          <w:szCs w:val="18"/>
        </w:rPr>
        <w:t xml:space="preserve"> 263 TFEU proceedings would also be available to privileged applicants under </w:t>
      </w:r>
      <w:r w:rsidR="005A2FAC">
        <w:rPr>
          <w:rFonts w:ascii="Times New Roman" w:hAnsi="Times New Roman" w:cs="Times New Roman"/>
          <w:sz w:val="18"/>
          <w:szCs w:val="18"/>
        </w:rPr>
        <w:t xml:space="preserve">art. </w:t>
      </w:r>
      <w:r w:rsidRPr="00226C37">
        <w:rPr>
          <w:rFonts w:ascii="Times New Roman" w:hAnsi="Times New Roman" w:cs="Times New Roman"/>
          <w:sz w:val="18"/>
          <w:szCs w:val="18"/>
        </w:rPr>
        <w:t xml:space="preserve">263(2) TFEU (a Member State, the European Parliament, the </w:t>
      </w:r>
      <w:proofErr w:type="gramStart"/>
      <w:r w:rsidRPr="00226C37">
        <w:rPr>
          <w:rFonts w:ascii="Times New Roman" w:hAnsi="Times New Roman" w:cs="Times New Roman"/>
          <w:sz w:val="18"/>
          <w:szCs w:val="18"/>
        </w:rPr>
        <w:t>Council</w:t>
      </w:r>
      <w:proofErr w:type="gramEnd"/>
      <w:r w:rsidRPr="00226C37">
        <w:rPr>
          <w:rFonts w:ascii="Times New Roman" w:hAnsi="Times New Roman" w:cs="Times New Roman"/>
          <w:sz w:val="18"/>
          <w:szCs w:val="18"/>
        </w:rPr>
        <w:t xml:space="preserve"> or the Commission) or semi-privileged applicants (the European Central Bank or the Committee of the Regions for the purpose of protecting their prerogatives) under </w:t>
      </w:r>
      <w:r w:rsidR="005A2FAC">
        <w:rPr>
          <w:rFonts w:ascii="Times New Roman" w:hAnsi="Times New Roman" w:cs="Times New Roman"/>
          <w:sz w:val="18"/>
          <w:szCs w:val="18"/>
        </w:rPr>
        <w:t>art.</w:t>
      </w:r>
      <w:r w:rsidRPr="00226C37">
        <w:rPr>
          <w:rFonts w:ascii="Times New Roman" w:hAnsi="Times New Roman" w:cs="Times New Roman"/>
          <w:sz w:val="18"/>
          <w:szCs w:val="18"/>
        </w:rPr>
        <w:t xml:space="preserve"> 263(3) TFEU. </w:t>
      </w:r>
    </w:p>
  </w:footnote>
  <w:footnote w:id="30">
    <w:p w14:paraId="3767D786" w14:textId="2A8E1C2C"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Pr="00226C37">
        <w:rPr>
          <w:rFonts w:ascii="Times New Roman" w:hAnsi="Times New Roman" w:cs="Times New Roman"/>
          <w:i/>
          <w:iCs/>
          <w:sz w:val="18"/>
          <w:szCs w:val="18"/>
        </w:rPr>
        <w:t>Foto</w:t>
      </w:r>
      <w:proofErr w:type="spellEnd"/>
      <w:r w:rsidRPr="00226C37">
        <w:rPr>
          <w:rFonts w:ascii="Times New Roman" w:hAnsi="Times New Roman" w:cs="Times New Roman"/>
          <w:i/>
          <w:iCs/>
          <w:sz w:val="18"/>
          <w:szCs w:val="18"/>
        </w:rPr>
        <w:t xml:space="preserve">-Frost v </w:t>
      </w:r>
      <w:proofErr w:type="spellStart"/>
      <w:r w:rsidRPr="00226C37">
        <w:rPr>
          <w:rFonts w:ascii="Times New Roman" w:hAnsi="Times New Roman" w:cs="Times New Roman"/>
          <w:i/>
          <w:iCs/>
          <w:sz w:val="18"/>
          <w:szCs w:val="18"/>
        </w:rPr>
        <w:t>Hauptzollamt</w:t>
      </w:r>
      <w:proofErr w:type="spellEnd"/>
      <w:r w:rsidRPr="00226C37">
        <w:rPr>
          <w:rFonts w:ascii="Times New Roman" w:hAnsi="Times New Roman" w:cs="Times New Roman"/>
          <w:i/>
          <w:iCs/>
          <w:sz w:val="18"/>
          <w:szCs w:val="18"/>
        </w:rPr>
        <w:t xml:space="preserve"> Lübeck-Ost</w:t>
      </w:r>
      <w:r w:rsidR="00CB29C5">
        <w:rPr>
          <w:rFonts w:ascii="Times New Roman" w:hAnsi="Times New Roman" w:cs="Times New Roman"/>
          <w:sz w:val="18"/>
          <w:szCs w:val="18"/>
        </w:rPr>
        <w:t xml:space="preserve"> (C-314/85) </w:t>
      </w:r>
      <w:r w:rsidRPr="00226C37">
        <w:rPr>
          <w:rFonts w:ascii="Times New Roman" w:hAnsi="Times New Roman" w:cs="Times New Roman"/>
          <w:sz w:val="18"/>
          <w:szCs w:val="18"/>
        </w:rPr>
        <w:t>ECLI:EU:</w:t>
      </w:r>
      <w:proofErr w:type="gramStart"/>
      <w:r w:rsidRPr="00226C37">
        <w:rPr>
          <w:rFonts w:ascii="Times New Roman" w:hAnsi="Times New Roman" w:cs="Times New Roman"/>
          <w:sz w:val="18"/>
          <w:szCs w:val="18"/>
        </w:rPr>
        <w:t>C:1987:452</w:t>
      </w:r>
      <w:proofErr w:type="gramEnd"/>
      <w:r w:rsidRPr="00226C37">
        <w:rPr>
          <w:rFonts w:ascii="Times New Roman" w:hAnsi="Times New Roman" w:cs="Times New Roman"/>
          <w:sz w:val="18"/>
          <w:szCs w:val="18"/>
        </w:rPr>
        <w:t xml:space="preserve">. </w:t>
      </w:r>
    </w:p>
  </w:footnote>
  <w:footnote w:id="31">
    <w:p w14:paraId="25C400AE" w14:textId="5B95FB5E"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Art. 267(2) TFEU. </w:t>
      </w:r>
    </w:p>
  </w:footnote>
  <w:footnote w:id="32">
    <w:p w14:paraId="6B5AD43F" w14:textId="5FC0D869"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It is, of course, arguable that the representation of one democratically unaccountable Member State in the European Council or the Council would not affect the legality of an act adopted by that configuration of the relevant institution, especially if the vote of that Member State had no bearing on the outcome. Although the full resolution of that argument is beyond the scope of this paper, it is suggested that such a view would be too narrow an understanding of representation as understood in Art. 10(2) TEU; in brief, representatives of a Member State may influence the creation and adoption of an act through their mere participation in deliberations, particularly where there is a </w:t>
      </w:r>
      <w:r w:rsidRPr="00226C37">
        <w:rPr>
          <w:rFonts w:ascii="Times New Roman" w:hAnsi="Times New Roman" w:cs="Times New Roman"/>
          <w:i/>
          <w:iCs/>
          <w:sz w:val="18"/>
          <w:szCs w:val="18"/>
        </w:rPr>
        <w:t>de facto</w:t>
      </w:r>
      <w:r w:rsidRPr="00226C37">
        <w:rPr>
          <w:rFonts w:ascii="Times New Roman" w:hAnsi="Times New Roman" w:cs="Times New Roman"/>
          <w:sz w:val="18"/>
          <w:szCs w:val="18"/>
        </w:rPr>
        <w:t xml:space="preserve"> desire to achieve consensus, even when not required </w:t>
      </w:r>
      <w:proofErr w:type="spellStart"/>
      <w:r w:rsidRPr="00226C37">
        <w:rPr>
          <w:rFonts w:ascii="Times New Roman" w:hAnsi="Times New Roman" w:cs="Times New Roman"/>
          <w:i/>
          <w:iCs/>
          <w:sz w:val="18"/>
          <w:szCs w:val="18"/>
        </w:rPr>
        <w:t>stricto</w:t>
      </w:r>
      <w:proofErr w:type="spellEnd"/>
      <w:r w:rsidRPr="00226C37">
        <w:rPr>
          <w:rFonts w:ascii="Times New Roman" w:hAnsi="Times New Roman" w:cs="Times New Roman"/>
          <w:i/>
          <w:iCs/>
          <w:sz w:val="18"/>
          <w:szCs w:val="18"/>
        </w:rPr>
        <w:t xml:space="preserve"> </w:t>
      </w:r>
      <w:proofErr w:type="spellStart"/>
      <w:r w:rsidRPr="00226C37">
        <w:rPr>
          <w:rFonts w:ascii="Times New Roman" w:hAnsi="Times New Roman" w:cs="Times New Roman"/>
          <w:i/>
          <w:iCs/>
          <w:sz w:val="18"/>
          <w:szCs w:val="18"/>
        </w:rPr>
        <w:t>sensu</w:t>
      </w:r>
      <w:proofErr w:type="spellEnd"/>
      <w:r w:rsidRPr="00226C37">
        <w:rPr>
          <w:rFonts w:ascii="Times New Roman" w:hAnsi="Times New Roman" w:cs="Times New Roman"/>
          <w:sz w:val="18"/>
          <w:szCs w:val="18"/>
        </w:rPr>
        <w:t xml:space="preserve">. </w:t>
      </w:r>
    </w:p>
  </w:footnote>
  <w:footnote w:id="33">
    <w:p w14:paraId="168D6834" w14:textId="2FA17AE9"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If the proceedings reach the ECJ in a reference for a preliminary ruling, a declaration of invalidity will be </w:t>
      </w:r>
      <w:proofErr w:type="gramStart"/>
      <w:r w:rsidRPr="00226C37">
        <w:rPr>
          <w:rFonts w:ascii="Times New Roman" w:hAnsi="Times New Roman" w:cs="Times New Roman"/>
          <w:sz w:val="18"/>
          <w:szCs w:val="18"/>
        </w:rPr>
        <w:t>similar to</w:t>
      </w:r>
      <w:proofErr w:type="gramEnd"/>
      <w:r w:rsidRPr="00226C37">
        <w:rPr>
          <w:rFonts w:ascii="Times New Roman" w:hAnsi="Times New Roman" w:cs="Times New Roman"/>
          <w:sz w:val="18"/>
          <w:szCs w:val="18"/>
        </w:rPr>
        <w:t xml:space="preserve"> a declaration of nullity under Art. 264 TFEU (</w:t>
      </w:r>
      <w:r w:rsidRPr="00226C37">
        <w:rPr>
          <w:rFonts w:ascii="Times New Roman" w:hAnsi="Times New Roman" w:cs="Times New Roman"/>
          <w:i/>
          <w:iCs/>
          <w:sz w:val="18"/>
          <w:szCs w:val="18"/>
        </w:rPr>
        <w:t>Commission v. Greece</w:t>
      </w:r>
      <w:r w:rsidR="00CB29C5">
        <w:rPr>
          <w:rFonts w:ascii="Times New Roman" w:hAnsi="Times New Roman" w:cs="Times New Roman"/>
          <w:sz w:val="18"/>
          <w:szCs w:val="18"/>
        </w:rPr>
        <w:t xml:space="preserve"> (C-475/01) </w:t>
      </w:r>
      <w:r w:rsidRPr="00226C37">
        <w:rPr>
          <w:rFonts w:ascii="Times New Roman" w:hAnsi="Times New Roman" w:cs="Times New Roman"/>
          <w:sz w:val="18"/>
          <w:szCs w:val="18"/>
        </w:rPr>
        <w:t xml:space="preserve">ECLI:EU:C:2004:585, referred to by </w:t>
      </w:r>
      <w:proofErr w:type="spellStart"/>
      <w:r w:rsidRPr="00226C37">
        <w:rPr>
          <w:rFonts w:ascii="Times New Roman" w:hAnsi="Times New Roman" w:cs="Times New Roman"/>
          <w:sz w:val="18"/>
          <w:szCs w:val="18"/>
        </w:rPr>
        <w:t>Lenaerts</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Maselis</w:t>
      </w:r>
      <w:proofErr w:type="spellEnd"/>
      <w:r w:rsidRPr="00226C37">
        <w:rPr>
          <w:rFonts w:ascii="Times New Roman" w:hAnsi="Times New Roman" w:cs="Times New Roman"/>
          <w:sz w:val="18"/>
          <w:szCs w:val="18"/>
        </w:rPr>
        <w:t xml:space="preserve">, and Gutman, </w:t>
      </w:r>
      <w:r w:rsidR="002C335E">
        <w:rPr>
          <w:rFonts w:ascii="Times New Roman" w:hAnsi="Times New Roman" w:cs="Times New Roman"/>
          <w:i/>
          <w:iCs/>
          <w:sz w:val="18"/>
          <w:szCs w:val="18"/>
        </w:rPr>
        <w:t>EU Procedural Law</w:t>
      </w:r>
      <w:r w:rsidRPr="00226C37">
        <w:rPr>
          <w:rFonts w:ascii="Times New Roman" w:hAnsi="Times New Roman" w:cs="Times New Roman"/>
          <w:sz w:val="18"/>
          <w:szCs w:val="18"/>
        </w:rPr>
        <w:t xml:space="preserve">, p.475). </w:t>
      </w:r>
    </w:p>
  </w:footnote>
  <w:footnote w:id="34">
    <w:p w14:paraId="77873511" w14:textId="4F3D8736"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Article 264(1) TFEU; </w:t>
      </w:r>
      <w:proofErr w:type="spellStart"/>
      <w:r w:rsidRPr="00226C37">
        <w:rPr>
          <w:rFonts w:ascii="Times New Roman" w:hAnsi="Times New Roman" w:cs="Times New Roman"/>
          <w:sz w:val="18"/>
          <w:szCs w:val="18"/>
        </w:rPr>
        <w:t>Lenaerts</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Maselis</w:t>
      </w:r>
      <w:proofErr w:type="spellEnd"/>
      <w:r w:rsidRPr="00226C37">
        <w:rPr>
          <w:rFonts w:ascii="Times New Roman" w:hAnsi="Times New Roman" w:cs="Times New Roman"/>
          <w:sz w:val="18"/>
          <w:szCs w:val="18"/>
        </w:rPr>
        <w:t xml:space="preserve">, and Gutman, </w:t>
      </w:r>
      <w:r w:rsidR="00CE3D2B">
        <w:rPr>
          <w:rFonts w:ascii="Times New Roman" w:hAnsi="Times New Roman" w:cs="Times New Roman"/>
          <w:i/>
          <w:iCs/>
          <w:sz w:val="18"/>
          <w:szCs w:val="18"/>
        </w:rPr>
        <w:t>EU Procedural Law</w:t>
      </w:r>
      <w:r w:rsidRPr="00226C37">
        <w:rPr>
          <w:rFonts w:ascii="Times New Roman" w:hAnsi="Times New Roman" w:cs="Times New Roman"/>
          <w:sz w:val="18"/>
          <w:szCs w:val="18"/>
        </w:rPr>
        <w:t xml:space="preserve">, p.411. </w:t>
      </w:r>
    </w:p>
  </w:footnote>
  <w:footnote w:id="35">
    <w:p w14:paraId="48F56BD2" w14:textId="7D842E1F" w:rsidR="001B3D9B" w:rsidRPr="00226C37" w:rsidRDefault="001B3D9B" w:rsidP="00A031BE">
      <w:pPr>
        <w:pStyle w:val="FootnoteText"/>
        <w:jc w:val="both"/>
        <w:rPr>
          <w:rFonts w:ascii="Times New Roman" w:hAnsi="Times New Roman" w:cs="Times New Roman"/>
          <w:i/>
          <w:iCs/>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The CJEU has used this facility on grounds of legal certainty: </w:t>
      </w:r>
      <w:proofErr w:type="spellStart"/>
      <w:r w:rsidRPr="00226C37">
        <w:rPr>
          <w:rFonts w:ascii="Times New Roman" w:hAnsi="Times New Roman" w:cs="Times New Roman"/>
          <w:sz w:val="18"/>
          <w:szCs w:val="18"/>
        </w:rPr>
        <w:t>Lenaerts</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Maselis</w:t>
      </w:r>
      <w:proofErr w:type="spellEnd"/>
      <w:r w:rsidRPr="00226C37">
        <w:rPr>
          <w:rFonts w:ascii="Times New Roman" w:hAnsi="Times New Roman" w:cs="Times New Roman"/>
          <w:sz w:val="18"/>
          <w:szCs w:val="18"/>
        </w:rPr>
        <w:t xml:space="preserve">, and Gutman, </w:t>
      </w:r>
      <w:r w:rsidR="00CE3D2B">
        <w:rPr>
          <w:rFonts w:ascii="Times New Roman" w:hAnsi="Times New Roman" w:cs="Times New Roman"/>
          <w:i/>
          <w:iCs/>
          <w:sz w:val="18"/>
          <w:szCs w:val="18"/>
        </w:rPr>
        <w:t>EU Procedural Law</w:t>
      </w:r>
      <w:r w:rsidRPr="00226C37">
        <w:rPr>
          <w:rFonts w:ascii="Times New Roman" w:hAnsi="Times New Roman" w:cs="Times New Roman"/>
          <w:sz w:val="18"/>
          <w:szCs w:val="18"/>
        </w:rPr>
        <w:t>, p.413</w:t>
      </w:r>
      <w:r w:rsidR="00885E41" w:rsidRPr="00226C37">
        <w:rPr>
          <w:rFonts w:ascii="Times New Roman" w:hAnsi="Times New Roman" w:cs="Times New Roman"/>
          <w:sz w:val="18"/>
          <w:szCs w:val="18"/>
        </w:rPr>
        <w:t xml:space="preserve"> </w:t>
      </w:r>
      <w:r w:rsidRPr="00226C37">
        <w:rPr>
          <w:rFonts w:ascii="Times New Roman" w:hAnsi="Times New Roman" w:cs="Times New Roman"/>
          <w:sz w:val="18"/>
          <w:szCs w:val="18"/>
        </w:rPr>
        <w:t xml:space="preserve">citing, </w:t>
      </w:r>
      <w:r w:rsidRPr="00226C37">
        <w:rPr>
          <w:rFonts w:ascii="Times New Roman" w:hAnsi="Times New Roman" w:cs="Times New Roman"/>
          <w:i/>
          <w:iCs/>
          <w:sz w:val="18"/>
          <w:szCs w:val="18"/>
        </w:rPr>
        <w:t>inter alia</w:t>
      </w:r>
      <w:r w:rsidRPr="00226C37">
        <w:rPr>
          <w:rFonts w:ascii="Times New Roman" w:hAnsi="Times New Roman" w:cs="Times New Roman"/>
          <w:sz w:val="18"/>
          <w:szCs w:val="18"/>
        </w:rPr>
        <w:t xml:space="preserve">, </w:t>
      </w:r>
      <w:r w:rsidRPr="00226C37">
        <w:rPr>
          <w:rFonts w:ascii="Times New Roman" w:hAnsi="Times New Roman" w:cs="Times New Roman"/>
          <w:i/>
          <w:iCs/>
          <w:sz w:val="18"/>
          <w:szCs w:val="18"/>
        </w:rPr>
        <w:t xml:space="preserve">Winner </w:t>
      </w:r>
      <w:proofErr w:type="spellStart"/>
      <w:r w:rsidRPr="00226C37">
        <w:rPr>
          <w:rFonts w:ascii="Times New Roman" w:hAnsi="Times New Roman" w:cs="Times New Roman"/>
          <w:i/>
          <w:iCs/>
          <w:sz w:val="18"/>
          <w:szCs w:val="18"/>
        </w:rPr>
        <w:t>Wetten</w:t>
      </w:r>
      <w:proofErr w:type="spellEnd"/>
      <w:r w:rsidR="00CB29C5">
        <w:rPr>
          <w:rFonts w:ascii="Times New Roman" w:hAnsi="Times New Roman" w:cs="Times New Roman"/>
          <w:sz w:val="18"/>
          <w:szCs w:val="18"/>
        </w:rPr>
        <w:t xml:space="preserve"> (C-409/06) </w:t>
      </w:r>
      <w:r w:rsidRPr="00226C37">
        <w:rPr>
          <w:rFonts w:ascii="Times New Roman" w:hAnsi="Times New Roman" w:cs="Times New Roman"/>
          <w:sz w:val="18"/>
          <w:szCs w:val="18"/>
        </w:rPr>
        <w:t xml:space="preserve">ECLI:EU:C:2010:503. </w:t>
      </w:r>
    </w:p>
  </w:footnote>
  <w:footnote w:id="36">
    <w:p w14:paraId="757C4B84" w14:textId="08D46AD0"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Lenaerts</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Maselis</w:t>
      </w:r>
      <w:proofErr w:type="spellEnd"/>
      <w:r w:rsidRPr="00226C37">
        <w:rPr>
          <w:rFonts w:ascii="Times New Roman" w:hAnsi="Times New Roman" w:cs="Times New Roman"/>
          <w:sz w:val="18"/>
          <w:szCs w:val="18"/>
        </w:rPr>
        <w:t>, and Gutman,</w:t>
      </w:r>
      <w:r w:rsidR="00CE3D2B">
        <w:rPr>
          <w:rFonts w:ascii="Times New Roman" w:hAnsi="Times New Roman" w:cs="Times New Roman"/>
          <w:sz w:val="18"/>
          <w:szCs w:val="18"/>
        </w:rPr>
        <w:t xml:space="preserve"> </w:t>
      </w:r>
      <w:r w:rsidR="00CE3D2B">
        <w:rPr>
          <w:rFonts w:ascii="Times New Roman" w:hAnsi="Times New Roman" w:cs="Times New Roman"/>
          <w:i/>
          <w:iCs/>
          <w:sz w:val="18"/>
          <w:szCs w:val="18"/>
        </w:rPr>
        <w:t>EU Procedural Law</w:t>
      </w:r>
      <w:r w:rsidRPr="00226C37">
        <w:rPr>
          <w:rFonts w:ascii="Times New Roman" w:hAnsi="Times New Roman" w:cs="Times New Roman"/>
          <w:sz w:val="18"/>
          <w:szCs w:val="18"/>
        </w:rPr>
        <w:t>, p.415</w:t>
      </w:r>
      <w:r w:rsidR="00885E41" w:rsidRPr="00226C37">
        <w:rPr>
          <w:rFonts w:ascii="Times New Roman" w:hAnsi="Times New Roman" w:cs="Times New Roman"/>
          <w:sz w:val="18"/>
          <w:szCs w:val="18"/>
        </w:rPr>
        <w:t xml:space="preserve"> </w:t>
      </w:r>
      <w:r w:rsidRPr="00226C37">
        <w:rPr>
          <w:rFonts w:ascii="Times New Roman" w:hAnsi="Times New Roman" w:cs="Times New Roman"/>
          <w:sz w:val="18"/>
          <w:szCs w:val="18"/>
        </w:rPr>
        <w:t xml:space="preserve">citing, </w:t>
      </w:r>
      <w:r w:rsidRPr="00226C37">
        <w:rPr>
          <w:rFonts w:ascii="Times New Roman" w:hAnsi="Times New Roman" w:cs="Times New Roman"/>
          <w:i/>
          <w:iCs/>
          <w:sz w:val="18"/>
          <w:szCs w:val="18"/>
        </w:rPr>
        <w:t>inter alia</w:t>
      </w:r>
      <w:r w:rsidRPr="00226C37">
        <w:rPr>
          <w:rFonts w:ascii="Times New Roman" w:hAnsi="Times New Roman" w:cs="Times New Roman"/>
          <w:sz w:val="18"/>
          <w:szCs w:val="18"/>
        </w:rPr>
        <w:t xml:space="preserve">, </w:t>
      </w:r>
      <w:r w:rsidRPr="00226C37">
        <w:rPr>
          <w:rFonts w:ascii="Times New Roman" w:hAnsi="Times New Roman" w:cs="Times New Roman"/>
          <w:i/>
          <w:iCs/>
          <w:sz w:val="18"/>
          <w:szCs w:val="18"/>
        </w:rPr>
        <w:t xml:space="preserve">AKZO </w:t>
      </w:r>
      <w:proofErr w:type="spellStart"/>
      <w:r w:rsidRPr="00226C37">
        <w:rPr>
          <w:rFonts w:ascii="Times New Roman" w:hAnsi="Times New Roman" w:cs="Times New Roman"/>
          <w:i/>
          <w:iCs/>
          <w:sz w:val="18"/>
          <w:szCs w:val="18"/>
        </w:rPr>
        <w:t>Chemie</w:t>
      </w:r>
      <w:proofErr w:type="spellEnd"/>
      <w:r w:rsidRPr="00226C37">
        <w:rPr>
          <w:rFonts w:ascii="Times New Roman" w:hAnsi="Times New Roman" w:cs="Times New Roman"/>
          <w:i/>
          <w:iCs/>
          <w:sz w:val="18"/>
          <w:szCs w:val="18"/>
        </w:rPr>
        <w:t xml:space="preserve"> v Commission</w:t>
      </w:r>
      <w:r w:rsidR="00CB29C5">
        <w:rPr>
          <w:rFonts w:ascii="Times New Roman" w:hAnsi="Times New Roman" w:cs="Times New Roman"/>
          <w:sz w:val="18"/>
          <w:szCs w:val="18"/>
        </w:rPr>
        <w:t xml:space="preserve"> (C-53/85)</w:t>
      </w:r>
      <w:r w:rsidRPr="00226C37">
        <w:rPr>
          <w:rFonts w:ascii="Times New Roman" w:hAnsi="Times New Roman" w:cs="Times New Roman"/>
          <w:sz w:val="18"/>
          <w:szCs w:val="18"/>
        </w:rPr>
        <w:t xml:space="preserve"> ECLI:EU:C:1986:256. </w:t>
      </w:r>
    </w:p>
  </w:footnote>
  <w:footnote w:id="37">
    <w:p w14:paraId="0C04AF81" w14:textId="779488FD"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002C335E" w:rsidRPr="00226C37">
        <w:rPr>
          <w:rFonts w:ascii="Times New Roman" w:hAnsi="Times New Roman" w:cs="Times New Roman"/>
          <w:sz w:val="18"/>
          <w:szCs w:val="18"/>
        </w:rPr>
        <w:t>Lenaerts</w:t>
      </w:r>
      <w:proofErr w:type="spellEnd"/>
      <w:r w:rsidR="002C335E" w:rsidRPr="00226C37">
        <w:rPr>
          <w:rFonts w:ascii="Times New Roman" w:hAnsi="Times New Roman" w:cs="Times New Roman"/>
          <w:sz w:val="18"/>
          <w:szCs w:val="18"/>
        </w:rPr>
        <w:t xml:space="preserve">, </w:t>
      </w:r>
      <w:proofErr w:type="spellStart"/>
      <w:r w:rsidR="002C335E" w:rsidRPr="00226C37">
        <w:rPr>
          <w:rFonts w:ascii="Times New Roman" w:hAnsi="Times New Roman" w:cs="Times New Roman"/>
          <w:sz w:val="18"/>
          <w:szCs w:val="18"/>
        </w:rPr>
        <w:t>Maselis</w:t>
      </w:r>
      <w:proofErr w:type="spellEnd"/>
      <w:r w:rsidR="002C335E" w:rsidRPr="00226C37">
        <w:rPr>
          <w:rFonts w:ascii="Times New Roman" w:hAnsi="Times New Roman" w:cs="Times New Roman"/>
          <w:sz w:val="18"/>
          <w:szCs w:val="18"/>
        </w:rPr>
        <w:t>, and Gutman,</w:t>
      </w:r>
      <w:r w:rsidR="002C335E">
        <w:rPr>
          <w:rFonts w:ascii="Times New Roman" w:hAnsi="Times New Roman" w:cs="Times New Roman"/>
          <w:sz w:val="18"/>
          <w:szCs w:val="18"/>
        </w:rPr>
        <w:t xml:space="preserve"> </w:t>
      </w:r>
      <w:r w:rsidR="002C335E">
        <w:rPr>
          <w:rFonts w:ascii="Times New Roman" w:hAnsi="Times New Roman" w:cs="Times New Roman"/>
          <w:i/>
          <w:iCs/>
          <w:sz w:val="18"/>
          <w:szCs w:val="18"/>
        </w:rPr>
        <w:t>EU Procedural Law</w:t>
      </w:r>
      <w:r w:rsidRPr="00226C37">
        <w:rPr>
          <w:rFonts w:ascii="Times New Roman" w:hAnsi="Times New Roman" w:cs="Times New Roman"/>
          <w:sz w:val="18"/>
          <w:szCs w:val="18"/>
        </w:rPr>
        <w:t>, p.415, citing</w:t>
      </w:r>
      <w:r w:rsidR="00BF7D7A">
        <w:rPr>
          <w:rFonts w:ascii="Times New Roman" w:hAnsi="Times New Roman" w:cs="Times New Roman"/>
          <w:sz w:val="18"/>
          <w:szCs w:val="18"/>
        </w:rPr>
        <w:t xml:space="preserve"> </w:t>
      </w:r>
      <w:proofErr w:type="spellStart"/>
      <w:r w:rsidRPr="00226C37">
        <w:rPr>
          <w:rFonts w:ascii="Times New Roman" w:hAnsi="Times New Roman" w:cs="Times New Roman"/>
          <w:i/>
          <w:iCs/>
          <w:sz w:val="18"/>
          <w:szCs w:val="18"/>
        </w:rPr>
        <w:t>Internationaler</w:t>
      </w:r>
      <w:proofErr w:type="spellEnd"/>
      <w:r w:rsidRPr="00226C37">
        <w:rPr>
          <w:rFonts w:ascii="Times New Roman" w:hAnsi="Times New Roman" w:cs="Times New Roman"/>
          <w:i/>
          <w:iCs/>
          <w:sz w:val="18"/>
          <w:szCs w:val="18"/>
        </w:rPr>
        <w:t xml:space="preserve"> </w:t>
      </w:r>
      <w:proofErr w:type="spellStart"/>
      <w:r w:rsidRPr="00226C37">
        <w:rPr>
          <w:rFonts w:ascii="Times New Roman" w:hAnsi="Times New Roman" w:cs="Times New Roman"/>
          <w:i/>
          <w:iCs/>
          <w:sz w:val="18"/>
          <w:szCs w:val="18"/>
        </w:rPr>
        <w:t>Hilfsfonds</w:t>
      </w:r>
      <w:proofErr w:type="spellEnd"/>
      <w:r w:rsidRPr="00226C37">
        <w:rPr>
          <w:rFonts w:ascii="Times New Roman" w:hAnsi="Times New Roman" w:cs="Times New Roman"/>
          <w:i/>
          <w:iCs/>
          <w:sz w:val="18"/>
          <w:szCs w:val="18"/>
        </w:rPr>
        <w:t xml:space="preserve"> v Commission</w:t>
      </w:r>
      <w:r w:rsidR="00BF7D7A">
        <w:rPr>
          <w:rFonts w:ascii="Times New Roman" w:hAnsi="Times New Roman" w:cs="Times New Roman"/>
          <w:sz w:val="18"/>
          <w:szCs w:val="18"/>
        </w:rPr>
        <w:t xml:space="preserve"> (T-300/10) </w:t>
      </w:r>
      <w:r w:rsidRPr="00226C37">
        <w:rPr>
          <w:rFonts w:ascii="Times New Roman" w:hAnsi="Times New Roman" w:cs="Times New Roman"/>
          <w:sz w:val="18"/>
          <w:szCs w:val="18"/>
        </w:rPr>
        <w:t>ECLI:</w:t>
      </w:r>
      <w:proofErr w:type="gramStart"/>
      <w:r w:rsidRPr="00226C37">
        <w:rPr>
          <w:rFonts w:ascii="Times New Roman" w:hAnsi="Times New Roman" w:cs="Times New Roman"/>
          <w:sz w:val="18"/>
          <w:szCs w:val="18"/>
        </w:rPr>
        <w:t>EU:T</w:t>
      </w:r>
      <w:proofErr w:type="gramEnd"/>
      <w:r w:rsidRPr="00226C37">
        <w:rPr>
          <w:rFonts w:ascii="Times New Roman" w:hAnsi="Times New Roman" w:cs="Times New Roman"/>
          <w:sz w:val="18"/>
          <w:szCs w:val="18"/>
        </w:rPr>
        <w:t xml:space="preserve">:2012:247, </w:t>
      </w:r>
      <w:r w:rsidR="00BF7D7A">
        <w:rPr>
          <w:rFonts w:ascii="Times New Roman" w:hAnsi="Times New Roman" w:cs="Times New Roman"/>
          <w:sz w:val="18"/>
          <w:szCs w:val="18"/>
        </w:rPr>
        <w:t>at [</w:t>
      </w:r>
      <w:r w:rsidRPr="00226C37">
        <w:rPr>
          <w:rFonts w:ascii="Times New Roman" w:hAnsi="Times New Roman" w:cs="Times New Roman"/>
          <w:sz w:val="18"/>
          <w:szCs w:val="18"/>
        </w:rPr>
        <w:t>151</w:t>
      </w:r>
      <w:r w:rsidR="00BF7D7A">
        <w:rPr>
          <w:rFonts w:ascii="Times New Roman" w:hAnsi="Times New Roman" w:cs="Times New Roman"/>
          <w:sz w:val="18"/>
          <w:szCs w:val="18"/>
        </w:rPr>
        <w:t>]</w:t>
      </w:r>
      <w:r w:rsidRPr="00226C37">
        <w:rPr>
          <w:rFonts w:ascii="Times New Roman" w:hAnsi="Times New Roman" w:cs="Times New Roman"/>
          <w:sz w:val="18"/>
          <w:szCs w:val="18"/>
        </w:rPr>
        <w:t xml:space="preserve">. </w:t>
      </w:r>
    </w:p>
  </w:footnote>
  <w:footnote w:id="38">
    <w:p w14:paraId="7487A081" w14:textId="25534896"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The practical issues with instrumentalising Art. 10(2) TEU are considered </w:t>
      </w:r>
      <w:r w:rsidR="007B0F30">
        <w:rPr>
          <w:rFonts w:ascii="Times New Roman" w:hAnsi="Times New Roman" w:cs="Times New Roman"/>
          <w:sz w:val="18"/>
          <w:szCs w:val="18"/>
        </w:rPr>
        <w:t>below</w:t>
      </w:r>
      <w:r w:rsidRPr="00226C37">
        <w:rPr>
          <w:rFonts w:ascii="Times New Roman" w:hAnsi="Times New Roman" w:cs="Times New Roman"/>
          <w:sz w:val="18"/>
          <w:szCs w:val="18"/>
        </w:rPr>
        <w:t xml:space="preserve">. </w:t>
      </w:r>
    </w:p>
  </w:footnote>
  <w:footnote w:id="39">
    <w:p w14:paraId="3234319C" w14:textId="422B8303"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See also, Arts 39 and 40 CFREU. </w:t>
      </w:r>
    </w:p>
  </w:footnote>
  <w:footnote w:id="40">
    <w:p w14:paraId="17600411" w14:textId="2BC31ECA" w:rsidR="001B3D9B" w:rsidRPr="00226C37" w:rsidRDefault="001B3D9B" w:rsidP="00A031BE">
      <w:pPr>
        <w:pStyle w:val="FootnoteText"/>
        <w:jc w:val="both"/>
        <w:rPr>
          <w:rFonts w:ascii="Times New Roman" w:hAnsi="Times New Roman" w:cs="Times New Roman"/>
          <w:i/>
          <w:iCs/>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See also, the Act concerning the election of the members of the European Parliament by direct universal suffrage, annexed to Council Decision 76/787/ECSC, EEC, Euratom of 20 September 1976, O.J. 1976, L 278, p. 1, as amended by Council Decision 2002/772/EC, Euratom of 25 June 2002 and 23 September 2002, O.J. 2002, L 283, p. 1; Art. 223(1) TFEU. </w:t>
      </w:r>
    </w:p>
  </w:footnote>
  <w:footnote w:id="41">
    <w:p w14:paraId="4AB413E2" w14:textId="581255DF"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The</w:t>
      </w:r>
      <w:r w:rsidR="00885E41" w:rsidRPr="00226C37">
        <w:rPr>
          <w:rFonts w:ascii="Times New Roman" w:hAnsi="Times New Roman" w:cs="Times New Roman"/>
          <w:sz w:val="18"/>
          <w:szCs w:val="18"/>
        </w:rPr>
        <w:t xml:space="preserve"> </w:t>
      </w:r>
      <w:r w:rsidRPr="00226C37">
        <w:rPr>
          <w:rFonts w:ascii="Times New Roman" w:hAnsi="Times New Roman" w:cs="Times New Roman"/>
          <w:sz w:val="18"/>
          <w:szCs w:val="18"/>
        </w:rPr>
        <w:t>judgment</w:t>
      </w:r>
      <w:r w:rsidR="00885E41" w:rsidRPr="00226C37">
        <w:rPr>
          <w:rFonts w:ascii="Times New Roman" w:hAnsi="Times New Roman" w:cs="Times New Roman"/>
          <w:sz w:val="18"/>
          <w:szCs w:val="18"/>
        </w:rPr>
        <w:t xml:space="preserve"> </w:t>
      </w:r>
      <w:r w:rsidRPr="00226C37">
        <w:rPr>
          <w:rFonts w:ascii="Times New Roman" w:hAnsi="Times New Roman" w:cs="Times New Roman"/>
          <w:sz w:val="18"/>
          <w:szCs w:val="18"/>
        </w:rPr>
        <w:t xml:space="preserve">in </w:t>
      </w:r>
      <w:proofErr w:type="spellStart"/>
      <w:r w:rsidRPr="00226C37">
        <w:rPr>
          <w:rFonts w:ascii="Times New Roman" w:hAnsi="Times New Roman" w:cs="Times New Roman"/>
          <w:i/>
          <w:iCs/>
          <w:sz w:val="18"/>
          <w:szCs w:val="18"/>
        </w:rPr>
        <w:t>Delvigne</w:t>
      </w:r>
      <w:proofErr w:type="spellEnd"/>
      <w:r w:rsidR="00CB29C5">
        <w:rPr>
          <w:rFonts w:ascii="Times New Roman" w:hAnsi="Times New Roman" w:cs="Times New Roman"/>
          <w:sz w:val="18"/>
          <w:szCs w:val="18"/>
        </w:rPr>
        <w:t xml:space="preserve"> (C-650/13) </w:t>
      </w:r>
      <w:r w:rsidRPr="00226C37">
        <w:rPr>
          <w:rFonts w:ascii="Times New Roman" w:hAnsi="Times New Roman" w:cs="Times New Roman"/>
          <w:sz w:val="18"/>
          <w:szCs w:val="18"/>
        </w:rPr>
        <w:t>ECLI:EU:</w:t>
      </w:r>
      <w:proofErr w:type="gramStart"/>
      <w:r w:rsidRPr="00226C37">
        <w:rPr>
          <w:rFonts w:ascii="Times New Roman" w:hAnsi="Times New Roman" w:cs="Times New Roman"/>
          <w:sz w:val="18"/>
          <w:szCs w:val="18"/>
        </w:rPr>
        <w:t>C:2015:648</w:t>
      </w:r>
      <w:proofErr w:type="gramEnd"/>
      <w:r w:rsidRPr="00226C37">
        <w:rPr>
          <w:rFonts w:ascii="Times New Roman" w:hAnsi="Times New Roman" w:cs="Times New Roman"/>
          <w:sz w:val="18"/>
          <w:szCs w:val="18"/>
        </w:rPr>
        <w:t xml:space="preserve"> demonstrates that national legislation governing the electoral rules in European Parliament elections falls within the scope of EU law, since such legislation involves the Member State implementing its obligation under Art. 14(3) TEU and EU secondary law (</w:t>
      </w:r>
      <w:r w:rsidR="00BF7D7A">
        <w:rPr>
          <w:rFonts w:ascii="Times New Roman" w:hAnsi="Times New Roman" w:cs="Times New Roman"/>
          <w:sz w:val="18"/>
          <w:szCs w:val="18"/>
        </w:rPr>
        <w:t>at</w:t>
      </w:r>
      <w:r w:rsidRPr="00226C37">
        <w:rPr>
          <w:rFonts w:ascii="Times New Roman" w:hAnsi="Times New Roman" w:cs="Times New Roman"/>
          <w:sz w:val="18"/>
          <w:szCs w:val="18"/>
        </w:rPr>
        <w:t xml:space="preserve"> </w:t>
      </w:r>
      <w:r w:rsidR="00BF7D7A">
        <w:rPr>
          <w:rFonts w:ascii="Times New Roman" w:hAnsi="Times New Roman" w:cs="Times New Roman"/>
          <w:sz w:val="18"/>
          <w:szCs w:val="18"/>
        </w:rPr>
        <w:t>[</w:t>
      </w:r>
      <w:r w:rsidRPr="00226C37">
        <w:rPr>
          <w:rFonts w:ascii="Times New Roman" w:hAnsi="Times New Roman" w:cs="Times New Roman"/>
          <w:sz w:val="18"/>
          <w:szCs w:val="18"/>
        </w:rPr>
        <w:t>24-34</w:t>
      </w:r>
      <w:r w:rsidR="00BF7D7A">
        <w:rPr>
          <w:rFonts w:ascii="Times New Roman" w:hAnsi="Times New Roman" w:cs="Times New Roman"/>
          <w:sz w:val="18"/>
          <w:szCs w:val="18"/>
        </w:rPr>
        <w:t>]</w:t>
      </w:r>
      <w:r w:rsidRPr="00226C37">
        <w:rPr>
          <w:rFonts w:ascii="Times New Roman" w:hAnsi="Times New Roman" w:cs="Times New Roman"/>
          <w:sz w:val="18"/>
          <w:szCs w:val="18"/>
        </w:rPr>
        <w:t xml:space="preserve">). See </w:t>
      </w:r>
      <w:r w:rsidR="009050BD">
        <w:rPr>
          <w:rFonts w:ascii="Times New Roman" w:hAnsi="Times New Roman" w:cs="Times New Roman"/>
          <w:sz w:val="18"/>
          <w:szCs w:val="18"/>
        </w:rPr>
        <w:t xml:space="preserve">S. </w:t>
      </w:r>
      <w:bookmarkStart w:id="16" w:name="_Hlk84450964"/>
      <w:proofErr w:type="spellStart"/>
      <w:r w:rsidRPr="00226C37">
        <w:rPr>
          <w:rFonts w:ascii="Times New Roman" w:hAnsi="Times New Roman" w:cs="Times New Roman"/>
          <w:sz w:val="18"/>
          <w:szCs w:val="18"/>
        </w:rPr>
        <w:t>Platon</w:t>
      </w:r>
      <w:proofErr w:type="spellEnd"/>
      <w:r w:rsidRPr="00226C37">
        <w:rPr>
          <w:rFonts w:ascii="Times New Roman" w:hAnsi="Times New Roman" w:cs="Times New Roman"/>
          <w:sz w:val="18"/>
          <w:szCs w:val="18"/>
        </w:rPr>
        <w:t>, “The Right to Participate in the European Elections and the Vertical Division of Competences in the European Union”</w:t>
      </w:r>
      <w:bookmarkEnd w:id="16"/>
      <w:r w:rsidRPr="00226C37">
        <w:rPr>
          <w:rFonts w:ascii="Times New Roman" w:hAnsi="Times New Roman" w:cs="Times New Roman"/>
          <w:sz w:val="18"/>
          <w:szCs w:val="18"/>
        </w:rPr>
        <w:t xml:space="preserve"> in </w:t>
      </w:r>
      <w:r w:rsidR="00445096">
        <w:rPr>
          <w:rFonts w:ascii="Times New Roman" w:hAnsi="Times New Roman" w:cs="Times New Roman"/>
          <w:sz w:val="18"/>
          <w:szCs w:val="18"/>
        </w:rPr>
        <w:t xml:space="preserve">N. </w:t>
      </w:r>
      <w:proofErr w:type="spellStart"/>
      <w:r w:rsidRPr="00226C37">
        <w:rPr>
          <w:rFonts w:ascii="Times New Roman" w:hAnsi="Times New Roman" w:cs="Times New Roman"/>
          <w:sz w:val="18"/>
          <w:szCs w:val="18"/>
        </w:rPr>
        <w:t>Cambien</w:t>
      </w:r>
      <w:proofErr w:type="spellEnd"/>
      <w:r w:rsidRPr="00226C37">
        <w:rPr>
          <w:rFonts w:ascii="Times New Roman" w:hAnsi="Times New Roman" w:cs="Times New Roman"/>
          <w:sz w:val="18"/>
          <w:szCs w:val="18"/>
        </w:rPr>
        <w:t xml:space="preserve">, </w:t>
      </w:r>
      <w:r w:rsidR="009050BD">
        <w:rPr>
          <w:rFonts w:ascii="Times New Roman" w:hAnsi="Times New Roman" w:cs="Times New Roman"/>
          <w:sz w:val="18"/>
          <w:szCs w:val="18"/>
        </w:rPr>
        <w:t xml:space="preserve">D.V. </w:t>
      </w:r>
      <w:proofErr w:type="spellStart"/>
      <w:r w:rsidRPr="00226C37">
        <w:rPr>
          <w:rFonts w:ascii="Times New Roman" w:hAnsi="Times New Roman" w:cs="Times New Roman"/>
          <w:sz w:val="18"/>
          <w:szCs w:val="18"/>
        </w:rPr>
        <w:t>Kochenov</w:t>
      </w:r>
      <w:proofErr w:type="spellEnd"/>
      <w:r w:rsidRPr="00226C37">
        <w:rPr>
          <w:rFonts w:ascii="Times New Roman" w:hAnsi="Times New Roman" w:cs="Times New Roman"/>
          <w:sz w:val="18"/>
          <w:szCs w:val="18"/>
        </w:rPr>
        <w:t xml:space="preserve">, and </w:t>
      </w:r>
      <w:r w:rsidR="009050BD">
        <w:rPr>
          <w:rFonts w:ascii="Times New Roman" w:hAnsi="Times New Roman" w:cs="Times New Roman"/>
          <w:sz w:val="18"/>
          <w:szCs w:val="18"/>
        </w:rPr>
        <w:t xml:space="preserve">E. </w:t>
      </w:r>
      <w:r w:rsidRPr="00226C37">
        <w:rPr>
          <w:rFonts w:ascii="Times New Roman" w:hAnsi="Times New Roman" w:cs="Times New Roman"/>
          <w:sz w:val="18"/>
          <w:szCs w:val="18"/>
        </w:rPr>
        <w:t>Muir (</w:t>
      </w:r>
      <w:r w:rsidR="009050BD">
        <w:rPr>
          <w:rFonts w:ascii="Times New Roman" w:hAnsi="Times New Roman" w:cs="Times New Roman"/>
          <w:sz w:val="18"/>
          <w:szCs w:val="18"/>
        </w:rPr>
        <w:t>e</w:t>
      </w:r>
      <w:r w:rsidRPr="00226C37">
        <w:rPr>
          <w:rFonts w:ascii="Times New Roman" w:hAnsi="Times New Roman" w:cs="Times New Roman"/>
          <w:sz w:val="18"/>
          <w:szCs w:val="18"/>
        </w:rPr>
        <w:t xml:space="preserve">ds), </w:t>
      </w:r>
      <w:r w:rsidRPr="00226C37">
        <w:rPr>
          <w:rFonts w:ascii="Times New Roman" w:hAnsi="Times New Roman" w:cs="Times New Roman"/>
          <w:i/>
          <w:iCs/>
          <w:sz w:val="18"/>
          <w:szCs w:val="18"/>
        </w:rPr>
        <w:t xml:space="preserve">European Citizenship under Stress: Social Justice, </w:t>
      </w:r>
      <w:proofErr w:type="gramStart"/>
      <w:r w:rsidRPr="00226C37">
        <w:rPr>
          <w:rFonts w:ascii="Times New Roman" w:hAnsi="Times New Roman" w:cs="Times New Roman"/>
          <w:i/>
          <w:iCs/>
          <w:sz w:val="18"/>
          <w:szCs w:val="18"/>
        </w:rPr>
        <w:t>Brexit</w:t>
      </w:r>
      <w:proofErr w:type="gramEnd"/>
      <w:r w:rsidRPr="00226C37">
        <w:rPr>
          <w:rFonts w:ascii="Times New Roman" w:hAnsi="Times New Roman" w:cs="Times New Roman"/>
          <w:i/>
          <w:iCs/>
          <w:sz w:val="18"/>
          <w:szCs w:val="18"/>
        </w:rPr>
        <w:t xml:space="preserve"> and Other Challenges</w:t>
      </w:r>
      <w:r w:rsidRPr="00226C37">
        <w:rPr>
          <w:rFonts w:ascii="Times New Roman" w:hAnsi="Times New Roman" w:cs="Times New Roman"/>
          <w:sz w:val="18"/>
          <w:szCs w:val="18"/>
        </w:rPr>
        <w:t xml:space="preserve"> (</w:t>
      </w:r>
      <w:r w:rsidR="00445096">
        <w:rPr>
          <w:rFonts w:ascii="Times New Roman" w:hAnsi="Times New Roman" w:cs="Times New Roman"/>
          <w:sz w:val="18"/>
          <w:szCs w:val="18"/>
        </w:rPr>
        <w:t xml:space="preserve">Leiden: </w:t>
      </w:r>
      <w:r w:rsidRPr="00226C37">
        <w:rPr>
          <w:rFonts w:ascii="Times New Roman" w:hAnsi="Times New Roman" w:cs="Times New Roman"/>
          <w:sz w:val="18"/>
          <w:szCs w:val="18"/>
        </w:rPr>
        <w:t xml:space="preserve">Brill </w:t>
      </w:r>
      <w:proofErr w:type="spellStart"/>
      <w:r w:rsidRPr="00226C37">
        <w:rPr>
          <w:rFonts w:ascii="Times New Roman" w:hAnsi="Times New Roman" w:cs="Times New Roman"/>
          <w:sz w:val="18"/>
          <w:szCs w:val="18"/>
        </w:rPr>
        <w:t>Nijhoff</w:t>
      </w:r>
      <w:proofErr w:type="spellEnd"/>
      <w:r w:rsidRPr="00226C37">
        <w:rPr>
          <w:rFonts w:ascii="Times New Roman" w:hAnsi="Times New Roman" w:cs="Times New Roman"/>
          <w:sz w:val="18"/>
          <w:szCs w:val="18"/>
        </w:rPr>
        <w:t>, 2020), pp.364-386.</w:t>
      </w:r>
    </w:p>
  </w:footnote>
  <w:footnote w:id="42">
    <w:p w14:paraId="208135E9" w14:textId="1E430D0D"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Geiger</w:t>
      </w:r>
      <w:r w:rsidR="00CE3D2B">
        <w:rPr>
          <w:rFonts w:ascii="Times New Roman" w:hAnsi="Times New Roman" w:cs="Times New Roman"/>
          <w:sz w:val="18"/>
          <w:szCs w:val="18"/>
        </w:rPr>
        <w:t xml:space="preserve"> in </w:t>
      </w:r>
      <w:r w:rsidR="00CE3D2B" w:rsidRPr="00226C37">
        <w:rPr>
          <w:rFonts w:ascii="Times New Roman" w:hAnsi="Times New Roman" w:cs="Times New Roman"/>
          <w:sz w:val="18"/>
          <w:szCs w:val="18"/>
        </w:rPr>
        <w:t>Geiger, Khan, and</w:t>
      </w:r>
      <w:r w:rsidR="00CE3D2B">
        <w:rPr>
          <w:rFonts w:ascii="Times New Roman" w:hAnsi="Times New Roman" w:cs="Times New Roman"/>
          <w:sz w:val="18"/>
          <w:szCs w:val="18"/>
        </w:rPr>
        <w:t xml:space="preserve"> </w:t>
      </w:r>
      <w:proofErr w:type="spellStart"/>
      <w:r w:rsidR="00CE3D2B" w:rsidRPr="00226C37">
        <w:rPr>
          <w:rFonts w:ascii="Times New Roman" w:hAnsi="Times New Roman" w:cs="Times New Roman"/>
          <w:sz w:val="18"/>
          <w:szCs w:val="18"/>
        </w:rPr>
        <w:t>Kotzur</w:t>
      </w:r>
      <w:proofErr w:type="spellEnd"/>
      <w:r w:rsidR="00CE3D2B" w:rsidRPr="00226C37">
        <w:rPr>
          <w:rFonts w:ascii="Times New Roman" w:hAnsi="Times New Roman" w:cs="Times New Roman"/>
          <w:sz w:val="18"/>
          <w:szCs w:val="18"/>
        </w:rPr>
        <w:t xml:space="preserve"> (eds), </w:t>
      </w:r>
      <w:r w:rsidR="00CE3D2B" w:rsidRPr="00226C37">
        <w:rPr>
          <w:rFonts w:ascii="Times New Roman" w:hAnsi="Times New Roman" w:cs="Times New Roman"/>
          <w:i/>
          <w:iCs/>
          <w:sz w:val="18"/>
          <w:szCs w:val="18"/>
        </w:rPr>
        <w:t>European Union Treaties: A Commentary</w:t>
      </w:r>
      <w:r w:rsidR="00CE3D2B">
        <w:rPr>
          <w:rFonts w:ascii="Times New Roman" w:hAnsi="Times New Roman" w:cs="Times New Roman"/>
          <w:sz w:val="18"/>
          <w:szCs w:val="18"/>
        </w:rPr>
        <w:t>,</w:t>
      </w:r>
      <w:r w:rsidRPr="00226C37">
        <w:rPr>
          <w:rFonts w:ascii="Times New Roman" w:hAnsi="Times New Roman" w:cs="Times New Roman"/>
          <w:sz w:val="18"/>
          <w:szCs w:val="18"/>
        </w:rPr>
        <w:t xml:space="preserve"> </w:t>
      </w:r>
      <w:r w:rsidR="0001393A">
        <w:rPr>
          <w:rFonts w:ascii="Times New Roman" w:hAnsi="Times New Roman" w:cs="Times New Roman"/>
          <w:sz w:val="18"/>
          <w:szCs w:val="18"/>
        </w:rPr>
        <w:t>p.</w:t>
      </w:r>
      <w:r w:rsidRPr="00226C37">
        <w:rPr>
          <w:rFonts w:ascii="Times New Roman" w:hAnsi="Times New Roman" w:cs="Times New Roman"/>
          <w:sz w:val="18"/>
          <w:szCs w:val="18"/>
        </w:rPr>
        <w:t xml:space="preserve">67. </w:t>
      </w:r>
    </w:p>
  </w:footnote>
  <w:footnote w:id="43">
    <w:p w14:paraId="5988C436" w14:textId="61F2EBFA"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bookmarkStart w:id="17" w:name="_Hlk70876068"/>
      <w:proofErr w:type="spellStart"/>
      <w:r w:rsidRPr="00226C37">
        <w:rPr>
          <w:rFonts w:ascii="Times New Roman" w:hAnsi="Times New Roman" w:cs="Times New Roman"/>
          <w:i/>
          <w:iCs/>
          <w:sz w:val="18"/>
          <w:szCs w:val="18"/>
        </w:rPr>
        <w:t>Associação</w:t>
      </w:r>
      <w:proofErr w:type="spellEnd"/>
      <w:r w:rsidRPr="00226C37">
        <w:rPr>
          <w:rFonts w:ascii="Times New Roman" w:hAnsi="Times New Roman" w:cs="Times New Roman"/>
          <w:i/>
          <w:iCs/>
          <w:sz w:val="18"/>
          <w:szCs w:val="18"/>
        </w:rPr>
        <w:t xml:space="preserve"> </w:t>
      </w:r>
      <w:proofErr w:type="spellStart"/>
      <w:r w:rsidRPr="00226C37">
        <w:rPr>
          <w:rFonts w:ascii="Times New Roman" w:hAnsi="Times New Roman" w:cs="Times New Roman"/>
          <w:i/>
          <w:iCs/>
          <w:sz w:val="18"/>
          <w:szCs w:val="18"/>
        </w:rPr>
        <w:t>Sindical</w:t>
      </w:r>
      <w:proofErr w:type="spellEnd"/>
      <w:r w:rsidRPr="00226C37">
        <w:rPr>
          <w:rFonts w:ascii="Times New Roman" w:hAnsi="Times New Roman" w:cs="Times New Roman"/>
          <w:i/>
          <w:iCs/>
          <w:sz w:val="18"/>
          <w:szCs w:val="18"/>
        </w:rPr>
        <w:t xml:space="preserve"> dos </w:t>
      </w:r>
      <w:proofErr w:type="spellStart"/>
      <w:r w:rsidRPr="00226C37">
        <w:rPr>
          <w:rFonts w:ascii="Times New Roman" w:hAnsi="Times New Roman" w:cs="Times New Roman"/>
          <w:i/>
          <w:iCs/>
          <w:sz w:val="18"/>
          <w:szCs w:val="18"/>
        </w:rPr>
        <w:t>Juízes</w:t>
      </w:r>
      <w:proofErr w:type="spellEnd"/>
      <w:r w:rsidRPr="00226C37">
        <w:rPr>
          <w:rFonts w:ascii="Times New Roman" w:hAnsi="Times New Roman" w:cs="Times New Roman"/>
          <w:i/>
          <w:iCs/>
          <w:sz w:val="18"/>
          <w:szCs w:val="18"/>
        </w:rPr>
        <w:t xml:space="preserve"> </w:t>
      </w:r>
      <w:proofErr w:type="spellStart"/>
      <w:r w:rsidRPr="00226C37">
        <w:rPr>
          <w:rFonts w:ascii="Times New Roman" w:hAnsi="Times New Roman" w:cs="Times New Roman"/>
          <w:i/>
          <w:iCs/>
          <w:sz w:val="18"/>
          <w:szCs w:val="18"/>
        </w:rPr>
        <w:t>Portugueses</w:t>
      </w:r>
      <w:proofErr w:type="spellEnd"/>
      <w:r w:rsidR="00CB29C5">
        <w:rPr>
          <w:rFonts w:ascii="Times New Roman" w:hAnsi="Times New Roman" w:cs="Times New Roman"/>
          <w:sz w:val="18"/>
          <w:szCs w:val="18"/>
        </w:rPr>
        <w:t xml:space="preserve"> (C-64/16)</w:t>
      </w:r>
      <w:r w:rsidRPr="00226C37">
        <w:rPr>
          <w:rFonts w:ascii="Times New Roman" w:hAnsi="Times New Roman" w:cs="Times New Roman"/>
          <w:sz w:val="18"/>
          <w:szCs w:val="18"/>
        </w:rPr>
        <w:t xml:space="preserve"> ECLI:EU:</w:t>
      </w:r>
      <w:proofErr w:type="gramStart"/>
      <w:r w:rsidRPr="00226C37">
        <w:rPr>
          <w:rFonts w:ascii="Times New Roman" w:hAnsi="Times New Roman" w:cs="Times New Roman"/>
          <w:sz w:val="18"/>
          <w:szCs w:val="18"/>
        </w:rPr>
        <w:t>C:2020:460</w:t>
      </w:r>
      <w:bookmarkEnd w:id="17"/>
      <w:proofErr w:type="gramEnd"/>
      <w:r w:rsidRPr="00226C37">
        <w:rPr>
          <w:rFonts w:ascii="Times New Roman" w:hAnsi="Times New Roman" w:cs="Times New Roman"/>
          <w:sz w:val="18"/>
          <w:szCs w:val="18"/>
        </w:rPr>
        <w:t xml:space="preserve">, and its progeny. </w:t>
      </w:r>
    </w:p>
  </w:footnote>
  <w:footnote w:id="44">
    <w:p w14:paraId="597958F8" w14:textId="45D4C0EE"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Art</w:t>
      </w:r>
      <w:r w:rsidR="00CE3D2B">
        <w:rPr>
          <w:rFonts w:ascii="Times New Roman" w:hAnsi="Times New Roman" w:cs="Times New Roman"/>
          <w:sz w:val="18"/>
          <w:szCs w:val="18"/>
        </w:rPr>
        <w:t>icle</w:t>
      </w:r>
      <w:r w:rsidRPr="00226C37">
        <w:rPr>
          <w:rFonts w:ascii="Times New Roman" w:hAnsi="Times New Roman" w:cs="Times New Roman"/>
          <w:sz w:val="18"/>
          <w:szCs w:val="18"/>
        </w:rPr>
        <w:t xml:space="preserve"> 4(2) TEU. </w:t>
      </w:r>
    </w:p>
  </w:footnote>
  <w:footnote w:id="45">
    <w:p w14:paraId="6EDC22C2" w14:textId="13F26610"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Geiger</w:t>
      </w:r>
      <w:r w:rsidR="00CE3D2B">
        <w:rPr>
          <w:rFonts w:ascii="Times New Roman" w:hAnsi="Times New Roman" w:cs="Times New Roman"/>
          <w:sz w:val="18"/>
          <w:szCs w:val="18"/>
        </w:rPr>
        <w:t xml:space="preserve"> in </w:t>
      </w:r>
      <w:r w:rsidR="00CE3D2B" w:rsidRPr="00226C37">
        <w:rPr>
          <w:rFonts w:ascii="Times New Roman" w:hAnsi="Times New Roman" w:cs="Times New Roman"/>
          <w:sz w:val="18"/>
          <w:szCs w:val="18"/>
        </w:rPr>
        <w:t>Geiger, Khan, and</w:t>
      </w:r>
      <w:r w:rsidR="00CE3D2B">
        <w:rPr>
          <w:rFonts w:ascii="Times New Roman" w:hAnsi="Times New Roman" w:cs="Times New Roman"/>
          <w:sz w:val="18"/>
          <w:szCs w:val="18"/>
        </w:rPr>
        <w:t xml:space="preserve"> </w:t>
      </w:r>
      <w:proofErr w:type="spellStart"/>
      <w:r w:rsidR="00CE3D2B" w:rsidRPr="00226C37">
        <w:rPr>
          <w:rFonts w:ascii="Times New Roman" w:hAnsi="Times New Roman" w:cs="Times New Roman"/>
          <w:sz w:val="18"/>
          <w:szCs w:val="18"/>
        </w:rPr>
        <w:t>Kotzur</w:t>
      </w:r>
      <w:proofErr w:type="spellEnd"/>
      <w:r w:rsidR="00CE3D2B" w:rsidRPr="00226C37">
        <w:rPr>
          <w:rFonts w:ascii="Times New Roman" w:hAnsi="Times New Roman" w:cs="Times New Roman"/>
          <w:sz w:val="18"/>
          <w:szCs w:val="18"/>
        </w:rPr>
        <w:t xml:space="preserve"> (eds), </w:t>
      </w:r>
      <w:r w:rsidR="00CE3D2B" w:rsidRPr="00226C37">
        <w:rPr>
          <w:rFonts w:ascii="Times New Roman" w:hAnsi="Times New Roman" w:cs="Times New Roman"/>
          <w:i/>
          <w:iCs/>
          <w:sz w:val="18"/>
          <w:szCs w:val="18"/>
        </w:rPr>
        <w:t>European Union Treaties: A Commentary</w:t>
      </w:r>
      <w:r w:rsidR="00CE3D2B">
        <w:rPr>
          <w:rFonts w:ascii="Times New Roman" w:hAnsi="Times New Roman" w:cs="Times New Roman"/>
          <w:sz w:val="18"/>
          <w:szCs w:val="18"/>
        </w:rPr>
        <w:t>,</w:t>
      </w:r>
      <w:r w:rsidRPr="00226C37">
        <w:rPr>
          <w:rFonts w:ascii="Times New Roman" w:hAnsi="Times New Roman" w:cs="Times New Roman"/>
          <w:sz w:val="18"/>
          <w:szCs w:val="18"/>
        </w:rPr>
        <w:t xml:space="preserve"> </w:t>
      </w:r>
      <w:r w:rsidR="0001393A">
        <w:rPr>
          <w:rFonts w:ascii="Times New Roman" w:hAnsi="Times New Roman" w:cs="Times New Roman"/>
          <w:sz w:val="18"/>
          <w:szCs w:val="18"/>
        </w:rPr>
        <w:t>p.</w:t>
      </w:r>
      <w:r w:rsidRPr="00226C37">
        <w:rPr>
          <w:rFonts w:ascii="Times New Roman" w:hAnsi="Times New Roman" w:cs="Times New Roman"/>
          <w:sz w:val="18"/>
          <w:szCs w:val="18"/>
        </w:rPr>
        <w:t xml:space="preserve">67. </w:t>
      </w:r>
    </w:p>
  </w:footnote>
  <w:footnote w:id="46">
    <w:p w14:paraId="5EB378F7" w14:textId="30AF93BE"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This might be consistent with the view of the EU as having a double legitimacy, a democratic one and an international one, as a “community of peoples and states”. (Porras Ramirez</w:t>
      </w:r>
      <w:r w:rsidR="00CE3D2B">
        <w:rPr>
          <w:rFonts w:ascii="Times New Roman" w:hAnsi="Times New Roman" w:cs="Times New Roman"/>
          <w:sz w:val="18"/>
          <w:szCs w:val="18"/>
        </w:rPr>
        <w:t xml:space="preserve"> in </w:t>
      </w:r>
      <w:proofErr w:type="spellStart"/>
      <w:r w:rsidR="00CE3D2B" w:rsidRPr="00226C37">
        <w:rPr>
          <w:rFonts w:ascii="Times New Roman" w:hAnsi="Times New Roman" w:cs="Times New Roman"/>
          <w:sz w:val="18"/>
          <w:szCs w:val="18"/>
        </w:rPr>
        <w:t>Blanke</w:t>
      </w:r>
      <w:proofErr w:type="spellEnd"/>
      <w:r w:rsidR="00CE3D2B" w:rsidRPr="00226C37">
        <w:rPr>
          <w:rFonts w:ascii="Times New Roman" w:hAnsi="Times New Roman" w:cs="Times New Roman"/>
          <w:sz w:val="18"/>
          <w:szCs w:val="18"/>
        </w:rPr>
        <w:t xml:space="preserve"> and Mangiameli (eds), </w:t>
      </w:r>
      <w:r w:rsidR="00CE3D2B" w:rsidRPr="00226C37">
        <w:rPr>
          <w:rFonts w:ascii="Times New Roman" w:hAnsi="Times New Roman" w:cs="Times New Roman"/>
          <w:i/>
          <w:iCs/>
          <w:sz w:val="18"/>
          <w:szCs w:val="18"/>
        </w:rPr>
        <w:t>The Treaty on European Union (TEU)</w:t>
      </w:r>
      <w:r w:rsidRPr="00226C37">
        <w:rPr>
          <w:rFonts w:ascii="Times New Roman" w:hAnsi="Times New Roman" w:cs="Times New Roman"/>
          <w:sz w:val="18"/>
          <w:szCs w:val="18"/>
        </w:rPr>
        <w:t xml:space="preserve">, p.419; </w:t>
      </w:r>
      <w:r w:rsidR="00D877F6">
        <w:rPr>
          <w:rFonts w:ascii="Times New Roman" w:hAnsi="Times New Roman" w:cs="Times New Roman"/>
          <w:sz w:val="18"/>
          <w:szCs w:val="18"/>
        </w:rPr>
        <w:t xml:space="preserve">A. </w:t>
      </w:r>
      <w:r w:rsidRPr="00226C37">
        <w:rPr>
          <w:rFonts w:ascii="Times New Roman" w:hAnsi="Times New Roman" w:cs="Times New Roman"/>
          <w:sz w:val="18"/>
          <w:szCs w:val="18"/>
        </w:rPr>
        <w:t xml:space="preserve">von </w:t>
      </w:r>
      <w:proofErr w:type="spellStart"/>
      <w:r w:rsidRPr="00226C37">
        <w:rPr>
          <w:rFonts w:ascii="Times New Roman" w:hAnsi="Times New Roman" w:cs="Times New Roman"/>
          <w:sz w:val="18"/>
          <w:szCs w:val="18"/>
        </w:rPr>
        <w:t>Bogdandy</w:t>
      </w:r>
      <w:proofErr w:type="spellEnd"/>
      <w:r w:rsidRPr="00226C37">
        <w:rPr>
          <w:rFonts w:ascii="Times New Roman" w:hAnsi="Times New Roman" w:cs="Times New Roman"/>
          <w:sz w:val="18"/>
          <w:szCs w:val="18"/>
        </w:rPr>
        <w:t xml:space="preserve">, “The European Union as a Supranational Federation: A Conceptual Attempt in the Light of the Treaty of Amsterdam” </w:t>
      </w:r>
      <w:r w:rsidR="00D877F6">
        <w:rPr>
          <w:rFonts w:ascii="Times New Roman" w:hAnsi="Times New Roman" w:cs="Times New Roman"/>
          <w:sz w:val="18"/>
          <w:szCs w:val="18"/>
        </w:rPr>
        <w:t xml:space="preserve">(2000) </w:t>
      </w:r>
      <w:r w:rsidRPr="00226C37">
        <w:rPr>
          <w:rFonts w:ascii="Times New Roman" w:hAnsi="Times New Roman" w:cs="Times New Roman"/>
          <w:sz w:val="18"/>
          <w:szCs w:val="18"/>
        </w:rPr>
        <w:t>6 C</w:t>
      </w:r>
      <w:r w:rsidR="00485871">
        <w:rPr>
          <w:rFonts w:ascii="Times New Roman" w:hAnsi="Times New Roman" w:cs="Times New Roman"/>
          <w:sz w:val="18"/>
          <w:szCs w:val="18"/>
        </w:rPr>
        <w:t>.</w:t>
      </w:r>
      <w:r w:rsidRPr="00226C37">
        <w:rPr>
          <w:rFonts w:ascii="Times New Roman" w:hAnsi="Times New Roman" w:cs="Times New Roman"/>
          <w:sz w:val="18"/>
          <w:szCs w:val="18"/>
        </w:rPr>
        <w:t>J</w:t>
      </w:r>
      <w:r w:rsidR="00485871">
        <w:rPr>
          <w:rFonts w:ascii="Times New Roman" w:hAnsi="Times New Roman" w:cs="Times New Roman"/>
          <w:sz w:val="18"/>
          <w:szCs w:val="18"/>
        </w:rPr>
        <w:t>.</w:t>
      </w:r>
      <w:r w:rsidRPr="00226C37">
        <w:rPr>
          <w:rFonts w:ascii="Times New Roman" w:hAnsi="Times New Roman" w:cs="Times New Roman"/>
          <w:sz w:val="18"/>
          <w:szCs w:val="18"/>
        </w:rPr>
        <w:t>E</w:t>
      </w:r>
      <w:r w:rsidR="00485871">
        <w:rPr>
          <w:rFonts w:ascii="Times New Roman" w:hAnsi="Times New Roman" w:cs="Times New Roman"/>
          <w:sz w:val="18"/>
          <w:szCs w:val="18"/>
        </w:rPr>
        <w:t>.</w:t>
      </w:r>
      <w:r w:rsidRPr="00226C37">
        <w:rPr>
          <w:rFonts w:ascii="Times New Roman" w:hAnsi="Times New Roman" w:cs="Times New Roman"/>
          <w:sz w:val="18"/>
          <w:szCs w:val="18"/>
        </w:rPr>
        <w:t>L</w:t>
      </w:r>
      <w:r w:rsidR="00485871">
        <w:rPr>
          <w:rFonts w:ascii="Times New Roman" w:hAnsi="Times New Roman" w:cs="Times New Roman"/>
          <w:sz w:val="18"/>
          <w:szCs w:val="18"/>
        </w:rPr>
        <w:t>.</w:t>
      </w:r>
      <w:r w:rsidR="0001393A">
        <w:rPr>
          <w:rFonts w:ascii="Times New Roman" w:hAnsi="Times New Roman" w:cs="Times New Roman"/>
          <w:sz w:val="18"/>
          <w:szCs w:val="18"/>
        </w:rPr>
        <w:t xml:space="preserve"> </w:t>
      </w:r>
      <w:r w:rsidRPr="00226C37">
        <w:rPr>
          <w:rFonts w:ascii="Times New Roman" w:hAnsi="Times New Roman" w:cs="Times New Roman"/>
          <w:sz w:val="18"/>
          <w:szCs w:val="18"/>
        </w:rPr>
        <w:t>27, 27).</w:t>
      </w:r>
    </w:p>
  </w:footnote>
  <w:footnote w:id="47">
    <w:p w14:paraId="1518C240" w14:textId="20DE3960"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D877F6">
        <w:rPr>
          <w:rFonts w:ascii="Times New Roman" w:hAnsi="Times New Roman" w:cs="Times New Roman"/>
          <w:sz w:val="18"/>
          <w:szCs w:val="18"/>
        </w:rPr>
        <w:t>K</w:t>
      </w:r>
      <w:r w:rsidR="00485871">
        <w:rPr>
          <w:rFonts w:ascii="Times New Roman" w:hAnsi="Times New Roman" w:cs="Times New Roman"/>
          <w:sz w:val="18"/>
          <w:szCs w:val="18"/>
        </w:rPr>
        <w:t>.</w:t>
      </w:r>
      <w:r w:rsidR="00D877F6">
        <w:rPr>
          <w:rFonts w:ascii="Times New Roman" w:hAnsi="Times New Roman" w:cs="Times New Roman"/>
          <w:sz w:val="18"/>
          <w:szCs w:val="18"/>
        </w:rPr>
        <w:t xml:space="preserve"> </w:t>
      </w:r>
      <w:r w:rsidRPr="00226C37">
        <w:rPr>
          <w:rFonts w:ascii="Times New Roman" w:hAnsi="Times New Roman" w:cs="Times New Roman"/>
          <w:sz w:val="18"/>
          <w:szCs w:val="18"/>
        </w:rPr>
        <w:t xml:space="preserve">Bradley, “Showdown at the Last Chance Saloon: Why ostracising the representatives of a Member State government is not the solution to the Article 7 TEU impasse”, </w:t>
      </w:r>
      <w:proofErr w:type="spellStart"/>
      <w:r w:rsidRPr="00226C37">
        <w:rPr>
          <w:rFonts w:ascii="Times New Roman" w:hAnsi="Times New Roman" w:cs="Times New Roman"/>
          <w:sz w:val="18"/>
          <w:szCs w:val="18"/>
        </w:rPr>
        <w:t>VerfBlog</w:t>
      </w:r>
      <w:proofErr w:type="spellEnd"/>
      <w:r w:rsidRPr="00226C37">
        <w:rPr>
          <w:rFonts w:ascii="Times New Roman" w:hAnsi="Times New Roman" w:cs="Times New Roman"/>
          <w:sz w:val="18"/>
          <w:szCs w:val="18"/>
        </w:rPr>
        <w:t xml:space="preserve">, 23 May 2020, </w:t>
      </w:r>
      <w:hyperlink r:id="rId10" w:history="1">
        <w:r w:rsidRPr="00226C37">
          <w:rPr>
            <w:rStyle w:val="Hyperlink"/>
            <w:rFonts w:ascii="Times New Roman" w:hAnsi="Times New Roman" w:cs="Times New Roman"/>
            <w:sz w:val="18"/>
            <w:szCs w:val="18"/>
          </w:rPr>
          <w:t>https://verfassungsblog.de/showdown-at-the-last-chance-saloon/</w:t>
        </w:r>
      </w:hyperlink>
      <w:r w:rsidRPr="00226C37">
        <w:rPr>
          <w:rFonts w:ascii="Times New Roman" w:hAnsi="Times New Roman" w:cs="Times New Roman"/>
          <w:sz w:val="18"/>
          <w:szCs w:val="18"/>
        </w:rPr>
        <w:t xml:space="preserve">, (last visited </w:t>
      </w:r>
      <w:r w:rsidR="00D877F6">
        <w:rPr>
          <w:rFonts w:ascii="Times New Roman" w:hAnsi="Times New Roman" w:cs="Times New Roman"/>
          <w:sz w:val="18"/>
          <w:szCs w:val="18"/>
        </w:rPr>
        <w:t>2 Aug</w:t>
      </w:r>
      <w:r w:rsidR="0001393A">
        <w:rPr>
          <w:rFonts w:ascii="Times New Roman" w:hAnsi="Times New Roman" w:cs="Times New Roman"/>
          <w:sz w:val="18"/>
          <w:szCs w:val="18"/>
        </w:rPr>
        <w:t>ust</w:t>
      </w:r>
      <w:r w:rsidR="00D877F6">
        <w:rPr>
          <w:rFonts w:ascii="Times New Roman" w:hAnsi="Times New Roman" w:cs="Times New Roman"/>
          <w:sz w:val="18"/>
          <w:szCs w:val="18"/>
        </w:rPr>
        <w:t xml:space="preserve"> </w:t>
      </w:r>
      <w:r w:rsidRPr="00226C37">
        <w:rPr>
          <w:rFonts w:ascii="Times New Roman" w:hAnsi="Times New Roman" w:cs="Times New Roman"/>
          <w:sz w:val="18"/>
          <w:szCs w:val="18"/>
        </w:rPr>
        <w:t>2021).</w:t>
      </w:r>
    </w:p>
  </w:footnote>
  <w:footnote w:id="48">
    <w:p w14:paraId="02061859" w14:textId="09FE498F"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CE3D2B">
        <w:rPr>
          <w:rFonts w:ascii="Times New Roman" w:hAnsi="Times New Roman" w:cs="Times New Roman"/>
          <w:sz w:val="18"/>
          <w:szCs w:val="18"/>
        </w:rPr>
        <w:t xml:space="preserve">Bradley, </w:t>
      </w:r>
      <w:r w:rsidR="0001393A" w:rsidRPr="00226C37">
        <w:rPr>
          <w:rFonts w:ascii="Times New Roman" w:hAnsi="Times New Roman" w:cs="Times New Roman"/>
          <w:sz w:val="18"/>
          <w:szCs w:val="18"/>
        </w:rPr>
        <w:t>“Showdown at the Last Chance Saloon</w:t>
      </w:r>
      <w:r w:rsidR="0001393A">
        <w:rPr>
          <w:rFonts w:ascii="Times New Roman" w:hAnsi="Times New Roman" w:cs="Times New Roman"/>
          <w:sz w:val="18"/>
          <w:szCs w:val="18"/>
        </w:rPr>
        <w:t xml:space="preserve">”. </w:t>
      </w:r>
    </w:p>
  </w:footnote>
  <w:footnote w:id="49">
    <w:p w14:paraId="6D35CAD4" w14:textId="082848C4"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For an earlier version of these arguments, see </w:t>
      </w:r>
      <w:r w:rsidR="00D877F6">
        <w:rPr>
          <w:rFonts w:ascii="Times New Roman" w:hAnsi="Times New Roman" w:cs="Times New Roman"/>
          <w:sz w:val="18"/>
          <w:szCs w:val="18"/>
        </w:rPr>
        <w:t xml:space="preserve">J. </w:t>
      </w:r>
      <w:r w:rsidRPr="00226C37">
        <w:rPr>
          <w:rFonts w:ascii="Times New Roman" w:hAnsi="Times New Roman" w:cs="Times New Roman"/>
          <w:sz w:val="18"/>
          <w:szCs w:val="18"/>
        </w:rPr>
        <w:t xml:space="preserve">Cotter, “The Last Chance Saloon: Hungarian Representatives may be Excluded from the European Council and the Council”, </w:t>
      </w:r>
      <w:proofErr w:type="spellStart"/>
      <w:r w:rsidRPr="00226C37">
        <w:rPr>
          <w:rFonts w:ascii="Times New Roman" w:hAnsi="Times New Roman" w:cs="Times New Roman"/>
          <w:sz w:val="18"/>
          <w:szCs w:val="18"/>
        </w:rPr>
        <w:t>VerfBlog</w:t>
      </w:r>
      <w:proofErr w:type="spellEnd"/>
      <w:r w:rsidRPr="00226C37">
        <w:rPr>
          <w:rFonts w:ascii="Times New Roman" w:hAnsi="Times New Roman" w:cs="Times New Roman"/>
          <w:sz w:val="18"/>
          <w:szCs w:val="18"/>
        </w:rPr>
        <w:t xml:space="preserve">, 19 May 2020, </w:t>
      </w:r>
      <w:hyperlink r:id="rId11" w:history="1">
        <w:r w:rsidRPr="00226C37">
          <w:rPr>
            <w:rStyle w:val="Hyperlink"/>
            <w:rFonts w:ascii="Times New Roman" w:hAnsi="Times New Roman" w:cs="Times New Roman"/>
            <w:sz w:val="18"/>
            <w:szCs w:val="18"/>
          </w:rPr>
          <w:t>https://verfassungsblog.de/the-last-chance-saloon/</w:t>
        </w:r>
      </w:hyperlink>
      <w:r w:rsidRPr="00226C37">
        <w:rPr>
          <w:rFonts w:ascii="Times New Roman" w:hAnsi="Times New Roman" w:cs="Times New Roman"/>
          <w:sz w:val="18"/>
          <w:szCs w:val="18"/>
        </w:rPr>
        <w:t xml:space="preserve">, (last visited </w:t>
      </w:r>
      <w:r w:rsidR="00485871">
        <w:rPr>
          <w:rFonts w:ascii="Times New Roman" w:hAnsi="Times New Roman" w:cs="Times New Roman"/>
          <w:sz w:val="18"/>
          <w:szCs w:val="18"/>
        </w:rPr>
        <w:t>2 Au</w:t>
      </w:r>
      <w:r w:rsidR="002C335E">
        <w:rPr>
          <w:rFonts w:ascii="Times New Roman" w:hAnsi="Times New Roman" w:cs="Times New Roman"/>
          <w:sz w:val="18"/>
          <w:szCs w:val="18"/>
        </w:rPr>
        <w:t>gust</w:t>
      </w:r>
      <w:r w:rsidR="00485871">
        <w:rPr>
          <w:rFonts w:ascii="Times New Roman" w:hAnsi="Times New Roman" w:cs="Times New Roman"/>
          <w:sz w:val="18"/>
          <w:szCs w:val="18"/>
        </w:rPr>
        <w:t>.</w:t>
      </w:r>
      <w:r w:rsidRPr="00226C37">
        <w:rPr>
          <w:rFonts w:ascii="Times New Roman" w:hAnsi="Times New Roman" w:cs="Times New Roman"/>
          <w:sz w:val="18"/>
          <w:szCs w:val="18"/>
        </w:rPr>
        <w:t xml:space="preserve"> 2021). See also, Bradley’s </w:t>
      </w:r>
      <w:r w:rsidR="0001393A">
        <w:rPr>
          <w:rFonts w:ascii="Times New Roman" w:hAnsi="Times New Roman" w:cs="Times New Roman"/>
          <w:sz w:val="18"/>
          <w:szCs w:val="18"/>
        </w:rPr>
        <w:t xml:space="preserve">rebuttal: Bradley, </w:t>
      </w:r>
      <w:r w:rsidR="0001393A" w:rsidRPr="00226C37">
        <w:rPr>
          <w:rFonts w:ascii="Times New Roman" w:hAnsi="Times New Roman" w:cs="Times New Roman"/>
          <w:sz w:val="18"/>
          <w:szCs w:val="18"/>
        </w:rPr>
        <w:t>“Showdown at the Last Chance Saloon</w:t>
      </w:r>
      <w:r w:rsidR="0001393A">
        <w:rPr>
          <w:rFonts w:ascii="Times New Roman" w:hAnsi="Times New Roman" w:cs="Times New Roman"/>
          <w:sz w:val="18"/>
          <w:szCs w:val="18"/>
        </w:rPr>
        <w:t>”</w:t>
      </w:r>
      <w:r w:rsidRPr="00226C37">
        <w:rPr>
          <w:rFonts w:ascii="Times New Roman" w:hAnsi="Times New Roman" w:cs="Times New Roman"/>
          <w:sz w:val="18"/>
          <w:szCs w:val="18"/>
        </w:rPr>
        <w:t xml:space="preserve">. Other scholars have also called for operationalisation of </w:t>
      </w:r>
      <w:r w:rsidR="005A2FAC">
        <w:rPr>
          <w:rFonts w:ascii="Times New Roman" w:hAnsi="Times New Roman" w:cs="Times New Roman"/>
          <w:sz w:val="18"/>
          <w:szCs w:val="18"/>
        </w:rPr>
        <w:t>art.</w:t>
      </w:r>
      <w:r w:rsidRPr="00226C37">
        <w:rPr>
          <w:rFonts w:ascii="Times New Roman" w:hAnsi="Times New Roman" w:cs="Times New Roman"/>
          <w:sz w:val="18"/>
          <w:szCs w:val="18"/>
        </w:rPr>
        <w:t xml:space="preserve"> 10 TEU: </w:t>
      </w:r>
      <w:r w:rsidR="00D877F6">
        <w:rPr>
          <w:rFonts w:ascii="Times New Roman" w:hAnsi="Times New Roman" w:cs="Times New Roman"/>
          <w:sz w:val="18"/>
          <w:szCs w:val="18"/>
        </w:rPr>
        <w:t xml:space="preserve">D. </w:t>
      </w:r>
      <w:proofErr w:type="spellStart"/>
      <w:r w:rsidRPr="00226C37">
        <w:rPr>
          <w:rFonts w:ascii="Times New Roman" w:hAnsi="Times New Roman" w:cs="Times New Roman"/>
          <w:sz w:val="18"/>
          <w:szCs w:val="18"/>
        </w:rPr>
        <w:t>Krappitz</w:t>
      </w:r>
      <w:proofErr w:type="spellEnd"/>
      <w:r w:rsidRPr="00226C37">
        <w:rPr>
          <w:rFonts w:ascii="Times New Roman" w:hAnsi="Times New Roman" w:cs="Times New Roman"/>
          <w:sz w:val="18"/>
          <w:szCs w:val="18"/>
        </w:rPr>
        <w:t xml:space="preserve"> and </w:t>
      </w:r>
      <w:r w:rsidR="00D877F6">
        <w:rPr>
          <w:rFonts w:ascii="Times New Roman" w:hAnsi="Times New Roman" w:cs="Times New Roman"/>
          <w:sz w:val="18"/>
          <w:szCs w:val="18"/>
        </w:rPr>
        <w:t xml:space="preserve">N. </w:t>
      </w:r>
      <w:r w:rsidRPr="00226C37">
        <w:rPr>
          <w:rFonts w:ascii="Times New Roman" w:hAnsi="Times New Roman" w:cs="Times New Roman"/>
          <w:sz w:val="18"/>
          <w:szCs w:val="18"/>
        </w:rPr>
        <w:t xml:space="preserve">Kirst, </w:t>
      </w:r>
      <w:bookmarkStart w:id="21" w:name="_Hlk84451533"/>
      <w:r w:rsidRPr="00226C37">
        <w:rPr>
          <w:rFonts w:ascii="Times New Roman" w:hAnsi="Times New Roman" w:cs="Times New Roman"/>
          <w:sz w:val="18"/>
          <w:szCs w:val="18"/>
        </w:rPr>
        <w:t>“An Infringement of Democracy in the EU Legal Order”</w:t>
      </w:r>
      <w:bookmarkEnd w:id="21"/>
      <w:r w:rsidRPr="00226C37">
        <w:rPr>
          <w:rFonts w:ascii="Times New Roman" w:hAnsi="Times New Roman" w:cs="Times New Roman"/>
          <w:sz w:val="18"/>
          <w:szCs w:val="18"/>
        </w:rPr>
        <w:t xml:space="preserve">, </w:t>
      </w:r>
      <w:r w:rsidRPr="00226C37">
        <w:rPr>
          <w:rFonts w:ascii="Times New Roman" w:hAnsi="Times New Roman" w:cs="Times New Roman"/>
          <w:i/>
          <w:iCs/>
          <w:sz w:val="18"/>
          <w:szCs w:val="18"/>
        </w:rPr>
        <w:t>EU Law Live</w:t>
      </w:r>
      <w:r w:rsidRPr="00226C37">
        <w:rPr>
          <w:rFonts w:ascii="Times New Roman" w:hAnsi="Times New Roman" w:cs="Times New Roman"/>
          <w:sz w:val="18"/>
          <w:szCs w:val="18"/>
        </w:rPr>
        <w:t xml:space="preserve">, 29 May 2020, </w:t>
      </w:r>
      <w:hyperlink r:id="rId12" w:history="1">
        <w:r w:rsidRPr="00226C37">
          <w:rPr>
            <w:rStyle w:val="Hyperlink"/>
            <w:rFonts w:ascii="Times New Roman" w:hAnsi="Times New Roman" w:cs="Times New Roman"/>
            <w:sz w:val="18"/>
            <w:szCs w:val="18"/>
          </w:rPr>
          <w:t>https://eulawlive.com/op-ed-an-infringement-of-democracy-in-the-eu-legal-order-by-david-krappitz-and-niels-kirst/</w:t>
        </w:r>
      </w:hyperlink>
      <w:r w:rsidRPr="00226C37">
        <w:rPr>
          <w:rFonts w:ascii="Times New Roman" w:hAnsi="Times New Roman" w:cs="Times New Roman"/>
          <w:sz w:val="18"/>
          <w:szCs w:val="18"/>
        </w:rPr>
        <w:t xml:space="preserve">, (last visited </w:t>
      </w:r>
      <w:r w:rsidR="00D877F6">
        <w:rPr>
          <w:rFonts w:ascii="Times New Roman" w:hAnsi="Times New Roman" w:cs="Times New Roman"/>
          <w:sz w:val="18"/>
          <w:szCs w:val="18"/>
        </w:rPr>
        <w:t>2 Aug</w:t>
      </w:r>
      <w:r w:rsidR="0001393A">
        <w:rPr>
          <w:rFonts w:ascii="Times New Roman" w:hAnsi="Times New Roman" w:cs="Times New Roman"/>
          <w:sz w:val="18"/>
          <w:szCs w:val="18"/>
        </w:rPr>
        <w:t>ust</w:t>
      </w:r>
      <w:r w:rsidRPr="00226C37">
        <w:rPr>
          <w:rFonts w:ascii="Times New Roman" w:hAnsi="Times New Roman" w:cs="Times New Roman"/>
          <w:sz w:val="18"/>
          <w:szCs w:val="18"/>
        </w:rPr>
        <w:t xml:space="preserve"> 2021); </w:t>
      </w:r>
      <w:proofErr w:type="spellStart"/>
      <w:r w:rsidR="0001393A" w:rsidRPr="00226C37">
        <w:rPr>
          <w:rFonts w:ascii="Times New Roman" w:hAnsi="Times New Roman" w:cs="Times New Roman"/>
          <w:sz w:val="18"/>
          <w:szCs w:val="18"/>
        </w:rPr>
        <w:t>Platon</w:t>
      </w:r>
      <w:proofErr w:type="spellEnd"/>
      <w:r w:rsidR="0001393A" w:rsidRPr="00226C37">
        <w:rPr>
          <w:rFonts w:ascii="Times New Roman" w:hAnsi="Times New Roman" w:cs="Times New Roman"/>
          <w:sz w:val="18"/>
          <w:szCs w:val="18"/>
        </w:rPr>
        <w:t>, “The Right to Participate in the European Elections and the Vertical Division of Competences in the European Union”</w:t>
      </w:r>
      <w:r w:rsidRPr="00226C37">
        <w:rPr>
          <w:rFonts w:ascii="Times New Roman" w:hAnsi="Times New Roman" w:cs="Times New Roman"/>
          <w:sz w:val="18"/>
          <w:szCs w:val="18"/>
        </w:rPr>
        <w:t xml:space="preserve">, p.382. </w:t>
      </w:r>
    </w:p>
  </w:footnote>
  <w:footnote w:id="50">
    <w:p w14:paraId="2F46FC03" w14:textId="4DF69D41"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“Die </w:t>
      </w:r>
      <w:proofErr w:type="spellStart"/>
      <w:r w:rsidRPr="00226C37">
        <w:rPr>
          <w:rFonts w:ascii="Times New Roman" w:hAnsi="Times New Roman" w:cs="Times New Roman"/>
          <w:sz w:val="18"/>
          <w:szCs w:val="18"/>
        </w:rPr>
        <w:t>Mitgliedstaaten</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werden</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im</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Europäischen</w:t>
      </w:r>
      <w:proofErr w:type="spellEnd"/>
      <w:r w:rsidRPr="00226C37">
        <w:rPr>
          <w:rFonts w:ascii="Times New Roman" w:hAnsi="Times New Roman" w:cs="Times New Roman"/>
          <w:sz w:val="18"/>
          <w:szCs w:val="18"/>
        </w:rPr>
        <w:t xml:space="preserve"> Rat von </w:t>
      </w:r>
      <w:proofErr w:type="spellStart"/>
      <w:r w:rsidRPr="00226C37">
        <w:rPr>
          <w:rFonts w:ascii="Times New Roman" w:hAnsi="Times New Roman" w:cs="Times New Roman"/>
          <w:sz w:val="18"/>
          <w:szCs w:val="18"/>
        </w:rPr>
        <w:t>ihrem</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jeweiligen</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Staats</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oder</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Regierungschef</w:t>
      </w:r>
      <w:proofErr w:type="spellEnd"/>
      <w:r w:rsidRPr="00226C37">
        <w:rPr>
          <w:rFonts w:ascii="Times New Roman" w:hAnsi="Times New Roman" w:cs="Times New Roman"/>
          <w:sz w:val="18"/>
          <w:szCs w:val="18"/>
        </w:rPr>
        <w:t xml:space="preserve"> und </w:t>
      </w:r>
      <w:proofErr w:type="spellStart"/>
      <w:r w:rsidRPr="00226C37">
        <w:rPr>
          <w:rFonts w:ascii="Times New Roman" w:hAnsi="Times New Roman" w:cs="Times New Roman"/>
          <w:sz w:val="18"/>
          <w:szCs w:val="18"/>
        </w:rPr>
        <w:t>im</w:t>
      </w:r>
      <w:proofErr w:type="spellEnd"/>
      <w:r w:rsidRPr="00226C37">
        <w:rPr>
          <w:rFonts w:ascii="Times New Roman" w:hAnsi="Times New Roman" w:cs="Times New Roman"/>
          <w:sz w:val="18"/>
          <w:szCs w:val="18"/>
        </w:rPr>
        <w:t xml:space="preserve"> Rat von </w:t>
      </w:r>
      <w:proofErr w:type="spellStart"/>
      <w:r w:rsidRPr="00226C37">
        <w:rPr>
          <w:rFonts w:ascii="Times New Roman" w:hAnsi="Times New Roman" w:cs="Times New Roman"/>
          <w:sz w:val="18"/>
          <w:szCs w:val="18"/>
        </w:rPr>
        <w:t>ihrer</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jeweiligen</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Regierung</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vertreten</w:t>
      </w:r>
      <w:proofErr w:type="spellEnd"/>
      <w:r w:rsidRPr="00226C37">
        <w:rPr>
          <w:rFonts w:ascii="Times New Roman" w:hAnsi="Times New Roman" w:cs="Times New Roman"/>
          <w:sz w:val="18"/>
          <w:szCs w:val="18"/>
        </w:rPr>
        <w:t xml:space="preserve">, die </w:t>
      </w:r>
      <w:proofErr w:type="spellStart"/>
      <w:r w:rsidRPr="00226C37">
        <w:rPr>
          <w:rFonts w:ascii="Times New Roman" w:hAnsi="Times New Roman" w:cs="Times New Roman"/>
          <w:sz w:val="18"/>
          <w:szCs w:val="18"/>
        </w:rPr>
        <w:t>ihrerseits</w:t>
      </w:r>
      <w:proofErr w:type="spellEnd"/>
      <w:r w:rsidRPr="00226C37">
        <w:rPr>
          <w:rFonts w:ascii="Times New Roman" w:hAnsi="Times New Roman" w:cs="Times New Roman"/>
          <w:sz w:val="18"/>
          <w:szCs w:val="18"/>
        </w:rPr>
        <w:t xml:space="preserve"> in </w:t>
      </w:r>
      <w:proofErr w:type="spellStart"/>
      <w:r w:rsidRPr="00226C37">
        <w:rPr>
          <w:rFonts w:ascii="Times New Roman" w:hAnsi="Times New Roman" w:cs="Times New Roman"/>
          <w:sz w:val="18"/>
          <w:szCs w:val="18"/>
        </w:rPr>
        <w:t>demokratischer</w:t>
      </w:r>
      <w:proofErr w:type="spellEnd"/>
      <w:r w:rsidRPr="00226C37">
        <w:rPr>
          <w:rFonts w:ascii="Times New Roman" w:hAnsi="Times New Roman" w:cs="Times New Roman"/>
          <w:sz w:val="18"/>
          <w:szCs w:val="18"/>
        </w:rPr>
        <w:t xml:space="preserve"> Weise </w:t>
      </w:r>
      <w:proofErr w:type="spellStart"/>
      <w:r w:rsidRPr="00226C37">
        <w:rPr>
          <w:rFonts w:ascii="Times New Roman" w:hAnsi="Times New Roman" w:cs="Times New Roman"/>
          <w:sz w:val="18"/>
          <w:szCs w:val="18"/>
        </w:rPr>
        <w:t>gegenüber</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ihrem</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nationalen</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Parlament</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oder</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gegenüber</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ihren</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Bürgerinnen</w:t>
      </w:r>
      <w:proofErr w:type="spellEnd"/>
      <w:r w:rsidRPr="00226C37">
        <w:rPr>
          <w:rFonts w:ascii="Times New Roman" w:hAnsi="Times New Roman" w:cs="Times New Roman"/>
          <w:sz w:val="18"/>
          <w:szCs w:val="18"/>
        </w:rPr>
        <w:t xml:space="preserve"> und </w:t>
      </w:r>
      <w:proofErr w:type="spellStart"/>
      <w:r w:rsidRPr="00226C37">
        <w:rPr>
          <w:rFonts w:ascii="Times New Roman" w:hAnsi="Times New Roman" w:cs="Times New Roman"/>
          <w:sz w:val="18"/>
          <w:szCs w:val="18"/>
        </w:rPr>
        <w:t>Bürgern</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Rechenschaft</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i/>
          <w:iCs/>
          <w:sz w:val="18"/>
          <w:szCs w:val="18"/>
        </w:rPr>
        <w:t>ablegen</w:t>
      </w:r>
      <w:proofErr w:type="spellEnd"/>
      <w:r w:rsidRPr="00226C37">
        <w:rPr>
          <w:rFonts w:ascii="Times New Roman" w:hAnsi="Times New Roman" w:cs="Times New Roman"/>
          <w:i/>
          <w:iCs/>
          <w:sz w:val="18"/>
          <w:szCs w:val="18"/>
        </w:rPr>
        <w:t xml:space="preserve"> </w:t>
      </w:r>
      <w:proofErr w:type="spellStart"/>
      <w:r w:rsidRPr="00226C37">
        <w:rPr>
          <w:rFonts w:ascii="Times New Roman" w:hAnsi="Times New Roman" w:cs="Times New Roman"/>
          <w:i/>
          <w:iCs/>
          <w:sz w:val="18"/>
          <w:szCs w:val="18"/>
        </w:rPr>
        <w:t>müssen</w:t>
      </w:r>
      <w:proofErr w:type="spellEnd"/>
      <w:r w:rsidRPr="00226C37">
        <w:rPr>
          <w:rFonts w:ascii="Times New Roman" w:hAnsi="Times New Roman" w:cs="Times New Roman"/>
          <w:sz w:val="18"/>
          <w:szCs w:val="18"/>
        </w:rPr>
        <w:t xml:space="preserve">” (emphasis added). A brief survey of the Dutch, French, Hungarian, Irish, and Romanian versions </w:t>
      </w:r>
      <w:proofErr w:type="gramStart"/>
      <w:r w:rsidRPr="00226C37">
        <w:rPr>
          <w:rFonts w:ascii="Times New Roman" w:hAnsi="Times New Roman" w:cs="Times New Roman"/>
          <w:sz w:val="18"/>
          <w:szCs w:val="18"/>
        </w:rPr>
        <w:t>appears</w:t>
      </w:r>
      <w:proofErr w:type="gramEnd"/>
      <w:r w:rsidRPr="00226C37">
        <w:rPr>
          <w:rFonts w:ascii="Times New Roman" w:hAnsi="Times New Roman" w:cs="Times New Roman"/>
          <w:sz w:val="18"/>
          <w:szCs w:val="18"/>
        </w:rPr>
        <w:t xml:space="preserve"> to reveal, however, that the German-language version may be an outlier. The author would like to express his gratitude to Dr </w:t>
      </w:r>
      <w:proofErr w:type="spellStart"/>
      <w:r w:rsidRPr="00226C37">
        <w:rPr>
          <w:rFonts w:ascii="Times New Roman" w:hAnsi="Times New Roman" w:cs="Times New Roman"/>
          <w:sz w:val="18"/>
          <w:szCs w:val="18"/>
        </w:rPr>
        <w:t>Szilárd</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Gáspár-Szilágyi</w:t>
      </w:r>
      <w:proofErr w:type="spellEnd"/>
      <w:r w:rsidRPr="00226C37">
        <w:rPr>
          <w:rFonts w:ascii="Times New Roman" w:hAnsi="Times New Roman" w:cs="Times New Roman"/>
          <w:sz w:val="18"/>
          <w:szCs w:val="18"/>
        </w:rPr>
        <w:t xml:space="preserve"> and Mr Prashant Sabharwal for their assistance with the language versions consulted. </w:t>
      </w:r>
    </w:p>
  </w:footnote>
  <w:footnote w:id="51">
    <w:p w14:paraId="58D85960" w14:textId="36F71A98"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See also, Chapter V, CFREU, especially, Art. 40.</w:t>
      </w:r>
    </w:p>
  </w:footnote>
  <w:footnote w:id="52">
    <w:p w14:paraId="58523818" w14:textId="28684F3E"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As to the limits on </w:t>
      </w:r>
      <w:r w:rsidR="00A87A06">
        <w:rPr>
          <w:rFonts w:ascii="Times New Roman" w:hAnsi="Times New Roman" w:cs="Times New Roman"/>
          <w:sz w:val="18"/>
          <w:szCs w:val="18"/>
        </w:rPr>
        <w:t xml:space="preserve">the related principle of </w:t>
      </w:r>
      <w:r w:rsidRPr="00226C37">
        <w:rPr>
          <w:rFonts w:ascii="Times New Roman" w:hAnsi="Times New Roman" w:cs="Times New Roman"/>
          <w:sz w:val="18"/>
          <w:szCs w:val="18"/>
        </w:rPr>
        <w:t>mutual trust</w:t>
      </w:r>
      <w:r w:rsidR="00A87A06">
        <w:rPr>
          <w:rFonts w:ascii="Times New Roman" w:hAnsi="Times New Roman" w:cs="Times New Roman"/>
          <w:sz w:val="18"/>
          <w:szCs w:val="18"/>
        </w:rPr>
        <w:t>, for instance,</w:t>
      </w:r>
      <w:r w:rsidRPr="00226C37">
        <w:rPr>
          <w:rFonts w:ascii="Times New Roman" w:hAnsi="Times New Roman" w:cs="Times New Roman"/>
          <w:sz w:val="18"/>
          <w:szCs w:val="18"/>
        </w:rPr>
        <w:t xml:space="preserve"> se</w:t>
      </w:r>
      <w:r w:rsidR="00A87A06">
        <w:rPr>
          <w:rFonts w:ascii="Times New Roman" w:hAnsi="Times New Roman" w:cs="Times New Roman"/>
          <w:sz w:val="18"/>
          <w:szCs w:val="18"/>
        </w:rPr>
        <w:t>e</w:t>
      </w:r>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Lenaerts</w:t>
      </w:r>
      <w:proofErr w:type="spellEnd"/>
      <w:r w:rsidRPr="00226C37">
        <w:rPr>
          <w:rFonts w:ascii="Times New Roman" w:hAnsi="Times New Roman" w:cs="Times New Roman"/>
          <w:sz w:val="18"/>
          <w:szCs w:val="18"/>
        </w:rPr>
        <w:t xml:space="preserve"> citing </w:t>
      </w:r>
      <w:proofErr w:type="spellStart"/>
      <w:r w:rsidRPr="00226C37">
        <w:rPr>
          <w:rFonts w:ascii="Times New Roman" w:hAnsi="Times New Roman" w:cs="Times New Roman"/>
          <w:i/>
          <w:iCs/>
          <w:sz w:val="18"/>
          <w:szCs w:val="18"/>
        </w:rPr>
        <w:t>Aranyosi</w:t>
      </w:r>
      <w:proofErr w:type="spellEnd"/>
      <w:r w:rsidRPr="00226C37">
        <w:rPr>
          <w:rFonts w:ascii="Times New Roman" w:hAnsi="Times New Roman" w:cs="Times New Roman"/>
          <w:i/>
          <w:iCs/>
          <w:sz w:val="18"/>
          <w:szCs w:val="18"/>
        </w:rPr>
        <w:t xml:space="preserve"> and </w:t>
      </w:r>
      <w:proofErr w:type="spellStart"/>
      <w:r w:rsidRPr="00226C37">
        <w:rPr>
          <w:rFonts w:ascii="Times New Roman" w:hAnsi="Times New Roman" w:cs="Times New Roman"/>
          <w:i/>
          <w:iCs/>
          <w:sz w:val="18"/>
          <w:szCs w:val="18"/>
        </w:rPr>
        <w:t>Căldăraru</w:t>
      </w:r>
      <w:proofErr w:type="spellEnd"/>
      <w:r w:rsidR="00CB29C5">
        <w:rPr>
          <w:rFonts w:ascii="Times New Roman" w:hAnsi="Times New Roman" w:cs="Times New Roman"/>
          <w:sz w:val="18"/>
          <w:szCs w:val="18"/>
        </w:rPr>
        <w:t xml:space="preserve"> (C-404/15 and C-659/15 PPU) </w:t>
      </w:r>
      <w:r w:rsidRPr="00226C37">
        <w:rPr>
          <w:rFonts w:ascii="Times New Roman" w:hAnsi="Times New Roman" w:cs="Times New Roman"/>
          <w:sz w:val="18"/>
          <w:szCs w:val="18"/>
        </w:rPr>
        <w:t xml:space="preserve">ECLI:EU:C:2016:198: </w:t>
      </w:r>
      <w:r w:rsidR="00A87A06">
        <w:rPr>
          <w:rFonts w:ascii="Times New Roman" w:hAnsi="Times New Roman" w:cs="Times New Roman"/>
          <w:sz w:val="18"/>
          <w:szCs w:val="18"/>
        </w:rPr>
        <w:t xml:space="preserve">K. </w:t>
      </w:r>
      <w:proofErr w:type="spellStart"/>
      <w:r w:rsidRPr="00226C37">
        <w:rPr>
          <w:rFonts w:ascii="Times New Roman" w:hAnsi="Times New Roman" w:cs="Times New Roman"/>
          <w:sz w:val="18"/>
          <w:szCs w:val="18"/>
        </w:rPr>
        <w:t>Lenaerts</w:t>
      </w:r>
      <w:proofErr w:type="spellEnd"/>
      <w:r w:rsidRPr="00226C37">
        <w:rPr>
          <w:rFonts w:ascii="Times New Roman" w:hAnsi="Times New Roman" w:cs="Times New Roman"/>
          <w:sz w:val="18"/>
          <w:szCs w:val="18"/>
        </w:rPr>
        <w:t>, “Upholding the Rule of Law through Judicial Dialogue”</w:t>
      </w:r>
      <w:r w:rsidR="0001393A">
        <w:rPr>
          <w:rFonts w:ascii="Times New Roman" w:hAnsi="Times New Roman" w:cs="Times New Roman"/>
          <w:sz w:val="18"/>
          <w:szCs w:val="18"/>
        </w:rPr>
        <w:t xml:space="preserve"> </w:t>
      </w:r>
      <w:r w:rsidR="00A87A06">
        <w:rPr>
          <w:rFonts w:ascii="Times New Roman" w:hAnsi="Times New Roman" w:cs="Times New Roman"/>
          <w:sz w:val="18"/>
          <w:szCs w:val="18"/>
        </w:rPr>
        <w:t xml:space="preserve">(2019) </w:t>
      </w:r>
      <w:r w:rsidRPr="00226C37">
        <w:rPr>
          <w:rFonts w:ascii="Times New Roman" w:hAnsi="Times New Roman" w:cs="Times New Roman"/>
          <w:sz w:val="18"/>
          <w:szCs w:val="18"/>
        </w:rPr>
        <w:t>38 Y</w:t>
      </w:r>
      <w:r w:rsidR="0001393A">
        <w:rPr>
          <w:rFonts w:ascii="Times New Roman" w:hAnsi="Times New Roman" w:cs="Times New Roman"/>
          <w:sz w:val="18"/>
          <w:szCs w:val="18"/>
        </w:rPr>
        <w:t>.</w:t>
      </w:r>
      <w:r w:rsidRPr="00226C37">
        <w:rPr>
          <w:rFonts w:ascii="Times New Roman" w:hAnsi="Times New Roman" w:cs="Times New Roman"/>
          <w:sz w:val="18"/>
          <w:szCs w:val="18"/>
        </w:rPr>
        <w:t>E</w:t>
      </w:r>
      <w:r w:rsidR="0001393A">
        <w:rPr>
          <w:rFonts w:ascii="Times New Roman" w:hAnsi="Times New Roman" w:cs="Times New Roman"/>
          <w:sz w:val="18"/>
          <w:szCs w:val="18"/>
        </w:rPr>
        <w:t>.</w:t>
      </w:r>
      <w:r w:rsidRPr="00226C37">
        <w:rPr>
          <w:rFonts w:ascii="Times New Roman" w:hAnsi="Times New Roman" w:cs="Times New Roman"/>
          <w:sz w:val="18"/>
          <w:szCs w:val="18"/>
        </w:rPr>
        <w:t xml:space="preserve">L 3, 7. </w:t>
      </w:r>
    </w:p>
  </w:footnote>
  <w:footnote w:id="53">
    <w:p w14:paraId="2408F478" w14:textId="7BE830A7"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A87A06">
        <w:rPr>
          <w:rFonts w:ascii="Times New Roman" w:hAnsi="Times New Roman" w:cs="Times New Roman"/>
          <w:sz w:val="18"/>
          <w:szCs w:val="18"/>
        </w:rPr>
        <w:t xml:space="preserve">K. </w:t>
      </w:r>
      <w:proofErr w:type="spellStart"/>
      <w:r w:rsidRPr="00226C37">
        <w:rPr>
          <w:rFonts w:ascii="Times New Roman" w:hAnsi="Times New Roman" w:cs="Times New Roman"/>
          <w:sz w:val="18"/>
          <w:szCs w:val="18"/>
        </w:rPr>
        <w:t>Lenaerts</w:t>
      </w:r>
      <w:proofErr w:type="spellEnd"/>
      <w:r w:rsidRPr="00226C37">
        <w:rPr>
          <w:rFonts w:ascii="Times New Roman" w:hAnsi="Times New Roman" w:cs="Times New Roman"/>
          <w:sz w:val="18"/>
          <w:szCs w:val="18"/>
        </w:rPr>
        <w:t xml:space="preserve">, “The Principle of Democracy in the Case Law of the European Court of Justice” </w:t>
      </w:r>
      <w:r w:rsidR="00A87A06">
        <w:rPr>
          <w:rFonts w:ascii="Times New Roman" w:hAnsi="Times New Roman" w:cs="Times New Roman"/>
          <w:sz w:val="18"/>
          <w:szCs w:val="18"/>
        </w:rPr>
        <w:t xml:space="preserve">(2013) </w:t>
      </w:r>
      <w:r w:rsidRPr="00226C37">
        <w:rPr>
          <w:rFonts w:ascii="Times New Roman" w:hAnsi="Times New Roman" w:cs="Times New Roman"/>
          <w:sz w:val="18"/>
          <w:szCs w:val="18"/>
        </w:rPr>
        <w:t>62 Int’l &amp; Comp</w:t>
      </w:r>
      <w:r w:rsidR="00A87A06">
        <w:rPr>
          <w:rFonts w:ascii="Times New Roman" w:hAnsi="Times New Roman" w:cs="Times New Roman"/>
          <w:sz w:val="18"/>
          <w:szCs w:val="18"/>
        </w:rPr>
        <w:t>.</w:t>
      </w:r>
      <w:r w:rsidRPr="00226C37">
        <w:rPr>
          <w:rFonts w:ascii="Times New Roman" w:hAnsi="Times New Roman" w:cs="Times New Roman"/>
          <w:sz w:val="18"/>
          <w:szCs w:val="18"/>
        </w:rPr>
        <w:t xml:space="preserve"> L</w:t>
      </w:r>
      <w:r w:rsidR="00485871">
        <w:rPr>
          <w:rFonts w:ascii="Times New Roman" w:hAnsi="Times New Roman" w:cs="Times New Roman"/>
          <w:sz w:val="18"/>
          <w:szCs w:val="18"/>
        </w:rPr>
        <w:t>.</w:t>
      </w:r>
      <w:r w:rsidRPr="00226C37">
        <w:rPr>
          <w:rFonts w:ascii="Times New Roman" w:hAnsi="Times New Roman" w:cs="Times New Roman"/>
          <w:sz w:val="18"/>
          <w:szCs w:val="18"/>
        </w:rPr>
        <w:t>Q</w:t>
      </w:r>
      <w:r w:rsidR="00485871">
        <w:rPr>
          <w:rFonts w:ascii="Times New Roman" w:hAnsi="Times New Roman" w:cs="Times New Roman"/>
          <w:sz w:val="18"/>
          <w:szCs w:val="18"/>
        </w:rPr>
        <w:t>.</w:t>
      </w:r>
      <w:r w:rsidRPr="00226C37">
        <w:rPr>
          <w:rFonts w:ascii="Times New Roman" w:hAnsi="Times New Roman" w:cs="Times New Roman"/>
          <w:sz w:val="18"/>
          <w:szCs w:val="18"/>
        </w:rPr>
        <w:t xml:space="preserve"> (2013) 271, 280.</w:t>
      </w:r>
    </w:p>
  </w:footnote>
  <w:footnote w:id="54">
    <w:p w14:paraId="03199AB9" w14:textId="39354D04"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As to the limits of national constitutional identity, see </w:t>
      </w:r>
      <w:proofErr w:type="spellStart"/>
      <w:r w:rsidRPr="00226C37">
        <w:rPr>
          <w:rFonts w:ascii="Times New Roman" w:hAnsi="Times New Roman" w:cs="Times New Roman"/>
          <w:sz w:val="18"/>
          <w:szCs w:val="18"/>
        </w:rPr>
        <w:t>Scheppele</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Kochenov</w:t>
      </w:r>
      <w:proofErr w:type="spellEnd"/>
      <w:r w:rsidRPr="00226C37">
        <w:rPr>
          <w:rFonts w:ascii="Times New Roman" w:hAnsi="Times New Roman" w:cs="Times New Roman"/>
          <w:sz w:val="18"/>
          <w:szCs w:val="18"/>
        </w:rPr>
        <w:t>, and Grabowska-</w:t>
      </w:r>
      <w:proofErr w:type="spellStart"/>
      <w:r w:rsidRPr="00226C37">
        <w:rPr>
          <w:rFonts w:ascii="Times New Roman" w:hAnsi="Times New Roman" w:cs="Times New Roman"/>
          <w:sz w:val="18"/>
          <w:szCs w:val="18"/>
        </w:rPr>
        <w:t>Moroz</w:t>
      </w:r>
      <w:proofErr w:type="spellEnd"/>
      <w:r w:rsidRPr="00226C37">
        <w:rPr>
          <w:rFonts w:ascii="Times New Roman" w:hAnsi="Times New Roman" w:cs="Times New Roman"/>
          <w:sz w:val="18"/>
          <w:szCs w:val="18"/>
        </w:rPr>
        <w:t xml:space="preserve">, </w:t>
      </w:r>
      <w:bookmarkStart w:id="23" w:name="_Hlk84451518"/>
      <w:r w:rsidR="0001393A" w:rsidRPr="0001393A">
        <w:rPr>
          <w:rFonts w:ascii="Times New Roman" w:hAnsi="Times New Roman" w:cs="Times New Roman"/>
          <w:sz w:val="18"/>
          <w:szCs w:val="18"/>
        </w:rPr>
        <w:t>“EU Values Are Law, after All</w:t>
      </w:r>
      <w:r w:rsidR="0001393A">
        <w:rPr>
          <w:rFonts w:ascii="Times New Roman" w:hAnsi="Times New Roman" w:cs="Times New Roman"/>
          <w:sz w:val="18"/>
          <w:szCs w:val="18"/>
        </w:rPr>
        <w:t>”</w:t>
      </w:r>
      <w:r w:rsidRPr="00226C37">
        <w:rPr>
          <w:rFonts w:ascii="Times New Roman" w:hAnsi="Times New Roman" w:cs="Times New Roman"/>
          <w:sz w:val="18"/>
          <w:szCs w:val="18"/>
        </w:rPr>
        <w:t xml:space="preserve">, </w:t>
      </w:r>
      <w:bookmarkEnd w:id="23"/>
      <w:r w:rsidRPr="00226C37">
        <w:rPr>
          <w:rFonts w:ascii="Times New Roman" w:hAnsi="Times New Roman" w:cs="Times New Roman"/>
          <w:sz w:val="18"/>
          <w:szCs w:val="18"/>
        </w:rPr>
        <w:t xml:space="preserve">21-22. In the context of fundamental rights, von </w:t>
      </w:r>
      <w:proofErr w:type="spellStart"/>
      <w:r w:rsidRPr="00226C37">
        <w:rPr>
          <w:rFonts w:ascii="Times New Roman" w:hAnsi="Times New Roman" w:cs="Times New Roman"/>
          <w:sz w:val="18"/>
          <w:szCs w:val="18"/>
        </w:rPr>
        <w:t>Bogdandy</w:t>
      </w:r>
      <w:proofErr w:type="spellEnd"/>
      <w:r w:rsidRPr="00226C37">
        <w:rPr>
          <w:rFonts w:ascii="Times New Roman" w:hAnsi="Times New Roman" w:cs="Times New Roman"/>
          <w:sz w:val="18"/>
          <w:szCs w:val="18"/>
        </w:rPr>
        <w:t xml:space="preserve"> et al, have suggested the adoption of a reverse-</w:t>
      </w:r>
      <w:r w:rsidRPr="00226C37">
        <w:rPr>
          <w:rFonts w:ascii="Times New Roman" w:hAnsi="Times New Roman" w:cs="Times New Roman"/>
          <w:i/>
          <w:iCs/>
          <w:sz w:val="18"/>
          <w:szCs w:val="18"/>
        </w:rPr>
        <w:t xml:space="preserve">Solange </w:t>
      </w:r>
      <w:r w:rsidRPr="00226C37">
        <w:rPr>
          <w:rFonts w:ascii="Times New Roman" w:hAnsi="Times New Roman" w:cs="Times New Roman"/>
          <w:sz w:val="18"/>
          <w:szCs w:val="18"/>
        </w:rPr>
        <w:t xml:space="preserve">doctrine, whereby the Member States would retain autonomy over fundamental rights protection outside the scope of the CFREU, so long as it can be assumed that they comply with the essence of fundamental rights protected by </w:t>
      </w:r>
      <w:r w:rsidR="005A2FAC">
        <w:rPr>
          <w:rFonts w:ascii="Times New Roman" w:hAnsi="Times New Roman" w:cs="Times New Roman"/>
          <w:sz w:val="18"/>
          <w:szCs w:val="18"/>
        </w:rPr>
        <w:t>art.</w:t>
      </w:r>
      <w:r w:rsidRPr="00226C37">
        <w:rPr>
          <w:rFonts w:ascii="Times New Roman" w:hAnsi="Times New Roman" w:cs="Times New Roman"/>
          <w:sz w:val="18"/>
          <w:szCs w:val="18"/>
        </w:rPr>
        <w:t xml:space="preserve"> 2 TEU. This concept is easily applied by analogy to the democratic value. See </w:t>
      </w:r>
      <w:r w:rsidR="00485871">
        <w:rPr>
          <w:rFonts w:ascii="Times New Roman" w:hAnsi="Times New Roman" w:cs="Times New Roman"/>
          <w:sz w:val="18"/>
          <w:szCs w:val="18"/>
        </w:rPr>
        <w:t xml:space="preserve">A. </w:t>
      </w:r>
      <w:r w:rsidRPr="00226C37">
        <w:rPr>
          <w:rFonts w:ascii="Times New Roman" w:hAnsi="Times New Roman" w:cs="Times New Roman"/>
          <w:sz w:val="18"/>
          <w:szCs w:val="18"/>
        </w:rPr>
        <w:t xml:space="preserve">von </w:t>
      </w:r>
      <w:proofErr w:type="spellStart"/>
      <w:r w:rsidRPr="00226C37">
        <w:rPr>
          <w:rFonts w:ascii="Times New Roman" w:hAnsi="Times New Roman" w:cs="Times New Roman"/>
          <w:sz w:val="18"/>
          <w:szCs w:val="18"/>
        </w:rPr>
        <w:t>Bogdandy</w:t>
      </w:r>
      <w:proofErr w:type="spellEnd"/>
      <w:r w:rsidRPr="00226C37">
        <w:rPr>
          <w:rFonts w:ascii="Times New Roman" w:hAnsi="Times New Roman" w:cs="Times New Roman"/>
          <w:sz w:val="18"/>
          <w:szCs w:val="18"/>
        </w:rPr>
        <w:t xml:space="preserve">, </w:t>
      </w:r>
      <w:r w:rsidR="00485871">
        <w:rPr>
          <w:rFonts w:ascii="Times New Roman" w:hAnsi="Times New Roman" w:cs="Times New Roman"/>
          <w:sz w:val="18"/>
          <w:szCs w:val="18"/>
        </w:rPr>
        <w:t xml:space="preserve">M. </w:t>
      </w:r>
      <w:proofErr w:type="spellStart"/>
      <w:r w:rsidRPr="00226C37">
        <w:rPr>
          <w:rFonts w:ascii="Times New Roman" w:hAnsi="Times New Roman" w:cs="Times New Roman"/>
          <w:sz w:val="18"/>
          <w:szCs w:val="18"/>
        </w:rPr>
        <w:t>Kottmann</w:t>
      </w:r>
      <w:proofErr w:type="spellEnd"/>
      <w:r w:rsidRPr="00226C37">
        <w:rPr>
          <w:rFonts w:ascii="Times New Roman" w:hAnsi="Times New Roman" w:cs="Times New Roman"/>
          <w:sz w:val="18"/>
          <w:szCs w:val="18"/>
        </w:rPr>
        <w:t xml:space="preserve">, </w:t>
      </w:r>
      <w:r w:rsidR="00485871">
        <w:rPr>
          <w:rFonts w:ascii="Times New Roman" w:hAnsi="Times New Roman" w:cs="Times New Roman"/>
          <w:sz w:val="18"/>
          <w:szCs w:val="18"/>
        </w:rPr>
        <w:t xml:space="preserve">C. </w:t>
      </w:r>
      <w:proofErr w:type="spellStart"/>
      <w:r w:rsidRPr="00226C37">
        <w:rPr>
          <w:rFonts w:ascii="Times New Roman" w:hAnsi="Times New Roman" w:cs="Times New Roman"/>
          <w:sz w:val="18"/>
          <w:szCs w:val="18"/>
        </w:rPr>
        <w:t>Antpöhler</w:t>
      </w:r>
      <w:proofErr w:type="spellEnd"/>
      <w:r w:rsidRPr="00226C37">
        <w:rPr>
          <w:rFonts w:ascii="Times New Roman" w:hAnsi="Times New Roman" w:cs="Times New Roman"/>
          <w:sz w:val="18"/>
          <w:szCs w:val="18"/>
        </w:rPr>
        <w:t xml:space="preserve">, </w:t>
      </w:r>
      <w:r w:rsidR="00485871">
        <w:rPr>
          <w:rFonts w:ascii="Times New Roman" w:hAnsi="Times New Roman" w:cs="Times New Roman"/>
          <w:sz w:val="18"/>
          <w:szCs w:val="18"/>
        </w:rPr>
        <w:t xml:space="preserve">J. </w:t>
      </w:r>
      <w:proofErr w:type="spellStart"/>
      <w:r w:rsidRPr="00226C37">
        <w:rPr>
          <w:rFonts w:ascii="Times New Roman" w:hAnsi="Times New Roman" w:cs="Times New Roman"/>
          <w:sz w:val="18"/>
          <w:szCs w:val="18"/>
        </w:rPr>
        <w:t>Dickschen</w:t>
      </w:r>
      <w:proofErr w:type="spellEnd"/>
      <w:r w:rsidRPr="00226C37">
        <w:rPr>
          <w:rFonts w:ascii="Times New Roman" w:hAnsi="Times New Roman" w:cs="Times New Roman"/>
          <w:sz w:val="18"/>
          <w:szCs w:val="18"/>
        </w:rPr>
        <w:t xml:space="preserve">, </w:t>
      </w:r>
      <w:r w:rsidR="00485871">
        <w:rPr>
          <w:rFonts w:ascii="Times New Roman" w:hAnsi="Times New Roman" w:cs="Times New Roman"/>
          <w:sz w:val="18"/>
          <w:szCs w:val="18"/>
        </w:rPr>
        <w:t xml:space="preserve">S. </w:t>
      </w:r>
      <w:proofErr w:type="spellStart"/>
      <w:r w:rsidRPr="00226C37">
        <w:rPr>
          <w:rFonts w:ascii="Times New Roman" w:hAnsi="Times New Roman" w:cs="Times New Roman"/>
          <w:sz w:val="18"/>
          <w:szCs w:val="18"/>
        </w:rPr>
        <w:t>Hentrei</w:t>
      </w:r>
      <w:proofErr w:type="spellEnd"/>
      <w:r w:rsidRPr="00226C37">
        <w:rPr>
          <w:rFonts w:ascii="Times New Roman" w:hAnsi="Times New Roman" w:cs="Times New Roman"/>
          <w:sz w:val="18"/>
          <w:szCs w:val="18"/>
        </w:rPr>
        <w:t xml:space="preserve">, and </w:t>
      </w:r>
      <w:r w:rsidR="00485871">
        <w:rPr>
          <w:rFonts w:ascii="Times New Roman" w:hAnsi="Times New Roman" w:cs="Times New Roman"/>
          <w:sz w:val="18"/>
          <w:szCs w:val="18"/>
        </w:rPr>
        <w:t xml:space="preserve">M. </w:t>
      </w:r>
      <w:proofErr w:type="spellStart"/>
      <w:r w:rsidRPr="00226C37">
        <w:rPr>
          <w:rFonts w:ascii="Times New Roman" w:hAnsi="Times New Roman" w:cs="Times New Roman"/>
          <w:sz w:val="18"/>
          <w:szCs w:val="18"/>
        </w:rPr>
        <w:t>Smrkolj</w:t>
      </w:r>
      <w:proofErr w:type="spellEnd"/>
      <w:r w:rsidRPr="00226C37">
        <w:rPr>
          <w:rFonts w:ascii="Times New Roman" w:hAnsi="Times New Roman" w:cs="Times New Roman"/>
          <w:sz w:val="18"/>
          <w:szCs w:val="18"/>
        </w:rPr>
        <w:t xml:space="preserve">, “Reverse Solange–Protecting the essence of fundamental rights against EU Member States”, </w:t>
      </w:r>
      <w:r w:rsidR="00485871">
        <w:rPr>
          <w:rFonts w:ascii="Times New Roman" w:hAnsi="Times New Roman" w:cs="Times New Roman"/>
          <w:sz w:val="18"/>
          <w:szCs w:val="18"/>
        </w:rPr>
        <w:t xml:space="preserve">(2012) </w:t>
      </w:r>
      <w:r w:rsidRPr="00226C37">
        <w:rPr>
          <w:rFonts w:ascii="Times New Roman" w:hAnsi="Times New Roman" w:cs="Times New Roman"/>
          <w:sz w:val="18"/>
          <w:szCs w:val="18"/>
        </w:rPr>
        <w:t>49 C</w:t>
      </w:r>
      <w:r w:rsidR="00485871">
        <w:rPr>
          <w:rFonts w:ascii="Times New Roman" w:hAnsi="Times New Roman" w:cs="Times New Roman"/>
          <w:sz w:val="18"/>
          <w:szCs w:val="18"/>
        </w:rPr>
        <w:t>.</w:t>
      </w:r>
      <w:r w:rsidRPr="00226C37">
        <w:rPr>
          <w:rFonts w:ascii="Times New Roman" w:hAnsi="Times New Roman" w:cs="Times New Roman"/>
          <w:sz w:val="18"/>
          <w:szCs w:val="18"/>
        </w:rPr>
        <w:t>M</w:t>
      </w:r>
      <w:r w:rsidR="00485871">
        <w:rPr>
          <w:rFonts w:ascii="Times New Roman" w:hAnsi="Times New Roman" w:cs="Times New Roman"/>
          <w:sz w:val="18"/>
          <w:szCs w:val="18"/>
        </w:rPr>
        <w:t>.</w:t>
      </w:r>
      <w:r w:rsidRPr="00226C37">
        <w:rPr>
          <w:rFonts w:ascii="Times New Roman" w:hAnsi="Times New Roman" w:cs="Times New Roman"/>
          <w:sz w:val="18"/>
          <w:szCs w:val="18"/>
        </w:rPr>
        <w:t>L</w:t>
      </w:r>
      <w:r w:rsidR="00485871">
        <w:rPr>
          <w:rFonts w:ascii="Times New Roman" w:hAnsi="Times New Roman" w:cs="Times New Roman"/>
          <w:sz w:val="18"/>
          <w:szCs w:val="18"/>
        </w:rPr>
        <w:t>.</w:t>
      </w:r>
      <w:r w:rsidRPr="00226C37">
        <w:rPr>
          <w:rFonts w:ascii="Times New Roman" w:hAnsi="Times New Roman" w:cs="Times New Roman"/>
          <w:sz w:val="18"/>
          <w:szCs w:val="18"/>
        </w:rPr>
        <w:t xml:space="preserve"> Rev. 489. See also, </w:t>
      </w:r>
      <w:r w:rsidR="00485871">
        <w:rPr>
          <w:rFonts w:ascii="Times New Roman" w:hAnsi="Times New Roman" w:cs="Times New Roman"/>
          <w:sz w:val="18"/>
          <w:szCs w:val="18"/>
        </w:rPr>
        <w:t xml:space="preserve">J.W. </w:t>
      </w:r>
      <w:r w:rsidRPr="00226C37">
        <w:rPr>
          <w:rFonts w:ascii="Times New Roman" w:hAnsi="Times New Roman" w:cs="Times New Roman"/>
          <w:sz w:val="18"/>
          <w:szCs w:val="18"/>
        </w:rPr>
        <w:t xml:space="preserve">Müller, “Should the EU Protect Democracy and the Rule of Law inside Member States?” </w:t>
      </w:r>
      <w:r w:rsidR="00485871">
        <w:rPr>
          <w:rFonts w:ascii="Times New Roman" w:hAnsi="Times New Roman" w:cs="Times New Roman"/>
          <w:sz w:val="18"/>
          <w:szCs w:val="18"/>
        </w:rPr>
        <w:t xml:space="preserve">(2015) </w:t>
      </w:r>
      <w:r w:rsidRPr="00226C37">
        <w:rPr>
          <w:rFonts w:ascii="Times New Roman" w:hAnsi="Times New Roman" w:cs="Times New Roman"/>
          <w:sz w:val="18"/>
          <w:szCs w:val="18"/>
        </w:rPr>
        <w:t>21 E</w:t>
      </w:r>
      <w:r w:rsidR="00485871">
        <w:rPr>
          <w:rFonts w:ascii="Times New Roman" w:hAnsi="Times New Roman" w:cs="Times New Roman"/>
          <w:sz w:val="18"/>
          <w:szCs w:val="18"/>
        </w:rPr>
        <w:t>.</w:t>
      </w:r>
      <w:r w:rsidRPr="00226C37">
        <w:rPr>
          <w:rFonts w:ascii="Times New Roman" w:hAnsi="Times New Roman" w:cs="Times New Roman"/>
          <w:sz w:val="18"/>
          <w:szCs w:val="18"/>
        </w:rPr>
        <w:t>L</w:t>
      </w:r>
      <w:r w:rsidR="00485871">
        <w:rPr>
          <w:rFonts w:ascii="Times New Roman" w:hAnsi="Times New Roman" w:cs="Times New Roman"/>
          <w:sz w:val="18"/>
          <w:szCs w:val="18"/>
        </w:rPr>
        <w:t>.</w:t>
      </w:r>
      <w:r w:rsidRPr="00226C37">
        <w:rPr>
          <w:rFonts w:ascii="Times New Roman" w:hAnsi="Times New Roman" w:cs="Times New Roman"/>
          <w:sz w:val="18"/>
          <w:szCs w:val="18"/>
        </w:rPr>
        <w:t>J</w:t>
      </w:r>
      <w:r w:rsidR="00485871">
        <w:rPr>
          <w:rFonts w:ascii="Times New Roman" w:hAnsi="Times New Roman" w:cs="Times New Roman"/>
          <w:sz w:val="18"/>
          <w:szCs w:val="18"/>
        </w:rPr>
        <w:t>.</w:t>
      </w:r>
      <w:r w:rsidRPr="00226C37">
        <w:rPr>
          <w:rFonts w:ascii="Times New Roman" w:hAnsi="Times New Roman" w:cs="Times New Roman"/>
          <w:sz w:val="18"/>
          <w:szCs w:val="18"/>
        </w:rPr>
        <w:t xml:space="preserve"> 14</w:t>
      </w:r>
      <w:r w:rsidR="0001393A">
        <w:rPr>
          <w:rFonts w:ascii="Times New Roman" w:hAnsi="Times New Roman" w:cs="Times New Roman"/>
          <w:sz w:val="18"/>
          <w:szCs w:val="18"/>
        </w:rPr>
        <w:t>1</w:t>
      </w:r>
      <w:r w:rsidRPr="00226C37">
        <w:rPr>
          <w:rFonts w:ascii="Times New Roman" w:hAnsi="Times New Roman" w:cs="Times New Roman"/>
          <w:sz w:val="18"/>
          <w:szCs w:val="18"/>
        </w:rPr>
        <w:t>.</w:t>
      </w:r>
    </w:p>
  </w:footnote>
  <w:footnote w:id="55">
    <w:p w14:paraId="2C8BEE91" w14:textId="27A9DDE2"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See, for instance, </w:t>
      </w:r>
      <w:r w:rsidRPr="00226C37">
        <w:rPr>
          <w:rFonts w:ascii="Times New Roman" w:hAnsi="Times New Roman" w:cs="Times New Roman"/>
          <w:i/>
          <w:iCs/>
          <w:sz w:val="18"/>
          <w:szCs w:val="18"/>
        </w:rPr>
        <w:t>Schmid</w:t>
      </w:r>
      <w:r w:rsidR="00CB29C5">
        <w:rPr>
          <w:rFonts w:ascii="Times New Roman" w:hAnsi="Times New Roman" w:cs="Times New Roman"/>
          <w:sz w:val="18"/>
          <w:szCs w:val="18"/>
        </w:rPr>
        <w:t xml:space="preserve"> (C-516/99) </w:t>
      </w:r>
      <w:r w:rsidRPr="00226C37">
        <w:rPr>
          <w:rFonts w:ascii="Times New Roman" w:hAnsi="Times New Roman" w:cs="Times New Roman"/>
          <w:sz w:val="18"/>
          <w:szCs w:val="18"/>
        </w:rPr>
        <w:t>ECLI:EU:C:2002:313.</w:t>
      </w:r>
    </w:p>
  </w:footnote>
  <w:footnote w:id="56">
    <w:p w14:paraId="53B090B2" w14:textId="07CEF94B" w:rsidR="001B3D9B" w:rsidRPr="00A87A06"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00CB29C5">
        <w:rPr>
          <w:rFonts w:ascii="Times New Roman" w:hAnsi="Times New Roman" w:cs="Times New Roman"/>
          <w:sz w:val="18"/>
          <w:szCs w:val="18"/>
        </w:rPr>
        <w:t xml:space="preserve"> </w:t>
      </w:r>
      <w:proofErr w:type="spellStart"/>
      <w:r w:rsidRPr="00226C37">
        <w:rPr>
          <w:rFonts w:ascii="Times New Roman" w:hAnsi="Times New Roman" w:cs="Times New Roman"/>
          <w:i/>
          <w:iCs/>
          <w:sz w:val="18"/>
          <w:szCs w:val="18"/>
        </w:rPr>
        <w:t>Associação</w:t>
      </w:r>
      <w:proofErr w:type="spellEnd"/>
      <w:r w:rsidRPr="00226C37">
        <w:rPr>
          <w:rFonts w:ascii="Times New Roman" w:hAnsi="Times New Roman" w:cs="Times New Roman"/>
          <w:i/>
          <w:iCs/>
          <w:sz w:val="18"/>
          <w:szCs w:val="18"/>
        </w:rPr>
        <w:t xml:space="preserve"> </w:t>
      </w:r>
      <w:proofErr w:type="spellStart"/>
      <w:r w:rsidRPr="00226C37">
        <w:rPr>
          <w:rFonts w:ascii="Times New Roman" w:hAnsi="Times New Roman" w:cs="Times New Roman"/>
          <w:i/>
          <w:iCs/>
          <w:sz w:val="18"/>
          <w:szCs w:val="18"/>
        </w:rPr>
        <w:t>Sindical</w:t>
      </w:r>
      <w:proofErr w:type="spellEnd"/>
      <w:r w:rsidRPr="00226C37">
        <w:rPr>
          <w:rFonts w:ascii="Times New Roman" w:hAnsi="Times New Roman" w:cs="Times New Roman"/>
          <w:i/>
          <w:iCs/>
          <w:sz w:val="18"/>
          <w:szCs w:val="18"/>
        </w:rPr>
        <w:t xml:space="preserve"> dos </w:t>
      </w:r>
      <w:proofErr w:type="spellStart"/>
      <w:r w:rsidRPr="00226C37">
        <w:rPr>
          <w:rFonts w:ascii="Times New Roman" w:hAnsi="Times New Roman" w:cs="Times New Roman"/>
          <w:i/>
          <w:iCs/>
          <w:sz w:val="18"/>
          <w:szCs w:val="18"/>
        </w:rPr>
        <w:t>Juízes</w:t>
      </w:r>
      <w:proofErr w:type="spellEnd"/>
      <w:r w:rsidRPr="00226C37">
        <w:rPr>
          <w:rFonts w:ascii="Times New Roman" w:hAnsi="Times New Roman" w:cs="Times New Roman"/>
          <w:i/>
          <w:iCs/>
          <w:sz w:val="18"/>
          <w:szCs w:val="18"/>
        </w:rPr>
        <w:t xml:space="preserve"> </w:t>
      </w:r>
      <w:proofErr w:type="spellStart"/>
      <w:r w:rsidRPr="00226C37">
        <w:rPr>
          <w:rFonts w:ascii="Times New Roman" w:hAnsi="Times New Roman" w:cs="Times New Roman"/>
          <w:i/>
          <w:iCs/>
          <w:sz w:val="18"/>
          <w:szCs w:val="18"/>
        </w:rPr>
        <w:t>Portugueses</w:t>
      </w:r>
      <w:proofErr w:type="spellEnd"/>
      <w:r w:rsidRPr="00226C37">
        <w:rPr>
          <w:rFonts w:ascii="Times New Roman" w:hAnsi="Times New Roman" w:cs="Times New Roman"/>
          <w:sz w:val="18"/>
          <w:szCs w:val="18"/>
        </w:rPr>
        <w:t xml:space="preserve">, </w:t>
      </w:r>
      <w:r w:rsidR="00CB29C5">
        <w:rPr>
          <w:rFonts w:ascii="Times New Roman" w:hAnsi="Times New Roman" w:cs="Times New Roman"/>
          <w:sz w:val="18"/>
          <w:szCs w:val="18"/>
        </w:rPr>
        <w:t xml:space="preserve">(C-64/16) </w:t>
      </w:r>
      <w:r w:rsidRPr="00226C37">
        <w:rPr>
          <w:rFonts w:ascii="Times New Roman" w:hAnsi="Times New Roman" w:cs="Times New Roman"/>
          <w:sz w:val="18"/>
          <w:szCs w:val="18"/>
        </w:rPr>
        <w:t>ECLI:EU:C:2020:460</w:t>
      </w:r>
      <w:r w:rsidR="00A87A06">
        <w:rPr>
          <w:rFonts w:ascii="Times New Roman" w:hAnsi="Times New Roman" w:cs="Times New Roman"/>
          <w:sz w:val="18"/>
          <w:szCs w:val="18"/>
        </w:rPr>
        <w:t xml:space="preserve">; </w:t>
      </w:r>
      <w:r w:rsidR="00A87A06" w:rsidRPr="00A87A06">
        <w:rPr>
          <w:rFonts w:ascii="Times New Roman" w:hAnsi="Times New Roman" w:cs="Times New Roman"/>
          <w:i/>
          <w:iCs/>
          <w:sz w:val="18"/>
          <w:szCs w:val="18"/>
        </w:rPr>
        <w:t>Commission v Poland (</w:t>
      </w:r>
      <w:proofErr w:type="spellStart"/>
      <w:r w:rsidR="00A87A06" w:rsidRPr="00A87A06">
        <w:rPr>
          <w:rFonts w:ascii="Times New Roman" w:hAnsi="Times New Roman" w:cs="Times New Roman"/>
          <w:i/>
          <w:iCs/>
          <w:sz w:val="18"/>
          <w:szCs w:val="18"/>
        </w:rPr>
        <w:t>Régime</w:t>
      </w:r>
      <w:proofErr w:type="spellEnd"/>
      <w:r w:rsidR="00A87A06" w:rsidRPr="00A87A06">
        <w:rPr>
          <w:rFonts w:ascii="Times New Roman" w:hAnsi="Times New Roman" w:cs="Times New Roman"/>
          <w:i/>
          <w:iCs/>
          <w:sz w:val="18"/>
          <w:szCs w:val="18"/>
        </w:rPr>
        <w:t xml:space="preserve"> </w:t>
      </w:r>
      <w:proofErr w:type="spellStart"/>
      <w:r w:rsidR="00A87A06" w:rsidRPr="00A87A06">
        <w:rPr>
          <w:rFonts w:ascii="Times New Roman" w:hAnsi="Times New Roman" w:cs="Times New Roman"/>
          <w:i/>
          <w:iCs/>
          <w:sz w:val="18"/>
          <w:szCs w:val="18"/>
        </w:rPr>
        <w:t>disciplinaire</w:t>
      </w:r>
      <w:proofErr w:type="spellEnd"/>
      <w:r w:rsidR="00A87A06" w:rsidRPr="00A87A06">
        <w:rPr>
          <w:rFonts w:ascii="Times New Roman" w:hAnsi="Times New Roman" w:cs="Times New Roman"/>
          <w:i/>
          <w:iCs/>
          <w:sz w:val="18"/>
          <w:szCs w:val="18"/>
        </w:rPr>
        <w:t xml:space="preserve"> des </w:t>
      </w:r>
      <w:proofErr w:type="spellStart"/>
      <w:r w:rsidR="00A87A06" w:rsidRPr="00A87A06">
        <w:rPr>
          <w:rFonts w:ascii="Times New Roman" w:hAnsi="Times New Roman" w:cs="Times New Roman"/>
          <w:i/>
          <w:iCs/>
          <w:sz w:val="18"/>
          <w:szCs w:val="18"/>
        </w:rPr>
        <w:t>juges</w:t>
      </w:r>
      <w:proofErr w:type="spellEnd"/>
      <w:r w:rsidR="00A87A06" w:rsidRPr="00A87A06">
        <w:rPr>
          <w:rFonts w:ascii="Times New Roman" w:hAnsi="Times New Roman" w:cs="Times New Roman"/>
          <w:i/>
          <w:iCs/>
          <w:sz w:val="18"/>
          <w:szCs w:val="18"/>
        </w:rPr>
        <w:t>)</w:t>
      </w:r>
      <w:r w:rsidR="00CB29C5">
        <w:rPr>
          <w:rFonts w:ascii="Times New Roman" w:hAnsi="Times New Roman" w:cs="Times New Roman"/>
          <w:sz w:val="18"/>
          <w:szCs w:val="18"/>
        </w:rPr>
        <w:t xml:space="preserve"> (C-791/19) </w:t>
      </w:r>
      <w:r w:rsidR="00A87A06" w:rsidRPr="00A87A06">
        <w:rPr>
          <w:rFonts w:ascii="Times New Roman" w:hAnsi="Times New Roman" w:cs="Times New Roman"/>
          <w:sz w:val="18"/>
          <w:szCs w:val="18"/>
        </w:rPr>
        <w:t>ECLI:EU:C:2021:596</w:t>
      </w:r>
      <w:r w:rsidR="00A87A06">
        <w:rPr>
          <w:rFonts w:ascii="Times New Roman" w:hAnsi="Times New Roman" w:cs="Times New Roman"/>
          <w:sz w:val="18"/>
          <w:szCs w:val="18"/>
        </w:rPr>
        <w:t>.</w:t>
      </w:r>
    </w:p>
  </w:footnote>
  <w:footnote w:id="57">
    <w:p w14:paraId="38B4ADAD" w14:textId="5631E477"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Pr="00226C37">
        <w:rPr>
          <w:rFonts w:ascii="Times New Roman" w:hAnsi="Times New Roman" w:cs="Times New Roman"/>
          <w:i/>
          <w:iCs/>
          <w:sz w:val="18"/>
          <w:szCs w:val="18"/>
        </w:rPr>
        <w:t>Repubblika</w:t>
      </w:r>
      <w:proofErr w:type="spellEnd"/>
      <w:r w:rsidR="00CB29C5">
        <w:rPr>
          <w:rFonts w:ascii="Times New Roman" w:hAnsi="Times New Roman" w:cs="Times New Roman"/>
          <w:sz w:val="18"/>
          <w:szCs w:val="18"/>
        </w:rPr>
        <w:t xml:space="preserve"> (C-896/19) </w:t>
      </w:r>
      <w:r w:rsidRPr="00226C37">
        <w:rPr>
          <w:rFonts w:ascii="Times New Roman" w:hAnsi="Times New Roman" w:cs="Times New Roman"/>
          <w:sz w:val="18"/>
          <w:szCs w:val="18"/>
        </w:rPr>
        <w:t>ECLI:EU:</w:t>
      </w:r>
      <w:proofErr w:type="gramStart"/>
      <w:r w:rsidRPr="00226C37">
        <w:rPr>
          <w:rFonts w:ascii="Times New Roman" w:hAnsi="Times New Roman" w:cs="Times New Roman"/>
          <w:sz w:val="18"/>
          <w:szCs w:val="18"/>
        </w:rPr>
        <w:t>C:2021:311</w:t>
      </w:r>
      <w:proofErr w:type="gramEnd"/>
      <w:r w:rsidRPr="00226C37">
        <w:rPr>
          <w:rFonts w:ascii="Times New Roman" w:hAnsi="Times New Roman" w:cs="Times New Roman"/>
          <w:sz w:val="18"/>
          <w:szCs w:val="18"/>
        </w:rPr>
        <w:t xml:space="preserve">, </w:t>
      </w:r>
      <w:r w:rsidR="00BF7D7A">
        <w:rPr>
          <w:rFonts w:ascii="Times New Roman" w:hAnsi="Times New Roman" w:cs="Times New Roman"/>
          <w:sz w:val="18"/>
          <w:szCs w:val="18"/>
        </w:rPr>
        <w:t>at</w:t>
      </w:r>
      <w:r w:rsidRPr="00226C37">
        <w:rPr>
          <w:rFonts w:ascii="Times New Roman" w:hAnsi="Times New Roman" w:cs="Times New Roman"/>
          <w:sz w:val="18"/>
          <w:szCs w:val="18"/>
        </w:rPr>
        <w:t xml:space="preserve"> </w:t>
      </w:r>
      <w:r w:rsidR="00BF7D7A">
        <w:rPr>
          <w:rFonts w:ascii="Times New Roman" w:hAnsi="Times New Roman" w:cs="Times New Roman"/>
          <w:sz w:val="18"/>
          <w:szCs w:val="18"/>
        </w:rPr>
        <w:t>[</w:t>
      </w:r>
      <w:r w:rsidRPr="00226C37">
        <w:rPr>
          <w:rFonts w:ascii="Times New Roman" w:hAnsi="Times New Roman" w:cs="Times New Roman"/>
          <w:sz w:val="18"/>
          <w:szCs w:val="18"/>
        </w:rPr>
        <w:t>60-65</w:t>
      </w:r>
      <w:r w:rsidR="00BF7D7A">
        <w:rPr>
          <w:rFonts w:ascii="Times New Roman" w:hAnsi="Times New Roman" w:cs="Times New Roman"/>
          <w:sz w:val="18"/>
          <w:szCs w:val="18"/>
        </w:rPr>
        <w:t>]</w:t>
      </w:r>
      <w:r w:rsidRPr="00226C37">
        <w:rPr>
          <w:rFonts w:ascii="Times New Roman" w:hAnsi="Times New Roman" w:cs="Times New Roman"/>
          <w:sz w:val="18"/>
          <w:szCs w:val="18"/>
        </w:rPr>
        <w:t>.</w:t>
      </w:r>
    </w:p>
  </w:footnote>
  <w:footnote w:id="58">
    <w:p w14:paraId="40DF5904" w14:textId="24F8457D"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0001393A">
        <w:rPr>
          <w:rFonts w:ascii="Times New Roman" w:hAnsi="Times New Roman" w:cs="Times New Roman"/>
          <w:i/>
          <w:iCs/>
          <w:sz w:val="18"/>
          <w:szCs w:val="18"/>
        </w:rPr>
        <w:t>Repubblika</w:t>
      </w:r>
      <w:proofErr w:type="spellEnd"/>
      <w:r w:rsidRPr="00226C37">
        <w:rPr>
          <w:rFonts w:ascii="Times New Roman" w:hAnsi="Times New Roman" w:cs="Times New Roman"/>
          <w:sz w:val="18"/>
          <w:szCs w:val="18"/>
        </w:rPr>
        <w:t xml:space="preserve">, </w:t>
      </w:r>
      <w:r w:rsidR="00BF7D7A">
        <w:rPr>
          <w:rFonts w:ascii="Times New Roman" w:hAnsi="Times New Roman" w:cs="Times New Roman"/>
          <w:sz w:val="18"/>
          <w:szCs w:val="18"/>
        </w:rPr>
        <w:t>at</w:t>
      </w:r>
      <w:r w:rsidRPr="00226C37">
        <w:rPr>
          <w:rFonts w:ascii="Times New Roman" w:hAnsi="Times New Roman" w:cs="Times New Roman"/>
          <w:sz w:val="18"/>
          <w:szCs w:val="18"/>
        </w:rPr>
        <w:t xml:space="preserve"> </w:t>
      </w:r>
      <w:r w:rsidR="00BF7D7A">
        <w:rPr>
          <w:rFonts w:ascii="Times New Roman" w:hAnsi="Times New Roman" w:cs="Times New Roman"/>
          <w:sz w:val="18"/>
          <w:szCs w:val="18"/>
        </w:rPr>
        <w:t>[</w:t>
      </w:r>
      <w:r w:rsidRPr="00226C37">
        <w:rPr>
          <w:rFonts w:ascii="Times New Roman" w:hAnsi="Times New Roman" w:cs="Times New Roman"/>
          <w:sz w:val="18"/>
          <w:szCs w:val="18"/>
        </w:rPr>
        <w:t>63</w:t>
      </w:r>
      <w:r w:rsidR="00BF7D7A">
        <w:rPr>
          <w:rFonts w:ascii="Times New Roman" w:hAnsi="Times New Roman" w:cs="Times New Roman"/>
          <w:sz w:val="18"/>
          <w:szCs w:val="18"/>
        </w:rPr>
        <w:t>]</w:t>
      </w:r>
      <w:r w:rsidRPr="00226C37">
        <w:rPr>
          <w:rFonts w:ascii="Times New Roman" w:hAnsi="Times New Roman" w:cs="Times New Roman"/>
          <w:sz w:val="18"/>
          <w:szCs w:val="18"/>
        </w:rPr>
        <w:t xml:space="preserve">. </w:t>
      </w:r>
    </w:p>
  </w:footnote>
  <w:footnote w:id="59">
    <w:p w14:paraId="78150CC8" w14:textId="5454F8DB"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bookmarkStart w:id="24" w:name="_Hlk84451222"/>
      <w:proofErr w:type="spellStart"/>
      <w:r w:rsidRPr="00226C37">
        <w:rPr>
          <w:rFonts w:ascii="Times New Roman" w:hAnsi="Times New Roman" w:cs="Times New Roman"/>
          <w:i/>
          <w:iCs/>
          <w:sz w:val="18"/>
          <w:szCs w:val="18"/>
        </w:rPr>
        <w:t>Junqueras</w:t>
      </w:r>
      <w:proofErr w:type="spellEnd"/>
      <w:r w:rsidRPr="00226C37">
        <w:rPr>
          <w:rFonts w:ascii="Times New Roman" w:hAnsi="Times New Roman" w:cs="Times New Roman"/>
          <w:i/>
          <w:iCs/>
          <w:sz w:val="18"/>
          <w:szCs w:val="18"/>
        </w:rPr>
        <w:t xml:space="preserve"> Vies</w:t>
      </w:r>
      <w:r w:rsidR="00CB29C5">
        <w:rPr>
          <w:rFonts w:ascii="Times New Roman" w:hAnsi="Times New Roman" w:cs="Times New Roman"/>
          <w:sz w:val="18"/>
          <w:szCs w:val="18"/>
        </w:rPr>
        <w:t xml:space="preserve"> (C-502/19) </w:t>
      </w:r>
      <w:r w:rsidRPr="00226C37">
        <w:rPr>
          <w:rFonts w:ascii="Times New Roman" w:hAnsi="Times New Roman" w:cs="Times New Roman"/>
          <w:sz w:val="18"/>
          <w:szCs w:val="18"/>
        </w:rPr>
        <w:t>ECLI:EU:</w:t>
      </w:r>
      <w:proofErr w:type="gramStart"/>
      <w:r w:rsidRPr="00226C37">
        <w:rPr>
          <w:rFonts w:ascii="Times New Roman" w:hAnsi="Times New Roman" w:cs="Times New Roman"/>
          <w:sz w:val="18"/>
          <w:szCs w:val="18"/>
        </w:rPr>
        <w:t>C:2019:1115</w:t>
      </w:r>
      <w:proofErr w:type="gramEnd"/>
      <w:r w:rsidRPr="00226C37">
        <w:rPr>
          <w:rFonts w:ascii="Times New Roman" w:hAnsi="Times New Roman" w:cs="Times New Roman"/>
          <w:sz w:val="18"/>
          <w:szCs w:val="18"/>
        </w:rPr>
        <w:t xml:space="preserve">, </w:t>
      </w:r>
      <w:r w:rsidR="00BF7D7A">
        <w:rPr>
          <w:rFonts w:ascii="Times New Roman" w:hAnsi="Times New Roman" w:cs="Times New Roman"/>
          <w:sz w:val="18"/>
          <w:szCs w:val="18"/>
        </w:rPr>
        <w:t>at [</w:t>
      </w:r>
      <w:r w:rsidRPr="00226C37">
        <w:rPr>
          <w:rFonts w:ascii="Times New Roman" w:hAnsi="Times New Roman" w:cs="Times New Roman"/>
          <w:sz w:val="18"/>
          <w:szCs w:val="18"/>
        </w:rPr>
        <w:t>63</w:t>
      </w:r>
      <w:r w:rsidR="00BF7D7A">
        <w:rPr>
          <w:rFonts w:ascii="Times New Roman" w:hAnsi="Times New Roman" w:cs="Times New Roman"/>
          <w:sz w:val="18"/>
          <w:szCs w:val="18"/>
        </w:rPr>
        <w:t>]</w:t>
      </w:r>
      <w:r w:rsidRPr="00226C37">
        <w:rPr>
          <w:rFonts w:ascii="Times New Roman" w:hAnsi="Times New Roman" w:cs="Times New Roman"/>
          <w:sz w:val="18"/>
          <w:szCs w:val="18"/>
        </w:rPr>
        <w:t xml:space="preserve">. </w:t>
      </w:r>
      <w:bookmarkEnd w:id="24"/>
    </w:p>
  </w:footnote>
  <w:footnote w:id="60">
    <w:p w14:paraId="40F5F897" w14:textId="5A27065B"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0001393A" w:rsidRPr="00226C37">
        <w:rPr>
          <w:rFonts w:ascii="Times New Roman" w:hAnsi="Times New Roman" w:cs="Times New Roman"/>
          <w:i/>
          <w:iCs/>
          <w:sz w:val="18"/>
          <w:szCs w:val="18"/>
        </w:rPr>
        <w:t>Junqueras</w:t>
      </w:r>
      <w:proofErr w:type="spellEnd"/>
      <w:r w:rsidR="0001393A" w:rsidRPr="00226C37">
        <w:rPr>
          <w:rFonts w:ascii="Times New Roman" w:hAnsi="Times New Roman" w:cs="Times New Roman"/>
          <w:i/>
          <w:iCs/>
          <w:sz w:val="18"/>
          <w:szCs w:val="18"/>
        </w:rPr>
        <w:t xml:space="preserve"> Vies</w:t>
      </w:r>
      <w:r w:rsidR="0001393A" w:rsidRPr="00226C37">
        <w:rPr>
          <w:rFonts w:ascii="Times New Roman" w:hAnsi="Times New Roman" w:cs="Times New Roman"/>
          <w:sz w:val="18"/>
          <w:szCs w:val="18"/>
        </w:rPr>
        <w:t xml:space="preserve">, </w:t>
      </w:r>
      <w:r w:rsidR="0001393A">
        <w:rPr>
          <w:rFonts w:ascii="Times New Roman" w:hAnsi="Times New Roman" w:cs="Times New Roman"/>
          <w:sz w:val="18"/>
          <w:szCs w:val="18"/>
        </w:rPr>
        <w:t>at [</w:t>
      </w:r>
      <w:r w:rsidR="0001393A" w:rsidRPr="00226C37">
        <w:rPr>
          <w:rFonts w:ascii="Times New Roman" w:hAnsi="Times New Roman" w:cs="Times New Roman"/>
          <w:sz w:val="18"/>
          <w:szCs w:val="18"/>
        </w:rPr>
        <w:t>63</w:t>
      </w:r>
      <w:r w:rsidR="0001393A">
        <w:rPr>
          <w:rFonts w:ascii="Times New Roman" w:hAnsi="Times New Roman" w:cs="Times New Roman"/>
          <w:sz w:val="18"/>
          <w:szCs w:val="18"/>
        </w:rPr>
        <w:t>]</w:t>
      </w:r>
      <w:r w:rsidR="0001393A" w:rsidRPr="00226C37">
        <w:rPr>
          <w:rFonts w:ascii="Times New Roman" w:hAnsi="Times New Roman" w:cs="Times New Roman"/>
          <w:sz w:val="18"/>
          <w:szCs w:val="18"/>
        </w:rPr>
        <w:t>.</w:t>
      </w:r>
    </w:p>
  </w:footnote>
  <w:footnote w:id="61">
    <w:p w14:paraId="5F34E2FA" w14:textId="016492AE"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Pr="00226C37">
        <w:rPr>
          <w:rFonts w:ascii="Times New Roman" w:hAnsi="Times New Roman" w:cs="Times New Roman"/>
          <w:i/>
          <w:iCs/>
          <w:sz w:val="18"/>
          <w:szCs w:val="18"/>
        </w:rPr>
        <w:t>Les Verts v Parliament</w:t>
      </w:r>
      <w:r w:rsidR="00CB29C5">
        <w:rPr>
          <w:rFonts w:ascii="Times New Roman" w:hAnsi="Times New Roman" w:cs="Times New Roman"/>
          <w:sz w:val="18"/>
          <w:szCs w:val="18"/>
        </w:rPr>
        <w:t xml:space="preserve"> (C-294/83)</w:t>
      </w:r>
      <w:r w:rsidRPr="00226C37">
        <w:rPr>
          <w:rFonts w:ascii="Times New Roman" w:hAnsi="Times New Roman" w:cs="Times New Roman"/>
          <w:sz w:val="18"/>
          <w:szCs w:val="18"/>
        </w:rPr>
        <w:t xml:space="preserve"> ECLI:EU:</w:t>
      </w:r>
      <w:proofErr w:type="gramStart"/>
      <w:r w:rsidRPr="00226C37">
        <w:rPr>
          <w:rFonts w:ascii="Times New Roman" w:hAnsi="Times New Roman" w:cs="Times New Roman"/>
          <w:sz w:val="18"/>
          <w:szCs w:val="18"/>
        </w:rPr>
        <w:t>C:1986:166</w:t>
      </w:r>
      <w:proofErr w:type="gramEnd"/>
      <w:r w:rsidRPr="00226C37">
        <w:rPr>
          <w:rFonts w:ascii="Times New Roman" w:hAnsi="Times New Roman" w:cs="Times New Roman"/>
          <w:sz w:val="18"/>
          <w:szCs w:val="18"/>
        </w:rPr>
        <w:t xml:space="preserve">, </w:t>
      </w:r>
      <w:r w:rsidR="00BF7D7A">
        <w:rPr>
          <w:rFonts w:ascii="Times New Roman" w:hAnsi="Times New Roman" w:cs="Times New Roman"/>
          <w:sz w:val="18"/>
          <w:szCs w:val="18"/>
        </w:rPr>
        <w:t>at</w:t>
      </w:r>
      <w:r w:rsidRPr="00226C37">
        <w:rPr>
          <w:rFonts w:ascii="Times New Roman" w:hAnsi="Times New Roman" w:cs="Times New Roman"/>
          <w:sz w:val="18"/>
          <w:szCs w:val="18"/>
        </w:rPr>
        <w:t xml:space="preserve"> </w:t>
      </w:r>
      <w:r w:rsidR="00BF7D7A">
        <w:rPr>
          <w:rFonts w:ascii="Times New Roman" w:hAnsi="Times New Roman" w:cs="Times New Roman"/>
          <w:sz w:val="18"/>
          <w:szCs w:val="18"/>
        </w:rPr>
        <w:t>[</w:t>
      </w:r>
      <w:r w:rsidRPr="00226C37">
        <w:rPr>
          <w:rFonts w:ascii="Times New Roman" w:hAnsi="Times New Roman" w:cs="Times New Roman"/>
          <w:sz w:val="18"/>
          <w:szCs w:val="18"/>
        </w:rPr>
        <w:t>23</w:t>
      </w:r>
      <w:r w:rsidR="00BF7D7A">
        <w:rPr>
          <w:rFonts w:ascii="Times New Roman" w:hAnsi="Times New Roman" w:cs="Times New Roman"/>
          <w:sz w:val="18"/>
          <w:szCs w:val="18"/>
        </w:rPr>
        <w:t>]</w:t>
      </w:r>
      <w:r w:rsidRPr="00226C37">
        <w:rPr>
          <w:rFonts w:ascii="Times New Roman" w:hAnsi="Times New Roman" w:cs="Times New Roman"/>
          <w:sz w:val="18"/>
          <w:szCs w:val="18"/>
        </w:rPr>
        <w:t xml:space="preserve">. </w:t>
      </w:r>
    </w:p>
  </w:footnote>
  <w:footnote w:id="62">
    <w:p w14:paraId="4E0D6FE2" w14:textId="7B850253"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For the link between EU citizenship and the democratic value, </w:t>
      </w:r>
      <w:r w:rsidR="00CB29C5">
        <w:rPr>
          <w:rFonts w:ascii="Times New Roman" w:hAnsi="Times New Roman" w:cs="Times New Roman"/>
          <w:sz w:val="18"/>
          <w:szCs w:val="18"/>
        </w:rPr>
        <w:t xml:space="preserve">see </w:t>
      </w:r>
      <w:r w:rsidRPr="00226C37">
        <w:rPr>
          <w:rFonts w:ascii="Times New Roman" w:hAnsi="Times New Roman" w:cs="Times New Roman"/>
          <w:i/>
          <w:iCs/>
          <w:sz w:val="18"/>
          <w:szCs w:val="18"/>
        </w:rPr>
        <w:t>Wightman and Others</w:t>
      </w:r>
      <w:r w:rsidR="00CB29C5">
        <w:rPr>
          <w:rFonts w:ascii="Times New Roman" w:hAnsi="Times New Roman" w:cs="Times New Roman"/>
          <w:sz w:val="18"/>
          <w:szCs w:val="18"/>
        </w:rPr>
        <w:t xml:space="preserve"> (C-621/18) </w:t>
      </w:r>
      <w:r w:rsidRPr="00226C37">
        <w:rPr>
          <w:rFonts w:ascii="Times New Roman" w:hAnsi="Times New Roman" w:cs="Times New Roman"/>
          <w:sz w:val="18"/>
          <w:szCs w:val="18"/>
        </w:rPr>
        <w:t xml:space="preserve">ECLI:EU:C:2018:999, </w:t>
      </w:r>
      <w:r w:rsidR="00BF7D7A">
        <w:rPr>
          <w:rFonts w:ascii="Times New Roman" w:hAnsi="Times New Roman" w:cs="Times New Roman"/>
          <w:sz w:val="18"/>
          <w:szCs w:val="18"/>
        </w:rPr>
        <w:t>at</w:t>
      </w:r>
      <w:r w:rsidRPr="00226C37">
        <w:rPr>
          <w:rFonts w:ascii="Times New Roman" w:hAnsi="Times New Roman" w:cs="Times New Roman"/>
          <w:sz w:val="18"/>
          <w:szCs w:val="18"/>
        </w:rPr>
        <w:t xml:space="preserve"> </w:t>
      </w:r>
      <w:r w:rsidR="00BF7D7A">
        <w:rPr>
          <w:rFonts w:ascii="Times New Roman" w:hAnsi="Times New Roman" w:cs="Times New Roman"/>
          <w:sz w:val="18"/>
          <w:szCs w:val="18"/>
        </w:rPr>
        <w:t>[</w:t>
      </w:r>
      <w:r w:rsidRPr="00226C37">
        <w:rPr>
          <w:rFonts w:ascii="Times New Roman" w:hAnsi="Times New Roman" w:cs="Times New Roman"/>
          <w:sz w:val="18"/>
          <w:szCs w:val="18"/>
        </w:rPr>
        <w:t>62-67</w:t>
      </w:r>
      <w:r w:rsidR="00BF7D7A">
        <w:rPr>
          <w:rFonts w:ascii="Times New Roman" w:hAnsi="Times New Roman" w:cs="Times New Roman"/>
          <w:sz w:val="18"/>
          <w:szCs w:val="18"/>
        </w:rPr>
        <w:t>]</w:t>
      </w:r>
      <w:r w:rsidRPr="00226C37">
        <w:rPr>
          <w:rFonts w:ascii="Times New Roman" w:hAnsi="Times New Roman" w:cs="Times New Roman"/>
          <w:sz w:val="18"/>
          <w:szCs w:val="18"/>
        </w:rPr>
        <w:t>.</w:t>
      </w:r>
    </w:p>
  </w:footnote>
  <w:footnote w:id="63">
    <w:p w14:paraId="62D56AF0" w14:textId="1C975766"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Müller, </w:t>
      </w:r>
      <w:r w:rsidR="0001393A" w:rsidRPr="00226C37">
        <w:rPr>
          <w:rFonts w:ascii="Times New Roman" w:hAnsi="Times New Roman" w:cs="Times New Roman"/>
          <w:sz w:val="18"/>
          <w:szCs w:val="18"/>
        </w:rPr>
        <w:t>“Should the EU Protect Democracy and the Rule of Law inside Member States?”</w:t>
      </w:r>
      <w:r w:rsidR="0001393A">
        <w:rPr>
          <w:rFonts w:ascii="Times New Roman" w:hAnsi="Times New Roman" w:cs="Times New Roman"/>
          <w:sz w:val="18"/>
          <w:szCs w:val="18"/>
        </w:rPr>
        <w:t>,</w:t>
      </w:r>
      <w:r w:rsidRPr="00226C37">
        <w:rPr>
          <w:rFonts w:ascii="Times New Roman" w:hAnsi="Times New Roman" w:cs="Times New Roman"/>
          <w:sz w:val="18"/>
          <w:szCs w:val="18"/>
        </w:rPr>
        <w:t xml:space="preserve"> 144. </w:t>
      </w:r>
    </w:p>
  </w:footnote>
  <w:footnote w:id="64">
    <w:p w14:paraId="71F01CD2" w14:textId="76ABBEA2"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Scheppele</w:t>
      </w:r>
      <w:proofErr w:type="spellEnd"/>
      <w:r w:rsidR="00F02F4A" w:rsidRPr="00226C37">
        <w:rPr>
          <w:rFonts w:ascii="Times New Roman" w:hAnsi="Times New Roman" w:cs="Times New Roman"/>
          <w:sz w:val="18"/>
          <w:szCs w:val="18"/>
        </w:rPr>
        <w:t xml:space="preserve"> et al</w:t>
      </w:r>
      <w:r w:rsidRPr="00226C37">
        <w:rPr>
          <w:rFonts w:ascii="Times New Roman" w:hAnsi="Times New Roman" w:cs="Times New Roman"/>
          <w:sz w:val="18"/>
          <w:szCs w:val="18"/>
        </w:rPr>
        <w:t xml:space="preserve"> have pointed out in the context of infringement proceedings that Member States “can play cat and mouse with the Commission by changing its infringing practices just enough to meet the narrow tests of narrow decisions…” (</w:t>
      </w:r>
      <w:proofErr w:type="spellStart"/>
      <w:r w:rsidRPr="00226C37">
        <w:rPr>
          <w:rFonts w:ascii="Times New Roman" w:hAnsi="Times New Roman" w:cs="Times New Roman"/>
          <w:sz w:val="18"/>
          <w:szCs w:val="18"/>
        </w:rPr>
        <w:t>Scheppele</w:t>
      </w:r>
      <w:proofErr w:type="spellEnd"/>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Kochenov</w:t>
      </w:r>
      <w:proofErr w:type="spellEnd"/>
      <w:r w:rsidRPr="00226C37">
        <w:rPr>
          <w:rFonts w:ascii="Times New Roman" w:hAnsi="Times New Roman" w:cs="Times New Roman"/>
          <w:sz w:val="18"/>
          <w:szCs w:val="18"/>
        </w:rPr>
        <w:t>, and Grabowska-</w:t>
      </w:r>
      <w:proofErr w:type="spellStart"/>
      <w:r w:rsidRPr="00226C37">
        <w:rPr>
          <w:rFonts w:ascii="Times New Roman" w:hAnsi="Times New Roman" w:cs="Times New Roman"/>
          <w:sz w:val="18"/>
          <w:szCs w:val="18"/>
        </w:rPr>
        <w:t>Moroz</w:t>
      </w:r>
      <w:proofErr w:type="spellEnd"/>
      <w:r w:rsidRPr="00226C37">
        <w:rPr>
          <w:rFonts w:ascii="Times New Roman" w:hAnsi="Times New Roman" w:cs="Times New Roman"/>
          <w:sz w:val="18"/>
          <w:szCs w:val="18"/>
        </w:rPr>
        <w:t xml:space="preserve">, </w:t>
      </w:r>
      <w:r w:rsidR="0001393A" w:rsidRPr="0001393A">
        <w:rPr>
          <w:rFonts w:ascii="Times New Roman" w:hAnsi="Times New Roman" w:cs="Times New Roman"/>
          <w:sz w:val="18"/>
          <w:szCs w:val="18"/>
        </w:rPr>
        <w:t>“EU Values Are Law, after All</w:t>
      </w:r>
      <w:r w:rsidR="0001393A">
        <w:rPr>
          <w:rFonts w:ascii="Times New Roman" w:hAnsi="Times New Roman" w:cs="Times New Roman"/>
          <w:sz w:val="18"/>
          <w:szCs w:val="18"/>
        </w:rPr>
        <w:t>”</w:t>
      </w:r>
      <w:r w:rsidR="0001393A" w:rsidRPr="00226C37">
        <w:rPr>
          <w:rFonts w:ascii="Times New Roman" w:hAnsi="Times New Roman" w:cs="Times New Roman"/>
          <w:sz w:val="18"/>
          <w:szCs w:val="18"/>
        </w:rPr>
        <w:t xml:space="preserve">, </w:t>
      </w:r>
      <w:r w:rsidRPr="00226C37">
        <w:rPr>
          <w:rFonts w:ascii="Times New Roman" w:hAnsi="Times New Roman" w:cs="Times New Roman"/>
          <w:sz w:val="18"/>
          <w:szCs w:val="18"/>
        </w:rPr>
        <w:t xml:space="preserve">120). </w:t>
      </w:r>
    </w:p>
  </w:footnote>
  <w:footnote w:id="65">
    <w:p w14:paraId="0F69683C" w14:textId="47B38865"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Pr="00226C37">
        <w:rPr>
          <w:rFonts w:ascii="Times New Roman" w:hAnsi="Times New Roman" w:cs="Times New Roman"/>
          <w:i/>
          <w:iCs/>
          <w:sz w:val="18"/>
          <w:szCs w:val="18"/>
        </w:rPr>
        <w:t>Repubblika</w:t>
      </w:r>
      <w:proofErr w:type="spellEnd"/>
      <w:r w:rsidR="00CB29C5">
        <w:rPr>
          <w:rFonts w:ascii="Times New Roman" w:hAnsi="Times New Roman" w:cs="Times New Roman"/>
          <w:sz w:val="18"/>
          <w:szCs w:val="18"/>
        </w:rPr>
        <w:t xml:space="preserve"> (C-896/19) </w:t>
      </w:r>
      <w:r w:rsidRPr="00226C37">
        <w:rPr>
          <w:rFonts w:ascii="Times New Roman" w:hAnsi="Times New Roman" w:cs="Times New Roman"/>
          <w:sz w:val="18"/>
          <w:szCs w:val="18"/>
        </w:rPr>
        <w:t>ECLI:EU:</w:t>
      </w:r>
      <w:proofErr w:type="gramStart"/>
      <w:r w:rsidRPr="00226C37">
        <w:rPr>
          <w:rFonts w:ascii="Times New Roman" w:hAnsi="Times New Roman" w:cs="Times New Roman"/>
          <w:sz w:val="18"/>
          <w:szCs w:val="18"/>
        </w:rPr>
        <w:t>C:2021:311</w:t>
      </w:r>
      <w:proofErr w:type="gramEnd"/>
      <w:r w:rsidRPr="00226C37">
        <w:rPr>
          <w:rFonts w:ascii="Times New Roman" w:hAnsi="Times New Roman" w:cs="Times New Roman"/>
          <w:sz w:val="18"/>
          <w:szCs w:val="18"/>
        </w:rPr>
        <w:t xml:space="preserve">, </w:t>
      </w:r>
      <w:r w:rsidR="00BF7D7A">
        <w:rPr>
          <w:rFonts w:ascii="Times New Roman" w:hAnsi="Times New Roman" w:cs="Times New Roman"/>
          <w:sz w:val="18"/>
          <w:szCs w:val="18"/>
        </w:rPr>
        <w:t>at [</w:t>
      </w:r>
      <w:r w:rsidRPr="00226C37">
        <w:rPr>
          <w:rFonts w:ascii="Times New Roman" w:hAnsi="Times New Roman" w:cs="Times New Roman"/>
          <w:sz w:val="18"/>
          <w:szCs w:val="18"/>
        </w:rPr>
        <w:t>60-65</w:t>
      </w:r>
      <w:r w:rsidR="00BF7D7A">
        <w:rPr>
          <w:rFonts w:ascii="Times New Roman" w:hAnsi="Times New Roman" w:cs="Times New Roman"/>
          <w:sz w:val="18"/>
          <w:szCs w:val="18"/>
        </w:rPr>
        <w:t>]</w:t>
      </w:r>
      <w:r w:rsidRPr="00226C37">
        <w:rPr>
          <w:rFonts w:ascii="Times New Roman" w:hAnsi="Times New Roman" w:cs="Times New Roman"/>
          <w:sz w:val="18"/>
          <w:szCs w:val="18"/>
        </w:rPr>
        <w:t xml:space="preserve">. See </w:t>
      </w:r>
      <w:r w:rsidR="007E65A4">
        <w:rPr>
          <w:rFonts w:ascii="Times New Roman" w:hAnsi="Times New Roman" w:cs="Times New Roman"/>
          <w:sz w:val="18"/>
          <w:szCs w:val="18"/>
        </w:rPr>
        <w:t xml:space="preserve">D.V. </w:t>
      </w:r>
      <w:proofErr w:type="spellStart"/>
      <w:r w:rsidRPr="00226C37">
        <w:rPr>
          <w:rFonts w:ascii="Times New Roman" w:hAnsi="Times New Roman" w:cs="Times New Roman"/>
          <w:sz w:val="18"/>
          <w:szCs w:val="18"/>
        </w:rPr>
        <w:t>Kochenov</w:t>
      </w:r>
      <w:proofErr w:type="spellEnd"/>
      <w:r w:rsidRPr="00226C37">
        <w:rPr>
          <w:rFonts w:ascii="Times New Roman" w:hAnsi="Times New Roman" w:cs="Times New Roman"/>
          <w:sz w:val="18"/>
          <w:szCs w:val="18"/>
        </w:rPr>
        <w:t xml:space="preserve"> and </w:t>
      </w:r>
      <w:r w:rsidR="007E65A4">
        <w:rPr>
          <w:rFonts w:ascii="Times New Roman" w:hAnsi="Times New Roman" w:cs="Times New Roman"/>
          <w:sz w:val="18"/>
          <w:szCs w:val="18"/>
        </w:rPr>
        <w:t xml:space="preserve">A. </w:t>
      </w:r>
      <w:proofErr w:type="spellStart"/>
      <w:r w:rsidRPr="00226C37">
        <w:rPr>
          <w:rFonts w:ascii="Times New Roman" w:hAnsi="Times New Roman" w:cs="Times New Roman"/>
          <w:sz w:val="18"/>
          <w:szCs w:val="18"/>
        </w:rPr>
        <w:t>Dimitrovs</w:t>
      </w:r>
      <w:proofErr w:type="spellEnd"/>
      <w:r w:rsidRPr="00226C37">
        <w:rPr>
          <w:rFonts w:ascii="Times New Roman" w:hAnsi="Times New Roman" w:cs="Times New Roman"/>
          <w:sz w:val="18"/>
          <w:szCs w:val="18"/>
        </w:rPr>
        <w:t xml:space="preserve">, “Solving the Copenhagen Dilemma: The </w:t>
      </w:r>
      <w:proofErr w:type="spellStart"/>
      <w:r w:rsidRPr="00226C37">
        <w:rPr>
          <w:rFonts w:ascii="Times New Roman" w:hAnsi="Times New Roman" w:cs="Times New Roman"/>
          <w:sz w:val="18"/>
          <w:szCs w:val="18"/>
        </w:rPr>
        <w:t>Repubblika</w:t>
      </w:r>
      <w:proofErr w:type="spellEnd"/>
      <w:r w:rsidRPr="00226C37">
        <w:rPr>
          <w:rFonts w:ascii="Times New Roman" w:hAnsi="Times New Roman" w:cs="Times New Roman"/>
          <w:sz w:val="18"/>
          <w:szCs w:val="18"/>
        </w:rPr>
        <w:t xml:space="preserve"> Decision of the European Court of Justice</w:t>
      </w:r>
      <w:r w:rsidR="00F02F4A" w:rsidRPr="00226C37">
        <w:rPr>
          <w:rFonts w:ascii="Times New Roman" w:hAnsi="Times New Roman" w:cs="Times New Roman"/>
          <w:sz w:val="18"/>
          <w:szCs w:val="18"/>
        </w:rPr>
        <w:t xml:space="preserve">”, </w:t>
      </w:r>
      <w:proofErr w:type="spellStart"/>
      <w:r w:rsidR="00F02F4A" w:rsidRPr="00226C37">
        <w:rPr>
          <w:rFonts w:ascii="Times New Roman" w:hAnsi="Times New Roman" w:cs="Times New Roman"/>
          <w:sz w:val="18"/>
          <w:szCs w:val="18"/>
        </w:rPr>
        <w:t>VerfBlog</w:t>
      </w:r>
      <w:proofErr w:type="spellEnd"/>
      <w:r w:rsidRPr="00226C37">
        <w:rPr>
          <w:rFonts w:ascii="Times New Roman" w:hAnsi="Times New Roman" w:cs="Times New Roman"/>
          <w:sz w:val="18"/>
          <w:szCs w:val="18"/>
        </w:rPr>
        <w:t>, 28 Apr</w:t>
      </w:r>
      <w:r w:rsidR="0001393A">
        <w:rPr>
          <w:rFonts w:ascii="Times New Roman" w:hAnsi="Times New Roman" w:cs="Times New Roman"/>
          <w:sz w:val="18"/>
          <w:szCs w:val="18"/>
        </w:rPr>
        <w:t>il</w:t>
      </w:r>
      <w:r w:rsidRPr="00226C37">
        <w:rPr>
          <w:rFonts w:ascii="Times New Roman" w:hAnsi="Times New Roman" w:cs="Times New Roman"/>
          <w:sz w:val="18"/>
          <w:szCs w:val="18"/>
        </w:rPr>
        <w:t xml:space="preserve"> 2021, </w:t>
      </w:r>
      <w:hyperlink r:id="rId13" w:history="1">
        <w:r w:rsidRPr="00226C37">
          <w:rPr>
            <w:rStyle w:val="Hyperlink"/>
            <w:rFonts w:ascii="Times New Roman" w:hAnsi="Times New Roman" w:cs="Times New Roman"/>
            <w:sz w:val="18"/>
            <w:szCs w:val="18"/>
          </w:rPr>
          <w:t>https://verfassungsblog.de/solving-the-copenhagen-dilemma/</w:t>
        </w:r>
      </w:hyperlink>
      <w:r w:rsidRPr="00226C37">
        <w:rPr>
          <w:rFonts w:ascii="Times New Roman" w:hAnsi="Times New Roman" w:cs="Times New Roman"/>
          <w:sz w:val="18"/>
          <w:szCs w:val="18"/>
        </w:rPr>
        <w:t xml:space="preserve">, (last visited </w:t>
      </w:r>
      <w:r w:rsidR="007E65A4">
        <w:rPr>
          <w:rFonts w:ascii="Times New Roman" w:hAnsi="Times New Roman" w:cs="Times New Roman"/>
          <w:sz w:val="18"/>
          <w:szCs w:val="18"/>
        </w:rPr>
        <w:t>2 Aug</w:t>
      </w:r>
      <w:r w:rsidR="0001393A">
        <w:rPr>
          <w:rFonts w:ascii="Times New Roman" w:hAnsi="Times New Roman" w:cs="Times New Roman"/>
          <w:sz w:val="18"/>
          <w:szCs w:val="18"/>
        </w:rPr>
        <w:t>ust</w:t>
      </w:r>
      <w:r w:rsidRPr="00226C37">
        <w:rPr>
          <w:rFonts w:ascii="Times New Roman" w:hAnsi="Times New Roman" w:cs="Times New Roman"/>
          <w:sz w:val="18"/>
          <w:szCs w:val="18"/>
        </w:rPr>
        <w:t xml:space="preserve"> 2021). </w:t>
      </w:r>
    </w:p>
  </w:footnote>
  <w:footnote w:id="66">
    <w:p w14:paraId="622D3B9D" w14:textId="69DA8177"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Pr="00226C37">
        <w:rPr>
          <w:rFonts w:ascii="Times New Roman" w:hAnsi="Times New Roman" w:cs="Times New Roman"/>
          <w:i/>
          <w:iCs/>
          <w:sz w:val="18"/>
          <w:szCs w:val="18"/>
        </w:rPr>
        <w:t>A.K. and Others</w:t>
      </w:r>
      <w:r w:rsidR="00EB1622">
        <w:rPr>
          <w:rFonts w:ascii="Times New Roman" w:hAnsi="Times New Roman" w:cs="Times New Roman"/>
          <w:sz w:val="18"/>
          <w:szCs w:val="18"/>
        </w:rPr>
        <w:t xml:space="preserve"> (C-585/18, C-624/18, and C-625/18)</w:t>
      </w:r>
      <w:r w:rsidRPr="00226C37">
        <w:rPr>
          <w:rFonts w:ascii="Times New Roman" w:hAnsi="Times New Roman" w:cs="Times New Roman"/>
          <w:sz w:val="18"/>
          <w:szCs w:val="18"/>
        </w:rPr>
        <w:t xml:space="preserve"> EU:C:2019:982; </w:t>
      </w:r>
      <w:r w:rsidRPr="00226C37">
        <w:rPr>
          <w:rFonts w:ascii="Times New Roman" w:hAnsi="Times New Roman" w:cs="Times New Roman"/>
          <w:i/>
          <w:iCs/>
          <w:sz w:val="18"/>
          <w:szCs w:val="18"/>
        </w:rPr>
        <w:t>A.B. and Others</w:t>
      </w:r>
      <w:r w:rsidR="00EB1622">
        <w:rPr>
          <w:rFonts w:ascii="Times New Roman" w:hAnsi="Times New Roman" w:cs="Times New Roman"/>
          <w:sz w:val="18"/>
          <w:szCs w:val="18"/>
        </w:rPr>
        <w:t xml:space="preserve"> (C-824/18) </w:t>
      </w:r>
      <w:r w:rsidRPr="00226C37">
        <w:rPr>
          <w:rFonts w:ascii="Times New Roman" w:hAnsi="Times New Roman" w:cs="Times New Roman"/>
          <w:sz w:val="18"/>
          <w:szCs w:val="18"/>
        </w:rPr>
        <w:t>EU:C:2021:153.</w:t>
      </w:r>
    </w:p>
  </w:footnote>
  <w:footnote w:id="67">
    <w:p w14:paraId="19955556" w14:textId="65F302BF"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Dudley, “European Union Membership Conditionality: The Copenhagen Criteria and the Quality of Democracy” </w:t>
      </w:r>
      <w:r w:rsidR="007E65A4">
        <w:rPr>
          <w:rFonts w:ascii="Times New Roman" w:hAnsi="Times New Roman" w:cs="Times New Roman"/>
          <w:sz w:val="18"/>
          <w:szCs w:val="18"/>
        </w:rPr>
        <w:t xml:space="preserve">(2020) </w:t>
      </w:r>
      <w:r w:rsidRPr="00226C37">
        <w:rPr>
          <w:rFonts w:ascii="Times New Roman" w:hAnsi="Times New Roman" w:cs="Times New Roman"/>
          <w:sz w:val="18"/>
          <w:szCs w:val="18"/>
        </w:rPr>
        <w:t xml:space="preserve">20 </w:t>
      </w:r>
      <w:r w:rsidRPr="00226C37">
        <w:rPr>
          <w:rFonts w:ascii="Times New Roman" w:hAnsi="Times New Roman" w:cs="Times New Roman"/>
          <w:i/>
          <w:iCs/>
          <w:sz w:val="18"/>
          <w:szCs w:val="18"/>
        </w:rPr>
        <w:t>Southeast European and Black Sea Studies</w:t>
      </w:r>
      <w:r w:rsidRPr="00226C37">
        <w:rPr>
          <w:rFonts w:ascii="Times New Roman" w:hAnsi="Times New Roman" w:cs="Times New Roman"/>
          <w:sz w:val="18"/>
          <w:szCs w:val="18"/>
        </w:rPr>
        <w:t xml:space="preserve"> 525.</w:t>
      </w:r>
    </w:p>
  </w:footnote>
  <w:footnote w:id="68">
    <w:p w14:paraId="79B1A3D2" w14:textId="0A40C6EF"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Krappitz</w:t>
      </w:r>
      <w:proofErr w:type="spellEnd"/>
      <w:r w:rsidRPr="00226C37">
        <w:rPr>
          <w:rFonts w:ascii="Times New Roman" w:hAnsi="Times New Roman" w:cs="Times New Roman"/>
          <w:sz w:val="18"/>
          <w:szCs w:val="18"/>
        </w:rPr>
        <w:t xml:space="preserve"> and Kirst suggest also that </w:t>
      </w:r>
      <w:r w:rsidR="00EB1622">
        <w:rPr>
          <w:rFonts w:ascii="Times New Roman" w:hAnsi="Times New Roman" w:cs="Times New Roman"/>
          <w:sz w:val="18"/>
          <w:szCs w:val="18"/>
        </w:rPr>
        <w:t>a</w:t>
      </w:r>
      <w:r w:rsidRPr="00226C37">
        <w:rPr>
          <w:rFonts w:ascii="Times New Roman" w:hAnsi="Times New Roman" w:cs="Times New Roman"/>
          <w:sz w:val="18"/>
          <w:szCs w:val="18"/>
        </w:rPr>
        <w:t xml:space="preserve">rt. 3 of the First Protocol to the ECHR and related case law might, via </w:t>
      </w:r>
      <w:r w:rsidR="00EB1622">
        <w:rPr>
          <w:rFonts w:ascii="Times New Roman" w:hAnsi="Times New Roman" w:cs="Times New Roman"/>
          <w:sz w:val="18"/>
          <w:szCs w:val="18"/>
        </w:rPr>
        <w:t>a</w:t>
      </w:r>
      <w:r w:rsidRPr="00226C37">
        <w:rPr>
          <w:rFonts w:ascii="Times New Roman" w:hAnsi="Times New Roman" w:cs="Times New Roman"/>
          <w:sz w:val="18"/>
          <w:szCs w:val="18"/>
        </w:rPr>
        <w:t>rt. 6(3) TEU, form a basis for defining the EU’s standards in democratic elections (</w:t>
      </w:r>
      <w:proofErr w:type="spellStart"/>
      <w:r w:rsidRPr="00226C37">
        <w:rPr>
          <w:rFonts w:ascii="Times New Roman" w:hAnsi="Times New Roman" w:cs="Times New Roman"/>
          <w:sz w:val="18"/>
          <w:szCs w:val="18"/>
        </w:rPr>
        <w:t>Krappitz</w:t>
      </w:r>
      <w:proofErr w:type="spellEnd"/>
      <w:r w:rsidRPr="00226C37">
        <w:rPr>
          <w:rFonts w:ascii="Times New Roman" w:hAnsi="Times New Roman" w:cs="Times New Roman"/>
          <w:sz w:val="18"/>
          <w:szCs w:val="18"/>
        </w:rPr>
        <w:t xml:space="preserve"> and Kirst, </w:t>
      </w:r>
      <w:r w:rsidR="00EB1622" w:rsidRPr="00EB1622">
        <w:rPr>
          <w:rFonts w:ascii="Times New Roman" w:hAnsi="Times New Roman" w:cs="Times New Roman"/>
          <w:sz w:val="18"/>
          <w:szCs w:val="18"/>
        </w:rPr>
        <w:t>“An Infringement of Democracy in the EU Legal Order”</w:t>
      </w:r>
      <w:r w:rsidRPr="00226C37">
        <w:rPr>
          <w:rFonts w:ascii="Times New Roman" w:hAnsi="Times New Roman" w:cs="Times New Roman"/>
          <w:sz w:val="18"/>
          <w:szCs w:val="18"/>
        </w:rPr>
        <w:t>).</w:t>
      </w:r>
    </w:p>
  </w:footnote>
  <w:footnote w:id="69">
    <w:p w14:paraId="44A8C80E" w14:textId="6AC65F39"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Pr="00226C37">
        <w:rPr>
          <w:rFonts w:ascii="Times New Roman" w:hAnsi="Times New Roman" w:cs="Times New Roman"/>
          <w:i/>
          <w:iCs/>
          <w:sz w:val="18"/>
          <w:szCs w:val="18"/>
        </w:rPr>
        <w:t>Associação</w:t>
      </w:r>
      <w:proofErr w:type="spellEnd"/>
      <w:r w:rsidRPr="00226C37">
        <w:rPr>
          <w:rFonts w:ascii="Times New Roman" w:hAnsi="Times New Roman" w:cs="Times New Roman"/>
          <w:i/>
          <w:iCs/>
          <w:sz w:val="18"/>
          <w:szCs w:val="18"/>
        </w:rPr>
        <w:t xml:space="preserve"> </w:t>
      </w:r>
      <w:proofErr w:type="spellStart"/>
      <w:r w:rsidRPr="00226C37">
        <w:rPr>
          <w:rFonts w:ascii="Times New Roman" w:hAnsi="Times New Roman" w:cs="Times New Roman"/>
          <w:i/>
          <w:iCs/>
          <w:sz w:val="18"/>
          <w:szCs w:val="18"/>
        </w:rPr>
        <w:t>Sindical</w:t>
      </w:r>
      <w:proofErr w:type="spellEnd"/>
      <w:r w:rsidRPr="00226C37">
        <w:rPr>
          <w:rFonts w:ascii="Times New Roman" w:hAnsi="Times New Roman" w:cs="Times New Roman"/>
          <w:i/>
          <w:iCs/>
          <w:sz w:val="18"/>
          <w:szCs w:val="18"/>
        </w:rPr>
        <w:t xml:space="preserve"> dos </w:t>
      </w:r>
      <w:proofErr w:type="spellStart"/>
      <w:r w:rsidRPr="00226C37">
        <w:rPr>
          <w:rFonts w:ascii="Times New Roman" w:hAnsi="Times New Roman" w:cs="Times New Roman"/>
          <w:i/>
          <w:iCs/>
          <w:sz w:val="18"/>
          <w:szCs w:val="18"/>
        </w:rPr>
        <w:t>Juízes</w:t>
      </w:r>
      <w:proofErr w:type="spellEnd"/>
      <w:r w:rsidRPr="00226C37">
        <w:rPr>
          <w:rFonts w:ascii="Times New Roman" w:hAnsi="Times New Roman" w:cs="Times New Roman"/>
          <w:i/>
          <w:iCs/>
          <w:sz w:val="18"/>
          <w:szCs w:val="18"/>
        </w:rPr>
        <w:t xml:space="preserve"> </w:t>
      </w:r>
      <w:proofErr w:type="spellStart"/>
      <w:r w:rsidRPr="00226C37">
        <w:rPr>
          <w:rFonts w:ascii="Times New Roman" w:hAnsi="Times New Roman" w:cs="Times New Roman"/>
          <w:i/>
          <w:iCs/>
          <w:sz w:val="18"/>
          <w:szCs w:val="18"/>
        </w:rPr>
        <w:t>Portugueses</w:t>
      </w:r>
      <w:proofErr w:type="spellEnd"/>
      <w:r w:rsidR="00CB29C5">
        <w:rPr>
          <w:rFonts w:ascii="Times New Roman" w:hAnsi="Times New Roman" w:cs="Times New Roman"/>
          <w:sz w:val="18"/>
          <w:szCs w:val="18"/>
        </w:rPr>
        <w:t xml:space="preserve"> (C-64/16) </w:t>
      </w:r>
      <w:r w:rsidRPr="00226C37">
        <w:rPr>
          <w:rFonts w:ascii="Times New Roman" w:hAnsi="Times New Roman" w:cs="Times New Roman"/>
          <w:sz w:val="18"/>
          <w:szCs w:val="18"/>
        </w:rPr>
        <w:t>ECLI:EU:</w:t>
      </w:r>
      <w:proofErr w:type="gramStart"/>
      <w:r w:rsidRPr="00226C37">
        <w:rPr>
          <w:rFonts w:ascii="Times New Roman" w:hAnsi="Times New Roman" w:cs="Times New Roman"/>
          <w:sz w:val="18"/>
          <w:szCs w:val="18"/>
        </w:rPr>
        <w:t>C:2020:460</w:t>
      </w:r>
      <w:proofErr w:type="gramEnd"/>
      <w:r w:rsidRPr="00226C37">
        <w:rPr>
          <w:rFonts w:ascii="Times New Roman" w:hAnsi="Times New Roman" w:cs="Times New Roman"/>
          <w:sz w:val="18"/>
          <w:szCs w:val="18"/>
        </w:rPr>
        <w:t xml:space="preserve">. </w:t>
      </w:r>
    </w:p>
  </w:footnote>
  <w:footnote w:id="70">
    <w:p w14:paraId="72E156B6" w14:textId="6C7A1752"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See Bradley, </w:t>
      </w:r>
      <w:r w:rsidR="00EB1622">
        <w:rPr>
          <w:rFonts w:ascii="Times New Roman" w:hAnsi="Times New Roman" w:cs="Times New Roman"/>
          <w:sz w:val="18"/>
          <w:szCs w:val="18"/>
        </w:rPr>
        <w:t>“</w:t>
      </w:r>
      <w:r w:rsidR="00EB1622" w:rsidRPr="00226C37">
        <w:rPr>
          <w:rFonts w:ascii="Times New Roman" w:hAnsi="Times New Roman" w:cs="Times New Roman"/>
          <w:sz w:val="18"/>
          <w:szCs w:val="18"/>
        </w:rPr>
        <w:t>Showdown at the Last Chance Saloon</w:t>
      </w:r>
      <w:r w:rsidR="00EB1622">
        <w:rPr>
          <w:rFonts w:ascii="Times New Roman" w:hAnsi="Times New Roman" w:cs="Times New Roman"/>
          <w:sz w:val="18"/>
          <w:szCs w:val="18"/>
        </w:rPr>
        <w:t>”</w:t>
      </w:r>
      <w:r w:rsidRPr="00226C37">
        <w:rPr>
          <w:rFonts w:ascii="Times New Roman" w:hAnsi="Times New Roman" w:cs="Times New Roman"/>
          <w:sz w:val="18"/>
          <w:szCs w:val="18"/>
        </w:rPr>
        <w:t xml:space="preserve">. </w:t>
      </w:r>
    </w:p>
  </w:footnote>
  <w:footnote w:id="71">
    <w:p w14:paraId="72BE0935" w14:textId="3FF93774"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EB1622" w:rsidRPr="00226C37">
        <w:rPr>
          <w:rFonts w:ascii="Times New Roman" w:hAnsi="Times New Roman" w:cs="Times New Roman"/>
          <w:sz w:val="18"/>
          <w:szCs w:val="18"/>
        </w:rPr>
        <w:t xml:space="preserve">Bradley, </w:t>
      </w:r>
      <w:r w:rsidR="00EB1622">
        <w:rPr>
          <w:rFonts w:ascii="Times New Roman" w:hAnsi="Times New Roman" w:cs="Times New Roman"/>
          <w:sz w:val="18"/>
          <w:szCs w:val="18"/>
        </w:rPr>
        <w:t>“</w:t>
      </w:r>
      <w:r w:rsidR="00EB1622" w:rsidRPr="00226C37">
        <w:rPr>
          <w:rFonts w:ascii="Times New Roman" w:hAnsi="Times New Roman" w:cs="Times New Roman"/>
          <w:sz w:val="18"/>
          <w:szCs w:val="18"/>
        </w:rPr>
        <w:t>Showdown at the Last Chance Saloon</w:t>
      </w:r>
      <w:r w:rsidR="00EB1622">
        <w:rPr>
          <w:rFonts w:ascii="Times New Roman" w:hAnsi="Times New Roman" w:cs="Times New Roman"/>
          <w:sz w:val="18"/>
          <w:szCs w:val="18"/>
        </w:rPr>
        <w:t>”</w:t>
      </w:r>
      <w:r w:rsidR="00EB1622">
        <w:rPr>
          <w:rFonts w:ascii="Times New Roman" w:hAnsi="Times New Roman" w:cs="Times New Roman"/>
          <w:sz w:val="18"/>
          <w:szCs w:val="18"/>
        </w:rPr>
        <w:t>.</w:t>
      </w:r>
    </w:p>
  </w:footnote>
  <w:footnote w:id="72">
    <w:p w14:paraId="24F5008E" w14:textId="2FF8523B"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EB1622" w:rsidRPr="00226C37">
        <w:rPr>
          <w:rFonts w:ascii="Times New Roman" w:hAnsi="Times New Roman" w:cs="Times New Roman"/>
          <w:sz w:val="18"/>
          <w:szCs w:val="18"/>
        </w:rPr>
        <w:t xml:space="preserve">Bradley, </w:t>
      </w:r>
      <w:r w:rsidR="00EB1622">
        <w:rPr>
          <w:rFonts w:ascii="Times New Roman" w:hAnsi="Times New Roman" w:cs="Times New Roman"/>
          <w:sz w:val="18"/>
          <w:szCs w:val="18"/>
        </w:rPr>
        <w:t>“</w:t>
      </w:r>
      <w:r w:rsidR="00EB1622" w:rsidRPr="00226C37">
        <w:rPr>
          <w:rFonts w:ascii="Times New Roman" w:hAnsi="Times New Roman" w:cs="Times New Roman"/>
          <w:sz w:val="18"/>
          <w:szCs w:val="18"/>
        </w:rPr>
        <w:t>Showdown at the Last Chance Saloon</w:t>
      </w:r>
      <w:r w:rsidR="00EB1622">
        <w:rPr>
          <w:rFonts w:ascii="Times New Roman" w:hAnsi="Times New Roman" w:cs="Times New Roman"/>
          <w:sz w:val="18"/>
          <w:szCs w:val="18"/>
        </w:rPr>
        <w:t>”</w:t>
      </w:r>
      <w:r w:rsidR="00EB1622">
        <w:rPr>
          <w:rFonts w:ascii="Times New Roman" w:hAnsi="Times New Roman" w:cs="Times New Roman"/>
          <w:sz w:val="18"/>
          <w:szCs w:val="18"/>
        </w:rPr>
        <w:t>.</w:t>
      </w:r>
    </w:p>
  </w:footnote>
  <w:footnote w:id="73">
    <w:p w14:paraId="3BB5A789" w14:textId="6A31418D"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It should also be pointed out that </w:t>
      </w:r>
      <w:r w:rsidR="00F35D26" w:rsidRPr="00226C37">
        <w:rPr>
          <w:rFonts w:ascii="Times New Roman" w:hAnsi="Times New Roman" w:cs="Times New Roman"/>
          <w:sz w:val="18"/>
          <w:szCs w:val="18"/>
        </w:rPr>
        <w:t>an operative</w:t>
      </w:r>
      <w:r w:rsidRPr="00226C37">
        <w:rPr>
          <w:rFonts w:ascii="Times New Roman" w:hAnsi="Times New Roman" w:cs="Times New Roman"/>
          <w:sz w:val="18"/>
          <w:szCs w:val="18"/>
        </w:rPr>
        <w:t xml:space="preserve"> interpretation and </w:t>
      </w:r>
      <w:proofErr w:type="spellStart"/>
      <w:r w:rsidRPr="00226C37">
        <w:rPr>
          <w:rFonts w:ascii="Times New Roman" w:hAnsi="Times New Roman" w:cs="Times New Roman"/>
          <w:sz w:val="18"/>
          <w:szCs w:val="18"/>
        </w:rPr>
        <w:t>instrumentalisation</w:t>
      </w:r>
      <w:proofErr w:type="spellEnd"/>
      <w:r w:rsidRPr="00226C37">
        <w:rPr>
          <w:rFonts w:ascii="Times New Roman" w:hAnsi="Times New Roman" w:cs="Times New Roman"/>
          <w:sz w:val="18"/>
          <w:szCs w:val="18"/>
        </w:rPr>
        <w:t xml:space="preserve"> of</w:t>
      </w:r>
      <w:r w:rsidR="005A2FAC">
        <w:rPr>
          <w:rFonts w:ascii="Times New Roman" w:hAnsi="Times New Roman" w:cs="Times New Roman"/>
          <w:sz w:val="18"/>
          <w:szCs w:val="18"/>
        </w:rPr>
        <w:t xml:space="preserve"> art. </w:t>
      </w:r>
      <w:r w:rsidRPr="00226C37">
        <w:rPr>
          <w:rFonts w:ascii="Times New Roman" w:hAnsi="Times New Roman" w:cs="Times New Roman"/>
          <w:sz w:val="18"/>
          <w:szCs w:val="18"/>
        </w:rPr>
        <w:t xml:space="preserve">10 TEU is less extreme than other proposals that have been </w:t>
      </w:r>
      <w:r w:rsidR="00F35D26" w:rsidRPr="00226C37">
        <w:rPr>
          <w:rFonts w:ascii="Times New Roman" w:hAnsi="Times New Roman" w:cs="Times New Roman"/>
          <w:sz w:val="18"/>
          <w:szCs w:val="18"/>
        </w:rPr>
        <w:t>advanced</w:t>
      </w:r>
      <w:r w:rsidRPr="00226C37">
        <w:rPr>
          <w:rFonts w:ascii="Times New Roman" w:hAnsi="Times New Roman" w:cs="Times New Roman"/>
          <w:sz w:val="18"/>
          <w:szCs w:val="18"/>
        </w:rPr>
        <w:t xml:space="preserve">. </w:t>
      </w:r>
      <w:proofErr w:type="spellStart"/>
      <w:r w:rsidRPr="00226C37">
        <w:rPr>
          <w:rFonts w:ascii="Times New Roman" w:hAnsi="Times New Roman" w:cs="Times New Roman"/>
          <w:sz w:val="18"/>
          <w:szCs w:val="18"/>
        </w:rPr>
        <w:t>Hillion</w:t>
      </w:r>
      <w:proofErr w:type="spellEnd"/>
      <w:r w:rsidRPr="00226C37">
        <w:rPr>
          <w:rFonts w:ascii="Times New Roman" w:hAnsi="Times New Roman" w:cs="Times New Roman"/>
          <w:sz w:val="18"/>
          <w:szCs w:val="18"/>
        </w:rPr>
        <w:t xml:space="preserve"> has suggested that a Member State </w:t>
      </w:r>
      <w:r w:rsidR="00EF7797">
        <w:rPr>
          <w:rFonts w:ascii="Times New Roman" w:hAnsi="Times New Roman" w:cs="Times New Roman"/>
          <w:sz w:val="18"/>
          <w:szCs w:val="18"/>
        </w:rPr>
        <w:t>acting in systematic violation of the requirements of EU membership</w:t>
      </w:r>
      <w:r w:rsidRPr="00226C37">
        <w:rPr>
          <w:rFonts w:ascii="Times New Roman" w:hAnsi="Times New Roman" w:cs="Times New Roman"/>
          <w:sz w:val="18"/>
          <w:szCs w:val="18"/>
        </w:rPr>
        <w:t xml:space="preserve"> could be considered to have triggered </w:t>
      </w:r>
      <w:r w:rsidR="005A2FAC">
        <w:rPr>
          <w:rFonts w:ascii="Times New Roman" w:hAnsi="Times New Roman" w:cs="Times New Roman"/>
          <w:sz w:val="18"/>
          <w:szCs w:val="18"/>
        </w:rPr>
        <w:t>art.</w:t>
      </w:r>
      <w:r w:rsidRPr="00226C37">
        <w:rPr>
          <w:rFonts w:ascii="Times New Roman" w:hAnsi="Times New Roman" w:cs="Times New Roman"/>
          <w:sz w:val="18"/>
          <w:szCs w:val="18"/>
        </w:rPr>
        <w:t xml:space="preserve"> 50 TEU (</w:t>
      </w:r>
      <w:r w:rsidR="00EF7797">
        <w:rPr>
          <w:rFonts w:ascii="Times New Roman" w:hAnsi="Times New Roman" w:cs="Times New Roman"/>
          <w:sz w:val="18"/>
          <w:szCs w:val="18"/>
        </w:rPr>
        <w:t xml:space="preserve">C. </w:t>
      </w:r>
      <w:proofErr w:type="spellStart"/>
      <w:r w:rsidRPr="00226C37">
        <w:rPr>
          <w:rFonts w:ascii="Times New Roman" w:hAnsi="Times New Roman" w:cs="Times New Roman"/>
          <w:sz w:val="18"/>
          <w:szCs w:val="18"/>
        </w:rPr>
        <w:t>Hillion</w:t>
      </w:r>
      <w:proofErr w:type="spellEnd"/>
      <w:r w:rsidRPr="00226C37">
        <w:rPr>
          <w:rFonts w:ascii="Times New Roman" w:hAnsi="Times New Roman" w:cs="Times New Roman"/>
          <w:sz w:val="18"/>
          <w:szCs w:val="18"/>
        </w:rPr>
        <w:t xml:space="preserve">, “Poland and Hungary are withdrawing from the EU”, </w:t>
      </w:r>
      <w:proofErr w:type="spellStart"/>
      <w:r w:rsidRPr="00226C37">
        <w:rPr>
          <w:rFonts w:ascii="Times New Roman" w:hAnsi="Times New Roman" w:cs="Times New Roman"/>
          <w:sz w:val="18"/>
          <w:szCs w:val="18"/>
        </w:rPr>
        <w:t>VerfBlog</w:t>
      </w:r>
      <w:proofErr w:type="spellEnd"/>
      <w:r w:rsidRPr="00226C37">
        <w:rPr>
          <w:rFonts w:ascii="Times New Roman" w:hAnsi="Times New Roman" w:cs="Times New Roman"/>
          <w:sz w:val="18"/>
          <w:szCs w:val="18"/>
        </w:rPr>
        <w:t>, 27 Apr</w:t>
      </w:r>
      <w:r w:rsidR="00EB1622">
        <w:rPr>
          <w:rFonts w:ascii="Times New Roman" w:hAnsi="Times New Roman" w:cs="Times New Roman"/>
          <w:sz w:val="18"/>
          <w:szCs w:val="18"/>
        </w:rPr>
        <w:t xml:space="preserve">il </w:t>
      </w:r>
      <w:r w:rsidRPr="00226C37">
        <w:rPr>
          <w:rFonts w:ascii="Times New Roman" w:hAnsi="Times New Roman" w:cs="Times New Roman"/>
          <w:sz w:val="18"/>
          <w:szCs w:val="18"/>
        </w:rPr>
        <w:t xml:space="preserve">2020, </w:t>
      </w:r>
      <w:hyperlink r:id="rId14" w:history="1">
        <w:r w:rsidRPr="00226C37">
          <w:rPr>
            <w:rStyle w:val="Hyperlink"/>
            <w:rFonts w:ascii="Times New Roman" w:hAnsi="Times New Roman" w:cs="Times New Roman"/>
            <w:sz w:val="18"/>
            <w:szCs w:val="18"/>
          </w:rPr>
          <w:t>https://verfassungsblog.de/poland-and-hungary-are-withdrawing-from-the-eu/</w:t>
        </w:r>
      </w:hyperlink>
      <w:r w:rsidRPr="00226C37">
        <w:rPr>
          <w:rFonts w:ascii="Times New Roman" w:hAnsi="Times New Roman" w:cs="Times New Roman"/>
          <w:sz w:val="18"/>
          <w:szCs w:val="18"/>
        </w:rPr>
        <w:t>, (last visited 2</w:t>
      </w:r>
      <w:r w:rsidR="00EF7797">
        <w:rPr>
          <w:rFonts w:ascii="Times New Roman" w:hAnsi="Times New Roman" w:cs="Times New Roman"/>
          <w:sz w:val="18"/>
          <w:szCs w:val="18"/>
        </w:rPr>
        <w:t xml:space="preserve"> Aug</w:t>
      </w:r>
      <w:r w:rsidR="00EB1622">
        <w:rPr>
          <w:rFonts w:ascii="Times New Roman" w:hAnsi="Times New Roman" w:cs="Times New Roman"/>
          <w:sz w:val="18"/>
          <w:szCs w:val="18"/>
        </w:rPr>
        <w:t>ust</w:t>
      </w:r>
      <w:r w:rsidRPr="00226C37">
        <w:rPr>
          <w:rFonts w:ascii="Times New Roman" w:hAnsi="Times New Roman" w:cs="Times New Roman"/>
          <w:sz w:val="18"/>
          <w:szCs w:val="18"/>
        </w:rPr>
        <w:t xml:space="preserve"> 2021). </w:t>
      </w:r>
      <w:r w:rsidR="00F35D26" w:rsidRPr="00226C37">
        <w:rPr>
          <w:rFonts w:ascii="Times New Roman" w:hAnsi="Times New Roman" w:cs="Times New Roman"/>
          <w:sz w:val="18"/>
          <w:szCs w:val="18"/>
        </w:rPr>
        <w:t xml:space="preserve">For a rebuttal to </w:t>
      </w:r>
      <w:proofErr w:type="spellStart"/>
      <w:r w:rsidR="00F35D26" w:rsidRPr="00226C37">
        <w:rPr>
          <w:rFonts w:ascii="Times New Roman" w:hAnsi="Times New Roman" w:cs="Times New Roman"/>
          <w:sz w:val="18"/>
          <w:szCs w:val="18"/>
        </w:rPr>
        <w:t>Hillion’s</w:t>
      </w:r>
      <w:proofErr w:type="spellEnd"/>
      <w:r w:rsidR="00F35D26" w:rsidRPr="00226C37">
        <w:rPr>
          <w:rFonts w:ascii="Times New Roman" w:hAnsi="Times New Roman" w:cs="Times New Roman"/>
          <w:sz w:val="18"/>
          <w:szCs w:val="18"/>
        </w:rPr>
        <w:t xml:space="preserve"> proposal, see </w:t>
      </w:r>
      <w:r w:rsidR="00EF7797">
        <w:rPr>
          <w:rFonts w:ascii="Times New Roman" w:hAnsi="Times New Roman" w:cs="Times New Roman"/>
          <w:sz w:val="18"/>
          <w:szCs w:val="18"/>
        </w:rPr>
        <w:t xml:space="preserve">J. </w:t>
      </w:r>
      <w:r w:rsidRPr="00226C37">
        <w:rPr>
          <w:rFonts w:ascii="Times New Roman" w:hAnsi="Times New Roman" w:cs="Times New Roman"/>
          <w:sz w:val="18"/>
          <w:szCs w:val="18"/>
        </w:rPr>
        <w:t xml:space="preserve">Cotter, “Why Article 50 TEU is not the solution to the EU’s rule of law crisis”, </w:t>
      </w:r>
      <w:r w:rsidRPr="00226C37">
        <w:rPr>
          <w:rFonts w:ascii="Times New Roman" w:hAnsi="Times New Roman" w:cs="Times New Roman"/>
          <w:i/>
          <w:iCs/>
          <w:sz w:val="18"/>
          <w:szCs w:val="18"/>
        </w:rPr>
        <w:t>European Law Blog</w:t>
      </w:r>
      <w:r w:rsidRPr="00226C37">
        <w:rPr>
          <w:rFonts w:ascii="Times New Roman" w:hAnsi="Times New Roman" w:cs="Times New Roman"/>
          <w:sz w:val="18"/>
          <w:szCs w:val="18"/>
        </w:rPr>
        <w:t>, 30 Apr</w:t>
      </w:r>
      <w:r w:rsidR="00EB1622">
        <w:rPr>
          <w:rFonts w:ascii="Times New Roman" w:hAnsi="Times New Roman" w:cs="Times New Roman"/>
          <w:sz w:val="18"/>
          <w:szCs w:val="18"/>
        </w:rPr>
        <w:t>il</w:t>
      </w:r>
      <w:r w:rsidRPr="00226C37">
        <w:rPr>
          <w:rFonts w:ascii="Times New Roman" w:hAnsi="Times New Roman" w:cs="Times New Roman"/>
          <w:sz w:val="18"/>
          <w:szCs w:val="18"/>
        </w:rPr>
        <w:t xml:space="preserve"> 2020, </w:t>
      </w:r>
      <w:hyperlink r:id="rId15" w:history="1">
        <w:r w:rsidRPr="00226C37">
          <w:rPr>
            <w:rStyle w:val="Hyperlink"/>
            <w:rFonts w:ascii="Times New Roman" w:hAnsi="Times New Roman" w:cs="Times New Roman"/>
            <w:sz w:val="18"/>
            <w:szCs w:val="18"/>
          </w:rPr>
          <w:t>https://europeanlawblog.eu/2020/04/30/why-article-50-teu-is-not-the-solution-to-the-eus-rule-of-law-crisis/</w:t>
        </w:r>
      </w:hyperlink>
      <w:r w:rsidRPr="00226C37">
        <w:rPr>
          <w:rFonts w:ascii="Times New Roman" w:hAnsi="Times New Roman" w:cs="Times New Roman"/>
          <w:sz w:val="18"/>
          <w:szCs w:val="18"/>
        </w:rPr>
        <w:t xml:space="preserve">, (last visited 2 </w:t>
      </w:r>
      <w:r w:rsidR="00EF7797">
        <w:rPr>
          <w:rFonts w:ascii="Times New Roman" w:hAnsi="Times New Roman" w:cs="Times New Roman"/>
          <w:sz w:val="18"/>
          <w:szCs w:val="18"/>
        </w:rPr>
        <w:t>Aug</w:t>
      </w:r>
      <w:r w:rsidR="00EB1622">
        <w:rPr>
          <w:rFonts w:ascii="Times New Roman" w:hAnsi="Times New Roman" w:cs="Times New Roman"/>
          <w:sz w:val="18"/>
          <w:szCs w:val="18"/>
        </w:rPr>
        <w:t>ust</w:t>
      </w:r>
      <w:r w:rsidRPr="00226C37">
        <w:rPr>
          <w:rFonts w:ascii="Times New Roman" w:hAnsi="Times New Roman" w:cs="Times New Roman"/>
          <w:sz w:val="18"/>
          <w:szCs w:val="18"/>
        </w:rPr>
        <w:t xml:space="preserve"> 2021). Prime Minister of the Netherlands Mark Rutte has floated the idea of all Member States, other than </w:t>
      </w:r>
      <w:r w:rsidR="00F35D26" w:rsidRPr="00226C37">
        <w:rPr>
          <w:rFonts w:ascii="Times New Roman" w:hAnsi="Times New Roman" w:cs="Times New Roman"/>
          <w:sz w:val="18"/>
          <w:szCs w:val="18"/>
        </w:rPr>
        <w:t>problematic</w:t>
      </w:r>
      <w:r w:rsidRPr="00226C37">
        <w:rPr>
          <w:rFonts w:ascii="Times New Roman" w:hAnsi="Times New Roman" w:cs="Times New Roman"/>
          <w:sz w:val="18"/>
          <w:szCs w:val="18"/>
        </w:rPr>
        <w:t xml:space="preserve"> Member State</w:t>
      </w:r>
      <w:r w:rsidR="00F35D26" w:rsidRPr="00226C37">
        <w:rPr>
          <w:rFonts w:ascii="Times New Roman" w:hAnsi="Times New Roman" w:cs="Times New Roman"/>
          <w:sz w:val="18"/>
          <w:szCs w:val="18"/>
        </w:rPr>
        <w:t>s</w:t>
      </w:r>
      <w:r w:rsidRPr="00226C37">
        <w:rPr>
          <w:rFonts w:ascii="Times New Roman" w:hAnsi="Times New Roman" w:cs="Times New Roman"/>
          <w:sz w:val="18"/>
          <w:szCs w:val="18"/>
        </w:rPr>
        <w:t xml:space="preserve">, triggering </w:t>
      </w:r>
      <w:r w:rsidR="005A2FAC">
        <w:rPr>
          <w:rFonts w:ascii="Times New Roman" w:hAnsi="Times New Roman" w:cs="Times New Roman"/>
          <w:sz w:val="18"/>
          <w:szCs w:val="18"/>
        </w:rPr>
        <w:t>art.</w:t>
      </w:r>
      <w:r w:rsidRPr="00226C37">
        <w:rPr>
          <w:rFonts w:ascii="Times New Roman" w:hAnsi="Times New Roman" w:cs="Times New Roman"/>
          <w:sz w:val="18"/>
          <w:szCs w:val="18"/>
        </w:rPr>
        <w:t xml:space="preserve"> 50 TEU </w:t>
      </w:r>
      <w:proofErr w:type="spellStart"/>
      <w:r w:rsidRPr="00226C37">
        <w:rPr>
          <w:rFonts w:ascii="Times New Roman" w:hAnsi="Times New Roman" w:cs="Times New Roman"/>
          <w:i/>
          <w:iCs/>
          <w:sz w:val="18"/>
          <w:szCs w:val="18"/>
        </w:rPr>
        <w:t>en</w:t>
      </w:r>
      <w:proofErr w:type="spellEnd"/>
      <w:r w:rsidRPr="00226C37">
        <w:rPr>
          <w:rFonts w:ascii="Times New Roman" w:hAnsi="Times New Roman" w:cs="Times New Roman"/>
          <w:i/>
          <w:iCs/>
          <w:sz w:val="18"/>
          <w:szCs w:val="18"/>
        </w:rPr>
        <w:t xml:space="preserve"> masse</w:t>
      </w:r>
      <w:r w:rsidRPr="00226C37">
        <w:rPr>
          <w:rFonts w:ascii="Times New Roman" w:hAnsi="Times New Roman" w:cs="Times New Roman"/>
          <w:sz w:val="18"/>
          <w:szCs w:val="18"/>
        </w:rPr>
        <w:t xml:space="preserve"> and forming a new union without the ostracised Member State</w:t>
      </w:r>
      <w:r w:rsidR="00F35D26" w:rsidRPr="00226C37">
        <w:rPr>
          <w:rFonts w:ascii="Times New Roman" w:hAnsi="Times New Roman" w:cs="Times New Roman"/>
          <w:sz w:val="18"/>
          <w:szCs w:val="18"/>
        </w:rPr>
        <w:t>s</w:t>
      </w:r>
      <w:r w:rsidRPr="00226C37">
        <w:rPr>
          <w:rFonts w:ascii="Times New Roman" w:hAnsi="Times New Roman" w:cs="Times New Roman"/>
          <w:sz w:val="18"/>
          <w:szCs w:val="18"/>
        </w:rPr>
        <w:t xml:space="preserve">: see </w:t>
      </w:r>
      <w:r w:rsidR="00EF7797">
        <w:rPr>
          <w:rFonts w:ascii="Times New Roman" w:hAnsi="Times New Roman" w:cs="Times New Roman"/>
          <w:sz w:val="18"/>
          <w:szCs w:val="18"/>
        </w:rPr>
        <w:t xml:space="preserve">T. </w:t>
      </w:r>
      <w:proofErr w:type="spellStart"/>
      <w:r w:rsidRPr="00226C37">
        <w:rPr>
          <w:rFonts w:ascii="Times New Roman" w:hAnsi="Times New Roman" w:cs="Times New Roman"/>
          <w:sz w:val="18"/>
          <w:szCs w:val="18"/>
        </w:rPr>
        <w:t>Theuns</w:t>
      </w:r>
      <w:proofErr w:type="spellEnd"/>
      <w:r w:rsidRPr="00226C37">
        <w:rPr>
          <w:rFonts w:ascii="Times New Roman" w:hAnsi="Times New Roman" w:cs="Times New Roman"/>
          <w:sz w:val="18"/>
          <w:szCs w:val="18"/>
        </w:rPr>
        <w:t xml:space="preserve">, “Could we found a new EU without Hungary and Poland?”, </w:t>
      </w:r>
      <w:proofErr w:type="spellStart"/>
      <w:r w:rsidRPr="00226C37">
        <w:rPr>
          <w:rFonts w:ascii="Times New Roman" w:hAnsi="Times New Roman" w:cs="Times New Roman"/>
          <w:i/>
          <w:iCs/>
          <w:sz w:val="18"/>
          <w:szCs w:val="18"/>
        </w:rPr>
        <w:t>EUobserver</w:t>
      </w:r>
      <w:proofErr w:type="spellEnd"/>
      <w:r w:rsidRPr="00226C37">
        <w:rPr>
          <w:rFonts w:ascii="Times New Roman" w:hAnsi="Times New Roman" w:cs="Times New Roman"/>
          <w:sz w:val="18"/>
          <w:szCs w:val="18"/>
        </w:rPr>
        <w:t>, 21 Sept</w:t>
      </w:r>
      <w:r w:rsidR="00EB1622">
        <w:rPr>
          <w:rFonts w:ascii="Times New Roman" w:hAnsi="Times New Roman" w:cs="Times New Roman"/>
          <w:sz w:val="18"/>
          <w:szCs w:val="18"/>
        </w:rPr>
        <w:t>ember</w:t>
      </w:r>
      <w:r w:rsidRPr="00226C37">
        <w:rPr>
          <w:rFonts w:ascii="Times New Roman" w:hAnsi="Times New Roman" w:cs="Times New Roman"/>
          <w:sz w:val="18"/>
          <w:szCs w:val="18"/>
        </w:rPr>
        <w:t xml:space="preserve"> 2020, </w:t>
      </w:r>
      <w:hyperlink r:id="rId16" w:history="1">
        <w:r w:rsidRPr="00226C37">
          <w:rPr>
            <w:rStyle w:val="Hyperlink"/>
            <w:rFonts w:ascii="Times New Roman" w:hAnsi="Times New Roman" w:cs="Times New Roman"/>
            <w:sz w:val="18"/>
            <w:szCs w:val="18"/>
          </w:rPr>
          <w:t>https://euobserver.com/opinion/149470</w:t>
        </w:r>
      </w:hyperlink>
      <w:r w:rsidRPr="00226C37">
        <w:rPr>
          <w:rFonts w:ascii="Times New Roman" w:hAnsi="Times New Roman" w:cs="Times New Roman"/>
          <w:sz w:val="18"/>
          <w:szCs w:val="18"/>
        </w:rPr>
        <w:t xml:space="preserve">, (last visited 2 </w:t>
      </w:r>
      <w:r w:rsidR="00EF7797">
        <w:rPr>
          <w:rFonts w:ascii="Times New Roman" w:hAnsi="Times New Roman" w:cs="Times New Roman"/>
          <w:sz w:val="18"/>
          <w:szCs w:val="18"/>
        </w:rPr>
        <w:t>Aug</w:t>
      </w:r>
      <w:r w:rsidR="00EB1622">
        <w:rPr>
          <w:rFonts w:ascii="Times New Roman" w:hAnsi="Times New Roman" w:cs="Times New Roman"/>
          <w:sz w:val="18"/>
          <w:szCs w:val="18"/>
        </w:rPr>
        <w:t>ust</w:t>
      </w:r>
      <w:r w:rsidRPr="00226C37">
        <w:rPr>
          <w:rFonts w:ascii="Times New Roman" w:hAnsi="Times New Roman" w:cs="Times New Roman"/>
          <w:sz w:val="18"/>
          <w:szCs w:val="18"/>
        </w:rPr>
        <w:t xml:space="preserve"> 2021). Both these suggestions would deprive citizens of th</w:t>
      </w:r>
      <w:r w:rsidR="00F35D26" w:rsidRPr="00226C37">
        <w:rPr>
          <w:rFonts w:ascii="Times New Roman" w:hAnsi="Times New Roman" w:cs="Times New Roman"/>
          <w:sz w:val="18"/>
          <w:szCs w:val="18"/>
        </w:rPr>
        <w:t>e ostracised</w:t>
      </w:r>
      <w:r w:rsidRPr="00226C37">
        <w:rPr>
          <w:rFonts w:ascii="Times New Roman" w:hAnsi="Times New Roman" w:cs="Times New Roman"/>
          <w:sz w:val="18"/>
          <w:szCs w:val="18"/>
        </w:rPr>
        <w:t xml:space="preserve"> Member State</w:t>
      </w:r>
      <w:r w:rsidR="00F35D26" w:rsidRPr="00226C37">
        <w:rPr>
          <w:rFonts w:ascii="Times New Roman" w:hAnsi="Times New Roman" w:cs="Times New Roman"/>
          <w:sz w:val="18"/>
          <w:szCs w:val="18"/>
        </w:rPr>
        <w:t>s</w:t>
      </w:r>
      <w:r w:rsidRPr="00226C37">
        <w:rPr>
          <w:rFonts w:ascii="Times New Roman" w:hAnsi="Times New Roman" w:cs="Times New Roman"/>
          <w:sz w:val="18"/>
          <w:szCs w:val="18"/>
        </w:rPr>
        <w:t xml:space="preserve"> of all the</w:t>
      </w:r>
      <w:r w:rsidR="00F35D26" w:rsidRPr="00226C37">
        <w:rPr>
          <w:rFonts w:ascii="Times New Roman" w:hAnsi="Times New Roman" w:cs="Times New Roman"/>
          <w:sz w:val="18"/>
          <w:szCs w:val="18"/>
        </w:rPr>
        <w:t xml:space="preserve">ir EU citizenship </w:t>
      </w:r>
      <w:r w:rsidRPr="00226C37">
        <w:rPr>
          <w:rFonts w:ascii="Times New Roman" w:hAnsi="Times New Roman" w:cs="Times New Roman"/>
          <w:sz w:val="18"/>
          <w:szCs w:val="18"/>
        </w:rPr>
        <w:t>rights in a way that the proposals in this paper would not.</w:t>
      </w:r>
    </w:p>
  </w:footnote>
  <w:footnote w:id="74">
    <w:p w14:paraId="32068BCB" w14:textId="0D148D12"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r w:rsidR="00EF7797">
        <w:rPr>
          <w:rFonts w:ascii="Times New Roman" w:hAnsi="Times New Roman" w:cs="Times New Roman"/>
          <w:sz w:val="18"/>
          <w:szCs w:val="18"/>
        </w:rPr>
        <w:t xml:space="preserve">M. </w:t>
      </w:r>
      <w:bookmarkStart w:id="25" w:name="_Hlk84451716"/>
      <w:proofErr w:type="spellStart"/>
      <w:r w:rsidRPr="00226C37">
        <w:rPr>
          <w:rFonts w:ascii="Times New Roman" w:hAnsi="Times New Roman" w:cs="Times New Roman"/>
          <w:sz w:val="18"/>
          <w:szCs w:val="18"/>
        </w:rPr>
        <w:t>Blauberger</w:t>
      </w:r>
      <w:proofErr w:type="spellEnd"/>
      <w:r w:rsidRPr="00226C37">
        <w:rPr>
          <w:rFonts w:ascii="Times New Roman" w:hAnsi="Times New Roman" w:cs="Times New Roman"/>
          <w:sz w:val="18"/>
          <w:szCs w:val="18"/>
        </w:rPr>
        <w:t xml:space="preserve"> and </w:t>
      </w:r>
      <w:r w:rsidR="00EF7797">
        <w:rPr>
          <w:rFonts w:ascii="Times New Roman" w:hAnsi="Times New Roman" w:cs="Times New Roman"/>
          <w:sz w:val="18"/>
          <w:szCs w:val="18"/>
        </w:rPr>
        <w:t xml:space="preserve">R.D. </w:t>
      </w:r>
      <w:r w:rsidRPr="00226C37">
        <w:rPr>
          <w:rFonts w:ascii="Times New Roman" w:hAnsi="Times New Roman" w:cs="Times New Roman"/>
          <w:sz w:val="18"/>
          <w:szCs w:val="18"/>
        </w:rPr>
        <w:t xml:space="preserve">Kelemen, “Can Courts Rescue National Democracy? </w:t>
      </w:r>
      <w:bookmarkEnd w:id="25"/>
      <w:r w:rsidRPr="00226C37">
        <w:rPr>
          <w:rFonts w:ascii="Times New Roman" w:hAnsi="Times New Roman" w:cs="Times New Roman"/>
          <w:sz w:val="18"/>
          <w:szCs w:val="18"/>
        </w:rPr>
        <w:t xml:space="preserve">Judicial Safeguards Against Democratic Backsliding in the EU” </w:t>
      </w:r>
      <w:r w:rsidR="00EF7797">
        <w:rPr>
          <w:rFonts w:ascii="Times New Roman" w:hAnsi="Times New Roman" w:cs="Times New Roman"/>
          <w:sz w:val="18"/>
          <w:szCs w:val="18"/>
        </w:rPr>
        <w:t xml:space="preserve">(2017) </w:t>
      </w:r>
      <w:r w:rsidRPr="00226C37">
        <w:rPr>
          <w:rFonts w:ascii="Times New Roman" w:hAnsi="Times New Roman" w:cs="Times New Roman"/>
          <w:sz w:val="18"/>
          <w:szCs w:val="18"/>
        </w:rPr>
        <w:t>24 J</w:t>
      </w:r>
      <w:r w:rsidR="00EF7797">
        <w:rPr>
          <w:rFonts w:ascii="Times New Roman" w:hAnsi="Times New Roman" w:cs="Times New Roman"/>
          <w:sz w:val="18"/>
          <w:szCs w:val="18"/>
        </w:rPr>
        <w:t>.</w:t>
      </w:r>
      <w:r w:rsidRPr="00226C37">
        <w:rPr>
          <w:rFonts w:ascii="Times New Roman" w:hAnsi="Times New Roman" w:cs="Times New Roman"/>
          <w:sz w:val="18"/>
          <w:szCs w:val="18"/>
        </w:rPr>
        <w:t>E</w:t>
      </w:r>
      <w:r w:rsidR="00EF7797">
        <w:rPr>
          <w:rFonts w:ascii="Times New Roman" w:hAnsi="Times New Roman" w:cs="Times New Roman"/>
          <w:sz w:val="18"/>
          <w:szCs w:val="18"/>
        </w:rPr>
        <w:t>.</w:t>
      </w:r>
      <w:r w:rsidRPr="00226C37">
        <w:rPr>
          <w:rFonts w:ascii="Times New Roman" w:hAnsi="Times New Roman" w:cs="Times New Roman"/>
          <w:sz w:val="18"/>
          <w:szCs w:val="18"/>
        </w:rPr>
        <w:t>P</w:t>
      </w:r>
      <w:r w:rsidR="00EF7797">
        <w:rPr>
          <w:rFonts w:ascii="Times New Roman" w:hAnsi="Times New Roman" w:cs="Times New Roman"/>
          <w:sz w:val="18"/>
          <w:szCs w:val="18"/>
        </w:rPr>
        <w:t>.</w:t>
      </w:r>
      <w:r w:rsidRPr="00226C37">
        <w:rPr>
          <w:rFonts w:ascii="Times New Roman" w:hAnsi="Times New Roman" w:cs="Times New Roman"/>
          <w:sz w:val="18"/>
          <w:szCs w:val="18"/>
        </w:rPr>
        <w:t>P</w:t>
      </w:r>
      <w:r w:rsidR="00EF7797">
        <w:rPr>
          <w:rFonts w:ascii="Times New Roman" w:hAnsi="Times New Roman" w:cs="Times New Roman"/>
          <w:sz w:val="18"/>
          <w:szCs w:val="18"/>
        </w:rPr>
        <w:t>.</w:t>
      </w:r>
      <w:r w:rsidR="00EB1622">
        <w:rPr>
          <w:rFonts w:ascii="Times New Roman" w:hAnsi="Times New Roman" w:cs="Times New Roman"/>
          <w:sz w:val="18"/>
          <w:szCs w:val="18"/>
        </w:rPr>
        <w:t xml:space="preserve"> </w:t>
      </w:r>
      <w:r w:rsidRPr="00226C37">
        <w:rPr>
          <w:rFonts w:ascii="Times New Roman" w:hAnsi="Times New Roman" w:cs="Times New Roman"/>
          <w:sz w:val="18"/>
          <w:szCs w:val="18"/>
        </w:rPr>
        <w:t>321.</w:t>
      </w:r>
    </w:p>
  </w:footnote>
  <w:footnote w:id="75">
    <w:p w14:paraId="35471EC7" w14:textId="3F7B74BD"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00EB1622" w:rsidRPr="00226C37">
        <w:rPr>
          <w:rFonts w:ascii="Times New Roman" w:hAnsi="Times New Roman" w:cs="Times New Roman"/>
          <w:sz w:val="18"/>
          <w:szCs w:val="18"/>
        </w:rPr>
        <w:t>Blauberger</w:t>
      </w:r>
      <w:proofErr w:type="spellEnd"/>
      <w:r w:rsidR="00EB1622" w:rsidRPr="00226C37">
        <w:rPr>
          <w:rFonts w:ascii="Times New Roman" w:hAnsi="Times New Roman" w:cs="Times New Roman"/>
          <w:sz w:val="18"/>
          <w:szCs w:val="18"/>
        </w:rPr>
        <w:t xml:space="preserve"> and </w:t>
      </w:r>
      <w:r w:rsidR="00EB1622">
        <w:rPr>
          <w:rFonts w:ascii="Times New Roman" w:hAnsi="Times New Roman" w:cs="Times New Roman"/>
          <w:sz w:val="18"/>
          <w:szCs w:val="18"/>
        </w:rPr>
        <w:t xml:space="preserve">R.D. </w:t>
      </w:r>
      <w:r w:rsidR="00EB1622" w:rsidRPr="00226C37">
        <w:rPr>
          <w:rFonts w:ascii="Times New Roman" w:hAnsi="Times New Roman" w:cs="Times New Roman"/>
          <w:sz w:val="18"/>
          <w:szCs w:val="18"/>
        </w:rPr>
        <w:t>Kelemen, “Can Courts Rescue National Democracy?</w:t>
      </w:r>
      <w:r w:rsidR="00EB1622">
        <w:rPr>
          <w:rFonts w:ascii="Times New Roman" w:hAnsi="Times New Roman" w:cs="Times New Roman"/>
          <w:sz w:val="18"/>
          <w:szCs w:val="18"/>
        </w:rPr>
        <w:t>”,</w:t>
      </w:r>
      <w:r w:rsidRPr="00226C37">
        <w:rPr>
          <w:rFonts w:ascii="Times New Roman" w:hAnsi="Times New Roman" w:cs="Times New Roman"/>
          <w:sz w:val="18"/>
          <w:szCs w:val="18"/>
        </w:rPr>
        <w:t xml:space="preserve"> 328-329.</w:t>
      </w:r>
    </w:p>
  </w:footnote>
  <w:footnote w:id="76">
    <w:p w14:paraId="403D877B" w14:textId="1DA000AA"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00EB1622" w:rsidRPr="00226C37">
        <w:rPr>
          <w:rFonts w:ascii="Times New Roman" w:hAnsi="Times New Roman" w:cs="Times New Roman"/>
          <w:sz w:val="18"/>
          <w:szCs w:val="18"/>
        </w:rPr>
        <w:t>Blauberger</w:t>
      </w:r>
      <w:proofErr w:type="spellEnd"/>
      <w:r w:rsidR="00EB1622" w:rsidRPr="00226C37">
        <w:rPr>
          <w:rFonts w:ascii="Times New Roman" w:hAnsi="Times New Roman" w:cs="Times New Roman"/>
          <w:sz w:val="18"/>
          <w:szCs w:val="18"/>
        </w:rPr>
        <w:t xml:space="preserve"> and </w:t>
      </w:r>
      <w:r w:rsidR="00EB1622">
        <w:rPr>
          <w:rFonts w:ascii="Times New Roman" w:hAnsi="Times New Roman" w:cs="Times New Roman"/>
          <w:sz w:val="18"/>
          <w:szCs w:val="18"/>
        </w:rPr>
        <w:t xml:space="preserve">R.D. </w:t>
      </w:r>
      <w:r w:rsidR="00EB1622" w:rsidRPr="00226C37">
        <w:rPr>
          <w:rFonts w:ascii="Times New Roman" w:hAnsi="Times New Roman" w:cs="Times New Roman"/>
          <w:sz w:val="18"/>
          <w:szCs w:val="18"/>
        </w:rPr>
        <w:t>Kelemen, “Can Courts Rescue National Democracy?</w:t>
      </w:r>
      <w:r w:rsidR="00EB1622">
        <w:rPr>
          <w:rFonts w:ascii="Times New Roman" w:hAnsi="Times New Roman" w:cs="Times New Roman"/>
          <w:sz w:val="18"/>
          <w:szCs w:val="18"/>
        </w:rPr>
        <w:t>”,</w:t>
      </w:r>
      <w:r w:rsidRPr="00226C37">
        <w:rPr>
          <w:rFonts w:ascii="Times New Roman" w:hAnsi="Times New Roman" w:cs="Times New Roman"/>
          <w:sz w:val="18"/>
          <w:szCs w:val="18"/>
        </w:rPr>
        <w:t xml:space="preserve"> 331-332.</w:t>
      </w:r>
    </w:p>
  </w:footnote>
  <w:footnote w:id="77">
    <w:p w14:paraId="71CE32C0" w14:textId="5A77D96A"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w:t>
      </w:r>
      <w:proofErr w:type="spellStart"/>
      <w:r w:rsidR="00EB1622" w:rsidRPr="00226C37">
        <w:rPr>
          <w:rFonts w:ascii="Times New Roman" w:hAnsi="Times New Roman" w:cs="Times New Roman"/>
          <w:sz w:val="18"/>
          <w:szCs w:val="18"/>
        </w:rPr>
        <w:t>Blauberger</w:t>
      </w:r>
      <w:proofErr w:type="spellEnd"/>
      <w:r w:rsidR="00EB1622" w:rsidRPr="00226C37">
        <w:rPr>
          <w:rFonts w:ascii="Times New Roman" w:hAnsi="Times New Roman" w:cs="Times New Roman"/>
          <w:sz w:val="18"/>
          <w:szCs w:val="18"/>
        </w:rPr>
        <w:t xml:space="preserve"> and </w:t>
      </w:r>
      <w:r w:rsidR="00EB1622">
        <w:rPr>
          <w:rFonts w:ascii="Times New Roman" w:hAnsi="Times New Roman" w:cs="Times New Roman"/>
          <w:sz w:val="18"/>
          <w:szCs w:val="18"/>
        </w:rPr>
        <w:t xml:space="preserve">R.D. </w:t>
      </w:r>
      <w:r w:rsidR="00EB1622" w:rsidRPr="00226C37">
        <w:rPr>
          <w:rFonts w:ascii="Times New Roman" w:hAnsi="Times New Roman" w:cs="Times New Roman"/>
          <w:sz w:val="18"/>
          <w:szCs w:val="18"/>
        </w:rPr>
        <w:t>Kelemen, “Can Courts Rescue National Democracy?</w:t>
      </w:r>
      <w:r w:rsidR="00EB1622">
        <w:rPr>
          <w:rFonts w:ascii="Times New Roman" w:hAnsi="Times New Roman" w:cs="Times New Roman"/>
          <w:sz w:val="18"/>
          <w:szCs w:val="18"/>
        </w:rPr>
        <w:t>”,</w:t>
      </w:r>
      <w:r w:rsidR="00EB1622" w:rsidRPr="00226C37">
        <w:rPr>
          <w:rFonts w:ascii="Times New Roman" w:hAnsi="Times New Roman" w:cs="Times New Roman"/>
          <w:sz w:val="18"/>
          <w:szCs w:val="18"/>
        </w:rPr>
        <w:t xml:space="preserve"> </w:t>
      </w:r>
      <w:r w:rsidRPr="00226C37">
        <w:rPr>
          <w:rFonts w:ascii="Times New Roman" w:hAnsi="Times New Roman" w:cs="Times New Roman"/>
          <w:sz w:val="18"/>
          <w:szCs w:val="18"/>
        </w:rPr>
        <w:t>322.</w:t>
      </w:r>
    </w:p>
  </w:footnote>
  <w:footnote w:id="78">
    <w:p w14:paraId="743D2CE4" w14:textId="0967A07C"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Pursuant to the </w:t>
      </w:r>
      <w:r w:rsidRPr="00226C37">
        <w:rPr>
          <w:rFonts w:ascii="Times New Roman" w:hAnsi="Times New Roman" w:cs="Times New Roman"/>
          <w:i/>
          <w:iCs/>
          <w:sz w:val="18"/>
          <w:szCs w:val="18"/>
        </w:rPr>
        <w:t xml:space="preserve">TWD </w:t>
      </w:r>
      <w:r w:rsidRPr="00226C37">
        <w:rPr>
          <w:rFonts w:ascii="Times New Roman" w:hAnsi="Times New Roman" w:cs="Times New Roman"/>
          <w:sz w:val="18"/>
          <w:szCs w:val="18"/>
        </w:rPr>
        <w:t>doctrine, an indirect action via the preliminary ruling procedure is admissible onl</w:t>
      </w:r>
      <w:r w:rsidR="001064B5" w:rsidRPr="00226C37">
        <w:rPr>
          <w:rFonts w:ascii="Times New Roman" w:hAnsi="Times New Roman" w:cs="Times New Roman"/>
          <w:sz w:val="18"/>
          <w:szCs w:val="18"/>
        </w:rPr>
        <w:t>y if the individual lacked standing to bring a direct action</w:t>
      </w:r>
      <w:r w:rsidRPr="00226C37">
        <w:rPr>
          <w:rFonts w:ascii="Times New Roman" w:hAnsi="Times New Roman" w:cs="Times New Roman"/>
          <w:sz w:val="18"/>
          <w:szCs w:val="18"/>
        </w:rPr>
        <w:t>:</w:t>
      </w:r>
      <w:r w:rsidR="00CB29C5">
        <w:rPr>
          <w:rFonts w:ascii="Times New Roman" w:hAnsi="Times New Roman" w:cs="Times New Roman"/>
          <w:sz w:val="18"/>
          <w:szCs w:val="18"/>
        </w:rPr>
        <w:t xml:space="preserve"> </w:t>
      </w:r>
      <w:proofErr w:type="spellStart"/>
      <w:r w:rsidRPr="00226C37">
        <w:rPr>
          <w:rFonts w:ascii="Times New Roman" w:hAnsi="Times New Roman" w:cs="Times New Roman"/>
          <w:i/>
          <w:iCs/>
          <w:sz w:val="18"/>
          <w:szCs w:val="18"/>
        </w:rPr>
        <w:t>Textilwerke</w:t>
      </w:r>
      <w:proofErr w:type="spellEnd"/>
      <w:r w:rsidRPr="00226C37">
        <w:rPr>
          <w:rFonts w:ascii="Times New Roman" w:hAnsi="Times New Roman" w:cs="Times New Roman"/>
          <w:i/>
          <w:iCs/>
          <w:sz w:val="18"/>
          <w:szCs w:val="18"/>
        </w:rPr>
        <w:t xml:space="preserve"> </w:t>
      </w:r>
      <w:proofErr w:type="spellStart"/>
      <w:r w:rsidRPr="00226C37">
        <w:rPr>
          <w:rFonts w:ascii="Times New Roman" w:hAnsi="Times New Roman" w:cs="Times New Roman"/>
          <w:i/>
          <w:iCs/>
          <w:sz w:val="18"/>
          <w:szCs w:val="18"/>
        </w:rPr>
        <w:t>Deggendorf</w:t>
      </w:r>
      <w:proofErr w:type="spellEnd"/>
      <w:r w:rsidRPr="00226C37">
        <w:rPr>
          <w:rFonts w:ascii="Times New Roman" w:hAnsi="Times New Roman" w:cs="Times New Roman"/>
          <w:i/>
          <w:iCs/>
          <w:sz w:val="18"/>
          <w:szCs w:val="18"/>
        </w:rPr>
        <w:t xml:space="preserve"> GmbH v </w:t>
      </w:r>
      <w:proofErr w:type="spellStart"/>
      <w:r w:rsidRPr="00226C37">
        <w:rPr>
          <w:rFonts w:ascii="Times New Roman" w:hAnsi="Times New Roman" w:cs="Times New Roman"/>
          <w:i/>
          <w:iCs/>
          <w:sz w:val="18"/>
          <w:szCs w:val="18"/>
        </w:rPr>
        <w:t>Bundesrepublik</w:t>
      </w:r>
      <w:proofErr w:type="spellEnd"/>
      <w:r w:rsidRPr="00226C37">
        <w:rPr>
          <w:rFonts w:ascii="Times New Roman" w:hAnsi="Times New Roman" w:cs="Times New Roman"/>
          <w:i/>
          <w:iCs/>
          <w:sz w:val="18"/>
          <w:szCs w:val="18"/>
        </w:rPr>
        <w:t xml:space="preserve"> Deutschland</w:t>
      </w:r>
      <w:r w:rsidR="00CB29C5">
        <w:rPr>
          <w:rFonts w:ascii="Times New Roman" w:hAnsi="Times New Roman" w:cs="Times New Roman"/>
          <w:sz w:val="18"/>
          <w:szCs w:val="18"/>
        </w:rPr>
        <w:t xml:space="preserve"> (C-188/92) </w:t>
      </w:r>
      <w:r w:rsidRPr="00226C37">
        <w:rPr>
          <w:rFonts w:ascii="Times New Roman" w:hAnsi="Times New Roman" w:cs="Times New Roman"/>
          <w:sz w:val="18"/>
          <w:szCs w:val="18"/>
        </w:rPr>
        <w:t xml:space="preserve">ECLI:EU:C:1994:90. </w:t>
      </w:r>
    </w:p>
  </w:footnote>
  <w:footnote w:id="79">
    <w:p w14:paraId="62D44E41" w14:textId="17829895"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The obligation to refer questions relating to the validity of EU laws should also be noted in this context. </w:t>
      </w:r>
    </w:p>
  </w:footnote>
  <w:footnote w:id="80">
    <w:p w14:paraId="120C6EFE" w14:textId="70121961" w:rsidR="001B3D9B" w:rsidRPr="00226C37" w:rsidRDefault="001B3D9B" w:rsidP="00A031BE">
      <w:pPr>
        <w:pStyle w:val="FootnoteText"/>
        <w:jc w:val="both"/>
        <w:rPr>
          <w:rFonts w:ascii="Times New Roman" w:hAnsi="Times New Roman" w:cs="Times New Roman"/>
          <w:sz w:val="18"/>
          <w:szCs w:val="18"/>
        </w:rPr>
      </w:pPr>
      <w:r w:rsidRPr="00226C37">
        <w:rPr>
          <w:rStyle w:val="FootnoteReference"/>
          <w:rFonts w:ascii="Times New Roman" w:hAnsi="Times New Roman" w:cs="Times New Roman"/>
          <w:sz w:val="18"/>
          <w:szCs w:val="18"/>
        </w:rPr>
        <w:footnoteRef/>
      </w:r>
      <w:r w:rsidRPr="00226C37">
        <w:rPr>
          <w:rFonts w:ascii="Times New Roman" w:hAnsi="Times New Roman" w:cs="Times New Roman"/>
          <w:sz w:val="18"/>
          <w:szCs w:val="18"/>
        </w:rPr>
        <w:t xml:space="preserve"> Bradley, </w:t>
      </w:r>
      <w:r w:rsidR="00EB1622">
        <w:rPr>
          <w:rFonts w:ascii="Times New Roman" w:hAnsi="Times New Roman" w:cs="Times New Roman"/>
          <w:sz w:val="18"/>
          <w:szCs w:val="18"/>
        </w:rPr>
        <w:t>“</w:t>
      </w:r>
      <w:r w:rsidR="00EB1622" w:rsidRPr="00226C37">
        <w:rPr>
          <w:rFonts w:ascii="Times New Roman" w:hAnsi="Times New Roman" w:cs="Times New Roman"/>
          <w:sz w:val="18"/>
          <w:szCs w:val="18"/>
        </w:rPr>
        <w:t>Showdown at the Last Chance Saloon</w:t>
      </w:r>
      <w:r w:rsidR="00EB1622">
        <w:rPr>
          <w:rFonts w:ascii="Times New Roman" w:hAnsi="Times New Roman" w:cs="Times New Roman"/>
          <w:sz w:val="18"/>
          <w:szCs w:val="18"/>
        </w:rPr>
        <w:t>”</w:t>
      </w:r>
      <w:r w:rsidRPr="00226C37">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02456"/>
    <w:multiLevelType w:val="multilevel"/>
    <w:tmpl w:val="887EEEE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D6"/>
    <w:rsid w:val="00003066"/>
    <w:rsid w:val="00004443"/>
    <w:rsid w:val="00005C7F"/>
    <w:rsid w:val="00010E48"/>
    <w:rsid w:val="0001393A"/>
    <w:rsid w:val="00013E6A"/>
    <w:rsid w:val="00015353"/>
    <w:rsid w:val="0001725C"/>
    <w:rsid w:val="00020061"/>
    <w:rsid w:val="0002212F"/>
    <w:rsid w:val="00024DC1"/>
    <w:rsid w:val="00025180"/>
    <w:rsid w:val="000264FF"/>
    <w:rsid w:val="000308A5"/>
    <w:rsid w:val="00032219"/>
    <w:rsid w:val="00032ECE"/>
    <w:rsid w:val="00041763"/>
    <w:rsid w:val="0004214F"/>
    <w:rsid w:val="00045CB6"/>
    <w:rsid w:val="00052227"/>
    <w:rsid w:val="0005274B"/>
    <w:rsid w:val="00055772"/>
    <w:rsid w:val="00060C47"/>
    <w:rsid w:val="00065C8D"/>
    <w:rsid w:val="00072566"/>
    <w:rsid w:val="00076345"/>
    <w:rsid w:val="000806B0"/>
    <w:rsid w:val="0008294F"/>
    <w:rsid w:val="000834F4"/>
    <w:rsid w:val="00084438"/>
    <w:rsid w:val="00085486"/>
    <w:rsid w:val="0009549A"/>
    <w:rsid w:val="000A4E8F"/>
    <w:rsid w:val="000A7177"/>
    <w:rsid w:val="000C36F7"/>
    <w:rsid w:val="000D7F32"/>
    <w:rsid w:val="000E650F"/>
    <w:rsid w:val="001064B5"/>
    <w:rsid w:val="00110889"/>
    <w:rsid w:val="00110B28"/>
    <w:rsid w:val="00131970"/>
    <w:rsid w:val="00132A17"/>
    <w:rsid w:val="001360FA"/>
    <w:rsid w:val="00141741"/>
    <w:rsid w:val="00141C16"/>
    <w:rsid w:val="00141F65"/>
    <w:rsid w:val="0014658D"/>
    <w:rsid w:val="00152361"/>
    <w:rsid w:val="00152597"/>
    <w:rsid w:val="001612BD"/>
    <w:rsid w:val="00171749"/>
    <w:rsid w:val="00177B57"/>
    <w:rsid w:val="00182F3E"/>
    <w:rsid w:val="0018365C"/>
    <w:rsid w:val="0018385C"/>
    <w:rsid w:val="00184137"/>
    <w:rsid w:val="00192B17"/>
    <w:rsid w:val="00194EDF"/>
    <w:rsid w:val="001967FF"/>
    <w:rsid w:val="00197488"/>
    <w:rsid w:val="001B0F04"/>
    <w:rsid w:val="001B3D9B"/>
    <w:rsid w:val="001B451A"/>
    <w:rsid w:val="001B5296"/>
    <w:rsid w:val="001B7D35"/>
    <w:rsid w:val="001B7DED"/>
    <w:rsid w:val="001C563F"/>
    <w:rsid w:val="001C79CD"/>
    <w:rsid w:val="001D05AE"/>
    <w:rsid w:val="001D3E6A"/>
    <w:rsid w:val="001D5D86"/>
    <w:rsid w:val="001E0B36"/>
    <w:rsid w:val="001E0C20"/>
    <w:rsid w:val="001E7C9A"/>
    <w:rsid w:val="001F00BF"/>
    <w:rsid w:val="001F1A1A"/>
    <w:rsid w:val="001F311F"/>
    <w:rsid w:val="00200C37"/>
    <w:rsid w:val="00204132"/>
    <w:rsid w:val="002076D9"/>
    <w:rsid w:val="002103D5"/>
    <w:rsid w:val="0022112A"/>
    <w:rsid w:val="002263E5"/>
    <w:rsid w:val="00226C37"/>
    <w:rsid w:val="0023402B"/>
    <w:rsid w:val="002341CC"/>
    <w:rsid w:val="00241324"/>
    <w:rsid w:val="00241529"/>
    <w:rsid w:val="0025288C"/>
    <w:rsid w:val="00253309"/>
    <w:rsid w:val="00253478"/>
    <w:rsid w:val="0025666E"/>
    <w:rsid w:val="002576A1"/>
    <w:rsid w:val="0026206F"/>
    <w:rsid w:val="002635B7"/>
    <w:rsid w:val="00273245"/>
    <w:rsid w:val="00277C3D"/>
    <w:rsid w:val="002819BB"/>
    <w:rsid w:val="00283ED4"/>
    <w:rsid w:val="00283FC3"/>
    <w:rsid w:val="00290725"/>
    <w:rsid w:val="00290FA4"/>
    <w:rsid w:val="00292A07"/>
    <w:rsid w:val="00296A0B"/>
    <w:rsid w:val="002B26A5"/>
    <w:rsid w:val="002B5073"/>
    <w:rsid w:val="002B63B8"/>
    <w:rsid w:val="002B7275"/>
    <w:rsid w:val="002B76F7"/>
    <w:rsid w:val="002C335E"/>
    <w:rsid w:val="002C3CAF"/>
    <w:rsid w:val="002D1507"/>
    <w:rsid w:val="002D6B34"/>
    <w:rsid w:val="002D7173"/>
    <w:rsid w:val="002E427F"/>
    <w:rsid w:val="002E76F4"/>
    <w:rsid w:val="002E7CB1"/>
    <w:rsid w:val="002F3691"/>
    <w:rsid w:val="002F378D"/>
    <w:rsid w:val="002F4C01"/>
    <w:rsid w:val="00307F18"/>
    <w:rsid w:val="0033601B"/>
    <w:rsid w:val="003407C3"/>
    <w:rsid w:val="00350233"/>
    <w:rsid w:val="003579BF"/>
    <w:rsid w:val="00364023"/>
    <w:rsid w:val="00364094"/>
    <w:rsid w:val="00367203"/>
    <w:rsid w:val="00367678"/>
    <w:rsid w:val="003705F7"/>
    <w:rsid w:val="00371BBD"/>
    <w:rsid w:val="00372EDF"/>
    <w:rsid w:val="0038084A"/>
    <w:rsid w:val="00384294"/>
    <w:rsid w:val="003925F9"/>
    <w:rsid w:val="00393F85"/>
    <w:rsid w:val="00395FFD"/>
    <w:rsid w:val="003A0AD6"/>
    <w:rsid w:val="003A5E2C"/>
    <w:rsid w:val="003A70EE"/>
    <w:rsid w:val="003B01BF"/>
    <w:rsid w:val="003B3757"/>
    <w:rsid w:val="003B5340"/>
    <w:rsid w:val="003B74D0"/>
    <w:rsid w:val="003C03D1"/>
    <w:rsid w:val="003C1B09"/>
    <w:rsid w:val="003D4960"/>
    <w:rsid w:val="003E53EC"/>
    <w:rsid w:val="00404060"/>
    <w:rsid w:val="00412963"/>
    <w:rsid w:val="00414C4E"/>
    <w:rsid w:val="00421B60"/>
    <w:rsid w:val="00422CCC"/>
    <w:rsid w:val="00425164"/>
    <w:rsid w:val="00426AF0"/>
    <w:rsid w:val="00427C02"/>
    <w:rsid w:val="00437ED9"/>
    <w:rsid w:val="004409D1"/>
    <w:rsid w:val="00442625"/>
    <w:rsid w:val="0044276A"/>
    <w:rsid w:val="00442F16"/>
    <w:rsid w:val="00445096"/>
    <w:rsid w:val="004454B2"/>
    <w:rsid w:val="004464C8"/>
    <w:rsid w:val="004476AC"/>
    <w:rsid w:val="00460881"/>
    <w:rsid w:val="0046186D"/>
    <w:rsid w:val="0046606A"/>
    <w:rsid w:val="00474A61"/>
    <w:rsid w:val="004767C4"/>
    <w:rsid w:val="0047687C"/>
    <w:rsid w:val="00477D38"/>
    <w:rsid w:val="0048518F"/>
    <w:rsid w:val="00485871"/>
    <w:rsid w:val="00487259"/>
    <w:rsid w:val="004914E7"/>
    <w:rsid w:val="00491E45"/>
    <w:rsid w:val="004A0BF3"/>
    <w:rsid w:val="004A5CDC"/>
    <w:rsid w:val="004B2346"/>
    <w:rsid w:val="004B448E"/>
    <w:rsid w:val="004B63A7"/>
    <w:rsid w:val="004B7597"/>
    <w:rsid w:val="004C3610"/>
    <w:rsid w:val="004C3A28"/>
    <w:rsid w:val="004D05B3"/>
    <w:rsid w:val="004D440D"/>
    <w:rsid w:val="004D49AB"/>
    <w:rsid w:val="004D6183"/>
    <w:rsid w:val="004D68C9"/>
    <w:rsid w:val="004E3218"/>
    <w:rsid w:val="004E4F66"/>
    <w:rsid w:val="004F0E7E"/>
    <w:rsid w:val="004F29E5"/>
    <w:rsid w:val="004F4409"/>
    <w:rsid w:val="004F646D"/>
    <w:rsid w:val="004F6C8B"/>
    <w:rsid w:val="00503D0F"/>
    <w:rsid w:val="00506F02"/>
    <w:rsid w:val="005132A1"/>
    <w:rsid w:val="00513944"/>
    <w:rsid w:val="0051542A"/>
    <w:rsid w:val="005261B9"/>
    <w:rsid w:val="0052752B"/>
    <w:rsid w:val="00527AEB"/>
    <w:rsid w:val="00530AFC"/>
    <w:rsid w:val="00532B5C"/>
    <w:rsid w:val="00535C7F"/>
    <w:rsid w:val="00544220"/>
    <w:rsid w:val="0055024F"/>
    <w:rsid w:val="005578F5"/>
    <w:rsid w:val="00563501"/>
    <w:rsid w:val="005671DE"/>
    <w:rsid w:val="00572D4B"/>
    <w:rsid w:val="005739CF"/>
    <w:rsid w:val="0058160D"/>
    <w:rsid w:val="00582025"/>
    <w:rsid w:val="00585E47"/>
    <w:rsid w:val="005930BB"/>
    <w:rsid w:val="005947C7"/>
    <w:rsid w:val="005A2FAC"/>
    <w:rsid w:val="005A5EE7"/>
    <w:rsid w:val="005B307F"/>
    <w:rsid w:val="005B4882"/>
    <w:rsid w:val="005B66CA"/>
    <w:rsid w:val="005C0D28"/>
    <w:rsid w:val="005C6733"/>
    <w:rsid w:val="005D4E92"/>
    <w:rsid w:val="005E3718"/>
    <w:rsid w:val="0061254F"/>
    <w:rsid w:val="0062030D"/>
    <w:rsid w:val="00621639"/>
    <w:rsid w:val="0062627C"/>
    <w:rsid w:val="00631846"/>
    <w:rsid w:val="00631866"/>
    <w:rsid w:val="006413DA"/>
    <w:rsid w:val="00647211"/>
    <w:rsid w:val="00650529"/>
    <w:rsid w:val="00650F93"/>
    <w:rsid w:val="00651607"/>
    <w:rsid w:val="006536C3"/>
    <w:rsid w:val="00653727"/>
    <w:rsid w:val="006546DC"/>
    <w:rsid w:val="00655D9F"/>
    <w:rsid w:val="00663146"/>
    <w:rsid w:val="00666894"/>
    <w:rsid w:val="00672D00"/>
    <w:rsid w:val="006745AE"/>
    <w:rsid w:val="00675563"/>
    <w:rsid w:val="0068020E"/>
    <w:rsid w:val="006A013B"/>
    <w:rsid w:val="006A3644"/>
    <w:rsid w:val="006A7E43"/>
    <w:rsid w:val="006B0F06"/>
    <w:rsid w:val="006B4648"/>
    <w:rsid w:val="006C0E57"/>
    <w:rsid w:val="006C1BF7"/>
    <w:rsid w:val="006D046D"/>
    <w:rsid w:val="006D5081"/>
    <w:rsid w:val="006E4B8B"/>
    <w:rsid w:val="006E758F"/>
    <w:rsid w:val="006F11E6"/>
    <w:rsid w:val="006F513D"/>
    <w:rsid w:val="006F77D6"/>
    <w:rsid w:val="00703535"/>
    <w:rsid w:val="00707C3C"/>
    <w:rsid w:val="00711334"/>
    <w:rsid w:val="00722B32"/>
    <w:rsid w:val="00723FF9"/>
    <w:rsid w:val="00724537"/>
    <w:rsid w:val="007250B0"/>
    <w:rsid w:val="00727D0F"/>
    <w:rsid w:val="00731248"/>
    <w:rsid w:val="00740BD5"/>
    <w:rsid w:val="007425BA"/>
    <w:rsid w:val="007465C6"/>
    <w:rsid w:val="007468EC"/>
    <w:rsid w:val="00747DDC"/>
    <w:rsid w:val="00751D7F"/>
    <w:rsid w:val="00755E6D"/>
    <w:rsid w:val="00762542"/>
    <w:rsid w:val="007758AE"/>
    <w:rsid w:val="00784755"/>
    <w:rsid w:val="00793E3C"/>
    <w:rsid w:val="007A08A7"/>
    <w:rsid w:val="007A4AA8"/>
    <w:rsid w:val="007A5799"/>
    <w:rsid w:val="007A57F5"/>
    <w:rsid w:val="007B0F30"/>
    <w:rsid w:val="007B0FAF"/>
    <w:rsid w:val="007B1FC4"/>
    <w:rsid w:val="007B3A79"/>
    <w:rsid w:val="007B60D8"/>
    <w:rsid w:val="007B614D"/>
    <w:rsid w:val="007C1FAB"/>
    <w:rsid w:val="007C2655"/>
    <w:rsid w:val="007C314A"/>
    <w:rsid w:val="007C7D81"/>
    <w:rsid w:val="007D195D"/>
    <w:rsid w:val="007E058A"/>
    <w:rsid w:val="007E0D99"/>
    <w:rsid w:val="007E2F1F"/>
    <w:rsid w:val="007E65A4"/>
    <w:rsid w:val="007F5F27"/>
    <w:rsid w:val="007F647E"/>
    <w:rsid w:val="00800166"/>
    <w:rsid w:val="0080049B"/>
    <w:rsid w:val="00801621"/>
    <w:rsid w:val="00802A21"/>
    <w:rsid w:val="0080343C"/>
    <w:rsid w:val="00813AA3"/>
    <w:rsid w:val="00820B59"/>
    <w:rsid w:val="008221F3"/>
    <w:rsid w:val="008270AE"/>
    <w:rsid w:val="00827EA7"/>
    <w:rsid w:val="00844E8F"/>
    <w:rsid w:val="0085513E"/>
    <w:rsid w:val="00856CB4"/>
    <w:rsid w:val="00863DB8"/>
    <w:rsid w:val="0086530B"/>
    <w:rsid w:val="00867B6A"/>
    <w:rsid w:val="0087756B"/>
    <w:rsid w:val="00881CC7"/>
    <w:rsid w:val="00881FD2"/>
    <w:rsid w:val="00885E41"/>
    <w:rsid w:val="0089253A"/>
    <w:rsid w:val="00892C61"/>
    <w:rsid w:val="00892F6C"/>
    <w:rsid w:val="008B3AB5"/>
    <w:rsid w:val="008B414C"/>
    <w:rsid w:val="008F35D9"/>
    <w:rsid w:val="008F638B"/>
    <w:rsid w:val="009050BD"/>
    <w:rsid w:val="00906E2F"/>
    <w:rsid w:val="00912E3F"/>
    <w:rsid w:val="00913825"/>
    <w:rsid w:val="00924923"/>
    <w:rsid w:val="0093252D"/>
    <w:rsid w:val="0093427B"/>
    <w:rsid w:val="00950314"/>
    <w:rsid w:val="009602EF"/>
    <w:rsid w:val="00960D8F"/>
    <w:rsid w:val="00963D85"/>
    <w:rsid w:val="009665E6"/>
    <w:rsid w:val="009724D5"/>
    <w:rsid w:val="00974AF7"/>
    <w:rsid w:val="009906D9"/>
    <w:rsid w:val="00994C96"/>
    <w:rsid w:val="009B1BCA"/>
    <w:rsid w:val="009B3470"/>
    <w:rsid w:val="009B3ECA"/>
    <w:rsid w:val="009C0478"/>
    <w:rsid w:val="009C33FB"/>
    <w:rsid w:val="009C346A"/>
    <w:rsid w:val="009C7D56"/>
    <w:rsid w:val="009E02D7"/>
    <w:rsid w:val="009E0445"/>
    <w:rsid w:val="009E0D37"/>
    <w:rsid w:val="009E389C"/>
    <w:rsid w:val="00A02279"/>
    <w:rsid w:val="00A031BE"/>
    <w:rsid w:val="00A063C4"/>
    <w:rsid w:val="00A07ABF"/>
    <w:rsid w:val="00A13DAA"/>
    <w:rsid w:val="00A16BD6"/>
    <w:rsid w:val="00A20EDD"/>
    <w:rsid w:val="00A260DF"/>
    <w:rsid w:val="00A33550"/>
    <w:rsid w:val="00A33F1D"/>
    <w:rsid w:val="00A42EEE"/>
    <w:rsid w:val="00A4774F"/>
    <w:rsid w:val="00A54B13"/>
    <w:rsid w:val="00A557A1"/>
    <w:rsid w:val="00A61003"/>
    <w:rsid w:val="00A64F78"/>
    <w:rsid w:val="00A6748B"/>
    <w:rsid w:val="00A70E3B"/>
    <w:rsid w:val="00A758AE"/>
    <w:rsid w:val="00A75F28"/>
    <w:rsid w:val="00A77F9C"/>
    <w:rsid w:val="00A84314"/>
    <w:rsid w:val="00A84870"/>
    <w:rsid w:val="00A854F4"/>
    <w:rsid w:val="00A87A06"/>
    <w:rsid w:val="00A929CC"/>
    <w:rsid w:val="00A93B6E"/>
    <w:rsid w:val="00A96D72"/>
    <w:rsid w:val="00AB6924"/>
    <w:rsid w:val="00AB7E30"/>
    <w:rsid w:val="00AC0584"/>
    <w:rsid w:val="00AC2A70"/>
    <w:rsid w:val="00AC540A"/>
    <w:rsid w:val="00AD3704"/>
    <w:rsid w:val="00AE1C6B"/>
    <w:rsid w:val="00AE437A"/>
    <w:rsid w:val="00AE68B5"/>
    <w:rsid w:val="00AF1D91"/>
    <w:rsid w:val="00AF34B1"/>
    <w:rsid w:val="00AF6D51"/>
    <w:rsid w:val="00B052FC"/>
    <w:rsid w:val="00B102D1"/>
    <w:rsid w:val="00B17CBE"/>
    <w:rsid w:val="00B3089B"/>
    <w:rsid w:val="00B40435"/>
    <w:rsid w:val="00B475C1"/>
    <w:rsid w:val="00B531BC"/>
    <w:rsid w:val="00B54B1C"/>
    <w:rsid w:val="00B6798A"/>
    <w:rsid w:val="00B75EB7"/>
    <w:rsid w:val="00B762B3"/>
    <w:rsid w:val="00B80071"/>
    <w:rsid w:val="00B8148D"/>
    <w:rsid w:val="00B92579"/>
    <w:rsid w:val="00B93786"/>
    <w:rsid w:val="00B93F1B"/>
    <w:rsid w:val="00B94150"/>
    <w:rsid w:val="00BA2065"/>
    <w:rsid w:val="00BC0737"/>
    <w:rsid w:val="00BC208E"/>
    <w:rsid w:val="00BE06C5"/>
    <w:rsid w:val="00BE0E47"/>
    <w:rsid w:val="00BE2C30"/>
    <w:rsid w:val="00BE3711"/>
    <w:rsid w:val="00BE38EE"/>
    <w:rsid w:val="00BE5B9F"/>
    <w:rsid w:val="00BE6C2C"/>
    <w:rsid w:val="00BE7391"/>
    <w:rsid w:val="00BE7C2D"/>
    <w:rsid w:val="00BF2E54"/>
    <w:rsid w:val="00BF31C8"/>
    <w:rsid w:val="00BF346B"/>
    <w:rsid w:val="00BF5FA7"/>
    <w:rsid w:val="00BF7D7A"/>
    <w:rsid w:val="00C03281"/>
    <w:rsid w:val="00C039D2"/>
    <w:rsid w:val="00C10A10"/>
    <w:rsid w:val="00C13E8B"/>
    <w:rsid w:val="00C432D4"/>
    <w:rsid w:val="00C45D19"/>
    <w:rsid w:val="00C517DF"/>
    <w:rsid w:val="00C560C2"/>
    <w:rsid w:val="00C61FB6"/>
    <w:rsid w:val="00C635F4"/>
    <w:rsid w:val="00C742D0"/>
    <w:rsid w:val="00C826CE"/>
    <w:rsid w:val="00C82D77"/>
    <w:rsid w:val="00C876EE"/>
    <w:rsid w:val="00C90B01"/>
    <w:rsid w:val="00C90D64"/>
    <w:rsid w:val="00C939F5"/>
    <w:rsid w:val="00C941E5"/>
    <w:rsid w:val="00C946DD"/>
    <w:rsid w:val="00CA3067"/>
    <w:rsid w:val="00CB29C5"/>
    <w:rsid w:val="00CC0322"/>
    <w:rsid w:val="00CC0CD2"/>
    <w:rsid w:val="00CC197D"/>
    <w:rsid w:val="00CC45BE"/>
    <w:rsid w:val="00CD1809"/>
    <w:rsid w:val="00CD46FC"/>
    <w:rsid w:val="00CD487F"/>
    <w:rsid w:val="00CD4FD3"/>
    <w:rsid w:val="00CD6D09"/>
    <w:rsid w:val="00CE3D2B"/>
    <w:rsid w:val="00CE41E0"/>
    <w:rsid w:val="00CF0F1B"/>
    <w:rsid w:val="00CF387B"/>
    <w:rsid w:val="00CF7649"/>
    <w:rsid w:val="00D008C2"/>
    <w:rsid w:val="00D04F38"/>
    <w:rsid w:val="00D10E6D"/>
    <w:rsid w:val="00D1302F"/>
    <w:rsid w:val="00D14CE6"/>
    <w:rsid w:val="00D17A44"/>
    <w:rsid w:val="00D24166"/>
    <w:rsid w:val="00D258B5"/>
    <w:rsid w:val="00D36DB3"/>
    <w:rsid w:val="00D468A2"/>
    <w:rsid w:val="00D47AF5"/>
    <w:rsid w:val="00D47F3D"/>
    <w:rsid w:val="00D50CB7"/>
    <w:rsid w:val="00D51FC7"/>
    <w:rsid w:val="00D54A07"/>
    <w:rsid w:val="00D665F3"/>
    <w:rsid w:val="00D73D4D"/>
    <w:rsid w:val="00D81016"/>
    <w:rsid w:val="00D82CCD"/>
    <w:rsid w:val="00D8413C"/>
    <w:rsid w:val="00D877F6"/>
    <w:rsid w:val="00D93CFF"/>
    <w:rsid w:val="00D94734"/>
    <w:rsid w:val="00DA0497"/>
    <w:rsid w:val="00DB2151"/>
    <w:rsid w:val="00DC530A"/>
    <w:rsid w:val="00DD3256"/>
    <w:rsid w:val="00DD3E9E"/>
    <w:rsid w:val="00DD3FA1"/>
    <w:rsid w:val="00DD436E"/>
    <w:rsid w:val="00DD4575"/>
    <w:rsid w:val="00DD514D"/>
    <w:rsid w:val="00DE2B81"/>
    <w:rsid w:val="00DE59B2"/>
    <w:rsid w:val="00DF48FA"/>
    <w:rsid w:val="00DF68FA"/>
    <w:rsid w:val="00DF747B"/>
    <w:rsid w:val="00E037AB"/>
    <w:rsid w:val="00E04B5F"/>
    <w:rsid w:val="00E05488"/>
    <w:rsid w:val="00E13590"/>
    <w:rsid w:val="00E1496F"/>
    <w:rsid w:val="00E268F3"/>
    <w:rsid w:val="00E33719"/>
    <w:rsid w:val="00E33D25"/>
    <w:rsid w:val="00E4700F"/>
    <w:rsid w:val="00E53023"/>
    <w:rsid w:val="00E65B16"/>
    <w:rsid w:val="00E677E5"/>
    <w:rsid w:val="00E70FCD"/>
    <w:rsid w:val="00E7281C"/>
    <w:rsid w:val="00E74A6D"/>
    <w:rsid w:val="00E7534F"/>
    <w:rsid w:val="00E755A7"/>
    <w:rsid w:val="00E76497"/>
    <w:rsid w:val="00E82282"/>
    <w:rsid w:val="00E83EC9"/>
    <w:rsid w:val="00E85E45"/>
    <w:rsid w:val="00E91A2C"/>
    <w:rsid w:val="00EA43A0"/>
    <w:rsid w:val="00EB1622"/>
    <w:rsid w:val="00EB3A88"/>
    <w:rsid w:val="00EB6D51"/>
    <w:rsid w:val="00EB75A5"/>
    <w:rsid w:val="00ED529A"/>
    <w:rsid w:val="00ED7F86"/>
    <w:rsid w:val="00EE0A7D"/>
    <w:rsid w:val="00EE3BDB"/>
    <w:rsid w:val="00EF5021"/>
    <w:rsid w:val="00EF639D"/>
    <w:rsid w:val="00EF6B39"/>
    <w:rsid w:val="00EF7797"/>
    <w:rsid w:val="00F02F4A"/>
    <w:rsid w:val="00F06480"/>
    <w:rsid w:val="00F13811"/>
    <w:rsid w:val="00F17127"/>
    <w:rsid w:val="00F173D0"/>
    <w:rsid w:val="00F217FA"/>
    <w:rsid w:val="00F2506C"/>
    <w:rsid w:val="00F31D1A"/>
    <w:rsid w:val="00F32F7F"/>
    <w:rsid w:val="00F34831"/>
    <w:rsid w:val="00F35D26"/>
    <w:rsid w:val="00F37061"/>
    <w:rsid w:val="00F41494"/>
    <w:rsid w:val="00F45985"/>
    <w:rsid w:val="00F6057E"/>
    <w:rsid w:val="00F629D8"/>
    <w:rsid w:val="00F64B03"/>
    <w:rsid w:val="00F64E9D"/>
    <w:rsid w:val="00F65A6A"/>
    <w:rsid w:val="00F7521C"/>
    <w:rsid w:val="00F9209C"/>
    <w:rsid w:val="00F929AA"/>
    <w:rsid w:val="00FA10BC"/>
    <w:rsid w:val="00FB0DBA"/>
    <w:rsid w:val="00FB25CB"/>
    <w:rsid w:val="00FB34E5"/>
    <w:rsid w:val="00FB49F3"/>
    <w:rsid w:val="00FC09AD"/>
    <w:rsid w:val="00FC5F2B"/>
    <w:rsid w:val="00FD0438"/>
    <w:rsid w:val="00FD3E9A"/>
    <w:rsid w:val="00FD42FF"/>
    <w:rsid w:val="00FD7B18"/>
    <w:rsid w:val="00FE28CB"/>
    <w:rsid w:val="00FE6C46"/>
    <w:rsid w:val="00FF4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B1ED"/>
  <w15:chartTrackingRefBased/>
  <w15:docId w15:val="{D1CF557B-B9F9-4295-90D6-E8D24A84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77D6"/>
    <w:rPr>
      <w:sz w:val="20"/>
      <w:szCs w:val="20"/>
    </w:rPr>
  </w:style>
  <w:style w:type="character" w:customStyle="1" w:styleId="FootnoteTextChar">
    <w:name w:val="Footnote Text Char"/>
    <w:basedOn w:val="DefaultParagraphFont"/>
    <w:link w:val="FootnoteText"/>
    <w:uiPriority w:val="99"/>
    <w:rsid w:val="006F77D6"/>
    <w:rPr>
      <w:sz w:val="20"/>
      <w:szCs w:val="20"/>
    </w:rPr>
  </w:style>
  <w:style w:type="character" w:styleId="FootnoteReference">
    <w:name w:val="footnote reference"/>
    <w:basedOn w:val="DefaultParagraphFont"/>
    <w:uiPriority w:val="99"/>
    <w:semiHidden/>
    <w:unhideWhenUsed/>
    <w:rsid w:val="006F77D6"/>
    <w:rPr>
      <w:vertAlign w:val="superscript"/>
    </w:rPr>
  </w:style>
  <w:style w:type="paragraph" w:styleId="ListParagraph">
    <w:name w:val="List Paragraph"/>
    <w:basedOn w:val="Normal"/>
    <w:uiPriority w:val="34"/>
    <w:qFormat/>
    <w:rsid w:val="006F77D6"/>
    <w:pPr>
      <w:ind w:left="720"/>
      <w:contextualSpacing/>
    </w:pPr>
  </w:style>
  <w:style w:type="paragraph" w:styleId="Header">
    <w:name w:val="header"/>
    <w:basedOn w:val="Normal"/>
    <w:link w:val="HeaderChar"/>
    <w:uiPriority w:val="99"/>
    <w:unhideWhenUsed/>
    <w:rsid w:val="000308A5"/>
    <w:pPr>
      <w:tabs>
        <w:tab w:val="center" w:pos="4513"/>
        <w:tab w:val="right" w:pos="9026"/>
      </w:tabs>
    </w:pPr>
  </w:style>
  <w:style w:type="character" w:customStyle="1" w:styleId="HeaderChar">
    <w:name w:val="Header Char"/>
    <w:basedOn w:val="DefaultParagraphFont"/>
    <w:link w:val="Header"/>
    <w:uiPriority w:val="99"/>
    <w:rsid w:val="000308A5"/>
  </w:style>
  <w:style w:type="paragraph" w:styleId="Footer">
    <w:name w:val="footer"/>
    <w:basedOn w:val="Normal"/>
    <w:link w:val="FooterChar"/>
    <w:uiPriority w:val="99"/>
    <w:unhideWhenUsed/>
    <w:rsid w:val="000308A5"/>
    <w:pPr>
      <w:tabs>
        <w:tab w:val="center" w:pos="4513"/>
        <w:tab w:val="right" w:pos="9026"/>
      </w:tabs>
    </w:pPr>
  </w:style>
  <w:style w:type="character" w:customStyle="1" w:styleId="FooterChar">
    <w:name w:val="Footer Char"/>
    <w:basedOn w:val="DefaultParagraphFont"/>
    <w:link w:val="Footer"/>
    <w:uiPriority w:val="99"/>
    <w:rsid w:val="000308A5"/>
  </w:style>
  <w:style w:type="character" w:styleId="Hyperlink">
    <w:name w:val="Hyperlink"/>
    <w:basedOn w:val="DefaultParagraphFont"/>
    <w:uiPriority w:val="99"/>
    <w:unhideWhenUsed/>
    <w:rsid w:val="000D7F32"/>
    <w:rPr>
      <w:color w:val="0563C1" w:themeColor="hyperlink"/>
      <w:u w:val="single"/>
    </w:rPr>
  </w:style>
  <w:style w:type="character" w:styleId="UnresolvedMention">
    <w:name w:val="Unresolved Mention"/>
    <w:basedOn w:val="DefaultParagraphFont"/>
    <w:uiPriority w:val="99"/>
    <w:semiHidden/>
    <w:unhideWhenUsed/>
    <w:rsid w:val="000D7F32"/>
    <w:rPr>
      <w:color w:val="605E5C"/>
      <w:shd w:val="clear" w:color="auto" w:fill="E1DFDD"/>
    </w:rPr>
  </w:style>
  <w:style w:type="character" w:styleId="PlaceholderText">
    <w:name w:val="Placeholder Text"/>
    <w:basedOn w:val="DefaultParagraphFont"/>
    <w:uiPriority w:val="99"/>
    <w:semiHidden/>
    <w:rsid w:val="00F171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7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8FA0AC7398944A81C2B38F597E841F" ma:contentTypeVersion="13" ma:contentTypeDescription="Create a new document." ma:contentTypeScope="" ma:versionID="38d24e421ca2ffdadd4ac2a138e57256">
  <xsd:schema xmlns:xsd="http://www.w3.org/2001/XMLSchema" xmlns:xs="http://www.w3.org/2001/XMLSchema" xmlns:p="http://schemas.microsoft.com/office/2006/metadata/properties" xmlns:ns3="6039e5af-7712-4a96-9c49-6750862d3ad1" xmlns:ns4="c91442bd-646f-44c4-8f62-19716a08ea33" targetNamespace="http://schemas.microsoft.com/office/2006/metadata/properties" ma:root="true" ma:fieldsID="399e346ad4949ba5581028232d7e8c75" ns3:_="" ns4:_="">
    <xsd:import namespace="6039e5af-7712-4a96-9c49-6750862d3ad1"/>
    <xsd:import namespace="c91442bd-646f-44c4-8f62-19716a08ea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9e5af-7712-4a96-9c49-6750862d3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1442bd-646f-44c4-8f62-19716a08ea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E9BFA-D4AD-4E5A-9210-1CC08EB6882A}">
  <ds:schemaRefs>
    <ds:schemaRef ds:uri="http://schemas.openxmlformats.org/officeDocument/2006/bibliography"/>
  </ds:schemaRefs>
</ds:datastoreItem>
</file>

<file path=customXml/itemProps2.xml><?xml version="1.0" encoding="utf-8"?>
<ds:datastoreItem xmlns:ds="http://schemas.openxmlformats.org/officeDocument/2006/customXml" ds:itemID="{53D0E90B-5AC0-4C3A-9D3F-CFC00FAEB9FC}">
  <ds:schemaRefs>
    <ds:schemaRef ds:uri="http://purl.org/dc/elements/1.1/"/>
    <ds:schemaRef ds:uri="http://schemas.microsoft.com/office/2006/metadata/properties"/>
    <ds:schemaRef ds:uri="c91442bd-646f-44c4-8f62-19716a08ea33"/>
    <ds:schemaRef ds:uri="6039e5af-7712-4a96-9c49-6750862d3ad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5EB54EB-61A1-48CE-BD1E-BC0B62D20128}">
  <ds:schemaRefs>
    <ds:schemaRef ds:uri="http://schemas.microsoft.com/sharepoint/v3/contenttype/forms"/>
  </ds:schemaRefs>
</ds:datastoreItem>
</file>

<file path=customXml/itemProps4.xml><?xml version="1.0" encoding="utf-8"?>
<ds:datastoreItem xmlns:ds="http://schemas.openxmlformats.org/officeDocument/2006/customXml" ds:itemID="{32EABB3D-0208-4C9A-A662-A7162F585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9e5af-7712-4a96-9c49-6750862d3ad1"/>
    <ds:schemaRef ds:uri="c91442bd-646f-44c4-8f62-19716a08e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7669</Words>
  <Characters>43718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Cotter</dc:creator>
  <cp:keywords/>
  <dc:description/>
  <cp:lastModifiedBy>John Cotter</cp:lastModifiedBy>
  <cp:revision>2</cp:revision>
  <cp:lastPrinted>2021-04-29T10:26:00Z</cp:lastPrinted>
  <dcterms:created xsi:type="dcterms:W3CDTF">2021-10-06T21:41:00Z</dcterms:created>
  <dcterms:modified xsi:type="dcterms:W3CDTF">2021-10-06T21:41:00Z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0x010100518FA0AC7398944A81C2B38F597E841F</vt:lpwstr>
  </property>
</Properties>
</file>